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黑体" w:hAnsi="黑体" w:eastAsia="黑体" w:cs="黑体"/>
          <w:color w:val="auto"/>
          <w:sz w:val="32"/>
          <w:szCs w:val="32"/>
          <w:highlight w:val="none"/>
          <w:lang w:val="en-US" w:eastAsia="zh-CN"/>
        </w:rPr>
      </w:pPr>
      <w:bookmarkStart w:id="0" w:name="_Toc7336"/>
      <w:bookmarkStart w:id="1" w:name="_Toc15396475"/>
      <w:bookmarkStart w:id="2" w:name="_Toc15377425"/>
      <w:bookmarkStart w:id="3" w:name="_Toc15377193"/>
      <w:bookmarkStart w:id="4" w:name="_Toc15396597"/>
      <w:bookmarkStart w:id="5" w:name="_Toc15378441"/>
      <w:bookmarkStart w:id="6" w:name="_Toc15306267"/>
      <w:r>
        <w:rPr>
          <w:rFonts w:hint="eastAsia" w:ascii="黑体" w:hAnsi="黑体" w:eastAsia="黑体" w:cs="黑体"/>
          <w:color w:val="auto"/>
          <w:sz w:val="32"/>
          <w:szCs w:val="32"/>
          <w:highlight w:val="none"/>
          <w:lang w:val="en-US" w:eastAsia="zh-CN"/>
        </w:rPr>
        <w:t>附件1</w:t>
      </w:r>
      <w:bookmarkEnd w:id="0"/>
    </w:p>
    <w:p>
      <w:pPr>
        <w:spacing w:line="600" w:lineRule="exact"/>
        <w:jc w:val="center"/>
        <w:outlineLvl w:val="9"/>
        <w:rPr>
          <w:rFonts w:ascii="方正小标宋简体" w:hAnsi="宋体" w:eastAsia="方正小标宋简体"/>
          <w:color w:val="auto"/>
          <w:sz w:val="72"/>
          <w:szCs w:val="72"/>
          <w:highlight w:val="none"/>
        </w:rPr>
      </w:pPr>
    </w:p>
    <w:p>
      <w:pPr>
        <w:pStyle w:val="2"/>
        <w:jc w:val="both"/>
      </w:pPr>
    </w:p>
    <w:p>
      <w:pPr>
        <w:adjustRightInd w:val="0"/>
        <w:snapToGrid w:val="0"/>
        <w:spacing w:line="240" w:lineRule="auto"/>
        <w:jc w:val="center"/>
        <w:outlineLvl w:val="0"/>
        <w:rPr>
          <w:rFonts w:hint="eastAsia" w:ascii="方正小标宋简体" w:hAnsi="方正小标宋简体" w:eastAsia="方正小标宋简体" w:cs="方正小标宋简体"/>
          <w:color w:val="auto"/>
          <w:sz w:val="84"/>
          <w:szCs w:val="84"/>
          <w:highlight w:val="none"/>
        </w:rPr>
      </w:pPr>
      <w:bookmarkStart w:id="7" w:name="_Toc1556"/>
      <w:r>
        <w:rPr>
          <w:rFonts w:hint="eastAsia" w:ascii="方正小标宋简体" w:hAnsi="方正小标宋简体" w:eastAsia="方正小标宋简体" w:cs="方正小标宋简体"/>
          <w:color w:val="auto"/>
          <w:sz w:val="84"/>
          <w:szCs w:val="84"/>
          <w:highlight w:val="none"/>
        </w:rPr>
        <w:t>20</w:t>
      </w:r>
      <w:r>
        <w:rPr>
          <w:rFonts w:hint="eastAsia" w:ascii="方正小标宋简体" w:hAnsi="方正小标宋简体" w:eastAsia="方正小标宋简体" w:cs="方正小标宋简体"/>
          <w:color w:val="auto"/>
          <w:sz w:val="84"/>
          <w:szCs w:val="84"/>
          <w:highlight w:val="none"/>
          <w:lang w:val="en-US" w:eastAsia="zh-CN"/>
        </w:rPr>
        <w:t>22</w:t>
      </w:r>
      <w:r>
        <w:rPr>
          <w:rFonts w:hint="eastAsia" w:ascii="方正小标宋简体" w:hAnsi="方正小标宋简体" w:eastAsia="方正小标宋简体" w:cs="方正小标宋简体"/>
          <w:color w:val="auto"/>
          <w:sz w:val="84"/>
          <w:szCs w:val="84"/>
          <w:highlight w:val="none"/>
        </w:rPr>
        <w:t>年度</w:t>
      </w:r>
      <w:bookmarkEnd w:id="1"/>
      <w:bookmarkEnd w:id="2"/>
      <w:bookmarkEnd w:id="3"/>
      <w:bookmarkEnd w:id="4"/>
      <w:bookmarkEnd w:id="5"/>
      <w:bookmarkEnd w:id="7"/>
    </w:p>
    <w:bookmarkEnd w:id="6"/>
    <w:p>
      <w:pPr>
        <w:adjustRightInd w:val="0"/>
        <w:snapToGrid w:val="0"/>
        <w:spacing w:line="240" w:lineRule="auto"/>
        <w:jc w:val="center"/>
        <w:outlineLvl w:val="0"/>
        <w:rPr>
          <w:rFonts w:hint="eastAsia" w:ascii="方正小标宋简体" w:hAnsi="方正小标宋简体" w:eastAsia="方正小标宋简体" w:cs="方正小标宋简体"/>
          <w:color w:val="auto"/>
          <w:sz w:val="84"/>
          <w:szCs w:val="84"/>
          <w:highlight w:val="none"/>
        </w:rPr>
      </w:pPr>
      <w:bookmarkStart w:id="8" w:name="_Toc13641"/>
      <w:bookmarkStart w:id="9" w:name="_Toc15396476"/>
      <w:bookmarkStart w:id="10" w:name="_Toc15396598"/>
      <w:bookmarkStart w:id="11" w:name="_Toc15306268"/>
      <w:bookmarkStart w:id="12" w:name="_Toc15378442"/>
      <w:bookmarkStart w:id="13" w:name="_Toc15377194"/>
      <w:bookmarkStart w:id="14" w:name="_Toc15377426"/>
      <w:r>
        <w:rPr>
          <w:rFonts w:hint="eastAsia" w:ascii="方正小标宋简体" w:hAnsi="方正小标宋简体" w:eastAsia="方正小标宋简体" w:cs="方正小标宋简体"/>
          <w:color w:val="auto"/>
          <w:sz w:val="84"/>
          <w:szCs w:val="84"/>
          <w:highlight w:val="none"/>
        </w:rPr>
        <w:t>中共遂宁市安居区委巡察工作领导小组</w:t>
      </w:r>
      <w:bookmarkEnd w:id="8"/>
    </w:p>
    <w:p>
      <w:pPr>
        <w:adjustRightInd w:val="0"/>
        <w:snapToGrid w:val="0"/>
        <w:spacing w:line="240" w:lineRule="auto"/>
        <w:jc w:val="center"/>
        <w:outlineLvl w:val="0"/>
        <w:rPr>
          <w:rFonts w:hint="eastAsia" w:ascii="方正小标宋简体" w:hAnsi="方正小标宋简体" w:eastAsia="方正小标宋简体" w:cs="方正小标宋简体"/>
          <w:color w:val="auto"/>
          <w:sz w:val="84"/>
          <w:szCs w:val="84"/>
          <w:highlight w:val="none"/>
        </w:rPr>
      </w:pPr>
      <w:bookmarkStart w:id="15" w:name="_Toc23788"/>
      <w:r>
        <w:rPr>
          <w:rFonts w:hint="eastAsia" w:ascii="方正小标宋简体" w:hAnsi="方正小标宋简体" w:eastAsia="方正小标宋简体" w:cs="方正小标宋简体"/>
          <w:color w:val="auto"/>
          <w:sz w:val="84"/>
          <w:szCs w:val="84"/>
          <w:highlight w:val="none"/>
        </w:rPr>
        <w:t>办公室部门决算</w:t>
      </w:r>
      <w:bookmarkEnd w:id="9"/>
      <w:bookmarkEnd w:id="10"/>
      <w:bookmarkEnd w:id="11"/>
      <w:bookmarkEnd w:id="12"/>
      <w:bookmarkEnd w:id="13"/>
      <w:bookmarkEnd w:id="14"/>
      <w:bookmarkEnd w:id="15"/>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3"/>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sz w:val="24"/>
          <w:szCs w:val="24"/>
          <w:highlight w:val="none"/>
        </w:rPr>
      </w:pPr>
    </w:p>
    <w:sdt>
      <w:sdtPr>
        <w:rPr>
          <w:rFonts w:ascii="宋体" w:hAnsi="宋体" w:eastAsia="宋体" w:cs="Times New Roman"/>
          <w:kern w:val="2"/>
          <w:sz w:val="24"/>
          <w:szCs w:val="24"/>
          <w:lang w:val="en-US" w:eastAsia="zh-CN" w:bidi="ar-SA"/>
        </w:rPr>
        <w:id w:val="147468514"/>
        <w15:color w:val="DBDBDB"/>
        <w:docPartObj>
          <w:docPartGallery w:val="Table of Contents"/>
          <w:docPartUnique/>
        </w:docPartObj>
      </w:sdtPr>
      <w:sdtEndPr>
        <w:rPr>
          <w:rFonts w:ascii="宋体" w:hAnsi="宋体" w:eastAsia="宋体" w:cs="Times New Roman"/>
          <w:b/>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sz w:val="24"/>
              <w:szCs w:val="24"/>
            </w:rPr>
          </w:pPr>
        </w:p>
        <w:p>
          <w:pPr>
            <w:pStyle w:val="36"/>
            <w:tabs>
              <w:tab w:val="right" w:leader="dot" w:pos="8306"/>
            </w:tabs>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_Toc1556 </w:instrText>
          </w:r>
          <w:r>
            <w:rPr>
              <w:b/>
              <w:sz w:val="24"/>
              <w:szCs w:val="24"/>
            </w:rPr>
            <w:fldChar w:fldCharType="separate"/>
          </w:r>
          <w:r>
            <w:rPr>
              <w:b/>
              <w:sz w:val="24"/>
              <w:szCs w:val="24"/>
            </w:rPr>
            <w:fldChar w:fldCharType="end"/>
          </w:r>
          <w:r>
            <w:rPr>
              <w:b/>
              <w:sz w:val="24"/>
              <w:szCs w:val="24"/>
            </w:rPr>
            <w:fldChar w:fldCharType="begin"/>
          </w:r>
          <w:r>
            <w:rPr>
              <w:b/>
              <w:sz w:val="24"/>
              <w:szCs w:val="24"/>
            </w:rPr>
            <w:instrText xml:space="preserve"> HYPERLINK \l _Toc7984 </w:instrText>
          </w:r>
          <w:r>
            <w:rPr>
              <w:b/>
              <w:sz w:val="24"/>
              <w:szCs w:val="24"/>
            </w:rPr>
            <w:fldChar w:fldCharType="separate"/>
          </w:r>
          <w:r>
            <w:rPr>
              <w:rFonts w:hint="eastAsia" w:ascii="黑体" w:hAnsi="黑体" w:eastAsia="黑体"/>
              <w:b/>
              <w:sz w:val="24"/>
              <w:szCs w:val="24"/>
              <w:highlight w:val="none"/>
            </w:rPr>
            <w:t xml:space="preserve">第一部分 </w:t>
          </w:r>
          <w:r>
            <w:rPr>
              <w:rFonts w:hint="eastAsia" w:ascii="黑体" w:hAnsi="黑体" w:eastAsia="黑体"/>
              <w:b/>
              <w:bCs w:val="0"/>
              <w:sz w:val="24"/>
              <w:szCs w:val="24"/>
              <w:highlight w:val="none"/>
            </w:rPr>
            <w:t>部门概况</w:t>
          </w:r>
          <w:r>
            <w:rPr>
              <w:b/>
              <w:sz w:val="24"/>
              <w:szCs w:val="24"/>
            </w:rPr>
            <w:tab/>
          </w:r>
          <w:r>
            <w:rPr>
              <w:b/>
              <w:sz w:val="24"/>
              <w:szCs w:val="24"/>
            </w:rPr>
            <w:fldChar w:fldCharType="begin"/>
          </w:r>
          <w:r>
            <w:rPr>
              <w:b/>
              <w:sz w:val="24"/>
              <w:szCs w:val="24"/>
            </w:rPr>
            <w:instrText xml:space="preserve"> PAGEREF _Toc7984 \h </w:instrText>
          </w:r>
          <w:r>
            <w:rPr>
              <w:b/>
              <w:sz w:val="24"/>
              <w:szCs w:val="24"/>
            </w:rPr>
            <w:fldChar w:fldCharType="separate"/>
          </w:r>
          <w:r>
            <w:rPr>
              <w:b/>
              <w:sz w:val="24"/>
              <w:szCs w:val="24"/>
            </w:rPr>
            <w:t>4</w:t>
          </w:r>
          <w:r>
            <w:rPr>
              <w:b/>
              <w:sz w:val="24"/>
              <w:szCs w:val="24"/>
            </w:rPr>
            <w:fldChar w:fldCharType="end"/>
          </w:r>
          <w:r>
            <w:rPr>
              <w:b/>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_Toc25104 </w:instrText>
          </w:r>
          <w:r>
            <w:rPr>
              <w:sz w:val="24"/>
              <w:szCs w:val="24"/>
            </w:rPr>
            <w:fldChar w:fldCharType="separate"/>
          </w:r>
          <w:r>
            <w:rPr>
              <w:rFonts w:hint="eastAsia" w:ascii="黑体" w:hAnsi="黑体" w:eastAsia="黑体"/>
              <w:sz w:val="24"/>
              <w:szCs w:val="24"/>
              <w:lang w:eastAsia="zh-CN"/>
            </w:rPr>
            <w:t>一、</w:t>
          </w:r>
          <w:r>
            <w:rPr>
              <w:rFonts w:hint="eastAsia" w:ascii="黑体" w:hAnsi="黑体" w:eastAsia="黑体"/>
              <w:sz w:val="24"/>
              <w:szCs w:val="24"/>
              <w:highlight w:val="none"/>
              <w:lang w:eastAsia="zh-CN"/>
            </w:rPr>
            <w:t>部门职责</w:t>
          </w:r>
          <w:r>
            <w:rPr>
              <w:sz w:val="24"/>
              <w:szCs w:val="24"/>
            </w:rPr>
            <w:tab/>
          </w:r>
          <w:r>
            <w:rPr>
              <w:sz w:val="24"/>
              <w:szCs w:val="24"/>
            </w:rPr>
            <w:fldChar w:fldCharType="begin"/>
          </w:r>
          <w:r>
            <w:rPr>
              <w:sz w:val="24"/>
              <w:szCs w:val="24"/>
            </w:rPr>
            <w:instrText xml:space="preserve"> PAGEREF _Toc25104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_Toc7384 </w:instrText>
          </w:r>
          <w:r>
            <w:rPr>
              <w:sz w:val="24"/>
              <w:szCs w:val="24"/>
            </w:rPr>
            <w:fldChar w:fldCharType="separate"/>
          </w:r>
          <w:r>
            <w:rPr>
              <w:rFonts w:hint="eastAsia" w:ascii="黑体" w:eastAsia="黑体"/>
              <w:sz w:val="24"/>
              <w:szCs w:val="24"/>
              <w:highlight w:val="none"/>
            </w:rPr>
            <w:t>二、</w:t>
          </w:r>
          <w:r>
            <w:rPr>
              <w:rFonts w:hint="eastAsia" w:ascii="黑体" w:hAnsi="黑体" w:eastAsia="黑体"/>
              <w:sz w:val="24"/>
              <w:szCs w:val="24"/>
              <w:highlight w:val="none"/>
            </w:rPr>
            <w:t>机</w:t>
          </w:r>
          <w:r>
            <w:rPr>
              <w:rFonts w:hint="eastAsia" w:ascii="黑体" w:hAnsi="黑体" w:eastAsia="黑体"/>
              <w:bCs w:val="0"/>
              <w:sz w:val="24"/>
              <w:szCs w:val="24"/>
              <w:highlight w:val="none"/>
            </w:rPr>
            <w:t>构设置</w:t>
          </w:r>
          <w:r>
            <w:rPr>
              <w:sz w:val="24"/>
              <w:szCs w:val="24"/>
            </w:rPr>
            <w:tab/>
          </w:r>
          <w:r>
            <w:rPr>
              <w:sz w:val="24"/>
              <w:szCs w:val="24"/>
            </w:rPr>
            <w:fldChar w:fldCharType="begin"/>
          </w:r>
          <w:r>
            <w:rPr>
              <w:sz w:val="24"/>
              <w:szCs w:val="24"/>
            </w:rPr>
            <w:instrText xml:space="preserve"> PAGEREF _Toc7384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36"/>
            <w:tabs>
              <w:tab w:val="right" w:leader="dot" w:pos="8306"/>
            </w:tabs>
            <w:rPr>
              <w:b/>
              <w:sz w:val="24"/>
              <w:szCs w:val="24"/>
            </w:rPr>
          </w:pPr>
          <w:r>
            <w:rPr>
              <w:b/>
              <w:sz w:val="24"/>
              <w:szCs w:val="24"/>
            </w:rPr>
            <w:fldChar w:fldCharType="begin"/>
          </w:r>
          <w:r>
            <w:rPr>
              <w:b/>
              <w:sz w:val="24"/>
              <w:szCs w:val="24"/>
            </w:rPr>
            <w:instrText xml:space="preserve"> HYPERLINK \l _Toc16632 </w:instrText>
          </w:r>
          <w:r>
            <w:rPr>
              <w:b/>
              <w:sz w:val="24"/>
              <w:szCs w:val="24"/>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2022年度</w:t>
          </w:r>
          <w:r>
            <w:rPr>
              <w:rFonts w:hint="eastAsia" w:ascii="黑体" w:hAnsi="黑体" w:eastAsia="黑体"/>
              <w:b/>
              <w:bCs/>
              <w:sz w:val="24"/>
              <w:szCs w:val="24"/>
              <w:highlight w:val="none"/>
            </w:rPr>
            <w:t>部门决算情况说明</w:t>
          </w:r>
          <w:r>
            <w:rPr>
              <w:b/>
              <w:sz w:val="24"/>
              <w:szCs w:val="24"/>
            </w:rPr>
            <w:tab/>
          </w:r>
          <w:r>
            <w:rPr>
              <w:b/>
              <w:sz w:val="24"/>
              <w:szCs w:val="24"/>
            </w:rPr>
            <w:fldChar w:fldCharType="begin"/>
          </w:r>
          <w:r>
            <w:rPr>
              <w:b/>
              <w:sz w:val="24"/>
              <w:szCs w:val="24"/>
            </w:rPr>
            <w:instrText xml:space="preserve"> PAGEREF _Toc16632 \h </w:instrText>
          </w:r>
          <w:r>
            <w:rPr>
              <w:b/>
              <w:sz w:val="24"/>
              <w:szCs w:val="24"/>
            </w:rPr>
            <w:fldChar w:fldCharType="separate"/>
          </w:r>
          <w:r>
            <w:rPr>
              <w:b/>
              <w:sz w:val="24"/>
              <w:szCs w:val="24"/>
            </w:rPr>
            <w:t>5</w:t>
          </w:r>
          <w:r>
            <w:rPr>
              <w:b/>
              <w:sz w:val="24"/>
              <w:szCs w:val="24"/>
            </w:rPr>
            <w:fldChar w:fldCharType="end"/>
          </w:r>
          <w:r>
            <w:rPr>
              <w:b/>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_Toc31518 </w:instrText>
          </w:r>
          <w:r>
            <w:rPr>
              <w:sz w:val="24"/>
              <w:szCs w:val="24"/>
            </w:rPr>
            <w:fldChar w:fldCharType="separate"/>
          </w:r>
          <w:r>
            <w:rPr>
              <w:rFonts w:hint="default" w:ascii="黑体" w:hAnsi="黑体" w:eastAsia="黑体"/>
              <w:sz w:val="24"/>
              <w:szCs w:val="24"/>
            </w:rPr>
            <w:t xml:space="preserve">一、 </w:t>
          </w:r>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_Toc31518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_Toc11591 </w:instrText>
          </w:r>
          <w:r>
            <w:rPr>
              <w:sz w:val="24"/>
              <w:szCs w:val="24"/>
            </w:rPr>
            <w:fldChar w:fldCharType="separate"/>
          </w:r>
          <w:r>
            <w:rPr>
              <w:rFonts w:hint="default" w:ascii="黑体" w:hAnsi="黑体" w:eastAsia="黑体"/>
              <w:sz w:val="24"/>
              <w:szCs w:val="24"/>
            </w:rPr>
            <w:t xml:space="preserve">二、 </w:t>
          </w:r>
          <w:r>
            <w:rPr>
              <w:rFonts w:hint="eastAsia" w:ascii="黑体" w:hAnsi="黑体" w:eastAsia="黑体"/>
              <w:sz w:val="24"/>
              <w:szCs w:val="24"/>
              <w:highlight w:val="none"/>
            </w:rPr>
            <w:t>收入决算情况说明</w:t>
          </w:r>
          <w:r>
            <w:rPr>
              <w:sz w:val="24"/>
              <w:szCs w:val="24"/>
            </w:rPr>
            <w:tab/>
          </w:r>
          <w:r>
            <w:rPr>
              <w:sz w:val="24"/>
              <w:szCs w:val="24"/>
            </w:rPr>
            <w:fldChar w:fldCharType="begin"/>
          </w:r>
          <w:r>
            <w:rPr>
              <w:sz w:val="24"/>
              <w:szCs w:val="24"/>
            </w:rPr>
            <w:instrText xml:space="preserve"> PAGEREF _Toc11591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_Toc10179 </w:instrText>
          </w:r>
          <w:r>
            <w:rPr>
              <w:sz w:val="24"/>
              <w:szCs w:val="24"/>
            </w:rPr>
            <w:fldChar w:fldCharType="separate"/>
          </w:r>
          <w:r>
            <w:rPr>
              <w:rFonts w:hint="default" w:ascii="黑体" w:hAnsi="黑体" w:eastAsia="黑体"/>
              <w:sz w:val="24"/>
              <w:szCs w:val="24"/>
            </w:rPr>
            <w:t xml:space="preserve">三、 </w:t>
          </w:r>
          <w:r>
            <w:rPr>
              <w:rFonts w:hint="eastAsia" w:ascii="黑体" w:hAnsi="黑体"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_Toc10179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_Toc2085 </w:instrText>
          </w:r>
          <w:r>
            <w:rPr>
              <w:sz w:val="24"/>
              <w:szCs w:val="24"/>
            </w:rPr>
            <w:fldChar w:fldCharType="separate"/>
          </w:r>
          <w:r>
            <w:rPr>
              <w:rFonts w:hint="eastAsia" w:ascii="黑体" w:hAnsi="黑体"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_Toc2085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_Toc152 </w:instrText>
          </w:r>
          <w:r>
            <w:rPr>
              <w:sz w:val="24"/>
              <w:szCs w:val="24"/>
            </w:rPr>
            <w:fldChar w:fldCharType="separate"/>
          </w:r>
          <w:r>
            <w:rPr>
              <w:rFonts w:hint="eastAsia" w:ascii="黑体" w:hAnsi="黑体"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_Toc152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_Toc23098 </w:instrText>
          </w:r>
          <w:r>
            <w:rPr>
              <w:sz w:val="24"/>
              <w:szCs w:val="24"/>
            </w:rPr>
            <w:fldChar w:fldCharType="separate"/>
          </w:r>
          <w:r>
            <w:rPr>
              <w:rFonts w:hint="eastAsia" w:ascii="黑体" w:eastAsia="黑体"/>
              <w:sz w:val="24"/>
              <w:szCs w:val="24"/>
              <w:highlight w:val="none"/>
            </w:rPr>
            <w:t>六、</w:t>
          </w:r>
          <w:r>
            <w:rPr>
              <w:rFonts w:hint="eastAsia" w:ascii="黑体" w:hAnsi="黑体" w:eastAsia="黑体"/>
              <w:sz w:val="24"/>
              <w:szCs w:val="24"/>
              <w:highlight w:val="none"/>
            </w:rPr>
            <w:t>一般公共预算财政拨款基本支出决算情况说明</w:t>
          </w:r>
          <w:r>
            <w:rPr>
              <w:sz w:val="24"/>
              <w:szCs w:val="24"/>
            </w:rPr>
            <w:tab/>
          </w:r>
          <w:r>
            <w:rPr>
              <w:sz w:val="24"/>
              <w:szCs w:val="24"/>
            </w:rPr>
            <w:fldChar w:fldCharType="begin"/>
          </w:r>
          <w:r>
            <w:rPr>
              <w:sz w:val="24"/>
              <w:szCs w:val="24"/>
            </w:rPr>
            <w:instrText xml:space="preserve"> PAGEREF _Toc23098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_Toc3671 </w:instrText>
          </w:r>
          <w:r>
            <w:rPr>
              <w:sz w:val="24"/>
              <w:szCs w:val="24"/>
            </w:rPr>
            <w:fldChar w:fldCharType="separate"/>
          </w:r>
          <w:r>
            <w:rPr>
              <w:rFonts w:hint="eastAsia" w:ascii="黑体" w:eastAsia="黑体"/>
              <w:sz w:val="24"/>
              <w:szCs w:val="24"/>
              <w:highlight w:val="none"/>
            </w:rPr>
            <w:t>七、</w:t>
          </w:r>
          <w:r>
            <w:rPr>
              <w:rFonts w:hint="eastAsia" w:ascii="黑体" w:hAnsi="黑体" w:eastAsia="黑体"/>
              <w:sz w:val="24"/>
              <w:szCs w:val="24"/>
              <w:highlight w:val="none"/>
            </w:rPr>
            <w:t>财政拨款“三公”经费支出决算情况说明</w:t>
          </w:r>
          <w:r>
            <w:rPr>
              <w:sz w:val="24"/>
              <w:szCs w:val="24"/>
            </w:rPr>
            <w:tab/>
          </w:r>
          <w:r>
            <w:rPr>
              <w:sz w:val="24"/>
              <w:szCs w:val="24"/>
            </w:rPr>
            <w:fldChar w:fldCharType="begin"/>
          </w:r>
          <w:r>
            <w:rPr>
              <w:sz w:val="24"/>
              <w:szCs w:val="24"/>
            </w:rPr>
            <w:instrText xml:space="preserve"> PAGEREF _Toc3671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_Toc20775 </w:instrText>
          </w:r>
          <w:r>
            <w:rPr>
              <w:sz w:val="24"/>
              <w:szCs w:val="24"/>
            </w:rPr>
            <w:fldChar w:fldCharType="separate"/>
          </w:r>
          <w:r>
            <w:rPr>
              <w:rFonts w:hint="eastAsia" w:ascii="黑体" w:eastAsia="黑体"/>
              <w:sz w:val="24"/>
              <w:szCs w:val="24"/>
              <w:highlight w:val="none"/>
            </w:rPr>
            <w:t>八、</w:t>
          </w:r>
          <w:r>
            <w:rPr>
              <w:rFonts w:hint="eastAsia" w:ascii="黑体" w:hAnsi="黑体" w:eastAsia="黑体"/>
              <w:sz w:val="24"/>
              <w:szCs w:val="24"/>
              <w:highlight w:val="none"/>
            </w:rPr>
            <w:t>政府性基金预算支出决算情况说明</w:t>
          </w:r>
          <w:r>
            <w:rPr>
              <w:sz w:val="24"/>
              <w:szCs w:val="24"/>
            </w:rPr>
            <w:tab/>
          </w:r>
          <w:r>
            <w:rPr>
              <w:sz w:val="24"/>
              <w:szCs w:val="24"/>
            </w:rPr>
            <w:fldChar w:fldCharType="begin"/>
          </w:r>
          <w:r>
            <w:rPr>
              <w:sz w:val="24"/>
              <w:szCs w:val="24"/>
            </w:rPr>
            <w:instrText xml:space="preserve"> PAGEREF _Toc20775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_Toc17583 </w:instrText>
          </w:r>
          <w:r>
            <w:rPr>
              <w:sz w:val="24"/>
              <w:szCs w:val="24"/>
            </w:rPr>
            <w:fldChar w:fldCharType="separate"/>
          </w:r>
          <w:r>
            <w:rPr>
              <w:rFonts w:hint="eastAsia" w:ascii="黑体" w:hAnsi="黑体" w:eastAsia="黑体"/>
              <w:sz w:val="24"/>
              <w:szCs w:val="24"/>
            </w:rPr>
            <w:t xml:space="preserve">九、 </w:t>
          </w:r>
          <w:r>
            <w:rPr>
              <w:rFonts w:hint="eastAsia" w:ascii="黑体" w:hAnsi="黑体"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_Toc17583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_Toc27100 </w:instrText>
          </w:r>
          <w:r>
            <w:rPr>
              <w:sz w:val="24"/>
              <w:szCs w:val="24"/>
            </w:rPr>
            <w:fldChar w:fldCharType="separate"/>
          </w:r>
          <w:r>
            <w:rPr>
              <w:rFonts w:hint="eastAsia" w:ascii="黑体" w:hAnsi="黑体" w:eastAsia="黑体"/>
              <w:sz w:val="24"/>
              <w:szCs w:val="24"/>
            </w:rPr>
            <w:t xml:space="preserve">十、 </w:t>
          </w:r>
          <w:r>
            <w:rPr>
              <w:rFonts w:hint="eastAsia" w:ascii="黑体" w:hAnsi="黑体"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_Toc27100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36"/>
            <w:tabs>
              <w:tab w:val="right" w:leader="dot" w:pos="8306"/>
            </w:tabs>
            <w:rPr>
              <w:b/>
              <w:sz w:val="24"/>
              <w:szCs w:val="24"/>
            </w:rPr>
          </w:pPr>
          <w:r>
            <w:rPr>
              <w:b/>
              <w:sz w:val="24"/>
              <w:szCs w:val="24"/>
            </w:rPr>
            <w:fldChar w:fldCharType="begin"/>
          </w:r>
          <w:r>
            <w:rPr>
              <w:b/>
              <w:sz w:val="24"/>
              <w:szCs w:val="24"/>
            </w:rPr>
            <w:instrText xml:space="preserve"> HYPERLINK \l _Toc8183 </w:instrText>
          </w:r>
          <w:r>
            <w:rPr>
              <w:b/>
              <w:sz w:val="24"/>
              <w:szCs w:val="24"/>
            </w:rPr>
            <w:fldChar w:fldCharType="separate"/>
          </w:r>
          <w:r>
            <w:rPr>
              <w:rFonts w:hint="eastAsia" w:ascii="黑体" w:hAnsi="黑体" w:eastAsia="黑体"/>
              <w:b/>
              <w:sz w:val="24"/>
              <w:szCs w:val="24"/>
            </w:rPr>
            <w:t xml:space="preserve">第三部分 </w:t>
          </w:r>
          <w:r>
            <w:rPr>
              <w:rFonts w:hint="eastAsia" w:ascii="黑体" w:hAnsi="黑体"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_Toc8183 \h </w:instrText>
          </w:r>
          <w:r>
            <w:rPr>
              <w:b/>
              <w:sz w:val="24"/>
              <w:szCs w:val="24"/>
            </w:rPr>
            <w:fldChar w:fldCharType="separate"/>
          </w:r>
          <w:r>
            <w:rPr>
              <w:b/>
              <w:sz w:val="24"/>
              <w:szCs w:val="24"/>
            </w:rPr>
            <w:t>15</w:t>
          </w:r>
          <w:r>
            <w:rPr>
              <w:b/>
              <w:sz w:val="24"/>
              <w:szCs w:val="24"/>
            </w:rPr>
            <w:fldChar w:fldCharType="end"/>
          </w:r>
          <w:r>
            <w:rPr>
              <w:b/>
              <w:sz w:val="24"/>
              <w:szCs w:val="24"/>
            </w:rPr>
            <w:fldChar w:fldCharType="end"/>
          </w:r>
        </w:p>
        <w:p>
          <w:pPr>
            <w:pStyle w:val="36"/>
            <w:tabs>
              <w:tab w:val="right" w:leader="dot" w:pos="8306"/>
            </w:tabs>
            <w:rPr>
              <w:b/>
              <w:sz w:val="24"/>
              <w:szCs w:val="24"/>
            </w:rPr>
          </w:pPr>
          <w:r>
            <w:rPr>
              <w:b/>
              <w:sz w:val="24"/>
              <w:szCs w:val="24"/>
            </w:rPr>
            <w:fldChar w:fldCharType="begin"/>
          </w:r>
          <w:r>
            <w:rPr>
              <w:b/>
              <w:sz w:val="24"/>
              <w:szCs w:val="24"/>
            </w:rPr>
            <w:instrText xml:space="preserve"> HYPERLINK \l _Toc24046 </w:instrText>
          </w:r>
          <w:r>
            <w:rPr>
              <w:b/>
              <w:sz w:val="24"/>
              <w:szCs w:val="24"/>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_Toc24046 \h </w:instrText>
          </w:r>
          <w:r>
            <w:rPr>
              <w:b/>
              <w:sz w:val="24"/>
              <w:szCs w:val="24"/>
            </w:rPr>
            <w:fldChar w:fldCharType="separate"/>
          </w:r>
          <w:r>
            <w:rPr>
              <w:b/>
              <w:sz w:val="24"/>
              <w:szCs w:val="24"/>
            </w:rPr>
            <w:t>18</w:t>
          </w:r>
          <w:r>
            <w:rPr>
              <w:b/>
              <w:sz w:val="24"/>
              <w:szCs w:val="24"/>
            </w:rPr>
            <w:fldChar w:fldCharType="end"/>
          </w:r>
          <w:r>
            <w:rPr>
              <w:b/>
              <w:sz w:val="24"/>
              <w:szCs w:val="24"/>
            </w:rPr>
            <w:fldChar w:fldCharType="end"/>
          </w:r>
        </w:p>
        <w:p>
          <w:pPr>
            <w:pStyle w:val="36"/>
            <w:tabs>
              <w:tab w:val="right" w:leader="dot" w:pos="8306"/>
            </w:tabs>
            <w:rPr>
              <w:b/>
              <w:sz w:val="24"/>
              <w:szCs w:val="24"/>
            </w:rPr>
          </w:pPr>
          <w:r>
            <w:rPr>
              <w:b/>
              <w:sz w:val="24"/>
              <w:szCs w:val="24"/>
            </w:rPr>
            <w:fldChar w:fldCharType="begin"/>
          </w:r>
          <w:r>
            <w:rPr>
              <w:b/>
              <w:sz w:val="24"/>
              <w:szCs w:val="24"/>
            </w:rPr>
            <w:instrText xml:space="preserve"> HYPERLINK \l _Toc29235 </w:instrText>
          </w:r>
          <w:r>
            <w:rPr>
              <w:b/>
              <w:sz w:val="24"/>
              <w:szCs w:val="24"/>
            </w:rPr>
            <w:fldChar w:fldCharType="separate"/>
          </w:r>
          <w:r>
            <w:rPr>
              <w:rFonts w:hint="eastAsia" w:ascii="黑体" w:hAnsi="黑体"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_Toc29235 \h </w:instrText>
          </w:r>
          <w:r>
            <w:rPr>
              <w:b/>
              <w:sz w:val="24"/>
              <w:szCs w:val="24"/>
            </w:rPr>
            <w:fldChar w:fldCharType="separate"/>
          </w:r>
          <w:r>
            <w:rPr>
              <w:b/>
              <w:sz w:val="24"/>
              <w:szCs w:val="24"/>
            </w:rPr>
            <w:t>33</w:t>
          </w:r>
          <w:r>
            <w:rPr>
              <w:b/>
              <w:sz w:val="24"/>
              <w:szCs w:val="24"/>
            </w:rPr>
            <w:fldChar w:fldCharType="end"/>
          </w:r>
          <w:r>
            <w:rPr>
              <w:b/>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_Toc19090 </w:instrText>
          </w:r>
          <w:r>
            <w:rPr>
              <w:sz w:val="24"/>
              <w:szCs w:val="24"/>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sz w:val="24"/>
              <w:szCs w:val="24"/>
            </w:rPr>
            <w:fldChar w:fldCharType="begin"/>
          </w:r>
          <w:r>
            <w:rPr>
              <w:sz w:val="24"/>
              <w:szCs w:val="24"/>
            </w:rPr>
            <w:instrText xml:space="preserve"> PAGEREF _Toc19090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_Toc18933 </w:instrText>
          </w:r>
          <w:r>
            <w:rPr>
              <w:sz w:val="24"/>
              <w:szCs w:val="24"/>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sz w:val="24"/>
              <w:szCs w:val="24"/>
            </w:rPr>
            <w:fldChar w:fldCharType="begin"/>
          </w:r>
          <w:r>
            <w:rPr>
              <w:sz w:val="24"/>
              <w:szCs w:val="24"/>
            </w:rPr>
            <w:instrText xml:space="preserve"> PAGEREF _Toc18933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_Toc25592 </w:instrText>
          </w:r>
          <w:r>
            <w:rPr>
              <w:sz w:val="24"/>
              <w:szCs w:val="24"/>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sz w:val="24"/>
              <w:szCs w:val="24"/>
            </w:rPr>
            <w:fldChar w:fldCharType="begin"/>
          </w:r>
          <w:r>
            <w:rPr>
              <w:sz w:val="24"/>
              <w:szCs w:val="24"/>
            </w:rPr>
            <w:instrText xml:space="preserve"> PAGEREF _Toc25592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_Toc30807 </w:instrText>
          </w:r>
          <w:r>
            <w:rPr>
              <w:sz w:val="24"/>
              <w:szCs w:val="24"/>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sz w:val="24"/>
              <w:szCs w:val="24"/>
            </w:rPr>
            <w:fldChar w:fldCharType="begin"/>
          </w:r>
          <w:r>
            <w:rPr>
              <w:sz w:val="24"/>
              <w:szCs w:val="24"/>
            </w:rPr>
            <w:instrText xml:space="preserve"> PAGEREF _Toc30807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_Toc21304 </w:instrText>
          </w:r>
          <w:r>
            <w:rPr>
              <w:sz w:val="24"/>
              <w:szCs w:val="24"/>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sz w:val="24"/>
              <w:szCs w:val="24"/>
            </w:rPr>
            <w:fldChar w:fldCharType="begin"/>
          </w:r>
          <w:r>
            <w:rPr>
              <w:sz w:val="24"/>
              <w:szCs w:val="24"/>
            </w:rPr>
            <w:instrText xml:space="preserve"> PAGEREF _Toc21304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_Toc32010 </w:instrText>
          </w:r>
          <w:r>
            <w:rPr>
              <w:sz w:val="24"/>
              <w:szCs w:val="24"/>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sz w:val="24"/>
              <w:szCs w:val="24"/>
            </w:rPr>
            <w:fldChar w:fldCharType="begin"/>
          </w:r>
          <w:r>
            <w:rPr>
              <w:sz w:val="24"/>
              <w:szCs w:val="24"/>
            </w:rPr>
            <w:instrText xml:space="preserve"> PAGEREF _Toc32010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_Toc2273 </w:instrText>
          </w:r>
          <w:r>
            <w:rPr>
              <w:sz w:val="24"/>
              <w:szCs w:val="24"/>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sz w:val="24"/>
              <w:szCs w:val="24"/>
            </w:rPr>
            <w:fldChar w:fldCharType="begin"/>
          </w:r>
          <w:r>
            <w:rPr>
              <w:sz w:val="24"/>
              <w:szCs w:val="24"/>
            </w:rPr>
            <w:instrText xml:space="preserve"> PAGEREF _Toc2273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_Toc24423 </w:instrText>
          </w:r>
          <w:r>
            <w:rPr>
              <w:sz w:val="24"/>
              <w:szCs w:val="24"/>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sz w:val="24"/>
              <w:szCs w:val="24"/>
            </w:rPr>
            <w:fldChar w:fldCharType="begin"/>
          </w:r>
          <w:r>
            <w:rPr>
              <w:sz w:val="24"/>
              <w:szCs w:val="24"/>
            </w:rPr>
            <w:instrText xml:space="preserve"> PAGEREF _Toc24423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_Toc27623 </w:instrText>
          </w:r>
          <w:r>
            <w:rPr>
              <w:sz w:val="24"/>
              <w:szCs w:val="24"/>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sz w:val="24"/>
              <w:szCs w:val="24"/>
            </w:rPr>
            <w:fldChar w:fldCharType="begin"/>
          </w:r>
          <w:r>
            <w:rPr>
              <w:sz w:val="24"/>
              <w:szCs w:val="24"/>
            </w:rPr>
            <w:instrText xml:space="preserve"> PAGEREF _Toc27623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_Toc23456 </w:instrText>
          </w:r>
          <w:r>
            <w:rPr>
              <w:sz w:val="24"/>
              <w:szCs w:val="24"/>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sz w:val="24"/>
              <w:szCs w:val="24"/>
            </w:rPr>
            <w:fldChar w:fldCharType="begin"/>
          </w:r>
          <w:r>
            <w:rPr>
              <w:sz w:val="24"/>
              <w:szCs w:val="24"/>
            </w:rPr>
            <w:instrText xml:space="preserve"> PAGEREF _Toc23456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_Toc15484 </w:instrText>
          </w:r>
          <w:r>
            <w:rPr>
              <w:sz w:val="24"/>
              <w:szCs w:val="24"/>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sz w:val="24"/>
              <w:szCs w:val="24"/>
            </w:rPr>
            <w:fldChar w:fldCharType="begin"/>
          </w:r>
          <w:r>
            <w:rPr>
              <w:sz w:val="24"/>
              <w:szCs w:val="24"/>
            </w:rPr>
            <w:instrText xml:space="preserve"> PAGEREF _Toc15484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_Toc31424 </w:instrText>
          </w:r>
          <w:r>
            <w:rPr>
              <w:sz w:val="24"/>
              <w:szCs w:val="24"/>
            </w:rPr>
            <w:fldChar w:fldCharType="separate"/>
          </w:r>
          <w:r>
            <w:rPr>
              <w:rFonts w:hint="eastAsia" w:ascii="仿宋" w:hAnsi="仿宋" w:eastAsia="仿宋"/>
              <w:bCs w:val="0"/>
              <w:sz w:val="24"/>
              <w:szCs w:val="24"/>
              <w:highlight w:val="none"/>
            </w:rPr>
            <w:t>十二、</w:t>
          </w:r>
          <w:r>
            <w:rPr>
              <w:rFonts w:hint="eastAsia" w:ascii="仿宋" w:hAnsi="仿宋" w:eastAsia="仿宋"/>
              <w:bCs w:val="0"/>
              <w:sz w:val="24"/>
              <w:szCs w:val="24"/>
              <w:highlight w:val="none"/>
              <w:lang w:eastAsia="zh-CN"/>
            </w:rPr>
            <w:t>国有资本经营预算财政拨款支出决算表</w:t>
          </w:r>
          <w:r>
            <w:rPr>
              <w:sz w:val="24"/>
              <w:szCs w:val="24"/>
            </w:rPr>
            <w:tab/>
          </w:r>
          <w:r>
            <w:rPr>
              <w:sz w:val="24"/>
              <w:szCs w:val="24"/>
            </w:rPr>
            <w:fldChar w:fldCharType="begin"/>
          </w:r>
          <w:r>
            <w:rPr>
              <w:sz w:val="24"/>
              <w:szCs w:val="24"/>
            </w:rPr>
            <w:instrText xml:space="preserve"> PAGEREF _Toc31424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_Toc2711 </w:instrText>
          </w:r>
          <w:r>
            <w:rPr>
              <w:sz w:val="24"/>
              <w:szCs w:val="24"/>
            </w:rPr>
            <w:fldChar w:fldCharType="separate"/>
          </w:r>
          <w:r>
            <w:rPr>
              <w:rFonts w:hint="eastAsia" w:ascii="仿宋" w:hAnsi="仿宋" w:eastAsia="仿宋"/>
              <w:bCs w:val="0"/>
              <w:sz w:val="24"/>
              <w:szCs w:val="24"/>
              <w:highlight w:val="none"/>
            </w:rPr>
            <w:t>十三、</w:t>
          </w:r>
          <w:r>
            <w:rPr>
              <w:rFonts w:hint="eastAsia" w:ascii="仿宋" w:hAnsi="仿宋" w:eastAsia="仿宋"/>
              <w:bCs w:val="0"/>
              <w:sz w:val="24"/>
              <w:szCs w:val="24"/>
              <w:highlight w:val="none"/>
              <w:lang w:eastAsia="zh-CN"/>
            </w:rPr>
            <w:t>财政拨款“三公”经费支出决算表</w:t>
          </w:r>
          <w:r>
            <w:rPr>
              <w:sz w:val="24"/>
              <w:szCs w:val="24"/>
            </w:rPr>
            <w:tab/>
          </w:r>
          <w:r>
            <w:rPr>
              <w:sz w:val="24"/>
              <w:szCs w:val="24"/>
            </w:rPr>
            <w:fldChar w:fldCharType="begin"/>
          </w:r>
          <w:r>
            <w:rPr>
              <w:sz w:val="24"/>
              <w:szCs w:val="24"/>
            </w:rPr>
            <w:instrText xml:space="preserve"> PAGEREF _Toc2711 \h </w:instrText>
          </w:r>
          <w:r>
            <w:rPr>
              <w:sz w:val="24"/>
              <w:szCs w:val="24"/>
            </w:rPr>
            <w:fldChar w:fldCharType="separate"/>
          </w:r>
          <w:r>
            <w:rPr>
              <w:sz w:val="24"/>
              <w:szCs w:val="24"/>
            </w:rPr>
            <w:t>33</w:t>
          </w:r>
          <w:r>
            <w:rPr>
              <w:sz w:val="24"/>
              <w:szCs w:val="24"/>
            </w:rPr>
            <w:fldChar w:fldCharType="end"/>
          </w:r>
          <w:r>
            <w:rPr>
              <w:sz w:val="24"/>
              <w:szCs w:val="24"/>
            </w:rPr>
            <w:fldChar w:fldCharType="end"/>
          </w:r>
        </w:p>
        <w:p>
          <w:r>
            <w:rPr>
              <w:b/>
              <w:sz w:val="24"/>
              <w:szCs w:val="24"/>
            </w:rPr>
            <w:fldChar w:fldCharType="end"/>
          </w:r>
        </w:p>
      </w:sdtContent>
    </w:sdt>
    <w:p>
      <w:pPr>
        <w:pStyle w:val="4"/>
        <w:jc w:val="center"/>
        <w:rPr>
          <w:rFonts w:hint="eastAsia" w:ascii="黑体" w:hAnsi="黑体" w:eastAsia="黑体"/>
          <w:b w:val="0"/>
          <w:color w:val="auto"/>
          <w:highlight w:val="none"/>
        </w:rPr>
      </w:pPr>
      <w:bookmarkStart w:id="16" w:name="_Toc15377196"/>
      <w:bookmarkStart w:id="17" w:name="_Toc15396599"/>
      <w:bookmarkStart w:id="18" w:name="_Toc7984"/>
    </w:p>
    <w:p>
      <w:pPr>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3"/>
        <w:rPr>
          <w:rFonts w:hint="eastAsia"/>
        </w:rPr>
      </w:pPr>
    </w:p>
    <w:p>
      <w:pPr>
        <w:pStyle w:val="4"/>
        <w:jc w:val="center"/>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2"/>
        <w:rPr>
          <w:rFonts w:hint="eastAsia"/>
        </w:rPr>
      </w:pPr>
    </w:p>
    <w:p>
      <w:pPr>
        <w:pStyle w:val="4"/>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16"/>
      <w:bookmarkEnd w:id="17"/>
      <w:bookmarkEnd w:id="18"/>
    </w:p>
    <w:p>
      <w:pPr>
        <w:pStyle w:val="5"/>
        <w:numPr>
          <w:ilvl w:val="0"/>
          <w:numId w:val="1"/>
        </w:numPr>
        <w:rPr>
          <w:rFonts w:hint="eastAsia" w:ascii="黑体" w:hAnsi="黑体" w:eastAsia="黑体"/>
          <w:b w:val="0"/>
          <w:color w:val="auto"/>
          <w:highlight w:val="none"/>
          <w:lang w:eastAsia="zh-CN"/>
        </w:rPr>
      </w:pPr>
      <w:bookmarkStart w:id="19" w:name="_Toc25104"/>
      <w:r>
        <w:rPr>
          <w:rFonts w:hint="eastAsia" w:ascii="黑体" w:hAnsi="黑体" w:eastAsia="黑体"/>
          <w:b w:val="0"/>
          <w:color w:val="auto"/>
          <w:highlight w:val="none"/>
          <w:lang w:eastAsia="zh-CN"/>
        </w:rPr>
        <w:t>部门职责</w:t>
      </w:r>
      <w:bookmarkEnd w:id="19"/>
    </w:p>
    <w:p>
      <w:pPr>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区委巡察办负责</w:t>
      </w:r>
      <w:r>
        <w:rPr>
          <w:rFonts w:ascii="仿宋_GB2312" w:hAnsi="仿宋" w:eastAsia="仿宋_GB2312" w:cs="仿宋"/>
          <w:bCs/>
          <w:color w:val="000000"/>
          <w:sz w:val="32"/>
          <w:szCs w:val="32"/>
        </w:rPr>
        <w:t>向区委和区委巡察工作领导小组报告工作情况，传达贯彻</w:t>
      </w:r>
      <w:r>
        <w:rPr>
          <w:rFonts w:hint="eastAsia" w:ascii="仿宋_GB2312" w:hAnsi="仿宋" w:eastAsia="仿宋_GB2312" w:cs="仿宋"/>
          <w:bCs/>
          <w:color w:val="000000"/>
          <w:sz w:val="32"/>
          <w:szCs w:val="32"/>
        </w:rPr>
        <w:t>上级巡视巡察机构和</w:t>
      </w:r>
      <w:r>
        <w:rPr>
          <w:rFonts w:ascii="仿宋_GB2312" w:hAnsi="仿宋" w:eastAsia="仿宋_GB2312" w:cs="仿宋"/>
          <w:bCs/>
          <w:color w:val="000000"/>
          <w:sz w:val="32"/>
          <w:szCs w:val="32"/>
        </w:rPr>
        <w:t>区委巡察工作领导小组的决策和部署；统筹、协调、指导巡察组开展工作；承担政策研究、制度建设等工作；对区委和区委巡察工作领导小组决定的事项进行督办；配合区纪委、区委组织部及有关部门对巡察工作人员进行培训、考核、监督和管理；健全与纪检监察机关、政法机关和组织、审计、信访等部门的联合机制，负责与其沟通衔接；完成区委和区委巡察工作领导小组交办的其他任务。区委各巡察组</w:t>
      </w:r>
      <w:r>
        <w:rPr>
          <w:rFonts w:hint="eastAsia" w:ascii="仿宋_GB2312" w:hAnsi="仿宋" w:eastAsia="仿宋_GB2312" w:cs="仿宋"/>
          <w:bCs/>
          <w:color w:val="000000"/>
          <w:sz w:val="32"/>
          <w:szCs w:val="32"/>
        </w:rPr>
        <w:t>向区委巡察工作领导小组负责并报告工作；</w:t>
      </w:r>
      <w:r>
        <w:rPr>
          <w:rFonts w:ascii="仿宋_GB2312" w:hAnsi="仿宋" w:eastAsia="仿宋_GB2312" w:cs="仿宋"/>
          <w:bCs/>
          <w:color w:val="000000"/>
          <w:sz w:val="32"/>
          <w:szCs w:val="32"/>
        </w:rPr>
        <w:t>根据巡察工作计划开展巡察工作</w:t>
      </w:r>
      <w:r>
        <w:rPr>
          <w:rFonts w:hint="eastAsia" w:ascii="仿宋_GB2312" w:hAnsi="仿宋" w:eastAsia="仿宋_GB2312" w:cs="仿宋"/>
          <w:bCs/>
          <w:color w:val="000000"/>
          <w:sz w:val="32"/>
          <w:szCs w:val="32"/>
        </w:rPr>
        <w:t>；办理区委巡察工作领导小组交办的其他事项。</w:t>
      </w:r>
    </w:p>
    <w:p>
      <w:pPr>
        <w:pStyle w:val="5"/>
        <w:rPr>
          <w:rStyle w:val="30"/>
          <w:b w:val="0"/>
          <w:bCs w:val="0"/>
          <w:color w:val="auto"/>
          <w:highlight w:val="none"/>
        </w:rPr>
      </w:pPr>
      <w:bookmarkStart w:id="20" w:name="_Toc15377200"/>
      <w:bookmarkStart w:id="21" w:name="_Toc7384"/>
      <w:bookmarkStart w:id="22"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20"/>
      <w:bookmarkEnd w:id="21"/>
      <w:bookmarkEnd w:id="22"/>
    </w:p>
    <w:p>
      <w:pPr>
        <w:ind w:firstLine="640" w:firstLineChars="200"/>
        <w:rPr>
          <w:rFonts w:ascii="仿宋" w:hAnsi="仿宋" w:eastAsia="仿宋"/>
          <w:color w:val="auto"/>
          <w:sz w:val="32"/>
          <w:szCs w:val="32"/>
          <w:highlight w:val="none"/>
        </w:rPr>
      </w:pPr>
      <w:r>
        <w:rPr>
          <w:rFonts w:hint="eastAsia" w:ascii="仿宋_GB2312" w:hAnsi="仿宋" w:eastAsia="仿宋_GB2312" w:cs="仿宋"/>
          <w:bCs/>
          <w:color w:val="000000"/>
          <w:sz w:val="32"/>
          <w:szCs w:val="32"/>
        </w:rPr>
        <w:t>区委巡察办</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0个</w:t>
      </w:r>
      <w:r>
        <w:rPr>
          <w:rFonts w:hint="eastAsia" w:ascii="仿宋" w:hAnsi="仿宋" w:eastAsia="仿宋"/>
          <w:color w:val="auto"/>
          <w:sz w:val="32"/>
          <w:szCs w:val="32"/>
          <w:highlight w:val="none"/>
        </w:rPr>
        <w:t>。</w:t>
      </w:r>
    </w:p>
    <w:p>
      <w:pPr>
        <w:widowControl/>
        <w:jc w:val="left"/>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Pr>
        <w:pStyle w:val="3"/>
      </w:pPr>
    </w:p>
    <w:p>
      <w:pPr>
        <w:pStyle w:val="4"/>
        <w:ind w:right="440"/>
        <w:jc w:val="center"/>
        <w:rPr>
          <w:rStyle w:val="29"/>
          <w:rFonts w:ascii="黑体" w:hAnsi="黑体" w:eastAsia="黑体"/>
          <w:b w:val="0"/>
          <w:bCs/>
          <w:color w:val="auto"/>
          <w:highlight w:val="none"/>
        </w:rPr>
      </w:pPr>
      <w:bookmarkStart w:id="23" w:name="_Toc15377204"/>
      <w:bookmarkStart w:id="24" w:name="_Toc16632"/>
      <w:bookmarkStart w:id="25"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9"/>
          <w:rFonts w:hint="eastAsia" w:ascii="黑体" w:hAnsi="黑体" w:eastAsia="黑体"/>
          <w:b w:val="0"/>
          <w:bCs/>
          <w:color w:val="auto"/>
          <w:highlight w:val="none"/>
        </w:rPr>
        <w:t>部门决算情况说明</w:t>
      </w:r>
      <w:bookmarkEnd w:id="23"/>
      <w:bookmarkEnd w:id="24"/>
      <w:bookmarkEnd w:id="25"/>
    </w:p>
    <w:p>
      <w:pPr>
        <w:rPr>
          <w:color w:val="auto"/>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6" w:name="_Toc15377205"/>
      <w:bookmarkStart w:id="27" w:name="_Toc15396603"/>
      <w:bookmarkStart w:id="28" w:name="_Toc31518"/>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26"/>
      <w:bookmarkEnd w:id="27"/>
      <w:bookmarkEnd w:id="28"/>
    </w:p>
    <w:p>
      <w:pPr>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年度收入总计326.25万元、支出总计326.25万元。与202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年相比，收入总计增加</w:t>
      </w:r>
      <w:r>
        <w:rPr>
          <w:rFonts w:hint="eastAsia" w:ascii="仿宋_GB2312" w:hAnsi="仿宋_GB2312" w:eastAsia="仿宋_GB2312" w:cs="仿宋_GB2312"/>
          <w:color w:val="auto"/>
          <w:sz w:val="32"/>
          <w:szCs w:val="32"/>
          <w:highlight w:val="none"/>
          <w:lang w:val="en-US" w:eastAsia="zh-CN"/>
        </w:rPr>
        <w:t>24.96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8.28</w:t>
      </w:r>
      <w:r>
        <w:rPr>
          <w:rFonts w:hint="eastAsia" w:ascii="仿宋_GB2312" w:hAnsi="仿宋_GB2312" w:eastAsia="仿宋_GB2312" w:cs="仿宋_GB2312"/>
          <w:color w:val="auto"/>
          <w:sz w:val="32"/>
          <w:szCs w:val="32"/>
          <w:highlight w:val="none"/>
        </w:rPr>
        <w:t>%；支出总计增加</w:t>
      </w:r>
      <w:r>
        <w:rPr>
          <w:rFonts w:hint="eastAsia" w:ascii="仿宋_GB2312" w:hAnsi="仿宋_GB2312" w:eastAsia="仿宋_GB2312" w:cs="仿宋_GB2312"/>
          <w:color w:val="auto"/>
          <w:sz w:val="32"/>
          <w:szCs w:val="32"/>
          <w:highlight w:val="none"/>
          <w:lang w:val="en-US" w:eastAsia="zh-CN"/>
        </w:rPr>
        <w:t>24.96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8.28</w:t>
      </w:r>
      <w:r>
        <w:rPr>
          <w:rFonts w:hint="eastAsia" w:ascii="仿宋_GB2312" w:hAnsi="仿宋_GB2312" w:eastAsia="仿宋_GB2312" w:cs="仿宋_GB2312"/>
          <w:color w:val="auto"/>
          <w:sz w:val="32"/>
          <w:szCs w:val="32"/>
          <w:highlight w:val="none"/>
        </w:rPr>
        <w:t>%。主要原因系本年度</w:t>
      </w:r>
      <w:r>
        <w:rPr>
          <w:rFonts w:hint="eastAsia" w:ascii="仿宋_GB2312" w:hAnsi="仿宋_GB2312" w:eastAsia="仿宋_GB2312" w:cs="仿宋_GB2312"/>
          <w:color w:val="auto"/>
          <w:sz w:val="32"/>
          <w:szCs w:val="32"/>
          <w:highlight w:val="none"/>
          <w:lang w:eastAsia="zh-CN"/>
        </w:rPr>
        <w:t>人员增加以及巡察专项项目后续开展</w:t>
      </w:r>
      <w:r>
        <w:rPr>
          <w:rFonts w:hint="eastAsia" w:ascii="仿宋_GB2312" w:hAnsi="仿宋_GB2312" w:eastAsia="仿宋_GB2312" w:cs="仿宋_GB2312"/>
          <w:color w:val="auto"/>
          <w:sz w:val="32"/>
          <w:szCs w:val="32"/>
          <w:highlight w:val="none"/>
        </w:rPr>
        <w:t>工作量</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
          <w:bCs/>
          <w:sz w:val="32"/>
          <w:szCs w:val="32"/>
          <w:lang w:eastAsia="zh-CN"/>
        </w:rPr>
      </w:pPr>
      <w: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9" w:name="_Toc15396604"/>
      <w:bookmarkStart w:id="30" w:name="_Toc11591"/>
      <w:bookmarkStart w:id="31" w:name="_Toc15377206"/>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9"/>
      <w:bookmarkEnd w:id="30"/>
      <w:bookmarkEnd w:id="31"/>
    </w:p>
    <w:p>
      <w:pPr>
        <w:spacing w:line="600" w:lineRule="exact"/>
        <w:ind w:firstLine="640" w:firstLineChars="200"/>
        <w:outlineLvl w:val="1"/>
        <w:rPr>
          <w:rFonts w:hint="eastAsia" w:ascii="仿宋_GB2312" w:hAnsi="仿宋_GB2312" w:eastAsia="仿宋_GB2312" w:cs="仿宋_GB2312"/>
          <w:sz w:val="32"/>
          <w:szCs w:val="32"/>
        </w:rPr>
      </w:pPr>
      <w:bookmarkStart w:id="32" w:name="_Toc14446"/>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bookmarkStart w:id="33" w:name="_Toc3723"/>
      <w:r>
        <w:rPr>
          <w:rFonts w:hint="eastAsia" w:ascii="仿宋_GB2312" w:hAnsi="仿宋_GB2312" w:eastAsia="仿宋_GB2312" w:cs="仿宋_GB2312"/>
          <w:sz w:val="32"/>
          <w:szCs w:val="32"/>
        </w:rPr>
        <w:t>年本年收入合计326.25万元，其中：一般公共预算财政拨款收入326.25万元，占100%；政府性基金预算财政拨款收入0万元，占0%；国有资本经营预算财政拨款收入0万元，占0%；上级补助收入0万元，占0%；事业收入0万元，占0%；经营收入0万元，占0%；附属单位上缴收入0万元，占0%；其他收入0万元，占0%。</w:t>
      </w:r>
      <w:bookmarkEnd w:id="32"/>
      <w:bookmarkEnd w:id="33"/>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仿宋" w:hAnsi="仿宋" w:eastAsia="仿宋"/>
          <w:color w:val="auto"/>
          <w:sz w:val="32"/>
          <w:szCs w:val="32"/>
          <w:highlight w:val="none"/>
        </w:rPr>
      </w:pPr>
      <w: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34" w:name="_Toc15396605"/>
      <w:bookmarkStart w:id="35" w:name="_Toc15377207"/>
      <w:bookmarkStart w:id="36" w:name="_Toc10179"/>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34"/>
      <w:bookmarkEnd w:id="35"/>
      <w:bookmarkEnd w:id="36"/>
    </w:p>
    <w:p>
      <w:pPr>
        <w:spacing w:line="600" w:lineRule="exact"/>
        <w:ind w:firstLine="640" w:firstLineChars="200"/>
        <w:outlineLvl w:val="1"/>
        <w:rPr>
          <w:rFonts w:hint="eastAsia" w:ascii="仿宋_GB2312" w:hAnsi="仿宋_GB2312" w:eastAsia="仿宋_GB2312" w:cs="仿宋_GB2312"/>
          <w:sz w:val="32"/>
          <w:szCs w:val="32"/>
        </w:rPr>
      </w:pPr>
      <w:bookmarkStart w:id="37" w:name="_Toc1620"/>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bookmarkStart w:id="38" w:name="_Toc7146"/>
      <w:r>
        <w:rPr>
          <w:rFonts w:hint="eastAsia" w:ascii="仿宋_GB2312" w:hAnsi="仿宋_GB2312" w:eastAsia="仿宋_GB2312" w:cs="仿宋_GB2312"/>
          <w:sz w:val="32"/>
          <w:szCs w:val="32"/>
        </w:rPr>
        <w:t>年本年支出合计326.25万元，其中：基本支出247.76万元，占7</w:t>
      </w:r>
      <w:r>
        <w:rPr>
          <w:rFonts w:hint="eastAsia" w:ascii="仿宋_GB2312" w:hAnsi="仿宋_GB2312" w:eastAsia="仿宋_GB2312" w:cs="仿宋_GB2312"/>
          <w:sz w:val="32"/>
          <w:szCs w:val="32"/>
          <w:lang w:val="en-US" w:eastAsia="zh-CN"/>
        </w:rPr>
        <w:t>5.94</w:t>
      </w:r>
      <w:r>
        <w:rPr>
          <w:rFonts w:hint="eastAsia" w:ascii="仿宋_GB2312" w:hAnsi="仿宋_GB2312" w:eastAsia="仿宋_GB2312" w:cs="仿宋_GB2312"/>
          <w:sz w:val="32"/>
          <w:szCs w:val="32"/>
        </w:rPr>
        <w:t>%；项目支出78.49万元，占2</w:t>
      </w:r>
      <w:r>
        <w:rPr>
          <w:rFonts w:hint="eastAsia" w:ascii="仿宋_GB2312" w:hAnsi="仿宋_GB2312" w:eastAsia="仿宋_GB2312" w:cs="仿宋_GB2312"/>
          <w:sz w:val="32"/>
          <w:szCs w:val="32"/>
          <w:lang w:val="en-US" w:eastAsia="zh-CN"/>
        </w:rPr>
        <w:t>4.06</w:t>
      </w:r>
      <w:r>
        <w:rPr>
          <w:rFonts w:hint="eastAsia" w:ascii="仿宋_GB2312" w:hAnsi="仿宋_GB2312" w:eastAsia="仿宋_GB2312" w:cs="仿宋_GB2312"/>
          <w:sz w:val="32"/>
          <w:szCs w:val="32"/>
        </w:rPr>
        <w:t>%；上缴上级支出0万元，占0%；经营支出0万元，占0%；对附属单位补助支出0万元，占0%。</w:t>
      </w:r>
      <w:bookmarkEnd w:id="37"/>
      <w:bookmarkEnd w:id="38"/>
    </w:p>
    <w:p>
      <w:pPr>
        <w:pStyle w:val="7"/>
      </w:pPr>
      <w:r>
        <w:drawing>
          <wp:inline distT="0" distB="0" distL="0" distR="0">
            <wp:extent cx="5274310" cy="3076575"/>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30"/>
          <w:rFonts w:ascii="黑体" w:hAnsi="黑体" w:eastAsia="黑体"/>
          <w:b w:val="0"/>
          <w:color w:val="auto"/>
          <w:highlight w:val="none"/>
        </w:rPr>
      </w:pPr>
      <w:bookmarkStart w:id="39" w:name="_Toc15396606"/>
      <w:bookmarkStart w:id="40" w:name="_Toc15377208"/>
      <w:bookmarkStart w:id="41" w:name="_Toc2085"/>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39"/>
      <w:bookmarkEnd w:id="40"/>
      <w:bookmarkEnd w:id="41"/>
    </w:p>
    <w:p>
      <w:pPr>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r>
        <w:rPr>
          <w:rFonts w:hint="eastAsia" w:ascii="仿宋_GB2312" w:hAnsi="仿宋_GB2312" w:eastAsia="仿宋_GB2312" w:cs="仿宋_GB2312"/>
          <w:color w:val="auto"/>
          <w:sz w:val="32"/>
          <w:szCs w:val="32"/>
          <w:highlight w:val="none"/>
        </w:rPr>
        <w:t>财政拨款</w:t>
      </w:r>
      <w:r>
        <w:rPr>
          <w:rFonts w:hint="eastAsia" w:ascii="仿宋_GB2312" w:hAnsi="仿宋_GB2312" w:eastAsia="仿宋_GB2312" w:cs="仿宋_GB2312"/>
          <w:sz w:val="32"/>
          <w:szCs w:val="32"/>
        </w:rPr>
        <w:t>收入总计326.25万元、</w:t>
      </w:r>
      <w:r>
        <w:rPr>
          <w:rFonts w:hint="eastAsia" w:ascii="仿宋_GB2312" w:hAnsi="仿宋_GB2312" w:eastAsia="仿宋_GB2312" w:cs="仿宋_GB2312"/>
          <w:color w:val="auto"/>
          <w:sz w:val="32"/>
          <w:szCs w:val="32"/>
          <w:highlight w:val="none"/>
        </w:rPr>
        <w:t>财政拨款</w:t>
      </w:r>
      <w:r>
        <w:rPr>
          <w:rFonts w:hint="eastAsia" w:ascii="仿宋_GB2312" w:hAnsi="仿宋_GB2312" w:eastAsia="仿宋_GB2312" w:cs="仿宋_GB2312"/>
          <w:sz w:val="32"/>
          <w:szCs w:val="32"/>
        </w:rPr>
        <w:t>支出总计326.25万元。与202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w:t>
      </w:r>
      <w:r>
        <w:rPr>
          <w:rFonts w:hint="eastAsia" w:ascii="仿宋_GB2312" w:hAnsi="仿宋_GB2312" w:eastAsia="仿宋_GB2312" w:cs="仿宋_GB2312"/>
          <w:color w:val="auto"/>
          <w:sz w:val="32"/>
          <w:szCs w:val="32"/>
          <w:highlight w:val="none"/>
        </w:rPr>
        <w:t>财政拨款</w:t>
      </w:r>
      <w:r>
        <w:rPr>
          <w:rFonts w:hint="eastAsia" w:ascii="仿宋_GB2312" w:hAnsi="仿宋_GB2312" w:eastAsia="仿宋_GB2312" w:cs="仿宋_GB2312"/>
          <w:sz w:val="32"/>
          <w:szCs w:val="32"/>
        </w:rPr>
        <w:t>收入总计</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24.96</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highlight w:val="none"/>
        </w:rPr>
        <w:t>增长</w:t>
      </w:r>
      <w:r>
        <w:rPr>
          <w:rFonts w:hint="eastAsia" w:ascii="仿宋_GB2312" w:hAnsi="仿宋_GB2312" w:eastAsia="仿宋_GB2312" w:cs="仿宋_GB2312"/>
          <w:color w:val="auto"/>
          <w:sz w:val="32"/>
          <w:szCs w:val="32"/>
          <w:highlight w:val="none"/>
          <w:lang w:val="en-US" w:eastAsia="zh-CN"/>
        </w:rPr>
        <w:t>8.28</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财政拨款</w:t>
      </w:r>
      <w:r>
        <w:rPr>
          <w:rFonts w:hint="eastAsia" w:ascii="仿宋_GB2312" w:hAnsi="仿宋_GB2312" w:eastAsia="仿宋_GB2312" w:cs="仿宋_GB2312"/>
          <w:sz w:val="32"/>
          <w:szCs w:val="32"/>
        </w:rPr>
        <w:t>支出总计</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24.96</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highlight w:val="none"/>
        </w:rPr>
        <w:t>增长</w:t>
      </w:r>
      <w:r>
        <w:rPr>
          <w:rFonts w:hint="eastAsia" w:ascii="仿宋_GB2312" w:hAnsi="仿宋_GB2312" w:eastAsia="仿宋_GB2312" w:cs="仿宋_GB2312"/>
          <w:color w:val="auto"/>
          <w:sz w:val="32"/>
          <w:szCs w:val="32"/>
          <w:highlight w:val="none"/>
          <w:lang w:val="en-US" w:eastAsia="zh-CN"/>
        </w:rPr>
        <w:t>8.28</w:t>
      </w:r>
      <w:r>
        <w:rPr>
          <w:rFonts w:hint="eastAsia" w:ascii="仿宋_GB2312" w:hAnsi="仿宋_GB2312" w:eastAsia="仿宋_GB2312" w:cs="仿宋_GB2312"/>
          <w:sz w:val="32"/>
          <w:szCs w:val="32"/>
        </w:rPr>
        <w:t>%。主要变动原因系本年度</w:t>
      </w:r>
      <w:r>
        <w:rPr>
          <w:rFonts w:hint="eastAsia" w:ascii="仿宋_GB2312" w:hAnsi="仿宋_GB2312" w:eastAsia="仿宋_GB2312" w:cs="仿宋_GB2312"/>
          <w:sz w:val="32"/>
          <w:szCs w:val="32"/>
          <w:lang w:eastAsia="zh-CN"/>
        </w:rPr>
        <w:t>人员增加以及巡察专项项目后续开展</w:t>
      </w:r>
      <w:r>
        <w:rPr>
          <w:rFonts w:hint="eastAsia" w:ascii="仿宋_GB2312" w:hAnsi="仿宋_GB2312" w:eastAsia="仿宋_GB2312" w:cs="仿宋_GB2312"/>
          <w:sz w:val="32"/>
          <w:szCs w:val="32"/>
        </w:rPr>
        <w:t>工作量</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olor w:val="auto"/>
          <w:sz w:val="32"/>
          <w:szCs w:val="32"/>
          <w:highlight w:val="none"/>
        </w:rPr>
      </w:pPr>
      <w:r>
        <w:drawing>
          <wp:inline distT="0" distB="0" distL="0" distR="0">
            <wp:extent cx="5274310" cy="3076575"/>
            <wp:effectExtent l="5080" t="4445" r="16510" b="5080"/>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30"/>
          <w:rFonts w:ascii="黑体" w:hAnsi="黑体" w:eastAsia="黑体"/>
          <w:b w:val="0"/>
          <w:color w:val="auto"/>
          <w:highlight w:val="none"/>
        </w:rPr>
      </w:pPr>
      <w:bookmarkStart w:id="42" w:name="_Toc15377209"/>
      <w:bookmarkStart w:id="43" w:name="_Toc15396607"/>
      <w:bookmarkStart w:id="44" w:name="_Toc15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42"/>
      <w:bookmarkEnd w:id="43"/>
      <w:bookmarkEnd w:id="44"/>
    </w:p>
    <w:p>
      <w:pPr>
        <w:spacing w:line="600" w:lineRule="exact"/>
        <w:ind w:firstLine="643" w:firstLineChars="200"/>
        <w:outlineLvl w:val="2"/>
        <w:rPr>
          <w:rFonts w:ascii="仿宋" w:hAnsi="仿宋" w:eastAsia="仿宋"/>
          <w:b/>
          <w:color w:val="auto"/>
          <w:sz w:val="32"/>
          <w:szCs w:val="32"/>
          <w:highlight w:val="none"/>
        </w:rPr>
      </w:pPr>
      <w:bookmarkStart w:id="45" w:name="_Toc15377210"/>
      <w:r>
        <w:rPr>
          <w:rFonts w:hint="eastAsia" w:ascii="仿宋" w:hAnsi="仿宋" w:eastAsia="仿宋"/>
          <w:b/>
          <w:color w:val="auto"/>
          <w:sz w:val="32"/>
          <w:szCs w:val="32"/>
          <w:highlight w:val="none"/>
        </w:rPr>
        <w:t>（一）一般公共预算财政拨款支出决算总体情况</w:t>
      </w:r>
      <w:bookmarkEnd w:id="45"/>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sz w:val="32"/>
          <w:szCs w:val="32"/>
        </w:rPr>
        <w:t>年一般公共预算财政拨款支出326.25万元，占本年支出合计的100%。与202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年相比，一般公共预算财政拨款支出总计增加</w:t>
      </w:r>
      <w:r>
        <w:rPr>
          <w:rFonts w:hint="eastAsia" w:ascii="仿宋_GB2312" w:hAnsi="仿宋_GB2312" w:eastAsia="仿宋_GB2312" w:cs="仿宋_GB2312"/>
          <w:sz w:val="32"/>
          <w:szCs w:val="32"/>
          <w:lang w:val="en-US" w:eastAsia="zh-CN"/>
        </w:rPr>
        <w:t>24.96</w:t>
      </w:r>
      <w:r>
        <w:rPr>
          <w:rFonts w:hint="eastAsia" w:ascii="仿宋_GB2312" w:hAnsi="仿宋_GB2312" w:eastAsia="仿宋_GB2312" w:cs="仿宋_GB2312"/>
          <w:sz w:val="32"/>
          <w:szCs w:val="32"/>
        </w:rPr>
        <w:t>万元，增长8.</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%。主要变动原因系本年度</w:t>
      </w:r>
      <w:r>
        <w:rPr>
          <w:rFonts w:hint="eastAsia" w:ascii="仿宋_GB2312" w:hAnsi="仿宋_GB2312" w:eastAsia="仿宋_GB2312" w:cs="仿宋_GB2312"/>
          <w:sz w:val="32"/>
          <w:szCs w:val="32"/>
          <w:lang w:eastAsia="zh-CN"/>
        </w:rPr>
        <w:t>人员增加以及巡察专项项目后续开展</w:t>
      </w:r>
      <w:r>
        <w:rPr>
          <w:rFonts w:hint="eastAsia" w:ascii="仿宋_GB2312" w:hAnsi="仿宋_GB2312" w:eastAsia="仿宋_GB2312" w:cs="仿宋_GB2312"/>
          <w:sz w:val="32"/>
          <w:szCs w:val="32"/>
        </w:rPr>
        <w:t>工作量</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w:t>
      </w:r>
    </w:p>
    <w:p>
      <w:pPr>
        <w:pStyle w:val="7"/>
        <w:keepNext w:val="0"/>
        <w:keepLines w:val="0"/>
        <w:pageBreakBefore w:val="0"/>
        <w:widowControl w:val="0"/>
        <w:kinsoku/>
        <w:wordWrap/>
        <w:overflowPunct/>
        <w:topLinePunct w:val="0"/>
        <w:autoSpaceDE/>
        <w:autoSpaceDN/>
        <w:bidi w:val="0"/>
        <w:adjustRightInd/>
        <w:snapToGrid/>
        <w:textAlignment w:val="auto"/>
        <w:rPr>
          <w:rFonts w:ascii="仿宋" w:hAnsi="仿宋" w:eastAsia="仿宋"/>
          <w:color w:val="auto"/>
          <w:sz w:val="32"/>
          <w:szCs w:val="32"/>
          <w:highlight w:val="none"/>
        </w:rPr>
      </w:pPr>
      <w:r>
        <w:drawing>
          <wp:inline distT="0" distB="0" distL="0" distR="0">
            <wp:extent cx="5274310" cy="3076575"/>
            <wp:effectExtent l="5080" t="4445" r="16510" b="508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46" w:name="_Toc15377211"/>
      <w:r>
        <w:rPr>
          <w:rFonts w:hint="eastAsia" w:ascii="仿宋" w:hAnsi="仿宋" w:eastAsia="仿宋"/>
          <w:b/>
          <w:color w:val="auto"/>
          <w:sz w:val="32"/>
          <w:szCs w:val="32"/>
          <w:highlight w:val="none"/>
        </w:rPr>
        <w:t>（二）一般公共预算财政拨款支出决算结构情况</w:t>
      </w:r>
      <w:bookmarkEnd w:id="46"/>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326.25</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
          <w:sz w:val="32"/>
          <w:szCs w:val="32"/>
        </w:rPr>
        <w:t>一般公共服务</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rPr>
        <w:t>284.31万元，占8</w:t>
      </w:r>
      <w:r>
        <w:rPr>
          <w:rFonts w:hint="eastAsia" w:ascii="仿宋_GB2312" w:hAnsi="仿宋_GB2312" w:eastAsia="仿宋_GB2312" w:cs="仿宋_GB2312"/>
          <w:sz w:val="32"/>
          <w:szCs w:val="32"/>
          <w:lang w:val="en-US" w:eastAsia="zh-CN"/>
        </w:rPr>
        <w:t>7.14</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教育支出</w:t>
      </w:r>
      <w:r>
        <w:rPr>
          <w:rFonts w:hint="eastAsia" w:ascii="仿宋_GB2312" w:hAnsi="仿宋_GB2312" w:eastAsia="仿宋_GB2312" w:cs="仿宋_GB2312"/>
          <w:sz w:val="32"/>
          <w:szCs w:val="32"/>
        </w:rPr>
        <w:t>0万元，占0%；</w:t>
      </w:r>
      <w:r>
        <w:rPr>
          <w:rFonts w:hint="eastAsia" w:ascii="仿宋_GB2312" w:hAnsi="仿宋_GB2312" w:eastAsia="仿宋_GB2312" w:cs="仿宋_GB2312"/>
          <w:b/>
          <w:sz w:val="32"/>
          <w:szCs w:val="32"/>
        </w:rPr>
        <w:t>科学技术</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rPr>
        <w:t>0万元，占0%；</w:t>
      </w:r>
      <w:r>
        <w:rPr>
          <w:rFonts w:hint="eastAsia" w:ascii="仿宋_GB2312" w:hAnsi="仿宋_GB2312" w:eastAsia="仿宋_GB2312" w:cs="仿宋_GB2312"/>
          <w:b/>
          <w:bCs/>
          <w:sz w:val="32"/>
          <w:szCs w:val="32"/>
        </w:rPr>
        <w:t>文化旅游体育与传媒支出</w:t>
      </w:r>
      <w:r>
        <w:rPr>
          <w:rFonts w:hint="eastAsia" w:ascii="仿宋_GB2312" w:hAnsi="仿宋_GB2312" w:eastAsia="仿宋_GB2312" w:cs="仿宋_GB2312"/>
          <w:sz w:val="32"/>
          <w:szCs w:val="32"/>
        </w:rPr>
        <w:t>0万元，占0%；</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rPr>
        <w:t>12.97万元，占3.9</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sz w:val="32"/>
          <w:szCs w:val="32"/>
        </w:rPr>
        <w:t>9.26万元，占2.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3%；</w:t>
      </w:r>
      <w:r>
        <w:rPr>
          <w:rFonts w:hint="eastAsia" w:ascii="仿宋_GB2312" w:hAnsi="仿宋_GB2312" w:eastAsia="仿宋_GB2312" w:cs="仿宋_GB2312"/>
          <w:b/>
          <w:sz w:val="32"/>
          <w:szCs w:val="32"/>
        </w:rPr>
        <w:t>住房保障支出</w:t>
      </w:r>
      <w:r>
        <w:rPr>
          <w:rFonts w:hint="eastAsia" w:ascii="仿宋_GB2312" w:hAnsi="仿宋_GB2312" w:eastAsia="仿宋_GB2312" w:cs="仿宋_GB2312"/>
          <w:sz w:val="32"/>
          <w:szCs w:val="32"/>
        </w:rPr>
        <w:t>19.71万元，占</w:t>
      </w:r>
      <w:r>
        <w:rPr>
          <w:rFonts w:hint="eastAsia" w:ascii="仿宋_GB2312" w:hAnsi="仿宋_GB2312" w:eastAsia="仿宋_GB2312" w:cs="仿宋_GB2312"/>
          <w:sz w:val="32"/>
          <w:szCs w:val="32"/>
          <w:lang w:val="en-US" w:eastAsia="zh-CN"/>
        </w:rPr>
        <w:t>6.06</w:t>
      </w:r>
      <w:r>
        <w:rPr>
          <w:rFonts w:hint="eastAsia" w:ascii="仿宋_GB2312" w:hAnsi="仿宋_GB2312" w:eastAsia="仿宋_GB2312" w:cs="仿宋_GB2312"/>
          <w:sz w:val="32"/>
          <w:szCs w:val="32"/>
        </w:rPr>
        <w:t>%。</w:t>
      </w:r>
    </w:p>
    <w:p>
      <w:pPr>
        <w:pStyle w:val="7"/>
        <w:rPr>
          <w:rFonts w:hint="eastAsia" w:eastAsia="仿宋_GB2312"/>
          <w:lang w:eastAsia="zh-CN"/>
        </w:rPr>
      </w:pPr>
      <w:r>
        <w:rPr>
          <w:rFonts w:hint="eastAsia" w:eastAsia="仿宋_GB2312"/>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hint="eastAsia" w:ascii="仿宋" w:hAnsi="仿宋" w:eastAsia="仿宋"/>
          <w:b/>
          <w:color w:val="auto"/>
          <w:sz w:val="32"/>
          <w:szCs w:val="32"/>
          <w:highlight w:val="none"/>
        </w:rPr>
      </w:pPr>
      <w:r>
        <w:rPr>
          <w:rFonts w:hint="eastAsia" w:ascii="仿宋" w:hAnsi="仿宋" w:eastAsia="仿宋"/>
          <w:color w:val="auto"/>
          <w:sz w:val="32"/>
          <w:szCs w:val="32"/>
          <w:highlight w:val="none"/>
        </w:rPr>
        <w:t>（图6：一般公共预算财政拨款支出决算结构）（饼状图）</w:t>
      </w:r>
      <w:bookmarkStart w:id="47" w:name="_Toc15377212"/>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47"/>
    </w:p>
    <w:p>
      <w:pPr>
        <w:spacing w:line="600" w:lineRule="exact"/>
        <w:ind w:firstLine="643" w:firstLineChars="200"/>
        <w:outlineLvl w:val="2"/>
        <w:rPr>
          <w:rFonts w:ascii="仿宋" w:hAnsi="仿宋" w:eastAsia="仿宋"/>
          <w:color w:val="auto"/>
          <w:sz w:val="32"/>
          <w:szCs w:val="32"/>
          <w:highlight w:val="none"/>
        </w:rPr>
      </w:pPr>
      <w:bookmarkStart w:id="48" w:name="_Toc15377213"/>
      <w:bookmarkStart w:id="49" w:name="_Toc15378460"/>
      <w:bookmarkStart w:id="50"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般公共预算支出决算数为326.25</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8"/>
      <w:bookmarkEnd w:id="49"/>
      <w:bookmarkEnd w:id="50"/>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rPr>
        <w:t>一般公共服务（类）政府办公厅（室）及相关机构事务（款）其他政府办公厅（室）及相关机构事务支出（项）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Fonts w:hint="eastAsia" w:ascii="仿宋_GB2312" w:eastAsia="仿宋_GB2312"/>
          <w:sz w:val="32"/>
          <w:szCs w:val="32"/>
          <w:lang w:val="en-US" w:eastAsia="zh-CN"/>
        </w:rPr>
        <w:t>支出决算为2.59万元，完成预算100%。</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2</w:t>
      </w:r>
      <w:r>
        <w:rPr>
          <w:rStyle w:val="18"/>
          <w:rFonts w:ascii="仿宋" w:hAnsi="仿宋" w:eastAsia="仿宋"/>
          <w:bCs/>
          <w:sz w:val="32"/>
          <w:szCs w:val="32"/>
        </w:rPr>
        <w:t>.</w:t>
      </w:r>
      <w:r>
        <w:rPr>
          <w:rStyle w:val="18"/>
          <w:rFonts w:hint="eastAsia" w:ascii="仿宋" w:hAnsi="仿宋" w:eastAsia="仿宋"/>
          <w:bCs/>
          <w:sz w:val="32"/>
          <w:szCs w:val="32"/>
        </w:rPr>
        <w:t>一般公共服务（类）纪检监察事务（款）行政运行（项）</w:t>
      </w:r>
      <w:r>
        <w:rPr>
          <w:rStyle w:val="18"/>
          <w:rFonts w:ascii="仿宋" w:hAnsi="仿宋" w:eastAsia="仿宋"/>
          <w:bCs/>
          <w:sz w:val="32"/>
          <w:szCs w:val="32"/>
        </w:rPr>
        <w:t>:</w:t>
      </w:r>
      <w:r>
        <w:rPr>
          <w:rStyle w:val="18"/>
          <w:rFonts w:ascii="仿宋" w:hAnsi="仿宋" w:eastAsia="仿宋"/>
          <w:b w:val="0"/>
          <w:bCs/>
          <w:sz w:val="32"/>
          <w:szCs w:val="32"/>
        </w:rPr>
        <w:t xml:space="preserve"> </w:t>
      </w:r>
      <w:r>
        <w:rPr>
          <w:rFonts w:hint="eastAsia" w:ascii="仿宋_GB2312" w:eastAsia="仿宋_GB2312"/>
          <w:sz w:val="32"/>
          <w:szCs w:val="32"/>
          <w:lang w:val="en-US" w:eastAsia="zh-CN"/>
        </w:rPr>
        <w:t>支出决算为205.82万元，完成预算100%。</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3</w:t>
      </w:r>
      <w:r>
        <w:rPr>
          <w:rStyle w:val="18"/>
          <w:rFonts w:ascii="仿宋" w:hAnsi="仿宋" w:eastAsia="仿宋"/>
          <w:bCs/>
          <w:sz w:val="32"/>
          <w:szCs w:val="32"/>
        </w:rPr>
        <w:t>.</w:t>
      </w:r>
      <w:r>
        <w:rPr>
          <w:rStyle w:val="18"/>
          <w:rFonts w:hint="eastAsia" w:ascii="仿宋" w:hAnsi="仿宋" w:eastAsia="仿宋"/>
          <w:bCs/>
          <w:sz w:val="32"/>
          <w:szCs w:val="32"/>
        </w:rPr>
        <w:t>一般公共服务（类）纪检监察事务（款）巡视工作（项）</w:t>
      </w:r>
      <w:r>
        <w:rPr>
          <w:rStyle w:val="18"/>
          <w:rFonts w:ascii="仿宋" w:hAnsi="仿宋" w:eastAsia="仿宋"/>
          <w:bCs/>
          <w:sz w:val="32"/>
          <w:szCs w:val="32"/>
        </w:rPr>
        <w:t>:</w:t>
      </w:r>
      <w:r>
        <w:rPr>
          <w:rStyle w:val="18"/>
          <w:rFonts w:ascii="仿宋" w:hAnsi="仿宋" w:eastAsia="仿宋"/>
          <w:b w:val="0"/>
          <w:bCs/>
          <w:sz w:val="32"/>
          <w:szCs w:val="32"/>
        </w:rPr>
        <w:t xml:space="preserve"> </w:t>
      </w:r>
      <w:r>
        <w:rPr>
          <w:rFonts w:hint="eastAsia" w:ascii="仿宋_GB2312" w:eastAsia="仿宋_GB2312"/>
          <w:sz w:val="32"/>
          <w:szCs w:val="32"/>
          <w:lang w:val="en-US" w:eastAsia="zh-CN"/>
        </w:rPr>
        <w:t>支出决算为75.90万元，完成预算100%。</w:t>
      </w:r>
    </w:p>
    <w:p>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Style w:val="18"/>
          <w:rFonts w:hint="eastAsia" w:ascii="仿宋" w:hAnsi="仿宋" w:eastAsia="仿宋"/>
          <w:bCs/>
          <w:sz w:val="32"/>
          <w:szCs w:val="32"/>
        </w:rPr>
        <w:t>社会保障和就业（类）行政事业单位养老支出（款）机关事业单位基本养老保险缴费支出（项）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Fonts w:hint="eastAsia" w:ascii="仿宋_GB2312" w:eastAsia="仿宋_GB2312"/>
          <w:sz w:val="32"/>
          <w:szCs w:val="32"/>
          <w:lang w:val="en-US" w:eastAsia="zh-CN"/>
        </w:rPr>
        <w:t>支出决算为12.97万元，完成预算100%。</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5</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（类）行政事业单位医疗（款）行政单位医疗（项）</w:t>
      </w:r>
      <w:r>
        <w:rPr>
          <w:rStyle w:val="18"/>
          <w:rFonts w:ascii="仿宋" w:hAnsi="仿宋" w:eastAsia="仿宋"/>
          <w:bCs/>
          <w:sz w:val="32"/>
          <w:szCs w:val="32"/>
        </w:rPr>
        <w:t>:</w:t>
      </w:r>
      <w:r>
        <w:rPr>
          <w:rFonts w:hint="eastAsia" w:ascii="仿宋_GB2312" w:eastAsia="仿宋_GB2312"/>
          <w:sz w:val="32"/>
          <w:szCs w:val="32"/>
          <w:lang w:val="en-US" w:eastAsia="zh-CN"/>
        </w:rPr>
        <w:t>支出决算为7.87万元，完成预算100%。</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6</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（类）行政事业单位医疗（款）公务员医疗补助（项）</w:t>
      </w:r>
      <w:r>
        <w:rPr>
          <w:rStyle w:val="18"/>
          <w:rFonts w:ascii="仿宋" w:hAnsi="仿宋" w:eastAsia="仿宋"/>
          <w:bCs/>
          <w:sz w:val="32"/>
          <w:szCs w:val="32"/>
        </w:rPr>
        <w:t>:</w:t>
      </w:r>
      <w:r>
        <w:rPr>
          <w:rFonts w:hint="eastAsia" w:ascii="仿宋_GB2312" w:eastAsia="仿宋_GB2312"/>
          <w:sz w:val="32"/>
          <w:szCs w:val="32"/>
          <w:lang w:val="en-US" w:eastAsia="zh-CN"/>
        </w:rPr>
        <w:t>支出决算为1.39万元，完成预算100%。</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7</w:t>
      </w:r>
      <w:r>
        <w:rPr>
          <w:rStyle w:val="18"/>
          <w:rFonts w:ascii="仿宋" w:hAnsi="仿宋" w:eastAsia="仿宋"/>
          <w:bCs/>
          <w:sz w:val="32"/>
          <w:szCs w:val="32"/>
        </w:rPr>
        <w:t>.</w:t>
      </w:r>
      <w:r>
        <w:rPr>
          <w:rFonts w:hint="eastAsia"/>
        </w:rPr>
        <w:t xml:space="preserve"> </w:t>
      </w:r>
      <w:r>
        <w:rPr>
          <w:rFonts w:hint="eastAsia" w:ascii="仿宋" w:hAnsi="仿宋" w:eastAsia="仿宋"/>
          <w:b/>
          <w:bCs/>
          <w:sz w:val="32"/>
          <w:szCs w:val="32"/>
        </w:rPr>
        <w:t>住房保障支出</w:t>
      </w:r>
      <w:r>
        <w:rPr>
          <w:rStyle w:val="18"/>
          <w:rFonts w:hint="eastAsia" w:ascii="仿宋" w:hAnsi="仿宋" w:eastAsia="仿宋"/>
          <w:bCs/>
          <w:sz w:val="32"/>
          <w:szCs w:val="32"/>
        </w:rPr>
        <w:t>（类）住房改革支出（款）住房公积金（项）</w:t>
      </w:r>
      <w:r>
        <w:rPr>
          <w:rStyle w:val="18"/>
          <w:rFonts w:ascii="仿宋" w:hAnsi="仿宋" w:eastAsia="仿宋"/>
          <w:bCs/>
          <w:sz w:val="32"/>
          <w:szCs w:val="32"/>
        </w:rPr>
        <w:t>:</w:t>
      </w:r>
      <w:r>
        <w:rPr>
          <w:rFonts w:hint="eastAsia" w:ascii="仿宋_GB2312" w:eastAsia="仿宋_GB2312"/>
          <w:sz w:val="32"/>
          <w:szCs w:val="32"/>
          <w:lang w:val="en-US" w:eastAsia="zh-CN"/>
        </w:rPr>
        <w:t>支出决算为19.71万元，完成预算100%。</w:t>
      </w:r>
    </w:p>
    <w:p>
      <w:pPr>
        <w:tabs>
          <w:tab w:val="right" w:pos="8306"/>
        </w:tabs>
        <w:spacing w:line="600" w:lineRule="exact"/>
        <w:ind w:firstLine="640"/>
        <w:outlineLvl w:val="1"/>
        <w:rPr>
          <w:rStyle w:val="30"/>
          <w:color w:val="auto"/>
          <w:highlight w:val="none"/>
        </w:rPr>
      </w:pPr>
      <w:bookmarkStart w:id="51" w:name="_Toc15377214"/>
      <w:bookmarkStart w:id="52" w:name="_Toc23098"/>
      <w:bookmarkStart w:id="53"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51"/>
      <w:bookmarkEnd w:id="52"/>
      <w:bookmarkEnd w:id="53"/>
      <w:r>
        <w:rPr>
          <w:rStyle w:val="30"/>
          <w:rFonts w:ascii="黑体" w:hAnsi="黑体" w:eastAsia="黑体"/>
          <w:b w:val="0"/>
          <w:color w:val="auto"/>
          <w:highlight w:val="none"/>
        </w:rPr>
        <w:tab/>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2022年一般公共预算财政拨款基本支出247.76万元，其中：</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人员经费210.95万元，主要包括：基本工资、津贴补贴、奖金、机关事业单位基本养老保险缴费、职工基本医疗保险缴费、公务员医疗补助缴费、住房公积金等。</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公用经费36.80万元，主要包括：办公费、邮电费、差旅费、维修（护）费、公务接待费、劳务费、工会经费、福利费、其他交通费、其他商品和服务支出等。</w:t>
      </w:r>
    </w:p>
    <w:p>
      <w:pPr>
        <w:spacing w:line="600" w:lineRule="exact"/>
        <w:ind w:firstLine="640"/>
        <w:outlineLvl w:val="1"/>
        <w:rPr>
          <w:rStyle w:val="30"/>
          <w:rFonts w:ascii="黑体" w:hAnsi="黑体" w:eastAsia="黑体"/>
          <w:b w:val="0"/>
          <w:color w:val="auto"/>
          <w:highlight w:val="none"/>
        </w:rPr>
      </w:pPr>
      <w:bookmarkStart w:id="54" w:name="_Toc3671"/>
      <w:bookmarkStart w:id="55" w:name="_Toc15396609"/>
      <w:bookmarkStart w:id="56" w:name="_Toc15377215"/>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54"/>
      <w:bookmarkEnd w:id="55"/>
      <w:bookmarkEnd w:id="56"/>
    </w:p>
    <w:p>
      <w:pPr>
        <w:spacing w:line="600" w:lineRule="exact"/>
        <w:ind w:firstLine="640"/>
        <w:outlineLvl w:val="2"/>
        <w:rPr>
          <w:rFonts w:ascii="仿宋" w:hAnsi="仿宋" w:eastAsia="仿宋"/>
          <w:b/>
          <w:color w:val="auto"/>
          <w:sz w:val="32"/>
          <w:szCs w:val="32"/>
          <w:highlight w:val="none"/>
        </w:rPr>
      </w:pPr>
      <w:bookmarkStart w:id="57" w:name="_Toc15377216"/>
      <w:r>
        <w:rPr>
          <w:rFonts w:hint="eastAsia" w:ascii="仿宋" w:hAnsi="仿宋" w:eastAsia="仿宋"/>
          <w:b/>
          <w:color w:val="auto"/>
          <w:sz w:val="32"/>
          <w:szCs w:val="32"/>
          <w:highlight w:val="none"/>
        </w:rPr>
        <w:t>（一）“三公”经费财政拨款支出决算总体情况说明</w:t>
      </w:r>
      <w:bookmarkEnd w:id="57"/>
    </w:p>
    <w:p>
      <w:pPr>
        <w:spacing w:line="600" w:lineRule="exact"/>
        <w:ind w:firstLine="64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年“三公”经费财政拨款支出决算为0.</w:t>
      </w:r>
      <w:r>
        <w:rPr>
          <w:rFonts w:hint="eastAsia" w:ascii="仿宋_GB2312" w:eastAsia="仿宋_GB2312"/>
          <w:sz w:val="32"/>
          <w:szCs w:val="32"/>
          <w:lang w:val="en-US" w:eastAsia="zh-CN"/>
        </w:rPr>
        <w:t>44</w:t>
      </w:r>
      <w:r>
        <w:rPr>
          <w:rFonts w:hint="eastAsia" w:ascii="仿宋_GB2312" w:eastAsia="仿宋_GB2312"/>
          <w:sz w:val="32"/>
          <w:szCs w:val="32"/>
        </w:rPr>
        <w:t>万元，完成预算</w:t>
      </w:r>
      <w:r>
        <w:rPr>
          <w:rFonts w:hint="eastAsia" w:ascii="仿宋_GB2312" w:eastAsia="仿宋_GB2312"/>
          <w:sz w:val="32"/>
          <w:szCs w:val="32"/>
          <w:lang w:val="en-US" w:eastAsia="zh-CN"/>
        </w:rPr>
        <w:t>100.00</w:t>
      </w:r>
      <w:r>
        <w:rPr>
          <w:rFonts w:hint="eastAsia" w:ascii="仿宋_GB2312" w:eastAsia="仿宋_GB2312"/>
          <w:sz w:val="32"/>
          <w:szCs w:val="32"/>
        </w:rPr>
        <w:t>%，决算数</w:t>
      </w:r>
      <w:r>
        <w:rPr>
          <w:rFonts w:hint="eastAsia" w:ascii="仿宋_GB2312" w:eastAsia="仿宋_GB2312"/>
          <w:sz w:val="32"/>
          <w:szCs w:val="32"/>
          <w:lang w:eastAsia="zh-CN"/>
        </w:rPr>
        <w:t>等</w:t>
      </w:r>
      <w:r>
        <w:rPr>
          <w:rFonts w:hint="eastAsia" w:ascii="仿宋_GB2312" w:eastAsia="仿宋_GB2312"/>
          <w:sz w:val="32"/>
          <w:szCs w:val="32"/>
        </w:rPr>
        <w:t>于预算数。</w:t>
      </w:r>
    </w:p>
    <w:p>
      <w:pPr>
        <w:spacing w:line="600" w:lineRule="exact"/>
        <w:ind w:firstLine="640"/>
        <w:outlineLvl w:val="2"/>
        <w:rPr>
          <w:rFonts w:ascii="仿宋" w:hAnsi="仿宋" w:eastAsia="仿宋"/>
          <w:b/>
          <w:color w:val="auto"/>
          <w:sz w:val="32"/>
          <w:szCs w:val="32"/>
          <w:highlight w:val="none"/>
        </w:rPr>
      </w:pPr>
      <w:bookmarkStart w:id="58" w:name="_Toc15377217"/>
      <w:r>
        <w:rPr>
          <w:rFonts w:hint="eastAsia" w:ascii="仿宋" w:hAnsi="仿宋" w:eastAsia="仿宋"/>
          <w:b/>
          <w:color w:val="auto"/>
          <w:sz w:val="32"/>
          <w:szCs w:val="32"/>
          <w:highlight w:val="none"/>
        </w:rPr>
        <w:t>（二）“三公”经费财政拨款支出决算具体情况说明</w:t>
      </w:r>
      <w:bookmarkEnd w:id="58"/>
    </w:p>
    <w:p>
      <w:pPr>
        <w:spacing w:line="600" w:lineRule="exact"/>
        <w:ind w:firstLine="64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年“三公”经费财政拨款支出决算中，因公出国（境）费支出决算0万元，占0%；公务用车购置及运行维护费支出决算0万元，占0%；公务接待费支出决算0.</w:t>
      </w:r>
      <w:r>
        <w:rPr>
          <w:rFonts w:hint="eastAsia" w:ascii="仿宋_GB2312" w:eastAsia="仿宋_GB2312"/>
          <w:sz w:val="32"/>
          <w:szCs w:val="32"/>
          <w:lang w:val="en-US" w:eastAsia="zh-CN"/>
        </w:rPr>
        <w:t>44</w:t>
      </w:r>
      <w:r>
        <w:rPr>
          <w:rFonts w:hint="eastAsia" w:ascii="仿宋_GB2312" w:eastAsia="仿宋_GB2312"/>
          <w:sz w:val="32"/>
          <w:szCs w:val="32"/>
        </w:rPr>
        <w:t>万元，占100%。具体情况如下：</w:t>
      </w:r>
    </w:p>
    <w:p>
      <w:pPr>
        <w:pStyle w:val="7"/>
        <w:keepNext w:val="0"/>
        <w:keepLines w:val="0"/>
        <w:pageBreakBefore w:val="0"/>
        <w:widowControl w:val="0"/>
        <w:kinsoku/>
        <w:wordWrap/>
        <w:overflowPunct/>
        <w:topLinePunct w:val="0"/>
        <w:autoSpaceDE/>
        <w:autoSpaceDN/>
        <w:bidi w:val="0"/>
        <w:adjustRightInd/>
        <w:snapToGrid/>
        <w:textAlignment w:val="auto"/>
      </w:pPr>
      <w:r>
        <w:rPr>
          <w:rFonts w:ascii="仿宋" w:hAnsi="仿宋" w:eastAsia="仿宋"/>
          <w:sz w:val="32"/>
          <w:szCs w:val="32"/>
        </w:rPr>
        <w:drawing>
          <wp:inline distT="0" distB="0" distL="0" distR="0">
            <wp:extent cx="5274310" cy="3076575"/>
            <wp:effectExtent l="5080" t="4445" r="16510"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sz w:val="32"/>
          <w:szCs w:val="32"/>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sz w:val="32"/>
          <w:szCs w:val="32"/>
        </w:rPr>
        <w:t>与202</w:t>
      </w:r>
      <w:r>
        <w:rPr>
          <w:rFonts w:hint="eastAsia" w:ascii="仿宋_GB2312" w:eastAsia="仿宋_GB2312"/>
          <w:sz w:val="32"/>
          <w:szCs w:val="32"/>
          <w:lang w:val="en-US" w:eastAsia="zh-CN"/>
        </w:rPr>
        <w:t>1</w:t>
      </w:r>
      <w:r>
        <w:rPr>
          <w:rFonts w:hint="eastAsia" w:ascii="仿宋_GB2312" w:eastAsia="仿宋_GB2312"/>
          <w:sz w:val="32"/>
          <w:szCs w:val="32"/>
        </w:rPr>
        <w:t>年持平</w:t>
      </w:r>
      <w:r>
        <w:rPr>
          <w:rFonts w:hint="eastAsia" w:ascii="仿宋_GB2312" w:eastAsia="仿宋_GB2312"/>
          <w:color w:val="auto"/>
          <w:sz w:val="32"/>
          <w:szCs w:val="32"/>
          <w:highlight w:val="none"/>
        </w:rPr>
        <w:t>，增降</w:t>
      </w:r>
      <w:r>
        <w:rPr>
          <w:rFonts w:hint="eastAsia" w:ascii="仿宋_GB2312" w:eastAsia="仿宋_GB2312"/>
          <w:color w:val="auto"/>
          <w:sz w:val="32"/>
          <w:szCs w:val="32"/>
          <w:highlight w:val="none"/>
          <w:lang w:eastAsia="zh-CN"/>
        </w:rPr>
        <w:t>变动</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sz w:val="32"/>
          <w:szCs w:val="32"/>
        </w:rPr>
        <w:t>主要原因是我单位未安排因公出国（境）。</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8"/>
          <w:rFonts w:hint="eastAsia" w:ascii="仿宋" w:hAnsi="仿宋" w:eastAsia="仿宋"/>
          <w:b w:val="0"/>
          <w:bCs/>
          <w:sz w:val="32"/>
          <w:szCs w:val="32"/>
        </w:rPr>
        <w:t>完成预算0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公务用车购置及运行维护费支出决算与202</w:t>
      </w:r>
      <w:r>
        <w:rPr>
          <w:rFonts w:hint="eastAsia" w:ascii="仿宋_GB2312" w:eastAsia="仿宋_GB2312"/>
          <w:sz w:val="32"/>
          <w:szCs w:val="32"/>
          <w:lang w:val="en-US" w:eastAsia="zh-CN"/>
        </w:rPr>
        <w:t>1</w:t>
      </w:r>
      <w:r>
        <w:rPr>
          <w:rFonts w:hint="eastAsia" w:ascii="仿宋_GB2312" w:eastAsia="仿宋_GB2312"/>
          <w:sz w:val="32"/>
          <w:szCs w:val="32"/>
        </w:rPr>
        <w:t>年持平。主要原因是我单位无公务用车。</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0.44</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0.12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21.43</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sz w:val="32"/>
          <w:szCs w:val="32"/>
        </w:rPr>
        <w:t>主要原因是单位今年开展业务交流次数较往年</w:t>
      </w:r>
      <w:r>
        <w:rPr>
          <w:rFonts w:hint="eastAsia" w:ascii="仿宋_GB2312" w:eastAsia="仿宋_GB2312"/>
          <w:sz w:val="32"/>
          <w:szCs w:val="32"/>
          <w:lang w:eastAsia="zh-CN"/>
        </w:rPr>
        <w:t>减少</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lang w:val="en-US" w:eastAsia="zh-CN"/>
        </w:rPr>
        <w:t>0.44</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0.44</w:t>
      </w:r>
      <w:r>
        <w:rPr>
          <w:rFonts w:hint="eastAsia" w:ascii="仿宋_GB2312" w:eastAsia="仿宋_GB2312"/>
          <w:color w:val="auto"/>
          <w:sz w:val="32"/>
          <w:szCs w:val="32"/>
          <w:highlight w:val="none"/>
        </w:rPr>
        <w:t>万元，</w:t>
      </w:r>
      <w:r>
        <w:rPr>
          <w:rFonts w:hint="eastAsia" w:ascii="仿宋_GB2312" w:eastAsia="仿宋_GB2312"/>
          <w:color w:val="auto"/>
          <w:sz w:val="32"/>
          <w:szCs w:val="32"/>
        </w:rPr>
        <w:t>，</w:t>
      </w:r>
      <w:r>
        <w:rPr>
          <w:rFonts w:hint="eastAsia" w:ascii="仿宋_GB2312" w:eastAsia="仿宋_GB2312"/>
          <w:color w:val="auto"/>
          <w:sz w:val="32"/>
          <w:szCs w:val="32"/>
          <w:lang w:eastAsia="zh-CN"/>
        </w:rPr>
        <w:t>主要用于</w:t>
      </w:r>
      <w:r>
        <w:rPr>
          <w:rFonts w:hint="eastAsia" w:ascii="仿宋_GB2312" w:eastAsia="仿宋_GB2312"/>
          <w:color w:val="auto"/>
          <w:sz w:val="32"/>
          <w:szCs w:val="32"/>
        </w:rPr>
        <w:t>接待</w:t>
      </w:r>
      <w:r>
        <w:rPr>
          <w:rFonts w:hint="eastAsia" w:ascii="仿宋_GB2312" w:eastAsia="仿宋_GB2312"/>
          <w:color w:val="auto"/>
          <w:sz w:val="32"/>
          <w:szCs w:val="32"/>
          <w:lang w:eastAsia="zh-CN"/>
        </w:rPr>
        <w:t>巡察专项交流、调研工作</w:t>
      </w:r>
      <w:r>
        <w:rPr>
          <w:rFonts w:hint="eastAsia" w:ascii="仿宋_GB2312" w:eastAsia="仿宋_GB2312"/>
          <w:color w:val="auto"/>
          <w:sz w:val="32"/>
          <w:szCs w:val="32"/>
          <w:highlight w:val="none"/>
        </w:rPr>
        <w:t>。</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30"/>
          <w:rFonts w:ascii="黑体" w:hAnsi="黑体" w:eastAsia="黑体"/>
          <w:color w:val="auto"/>
          <w:highlight w:val="none"/>
        </w:rPr>
      </w:pPr>
      <w:bookmarkStart w:id="59" w:name="_Toc15377218"/>
      <w:bookmarkStart w:id="60" w:name="_Toc15396610"/>
      <w:bookmarkStart w:id="61" w:name="_Toc20775"/>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0"/>
          <w:rFonts w:ascii="黑体" w:hAnsi="黑体" w:eastAsia="黑体"/>
          <w:b w:val="0"/>
          <w:color w:val="auto"/>
          <w:highlight w:val="none"/>
        </w:rPr>
      </w:pPr>
      <w:bookmarkStart w:id="62" w:name="_Toc15377219"/>
      <w:bookmarkStart w:id="63" w:name="_Toc17583"/>
      <w:bookmarkStart w:id="64" w:name="_Toc15396611"/>
      <w:r>
        <w:rPr>
          <w:rStyle w:val="30"/>
          <w:rFonts w:hint="eastAsia" w:ascii="黑体" w:hAnsi="黑体" w:eastAsia="黑体"/>
          <w:b w:val="0"/>
          <w:color w:val="auto"/>
          <w:highlight w:val="none"/>
        </w:rPr>
        <w:t>国有资本经营预算支出决算情况说明</w:t>
      </w:r>
      <w:bookmarkEnd w:id="62"/>
      <w:bookmarkEnd w:id="63"/>
      <w:bookmarkEnd w:id="64"/>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0"/>
          <w:rFonts w:hint="eastAsia" w:ascii="黑体" w:hAnsi="黑体" w:eastAsia="黑体"/>
          <w:b w:val="0"/>
          <w:color w:val="auto"/>
          <w:highlight w:val="none"/>
        </w:rPr>
      </w:pPr>
      <w:bookmarkStart w:id="65" w:name="_Toc15396612"/>
      <w:bookmarkStart w:id="66" w:name="_Toc15377221"/>
      <w:bookmarkStart w:id="67" w:name="_Toc27100"/>
      <w:r>
        <w:rPr>
          <w:rStyle w:val="30"/>
          <w:rFonts w:hint="eastAsia" w:ascii="黑体" w:hAnsi="黑体" w:eastAsia="黑体"/>
          <w:b w:val="0"/>
          <w:color w:val="auto"/>
          <w:highlight w:val="none"/>
        </w:rPr>
        <w:t>其他重要事项的情况说明</w:t>
      </w:r>
      <w:bookmarkEnd w:id="65"/>
      <w:bookmarkEnd w:id="66"/>
      <w:bookmarkEnd w:id="67"/>
    </w:p>
    <w:p>
      <w:pPr>
        <w:spacing w:line="600" w:lineRule="exact"/>
        <w:ind w:firstLine="643" w:firstLineChars="200"/>
        <w:outlineLvl w:val="2"/>
        <w:rPr>
          <w:rFonts w:ascii="仿宋" w:hAnsi="仿宋" w:eastAsia="仿宋"/>
          <w:color w:val="auto"/>
          <w:sz w:val="32"/>
          <w:szCs w:val="32"/>
          <w:highlight w:val="none"/>
        </w:rPr>
      </w:pPr>
      <w:bookmarkStart w:id="68" w:name="_Toc15377222"/>
      <w:r>
        <w:rPr>
          <w:rFonts w:hint="eastAsia" w:ascii="仿宋" w:hAnsi="仿宋" w:eastAsia="仿宋"/>
          <w:b/>
          <w:color w:val="auto"/>
          <w:sz w:val="32"/>
          <w:szCs w:val="32"/>
          <w:highlight w:val="none"/>
        </w:rPr>
        <w:t>（一）机关运行经费支出情况</w:t>
      </w:r>
      <w:bookmarkEnd w:id="68"/>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区委巡察办</w:t>
      </w:r>
      <w:r>
        <w:rPr>
          <w:rFonts w:hint="eastAsia" w:ascii="仿宋_GB2312" w:eastAsia="仿宋_GB2312"/>
          <w:color w:val="auto"/>
          <w:sz w:val="32"/>
          <w:szCs w:val="32"/>
          <w:highlight w:val="none"/>
        </w:rPr>
        <w:t>机关运行经费支出36.80万元，比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2.39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单位厉行勤俭节约。</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9" w:name="_Toc15377223"/>
      <w:r>
        <w:rPr>
          <w:rFonts w:hint="eastAsia" w:ascii="仿宋" w:hAnsi="仿宋" w:eastAsia="仿宋"/>
          <w:b/>
          <w:color w:val="auto"/>
          <w:sz w:val="32"/>
          <w:szCs w:val="32"/>
          <w:highlight w:val="none"/>
        </w:rPr>
        <w:t>（二）政府采购支出情况</w:t>
      </w:r>
      <w:bookmarkEnd w:id="69"/>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区委巡察办</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0" w:name="_Toc15377224"/>
      <w:r>
        <w:rPr>
          <w:rFonts w:hint="eastAsia" w:ascii="仿宋" w:hAnsi="仿宋" w:eastAsia="仿宋"/>
          <w:b/>
          <w:color w:val="auto"/>
          <w:sz w:val="32"/>
          <w:szCs w:val="32"/>
          <w:highlight w:val="none"/>
        </w:rPr>
        <w:t>（三）国有资产占有使用情况</w:t>
      </w:r>
      <w:bookmarkEnd w:id="70"/>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区委巡察办</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年度预算编制阶段，组织对巡察工作专项经费开展了预算事前绩效评估，对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区委巡察办</w:t>
      </w:r>
      <w:r>
        <w:rPr>
          <w:rFonts w:hint="eastAsia" w:ascii="仿宋_GB2312" w:hAnsi="仿宋_GB2312" w:eastAsia="仿宋_GB2312" w:cs="仿宋_GB2312"/>
          <w:color w:val="auto"/>
          <w:sz w:val="32"/>
          <w:szCs w:val="32"/>
          <w:highlight w:val="none"/>
        </w:rPr>
        <w:t>部门整体（含部门预算项目）绩效自评报告、巡察工作专项经费等专项预算项目绩效自评报告，其中，</w:t>
      </w:r>
      <w:r>
        <w:rPr>
          <w:rFonts w:hint="eastAsia" w:ascii="仿宋_GB2312" w:hAnsi="仿宋_GB2312" w:eastAsia="仿宋_GB2312" w:cs="仿宋_GB2312"/>
          <w:color w:val="auto"/>
          <w:sz w:val="32"/>
          <w:szCs w:val="32"/>
          <w:highlight w:val="none"/>
          <w:lang w:eastAsia="zh-CN"/>
        </w:rPr>
        <w:t>区委巡察办</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sz w:val="32"/>
          <w:szCs w:val="32"/>
          <w:highlight w:val="none"/>
        </w:rPr>
        <w:t>分，绩效自评综述：总体来说，2022年度部门预算具有明确的用途和目标，我办预算执行、综合管理、整体绩效方面，都按相关规定严格执行，并合理安排支出,使财政资金发辉最大的效益。制定了较为细致的执行计划，资金到位及时并严格按照财政有关规定专款专用，保障项目顺利开展时效，并取得了较为满意的社会效益；</w:t>
      </w:r>
    </w:p>
    <w:p>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巡察工作专项经费专项预算项目绩效自评得分为</w:t>
      </w:r>
      <w:r>
        <w:rPr>
          <w:rFonts w:hint="eastAsia" w:ascii="仿宋_GB2312" w:hAnsi="仿宋_GB2312" w:eastAsia="仿宋_GB2312" w:cs="仿宋_GB2312"/>
          <w:color w:val="auto"/>
          <w:sz w:val="32"/>
          <w:szCs w:val="32"/>
          <w:highlight w:val="none"/>
          <w:lang w:val="en-US" w:eastAsia="zh-CN"/>
        </w:rPr>
        <w:t>97</w:t>
      </w:r>
      <w:r>
        <w:rPr>
          <w:rFonts w:hint="eastAsia" w:ascii="仿宋_GB2312" w:hAnsi="仿宋_GB2312" w:eastAsia="仿宋_GB2312" w:cs="仿宋_GB2312"/>
          <w:color w:val="auto"/>
          <w:sz w:val="32"/>
          <w:szCs w:val="32"/>
          <w:highlight w:val="none"/>
        </w:rPr>
        <w:t>分，绩效自评综述：经过评价小组科学评分，通用指标的项目决策、项目实施、完成结果较好。年度巡察任务制定科学、合理，严格按照四届区委巡察工作规划执行，2022年对94个单位（村、社区）被巡察单位开展政治巡察。项目申报内容与具体实施内容相符、申报目标合理可行。在项目实施中，严格按照按需支配的原则，规范支出，符合相关的财务管理制度规定，符合相关管理制度规定。项目实施达到预期目标，符合项目有关规定。项目实施进度如期完成，计划实现的具体绩效目标达到100%，项目实施进度计划达到100%。绩效自评报告详见附件。</w:t>
      </w: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9"/>
          <w:rFonts w:ascii="黑体" w:hAnsi="黑体" w:eastAsia="黑体"/>
          <w:b w:val="0"/>
          <w:color w:val="auto"/>
          <w:highlight w:val="none"/>
        </w:rPr>
      </w:pPr>
      <w:bookmarkStart w:id="71" w:name="_Toc8183"/>
      <w:bookmarkStart w:id="72" w:name="_Toc15377225"/>
      <w:bookmarkStart w:id="73" w:name="_Toc15396613"/>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71"/>
      <w:bookmarkEnd w:id="72"/>
      <w:bookmarkEnd w:id="73"/>
    </w:p>
    <w:p>
      <w:pPr>
        <w:spacing w:line="600" w:lineRule="exact"/>
        <w:jc w:val="left"/>
        <w:rPr>
          <w:rFonts w:ascii="宋体"/>
          <w:b/>
          <w:color w:val="auto"/>
          <w:sz w:val="44"/>
          <w:szCs w:val="44"/>
          <w:highlight w:val="none"/>
        </w:rPr>
      </w:pP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hint="eastAsia" w:ascii="仿宋_GB2312" w:eastAsia="仿宋_GB2312"/>
          <w:color w:val="auto"/>
          <w:sz w:val="32"/>
          <w:szCs w:val="32"/>
          <w:highlight w:val="none"/>
        </w:rPr>
        <w:t xml:space="preserve"> </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6.年初结转和结余：指以前年度尚未完成、结转到本年按有关规定继续使用的资金。 </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pStyle w:val="27"/>
        <w:spacing w:line="560" w:lineRule="exact"/>
        <w:ind w:firstLine="640" w:firstLineChars="200"/>
        <w:rPr>
          <w:rFonts w:hint="eastAsia" w:ascii="仿宋_GB2312" w:eastAsia="仿宋_GB2312"/>
          <w:color w:val="auto"/>
          <w:sz w:val="32"/>
          <w:szCs w:val="32"/>
          <w:highlight w:val="none"/>
        </w:rPr>
      </w:pPr>
      <w:bookmarkStart w:id="74" w:name="_Toc15377226"/>
      <w:r>
        <w:rPr>
          <w:rFonts w:hint="eastAsia" w:ascii="仿宋_GB2312" w:eastAsia="仿宋_GB2312"/>
          <w:color w:val="auto"/>
          <w:sz w:val="32"/>
          <w:szCs w:val="32"/>
          <w:highlight w:val="none"/>
        </w:rPr>
        <w:t>9.一般公共服务（类）纪检监察事务（款）行政运行（项）: 指纪检、监察方面的基本支出</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10.一般公共服务（类）纪检监察事务（款）一般行政管理事务（项）: 指纪检、监察方面的未单独设置项及科目的其他项目支出。</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11.一般公共服务（类）纪检监察事务（款）巡视工作（项）: 指中央和地方巡视机构的专项业务支出。</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12.一般公共服务（类）纪检监察事务（款）其他纪检监察事务支出（项）: 指其他纪检监察事务方面的支出。</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13.社会保障和就业（类）行政事业单位养老支出（款）  机关事业单位基本养老保险缴费支出（项）: 指机关事业单位实施养老保险制度由单位缴纳的基本养老保险费支出。</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14.社会保障和就业（类）其他社会保障和就业支出（款）其他社会保障和就业支出（项）: 指其他用于社会保障和就业方面的支出</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15.卫生健康支出（类）行政事业单位医疗（款）行政单位医疗（项）: 指行政事业单位医疗方面的支出</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16.卫生健康支出（类）行政事业单位医疗（款）公务员医疗补助（项）: 指财政部门安排的公务员医疗补助经费。</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17.住房保障支出（类）住房改革支出（款）住房公积金（项）：指行政事业单位按人力资源和社会保障部、财政部规定的基本工资和津贴补贴以及规定比例为职工缴纳的住房公积金。</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18.基本支出：指为保障机构正常运转、完成日常工作任务而发生的人员支出和公用支出。</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19.项目支出：指在基本支出之外为完成特定行政任务和事业发展目标所发生的支出。 </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20.经营支出：指事业单位在专业业务活动及其辅助活动之外开展非独立核算经营活动发生的支出。</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9"/>
          <w:rFonts w:hint="eastAsia" w:ascii="黑体" w:hAnsi="黑体" w:eastAsia="黑体"/>
          <w:b w:val="0"/>
          <w:color w:val="auto"/>
          <w:highlight w:val="none"/>
          <w:lang w:eastAsia="zh-CN"/>
        </w:rPr>
      </w:pPr>
      <w:r>
        <w:rPr>
          <w:rFonts w:ascii="宋体"/>
          <w:b/>
          <w:color w:val="auto"/>
          <w:sz w:val="44"/>
          <w:szCs w:val="44"/>
          <w:highlight w:val="none"/>
        </w:rPr>
        <w:br w:type="page"/>
      </w:r>
      <w:bookmarkStart w:id="75" w:name="_Toc24046"/>
      <w:bookmarkStart w:id="76" w:name="_Toc15396614"/>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75"/>
      <w:bookmarkEnd w:id="76"/>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bookmarkStart w:id="77" w:name="_Toc20386"/>
      <w:r>
        <w:rPr>
          <w:rFonts w:hint="eastAsia" w:ascii="黑体" w:hAnsi="黑体" w:eastAsia="黑体" w:cs="黑体"/>
          <w:color w:val="auto"/>
          <w:sz w:val="32"/>
          <w:szCs w:val="32"/>
          <w:highlight w:val="none"/>
        </w:rPr>
        <w:t>附件</w:t>
      </w:r>
      <w:bookmarkEnd w:id="77"/>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w:t>
      </w:r>
      <w:r>
        <w:rPr>
          <w:rFonts w:hint="eastAsia" w:ascii="方正小标宋简体" w:hAnsi="宋体" w:eastAsia="方正小标宋简体"/>
          <w:kern w:val="0"/>
          <w:sz w:val="40"/>
          <w:szCs w:val="44"/>
          <w:lang w:val="en-US" w:eastAsia="zh-CN"/>
        </w:rPr>
        <w:t>2</w:t>
      </w:r>
      <w:r>
        <w:rPr>
          <w:rFonts w:hint="eastAsia" w:ascii="方正小标宋简体" w:hAnsi="宋体" w:eastAsia="方正小标宋简体"/>
          <w:kern w:val="0"/>
          <w:sz w:val="40"/>
          <w:szCs w:val="44"/>
        </w:rPr>
        <w:t>年</w:t>
      </w:r>
      <w:r>
        <w:rPr>
          <w:rFonts w:hint="eastAsia" w:ascii="方正小标宋简体" w:hAnsi="宋体" w:eastAsia="方正小标宋简体"/>
          <w:kern w:val="0"/>
          <w:sz w:val="40"/>
          <w:szCs w:val="44"/>
          <w:lang w:eastAsia="zh-CN"/>
        </w:rPr>
        <w:t>区委</w:t>
      </w:r>
      <w:r>
        <w:rPr>
          <w:rFonts w:hint="eastAsia" w:ascii="方正小标宋简体" w:hAnsi="宋体" w:eastAsia="方正小标宋简体"/>
          <w:kern w:val="0"/>
          <w:sz w:val="40"/>
          <w:szCs w:val="44"/>
        </w:rPr>
        <w:t>巡察办部门整体绩效评价报告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distribute"/>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区委巡察办设一个办公室、三个巡察组、一个巡察信息服务中心，办公室负责机构日常运转，巡察组承担巡察任务，巡察信息服务中心负责区委巡察信息化建设的规划和实施。</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zh-CN"/>
        </w:rPr>
        <w:t>区委巡察办负责向区委和区委巡察工作领导小组报告工作情况，传达贯彻上级巡视巡察机构和区委巡察工作领导小组的决策和部署；统筹、协调、指导巡察组开展工作；承担政策研究、制度建设等工作；对区委和区委巡察工作领导小组决定的事项进行督办；配合区纪委、区委组织部及有关部门对巡察工作人员进行培训、考核、监督和管理；健全与纪检监察机关、政法机关和组织、审计、信访等部门的联合机制，负责与其沟通衔接；完成区委和区委巡察工作领导小组交办的其他任务。区委各巡察组向区委巡察工作领导小组负责并报告工作；根据巡察工作计划开展巡察工作；办理区委巡察工作领导小组交办的其他事项。</w:t>
      </w:r>
      <w:r>
        <w:rPr>
          <w:rFonts w:hint="eastAsia" w:ascii="仿宋_GB2312" w:eastAsia="仿宋_GB2312"/>
          <w:color w:val="auto"/>
          <w:sz w:val="32"/>
          <w:szCs w:val="32"/>
          <w:lang w:val="en-US" w:eastAsia="zh-CN"/>
        </w:rPr>
        <w:t>区巡察信息服务中心向区委巡察办报告工作；负责区委巡察信息化建设的规划、实施，承担数据和巡察信息的收集、汇总、管理、分析利用、保密等工作；负责配合区委巡察组做好日常联络服务工作；负责互联网、党政网、纪检监察专网、财经网等工作运行网络的建设、管理和维护；完成区委巡察办的其他事项；</w:t>
      </w:r>
    </w:p>
    <w:p>
      <w:pPr>
        <w:autoSpaceDE w:val="0"/>
        <w:autoSpaceDN w:val="0"/>
        <w:adjustRightInd w:val="0"/>
        <w:spacing w:line="600" w:lineRule="exact"/>
        <w:ind w:firstLine="643" w:firstLineChars="200"/>
        <w:jc w:val="left"/>
        <w:outlineLvl w:val="2"/>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（三）人员概况。</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本部门核定编制15名，现有在编人员14人。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w:t>
      </w:r>
      <w:r>
        <w:rPr>
          <w:rFonts w:hint="eastAsia" w:ascii="仿宋" w:hAnsi="仿宋" w:eastAsia="仿宋"/>
          <w:b/>
          <w:color w:val="auto"/>
          <w:sz w:val="32"/>
          <w:szCs w:val="32"/>
          <w:highlight w:val="none"/>
          <w:lang w:val="zh-CN" w:eastAsia="zh-CN"/>
        </w:rPr>
        <w:t>一</w:t>
      </w:r>
      <w:r>
        <w:rPr>
          <w:rFonts w:hint="eastAsia" w:ascii="楷体_GB2312" w:hAnsi="楷体_GB2312" w:eastAsia="楷体_GB2312" w:cs="楷体_GB2312"/>
          <w:b/>
          <w:bCs/>
          <w:color w:val="auto"/>
          <w:kern w:val="0"/>
          <w:sz w:val="32"/>
          <w:szCs w:val="32"/>
          <w:highlight w:val="none"/>
          <w:shd w:val="clear" w:color="auto" w:fill="FFFFFF"/>
          <w:lang w:val="zh-CN"/>
        </w:rPr>
        <w:t>）</w:t>
      </w:r>
      <w:r>
        <w:rPr>
          <w:rFonts w:hint="eastAsia" w:ascii="仿宋" w:hAnsi="仿宋" w:eastAsia="仿宋"/>
          <w:b/>
          <w:color w:val="auto"/>
          <w:sz w:val="32"/>
          <w:szCs w:val="32"/>
          <w:highlight w:val="none"/>
          <w:lang w:val="zh-CN" w:eastAsia="zh-CN"/>
        </w:rPr>
        <w:t>部门财政资金收入情况</w:t>
      </w:r>
      <w:r>
        <w:rPr>
          <w:rFonts w:hint="eastAsia" w:ascii="楷体_GB2312" w:hAnsi="楷体_GB2312" w:eastAsia="楷体_GB2312" w:cs="楷体_GB2312"/>
          <w:b/>
          <w:bCs/>
          <w:color w:val="auto"/>
          <w:kern w:val="0"/>
          <w:sz w:val="32"/>
          <w:szCs w:val="32"/>
          <w:highlight w:val="none"/>
          <w:shd w:val="clear" w:color="auto" w:fill="FFFFFF"/>
          <w:lang w:val="zh-CN"/>
        </w:rPr>
        <w:t>。</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2022年度</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财政资金</w:t>
      </w:r>
      <w:r>
        <w:rPr>
          <w:rFonts w:hint="eastAsia" w:ascii="仿宋_GB2312" w:eastAsia="仿宋_GB2312"/>
          <w:color w:val="auto"/>
          <w:sz w:val="32"/>
          <w:szCs w:val="32"/>
          <w:lang w:val="en-US" w:eastAsia="zh-CN"/>
        </w:rPr>
        <w:t>收入总计326.25万元，与2021年相比，</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财政资金</w:t>
      </w:r>
      <w:r>
        <w:rPr>
          <w:rFonts w:hint="eastAsia" w:ascii="仿宋_GB2312" w:eastAsia="仿宋_GB2312"/>
          <w:color w:val="auto"/>
          <w:sz w:val="32"/>
          <w:szCs w:val="32"/>
          <w:lang w:val="en-US" w:eastAsia="zh-CN"/>
        </w:rPr>
        <w:t>收入总计增加24.96万元，增长8.28%。主要原因系本年度人员增加以及巡察专项项目后续开展工作量增加。</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（二）部门财政资金支出情况。</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2022年度</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财政资金</w:t>
      </w:r>
      <w:r>
        <w:rPr>
          <w:rFonts w:hint="eastAsia" w:ascii="仿宋_GB2312" w:eastAsia="仿宋_GB2312"/>
          <w:color w:val="auto"/>
          <w:sz w:val="32"/>
          <w:szCs w:val="32"/>
          <w:lang w:val="en-US" w:eastAsia="zh-CN"/>
        </w:rPr>
        <w:t>支出总计326.25万元。与2021年相比，</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财政资金</w:t>
      </w:r>
      <w:r>
        <w:rPr>
          <w:rFonts w:hint="eastAsia" w:ascii="仿宋_GB2312" w:eastAsia="仿宋_GB2312"/>
          <w:color w:val="auto"/>
          <w:sz w:val="32"/>
          <w:szCs w:val="32"/>
          <w:lang w:val="en-US" w:eastAsia="zh-CN"/>
        </w:rPr>
        <w:t>支出总计增加24.96万元，增长8.28%。主要原因系本年度人员增加以及巡察专项项目后续开展工作量增加。</w:t>
      </w:r>
    </w:p>
    <w:p>
      <w:pPr>
        <w:pStyle w:val="5"/>
        <w:pageBreakBefore w:val="0"/>
        <w:widowControl w:val="0"/>
        <w:kinsoku/>
        <w:wordWrap/>
        <w:overflowPunct/>
        <w:topLinePunct w:val="0"/>
        <w:bidi w:val="0"/>
        <w:snapToGrid/>
        <w:spacing w:line="520" w:lineRule="exact"/>
        <w:ind w:firstLine="640" w:firstLineChars="200"/>
        <w:textAlignment w:val="auto"/>
        <w:rPr>
          <w:rFonts w:hint="eastAsia" w:ascii="黑体" w:eastAsia="黑体"/>
          <w:b w:val="0"/>
          <w:color w:val="auto"/>
          <w:highlight w:val="none"/>
          <w:lang w:val="en-US" w:eastAsia="zh-CN"/>
        </w:rPr>
      </w:pPr>
      <w:r>
        <w:rPr>
          <w:rFonts w:hint="eastAsia" w:ascii="黑体" w:eastAsia="黑体"/>
          <w:b w:val="0"/>
          <w:color w:val="auto"/>
          <w:highlight w:val="none"/>
          <w:lang w:val="en-US" w:eastAsia="zh-CN"/>
        </w:rPr>
        <w:t>三、部门整体预算绩效管理情况</w:t>
      </w:r>
    </w:p>
    <w:p>
      <w:pPr>
        <w:pageBreakBefore w:val="0"/>
        <w:widowControl w:val="0"/>
        <w:kinsoku/>
        <w:wordWrap/>
        <w:overflowPunct/>
        <w:topLinePunct w:val="0"/>
        <w:autoSpaceDE w:val="0"/>
        <w:autoSpaceDN w:val="0"/>
        <w:bidi w:val="0"/>
        <w:adjustRightInd w:val="0"/>
        <w:snapToGrid/>
        <w:spacing w:line="520" w:lineRule="exact"/>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（一）部门预算项目绩效管理。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本年度人员类支出210.95万元，完成预算100%，足额保障率100%、按时发放率100%，均达到年初</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绩效目标设定。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本年度运转类支出36.80万元，完成预算100%，足额保障率100%、按时发放率100%，均达到年初</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绩效目标设定。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color w:val="000000"/>
          <w:spacing w:val="0"/>
          <w:w w:val="100"/>
          <w:position w:val="0"/>
          <w:sz w:val="30"/>
          <w:szCs w:val="30"/>
          <w:lang w:val="en-US" w:eastAsia="zh-CN"/>
        </w:rPr>
        <w:t>2022年</w:t>
      </w:r>
      <w:r>
        <w:rPr>
          <w:rFonts w:hint="eastAsia" w:ascii="仿宋_GB2312" w:hAnsi="仿宋_GB2312" w:eastAsia="仿宋_GB2312" w:cs="仿宋_GB2312"/>
          <w:b w:val="0"/>
          <w:bCs w:val="0"/>
          <w:snapToGrid/>
          <w:kern w:val="2"/>
          <w:sz w:val="32"/>
          <w:szCs w:val="32"/>
          <w:lang w:val="en-US" w:eastAsia="zh-CN" w:bidi="ar-SA"/>
        </w:rPr>
        <w:t>项目支出</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78.49</w:t>
      </w:r>
      <w:r>
        <w:rPr>
          <w:rFonts w:hint="eastAsia" w:ascii="仿宋_GB2312" w:hAnsi="仿宋_GB2312" w:eastAsia="仿宋_GB2312" w:cs="仿宋_GB2312"/>
          <w:b w:val="0"/>
          <w:bCs w:val="0"/>
          <w:snapToGrid/>
          <w:kern w:val="2"/>
          <w:sz w:val="32"/>
          <w:szCs w:val="32"/>
          <w:lang w:val="en-US" w:eastAsia="zh-CN" w:bidi="ar-SA"/>
        </w:rPr>
        <w:t>万元，巡察工作专项经费支付率100%，</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足额保障率100%</w:t>
      </w:r>
      <w:r>
        <w:rPr>
          <w:rFonts w:hint="eastAsia" w:ascii="仿宋_GB2312" w:hAnsi="仿宋_GB2312" w:eastAsia="仿宋_GB2312" w:cs="仿宋_GB2312"/>
          <w:b w:val="0"/>
          <w:bCs w:val="0"/>
          <w:snapToGrid/>
          <w:kern w:val="2"/>
          <w:sz w:val="32"/>
          <w:szCs w:val="32"/>
          <w:lang w:val="en-US" w:eastAsia="zh-CN" w:bidi="ar-SA"/>
        </w:rPr>
        <w:t>。</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全年开展了2轮巡察，对94个单位（含81个村、社区）被巡察党组织进行了政治体检。其中，对区水利局、区行政审批局、区经济合作局、区科协、区综合执法局、区残联党组织为期60天的集中巡察，发现问题77个，问题线索2条，进一步深化对村（社区）党组织巡察，推动巡察高质量发展。项目资金按各巡察组实际巡察工作量进行资金分配，主要用于巡察组工作人员的办公费、住宿费、伙食费、个人补助等开支。巡察工作通过贯彻落实“发现问题、形成震慑，推动改革、促进发展”方针，强化政治监督，有力有序推动中央、省委、市委巡视巡察各项决策部署落实落地。项目资金的高效支出确保了巡察工作的顺利开展。</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本单位按要求对2022年部门整体支出情况开展绩效自评，认真做好绩效评价，及时进行信息公开，依法接受上级财政等部门监督。从评价情况来看，整体执行情况良好，符合党中央、国务院和省委、省政府决策部署，资金分配及使用合规合法，取得较好的社会效益，但还存在管理不健全等问题。我部门已及时分析原因并进行结果反馈，将进一步加强预决算管理，确保各项资金发挥最大效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b/>
          <w:bCs/>
          <w:lang w:val="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总体来说，202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年度部门预算具有明确的用途和目标，</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我办</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预算执行、综合管理、整体绩效方面，都按相关规定严格执行，并合理安排支出,使财政资金发辉最大的效益。制定了较为细致的执行计划，资金到位及时并严格按照财政有关规定专款专用，保障项目顺利开展时效，并取得了较为满意的社会效益。</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预算编制前根据年度内单位可预见的工作任务，确定了单位年度预算目标，细化了预算指标，但是在实际支付过程中，个别时候未严格按照预算指标执行。</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一是</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加强</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理论</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学习。组织单位财务人员认真学习《预算法》等相关法规、制度,提高单位领导对全面预算管理的重视程度,增强财务人员的预算意识。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二是</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严格</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制度</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管理。认真贯彻落实中央八项规定，切实加强“三公”经费和会议费、培训费管理，严格按照规定开支有关经费，确保单位“三公”经费只减不增。</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三是建立健全制度</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。建立健全并认真执行各项资金使用管理制度，建立内部控制机制，资金使用严格履行审批程序，确保资金支出合法、</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真</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实。严格落实会计核算、报销审批制度，加强对资金使用环节的监督。</w:t>
      </w:r>
    </w:p>
    <w:p>
      <w:pPr>
        <w:pStyle w:val="2"/>
        <w:numPr>
          <w:ilvl w:val="0"/>
          <w:numId w:val="0"/>
        </w:numPr>
        <w:ind w:leftChars="200" w:right="-120" w:rightChars="0"/>
        <w:jc w:val="both"/>
        <w:rPr>
          <w:rFonts w:hint="eastAsia"/>
          <w:lang w:val="zh-CN"/>
        </w:rPr>
      </w:pPr>
    </w:p>
    <w:p>
      <w:pPr>
        <w:widowControl/>
        <w:adjustRightInd w:val="0"/>
        <w:snapToGrid w:val="0"/>
        <w:spacing w:line="62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附表：</w:t>
      </w:r>
      <w:r>
        <w:rPr>
          <w:rFonts w:hint="eastAsia" w:ascii="仿宋_GB2312" w:hAnsi="Calibri" w:eastAsia="仿宋_GB2312" w:cs="仿宋"/>
          <w:color w:val="auto"/>
          <w:kern w:val="0"/>
          <w:sz w:val="32"/>
          <w:szCs w:val="32"/>
          <w:highlight w:val="none"/>
          <w:lang w:val="en-US" w:eastAsia="zh-CN" w:bidi="ar-SA"/>
        </w:rPr>
        <w:t xml:space="preserve">1. </w:t>
      </w:r>
      <w:r>
        <w:rPr>
          <w:rFonts w:hint="eastAsia" w:ascii="仿宋_GB2312" w:hAnsi="Calibri" w:eastAsia="仿宋_GB2312" w:cs="仿宋"/>
          <w:color w:val="auto"/>
          <w:kern w:val="0"/>
          <w:sz w:val="32"/>
          <w:szCs w:val="32"/>
          <w:highlight w:val="none"/>
          <w:lang w:val="zh-CN" w:eastAsia="zh-CN" w:bidi="ar-SA"/>
        </w:rPr>
        <w:t>部门整体支出绩效自评表</w:t>
      </w:r>
    </w:p>
    <w:p>
      <w:pPr>
        <w:widowControl/>
        <w:numPr>
          <w:ilvl w:val="0"/>
          <w:numId w:val="8"/>
        </w:numPr>
        <w:adjustRightInd w:val="0"/>
        <w:snapToGrid w:val="0"/>
        <w:spacing w:line="580" w:lineRule="exact"/>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巡察工作专项经费项目绩效目标自评表</w:t>
      </w: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tbl>
      <w:tblPr>
        <w:tblStyle w:val="16"/>
        <w:tblW w:w="11160" w:type="dxa"/>
        <w:tblInd w:w="-1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5"/>
        <w:gridCol w:w="700"/>
        <w:gridCol w:w="817"/>
        <w:gridCol w:w="545"/>
        <w:gridCol w:w="2422"/>
        <w:gridCol w:w="2617"/>
        <w:gridCol w:w="936"/>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11160"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28"/>
                <w:szCs w:val="28"/>
                <w:u w:val="none"/>
                <w:lang w:val="en-US" w:eastAsia="zh-CN" w:bidi="ar"/>
              </w:rPr>
              <w:t>区委巡察办2022年度部门整体支出绩效自评表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 w:hRule="atLeast"/>
        </w:trPr>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261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计分标准</w:t>
            </w:r>
          </w:p>
        </w:tc>
        <w:tc>
          <w:tcPr>
            <w:tcW w:w="9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1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部门预算管理（80分）</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预算编制（30分）</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评价部门绩效目标是否要素完整、细化量化。</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评价部门绩效目标实际实现程度与预期目标的偏离度。</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以项目完成数量为核心，评价项目实际完成情况</w:t>
            </w:r>
            <w:bookmarkStart w:id="106" w:name="_GoBack"/>
            <w:bookmarkEnd w:id="106"/>
            <w:r>
              <w:rPr>
                <w:rFonts w:hint="eastAsia" w:ascii="宋体" w:hAnsi="宋体" w:eastAsia="宋体" w:cs="宋体"/>
                <w:i w:val="0"/>
                <w:iCs w:val="0"/>
                <w:color w:val="000000"/>
                <w:kern w:val="0"/>
                <w:sz w:val="18"/>
                <w:szCs w:val="18"/>
                <w:u w:val="none"/>
                <w:lang w:val="en-US" w:eastAsia="zh-CN" w:bidi="ar"/>
              </w:rPr>
              <w:t>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编制准确</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评价部门年初预算编制是否科学准确。</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指标得分=（1-（10×部门全年预算调剂金额/年初部门预算数））*指标分值。其中：若部门全年预算调剂金额/年初部门预算数&gt;0.1，此项得0分。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预算执行（30分）</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支出控制</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部门公用经费及非定额公用支出控制情况。</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动态调整</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评价部门开展绩效运行监控后，将绩效监控结果应用到预算调整的情况。</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评价部门在6、9、11月的预算执行情况。</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完成结果（20分）</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评价部门预算项目年终预算执行情况。</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部门预算项目12月预算执行进度达到100%的，得10分，未达100%的，按照实际进度量化计算得分。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违规记录</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根据审计监督、财政检查结果反映部门上一年度部门预算管理是否合规。</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依据评价年度审计监督、财政检查结果，出现部门预算管理方面违纪违规问题的，每个问题扣0.5分，直至扣完。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绩效结果应用（10分）</w:t>
            </w:r>
          </w:p>
        </w:tc>
        <w:tc>
          <w:tcPr>
            <w:tcW w:w="7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信息公开（2分)</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自评公开</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评价部门是否按要求将部门整体绩效自评情况和自行组织的评价情况向社会公开。</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按要求将相关绩效信息随同决算公开的，得2分，否则不得分。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整改反馈（8分）</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结果整改</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评价部门根据绩效管理结果整改问题、完善政策、改进管理的情况。</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应用反馈</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评价部门按要求及时向财政部门反馈结果应用情况。</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部门在规定时间内向财政部门反馈应用绩效结果报告的，得满分，否则不得分。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7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8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自评准确</w:t>
            </w:r>
          </w:p>
        </w:tc>
        <w:tc>
          <w:tcPr>
            <w:tcW w:w="5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2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评价部门整体支出自评准确率。</w:t>
            </w:r>
          </w:p>
        </w:tc>
        <w:tc>
          <w:tcPr>
            <w:tcW w:w="26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9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88"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tbl>
      <w:tblPr>
        <w:tblStyle w:val="16"/>
        <w:tblW w:w="11220" w:type="dxa"/>
        <w:tblInd w:w="-11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421"/>
        <w:gridCol w:w="1572"/>
        <w:gridCol w:w="1562"/>
        <w:gridCol w:w="876"/>
        <w:gridCol w:w="1191"/>
        <w:gridCol w:w="396"/>
        <w:gridCol w:w="846"/>
        <w:gridCol w:w="486"/>
        <w:gridCol w:w="396"/>
        <w:gridCol w:w="1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11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黑体" w:hAnsi="黑体" w:eastAsia="黑体" w:cs="黑体"/>
                <w:b w:val="0"/>
                <w:bCs w:val="0"/>
                <w:i w:val="0"/>
                <w:iCs w:val="0"/>
                <w:color w:val="000000"/>
                <w:kern w:val="0"/>
                <w:sz w:val="28"/>
                <w:szCs w:val="2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1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51090422T000000394460-巡察工作专项经费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7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中共遂宁市安居区委巡察工作领导小组办公室部门</w:t>
            </w:r>
          </w:p>
        </w:tc>
        <w:tc>
          <w:tcPr>
            <w:tcW w:w="79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中共遂宁市安居区委巡察工作领导小组办公室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7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7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开展3轮巡察，共巡察单位18个，40个村（社区）。</w:t>
            </w:r>
          </w:p>
        </w:tc>
        <w:tc>
          <w:tcPr>
            <w:tcW w:w="33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全年开展了2轮巡察，共对94个单位（含81个村、社区）开展了政治巡察，本年度任务完成率100%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91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察工作专项经费支出主要用于巡察组工作人员的办公费、住宿费、伙食费、个人补助等。单位根据年度巡察工作任务申请立项，通过审议批准后，纳入年初本级预算。项目开展后，我单位在预算一体化系统中申请使用资金并向财政局归口股室递交项目专项资金申请表提交申请，国库等业务股室审核通过后，指标下达到本单位，本单位再按经费实际开支情况，据实报销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75.90</w:t>
            </w:r>
          </w:p>
        </w:tc>
        <w:tc>
          <w:tcPr>
            <w:tcW w:w="2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75.90</w:t>
            </w:r>
          </w:p>
        </w:tc>
        <w:tc>
          <w:tcPr>
            <w:tcW w:w="2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开展巡察轮次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因时间原因将3轮巡察调整为2轮，但巡察单位个数并未减少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巡察行政事业单位单位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巡察村（社区）</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通过巡察发现问题推动改革，促进社会经济发展</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通过巡察使全面从严治党向纵深发展，进一步提升群众满意度和获得感</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人民群众满意度</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05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05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一是预算编制精确度有待进一步提高；二是因有关经营方未及时提供合法票据、完善报账手续，资金拨付还存在不及时的问题。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05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优化预算编制，加强预算执行。合理安排预算支出计划，优化资金支出结构，强化资金统筹和绩效管理，确保巡察工作有效开展。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bl>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kinsoku w:val="0"/>
        <w:overflowPunct w:val="0"/>
        <w:spacing w:line="550" w:lineRule="exact"/>
        <w:jc w:val="center"/>
        <w:rPr>
          <w:rFonts w:eastAsia="方正小标宋简体"/>
          <w:spacing w:val="1"/>
          <w:sz w:val="44"/>
          <w:szCs w:val="44"/>
        </w:rPr>
      </w:pPr>
      <w:r>
        <w:rPr>
          <w:rFonts w:hint="eastAsia" w:eastAsia="方正小标宋简体"/>
          <w:spacing w:val="1"/>
          <w:sz w:val="44"/>
          <w:szCs w:val="44"/>
        </w:rPr>
        <w:t>中共遂宁市安居区委巡察工作领导小组办公室</w:t>
      </w:r>
      <w:r>
        <w:rPr>
          <w:rFonts w:eastAsia="方正小标宋简体"/>
          <w:spacing w:val="1"/>
          <w:sz w:val="44"/>
          <w:szCs w:val="44"/>
        </w:rPr>
        <w:t>项目支出绩效自评报告</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（巡察工作专项经费项目）</w:t>
      </w:r>
    </w:p>
    <w:p>
      <w:pPr>
        <w:pStyle w:val="35"/>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说明项目主管部门（单位）在该项目管理中的职能。</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根据区委安排，区委巡察办统筹协调、指导</w:t>
      </w:r>
      <w:r>
        <w:rPr>
          <w:rFonts w:hint="eastAsia" w:ascii="仿宋_GB2312" w:hAnsi="宋体" w:eastAsia="仿宋_GB2312"/>
          <w:sz w:val="32"/>
          <w:szCs w:val="32"/>
          <w:lang w:val="en-US" w:eastAsia="zh-CN"/>
        </w:rPr>
        <w:t>督导、服务保障</w:t>
      </w:r>
      <w:r>
        <w:rPr>
          <w:rFonts w:hint="eastAsia" w:ascii="仿宋_GB2312" w:hAnsi="宋体" w:eastAsia="仿宋_GB2312"/>
          <w:sz w:val="32"/>
          <w:szCs w:val="32"/>
        </w:rPr>
        <w:t>区委巡察组开展巡察工作，根据往年支出决算数合理预算本年度巡察工作专项经费，保障巡察工作顺利开展。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项目立项、资金申报的依据。</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lang w:val="zh-CN" w:eastAsia="zh-CN"/>
        </w:rPr>
      </w:pPr>
      <w:r>
        <w:rPr>
          <w:rFonts w:hint="eastAsia" w:ascii="仿宋_GB2312" w:eastAsia="仿宋_GB2312"/>
          <w:color w:val="auto"/>
          <w:sz w:val="32"/>
          <w:szCs w:val="32"/>
          <w:lang w:val="en-US" w:eastAsia="zh-CN"/>
        </w:rPr>
        <w:t>《中国共产党巡视工作条例》《关于市县党委建立巡察制度的意见》《四川省市（州）、县（市、区）党委巡察工作办法》《中共遂宁市安居区委2022年度巡察工作计划》</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color w:val="auto"/>
          <w:kern w:val="0"/>
          <w:sz w:val="32"/>
          <w:szCs w:val="32"/>
          <w:highlight w:val="none"/>
          <w:u w:val="none"/>
          <w:shd w:val="clear" w:color="auto" w:fill="FFFFFF"/>
          <w:lang w:val="zh-CN"/>
        </w:rPr>
        <w:t>管理办法制定情况，资金支持具体项目的条件、范围与支持方式概况。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巡察工作专项经费支出主要用于巡察组工作人员的办公费、住宿费、伙食费、个人补助等，严禁其他无关费用支出。巡察工作专项经费严格按照专款专用原则，及时通知有关单位提供合法票据，完善报账手续，严格票据审核，规范报账程序，确保资金使用的及时性、规范性，同时财政部门对资金支付严格审核，确保资金使用安全。根据国家财经法规和单位财务管理制度的相关规定以及有关项目资金管理办法的规定支出，做到了资金使用的安全性、规范性，保证资金使用无截留、挤占、挪用、虚列支出等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zh-CN"/>
        </w:rPr>
        <w:t>资金分配的原则及考虑因素。</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该项目资金根据巡察次数</w:t>
      </w:r>
      <w:r>
        <w:rPr>
          <w:rFonts w:hint="eastAsia" w:ascii="仿宋_GB2312" w:hAnsi="宋体" w:eastAsia="仿宋_GB2312"/>
          <w:sz w:val="32"/>
          <w:szCs w:val="32"/>
          <w:lang w:eastAsia="zh-CN"/>
        </w:rPr>
        <w:t>和所需人数等</w:t>
      </w:r>
      <w:r>
        <w:rPr>
          <w:rFonts w:hint="eastAsia" w:ascii="仿宋_GB2312" w:hAnsi="宋体" w:eastAsia="仿宋_GB2312"/>
          <w:sz w:val="32"/>
          <w:szCs w:val="32"/>
        </w:rPr>
        <w:t>实际情况按需支取。</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1．项目主要内容。</w:t>
      </w:r>
    </w:p>
    <w:p>
      <w:pPr>
        <w:pStyle w:val="7"/>
        <w:ind w:firstLine="600" w:firstLineChars="200"/>
        <w:rPr>
          <w:rFonts w:hint="eastAsia"/>
          <w:highlight w:val="none"/>
          <w:lang w:val="zh-CN"/>
        </w:rPr>
      </w:pPr>
      <w:r>
        <w:rPr>
          <w:rFonts w:hint="eastAsia"/>
          <w:highlight w:val="none"/>
          <w:lang w:val="zh-CN"/>
        </w:rPr>
        <w:t>开展常规巡察2轮、共巡察</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94个单位（含81个村、社区）</w:t>
      </w:r>
      <w:r>
        <w:rPr>
          <w:rFonts w:hint="eastAsia"/>
          <w:highlight w:val="none"/>
          <w:lang w:val="zh-CN"/>
        </w:rPr>
        <w:t>，</w:t>
      </w:r>
      <w:r>
        <w:rPr>
          <w:rFonts w:hint="default" w:ascii="仿宋_GB2312" w:eastAsia="仿宋_GB2312"/>
          <w:color w:val="auto"/>
          <w:sz w:val="32"/>
          <w:szCs w:val="32"/>
          <w:highlight w:val="none"/>
          <w:lang w:val="en-US" w:eastAsia="zh-CN"/>
        </w:rPr>
        <w:t>完成对区水利局、区行政审批局、区经济合作局、区科协、区综合执法局、区残联党组织为期60天的集中巡察，发现问题</w:t>
      </w:r>
      <w:r>
        <w:rPr>
          <w:rFonts w:hint="eastAsia" w:ascii="仿宋_GB2312" w:eastAsia="仿宋_GB2312"/>
          <w:color w:val="auto"/>
          <w:sz w:val="32"/>
          <w:szCs w:val="32"/>
          <w:highlight w:val="none"/>
          <w:lang w:val="en-US" w:eastAsia="zh-CN"/>
        </w:rPr>
        <w:t>77</w:t>
      </w:r>
      <w:r>
        <w:rPr>
          <w:rFonts w:hint="default" w:ascii="仿宋_GB2312" w:eastAsia="仿宋_GB2312"/>
          <w:color w:val="auto"/>
          <w:sz w:val="32"/>
          <w:szCs w:val="32"/>
          <w:highlight w:val="none"/>
          <w:lang w:val="en-US" w:eastAsia="zh-CN"/>
        </w:rPr>
        <w:t>个，问题线索</w:t>
      </w:r>
      <w:r>
        <w:rPr>
          <w:rFonts w:hint="eastAsia" w:ascii="仿宋_GB2312" w:eastAsia="仿宋_GB2312"/>
          <w:color w:val="auto"/>
          <w:sz w:val="32"/>
          <w:szCs w:val="32"/>
          <w:highlight w:val="none"/>
          <w:lang w:val="en-US" w:eastAsia="zh-CN"/>
        </w:rPr>
        <w:t>2</w:t>
      </w:r>
      <w:r>
        <w:rPr>
          <w:rFonts w:hint="default" w:ascii="仿宋_GB2312" w:eastAsia="仿宋_GB2312"/>
          <w:color w:val="auto"/>
          <w:sz w:val="32"/>
          <w:szCs w:val="32"/>
          <w:highlight w:val="none"/>
          <w:lang w:val="en-US" w:eastAsia="zh-CN"/>
        </w:rPr>
        <w:t>条，开展对横山镇、聚贤镇、白马镇、会龙镇以及所辖81个村（社区）巡察，</w:t>
      </w:r>
      <w:r>
        <w:rPr>
          <w:rFonts w:hint="eastAsia" w:ascii="仿宋_GB2312" w:eastAsia="仿宋_GB2312"/>
          <w:color w:val="auto"/>
          <w:sz w:val="32"/>
          <w:szCs w:val="32"/>
          <w:highlight w:val="none"/>
          <w:lang w:val="en-US" w:eastAsia="zh-CN"/>
        </w:rPr>
        <w:t>协调做好市委统筹开展的</w:t>
      </w:r>
      <w:r>
        <w:rPr>
          <w:rFonts w:hint="default" w:ascii="仿宋_GB2312" w:eastAsia="仿宋_GB2312"/>
          <w:color w:val="auto"/>
          <w:sz w:val="32"/>
          <w:szCs w:val="32"/>
          <w:highlight w:val="none"/>
          <w:lang w:val="en-US" w:eastAsia="zh-CN"/>
        </w:rPr>
        <w:t>对</w:t>
      </w:r>
      <w:r>
        <w:rPr>
          <w:rFonts w:hint="eastAsia" w:ascii="仿宋_GB2312" w:eastAsia="仿宋_GB2312"/>
          <w:color w:val="auto"/>
          <w:sz w:val="32"/>
          <w:szCs w:val="32"/>
          <w:highlight w:val="none"/>
          <w:lang w:val="en-US" w:eastAsia="zh-CN"/>
        </w:rPr>
        <w:t>安居区委宣传部、区委统战部、区教育体育局以及蓬溪县委宣传部、县委统战部、县交运局</w:t>
      </w:r>
      <w:r>
        <w:rPr>
          <w:rFonts w:hint="default" w:ascii="仿宋_GB2312" w:eastAsia="仿宋_GB2312"/>
          <w:color w:val="auto"/>
          <w:sz w:val="32"/>
          <w:szCs w:val="32"/>
          <w:highlight w:val="none"/>
          <w:lang w:val="en-US" w:eastAsia="zh-CN"/>
        </w:rPr>
        <w:t>的交叉巡察。</w:t>
      </w:r>
      <w:r>
        <w:rPr>
          <w:rFonts w:hint="eastAsia"/>
          <w:highlight w:val="none"/>
          <w:lang w:val="zh-CN"/>
        </w:rPr>
        <w:t>圆满完成本年度绩效目标任务。</w:t>
      </w:r>
    </w:p>
    <w:p>
      <w:pPr>
        <w:keepNext w:val="0"/>
        <w:keepLines w:val="0"/>
        <w:pageBreakBefore w:val="0"/>
        <w:widowControl/>
        <w:numPr>
          <w:ilvl w:val="0"/>
          <w:numId w:val="9"/>
        </w:numPr>
        <w:kinsoku/>
        <w:wordWrap/>
        <w:overflowPunct/>
        <w:topLinePunct w:val="0"/>
        <w:autoSpaceDE/>
        <w:autoSpaceDN/>
        <w:bidi w:val="0"/>
        <w:adjustRightInd w:val="0"/>
        <w:snapToGrid w:val="0"/>
        <w:spacing w:line="578" w:lineRule="exact"/>
        <w:ind w:left="-10" w:leftChars="0" w:firstLine="640" w:firstLine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项目应实现的具体绩效目标，</w:t>
      </w:r>
      <w:r>
        <w:rPr>
          <w:rFonts w:hint="eastAsia" w:ascii="仿宋_GB2312" w:hAnsi="仿宋_GB2312" w:eastAsia="仿宋_GB2312" w:cs="仿宋_GB2312"/>
          <w:color w:val="auto"/>
          <w:kern w:val="0"/>
          <w:sz w:val="32"/>
          <w:szCs w:val="32"/>
          <w:highlight w:val="none"/>
          <w:u w:val="none"/>
          <w:shd w:val="clear" w:color="auto" w:fill="FFFFFF"/>
          <w:lang w:val="en-US" w:eastAsia="zh-CN"/>
        </w:rPr>
        <w:t>包括但不限于</w:t>
      </w:r>
      <w:r>
        <w:rPr>
          <w:rFonts w:hint="eastAsia" w:ascii="仿宋_GB2312" w:hAnsi="仿宋_GB2312" w:cs="仿宋_GB2312"/>
          <w:color w:val="auto"/>
          <w:kern w:val="0"/>
          <w:sz w:val="32"/>
          <w:szCs w:val="32"/>
          <w:highlight w:val="none"/>
          <w:u w:val="none"/>
          <w:shd w:val="clear" w:color="auto" w:fill="FFFFFF"/>
          <w:lang w:val="en-US" w:eastAsia="zh-CN"/>
        </w:rPr>
        <w:t>：绩效</w:t>
      </w:r>
      <w:r>
        <w:rPr>
          <w:rFonts w:hint="eastAsia" w:ascii="仿宋_GB2312" w:hAnsi="仿宋_GB2312" w:eastAsia="仿宋_GB2312" w:cs="仿宋_GB2312"/>
          <w:color w:val="auto"/>
          <w:kern w:val="0"/>
          <w:sz w:val="32"/>
          <w:szCs w:val="32"/>
          <w:highlight w:val="none"/>
          <w:u w:val="none"/>
          <w:shd w:val="clear" w:color="auto" w:fill="FFFFFF"/>
          <w:lang w:val="zh-CN"/>
        </w:rPr>
        <w:t>目标的量化细化情况</w:t>
      </w:r>
      <w:r>
        <w:rPr>
          <w:rFonts w:hint="eastAsia" w:ascii="仿宋_GB2312" w:hAnsi="仿宋_GB2312" w:cs="仿宋_GB2312"/>
          <w:color w:val="auto"/>
          <w:kern w:val="0"/>
          <w:sz w:val="32"/>
          <w:szCs w:val="32"/>
          <w:highlight w:val="none"/>
          <w:u w:val="none"/>
          <w:shd w:val="clear" w:color="auto" w:fill="FFFFFF"/>
          <w:lang w:val="zh-CN"/>
        </w:rPr>
        <w:t>、</w:t>
      </w:r>
      <w:r>
        <w:rPr>
          <w:rFonts w:hint="eastAsia" w:ascii="仿宋_GB2312" w:hAnsi="仿宋_GB2312" w:eastAsia="仿宋_GB2312" w:cs="仿宋_GB2312"/>
          <w:color w:val="auto"/>
          <w:kern w:val="0"/>
          <w:sz w:val="32"/>
          <w:szCs w:val="32"/>
          <w:highlight w:val="none"/>
          <w:u w:val="none"/>
          <w:shd w:val="clear" w:color="auto" w:fill="FFFFFF"/>
          <w:lang w:val="zh-CN"/>
        </w:rPr>
        <w:t>项目实施进度计划等。</w:t>
      </w:r>
    </w:p>
    <w:p>
      <w:pPr>
        <w:adjustRightInd w:val="0"/>
        <w:snapToGrid w:val="0"/>
        <w:spacing w:line="600" w:lineRule="exact"/>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（1）数量指标：全年开展</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rPr>
        <w:t>轮巡察，共对</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94个单位（含81个村、社区）</w:t>
      </w:r>
      <w:r>
        <w:rPr>
          <w:rFonts w:hint="eastAsia" w:ascii="仿宋_GB2312" w:hAnsi="宋体" w:eastAsia="仿宋_GB2312"/>
          <w:sz w:val="32"/>
          <w:szCs w:val="32"/>
          <w:highlight w:val="none"/>
        </w:rPr>
        <w:t>开展政治巡察。</w:t>
      </w:r>
    </w:p>
    <w:p>
      <w:pPr>
        <w:adjustRightInd w:val="0"/>
        <w:snapToGrid w:val="0"/>
        <w:spacing w:line="600" w:lineRule="exact"/>
        <w:ind w:firstLine="480" w:firstLineChars="150"/>
        <w:rPr>
          <w:rFonts w:ascii="仿宋_GB2312" w:hAnsi="宋体" w:eastAsia="仿宋_GB2312"/>
          <w:sz w:val="32"/>
          <w:szCs w:val="32"/>
        </w:rPr>
      </w:pPr>
      <w:r>
        <w:rPr>
          <w:rFonts w:hint="eastAsia" w:ascii="仿宋_GB2312" w:hAnsi="宋体" w:eastAsia="仿宋_GB2312"/>
          <w:sz w:val="32"/>
          <w:szCs w:val="32"/>
          <w:highlight w:val="none"/>
        </w:rPr>
        <w:t>（2）质量指标：发现问题</w:t>
      </w:r>
      <w:r>
        <w:rPr>
          <w:rFonts w:hint="eastAsia" w:ascii="仿宋_GB2312" w:hAnsi="宋体" w:eastAsia="仿宋_GB2312"/>
          <w:sz w:val="32"/>
          <w:szCs w:val="32"/>
          <w:highlight w:val="none"/>
          <w:lang w:val="en-US" w:eastAsia="zh-CN"/>
        </w:rPr>
        <w:t>77</w:t>
      </w:r>
      <w:r>
        <w:rPr>
          <w:rFonts w:hint="eastAsia" w:ascii="仿宋_GB2312" w:hAnsi="宋体" w:eastAsia="仿宋_GB2312"/>
          <w:sz w:val="32"/>
          <w:szCs w:val="32"/>
          <w:highlight w:val="none"/>
        </w:rPr>
        <w:t>个，</w:t>
      </w:r>
      <w:r>
        <w:rPr>
          <w:rFonts w:eastAsia="仿宋"/>
          <w:sz w:val="32"/>
          <w:szCs w:val="32"/>
          <w:highlight w:val="none"/>
        </w:rPr>
        <w:t>问题线索</w:t>
      </w:r>
      <w:r>
        <w:rPr>
          <w:rFonts w:hint="eastAsia" w:eastAsia="仿宋"/>
          <w:sz w:val="32"/>
          <w:szCs w:val="32"/>
          <w:highlight w:val="none"/>
          <w:lang w:val="en-US" w:eastAsia="zh-CN"/>
        </w:rPr>
        <w:t>2</w:t>
      </w:r>
      <w:r>
        <w:rPr>
          <w:rFonts w:eastAsia="仿宋"/>
          <w:sz w:val="32"/>
          <w:szCs w:val="32"/>
          <w:highlight w:val="none"/>
        </w:rPr>
        <w:t>条</w:t>
      </w:r>
      <w:r>
        <w:rPr>
          <w:rFonts w:hint="eastAsia" w:eastAsia="仿宋"/>
          <w:sz w:val="32"/>
          <w:szCs w:val="32"/>
          <w:highlight w:val="none"/>
        </w:rPr>
        <w:t>。</w:t>
      </w:r>
      <w:r>
        <w:rPr>
          <w:rFonts w:hint="eastAsia" w:ascii="仿宋_GB2312" w:hAnsi="宋体" w:eastAsia="仿宋_GB2312"/>
          <w:sz w:val="32"/>
          <w:szCs w:val="32"/>
          <w:highlight w:val="none"/>
        </w:rPr>
        <w:t>推动被巡察单位问题整改率95%以上，线索处理率70%以上，有力确保了党的路线方针政策和党中央、省市区各项决策部署</w:t>
      </w:r>
      <w:r>
        <w:rPr>
          <w:rFonts w:hint="eastAsia" w:ascii="仿宋_GB2312" w:hAnsi="宋体" w:eastAsia="仿宋_GB2312"/>
          <w:sz w:val="32"/>
          <w:szCs w:val="32"/>
        </w:rPr>
        <w:t>落实落地。</w:t>
      </w:r>
    </w:p>
    <w:p>
      <w:pPr>
        <w:pStyle w:val="2"/>
        <w:spacing w:before="0" w:after="0"/>
        <w:ind w:firstLine="480" w:firstLineChars="150"/>
        <w:jc w:val="both"/>
        <w:rPr>
          <w:rFonts w:ascii="仿宋_GB2312" w:hAnsi="宋体" w:eastAsia="仿宋_GB2312"/>
          <w:sz w:val="32"/>
          <w:szCs w:val="32"/>
        </w:rPr>
      </w:pPr>
      <w:r>
        <w:rPr>
          <w:rFonts w:hint="eastAsia" w:ascii="仿宋_GB2312" w:hAnsi="宋体" w:eastAsia="仿宋_GB2312"/>
          <w:color w:val="auto"/>
          <w:sz w:val="32"/>
          <w:szCs w:val="32"/>
        </w:rPr>
        <w:t>（3）满意度指标：</w:t>
      </w:r>
      <w:r>
        <w:rPr>
          <w:rFonts w:hint="eastAsia" w:ascii="仿宋_GB2312" w:hAnsi="宋体" w:eastAsia="仿宋_GB2312"/>
          <w:color w:val="auto"/>
          <w:sz w:val="32"/>
          <w:szCs w:val="32"/>
          <w:lang w:eastAsia="zh-CN"/>
        </w:rPr>
        <w:t>人民</w:t>
      </w:r>
      <w:r>
        <w:rPr>
          <w:rFonts w:hint="eastAsia" w:ascii="仿宋_GB2312" w:hAnsi="宋体" w:eastAsia="仿宋_GB2312"/>
          <w:color w:val="auto"/>
          <w:sz w:val="32"/>
          <w:szCs w:val="32"/>
        </w:rPr>
        <w:t>群众满意度得到不断提升。</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80" w:firstLineChars="150"/>
        <w:textAlignment w:val="auto"/>
        <w:rPr>
          <w:rFonts w:hint="eastAsia"/>
          <w:lang w:val="en-US" w:eastAsia="zh-CN"/>
        </w:rPr>
      </w:pPr>
      <w:r>
        <w:rPr>
          <w:rFonts w:hint="eastAsia" w:ascii="仿宋_GB2312" w:hAnsi="宋体" w:eastAsia="仿宋_GB2312"/>
          <w:color w:val="auto"/>
          <w:sz w:val="32"/>
          <w:szCs w:val="32"/>
        </w:rPr>
        <w:t>（</w:t>
      </w:r>
      <w:r>
        <w:rPr>
          <w:rFonts w:hint="eastAsia" w:hAnsi="宋体"/>
          <w:color w:val="auto"/>
          <w:sz w:val="32"/>
          <w:szCs w:val="32"/>
          <w:lang w:val="en-US" w:eastAsia="zh-CN"/>
        </w:rPr>
        <w:t>4</w:t>
      </w:r>
      <w:r>
        <w:rPr>
          <w:rFonts w:hint="eastAsia" w:ascii="仿宋_GB2312" w:hAnsi="宋体" w:eastAsia="仿宋_GB2312"/>
          <w:color w:val="auto"/>
          <w:sz w:val="32"/>
          <w:szCs w:val="32"/>
        </w:rPr>
        <w:t>）</w:t>
      </w:r>
      <w:r>
        <w:rPr>
          <w:rFonts w:hint="eastAsia"/>
          <w:lang w:val="en-US" w:eastAsia="zh-CN"/>
        </w:rPr>
        <w:t>经济效益指标：通过巡察发现问题推动改革，促进社会经济发展</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80" w:firstLineChars="150"/>
        <w:textAlignment w:val="auto"/>
        <w:rPr>
          <w:rFonts w:hint="eastAsia"/>
          <w:lang w:val="en-US" w:eastAsia="zh-CN"/>
        </w:rPr>
      </w:pPr>
      <w:r>
        <w:rPr>
          <w:rFonts w:hint="eastAsia" w:ascii="仿宋_GB2312" w:hAnsi="宋体" w:eastAsia="仿宋_GB2312"/>
          <w:color w:val="auto"/>
          <w:sz w:val="32"/>
          <w:szCs w:val="32"/>
        </w:rPr>
        <w:t>（</w:t>
      </w:r>
      <w:r>
        <w:rPr>
          <w:rFonts w:hint="eastAsia" w:hAnsi="宋体"/>
          <w:color w:val="auto"/>
          <w:sz w:val="32"/>
          <w:szCs w:val="32"/>
          <w:lang w:val="en-US" w:eastAsia="zh-CN"/>
        </w:rPr>
        <w:t>5</w:t>
      </w:r>
      <w:r>
        <w:rPr>
          <w:rFonts w:hint="eastAsia" w:ascii="仿宋_GB2312" w:hAnsi="宋体" w:eastAsia="仿宋_GB2312"/>
          <w:color w:val="auto"/>
          <w:sz w:val="32"/>
          <w:szCs w:val="32"/>
        </w:rPr>
        <w:t>）</w:t>
      </w:r>
      <w:r>
        <w:rPr>
          <w:rFonts w:hint="eastAsia"/>
          <w:lang w:val="en-US" w:eastAsia="zh-CN"/>
        </w:rPr>
        <w:t>社会效益指标：通过巡察使全面从严治党向纵深发展，进一步提升群众满意度和认同感。</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3．分析评价申报内容是否与实际相符，申报目标是否合理可行。</w:t>
      </w:r>
    </w:p>
    <w:p>
      <w:pPr>
        <w:pStyle w:val="7"/>
        <w:keepNext w:val="0"/>
        <w:keepLines w:val="0"/>
        <w:pageBreakBefore w:val="0"/>
        <w:widowControl w:val="0"/>
        <w:numPr>
          <w:ilvl w:val="0"/>
          <w:numId w:val="0"/>
        </w:numPr>
        <w:kinsoku/>
        <w:wordWrap/>
        <w:overflowPunct/>
        <w:topLinePunct w:val="0"/>
        <w:autoSpaceDE/>
        <w:autoSpaceDN/>
        <w:bidi w:val="0"/>
        <w:adjustRightInd/>
        <w:snapToGrid/>
        <w:ind w:firstLine="450" w:firstLineChars="150"/>
        <w:textAlignment w:val="auto"/>
        <w:rPr>
          <w:rFonts w:hint="eastAsia"/>
          <w:lang w:val="zh-CN"/>
        </w:rPr>
      </w:pPr>
      <w:r>
        <w:rPr>
          <w:rFonts w:hint="eastAsia"/>
          <w:lang w:val="zh-CN" w:eastAsia="zh-CN"/>
        </w:rPr>
        <w:t>项目申报内容与具体实施内容相符、申报目标合理可行。项目实施进度如期完成，计划实现的具体绩效目标达到100%，项目实施进度计划达到100%。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Times New Roman" w:eastAsia="仿宋_GB2312" w:cs="Times New Roman"/>
          <w:kern w:val="0"/>
          <w:sz w:val="30"/>
          <w:szCs w:val="24"/>
          <w:lang w:val="zh-CN" w:eastAsia="zh-CN" w:bidi="ar-SA"/>
        </w:rPr>
      </w:pPr>
      <w:r>
        <w:rPr>
          <w:rFonts w:hint="eastAsia" w:ascii="仿宋_GB2312" w:hAnsi="Times New Roman" w:eastAsia="仿宋_GB2312" w:cs="Times New Roman"/>
          <w:kern w:val="0"/>
          <w:sz w:val="30"/>
          <w:szCs w:val="24"/>
          <w:lang w:val="zh-CN" w:eastAsia="zh-CN" w:bidi="ar-SA"/>
        </w:rPr>
        <w:t>该项目绩效自评采用自评方式，本单位结合评价内容，成立了项目评价工作小组，由巡察办主任任评价工作小组组长，巡察组长、巡察办副主任等作为成员，做到有计划，有安排，扎实开展本次自评工作。按照上级下达的项目支出绩效评价指标体系，将通用指标作为评价标准，针对项目决策、项目实施、完成结果等指标，做好了各项指标的自评工作。 共性指标和特性指标因难以通过巡察工作成果直接体现，因此不作为巡察工作专项经费项目的评价指标。评价方法为评价组全体成员结合巡察任务计划和完成情况，对照评价指标进行打分，取平均评分结果。</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Times New Roman" w:eastAsia="仿宋_GB2312" w:cs="Times New Roman"/>
          <w:kern w:val="0"/>
          <w:sz w:val="30"/>
          <w:szCs w:val="24"/>
          <w:lang w:val="zh-CN" w:eastAsia="zh-CN" w:bidi="ar-SA"/>
        </w:rPr>
      </w:pPr>
      <w:r>
        <w:rPr>
          <w:rFonts w:hint="eastAsia" w:ascii="仿宋_GB2312" w:hAnsi="Times New Roman" w:eastAsia="仿宋_GB2312" w:cs="Times New Roman"/>
          <w:kern w:val="0"/>
          <w:sz w:val="30"/>
          <w:szCs w:val="24"/>
          <w:lang w:val="zh-CN" w:eastAsia="zh-CN" w:bidi="ar-SA"/>
        </w:rPr>
        <w:t>202</w:t>
      </w:r>
      <w:r>
        <w:rPr>
          <w:rFonts w:hint="eastAsia" w:ascii="仿宋_GB2312" w:hAnsi="Times New Roman" w:eastAsia="仿宋_GB2312" w:cs="Times New Roman"/>
          <w:kern w:val="0"/>
          <w:sz w:val="30"/>
          <w:szCs w:val="24"/>
          <w:lang w:val="en-US" w:eastAsia="zh-CN" w:bidi="ar-SA"/>
        </w:rPr>
        <w:t>1</w:t>
      </w:r>
      <w:r>
        <w:rPr>
          <w:rFonts w:hint="eastAsia" w:ascii="仿宋_GB2312" w:hAnsi="Times New Roman" w:eastAsia="仿宋_GB2312" w:cs="Times New Roman"/>
          <w:kern w:val="0"/>
          <w:sz w:val="30"/>
          <w:szCs w:val="24"/>
          <w:lang w:val="zh-CN" w:eastAsia="zh-CN" w:bidi="ar-SA"/>
        </w:rPr>
        <w:t>年底，区委巡察办起草《中共安居区委202</w:t>
      </w:r>
      <w:r>
        <w:rPr>
          <w:rFonts w:hint="eastAsia" w:ascii="仿宋_GB2312" w:hAnsi="Times New Roman" w:eastAsia="仿宋_GB2312" w:cs="Times New Roman"/>
          <w:kern w:val="0"/>
          <w:sz w:val="30"/>
          <w:szCs w:val="24"/>
          <w:lang w:val="en-US" w:eastAsia="zh-CN" w:bidi="ar-SA"/>
        </w:rPr>
        <w:t>2</w:t>
      </w:r>
      <w:r>
        <w:rPr>
          <w:rFonts w:hint="eastAsia" w:ascii="仿宋_GB2312" w:hAnsi="Times New Roman" w:eastAsia="仿宋_GB2312" w:cs="Times New Roman"/>
          <w:kern w:val="0"/>
          <w:sz w:val="30"/>
          <w:szCs w:val="24"/>
          <w:lang w:val="zh-CN" w:eastAsia="zh-CN" w:bidi="ar-SA"/>
        </w:rPr>
        <w:t>年度巡察工作计划》，送区委巡察工作领导小组审定，确定了202</w:t>
      </w:r>
      <w:r>
        <w:rPr>
          <w:rFonts w:hint="eastAsia" w:ascii="仿宋_GB2312" w:hAnsi="Times New Roman" w:eastAsia="仿宋_GB2312" w:cs="Times New Roman"/>
          <w:kern w:val="0"/>
          <w:sz w:val="30"/>
          <w:szCs w:val="24"/>
          <w:lang w:val="en-US" w:eastAsia="zh-CN" w:bidi="ar-SA"/>
        </w:rPr>
        <w:t>2</w:t>
      </w:r>
      <w:r>
        <w:rPr>
          <w:rFonts w:hint="eastAsia" w:ascii="仿宋_GB2312" w:hAnsi="Times New Roman" w:eastAsia="仿宋_GB2312" w:cs="Times New Roman"/>
          <w:kern w:val="0"/>
          <w:sz w:val="30"/>
          <w:szCs w:val="24"/>
          <w:lang w:val="zh-CN" w:eastAsia="zh-CN" w:bidi="ar-SA"/>
        </w:rPr>
        <w:t>年巡察工作任务。巡察办根据年度巡察工作任务申请立项，通过审议批准后，纳入年初本级预算，预算金额</w:t>
      </w:r>
      <w:r>
        <w:rPr>
          <w:rFonts w:hint="eastAsia" w:ascii="仿宋_GB2312" w:eastAsia="仿宋_GB2312" w:cs="Times New Roman"/>
          <w:kern w:val="0"/>
          <w:sz w:val="30"/>
          <w:szCs w:val="24"/>
          <w:lang w:val="en-US" w:eastAsia="zh-CN" w:bidi="ar-SA"/>
        </w:rPr>
        <w:t>95.00</w:t>
      </w:r>
      <w:r>
        <w:rPr>
          <w:rFonts w:hint="eastAsia" w:ascii="仿宋_GB2312" w:hAnsi="Times New Roman" w:eastAsia="仿宋_GB2312" w:cs="Times New Roman"/>
          <w:kern w:val="0"/>
          <w:sz w:val="30"/>
          <w:szCs w:val="24"/>
          <w:lang w:val="zh-CN" w:eastAsia="zh-CN" w:bidi="ar-SA"/>
        </w:rPr>
        <w:t>万元，预算批复</w:t>
      </w:r>
      <w:r>
        <w:rPr>
          <w:rFonts w:hint="eastAsia" w:ascii="仿宋_GB2312" w:hAnsi="仿宋_GB2312" w:eastAsia="仿宋_GB2312" w:cs="仿宋_GB2312"/>
          <w:color w:val="000000"/>
          <w:sz w:val="32"/>
          <w:szCs w:val="32"/>
          <w:highlight w:val="none"/>
          <w:shd w:val="clear" w:color="auto" w:fill="FFFFFF"/>
          <w:lang w:val="en-US" w:eastAsia="zh-CN"/>
        </w:rPr>
        <w:t>95.00</w:t>
      </w:r>
      <w:r>
        <w:rPr>
          <w:rFonts w:hint="eastAsia" w:ascii="仿宋_GB2312" w:hAnsi="Times New Roman" w:eastAsia="仿宋_GB2312" w:cs="Times New Roman"/>
          <w:kern w:val="0"/>
          <w:sz w:val="30"/>
          <w:szCs w:val="24"/>
          <w:lang w:val="zh-CN" w:eastAsia="zh-CN" w:bidi="ar-SA"/>
        </w:rPr>
        <w:t>万元。项目开展后，我单位在</w:t>
      </w:r>
      <w:r>
        <w:rPr>
          <w:rFonts w:hint="eastAsia" w:ascii="仿宋_GB2312" w:eastAsia="仿宋_GB2312" w:cs="Times New Roman"/>
          <w:kern w:val="0"/>
          <w:sz w:val="30"/>
          <w:szCs w:val="24"/>
          <w:lang w:val="zh-CN" w:eastAsia="zh-CN" w:bidi="ar-SA"/>
        </w:rPr>
        <w:t>预算一体化系统中</w:t>
      </w:r>
      <w:r>
        <w:rPr>
          <w:rFonts w:hint="eastAsia" w:ascii="仿宋_GB2312" w:hAnsi="Times New Roman" w:eastAsia="仿宋_GB2312" w:cs="Times New Roman"/>
          <w:kern w:val="0"/>
          <w:sz w:val="30"/>
          <w:szCs w:val="24"/>
          <w:lang w:val="zh-CN" w:eastAsia="zh-CN" w:bidi="ar-SA"/>
        </w:rPr>
        <w:t>申请使用资金并向财政局归口股室递交项目专项资金申请表提交申请，国库等业务股室审核通过后，指标下达到本单位，本单位再按经费实际开支情况，据实报销资金。</w:t>
      </w:r>
    </w:p>
    <w:p>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rPr>
        <w:t>资金计划。</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000000"/>
          <w:sz w:val="32"/>
          <w:szCs w:val="32"/>
          <w:shd w:val="clear" w:color="auto" w:fill="FFFFFF"/>
          <w:lang w:val="zh-CN"/>
        </w:rPr>
        <w:t>巡察工作专项项目资金源于年初财政拨款预算，由区财政局统一</w:t>
      </w:r>
      <w:r>
        <w:rPr>
          <w:rFonts w:hint="eastAsia" w:ascii="仿宋_GB2312" w:hAnsi="仿宋_GB2312" w:eastAsia="仿宋_GB2312" w:cs="仿宋_GB2312"/>
          <w:color w:val="000000"/>
          <w:sz w:val="32"/>
          <w:szCs w:val="32"/>
          <w:highlight w:val="none"/>
          <w:shd w:val="clear" w:color="auto" w:fill="FFFFFF"/>
          <w:lang w:val="zh-CN"/>
        </w:rPr>
        <w:t>批复，20</w:t>
      </w:r>
      <w:r>
        <w:rPr>
          <w:rFonts w:hint="eastAsia" w:ascii="仿宋_GB2312" w:hAnsi="仿宋_GB2312" w:eastAsia="仿宋_GB2312" w:cs="仿宋_GB2312"/>
          <w:color w:val="000000"/>
          <w:sz w:val="32"/>
          <w:szCs w:val="32"/>
          <w:highlight w:val="none"/>
          <w:shd w:val="clear" w:color="auto" w:fill="FFFFFF"/>
        </w:rPr>
        <w:t>2</w:t>
      </w:r>
      <w:r>
        <w:rPr>
          <w:rFonts w:hint="eastAsia" w:ascii="仿宋_GB2312" w:hAnsi="仿宋_GB2312" w:eastAsia="仿宋_GB2312" w:cs="仿宋_GB2312"/>
          <w:color w:val="000000"/>
          <w:sz w:val="32"/>
          <w:szCs w:val="32"/>
          <w:highlight w:val="none"/>
          <w:shd w:val="clear" w:color="auto" w:fill="FFFFFF"/>
          <w:lang w:val="en-US" w:eastAsia="zh-CN"/>
        </w:rPr>
        <w:t>2</w:t>
      </w:r>
      <w:r>
        <w:rPr>
          <w:rFonts w:hint="eastAsia" w:ascii="仿宋_GB2312" w:hAnsi="仿宋_GB2312" w:eastAsia="仿宋_GB2312" w:cs="仿宋_GB2312"/>
          <w:color w:val="000000"/>
          <w:sz w:val="32"/>
          <w:szCs w:val="32"/>
          <w:highlight w:val="none"/>
          <w:shd w:val="clear" w:color="auto" w:fill="FFFFFF"/>
          <w:lang w:val="zh-CN"/>
        </w:rPr>
        <w:t>年预算金额</w:t>
      </w:r>
      <w:r>
        <w:rPr>
          <w:rFonts w:hint="eastAsia" w:ascii="仿宋_GB2312" w:hAnsi="仿宋_GB2312" w:eastAsia="仿宋_GB2312" w:cs="仿宋_GB2312"/>
          <w:color w:val="000000"/>
          <w:sz w:val="32"/>
          <w:szCs w:val="32"/>
          <w:highlight w:val="none"/>
          <w:shd w:val="clear" w:color="auto" w:fill="FFFFFF"/>
          <w:lang w:val="en-US" w:eastAsia="zh-CN"/>
        </w:rPr>
        <w:t>95.00</w:t>
      </w:r>
      <w:r>
        <w:rPr>
          <w:rFonts w:hint="eastAsia" w:ascii="仿宋_GB2312" w:hAnsi="仿宋_GB2312" w:eastAsia="仿宋_GB2312" w:cs="仿宋_GB2312"/>
          <w:color w:val="000000"/>
          <w:sz w:val="32"/>
          <w:szCs w:val="32"/>
          <w:highlight w:val="none"/>
          <w:shd w:val="clear" w:color="auto" w:fill="FFFFFF"/>
          <w:lang w:val="zh-CN"/>
        </w:rPr>
        <w:t>万元，预算批复</w:t>
      </w:r>
      <w:r>
        <w:rPr>
          <w:rFonts w:hint="eastAsia" w:ascii="仿宋_GB2312" w:hAnsi="仿宋_GB2312" w:eastAsia="仿宋_GB2312" w:cs="仿宋_GB2312"/>
          <w:color w:val="000000"/>
          <w:sz w:val="32"/>
          <w:szCs w:val="32"/>
          <w:highlight w:val="none"/>
          <w:shd w:val="clear" w:color="auto" w:fill="FFFFFF"/>
          <w:lang w:val="en-US" w:eastAsia="zh-CN"/>
        </w:rPr>
        <w:t>95.00</w:t>
      </w:r>
      <w:r>
        <w:rPr>
          <w:rFonts w:hint="eastAsia" w:ascii="仿宋_GB2312" w:hAnsi="仿宋_GB2312" w:eastAsia="仿宋_GB2312" w:cs="仿宋_GB2312"/>
          <w:color w:val="000000"/>
          <w:sz w:val="32"/>
          <w:szCs w:val="32"/>
          <w:highlight w:val="none"/>
          <w:shd w:val="clear" w:color="auto" w:fill="FFFFFF"/>
          <w:lang w:val="zh-CN"/>
        </w:rPr>
        <w:t>万元，实际下达</w:t>
      </w:r>
      <w:r>
        <w:rPr>
          <w:rFonts w:hint="eastAsia" w:ascii="仿宋_GB2312" w:hAnsi="仿宋_GB2312" w:eastAsia="仿宋_GB2312" w:cs="仿宋_GB2312"/>
          <w:color w:val="000000"/>
          <w:sz w:val="32"/>
          <w:szCs w:val="32"/>
          <w:highlight w:val="none"/>
          <w:shd w:val="clear" w:color="auto" w:fill="FFFFFF"/>
        </w:rPr>
        <w:t>75.90万元</w:t>
      </w:r>
      <w:r>
        <w:rPr>
          <w:rFonts w:hint="eastAsia" w:ascii="仿宋_GB2312" w:hAnsi="仿宋_GB2312" w:eastAsia="仿宋_GB2312" w:cs="仿宋_GB2312"/>
          <w:color w:val="000000"/>
          <w:sz w:val="32"/>
          <w:szCs w:val="32"/>
          <w:highlight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资金到位。</w:t>
      </w:r>
    </w:p>
    <w:p>
      <w:pPr>
        <w:adjustRightInd w:val="0"/>
        <w:snapToGrid w:val="0"/>
        <w:spacing w:line="600" w:lineRule="exact"/>
        <w:ind w:firstLine="640" w:firstLineChars="200"/>
        <w:rPr>
          <w:rFonts w:ascii="仿宋_GB2312" w:hAnsi="宋体" w:eastAsia="仿宋_GB2312"/>
          <w:sz w:val="32"/>
          <w:szCs w:val="32"/>
          <w:highlight w:val="none"/>
          <w:lang w:val="zh-CN"/>
        </w:rPr>
      </w:pPr>
      <w:r>
        <w:rPr>
          <w:rFonts w:hint="eastAsia" w:ascii="仿宋_GB2312" w:hAnsi="宋体" w:eastAsia="仿宋_GB2312"/>
          <w:sz w:val="32"/>
          <w:szCs w:val="32"/>
          <w:highlight w:val="none"/>
        </w:rPr>
        <w:t>巡察</w:t>
      </w:r>
      <w:r>
        <w:rPr>
          <w:rFonts w:hint="eastAsia" w:ascii="仿宋_GB2312" w:hAnsi="宋体" w:eastAsia="仿宋_GB2312"/>
          <w:sz w:val="32"/>
          <w:szCs w:val="32"/>
          <w:highlight w:val="none"/>
          <w:lang w:eastAsia="zh-CN"/>
        </w:rPr>
        <w:t>专项</w:t>
      </w:r>
      <w:r>
        <w:rPr>
          <w:rFonts w:hint="eastAsia" w:ascii="仿宋_GB2312" w:hAnsi="宋体" w:eastAsia="仿宋_GB2312"/>
          <w:sz w:val="32"/>
          <w:szCs w:val="32"/>
          <w:highlight w:val="none"/>
        </w:rPr>
        <w:t>项目资金预算</w:t>
      </w:r>
      <w:r>
        <w:rPr>
          <w:rFonts w:hint="eastAsia" w:ascii="仿宋_GB2312" w:hAnsi="宋体" w:eastAsia="仿宋_GB2312"/>
          <w:sz w:val="32"/>
          <w:szCs w:val="32"/>
          <w:highlight w:val="none"/>
          <w:lang w:val="en-US" w:eastAsia="zh-CN"/>
        </w:rPr>
        <w:t>95.00</w:t>
      </w:r>
      <w:r>
        <w:rPr>
          <w:rFonts w:hint="eastAsia" w:ascii="仿宋_GB2312" w:hAnsi="宋体" w:eastAsia="仿宋_GB2312"/>
          <w:sz w:val="32"/>
          <w:szCs w:val="32"/>
          <w:highlight w:val="none"/>
        </w:rPr>
        <w:t>万，拨付到位</w:t>
      </w:r>
      <w:r>
        <w:rPr>
          <w:rFonts w:hint="eastAsia" w:ascii="仿宋_GB2312" w:hAnsi="仿宋_GB2312" w:eastAsia="仿宋_GB2312" w:cs="仿宋_GB2312"/>
          <w:color w:val="000000"/>
          <w:sz w:val="32"/>
          <w:szCs w:val="32"/>
          <w:highlight w:val="none"/>
          <w:shd w:val="clear" w:color="auto" w:fill="FFFFFF"/>
        </w:rPr>
        <w:t>75.90</w:t>
      </w:r>
      <w:r>
        <w:rPr>
          <w:rFonts w:hint="eastAsia" w:ascii="仿宋_GB2312" w:hAnsi="宋体" w:eastAsia="仿宋_GB2312"/>
          <w:sz w:val="32"/>
          <w:szCs w:val="32"/>
          <w:highlight w:val="none"/>
        </w:rPr>
        <w:t>万元，到位率</w:t>
      </w:r>
      <w:r>
        <w:rPr>
          <w:rFonts w:hint="eastAsia" w:ascii="仿宋_GB2312" w:hAnsi="宋体" w:eastAsia="仿宋_GB2312"/>
          <w:sz w:val="32"/>
          <w:szCs w:val="32"/>
          <w:highlight w:val="none"/>
          <w:lang w:val="en-US" w:eastAsia="zh-CN"/>
        </w:rPr>
        <w:t>79.89</w:t>
      </w:r>
      <w:r>
        <w:rPr>
          <w:rFonts w:hint="eastAsia" w:ascii="仿宋_GB2312" w:hAnsi="宋体" w:eastAsia="仿宋_GB2312"/>
          <w:sz w:val="32"/>
          <w:szCs w:val="32"/>
          <w:highlight w:val="none"/>
        </w:rPr>
        <w:t>%。部分资金</w:t>
      </w:r>
      <w:r>
        <w:rPr>
          <w:rFonts w:hint="eastAsia" w:ascii="仿宋_GB2312" w:hAnsi="宋体" w:eastAsia="仿宋_GB2312"/>
          <w:sz w:val="32"/>
          <w:szCs w:val="32"/>
          <w:highlight w:val="none"/>
          <w:lang w:val="zh-CN"/>
        </w:rPr>
        <w:t>未到位原因系因商家支付票据和材料未及时报送我单位审核，单位暂未申请。</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资金使用。</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巡察工作是政治任务，巡察工作专项经费的足额及时到位，保障了巡察工作的顺利开展。202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年巡察工作专项经费支出主要用于巡察组工作人员的办公费、住宿费、伙食费、个人补助等，</w:t>
      </w:r>
      <w:r>
        <w:rPr>
          <w:rFonts w:hint="eastAsia" w:ascii="仿宋_GB2312" w:hAnsi="宋体" w:eastAsia="仿宋_GB2312"/>
          <w:sz w:val="32"/>
          <w:szCs w:val="32"/>
          <w:lang w:eastAsia="zh-CN"/>
        </w:rPr>
        <w:t>无</w:t>
      </w:r>
      <w:r>
        <w:rPr>
          <w:rFonts w:hint="eastAsia" w:ascii="仿宋_GB2312" w:hAnsi="宋体" w:eastAsia="仿宋_GB2312"/>
          <w:sz w:val="32"/>
          <w:szCs w:val="32"/>
        </w:rPr>
        <w:t>其他无关费用支出。根据国家财经法规和单位财务管理制度的</w:t>
      </w:r>
      <w:r>
        <w:rPr>
          <w:rFonts w:hint="eastAsia" w:ascii="仿宋_GB2312" w:hAnsi="宋体" w:eastAsia="仿宋_GB2312"/>
          <w:sz w:val="32"/>
          <w:szCs w:val="32"/>
          <w:lang w:eastAsia="zh-CN"/>
        </w:rPr>
        <w:t>相关</w:t>
      </w:r>
      <w:r>
        <w:rPr>
          <w:rFonts w:hint="eastAsia" w:ascii="仿宋_GB2312" w:hAnsi="宋体" w:eastAsia="仿宋_GB2312"/>
          <w:sz w:val="32"/>
          <w:szCs w:val="32"/>
        </w:rPr>
        <w:t>规定以及有关项目资金管理办法的规定支出，做到资金使用的安全性、规范性，保证资金使用无截留、挤占、挪用、虚列支出等情况。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巡察工作专项经费严格按照专款专用原则，及时通知有关单位提供合法票据，完善报账手续，严格票据审核，规范报账程，同时财政部门对资金支付严格审核，确保资金使用安全。根据国家财经法规和单位财务管理制度的相关规定以及有关项目资金管理办法的规定支出，做到了资金使用的安全性、规范性</w:t>
      </w:r>
      <w:r>
        <w:rPr>
          <w:rFonts w:hint="eastAsia" w:ascii="仿宋_GB2312" w:hAnsi="宋体" w:eastAsia="仿宋_GB2312"/>
          <w:sz w:val="32"/>
          <w:szCs w:val="32"/>
          <w:lang w:eastAsia="zh-CN"/>
        </w:rPr>
        <w:t>。待费用报销结束后会计人员</w:t>
      </w:r>
      <w:r>
        <w:rPr>
          <w:rFonts w:hint="eastAsia" w:ascii="仿宋" w:hAnsi="仿宋" w:eastAsia="仿宋" w:cs="FangSong_GB2312"/>
          <w:sz w:val="32"/>
          <w:szCs w:val="32"/>
          <w:lang w:val="zh-CN"/>
        </w:rPr>
        <w:t>严格按照财务管理制度及时进行账务处理，会计核算规范，无遗漏、错记等情况。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结合项目组织实施管理办法，重点围绕以下内容进行分析评价，并对自评中发现的问题分析说明。</w:t>
      </w:r>
    </w:p>
    <w:p>
      <w:pPr>
        <w:keepNext w:val="0"/>
        <w:keepLines w:val="0"/>
        <w:pageBreakBefore w:val="0"/>
        <w:numPr>
          <w:ilvl w:val="0"/>
          <w:numId w:val="10"/>
        </w:numPr>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项目组织架构及实施流程。</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年底，区委巡察办起草《中共安居区委202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年度巡察工作计划》，送区委巡察工作领导小组审定，确定了202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年巡察工作任务。巡察办根据年度巡察工作任务申请立项，通过审议批准后，纳入年初本级预算</w:t>
      </w:r>
      <w:r>
        <w:rPr>
          <w:rFonts w:hint="eastAsia" w:ascii="仿宋_GB2312" w:hAnsi="宋体" w:eastAsia="仿宋_GB2312"/>
          <w:sz w:val="32"/>
          <w:szCs w:val="32"/>
          <w:lang w:eastAsia="zh-CN"/>
        </w:rPr>
        <w:t>。</w:t>
      </w:r>
      <w:r>
        <w:rPr>
          <w:rFonts w:hint="eastAsia" w:ascii="仿宋_GB2312" w:hAnsi="宋体" w:eastAsia="仿宋_GB2312"/>
          <w:sz w:val="32"/>
          <w:szCs w:val="32"/>
        </w:rPr>
        <w:t>项目开展后，我单位在</w:t>
      </w:r>
      <w:r>
        <w:rPr>
          <w:rFonts w:hint="eastAsia" w:ascii="仿宋_GB2312" w:hAnsi="宋体" w:eastAsia="仿宋_GB2312"/>
          <w:sz w:val="32"/>
          <w:szCs w:val="32"/>
          <w:lang w:eastAsia="zh-CN"/>
        </w:rPr>
        <w:t>预算一体化系统中</w:t>
      </w:r>
      <w:r>
        <w:rPr>
          <w:rFonts w:hint="eastAsia" w:ascii="仿宋_GB2312" w:hAnsi="宋体" w:eastAsia="仿宋_GB2312"/>
          <w:sz w:val="32"/>
          <w:szCs w:val="32"/>
        </w:rPr>
        <w:t>申请使用资金并向财政局归口股室递交项目专项资金申请表提交申请，国库等业务股室审核通过后，指标下达到本单位，本单位再按经费实际开支情况，据实报销资金。</w:t>
      </w:r>
    </w:p>
    <w:p>
      <w:pPr>
        <w:keepNext w:val="0"/>
        <w:keepLines w:val="0"/>
        <w:pageBreakBefore w:val="0"/>
        <w:numPr>
          <w:ilvl w:val="0"/>
          <w:numId w:val="10"/>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项目管理情况。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项目严格按照区级有关规定执行，严格用于开展巡察专项工作，</w:t>
      </w:r>
      <w:r>
        <w:rPr>
          <w:rFonts w:ascii="仿宋_GB2312" w:hAnsi="宋体" w:eastAsia="仿宋_GB2312"/>
          <w:sz w:val="32"/>
          <w:szCs w:val="32"/>
          <w:lang w:val="zh-CN"/>
        </w:rPr>
        <w:t>资金专款专用。</w:t>
      </w:r>
    </w:p>
    <w:p>
      <w:pPr>
        <w:keepNext w:val="0"/>
        <w:keepLines w:val="0"/>
        <w:pageBreakBefore w:val="0"/>
        <w:numPr>
          <w:ilvl w:val="0"/>
          <w:numId w:val="10"/>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项目监管情况。</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仿宋" w:hAnsi="仿宋" w:eastAsia="仿宋" w:cs="FangSong_GB2312"/>
          <w:sz w:val="32"/>
          <w:szCs w:val="32"/>
        </w:rPr>
        <w:t>项目由区委巡察办监管，并严格按照相关财经纪律执行。</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adjustRightInd w:val="0"/>
        <w:snapToGrid w:val="0"/>
        <w:spacing w:line="600" w:lineRule="exact"/>
        <w:ind w:firstLine="720"/>
        <w:rPr>
          <w:rFonts w:ascii="仿宋_GB2312" w:hAnsi="宋体" w:eastAsia="仿宋_GB2312"/>
          <w:sz w:val="32"/>
          <w:szCs w:val="32"/>
          <w:highlight w:val="none"/>
        </w:rPr>
      </w:pPr>
      <w:r>
        <w:rPr>
          <w:rFonts w:hint="eastAsia" w:ascii="仿宋_GB2312" w:hAnsi="宋体" w:eastAsia="仿宋_GB2312"/>
          <w:sz w:val="32"/>
          <w:szCs w:val="32"/>
          <w:highlight w:val="none"/>
        </w:rPr>
        <w:t>全年开展了</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rPr>
        <w:t>轮巡察，共对</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94个单位（含81个村、社区）</w:t>
      </w:r>
      <w:r>
        <w:rPr>
          <w:rFonts w:hint="eastAsia" w:ascii="仿宋_GB2312" w:hAnsi="宋体" w:eastAsia="仿宋_GB2312"/>
          <w:sz w:val="32"/>
          <w:szCs w:val="32"/>
          <w:highlight w:val="none"/>
        </w:rPr>
        <w:t>开展了政治巡察，本年度任务完成率100%。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区委巡察工作切实发挥“显微镜”作用，对被巡察单位领导班子和干部进行了政治体检，通过“早发现、早制止、早提醒”，强化了廉政勤政意识，保证了党中央和省委、市委、区委的各项决策部署落实到位，保证了党的理论路线方针政策在整个经济社会发展中落地落实，着力解决了一批群众反映强烈的痛点难点堵点问题，为群众办实事解难题，增强了群众的获得感和满意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202</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lang w:val="zh-CN"/>
        </w:rPr>
        <w:t>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一是预算编制精确度有待进一步提高；二是因有关经营方未及时提供合法票据、完善报账手续，资金拨付还存在不及时的问题。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adjustRightInd w:val="0"/>
        <w:snapToGrid w:val="0"/>
        <w:spacing w:line="600" w:lineRule="exact"/>
        <w:ind w:firstLine="720"/>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lang w:val="zh-CN"/>
        </w:rPr>
        <w:t>优化预算编制，加强预算执行。合理安排预算支出计划，优化资金支出结构，强化资金统筹和绩效管理，确保巡察工作有效开展。</w:t>
      </w:r>
    </w:p>
    <w:p>
      <w:pPr>
        <w:spacing w:line="580" w:lineRule="exact"/>
        <w:rPr>
          <w:rStyle w:val="29"/>
          <w:rFonts w:ascii="黑体" w:hAnsi="黑体" w:eastAsia="黑体"/>
          <w:b w:val="0"/>
          <w:color w:val="auto"/>
          <w:highlight w:val="none"/>
        </w:rPr>
      </w:pPr>
    </w:p>
    <w:p>
      <w:pPr>
        <w:widowControl/>
        <w:jc w:val="left"/>
        <w:rPr>
          <w:rStyle w:val="29"/>
          <w:rFonts w:ascii="黑体" w:hAnsi="黑体" w:eastAsia="黑体"/>
          <w:b w:val="0"/>
          <w:color w:val="auto"/>
          <w:highlight w:val="none"/>
        </w:rPr>
      </w:pPr>
      <w:r>
        <w:rPr>
          <w:rStyle w:val="29"/>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78" w:name="_Toc15396618"/>
      <w:bookmarkStart w:id="79" w:name="_Toc29235"/>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74"/>
      <w:bookmarkEnd w:id="78"/>
      <w:bookmarkEnd w:id="79"/>
      <w:bookmarkStart w:id="80" w:name="_Toc15396619"/>
    </w:p>
    <w:p>
      <w:pPr>
        <w:pStyle w:val="5"/>
        <w:rPr>
          <w:rFonts w:ascii="仿宋" w:hAnsi="仿宋" w:eastAsia="仿宋"/>
          <w:color w:val="auto"/>
          <w:highlight w:val="none"/>
        </w:rPr>
      </w:pPr>
      <w:bookmarkStart w:id="81" w:name="_Toc19090"/>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80"/>
      <w:bookmarkEnd w:id="81"/>
    </w:p>
    <w:p>
      <w:pPr>
        <w:pStyle w:val="5"/>
        <w:rPr>
          <w:rFonts w:ascii="仿宋" w:hAnsi="仿宋" w:eastAsia="仿宋"/>
          <w:color w:val="auto"/>
          <w:highlight w:val="none"/>
        </w:rPr>
      </w:pPr>
      <w:bookmarkStart w:id="82" w:name="_Toc18933"/>
      <w:bookmarkStart w:id="83"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82"/>
      <w:bookmarkEnd w:id="83"/>
    </w:p>
    <w:p>
      <w:pPr>
        <w:pStyle w:val="5"/>
        <w:rPr>
          <w:rFonts w:ascii="仿宋" w:hAnsi="仿宋" w:eastAsia="仿宋"/>
          <w:color w:val="auto"/>
          <w:highlight w:val="none"/>
        </w:rPr>
      </w:pPr>
      <w:bookmarkStart w:id="84" w:name="_Toc15396621"/>
      <w:bookmarkStart w:id="85" w:name="_Toc25592"/>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84"/>
      <w:bookmarkEnd w:id="85"/>
    </w:p>
    <w:p>
      <w:pPr>
        <w:pStyle w:val="5"/>
        <w:rPr>
          <w:rFonts w:ascii="仿宋" w:hAnsi="仿宋" w:eastAsia="仿宋"/>
          <w:b w:val="0"/>
          <w:color w:val="auto"/>
          <w:highlight w:val="none"/>
        </w:rPr>
      </w:pPr>
      <w:bookmarkStart w:id="86" w:name="_Toc15396622"/>
      <w:bookmarkStart w:id="87" w:name="_Toc30807"/>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86"/>
      <w:bookmarkEnd w:id="87"/>
    </w:p>
    <w:p>
      <w:pPr>
        <w:pStyle w:val="5"/>
        <w:rPr>
          <w:rStyle w:val="30"/>
          <w:rFonts w:ascii="仿宋" w:hAnsi="仿宋" w:eastAsia="仿宋"/>
          <w:b w:val="0"/>
          <w:bCs w:val="0"/>
          <w:color w:val="auto"/>
          <w:highlight w:val="none"/>
        </w:rPr>
      </w:pPr>
      <w:bookmarkStart w:id="88" w:name="_Toc21304"/>
      <w:bookmarkStart w:id="89"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88"/>
      <w:bookmarkEnd w:id="89"/>
      <w:bookmarkStart w:id="90" w:name="_Toc15396624"/>
    </w:p>
    <w:p>
      <w:pPr>
        <w:pStyle w:val="5"/>
        <w:rPr>
          <w:rFonts w:ascii="仿宋" w:hAnsi="仿宋" w:eastAsia="仿宋"/>
          <w:color w:val="auto"/>
          <w:highlight w:val="none"/>
        </w:rPr>
      </w:pPr>
      <w:bookmarkStart w:id="91" w:name="_Toc32010"/>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90"/>
      <w:bookmarkEnd w:id="91"/>
    </w:p>
    <w:p>
      <w:pPr>
        <w:pStyle w:val="5"/>
        <w:rPr>
          <w:rFonts w:ascii="仿宋" w:hAnsi="仿宋" w:eastAsia="仿宋"/>
          <w:color w:val="auto"/>
          <w:highlight w:val="none"/>
        </w:rPr>
      </w:pPr>
      <w:bookmarkStart w:id="92" w:name="_Toc15396625"/>
      <w:bookmarkStart w:id="93" w:name="_Toc2273"/>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92"/>
      <w:bookmarkEnd w:id="93"/>
    </w:p>
    <w:p>
      <w:pPr>
        <w:pStyle w:val="5"/>
        <w:rPr>
          <w:rFonts w:ascii="仿宋" w:hAnsi="仿宋" w:eastAsia="仿宋"/>
          <w:color w:val="auto"/>
          <w:highlight w:val="none"/>
        </w:rPr>
      </w:pPr>
      <w:bookmarkStart w:id="94" w:name="_Toc15396626"/>
      <w:bookmarkStart w:id="95" w:name="_Toc24423"/>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94"/>
      <w:bookmarkEnd w:id="95"/>
    </w:p>
    <w:p>
      <w:pPr>
        <w:pStyle w:val="5"/>
        <w:rPr>
          <w:rFonts w:ascii="仿宋" w:hAnsi="仿宋" w:eastAsia="仿宋"/>
          <w:color w:val="auto"/>
          <w:highlight w:val="none"/>
        </w:rPr>
      </w:pPr>
      <w:bookmarkStart w:id="96" w:name="_Toc27623"/>
      <w:bookmarkStart w:id="97" w:name="_Toc15396627"/>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96"/>
      <w:bookmarkEnd w:id="97"/>
    </w:p>
    <w:p>
      <w:pPr>
        <w:pStyle w:val="5"/>
        <w:rPr>
          <w:rFonts w:ascii="仿宋" w:hAnsi="仿宋" w:eastAsia="仿宋"/>
          <w:color w:val="auto"/>
          <w:highlight w:val="none"/>
        </w:rPr>
      </w:pPr>
      <w:bookmarkStart w:id="98" w:name="_Toc15396628"/>
      <w:bookmarkStart w:id="99" w:name="_Toc23456"/>
      <w:r>
        <w:rPr>
          <w:rStyle w:val="30"/>
          <w:rFonts w:hint="eastAsia" w:ascii="仿宋" w:hAnsi="仿宋" w:eastAsia="仿宋"/>
          <w:b w:val="0"/>
          <w:bCs w:val="0"/>
          <w:color w:val="auto"/>
          <w:highlight w:val="none"/>
        </w:rPr>
        <w:t>十、</w:t>
      </w:r>
      <w:bookmarkEnd w:id="98"/>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99"/>
    </w:p>
    <w:p>
      <w:pPr>
        <w:pStyle w:val="5"/>
        <w:rPr>
          <w:rFonts w:ascii="仿宋" w:hAnsi="仿宋" w:eastAsia="仿宋"/>
          <w:color w:val="auto"/>
          <w:highlight w:val="none"/>
        </w:rPr>
      </w:pPr>
      <w:bookmarkStart w:id="100" w:name="_Toc15396629"/>
      <w:bookmarkStart w:id="101" w:name="_Toc15484"/>
      <w:r>
        <w:rPr>
          <w:rStyle w:val="30"/>
          <w:rFonts w:hint="eastAsia" w:ascii="仿宋" w:hAnsi="仿宋" w:eastAsia="仿宋"/>
          <w:b w:val="0"/>
          <w:bCs w:val="0"/>
          <w:color w:val="auto"/>
          <w:highlight w:val="none"/>
        </w:rPr>
        <w:t>十一、</w:t>
      </w:r>
      <w:bookmarkEnd w:id="100"/>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101"/>
    </w:p>
    <w:p>
      <w:pPr>
        <w:pStyle w:val="5"/>
        <w:rPr>
          <w:rFonts w:ascii="仿宋" w:hAnsi="仿宋" w:eastAsia="仿宋"/>
          <w:color w:val="auto"/>
          <w:highlight w:val="none"/>
        </w:rPr>
      </w:pPr>
      <w:bookmarkStart w:id="102" w:name="_Toc15396630"/>
      <w:bookmarkStart w:id="103" w:name="_Toc31424"/>
      <w:r>
        <w:rPr>
          <w:rStyle w:val="30"/>
          <w:rFonts w:hint="eastAsia" w:ascii="仿宋" w:hAnsi="仿宋" w:eastAsia="仿宋"/>
          <w:b w:val="0"/>
          <w:bCs w:val="0"/>
          <w:color w:val="auto"/>
          <w:highlight w:val="none"/>
        </w:rPr>
        <w:t>十二、</w:t>
      </w:r>
      <w:bookmarkEnd w:id="102"/>
      <w:r>
        <w:rPr>
          <w:rStyle w:val="30"/>
          <w:rFonts w:hint="eastAsia" w:ascii="仿宋" w:hAnsi="仿宋" w:eastAsia="仿宋"/>
          <w:b w:val="0"/>
          <w:bCs w:val="0"/>
          <w:color w:val="auto"/>
          <w:highlight w:val="none"/>
          <w:lang w:eastAsia="zh-CN"/>
        </w:rPr>
        <w:t>国有资本经营预算财政拨款支出决算表</w:t>
      </w:r>
      <w:bookmarkEnd w:id="103"/>
    </w:p>
    <w:p>
      <w:pPr>
        <w:pStyle w:val="5"/>
        <w:rPr>
          <w:rFonts w:hint="eastAsia" w:eastAsia="仿宋"/>
          <w:color w:val="auto"/>
          <w:highlight w:val="none"/>
          <w:lang w:eastAsia="zh-CN"/>
        </w:rPr>
      </w:pPr>
      <w:bookmarkStart w:id="104" w:name="_Toc15396631"/>
      <w:bookmarkStart w:id="105" w:name="_Toc2711"/>
      <w:r>
        <w:rPr>
          <w:rStyle w:val="30"/>
          <w:rFonts w:hint="eastAsia" w:ascii="仿宋" w:hAnsi="仿宋" w:eastAsia="仿宋"/>
          <w:b w:val="0"/>
          <w:bCs w:val="0"/>
          <w:color w:val="auto"/>
          <w:highlight w:val="none"/>
        </w:rPr>
        <w:t>十三、</w:t>
      </w:r>
      <w:bookmarkEnd w:id="104"/>
      <w:r>
        <w:rPr>
          <w:rStyle w:val="30"/>
          <w:rFonts w:hint="eastAsia" w:ascii="仿宋" w:hAnsi="仿宋" w:eastAsia="仿宋"/>
          <w:b w:val="0"/>
          <w:bCs w:val="0"/>
          <w:color w:val="auto"/>
          <w:highlight w:val="none"/>
          <w:lang w:eastAsia="zh-CN"/>
        </w:rPr>
        <w:t>财政拨款“三公”经费支出决算表</w:t>
      </w:r>
      <w:bookmarkEnd w:id="105"/>
    </w:p>
    <w:sectPr>
      <w:headerReference r:id="rId3" w:type="default"/>
      <w:footerReference r:id="rId4" w:type="default"/>
      <w:pgSz w:w="11906" w:h="16838"/>
      <w:pgMar w:top="1440" w:right="1800" w:bottom="1440" w:left="1800" w:header="851" w:footer="992" w:gutter="0"/>
      <w:pgNumType w:start="1"/>
      <w:cols w:space="0" w:num="1"/>
      <w:titlePg/>
      <w:rtlGutter w:val="0"/>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8751E9-67A0-47D5-9B29-EA4FAE16FD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6E21370-C663-415E-9591-FD5772C57ECB}"/>
  </w:font>
  <w:font w:name="Cambria">
    <w:panose1 w:val="02040503050406030204"/>
    <w:charset w:val="00"/>
    <w:family w:val="roman"/>
    <w:pitch w:val="default"/>
    <w:sig w:usb0="E00002FF" w:usb1="400004FF" w:usb2="00000000" w:usb3="00000000" w:csb0="2000019F" w:csb1="00000000"/>
    <w:embedRegular r:id="rId3" w:fontKey="{BE8CAA46-E110-49F5-B295-86AF0298A909}"/>
  </w:font>
  <w:font w:name="仿宋_GB2312">
    <w:altName w:val="仿宋"/>
    <w:panose1 w:val="02010609030101010101"/>
    <w:charset w:val="86"/>
    <w:family w:val="modern"/>
    <w:pitch w:val="default"/>
    <w:sig w:usb0="00000000" w:usb1="00000000" w:usb2="00000000" w:usb3="00000000" w:csb0="00040000" w:csb1="00000000"/>
    <w:embedRegular r:id="rId4" w:fontKey="{E6F92A8D-1622-4DC0-83AC-33EA4C85D0C5}"/>
  </w:font>
  <w:font w:name="仿宋">
    <w:panose1 w:val="02010609060101010101"/>
    <w:charset w:val="86"/>
    <w:family w:val="modern"/>
    <w:pitch w:val="default"/>
    <w:sig w:usb0="800002BF" w:usb1="38CF7CFA" w:usb2="00000016" w:usb3="00000000" w:csb0="00040001" w:csb1="00000000"/>
    <w:embedRegular r:id="rId5" w:fontKey="{F1A99CC4-6A44-42A5-8565-337EFA546C9E}"/>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6" w:fontKey="{C1EF79D3-3776-4B2F-81A1-5611F5C4CAC1}"/>
  </w:font>
  <w:font w:name="楷体_GB2312">
    <w:altName w:val="楷体"/>
    <w:panose1 w:val="02010609030101010101"/>
    <w:charset w:val="86"/>
    <w:family w:val="auto"/>
    <w:pitch w:val="default"/>
    <w:sig w:usb0="00000000" w:usb1="00000000" w:usb2="00000000" w:usb3="00000000" w:csb0="00040000" w:csb1="00000000"/>
    <w:embedRegular r:id="rId7" w:fontKey="{5B85EDCB-CF88-494A-8A1A-24336AB1470A}"/>
  </w:font>
  <w:font w:name="FangSong_GB2312">
    <w:altName w:val="仿宋"/>
    <w:panose1 w:val="00000000000000000000"/>
    <w:charset w:val="86"/>
    <w:family w:val="modern"/>
    <w:pitch w:val="default"/>
    <w:sig w:usb0="00000000" w:usb1="00000000" w:usb2="00000016" w:usb3="00000000" w:csb0="00040001" w:csb1="00000000"/>
    <w:embedRegular r:id="rId8" w:fontKey="{6145094F-DE71-4F1B-8C74-E576EDCF645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DD799"/>
    <w:multiLevelType w:val="singleLevel"/>
    <w:tmpl w:val="AA2DD799"/>
    <w:lvl w:ilvl="0" w:tentative="0">
      <w:start w:val="1"/>
      <w:numFmt w:val="chineseCounting"/>
      <w:suff w:val="nothing"/>
      <w:lvlText w:val="（%1）"/>
      <w:lvlJc w:val="left"/>
      <w:rPr>
        <w:rFonts w:hint="eastAsia"/>
      </w:rPr>
    </w:lvl>
  </w:abstractNum>
  <w:abstractNum w:abstractNumId="1">
    <w:nsid w:val="CC3FF66E"/>
    <w:multiLevelType w:val="singleLevel"/>
    <w:tmpl w:val="CC3FF66E"/>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1FC177C"/>
    <w:multiLevelType w:val="singleLevel"/>
    <w:tmpl w:val="F1FC177C"/>
    <w:lvl w:ilvl="0" w:tentative="0">
      <w:start w:val="2"/>
      <w:numFmt w:val="chineseCounting"/>
      <w:suff w:val="nothing"/>
      <w:lvlText w:val="（%1）"/>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5F55604B"/>
    <w:multiLevelType w:val="singleLevel"/>
    <w:tmpl w:val="5F55604B"/>
    <w:lvl w:ilvl="0" w:tentative="0">
      <w:start w:val="1"/>
      <w:numFmt w:val="chineseCounting"/>
      <w:suff w:val="nothing"/>
      <w:lvlText w:val="%1、"/>
      <w:lvlJc w:val="left"/>
      <w:rPr>
        <w:rFonts w:hint="eastAsia"/>
      </w:rPr>
    </w:lvl>
  </w:abstractNum>
  <w:abstractNum w:abstractNumId="8">
    <w:nsid w:val="66A9069C"/>
    <w:multiLevelType w:val="singleLevel"/>
    <w:tmpl w:val="66A9069C"/>
    <w:lvl w:ilvl="0" w:tentative="0">
      <w:start w:val="2"/>
      <w:numFmt w:val="decimal"/>
      <w:suff w:val="nothing"/>
      <w:lvlText w:val="%1．"/>
      <w:lvlJc w:val="left"/>
      <w:pPr>
        <w:ind w:left="-10"/>
      </w:pPr>
    </w:lvl>
  </w:abstractNum>
  <w:abstractNum w:abstractNumId="9">
    <w:nsid w:val="674F1A9D"/>
    <w:multiLevelType w:val="singleLevel"/>
    <w:tmpl w:val="674F1A9D"/>
    <w:lvl w:ilvl="0" w:tentative="0">
      <w:start w:val="2"/>
      <w:numFmt w:val="decimal"/>
      <w:lvlText w:val="%1."/>
      <w:lvlJc w:val="left"/>
      <w:pPr>
        <w:tabs>
          <w:tab w:val="left" w:pos="312"/>
        </w:tabs>
        <w:ind w:left="1577" w:firstLine="0"/>
      </w:pPr>
    </w:lvl>
  </w:abstractNum>
  <w:num w:numId="1">
    <w:abstractNumId w:val="7"/>
  </w:num>
  <w:num w:numId="2">
    <w:abstractNumId w:val="6"/>
  </w:num>
  <w:num w:numId="3">
    <w:abstractNumId w:val="2"/>
  </w:num>
  <w:num w:numId="4">
    <w:abstractNumId w:val="3"/>
  </w:num>
  <w:num w:numId="5">
    <w:abstractNumId w:val="5"/>
  </w:num>
  <w:num w:numId="6">
    <w:abstractNumId w:val="0"/>
  </w:num>
  <w:num w:numId="7">
    <w:abstractNumId w:val="4"/>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A7B3C"/>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6EAC"/>
    <w:rsid w:val="00F602DF"/>
    <w:rsid w:val="00F754A1"/>
    <w:rsid w:val="00F81FD9"/>
    <w:rsid w:val="00F841AA"/>
    <w:rsid w:val="00F84A94"/>
    <w:rsid w:val="00F87E96"/>
    <w:rsid w:val="00FA23E8"/>
    <w:rsid w:val="00FD3CC1"/>
    <w:rsid w:val="00FF1E02"/>
    <w:rsid w:val="00FF30B4"/>
    <w:rsid w:val="015975B8"/>
    <w:rsid w:val="02143E91"/>
    <w:rsid w:val="04035B9F"/>
    <w:rsid w:val="04134A25"/>
    <w:rsid w:val="054E5157"/>
    <w:rsid w:val="05664DDF"/>
    <w:rsid w:val="066E0107"/>
    <w:rsid w:val="074C45C4"/>
    <w:rsid w:val="07996F6E"/>
    <w:rsid w:val="07F36E06"/>
    <w:rsid w:val="092D3D00"/>
    <w:rsid w:val="09F27555"/>
    <w:rsid w:val="0A2032A3"/>
    <w:rsid w:val="0BCB2D68"/>
    <w:rsid w:val="0EBE0909"/>
    <w:rsid w:val="0F98263C"/>
    <w:rsid w:val="101860EC"/>
    <w:rsid w:val="10C055FF"/>
    <w:rsid w:val="118107EC"/>
    <w:rsid w:val="11C70F52"/>
    <w:rsid w:val="13D50BC4"/>
    <w:rsid w:val="140E7DA1"/>
    <w:rsid w:val="166C1E48"/>
    <w:rsid w:val="16BB723D"/>
    <w:rsid w:val="17916B44"/>
    <w:rsid w:val="17A24910"/>
    <w:rsid w:val="18E016C7"/>
    <w:rsid w:val="199C4094"/>
    <w:rsid w:val="1A0C111B"/>
    <w:rsid w:val="1BE8440E"/>
    <w:rsid w:val="1C857F33"/>
    <w:rsid w:val="1D155CEE"/>
    <w:rsid w:val="1DA03292"/>
    <w:rsid w:val="1FF35744"/>
    <w:rsid w:val="22D50CEF"/>
    <w:rsid w:val="23860B96"/>
    <w:rsid w:val="23E26D02"/>
    <w:rsid w:val="240371BF"/>
    <w:rsid w:val="244C4B15"/>
    <w:rsid w:val="24C42EA1"/>
    <w:rsid w:val="25430540"/>
    <w:rsid w:val="26D7149B"/>
    <w:rsid w:val="29D07A83"/>
    <w:rsid w:val="29FD04D3"/>
    <w:rsid w:val="2B913769"/>
    <w:rsid w:val="2C8A61B5"/>
    <w:rsid w:val="2DF04E50"/>
    <w:rsid w:val="2F040D46"/>
    <w:rsid w:val="2F3C6C0E"/>
    <w:rsid w:val="30041F65"/>
    <w:rsid w:val="311824E1"/>
    <w:rsid w:val="318E3F4C"/>
    <w:rsid w:val="319F7F4E"/>
    <w:rsid w:val="31A640C3"/>
    <w:rsid w:val="31ED6DE4"/>
    <w:rsid w:val="3304709D"/>
    <w:rsid w:val="358D2A71"/>
    <w:rsid w:val="36AA5135"/>
    <w:rsid w:val="376D39B2"/>
    <w:rsid w:val="37E16F03"/>
    <w:rsid w:val="387364B8"/>
    <w:rsid w:val="38D469F0"/>
    <w:rsid w:val="38D67AE9"/>
    <w:rsid w:val="3A026D93"/>
    <w:rsid w:val="3ACA0437"/>
    <w:rsid w:val="3AE54500"/>
    <w:rsid w:val="3BD47604"/>
    <w:rsid w:val="3C640470"/>
    <w:rsid w:val="3D3040F6"/>
    <w:rsid w:val="3D98207C"/>
    <w:rsid w:val="3E78745D"/>
    <w:rsid w:val="3F327370"/>
    <w:rsid w:val="3F327625"/>
    <w:rsid w:val="3FBB681C"/>
    <w:rsid w:val="44D9796A"/>
    <w:rsid w:val="44E268DA"/>
    <w:rsid w:val="453D30B5"/>
    <w:rsid w:val="465777BA"/>
    <w:rsid w:val="492754C1"/>
    <w:rsid w:val="4A627F82"/>
    <w:rsid w:val="4AC94638"/>
    <w:rsid w:val="4B0E749A"/>
    <w:rsid w:val="4B4F25DA"/>
    <w:rsid w:val="4BE068DB"/>
    <w:rsid w:val="4CA759EA"/>
    <w:rsid w:val="4D577224"/>
    <w:rsid w:val="4D7004D4"/>
    <w:rsid w:val="4EAB630A"/>
    <w:rsid w:val="4ECE2238"/>
    <w:rsid w:val="4FF10EF6"/>
    <w:rsid w:val="505F0FDC"/>
    <w:rsid w:val="51925C37"/>
    <w:rsid w:val="51F60495"/>
    <w:rsid w:val="537E6D0A"/>
    <w:rsid w:val="546208AA"/>
    <w:rsid w:val="55124120"/>
    <w:rsid w:val="55CD58BC"/>
    <w:rsid w:val="59F635E0"/>
    <w:rsid w:val="5AF92295"/>
    <w:rsid w:val="5BEF23E4"/>
    <w:rsid w:val="5CD71FC4"/>
    <w:rsid w:val="5EE74938"/>
    <w:rsid w:val="605131CD"/>
    <w:rsid w:val="62B23229"/>
    <w:rsid w:val="62B81B10"/>
    <w:rsid w:val="62FB2672"/>
    <w:rsid w:val="63E2343A"/>
    <w:rsid w:val="65B500B8"/>
    <w:rsid w:val="65D26EC1"/>
    <w:rsid w:val="661324B7"/>
    <w:rsid w:val="67130C17"/>
    <w:rsid w:val="6907551F"/>
    <w:rsid w:val="6C4A05C8"/>
    <w:rsid w:val="6CCE7137"/>
    <w:rsid w:val="6D2521D7"/>
    <w:rsid w:val="6D8C7F00"/>
    <w:rsid w:val="6DB61E06"/>
    <w:rsid w:val="6E7E3605"/>
    <w:rsid w:val="6F873C60"/>
    <w:rsid w:val="6FC4684E"/>
    <w:rsid w:val="6FF5CC65"/>
    <w:rsid w:val="715C0E4B"/>
    <w:rsid w:val="717A3BFF"/>
    <w:rsid w:val="72734D90"/>
    <w:rsid w:val="73002AFD"/>
    <w:rsid w:val="730F2F44"/>
    <w:rsid w:val="73AD73D5"/>
    <w:rsid w:val="73B6EB34"/>
    <w:rsid w:val="744731E5"/>
    <w:rsid w:val="75330BC7"/>
    <w:rsid w:val="762F50EB"/>
    <w:rsid w:val="76E3355F"/>
    <w:rsid w:val="76F16155"/>
    <w:rsid w:val="778769C8"/>
    <w:rsid w:val="78604DF1"/>
    <w:rsid w:val="79EE5BA4"/>
    <w:rsid w:val="7A894339"/>
    <w:rsid w:val="7AC878BC"/>
    <w:rsid w:val="7B212B22"/>
    <w:rsid w:val="7B42766E"/>
    <w:rsid w:val="7B7B71D7"/>
    <w:rsid w:val="7C430481"/>
    <w:rsid w:val="7CB842D6"/>
    <w:rsid w:val="7E6D04DE"/>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章标题"/>
    <w:basedOn w:val="1"/>
    <w:next w:val="3"/>
    <w:qFormat/>
    <w:uiPriority w:val="99"/>
    <w:pPr>
      <w:widowControl/>
      <w:spacing w:before="158" w:after="153" w:line="323" w:lineRule="atLeast"/>
      <w:ind w:right="-120"/>
      <w:jc w:val="center"/>
      <w:textAlignment w:val="baseline"/>
    </w:pPr>
    <w:rPr>
      <w:rFonts w:ascii="Times New Roman" w:hAnsi="Times New Roman" w:eastAsia="宋体"/>
      <w:color w:val="FF0000"/>
      <w:sz w:val="18"/>
    </w:rPr>
  </w:style>
  <w:style w:type="paragraph" w:customStyle="1" w:styleId="3">
    <w:name w:val="节标题"/>
    <w:basedOn w:val="1"/>
    <w:next w:val="1"/>
    <w:qFormat/>
    <w:uiPriority w:val="99"/>
    <w:pPr>
      <w:widowControl/>
      <w:spacing w:line="289" w:lineRule="atLeast"/>
      <w:jc w:val="center"/>
      <w:textAlignment w:val="baseline"/>
    </w:pPr>
    <w:rPr>
      <w:color w:val="000000"/>
      <w:sz w:val="28"/>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8"/>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收入（万元）</c:v>
                </c:pt>
                <c:pt idx="1">
                  <c:v>支出（万元）</c:v>
                </c:pt>
              </c:strCache>
            </c:strRef>
          </c:cat>
          <c:val>
            <c:numRef>
              <c:f>Sheet1!$B$2:$B$3</c:f>
              <c:numCache>
                <c:formatCode>General</c:formatCode>
                <c:ptCount val="2"/>
                <c:pt idx="0">
                  <c:v>301.29</c:v>
                </c:pt>
                <c:pt idx="1">
                  <c:v>301.29</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收入（万元）</c:v>
                </c:pt>
                <c:pt idx="1">
                  <c:v>支出（万元）</c:v>
                </c:pt>
              </c:strCache>
            </c:strRef>
          </c:cat>
          <c:val>
            <c:numRef>
              <c:f>Sheet1!$C$2:$C$3</c:f>
              <c:numCache>
                <c:formatCode>General</c:formatCode>
                <c:ptCount val="2"/>
                <c:pt idx="0">
                  <c:v>326.25</c:v>
                </c:pt>
                <c:pt idx="1">
                  <c:v>326.25</c:v>
                </c:pt>
              </c:numCache>
            </c:numRef>
          </c:val>
        </c:ser>
        <c:dLbls>
          <c:showLegendKey val="0"/>
          <c:showVal val="0"/>
          <c:showCatName val="0"/>
          <c:showSerName val="0"/>
          <c:showPercent val="0"/>
          <c:showBubbleSize val="0"/>
        </c:dLbls>
        <c:gapWidth val="150"/>
        <c:axId val="153620480"/>
        <c:axId val="153622016"/>
      </c:barChart>
      <c:catAx>
        <c:axId val="1536204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3622016"/>
        <c:crosses val="autoZero"/>
        <c:auto val="1"/>
        <c:lblAlgn val="ctr"/>
        <c:lblOffset val="100"/>
        <c:noMultiLvlLbl val="0"/>
      </c:catAx>
      <c:valAx>
        <c:axId val="1536220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362048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收入占比（%）</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elete val="1"/>
          </c:dLbls>
          <c:cat>
            <c:strRef>
              <c:f>Sheet1!$A$2:$A$10</c:f>
              <c:strCache>
                <c:ptCount val="9"/>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Sheet1!$B$2:$B$10</c:f>
              <c:numCache>
                <c:formatCode>General</c:formatCode>
                <c:ptCount val="9"/>
                <c:pt idx="0">
                  <c:v>100</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支出占比（%）</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基本支出</c:v>
                </c:pt>
                <c:pt idx="1">
                  <c:v>项目支出</c:v>
                </c:pt>
                <c:pt idx="2">
                  <c:v>上缴上级支出</c:v>
                </c:pt>
                <c:pt idx="3">
                  <c:v>对附属单位补助支出</c:v>
                </c:pt>
              </c:strCache>
            </c:strRef>
          </c:cat>
          <c:val>
            <c:numRef>
              <c:f>Sheet1!$B$2:$B$5</c:f>
              <c:numCache>
                <c:formatCode>General</c:formatCode>
                <c:ptCount val="4"/>
                <c:pt idx="0">
                  <c:v>75.94</c:v>
                </c:pt>
                <c:pt idx="1">
                  <c:v>24.06</c:v>
                </c:pt>
                <c:pt idx="2">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财政拨款收入（万元）</c:v>
                </c:pt>
                <c:pt idx="1">
                  <c:v>财政拨款支出（万元）</c:v>
                </c:pt>
              </c:strCache>
            </c:strRef>
          </c:cat>
          <c:val>
            <c:numRef>
              <c:f>Sheet1!$B$2:$B$3</c:f>
              <c:numCache>
                <c:formatCode>General</c:formatCode>
                <c:ptCount val="2"/>
                <c:pt idx="0">
                  <c:v>301.29</c:v>
                </c:pt>
                <c:pt idx="1">
                  <c:v>301.29</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财政拨款收入（万元）</c:v>
                </c:pt>
                <c:pt idx="1">
                  <c:v>财政拨款支出（万元）</c:v>
                </c:pt>
              </c:strCache>
            </c:strRef>
          </c:cat>
          <c:val>
            <c:numRef>
              <c:f>Sheet1!$C$2:$C$3</c:f>
              <c:numCache>
                <c:formatCode>General</c:formatCode>
                <c:ptCount val="2"/>
                <c:pt idx="0">
                  <c:v>326.25</c:v>
                </c:pt>
                <c:pt idx="1">
                  <c:v>326.25</c:v>
                </c:pt>
              </c:numCache>
            </c:numRef>
          </c:val>
        </c:ser>
        <c:dLbls>
          <c:showLegendKey val="0"/>
          <c:showVal val="0"/>
          <c:showCatName val="0"/>
          <c:showSerName val="0"/>
          <c:showPercent val="0"/>
          <c:showBubbleSize val="0"/>
        </c:dLbls>
        <c:gapWidth val="150"/>
        <c:axId val="157402624"/>
        <c:axId val="157404160"/>
      </c:barChart>
      <c:catAx>
        <c:axId val="1574026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404160"/>
        <c:crosses val="autoZero"/>
        <c:auto val="1"/>
        <c:lblAlgn val="ctr"/>
        <c:lblOffset val="100"/>
        <c:noMultiLvlLbl val="0"/>
      </c:catAx>
      <c:valAx>
        <c:axId val="1574041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4026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一般公共预算财政拨款支出（万元）</c:v>
                </c:pt>
              </c:strCache>
            </c:strRef>
          </c:cat>
          <c:val>
            <c:numRef>
              <c:f>Sheet1!$B$2</c:f>
              <c:numCache>
                <c:formatCode>General</c:formatCode>
                <c:ptCount val="1"/>
                <c:pt idx="0">
                  <c:v>301.29</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一般公共预算财政拨款支出（万元）</c:v>
                </c:pt>
              </c:strCache>
            </c:strRef>
          </c:cat>
          <c:val>
            <c:numRef>
              <c:f>Sheet1!$C$2</c:f>
              <c:numCache>
                <c:formatCode>General</c:formatCode>
                <c:ptCount val="1"/>
                <c:pt idx="0">
                  <c:v>326.25</c:v>
                </c:pt>
              </c:numCache>
            </c:numRef>
          </c:val>
        </c:ser>
        <c:dLbls>
          <c:showLegendKey val="0"/>
          <c:showVal val="0"/>
          <c:showCatName val="0"/>
          <c:showSerName val="0"/>
          <c:showPercent val="0"/>
          <c:showBubbleSize val="0"/>
        </c:dLbls>
        <c:gapWidth val="150"/>
        <c:axId val="157426048"/>
        <c:axId val="157427584"/>
      </c:barChart>
      <c:catAx>
        <c:axId val="1574260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427584"/>
        <c:crosses val="autoZero"/>
        <c:auto val="1"/>
        <c:lblAlgn val="ctr"/>
        <c:lblOffset val="100"/>
        <c:noMultiLvlLbl val="0"/>
      </c:catAx>
      <c:valAx>
        <c:axId val="1574275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4260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一般公共预算财政拨款支出占比（%）</c:v>
                </c:pt>
              </c:strCache>
            </c:strRef>
          </c:tx>
          <c:spPr/>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Pt>
            <c:idx val="4"/>
            <c:bubble3D val="0"/>
            <c:spPr>
              <a:solidFill>
                <a:schemeClr val="accent5"/>
              </a:solidFill>
              <a:ln w="25400">
                <a:solidFill>
                  <a:schemeClr val="lt1"/>
                </a:solidFill>
              </a:ln>
              <a:effectLst/>
            </c:spPr>
          </c:dPt>
          <c:dPt>
            <c:idx val="5"/>
            <c:bubble3D val="0"/>
            <c:spPr>
              <a:solidFill>
                <a:schemeClr val="accent6"/>
              </a:solidFill>
              <a:ln w="25400">
                <a:solidFill>
                  <a:schemeClr val="lt1"/>
                </a:solidFill>
              </a:ln>
              <a:effectLst/>
            </c:spPr>
          </c:dPt>
          <c:dPt>
            <c:idx val="6"/>
            <c:bubble3D val="0"/>
            <c:spPr>
              <a:solidFill>
                <a:schemeClr val="accent1">
                  <a:lumMod val="60000"/>
                </a:schemeClr>
              </a:solidFill>
              <a:ln w="2540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Sheet1!$B$2:$B$8</c:f>
              <c:numCache>
                <c:formatCode>General</c:formatCode>
                <c:ptCount val="7"/>
                <c:pt idx="0">
                  <c:v>87.14</c:v>
                </c:pt>
                <c:pt idx="4">
                  <c:v>3.97</c:v>
                </c:pt>
                <c:pt idx="5">
                  <c:v>2.83</c:v>
                </c:pt>
                <c:pt idx="6">
                  <c:v>6.06</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“三公”经费财政拨款支出占比（%）</c:v>
                </c:pt>
              </c:strCache>
            </c:strRef>
          </c:tx>
          <c:explosion val="25"/>
          <c:dPt>
            <c:idx val="0"/>
            <c:bubble3D val="0"/>
          </c:dPt>
          <c:dPt>
            <c:idx val="1"/>
            <c:bubble3D val="0"/>
          </c:dPt>
          <c:dPt>
            <c:idx val="2"/>
            <c:bubble3D val="0"/>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100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12686</Words>
  <Characters>13574</Characters>
  <Lines>61</Lines>
  <Paragraphs>17</Paragraphs>
  <TotalTime>1</TotalTime>
  <ScaleCrop>false</ScaleCrop>
  <LinksUpToDate>false</LinksUpToDate>
  <CharactersWithSpaces>14210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惠</cp:lastModifiedBy>
  <cp:lastPrinted>2023-07-31T02:35:00Z</cp:lastPrinted>
  <dcterms:modified xsi:type="dcterms:W3CDTF">2023-09-19T07:33:52Z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46B1C441B91546D7A0970606FF55FF93</vt:lpwstr>
  </property>
</Properties>
</file>