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77425"/>
      <w:bookmarkStart w:id="2" w:name="_Toc15396597"/>
      <w:bookmarkStart w:id="3" w:name="_Toc15377193"/>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77194"/>
      <w:bookmarkStart w:id="7" w:name="_Toc15378442"/>
      <w:bookmarkStart w:id="8" w:name="_Toc15377426"/>
      <w:bookmarkStart w:id="9" w:name="_Toc15396476"/>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遂宁市安居区</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三家镇人民政府</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auto"/>
          <w:sz w:val="36"/>
          <w:szCs w:val="36"/>
          <w:highlight w:val="none"/>
        </w:rPr>
        <w:br w:type="page"/>
      </w:r>
      <w:r>
        <w:rPr>
          <w:rFonts w:hint="eastAsia" w:ascii="方正小标宋简体" w:hAnsi="宋体" w:eastAsia="方正小标宋简体"/>
          <w:color w:val="000000"/>
          <w:sz w:val="72"/>
          <w:szCs w:val="72"/>
        </w:rPr>
        <w:t xml:space="preserve"> </w:t>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3"/>
      </w:pPr>
      <w:r>
        <w:rPr>
          <w:rFonts w:hint="eastAsia"/>
        </w:rPr>
        <w:t>公开时间：20</w:t>
      </w:r>
      <w:r>
        <w:rPr>
          <w:rFonts w:hint="eastAsia"/>
          <w:lang w:val="en-US" w:eastAsia="zh-CN"/>
        </w:rPr>
        <w:t>23</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p>
    <w:p/>
    <w:p>
      <w:pPr>
        <w:pStyle w:val="13"/>
        <w:rPr>
          <w:rFonts w:cstheme="minorBidi"/>
        </w:rPr>
      </w:pPr>
      <w:r>
        <w:fldChar w:fldCharType="begin"/>
      </w:r>
      <w:r>
        <w:instrText xml:space="preserve"> HYPERLINK \l "_Toc15396599" </w:instrText>
      </w:r>
      <w:r>
        <w:fldChar w:fldCharType="separate"/>
      </w:r>
      <w:r>
        <w:rPr>
          <w:rStyle w:val="21"/>
          <w:rFonts w:hint="eastAsia"/>
        </w:rPr>
        <w:t>第一部分部门概况</w:t>
      </w:r>
      <w:r>
        <w:tab/>
      </w:r>
      <w:r>
        <w:rPr>
          <w:rFonts w:hint="eastAsia"/>
        </w:rPr>
        <w:t>4</w:t>
      </w:r>
      <w:r>
        <w:rPr>
          <w:rFonts w:hint="eastAsia"/>
        </w:rPr>
        <w:fldChar w:fldCharType="end"/>
      </w:r>
    </w:p>
    <w:p>
      <w:pPr>
        <w:pStyle w:val="15"/>
        <w:rPr>
          <w:rFonts w:ascii="仿宋" w:hAnsi="仿宋" w:eastAsia="仿宋" w:cstheme="minorBidi"/>
          <w:sz w:val="28"/>
          <w:szCs w:val="28"/>
        </w:rPr>
      </w:pPr>
      <w:r>
        <w:fldChar w:fldCharType="begin"/>
      </w:r>
      <w:r>
        <w:instrText xml:space="preserve"> HYPERLINK \l "_Toc15396600" </w:instrText>
      </w:r>
      <w:r>
        <w:fldChar w:fldCharType="separate"/>
      </w:r>
      <w:r>
        <w:rPr>
          <w:rStyle w:val="21"/>
          <w:rFonts w:hint="eastAsia" w:ascii="仿宋" w:hAnsi="仿宋" w:eastAsia="仿宋"/>
          <w:sz w:val="28"/>
          <w:szCs w:val="28"/>
        </w:rPr>
        <w:t>一、基本职</w:t>
      </w:r>
      <w:r>
        <w:rPr>
          <w:rStyle w:val="21"/>
          <w:rFonts w:hint="eastAsia" w:ascii="仿宋" w:hAnsi="仿宋" w:eastAsia="仿宋"/>
          <w:sz w:val="28"/>
          <w:szCs w:val="28"/>
          <w:lang w:val="en-US" w:eastAsia="zh-CN"/>
        </w:rPr>
        <w:t>责</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"_Toc15396601" </w:instrText>
      </w:r>
      <w:r>
        <w:fldChar w:fldCharType="separate"/>
      </w:r>
      <w:r>
        <w:rPr>
          <w:rStyle w:val="21"/>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pPr>
        <w:pStyle w:val="13"/>
      </w:pPr>
      <w:r>
        <w:fldChar w:fldCharType="begin"/>
      </w:r>
      <w:r>
        <w:instrText xml:space="preserve"> HYPERLINK \l "_Toc15396602" </w:instrText>
      </w:r>
      <w:r>
        <w:fldChar w:fldCharType="separate"/>
      </w:r>
      <w:r>
        <w:rPr>
          <w:rStyle w:val="21"/>
          <w:rFonts w:hint="eastAsia"/>
        </w:rPr>
        <w:t>第二部分</w:t>
      </w:r>
      <w:r>
        <w:rPr>
          <w:rStyle w:val="21"/>
        </w:rPr>
        <w:t xml:space="preserve"> 20</w:t>
      </w:r>
      <w:r>
        <w:rPr>
          <w:rStyle w:val="21"/>
          <w:rFonts w:hint="eastAsia"/>
          <w:lang w:val="en-US" w:eastAsia="zh-CN"/>
        </w:rPr>
        <w:t>22</w:t>
      </w:r>
      <w:r>
        <w:rPr>
          <w:rStyle w:val="21"/>
          <w:rFonts w:hint="eastAsia"/>
        </w:rPr>
        <w:t>年度部门决算情况说明</w:t>
      </w:r>
      <w:r>
        <w:tab/>
      </w:r>
      <w:r>
        <w:rPr>
          <w:rFonts w:hint="eastAsia"/>
          <w:lang w:val="en-US" w:eastAsia="zh-CN"/>
        </w:rPr>
        <w:t>8</w:t>
      </w:r>
      <w:r>
        <w:fldChar w:fldCharType="end"/>
      </w:r>
    </w:p>
    <w:p>
      <w:pPr>
        <w:pStyle w:val="15"/>
        <w:rPr>
          <w:rFonts w:ascii="仿宋" w:hAnsi="仿宋" w:eastAsia="仿宋" w:cstheme="minorBidi"/>
          <w:sz w:val="28"/>
          <w:szCs w:val="28"/>
        </w:rPr>
      </w:pPr>
      <w:r>
        <w:fldChar w:fldCharType="begin"/>
      </w:r>
      <w:r>
        <w:instrText xml:space="preserve"> HYPERLINK \l "_Toc15396603" </w:instrText>
      </w:r>
      <w:r>
        <w:fldChar w:fldCharType="separate"/>
      </w:r>
      <w:r>
        <w:rPr>
          <w:rStyle w:val="21"/>
          <w:rFonts w:hint="eastAsia" w:ascii="仿宋" w:hAnsi="仿宋" w:eastAsia="仿宋" w:cstheme="majorBidi"/>
          <w:bCs/>
          <w:sz w:val="28"/>
          <w:szCs w:val="28"/>
        </w:rPr>
        <w:t>一、</w:t>
      </w:r>
      <w:r>
        <w:rPr>
          <w:rStyle w:val="21"/>
          <w:rFonts w:hint="eastAsia" w:ascii="仿宋" w:hAnsi="仿宋" w:eastAsia="仿宋"/>
          <w:sz w:val="28"/>
          <w:szCs w:val="28"/>
        </w:rPr>
        <w:t>收</w:t>
      </w:r>
      <w:r>
        <w:rPr>
          <w:rStyle w:val="21"/>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"_Toc15396604" </w:instrText>
      </w:r>
      <w:r>
        <w:fldChar w:fldCharType="separate"/>
      </w:r>
      <w:r>
        <w:rPr>
          <w:rStyle w:val="21"/>
          <w:rFonts w:hint="eastAsia" w:ascii="仿宋" w:hAnsi="仿宋" w:eastAsia="仿宋" w:cstheme="majorBidi"/>
          <w:bCs/>
          <w:sz w:val="28"/>
          <w:szCs w:val="28"/>
        </w:rPr>
        <w:t>二、</w:t>
      </w:r>
      <w:r>
        <w:rPr>
          <w:rStyle w:val="21"/>
          <w:rFonts w:hint="eastAsia" w:ascii="仿宋" w:hAnsi="仿宋" w:eastAsia="仿宋"/>
          <w:sz w:val="28"/>
          <w:szCs w:val="28"/>
        </w:rPr>
        <w:t>收</w:t>
      </w:r>
      <w:r>
        <w:rPr>
          <w:rStyle w:val="21"/>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"_Toc15396605" </w:instrText>
      </w:r>
      <w:r>
        <w:fldChar w:fldCharType="separate"/>
      </w:r>
      <w:r>
        <w:rPr>
          <w:rStyle w:val="21"/>
          <w:rFonts w:hint="eastAsia" w:ascii="仿宋" w:hAnsi="仿宋" w:eastAsia="仿宋" w:cstheme="majorBidi"/>
          <w:bCs/>
          <w:sz w:val="28"/>
          <w:szCs w:val="28"/>
        </w:rPr>
        <w:t>三、</w:t>
      </w:r>
      <w:r>
        <w:rPr>
          <w:rStyle w:val="21"/>
          <w:rFonts w:hint="eastAsia" w:ascii="仿宋" w:hAnsi="仿宋" w:eastAsia="仿宋"/>
          <w:sz w:val="28"/>
          <w:szCs w:val="28"/>
        </w:rPr>
        <w:t>支</w:t>
      </w:r>
      <w:r>
        <w:rPr>
          <w:rStyle w:val="21"/>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"_Toc15396606" </w:instrText>
      </w:r>
      <w:r>
        <w:fldChar w:fldCharType="separate"/>
      </w:r>
      <w:r>
        <w:rPr>
          <w:rStyle w:val="21"/>
          <w:rFonts w:hint="eastAsia" w:ascii="仿宋" w:hAnsi="仿宋" w:eastAsia="仿宋"/>
          <w:sz w:val="28"/>
          <w:szCs w:val="28"/>
        </w:rPr>
        <w:t>四、财</w:t>
      </w:r>
      <w:r>
        <w:rPr>
          <w:rStyle w:val="21"/>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p>
    <w:p>
      <w:pPr>
        <w:pStyle w:val="15"/>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21"/>
          <w:rFonts w:hint="eastAsia" w:ascii="仿宋" w:hAnsi="仿宋" w:eastAsia="仿宋"/>
          <w:sz w:val="28"/>
          <w:szCs w:val="28"/>
        </w:rPr>
        <w:t>五、一</w:t>
      </w:r>
      <w:r>
        <w:rPr>
          <w:rStyle w:val="21"/>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5"/>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21"/>
          <w:rFonts w:hint="eastAsia" w:ascii="仿宋" w:hAnsi="仿宋" w:eastAsia="仿宋"/>
          <w:sz w:val="28"/>
          <w:szCs w:val="28"/>
        </w:rPr>
        <w:t>六、一</w:t>
      </w:r>
      <w:r>
        <w:rPr>
          <w:rStyle w:val="21"/>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hint="eastAsia" w:ascii="仿宋" w:hAnsi="仿宋" w:eastAsia="仿宋"/>
          <w:sz w:val="28"/>
          <w:szCs w:val="28"/>
          <w:lang w:val="en-US" w:eastAsia="zh-CN"/>
        </w:rPr>
        <w:t>1</w:t>
      </w:r>
      <w:r>
        <w:rPr>
          <w:rFonts w:ascii="仿宋" w:hAnsi="仿宋" w:eastAsia="仿宋"/>
          <w:sz w:val="28"/>
          <w:szCs w:val="28"/>
        </w:rPr>
        <w:fldChar w:fldCharType="end"/>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5"/>
        <w:rPr>
          <w:rFonts w:ascii="仿宋" w:hAnsi="仿宋" w:eastAsia="仿宋" w:cstheme="minorBidi"/>
          <w:sz w:val="28"/>
          <w:szCs w:val="28"/>
        </w:rPr>
      </w:pPr>
      <w:r>
        <w:fldChar w:fldCharType="begin"/>
      </w:r>
      <w:r>
        <w:instrText xml:space="preserve"> HYPERLINK \l "_Toc15396609" </w:instrText>
      </w:r>
      <w:r>
        <w:fldChar w:fldCharType="separate"/>
      </w:r>
      <w:r>
        <w:rPr>
          <w:rStyle w:val="21"/>
          <w:rFonts w:hint="eastAsia" w:ascii="仿宋" w:hAnsi="仿宋" w:eastAsia="仿宋"/>
          <w:sz w:val="28"/>
          <w:szCs w:val="28"/>
        </w:rPr>
        <w:t>七、</w:t>
      </w:r>
      <w:r>
        <w:rPr>
          <w:rStyle w:val="21"/>
          <w:rFonts w:ascii="仿宋" w:hAnsi="仿宋" w:eastAsia="仿宋"/>
          <w:sz w:val="28"/>
          <w:szCs w:val="28"/>
        </w:rPr>
        <w:t>“</w:t>
      </w:r>
      <w:r>
        <w:rPr>
          <w:rStyle w:val="21"/>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6</w:t>
      </w:r>
      <w:r>
        <w:rPr>
          <w:rFonts w:ascii="仿宋" w:hAnsi="仿宋" w:eastAsia="仿宋"/>
          <w:sz w:val="28"/>
          <w:szCs w:val="28"/>
        </w:rPr>
        <w:fldChar w:fldCharType="end"/>
      </w:r>
      <w:r>
        <w:rPr>
          <w:rFonts w:ascii="仿宋" w:hAnsi="仿宋" w:eastAsia="仿宋"/>
          <w:sz w:val="28"/>
          <w:szCs w:val="28"/>
        </w:rPr>
        <w:fldChar w:fldCharType="end"/>
      </w:r>
    </w:p>
    <w:p>
      <w:pPr>
        <w:pStyle w:val="15"/>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21"/>
          <w:rFonts w:hint="eastAsia" w:ascii="仿宋" w:hAnsi="仿宋" w:eastAsia="仿宋"/>
          <w:sz w:val="28"/>
          <w:szCs w:val="28"/>
        </w:rPr>
        <w:t>八、</w:t>
      </w:r>
      <w:r>
        <w:rPr>
          <w:rStyle w:val="21"/>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8</w:t>
      </w:r>
    </w:p>
    <w:p>
      <w:pPr>
        <w:pStyle w:val="15"/>
        <w:rPr>
          <w:rFonts w:ascii="仿宋" w:hAnsi="仿宋" w:eastAsia="仿宋" w:cstheme="minorBidi"/>
          <w:sz w:val="28"/>
          <w:szCs w:val="28"/>
        </w:rPr>
      </w:pPr>
      <w:r>
        <w:fldChar w:fldCharType="begin"/>
      </w:r>
      <w:r>
        <w:instrText xml:space="preserve"> HYPERLINK \l "_Toc15396611" </w:instrText>
      </w:r>
      <w:r>
        <w:fldChar w:fldCharType="separate"/>
      </w:r>
      <w:r>
        <w:rPr>
          <w:rStyle w:val="21"/>
          <w:rFonts w:hint="eastAsia" w:ascii="仿宋" w:hAnsi="仿宋" w:eastAsia="仿宋" w:cstheme="majorBidi"/>
          <w:bCs/>
          <w:sz w:val="28"/>
          <w:szCs w:val="28"/>
        </w:rPr>
        <w:t>九、</w:t>
      </w:r>
      <w:r>
        <w:rPr>
          <w:rStyle w:val="21"/>
          <w:rFonts w:hint="eastAsia" w:ascii="仿宋" w:hAnsi="仿宋" w:eastAsia="仿宋"/>
          <w:sz w:val="28"/>
          <w:szCs w:val="28"/>
        </w:rPr>
        <w:t xml:space="preserve"> 国</w:t>
      </w:r>
      <w:r>
        <w:rPr>
          <w:rStyle w:val="21"/>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8</w:t>
      </w:r>
      <w:r>
        <w:rPr>
          <w:rFonts w:ascii="仿宋" w:hAnsi="仿宋" w:eastAsia="仿宋"/>
          <w:sz w:val="28"/>
          <w:szCs w:val="28"/>
        </w:rPr>
        <w:fldChar w:fldCharType="end"/>
      </w:r>
      <w:r>
        <w:rPr>
          <w:rFonts w:ascii="仿宋" w:hAnsi="仿宋" w:eastAsia="仿宋"/>
          <w:sz w:val="28"/>
          <w:szCs w:val="28"/>
        </w:rPr>
        <w:fldChar w:fldCharType="end"/>
      </w:r>
    </w:p>
    <w:p>
      <w:pPr>
        <w:pStyle w:val="15"/>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21"/>
          <w:rFonts w:hint="eastAsia" w:ascii="仿宋" w:hAnsi="仿宋" w:eastAsia="仿宋"/>
          <w:sz w:val="28"/>
          <w:szCs w:val="28"/>
        </w:rPr>
        <w:t>十</w:t>
      </w:r>
      <w:r>
        <w:rPr>
          <w:rStyle w:val="21"/>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8</w:t>
      </w:r>
    </w:p>
    <w:p>
      <w:pPr>
        <w:pStyle w:val="13"/>
        <w:rPr>
          <w:rFonts w:cstheme="minorBidi"/>
        </w:rPr>
      </w:pPr>
      <w:r>
        <w:fldChar w:fldCharType="begin"/>
      </w:r>
      <w:r>
        <w:instrText xml:space="preserve"> HYPERLINK \l "_Toc15396613" </w:instrText>
      </w:r>
      <w:r>
        <w:fldChar w:fldCharType="separate"/>
      </w:r>
      <w:r>
        <w:rPr>
          <w:rStyle w:val="21"/>
          <w:rFonts w:hint="eastAsia"/>
          <w:bCs/>
          <w:kern w:val="44"/>
        </w:rPr>
        <w:t>第三部分</w:t>
      </w:r>
      <w:r>
        <w:rPr>
          <w:rStyle w:val="21"/>
          <w:rFonts w:hint="eastAsia"/>
        </w:rPr>
        <w:t xml:space="preserve"> 名</w:t>
      </w:r>
      <w:r>
        <w:rPr>
          <w:rStyle w:val="21"/>
          <w:rFonts w:hint="eastAsia"/>
          <w:bCs/>
          <w:kern w:val="44"/>
        </w:rPr>
        <w:t>词解释</w:t>
      </w:r>
      <w:r>
        <w:tab/>
      </w:r>
      <w:r>
        <w:fldChar w:fldCharType="begin"/>
      </w:r>
      <w:r>
        <w:instrText xml:space="preserve"> PAGEREF _Toc15396613 \h </w:instrText>
      </w:r>
      <w:r>
        <w:fldChar w:fldCharType="separate"/>
      </w:r>
      <w:r>
        <w:t>2</w:t>
      </w:r>
      <w:r>
        <w:rPr>
          <w:rFonts w:hint="eastAsia"/>
          <w:lang w:val="en-US" w:eastAsia="zh-CN"/>
        </w:rPr>
        <w:t>0</w:t>
      </w:r>
      <w:r>
        <w:fldChar w:fldCharType="end"/>
      </w:r>
      <w:r>
        <w:fldChar w:fldCharType="end"/>
      </w:r>
    </w:p>
    <w:p>
      <w:pPr>
        <w:pStyle w:val="13"/>
        <w:rPr>
          <w:rFonts w:hint="eastAsia" w:eastAsia="仿宋" w:cstheme="minorBidi"/>
          <w:lang w:val="en-US" w:eastAsia="zh-CN"/>
        </w:rPr>
      </w:pPr>
      <w:r>
        <w:fldChar w:fldCharType="begin"/>
      </w:r>
      <w:r>
        <w:instrText xml:space="preserve"> HYPERLINK \l "_Toc15396614" </w:instrText>
      </w:r>
      <w:r>
        <w:fldChar w:fldCharType="separate"/>
      </w:r>
      <w:r>
        <w:rPr>
          <w:rStyle w:val="21"/>
          <w:rFonts w:hint="eastAsia"/>
        </w:rPr>
        <w:t>第</w:t>
      </w:r>
      <w:r>
        <w:rPr>
          <w:rStyle w:val="21"/>
          <w:rFonts w:hint="eastAsia"/>
          <w:bCs/>
          <w:kern w:val="44"/>
        </w:rPr>
        <w:t>四部分附件</w:t>
      </w:r>
      <w:r>
        <w:tab/>
      </w:r>
      <w:r>
        <w:rPr>
          <w:rFonts w:hint="eastAsia"/>
          <w:lang w:val="en-US" w:eastAsia="zh-CN"/>
        </w:rPr>
        <w:t>2</w:t>
      </w:r>
      <w:r>
        <w:fldChar w:fldCharType="end"/>
      </w:r>
      <w:r>
        <w:rPr>
          <w:rFonts w:hint="eastAsia"/>
          <w:lang w:val="en-US" w:eastAsia="zh-CN"/>
        </w:rPr>
        <w:t>7</w:t>
      </w:r>
    </w:p>
    <w:p>
      <w:pPr>
        <w:pStyle w:val="15"/>
        <w:rPr>
          <w:rFonts w:hint="eastAsia" w:ascii="仿宋" w:hAnsi="仿宋" w:eastAsia="仿宋" w:cstheme="minorBidi"/>
          <w:sz w:val="28"/>
          <w:szCs w:val="28"/>
          <w:lang w:val="en-US" w:eastAsia="zh-CN"/>
        </w:rPr>
      </w:pPr>
      <w:r>
        <w:fldChar w:fldCharType="begin"/>
      </w:r>
      <w:r>
        <w:instrText xml:space="preserve"> HYPERLINK \l "_Toc15396615" </w:instrText>
      </w:r>
      <w:r>
        <w:fldChar w:fldCharType="separate"/>
      </w:r>
      <w:r>
        <w:rPr>
          <w:rStyle w:val="21"/>
          <w:rFonts w:hint="eastAsia" w:ascii="仿宋" w:hAnsi="仿宋" w:eastAsia="仿宋"/>
          <w:kern w:val="44"/>
          <w:sz w:val="28"/>
          <w:szCs w:val="28"/>
        </w:rPr>
        <w:t>附件</w:t>
      </w:r>
      <w:r>
        <w:rPr>
          <w:rStyle w:val="21"/>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5"/>
        <w:rPr>
          <w:rFonts w:ascii="仿宋" w:hAnsi="仿宋" w:eastAsia="仿宋"/>
          <w:sz w:val="28"/>
          <w:szCs w:val="28"/>
        </w:rPr>
      </w:pPr>
      <w:r>
        <w:fldChar w:fldCharType="begin"/>
      </w:r>
      <w:r>
        <w:instrText xml:space="preserve"> HYPERLINK \l "_Toc15396617" </w:instrText>
      </w:r>
      <w:r>
        <w:fldChar w:fldCharType="separate"/>
      </w:r>
      <w:r>
        <w:rPr>
          <w:rStyle w:val="21"/>
          <w:rFonts w:hint="eastAsia" w:ascii="仿宋" w:hAnsi="仿宋" w:eastAsia="仿宋"/>
          <w:kern w:val="44"/>
          <w:sz w:val="28"/>
          <w:szCs w:val="28"/>
        </w:rPr>
        <w:t>附件</w:t>
      </w:r>
      <w:r>
        <w:rPr>
          <w:rStyle w:val="21"/>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3</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pPr>
        <w:pStyle w:val="15"/>
        <w:rPr>
          <w:rFonts w:hint="eastAsia" w:ascii="仿宋" w:hAnsi="仿宋" w:eastAsia="仿宋"/>
          <w:sz w:val="28"/>
          <w:szCs w:val="28"/>
          <w:lang w:val="en-US" w:eastAsia="zh-CN"/>
        </w:rPr>
      </w:pPr>
      <w:r>
        <w:fldChar w:fldCharType="begin"/>
      </w:r>
      <w:r>
        <w:instrText xml:space="preserve"> HYPERLINK \l "_Toc15396617" </w:instrText>
      </w:r>
      <w:r>
        <w:fldChar w:fldCharType="separate"/>
      </w:r>
      <w:r>
        <w:rPr>
          <w:rStyle w:val="21"/>
          <w:rFonts w:hint="eastAsia" w:ascii="仿宋" w:hAnsi="仿宋" w:eastAsia="仿宋"/>
          <w:kern w:val="44"/>
          <w:sz w:val="28"/>
          <w:szCs w:val="28"/>
        </w:rPr>
        <w:t>附件</w:t>
      </w:r>
      <w:r>
        <w:rPr>
          <w:rStyle w:val="21"/>
          <w:rFonts w:hint="eastAsia" w:ascii="仿宋" w:hAnsi="仿宋" w:eastAsia="仿宋"/>
          <w:kern w:val="44"/>
          <w:sz w:val="28"/>
          <w:szCs w:val="28"/>
          <w:lang w:val="en-US" w:eastAsia="zh-CN"/>
        </w:rPr>
        <w:t>3</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5"/>
        <w:rPr>
          <w:rFonts w:hint="eastAsia" w:ascii="仿宋" w:hAnsi="仿宋" w:eastAsia="仿宋"/>
          <w:sz w:val="28"/>
          <w:szCs w:val="28"/>
          <w:lang w:val="en-US" w:eastAsia="zh-CN"/>
        </w:rPr>
      </w:pPr>
      <w:r>
        <w:fldChar w:fldCharType="begin"/>
      </w:r>
      <w:r>
        <w:instrText xml:space="preserve"> HYPERLINK \l "_Toc15396617" </w:instrText>
      </w:r>
      <w:r>
        <w:fldChar w:fldCharType="separate"/>
      </w:r>
      <w:r>
        <w:rPr>
          <w:rStyle w:val="21"/>
          <w:rFonts w:hint="eastAsia" w:ascii="仿宋" w:hAnsi="仿宋" w:eastAsia="仿宋"/>
          <w:kern w:val="44"/>
          <w:sz w:val="28"/>
          <w:szCs w:val="28"/>
        </w:rPr>
        <w:t>附件</w:t>
      </w:r>
      <w:r>
        <w:rPr>
          <w:rStyle w:val="21"/>
          <w:rFonts w:hint="eastAsia" w:ascii="仿宋" w:hAnsi="仿宋" w:eastAsia="仿宋"/>
          <w:kern w:val="44"/>
          <w:sz w:val="28"/>
          <w:szCs w:val="28"/>
          <w:lang w:val="en-US" w:eastAsia="zh-CN"/>
        </w:rPr>
        <w:t>4</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5"/>
        <w:rPr>
          <w:rFonts w:hint="eastAsia" w:ascii="仿宋" w:hAnsi="仿宋" w:eastAsia="仿宋"/>
          <w:sz w:val="28"/>
          <w:szCs w:val="28"/>
          <w:lang w:val="en-US" w:eastAsia="zh-CN"/>
        </w:rPr>
      </w:pPr>
      <w:r>
        <w:fldChar w:fldCharType="begin"/>
      </w:r>
      <w:r>
        <w:instrText xml:space="preserve"> HYPERLINK \l "_Toc15396617" </w:instrText>
      </w:r>
      <w:r>
        <w:fldChar w:fldCharType="separate"/>
      </w:r>
      <w:r>
        <w:rPr>
          <w:rStyle w:val="21"/>
          <w:rFonts w:hint="eastAsia" w:ascii="仿宋" w:hAnsi="仿宋" w:eastAsia="仿宋"/>
          <w:kern w:val="44"/>
          <w:sz w:val="28"/>
          <w:szCs w:val="28"/>
        </w:rPr>
        <w:t>附件</w:t>
      </w:r>
      <w:r>
        <w:rPr>
          <w:rStyle w:val="21"/>
          <w:rFonts w:hint="eastAsia" w:ascii="仿宋" w:hAnsi="仿宋" w:eastAsia="仿宋"/>
          <w:kern w:val="44"/>
          <w:sz w:val="28"/>
          <w:szCs w:val="28"/>
          <w:lang w:val="en-US" w:eastAsia="zh-CN"/>
        </w:rPr>
        <w:t>5</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5"/>
        <w:rPr>
          <w:rFonts w:hint="eastAsia" w:ascii="仿宋" w:hAnsi="仿宋" w:eastAsia="仿宋"/>
          <w:sz w:val="28"/>
          <w:szCs w:val="28"/>
          <w:lang w:val="en-US" w:eastAsia="zh-CN"/>
        </w:rPr>
      </w:pPr>
      <w:r>
        <w:fldChar w:fldCharType="begin"/>
      </w:r>
      <w:r>
        <w:instrText xml:space="preserve"> HYPERLINK \l "_Toc15396617" </w:instrText>
      </w:r>
      <w:r>
        <w:fldChar w:fldCharType="separate"/>
      </w:r>
      <w:r>
        <w:rPr>
          <w:rStyle w:val="21"/>
          <w:rFonts w:hint="eastAsia" w:ascii="仿宋" w:hAnsi="仿宋" w:eastAsia="仿宋"/>
          <w:kern w:val="44"/>
          <w:sz w:val="28"/>
          <w:szCs w:val="28"/>
        </w:rPr>
        <w:t>附件</w:t>
      </w:r>
      <w:r>
        <w:rPr>
          <w:rStyle w:val="21"/>
          <w:rFonts w:hint="eastAsia" w:ascii="仿宋" w:hAnsi="仿宋" w:eastAsia="仿宋"/>
          <w:kern w:val="44"/>
          <w:sz w:val="28"/>
          <w:szCs w:val="28"/>
          <w:lang w:val="en-US" w:eastAsia="zh-CN"/>
        </w:rPr>
        <w:t>6</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9</w:t>
      </w:r>
    </w:p>
    <w:p>
      <w:pPr>
        <w:pStyle w:val="13"/>
        <w:rPr>
          <w:rFonts w:hint="eastAsia" w:eastAsia="仿宋" w:cstheme="minorBidi"/>
          <w:lang w:val="en-US" w:eastAsia="zh-CN"/>
        </w:rPr>
      </w:pPr>
      <w:r>
        <w:fldChar w:fldCharType="begin"/>
      </w:r>
      <w:r>
        <w:instrText xml:space="preserve"> HYPERLINK \l "_Toc15396618" </w:instrText>
      </w:r>
      <w:r>
        <w:fldChar w:fldCharType="separate"/>
      </w:r>
      <w:r>
        <w:rPr>
          <w:rStyle w:val="21"/>
          <w:rFonts w:hint="eastAsia"/>
        </w:rPr>
        <w:t>第</w:t>
      </w:r>
      <w:r>
        <w:rPr>
          <w:rStyle w:val="21"/>
          <w:rFonts w:hint="eastAsia"/>
          <w:bCs/>
          <w:kern w:val="44"/>
        </w:rPr>
        <w:t>五部分附表</w:t>
      </w:r>
      <w:r>
        <w:tab/>
      </w:r>
      <w:r>
        <w:rPr>
          <w:rFonts w:hint="eastAsia"/>
          <w:lang w:val="en-US" w:eastAsia="zh-CN"/>
        </w:rPr>
        <w:t>5</w:t>
      </w:r>
      <w:r>
        <w:fldChar w:fldCharType="end"/>
      </w:r>
      <w:r>
        <w:rPr>
          <w:rFonts w:hint="eastAsia"/>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21"/>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default"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21"/>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21"/>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21"/>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21"/>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21"/>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21"/>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21"/>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21"/>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21"/>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21"/>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21"/>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r>
        <w:rPr>
          <w:rFonts w:hint="eastAsia" w:ascii="仿宋" w:hAnsi="仿宋" w:eastAsia="仿宋"/>
          <w:sz w:val="28"/>
          <w:szCs w:val="28"/>
          <w:lang w:val="en-US" w:eastAsia="zh-CN"/>
        </w:rPr>
        <w:t>2</w:t>
      </w:r>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000000"/>
          <w:sz w:val="24"/>
        </w:rPr>
        <w:fldChar w:fldCharType="end"/>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pageBreakBefore w:val="0"/>
        <w:kinsoku/>
        <w:wordWrap/>
        <w:overflowPunct/>
        <w:topLinePunct w:val="0"/>
        <w:bidi w:val="0"/>
        <w:spacing w:before="95" w:beforeLines="30"/>
        <w:jc w:val="center"/>
        <w:textAlignment w:val="auto"/>
        <w:rPr>
          <w:rStyle w:val="3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2"/>
      <w:bookmarkEnd w:id="13"/>
    </w:p>
    <w:p>
      <w:pPr>
        <w:pStyle w:val="4"/>
        <w:pageBreakBefore w:val="0"/>
        <w:numPr>
          <w:ilvl w:val="0"/>
          <w:numId w:val="2"/>
        </w:numPr>
        <w:kinsoku/>
        <w:wordWrap/>
        <w:overflowPunct/>
        <w:topLinePunct w:val="0"/>
        <w:bidi w:val="0"/>
        <w:spacing w:before="95" w:beforeLines="30" w:after="0" w:line="240" w:lineRule="auto"/>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keepNext w:val="0"/>
        <w:keepLines w:val="0"/>
        <w:pageBreakBefore w:val="0"/>
        <w:widowControl w:val="0"/>
        <w:kinsoku/>
        <w:wordWrap/>
        <w:overflowPunct/>
        <w:topLinePunct w:val="0"/>
        <w:autoSpaceDE/>
        <w:autoSpaceDN/>
        <w:bidi w:val="0"/>
        <w:adjustRightInd/>
        <w:snapToGrid/>
        <w:spacing w:before="95" w:beforeLines="30" w:line="560" w:lineRule="exact"/>
        <w:ind w:firstLine="601"/>
        <w:textAlignment w:val="auto"/>
        <w:rPr>
          <w:rFonts w:ascii="仿宋" w:hAnsi="仿宋" w:eastAsia="仿宋" w:cs="仿宋"/>
          <w:sz w:val="30"/>
          <w:szCs w:val="30"/>
        </w:rPr>
      </w:pPr>
      <w:r>
        <w:rPr>
          <w:rFonts w:ascii="仿宋" w:hAnsi="仿宋" w:eastAsia="仿宋" w:cs="仿宋"/>
          <w:spacing w:val="16"/>
          <w:sz w:val="30"/>
          <w:szCs w:val="30"/>
        </w:rPr>
        <w:t>加强镇党委领导核心作用，充分发挥统筹协调各方、领导基</w:t>
      </w:r>
      <w:r>
        <w:rPr>
          <w:rFonts w:ascii="仿宋" w:hAnsi="仿宋" w:eastAsia="仿宋" w:cs="仿宋"/>
          <w:spacing w:val="15"/>
          <w:sz w:val="30"/>
          <w:szCs w:val="30"/>
        </w:rPr>
        <w:t>层治理的功能，推动镇党委聚焦主责主业，集中精力抓党建、抓</w:t>
      </w:r>
      <w:r>
        <w:rPr>
          <w:rFonts w:ascii="仿宋" w:hAnsi="仿宋" w:eastAsia="仿宋" w:cs="仿宋"/>
          <w:spacing w:val="19"/>
          <w:sz w:val="30"/>
          <w:szCs w:val="30"/>
        </w:rPr>
        <w:t>治理、抓服务。加快推进基层政府职能转变，强化镇公共管理、</w:t>
      </w:r>
      <w:r>
        <w:rPr>
          <w:rFonts w:ascii="仿宋" w:hAnsi="仿宋" w:eastAsia="仿宋" w:cs="仿宋"/>
          <w:spacing w:val="17"/>
          <w:sz w:val="30"/>
          <w:szCs w:val="30"/>
        </w:rPr>
        <w:t xml:space="preserve"> </w:t>
      </w:r>
      <w:r>
        <w:rPr>
          <w:rFonts w:ascii="仿宋" w:hAnsi="仿宋" w:eastAsia="仿宋" w:cs="仿宋"/>
          <w:spacing w:val="15"/>
          <w:sz w:val="30"/>
          <w:szCs w:val="30"/>
        </w:rPr>
        <w:t>公共服务、公共安全、民生保障等基本职能，推动镇职能由“管</w:t>
      </w:r>
      <w:r>
        <w:rPr>
          <w:rFonts w:ascii="仿宋" w:hAnsi="仿宋" w:eastAsia="仿宋" w:cs="仿宋"/>
          <w:spacing w:val="12"/>
          <w:sz w:val="30"/>
          <w:szCs w:val="30"/>
        </w:rPr>
        <w:t>理型”向“公共服务型”转变。</w:t>
      </w:r>
    </w:p>
    <w:p>
      <w:pPr>
        <w:pageBreakBefore w:val="0"/>
        <w:kinsoku/>
        <w:wordWrap/>
        <w:overflowPunct/>
        <w:topLinePunct w:val="0"/>
        <w:bidi w:val="0"/>
        <w:spacing w:before="95" w:beforeLines="30" w:line="560" w:lineRule="exact"/>
        <w:ind w:left="604"/>
        <w:textAlignment w:val="auto"/>
        <w:outlineLvl w:val="2"/>
        <w:rPr>
          <w:rFonts w:ascii="仿宋" w:hAnsi="仿宋" w:eastAsia="仿宋" w:cs="仿宋"/>
          <w:sz w:val="30"/>
          <w:szCs w:val="30"/>
        </w:rPr>
      </w:pPr>
      <w:r>
        <w:rPr>
          <w:rFonts w:ascii="仿宋" w:hAnsi="仿宋" w:eastAsia="仿宋" w:cs="仿宋"/>
          <w:b/>
          <w:bCs/>
          <w:spacing w:val="16"/>
          <w:sz w:val="30"/>
          <w:szCs w:val="30"/>
        </w:rPr>
        <w:t>(</w:t>
      </w:r>
      <w:r>
        <w:rPr>
          <w:rFonts w:ascii="仿宋" w:hAnsi="仿宋" w:eastAsia="仿宋" w:cs="仿宋"/>
          <w:spacing w:val="-85"/>
          <w:sz w:val="30"/>
          <w:szCs w:val="30"/>
        </w:rPr>
        <w:t xml:space="preserve"> </w:t>
      </w:r>
      <w:r>
        <w:rPr>
          <w:rFonts w:ascii="仿宋" w:hAnsi="仿宋" w:eastAsia="仿宋" w:cs="仿宋"/>
          <w:b/>
          <w:bCs/>
          <w:spacing w:val="16"/>
          <w:sz w:val="30"/>
          <w:szCs w:val="30"/>
        </w:rPr>
        <w:t>一)镇党委主要职责</w:t>
      </w:r>
    </w:p>
    <w:p>
      <w:pPr>
        <w:pageBreakBefore w:val="0"/>
        <w:kinsoku/>
        <w:wordWrap/>
        <w:overflowPunct/>
        <w:topLinePunct w:val="0"/>
        <w:bidi w:val="0"/>
        <w:spacing w:before="95" w:beforeLines="30" w:line="560" w:lineRule="exact"/>
        <w:ind w:right="119" w:firstLine="600"/>
        <w:jc w:val="both"/>
        <w:textAlignment w:val="auto"/>
        <w:outlineLvl w:val="3"/>
        <w:rPr>
          <w:rFonts w:ascii="仿宋" w:hAnsi="仿宋" w:eastAsia="仿宋" w:cs="仿宋"/>
          <w:sz w:val="30"/>
          <w:szCs w:val="30"/>
        </w:rPr>
      </w:pPr>
      <w:r>
        <w:rPr>
          <w:rFonts w:ascii="仿宋" w:hAnsi="仿宋" w:eastAsia="仿宋" w:cs="仿宋"/>
          <w:spacing w:val="22"/>
          <w:sz w:val="30"/>
          <w:szCs w:val="30"/>
        </w:rPr>
        <w:t>1.</w:t>
      </w:r>
      <w:r>
        <w:rPr>
          <w:rFonts w:ascii="仿宋" w:hAnsi="仿宋" w:eastAsia="仿宋" w:cs="仿宋"/>
          <w:spacing w:val="-31"/>
          <w:sz w:val="30"/>
          <w:szCs w:val="30"/>
        </w:rPr>
        <w:t xml:space="preserve"> </w:t>
      </w:r>
      <w:r>
        <w:rPr>
          <w:rFonts w:ascii="仿宋" w:hAnsi="仿宋" w:eastAsia="仿宋" w:cs="仿宋"/>
          <w:spacing w:val="22"/>
          <w:sz w:val="30"/>
          <w:szCs w:val="30"/>
        </w:rPr>
        <w:t>宣传和贯彻执行党的路线、方针、政策和上级党组织及</w:t>
      </w:r>
      <w:r>
        <w:rPr>
          <w:rFonts w:ascii="仿宋" w:hAnsi="仿宋" w:eastAsia="仿宋" w:cs="仿宋"/>
          <w:sz w:val="30"/>
          <w:szCs w:val="30"/>
        </w:rPr>
        <w:t xml:space="preserve"> </w:t>
      </w:r>
      <w:r>
        <w:rPr>
          <w:rFonts w:ascii="仿宋" w:hAnsi="仿宋" w:eastAsia="仿宋" w:cs="仿宋"/>
          <w:spacing w:val="26"/>
          <w:sz w:val="30"/>
          <w:szCs w:val="30"/>
        </w:rPr>
        <w:t>本镇党员代表大会(党员大会)的决议，及时向区委报告辖区有</w:t>
      </w:r>
      <w:r>
        <w:rPr>
          <w:rFonts w:ascii="仿宋" w:hAnsi="仿宋" w:eastAsia="仿宋" w:cs="仿宋"/>
          <w:spacing w:val="11"/>
          <w:sz w:val="30"/>
          <w:szCs w:val="30"/>
        </w:rPr>
        <w:t>关情况、反映问题、提出意见建议。</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z w:val="30"/>
          <w:szCs w:val="30"/>
        </w:rPr>
      </w:pPr>
      <w:r>
        <w:rPr>
          <w:rFonts w:ascii="仿宋" w:hAnsi="仿宋" w:eastAsia="仿宋" w:cs="仿宋"/>
          <w:spacing w:val="28"/>
          <w:sz w:val="30"/>
          <w:szCs w:val="30"/>
        </w:rPr>
        <w:t>2.</w:t>
      </w:r>
      <w:r>
        <w:rPr>
          <w:rFonts w:ascii="仿宋" w:hAnsi="仿宋" w:eastAsia="仿宋" w:cs="仿宋"/>
          <w:spacing w:val="-30"/>
          <w:sz w:val="30"/>
          <w:szCs w:val="30"/>
        </w:rPr>
        <w:t xml:space="preserve"> </w:t>
      </w:r>
      <w:r>
        <w:rPr>
          <w:rFonts w:ascii="仿宋" w:hAnsi="仿宋" w:eastAsia="仿宋" w:cs="仿宋"/>
          <w:spacing w:val="28"/>
          <w:sz w:val="30"/>
          <w:szCs w:val="30"/>
        </w:rPr>
        <w:t>全面领导镇人民政府机关、人大工作机构、群团组织、</w:t>
      </w:r>
      <w:r>
        <w:rPr>
          <w:rFonts w:ascii="仿宋" w:hAnsi="仿宋" w:eastAsia="仿宋" w:cs="仿宋"/>
          <w:sz w:val="30"/>
          <w:szCs w:val="30"/>
        </w:rPr>
        <w:t xml:space="preserve"> </w:t>
      </w:r>
      <w:r>
        <w:rPr>
          <w:rFonts w:ascii="仿宋" w:hAnsi="仿宋" w:eastAsia="仿宋" w:cs="仿宋"/>
          <w:spacing w:val="15"/>
          <w:sz w:val="30"/>
          <w:szCs w:val="30"/>
        </w:rPr>
        <w:t>人武部等其他各类机构和各项工作，加强指导和规范，支持和保</w:t>
      </w:r>
      <w:r>
        <w:rPr>
          <w:rFonts w:ascii="仿宋" w:hAnsi="仿宋" w:eastAsia="仿宋" w:cs="仿宋"/>
          <w:spacing w:val="13"/>
          <w:sz w:val="30"/>
          <w:szCs w:val="30"/>
        </w:rPr>
        <w:t>障机关和组织依照国家法律法规以及各自章程</w:t>
      </w:r>
      <w:r>
        <w:rPr>
          <w:rFonts w:ascii="仿宋" w:hAnsi="仿宋" w:eastAsia="仿宋" w:cs="仿宋"/>
          <w:spacing w:val="12"/>
          <w:sz w:val="30"/>
          <w:szCs w:val="30"/>
        </w:rPr>
        <w:t>履行职责。</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3"/>
          <w:sz w:val="30"/>
          <w:szCs w:val="30"/>
        </w:rPr>
        <w:t>3.</w:t>
      </w:r>
      <w:r>
        <w:rPr>
          <w:rFonts w:ascii="仿宋" w:hAnsi="仿宋" w:eastAsia="仿宋" w:cs="仿宋"/>
          <w:spacing w:val="-28"/>
          <w:sz w:val="30"/>
          <w:szCs w:val="30"/>
        </w:rPr>
        <w:t xml:space="preserve"> </w:t>
      </w:r>
      <w:r>
        <w:rPr>
          <w:rFonts w:ascii="仿宋" w:hAnsi="仿宋" w:eastAsia="仿宋" w:cs="仿宋"/>
          <w:spacing w:val="28"/>
          <w:sz w:val="30"/>
          <w:szCs w:val="30"/>
        </w:rPr>
        <w:t>讨论和决定本行政区域内经济建设、政治建设、文化建设、社会建设、生态文明建设、法制建设和党的建设以及乡村振 兴中的重大问题。需由镇人民政府或者集体经济组织决定的重要 事项，经镇党委研究讨论后，由镇人民政府或者集体经济组织依照法律和有关规定作出决定。</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4. 履行全面从严治党主体责任，全面推进辖区党的政治建 设、思想建设、组织建设、作风建设、纪律建设，把制度建设贯 穿其中，组织协调反腐倡廉工作。落实管党治党责任，不断提高 党的建设质量，推动全面从严治党向基层延伸。维护和执行党的纪律，监督党员干部和其他工作人员严格遵守国家法律法规。</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5. 落实基层党建工作责任制，负责镇党委自身建设和村 (社区)党组织建设，以及其他隶属镇党委的党组织建设，抓好 党员发展和管理工作，加强党员队伍建设。按照干部管理权限， 负责对干部的教育、培训、选拔、考核和监督工作。管理上级有关部门驻镇单位的干部。做好人才服务和引进工作。</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6. 负责思想政治、意识形态、精神文明、统一 战线工作， 统筹、协调辖区单位和组织，团结和组织党内外干部和群众，抓好决策部署的督促落实。加强意识形态阵地及队伍建设。</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7. 完成区委交办的其他事项。</w:t>
      </w:r>
    </w:p>
    <w:p>
      <w:pPr>
        <w:pageBreakBefore w:val="0"/>
        <w:kinsoku/>
        <w:wordWrap/>
        <w:overflowPunct/>
        <w:topLinePunct w:val="0"/>
        <w:bidi w:val="0"/>
        <w:spacing w:before="95" w:beforeLines="30" w:line="560" w:lineRule="exact"/>
        <w:ind w:firstLine="600"/>
        <w:jc w:val="both"/>
        <w:textAlignment w:val="auto"/>
        <w:outlineLvl w:val="2"/>
        <w:rPr>
          <w:rFonts w:ascii="仿宋" w:hAnsi="仿宋" w:eastAsia="仿宋" w:cs="仿宋"/>
          <w:spacing w:val="28"/>
          <w:sz w:val="30"/>
          <w:szCs w:val="30"/>
        </w:rPr>
      </w:pPr>
      <w:r>
        <w:rPr>
          <w:rFonts w:ascii="仿宋" w:hAnsi="仿宋" w:eastAsia="仿宋" w:cs="仿宋"/>
          <w:spacing w:val="28"/>
          <w:sz w:val="30"/>
          <w:szCs w:val="30"/>
        </w:rPr>
        <w:t>(二)镇人民政府主要职责</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1. 贯彻执行本级人民代表大会的决议和上级国家行政机关的决定和命令，发布决定和命令。</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2. 贯彻执行本行政区域内经济和社会发展计划、预算，管理本行政区域内的经济、教育、科学、文化、卫生、体育、财政、民政、统计、公安、司法行政等行政工作。</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3. 负责本行政区域内的基层治理，负责社会主义民主法治 建设和精神文明建设，负责民生保障、社会救助、社会治安综合 治理、生态文明建设、脱贫成果巩固、乡村振兴、民族宗教、森 林防灭火、防灾减灾、应急管理、镇村建设、自然资源、耕地保护等工作。</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4. 负责提供区域公共服务，完善基本公共服务体系，依法  依规承接区级部门下放的服务管理权限。落实人力资源社会保 障、民政、教育、科技、文化、体育、卫生健康、农民工服务、 退役军人事务等领域相关法规政策。负责推进政府职能转变、依法治理等工作，建设服务型政府。</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5. 负责保护社会主义的全民所有财产和劳动群众集体所有 财产，保护公民私人所有合法财产，维护社会秩序，保障公民的 人身权利、民主权利和其他权利。保护各种经济组织的合法权益。保障少数民族的权利和尊重少数民族的风俗习惯。</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6. 负责职责范围内安全生产和职业健康、生态环境保护等 工作，及时向上级党委、政府反映社情民意，进一步密切党和政府与人民群众的关系。</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7. 负责有效承接按程序下放或委托的行政权力事项，落实属地清单中的主体责任与配合责任。</w:t>
      </w:r>
    </w:p>
    <w:p>
      <w:pPr>
        <w:pageBreakBefore w:val="0"/>
        <w:kinsoku/>
        <w:wordWrap/>
        <w:overflowPunct/>
        <w:topLinePunct w:val="0"/>
        <w:bidi w:val="0"/>
        <w:spacing w:before="95" w:beforeLines="30" w:line="560" w:lineRule="exact"/>
        <w:ind w:firstLine="600"/>
        <w:jc w:val="both"/>
        <w:textAlignment w:val="auto"/>
        <w:outlineLvl w:val="3"/>
        <w:rPr>
          <w:rFonts w:ascii="仿宋" w:hAnsi="仿宋" w:eastAsia="仿宋" w:cs="仿宋"/>
          <w:spacing w:val="28"/>
          <w:sz w:val="30"/>
          <w:szCs w:val="30"/>
        </w:rPr>
      </w:pPr>
      <w:r>
        <w:rPr>
          <w:rFonts w:ascii="仿宋" w:hAnsi="仿宋" w:eastAsia="仿宋" w:cs="仿宋"/>
          <w:spacing w:val="28"/>
          <w:sz w:val="30"/>
          <w:szCs w:val="30"/>
        </w:rPr>
        <w:t>8. 监督执法管理。对辖区内各类行政执法工作进行统筹协调，组织开展群众监督和社会监督。</w:t>
      </w:r>
    </w:p>
    <w:p>
      <w:pPr>
        <w:pageBreakBefore w:val="0"/>
        <w:kinsoku/>
        <w:wordWrap/>
        <w:overflowPunct/>
        <w:topLinePunct w:val="0"/>
        <w:bidi w:val="0"/>
        <w:spacing w:before="95" w:beforeLines="30" w:line="560" w:lineRule="exact"/>
        <w:ind w:firstLine="600"/>
        <w:jc w:val="both"/>
        <w:textAlignment w:val="auto"/>
        <w:outlineLvl w:val="3"/>
        <w:rPr>
          <w:rFonts w:hint="eastAsia"/>
          <w:lang w:eastAsia="zh-CN"/>
        </w:rPr>
      </w:pPr>
      <w:r>
        <w:rPr>
          <w:rFonts w:ascii="仿宋" w:hAnsi="仿宋" w:eastAsia="仿宋" w:cs="仿宋"/>
          <w:spacing w:val="28"/>
          <w:sz w:val="30"/>
          <w:szCs w:val="30"/>
        </w:rPr>
        <w:t>9. 完成区委、区人民政府交办的其他事项。</w:t>
      </w:r>
    </w:p>
    <w:p>
      <w:pPr>
        <w:pStyle w:val="4"/>
        <w:pageBreakBefore w:val="0"/>
        <w:widowControl w:val="0"/>
        <w:kinsoku/>
        <w:wordWrap/>
        <w:overflowPunct/>
        <w:topLinePunct w:val="0"/>
        <w:autoSpaceDE/>
        <w:autoSpaceDN/>
        <w:bidi w:val="0"/>
        <w:adjustRightInd/>
        <w:snapToGrid/>
        <w:spacing w:before="95" w:beforeLines="30" w:line="240" w:lineRule="auto"/>
        <w:textAlignment w:val="auto"/>
        <w:rPr>
          <w:rStyle w:val="32"/>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4"/>
      <w:bookmarkEnd w:id="15"/>
    </w:p>
    <w:p>
      <w:pPr>
        <w:pageBreakBefore w:val="0"/>
        <w:widowControl w:val="0"/>
        <w:kinsoku/>
        <w:wordWrap/>
        <w:overflowPunct/>
        <w:topLinePunct w:val="0"/>
        <w:autoSpaceDE/>
        <w:autoSpaceDN/>
        <w:bidi w:val="0"/>
        <w:adjustRightInd/>
        <w:snapToGrid/>
        <w:spacing w:before="95" w:beforeLines="30" w:line="240" w:lineRule="auto"/>
        <w:ind w:firstLine="800" w:firstLineChars="25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三家镇</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pageBreakBefore w:val="0"/>
        <w:widowControl/>
        <w:kinsoku/>
        <w:wordWrap/>
        <w:overflowPunct/>
        <w:topLinePunct w:val="0"/>
        <w:bidi w:val="0"/>
        <w:spacing w:before="95" w:beforeLines="30" w:line="560" w:lineRule="exact"/>
        <w:jc w:val="left"/>
        <w:textAlignment w:val="auto"/>
        <w:rPr>
          <w:rFonts w:hint="eastAsia" w:ascii="仿宋" w:hAnsi="仿宋" w:eastAsia="仿宋"/>
          <w:color w:val="auto"/>
          <w:kern w:val="0"/>
          <w:sz w:val="32"/>
          <w:szCs w:val="32"/>
          <w:highlight w:val="none"/>
          <w:lang w:eastAsia="zh-CN"/>
        </w:rPr>
      </w:pP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纳入20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p>
    <w:p>
      <w:pPr>
        <w:pStyle w:val="3"/>
        <w:pageBreakBefore w:val="0"/>
        <w:kinsoku/>
        <w:wordWrap/>
        <w:overflowPunct/>
        <w:topLinePunct w:val="0"/>
        <w:bidi w:val="0"/>
        <w:spacing w:before="95" w:beforeLines="30" w:line="560" w:lineRule="exact"/>
        <w:ind w:right="440"/>
        <w:jc w:val="center"/>
        <w:textAlignment w:val="auto"/>
        <w:rPr>
          <w:rFonts w:hint="eastAsia" w:ascii="黑体" w:hAnsi="黑体" w:eastAsia="黑体"/>
          <w:b w:val="0"/>
          <w:bCs/>
          <w:color w:val="auto"/>
          <w:highlight w:val="none"/>
        </w:rPr>
      </w:pPr>
      <w:bookmarkStart w:id="16" w:name="_Toc15377204"/>
      <w:bookmarkStart w:id="17" w:name="_Toc15396602"/>
    </w:p>
    <w:p>
      <w:pPr>
        <w:pStyle w:val="3"/>
        <w:pageBreakBefore w:val="0"/>
        <w:kinsoku/>
        <w:wordWrap/>
        <w:overflowPunct/>
        <w:topLinePunct w:val="0"/>
        <w:bidi w:val="0"/>
        <w:spacing w:before="95" w:beforeLines="30" w:line="560" w:lineRule="exact"/>
        <w:ind w:right="440"/>
        <w:jc w:val="center"/>
        <w:textAlignment w:val="auto"/>
        <w:rPr>
          <w:rFonts w:hint="eastAsia" w:ascii="黑体" w:hAnsi="黑体" w:eastAsia="黑体"/>
          <w:b w:val="0"/>
          <w:bCs/>
          <w:color w:val="auto"/>
          <w:highlight w:val="none"/>
        </w:rPr>
      </w:pPr>
    </w:p>
    <w:p>
      <w:pPr>
        <w:pStyle w:val="3"/>
        <w:pageBreakBefore w:val="0"/>
        <w:kinsoku/>
        <w:wordWrap/>
        <w:overflowPunct/>
        <w:topLinePunct w:val="0"/>
        <w:bidi w:val="0"/>
        <w:spacing w:before="95" w:beforeLines="30" w:line="560" w:lineRule="exact"/>
        <w:ind w:right="440"/>
        <w:jc w:val="center"/>
        <w:textAlignment w:val="auto"/>
        <w:rPr>
          <w:rFonts w:hint="eastAsia" w:ascii="黑体" w:hAnsi="黑体" w:eastAsia="黑体"/>
          <w:b w:val="0"/>
          <w:bCs/>
          <w:color w:val="auto"/>
          <w:highlight w:val="none"/>
        </w:rPr>
      </w:pPr>
    </w:p>
    <w:p>
      <w:pPr>
        <w:pStyle w:val="3"/>
        <w:pageBreakBefore w:val="0"/>
        <w:kinsoku/>
        <w:wordWrap/>
        <w:overflowPunct/>
        <w:topLinePunct w:val="0"/>
        <w:bidi w:val="0"/>
        <w:spacing w:before="95" w:beforeLines="30" w:line="560" w:lineRule="exact"/>
        <w:ind w:right="440"/>
        <w:jc w:val="center"/>
        <w:textAlignment w:val="auto"/>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rPr>
          <w:rFonts w:hint="eastAsia"/>
        </w:rPr>
      </w:pPr>
    </w:p>
    <w:p>
      <w:pPr>
        <w:pStyle w:val="3"/>
        <w:pageBreakBefore w:val="0"/>
        <w:kinsoku/>
        <w:wordWrap/>
        <w:overflowPunct/>
        <w:topLinePunct w:val="0"/>
        <w:bidi w:val="0"/>
        <w:spacing w:before="95" w:beforeLines="30" w:line="560" w:lineRule="exact"/>
        <w:ind w:right="440"/>
        <w:jc w:val="center"/>
        <w:textAlignment w:val="auto"/>
        <w:rPr>
          <w:rFonts w:hint="eastAsia" w:ascii="黑体" w:hAnsi="黑体" w:eastAsia="黑体"/>
          <w:b w:val="0"/>
          <w:bCs/>
          <w:color w:val="auto"/>
          <w:highlight w:val="none"/>
        </w:rPr>
      </w:pPr>
    </w:p>
    <w:p>
      <w:pPr>
        <w:pStyle w:val="3"/>
        <w:keepNext w:val="0"/>
        <w:pageBreakBefore w:val="0"/>
        <w:widowControl w:val="0"/>
        <w:kinsoku/>
        <w:wordWrap/>
        <w:overflowPunct/>
        <w:topLinePunct w:val="0"/>
        <w:autoSpaceDE/>
        <w:autoSpaceDN/>
        <w:bidi w:val="0"/>
        <w:adjustRightInd/>
        <w:snapToGrid/>
        <w:spacing w:before="95" w:beforeLines="30" w:line="560" w:lineRule="exact"/>
        <w:ind w:right="440"/>
        <w:jc w:val="center"/>
        <w:textAlignment w:val="auto"/>
        <w:rPr>
          <w:rFonts w:hint="eastAsia" w:ascii="黑体" w:hAnsi="黑体" w:eastAsia="黑体"/>
          <w:b w:val="0"/>
          <w:bCs/>
          <w:color w:val="auto"/>
          <w:highlight w:val="none"/>
        </w:rPr>
      </w:pPr>
    </w:p>
    <w:p>
      <w:pPr>
        <w:pStyle w:val="3"/>
        <w:keepNext w:val="0"/>
        <w:pageBreakBefore w:val="0"/>
        <w:widowControl w:val="0"/>
        <w:kinsoku/>
        <w:wordWrap/>
        <w:overflowPunct/>
        <w:topLinePunct w:val="0"/>
        <w:autoSpaceDE/>
        <w:autoSpaceDN/>
        <w:bidi w:val="0"/>
        <w:adjustRightInd/>
        <w:snapToGrid/>
        <w:spacing w:before="95" w:beforeLines="30" w:line="560" w:lineRule="exact"/>
        <w:ind w:right="440"/>
        <w:jc w:val="center"/>
        <w:textAlignment w:val="auto"/>
        <w:rPr>
          <w:rStyle w:val="31"/>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rPr>
        <w:t>部门决算情况说明</w:t>
      </w:r>
      <w:bookmarkEnd w:id="16"/>
      <w:bookmarkEnd w:id="17"/>
    </w:p>
    <w:p>
      <w:pPr>
        <w:keepNext w:val="0"/>
        <w:pageBreakBefore w:val="0"/>
        <w:widowControl w:val="0"/>
        <w:kinsoku/>
        <w:wordWrap/>
        <w:overflowPunct/>
        <w:topLinePunct w:val="0"/>
        <w:autoSpaceDE/>
        <w:autoSpaceDN/>
        <w:bidi w:val="0"/>
        <w:adjustRightInd/>
        <w:snapToGrid/>
        <w:spacing w:before="95" w:beforeLines="30" w:line="560" w:lineRule="exact"/>
        <w:textAlignment w:val="auto"/>
        <w:rPr>
          <w:color w:val="auto"/>
          <w:highlight w:val="none"/>
        </w:rPr>
      </w:pPr>
    </w:p>
    <w:p>
      <w:pPr>
        <w:pStyle w:val="30"/>
        <w:keepNext w:val="0"/>
        <w:pageBreakBefore w:val="0"/>
        <w:widowControl w:val="0"/>
        <w:numPr>
          <w:ilvl w:val="0"/>
          <w:numId w:val="0"/>
        </w:numPr>
        <w:kinsoku/>
        <w:wordWrap/>
        <w:overflowPunct/>
        <w:topLinePunct w:val="0"/>
        <w:autoSpaceDE/>
        <w:autoSpaceDN/>
        <w:bidi w:val="0"/>
        <w:adjustRightInd/>
        <w:snapToGrid/>
        <w:spacing w:before="95" w:beforeLines="30" w:line="560" w:lineRule="exact"/>
        <w:ind w:left="1360" w:leftChars="0" w:hanging="720" w:firstLineChars="0"/>
        <w:textAlignment w:val="auto"/>
        <w:outlineLvl w:val="1"/>
        <w:rPr>
          <w:rStyle w:val="32"/>
          <w:rFonts w:ascii="黑体" w:hAnsi="黑体" w:eastAsia="黑体"/>
          <w:b w:val="0"/>
          <w:color w:val="auto"/>
          <w:highlight w:val="none"/>
        </w:rPr>
      </w:pPr>
      <w:bookmarkStart w:id="18" w:name="_Toc15377205"/>
      <w:bookmarkStart w:id="19" w:name="_Toc15396603"/>
      <w:r>
        <w:rPr>
          <w:rFonts w:hint="default" w:ascii="黑体" w:hAnsi="黑体" w:eastAsia="黑体" w:cstheme="majorBidi"/>
          <w:b w:val="0"/>
          <w:bCs/>
          <w:color w:val="auto"/>
          <w:kern w:val="2"/>
          <w:sz w:val="32"/>
          <w:szCs w:val="32"/>
          <w:lang w:val="en-US" w:eastAsia="zh-CN" w:bidi="ar-SA"/>
        </w:rPr>
        <w:t>一、</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18"/>
      <w:bookmarkEnd w:id="19"/>
    </w:p>
    <w:p>
      <w:pPr>
        <w:keepNext w:val="0"/>
        <w:pageBreakBefore w:val="0"/>
        <w:widowControl w:val="0"/>
        <w:kinsoku/>
        <w:wordWrap/>
        <w:overflowPunct/>
        <w:topLinePunct w:val="0"/>
        <w:autoSpaceDE/>
        <w:autoSpaceDN/>
        <w:bidi w:val="0"/>
        <w:adjustRightInd/>
        <w:snapToGrid/>
        <w:spacing w:before="95" w:beforeLines="30" w:line="56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3090.32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val="en-US" w:eastAsia="zh-CN"/>
        </w:rPr>
        <w:t>各</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826.37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21.10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一般公共服务支出中2022年实发基础绩效奖比2021年有所减少</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before="95" w:beforeLines="30"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keepNext/>
        <w:ind w:firstLine="640" w:firstLineChars="200"/>
        <w:jc w:val="left"/>
      </w:pPr>
      <w:bookmarkStart w:id="20" w:name="_Toc15396604"/>
      <w:bookmarkStart w:id="21" w:name="_Toc15377206"/>
      <w:r>
        <w:rPr>
          <w:rFonts w:ascii="仿宋_GB2312" w:eastAsia="仿宋_GB2312"/>
          <w:sz w:val="32"/>
          <w:szCs w:val="32"/>
        </w:rPr>
        <w:drawing>
          <wp:inline distT="0" distB="0" distL="0" distR="0">
            <wp:extent cx="4829175" cy="2154555"/>
            <wp:effectExtent l="4445" t="4445" r="5080"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0"/>
        <w:pageBreakBefore w:val="0"/>
        <w:numPr>
          <w:ilvl w:val="0"/>
          <w:numId w:val="0"/>
        </w:numPr>
        <w:kinsoku/>
        <w:wordWrap/>
        <w:overflowPunct/>
        <w:topLinePunct w:val="0"/>
        <w:bidi w:val="0"/>
        <w:spacing w:before="95" w:beforeLines="30" w:line="560" w:lineRule="exact"/>
        <w:ind w:left="1360" w:leftChars="0" w:hanging="720" w:firstLineChars="0"/>
        <w:textAlignment w:val="auto"/>
        <w:outlineLvl w:val="1"/>
        <w:rPr>
          <w:rStyle w:val="32"/>
          <w:rFonts w:ascii="黑体" w:hAnsi="黑体" w:eastAsia="黑体"/>
          <w:b w:val="0"/>
          <w:color w:val="auto"/>
          <w:highlight w:val="none"/>
        </w:rPr>
      </w:pPr>
      <w:r>
        <w:rPr>
          <w:rFonts w:hint="default" w:ascii="黑体" w:hAnsi="黑体" w:eastAsia="黑体" w:cstheme="majorBidi"/>
          <w:b w:val="0"/>
          <w:bCs/>
          <w:color w:val="auto"/>
          <w:kern w:val="2"/>
          <w:sz w:val="32"/>
          <w:szCs w:val="32"/>
          <w:lang w:val="en-US" w:eastAsia="zh-CN" w:bidi="ar-SA"/>
        </w:rPr>
        <w:t>二、</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0"/>
      <w:bookmarkEnd w:id="21"/>
    </w:p>
    <w:p>
      <w:pPr>
        <w:pageBreakBefore w:val="0"/>
        <w:kinsoku/>
        <w:wordWrap/>
        <w:overflowPunct/>
        <w:topLinePunct w:val="0"/>
        <w:bidi w:val="0"/>
        <w:spacing w:before="95" w:beforeLines="30" w:line="560" w:lineRule="exact"/>
        <w:ind w:firstLine="640" w:firstLineChars="200"/>
        <w:textAlignment w:val="auto"/>
        <w:outlineLvl w:val="9"/>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3090.32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3056.92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98.92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1.08</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pPr>
        <w:pageBreakBefore w:val="0"/>
        <w:kinsoku/>
        <w:wordWrap/>
        <w:overflowPunct/>
        <w:topLinePunct w:val="0"/>
        <w:bidi w:val="0"/>
        <w:spacing w:before="95" w:beforeLines="30"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bookmarkStart w:id="22" w:name="_Toc15396605"/>
      <w:bookmarkStart w:id="23" w:name="_Toc15377207"/>
      <w:r>
        <w:rPr>
          <w:rFonts w:ascii="仿宋" w:hAnsi="仿宋" w:eastAsia="仿宋"/>
          <w:color w:val="000000" w:themeColor="text1"/>
          <w:sz w:val="32"/>
          <w:szCs w:val="32"/>
          <w14:textFill>
            <w14:solidFill>
              <w14:schemeClr w14:val="tx1"/>
            </w14:solidFill>
          </w14:textFill>
        </w:rPr>
        <w:drawing>
          <wp:inline distT="0" distB="0" distL="0" distR="0">
            <wp:extent cx="4552950" cy="2924175"/>
            <wp:effectExtent l="4445" t="4445" r="1460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0"/>
        <w:pageBreakBefore w:val="0"/>
        <w:numPr>
          <w:ilvl w:val="0"/>
          <w:numId w:val="0"/>
        </w:numPr>
        <w:kinsoku/>
        <w:wordWrap/>
        <w:overflowPunct/>
        <w:topLinePunct w:val="0"/>
        <w:bidi w:val="0"/>
        <w:spacing w:before="95" w:beforeLines="30" w:line="560" w:lineRule="exact"/>
        <w:ind w:left="1360" w:leftChars="0" w:hanging="720" w:firstLineChars="0"/>
        <w:textAlignment w:val="auto"/>
        <w:outlineLvl w:val="1"/>
        <w:rPr>
          <w:rStyle w:val="32"/>
          <w:rFonts w:ascii="黑体" w:hAnsi="黑体" w:eastAsia="黑体"/>
          <w:b w:val="0"/>
          <w:color w:val="auto"/>
          <w:highlight w:val="none"/>
        </w:rPr>
      </w:pPr>
      <w:r>
        <w:rPr>
          <w:rFonts w:hint="default" w:ascii="黑体" w:hAnsi="黑体" w:eastAsia="黑体" w:cstheme="majorBidi"/>
          <w:b w:val="0"/>
          <w:bCs/>
          <w:color w:val="auto"/>
          <w:kern w:val="2"/>
          <w:sz w:val="32"/>
          <w:szCs w:val="32"/>
          <w:lang w:val="en-US" w:eastAsia="zh-CN" w:bidi="ar-SA"/>
        </w:rPr>
        <w:t>三、</w:t>
      </w:r>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22"/>
      <w:bookmarkEnd w:id="23"/>
    </w:p>
    <w:p>
      <w:pPr>
        <w:pageBreakBefore w:val="0"/>
        <w:kinsoku/>
        <w:wordWrap/>
        <w:overflowPunct/>
        <w:topLinePunct w:val="0"/>
        <w:bidi w:val="0"/>
        <w:spacing w:before="95" w:beforeLines="30" w:line="560" w:lineRule="exact"/>
        <w:ind w:firstLine="640" w:firstLineChars="200"/>
        <w:textAlignment w:val="auto"/>
        <w:outlineLvl w:val="9"/>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3090.32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2333.03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75.49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757.29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before="95" w:beforeLines="30"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636135" cy="2747010"/>
            <wp:effectExtent l="4445" t="5080" r="7620"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before="95" w:beforeLines="30" w:line="560" w:lineRule="exact"/>
        <w:ind w:firstLine="640" w:firstLineChars="200"/>
        <w:textAlignment w:val="auto"/>
        <w:outlineLvl w:val="1"/>
        <w:rPr>
          <w:rStyle w:val="32"/>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24"/>
      <w:bookmarkEnd w:id="25"/>
    </w:p>
    <w:p>
      <w:pPr>
        <w:pageBreakBefore w:val="0"/>
        <w:kinsoku/>
        <w:wordWrap/>
        <w:overflowPunct/>
        <w:topLinePunct w:val="0"/>
        <w:bidi w:val="0"/>
        <w:spacing w:before="95" w:beforeLines="30" w:line="560" w:lineRule="exact"/>
        <w:ind w:firstLine="640"/>
        <w:textAlignment w:val="auto"/>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3090.32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826.37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21.10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一般公共服务支出中2022年实发基础绩效奖比2021年有所减少</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before="95" w:beforeLines="30"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ind w:firstLine="640" w:firstLineChars="200"/>
      </w:pPr>
      <w:bookmarkStart w:id="26" w:name="_Toc15396607"/>
      <w:bookmarkStart w:id="27" w:name="_Toc15377209"/>
      <w:r>
        <w:rPr>
          <w:rFonts w:ascii="仿宋" w:hAnsi="仿宋" w:eastAsia="仿宋"/>
          <w:color w:val="000000" w:themeColor="text1"/>
          <w:sz w:val="32"/>
          <w:szCs w:val="32"/>
          <w14:textFill>
            <w14:solidFill>
              <w14:schemeClr w14:val="tx1"/>
            </w14:solidFill>
          </w14:textFill>
        </w:rPr>
        <w:drawing>
          <wp:inline distT="0" distB="0" distL="0" distR="0">
            <wp:extent cx="4629150" cy="3267075"/>
            <wp:effectExtent l="4445" t="5080" r="14605" b="444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before="95" w:beforeLines="30" w:line="560" w:lineRule="exact"/>
        <w:ind w:firstLine="640" w:firstLineChars="200"/>
        <w:textAlignment w:val="auto"/>
        <w:outlineLvl w:val="1"/>
        <w:rPr>
          <w:rStyle w:val="32"/>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26"/>
      <w:bookmarkEnd w:id="27"/>
    </w:p>
    <w:p>
      <w:pPr>
        <w:pageBreakBefore w:val="0"/>
        <w:kinsoku/>
        <w:wordWrap/>
        <w:overflowPunct/>
        <w:topLinePunct w:val="0"/>
        <w:bidi w:val="0"/>
        <w:spacing w:before="95" w:beforeLines="30" w:line="560" w:lineRule="exact"/>
        <w:ind w:firstLine="643" w:firstLineChars="200"/>
        <w:textAlignment w:val="auto"/>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pageBreakBefore w:val="0"/>
        <w:kinsoku/>
        <w:wordWrap/>
        <w:overflowPunct/>
        <w:topLinePunct w:val="0"/>
        <w:bidi w:val="0"/>
        <w:spacing w:before="95" w:beforeLines="30" w:line="560" w:lineRule="exact"/>
        <w:ind w:firstLine="640" w:firstLineChars="200"/>
        <w:textAlignment w:val="auto"/>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3056.92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839.77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21.56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一般公共服务支出中2022年实发基础绩效奖比2021年有所减少。</w:t>
      </w:r>
    </w:p>
    <w:p>
      <w:pPr>
        <w:pageBreakBefore w:val="0"/>
        <w:kinsoku/>
        <w:wordWrap/>
        <w:overflowPunct/>
        <w:topLinePunct w:val="0"/>
        <w:bidi w:val="0"/>
        <w:spacing w:before="95" w:beforeLines="30"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2"/>
      </w:pPr>
      <w:r>
        <w:rPr>
          <w:rFonts w:ascii="仿宋" w:hAnsi="仿宋" w:eastAsia="仿宋"/>
          <w:color w:val="000000" w:themeColor="text1"/>
          <w:sz w:val="32"/>
          <w:szCs w:val="32"/>
          <w14:textFill>
            <w14:solidFill>
              <w14:schemeClr w14:val="tx1"/>
            </w14:solidFill>
          </w14:textFill>
        </w:rPr>
        <w:drawing>
          <wp:inline distT="0" distB="0" distL="0" distR="0">
            <wp:extent cx="4629150" cy="3267075"/>
            <wp:effectExtent l="4445" t="5080" r="14605" b="444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before="95" w:beforeLines="30" w:line="560" w:lineRule="exact"/>
        <w:ind w:firstLine="643" w:firstLineChars="200"/>
        <w:textAlignment w:val="auto"/>
        <w:outlineLvl w:val="2"/>
        <w:rPr>
          <w:rFonts w:hint="eastAsia" w:ascii="仿宋" w:hAnsi="仿宋" w:eastAsia="仿宋" w:cs="Times New Roman"/>
          <w:b/>
          <w:color w:val="auto"/>
          <w:sz w:val="32"/>
          <w:szCs w:val="32"/>
          <w:highlight w:val="none"/>
        </w:rPr>
      </w:pPr>
      <w:bookmarkStart w:id="29" w:name="_Toc15377211"/>
      <w:r>
        <w:rPr>
          <w:rFonts w:hint="eastAsia" w:ascii="仿宋" w:hAnsi="仿宋" w:eastAsia="仿宋" w:cs="Times New Roman"/>
          <w:b/>
          <w:color w:val="auto"/>
          <w:sz w:val="32"/>
          <w:szCs w:val="32"/>
          <w:highlight w:val="none"/>
          <w:lang w:eastAsia="zh-CN"/>
        </w:rPr>
        <w:t>（</w:t>
      </w:r>
      <w:r>
        <w:rPr>
          <w:rFonts w:hint="eastAsia" w:ascii="仿宋" w:hAnsi="仿宋" w:eastAsia="仿宋" w:cs="Times New Roman"/>
          <w:b/>
          <w:color w:val="auto"/>
          <w:sz w:val="32"/>
          <w:szCs w:val="32"/>
          <w:highlight w:val="none"/>
          <w:lang w:val="en-US" w:eastAsia="zh-CN"/>
        </w:rPr>
        <w:t>二</w:t>
      </w:r>
      <w:r>
        <w:rPr>
          <w:rFonts w:hint="eastAsia" w:ascii="仿宋" w:hAnsi="仿宋" w:eastAsia="仿宋" w:cs="Times New Roman"/>
          <w:b/>
          <w:color w:val="auto"/>
          <w:sz w:val="32"/>
          <w:szCs w:val="32"/>
          <w:highlight w:val="none"/>
          <w:lang w:eastAsia="zh-CN"/>
        </w:rPr>
        <w:t>）</w:t>
      </w:r>
      <w:r>
        <w:rPr>
          <w:rFonts w:hint="eastAsia" w:ascii="仿宋" w:hAnsi="仿宋" w:eastAsia="仿宋" w:cs="Times New Roman"/>
          <w:b/>
          <w:color w:val="auto"/>
          <w:sz w:val="32"/>
          <w:szCs w:val="32"/>
          <w:highlight w:val="none"/>
        </w:rPr>
        <w:t>一般公共预算财政拨款支出决算结构情况</w:t>
      </w:r>
      <w:bookmarkEnd w:id="29"/>
    </w:p>
    <w:p>
      <w:pPr>
        <w:pageBreakBefore w:val="0"/>
        <w:kinsoku/>
        <w:wordWrap/>
        <w:overflowPunct/>
        <w:topLinePunct w:val="0"/>
        <w:bidi w:val="0"/>
        <w:spacing w:before="95" w:beforeLines="30" w:line="560"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3056.92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689.38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color w:val="auto"/>
          <w:sz w:val="32"/>
          <w:szCs w:val="32"/>
          <w:highlight w:val="none"/>
          <w:lang w:val="en-US" w:eastAsia="zh-CN"/>
        </w:rPr>
        <w:t>32.92万元</w:t>
      </w:r>
      <w:r>
        <w:rPr>
          <w:rFonts w:hint="eastAsia" w:ascii="仿宋" w:hAnsi="仿宋" w:eastAsia="仿宋"/>
          <w:b/>
          <w:bCs/>
          <w:color w:val="auto"/>
          <w:sz w:val="32"/>
          <w:szCs w:val="32"/>
          <w:highlight w:val="none"/>
        </w:rPr>
        <w:t>，</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121.32万元，占3.97%</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85.17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节能环保</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45万元，占1.47%</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城乡社区</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农林水</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1950.16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97.97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before="95" w:beforeLines="30"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ageBreakBefore w:val="0"/>
        <w:kinsoku/>
        <w:wordWrap/>
        <w:overflowPunct/>
        <w:topLinePunct w:val="0"/>
        <w:bidi w:val="0"/>
        <w:spacing w:before="95" w:beforeLines="30" w:line="560" w:lineRule="exact"/>
        <w:ind w:firstLine="643" w:firstLineChars="200"/>
        <w:textAlignment w:val="auto"/>
        <w:outlineLvl w:val="2"/>
        <w:rPr>
          <w:rFonts w:hint="eastAsia" w:ascii="仿宋" w:hAnsi="仿宋" w:eastAsia="仿宋"/>
          <w:b/>
          <w:color w:val="auto"/>
          <w:sz w:val="32"/>
          <w:szCs w:val="32"/>
          <w:highlight w:val="none"/>
        </w:rPr>
      </w:pPr>
      <w:bookmarkStart w:id="30" w:name="_Toc15377212"/>
    </w:p>
    <w:p>
      <w:pPr>
        <w:pageBreakBefore w:val="0"/>
        <w:kinsoku/>
        <w:wordWrap/>
        <w:overflowPunct/>
        <w:topLinePunct w:val="0"/>
        <w:bidi w:val="0"/>
        <w:spacing w:before="95" w:beforeLines="30" w:line="560" w:lineRule="exact"/>
        <w:ind w:firstLine="643" w:firstLineChars="200"/>
        <w:textAlignment w:val="auto"/>
        <w:outlineLvl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r>
        <w:rPr>
          <w:rFonts w:hint="eastAsia" w:ascii="仿宋" w:hAnsi="仿宋" w:eastAsia="仿宋"/>
          <w:color w:val="000000"/>
          <w:sz w:val="32"/>
          <w:szCs w:val="32"/>
          <w:highlight w:val="none"/>
          <w:lang w:eastAsia="zh-CN"/>
        </w:rPr>
        <w:drawing>
          <wp:inline distT="0" distB="0" distL="114300" distR="114300">
            <wp:extent cx="5080000" cy="3270885"/>
            <wp:effectExtent l="4445" t="4445" r="8255"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before="95" w:beforeLines="30" w:line="560" w:lineRule="exact"/>
        <w:ind w:firstLine="643"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0"/>
    </w:p>
    <w:p>
      <w:pPr>
        <w:pageBreakBefore w:val="0"/>
        <w:kinsoku/>
        <w:wordWrap/>
        <w:overflowPunct/>
        <w:topLinePunct w:val="0"/>
        <w:bidi w:val="0"/>
        <w:spacing w:before="95" w:beforeLines="30" w:line="560" w:lineRule="exact"/>
        <w:ind w:firstLine="643" w:firstLineChars="200"/>
        <w:textAlignment w:val="auto"/>
        <w:outlineLvl w:val="9"/>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3056.92</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31"/>
      <w:bookmarkEnd w:id="32"/>
      <w:bookmarkEnd w:id="33"/>
    </w:p>
    <w:p>
      <w:pPr>
        <w:pageBreakBefore w:val="0"/>
        <w:kinsoku/>
        <w:wordWrap/>
        <w:overflowPunct/>
        <w:topLinePunct w:val="0"/>
        <w:bidi w:val="0"/>
        <w:spacing w:before="95" w:beforeLines="30" w:line="560" w:lineRule="exact"/>
        <w:ind w:firstLine="643" w:firstLineChars="200"/>
        <w:textAlignment w:val="auto"/>
        <w:rPr>
          <w:rStyle w:val="20"/>
          <w:rFonts w:hint="eastAsia" w:ascii="仿宋" w:hAnsi="仿宋" w:eastAsia="仿宋"/>
          <w:b w:val="0"/>
          <w:bCs/>
          <w:color w:val="auto"/>
          <w:sz w:val="32"/>
          <w:szCs w:val="32"/>
          <w:highlight w:val="none"/>
        </w:rPr>
      </w:pPr>
      <w:r>
        <w:rPr>
          <w:rStyle w:val="20"/>
          <w:rFonts w:ascii="仿宋" w:hAnsi="仿宋" w:eastAsia="仿宋"/>
          <w:bCs/>
          <w:color w:val="auto"/>
          <w:sz w:val="32"/>
          <w:szCs w:val="32"/>
          <w:highlight w:val="none"/>
        </w:rPr>
        <w:t>1.</w:t>
      </w:r>
      <w:r>
        <w:rPr>
          <w:rStyle w:val="20"/>
          <w:rFonts w:hint="eastAsia" w:ascii="仿宋" w:hAnsi="仿宋" w:eastAsia="仿宋"/>
          <w:bCs/>
          <w:color w:val="auto"/>
          <w:sz w:val="32"/>
          <w:szCs w:val="32"/>
          <w:highlight w:val="none"/>
        </w:rPr>
        <w:t>一般公共服务（类）</w:t>
      </w:r>
      <w:r>
        <w:rPr>
          <w:rStyle w:val="20"/>
          <w:rFonts w:hint="eastAsia" w:ascii="仿宋" w:hAnsi="仿宋" w:eastAsia="仿宋"/>
          <w:bCs/>
          <w:color w:val="auto"/>
          <w:sz w:val="32"/>
          <w:szCs w:val="32"/>
          <w:highlight w:val="none"/>
          <w:lang w:val="en-US" w:eastAsia="zh-CN"/>
        </w:rPr>
        <w:t>人大事务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代表支出</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2.</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人大事务</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其他人大事务支出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5.35</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p>
    <w:p>
      <w:pPr>
        <w:pStyle w:val="2"/>
        <w:pageBreakBefore w:val="0"/>
        <w:kinsoku/>
        <w:wordWrap/>
        <w:overflowPunct/>
        <w:topLinePunct w:val="0"/>
        <w:bidi w:val="0"/>
        <w:spacing w:before="95" w:beforeLines="30" w:line="560" w:lineRule="exact"/>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val="0"/>
          <w:bCs/>
          <w:color w:val="000000"/>
          <w:sz w:val="32"/>
          <w:szCs w:val="32"/>
          <w:lang w:val="en-US" w:eastAsia="zh-CN"/>
        </w:rPr>
        <w:t xml:space="preserve"> </w:t>
      </w:r>
      <w:r>
        <w:rPr>
          <w:rStyle w:val="20"/>
          <w:rFonts w:hint="eastAsia" w:ascii="仿宋_GB2312" w:hAnsi="仿宋_GB2312" w:eastAsia="仿宋_GB2312" w:cs="仿宋_GB2312"/>
          <w:bCs/>
          <w:color w:val="000000"/>
          <w:sz w:val="32"/>
          <w:szCs w:val="32"/>
          <w:lang w:val="en-US" w:eastAsia="zh-CN"/>
        </w:rPr>
        <w:t>3.</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政协事务</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委员视察</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w:t>
      </w:r>
    </w:p>
    <w:p>
      <w:pPr>
        <w:pStyle w:val="2"/>
        <w:pageBreakBefore w:val="0"/>
        <w:kinsoku/>
        <w:wordWrap/>
        <w:overflowPunct/>
        <w:topLinePunct w:val="0"/>
        <w:bidi w:val="0"/>
        <w:spacing w:before="95" w:beforeLines="30" w:line="560" w:lineRule="exact"/>
        <w:ind w:left="0" w:leftChars="0" w:firstLine="0" w:firstLineChars="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val="0"/>
          <w:bCs/>
          <w:color w:val="000000"/>
          <w:sz w:val="32"/>
          <w:szCs w:val="32"/>
        </w:rPr>
        <w:t>支出决算为</w:t>
      </w:r>
      <w:r>
        <w:rPr>
          <w:rStyle w:val="20"/>
          <w:rFonts w:hint="eastAsia" w:ascii="仿宋_GB2312" w:hAnsi="仿宋_GB2312" w:eastAsia="仿宋_GB2312" w:cs="仿宋_GB2312"/>
          <w:b w:val="0"/>
          <w:bCs/>
          <w:color w:val="000000"/>
          <w:sz w:val="32"/>
          <w:szCs w:val="32"/>
          <w:lang w:val="en-US" w:eastAsia="zh-CN"/>
        </w:rPr>
        <w:t>1</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p>
    <w:p>
      <w:pPr>
        <w:pageBreakBefore w:val="0"/>
        <w:numPr>
          <w:ilvl w:val="0"/>
          <w:numId w:val="0"/>
        </w:numPr>
        <w:kinsoku/>
        <w:wordWrap/>
        <w:overflowPunct/>
        <w:topLinePunct w:val="0"/>
        <w:bidi w:val="0"/>
        <w:spacing w:before="95" w:beforeLines="30" w:line="560" w:lineRule="exact"/>
        <w:ind w:left="-13" w:leftChars="0" w:firstLine="643" w:firstLineChars="0"/>
        <w:textAlignment w:val="auto"/>
        <w:rPr>
          <w:rStyle w:val="20"/>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2"/>
          <w:sz w:val="32"/>
          <w:szCs w:val="32"/>
          <w:lang w:val="en-US" w:eastAsia="zh-CN" w:bidi="ar-SA"/>
        </w:rPr>
        <w:t>4.</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政府办公厅（室）及相关机构事务</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行政运行</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590.59</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p>
    <w:p>
      <w:pPr>
        <w:pStyle w:val="2"/>
        <w:pageBreakBefore w:val="0"/>
        <w:numPr>
          <w:ilvl w:val="0"/>
          <w:numId w:val="0"/>
        </w:numPr>
        <w:kinsoku/>
        <w:wordWrap/>
        <w:overflowPunct/>
        <w:topLinePunct w:val="0"/>
        <w:bidi w:val="0"/>
        <w:spacing w:before="95" w:beforeLines="30" w:line="560" w:lineRule="exact"/>
        <w:ind w:left="-13" w:leftChars="0" w:firstLine="643" w:firstLineChars="0"/>
        <w:textAlignment w:val="auto"/>
        <w:rPr>
          <w:rStyle w:val="20"/>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2"/>
          <w:sz w:val="32"/>
          <w:szCs w:val="32"/>
          <w:lang w:val="en-US" w:eastAsia="zh-CN" w:bidi="ar-SA"/>
        </w:rPr>
        <w:t>5.</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政府办公厅（室）及相关机构事务</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一般行政管理事务</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9.18</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numPr>
          <w:ilvl w:val="0"/>
          <w:numId w:val="0"/>
        </w:numPr>
        <w:kinsoku/>
        <w:wordWrap/>
        <w:overflowPunct/>
        <w:topLinePunct w:val="0"/>
        <w:bidi w:val="0"/>
        <w:spacing w:before="95" w:beforeLines="30" w:line="560" w:lineRule="exact"/>
        <w:ind w:firstLine="640" w:firstLineChars="200"/>
        <w:textAlignment w:val="auto"/>
        <w:rPr>
          <w:rStyle w:val="20"/>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2"/>
          <w:sz w:val="32"/>
          <w:szCs w:val="32"/>
          <w:lang w:val="en-US" w:eastAsia="zh-CN" w:bidi="ar-SA"/>
        </w:rPr>
        <w:t>6.</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政府办公厅（室）及相关机构事务</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信访事务</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5</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numPr>
          <w:ilvl w:val="0"/>
          <w:numId w:val="0"/>
        </w:numPr>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7.</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政府办公厅（室）及相关机构事务</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事业运行</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6.66</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numPr>
          <w:ilvl w:val="0"/>
          <w:numId w:val="0"/>
        </w:numPr>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8.</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政府办公厅（室）及相关机构事务</w:t>
      </w:r>
      <w:r>
        <w:rPr>
          <w:rStyle w:val="20"/>
          <w:rFonts w:hint="eastAsia" w:ascii="仿宋_GB2312" w:hAnsi="仿宋_GB2312" w:eastAsia="仿宋_GB2312" w:cs="仿宋_GB2312"/>
          <w:bCs/>
          <w:color w:val="000000"/>
          <w:sz w:val="32"/>
          <w:szCs w:val="32"/>
        </w:rPr>
        <w:t>（款） 其他政府办公厅（室）及相关机构事务支出（项）: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19.91</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numPr>
          <w:ilvl w:val="0"/>
          <w:numId w:val="0"/>
        </w:numPr>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9.</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统计信息事务</w:t>
      </w:r>
      <w:r>
        <w:rPr>
          <w:rStyle w:val="20"/>
          <w:rFonts w:hint="eastAsia" w:ascii="仿宋_GB2312" w:hAnsi="仿宋_GB2312" w:eastAsia="仿宋_GB2312" w:cs="仿宋_GB2312"/>
          <w:bCs/>
          <w:color w:val="000000"/>
          <w:sz w:val="32"/>
          <w:szCs w:val="32"/>
        </w:rPr>
        <w:t xml:space="preserve">（款） </w:t>
      </w:r>
      <w:r>
        <w:rPr>
          <w:rStyle w:val="20"/>
          <w:rFonts w:hint="eastAsia" w:ascii="仿宋_GB2312" w:hAnsi="仿宋_GB2312" w:eastAsia="仿宋_GB2312" w:cs="仿宋_GB2312"/>
          <w:bCs/>
          <w:color w:val="000000"/>
          <w:sz w:val="32"/>
          <w:szCs w:val="32"/>
          <w:lang w:val="en-US" w:eastAsia="zh-CN"/>
        </w:rPr>
        <w:t>其他统计信息事务支出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2</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Fonts w:hint="eastAsia"/>
        </w:rPr>
      </w:pPr>
      <w:r>
        <w:rPr>
          <w:rStyle w:val="20"/>
          <w:rFonts w:hint="eastAsia" w:ascii="仿宋_GB2312" w:hAnsi="仿宋_GB2312" w:eastAsia="仿宋_GB2312" w:cs="仿宋_GB2312"/>
          <w:bCs/>
          <w:color w:val="000000"/>
          <w:sz w:val="32"/>
          <w:szCs w:val="32"/>
          <w:lang w:val="en-US" w:eastAsia="zh-CN"/>
        </w:rPr>
        <w:t>10.</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财政事务</w:t>
      </w:r>
      <w:r>
        <w:rPr>
          <w:rStyle w:val="20"/>
          <w:rFonts w:hint="eastAsia" w:ascii="仿宋_GB2312" w:hAnsi="仿宋_GB2312" w:eastAsia="仿宋_GB2312" w:cs="仿宋_GB2312"/>
          <w:bCs/>
          <w:color w:val="000000"/>
          <w:sz w:val="32"/>
          <w:szCs w:val="32"/>
        </w:rPr>
        <w:t xml:space="preserve">（款） </w:t>
      </w:r>
      <w:r>
        <w:rPr>
          <w:rStyle w:val="20"/>
          <w:rFonts w:hint="eastAsia" w:ascii="仿宋_GB2312" w:hAnsi="仿宋_GB2312" w:eastAsia="仿宋_GB2312" w:cs="仿宋_GB2312"/>
          <w:bCs/>
          <w:color w:val="000000"/>
          <w:sz w:val="32"/>
          <w:szCs w:val="32"/>
          <w:lang w:val="en-US" w:eastAsia="zh-CN"/>
        </w:rPr>
        <w:t>行政运行</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21.39</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numPr>
          <w:ilvl w:val="0"/>
          <w:numId w:val="0"/>
        </w:numPr>
        <w:kinsoku/>
        <w:wordWrap/>
        <w:overflowPunct/>
        <w:topLinePunct w:val="0"/>
        <w:bidi w:val="0"/>
        <w:spacing w:before="95" w:beforeLines="30" w:line="560" w:lineRule="exact"/>
        <w:ind w:leftChars="0"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11.一</w:t>
      </w:r>
      <w:r>
        <w:rPr>
          <w:rStyle w:val="20"/>
          <w:rFonts w:hint="eastAsia" w:ascii="仿宋_GB2312" w:hAnsi="仿宋_GB2312" w:eastAsia="仿宋_GB2312" w:cs="仿宋_GB2312"/>
          <w:bCs/>
          <w:color w:val="000000"/>
          <w:sz w:val="32"/>
          <w:szCs w:val="32"/>
        </w:rPr>
        <w:t>般公共服务（类）</w:t>
      </w:r>
      <w:r>
        <w:rPr>
          <w:rStyle w:val="20"/>
          <w:rFonts w:hint="eastAsia" w:ascii="仿宋_GB2312" w:hAnsi="仿宋_GB2312" w:eastAsia="仿宋_GB2312" w:cs="仿宋_GB2312"/>
          <w:bCs/>
          <w:color w:val="000000"/>
          <w:sz w:val="32"/>
          <w:szCs w:val="32"/>
          <w:lang w:val="en-US" w:eastAsia="zh-CN"/>
        </w:rPr>
        <w:t>纪检监察事务</w:t>
      </w:r>
      <w:r>
        <w:rPr>
          <w:rStyle w:val="20"/>
          <w:rFonts w:hint="eastAsia" w:ascii="仿宋_GB2312" w:hAnsi="仿宋_GB2312" w:eastAsia="仿宋_GB2312" w:cs="仿宋_GB2312"/>
          <w:bCs/>
          <w:color w:val="000000"/>
          <w:sz w:val="32"/>
          <w:szCs w:val="32"/>
        </w:rPr>
        <w:t xml:space="preserve">（款） </w:t>
      </w:r>
      <w:r>
        <w:rPr>
          <w:rStyle w:val="20"/>
          <w:rFonts w:hint="eastAsia" w:ascii="仿宋_GB2312" w:hAnsi="仿宋_GB2312" w:eastAsia="仿宋_GB2312" w:cs="仿宋_GB2312"/>
          <w:bCs/>
          <w:color w:val="000000"/>
          <w:sz w:val="32"/>
          <w:szCs w:val="32"/>
          <w:lang w:val="en-US" w:eastAsia="zh-CN"/>
        </w:rPr>
        <w:t>其他纪检监察事务支出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3</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12.</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群众团体事务</w:t>
      </w:r>
      <w:r>
        <w:rPr>
          <w:rStyle w:val="20"/>
          <w:rFonts w:hint="eastAsia" w:ascii="仿宋_GB2312" w:hAnsi="仿宋_GB2312" w:eastAsia="仿宋_GB2312" w:cs="仿宋_GB2312"/>
          <w:bCs/>
          <w:color w:val="000000"/>
          <w:sz w:val="32"/>
          <w:szCs w:val="32"/>
        </w:rPr>
        <w:t xml:space="preserve">（款） </w:t>
      </w:r>
      <w:r>
        <w:rPr>
          <w:rStyle w:val="20"/>
          <w:rFonts w:hint="eastAsia" w:ascii="仿宋_GB2312" w:hAnsi="仿宋_GB2312" w:eastAsia="仿宋_GB2312" w:cs="仿宋_GB2312"/>
          <w:bCs/>
          <w:color w:val="000000"/>
          <w:sz w:val="32"/>
          <w:szCs w:val="32"/>
          <w:lang w:val="en-US" w:eastAsia="zh-CN"/>
        </w:rPr>
        <w:t>其他群众团体事务支出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3.3</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kinsoku/>
        <w:wordWrap/>
        <w:overflowPunct/>
        <w:topLinePunct w:val="0"/>
        <w:bidi w:val="0"/>
        <w:spacing w:before="95" w:beforeLines="30" w:line="560" w:lineRule="exact"/>
        <w:ind w:left="0" w:leftChars="0"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13.</w:t>
      </w:r>
      <w:r>
        <w:rPr>
          <w:rStyle w:val="20"/>
          <w:rFonts w:hint="eastAsia" w:ascii="仿宋_GB2312" w:hAnsi="仿宋_GB2312" w:eastAsia="仿宋_GB2312" w:cs="仿宋_GB2312"/>
          <w:bCs/>
          <w:color w:val="000000"/>
          <w:sz w:val="32"/>
          <w:szCs w:val="32"/>
        </w:rPr>
        <w:t>一般公共服务（类）</w:t>
      </w:r>
      <w:r>
        <w:rPr>
          <w:rStyle w:val="20"/>
          <w:rFonts w:hint="eastAsia" w:ascii="仿宋_GB2312" w:hAnsi="仿宋_GB2312" w:eastAsia="仿宋_GB2312" w:cs="仿宋_GB2312"/>
          <w:bCs/>
          <w:color w:val="000000"/>
          <w:sz w:val="32"/>
          <w:szCs w:val="32"/>
          <w:lang w:val="en-US" w:eastAsia="zh-CN"/>
        </w:rPr>
        <w:t>市场监督管理事务</w:t>
      </w:r>
      <w:r>
        <w:rPr>
          <w:rStyle w:val="20"/>
          <w:rFonts w:hint="eastAsia" w:ascii="仿宋_GB2312" w:hAnsi="仿宋_GB2312" w:eastAsia="仿宋_GB2312" w:cs="仿宋_GB2312"/>
          <w:bCs/>
          <w:color w:val="000000"/>
          <w:sz w:val="32"/>
          <w:szCs w:val="32"/>
        </w:rPr>
        <w:t xml:space="preserve">（款） </w:t>
      </w:r>
      <w:r>
        <w:rPr>
          <w:rStyle w:val="20"/>
          <w:rFonts w:hint="eastAsia" w:ascii="仿宋_GB2312" w:hAnsi="仿宋_GB2312" w:eastAsia="仿宋_GB2312" w:cs="仿宋_GB2312"/>
          <w:bCs/>
          <w:color w:val="000000"/>
          <w:sz w:val="32"/>
          <w:szCs w:val="32"/>
          <w:lang w:val="en-US" w:eastAsia="zh-CN"/>
        </w:rPr>
        <w:t>其市场秩序执法</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20</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14.文化旅游体育与传媒支出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文化和旅游</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其他文化和旅游支出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32.92</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kinsoku/>
        <w:wordWrap/>
        <w:overflowPunct/>
        <w:topLinePunct w:val="0"/>
        <w:bidi w:val="0"/>
        <w:spacing w:before="95" w:beforeLines="30" w:line="560" w:lineRule="exact"/>
        <w:ind w:left="0" w:leftChars="0"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15.社会保障和就业支出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民政管理事务</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其他民政管理事务支出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5.65</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16.社会保障和就业支出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行政事业单位养老支出</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机关事业单位基本养老保险缴费支出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82.80</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kinsoku/>
        <w:wordWrap/>
        <w:overflowPunct/>
        <w:topLinePunct w:val="0"/>
        <w:bidi w:val="0"/>
        <w:spacing w:before="95" w:beforeLines="30" w:line="560" w:lineRule="exact"/>
        <w:ind w:left="0" w:leftChars="0"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17.社会保障和就业支出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行政事业单位养老支出</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其他行政事业单位养老支出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1.61</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numPr>
          <w:ilvl w:val="0"/>
          <w:numId w:val="0"/>
        </w:numPr>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18.社会保障和就业支出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抚恤</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死亡抚恤</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29.84</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Fonts w:hint="default" w:eastAsia="仿宋_GB2312"/>
          <w:lang w:val="en-US" w:eastAsia="zh-CN"/>
        </w:rPr>
      </w:pPr>
      <w:r>
        <w:rPr>
          <w:rStyle w:val="20"/>
          <w:rFonts w:hint="eastAsia" w:ascii="仿宋_GB2312" w:hAnsi="仿宋_GB2312" w:eastAsia="仿宋_GB2312" w:cs="仿宋_GB2312"/>
          <w:b/>
          <w:bCs w:val="0"/>
          <w:color w:val="000000"/>
          <w:sz w:val="32"/>
          <w:szCs w:val="32"/>
          <w:lang w:val="en-US" w:eastAsia="zh-CN"/>
        </w:rPr>
        <w:t>19.社会保障和就业支出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其他社会保障和就业支出</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其他社会保障和就业支出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1.42</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20.卫生健康支出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卫生健康管理事务</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行政运行</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23.73</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kinsoku/>
        <w:wordWrap/>
        <w:overflowPunct/>
        <w:topLinePunct w:val="0"/>
        <w:bidi w:val="0"/>
        <w:spacing w:before="95" w:beforeLines="30" w:line="560" w:lineRule="exact"/>
        <w:ind w:left="0" w:leftChars="0"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21.卫生健康支出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公共卫生</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突发公共卫生事件应急处理</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8</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22.卫生健康支出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行政事业单位医疗</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行政单位医疗</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30.29</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kinsoku/>
        <w:wordWrap/>
        <w:overflowPunct/>
        <w:topLinePunct w:val="0"/>
        <w:bidi w:val="0"/>
        <w:spacing w:before="95" w:beforeLines="30" w:line="560" w:lineRule="exact"/>
        <w:ind w:left="0" w:leftChars="0"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23.卫生健康支出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行政事业单位医疗</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事业单位医疗</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11.86</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24.卫生健康支出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行政事业单位医疗</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公务员医疗补助</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11.29</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kinsoku/>
        <w:wordWrap/>
        <w:overflowPunct/>
        <w:topLinePunct w:val="0"/>
        <w:bidi w:val="0"/>
        <w:spacing w:before="95" w:beforeLines="30" w:line="560" w:lineRule="exact"/>
        <w:ind w:left="0" w:leftChars="0"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
          <w:bCs w:val="0"/>
          <w:color w:val="000000"/>
          <w:sz w:val="32"/>
          <w:szCs w:val="32"/>
          <w:lang w:val="en-US" w:eastAsia="zh-CN"/>
        </w:rPr>
        <w:t>25.节能环保支出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自然生态保护</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农村环境保护</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支出决算为</w:t>
      </w:r>
      <w:r>
        <w:rPr>
          <w:rStyle w:val="20"/>
          <w:rFonts w:hint="eastAsia" w:ascii="仿宋_GB2312" w:hAnsi="仿宋_GB2312" w:eastAsia="仿宋_GB2312" w:cs="仿宋_GB2312"/>
          <w:b w:val="0"/>
          <w:bCs/>
          <w:color w:val="000000"/>
          <w:sz w:val="32"/>
          <w:szCs w:val="32"/>
          <w:lang w:val="en-US" w:eastAsia="zh-CN"/>
        </w:rPr>
        <w:t>45</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color w:val="000000"/>
          <w:sz w:val="32"/>
          <w:szCs w:val="32"/>
          <w:lang w:eastAsia="zh-CN"/>
        </w:rPr>
      </w:pPr>
      <w:r>
        <w:rPr>
          <w:rStyle w:val="20"/>
          <w:rFonts w:hint="eastAsia" w:ascii="仿宋_GB2312" w:hAnsi="仿宋_GB2312" w:eastAsia="仿宋_GB2312" w:cs="仿宋_GB2312"/>
          <w:b/>
          <w:bCs w:val="0"/>
          <w:color w:val="000000"/>
          <w:sz w:val="32"/>
          <w:szCs w:val="32"/>
          <w:lang w:val="en-US" w:eastAsia="zh-CN"/>
        </w:rPr>
        <w:t>26.城乡社区支出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城乡社区公共设施</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其他城乡社区公共设施支出</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支出决算为</w:t>
      </w:r>
      <w:r>
        <w:rPr>
          <w:rStyle w:val="20"/>
          <w:rFonts w:hint="eastAsia" w:ascii="仿宋_GB2312" w:hAnsi="仿宋_GB2312" w:eastAsia="仿宋_GB2312" w:cs="仿宋_GB2312"/>
          <w:b w:val="0"/>
          <w:bCs/>
          <w:color w:val="000000"/>
          <w:sz w:val="32"/>
          <w:szCs w:val="32"/>
          <w:lang w:val="en-US" w:eastAsia="zh-CN"/>
        </w:rPr>
        <w:t>35</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p>
    <w:p>
      <w:pPr>
        <w:pStyle w:val="2"/>
        <w:pageBreakBefore w:val="0"/>
        <w:kinsoku/>
        <w:wordWrap/>
        <w:overflowPunct/>
        <w:topLinePunct w:val="0"/>
        <w:bidi w:val="0"/>
        <w:spacing w:before="95" w:beforeLines="30" w:line="560" w:lineRule="exact"/>
        <w:ind w:left="0" w:leftChars="0"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27.农林水支出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农业农村</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行政运行</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502.8</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before="95" w:beforeLines="30" w:line="560" w:lineRule="exact"/>
        <w:ind w:firstLine="643" w:firstLineChars="200"/>
        <w:textAlignment w:val="auto"/>
        <w:rPr>
          <w:rStyle w:val="20"/>
          <w:rFonts w:hint="eastAsia" w:ascii="仿宋_GB2312" w:hAnsi="仿宋_GB2312" w:eastAsia="仿宋_GB2312" w:cs="仿宋_GB2312"/>
          <w:b w:val="0"/>
          <w:bCs/>
          <w:color w:val="000000"/>
          <w:sz w:val="32"/>
          <w:szCs w:val="32"/>
        </w:rPr>
      </w:pPr>
      <w:r>
        <w:rPr>
          <w:rStyle w:val="20"/>
          <w:rFonts w:hint="eastAsia" w:ascii="仿宋_GB2312" w:hAnsi="仿宋_GB2312" w:eastAsia="仿宋_GB2312" w:cs="仿宋_GB2312"/>
          <w:bCs/>
          <w:color w:val="000000"/>
          <w:sz w:val="32"/>
          <w:szCs w:val="32"/>
          <w:lang w:val="en-US" w:eastAsia="zh-CN"/>
        </w:rPr>
        <w:t>28.农林水支出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农业农村</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事业运行</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123.59</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Style w:val="2"/>
        <w:pageBreakBefore w:val="0"/>
        <w:kinsoku/>
        <w:wordWrap/>
        <w:overflowPunct/>
        <w:topLinePunct w:val="0"/>
        <w:bidi w:val="0"/>
        <w:spacing w:before="95" w:beforeLines="30" w:line="560" w:lineRule="exact"/>
        <w:ind w:left="0" w:leftChars="0" w:firstLine="643" w:firstLineChars="200"/>
        <w:textAlignment w:val="auto"/>
        <w:rPr>
          <w:rStyle w:val="20"/>
          <w:rFonts w:hint="eastAsia" w:ascii="仿宋_GB2312" w:hAnsi="仿宋_GB2312" w:eastAsia="仿宋_GB2312" w:cs="仿宋_GB2312"/>
          <w:b w:val="0"/>
          <w:color w:val="000000"/>
          <w:sz w:val="32"/>
          <w:szCs w:val="32"/>
          <w:lang w:eastAsia="zh-CN"/>
        </w:rPr>
      </w:pPr>
      <w:r>
        <w:rPr>
          <w:rStyle w:val="20"/>
          <w:rFonts w:hint="eastAsia" w:ascii="仿宋_GB2312" w:hAnsi="仿宋_GB2312" w:eastAsia="仿宋_GB2312" w:cs="仿宋_GB2312"/>
          <w:bCs/>
          <w:color w:val="000000"/>
          <w:sz w:val="32"/>
          <w:szCs w:val="32"/>
          <w:lang w:val="en-US" w:eastAsia="zh-CN"/>
        </w:rPr>
        <w:t>29.农林水支出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农村综合改革</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对村民委员会和村党支部的补助</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1323.77</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p>
    <w:p>
      <w:pPr>
        <w:pageBreakBefore w:val="0"/>
        <w:kinsoku/>
        <w:wordWrap/>
        <w:overflowPunct/>
        <w:topLinePunct w:val="0"/>
        <w:bidi w:val="0"/>
        <w:spacing w:before="95" w:beforeLines="30" w:line="560" w:lineRule="exact"/>
        <w:ind w:firstLine="643" w:firstLineChars="200"/>
        <w:textAlignment w:val="auto"/>
        <w:rPr>
          <w:rFonts w:hint="default"/>
          <w:lang w:val="en-US" w:eastAsia="zh-CN"/>
        </w:rPr>
      </w:pPr>
      <w:r>
        <w:rPr>
          <w:rStyle w:val="20"/>
          <w:rFonts w:hint="eastAsia" w:ascii="仿宋_GB2312" w:hAnsi="仿宋_GB2312" w:eastAsia="仿宋_GB2312" w:cs="仿宋_GB2312"/>
          <w:bCs/>
          <w:color w:val="000000"/>
          <w:sz w:val="32"/>
          <w:szCs w:val="32"/>
          <w:lang w:val="en-US" w:eastAsia="zh-CN"/>
        </w:rPr>
        <w:t>30.住房保障支出</w:t>
      </w:r>
      <w:r>
        <w:rPr>
          <w:rStyle w:val="20"/>
          <w:rFonts w:hint="eastAsia" w:ascii="仿宋_GB2312" w:hAnsi="仿宋_GB2312" w:eastAsia="仿宋_GB2312" w:cs="仿宋_GB2312"/>
          <w:bCs/>
          <w:color w:val="000000"/>
          <w:sz w:val="32"/>
          <w:szCs w:val="32"/>
        </w:rPr>
        <w:t>（类）</w:t>
      </w:r>
      <w:r>
        <w:rPr>
          <w:rStyle w:val="20"/>
          <w:rFonts w:hint="eastAsia" w:ascii="仿宋_GB2312" w:hAnsi="仿宋_GB2312" w:eastAsia="仿宋_GB2312" w:cs="仿宋_GB2312"/>
          <w:bCs/>
          <w:color w:val="000000"/>
          <w:sz w:val="32"/>
          <w:szCs w:val="32"/>
          <w:lang w:val="en-US" w:eastAsia="zh-CN"/>
        </w:rPr>
        <w:t>住房改革支出</w:t>
      </w:r>
      <w:r>
        <w:rPr>
          <w:rStyle w:val="20"/>
          <w:rFonts w:hint="eastAsia" w:ascii="仿宋_GB2312" w:hAnsi="仿宋_GB2312" w:eastAsia="仿宋_GB2312" w:cs="仿宋_GB2312"/>
          <w:bCs/>
          <w:color w:val="000000"/>
          <w:sz w:val="32"/>
          <w:szCs w:val="32"/>
        </w:rPr>
        <w:t>（款）</w:t>
      </w:r>
      <w:r>
        <w:rPr>
          <w:rStyle w:val="20"/>
          <w:rFonts w:hint="eastAsia" w:ascii="仿宋_GB2312" w:hAnsi="仿宋_GB2312" w:eastAsia="仿宋_GB2312" w:cs="仿宋_GB2312"/>
          <w:bCs/>
          <w:color w:val="000000"/>
          <w:sz w:val="32"/>
          <w:szCs w:val="32"/>
          <w:lang w:val="en-US" w:eastAsia="zh-CN"/>
        </w:rPr>
        <w:t>住房公积金</w:t>
      </w:r>
      <w:r>
        <w:rPr>
          <w:rStyle w:val="20"/>
          <w:rFonts w:hint="eastAsia" w:ascii="仿宋_GB2312" w:hAnsi="仿宋_GB2312" w:eastAsia="仿宋_GB2312" w:cs="仿宋_GB2312"/>
          <w:bCs/>
          <w:color w:val="000000"/>
          <w:sz w:val="32"/>
          <w:szCs w:val="32"/>
        </w:rPr>
        <w:t>（项）:</w:t>
      </w:r>
      <w:r>
        <w:rPr>
          <w:rStyle w:val="20"/>
          <w:rFonts w:hint="eastAsia" w:ascii="仿宋_GB2312" w:hAnsi="仿宋_GB2312" w:eastAsia="仿宋_GB2312" w:cs="仿宋_GB2312"/>
          <w:b w:val="0"/>
          <w:bCs/>
          <w:color w:val="000000"/>
          <w:sz w:val="32"/>
          <w:szCs w:val="32"/>
        </w:rPr>
        <w:t xml:space="preserve"> 支出决算为</w:t>
      </w:r>
      <w:r>
        <w:rPr>
          <w:rStyle w:val="20"/>
          <w:rFonts w:hint="eastAsia" w:ascii="仿宋_GB2312" w:hAnsi="仿宋_GB2312" w:eastAsia="仿宋_GB2312" w:cs="仿宋_GB2312"/>
          <w:b w:val="0"/>
          <w:bCs/>
          <w:color w:val="000000"/>
          <w:sz w:val="32"/>
          <w:szCs w:val="32"/>
          <w:lang w:val="en-US" w:eastAsia="zh-CN"/>
        </w:rPr>
        <w:t>97.97</w:t>
      </w:r>
      <w:r>
        <w:rPr>
          <w:rStyle w:val="20"/>
          <w:rFonts w:hint="eastAsia" w:ascii="仿宋_GB2312" w:hAnsi="仿宋_GB2312" w:eastAsia="仿宋_GB2312" w:cs="仿宋_GB2312"/>
          <w:b w:val="0"/>
          <w:bCs/>
          <w:color w:val="000000"/>
          <w:sz w:val="32"/>
          <w:szCs w:val="32"/>
        </w:rPr>
        <w:t>万元，完成预算</w:t>
      </w:r>
      <w:r>
        <w:rPr>
          <w:rStyle w:val="20"/>
          <w:rFonts w:hint="eastAsia" w:ascii="仿宋_GB2312" w:hAnsi="仿宋_GB2312" w:eastAsia="仿宋_GB2312" w:cs="仿宋_GB2312"/>
          <w:b w:val="0"/>
          <w:bCs/>
          <w:color w:val="000000"/>
          <w:sz w:val="32"/>
          <w:szCs w:val="32"/>
          <w:lang w:val="en-US" w:eastAsia="zh-CN"/>
        </w:rPr>
        <w:t>100</w:t>
      </w:r>
      <w:r>
        <w:rPr>
          <w:rStyle w:val="20"/>
          <w:rFonts w:hint="eastAsia" w:ascii="仿宋_GB2312" w:hAnsi="仿宋_GB2312" w:eastAsia="仿宋_GB2312" w:cs="仿宋_GB2312"/>
          <w:b w:val="0"/>
          <w:bCs/>
          <w:color w:val="000000"/>
          <w:sz w:val="32"/>
          <w:szCs w:val="32"/>
        </w:rPr>
        <w:t>%</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r>
        <w:rPr>
          <w:rStyle w:val="20"/>
          <w:rFonts w:hint="eastAsia" w:ascii="仿宋_GB2312" w:hAnsi="仿宋_GB2312" w:eastAsia="仿宋_GB2312" w:cs="仿宋_GB2312"/>
          <w:b w:val="0"/>
          <w:bCs/>
          <w:color w:val="000000"/>
          <w:sz w:val="32"/>
          <w:szCs w:val="32"/>
        </w:rPr>
        <w:t>。</w:t>
      </w:r>
    </w:p>
    <w:p>
      <w:pPr>
        <w:pageBreakBefore w:val="0"/>
        <w:tabs>
          <w:tab w:val="right" w:pos="8306"/>
        </w:tabs>
        <w:kinsoku/>
        <w:wordWrap/>
        <w:overflowPunct/>
        <w:topLinePunct w:val="0"/>
        <w:bidi w:val="0"/>
        <w:spacing w:before="95" w:beforeLines="30" w:line="560" w:lineRule="exact"/>
        <w:ind w:firstLine="640"/>
        <w:textAlignment w:val="auto"/>
        <w:outlineLvl w:val="1"/>
        <w:rPr>
          <w:rStyle w:val="32"/>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34"/>
      <w:bookmarkEnd w:id="35"/>
      <w:r>
        <w:rPr>
          <w:rStyle w:val="32"/>
          <w:rFonts w:ascii="黑体" w:hAnsi="黑体" w:eastAsia="黑体"/>
          <w:b w:val="0"/>
          <w:color w:val="auto"/>
          <w:highlight w:val="none"/>
        </w:rPr>
        <w:tab/>
      </w:r>
    </w:p>
    <w:p>
      <w:pPr>
        <w:pageBreakBefore w:val="0"/>
        <w:kinsoku/>
        <w:wordWrap/>
        <w:overflowPunct/>
        <w:topLinePunct w:val="0"/>
        <w:bidi w:val="0"/>
        <w:spacing w:before="95" w:beforeLines="30" w:line="560"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2333.03</w:t>
      </w:r>
      <w:r>
        <w:rPr>
          <w:rFonts w:hint="eastAsia" w:ascii="仿宋" w:hAnsi="仿宋" w:eastAsia="仿宋"/>
          <w:color w:val="auto"/>
          <w:sz w:val="32"/>
          <w:szCs w:val="32"/>
          <w:highlight w:val="none"/>
        </w:rPr>
        <w:t>万元，其中：</w:t>
      </w:r>
    </w:p>
    <w:p>
      <w:pPr>
        <w:pageBreakBefore w:val="0"/>
        <w:kinsoku/>
        <w:wordWrap/>
        <w:overflowPunct/>
        <w:topLinePunct w:val="0"/>
        <w:bidi w:val="0"/>
        <w:spacing w:before="95" w:beforeLines="30" w:line="560" w:lineRule="exact"/>
        <w:ind w:firstLine="645"/>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2171.51</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highlight w:val="none"/>
          <w:lang w:val="en-US" w:eastAsia="zh-CN"/>
        </w:rPr>
        <w:t>职工基本医疗保险缴费、公务员医疗补助缴费、</w:t>
      </w:r>
      <w:r>
        <w:rPr>
          <w:rFonts w:hint="eastAsia" w:ascii="仿宋" w:hAnsi="仿宋" w:eastAsia="仿宋"/>
          <w:color w:val="auto"/>
          <w:sz w:val="32"/>
          <w:szCs w:val="32"/>
          <w:highlight w:val="none"/>
        </w:rPr>
        <w:t>其他社会保障缴费、其他工资福利支出、抚恤金、生活补助、住房公积金、其他对个人和家庭的补助支出等。</w:t>
      </w:r>
    </w:p>
    <w:p>
      <w:pPr>
        <w:pageBreakBefore w:val="0"/>
        <w:kinsoku/>
        <w:wordWrap/>
        <w:overflowPunct/>
        <w:topLinePunct w:val="0"/>
        <w:bidi w:val="0"/>
        <w:spacing w:before="95" w:beforeLines="30" w:line="560" w:lineRule="exact"/>
        <w:ind w:firstLine="645"/>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161.52</w:t>
      </w:r>
      <w:r>
        <w:rPr>
          <w:rFonts w:hint="eastAsia" w:ascii="仿宋" w:hAnsi="仿宋" w:eastAsia="仿宋"/>
          <w:color w:val="auto"/>
          <w:sz w:val="32"/>
          <w:szCs w:val="32"/>
          <w:highlight w:val="none"/>
        </w:rPr>
        <w:t>万元，主要包括：办公费、印刷费、电费、差旅费、公务接待费、工会经费、福利费、其他交通费、其他</w:t>
      </w:r>
      <w:r>
        <w:rPr>
          <w:rFonts w:hint="eastAsia" w:ascii="仿宋" w:hAnsi="仿宋" w:eastAsia="仿宋"/>
          <w:color w:val="auto"/>
          <w:sz w:val="32"/>
          <w:szCs w:val="32"/>
          <w:highlight w:val="none"/>
          <w:lang w:val="en-US" w:eastAsia="zh-CN"/>
        </w:rPr>
        <w:t>商品和服务支出</w:t>
      </w:r>
      <w:r>
        <w:rPr>
          <w:rFonts w:hint="eastAsia" w:ascii="仿宋" w:hAnsi="仿宋" w:eastAsia="仿宋"/>
          <w:color w:val="auto"/>
          <w:sz w:val="32"/>
          <w:szCs w:val="32"/>
          <w:highlight w:val="none"/>
        </w:rPr>
        <w:t>等。</w:t>
      </w:r>
    </w:p>
    <w:p>
      <w:pPr>
        <w:pageBreakBefore w:val="0"/>
        <w:kinsoku/>
        <w:wordWrap/>
        <w:overflowPunct/>
        <w:topLinePunct w:val="0"/>
        <w:bidi w:val="0"/>
        <w:spacing w:before="95" w:beforeLines="30" w:line="560" w:lineRule="exact"/>
        <w:ind w:firstLine="640"/>
        <w:textAlignment w:val="auto"/>
        <w:outlineLvl w:val="1"/>
        <w:rPr>
          <w:rStyle w:val="32"/>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36"/>
      <w:bookmarkEnd w:id="37"/>
    </w:p>
    <w:p>
      <w:pPr>
        <w:pageBreakBefore w:val="0"/>
        <w:kinsoku/>
        <w:wordWrap/>
        <w:overflowPunct/>
        <w:topLinePunct w:val="0"/>
        <w:bidi w:val="0"/>
        <w:spacing w:before="95" w:beforeLines="30" w:line="560" w:lineRule="exact"/>
        <w:ind w:firstLine="640"/>
        <w:textAlignment w:val="auto"/>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pageBreakBefore w:val="0"/>
        <w:kinsoku/>
        <w:wordWrap/>
        <w:overflowPunct/>
        <w:topLinePunct w:val="0"/>
        <w:bidi w:val="0"/>
        <w:spacing w:before="95" w:beforeLines="30" w:line="560" w:lineRule="exact"/>
        <w:ind w:firstLine="640"/>
        <w:textAlignment w:val="auto"/>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13.92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减少0.08万元，下降0.01%</w:t>
      </w:r>
      <w:r>
        <w:rPr>
          <w:rFonts w:hint="eastAsia" w:ascii="仿宋" w:hAnsi="仿宋" w:eastAsia="仿宋"/>
          <w:color w:val="auto"/>
          <w:sz w:val="32"/>
          <w:szCs w:val="32"/>
          <w:highlight w:val="none"/>
        </w:rPr>
        <w:t>。</w:t>
      </w:r>
      <w:r>
        <w:rPr>
          <w:rStyle w:val="20"/>
          <w:rFonts w:hint="eastAsia" w:ascii="仿宋_GB2312" w:hAnsi="仿宋_GB2312" w:eastAsia="仿宋_GB2312" w:cs="仿宋_GB2312"/>
          <w:b w:val="0"/>
          <w:color w:val="000000"/>
          <w:sz w:val="32"/>
          <w:szCs w:val="32"/>
        </w:rPr>
        <w:t>决算数</w:t>
      </w:r>
      <w:r>
        <w:rPr>
          <w:rStyle w:val="20"/>
          <w:rFonts w:hint="eastAsia" w:ascii="仿宋_GB2312" w:hAnsi="仿宋_GB2312" w:eastAsia="仿宋_GB2312" w:cs="仿宋_GB2312"/>
          <w:b w:val="0"/>
          <w:color w:val="000000"/>
          <w:sz w:val="32"/>
          <w:szCs w:val="32"/>
          <w:lang w:eastAsia="zh-CN"/>
        </w:rPr>
        <w:t>与</w:t>
      </w:r>
      <w:r>
        <w:rPr>
          <w:rStyle w:val="20"/>
          <w:rFonts w:hint="eastAsia" w:ascii="仿宋_GB2312" w:hAnsi="仿宋_GB2312" w:eastAsia="仿宋_GB2312" w:cs="仿宋_GB2312"/>
          <w:b w:val="0"/>
          <w:color w:val="000000"/>
          <w:sz w:val="32"/>
          <w:szCs w:val="32"/>
        </w:rPr>
        <w:t>预算数</w:t>
      </w:r>
      <w:r>
        <w:rPr>
          <w:rStyle w:val="20"/>
          <w:rFonts w:hint="eastAsia" w:ascii="仿宋_GB2312" w:hAnsi="仿宋_GB2312" w:eastAsia="仿宋_GB2312" w:cs="仿宋_GB2312"/>
          <w:b w:val="0"/>
          <w:color w:val="000000"/>
          <w:sz w:val="32"/>
          <w:szCs w:val="32"/>
          <w:lang w:eastAsia="zh-CN"/>
        </w:rPr>
        <w:t>持平。</w:t>
      </w:r>
    </w:p>
    <w:p>
      <w:pPr>
        <w:pageBreakBefore w:val="0"/>
        <w:kinsoku/>
        <w:wordWrap/>
        <w:overflowPunct/>
        <w:topLinePunct w:val="0"/>
        <w:bidi w:val="0"/>
        <w:spacing w:before="95" w:beforeLines="30" w:line="560" w:lineRule="exact"/>
        <w:ind w:firstLine="640"/>
        <w:textAlignment w:val="auto"/>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pageBreakBefore w:val="0"/>
        <w:kinsoku/>
        <w:wordWrap/>
        <w:overflowPunct/>
        <w:topLinePunct w:val="0"/>
        <w:bidi w:val="0"/>
        <w:spacing w:before="95" w:beforeLines="30" w:line="56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13.92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ageBreakBefore w:val="0"/>
        <w:kinsoku/>
        <w:wordWrap/>
        <w:overflowPunct/>
        <w:topLinePunct w:val="0"/>
        <w:bidi w:val="0"/>
        <w:spacing w:before="95" w:beforeLines="30" w:line="560" w:lineRule="exact"/>
        <w:ind w:firstLine="64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2"/>
        <w:rPr>
          <w:rFonts w:hint="eastAsia" w:eastAsia="仿宋"/>
          <w:lang w:eastAsia="zh-CN"/>
        </w:rPr>
      </w:pPr>
      <w:r>
        <w:rPr>
          <w:rFonts w:hint="eastAsia" w:ascii="仿宋" w:hAnsi="仿宋" w:eastAsia="仿宋"/>
          <w:color w:val="000000"/>
          <w:sz w:val="32"/>
          <w:szCs w:val="32"/>
        </w:rPr>
        <w:drawing>
          <wp:inline distT="0" distB="0" distL="114300" distR="114300">
            <wp:extent cx="5080000" cy="3810000"/>
            <wp:effectExtent l="4445" t="4445" r="8255" b="82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rPr>
          <w:rFonts w:hint="eastAsia" w:eastAsia="仿宋"/>
          <w:lang w:eastAsia="zh-CN"/>
        </w:rPr>
      </w:pPr>
    </w:p>
    <w:p>
      <w:pPr>
        <w:pageBreakBefore w:val="0"/>
        <w:kinsoku/>
        <w:wordWrap/>
        <w:overflowPunct/>
        <w:topLinePunct w:val="0"/>
        <w:bidi w:val="0"/>
        <w:spacing w:before="95" w:beforeLines="30" w:line="56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pageBreakBefore w:val="0"/>
        <w:kinsoku/>
        <w:wordWrap/>
        <w:overflowPunct/>
        <w:topLinePunct w:val="0"/>
        <w:bidi w:val="0"/>
        <w:spacing w:before="95" w:beforeLines="30" w:line="56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pageBreakBefore w:val="0"/>
        <w:kinsoku/>
        <w:wordWrap/>
        <w:overflowPunct/>
        <w:topLinePunct w:val="0"/>
        <w:bidi w:val="0"/>
        <w:spacing w:before="95" w:beforeLines="30" w:line="560"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13.92</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0.01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val="en-US" w:eastAsia="zh-CN"/>
        </w:rPr>
        <w:t>是</w:t>
      </w:r>
      <w:r>
        <w:rPr>
          <w:rFonts w:hint="eastAsia" w:ascii="仿宋_GB2312" w:eastAsia="仿宋_GB2312"/>
          <w:color w:val="000000"/>
          <w:sz w:val="32"/>
          <w:szCs w:val="32"/>
          <w:lang w:eastAsia="zh-CN"/>
        </w:rPr>
        <w:t>严格执行中央八项规格，厉行节约</w:t>
      </w:r>
      <w:r>
        <w:rPr>
          <w:rFonts w:hint="eastAsia" w:ascii="仿宋_GB2312" w:eastAsia="仿宋_GB2312"/>
          <w:color w:val="auto"/>
          <w:sz w:val="32"/>
          <w:szCs w:val="32"/>
          <w:highlight w:val="none"/>
        </w:rPr>
        <w:t>。其中：</w:t>
      </w:r>
    </w:p>
    <w:p>
      <w:pPr>
        <w:pageBreakBefore w:val="0"/>
        <w:kinsoku/>
        <w:wordWrap/>
        <w:overflowPunct/>
        <w:topLinePunct w:val="0"/>
        <w:bidi w:val="0"/>
        <w:spacing w:before="95" w:beforeLines="30" w:line="560"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13.92</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290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2310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13.92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乡村振兴</w:t>
      </w:r>
      <w:r>
        <w:rPr>
          <w:rFonts w:hint="eastAsia" w:ascii="仿宋_GB2312" w:eastAsia="仿宋_GB2312"/>
          <w:color w:val="000000"/>
          <w:sz w:val="32"/>
          <w:szCs w:val="32"/>
          <w:lang w:val="en-US" w:eastAsia="zh-CN"/>
        </w:rPr>
        <w:t>、禁毒、综治、财务等重点工作接待</w:t>
      </w:r>
      <w:r>
        <w:rPr>
          <w:rFonts w:hint="eastAsia" w:ascii="仿宋_GB2312" w:eastAsia="仿宋_GB2312"/>
          <w:color w:val="auto"/>
          <w:sz w:val="32"/>
          <w:szCs w:val="32"/>
          <w:highlight w:val="none"/>
        </w:rPr>
        <w:t>。</w:t>
      </w:r>
    </w:p>
    <w:p>
      <w:pPr>
        <w:pageBreakBefore w:val="0"/>
        <w:kinsoku/>
        <w:wordWrap/>
        <w:overflowPunct/>
        <w:topLinePunct w:val="0"/>
        <w:bidi w:val="0"/>
        <w:spacing w:before="95" w:beforeLines="30" w:line="560" w:lineRule="exact"/>
        <w:ind w:firstLine="640"/>
        <w:textAlignment w:val="auto"/>
        <w:outlineLvl w:val="1"/>
        <w:rPr>
          <w:rStyle w:val="32"/>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40"/>
      <w:bookmarkEnd w:id="41"/>
    </w:p>
    <w:p>
      <w:pPr>
        <w:pageBreakBefore w:val="0"/>
        <w:kinsoku/>
        <w:wordWrap/>
        <w:overflowPunct/>
        <w:topLinePunct w:val="0"/>
        <w:bidi w:val="0"/>
        <w:spacing w:before="95" w:beforeLines="30" w:line="56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33.4</w:t>
      </w:r>
      <w:r>
        <w:rPr>
          <w:rFonts w:hint="eastAsia" w:ascii="仿宋_GB2312" w:eastAsia="仿宋_GB2312"/>
          <w:color w:val="auto"/>
          <w:sz w:val="32"/>
          <w:szCs w:val="32"/>
          <w:highlight w:val="none"/>
        </w:rPr>
        <w:t>万元。</w:t>
      </w:r>
    </w:p>
    <w:p>
      <w:pPr>
        <w:pageBreakBefore w:val="0"/>
        <w:numPr>
          <w:ilvl w:val="0"/>
          <w:numId w:val="3"/>
        </w:numPr>
        <w:kinsoku/>
        <w:wordWrap/>
        <w:overflowPunct/>
        <w:topLinePunct w:val="0"/>
        <w:bidi w:val="0"/>
        <w:spacing w:before="95" w:beforeLines="30" w:line="560" w:lineRule="exact"/>
        <w:ind w:firstLine="640"/>
        <w:textAlignment w:val="auto"/>
        <w:outlineLvl w:val="1"/>
        <w:rPr>
          <w:rStyle w:val="32"/>
          <w:rFonts w:ascii="黑体" w:hAnsi="黑体" w:eastAsia="黑体"/>
          <w:b w:val="0"/>
          <w:color w:val="auto"/>
          <w:highlight w:val="none"/>
        </w:rPr>
      </w:pPr>
      <w:bookmarkStart w:id="42" w:name="_Toc15377219"/>
      <w:bookmarkStart w:id="43" w:name="_Toc15396611"/>
      <w:r>
        <w:rPr>
          <w:rStyle w:val="32"/>
          <w:rFonts w:hint="eastAsia" w:ascii="黑体" w:hAnsi="黑体" w:eastAsia="黑体"/>
          <w:b w:val="0"/>
          <w:color w:val="auto"/>
          <w:highlight w:val="none"/>
        </w:rPr>
        <w:t>国有资本经营预算支出决算情况说明</w:t>
      </w:r>
      <w:bookmarkEnd w:id="42"/>
      <w:bookmarkEnd w:id="43"/>
    </w:p>
    <w:p>
      <w:pPr>
        <w:pageBreakBefore w:val="0"/>
        <w:kinsoku/>
        <w:wordWrap/>
        <w:overflowPunct/>
        <w:topLinePunct w:val="0"/>
        <w:bidi w:val="0"/>
        <w:spacing w:before="95" w:beforeLines="30" w:line="56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3"/>
        </w:numPr>
        <w:kinsoku/>
        <w:wordWrap/>
        <w:overflowPunct/>
        <w:topLinePunct w:val="0"/>
        <w:bidi w:val="0"/>
        <w:spacing w:before="95" w:beforeLines="30" w:line="560" w:lineRule="exact"/>
        <w:ind w:firstLine="640"/>
        <w:textAlignment w:val="auto"/>
        <w:outlineLvl w:val="1"/>
        <w:rPr>
          <w:rStyle w:val="32"/>
          <w:rFonts w:hint="eastAsia" w:ascii="黑体" w:hAnsi="黑体" w:eastAsia="黑体"/>
          <w:b w:val="0"/>
          <w:color w:val="auto"/>
          <w:highlight w:val="none"/>
        </w:rPr>
      </w:pPr>
      <w:bookmarkStart w:id="44" w:name="_Toc15377221"/>
      <w:bookmarkStart w:id="45" w:name="_Toc15396612"/>
      <w:r>
        <w:rPr>
          <w:rStyle w:val="32"/>
          <w:rFonts w:hint="eastAsia" w:ascii="黑体" w:hAnsi="黑体" w:eastAsia="黑体"/>
          <w:b w:val="0"/>
          <w:color w:val="auto"/>
          <w:highlight w:val="none"/>
        </w:rPr>
        <w:t>其他重要事项的情况说明</w:t>
      </w:r>
      <w:bookmarkEnd w:id="44"/>
      <w:bookmarkEnd w:id="45"/>
    </w:p>
    <w:p>
      <w:pPr>
        <w:pageBreakBefore w:val="0"/>
        <w:kinsoku/>
        <w:wordWrap/>
        <w:overflowPunct/>
        <w:topLinePunct w:val="0"/>
        <w:bidi w:val="0"/>
        <w:spacing w:before="95" w:beforeLines="30" w:line="560" w:lineRule="exact"/>
        <w:ind w:firstLine="643" w:firstLineChars="200"/>
        <w:textAlignment w:val="auto"/>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pageBreakBefore w:val="0"/>
        <w:kinsoku/>
        <w:wordWrap/>
        <w:overflowPunct/>
        <w:topLinePunct w:val="0"/>
        <w:bidi w:val="0"/>
        <w:spacing w:before="95" w:beforeLines="30" w:line="560" w:lineRule="exact"/>
        <w:ind w:firstLine="640" w:firstLineChars="20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三家镇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161.52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616.06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79.23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厉行节约，办公费减少；维修维护费减少</w:t>
      </w:r>
      <w:r>
        <w:rPr>
          <w:rFonts w:hint="eastAsia" w:ascii="仿宋_GB2312" w:eastAsia="仿宋_GB2312"/>
          <w:color w:val="auto"/>
          <w:sz w:val="32"/>
          <w:szCs w:val="32"/>
          <w:highlight w:val="none"/>
          <w:lang w:eastAsia="zh-CN"/>
        </w:rPr>
        <w:t>。</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三家镇</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pageBreakBefore w:val="0"/>
        <w:kinsoku/>
        <w:wordWrap/>
        <w:overflowPunct/>
        <w:topLinePunct w:val="0"/>
        <w:autoSpaceDE w:val="0"/>
        <w:autoSpaceDN w:val="0"/>
        <w:bidi w:val="0"/>
        <w:adjustRightInd w:val="0"/>
        <w:spacing w:before="95" w:beforeLines="30"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三家镇</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pageBreakBefore w:val="0"/>
        <w:kinsoku/>
        <w:wordWrap/>
        <w:overflowPunct/>
        <w:topLinePunct w:val="0"/>
        <w:bidi w:val="0"/>
        <w:spacing w:before="95" w:beforeLines="3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sz w:val="32"/>
          <w:szCs w:val="32"/>
          <w:lang w:val="en-US" w:eastAsia="zh-CN"/>
        </w:rPr>
        <w:t>乡镇人大代表监督、视察；乡镇人大代表；政协委员视察；维稳信访调解；安全生产监管；防灾应急救助；伙食补助；乡镇便民服务大厅维护及农村“三资”集体管理；乡镇武装部工作；乡镇监察工作；乡风文明建设；创新社区管理；驻村工作队工作经费；重点乡镇综合执法大队协管员工资；环境卫生整治；基础设施和场镇街道维护等</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项目开展了预算事前绩效评估，对</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个项目编制了绩效目标，预算执行过程中，</w:t>
      </w:r>
      <w:r>
        <w:rPr>
          <w:rFonts w:hint="eastAsia" w:ascii="仿宋_GB2312" w:hAnsi="仿宋_GB2312" w:eastAsia="仿宋_GB2312" w:cs="仿宋_GB2312"/>
          <w:color w:val="auto"/>
          <w:sz w:val="32"/>
          <w:szCs w:val="32"/>
          <w:highlight w:val="none"/>
          <w:lang w:val="en-US" w:eastAsia="zh-CN"/>
        </w:rPr>
        <w:t>对16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三家镇</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pageBreakBefore w:val="0"/>
        <w:widowControl/>
        <w:kinsoku/>
        <w:wordWrap/>
        <w:overflowPunct/>
        <w:topLinePunct w:val="0"/>
        <w:bidi w:val="0"/>
        <w:spacing w:before="95" w:beforeLines="30" w:line="560" w:lineRule="exact"/>
        <w:ind w:firstLine="643" w:firstLineChars="200"/>
        <w:jc w:val="left"/>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ageBreakBefore w:val="0"/>
        <w:numPr>
          <w:ilvl w:val="0"/>
          <w:numId w:val="4"/>
        </w:numPr>
        <w:kinsoku/>
        <w:wordWrap/>
        <w:overflowPunct/>
        <w:topLinePunct w:val="0"/>
        <w:bidi w:val="0"/>
        <w:spacing w:before="95" w:beforeLines="30" w:line="560" w:lineRule="exact"/>
        <w:ind w:firstLine="660" w:firstLineChars="150"/>
        <w:jc w:val="center"/>
        <w:textAlignment w:val="auto"/>
        <w:outlineLvl w:val="0"/>
        <w:rPr>
          <w:rStyle w:val="31"/>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49"/>
      <w:bookmarkEnd w:id="50"/>
    </w:p>
    <w:p>
      <w:pPr>
        <w:pageBreakBefore w:val="0"/>
        <w:kinsoku/>
        <w:wordWrap/>
        <w:overflowPunct/>
        <w:topLinePunct w:val="0"/>
        <w:bidi w:val="0"/>
        <w:spacing w:before="95" w:beforeLines="30" w:line="560" w:lineRule="exact"/>
        <w:jc w:val="left"/>
        <w:textAlignment w:val="auto"/>
        <w:rPr>
          <w:rFonts w:ascii="宋体"/>
          <w:b/>
          <w:color w:val="auto"/>
          <w:sz w:val="44"/>
          <w:szCs w:val="44"/>
          <w:highlight w:val="none"/>
        </w:rPr>
      </w:pP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16"/>
        <w:keepNext w:val="0"/>
        <w:keepLines w:val="0"/>
        <w:pageBreakBefore w:val="0"/>
        <w:widowControl w:val="0"/>
        <w:suppressLineNumbers w:val="0"/>
        <w:kinsoku/>
        <w:wordWrap/>
        <w:overflowPunct/>
        <w:topLinePunct w:val="0"/>
        <w:autoSpaceDE w:val="0"/>
        <w:autoSpaceDN w:val="0"/>
        <w:bidi w:val="0"/>
        <w:adjustRightInd w:val="0"/>
        <w:spacing w:before="95" w:beforeLines="30" w:beforeAutospacing="0" w:after="0" w:afterAutospacing="0" w:line="560" w:lineRule="exact"/>
        <w:ind w:left="0" w:right="0" w:firstLine="640" w:firstLineChars="200"/>
        <w:jc w:val="left"/>
        <w:textAlignment w:val="auto"/>
        <w:rPr>
          <w:rFonts w:hint="default" w:ascii="仿宋_GB2312" w:hAnsi="Times New Roman" w:eastAsia="仿宋_GB2312" w:cs="仿宋"/>
          <w:color w:val="000000"/>
          <w:sz w:val="32"/>
          <w:szCs w:val="32"/>
        </w:rPr>
      </w:pPr>
      <w:r>
        <w:rPr>
          <w:rFonts w:hint="default" w:ascii="仿宋_GB2312" w:hAnsi="Times New Roman" w:eastAsia="仿宋_GB2312" w:cs="仿宋"/>
          <w:color w:val="000000"/>
          <w:kern w:val="0"/>
          <w:sz w:val="32"/>
          <w:szCs w:val="32"/>
          <w:lang w:val="en-US" w:eastAsia="zh-CN" w:bidi="ar"/>
        </w:rPr>
        <w:t>9. 一般公共服务支出（类）人大事务（款）代表工作（项），</w:t>
      </w:r>
      <w:r>
        <w:rPr>
          <w:rFonts w:hint="eastAsia" w:ascii="仿宋_GB2312" w:eastAsia="仿宋_GB2312" w:cs="仿宋"/>
          <w:color w:val="000000"/>
          <w:kern w:val="0"/>
          <w:sz w:val="32"/>
          <w:szCs w:val="32"/>
          <w:lang w:val="en-US" w:eastAsia="zh-CN" w:bidi="ar"/>
        </w:rPr>
        <w:t>是指：人大代表开展各类视察等方面的支出</w:t>
      </w:r>
      <w:r>
        <w:rPr>
          <w:rFonts w:hint="default" w:ascii="仿宋_GB2312" w:hAnsi="Times New Roman" w:eastAsia="仿宋_GB2312" w:cs="仿宋"/>
          <w:color w:val="000000"/>
          <w:kern w:val="0"/>
          <w:sz w:val="32"/>
          <w:szCs w:val="32"/>
          <w:lang w:val="en-US" w:eastAsia="zh-CN" w:bidi="ar"/>
        </w:rPr>
        <w:t>。</w:t>
      </w:r>
    </w:p>
    <w:p>
      <w:pPr>
        <w:pStyle w:val="16"/>
        <w:keepNext w:val="0"/>
        <w:keepLines w:val="0"/>
        <w:pageBreakBefore w:val="0"/>
        <w:widowControl w:val="0"/>
        <w:suppressLineNumbers w:val="0"/>
        <w:kinsoku/>
        <w:wordWrap/>
        <w:overflowPunct/>
        <w:topLinePunct w:val="0"/>
        <w:autoSpaceDE w:val="0"/>
        <w:autoSpaceDN w:val="0"/>
        <w:bidi w:val="0"/>
        <w:adjustRightInd w:val="0"/>
        <w:spacing w:before="95" w:beforeLines="30" w:beforeAutospacing="0" w:after="0" w:afterAutospacing="0" w:line="560" w:lineRule="exact"/>
        <w:ind w:left="0" w:right="0" w:firstLine="640" w:firstLineChars="200"/>
        <w:jc w:val="left"/>
        <w:textAlignment w:val="auto"/>
        <w:rPr>
          <w:rFonts w:hint="default" w:ascii="仿宋_GB2312" w:hAnsi="Times New Roman" w:eastAsia="仿宋_GB2312" w:cs="仿宋"/>
          <w:color w:val="000000"/>
          <w:kern w:val="0"/>
          <w:sz w:val="32"/>
          <w:szCs w:val="32"/>
          <w:lang w:val="en-US" w:eastAsia="zh-CN" w:bidi="ar"/>
        </w:rPr>
      </w:pPr>
      <w:r>
        <w:rPr>
          <w:rFonts w:hint="default" w:ascii="仿宋_GB2312" w:hAnsi="Times New Roman" w:eastAsia="仿宋_GB2312" w:cs="仿宋"/>
          <w:color w:val="000000"/>
          <w:kern w:val="0"/>
          <w:sz w:val="32"/>
          <w:szCs w:val="32"/>
          <w:lang w:val="en-US" w:eastAsia="zh-CN" w:bidi="ar"/>
        </w:rPr>
        <w:t>10.一般公共服务支出（类）人大事务（款）其他人大事务支出（项），</w:t>
      </w:r>
      <w:r>
        <w:rPr>
          <w:rFonts w:hint="eastAsia" w:ascii="仿宋_GB2312" w:eastAsia="仿宋_GB2312" w:cs="仿宋"/>
          <w:color w:val="000000"/>
          <w:kern w:val="0"/>
          <w:sz w:val="32"/>
          <w:szCs w:val="32"/>
          <w:lang w:val="en-US" w:eastAsia="zh-CN" w:bidi="ar"/>
        </w:rPr>
        <w:t>是指</w:t>
      </w:r>
      <w:r>
        <w:rPr>
          <w:rFonts w:hint="default" w:ascii="仿宋_GB2312" w:hAnsi="Times New Roman" w:eastAsia="仿宋_GB2312" w:cs="仿宋"/>
          <w:color w:val="000000"/>
          <w:kern w:val="0"/>
          <w:sz w:val="32"/>
          <w:szCs w:val="32"/>
          <w:lang w:val="en-US" w:eastAsia="zh-CN" w:bidi="ar"/>
        </w:rPr>
        <w:t>：</w:t>
      </w:r>
      <w:r>
        <w:rPr>
          <w:rFonts w:hint="eastAsia" w:ascii="仿宋_GB2312" w:eastAsia="仿宋_GB2312" w:cs="仿宋"/>
          <w:color w:val="000000"/>
          <w:kern w:val="0"/>
          <w:sz w:val="32"/>
          <w:szCs w:val="32"/>
          <w:lang w:val="en-US" w:eastAsia="zh-CN" w:bidi="ar"/>
        </w:rPr>
        <w:t>除上述项目以外的其他人大事务支出</w:t>
      </w:r>
      <w:r>
        <w:rPr>
          <w:rFonts w:hint="default" w:ascii="仿宋_GB2312" w:hAnsi="Times New Roman" w:eastAsia="仿宋_GB2312" w:cs="仿宋"/>
          <w:color w:val="000000"/>
          <w:kern w:val="0"/>
          <w:sz w:val="32"/>
          <w:szCs w:val="32"/>
          <w:lang w:val="en-US" w:eastAsia="zh-CN" w:bidi="ar"/>
        </w:rPr>
        <w:t>。</w:t>
      </w:r>
    </w:p>
    <w:p>
      <w:pPr>
        <w:pStyle w:val="16"/>
        <w:keepNext w:val="0"/>
        <w:keepLines w:val="0"/>
        <w:pageBreakBefore w:val="0"/>
        <w:widowControl w:val="0"/>
        <w:suppressLineNumbers w:val="0"/>
        <w:kinsoku/>
        <w:wordWrap/>
        <w:overflowPunct/>
        <w:topLinePunct w:val="0"/>
        <w:autoSpaceDE w:val="0"/>
        <w:autoSpaceDN w:val="0"/>
        <w:bidi w:val="0"/>
        <w:adjustRightInd w:val="0"/>
        <w:spacing w:before="95" w:beforeLines="30" w:beforeAutospacing="0" w:after="0" w:afterAutospacing="0" w:line="560" w:lineRule="exact"/>
        <w:ind w:left="0" w:right="0" w:firstLine="640" w:firstLineChars="200"/>
        <w:jc w:val="left"/>
        <w:textAlignment w:val="auto"/>
        <w:rPr>
          <w:rFonts w:hint="default" w:ascii="仿宋_GB2312" w:hAnsi="Times New Roman" w:eastAsia="仿宋_GB2312" w:cs="仿宋"/>
          <w:color w:val="000000"/>
          <w:kern w:val="0"/>
          <w:sz w:val="32"/>
          <w:szCs w:val="32"/>
          <w:lang w:val="en-US" w:eastAsia="zh-CN" w:bidi="ar"/>
        </w:rPr>
      </w:pPr>
      <w:r>
        <w:rPr>
          <w:rFonts w:hint="eastAsia" w:ascii="仿宋_GB2312" w:eastAsia="仿宋_GB2312" w:cs="仿宋"/>
          <w:color w:val="000000"/>
          <w:kern w:val="0"/>
          <w:sz w:val="32"/>
          <w:szCs w:val="32"/>
          <w:lang w:val="en-US" w:eastAsia="zh-CN" w:bidi="ar"/>
        </w:rPr>
        <w:t>11</w:t>
      </w:r>
      <w:r>
        <w:rPr>
          <w:rFonts w:hint="default" w:ascii="仿宋_GB2312" w:hAnsi="Times New Roman" w:eastAsia="仿宋_GB2312" w:cs="仿宋"/>
          <w:color w:val="000000"/>
          <w:kern w:val="0"/>
          <w:sz w:val="32"/>
          <w:szCs w:val="32"/>
          <w:lang w:val="en-US" w:eastAsia="zh-CN" w:bidi="ar"/>
        </w:rPr>
        <w:t>.一般公共服务支出（类）人大事务（款）其他</w:t>
      </w:r>
      <w:r>
        <w:rPr>
          <w:rFonts w:hint="eastAsia" w:ascii="仿宋_GB2312" w:eastAsia="仿宋_GB2312" w:cs="仿宋"/>
          <w:color w:val="000000"/>
          <w:kern w:val="0"/>
          <w:sz w:val="32"/>
          <w:szCs w:val="32"/>
          <w:lang w:val="en-US" w:eastAsia="zh-CN" w:bidi="ar"/>
        </w:rPr>
        <w:t>政协</w:t>
      </w:r>
      <w:r>
        <w:rPr>
          <w:rFonts w:hint="default" w:ascii="仿宋_GB2312" w:hAnsi="Times New Roman" w:eastAsia="仿宋_GB2312" w:cs="仿宋"/>
          <w:color w:val="000000"/>
          <w:kern w:val="0"/>
          <w:sz w:val="32"/>
          <w:szCs w:val="32"/>
          <w:lang w:val="en-US" w:eastAsia="zh-CN" w:bidi="ar"/>
        </w:rPr>
        <w:t>事务支出（项），</w:t>
      </w:r>
      <w:r>
        <w:rPr>
          <w:rFonts w:hint="eastAsia" w:ascii="仿宋_GB2312" w:eastAsia="仿宋_GB2312" w:cs="仿宋"/>
          <w:color w:val="000000"/>
          <w:kern w:val="0"/>
          <w:sz w:val="32"/>
          <w:szCs w:val="32"/>
          <w:lang w:val="en-US" w:eastAsia="zh-CN" w:bidi="ar"/>
        </w:rPr>
        <w:t>是指</w:t>
      </w:r>
      <w:r>
        <w:rPr>
          <w:rFonts w:hint="default" w:ascii="仿宋_GB2312" w:hAnsi="Times New Roman" w:eastAsia="仿宋_GB2312" w:cs="仿宋"/>
          <w:color w:val="000000"/>
          <w:kern w:val="0"/>
          <w:sz w:val="32"/>
          <w:szCs w:val="32"/>
          <w:lang w:val="en-US" w:eastAsia="zh-CN" w:bidi="ar"/>
        </w:rPr>
        <w:t>：</w:t>
      </w:r>
      <w:r>
        <w:rPr>
          <w:rFonts w:hint="eastAsia" w:ascii="仿宋_GB2312" w:eastAsia="仿宋_GB2312" w:cs="仿宋"/>
          <w:color w:val="000000"/>
          <w:kern w:val="0"/>
          <w:sz w:val="32"/>
          <w:szCs w:val="32"/>
          <w:lang w:val="en-US" w:eastAsia="zh-CN" w:bidi="ar"/>
        </w:rPr>
        <w:t>除政协委员开展各类视察支出等以外的支出</w:t>
      </w:r>
      <w:r>
        <w:rPr>
          <w:rFonts w:hint="default" w:ascii="仿宋_GB2312" w:hAnsi="Times New Roman" w:eastAsia="仿宋_GB2312" w:cs="仿宋"/>
          <w:color w:val="000000"/>
          <w:kern w:val="0"/>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Times New Roman"/>
          <w:kern w:val="2"/>
          <w:sz w:val="32"/>
          <w:szCs w:val="32"/>
        </w:rPr>
      </w:pPr>
      <w:r>
        <w:rPr>
          <w:rFonts w:hint="default" w:ascii="仿宋_GB2312" w:hAnsi="Calibri" w:eastAsia="仿宋_GB2312" w:cs="Times New Roman"/>
          <w:kern w:val="2"/>
          <w:sz w:val="32"/>
          <w:szCs w:val="32"/>
          <w:lang w:val="en-US" w:eastAsia="zh-CN" w:bidi="ar"/>
        </w:rPr>
        <w:t>1</w:t>
      </w:r>
      <w:r>
        <w:rPr>
          <w:rFonts w:hint="eastAsia" w:ascii="仿宋_GB2312" w:hAnsi="Calibri" w:eastAsia="仿宋_GB2312" w:cs="Times New Roman"/>
          <w:kern w:val="2"/>
          <w:sz w:val="32"/>
          <w:szCs w:val="32"/>
          <w:lang w:val="en-US" w:eastAsia="zh-CN" w:bidi="ar"/>
        </w:rPr>
        <w:t>2</w:t>
      </w:r>
      <w:r>
        <w:rPr>
          <w:rFonts w:hint="default" w:ascii="仿宋_GB2312" w:hAnsi="Calibri" w:eastAsia="仿宋_GB2312" w:cs="Times New Roman"/>
          <w:kern w:val="2"/>
          <w:sz w:val="32"/>
          <w:szCs w:val="32"/>
          <w:lang w:val="en-US" w:eastAsia="zh-CN" w:bidi="ar"/>
        </w:rPr>
        <w:t>. 一般公共服务支出（类）政府办公厅（室）及相关机构事务（款）行政运行（项），</w:t>
      </w:r>
      <w:r>
        <w:rPr>
          <w:rFonts w:hint="eastAsia" w:ascii="仿宋_GB2312" w:hAnsi="Calibri" w:eastAsia="仿宋_GB2312" w:cs="Times New Roman"/>
          <w:kern w:val="2"/>
          <w:sz w:val="32"/>
          <w:szCs w:val="32"/>
          <w:lang w:val="en-US" w:eastAsia="zh-CN" w:bidi="ar"/>
        </w:rPr>
        <w:t>是指</w:t>
      </w:r>
      <w:r>
        <w:rPr>
          <w:rFonts w:hint="default" w:ascii="仿宋_GB2312" w:hAnsi="Calibri" w:eastAsia="仿宋_GB2312" w:cs="Times New Roman"/>
          <w:kern w:val="2"/>
          <w:sz w:val="32"/>
          <w:szCs w:val="32"/>
          <w:lang w:val="en-US" w:eastAsia="zh-CN" w:bidi="ar"/>
        </w:rPr>
        <w:t>：</w:t>
      </w:r>
      <w:r>
        <w:rPr>
          <w:rFonts w:hint="eastAsia" w:ascii="仿宋_GB2312" w:hAnsi="Calibri" w:eastAsia="仿宋_GB2312" w:cs="Times New Roman"/>
          <w:kern w:val="2"/>
          <w:sz w:val="32"/>
          <w:szCs w:val="32"/>
          <w:lang w:val="en-US" w:eastAsia="zh-CN" w:bidi="ar"/>
        </w:rPr>
        <w:t>行政单位（包括实行公务员管理的事业单位）的基本支出</w:t>
      </w:r>
      <w:r>
        <w:rPr>
          <w:rFonts w:hint="default" w:ascii="仿宋_GB2312" w:hAnsi="Calibri"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Times New Roman"/>
          <w:kern w:val="2"/>
          <w:sz w:val="32"/>
          <w:szCs w:val="32"/>
        </w:rPr>
      </w:pPr>
      <w:r>
        <w:rPr>
          <w:rFonts w:hint="default" w:ascii="仿宋_GB2312" w:hAnsi="Calibri" w:eastAsia="仿宋_GB2312" w:cs="Times New Roman"/>
          <w:kern w:val="2"/>
          <w:sz w:val="32"/>
          <w:szCs w:val="32"/>
          <w:lang w:val="en-US" w:eastAsia="zh-CN" w:bidi="ar"/>
        </w:rPr>
        <w:t>1</w:t>
      </w:r>
      <w:r>
        <w:rPr>
          <w:rFonts w:hint="eastAsia" w:ascii="仿宋_GB2312" w:hAnsi="Calibri" w:eastAsia="仿宋_GB2312" w:cs="Times New Roman"/>
          <w:kern w:val="2"/>
          <w:sz w:val="32"/>
          <w:szCs w:val="32"/>
          <w:lang w:val="en-US" w:eastAsia="zh-CN" w:bidi="ar"/>
        </w:rPr>
        <w:t>3</w:t>
      </w:r>
      <w:r>
        <w:rPr>
          <w:rFonts w:hint="default" w:ascii="仿宋_GB2312" w:hAnsi="Calibri" w:eastAsia="仿宋_GB2312" w:cs="Times New Roman"/>
          <w:kern w:val="2"/>
          <w:sz w:val="32"/>
          <w:szCs w:val="32"/>
          <w:lang w:val="en-US" w:eastAsia="zh-CN" w:bidi="ar"/>
        </w:rPr>
        <w:t>. 一般公共服务支出（类）政府办公厅（室）及相关机构事务（款）信访事务（项），</w:t>
      </w:r>
      <w:r>
        <w:rPr>
          <w:rFonts w:hint="eastAsia" w:ascii="仿宋_GB2312" w:hAnsi="Calibri" w:eastAsia="仿宋_GB2312" w:cs="Times New Roman"/>
          <w:kern w:val="2"/>
          <w:sz w:val="32"/>
          <w:szCs w:val="32"/>
          <w:lang w:val="en-US" w:eastAsia="zh-CN" w:bidi="ar"/>
        </w:rPr>
        <w:t>是指</w:t>
      </w:r>
      <w:r>
        <w:rPr>
          <w:rFonts w:hint="default" w:ascii="仿宋_GB2312" w:hAnsi="Calibri" w:eastAsia="仿宋_GB2312" w:cs="Times New Roman"/>
          <w:kern w:val="2"/>
          <w:sz w:val="32"/>
          <w:szCs w:val="32"/>
          <w:lang w:val="en-US" w:eastAsia="zh-CN" w:bidi="ar"/>
        </w:rPr>
        <w:t>：接待群众来信来访方面的</w:t>
      </w:r>
      <w:r>
        <w:rPr>
          <w:rFonts w:hint="eastAsia" w:ascii="仿宋_GB2312" w:hAnsi="Calibri" w:eastAsia="仿宋_GB2312" w:cs="Times New Roman"/>
          <w:kern w:val="2"/>
          <w:sz w:val="32"/>
          <w:szCs w:val="32"/>
          <w:lang w:val="en-US" w:eastAsia="zh-CN" w:bidi="ar"/>
        </w:rPr>
        <w:t>支出</w:t>
      </w:r>
      <w:r>
        <w:rPr>
          <w:rFonts w:hint="default" w:ascii="仿宋_GB2312" w:hAnsi="Calibri"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Times New Roman"/>
          <w:kern w:val="2"/>
          <w:sz w:val="32"/>
          <w:szCs w:val="32"/>
          <w:lang w:val="en-US" w:eastAsia="zh-CN" w:bidi="ar"/>
        </w:rPr>
      </w:pPr>
      <w:r>
        <w:rPr>
          <w:rFonts w:hint="default" w:ascii="仿宋_GB2312" w:hAnsi="Calibri" w:eastAsia="仿宋_GB2312" w:cs="Times New Roman"/>
          <w:kern w:val="2"/>
          <w:sz w:val="32"/>
          <w:szCs w:val="32"/>
          <w:lang w:val="en-US" w:eastAsia="zh-CN" w:bidi="ar"/>
        </w:rPr>
        <w:t>1</w:t>
      </w:r>
      <w:r>
        <w:rPr>
          <w:rFonts w:hint="eastAsia" w:ascii="仿宋_GB2312" w:hAnsi="Calibri" w:eastAsia="仿宋_GB2312" w:cs="Times New Roman"/>
          <w:kern w:val="2"/>
          <w:sz w:val="32"/>
          <w:szCs w:val="32"/>
          <w:lang w:val="en-US" w:eastAsia="zh-CN" w:bidi="ar"/>
        </w:rPr>
        <w:t>4</w:t>
      </w:r>
      <w:r>
        <w:rPr>
          <w:rFonts w:hint="default" w:ascii="仿宋_GB2312" w:hAnsi="Calibri" w:eastAsia="仿宋_GB2312" w:cs="Times New Roman"/>
          <w:kern w:val="2"/>
          <w:sz w:val="32"/>
          <w:szCs w:val="32"/>
          <w:lang w:val="en-US" w:eastAsia="zh-CN" w:bidi="ar"/>
        </w:rPr>
        <w:t>. 一般公共服务支出（类）政府办公厅（室）及相关机构事务（款）其他政府办公厅（室）及相关机构事务支出（项），</w:t>
      </w:r>
      <w:r>
        <w:rPr>
          <w:rFonts w:hint="eastAsia" w:ascii="仿宋_GB2312" w:hAnsi="Calibri" w:eastAsia="仿宋_GB2312" w:cs="Times New Roman"/>
          <w:kern w:val="2"/>
          <w:sz w:val="32"/>
          <w:szCs w:val="32"/>
          <w:lang w:val="en-US" w:eastAsia="zh-CN" w:bidi="ar"/>
        </w:rPr>
        <w:t>是指</w:t>
      </w:r>
      <w:r>
        <w:rPr>
          <w:rFonts w:hint="default" w:ascii="仿宋_GB2312" w:hAnsi="Calibri" w:eastAsia="仿宋_GB2312" w:cs="Times New Roman"/>
          <w:kern w:val="2"/>
          <w:sz w:val="32"/>
          <w:szCs w:val="32"/>
          <w:lang w:val="en-US" w:eastAsia="zh-CN" w:bidi="ar"/>
        </w:rPr>
        <w:t>：</w:t>
      </w:r>
      <w:r>
        <w:rPr>
          <w:rFonts w:hint="eastAsia" w:ascii="仿宋_GB2312" w:hAnsi="Calibri" w:eastAsia="仿宋_GB2312" w:cs="Times New Roman"/>
          <w:kern w:val="2"/>
          <w:sz w:val="32"/>
          <w:szCs w:val="32"/>
          <w:lang w:val="en-US" w:eastAsia="zh-CN" w:bidi="ar"/>
        </w:rPr>
        <w:t>除上述项目以外的</w:t>
      </w:r>
      <w:r>
        <w:rPr>
          <w:rFonts w:hint="default" w:ascii="仿宋_GB2312" w:hAnsi="Calibri" w:eastAsia="仿宋_GB2312" w:cs="Times New Roman"/>
          <w:kern w:val="2"/>
          <w:sz w:val="32"/>
          <w:szCs w:val="32"/>
          <w:lang w:val="en-US" w:eastAsia="zh-CN" w:bidi="ar"/>
        </w:rPr>
        <w:t>其他政府办公厅（室）及相关机构事务支出。</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Times New Roman"/>
          <w:kern w:val="2"/>
          <w:sz w:val="32"/>
          <w:szCs w:val="32"/>
          <w:lang w:val="en-US" w:eastAsia="zh-CN" w:bidi="ar"/>
        </w:rPr>
      </w:pPr>
      <w:r>
        <w:rPr>
          <w:rFonts w:hint="default" w:ascii="仿宋_GB2312" w:hAnsi="Calibri" w:eastAsia="仿宋_GB2312" w:cs="Times New Roman"/>
          <w:kern w:val="2"/>
          <w:sz w:val="32"/>
          <w:szCs w:val="32"/>
          <w:lang w:val="en-US" w:eastAsia="zh-CN" w:bidi="ar"/>
        </w:rPr>
        <w:t>1</w:t>
      </w:r>
      <w:r>
        <w:rPr>
          <w:rFonts w:hint="eastAsia" w:ascii="仿宋_GB2312" w:hAnsi="Calibri" w:eastAsia="仿宋_GB2312" w:cs="Times New Roman"/>
          <w:kern w:val="2"/>
          <w:sz w:val="32"/>
          <w:szCs w:val="32"/>
          <w:lang w:val="en-US" w:eastAsia="zh-CN" w:bidi="ar"/>
        </w:rPr>
        <w:t>5</w:t>
      </w:r>
      <w:r>
        <w:rPr>
          <w:rFonts w:hint="default" w:ascii="仿宋_GB2312" w:hAnsi="Calibri" w:eastAsia="仿宋_GB2312" w:cs="Times New Roman"/>
          <w:kern w:val="2"/>
          <w:sz w:val="32"/>
          <w:szCs w:val="32"/>
          <w:lang w:val="en-US" w:eastAsia="zh-CN" w:bidi="ar"/>
        </w:rPr>
        <w:t>.  一般公共服务（类）统计信息事务（款）专项普查活动（项），</w:t>
      </w:r>
      <w:r>
        <w:rPr>
          <w:rFonts w:hint="eastAsia" w:ascii="仿宋_GB2312" w:hAnsi="Calibri" w:eastAsia="仿宋_GB2312" w:cs="Times New Roman"/>
          <w:kern w:val="2"/>
          <w:sz w:val="32"/>
          <w:szCs w:val="32"/>
          <w:lang w:val="en-US" w:eastAsia="zh-CN" w:bidi="ar"/>
        </w:rPr>
        <w:t>是指</w:t>
      </w:r>
      <w:r>
        <w:rPr>
          <w:rFonts w:hint="default" w:ascii="仿宋_GB2312" w:hAnsi="Calibri" w:eastAsia="仿宋_GB2312" w:cs="Times New Roman"/>
          <w:kern w:val="2"/>
          <w:sz w:val="32"/>
          <w:szCs w:val="32"/>
          <w:lang w:val="en-US" w:eastAsia="zh-CN" w:bidi="ar"/>
        </w:rPr>
        <w:t>：</w:t>
      </w:r>
      <w:r>
        <w:rPr>
          <w:rFonts w:hint="eastAsia" w:ascii="仿宋_GB2312" w:hAnsi="Calibri" w:eastAsia="仿宋_GB2312" w:cs="Times New Roman"/>
          <w:kern w:val="2"/>
          <w:sz w:val="32"/>
          <w:szCs w:val="32"/>
          <w:lang w:val="en-US" w:eastAsia="zh-CN" w:bidi="ar"/>
        </w:rPr>
        <w:t>统计部门开展人口普查、经济普查、农业普查</w:t>
      </w:r>
      <w:r>
        <w:rPr>
          <w:rFonts w:hint="default" w:ascii="仿宋_GB2312" w:hAnsi="Calibri" w:eastAsia="仿宋_GB2312" w:cs="Times New Roman"/>
          <w:kern w:val="2"/>
          <w:sz w:val="32"/>
          <w:szCs w:val="32"/>
          <w:lang w:val="en-US" w:eastAsia="zh-CN" w:bidi="ar"/>
        </w:rPr>
        <w:t>等</w:t>
      </w:r>
      <w:r>
        <w:rPr>
          <w:rFonts w:hint="eastAsia" w:ascii="仿宋_GB2312" w:hAnsi="Calibri" w:eastAsia="仿宋_GB2312" w:cs="Times New Roman"/>
          <w:kern w:val="2"/>
          <w:sz w:val="32"/>
          <w:szCs w:val="32"/>
          <w:lang w:val="en-US" w:eastAsia="zh-CN" w:bidi="ar"/>
        </w:rPr>
        <w:t>周期性普查工作的支出</w:t>
      </w:r>
      <w:r>
        <w:rPr>
          <w:rFonts w:hint="default" w:ascii="仿宋_GB2312" w:hAnsi="Calibri" w:eastAsia="仿宋_GB2312" w:cs="Times New Roman"/>
          <w:kern w:val="2"/>
          <w:sz w:val="32"/>
          <w:szCs w:val="32"/>
          <w:lang w:val="en-US" w:eastAsia="zh-CN" w:bidi="ar"/>
        </w:rPr>
        <w:t>。</w:t>
      </w:r>
    </w:p>
    <w:p>
      <w:pPr>
        <w:pStyle w:val="16"/>
        <w:keepNext w:val="0"/>
        <w:keepLines w:val="0"/>
        <w:pageBreakBefore w:val="0"/>
        <w:widowControl w:val="0"/>
        <w:suppressLineNumbers w:val="0"/>
        <w:kinsoku/>
        <w:wordWrap/>
        <w:overflowPunct/>
        <w:topLinePunct w:val="0"/>
        <w:autoSpaceDE w:val="0"/>
        <w:autoSpaceDN w:val="0"/>
        <w:bidi w:val="0"/>
        <w:adjustRightInd w:val="0"/>
        <w:spacing w:before="95" w:beforeLines="30" w:beforeAutospacing="0" w:after="0" w:afterAutospacing="0" w:line="560" w:lineRule="exact"/>
        <w:ind w:left="0" w:right="0" w:firstLine="640" w:firstLineChars="200"/>
        <w:jc w:val="left"/>
        <w:textAlignment w:val="auto"/>
        <w:rPr>
          <w:rFonts w:hint="default" w:ascii="仿宋_GB2312" w:hAnsi="Times New Roman" w:eastAsia="仿宋_GB2312" w:cs="仿宋"/>
          <w:color w:val="000000"/>
          <w:sz w:val="32"/>
          <w:szCs w:val="32"/>
        </w:rPr>
      </w:pPr>
      <w:r>
        <w:rPr>
          <w:rFonts w:hint="eastAsia" w:ascii="仿宋_GB2312" w:eastAsia="仿宋_GB2312" w:cs="仿宋"/>
          <w:color w:val="000000"/>
          <w:kern w:val="0"/>
          <w:sz w:val="32"/>
          <w:szCs w:val="32"/>
          <w:lang w:val="en-US" w:eastAsia="zh-CN" w:bidi="ar"/>
        </w:rPr>
        <w:t>16</w:t>
      </w:r>
      <w:r>
        <w:rPr>
          <w:rFonts w:hint="default" w:ascii="仿宋_GB2312" w:hAnsi="Times New Roman" w:eastAsia="仿宋_GB2312" w:cs="仿宋"/>
          <w:color w:val="000000"/>
          <w:kern w:val="0"/>
          <w:sz w:val="32"/>
          <w:szCs w:val="32"/>
          <w:lang w:val="en-US" w:eastAsia="zh-CN" w:bidi="ar"/>
        </w:rPr>
        <w:t>. 一般公共服务支出（类）财政事务（款）行政运行（项），</w:t>
      </w:r>
      <w:r>
        <w:rPr>
          <w:rFonts w:hint="eastAsia" w:ascii="仿宋_GB2312" w:hAnsi="Calibri" w:eastAsia="仿宋_GB2312" w:cs="Times New Roman"/>
          <w:kern w:val="2"/>
          <w:sz w:val="32"/>
          <w:szCs w:val="32"/>
          <w:lang w:val="en-US" w:eastAsia="zh-CN" w:bidi="ar"/>
        </w:rPr>
        <w:t>是指</w:t>
      </w:r>
      <w:r>
        <w:rPr>
          <w:rFonts w:hint="default" w:ascii="仿宋_GB2312" w:hAnsi="Calibri" w:eastAsia="仿宋_GB2312" w:cs="Times New Roman"/>
          <w:kern w:val="2"/>
          <w:sz w:val="32"/>
          <w:szCs w:val="32"/>
          <w:lang w:val="en-US" w:eastAsia="zh-CN" w:bidi="ar"/>
        </w:rPr>
        <w:t>：</w:t>
      </w:r>
      <w:r>
        <w:rPr>
          <w:rFonts w:hint="eastAsia" w:ascii="仿宋_GB2312" w:hAnsi="Calibri" w:eastAsia="仿宋_GB2312" w:cs="Times New Roman"/>
          <w:kern w:val="2"/>
          <w:sz w:val="32"/>
          <w:szCs w:val="32"/>
          <w:lang w:val="en-US" w:eastAsia="zh-CN" w:bidi="ar"/>
        </w:rPr>
        <w:t>行政单位（包括实行公务员管理的事业单位）的基本支出</w:t>
      </w:r>
      <w:r>
        <w:rPr>
          <w:rFonts w:hint="default" w:ascii="仿宋_GB2312" w:hAnsi="Calibri"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Times New Roman"/>
          <w:kern w:val="2"/>
          <w:sz w:val="32"/>
          <w:szCs w:val="32"/>
          <w:lang w:val="en-US" w:eastAsia="zh-CN" w:bidi="ar"/>
        </w:rPr>
      </w:pPr>
      <w:r>
        <w:rPr>
          <w:rFonts w:hint="default" w:ascii="仿宋_GB2312" w:hAnsi="Calibri" w:eastAsia="仿宋_GB2312" w:cs="Times New Roman"/>
          <w:kern w:val="2"/>
          <w:sz w:val="32"/>
          <w:szCs w:val="32"/>
          <w:lang w:val="en-US" w:eastAsia="zh-CN" w:bidi="ar"/>
        </w:rPr>
        <w:t>1</w:t>
      </w:r>
      <w:r>
        <w:rPr>
          <w:rFonts w:hint="eastAsia" w:ascii="仿宋_GB2312" w:hAnsi="Calibri" w:eastAsia="仿宋_GB2312" w:cs="Times New Roman"/>
          <w:kern w:val="2"/>
          <w:sz w:val="32"/>
          <w:szCs w:val="32"/>
          <w:lang w:val="en-US" w:eastAsia="zh-CN" w:bidi="ar"/>
        </w:rPr>
        <w:t>7</w:t>
      </w:r>
      <w:r>
        <w:rPr>
          <w:rFonts w:hint="default" w:ascii="仿宋_GB2312" w:hAnsi="Calibri" w:eastAsia="仿宋_GB2312" w:cs="Times New Roman"/>
          <w:kern w:val="2"/>
          <w:sz w:val="32"/>
          <w:szCs w:val="32"/>
          <w:lang w:val="en-US" w:eastAsia="zh-CN" w:bidi="ar"/>
        </w:rPr>
        <w:t>. 一般公共服务支出（类）财政事务（款）其他财政事务支出（项），</w:t>
      </w:r>
      <w:r>
        <w:rPr>
          <w:rFonts w:hint="eastAsia" w:ascii="仿宋_GB2312" w:hAnsi="Calibri" w:eastAsia="仿宋_GB2312" w:cs="Times New Roman"/>
          <w:kern w:val="2"/>
          <w:sz w:val="32"/>
          <w:szCs w:val="32"/>
          <w:lang w:val="en-US" w:eastAsia="zh-CN" w:bidi="ar"/>
        </w:rPr>
        <w:t>是指</w:t>
      </w:r>
      <w:r>
        <w:rPr>
          <w:rFonts w:hint="default" w:ascii="仿宋_GB2312" w:hAnsi="Calibri" w:eastAsia="仿宋_GB2312" w:cs="Times New Roman"/>
          <w:kern w:val="2"/>
          <w:sz w:val="32"/>
          <w:szCs w:val="32"/>
          <w:lang w:val="en-US" w:eastAsia="zh-CN" w:bidi="ar"/>
        </w:rPr>
        <w:t>：</w:t>
      </w:r>
      <w:r>
        <w:rPr>
          <w:rFonts w:hint="eastAsia" w:ascii="仿宋_GB2312" w:hAnsi="Calibri" w:eastAsia="仿宋_GB2312" w:cs="Times New Roman"/>
          <w:kern w:val="2"/>
          <w:sz w:val="32"/>
          <w:szCs w:val="32"/>
          <w:lang w:val="en-US" w:eastAsia="zh-CN" w:bidi="ar"/>
        </w:rPr>
        <w:t>除上述项目以外的</w:t>
      </w:r>
      <w:r>
        <w:rPr>
          <w:rFonts w:hint="default" w:ascii="仿宋_GB2312" w:hAnsi="Calibri" w:eastAsia="仿宋_GB2312" w:cs="Times New Roman"/>
          <w:kern w:val="2"/>
          <w:sz w:val="32"/>
          <w:szCs w:val="32"/>
          <w:lang w:val="en-US" w:eastAsia="zh-CN" w:bidi="ar"/>
        </w:rPr>
        <w:t>其他财政事务支出。</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Times New Roman"/>
          <w:kern w:val="2"/>
          <w:sz w:val="32"/>
          <w:szCs w:val="32"/>
          <w:lang w:val="en-US" w:eastAsia="zh-CN" w:bidi="ar"/>
        </w:rPr>
      </w:pPr>
      <w:r>
        <w:rPr>
          <w:rFonts w:hint="default" w:ascii="仿宋_GB2312" w:hAnsi="Calibri" w:eastAsia="仿宋_GB2312" w:cs="Times New Roman"/>
          <w:kern w:val="2"/>
          <w:sz w:val="32"/>
          <w:szCs w:val="32"/>
          <w:lang w:val="en-US" w:eastAsia="zh-CN" w:bidi="ar"/>
        </w:rPr>
        <w:t>1</w:t>
      </w:r>
      <w:r>
        <w:rPr>
          <w:rFonts w:hint="eastAsia" w:ascii="仿宋_GB2312" w:hAnsi="Calibri" w:eastAsia="仿宋_GB2312" w:cs="Times New Roman"/>
          <w:kern w:val="2"/>
          <w:sz w:val="32"/>
          <w:szCs w:val="32"/>
          <w:lang w:val="en-US" w:eastAsia="zh-CN" w:bidi="ar"/>
        </w:rPr>
        <w:t>8</w:t>
      </w:r>
      <w:r>
        <w:rPr>
          <w:rFonts w:hint="default" w:ascii="仿宋_GB2312" w:hAnsi="Calibri" w:eastAsia="仿宋_GB2312" w:cs="Times New Roman"/>
          <w:kern w:val="2"/>
          <w:sz w:val="32"/>
          <w:szCs w:val="32"/>
          <w:lang w:val="en-US" w:eastAsia="zh-CN" w:bidi="ar"/>
        </w:rPr>
        <w:t>. 一般公共服务（类）群众团体事务（款） 其他群众团体事务支出（项），</w:t>
      </w:r>
      <w:r>
        <w:rPr>
          <w:rFonts w:hint="eastAsia" w:ascii="仿宋_GB2312" w:hAnsi="Calibri" w:eastAsia="仿宋_GB2312" w:cs="Times New Roman"/>
          <w:kern w:val="2"/>
          <w:sz w:val="32"/>
          <w:szCs w:val="32"/>
          <w:lang w:val="en-US" w:eastAsia="zh-CN" w:bidi="ar"/>
        </w:rPr>
        <w:t>是指：其他用于群众团体事务方面的支出</w:t>
      </w:r>
      <w:r>
        <w:rPr>
          <w:rFonts w:hint="default" w:ascii="仿宋_GB2312" w:hAnsi="Calibri"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w:t>
      </w:r>
      <w:r>
        <w:rPr>
          <w:rFonts w:hint="eastAsia" w:ascii="仿宋_GB2312" w:hAnsi="Calibri" w:eastAsia="仿宋_GB2312" w:cs="仿宋_GB2312"/>
          <w:kern w:val="2"/>
          <w:sz w:val="32"/>
          <w:szCs w:val="32"/>
          <w:lang w:val="en-US" w:eastAsia="zh-CN" w:bidi="ar"/>
        </w:rPr>
        <w:t>9</w:t>
      </w:r>
      <w:r>
        <w:rPr>
          <w:rFonts w:hint="default" w:ascii="仿宋_GB2312" w:hAnsi="Calibri" w:eastAsia="仿宋_GB2312" w:cs="仿宋_GB2312"/>
          <w:kern w:val="2"/>
          <w:sz w:val="32"/>
          <w:szCs w:val="32"/>
          <w:lang w:val="en-US" w:eastAsia="zh-CN" w:bidi="ar"/>
        </w:rPr>
        <w:t>.文化体育与传媒支出（类）文化（款）群众文化（项），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群众文化方面的支出，包括基层文化馆（站）、群众艺术馆支出等</w:t>
      </w:r>
      <w:r>
        <w:rPr>
          <w:rStyle w:val="38"/>
          <w:rFonts w:hint="default" w:ascii="仿宋_GB2312" w:eastAsia="仿宋_GB2312" w:cs="仿宋_GB2312"/>
          <w:b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20</w:t>
      </w:r>
      <w:r>
        <w:rPr>
          <w:rFonts w:hint="default" w:ascii="仿宋_GB2312" w:hAnsi="Calibri" w:eastAsia="仿宋_GB2312" w:cs="仿宋_GB2312"/>
          <w:kern w:val="2"/>
          <w:sz w:val="32"/>
          <w:szCs w:val="32"/>
          <w:lang w:val="en-US" w:eastAsia="zh-CN" w:bidi="ar"/>
        </w:rPr>
        <w:t>.文化体育与传媒支出（类）文化（款）其他文化支出（项），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 xml:space="preserve">除上述项目以外其他用于文化方面的支出。  </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Style w:val="38"/>
          <w:rFonts w:hint="default" w:ascii="仿宋_GB2312" w:eastAsia="仿宋_GB2312" w:cs="仿宋_GB2312"/>
          <w:b w:val="0"/>
          <w:color w:val="000000"/>
          <w:kern w:val="2"/>
          <w:sz w:val="32"/>
          <w:szCs w:val="32"/>
          <w:lang w:val="en-US" w:eastAsia="zh-CN" w:bidi="ar"/>
        </w:rPr>
      </w:pPr>
      <w:r>
        <w:rPr>
          <w:rFonts w:hint="eastAsia" w:ascii="仿宋_GB2312" w:hAnsi="Calibri" w:eastAsia="仿宋_GB2312" w:cs="仿宋_GB2312"/>
          <w:kern w:val="2"/>
          <w:sz w:val="32"/>
          <w:szCs w:val="32"/>
          <w:lang w:val="en-US" w:eastAsia="zh-CN" w:bidi="ar"/>
        </w:rPr>
        <w:t>21</w:t>
      </w:r>
      <w:r>
        <w:rPr>
          <w:rFonts w:hint="default" w:ascii="仿宋_GB2312" w:hAnsi="Calibri" w:eastAsia="仿宋_GB2312" w:cs="仿宋_GB2312"/>
          <w:kern w:val="2"/>
          <w:sz w:val="32"/>
          <w:szCs w:val="32"/>
          <w:lang w:val="en-US" w:eastAsia="zh-CN" w:bidi="ar"/>
        </w:rPr>
        <w:t>. 社会保障和就业支出（类）人力资源和社会保障管理事务（款）社会保险经办机构（项），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社会保险经办机构开展业务工作的支出</w:t>
      </w:r>
      <w:r>
        <w:rPr>
          <w:rStyle w:val="38"/>
          <w:rFonts w:hint="default" w:ascii="仿宋_GB2312" w:eastAsia="仿宋_GB2312" w:cs="仿宋_GB2312"/>
          <w:b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Style w:val="38"/>
          <w:rFonts w:hint="default" w:ascii="仿宋_GB2312" w:eastAsia="仿宋_GB2312" w:cs="仿宋_GB2312"/>
          <w:b w:val="0"/>
          <w:color w:val="000000"/>
          <w:kern w:val="2"/>
          <w:sz w:val="32"/>
          <w:szCs w:val="32"/>
          <w:lang w:val="en-US" w:eastAsia="zh-CN" w:bidi="ar"/>
        </w:rPr>
      </w:pPr>
      <w:r>
        <w:rPr>
          <w:rFonts w:hint="eastAsia" w:ascii="仿宋_GB2312" w:hAnsi="Calibri" w:eastAsia="仿宋_GB2312" w:cs="仿宋_GB2312"/>
          <w:kern w:val="2"/>
          <w:sz w:val="32"/>
          <w:szCs w:val="32"/>
          <w:lang w:val="en-US" w:eastAsia="zh-CN" w:bidi="ar"/>
        </w:rPr>
        <w:t>22</w:t>
      </w:r>
      <w:r>
        <w:rPr>
          <w:rFonts w:hint="default" w:ascii="仿宋_GB2312" w:hAnsi="Calibri" w:eastAsia="仿宋_GB2312" w:cs="仿宋_GB2312"/>
          <w:kern w:val="2"/>
          <w:sz w:val="32"/>
          <w:szCs w:val="32"/>
          <w:lang w:val="en-US" w:eastAsia="zh-CN" w:bidi="ar"/>
        </w:rPr>
        <w:t>.社会保障和就业支出（类）民政管理事务（款）基层政权和社区建设（项），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开展村民自治、村务公开等基层政权和社区建设工作的支出</w:t>
      </w:r>
      <w:r>
        <w:rPr>
          <w:rStyle w:val="38"/>
          <w:rFonts w:hint="default" w:ascii="仿宋_GB2312" w:eastAsia="仿宋_GB2312" w:cs="仿宋_GB2312"/>
          <w:b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b w:val="0"/>
          <w:color w:val="000000"/>
        </w:rPr>
      </w:pPr>
      <w:r>
        <w:rPr>
          <w:rFonts w:hint="eastAsia" w:ascii="仿宋_GB2312" w:hAnsi="Calibri" w:eastAsia="仿宋_GB2312" w:cs="仿宋_GB2312"/>
          <w:kern w:val="2"/>
          <w:sz w:val="32"/>
          <w:szCs w:val="32"/>
          <w:lang w:val="en-US" w:eastAsia="zh-CN" w:bidi="ar"/>
        </w:rPr>
        <w:t>23</w:t>
      </w:r>
      <w:r>
        <w:rPr>
          <w:rFonts w:hint="default" w:ascii="仿宋_GB2312" w:hAnsi="Calibri" w:eastAsia="仿宋_GB2312" w:cs="仿宋_GB2312"/>
          <w:kern w:val="2"/>
          <w:sz w:val="32"/>
          <w:szCs w:val="32"/>
          <w:lang w:val="en-US" w:eastAsia="zh-CN" w:bidi="ar"/>
        </w:rPr>
        <w:t>.社会保障和就业支出（类）民政管理事务（款）其他民政管理事务支出（项），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民政部门接待来访、法治建设、政策宣传方面的支出，以及开展优抚安置、救灾减灾、社会救助等支出</w:t>
      </w:r>
      <w:r>
        <w:rPr>
          <w:rStyle w:val="38"/>
          <w:rFonts w:hint="default" w:ascii="仿宋_GB2312" w:eastAsia="仿宋_GB2312" w:cs="仿宋_GB2312"/>
          <w:b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w:t>
      </w:r>
      <w:r>
        <w:rPr>
          <w:rFonts w:hint="eastAsia" w:ascii="仿宋_GB2312" w:hAnsi="Calibri" w:eastAsia="仿宋_GB2312" w:cs="仿宋_GB2312"/>
          <w:kern w:val="2"/>
          <w:sz w:val="32"/>
          <w:szCs w:val="32"/>
          <w:lang w:val="en-US" w:eastAsia="zh-CN" w:bidi="ar"/>
        </w:rPr>
        <w:t>4</w:t>
      </w:r>
      <w:r>
        <w:rPr>
          <w:rFonts w:hint="default" w:ascii="仿宋_GB2312" w:hAnsi="Calibri" w:eastAsia="仿宋_GB2312" w:cs="仿宋_GB2312"/>
          <w:kern w:val="2"/>
          <w:sz w:val="32"/>
          <w:szCs w:val="32"/>
          <w:lang w:val="en-US" w:eastAsia="zh-CN" w:bidi="ar"/>
        </w:rPr>
        <w:t>.社会保障和就业支出（类）行政事业单位离退休（款）机关事业单位基本养老保险缴费（项），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：机关事业单位</w:t>
      </w:r>
      <w:r>
        <w:rPr>
          <w:rFonts w:hint="eastAsia" w:ascii="仿宋_GB2312" w:hAnsi="Calibri" w:eastAsia="仿宋_GB2312" w:cs="仿宋_GB2312"/>
          <w:kern w:val="2"/>
          <w:sz w:val="32"/>
          <w:szCs w:val="32"/>
          <w:lang w:val="en-US" w:eastAsia="zh-CN" w:bidi="ar"/>
        </w:rPr>
        <w:t>实施养老保险制度由单位缴纳的</w:t>
      </w:r>
      <w:r>
        <w:rPr>
          <w:rFonts w:hint="default" w:ascii="仿宋_GB2312" w:hAnsi="Calibri" w:eastAsia="仿宋_GB2312" w:cs="仿宋_GB2312"/>
          <w:kern w:val="2"/>
          <w:sz w:val="32"/>
          <w:szCs w:val="32"/>
          <w:lang w:val="en-US" w:eastAsia="zh-CN" w:bidi="ar"/>
        </w:rPr>
        <w:t>基本养老保险缴费</w:t>
      </w:r>
      <w:r>
        <w:rPr>
          <w:rFonts w:hint="eastAsia" w:ascii="仿宋_GB2312" w:hAnsi="Calibri" w:eastAsia="仿宋_GB2312" w:cs="仿宋_GB2312"/>
          <w:kern w:val="2"/>
          <w:sz w:val="32"/>
          <w:szCs w:val="32"/>
          <w:lang w:val="en-US" w:eastAsia="zh-CN" w:bidi="ar"/>
        </w:rPr>
        <w:t>支出</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eastAsia" w:ascii="仿宋" w:hAnsi="仿宋" w:eastAsia="仿宋" w:cs="仿宋"/>
          <w:b w:val="0"/>
          <w:color w:val="000000"/>
          <w:sz w:val="32"/>
          <w:szCs w:val="32"/>
        </w:rPr>
      </w:pPr>
      <w:r>
        <w:rPr>
          <w:rFonts w:hint="default" w:ascii="仿宋_GB2312" w:hAnsi="Calibri" w:eastAsia="仿宋_GB2312" w:cs="仿宋_GB2312"/>
          <w:kern w:val="2"/>
          <w:sz w:val="32"/>
          <w:szCs w:val="32"/>
          <w:lang w:val="en-US" w:eastAsia="zh-CN" w:bidi="ar"/>
        </w:rPr>
        <w:t>2</w:t>
      </w:r>
      <w:r>
        <w:rPr>
          <w:rFonts w:hint="eastAsia" w:ascii="仿宋_GB2312" w:hAnsi="Calibri" w:eastAsia="仿宋_GB2312" w:cs="仿宋_GB2312"/>
          <w:kern w:val="2"/>
          <w:sz w:val="32"/>
          <w:szCs w:val="32"/>
          <w:lang w:val="en-US" w:eastAsia="zh-CN" w:bidi="ar"/>
        </w:rPr>
        <w:t>5</w:t>
      </w:r>
      <w:r>
        <w:rPr>
          <w:rFonts w:hint="default" w:ascii="仿宋_GB2312" w:hAnsi="Calibri" w:eastAsia="仿宋_GB2312" w:cs="仿宋_GB2312"/>
          <w:kern w:val="2"/>
          <w:sz w:val="32"/>
          <w:szCs w:val="32"/>
          <w:lang w:val="en-US" w:eastAsia="zh-CN" w:bidi="ar"/>
        </w:rPr>
        <w:t>.社会保障和就业支出（类）抚恤（款）死亡抚恤（项），</w:t>
      </w:r>
      <w:r>
        <w:rPr>
          <w:rStyle w:val="38"/>
          <w:rFonts w:hint="eastAsia" w:ascii="仿宋" w:hAnsi="仿宋" w:eastAsia="仿宋" w:cs="仿宋"/>
          <w:b w:val="0"/>
          <w:color w:val="000000"/>
          <w:kern w:val="2"/>
          <w:sz w:val="32"/>
          <w:szCs w:val="32"/>
          <w:lang w:val="en-US" w:eastAsia="zh-CN" w:bidi="ar"/>
        </w:rPr>
        <w:t>是指：按规定用于烈士和牺牲、病故人员家属的一次性和定期抚恤金以及丧葬补助费。</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w:t>
      </w:r>
      <w:r>
        <w:rPr>
          <w:rFonts w:hint="eastAsia" w:ascii="仿宋_GB2312" w:hAnsi="Calibri" w:eastAsia="仿宋_GB2312" w:cs="仿宋_GB2312"/>
          <w:kern w:val="2"/>
          <w:sz w:val="32"/>
          <w:szCs w:val="32"/>
          <w:lang w:val="en-US" w:eastAsia="zh-CN" w:bidi="ar"/>
        </w:rPr>
        <w:t>6</w:t>
      </w:r>
      <w:r>
        <w:rPr>
          <w:rFonts w:hint="default" w:ascii="仿宋_GB2312" w:hAnsi="Calibri" w:eastAsia="仿宋_GB2312" w:cs="仿宋_GB2312"/>
          <w:kern w:val="2"/>
          <w:sz w:val="32"/>
          <w:szCs w:val="32"/>
          <w:lang w:val="en-US" w:eastAsia="zh-CN" w:bidi="ar"/>
        </w:rPr>
        <w:t>.社会保障和就业支出（类）抚恤（款）其他优抚支出（项），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除上述项目以外其他用于优抚方面的支出</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仿宋_GB2312"/>
          <w:kern w:val="2"/>
          <w:sz w:val="32"/>
          <w:szCs w:val="32"/>
          <w:lang w:val="en-US" w:eastAsia="zh-CN" w:bidi="ar"/>
        </w:rPr>
      </w:pPr>
      <w:r>
        <w:rPr>
          <w:rFonts w:hint="default" w:ascii="仿宋_GB2312" w:hAnsi="Calibri" w:eastAsia="仿宋_GB2312" w:cs="仿宋_GB2312"/>
          <w:kern w:val="2"/>
          <w:sz w:val="32"/>
          <w:szCs w:val="32"/>
          <w:lang w:val="en-US" w:eastAsia="zh-CN" w:bidi="ar"/>
        </w:rPr>
        <w:t>2</w:t>
      </w:r>
      <w:r>
        <w:rPr>
          <w:rFonts w:hint="eastAsia" w:ascii="仿宋_GB2312" w:hAnsi="Calibri" w:eastAsia="仿宋_GB2312" w:cs="仿宋_GB2312"/>
          <w:kern w:val="2"/>
          <w:sz w:val="32"/>
          <w:szCs w:val="32"/>
          <w:lang w:val="en-US" w:eastAsia="zh-CN" w:bidi="ar"/>
        </w:rPr>
        <w:t>7</w:t>
      </w:r>
      <w:r>
        <w:rPr>
          <w:rFonts w:hint="default" w:ascii="仿宋_GB2312" w:hAnsi="Calibri" w:eastAsia="仿宋_GB2312" w:cs="仿宋_GB2312"/>
          <w:kern w:val="2"/>
          <w:sz w:val="32"/>
          <w:szCs w:val="32"/>
          <w:lang w:val="en-US" w:eastAsia="zh-CN" w:bidi="ar"/>
        </w:rPr>
        <w:t>.社会保障和就业支出（类）特困人员救助供养（款）农村特困人员救助供养（项），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农村特困人员救助供养支出</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仿宋_GB2312"/>
          <w:kern w:val="2"/>
          <w:sz w:val="32"/>
          <w:szCs w:val="32"/>
          <w:lang w:val="en-US" w:eastAsia="zh-CN" w:bidi="ar"/>
        </w:rPr>
      </w:pPr>
      <w:r>
        <w:rPr>
          <w:rFonts w:hint="default" w:ascii="仿宋_GB2312" w:hAnsi="Calibri" w:eastAsia="仿宋_GB2312" w:cs="仿宋_GB2312"/>
          <w:kern w:val="2"/>
          <w:sz w:val="32"/>
          <w:szCs w:val="32"/>
          <w:lang w:val="en-US" w:eastAsia="zh-CN" w:bidi="ar"/>
        </w:rPr>
        <w:t>2</w:t>
      </w:r>
      <w:r>
        <w:rPr>
          <w:rFonts w:hint="eastAsia" w:ascii="仿宋_GB2312" w:hAnsi="Calibri" w:eastAsia="仿宋_GB2312" w:cs="仿宋_GB2312"/>
          <w:kern w:val="2"/>
          <w:sz w:val="32"/>
          <w:szCs w:val="32"/>
          <w:lang w:val="en-US" w:eastAsia="zh-CN" w:bidi="ar"/>
        </w:rPr>
        <w:t>8.</w:t>
      </w:r>
      <w:r>
        <w:rPr>
          <w:rFonts w:hint="default" w:ascii="仿宋_GB2312" w:hAnsi="Calibri" w:eastAsia="仿宋_GB2312" w:cs="仿宋_GB2312"/>
          <w:kern w:val="2"/>
          <w:sz w:val="32"/>
          <w:szCs w:val="32"/>
          <w:lang w:val="en-US" w:eastAsia="zh-CN" w:bidi="ar"/>
        </w:rPr>
        <w:t xml:space="preserve"> 社会保障和就业支出（类）其他社会保障和就业支出（款）其他社会保障和就业支出（项），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其他用于社会保障和就业方面的支出</w:t>
      </w:r>
      <w:r>
        <w:rPr>
          <w:rFonts w:hint="default" w:ascii="仿宋_GB2312" w:hAnsi="Calibri" w:eastAsia="仿宋_GB2312" w:cs="仿宋_GB2312"/>
          <w:kern w:val="2"/>
          <w:sz w:val="32"/>
          <w:szCs w:val="32"/>
          <w:lang w:val="en-US" w:eastAsia="zh-CN" w:bidi="ar"/>
        </w:rPr>
        <w:t>。</w:t>
      </w:r>
    </w:p>
    <w:p>
      <w:pPr>
        <w:pStyle w:val="16"/>
        <w:keepNext w:val="0"/>
        <w:keepLines w:val="0"/>
        <w:pageBreakBefore w:val="0"/>
        <w:widowControl w:val="0"/>
        <w:suppressLineNumbers w:val="0"/>
        <w:kinsoku/>
        <w:wordWrap/>
        <w:overflowPunct/>
        <w:topLinePunct w:val="0"/>
        <w:autoSpaceDE w:val="0"/>
        <w:autoSpaceDN w:val="0"/>
        <w:bidi w:val="0"/>
        <w:adjustRightInd w:val="0"/>
        <w:spacing w:before="95" w:beforeLines="30" w:beforeAutospacing="0" w:after="0" w:afterAutospacing="0" w:line="560" w:lineRule="exact"/>
        <w:ind w:left="0" w:right="0" w:firstLine="640" w:firstLineChars="200"/>
        <w:jc w:val="left"/>
        <w:textAlignment w:val="auto"/>
        <w:rPr>
          <w:rFonts w:hint="default"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29</w:t>
      </w:r>
      <w:r>
        <w:rPr>
          <w:rFonts w:hint="default" w:ascii="仿宋_GB2312" w:hAnsi="Calibri" w:eastAsia="仿宋_GB2312" w:cs="仿宋_GB2312"/>
          <w:kern w:val="2"/>
          <w:sz w:val="32"/>
          <w:szCs w:val="32"/>
          <w:lang w:val="en-US" w:eastAsia="zh-CN" w:bidi="ar"/>
        </w:rPr>
        <w:t>.医疗卫生与计划生育支出（类）医疗卫生与计划生育管理事务（款）行政运行（项），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Times New Roman"/>
          <w:kern w:val="2"/>
          <w:sz w:val="32"/>
          <w:szCs w:val="32"/>
          <w:lang w:val="en-US" w:eastAsia="zh-CN" w:bidi="ar"/>
        </w:rPr>
        <w:t>行政单位（包括实行公务员管理的事业单位）的基本支出</w:t>
      </w:r>
      <w:r>
        <w:rPr>
          <w:rFonts w:hint="default" w:ascii="仿宋_GB2312" w:hAnsi="Calibri"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30</w:t>
      </w:r>
      <w:r>
        <w:rPr>
          <w:rFonts w:hint="default" w:ascii="仿宋_GB2312" w:hAnsi="Calibri" w:eastAsia="仿宋_GB2312" w:cs="仿宋_GB2312"/>
          <w:kern w:val="2"/>
          <w:sz w:val="32"/>
          <w:szCs w:val="32"/>
          <w:lang w:val="en-US" w:eastAsia="zh-CN" w:bidi="ar"/>
        </w:rPr>
        <w:t>.医疗卫生与计划生育支出（类）行政事业单位医疗（款）行政单位医疗保险（项），</w:t>
      </w:r>
      <w:r>
        <w:rPr>
          <w:rFonts w:hint="eastAsia" w:ascii="仿宋_GB2312" w:hAnsi="Calibri" w:eastAsia="仿宋_GB2312" w:cs="仿宋_GB2312"/>
          <w:kern w:val="2"/>
          <w:sz w:val="32"/>
          <w:szCs w:val="32"/>
          <w:lang w:val="en-US" w:eastAsia="zh-CN" w:bidi="ar"/>
        </w:rPr>
        <w:t>是指：财政部门集中安排的行政单位基本医疗保险缴费经费</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31</w:t>
      </w:r>
      <w:r>
        <w:rPr>
          <w:rFonts w:hint="default" w:ascii="仿宋_GB2312" w:hAnsi="Calibri" w:eastAsia="仿宋_GB2312" w:cs="仿宋_GB2312"/>
          <w:kern w:val="2"/>
          <w:sz w:val="32"/>
          <w:szCs w:val="32"/>
          <w:lang w:val="en-US" w:eastAsia="zh-CN" w:bidi="ar"/>
        </w:rPr>
        <w:t>.医疗卫生与计划生育支出（类）行政事业单位医疗（款）事业单位医疗保险（项），</w:t>
      </w:r>
      <w:r>
        <w:rPr>
          <w:rFonts w:hint="eastAsia" w:ascii="仿宋_GB2312" w:hAnsi="Calibri" w:eastAsia="仿宋_GB2312" w:cs="仿宋_GB2312"/>
          <w:kern w:val="2"/>
          <w:sz w:val="32"/>
          <w:szCs w:val="32"/>
          <w:lang w:val="en-US" w:eastAsia="zh-CN" w:bidi="ar"/>
        </w:rPr>
        <w:t>是指：财政部门集中安排的事业单位基本医疗保险缴费经费</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32</w:t>
      </w:r>
      <w:r>
        <w:rPr>
          <w:rFonts w:hint="default" w:ascii="仿宋_GB2312" w:hAnsi="Calibri" w:eastAsia="仿宋_GB2312" w:cs="仿宋_GB2312"/>
          <w:kern w:val="2"/>
          <w:sz w:val="32"/>
          <w:szCs w:val="32"/>
          <w:lang w:val="en-US" w:eastAsia="zh-CN" w:bidi="ar"/>
        </w:rPr>
        <w:t>.医疗卫生与计划生育支出（类）行政事业单位医疗（款）其他行政事业单位医疗支出（项），</w:t>
      </w:r>
      <w:r>
        <w:rPr>
          <w:rFonts w:hint="eastAsia" w:ascii="仿宋_GB2312" w:hAnsi="Calibri" w:eastAsia="仿宋_GB2312" w:cs="仿宋_GB2312"/>
          <w:kern w:val="2"/>
          <w:sz w:val="32"/>
          <w:szCs w:val="32"/>
          <w:lang w:val="en-US" w:eastAsia="zh-CN" w:bidi="ar"/>
        </w:rPr>
        <w:t>是指：除上述项目以外的其他用于行政事业单位医疗方面的支出。</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b w:val="0"/>
          <w:color w:val="000000"/>
        </w:rPr>
      </w:pPr>
      <w:r>
        <w:rPr>
          <w:rFonts w:hint="eastAsia" w:ascii="仿宋_GB2312" w:hAnsi="Calibri" w:eastAsia="仿宋_GB2312" w:cs="仿宋_GB2312"/>
          <w:kern w:val="2"/>
          <w:sz w:val="32"/>
          <w:szCs w:val="32"/>
          <w:lang w:val="en-US" w:eastAsia="zh-CN" w:bidi="ar"/>
        </w:rPr>
        <w:t>33</w:t>
      </w:r>
      <w:r>
        <w:rPr>
          <w:rFonts w:hint="default" w:ascii="仿宋_GB2312" w:hAnsi="Calibri" w:eastAsia="仿宋_GB2312" w:cs="仿宋_GB2312"/>
          <w:kern w:val="2"/>
          <w:sz w:val="32"/>
          <w:szCs w:val="32"/>
          <w:lang w:val="en-US" w:eastAsia="zh-CN" w:bidi="ar"/>
        </w:rPr>
        <w:t>.医疗卫生与计划生育支出（类）行政事业单位医疗（款）公务员医疗补助（项），</w:t>
      </w:r>
      <w:r>
        <w:rPr>
          <w:rFonts w:hint="eastAsia" w:ascii="仿宋_GB2312" w:hAnsi="Calibri" w:eastAsia="仿宋_GB2312" w:cs="仿宋_GB2312"/>
          <w:kern w:val="2"/>
          <w:sz w:val="32"/>
          <w:szCs w:val="32"/>
          <w:lang w:val="en-US" w:eastAsia="zh-CN" w:bidi="ar"/>
        </w:rPr>
        <w:t>是指：财政部门集中安排的</w:t>
      </w:r>
      <w:r>
        <w:rPr>
          <w:rFonts w:hint="default" w:ascii="仿宋_GB2312" w:hAnsi="Calibri" w:eastAsia="仿宋_GB2312" w:cs="仿宋_GB2312"/>
          <w:kern w:val="2"/>
          <w:sz w:val="32"/>
          <w:szCs w:val="32"/>
          <w:lang w:val="en-US" w:eastAsia="zh-CN" w:bidi="ar"/>
        </w:rPr>
        <w:t>行政事业单位公务员医疗补助</w:t>
      </w:r>
      <w:r>
        <w:rPr>
          <w:rFonts w:hint="eastAsia" w:ascii="仿宋_GB2312" w:hAnsi="Calibri" w:eastAsia="仿宋_GB2312" w:cs="仿宋_GB2312"/>
          <w:kern w:val="2"/>
          <w:sz w:val="32"/>
          <w:szCs w:val="32"/>
          <w:lang w:val="en-US" w:eastAsia="zh-CN" w:bidi="ar"/>
        </w:rPr>
        <w:t>经费</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b w:val="0"/>
          <w:color w:val="000000"/>
        </w:rPr>
      </w:pPr>
      <w:r>
        <w:rPr>
          <w:rFonts w:hint="eastAsia" w:ascii="仿宋_GB2312" w:hAnsi="Calibri" w:eastAsia="仿宋_GB2312" w:cs="仿宋_GB2312"/>
          <w:kern w:val="2"/>
          <w:sz w:val="32"/>
          <w:szCs w:val="32"/>
          <w:lang w:val="en-US" w:eastAsia="zh-CN" w:bidi="ar"/>
        </w:rPr>
        <w:t>34</w:t>
      </w:r>
      <w:r>
        <w:rPr>
          <w:rFonts w:hint="default" w:ascii="仿宋_GB2312" w:hAnsi="Calibri" w:eastAsia="仿宋_GB2312" w:cs="仿宋_GB2312"/>
          <w:kern w:val="2"/>
          <w:sz w:val="32"/>
          <w:szCs w:val="32"/>
          <w:lang w:val="en-US" w:eastAsia="zh-CN" w:bidi="ar"/>
        </w:rPr>
        <w:t>.节能环保支出（类）自然生态保护（款）农村环境保护（项），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农村环境方面的保护支出。包括农村环境综合整治等支出</w:t>
      </w:r>
      <w:r>
        <w:rPr>
          <w:rStyle w:val="38"/>
          <w:rFonts w:hint="default" w:ascii="仿宋_GB2312" w:eastAsia="仿宋_GB2312" w:cs="仿宋_GB2312"/>
          <w:b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b w:val="0"/>
          <w:color w:val="000000"/>
        </w:rPr>
      </w:pPr>
      <w:r>
        <w:rPr>
          <w:rFonts w:hint="eastAsia" w:ascii="仿宋_GB2312" w:hAnsi="Calibri" w:eastAsia="仿宋_GB2312" w:cs="仿宋_GB2312"/>
          <w:kern w:val="2"/>
          <w:sz w:val="32"/>
          <w:szCs w:val="32"/>
          <w:lang w:val="en-US" w:eastAsia="zh-CN" w:bidi="ar"/>
        </w:rPr>
        <w:t>35</w:t>
      </w:r>
      <w:r>
        <w:rPr>
          <w:rFonts w:hint="default" w:ascii="仿宋_GB2312" w:hAnsi="Calibri" w:eastAsia="仿宋_GB2312" w:cs="仿宋_GB2312"/>
          <w:kern w:val="2"/>
          <w:sz w:val="32"/>
          <w:szCs w:val="32"/>
          <w:lang w:val="en-US" w:eastAsia="zh-CN" w:bidi="ar"/>
        </w:rPr>
        <w:t>.节能环保支出（类）其他节能环保支出（款）其他节能环保支出（项），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除上述项目以外其他用于节能环保方面的支出</w:t>
      </w:r>
      <w:r>
        <w:rPr>
          <w:rStyle w:val="38"/>
          <w:rFonts w:hint="default" w:ascii="仿宋_GB2312" w:eastAsia="仿宋_GB2312" w:cs="仿宋_GB2312"/>
          <w:b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eastAsia" w:ascii="仿宋_GB2312" w:hAnsi="仿宋_GB2312" w:eastAsia="宋体" w:cs="仿宋_GB2312"/>
          <w:b w:val="0"/>
          <w:color w:val="000000"/>
        </w:rPr>
      </w:pPr>
      <w:r>
        <w:rPr>
          <w:rFonts w:hint="default" w:ascii="仿宋_GB2312" w:hAnsi="Calibri" w:eastAsia="仿宋_GB2312" w:cs="仿宋_GB2312"/>
          <w:kern w:val="2"/>
          <w:sz w:val="32"/>
          <w:szCs w:val="32"/>
          <w:lang w:val="en-US" w:eastAsia="zh-CN" w:bidi="ar"/>
        </w:rPr>
        <w:t>3</w:t>
      </w:r>
      <w:r>
        <w:rPr>
          <w:rFonts w:hint="eastAsia" w:ascii="仿宋_GB2312" w:hAnsi="Calibri" w:eastAsia="仿宋_GB2312" w:cs="仿宋_GB2312"/>
          <w:kern w:val="2"/>
          <w:sz w:val="32"/>
          <w:szCs w:val="32"/>
          <w:lang w:val="en-US" w:eastAsia="zh-CN" w:bidi="ar"/>
        </w:rPr>
        <w:t>6</w:t>
      </w:r>
      <w:r>
        <w:rPr>
          <w:rFonts w:hint="default" w:ascii="仿宋_GB2312" w:hAnsi="Calibri" w:eastAsia="仿宋_GB2312" w:cs="仿宋_GB2312"/>
          <w:kern w:val="2"/>
          <w:sz w:val="32"/>
          <w:szCs w:val="32"/>
          <w:lang w:val="en-US" w:eastAsia="zh-CN" w:bidi="ar"/>
        </w:rPr>
        <w:t>.城乡社区支出支出（类）城乡社区公共设施（款）其他城乡社区公共建设（项），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其他用于城乡社区公共设施方面的支出</w:t>
      </w:r>
      <w:r>
        <w:rPr>
          <w:rStyle w:val="38"/>
          <w:rFonts w:hint="default" w:ascii="仿宋_GB2312" w:eastAsia="仿宋_GB2312" w:cs="仿宋_GB2312"/>
          <w:b w:val="0"/>
          <w:color w:val="000000"/>
          <w:kern w:val="2"/>
          <w:sz w:val="32"/>
          <w:szCs w:val="32"/>
          <w:lang w:val="en-US" w:eastAsia="zh-CN" w:bidi="ar"/>
        </w:rPr>
        <w:t>。</w:t>
      </w:r>
      <w:r>
        <w:rPr>
          <w:rStyle w:val="38"/>
          <w:rFonts w:hint="eastAsia" w:ascii="仿宋_GB2312" w:hAnsi="仿宋_GB2312" w:eastAsia="宋体" w:cs="仿宋_GB2312"/>
          <w:b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3</w:t>
      </w:r>
      <w:r>
        <w:rPr>
          <w:rFonts w:hint="eastAsia" w:ascii="仿宋_GB2312" w:hAnsi="Calibri" w:eastAsia="仿宋_GB2312" w:cs="仿宋_GB2312"/>
          <w:kern w:val="2"/>
          <w:sz w:val="32"/>
          <w:szCs w:val="32"/>
          <w:lang w:val="en-US" w:eastAsia="zh-CN" w:bidi="ar"/>
        </w:rPr>
        <w:t>7</w:t>
      </w:r>
      <w:r>
        <w:rPr>
          <w:rFonts w:hint="default" w:ascii="仿宋_GB2312" w:hAnsi="Calibri" w:eastAsia="仿宋_GB2312" w:cs="仿宋_GB2312"/>
          <w:kern w:val="2"/>
          <w:sz w:val="32"/>
          <w:szCs w:val="32"/>
          <w:lang w:val="en-US" w:eastAsia="zh-CN" w:bidi="ar"/>
        </w:rPr>
        <w:t>.农林水支出（类）农业（款）事业运行（项），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用于农业事业单位基本支出，事业单位设施、系统运行与资产维护等方面的支出</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3</w:t>
      </w:r>
      <w:r>
        <w:rPr>
          <w:rFonts w:hint="eastAsia" w:ascii="仿宋_GB2312" w:hAnsi="Calibri" w:eastAsia="仿宋_GB2312" w:cs="仿宋_GB2312"/>
          <w:kern w:val="2"/>
          <w:sz w:val="32"/>
          <w:szCs w:val="32"/>
          <w:lang w:val="en-US" w:eastAsia="zh-CN" w:bidi="ar"/>
        </w:rPr>
        <w:t>8</w:t>
      </w:r>
      <w:r>
        <w:rPr>
          <w:rFonts w:hint="default" w:ascii="仿宋_GB2312" w:hAnsi="Calibri" w:eastAsia="仿宋_GB2312" w:cs="仿宋_GB2312"/>
          <w:kern w:val="2"/>
          <w:sz w:val="32"/>
          <w:szCs w:val="32"/>
          <w:lang w:val="en-US" w:eastAsia="zh-CN" w:bidi="ar"/>
        </w:rPr>
        <w:t>.农林水支出（类）农业（款）对高校毕业生到基层任职补助（项），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按规定对高校毕业生到基层任职的补助支出</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b w:val="0"/>
          <w:kern w:val="2"/>
          <w:sz w:val="32"/>
          <w:szCs w:val="32"/>
        </w:rPr>
      </w:pPr>
      <w:r>
        <w:rPr>
          <w:rFonts w:hint="eastAsia" w:ascii="仿宋_GB2312" w:hAnsi="Calibri" w:eastAsia="仿宋_GB2312" w:cs="仿宋_GB2312"/>
          <w:kern w:val="2"/>
          <w:sz w:val="32"/>
          <w:szCs w:val="32"/>
          <w:lang w:val="en-US" w:eastAsia="zh-CN" w:bidi="ar"/>
        </w:rPr>
        <w:t>39</w:t>
      </w:r>
      <w:r>
        <w:rPr>
          <w:rFonts w:hint="default" w:ascii="仿宋_GB2312" w:hAnsi="Calibri" w:eastAsia="仿宋_GB2312" w:cs="仿宋_GB2312"/>
          <w:kern w:val="2"/>
          <w:sz w:val="32"/>
          <w:szCs w:val="32"/>
          <w:lang w:val="en-US" w:eastAsia="zh-CN" w:bidi="ar"/>
        </w:rPr>
        <w:t>.农林水支出（类）农业综合</w:t>
      </w:r>
      <w:r>
        <w:rPr>
          <w:rFonts w:hint="eastAsia" w:ascii="仿宋_GB2312" w:hAnsi="Calibri" w:eastAsia="仿宋_GB2312" w:cs="仿宋_GB2312"/>
          <w:kern w:val="2"/>
          <w:sz w:val="32"/>
          <w:szCs w:val="32"/>
          <w:lang w:val="en-US" w:eastAsia="zh-CN" w:bidi="ar"/>
        </w:rPr>
        <w:t>改革</w:t>
      </w:r>
      <w:r>
        <w:rPr>
          <w:rFonts w:hint="default" w:ascii="仿宋_GB2312" w:hAnsi="Calibri" w:eastAsia="仿宋_GB2312" w:cs="仿宋_GB2312"/>
          <w:kern w:val="2"/>
          <w:sz w:val="32"/>
          <w:szCs w:val="32"/>
          <w:lang w:val="en-US" w:eastAsia="zh-CN" w:bidi="ar"/>
        </w:rPr>
        <w:t>（款）对村级一事一议的补助（项），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农村税费改革后对村级公益事业建设</w:t>
      </w:r>
      <w:r>
        <w:rPr>
          <w:rFonts w:hint="default" w:ascii="仿宋_GB2312" w:hAnsi="Calibri" w:eastAsia="仿宋_GB2312" w:cs="仿宋_GB2312"/>
          <w:kern w:val="2"/>
          <w:sz w:val="32"/>
          <w:szCs w:val="32"/>
          <w:lang w:val="en-US" w:eastAsia="zh-CN" w:bidi="ar"/>
        </w:rPr>
        <w:t>一事一议</w:t>
      </w:r>
      <w:r>
        <w:rPr>
          <w:rFonts w:hint="eastAsia" w:ascii="仿宋_GB2312" w:hAnsi="Calibri" w:eastAsia="仿宋_GB2312" w:cs="仿宋_GB2312"/>
          <w:kern w:val="2"/>
          <w:sz w:val="32"/>
          <w:szCs w:val="32"/>
          <w:lang w:val="en-US" w:eastAsia="zh-CN" w:bidi="ar"/>
        </w:rPr>
        <w:t>的补助资金</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eastAsia="仿宋_GB2312" w:cs="仿宋_GB2312"/>
          <w:b w:val="0"/>
          <w:kern w:val="2"/>
          <w:sz w:val="32"/>
          <w:szCs w:val="32"/>
        </w:rPr>
      </w:pPr>
      <w:r>
        <w:rPr>
          <w:rFonts w:hint="eastAsia" w:ascii="仿宋_GB2312" w:hAnsi="Calibri" w:eastAsia="仿宋_GB2312" w:cs="仿宋_GB2312"/>
          <w:kern w:val="2"/>
          <w:sz w:val="32"/>
          <w:szCs w:val="32"/>
          <w:lang w:val="en-US" w:eastAsia="zh-CN" w:bidi="ar"/>
        </w:rPr>
        <w:t>40</w:t>
      </w:r>
      <w:r>
        <w:rPr>
          <w:rFonts w:hint="default" w:ascii="仿宋_GB2312" w:hAnsi="Calibri" w:eastAsia="仿宋_GB2312" w:cs="仿宋_GB2312"/>
          <w:kern w:val="2"/>
          <w:sz w:val="32"/>
          <w:szCs w:val="32"/>
          <w:lang w:val="en-US" w:eastAsia="zh-CN" w:bidi="ar"/>
        </w:rPr>
        <w:t>.农林水支出（类）农业综合</w:t>
      </w:r>
      <w:r>
        <w:rPr>
          <w:rFonts w:hint="eastAsia" w:ascii="仿宋_GB2312" w:hAnsi="Calibri" w:eastAsia="仿宋_GB2312" w:cs="仿宋_GB2312"/>
          <w:kern w:val="2"/>
          <w:sz w:val="32"/>
          <w:szCs w:val="32"/>
          <w:lang w:val="en-US" w:eastAsia="zh-CN" w:bidi="ar"/>
        </w:rPr>
        <w:t>改革</w:t>
      </w:r>
      <w:r>
        <w:rPr>
          <w:rFonts w:hint="default" w:ascii="仿宋_GB2312" w:hAnsi="Calibri" w:eastAsia="仿宋_GB2312" w:cs="仿宋_GB2312"/>
          <w:kern w:val="2"/>
          <w:sz w:val="32"/>
          <w:szCs w:val="32"/>
          <w:lang w:val="en-US" w:eastAsia="zh-CN" w:bidi="ar"/>
        </w:rPr>
        <w:t>（款）对村民委员会和村党支部的补助（项），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各级财政对村民委员会和村党支部的补助支出，以及支持建立县级基本财力保障机制安排的村级组织运转奖补资金</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41</w:t>
      </w:r>
      <w:r>
        <w:rPr>
          <w:rFonts w:hint="default" w:ascii="仿宋_GB2312" w:hAnsi="Calibri" w:eastAsia="仿宋_GB2312" w:cs="仿宋_GB2312"/>
          <w:kern w:val="2"/>
          <w:sz w:val="32"/>
          <w:szCs w:val="32"/>
          <w:lang w:val="en-US" w:eastAsia="zh-CN" w:bidi="ar"/>
        </w:rPr>
        <w:t>.农林水支出（类）</w:t>
      </w:r>
      <w:r>
        <w:rPr>
          <w:rFonts w:hint="eastAsia" w:ascii="仿宋_GB2312" w:hAnsi="Calibri" w:eastAsia="仿宋_GB2312" w:cs="仿宋_GB2312"/>
          <w:kern w:val="2"/>
          <w:sz w:val="32"/>
          <w:szCs w:val="32"/>
          <w:lang w:val="en-US" w:eastAsia="zh-CN" w:bidi="ar"/>
        </w:rPr>
        <w:t>农业</w:t>
      </w:r>
      <w:r>
        <w:rPr>
          <w:rFonts w:hint="default" w:ascii="仿宋_GB2312" w:hAnsi="Calibri" w:eastAsia="仿宋_GB2312" w:cs="仿宋_GB2312"/>
          <w:kern w:val="2"/>
          <w:sz w:val="32"/>
          <w:szCs w:val="32"/>
          <w:lang w:val="en-US" w:eastAsia="zh-CN" w:bidi="ar"/>
        </w:rPr>
        <w:t>（款）其他农林水支出（项），</w:t>
      </w:r>
      <w:r>
        <w:rPr>
          <w:rFonts w:hint="eastAsia" w:ascii="仿宋_GB2312" w:hAnsi="Calibri" w:eastAsia="仿宋_GB2312" w:cs="仿宋_GB2312"/>
          <w:kern w:val="2"/>
          <w:sz w:val="32"/>
          <w:szCs w:val="32"/>
          <w:lang w:val="en-US" w:eastAsia="zh-CN" w:bidi="ar"/>
        </w:rPr>
        <w:t>是指</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除化解债务支出以及其他用于农林水方面的支出。</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left="0" w:right="0" w:firstLine="640" w:firstLineChars="200"/>
        <w:jc w:val="both"/>
        <w:textAlignment w:val="auto"/>
        <w:rPr>
          <w:rFonts w:hint="default" w:ascii="Calibri" w:hAnsi="Calibri" w:eastAsia="仿宋_GB2312" w:cs="Times New Roman"/>
          <w:color w:val="FF0000"/>
          <w:kern w:val="2"/>
          <w:sz w:val="32"/>
          <w:szCs w:val="32"/>
          <w:u w:val="single"/>
        </w:rPr>
      </w:pPr>
      <w:r>
        <w:rPr>
          <w:rFonts w:hint="eastAsia" w:ascii="仿宋_GB2312" w:hAnsi="Calibri" w:eastAsia="仿宋_GB2312" w:cs="仿宋_GB2312"/>
          <w:kern w:val="2"/>
          <w:sz w:val="32"/>
          <w:szCs w:val="32"/>
          <w:lang w:val="en-US" w:eastAsia="zh-CN" w:bidi="ar"/>
        </w:rPr>
        <w:t>42</w:t>
      </w:r>
      <w:r>
        <w:rPr>
          <w:rFonts w:hint="default" w:ascii="仿宋_GB2312" w:hAnsi="Calibri" w:eastAsia="仿宋_GB2312" w:cs="仿宋_GB2312"/>
          <w:kern w:val="2"/>
          <w:sz w:val="32"/>
          <w:szCs w:val="32"/>
          <w:lang w:val="en-US" w:eastAsia="zh-CN" w:bidi="ar"/>
        </w:rPr>
        <w:t>.住房保障支出（类）保障性安居工程支出（款）农村危房改造（项），</w:t>
      </w:r>
      <w:r>
        <w:rPr>
          <w:rFonts w:hint="eastAsia" w:ascii="仿宋_GB2312" w:eastAsia="仿宋_GB2312" w:cs="仿宋_GB2312"/>
          <w:color w:val="000000"/>
          <w:kern w:val="0"/>
          <w:sz w:val="32"/>
          <w:szCs w:val="32"/>
          <w:lang w:val="en-US" w:eastAsia="zh-CN" w:bidi="ar"/>
        </w:rPr>
        <w:t>是指</w:t>
      </w:r>
      <w:r>
        <w:rPr>
          <w:rFonts w:hint="default" w:ascii="仿宋_GB2312" w:hAnsi="Times New Roman" w:eastAsia="仿宋_GB2312" w:cs="仿宋_GB2312"/>
          <w:color w:val="000000"/>
          <w:kern w:val="0"/>
          <w:sz w:val="32"/>
          <w:szCs w:val="32"/>
          <w:lang w:val="en-US" w:eastAsia="zh-CN" w:bidi="ar"/>
        </w:rPr>
        <w:t>：</w:t>
      </w:r>
      <w:r>
        <w:rPr>
          <w:rFonts w:hint="eastAsia" w:ascii="仿宋_GB2312" w:eastAsia="仿宋_GB2312" w:cs="仿宋_GB2312"/>
          <w:color w:val="000000"/>
          <w:kern w:val="0"/>
          <w:sz w:val="32"/>
          <w:szCs w:val="32"/>
          <w:lang w:val="en-US" w:eastAsia="zh-CN" w:bidi="ar"/>
        </w:rPr>
        <w:t>农村用于危房改造的支出</w:t>
      </w:r>
      <w:r>
        <w:rPr>
          <w:rFonts w:hint="default" w:ascii="仿宋_GB2312" w:hAnsi="Times New Roman" w:eastAsia="仿宋_GB2312" w:cs="仿宋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bidi w:val="0"/>
        <w:spacing w:before="95" w:beforeLines="30" w:beforeAutospacing="0" w:after="0" w:afterAutospacing="0" w:line="560" w:lineRule="exact"/>
        <w:ind w:right="0" w:firstLine="640" w:firstLineChars="200"/>
        <w:jc w:val="both"/>
        <w:textAlignment w:val="auto"/>
        <w:rPr>
          <w:rFonts w:hint="default" w:ascii="Calibri" w:hAnsi="Calibri" w:eastAsia="仿宋_GB2312" w:cs="Times New Roman"/>
          <w:color w:val="FF0000"/>
          <w:kern w:val="2"/>
          <w:sz w:val="32"/>
          <w:szCs w:val="32"/>
          <w:u w:val="single"/>
        </w:rPr>
      </w:pPr>
      <w:r>
        <w:rPr>
          <w:rFonts w:hint="eastAsia" w:ascii="仿宋_GB2312" w:hAnsi="Calibri" w:eastAsia="仿宋_GB2312" w:cs="仿宋_GB2312"/>
          <w:kern w:val="2"/>
          <w:sz w:val="32"/>
          <w:szCs w:val="32"/>
          <w:lang w:val="en-US" w:eastAsia="zh-CN" w:bidi="ar"/>
        </w:rPr>
        <w:t>43</w:t>
      </w:r>
      <w:r>
        <w:rPr>
          <w:rFonts w:hint="default" w:ascii="仿宋_GB2312" w:hAnsi="Calibri" w:eastAsia="仿宋_GB2312" w:cs="仿宋_GB2312"/>
          <w:kern w:val="2"/>
          <w:sz w:val="32"/>
          <w:szCs w:val="32"/>
          <w:lang w:val="en-US" w:eastAsia="zh-CN" w:bidi="ar"/>
        </w:rPr>
        <w:t>.住房保障支出支出（类）住房改革支出（款）住房公积金（项），</w:t>
      </w:r>
      <w:r>
        <w:rPr>
          <w:rFonts w:hint="eastAsia" w:ascii="仿宋_GB2312" w:hAnsi="Calibri" w:eastAsia="仿宋_GB2312" w:cs="仿宋_GB2312"/>
          <w:kern w:val="2"/>
          <w:sz w:val="32"/>
          <w:szCs w:val="32"/>
          <w:lang w:val="en-US" w:eastAsia="zh-CN" w:bidi="ar"/>
        </w:rPr>
        <w:t>是指</w:t>
      </w:r>
      <w:r>
        <w:rPr>
          <w:rFonts w:hint="default" w:ascii="仿宋_GB2312" w:hAnsi="Times New Roman" w:eastAsia="仿宋_GB2312" w:cs="仿宋_GB2312"/>
          <w:color w:val="000000"/>
          <w:kern w:val="0"/>
          <w:sz w:val="32"/>
          <w:szCs w:val="32"/>
          <w:lang w:val="en-US" w:eastAsia="zh-CN" w:bidi="ar"/>
        </w:rPr>
        <w:t>：</w:t>
      </w:r>
      <w:r>
        <w:rPr>
          <w:rFonts w:hint="eastAsia" w:ascii="仿宋_GB2312" w:eastAsia="仿宋_GB2312" w:cs="仿宋_GB2312"/>
          <w:color w:val="000000"/>
          <w:kern w:val="0"/>
          <w:sz w:val="32"/>
          <w:szCs w:val="32"/>
          <w:lang w:val="en-US" w:eastAsia="zh-CN" w:bidi="ar"/>
        </w:rPr>
        <w:t>行政事业单位按人力资源社会保障部、财政部规定的基本工资和津补贴以及规定比例为职工缴纳的住房公积金</w:t>
      </w:r>
      <w:r>
        <w:rPr>
          <w:rFonts w:hint="default" w:ascii="仿宋_GB2312" w:hAnsi="Times New Roman" w:eastAsia="仿宋_GB2312" w:cs="仿宋_GB2312"/>
          <w:color w:val="000000"/>
          <w:kern w:val="0"/>
          <w:sz w:val="32"/>
          <w:szCs w:val="32"/>
          <w:lang w:val="en-US" w:eastAsia="zh-CN" w:bidi="ar"/>
        </w:rPr>
        <w:t>。</w:t>
      </w:r>
    </w:p>
    <w:p>
      <w:pPr>
        <w:pageBreakBefore w:val="0"/>
        <w:kinsoku/>
        <w:wordWrap/>
        <w:overflowPunct/>
        <w:topLinePunct w:val="0"/>
        <w:bidi w:val="0"/>
        <w:spacing w:before="95" w:beforeLines="30"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44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before="95" w:beforeLines="30"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45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topLinePunct w:val="0"/>
        <w:bidi w:val="0"/>
        <w:spacing w:before="95" w:beforeLines="30"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46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pageBreakBefore w:val="0"/>
        <w:kinsoku/>
        <w:wordWrap/>
        <w:overflowPunct/>
        <w:topLinePunct w:val="0"/>
        <w:bidi w:val="0"/>
        <w:spacing w:before="95" w:beforeLines="30"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before="95" w:beforeLines="30" w:line="560" w:lineRule="exact"/>
        <w:jc w:val="center"/>
        <w:textAlignment w:val="auto"/>
        <w:outlineLvl w:val="0"/>
        <w:rPr>
          <w:rStyle w:val="31"/>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before="95" w:beforeLines="30" w:line="560"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before="95" w:beforeLines="30"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b/>
          <w:color w:val="auto"/>
          <w:sz w:val="32"/>
          <w:szCs w:val="32"/>
          <w:highlight w:val="none"/>
          <w:shd w:val="clear" w:color="auto" w:fill="FFFFFF"/>
          <w:lang w:val="en-US" w:eastAsia="zh-CN"/>
        </w:rPr>
        <w:t>2022年</w:t>
      </w:r>
      <w:r>
        <w:rPr>
          <w:rFonts w:hint="eastAsia" w:ascii="宋体" w:hAnsi="宋体" w:eastAsia="宋体"/>
          <w:b/>
          <w:color w:val="auto"/>
          <w:sz w:val="32"/>
          <w:szCs w:val="32"/>
          <w:highlight w:val="none"/>
          <w:shd w:val="clear" w:color="auto" w:fill="FFFFFF"/>
        </w:rPr>
        <w:t>部门整体绩效评价报告</w:t>
      </w:r>
    </w:p>
    <w:p>
      <w:pPr>
        <w:keepNext w:val="0"/>
        <w:keepLines w:val="0"/>
        <w:pageBreakBefore w:val="0"/>
        <w:widowControl/>
        <w:kinsoku/>
        <w:wordWrap/>
        <w:overflowPunct/>
        <w:topLinePunct w:val="0"/>
        <w:autoSpaceDE/>
        <w:autoSpaceDN/>
        <w:bidi w:val="0"/>
        <w:adjustRightInd w:val="0"/>
        <w:snapToGrid w:val="0"/>
        <w:spacing w:before="95" w:beforeLines="30"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部门（单位）概况</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（一）机构组成。</w:t>
      </w:r>
    </w:p>
    <w:p>
      <w:pPr>
        <w:pStyle w:val="2"/>
        <w:pageBreakBefore w:val="0"/>
        <w:kinsoku/>
        <w:wordWrap/>
        <w:overflowPunct/>
        <w:topLinePunct w:val="0"/>
        <w:bidi w:val="0"/>
        <w:spacing w:before="95" w:beforeLines="30" w:line="560" w:lineRule="exact"/>
        <w:ind w:left="0" w:leftChars="0" w:firstLine="640" w:firstLineChars="200"/>
        <w:textAlignment w:val="auto"/>
        <w:rPr>
          <w:rFonts w:hint="eastAsia"/>
          <w:lang w:val="zh-CN" w:eastAsia="zh-CN"/>
        </w:rPr>
      </w:pPr>
      <w:r>
        <w:rPr>
          <w:rFonts w:hint="eastAsia" w:ascii="仿宋" w:hAnsi="仿宋" w:eastAsia="仿宋" w:cs="仿宋"/>
          <w:sz w:val="32"/>
          <w:szCs w:val="32"/>
        </w:rPr>
        <w:t>我</w:t>
      </w:r>
      <w:r>
        <w:rPr>
          <w:rFonts w:hint="eastAsia" w:ascii="仿宋" w:hAnsi="仿宋" w:eastAsia="仿宋" w:cs="仿宋"/>
          <w:sz w:val="32"/>
          <w:szCs w:val="32"/>
          <w:lang w:val="en-US" w:eastAsia="zh-CN"/>
        </w:rPr>
        <w:t>镇</w:t>
      </w:r>
      <w:r>
        <w:rPr>
          <w:rFonts w:hint="eastAsia" w:ascii="仿宋" w:hAnsi="仿宋" w:eastAsia="仿宋" w:cs="仿宋"/>
          <w:sz w:val="32"/>
          <w:szCs w:val="32"/>
        </w:rPr>
        <w:t>系</w:t>
      </w:r>
      <w:r>
        <w:rPr>
          <w:rFonts w:hint="eastAsia" w:ascii="仿宋" w:hAnsi="仿宋" w:eastAsia="仿宋" w:cs="仿宋"/>
          <w:sz w:val="32"/>
          <w:szCs w:val="32"/>
          <w:lang w:val="en-US" w:eastAsia="zh-CN"/>
        </w:rPr>
        <w:t>一</w:t>
      </w:r>
      <w:r>
        <w:rPr>
          <w:rFonts w:hint="eastAsia" w:ascii="仿宋" w:hAnsi="仿宋" w:eastAsia="仿宋" w:cs="仿宋"/>
          <w:sz w:val="32"/>
          <w:szCs w:val="32"/>
        </w:rPr>
        <w:t>级行政单位，设</w:t>
      </w:r>
      <w:r>
        <w:rPr>
          <w:rFonts w:hint="eastAsia" w:ascii="仿宋" w:hAnsi="仿宋" w:eastAsia="仿宋" w:cs="仿宋"/>
          <w:sz w:val="32"/>
          <w:szCs w:val="32"/>
          <w:lang w:val="en-US" w:eastAsia="zh-CN"/>
        </w:rPr>
        <w:t>9</w:t>
      </w:r>
      <w:r>
        <w:rPr>
          <w:rFonts w:hint="eastAsia" w:ascii="仿宋" w:hAnsi="仿宋" w:eastAsia="仿宋" w:cs="仿宋"/>
          <w:sz w:val="32"/>
          <w:szCs w:val="32"/>
        </w:rPr>
        <w:t>个内设机构</w:t>
      </w:r>
      <w:r>
        <w:rPr>
          <w:rFonts w:hint="eastAsia" w:ascii="仿宋" w:hAnsi="仿宋" w:eastAsia="仿宋" w:cs="仿宋"/>
          <w:sz w:val="32"/>
          <w:szCs w:val="32"/>
          <w:lang w:eastAsia="zh-CN"/>
        </w:rPr>
        <w:t>，</w:t>
      </w:r>
      <w:r>
        <w:rPr>
          <w:rFonts w:hint="eastAsia" w:ascii="仿宋" w:hAnsi="仿宋" w:eastAsia="仿宋" w:cs="仿宋"/>
          <w:sz w:val="32"/>
          <w:szCs w:val="32"/>
        </w:rPr>
        <w:t>分别是</w:t>
      </w:r>
      <w:r>
        <w:rPr>
          <w:rFonts w:hint="eastAsia" w:ascii="仿宋" w:hAnsi="仿宋" w:eastAsia="仿宋" w:cs="仿宋"/>
          <w:sz w:val="32"/>
          <w:szCs w:val="32"/>
          <w:lang w:val="en-US" w:eastAsia="zh-CN"/>
        </w:rPr>
        <w:t>党政办公室、党建工作办公室、社会事务办公室、综合行政执法办公室、社会治理和应急管理办公室、经济发展办公室、乡村振兴办公室、镇村建设办公室、财政工作办公室。</w:t>
      </w:r>
      <w:r>
        <w:rPr>
          <w:rFonts w:hint="eastAsia" w:ascii="仿宋" w:hAnsi="仿宋" w:eastAsia="仿宋" w:cs="仿宋"/>
          <w:sz w:val="32"/>
          <w:szCs w:val="32"/>
        </w:rPr>
        <w:t>纪委、人大、工会、共青团、关工委、妇联、人民武装部、统计、残疾、林业、信访等组织，按有关规定和章程设置，其日常工作归口镇机关内设的有关办公室。无下属二级预算单位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区划调整后，三家镇统一设置5个直属公益一类事业单位，分别是便民服务中心、农民工服务中心、农业综合服务中心、宣传文化中心、重点产业和项目服务中心。</w:t>
      </w:r>
    </w:p>
    <w:p>
      <w:pPr>
        <w:pageBreakBefore w:val="0"/>
        <w:numPr>
          <w:ilvl w:val="0"/>
          <w:numId w:val="0"/>
        </w:numPr>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cs="Times New Roman"/>
          <w:b/>
          <w:color w:val="auto"/>
          <w:kern w:val="2"/>
          <w:sz w:val="32"/>
          <w:szCs w:val="32"/>
          <w:lang w:val="zh-CN" w:eastAsia="zh-CN" w:bidi="ar-SA"/>
        </w:rPr>
        <w:t>（二）</w:t>
      </w:r>
      <w:r>
        <w:rPr>
          <w:rFonts w:hint="eastAsia" w:ascii="仿宋" w:hAnsi="仿宋" w:eastAsia="仿宋"/>
          <w:b/>
          <w:color w:val="auto"/>
          <w:sz w:val="32"/>
          <w:szCs w:val="32"/>
          <w:highlight w:val="none"/>
          <w:lang w:val="zh-CN" w:eastAsia="zh-CN"/>
        </w:rPr>
        <w:t>机构职能。</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贯彻执行和宣传党和国家的路线、方针、政策、法律、法规；执行国家行政机关的决定、命令。 </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制定和组织实施本行政区域的经济、科技、农业和社会发展计划，制定经济发展方式和产业结构调整方案，保持经济社会可持续发展，组织指导好各行各业的生产，搞好商品流通，扩大开放，推动外向型经济发展，转型发展，抓好招商引资，积极争取上级项目支撑，搞好人才引进项目开发，不断培育市场体系，组织经济运行，促进经济发展，全面提高人民群众的生活水平和生活质量。 </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制定并组织实施乡村建设规划，建设新农村，保护和改善辖区生活环境和生态环境。部署重点工程建设，地方道路建设、农村环境综合治理、农村公共服务设施建设、农田基本水利设施的管理，负责土地、基本农田、矿藏、森林、地方文物、水等自然资源和生态环境的保护，做好护林防火工作。 </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负责本行政区域内的民政、劳动保障、养老、计划生育、文化教育、卫生、体育、广播电视等社会公益事业的综合性工作，维护一切经济单位和个人的正当经济权益，取缔非法经济活动，调解和处理民事纠纷，打击刑事犯罪，开展好社会主义民主和法制教育，积极建设法</w:t>
      </w:r>
      <w:r>
        <w:rPr>
          <w:rFonts w:hint="eastAsia" w:ascii="仿宋" w:hAnsi="仿宋" w:eastAsia="仿宋" w:cs="仿宋"/>
          <w:sz w:val="32"/>
          <w:szCs w:val="32"/>
          <w:lang w:eastAsia="zh-CN"/>
        </w:rPr>
        <w:t>治</w:t>
      </w:r>
      <w:r>
        <w:rPr>
          <w:rFonts w:hint="eastAsia" w:ascii="仿宋" w:hAnsi="仿宋" w:eastAsia="仿宋" w:cs="仿宋"/>
          <w:sz w:val="32"/>
          <w:szCs w:val="32"/>
        </w:rPr>
        <w:t xml:space="preserve">政府，组织、指导、协调、检查辖区各单位做好安全工作，全力维护社会稳定。 </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按计划组织本级财政收入和地方税的征收，完成国家财政计划，不断培植税源，管好财政资金，提高财政资金的使用效益，增强财政实力。 </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搞好本镇民兵组织建设、国防教育、军事训练、征兵工作。 </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指导村（居）民委员会的组织制度建设和业务建设，促进村（居）民委员会民主自治。 </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抓好精神文明建设，丰富群众文化生活，提倡移风易俗，反对封建迷信，破除陈规陋习，树立社会主义新风尚。 </w:t>
      </w:r>
    </w:p>
    <w:p>
      <w:pPr>
        <w:pStyle w:val="2"/>
        <w:pageBreakBefore w:val="0"/>
        <w:numPr>
          <w:ilvl w:val="0"/>
          <w:numId w:val="0"/>
        </w:numPr>
        <w:kinsoku/>
        <w:wordWrap/>
        <w:overflowPunct/>
        <w:topLinePunct w:val="0"/>
        <w:bidi w:val="0"/>
        <w:spacing w:before="95" w:beforeLines="30" w:line="560" w:lineRule="exact"/>
        <w:ind w:firstLine="640" w:firstLineChars="200"/>
        <w:textAlignment w:val="auto"/>
        <w:rPr>
          <w:rFonts w:hint="eastAsia"/>
          <w:lang w:val="zh-CN"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完成上级政府交办的其它事项。</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（三）人员概况。</w:t>
      </w:r>
    </w:p>
    <w:p>
      <w:pPr>
        <w:keepNext w:val="0"/>
        <w:keepLines w:val="0"/>
        <w:pageBreakBefore w:val="0"/>
        <w:widowControl w:val="0"/>
        <w:kinsoku/>
        <w:wordWrap/>
        <w:overflowPunct/>
        <w:topLinePunct w:val="0"/>
        <w:autoSpaceDE/>
        <w:autoSpaceDN/>
        <w:bidi w:val="0"/>
        <w:spacing w:before="95" w:beforeLines="30" w:line="560" w:lineRule="exact"/>
        <w:ind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rPr>
        <w:t>我</w:t>
      </w:r>
      <w:r>
        <w:rPr>
          <w:rFonts w:hint="eastAsia" w:ascii="仿宋" w:hAnsi="仿宋" w:eastAsia="仿宋" w:cs="仿宋"/>
          <w:sz w:val="32"/>
          <w:szCs w:val="32"/>
          <w:lang w:val="en-US" w:eastAsia="zh-CN"/>
        </w:rPr>
        <w:t>镇2022年共有财政供养</w:t>
      </w:r>
      <w:r>
        <w:rPr>
          <w:rFonts w:hint="eastAsia" w:ascii="仿宋" w:hAnsi="仿宋" w:eastAsia="仿宋" w:cs="仿宋"/>
          <w:sz w:val="32"/>
          <w:szCs w:val="32"/>
        </w:rPr>
        <w:t>人员</w:t>
      </w:r>
      <w:r>
        <w:rPr>
          <w:rFonts w:hint="eastAsia" w:ascii="仿宋" w:hAnsi="仿宋" w:eastAsia="仿宋" w:cs="仿宋"/>
          <w:sz w:val="32"/>
          <w:szCs w:val="32"/>
          <w:lang w:val="en-US" w:eastAsia="zh-CN"/>
        </w:rPr>
        <w:t>129</w:t>
      </w:r>
      <w:r>
        <w:rPr>
          <w:rFonts w:hint="eastAsia" w:ascii="仿宋" w:hAnsi="仿宋" w:eastAsia="仿宋" w:cs="仿宋"/>
          <w:sz w:val="32"/>
          <w:szCs w:val="32"/>
        </w:rPr>
        <w:t>人，其中：行政人员</w:t>
      </w:r>
      <w:r>
        <w:rPr>
          <w:rFonts w:hint="eastAsia" w:ascii="仿宋" w:hAnsi="仿宋" w:eastAsia="仿宋" w:cs="仿宋"/>
          <w:sz w:val="32"/>
          <w:szCs w:val="32"/>
          <w:lang w:val="en-US" w:eastAsia="zh-CN"/>
        </w:rPr>
        <w:t>39</w:t>
      </w:r>
      <w:r>
        <w:rPr>
          <w:rFonts w:hint="eastAsia" w:ascii="仿宋" w:hAnsi="仿宋" w:eastAsia="仿宋" w:cs="仿宋"/>
          <w:sz w:val="32"/>
          <w:szCs w:val="32"/>
        </w:rPr>
        <w:t>人，工勤人员</w:t>
      </w:r>
      <w:r>
        <w:rPr>
          <w:rFonts w:hint="eastAsia" w:ascii="仿宋" w:hAnsi="仿宋" w:eastAsia="仿宋" w:cs="仿宋"/>
          <w:sz w:val="32"/>
          <w:szCs w:val="32"/>
          <w:lang w:val="en-US" w:eastAsia="zh-CN"/>
        </w:rPr>
        <w:t>14</w:t>
      </w:r>
      <w:r>
        <w:rPr>
          <w:rFonts w:hint="eastAsia" w:ascii="仿宋" w:hAnsi="仿宋" w:eastAsia="仿宋" w:cs="仿宋"/>
          <w:sz w:val="32"/>
          <w:szCs w:val="32"/>
        </w:rPr>
        <w:t>人，</w:t>
      </w:r>
      <w:r>
        <w:rPr>
          <w:rFonts w:hint="eastAsia" w:ascii="仿宋" w:hAnsi="仿宋" w:eastAsia="仿宋" w:cs="仿宋"/>
          <w:sz w:val="32"/>
          <w:szCs w:val="32"/>
          <w:lang w:val="en-US" w:eastAsia="zh-CN"/>
        </w:rPr>
        <w:t>事业人员15人，</w:t>
      </w:r>
      <w:r>
        <w:rPr>
          <w:rFonts w:hint="eastAsia" w:ascii="仿宋" w:hAnsi="仿宋" w:eastAsia="仿宋" w:cs="仿宋"/>
          <w:sz w:val="32"/>
          <w:szCs w:val="32"/>
        </w:rPr>
        <w:t>离退休人员</w:t>
      </w:r>
      <w:r>
        <w:rPr>
          <w:rFonts w:hint="eastAsia" w:ascii="仿宋" w:hAnsi="仿宋" w:eastAsia="仿宋" w:cs="仿宋"/>
          <w:sz w:val="32"/>
          <w:szCs w:val="32"/>
          <w:lang w:val="en-US" w:eastAsia="zh-CN"/>
        </w:rPr>
        <w:t>61</w:t>
      </w:r>
      <w:r>
        <w:rPr>
          <w:rFonts w:hint="eastAsia" w:ascii="仿宋" w:hAnsi="仿宋" w:eastAsia="仿宋" w:cs="仿宋"/>
          <w:sz w:val="32"/>
          <w:szCs w:val="32"/>
        </w:rPr>
        <w:t>人。</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en-US" w:eastAsia="zh-CN"/>
        </w:rPr>
      </w:pPr>
      <w:r>
        <w:rPr>
          <w:rFonts w:hint="eastAsia" w:ascii="黑体" w:eastAsia="黑体"/>
          <w:b w:val="0"/>
          <w:color w:val="auto"/>
          <w:highlight w:val="none"/>
          <w:lang w:val="en-US" w:eastAsia="zh-CN"/>
        </w:rPr>
        <w:t>二、部门财政资金收支情况</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（一）部门财政资金收入情况。</w:t>
      </w:r>
    </w:p>
    <w:p>
      <w:pPr>
        <w:pStyle w:val="14"/>
        <w:pageBreakBefore w:val="0"/>
        <w:kinsoku/>
        <w:wordWrap/>
        <w:overflowPunct/>
        <w:topLinePunct w:val="0"/>
        <w:bidi w:val="0"/>
        <w:spacing w:before="95" w:beforeLines="30" w:line="560" w:lineRule="exact"/>
        <w:ind w:left="0" w:leftChars="0" w:firstLine="640" w:firstLineChars="200"/>
        <w:textAlignment w:val="auto"/>
        <w:rPr>
          <w:rFonts w:hint="eastAsia"/>
          <w:lang w:val="zh-CN"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年总收入</w:t>
      </w:r>
      <w:r>
        <w:rPr>
          <w:rFonts w:hint="eastAsia" w:ascii="仿宋" w:hAnsi="仿宋" w:eastAsia="仿宋" w:cs="仿宋"/>
          <w:sz w:val="32"/>
          <w:szCs w:val="32"/>
          <w:lang w:val="en-US" w:eastAsia="zh-CN"/>
        </w:rPr>
        <w:t>3090.32</w:t>
      </w:r>
      <w:r>
        <w:rPr>
          <w:rFonts w:hint="eastAsia" w:ascii="仿宋" w:hAnsi="仿宋" w:eastAsia="仿宋" w:cs="仿宋"/>
          <w:color w:val="000000"/>
          <w:sz w:val="32"/>
          <w:szCs w:val="32"/>
        </w:rPr>
        <w:t>万元,其中：一般公共</w:t>
      </w:r>
      <w:r>
        <w:rPr>
          <w:rFonts w:hint="eastAsia" w:ascii="仿宋" w:hAnsi="仿宋" w:eastAsia="仿宋" w:cs="仿宋"/>
          <w:color w:val="000000"/>
          <w:sz w:val="32"/>
          <w:szCs w:val="32"/>
          <w:lang w:val="en-US" w:eastAsia="zh-CN"/>
        </w:rPr>
        <w:t>预算</w:t>
      </w:r>
      <w:r>
        <w:rPr>
          <w:rFonts w:hint="eastAsia" w:ascii="仿宋" w:hAnsi="仿宋" w:eastAsia="仿宋" w:cs="仿宋"/>
          <w:color w:val="000000"/>
          <w:sz w:val="32"/>
          <w:szCs w:val="32"/>
        </w:rPr>
        <w:t>财政拨款收入</w:t>
      </w:r>
      <w:r>
        <w:rPr>
          <w:rFonts w:hint="eastAsia" w:ascii="仿宋" w:hAnsi="仿宋" w:eastAsia="仿宋" w:cs="仿宋"/>
          <w:sz w:val="32"/>
          <w:szCs w:val="32"/>
          <w:lang w:val="en-US" w:eastAsia="zh-CN"/>
        </w:rPr>
        <w:t>3056.92</w:t>
      </w:r>
      <w:r>
        <w:rPr>
          <w:rFonts w:hint="eastAsia" w:ascii="仿宋" w:hAnsi="仿宋" w:eastAsia="仿宋" w:cs="仿宋"/>
          <w:color w:val="000000"/>
          <w:sz w:val="32"/>
          <w:szCs w:val="32"/>
        </w:rPr>
        <w:t>万元，</w:t>
      </w:r>
      <w:r>
        <w:rPr>
          <w:rFonts w:hint="eastAsia" w:ascii="仿宋" w:hAnsi="仿宋" w:eastAsia="仿宋" w:cs="仿宋"/>
          <w:sz w:val="32"/>
          <w:szCs w:val="32"/>
        </w:rPr>
        <w:t>占总收入</w:t>
      </w:r>
      <w:r>
        <w:rPr>
          <w:rFonts w:hint="eastAsia" w:ascii="仿宋" w:hAnsi="仿宋" w:eastAsia="仿宋" w:cs="仿宋"/>
          <w:sz w:val="32"/>
          <w:szCs w:val="32"/>
          <w:lang w:val="en-US" w:eastAsia="zh-CN"/>
        </w:rPr>
        <w:t>98.92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政府性基金预算财政拨款收入33.4万元，占总收入1.08%。</w:t>
      </w:r>
    </w:p>
    <w:p>
      <w:pPr>
        <w:pageBreakBefore w:val="0"/>
        <w:numPr>
          <w:ilvl w:val="0"/>
          <w:numId w:val="0"/>
        </w:numPr>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cs="Times New Roman"/>
          <w:b/>
          <w:color w:val="auto"/>
          <w:kern w:val="2"/>
          <w:sz w:val="32"/>
          <w:szCs w:val="32"/>
          <w:lang w:val="zh-CN" w:eastAsia="zh-CN" w:bidi="ar-SA"/>
        </w:rPr>
        <w:t>（二）</w:t>
      </w:r>
      <w:r>
        <w:rPr>
          <w:rFonts w:hint="eastAsia" w:ascii="仿宋" w:hAnsi="仿宋" w:eastAsia="仿宋"/>
          <w:b/>
          <w:color w:val="auto"/>
          <w:sz w:val="32"/>
          <w:szCs w:val="32"/>
          <w:highlight w:val="none"/>
          <w:lang w:val="zh-CN" w:eastAsia="zh-CN"/>
        </w:rPr>
        <w:t>部门财政资金支出情况。</w:t>
      </w:r>
    </w:p>
    <w:p>
      <w:pPr>
        <w:keepNext w:val="0"/>
        <w:keepLines w:val="0"/>
        <w:pageBreakBefore w:val="0"/>
        <w:widowControl w:val="0"/>
        <w:kinsoku/>
        <w:wordWrap/>
        <w:overflowPunct/>
        <w:topLinePunct w:val="0"/>
        <w:autoSpaceDE/>
        <w:autoSpaceDN/>
        <w:bidi w:val="0"/>
        <w:adjustRightInd w:val="0"/>
        <w:snapToGrid w:val="0"/>
        <w:spacing w:before="95" w:beforeLines="30"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w:t>
      </w:r>
      <w:r>
        <w:rPr>
          <w:rFonts w:hint="eastAsia" w:ascii="仿宋" w:hAnsi="仿宋" w:eastAsia="仿宋" w:cs="仿宋"/>
          <w:sz w:val="32"/>
          <w:szCs w:val="32"/>
        </w:rPr>
        <w:t>相应安排支出</w:t>
      </w:r>
      <w:r>
        <w:rPr>
          <w:rFonts w:hint="eastAsia" w:ascii="仿宋" w:hAnsi="仿宋" w:eastAsia="仿宋" w:cs="仿宋"/>
          <w:sz w:val="32"/>
          <w:szCs w:val="32"/>
          <w:lang w:val="en-US" w:eastAsia="zh-CN"/>
        </w:rPr>
        <w:t>3090.32</w:t>
      </w:r>
      <w:r>
        <w:rPr>
          <w:rFonts w:hint="eastAsia" w:ascii="仿宋" w:hAnsi="仿宋" w:eastAsia="仿宋" w:cs="仿宋"/>
          <w:color w:val="000000"/>
          <w:sz w:val="32"/>
          <w:szCs w:val="32"/>
        </w:rPr>
        <w:t>万元，其中：基本支出</w:t>
      </w:r>
      <w:r>
        <w:rPr>
          <w:rFonts w:hint="eastAsia" w:ascii="仿宋" w:hAnsi="仿宋" w:eastAsia="仿宋" w:cs="仿宋"/>
          <w:sz w:val="32"/>
          <w:szCs w:val="32"/>
          <w:lang w:val="en-US" w:eastAsia="zh-CN"/>
        </w:rPr>
        <w:t>2333.02</w:t>
      </w:r>
      <w:r>
        <w:rPr>
          <w:rFonts w:hint="eastAsia" w:ascii="仿宋" w:hAnsi="仿宋" w:eastAsia="仿宋" w:cs="仿宋"/>
          <w:color w:val="000000"/>
          <w:sz w:val="32"/>
          <w:szCs w:val="32"/>
        </w:rPr>
        <w:t>万元，占</w:t>
      </w:r>
      <w:r>
        <w:rPr>
          <w:rFonts w:hint="eastAsia" w:ascii="仿宋" w:hAnsi="仿宋" w:eastAsia="仿宋" w:cs="仿宋"/>
          <w:sz w:val="32"/>
          <w:szCs w:val="32"/>
          <w:lang w:val="en-US" w:eastAsia="zh-CN"/>
        </w:rPr>
        <w:t>75.49</w:t>
      </w:r>
      <w:r>
        <w:rPr>
          <w:rFonts w:hint="eastAsia" w:ascii="仿宋" w:hAnsi="仿宋" w:eastAsia="仿宋" w:cs="仿宋"/>
          <w:color w:val="000000"/>
          <w:sz w:val="32"/>
          <w:szCs w:val="32"/>
        </w:rPr>
        <w:t>%；项目支出</w:t>
      </w:r>
      <w:r>
        <w:rPr>
          <w:rFonts w:hint="eastAsia" w:ascii="仿宋" w:hAnsi="仿宋" w:eastAsia="仿宋" w:cs="仿宋"/>
          <w:sz w:val="32"/>
          <w:szCs w:val="32"/>
          <w:lang w:val="en-US" w:eastAsia="zh-CN"/>
        </w:rPr>
        <w:t>757.3</w:t>
      </w:r>
      <w:r>
        <w:rPr>
          <w:rFonts w:hint="eastAsia" w:ascii="仿宋" w:hAnsi="仿宋" w:eastAsia="仿宋" w:cs="仿宋"/>
          <w:color w:val="000000"/>
          <w:sz w:val="32"/>
          <w:szCs w:val="32"/>
        </w:rPr>
        <w:t>万元，占</w:t>
      </w:r>
      <w:r>
        <w:rPr>
          <w:rFonts w:hint="eastAsia" w:ascii="仿宋" w:hAnsi="仿宋" w:eastAsia="仿宋" w:cs="仿宋"/>
          <w:sz w:val="32"/>
          <w:szCs w:val="32"/>
          <w:lang w:val="en-US" w:eastAsia="zh-CN"/>
        </w:rPr>
        <w:t>24.51</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snapToGrid w:val="0"/>
        <w:spacing w:before="95" w:beforeLines="3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基本支出是用于保障</w:t>
      </w:r>
      <w:r>
        <w:rPr>
          <w:rFonts w:hint="eastAsia" w:ascii="仿宋" w:hAnsi="仿宋" w:eastAsia="仿宋" w:cs="仿宋"/>
          <w:sz w:val="32"/>
          <w:szCs w:val="32"/>
          <w:lang w:val="en-US" w:eastAsia="zh-CN"/>
        </w:rPr>
        <w:t>三家镇</w:t>
      </w:r>
      <w:r>
        <w:rPr>
          <w:rFonts w:hint="eastAsia" w:ascii="仿宋" w:hAnsi="仿宋" w:eastAsia="仿宋" w:cs="仿宋"/>
          <w:sz w:val="32"/>
          <w:szCs w:val="32"/>
        </w:rPr>
        <w:t>正常运转的日常支出，</w:t>
      </w:r>
      <w:r>
        <w:rPr>
          <w:rFonts w:hint="eastAsia" w:ascii="仿宋" w:hAnsi="仿宋" w:eastAsia="仿宋" w:cs="仿宋"/>
          <w:color w:val="000000"/>
          <w:sz w:val="32"/>
          <w:szCs w:val="32"/>
        </w:rPr>
        <w:t>包括基本工资、津贴补贴、奖金、机关事业单位基本养老保险缴费、其他社会保障缴费、其他工资福利支出、离休费、抚恤金、生活补助、医疗费、住房公积金、其他对个人和家庭的补助支出、办公费、印刷费、手续费、水费、电费、邮电费、物业管理费、差旅费、维修（护）费、租赁费、会议费、劳务费、工会经费、福利费、其他交通费用、其他商品和服务等支出。</w:t>
      </w:r>
    </w:p>
    <w:p>
      <w:pPr>
        <w:keepNext w:val="0"/>
        <w:keepLines w:val="0"/>
        <w:pageBreakBefore w:val="0"/>
        <w:widowControl w:val="0"/>
        <w:kinsoku/>
        <w:wordWrap/>
        <w:overflowPunct/>
        <w:topLinePunct w:val="0"/>
        <w:autoSpaceDE/>
        <w:autoSpaceDN/>
        <w:bidi w:val="0"/>
        <w:snapToGrid w:val="0"/>
        <w:spacing w:before="95" w:beforeLines="30" w:line="560" w:lineRule="exact"/>
        <w:ind w:firstLine="640" w:firstLineChars="200"/>
        <w:textAlignment w:val="auto"/>
        <w:rPr>
          <w:rFonts w:hint="eastAsia"/>
          <w:lang w:val="zh-CN" w:eastAsia="zh-CN"/>
        </w:rPr>
      </w:pPr>
      <w:r>
        <w:rPr>
          <w:rFonts w:hint="eastAsia" w:ascii="仿宋" w:hAnsi="仿宋" w:eastAsia="仿宋" w:cs="仿宋"/>
          <w:sz w:val="32"/>
          <w:szCs w:val="32"/>
        </w:rPr>
        <w:t>项目支出是用于保障</w:t>
      </w:r>
      <w:r>
        <w:rPr>
          <w:rFonts w:hint="eastAsia" w:ascii="仿宋" w:hAnsi="仿宋" w:eastAsia="仿宋" w:cs="仿宋"/>
          <w:sz w:val="32"/>
          <w:szCs w:val="32"/>
          <w:lang w:val="en-US" w:eastAsia="zh-CN"/>
        </w:rPr>
        <w:t>三家镇</w:t>
      </w:r>
      <w:r>
        <w:rPr>
          <w:rFonts w:hint="eastAsia" w:ascii="仿宋" w:hAnsi="仿宋" w:eastAsia="仿宋" w:cs="仿宋"/>
          <w:sz w:val="32"/>
          <w:szCs w:val="32"/>
        </w:rPr>
        <w:t>为完成特定的行政工作任务或事业发展目标，用于专项业务工作的经费支出，</w:t>
      </w:r>
      <w:r>
        <w:rPr>
          <w:rFonts w:hint="eastAsia" w:ascii="仿宋" w:hAnsi="仿宋" w:eastAsia="仿宋" w:cs="仿宋"/>
          <w:color w:val="000000"/>
          <w:sz w:val="32"/>
          <w:szCs w:val="32"/>
        </w:rPr>
        <w:t>包括</w:t>
      </w:r>
      <w:r>
        <w:rPr>
          <w:rFonts w:hint="eastAsia" w:ascii="仿宋" w:hAnsi="仿宋" w:eastAsia="仿宋" w:cs="仿宋"/>
          <w:sz w:val="32"/>
          <w:szCs w:val="32"/>
          <w:lang w:val="en-US" w:eastAsia="zh-CN"/>
        </w:rPr>
        <w:t>城乡环境整治</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城镇基础设施和场镇街道维护、征兵工作、人大工作、安全生产工作、防灾应急工作、乡风文明工作、信访维稳工作</w:t>
      </w:r>
      <w:r>
        <w:rPr>
          <w:rFonts w:hint="eastAsia" w:ascii="仿宋" w:hAnsi="仿宋" w:eastAsia="仿宋" w:cs="仿宋"/>
          <w:color w:val="000000"/>
          <w:sz w:val="32"/>
          <w:szCs w:val="32"/>
        </w:rPr>
        <w:t>等支出。</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en-US" w:eastAsia="zh-CN"/>
        </w:rPr>
      </w:pPr>
      <w:r>
        <w:rPr>
          <w:rFonts w:hint="eastAsia" w:ascii="黑体" w:eastAsia="黑体"/>
          <w:b w:val="0"/>
          <w:color w:val="auto"/>
          <w:highlight w:val="none"/>
          <w:lang w:val="en-US" w:eastAsia="zh-CN"/>
        </w:rPr>
        <w:t>三、部门整体预算绩效管理情况</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（一）部门预算项目绩效管理。</w:t>
      </w:r>
    </w:p>
    <w:p>
      <w:pPr>
        <w:keepNext w:val="0"/>
        <w:keepLines w:val="0"/>
        <w:pageBreakBefore w:val="0"/>
        <w:widowControl w:val="0"/>
        <w:kinsoku/>
        <w:wordWrap/>
        <w:overflowPunct/>
        <w:topLinePunct w:val="0"/>
        <w:autoSpaceDE/>
        <w:autoSpaceDN/>
        <w:bidi w:val="0"/>
        <w:adjustRightInd w:val="0"/>
        <w:snapToGrid w:val="0"/>
        <w:spacing w:before="95" w:beforeLines="30" w:line="560" w:lineRule="exact"/>
        <w:ind w:firstLine="640" w:firstLineChars="200"/>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cs="仿宋"/>
          <w:sz w:val="32"/>
          <w:szCs w:val="32"/>
        </w:rPr>
        <w:t>在预算编制过程中，</w:t>
      </w:r>
      <w:r>
        <w:rPr>
          <w:rFonts w:hint="eastAsia" w:ascii="仿宋" w:hAnsi="仿宋" w:eastAsia="仿宋" w:cs="仿宋"/>
          <w:sz w:val="32"/>
          <w:szCs w:val="32"/>
          <w:lang w:val="en-US" w:eastAsia="zh-CN"/>
        </w:rPr>
        <w:t>三家镇</w:t>
      </w:r>
      <w:r>
        <w:rPr>
          <w:rFonts w:hint="eastAsia" w:ascii="仿宋" w:hAnsi="仿宋" w:eastAsia="仿宋" w:cs="仿宋"/>
          <w:sz w:val="32"/>
          <w:szCs w:val="32"/>
        </w:rPr>
        <w:t>严格按照</w:t>
      </w:r>
      <w:r>
        <w:rPr>
          <w:rFonts w:hint="eastAsia" w:ascii="仿宋" w:hAnsi="仿宋" w:eastAsia="仿宋" w:cs="仿宋"/>
          <w:sz w:val="32"/>
          <w:szCs w:val="32"/>
          <w:lang w:val="en-US" w:eastAsia="zh-CN"/>
        </w:rPr>
        <w:t>预算编制要求</w:t>
      </w:r>
      <w:r>
        <w:rPr>
          <w:rFonts w:hint="eastAsia" w:ascii="仿宋" w:hAnsi="仿宋" w:eastAsia="仿宋" w:cs="仿宋"/>
          <w:sz w:val="32"/>
          <w:szCs w:val="32"/>
        </w:rPr>
        <w:t>，严格设立项目支出，</w:t>
      </w:r>
      <w:r>
        <w:rPr>
          <w:rFonts w:hint="eastAsia" w:ascii="仿宋" w:hAnsi="仿宋" w:eastAsia="仿宋" w:cs="仿宋"/>
          <w:sz w:val="32"/>
          <w:szCs w:val="32"/>
          <w:lang w:eastAsia="zh-CN"/>
        </w:rPr>
        <w:t>建</w:t>
      </w:r>
      <w:r>
        <w:rPr>
          <w:rFonts w:hint="eastAsia" w:ascii="仿宋" w:hAnsi="仿宋" w:eastAsia="仿宋" w:cs="仿宋"/>
          <w:sz w:val="32"/>
          <w:szCs w:val="32"/>
        </w:rPr>
        <w:t>立健全项目支出定期评估机制。在预算执行过程中，强化绩效目标管理，严格</w:t>
      </w:r>
      <w:r>
        <w:rPr>
          <w:rFonts w:hint="eastAsia" w:ascii="仿宋" w:hAnsi="仿宋" w:eastAsia="仿宋" w:cs="仿宋"/>
          <w:sz w:val="32"/>
          <w:szCs w:val="32"/>
          <w:lang w:val="en-US" w:eastAsia="zh-CN"/>
        </w:rPr>
        <w:t>按照项目</w:t>
      </w:r>
      <w:r>
        <w:rPr>
          <w:rFonts w:hint="eastAsia" w:ascii="仿宋" w:hAnsi="仿宋" w:eastAsia="仿宋" w:cs="仿宋"/>
          <w:sz w:val="32"/>
          <w:szCs w:val="32"/>
        </w:rPr>
        <w:t>预算安排</w:t>
      </w:r>
      <w:r>
        <w:rPr>
          <w:rFonts w:hint="eastAsia" w:ascii="仿宋" w:hAnsi="仿宋" w:eastAsia="仿宋" w:cs="仿宋"/>
          <w:sz w:val="32"/>
          <w:szCs w:val="32"/>
          <w:lang w:val="en-US" w:eastAsia="zh-CN"/>
        </w:rPr>
        <w:t>资金</w:t>
      </w:r>
      <w:r>
        <w:rPr>
          <w:rFonts w:hint="eastAsia" w:ascii="仿宋" w:hAnsi="仿宋" w:eastAsia="仿宋" w:cs="仿宋"/>
          <w:sz w:val="32"/>
          <w:szCs w:val="32"/>
        </w:rPr>
        <w:t>，严格进度管理。</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（二）结果应用情况。</w:t>
      </w:r>
    </w:p>
    <w:p>
      <w:pPr>
        <w:keepNext w:val="0"/>
        <w:keepLines w:val="0"/>
        <w:pageBreakBefore w:val="0"/>
        <w:widowControl w:val="0"/>
        <w:kinsoku/>
        <w:wordWrap/>
        <w:overflowPunct/>
        <w:topLinePunct w:val="0"/>
        <w:autoSpaceDE/>
        <w:autoSpaceDN/>
        <w:bidi w:val="0"/>
        <w:adjustRightInd w:val="0"/>
        <w:snapToGrid w:val="0"/>
        <w:spacing w:before="95" w:beforeLines="30" w:line="56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en-US" w:eastAsia="zh-CN"/>
        </w:rPr>
        <w:t>资产管理</w:t>
      </w: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en-US" w:eastAsia="zh-CN"/>
        </w:rPr>
        <w:t>三家镇</w:t>
      </w:r>
      <w:r>
        <w:rPr>
          <w:rFonts w:hint="eastAsia" w:ascii="仿宋" w:hAnsi="仿宋" w:eastAsia="仿宋" w:cs="仿宋"/>
          <w:sz w:val="32"/>
          <w:szCs w:val="32"/>
        </w:rPr>
        <w:t>按照政府采购配置固定资产，无擅自处置资产、转移收入、私分资产等行为。对资产管理，增加的资产及时入帐，不存在将取得的国有资产不登记，擅自占有、使用的问题。资产管理做到了责任落实，核算符合规定，账实相符。单位资产无对外投资、出租、出借、担保现象。无未经审批擅自处置资产，出现资产流失问题，按照财政和国资委要求上报相关报表。</w:t>
      </w:r>
    </w:p>
    <w:p>
      <w:pPr>
        <w:keepNext w:val="0"/>
        <w:keepLines w:val="0"/>
        <w:pageBreakBefore w:val="0"/>
        <w:widowControl w:val="0"/>
        <w:kinsoku/>
        <w:wordWrap/>
        <w:overflowPunct/>
        <w:topLinePunct w:val="0"/>
        <w:autoSpaceDE/>
        <w:autoSpaceDN/>
        <w:bidi w:val="0"/>
        <w:adjustRightInd w:val="0"/>
        <w:snapToGrid w:val="0"/>
        <w:spacing w:before="95" w:beforeLines="30" w:line="56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rPr>
        <w:t>.内控制度管理。</w:t>
      </w:r>
      <w:r>
        <w:rPr>
          <w:rFonts w:hint="eastAsia" w:ascii="仿宋" w:hAnsi="仿宋" w:eastAsia="仿宋" w:cs="仿宋"/>
          <w:sz w:val="32"/>
          <w:szCs w:val="32"/>
          <w:lang w:val="en-US" w:eastAsia="zh-CN"/>
        </w:rPr>
        <w:t>三家镇</w:t>
      </w:r>
      <w:r>
        <w:rPr>
          <w:rFonts w:hint="eastAsia" w:ascii="仿宋" w:hAnsi="仿宋" w:eastAsia="仿宋" w:cs="仿宋"/>
          <w:sz w:val="32"/>
          <w:szCs w:val="32"/>
        </w:rPr>
        <w:t>为</w:t>
      </w:r>
      <w:r>
        <w:rPr>
          <w:rFonts w:hint="eastAsia" w:ascii="仿宋" w:hAnsi="仿宋" w:eastAsia="仿宋" w:cs="仿宋"/>
          <w:sz w:val="32"/>
          <w:szCs w:val="32"/>
          <w:lang w:val="en-US" w:eastAsia="zh-CN"/>
        </w:rPr>
        <w:t>了</w:t>
      </w:r>
      <w:r>
        <w:rPr>
          <w:rFonts w:hint="eastAsia" w:ascii="仿宋" w:hAnsi="仿宋" w:eastAsia="仿宋" w:cs="仿宋"/>
          <w:sz w:val="32"/>
          <w:szCs w:val="32"/>
        </w:rPr>
        <w:t>切实加强对内部控制建设工作的组织领导，全力推进内部控制建设工作，并制定了《内控制度汇编手册》，共分为风险评估与控制方法、单位层面内控机制、业务层面内控机制、</w:t>
      </w:r>
      <w:r>
        <w:rPr>
          <w:rFonts w:hint="eastAsia" w:ascii="仿宋" w:hAnsi="仿宋" w:eastAsia="仿宋" w:cs="仿宋"/>
          <w:sz w:val="32"/>
          <w:szCs w:val="32"/>
          <w:lang w:val="en-US" w:eastAsia="zh-CN"/>
        </w:rPr>
        <w:t>机关管理制度、审计与评价五</w:t>
      </w:r>
      <w:r>
        <w:rPr>
          <w:rFonts w:hint="eastAsia" w:ascii="仿宋" w:hAnsi="仿宋" w:eastAsia="仿宋" w:cs="仿宋"/>
          <w:sz w:val="32"/>
          <w:szCs w:val="32"/>
        </w:rPr>
        <w:t>个部分，做到经济业务管理规范有序，内控管理职责清晰，提高单位人员工作效率，实现内部管理的规范化、法治化和信息化。</w:t>
      </w:r>
    </w:p>
    <w:p>
      <w:pPr>
        <w:keepNext w:val="0"/>
        <w:keepLines w:val="0"/>
        <w:pageBreakBefore w:val="0"/>
        <w:widowControl w:val="0"/>
        <w:kinsoku/>
        <w:wordWrap/>
        <w:overflowPunct/>
        <w:topLinePunct w:val="0"/>
        <w:autoSpaceDE/>
        <w:autoSpaceDN/>
        <w:bidi w:val="0"/>
        <w:adjustRightInd w:val="0"/>
        <w:snapToGrid w:val="0"/>
        <w:spacing w:before="95" w:beforeLines="3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.信息公开。</w:t>
      </w:r>
      <w:r>
        <w:rPr>
          <w:rFonts w:hint="eastAsia" w:ascii="仿宋" w:hAnsi="仿宋" w:eastAsia="仿宋" w:cs="仿宋"/>
          <w:sz w:val="32"/>
          <w:szCs w:val="32"/>
          <w:lang w:val="en-US" w:eastAsia="zh-CN"/>
        </w:rPr>
        <w:t>三家镇</w:t>
      </w:r>
      <w:r>
        <w:rPr>
          <w:rFonts w:hint="eastAsia" w:ascii="仿宋" w:hAnsi="仿宋" w:eastAsia="仿宋" w:cs="仿宋"/>
          <w:sz w:val="32"/>
          <w:szCs w:val="32"/>
        </w:rPr>
        <w:t>按照</w:t>
      </w:r>
      <w:r>
        <w:rPr>
          <w:rFonts w:hint="eastAsia" w:ascii="仿宋" w:hAnsi="仿宋" w:eastAsia="仿宋" w:cs="仿宋"/>
          <w:sz w:val="32"/>
          <w:szCs w:val="32"/>
          <w:lang w:val="en-US" w:eastAsia="zh-CN"/>
        </w:rPr>
        <w:t>区</w:t>
      </w:r>
      <w:r>
        <w:rPr>
          <w:rFonts w:hint="eastAsia" w:ascii="仿宋" w:hAnsi="仿宋" w:eastAsia="仿宋" w:cs="仿宋"/>
          <w:sz w:val="32"/>
          <w:szCs w:val="32"/>
        </w:rPr>
        <w:t>财政统一要求按时按质地主动做好预决算公开工作，公开部门预决算在</w:t>
      </w:r>
      <w:r>
        <w:rPr>
          <w:rFonts w:hint="eastAsia" w:ascii="仿宋" w:hAnsi="仿宋" w:eastAsia="仿宋" w:cs="仿宋"/>
          <w:sz w:val="32"/>
          <w:szCs w:val="32"/>
          <w:lang w:val="en-US" w:eastAsia="zh-CN"/>
        </w:rPr>
        <w:t>区</w:t>
      </w:r>
      <w:r>
        <w:rPr>
          <w:rFonts w:hint="eastAsia" w:ascii="仿宋" w:hAnsi="仿宋" w:eastAsia="仿宋" w:cs="仿宋"/>
          <w:sz w:val="32"/>
          <w:szCs w:val="32"/>
        </w:rPr>
        <w:t>政府门户网站公示，接受社会监督。</w:t>
      </w:r>
    </w:p>
    <w:p>
      <w:pPr>
        <w:keepNext w:val="0"/>
        <w:keepLines w:val="0"/>
        <w:pageBreakBefore w:val="0"/>
        <w:widowControl w:val="0"/>
        <w:kinsoku/>
        <w:wordWrap/>
        <w:overflowPunct/>
        <w:topLinePunct w:val="0"/>
        <w:autoSpaceDE/>
        <w:autoSpaceDN/>
        <w:bidi w:val="0"/>
        <w:adjustRightInd w:val="0"/>
        <w:snapToGrid w:val="0"/>
        <w:spacing w:before="95" w:beforeLines="30" w:line="560" w:lineRule="exact"/>
        <w:ind w:firstLine="640" w:firstLineChars="200"/>
        <w:jc w:val="left"/>
        <w:textAlignment w:val="auto"/>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.绩效评价及依法接受财政监督情况。</w:t>
      </w:r>
      <w:r>
        <w:rPr>
          <w:rFonts w:hint="eastAsia" w:ascii="仿宋" w:hAnsi="仿宋" w:eastAsia="仿宋" w:cs="仿宋"/>
          <w:color w:val="000000"/>
          <w:kern w:val="0"/>
          <w:sz w:val="32"/>
          <w:szCs w:val="32"/>
          <w:shd w:val="clear" w:color="auto" w:fill="FFFFFF"/>
          <w:lang w:val="en-US" w:eastAsia="zh-CN"/>
        </w:rPr>
        <w:t>三家镇</w:t>
      </w:r>
      <w:r>
        <w:rPr>
          <w:rFonts w:hint="eastAsia" w:ascii="仿宋" w:hAnsi="仿宋" w:eastAsia="仿宋" w:cs="仿宋"/>
          <w:color w:val="000000"/>
          <w:kern w:val="0"/>
          <w:sz w:val="32"/>
          <w:szCs w:val="32"/>
          <w:shd w:val="clear" w:color="auto" w:fill="FFFFFF"/>
          <w:lang w:val="zh-CN"/>
        </w:rPr>
        <w:t>涉及绩效考评的项目：</w:t>
      </w:r>
      <w:r>
        <w:rPr>
          <w:rFonts w:hint="eastAsia" w:ascii="仿宋" w:hAnsi="仿宋" w:eastAsia="仿宋" w:cs="仿宋"/>
          <w:sz w:val="32"/>
          <w:szCs w:val="32"/>
          <w:lang w:val="en-US" w:eastAsia="zh-CN"/>
        </w:rPr>
        <w:t>环境卫生整治</w:t>
      </w:r>
      <w:r>
        <w:rPr>
          <w:rFonts w:hint="eastAsia" w:ascii="仿宋" w:hAnsi="仿宋" w:eastAsia="仿宋" w:cs="仿宋"/>
          <w:color w:val="000000"/>
          <w:kern w:val="0"/>
          <w:sz w:val="32"/>
          <w:szCs w:val="32"/>
          <w:shd w:val="clear" w:color="auto" w:fill="FFFFFF"/>
          <w:lang w:val="zh-CN"/>
        </w:rPr>
        <w:t>经费</w:t>
      </w:r>
      <w:r>
        <w:rPr>
          <w:rFonts w:hint="eastAsia" w:ascii="仿宋" w:hAnsi="仿宋" w:eastAsia="仿宋" w:cs="仿宋"/>
          <w:sz w:val="32"/>
          <w:szCs w:val="32"/>
          <w:lang w:val="en-US" w:eastAsia="zh-CN"/>
        </w:rPr>
        <w:t>45</w:t>
      </w:r>
      <w:r>
        <w:rPr>
          <w:rFonts w:hint="eastAsia" w:ascii="仿宋" w:hAnsi="仿宋" w:eastAsia="仿宋" w:cs="仿宋"/>
          <w:color w:val="000000"/>
          <w:kern w:val="0"/>
          <w:sz w:val="32"/>
          <w:szCs w:val="32"/>
          <w:shd w:val="clear" w:color="auto" w:fill="FFFFFF"/>
          <w:lang w:val="zh-CN"/>
        </w:rPr>
        <w:t>万元，主要用于</w:t>
      </w:r>
      <w:r>
        <w:rPr>
          <w:rFonts w:hint="eastAsia" w:ascii="仿宋" w:hAnsi="仿宋" w:eastAsia="仿宋" w:cs="仿宋"/>
          <w:color w:val="000000"/>
          <w:kern w:val="0"/>
          <w:sz w:val="32"/>
          <w:szCs w:val="32"/>
          <w:shd w:val="clear" w:color="auto" w:fill="FFFFFF"/>
          <w:lang w:val="en-US" w:eastAsia="zh-CN"/>
        </w:rPr>
        <w:t>镇村垃圾转运、水葫芦打捞、购买垃圾桶等工作</w:t>
      </w:r>
      <w:r>
        <w:rPr>
          <w:rFonts w:hint="eastAsia" w:ascii="仿宋" w:hAnsi="仿宋" w:eastAsia="仿宋" w:cs="仿宋"/>
          <w:color w:val="000000"/>
          <w:kern w:val="0"/>
          <w:sz w:val="32"/>
          <w:szCs w:val="32"/>
          <w:shd w:val="clear" w:color="auto" w:fill="FFFFFF"/>
          <w:lang w:val="zh-CN"/>
        </w:rPr>
        <w:t>，完成预算的</w:t>
      </w:r>
      <w:r>
        <w:rPr>
          <w:rFonts w:hint="eastAsia" w:ascii="仿宋" w:hAnsi="仿宋" w:eastAsia="仿宋" w:cs="仿宋"/>
          <w:sz w:val="32"/>
          <w:szCs w:val="32"/>
          <w:lang w:val="en-US" w:eastAsia="zh-CN"/>
        </w:rPr>
        <w:t>100</w:t>
      </w: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en-US" w:eastAsia="zh-CN"/>
        </w:rPr>
        <w:t>乡镇基础设施和场镇街道维护经费35万元，主要用于乡镇街道绿化，设施提升维护，路灯井盖维修，场镇路灯费等，完成预算的100%；乡镇人大代表监督、视察等经费2万元，主要用于人大代表监督视察产生的开支，完成预算的100%；乡镇人大代经费5.35万元，主要用于人大代表日常开支，完成预算的100%；政协委员视察经费1万元，主要用于政协视察产生的开支，完成预算的100%；维稳信访调解经费5万元，主要用于调解信访纠纷产生开支，完成预算的100%；安全生产监管经费5万元，主要用于安全生产监管产生日常开支，完成预算的100%；防灾应急救助经费5万元，主要用于防灾应急日常开支，完成预算的100%；乡镇便民服务大厅维护费及农村“三资”集体管理经费1万元，主要用于便民服务大厅人员务工费，完成预算的100%；乡镇武装部工作经费（含征兵工作经费）2万元，主要用于武装部日常开支及征兵开支，完成预算的100%；镇（街道）统计工作经费2万元，主要用于统计工作日常开支，完成预算的100%；乡镇监察工作经费3万元，主要用于监察事务，完成预算的100%；乡风文明建设经费10万元，主要用于文明城市创卫等工作，完成预算的100%；创新社区管理经费5.65万元，主要用于社区管理等工作，完成预算的100%；驻村工作队工作经费12万元，主要用于驻村工作队日常工作办公用具等物品购买产生经费，完成预算的100%；关心下一代工作专项经费3万元，主要用于离退休老干部的学习生活及青少年的健康成长环境打造；建国初期参加革命工作部分干部困难补助金1.31万元，主要用于两名建国初期参加革命工作部分退休人员的生活改善；重点乡镇综合执法执法大队协管员工资20万元，主要用于执法大队6名工作人员2022年工资；民生实事票决制项目经费5万元，主要用于人大事务民生实事票决项目；选调生到村任职工作经费13.4万元，主要用于选调生到村任职的生活补助及工作经费；严重精神障碍患者购买监护人责任保险2.6万元，主要用于精神病障碍监护者购买意外保险。</w:t>
      </w:r>
    </w:p>
    <w:p>
      <w:pPr>
        <w:keepNext w:val="0"/>
        <w:keepLines w:val="0"/>
        <w:pageBreakBefore w:val="0"/>
        <w:widowControl w:val="0"/>
        <w:kinsoku/>
        <w:wordWrap/>
        <w:overflowPunct/>
        <w:topLinePunct w:val="0"/>
        <w:autoSpaceDE/>
        <w:autoSpaceDN/>
        <w:bidi w:val="0"/>
        <w:adjustRightInd w:val="0"/>
        <w:snapToGrid w:val="0"/>
        <w:spacing w:before="95" w:beforeLines="30" w:line="56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年度</w:t>
      </w:r>
      <w:r>
        <w:rPr>
          <w:rFonts w:hint="eastAsia" w:ascii="仿宋" w:hAnsi="仿宋" w:eastAsia="仿宋" w:cs="仿宋"/>
          <w:sz w:val="32"/>
          <w:szCs w:val="32"/>
          <w:lang w:val="en-US" w:eastAsia="zh-CN"/>
        </w:rPr>
        <w:t>三家镇</w:t>
      </w:r>
      <w:r>
        <w:rPr>
          <w:rFonts w:hint="eastAsia" w:ascii="仿宋" w:hAnsi="仿宋" w:eastAsia="仿宋" w:cs="仿宋"/>
          <w:sz w:val="32"/>
          <w:szCs w:val="32"/>
        </w:rPr>
        <w:t>已经接受财政会计监督检查。</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en-US" w:eastAsia="zh-CN"/>
        </w:rPr>
      </w:pPr>
      <w:r>
        <w:rPr>
          <w:rFonts w:hint="eastAsia" w:ascii="黑体" w:eastAsia="黑体"/>
          <w:b w:val="0"/>
          <w:color w:val="auto"/>
          <w:highlight w:val="none"/>
          <w:lang w:val="en-US" w:eastAsia="zh-CN"/>
        </w:rPr>
        <w:t>四、评价结论及建议</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before="95" w:beforeLines="30" w:line="560" w:lineRule="exact"/>
        <w:ind w:firstLine="640" w:firstLineChars="200"/>
        <w:jc w:val="left"/>
        <w:textAlignment w:val="auto"/>
        <w:rPr>
          <w:rFonts w:hint="default"/>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三家镇</w:t>
      </w:r>
      <w:r>
        <w:rPr>
          <w:rFonts w:hint="eastAsia" w:ascii="仿宋" w:hAnsi="仿宋" w:eastAsia="仿宋" w:cs="仿宋"/>
          <w:sz w:val="32"/>
          <w:szCs w:val="32"/>
        </w:rPr>
        <w:t>狠抓制度建设和各项工作落实，各方面工作稳步推进，</w:t>
      </w:r>
      <w:r>
        <w:rPr>
          <w:rFonts w:hint="eastAsia" w:ascii="仿宋" w:hAnsi="仿宋" w:eastAsia="仿宋" w:cs="仿宋"/>
          <w:sz w:val="32"/>
          <w:szCs w:val="32"/>
          <w:lang w:val="en-US" w:eastAsia="zh-CN"/>
        </w:rPr>
        <w:t>顺利推进，圆满完成任务，并经村、社区居民评价，满意度为100%。</w:t>
      </w:r>
    </w:p>
    <w:p>
      <w:pPr>
        <w:pageBreakBefore w:val="0"/>
        <w:numPr>
          <w:ilvl w:val="0"/>
          <w:numId w:val="0"/>
        </w:numPr>
        <w:kinsoku/>
        <w:wordWrap/>
        <w:overflowPunct/>
        <w:topLinePunct w:val="0"/>
        <w:autoSpaceDE w:val="0"/>
        <w:autoSpaceDN w:val="0"/>
        <w:bidi w:val="0"/>
        <w:adjustRightInd w:val="0"/>
        <w:spacing w:before="95" w:beforeLines="30" w:line="560" w:lineRule="exact"/>
        <w:ind w:left="0" w:leftChars="0"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cs="Times New Roman"/>
          <w:b/>
          <w:color w:val="auto"/>
          <w:kern w:val="2"/>
          <w:sz w:val="32"/>
          <w:szCs w:val="32"/>
          <w:lang w:val="zh-CN" w:eastAsia="zh-CN" w:bidi="ar-SA"/>
        </w:rPr>
        <w:t>（</w:t>
      </w:r>
      <w:r>
        <w:rPr>
          <w:rFonts w:hint="eastAsia" w:ascii="仿宋" w:hAnsi="仿宋" w:eastAsia="仿宋" w:cs="Times New Roman"/>
          <w:b/>
          <w:color w:val="auto"/>
          <w:kern w:val="2"/>
          <w:sz w:val="32"/>
          <w:szCs w:val="32"/>
          <w:lang w:val="en-US" w:eastAsia="zh-CN" w:bidi="ar-SA"/>
        </w:rPr>
        <w:t>二</w:t>
      </w:r>
      <w:r>
        <w:rPr>
          <w:rFonts w:hint="eastAsia" w:ascii="仿宋" w:hAnsi="仿宋" w:eastAsia="仿宋" w:cs="Times New Roman"/>
          <w:b/>
          <w:color w:val="auto"/>
          <w:kern w:val="2"/>
          <w:sz w:val="32"/>
          <w:szCs w:val="32"/>
          <w:lang w:val="zh-CN" w:eastAsia="zh-CN" w:bidi="ar-SA"/>
        </w:rPr>
        <w:t>）</w:t>
      </w:r>
      <w:r>
        <w:rPr>
          <w:rFonts w:hint="eastAsia" w:ascii="仿宋" w:hAnsi="仿宋" w:eastAsia="仿宋"/>
          <w:b/>
          <w:color w:val="auto"/>
          <w:sz w:val="32"/>
          <w:szCs w:val="32"/>
          <w:highlight w:val="none"/>
          <w:lang w:val="zh-CN" w:eastAsia="zh-CN"/>
        </w:rPr>
        <w:t>存在问题。</w:t>
      </w:r>
    </w:p>
    <w:p>
      <w:pPr>
        <w:pStyle w:val="29"/>
        <w:keepNext w:val="0"/>
        <w:keepLines w:val="0"/>
        <w:pageBreakBefore w:val="0"/>
        <w:widowControl w:val="0"/>
        <w:shd w:val="clear"/>
        <w:kinsoku/>
        <w:wordWrap/>
        <w:overflowPunct/>
        <w:topLinePunct w:val="0"/>
        <w:bidi w:val="0"/>
        <w:snapToGrid/>
        <w:spacing w:before="95" w:beforeLines="30" w:beforeAutospacing="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2022年，在全镇党员干部群众的努力下，我镇虽然取得了较好的成绩，但仍然存在一定的问题。主要是：一是三家大米产业园区品牌有待进一步优化提升，农业集约化、规模化、标准化不突出。农产品数量形不成规模，品牌效益不高，市场商品化程度、占有率偏低，产业链纵向延伸不足，存在就水稻说谷米。加工环节缺乏，价值链低端产品占比大。“政、校、企”合作力度不够，产学研协同创新不足。综合竞争力不够强。二是各村基础设施发展不平衡，其他非园区的村农田有部分还未改造，渠系、田网、水肥一体化建设未全覆盖实施，如大米产业园的核心村（三门村、芦城村等）与其他村在集体经济发展和阵地建设等方面存在差距，因此吸引在外务工人员回乡创业成效不佳，一定程度上影响基层工作推进。</w:t>
      </w:r>
    </w:p>
    <w:p>
      <w:pPr>
        <w:pageBreakBefore w:val="0"/>
        <w:kinsoku/>
        <w:wordWrap/>
        <w:overflowPunct/>
        <w:topLinePunct w:val="0"/>
        <w:autoSpaceDE w:val="0"/>
        <w:autoSpaceDN w:val="0"/>
        <w:bidi w:val="0"/>
        <w:adjustRightInd w:val="0"/>
        <w:spacing w:before="95" w:beforeLines="30"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（三）改进建议。</w:t>
      </w:r>
    </w:p>
    <w:p>
      <w:pPr>
        <w:pageBreakBefore w:val="0"/>
        <w:kinsoku/>
        <w:wordWrap/>
        <w:overflowPunct/>
        <w:topLinePunct w:val="0"/>
        <w:autoSpaceDE w:val="0"/>
        <w:autoSpaceDN w:val="0"/>
        <w:bidi w:val="0"/>
        <w:adjustRightInd w:val="0"/>
        <w:spacing w:before="95" w:beforeLines="3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适当增加工作经费，加强宣传，加快整治步伐，加强监督和考核。</w:t>
      </w:r>
    </w:p>
    <w:p>
      <w:pPr>
        <w:pStyle w:val="2"/>
        <w:rPr>
          <w:rFonts w:hint="eastAsia"/>
          <w:lang w:val="zh-CN" w:eastAsia="zh-CN"/>
        </w:rPr>
      </w:pPr>
      <w:r>
        <w:rPr>
          <w:rFonts w:hint="eastAsia" w:ascii="仿宋_GB2312" w:hAnsi="Calibri" w:eastAsia="仿宋_GB2312" w:cs="仿宋"/>
          <w:color w:val="auto"/>
          <w:kern w:val="0"/>
          <w:sz w:val="32"/>
          <w:szCs w:val="32"/>
          <w:highlight w:val="none"/>
          <w:lang w:val="zh-CN" w:eastAsia="zh-CN" w:bidi="ar-SA"/>
        </w:rPr>
        <w:t>附件：专项预算项目支出绩效自评表</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712"/>
        <w:gridCol w:w="770"/>
        <w:gridCol w:w="540"/>
        <w:gridCol w:w="1684"/>
        <w:gridCol w:w="2664"/>
        <w:gridCol w:w="643"/>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2022年专项预算项目支出绩效评价表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9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自评得分</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部门预算管理（80分）</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预算编制（30分）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评价部门绩效目标是否要素完整、细化量化。</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评价部门绩效目标实际实现程度与预期目标的偏离度。</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编制准确</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评价部门年初预算编制是否科学准确。</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指标得分=（1-（10×部门全年预算调剂金额/年初部门预算数））*指标分值。其中：若部门全年预算调剂金额/年初部门预算数&gt;0.1，此项得0分。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预算执行（30分）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动态调整</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6、9、11月部门预算执行进度达到量化指标的分别得3、4、3分，未达到目标进度</w:t>
            </w:r>
            <w:bookmarkStart w:id="67" w:name="_GoBack"/>
            <w:bookmarkEnd w:id="67"/>
            <w:r>
              <w:rPr>
                <w:rFonts w:hint="eastAsia" w:ascii="宋体" w:hAnsi="宋体" w:eastAsia="宋体" w:cs="宋体"/>
                <w:i w:val="0"/>
                <w:iCs w:val="0"/>
                <w:color w:val="000000"/>
                <w:kern w:val="0"/>
                <w:sz w:val="24"/>
                <w:szCs w:val="24"/>
                <w:u w:val="none"/>
                <w:lang w:val="en-US" w:eastAsia="zh-CN" w:bidi="ar"/>
              </w:rPr>
              <w:t xml:space="preserve">的按其实际进度占目标进度的比重计算得分。                                             </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完成结果（20分）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预算完成</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评价部门预算项目年终预算执行情况。</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部门预算项目12月预算执行进度达到100%的，得10分，未达100%的，按照实际进度量化计算得分。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根据审计监督、财政检查结果反映部门上一年度部门预算管理是否合规。</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依据评价年度审计监督、财政检查结果，出现部门预算管理方面违纪违规问题的，每个问题扣0.5分，直至扣完。</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信息公开（2分)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按要求将相关绩效信息随同决算公开的，得2分，否则不得分。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整改反馈（8分）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结果整改</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部门在规定时间内向财政部门反馈应用绩效结果报告的，得满分，否则不得分。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自评准确</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评价部门整体支出自评准确率。</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总得分：95分</w:t>
            </w:r>
          </w:p>
        </w:tc>
      </w:tr>
    </w:tbl>
    <w:p>
      <w:pPr>
        <w:pStyle w:val="17"/>
        <w:keepNext w:val="0"/>
        <w:keepLines w:val="0"/>
        <w:pageBreakBefore w:val="0"/>
        <w:numPr>
          <w:ilvl w:val="0"/>
          <w:numId w:val="0"/>
        </w:numPr>
        <w:kinsoku/>
        <w:wordWrap/>
        <w:overflowPunct/>
        <w:topLinePunct w:val="0"/>
        <w:autoSpaceDE/>
        <w:autoSpaceDN/>
        <w:bidi w:val="0"/>
        <w:spacing w:before="95" w:beforeLines="30" w:line="560" w:lineRule="exact"/>
        <w:textAlignment w:val="auto"/>
        <w:rPr>
          <w:rFonts w:hint="eastAsia" w:hAnsi="Times New Roman" w:cs="Times New Roman"/>
          <w:color w:val="auto"/>
          <w:sz w:val="32"/>
          <w:szCs w:val="32"/>
          <w:highlight w:val="none"/>
          <w:lang w:val="zh-CN" w:eastAsia="zh-CN"/>
        </w:rPr>
      </w:pPr>
    </w:p>
    <w:p>
      <w:pPr>
        <w:pStyle w:val="7"/>
        <w:pageBreakBefore w:val="0"/>
        <w:kinsoku/>
        <w:wordWrap/>
        <w:overflowPunct/>
        <w:topLinePunct w:val="0"/>
        <w:bidi w:val="0"/>
        <w:spacing w:before="95" w:beforeLines="30" w:line="560" w:lineRule="exact"/>
        <w:textAlignment w:val="auto"/>
        <w:rPr>
          <w:rFonts w:hint="eastAsia" w:hAnsi="宋体" w:cs="宋体"/>
          <w:color w:val="auto"/>
          <w:kern w:val="0"/>
          <w:sz w:val="32"/>
          <w:szCs w:val="32"/>
          <w:highlight w:val="none"/>
          <w:shd w:val="clear" w:color="auto" w:fill="FFFFFF"/>
          <w:lang w:val="zh-CN"/>
        </w:rPr>
      </w:pPr>
    </w:p>
    <w:p>
      <w:pPr>
        <w:pStyle w:val="7"/>
        <w:pageBreakBefore w:val="0"/>
        <w:kinsoku/>
        <w:wordWrap/>
        <w:overflowPunct/>
        <w:topLinePunct w:val="0"/>
        <w:bidi w:val="0"/>
        <w:spacing w:before="95" w:beforeLines="30" w:line="560" w:lineRule="exact"/>
        <w:textAlignment w:val="auto"/>
        <w:rPr>
          <w:rFonts w:hint="eastAsia" w:hAnsi="宋体" w:cs="宋体"/>
          <w:color w:val="auto"/>
          <w:kern w:val="0"/>
          <w:sz w:val="32"/>
          <w:szCs w:val="32"/>
          <w:highlight w:val="none"/>
          <w:shd w:val="clear" w:color="auto" w:fill="FFFFFF"/>
          <w:lang w:val="zh-CN"/>
        </w:rPr>
      </w:pPr>
    </w:p>
    <w:p>
      <w:pPr>
        <w:pStyle w:val="7"/>
        <w:pageBreakBefore w:val="0"/>
        <w:kinsoku/>
        <w:wordWrap/>
        <w:overflowPunct/>
        <w:topLinePunct w:val="0"/>
        <w:bidi w:val="0"/>
        <w:spacing w:before="95" w:beforeLines="30" w:line="560" w:lineRule="exact"/>
        <w:textAlignment w:val="auto"/>
        <w:rPr>
          <w:rFonts w:hint="eastAsia" w:hAnsi="宋体" w:cs="宋体"/>
          <w:color w:val="auto"/>
          <w:kern w:val="0"/>
          <w:sz w:val="32"/>
          <w:szCs w:val="32"/>
          <w:highlight w:val="none"/>
          <w:shd w:val="clear" w:color="auto" w:fill="FFFFFF"/>
          <w:lang w:val="zh-CN"/>
        </w:rPr>
      </w:pPr>
    </w:p>
    <w:p>
      <w:pPr>
        <w:pStyle w:val="7"/>
        <w:pageBreakBefore w:val="0"/>
        <w:kinsoku/>
        <w:wordWrap/>
        <w:overflowPunct/>
        <w:topLinePunct w:val="0"/>
        <w:bidi w:val="0"/>
        <w:spacing w:before="95" w:beforeLines="30" w:line="560" w:lineRule="exact"/>
        <w:textAlignment w:val="auto"/>
        <w:rPr>
          <w:rFonts w:hint="eastAsia" w:hAnsi="宋体" w:cs="宋体"/>
          <w:color w:val="auto"/>
          <w:kern w:val="0"/>
          <w:sz w:val="32"/>
          <w:szCs w:val="32"/>
          <w:highlight w:val="none"/>
          <w:shd w:val="clear" w:color="auto" w:fill="FFFFFF"/>
          <w:lang w:val="zh-CN"/>
        </w:rPr>
      </w:pPr>
    </w:p>
    <w:p>
      <w:pPr>
        <w:pStyle w:val="7"/>
        <w:pageBreakBefore w:val="0"/>
        <w:kinsoku/>
        <w:wordWrap/>
        <w:overflowPunct/>
        <w:topLinePunct w:val="0"/>
        <w:bidi w:val="0"/>
        <w:spacing w:before="95" w:beforeLines="30" w:line="560" w:lineRule="exact"/>
        <w:textAlignment w:val="auto"/>
        <w:rPr>
          <w:rFonts w:hint="eastAsia" w:hAnsi="宋体" w:cs="宋体"/>
          <w:color w:val="auto"/>
          <w:kern w:val="0"/>
          <w:sz w:val="32"/>
          <w:szCs w:val="32"/>
          <w:highlight w:val="none"/>
          <w:shd w:val="clear" w:color="auto" w:fill="FFFFFF"/>
          <w:lang w:val="zh-CN"/>
        </w:rPr>
      </w:pPr>
    </w:p>
    <w:p>
      <w:pPr>
        <w:pStyle w:val="7"/>
        <w:pageBreakBefore w:val="0"/>
        <w:kinsoku/>
        <w:wordWrap/>
        <w:overflowPunct/>
        <w:topLinePunct w:val="0"/>
        <w:bidi w:val="0"/>
        <w:spacing w:before="95" w:beforeLines="30" w:line="560" w:lineRule="exact"/>
        <w:textAlignment w:val="auto"/>
        <w:outlineLvl w:val="1"/>
        <w:rPr>
          <w:rFonts w:hint="eastAsia" w:hAnsi="宋体" w:cs="宋体"/>
          <w:color w:val="auto"/>
          <w:kern w:val="0"/>
          <w:sz w:val="32"/>
          <w:szCs w:val="32"/>
          <w:highlight w:val="none"/>
          <w:shd w:val="clear" w:color="auto" w:fill="FFFFFF"/>
          <w:lang w:val="zh-CN"/>
        </w:rPr>
      </w:pPr>
    </w:p>
    <w:p>
      <w:pPr>
        <w:pStyle w:val="7"/>
        <w:pageBreakBefore w:val="0"/>
        <w:kinsoku/>
        <w:wordWrap/>
        <w:overflowPunct/>
        <w:topLinePunct w:val="0"/>
        <w:bidi w:val="0"/>
        <w:spacing w:before="95" w:beforeLines="30" w:line="560" w:lineRule="exact"/>
        <w:textAlignment w:val="auto"/>
        <w:outlineLvl w:val="1"/>
        <w:rPr>
          <w:rFonts w:hint="eastAsia" w:hAnsi="宋体" w:cs="宋体"/>
          <w:color w:val="auto"/>
          <w:kern w:val="0"/>
          <w:sz w:val="32"/>
          <w:szCs w:val="32"/>
          <w:highlight w:val="none"/>
          <w:shd w:val="clear" w:color="auto" w:fill="FFFFFF"/>
          <w:lang w:val="zh-CN"/>
        </w:rPr>
      </w:pPr>
    </w:p>
    <w:p>
      <w:pPr>
        <w:pStyle w:val="7"/>
        <w:pageBreakBefore w:val="0"/>
        <w:kinsoku/>
        <w:wordWrap/>
        <w:overflowPunct/>
        <w:topLinePunct w:val="0"/>
        <w:bidi w:val="0"/>
        <w:spacing w:before="95" w:beforeLines="30" w:line="560" w:lineRule="exact"/>
        <w:textAlignment w:val="auto"/>
        <w:outlineLvl w:val="1"/>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lang w:val="en-US" w:eastAsia="zh-CN"/>
        </w:rPr>
        <w:t>2022年维稳信访调解项目绩效自评报告</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一、项目概况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（一）项目基本情况。</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该项目由三家镇人民政府负责核实项目开展情况，并按照财政资金管理相关规定监管、使用项目资金</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hint="eastAsia" w:ascii="仿宋_GB2312" w:hAnsi="宋体" w:eastAsia="仿宋_GB2312"/>
          <w:sz w:val="32"/>
          <w:szCs w:val="32"/>
          <w:lang w:val="en-US" w:eastAsia="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根据乡镇人民政府维稳信访调解职能职责设立，紧紧围绕区委、区政府工作大局，维护国家政治安全、确保社会大局稳定、促进社会公平正义、保障人民安居乐业，为全面建成小康社会创造安全的政治环境、稳定的社会环境、公正的法治环境和优质的服务环境。</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该项目资金用于辖区维稳、信访和矛盾纠纷调解工作经费开支，实报实销、据实核拨</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该项目资金额度根据历年使用情况，结合辖区工作实际预算，由镇人民政府统筹安排使用</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（二）项目绩效目标。</w:t>
      </w:r>
    </w:p>
    <w:p>
      <w:pPr>
        <w:pageBreakBefore w:val="0"/>
        <w:numPr>
          <w:ilvl w:val="0"/>
          <w:numId w:val="0"/>
        </w:numPr>
        <w:kinsoku/>
        <w:wordWrap/>
        <w:overflowPunct/>
        <w:topLinePunct w:val="0"/>
        <w:bidi w:val="0"/>
        <w:snapToGrid w:val="0"/>
        <w:spacing w:before="95" w:beforeLines="30" w:line="560" w:lineRule="exact"/>
        <w:ind w:firstLine="640" w:firstLineChars="200"/>
        <w:textAlignment w:val="auto"/>
        <w:rPr>
          <w:rFonts w:hint="eastAsia" w:ascii="仿宋_GB2312" w:hAnsi="宋体" w:eastAsia="仿宋_GB2312"/>
          <w:sz w:val="32"/>
          <w:szCs w:val="32"/>
          <w:lang w:val="en-US"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hAnsi="宋体" w:eastAsia="仿宋_GB2312"/>
          <w:sz w:val="32"/>
          <w:szCs w:val="32"/>
          <w:lang w:val="en-US" w:eastAsia="zh-CN"/>
        </w:rPr>
        <w:t>开展辖区信访维稳、纠纷调解、社会治安综合治理等工作。</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cs="Times New Roman"/>
          <w:color w:val="auto"/>
          <w:sz w:val="32"/>
          <w:szCs w:val="32"/>
          <w:highlight w:val="none"/>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r>
        <w:rPr>
          <w:rFonts w:hint="eastAsia" w:ascii="仿宋_GB2312" w:hAnsi="宋体" w:eastAsia="仿宋_GB2312"/>
          <w:sz w:val="32"/>
          <w:szCs w:val="32"/>
          <w:lang w:val="en-US" w:eastAsia="zh-CN"/>
        </w:rPr>
        <w:t>确保辖区稳定，信访处理及时，矛盾纠纷调解到位，社会治安综合治理工作顺利开展</w:t>
      </w:r>
      <w:r>
        <w:rPr>
          <w:rFonts w:hint="eastAsia" w:ascii="仿宋_GB2312" w:hAnsi="宋体" w:eastAsia="仿宋_GB2312"/>
          <w:sz w:val="32"/>
          <w:szCs w:val="32"/>
          <w:lang w:val="zh-CN"/>
        </w:rPr>
        <w:t>，各类暴力犯罪案件得到有效遏制，人民群众的安全感显著提高。</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（三）项目自评步骤及方法。</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通过数据采集、实地调研、翻看凭证等获得数据和资料，客观评价资金使用效益；通过走访和入户调查群众满意度，客观评价项目实施获得的社会效益</w:t>
      </w:r>
      <w:r>
        <w:rPr>
          <w:rFonts w:hint="eastAsia" w:ascii="仿宋_GB2312" w:hAnsi="宋体" w:eastAsia="仿宋_GB2312"/>
          <w:sz w:val="32"/>
          <w:szCs w:val="32"/>
          <w:lang w:val="zh-CN" w:eastAsia="zh-CN"/>
        </w:rPr>
        <w:t>。</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二、项目资金申报及使用情况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（一）项目资金申报及批复情况。</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该项目资金根据历年使用情况，结合我镇实际，在预算控制额度内编制，区财政批复纳入预算金额5万元</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（二）资金计划、到位及使用情况（可用表格形式反映）。</w:t>
      </w:r>
    </w:p>
    <w:p>
      <w:pPr>
        <w:pageBreakBefore w:val="0"/>
        <w:kinsoku/>
        <w:wordWrap/>
        <w:overflowPunct/>
        <w:topLinePunct w:val="0"/>
        <w:bidi w:val="0"/>
        <w:adjustRightInd w:val="0"/>
        <w:snapToGrid w:val="0"/>
        <w:spacing w:before="95" w:beforeLines="30" w:line="560" w:lineRule="exact"/>
        <w:ind w:firstLine="720"/>
        <w:textAlignment w:val="auto"/>
        <w:rPr>
          <w:rFonts w:hint="default" w:ascii="楷体_GB2312" w:hAnsi="宋体" w:eastAsia="楷体_GB2312"/>
          <w:sz w:val="32"/>
          <w:szCs w:val="32"/>
          <w:lang w:val="en-US" w:eastAsia="zh-CN"/>
        </w:rPr>
      </w:pPr>
      <w:r>
        <w:rPr>
          <w:rFonts w:hint="eastAsia" w:ascii="仿宋_GB2312" w:hAnsi="宋体" w:eastAsia="仿宋_GB2312"/>
          <w:sz w:val="32"/>
          <w:szCs w:val="32"/>
          <w:lang w:val="en-US" w:eastAsia="zh-CN"/>
        </w:rPr>
        <w:t>该项目资金全年预算数5万元，实际到位5万元，执行数5万元，执行率100%。项目资金均用于信访维稳和调解工作，坚持专款专用、量入为出的原则，严格落实专项资金的申拨、使用审批手续，支付依据合规。</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（三）项目财务管理情况。</w:t>
      </w:r>
    </w:p>
    <w:p>
      <w:pPr>
        <w:keepNext w:val="0"/>
        <w:keepLines w:val="0"/>
        <w:pageBreakBefore w:val="0"/>
        <w:kinsoku/>
        <w:wordWrap/>
        <w:overflowPunct/>
        <w:topLinePunct w:val="0"/>
        <w:autoSpaceDE/>
        <w:autoSpaceDN/>
        <w:bidi w:val="0"/>
        <w:adjustRightInd w:val="0"/>
        <w:snapToGrid w:val="0"/>
        <w:spacing w:before="95" w:beforeLines="30" w:line="56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en-US" w:eastAsia="zh-CN"/>
        </w:rPr>
        <w:t>三家镇内设财政机构，负责所有财政资金的监管工作，建立了</w:t>
      </w:r>
      <w:r>
        <w:rPr>
          <w:rFonts w:hint="eastAsia" w:ascii="仿宋_GB2312" w:hAnsi="宋体" w:eastAsia="仿宋_GB2312"/>
          <w:sz w:val="32"/>
          <w:szCs w:val="32"/>
          <w:lang w:val="zh-CN"/>
        </w:rPr>
        <w:t>健全</w:t>
      </w:r>
      <w:r>
        <w:rPr>
          <w:rFonts w:hint="eastAsia" w:ascii="仿宋_GB2312" w:hAnsi="宋体" w:eastAsia="仿宋_GB2312"/>
          <w:sz w:val="32"/>
          <w:szCs w:val="32"/>
          <w:lang w:val="en-US" w:eastAsia="zh-CN"/>
        </w:rPr>
        <w:t>的</w:t>
      </w:r>
      <w:r>
        <w:rPr>
          <w:rFonts w:hint="eastAsia" w:ascii="仿宋_GB2312" w:hAnsi="宋体" w:eastAsia="仿宋_GB2312"/>
          <w:sz w:val="32"/>
          <w:szCs w:val="32"/>
          <w:lang w:val="zh-CN"/>
        </w:rPr>
        <w:t>财务管理制度，严格</w:t>
      </w:r>
      <w:r>
        <w:rPr>
          <w:rFonts w:hint="eastAsia" w:ascii="仿宋_GB2312" w:hAnsi="宋体" w:eastAsia="仿宋_GB2312"/>
          <w:sz w:val="32"/>
          <w:szCs w:val="32"/>
          <w:lang w:val="en-US" w:eastAsia="zh-CN"/>
        </w:rPr>
        <w:t>执行财务制度规定，</w:t>
      </w:r>
      <w:r>
        <w:rPr>
          <w:rFonts w:hint="eastAsia" w:ascii="仿宋_GB2312" w:hAnsi="宋体" w:eastAsia="仿宋_GB2312"/>
          <w:sz w:val="32"/>
          <w:szCs w:val="32"/>
          <w:lang w:val="zh-CN"/>
        </w:rPr>
        <w:t>账务处理及时，会计核算规范，</w:t>
      </w:r>
      <w:r>
        <w:rPr>
          <w:rFonts w:hint="eastAsia" w:ascii="仿宋_GB2312" w:hAnsi="宋体" w:eastAsia="仿宋_GB2312"/>
          <w:sz w:val="32"/>
          <w:szCs w:val="32"/>
          <w:lang w:val="en-US" w:eastAsia="zh-CN"/>
        </w:rPr>
        <w:t>能有效保障财政资金安全，确保项目顺利实施。</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三、项目实施及管理情况</w:t>
      </w:r>
    </w:p>
    <w:p>
      <w:pPr>
        <w:pageBreakBefore w:val="0"/>
        <w:kinsoku/>
        <w:wordWrap/>
        <w:overflowPunct/>
        <w:topLinePunct w:val="0"/>
        <w:bidi w:val="0"/>
        <w:spacing w:before="95" w:beforeLines="30" w:line="560" w:lineRule="exact"/>
        <w:ind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t>该项目属于日常运转经费保障项目，主要用于保障维稳信访和纠纷调解工作，由镇人民政府统一组织实施，根据工作开展实际，据实申拨项目资金。</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四、项目绩效情况</w:t>
      </w:r>
      <w:r>
        <w:rPr>
          <w:rFonts w:hint="eastAsia" w:ascii="黑体" w:eastAsia="黑体"/>
          <w:b w:val="0"/>
          <w:color w:val="auto"/>
          <w:highlight w:val="none"/>
          <w:lang w:val="zh-CN" w:eastAsia="zh-CN"/>
        </w:rPr>
        <w:tab/>
      </w:r>
    </w:p>
    <w:p>
      <w:pPr>
        <w:pageBreakBefore w:val="0"/>
        <w:widowControl/>
        <w:kinsoku/>
        <w:wordWrap/>
        <w:overflowPunct/>
        <w:topLinePunct w:val="0"/>
        <w:bidi w:val="0"/>
        <w:adjustRightInd w:val="0"/>
        <w:snapToGrid w:val="0"/>
        <w:spacing w:before="95" w:beforeLines="30" w:after="4308" w:afterLines="1380" w:afterAutospacing="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（一）项目完成情况。</w:t>
      </w:r>
    </w:p>
    <w:p>
      <w:pPr>
        <w:keepNext w:val="0"/>
        <w:keepLines w:val="0"/>
        <w:pageBreakBefore w:val="0"/>
        <w:kinsoku/>
        <w:wordWrap/>
        <w:overflowPunct/>
        <w:topLinePunct w:val="0"/>
        <w:autoSpaceDE/>
        <w:autoSpaceDN/>
        <w:bidi w:val="0"/>
        <w:adjustRightInd w:val="0"/>
        <w:snapToGrid w:val="0"/>
        <w:spacing w:before="95" w:beforeLines="30" w:beforeAutospacing="0" w:line="560" w:lineRule="exact"/>
        <w:ind w:firstLine="720"/>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cs="仿宋_GB2312"/>
          <w:i w:val="0"/>
          <w:caps w:val="0"/>
          <w:color w:val="000000"/>
          <w:spacing w:val="0"/>
          <w:sz w:val="32"/>
          <w:szCs w:val="32"/>
          <w:shd w:val="clear" w:color="auto" w:fill="FFFFFF"/>
          <w:lang w:eastAsia="zh-CN"/>
        </w:rPr>
        <w:t>三家</w:t>
      </w:r>
      <w:r>
        <w:rPr>
          <w:rFonts w:ascii="仿宋_GB2312" w:hAnsi="宋体" w:eastAsia="仿宋_GB2312" w:cs="仿宋_GB2312"/>
          <w:i w:val="0"/>
          <w:caps w:val="0"/>
          <w:color w:val="000000"/>
          <w:spacing w:val="0"/>
          <w:sz w:val="32"/>
          <w:szCs w:val="32"/>
          <w:shd w:val="clear" w:color="auto" w:fill="FFFFFF"/>
        </w:rPr>
        <w:t>镇</w:t>
      </w:r>
      <w:r>
        <w:rPr>
          <w:rFonts w:hint="eastAsia" w:ascii="仿宋_GB2312" w:hAnsi="宋体" w:eastAsia="仿宋_GB2312" w:cs="仿宋_GB2312"/>
          <w:i w:val="0"/>
          <w:caps w:val="0"/>
          <w:color w:val="000000"/>
          <w:spacing w:val="0"/>
          <w:sz w:val="32"/>
          <w:szCs w:val="32"/>
          <w:shd w:val="clear" w:color="auto" w:fill="FFFFFF"/>
          <w:lang w:eastAsia="zh-CN"/>
        </w:rPr>
        <w:t>维稳信访调解</w:t>
      </w:r>
      <w:r>
        <w:rPr>
          <w:rFonts w:ascii="仿宋_GB2312" w:hAnsi="宋体" w:eastAsia="仿宋_GB2312" w:cs="仿宋_GB2312"/>
          <w:i w:val="0"/>
          <w:caps w:val="0"/>
          <w:color w:val="000000"/>
          <w:spacing w:val="0"/>
          <w:sz w:val="32"/>
          <w:szCs w:val="32"/>
          <w:shd w:val="clear" w:color="auto" w:fill="FFFFFF"/>
        </w:rPr>
        <w:t>项目</w:t>
      </w:r>
      <w:r>
        <w:rPr>
          <w:rFonts w:hint="eastAsia" w:ascii="仿宋_GB2312" w:hAnsi="宋体" w:eastAsia="仿宋_GB2312" w:cs="仿宋_GB2312"/>
          <w:i w:val="0"/>
          <w:caps w:val="0"/>
          <w:color w:val="000000"/>
          <w:spacing w:val="0"/>
          <w:sz w:val="32"/>
          <w:szCs w:val="32"/>
          <w:shd w:val="clear" w:color="auto" w:fill="FFFFFF"/>
          <w:lang w:val="en-US" w:eastAsia="zh-CN"/>
        </w:rPr>
        <w:t>保障了三家镇</w:t>
      </w:r>
      <w:r>
        <w:rPr>
          <w:rFonts w:ascii="仿宋_GB2312" w:hAnsi="宋体" w:eastAsia="仿宋_GB2312" w:cs="仿宋_GB2312"/>
          <w:i w:val="0"/>
          <w:caps w:val="0"/>
          <w:color w:val="000000"/>
          <w:spacing w:val="0"/>
          <w:sz w:val="32"/>
          <w:szCs w:val="32"/>
          <w:shd w:val="clear" w:color="auto" w:fill="FFFFFF"/>
        </w:rPr>
        <w:t>防控体系持续加强，社会治安可控度不断提高</w:t>
      </w:r>
      <w:r>
        <w:rPr>
          <w:rFonts w:hint="eastAsia" w:ascii="仿宋_GB2312" w:hAnsi="宋体" w:eastAsia="仿宋_GB2312" w:cs="仿宋_GB2312"/>
          <w:i w:val="0"/>
          <w:caps w:val="0"/>
          <w:color w:val="000000"/>
          <w:spacing w:val="0"/>
          <w:sz w:val="32"/>
          <w:szCs w:val="32"/>
          <w:shd w:val="clear" w:color="auto" w:fill="FFFFFF"/>
          <w:lang w:eastAsia="zh-CN"/>
        </w:rPr>
        <w:t>，</w:t>
      </w:r>
      <w:r>
        <w:rPr>
          <w:rFonts w:ascii="仿宋_GB2312" w:hAnsi="宋体" w:eastAsia="仿宋_GB2312" w:cs="仿宋_GB2312"/>
          <w:i w:val="0"/>
          <w:caps w:val="0"/>
          <w:color w:val="000000"/>
          <w:spacing w:val="0"/>
          <w:sz w:val="32"/>
          <w:szCs w:val="32"/>
          <w:shd w:val="clear" w:color="auto" w:fill="FFFFFF"/>
        </w:rPr>
        <w:t>依法治访保稳提质，诉求解决满意率不断提升</w:t>
      </w:r>
      <w:r>
        <w:rPr>
          <w:rFonts w:hint="eastAsia" w:ascii="仿宋_GB2312" w:hAnsi="宋体" w:eastAsia="仿宋_GB2312" w:cs="仿宋_GB2312"/>
          <w:i w:val="0"/>
          <w:caps w:val="0"/>
          <w:color w:val="000000"/>
          <w:spacing w:val="0"/>
          <w:sz w:val="32"/>
          <w:szCs w:val="32"/>
          <w:shd w:val="clear" w:color="auto" w:fill="FFFFFF"/>
          <w:lang w:eastAsia="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（二）项目效益情况。</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通过社会治安满意度、信访处置率、纠纷调解率等指标综合分析，该项目社会效益和群众满意度较高，绩效自评综合得分96分</w:t>
      </w:r>
      <w:r>
        <w:rPr>
          <w:rFonts w:hint="eastAsia" w:ascii="仿宋_GB2312" w:hAnsi="宋体" w:eastAsia="仿宋_GB2312"/>
          <w:sz w:val="32"/>
          <w:szCs w:val="32"/>
          <w:lang w:val="zh-CN"/>
        </w:rPr>
        <w:t>。</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五、评价结论及建议</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（一）评价结论。</w:t>
      </w:r>
    </w:p>
    <w:p>
      <w:pPr>
        <w:keepNext w:val="0"/>
        <w:keepLines w:val="0"/>
        <w:pageBreakBefore w:val="0"/>
        <w:kinsoku/>
        <w:wordWrap/>
        <w:overflowPunct/>
        <w:topLinePunct w:val="0"/>
        <w:autoSpaceDE/>
        <w:autoSpaceDN/>
        <w:bidi w:val="0"/>
        <w:adjustRightInd w:val="0"/>
        <w:snapToGrid w:val="0"/>
        <w:spacing w:before="95" w:beforeLines="30" w:line="56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cs="Times New Roman"/>
          <w:color w:val="auto"/>
          <w:sz w:val="32"/>
          <w:szCs w:val="32"/>
          <w:highlight w:val="none"/>
          <w:lang w:val="en-US" w:eastAsia="zh-CN"/>
        </w:rPr>
        <w:t>该项目保障了三家镇</w:t>
      </w:r>
      <w:r>
        <w:rPr>
          <w:rFonts w:hint="eastAsia" w:ascii="仿宋_GB2312" w:hAnsi="宋体" w:eastAsia="仿宋_GB2312"/>
          <w:sz w:val="32"/>
          <w:szCs w:val="32"/>
          <w:lang w:val="en-US" w:eastAsia="zh-CN"/>
        </w:rPr>
        <w:t>维稳信访和纠纷调解工作，</w:t>
      </w:r>
      <w:r>
        <w:rPr>
          <w:rFonts w:ascii="仿宋_GB2312" w:hAnsi="宋体" w:eastAsia="仿宋_GB2312" w:cs="仿宋_GB2312"/>
          <w:i w:val="0"/>
          <w:caps w:val="0"/>
          <w:color w:val="000000"/>
          <w:spacing w:val="0"/>
          <w:sz w:val="32"/>
          <w:szCs w:val="32"/>
          <w:shd w:val="clear" w:color="auto" w:fill="FFFFFF"/>
        </w:rPr>
        <w:t>社会治安可控度不断提高</w:t>
      </w:r>
      <w:r>
        <w:rPr>
          <w:rFonts w:hint="eastAsia" w:ascii="仿宋_GB2312" w:hAnsi="宋体" w:eastAsia="仿宋_GB2312" w:cs="仿宋_GB2312"/>
          <w:i w:val="0"/>
          <w:caps w:val="0"/>
          <w:color w:val="000000"/>
          <w:spacing w:val="0"/>
          <w:sz w:val="32"/>
          <w:szCs w:val="32"/>
          <w:shd w:val="clear" w:color="auto" w:fill="FFFFFF"/>
          <w:lang w:eastAsia="zh-CN"/>
        </w:rPr>
        <w:t>，</w:t>
      </w:r>
      <w:r>
        <w:rPr>
          <w:rFonts w:hint="eastAsia" w:ascii="仿宋_GB2312" w:hAnsi="宋体" w:eastAsia="仿宋_GB2312" w:cs="仿宋_GB2312"/>
          <w:i w:val="0"/>
          <w:caps w:val="0"/>
          <w:color w:val="000000"/>
          <w:spacing w:val="0"/>
          <w:sz w:val="32"/>
          <w:szCs w:val="32"/>
          <w:shd w:val="clear" w:color="auto" w:fill="FFFFFF"/>
          <w:lang w:val="en-US" w:eastAsia="zh-CN"/>
        </w:rPr>
        <w:t>提升了人民群众幸福感、安全感</w:t>
      </w:r>
      <w:r>
        <w:rPr>
          <w:rFonts w:hint="eastAsia" w:ascii="仿宋_GB2312" w:hAnsi="宋体" w:eastAsia="仿宋_GB2312" w:cs="Times New Roman"/>
          <w:color w:val="auto"/>
          <w:sz w:val="32"/>
          <w:szCs w:val="32"/>
          <w:highlight w:val="none"/>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（二）存在的问题。</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随着乡镇行政区划调整改革完成，三家镇行政区划扩大，辖区人口增多，维稳压力日益增大、信访和纠纷发生率进一步升高，工作开展难度较大，经费保障乏力</w:t>
      </w:r>
      <w:r>
        <w:rPr>
          <w:rFonts w:hint="eastAsia" w:ascii="仿宋_GB2312" w:hAnsi="宋体" w:eastAsia="仿宋_GB2312"/>
          <w:sz w:val="32"/>
          <w:szCs w:val="32"/>
          <w:lang w:val="zh-CN"/>
        </w:rPr>
        <w:t>。</w:t>
      </w:r>
      <w:r>
        <w:rPr>
          <w:rFonts w:hint="eastAsia" w:ascii="仿宋_GB2312" w:hAnsi="Calibri" w:eastAsia="仿宋_GB2312" w:cs="仿宋"/>
          <w:color w:val="auto"/>
          <w:kern w:val="0"/>
          <w:sz w:val="32"/>
          <w:szCs w:val="32"/>
          <w:highlight w:val="none"/>
          <w:lang w:val="zh-CN" w:eastAsia="zh-CN" w:bidi="ar-SA"/>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（三）相关建议。</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健全社会治安综合治理体系，进一步加大项目资金保障力度，确保维稳信访和纠纷调解工作开展有力</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Style w:val="31"/>
          <w:rFonts w:ascii="黑体" w:hAnsi="黑体" w:eastAsia="黑体"/>
          <w:b w:val="0"/>
          <w:color w:val="auto"/>
          <w:highlight w:val="none"/>
        </w:rPr>
      </w:pPr>
      <w:r>
        <w:rPr>
          <w:rStyle w:val="31"/>
          <w:rFonts w:ascii="黑体" w:hAnsi="黑体" w:eastAsia="黑体"/>
          <w:b w:val="0"/>
          <w:color w:val="auto"/>
          <w:highlight w:val="none"/>
        </w:rPr>
        <w:br w:type="page"/>
      </w:r>
    </w:p>
    <w:p>
      <w:pPr>
        <w:pStyle w:val="7"/>
        <w:pageBreakBefore w:val="0"/>
        <w:kinsoku/>
        <w:wordWrap/>
        <w:overflowPunct/>
        <w:topLinePunct w:val="0"/>
        <w:bidi w:val="0"/>
        <w:spacing w:before="95" w:beforeLines="30" w:line="560" w:lineRule="exact"/>
        <w:textAlignment w:val="auto"/>
        <w:outlineLvl w:val="1"/>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附件3</w:t>
      </w: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lang w:val="en-US" w:eastAsia="zh-CN"/>
        </w:rPr>
        <w:t>2022年乡风文明建设项目绩效自评报告</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一、项目概况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（一）项目基本情况。</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该项目由三家镇人民政府负责核实项目开展情况，并按照财政资金管理相关规定监管、使用项目资金</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hint="eastAsia" w:ascii="仿宋_GB2312" w:hAnsi="宋体" w:eastAsia="仿宋_GB2312"/>
          <w:sz w:val="32"/>
          <w:szCs w:val="32"/>
          <w:lang w:val="en-US" w:eastAsia="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该项目根据乡风文明建设职能职责而设立，所需经费纳入年初预算</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该项目资金用于提升群众文明素养和社会文明程度活动及宣传，营造“讲文明、树新风”的社会环境，根据工作开展情况实报实销、据实核拨</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该项目资金额度根据历年使用情况，结合辖区工作实际预算，由镇人民政府统筹安排使用</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（二）项目绩效目标。</w:t>
      </w:r>
    </w:p>
    <w:p>
      <w:pPr>
        <w:pageBreakBefore w:val="0"/>
        <w:numPr>
          <w:ilvl w:val="0"/>
          <w:numId w:val="0"/>
        </w:numPr>
        <w:kinsoku/>
        <w:wordWrap/>
        <w:overflowPunct/>
        <w:topLinePunct w:val="0"/>
        <w:bidi w:val="0"/>
        <w:snapToGrid w:val="0"/>
        <w:spacing w:before="95" w:beforeLines="30" w:line="560" w:lineRule="exact"/>
        <w:ind w:firstLine="640" w:firstLineChars="200"/>
        <w:textAlignment w:val="auto"/>
        <w:rPr>
          <w:rFonts w:hint="eastAsia" w:ascii="仿宋_GB2312" w:hAnsi="宋体" w:eastAsia="仿宋_GB2312"/>
          <w:sz w:val="32"/>
          <w:szCs w:val="32"/>
          <w:lang w:val="en-US"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．项目主要内容：结合文明</w:t>
      </w:r>
      <w:r>
        <w:rPr>
          <w:rFonts w:hint="eastAsia" w:ascii="仿宋_GB2312" w:hAnsi="宋体" w:eastAsia="仿宋_GB2312"/>
          <w:sz w:val="32"/>
          <w:szCs w:val="32"/>
          <w:lang w:val="en-US" w:eastAsia="zh-CN"/>
        </w:rPr>
        <w:t>城市</w:t>
      </w:r>
      <w:r>
        <w:rPr>
          <w:rFonts w:hint="eastAsia" w:ascii="仿宋_GB2312" w:hAnsi="宋体" w:eastAsia="仿宋_GB2312"/>
          <w:sz w:val="32"/>
          <w:szCs w:val="32"/>
          <w:lang w:val="zh-CN"/>
        </w:rPr>
        <w:t>工作，</w:t>
      </w:r>
      <w:r>
        <w:rPr>
          <w:rFonts w:hint="eastAsia" w:ascii="仿宋_GB2312" w:hAnsi="宋体" w:eastAsia="仿宋_GB2312"/>
          <w:sz w:val="32"/>
          <w:szCs w:val="32"/>
          <w:lang w:val="en-US" w:eastAsia="zh-CN"/>
        </w:rPr>
        <w:t>开展</w:t>
      </w:r>
      <w:r>
        <w:rPr>
          <w:rFonts w:hint="eastAsia" w:ascii="仿宋_GB2312" w:hAnsi="宋体" w:eastAsia="仿宋_GB2312"/>
          <w:sz w:val="32"/>
          <w:szCs w:val="32"/>
          <w:lang w:val="zh-CN"/>
        </w:rPr>
        <w:t>“讲文明、树新风”主题</w:t>
      </w:r>
      <w:r>
        <w:rPr>
          <w:rFonts w:hint="eastAsia" w:ascii="仿宋_GB2312" w:hAnsi="宋体" w:eastAsia="仿宋_GB2312"/>
          <w:sz w:val="32"/>
          <w:szCs w:val="32"/>
          <w:lang w:val="en-US" w:eastAsia="zh-CN"/>
        </w:rPr>
        <w:t>宣传活动</w:t>
      </w:r>
      <w:r>
        <w:rPr>
          <w:rFonts w:hint="eastAsia" w:ascii="仿宋_GB2312" w:hAnsi="宋体" w:eastAsia="仿宋_GB2312"/>
          <w:sz w:val="32"/>
          <w:szCs w:val="32"/>
          <w:lang w:val="zh-CN"/>
        </w:rPr>
        <w:t>，大力倡导时代新风，进一步提升民众文明素养</w:t>
      </w:r>
      <w:r>
        <w:rPr>
          <w:rFonts w:hint="eastAsia" w:ascii="仿宋_GB2312" w:hAnsi="宋体" w:eastAsia="仿宋_GB2312"/>
          <w:sz w:val="32"/>
          <w:szCs w:val="32"/>
          <w:lang w:val="en-US" w:eastAsia="zh-CN"/>
        </w:rPr>
        <w:t>，潜移默化启发群众自觉抵制不文明行为，树立乡村新气象，展现乡村振兴新风貌。</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r>
        <w:rPr>
          <w:rFonts w:hint="eastAsia" w:ascii="仿宋_GB2312" w:hAnsi="宋体" w:eastAsia="仿宋_GB2312"/>
          <w:sz w:val="32"/>
          <w:szCs w:val="32"/>
          <w:lang w:val="en-US" w:eastAsia="zh-CN"/>
        </w:rPr>
        <w:t>群众文明素养和社会文明程度不断提升，乡村风貌不断改善，为深入推进乡村振兴工作营造良好的社会环境</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（三）项目自评步骤及方法。</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通过数据采集、实地调研、翻看凭证等获得数据和资料，客观评价资金使用效益；通过走访和入户调查群众满意度，客观评价项目实施获得的社会效益</w:t>
      </w:r>
      <w:r>
        <w:rPr>
          <w:rFonts w:hint="eastAsia" w:ascii="仿宋_GB2312" w:hAnsi="宋体" w:eastAsia="仿宋_GB2312"/>
          <w:sz w:val="32"/>
          <w:szCs w:val="32"/>
          <w:lang w:val="zh-CN" w:eastAsia="zh-CN"/>
        </w:rPr>
        <w:t>。</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二、项目资金申报及使用情况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（一）项目资金申报及批复情况。</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项目资金根据历年使用情况，结合我镇实际，在预算控制额度内编制，区财政批复纳入预算金额10万元</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（二）资金计划、到位及使用情况（可用表格形式反映）。</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outlineLvl w:val="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该项目资金全年预算数10万元，实际到位10万元，执行数10万元，执行率100%，坚持专款专用、量入为出的原则，严格落实专项资金的申拨、使用审批手续，支付依据合规。</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（三）项目财务管理情况。</w:t>
      </w:r>
    </w:p>
    <w:p>
      <w:pPr>
        <w:pageBreakBefore w:val="0"/>
        <w:kinsoku/>
        <w:wordWrap/>
        <w:overflowPunct/>
        <w:topLinePunct w:val="0"/>
        <w:bidi w:val="0"/>
        <w:adjustRightInd w:val="0"/>
        <w:snapToGrid w:val="0"/>
        <w:spacing w:before="95" w:beforeLines="30" w:line="560" w:lineRule="exact"/>
        <w:ind w:firstLine="72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三家镇内设财政机构，负责所有财政资金的监管工作，建立了</w:t>
      </w:r>
      <w:r>
        <w:rPr>
          <w:rFonts w:hint="eastAsia" w:ascii="仿宋_GB2312" w:hAnsi="宋体" w:eastAsia="仿宋_GB2312"/>
          <w:sz w:val="32"/>
          <w:szCs w:val="32"/>
          <w:lang w:val="zh-CN"/>
        </w:rPr>
        <w:t>健全</w:t>
      </w:r>
      <w:r>
        <w:rPr>
          <w:rFonts w:hint="eastAsia" w:ascii="仿宋_GB2312" w:hAnsi="宋体" w:eastAsia="仿宋_GB2312"/>
          <w:sz w:val="32"/>
          <w:szCs w:val="32"/>
          <w:lang w:val="en-US" w:eastAsia="zh-CN"/>
        </w:rPr>
        <w:t>的</w:t>
      </w:r>
      <w:r>
        <w:rPr>
          <w:rFonts w:hint="eastAsia" w:ascii="仿宋_GB2312" w:hAnsi="宋体" w:eastAsia="仿宋_GB2312"/>
          <w:sz w:val="32"/>
          <w:szCs w:val="32"/>
          <w:lang w:val="zh-CN"/>
        </w:rPr>
        <w:t>财务管理制度，严格</w:t>
      </w:r>
      <w:r>
        <w:rPr>
          <w:rFonts w:hint="eastAsia" w:ascii="仿宋_GB2312" w:hAnsi="宋体" w:eastAsia="仿宋_GB2312"/>
          <w:sz w:val="32"/>
          <w:szCs w:val="32"/>
          <w:lang w:val="en-US" w:eastAsia="zh-CN"/>
        </w:rPr>
        <w:t>执行财务制度规定，</w:t>
      </w:r>
      <w:r>
        <w:rPr>
          <w:rFonts w:hint="eastAsia" w:ascii="仿宋_GB2312" w:hAnsi="宋体" w:eastAsia="仿宋_GB2312"/>
          <w:sz w:val="32"/>
          <w:szCs w:val="32"/>
          <w:lang w:val="zh-CN"/>
        </w:rPr>
        <w:t>账务处理及时，会计核算规范，</w:t>
      </w:r>
      <w:r>
        <w:rPr>
          <w:rFonts w:hint="eastAsia" w:ascii="仿宋_GB2312" w:hAnsi="宋体" w:eastAsia="仿宋_GB2312"/>
          <w:sz w:val="32"/>
          <w:szCs w:val="32"/>
          <w:lang w:val="en-US" w:eastAsia="zh-CN"/>
        </w:rPr>
        <w:t>能有效保障财政资金安全，确保项目顺利实施。</w:t>
      </w:r>
    </w:p>
    <w:p>
      <w:pPr>
        <w:pStyle w:val="4"/>
        <w:keepNext w:val="0"/>
        <w:keepLines/>
        <w:pageBreakBefore w:val="0"/>
        <w:widowControl w:val="0"/>
        <w:kinsoku/>
        <w:wordWrap/>
        <w:overflowPunct/>
        <w:topLinePunct w:val="0"/>
        <w:autoSpaceDE/>
        <w:autoSpaceDN/>
        <w:bidi w:val="0"/>
        <w:adjustRightInd/>
        <w:snapToGrid/>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三、项目实施及管理情况</w:t>
      </w:r>
    </w:p>
    <w:p>
      <w:pPr>
        <w:pStyle w:val="4"/>
        <w:keepNext w:val="0"/>
        <w:keepLines/>
        <w:pageBreakBefore w:val="0"/>
        <w:widowControl w:val="0"/>
        <w:kinsoku/>
        <w:wordWrap/>
        <w:overflowPunct/>
        <w:topLinePunct w:val="0"/>
        <w:autoSpaceDE/>
        <w:autoSpaceDN/>
        <w:bidi w:val="0"/>
        <w:adjustRightInd/>
        <w:snapToGrid/>
        <w:spacing w:before="95" w:beforeLines="30" w:line="560" w:lineRule="exact"/>
        <w:ind w:firstLine="640" w:firstLineChars="200"/>
        <w:textAlignment w:val="auto"/>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t>该项目属于日常运转经费保障项目，主要用于乡风文明宣传工作，培育文明礼议，大力倡导文明风尚，用农民群众喜闻乐见的形式开展活动，根据工作开展实际，据实申拨项目资金。</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四、项目绩效情况</w:t>
      </w:r>
      <w:r>
        <w:rPr>
          <w:rFonts w:hint="eastAsia" w:ascii="黑体" w:eastAsia="黑体"/>
          <w:b w:val="0"/>
          <w:color w:val="auto"/>
          <w:highlight w:val="none"/>
          <w:lang w:val="zh-CN" w:eastAsia="zh-CN"/>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（一）项目完成情况。</w:t>
      </w:r>
    </w:p>
    <w:p>
      <w:pPr>
        <w:pageBreakBefore w:val="0"/>
        <w:numPr>
          <w:ilvl w:val="0"/>
          <w:numId w:val="0"/>
        </w:numPr>
        <w:kinsoku/>
        <w:wordWrap/>
        <w:overflowPunct/>
        <w:topLinePunct w:val="0"/>
        <w:bidi w:val="0"/>
        <w:snapToGrid w:val="0"/>
        <w:spacing w:before="95" w:beforeLines="30" w:line="560" w:lineRule="exact"/>
        <w:ind w:firstLine="640" w:firstLineChars="200"/>
        <w:textAlignment w:val="auto"/>
        <w:rPr>
          <w:rFonts w:hint="eastAsia" w:ascii="楷体_GB2312" w:hAnsi="宋体" w:eastAsia="楷体_GB2312"/>
          <w:b/>
          <w:szCs w:val="21"/>
        </w:rPr>
      </w:pPr>
      <w:r>
        <w:rPr>
          <w:rFonts w:hint="eastAsia" w:ascii="仿宋_GB2312" w:hAnsi="宋体" w:eastAsia="仿宋_GB2312" w:cs="仿宋_GB2312"/>
          <w:i w:val="0"/>
          <w:caps w:val="0"/>
          <w:color w:val="000000"/>
          <w:spacing w:val="0"/>
          <w:sz w:val="32"/>
          <w:szCs w:val="32"/>
          <w:shd w:val="clear" w:color="auto" w:fill="FFFFFF"/>
          <w:lang w:eastAsia="zh-CN"/>
        </w:rPr>
        <w:t>三家</w:t>
      </w:r>
      <w:r>
        <w:rPr>
          <w:rFonts w:ascii="仿宋_GB2312" w:hAnsi="宋体" w:eastAsia="仿宋_GB2312" w:cs="仿宋_GB2312"/>
          <w:i w:val="0"/>
          <w:caps w:val="0"/>
          <w:color w:val="000000"/>
          <w:spacing w:val="0"/>
          <w:sz w:val="32"/>
          <w:szCs w:val="32"/>
          <w:shd w:val="clear" w:color="auto" w:fill="FFFFFF"/>
        </w:rPr>
        <w:t>镇</w:t>
      </w:r>
      <w:r>
        <w:rPr>
          <w:rFonts w:hint="eastAsia" w:ascii="仿宋_GB2312" w:hAnsi="宋体" w:eastAsia="仿宋_GB2312" w:cs="仿宋_GB2312"/>
          <w:i w:val="0"/>
          <w:caps w:val="0"/>
          <w:color w:val="000000"/>
          <w:spacing w:val="0"/>
          <w:sz w:val="32"/>
          <w:szCs w:val="32"/>
          <w:shd w:val="clear" w:color="auto" w:fill="FFFFFF"/>
          <w:lang w:val="en-US" w:eastAsia="zh-CN"/>
        </w:rPr>
        <w:t>乡风文明建设项目顺利实施，进一步提升了辖区</w:t>
      </w:r>
      <w:r>
        <w:rPr>
          <w:rFonts w:hint="eastAsia" w:ascii="仿宋_GB2312" w:hAnsi="宋体" w:eastAsia="仿宋_GB2312"/>
          <w:sz w:val="32"/>
          <w:szCs w:val="32"/>
          <w:lang w:val="en-US" w:eastAsia="zh-CN"/>
        </w:rPr>
        <w:t>群众文明素养和社会文明程度，文明氛围更加浓厚。</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五、评价结论及建议</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（一）评价结论。</w:t>
      </w:r>
    </w:p>
    <w:p>
      <w:pPr>
        <w:keepNext w:val="0"/>
        <w:keepLines w:val="0"/>
        <w:pageBreakBefore w:val="0"/>
        <w:kinsoku/>
        <w:wordWrap/>
        <w:overflowPunct/>
        <w:topLinePunct w:val="0"/>
        <w:autoSpaceDE/>
        <w:autoSpaceDN/>
        <w:bidi w:val="0"/>
        <w:adjustRightInd w:val="0"/>
        <w:snapToGrid w:val="0"/>
        <w:spacing w:before="95" w:beforeLines="30" w:line="56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sz w:val="32"/>
          <w:szCs w:val="32"/>
          <w:lang w:val="en-US" w:eastAsia="zh-CN"/>
        </w:rPr>
        <w:t>该项目社会效益和群众满意度较高，绩效自评综合得分98分</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（二）存在的问题。</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随着乡镇行政区划调整改革完成，三家镇行政区划扩大，辖区人口增多，群众文化水平参差不齐，引导工作难度较大，经费保障乏力</w:t>
      </w:r>
      <w:r>
        <w:rPr>
          <w:rFonts w:hint="eastAsia" w:ascii="仿宋_GB2312" w:hAnsi="宋体" w:eastAsia="仿宋_GB2312"/>
          <w:sz w:val="32"/>
          <w:szCs w:val="32"/>
          <w:lang w:val="zh-CN"/>
        </w:rPr>
        <w:t>。</w:t>
      </w:r>
      <w:r>
        <w:rPr>
          <w:rFonts w:hint="eastAsia" w:ascii="仿宋_GB2312" w:hAnsi="Calibri" w:eastAsia="仿宋_GB2312" w:cs="仿宋"/>
          <w:color w:val="auto"/>
          <w:kern w:val="0"/>
          <w:sz w:val="32"/>
          <w:szCs w:val="32"/>
          <w:highlight w:val="none"/>
          <w:lang w:val="zh-CN" w:eastAsia="zh-CN" w:bidi="ar-SA"/>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（三）相关建议。</w:t>
      </w:r>
    </w:p>
    <w:p>
      <w:pPr>
        <w:pageBreakBefore w:val="0"/>
        <w:kinsoku/>
        <w:wordWrap/>
        <w:overflowPunct/>
        <w:topLinePunct w:val="0"/>
        <w:bidi w:val="0"/>
        <w:adjustRightInd w:val="0"/>
        <w:snapToGrid w:val="0"/>
        <w:spacing w:before="95" w:beforeLines="30" w:line="560" w:lineRule="exact"/>
        <w:ind w:firstLine="640" w:firstLineChars="200"/>
        <w:textAlignment w:val="auto"/>
        <w:rPr>
          <w:rFonts w:ascii="仿宋_GB2312" w:hAnsi="宋体" w:eastAsia="仿宋_GB2312"/>
          <w:sz w:val="32"/>
          <w:szCs w:val="32"/>
          <w:lang w:val="zh-CN"/>
        </w:rPr>
      </w:pPr>
      <w:r>
        <w:rPr>
          <w:rFonts w:hint="eastAsia" w:ascii="仿宋_GB2312" w:hAnsi="宋体" w:eastAsia="仿宋_GB2312"/>
          <w:sz w:val="32"/>
          <w:szCs w:val="32"/>
          <w:lang w:val="en-US" w:eastAsia="zh-CN"/>
        </w:rPr>
        <w:t>进一步加大“讲文明、树新风”活动宣传力度，树立文明典型，引导广大群众树立正确的价值观，加大资金保障力度，确保工作开展有力</w:t>
      </w:r>
      <w:r>
        <w:rPr>
          <w:rFonts w:hint="eastAsia" w:ascii="仿宋_GB2312" w:hAnsi="宋体" w:eastAsia="仿宋_GB2312"/>
          <w:sz w:val="32"/>
          <w:szCs w:val="32"/>
          <w:lang w:val="zh-CN"/>
        </w:rPr>
        <w:t>。</w:t>
      </w: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7"/>
        <w:pageBreakBefore w:val="0"/>
        <w:kinsoku/>
        <w:wordWrap/>
        <w:overflowPunct/>
        <w:topLinePunct w:val="0"/>
        <w:bidi w:val="0"/>
        <w:spacing w:before="95" w:beforeLines="30" w:line="560" w:lineRule="exact"/>
        <w:textAlignment w:val="auto"/>
        <w:outlineLvl w:val="1"/>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附件4</w:t>
      </w: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lang w:val="en-US" w:eastAsia="zh-CN"/>
        </w:rPr>
        <w:t>2022年安全生产监管项目绩效自评报告</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一、项目概况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（一）项目基本情况。</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该项目由三家镇人民政府负责核实项目开展情况，并按照财政资金管理相关规定监管、使用项目资金</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该项目根据安全生产监管职能职责而设立，所需经费纳入年初预算</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该项目资金用于落实安全生产责任，有效防范安全生产领域风险，保障辖区安全生产形势持续稳定，根据工作开展情况实报实销、据实核拨</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该项目资金额度根据历年使用情况，结合辖区工作实际预算，由镇人民政府统筹安排使用</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（二）项目绩效目标。</w:t>
      </w:r>
    </w:p>
    <w:p>
      <w:pPr>
        <w:pageBreakBefore w:val="0"/>
        <w:numPr>
          <w:ilvl w:val="0"/>
          <w:numId w:val="0"/>
        </w:numPr>
        <w:kinsoku/>
        <w:wordWrap/>
        <w:overflowPunct/>
        <w:topLinePunct w:val="0"/>
        <w:bidi w:val="0"/>
        <w:snapToGrid w:val="0"/>
        <w:spacing w:before="95" w:beforeLines="30" w:line="560" w:lineRule="exact"/>
        <w:ind w:firstLine="640" w:firstLineChars="200"/>
        <w:textAlignment w:val="auto"/>
        <w:rPr>
          <w:rFonts w:hint="eastAsia" w:ascii="仿宋_GB2312" w:hAnsi="宋体" w:eastAsia="仿宋_GB2312"/>
          <w:sz w:val="32"/>
          <w:szCs w:val="32"/>
          <w:lang w:val="en-US"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hAnsi="宋体" w:eastAsia="仿宋_GB2312"/>
          <w:sz w:val="32"/>
          <w:szCs w:val="32"/>
          <w:lang w:val="en-US" w:eastAsia="zh-CN"/>
        </w:rPr>
        <w:t>通过</w:t>
      </w:r>
      <w:r>
        <w:rPr>
          <w:rFonts w:hint="eastAsia" w:ascii="仿宋_GB2312" w:hAnsi="宋体" w:eastAsia="仿宋_GB2312"/>
          <w:sz w:val="32"/>
          <w:szCs w:val="32"/>
          <w:lang w:val="zh-CN"/>
        </w:rPr>
        <w:t>印发宣传资料、悬挂标语、出动宣传车等多种形式，深入开展安全法规宣传教育，提高全民安全防范意识</w:t>
      </w:r>
      <w:r>
        <w:rPr>
          <w:rFonts w:hint="eastAsia" w:ascii="仿宋_GB2312" w:hAnsi="宋体" w:eastAsia="仿宋_GB2312"/>
          <w:sz w:val="32"/>
          <w:szCs w:val="32"/>
          <w:lang w:val="en-US" w:eastAsia="zh-CN"/>
        </w:rPr>
        <w:t>。认真抓好道路交通、加油站、烟花爆竹、建筑施工等重点行业及市场、学校、公众聚集场所等重点部位的安全监管。深入开展安全生产专项整治行动，排查、整治各类事故隐患，有效预防和遏制安全事故发生。</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r>
        <w:rPr>
          <w:rFonts w:hint="eastAsia" w:ascii="仿宋_GB2312" w:hAnsi="宋体" w:eastAsia="仿宋_GB2312"/>
          <w:sz w:val="32"/>
          <w:szCs w:val="32"/>
          <w:lang w:val="en-US" w:eastAsia="zh-CN"/>
        </w:rPr>
        <w:t>辖区群众、企业、社会团体安全意识进一步增强，全年无重大安全事故发生</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（三）项目自评步骤及方法。</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通过数据采集、实地调研、翻看凭证等获得数据和资料，客观评价资金使用效益；通过走访和入户调查群众满意度，客观评价项目实施获得的社会效益</w:t>
      </w:r>
      <w:r>
        <w:rPr>
          <w:rFonts w:hint="eastAsia" w:ascii="仿宋_GB2312" w:hAnsi="宋体" w:eastAsia="仿宋_GB2312"/>
          <w:sz w:val="32"/>
          <w:szCs w:val="32"/>
          <w:lang w:val="zh-CN" w:eastAsia="zh-CN"/>
        </w:rPr>
        <w:t>。</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二、项目资金申报及使用情况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（一）项目资金申报及批复情况。</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项目资金根据历年使用情况，结合我镇实际，在预算控制额度内编制，区财政批复纳入预算金额5万元</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（二）资金计划、到位及使用情况（可用表格形式反映）。</w:t>
      </w:r>
    </w:p>
    <w:p>
      <w:pPr>
        <w:pageBreakBefore w:val="0"/>
        <w:kinsoku/>
        <w:wordWrap/>
        <w:overflowPunct/>
        <w:topLinePunct w:val="0"/>
        <w:bidi w:val="0"/>
        <w:adjustRightInd w:val="0"/>
        <w:snapToGrid w:val="0"/>
        <w:spacing w:before="95" w:beforeLines="30" w:line="560" w:lineRule="exact"/>
        <w:ind w:firstLine="720"/>
        <w:textAlignment w:val="auto"/>
        <w:rPr>
          <w:rFonts w:hint="default" w:ascii="楷体_GB2312" w:hAnsi="宋体" w:eastAsia="楷体_GB2312"/>
          <w:sz w:val="32"/>
          <w:szCs w:val="32"/>
          <w:lang w:val="en-US" w:eastAsia="zh-CN"/>
        </w:rPr>
      </w:pPr>
      <w:r>
        <w:rPr>
          <w:rFonts w:hint="eastAsia" w:ascii="仿宋_GB2312" w:hAnsi="宋体" w:eastAsia="仿宋_GB2312"/>
          <w:sz w:val="32"/>
          <w:szCs w:val="32"/>
          <w:lang w:val="en-US" w:eastAsia="zh-CN"/>
        </w:rPr>
        <w:t>该项目资金全年预算数5万元，实际到位5万元，执行数5万元，执行率100%，坚持专款专用、量入为出的原则，严格落实专项资金的申拨、使用审批手续，支付依据合规。</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（三）项目财务管理情况。</w:t>
      </w:r>
    </w:p>
    <w:p>
      <w:pPr>
        <w:keepNext w:val="0"/>
        <w:keepLines w:val="0"/>
        <w:pageBreakBefore w:val="0"/>
        <w:kinsoku/>
        <w:wordWrap/>
        <w:overflowPunct/>
        <w:topLinePunct w:val="0"/>
        <w:autoSpaceDE/>
        <w:autoSpaceDN/>
        <w:bidi w:val="0"/>
        <w:adjustRightInd w:val="0"/>
        <w:snapToGrid w:val="0"/>
        <w:spacing w:before="95" w:beforeLines="30" w:line="56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en-US" w:eastAsia="zh-CN"/>
        </w:rPr>
        <w:t>三家镇内设财政机构，负责所有财政资金的监管工作，建立了</w:t>
      </w:r>
      <w:r>
        <w:rPr>
          <w:rFonts w:hint="eastAsia" w:ascii="仿宋_GB2312" w:hAnsi="宋体" w:eastAsia="仿宋_GB2312"/>
          <w:sz w:val="32"/>
          <w:szCs w:val="32"/>
          <w:lang w:val="zh-CN"/>
        </w:rPr>
        <w:t>健全</w:t>
      </w:r>
      <w:r>
        <w:rPr>
          <w:rFonts w:hint="eastAsia" w:ascii="仿宋_GB2312" w:hAnsi="宋体" w:eastAsia="仿宋_GB2312"/>
          <w:sz w:val="32"/>
          <w:szCs w:val="32"/>
          <w:lang w:val="en-US" w:eastAsia="zh-CN"/>
        </w:rPr>
        <w:t>的</w:t>
      </w:r>
      <w:r>
        <w:rPr>
          <w:rFonts w:hint="eastAsia" w:ascii="仿宋_GB2312" w:hAnsi="宋体" w:eastAsia="仿宋_GB2312"/>
          <w:sz w:val="32"/>
          <w:szCs w:val="32"/>
          <w:lang w:val="zh-CN"/>
        </w:rPr>
        <w:t>财务管理制度，严格</w:t>
      </w:r>
      <w:r>
        <w:rPr>
          <w:rFonts w:hint="eastAsia" w:ascii="仿宋_GB2312" w:hAnsi="宋体" w:eastAsia="仿宋_GB2312"/>
          <w:sz w:val="32"/>
          <w:szCs w:val="32"/>
          <w:lang w:val="en-US" w:eastAsia="zh-CN"/>
        </w:rPr>
        <w:t>执行财务制度规定，</w:t>
      </w:r>
      <w:r>
        <w:rPr>
          <w:rFonts w:hint="eastAsia" w:ascii="仿宋_GB2312" w:hAnsi="宋体" w:eastAsia="仿宋_GB2312"/>
          <w:sz w:val="32"/>
          <w:szCs w:val="32"/>
          <w:lang w:val="zh-CN"/>
        </w:rPr>
        <w:t>账务处理及时，会计核算规范，</w:t>
      </w:r>
      <w:r>
        <w:rPr>
          <w:rFonts w:hint="eastAsia" w:ascii="仿宋_GB2312" w:hAnsi="宋体" w:eastAsia="仿宋_GB2312"/>
          <w:sz w:val="32"/>
          <w:szCs w:val="32"/>
          <w:lang w:val="en-US" w:eastAsia="zh-CN"/>
        </w:rPr>
        <w:t>能有效保障财政资金安全，确保项目顺利实施。</w:t>
      </w:r>
    </w:p>
    <w:p>
      <w:pPr>
        <w:pStyle w:val="4"/>
        <w:pageBreakBefore w:val="0"/>
        <w:kinsoku/>
        <w:wordWrap/>
        <w:overflowPunct/>
        <w:topLinePunct w:val="0"/>
        <w:bidi w:val="0"/>
        <w:spacing w:before="95" w:beforeLines="30" w:line="560" w:lineRule="exact"/>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三、项目实施及管理情况</w:t>
      </w:r>
    </w:p>
    <w:p>
      <w:pPr>
        <w:pStyle w:val="4"/>
        <w:pageBreakBefore w:val="0"/>
        <w:kinsoku/>
        <w:wordWrap/>
        <w:overflowPunct/>
        <w:topLinePunct w:val="0"/>
        <w:bidi w:val="0"/>
        <w:spacing w:before="95" w:beforeLines="30" w:line="560" w:lineRule="exact"/>
        <w:ind w:firstLine="640" w:firstLineChars="200"/>
        <w:textAlignment w:val="auto"/>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t>该项目属于日常运转经费保障项目，主要用于安全生产宣传、安全隐患排查和整治工作，由镇人民政府统一组织实施，根据工作开展实际，据实申拨项目资金。</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四、项目绩效情况</w:t>
      </w:r>
      <w:r>
        <w:rPr>
          <w:rFonts w:hint="eastAsia" w:ascii="黑体" w:eastAsia="黑体"/>
          <w:b w:val="0"/>
          <w:color w:val="auto"/>
          <w:highlight w:val="none"/>
          <w:lang w:val="zh-CN" w:eastAsia="zh-CN"/>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（一）项目完成情况。</w:t>
      </w:r>
    </w:p>
    <w:p>
      <w:pPr>
        <w:pageBreakBefore w:val="0"/>
        <w:numPr>
          <w:ilvl w:val="0"/>
          <w:numId w:val="0"/>
        </w:numPr>
        <w:kinsoku/>
        <w:wordWrap/>
        <w:overflowPunct/>
        <w:topLinePunct w:val="0"/>
        <w:bidi w:val="0"/>
        <w:snapToGrid w:val="0"/>
        <w:spacing w:before="95" w:beforeLines="30" w:line="560" w:lineRule="exact"/>
        <w:ind w:firstLine="640" w:firstLineChars="200"/>
        <w:textAlignment w:val="auto"/>
        <w:rPr>
          <w:rFonts w:hint="eastAsia" w:ascii="楷体_GB2312" w:hAnsi="宋体" w:eastAsia="楷体_GB2312"/>
          <w:b/>
          <w:szCs w:val="21"/>
        </w:rPr>
      </w:pPr>
      <w:r>
        <w:rPr>
          <w:rFonts w:hint="eastAsia" w:ascii="仿宋_GB2312" w:hAnsi="宋体" w:eastAsia="仿宋_GB2312" w:cs="仿宋_GB2312"/>
          <w:i w:val="0"/>
          <w:caps w:val="0"/>
          <w:color w:val="000000"/>
          <w:spacing w:val="0"/>
          <w:sz w:val="32"/>
          <w:szCs w:val="32"/>
          <w:shd w:val="clear" w:color="auto" w:fill="FFFFFF"/>
          <w:lang w:eastAsia="zh-CN"/>
        </w:rPr>
        <w:t>三家</w:t>
      </w:r>
      <w:r>
        <w:rPr>
          <w:rFonts w:ascii="仿宋_GB2312" w:hAnsi="宋体" w:eastAsia="仿宋_GB2312" w:cs="仿宋_GB2312"/>
          <w:i w:val="0"/>
          <w:caps w:val="0"/>
          <w:color w:val="000000"/>
          <w:spacing w:val="0"/>
          <w:sz w:val="32"/>
          <w:szCs w:val="32"/>
          <w:shd w:val="clear" w:color="auto" w:fill="FFFFFF"/>
        </w:rPr>
        <w:t>镇</w:t>
      </w:r>
      <w:r>
        <w:rPr>
          <w:rFonts w:hint="eastAsia" w:ascii="仿宋_GB2312" w:hAnsi="宋体" w:eastAsia="仿宋_GB2312" w:cs="仿宋_GB2312"/>
          <w:i w:val="0"/>
          <w:caps w:val="0"/>
          <w:color w:val="000000"/>
          <w:spacing w:val="0"/>
          <w:sz w:val="32"/>
          <w:szCs w:val="32"/>
          <w:shd w:val="clear" w:color="auto" w:fill="FFFFFF"/>
          <w:lang w:val="en-US" w:eastAsia="zh-CN"/>
        </w:rPr>
        <w:t>安全生产监管项目顺利实施，安全生产隐患排查和整治工作有效，宣传活动开展有力，完成了项目计划目标任务</w:t>
      </w:r>
      <w:r>
        <w:rPr>
          <w:rFonts w:hint="eastAsia" w:ascii="仿宋_GB2312" w:hAnsi="宋体" w:eastAsia="仿宋_GB2312"/>
          <w:sz w:val="32"/>
          <w:szCs w:val="32"/>
          <w:lang w:val="en-US" w:eastAsia="zh-CN"/>
        </w:rPr>
        <w:t>。</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五、评价结论及建议</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（一）评价结论。</w:t>
      </w:r>
    </w:p>
    <w:p>
      <w:pPr>
        <w:pageBreakBefore w:val="0"/>
        <w:kinsoku/>
        <w:wordWrap/>
        <w:overflowPunct/>
        <w:topLinePunct w:val="0"/>
        <w:bidi w:val="0"/>
        <w:adjustRightInd w:val="0"/>
        <w:snapToGrid w:val="0"/>
        <w:spacing w:before="95" w:beforeLines="30" w:line="56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sz w:val="32"/>
          <w:szCs w:val="32"/>
          <w:lang w:val="en-US" w:eastAsia="zh-CN"/>
        </w:rPr>
        <w:t>该项目社会效益和群众满意度较高，全年未发生较大安全生产事故，绩效自评综合得分96分</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（二）存在的问题。</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随着乡镇行政区划调整改革完成，三家镇行政区划扩大，辖区交通要道较多、路况复杂，群众安全生产意识有待提高，项目经费保障乏力，工作开展难度较大</w:t>
      </w:r>
      <w:r>
        <w:rPr>
          <w:rFonts w:hint="eastAsia" w:ascii="仿宋_GB2312" w:hAnsi="宋体" w:eastAsia="仿宋_GB2312"/>
          <w:sz w:val="32"/>
          <w:szCs w:val="32"/>
          <w:lang w:val="zh-CN"/>
        </w:rPr>
        <w:t>。</w:t>
      </w:r>
      <w:r>
        <w:rPr>
          <w:rFonts w:ascii="仿宋_GB2312" w:hAnsi="宋体" w:eastAsia="仿宋_GB2312"/>
          <w:sz w:val="32"/>
          <w:szCs w:val="32"/>
          <w:lang w:val="zh-CN"/>
        </w:rPr>
        <w:tab/>
      </w:r>
      <w:r>
        <w:rPr>
          <w:rFonts w:hint="eastAsia" w:ascii="仿宋_GB2312" w:hAnsi="Calibri" w:eastAsia="仿宋_GB2312" w:cs="仿宋"/>
          <w:color w:val="auto"/>
          <w:kern w:val="0"/>
          <w:sz w:val="32"/>
          <w:szCs w:val="32"/>
          <w:highlight w:val="none"/>
          <w:lang w:val="zh-CN" w:eastAsia="zh-CN" w:bidi="ar-SA"/>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（三）相关建议。</w:t>
      </w:r>
    </w:p>
    <w:p>
      <w:pPr>
        <w:pageBreakBefore w:val="0"/>
        <w:kinsoku/>
        <w:wordWrap/>
        <w:overflowPunct/>
        <w:topLinePunct w:val="0"/>
        <w:bidi w:val="0"/>
        <w:adjustRightInd w:val="0"/>
        <w:snapToGrid w:val="0"/>
        <w:spacing w:before="95" w:beforeLines="30" w:line="560" w:lineRule="exact"/>
        <w:ind w:firstLine="640" w:firstLineChars="200"/>
        <w:textAlignment w:val="auto"/>
        <w:rPr>
          <w:rFonts w:ascii="仿宋_GB2312" w:hAnsi="宋体" w:eastAsia="仿宋_GB2312"/>
          <w:sz w:val="32"/>
          <w:szCs w:val="32"/>
          <w:lang w:val="zh-CN"/>
        </w:rPr>
      </w:pPr>
      <w:r>
        <w:rPr>
          <w:rFonts w:hint="eastAsia" w:ascii="仿宋_GB2312" w:hAnsi="宋体" w:eastAsia="仿宋_GB2312"/>
          <w:sz w:val="32"/>
          <w:szCs w:val="32"/>
          <w:lang w:val="en-US" w:eastAsia="zh-CN"/>
        </w:rPr>
        <w:t>加强安全生产监管队伍建设和人员培训，提高执法专业性，进一步加大安全生产宣传和资金保障力度</w:t>
      </w:r>
      <w:r>
        <w:rPr>
          <w:rFonts w:hint="eastAsia" w:ascii="仿宋_GB2312" w:hAnsi="宋体" w:eastAsia="仿宋_GB2312"/>
          <w:sz w:val="32"/>
          <w:szCs w:val="32"/>
          <w:lang w:val="zh-CN"/>
        </w:rPr>
        <w:t>。</w:t>
      </w: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7"/>
        <w:pageBreakBefore w:val="0"/>
        <w:kinsoku/>
        <w:wordWrap/>
        <w:overflowPunct/>
        <w:topLinePunct w:val="0"/>
        <w:bidi w:val="0"/>
        <w:spacing w:before="95" w:beforeLines="30" w:line="560" w:lineRule="exact"/>
        <w:textAlignment w:val="auto"/>
        <w:outlineLvl w:val="1"/>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附件5</w:t>
      </w: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lang w:val="en-US" w:eastAsia="zh-CN"/>
        </w:rPr>
        <w:t>2022乡镇武装部工作经费（含征兵工作经费）项目绩效自评报告</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一、项目概况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（一）项目基本情况。</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该项目由三家镇人民政府负责核实项目开展情况，并按照财政资金管理相关规定监管、使用项目资金</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该项目根据乡镇民兵组织和训练、征兵和优抚等工作职能职责而设立，所需经费纳入年初预算</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该项目资金用于开展镇武装部日常工作和征兵工作，根据工作开展情况实报实销、据实核拨</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该项目资金额度根据历年使用情况，结合辖区工作实际预算，由镇人民政府统筹安排使用</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（二）项目绩效目标。</w:t>
      </w:r>
    </w:p>
    <w:p>
      <w:pPr>
        <w:pageBreakBefore w:val="0"/>
        <w:numPr>
          <w:ilvl w:val="0"/>
          <w:numId w:val="0"/>
        </w:numPr>
        <w:kinsoku/>
        <w:wordWrap/>
        <w:overflowPunct/>
        <w:topLinePunct w:val="0"/>
        <w:bidi w:val="0"/>
        <w:snapToGrid w:val="0"/>
        <w:spacing w:before="95" w:beforeLines="30" w:line="560" w:lineRule="exact"/>
        <w:ind w:firstLine="640" w:firstLineChars="200"/>
        <w:textAlignment w:val="auto"/>
        <w:rPr>
          <w:rFonts w:hint="eastAsia" w:ascii="仿宋_GB2312" w:hAnsi="宋体" w:eastAsia="仿宋_GB2312"/>
          <w:sz w:val="32"/>
          <w:szCs w:val="32"/>
          <w:lang w:val="en-US"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hAnsi="宋体" w:eastAsia="仿宋_GB2312"/>
          <w:sz w:val="32"/>
          <w:szCs w:val="32"/>
          <w:lang w:val="en-US" w:eastAsia="zh-CN"/>
        </w:rPr>
        <w:t>用于宣传《国防法》、《兵役法》等法律法规，做好优抚和征兵工作等经费保障。</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r>
        <w:rPr>
          <w:rFonts w:hint="eastAsia" w:ascii="仿宋_GB2312" w:hAnsi="宋体" w:eastAsia="仿宋_GB2312"/>
          <w:sz w:val="32"/>
          <w:szCs w:val="32"/>
          <w:lang w:val="en-US" w:eastAsia="zh-CN"/>
        </w:rPr>
        <w:t>营造拥军爱民良好氛围，提高民兵素质，圆满完成年度征兵任务</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（三）项目自评步骤及方法。</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通过数据采集、实地调研、翻看凭证等获得数据和资料，客观评价资金使用效益；通过走访和入户调查群众满意度，客观评价项目实施获得的社会效益</w:t>
      </w:r>
      <w:r>
        <w:rPr>
          <w:rFonts w:hint="eastAsia" w:ascii="仿宋_GB2312" w:hAnsi="宋体" w:eastAsia="仿宋_GB2312"/>
          <w:sz w:val="32"/>
          <w:szCs w:val="32"/>
          <w:lang w:val="zh-CN" w:eastAsia="zh-CN"/>
        </w:rPr>
        <w:t>。</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二、项目资金申报及使用情况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（一）项目资金申报及批复情况。</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项目资金根据历年使用情况，结合我镇实际，在预算控制额度内编制，区财政批复纳入预算金额2万元</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（二）资金计划、到位及使用情况（可用表格形式反映）。</w:t>
      </w:r>
    </w:p>
    <w:p>
      <w:pPr>
        <w:pageBreakBefore w:val="0"/>
        <w:kinsoku/>
        <w:wordWrap/>
        <w:overflowPunct/>
        <w:topLinePunct w:val="0"/>
        <w:bidi w:val="0"/>
        <w:adjustRightInd w:val="0"/>
        <w:snapToGrid w:val="0"/>
        <w:spacing w:before="95" w:beforeLines="30" w:line="560" w:lineRule="exact"/>
        <w:ind w:firstLine="720"/>
        <w:textAlignment w:val="auto"/>
        <w:rPr>
          <w:rFonts w:hint="default" w:ascii="楷体_GB2312" w:hAnsi="宋体" w:eastAsia="楷体_GB2312"/>
          <w:sz w:val="32"/>
          <w:szCs w:val="32"/>
          <w:lang w:val="en-US" w:eastAsia="zh-CN"/>
        </w:rPr>
      </w:pPr>
      <w:r>
        <w:rPr>
          <w:rFonts w:hint="eastAsia" w:ascii="仿宋_GB2312" w:hAnsi="宋体" w:eastAsia="仿宋_GB2312"/>
          <w:sz w:val="32"/>
          <w:szCs w:val="32"/>
          <w:lang w:val="en-US" w:eastAsia="zh-CN"/>
        </w:rPr>
        <w:t>该项目资金全年预算数2万元，实际到位2万元，执行数2万元，执行率100%，坚持专款专用、量入为出的原则，严格落实专项资金的申拨、使用审批手续，支付依据合规。</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（三）项目财务管理情况。</w:t>
      </w:r>
    </w:p>
    <w:p>
      <w:pPr>
        <w:keepNext w:val="0"/>
        <w:keepLines w:val="0"/>
        <w:pageBreakBefore w:val="0"/>
        <w:kinsoku/>
        <w:wordWrap/>
        <w:overflowPunct/>
        <w:topLinePunct w:val="0"/>
        <w:autoSpaceDE/>
        <w:autoSpaceDN/>
        <w:bidi w:val="0"/>
        <w:adjustRightInd w:val="0"/>
        <w:snapToGrid w:val="0"/>
        <w:spacing w:before="95" w:beforeLines="30" w:line="56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en-US" w:eastAsia="zh-CN"/>
        </w:rPr>
        <w:t>三家镇内设财政机构，负责所有财政资金的监管工作，建立了</w:t>
      </w:r>
      <w:r>
        <w:rPr>
          <w:rFonts w:hint="eastAsia" w:ascii="仿宋_GB2312" w:hAnsi="宋体" w:eastAsia="仿宋_GB2312"/>
          <w:sz w:val="32"/>
          <w:szCs w:val="32"/>
          <w:lang w:val="zh-CN"/>
        </w:rPr>
        <w:t>健全</w:t>
      </w:r>
      <w:r>
        <w:rPr>
          <w:rFonts w:hint="eastAsia" w:ascii="仿宋_GB2312" w:hAnsi="宋体" w:eastAsia="仿宋_GB2312"/>
          <w:sz w:val="32"/>
          <w:szCs w:val="32"/>
          <w:lang w:val="en-US" w:eastAsia="zh-CN"/>
        </w:rPr>
        <w:t>的</w:t>
      </w:r>
      <w:r>
        <w:rPr>
          <w:rFonts w:hint="eastAsia" w:ascii="仿宋_GB2312" w:hAnsi="宋体" w:eastAsia="仿宋_GB2312"/>
          <w:sz w:val="32"/>
          <w:szCs w:val="32"/>
          <w:lang w:val="zh-CN"/>
        </w:rPr>
        <w:t>财务管理制度，严格</w:t>
      </w:r>
      <w:r>
        <w:rPr>
          <w:rFonts w:hint="eastAsia" w:ascii="仿宋_GB2312" w:hAnsi="宋体" w:eastAsia="仿宋_GB2312"/>
          <w:sz w:val="32"/>
          <w:szCs w:val="32"/>
          <w:lang w:val="en-US" w:eastAsia="zh-CN"/>
        </w:rPr>
        <w:t>执行财务制度规定，</w:t>
      </w:r>
      <w:r>
        <w:rPr>
          <w:rFonts w:hint="eastAsia" w:ascii="仿宋_GB2312" w:hAnsi="宋体" w:eastAsia="仿宋_GB2312"/>
          <w:sz w:val="32"/>
          <w:szCs w:val="32"/>
          <w:lang w:val="zh-CN"/>
        </w:rPr>
        <w:t>账务处理及时，会计核算规范，</w:t>
      </w:r>
      <w:r>
        <w:rPr>
          <w:rFonts w:hint="eastAsia" w:ascii="仿宋_GB2312" w:hAnsi="宋体" w:eastAsia="仿宋_GB2312"/>
          <w:sz w:val="32"/>
          <w:szCs w:val="32"/>
          <w:lang w:val="en-US" w:eastAsia="zh-CN"/>
        </w:rPr>
        <w:t>能有效保障财政资金安全，确保项目顺利实施。</w:t>
      </w:r>
    </w:p>
    <w:p>
      <w:pPr>
        <w:pStyle w:val="4"/>
        <w:pageBreakBefore w:val="0"/>
        <w:kinsoku/>
        <w:wordWrap/>
        <w:overflowPunct/>
        <w:topLinePunct w:val="0"/>
        <w:bidi w:val="0"/>
        <w:spacing w:before="95" w:beforeLines="30" w:line="560" w:lineRule="exact"/>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三、项目实施及管理情况</w:t>
      </w:r>
    </w:p>
    <w:p>
      <w:pPr>
        <w:pageBreakBefore w:val="0"/>
        <w:kinsoku/>
        <w:wordWrap/>
        <w:overflowPunct/>
        <w:topLinePunct w:val="0"/>
        <w:bidi w:val="0"/>
        <w:spacing w:before="95" w:beforeLines="30" w:line="560" w:lineRule="exact"/>
        <w:ind w:firstLine="640" w:firstLineChars="200"/>
        <w:textAlignment w:val="auto"/>
        <w:outlineLvl w:val="9"/>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t>该项目属于日常运转经费保障项目，主要用于安全生产宣传、安全隐患排查和整治工作，由镇人民政府统一组织实施，根据工作开展实际，据实申拨项目资金。</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四、项目绩效情况</w:t>
      </w:r>
      <w:r>
        <w:rPr>
          <w:rFonts w:hint="eastAsia" w:ascii="黑体" w:eastAsia="黑体"/>
          <w:b w:val="0"/>
          <w:color w:val="auto"/>
          <w:highlight w:val="none"/>
          <w:lang w:val="zh-CN" w:eastAsia="zh-CN"/>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（一）项目完成情况。</w:t>
      </w:r>
    </w:p>
    <w:p>
      <w:pPr>
        <w:pageBreakBefore w:val="0"/>
        <w:kinsoku/>
        <w:wordWrap/>
        <w:overflowPunct/>
        <w:topLinePunct w:val="0"/>
        <w:bidi w:val="0"/>
        <w:spacing w:before="95" w:beforeLines="30" w:line="560" w:lineRule="exact"/>
        <w:ind w:firstLine="640" w:firstLineChars="200"/>
        <w:textAlignment w:val="auto"/>
        <w:outlineLvl w:val="9"/>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en-US" w:eastAsia="zh-CN" w:bidi="ar-SA"/>
        </w:rPr>
        <w:t>顺利完成民兵组织和训练工作，圆满完成征兵工作任务，优抚工作推动有力，军民一家亲氛围更加浓厚。</w:t>
      </w:r>
      <w:r>
        <w:rPr>
          <w:rFonts w:hint="eastAsia" w:ascii="仿宋_GB2312" w:hAnsi="宋体" w:eastAsia="仿宋_GB2312" w:cs="Times New Roman"/>
          <w:b w:val="0"/>
          <w:bCs w:val="0"/>
          <w:kern w:val="2"/>
          <w:sz w:val="32"/>
          <w:szCs w:val="32"/>
          <w:lang w:val="zh-CN" w:eastAsia="zh-CN" w:bidi="ar-SA"/>
        </w:rPr>
        <w:t>五、评价结论及建议。</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五、评价结论及建议</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（一）评价结论。</w:t>
      </w:r>
    </w:p>
    <w:p>
      <w:pPr>
        <w:pageBreakBefore w:val="0"/>
        <w:kinsoku/>
        <w:wordWrap/>
        <w:overflowPunct/>
        <w:topLinePunct w:val="0"/>
        <w:bidi w:val="0"/>
        <w:adjustRightInd w:val="0"/>
        <w:snapToGrid w:val="0"/>
        <w:spacing w:before="95" w:beforeLines="30" w:line="560"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en-US" w:eastAsia="zh-CN"/>
        </w:rPr>
        <w:t>该项目社会效益和群众满意度较高，工作开展有力，绩效自评综合得分100分</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（二）存在的问题。</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无</w:t>
      </w:r>
      <w:r>
        <w:rPr>
          <w:rFonts w:hint="eastAsia" w:ascii="仿宋_GB2312" w:hAnsi="Calibri" w:eastAsia="仿宋_GB2312" w:cs="仿宋"/>
          <w:color w:val="auto"/>
          <w:kern w:val="0"/>
          <w:sz w:val="32"/>
          <w:szCs w:val="32"/>
          <w:highlight w:val="none"/>
          <w:lang w:val="zh-CN" w:eastAsia="zh-CN" w:bidi="ar-SA"/>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（三）相关建议。</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无</w:t>
      </w: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7"/>
        <w:pageBreakBefore w:val="0"/>
        <w:kinsoku/>
        <w:wordWrap/>
        <w:overflowPunct/>
        <w:topLinePunct w:val="0"/>
        <w:bidi w:val="0"/>
        <w:spacing w:before="95" w:beforeLines="30" w:line="560" w:lineRule="exact"/>
        <w:textAlignment w:val="auto"/>
        <w:outlineLvl w:val="1"/>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95" w:beforeLines="30" w:line="560" w:lineRule="exact"/>
        <w:textAlignment w:val="auto"/>
        <w:outlineLvl w:val="1"/>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95" w:beforeLines="30" w:line="560" w:lineRule="exact"/>
        <w:textAlignment w:val="auto"/>
        <w:outlineLvl w:val="1"/>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95" w:beforeLines="30" w:line="560" w:lineRule="exact"/>
        <w:textAlignment w:val="auto"/>
        <w:outlineLvl w:val="1"/>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附件6</w:t>
      </w:r>
    </w:p>
    <w:p>
      <w:pPr>
        <w:pStyle w:val="37"/>
        <w:keepNext w:val="0"/>
        <w:keepLines w:val="0"/>
        <w:pageBreakBefore w:val="0"/>
        <w:widowControl w:val="0"/>
        <w:kinsoku/>
        <w:wordWrap/>
        <w:overflowPunct/>
        <w:topLinePunct w:val="0"/>
        <w:autoSpaceDE/>
        <w:autoSpaceDN/>
        <w:bidi w:val="0"/>
        <w:spacing w:before="95" w:beforeLines="30" w:line="560" w:lineRule="exact"/>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lang w:val="en-US" w:eastAsia="zh-CN"/>
        </w:rPr>
        <w:t>2022防灾应急救助项目绩效自评报告</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一、项目概况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（一）项目基本情况。</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该项目由三家镇人民政府负责核实项目开展情况，并按照财政资金管理相关规定监管、使用项目资金</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该项目根据防灾应急救助职能职责而设立，所需经费纳入年初预算</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该项目资金用于开展防灾减灾、应急处突和救助工作，根据工作开展情况实报实销、据实核拨</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该项目资金额度根据历年使用情况，结合辖区工作实际预算，由镇人民政府统筹安排使用</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（二）项目绩效目标。</w:t>
      </w:r>
    </w:p>
    <w:p>
      <w:pPr>
        <w:pageBreakBefore w:val="0"/>
        <w:numPr>
          <w:ilvl w:val="0"/>
          <w:numId w:val="0"/>
        </w:numPr>
        <w:kinsoku/>
        <w:wordWrap/>
        <w:overflowPunct/>
        <w:topLinePunct w:val="0"/>
        <w:bidi w:val="0"/>
        <w:snapToGrid w:val="0"/>
        <w:spacing w:before="95" w:beforeLines="30" w:line="560" w:lineRule="exact"/>
        <w:ind w:firstLine="640" w:firstLineChars="200"/>
        <w:textAlignment w:val="auto"/>
        <w:rPr>
          <w:rFonts w:hint="eastAsia" w:ascii="仿宋_GB2312" w:hAnsi="宋体" w:eastAsia="仿宋_GB2312"/>
          <w:sz w:val="32"/>
          <w:szCs w:val="32"/>
          <w:lang w:val="en-US"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hAnsi="宋体" w:eastAsia="仿宋_GB2312"/>
          <w:sz w:val="32"/>
          <w:szCs w:val="32"/>
          <w:lang w:val="en-US" w:eastAsia="zh-CN"/>
        </w:rPr>
        <w:t>开展避险常识宣传和应急救援演练，处置突发性灾害事件，落实防汛抗旱和疫情防控等重点工作。</w:t>
      </w:r>
    </w:p>
    <w:p>
      <w:pPr>
        <w:pageBreakBefore w:val="0"/>
        <w:kinsoku/>
        <w:wordWrap/>
        <w:overflowPunct/>
        <w:topLinePunct w:val="0"/>
        <w:bidi w:val="0"/>
        <w:adjustRightInd w:val="0"/>
        <w:snapToGrid w:val="0"/>
        <w:spacing w:before="95" w:beforeLines="30" w:line="560" w:lineRule="exact"/>
        <w:ind w:firstLine="720"/>
        <w:textAlignment w:val="auto"/>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r>
        <w:rPr>
          <w:rFonts w:hint="eastAsia" w:ascii="仿宋_GB2312" w:hAnsi="宋体" w:eastAsia="仿宋_GB2312"/>
          <w:sz w:val="32"/>
          <w:szCs w:val="32"/>
          <w:lang w:val="en-US" w:eastAsia="zh-CN"/>
        </w:rPr>
        <w:t>进一步提升我镇防灾减灾的潜力和水平，强化疫情防控和应急救援能力</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（三）项目自评步骤及方法。</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通过数据采集、实地调研、翻看凭证等获得数据和资料，客观评价资金使用效益；通过走访和入户调查群众满意度，客观评价项目实施获得的社会效益</w:t>
      </w:r>
      <w:r>
        <w:rPr>
          <w:rFonts w:hint="eastAsia" w:ascii="仿宋_GB2312" w:hAnsi="宋体" w:eastAsia="仿宋_GB2312"/>
          <w:sz w:val="32"/>
          <w:szCs w:val="32"/>
          <w:lang w:val="zh-CN" w:eastAsia="zh-CN"/>
        </w:rPr>
        <w:t>。</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二、项目资金申报及使用情况</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（一）项目资金申报及批复情况。</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项目资金根据历年使用情况，结合我镇实际，在预算控制额度内编制，区财政批复纳入预算金额5万元</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（二）资金计划、到位及使用情况（可用表格形式反映）。</w:t>
      </w:r>
    </w:p>
    <w:p>
      <w:pPr>
        <w:pageBreakBefore w:val="0"/>
        <w:kinsoku/>
        <w:wordWrap/>
        <w:overflowPunct/>
        <w:topLinePunct w:val="0"/>
        <w:bidi w:val="0"/>
        <w:adjustRightInd w:val="0"/>
        <w:snapToGrid w:val="0"/>
        <w:spacing w:before="95" w:beforeLines="30" w:line="560" w:lineRule="exact"/>
        <w:ind w:firstLine="720"/>
        <w:textAlignment w:val="auto"/>
        <w:rPr>
          <w:rFonts w:hint="default" w:ascii="楷体_GB2312" w:hAnsi="宋体" w:eastAsia="楷体_GB2312"/>
          <w:sz w:val="32"/>
          <w:szCs w:val="32"/>
          <w:lang w:val="en-US" w:eastAsia="zh-CN"/>
        </w:rPr>
      </w:pPr>
      <w:r>
        <w:rPr>
          <w:rFonts w:hint="eastAsia" w:ascii="仿宋_GB2312" w:hAnsi="宋体" w:eastAsia="仿宋_GB2312"/>
          <w:sz w:val="32"/>
          <w:szCs w:val="32"/>
          <w:lang w:val="en-US" w:eastAsia="zh-CN"/>
        </w:rPr>
        <w:t>该项目资金全年预算数5万元，实际到位5万元，执行数5万元，执行率100%，坚持专款专用、量入为出的原则，严格落实专项资金的申拨、使用审批手续，支付依据合规。</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outlineLvl w:val="2"/>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（三）项目财务管理情况。</w:t>
      </w:r>
    </w:p>
    <w:p>
      <w:pPr>
        <w:keepNext w:val="0"/>
        <w:keepLines w:val="0"/>
        <w:pageBreakBefore w:val="0"/>
        <w:kinsoku/>
        <w:wordWrap/>
        <w:overflowPunct/>
        <w:topLinePunct w:val="0"/>
        <w:autoSpaceDE/>
        <w:autoSpaceDN/>
        <w:bidi w:val="0"/>
        <w:adjustRightInd w:val="0"/>
        <w:snapToGrid w:val="0"/>
        <w:spacing w:before="95" w:beforeLines="30" w:line="56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en-US" w:eastAsia="zh-CN"/>
        </w:rPr>
        <w:t>三家镇内设财政机构，负责所有财政资金的监管工作，建立了</w:t>
      </w:r>
      <w:r>
        <w:rPr>
          <w:rFonts w:hint="eastAsia" w:ascii="仿宋_GB2312" w:hAnsi="宋体" w:eastAsia="仿宋_GB2312"/>
          <w:sz w:val="32"/>
          <w:szCs w:val="32"/>
          <w:lang w:val="zh-CN"/>
        </w:rPr>
        <w:t>健全</w:t>
      </w:r>
      <w:r>
        <w:rPr>
          <w:rFonts w:hint="eastAsia" w:ascii="仿宋_GB2312" w:hAnsi="宋体" w:eastAsia="仿宋_GB2312"/>
          <w:sz w:val="32"/>
          <w:szCs w:val="32"/>
          <w:lang w:val="en-US" w:eastAsia="zh-CN"/>
        </w:rPr>
        <w:t>的</w:t>
      </w:r>
      <w:r>
        <w:rPr>
          <w:rFonts w:hint="eastAsia" w:ascii="仿宋_GB2312" w:hAnsi="宋体" w:eastAsia="仿宋_GB2312"/>
          <w:sz w:val="32"/>
          <w:szCs w:val="32"/>
          <w:lang w:val="zh-CN"/>
        </w:rPr>
        <w:t>财务管理制度，严格</w:t>
      </w:r>
      <w:r>
        <w:rPr>
          <w:rFonts w:hint="eastAsia" w:ascii="仿宋_GB2312" w:hAnsi="宋体" w:eastAsia="仿宋_GB2312"/>
          <w:sz w:val="32"/>
          <w:szCs w:val="32"/>
          <w:lang w:val="en-US" w:eastAsia="zh-CN"/>
        </w:rPr>
        <w:t>执行财务制度规定，</w:t>
      </w:r>
      <w:r>
        <w:rPr>
          <w:rFonts w:hint="eastAsia" w:ascii="仿宋_GB2312" w:hAnsi="宋体" w:eastAsia="仿宋_GB2312"/>
          <w:sz w:val="32"/>
          <w:szCs w:val="32"/>
          <w:lang w:val="zh-CN"/>
        </w:rPr>
        <w:t>账务处理及时，会计核算规范，</w:t>
      </w:r>
      <w:r>
        <w:rPr>
          <w:rFonts w:hint="eastAsia" w:ascii="仿宋_GB2312" w:hAnsi="宋体" w:eastAsia="仿宋_GB2312"/>
          <w:sz w:val="32"/>
          <w:szCs w:val="32"/>
          <w:lang w:val="en-US" w:eastAsia="zh-CN"/>
        </w:rPr>
        <w:t>能有效保障财政资金安全，确保项目顺利实施。</w:t>
      </w:r>
    </w:p>
    <w:p>
      <w:pPr>
        <w:pStyle w:val="4"/>
        <w:pageBreakBefore w:val="0"/>
        <w:kinsoku/>
        <w:wordWrap/>
        <w:overflowPunct/>
        <w:topLinePunct w:val="0"/>
        <w:bidi w:val="0"/>
        <w:spacing w:before="95" w:beforeLines="30" w:line="560" w:lineRule="exact"/>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三、项目实施及管理情况</w:t>
      </w:r>
    </w:p>
    <w:p>
      <w:pPr>
        <w:pStyle w:val="4"/>
        <w:pageBreakBefore w:val="0"/>
        <w:kinsoku/>
        <w:wordWrap/>
        <w:overflowPunct/>
        <w:topLinePunct w:val="0"/>
        <w:bidi w:val="0"/>
        <w:spacing w:before="95" w:beforeLines="30" w:line="560" w:lineRule="exact"/>
        <w:ind w:firstLine="640" w:firstLineChars="200"/>
        <w:textAlignment w:val="auto"/>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宋体" w:eastAsia="仿宋_GB2312" w:cs="仿宋_GB2312"/>
          <w:b w:val="0"/>
          <w:bCs w:val="0"/>
          <w:i w:val="0"/>
          <w:caps w:val="0"/>
          <w:color w:val="000000"/>
          <w:spacing w:val="0"/>
          <w:kern w:val="2"/>
          <w:sz w:val="32"/>
          <w:szCs w:val="32"/>
          <w:shd w:val="clear" w:color="auto" w:fill="FFFFFF"/>
          <w:lang w:val="en-US" w:eastAsia="zh-CN" w:bidi="ar-SA"/>
        </w:rPr>
        <w:t>该项目属于日常运转经费保障项目，主要用于安全生产宣传、安全隐患排查和整治工作，由镇人民政府统一组织实施，根据工作开展实际，据实申拨项目资金。</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四、项目绩效情况</w:t>
      </w:r>
      <w:r>
        <w:rPr>
          <w:rFonts w:hint="eastAsia" w:ascii="黑体" w:eastAsia="黑体"/>
          <w:b w:val="0"/>
          <w:color w:val="auto"/>
          <w:highlight w:val="none"/>
          <w:lang w:val="zh-CN" w:eastAsia="zh-CN"/>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（一）项目完成情况。</w:t>
      </w:r>
    </w:p>
    <w:p>
      <w:pPr>
        <w:pageBreakBefore w:val="0"/>
        <w:kinsoku/>
        <w:wordWrap/>
        <w:overflowPunct/>
        <w:topLinePunct w:val="0"/>
        <w:bidi w:val="0"/>
        <w:adjustRightInd w:val="0"/>
        <w:snapToGrid w:val="0"/>
        <w:spacing w:before="95" w:beforeLines="30" w:line="560" w:lineRule="exact"/>
        <w:ind w:firstLine="720"/>
        <w:textAlignment w:val="auto"/>
        <w:rPr>
          <w:rFonts w:hint="default" w:ascii="仿宋_GB2312" w:hAnsi="宋体" w:eastAsia="仿宋_GB2312" w:cs="仿宋_GB2312"/>
          <w:i w:val="0"/>
          <w:caps w:val="0"/>
          <w:color w:val="000000"/>
          <w:spacing w:val="0"/>
          <w:sz w:val="32"/>
          <w:szCs w:val="32"/>
          <w:shd w:val="clear" w:color="auto" w:fill="FFFFFF"/>
          <w:lang w:val="en-US" w:eastAsia="zh-CN"/>
        </w:rPr>
      </w:pPr>
      <w:r>
        <w:rPr>
          <w:rFonts w:hint="eastAsia" w:ascii="仿宋_GB2312" w:hAnsi="宋体" w:eastAsia="仿宋_GB2312" w:cs="仿宋_GB2312"/>
          <w:i w:val="0"/>
          <w:caps w:val="0"/>
          <w:color w:val="000000"/>
          <w:spacing w:val="0"/>
          <w:sz w:val="32"/>
          <w:szCs w:val="32"/>
          <w:shd w:val="clear" w:color="auto" w:fill="FFFFFF"/>
          <w:lang w:val="en-US" w:eastAsia="zh-CN"/>
        </w:rPr>
        <w:t>防汛抗旱工作落实到位，新型冠状病毒肺炎疫情防控有力，全镇无一确诊病例，防灾减灾和应急救援能力进一步增强。</w:t>
      </w:r>
    </w:p>
    <w:p>
      <w:pPr>
        <w:pStyle w:val="4"/>
        <w:pageBreakBefore w:val="0"/>
        <w:kinsoku/>
        <w:wordWrap/>
        <w:overflowPunct/>
        <w:topLinePunct w:val="0"/>
        <w:bidi w:val="0"/>
        <w:spacing w:before="95" w:beforeLines="30" w:line="560" w:lineRule="exact"/>
        <w:ind w:firstLine="640" w:firstLineChars="200"/>
        <w:textAlignment w:val="auto"/>
        <w:rPr>
          <w:rFonts w:hint="eastAsia" w:ascii="黑体" w:eastAsia="黑体"/>
          <w:b w:val="0"/>
          <w:color w:val="auto"/>
          <w:highlight w:val="none"/>
          <w:lang w:val="zh-CN" w:eastAsia="zh-CN"/>
        </w:rPr>
      </w:pPr>
      <w:r>
        <w:rPr>
          <w:rFonts w:hint="eastAsia" w:ascii="黑体" w:eastAsia="黑体"/>
          <w:b w:val="0"/>
          <w:color w:val="auto"/>
          <w:highlight w:val="none"/>
          <w:lang w:val="zh-CN" w:eastAsia="zh-CN"/>
        </w:rPr>
        <w:t>五、评价结论及建议</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（一）评价结论。</w:t>
      </w:r>
    </w:p>
    <w:p>
      <w:pPr>
        <w:pageBreakBefore w:val="0"/>
        <w:kinsoku/>
        <w:wordWrap/>
        <w:overflowPunct/>
        <w:topLinePunct w:val="0"/>
        <w:bidi w:val="0"/>
        <w:adjustRightInd w:val="0"/>
        <w:snapToGrid w:val="0"/>
        <w:spacing w:before="95" w:beforeLines="30" w:line="56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sz w:val="32"/>
          <w:szCs w:val="32"/>
          <w:lang w:val="en-US" w:eastAsia="zh-CN"/>
        </w:rPr>
        <w:t>该项目社会效益和群众满意度较高，工作开展有力，绩效自评综合得分100分</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（二）存在的问题。</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sz w:val="32"/>
          <w:szCs w:val="32"/>
          <w:lang w:val="en-US" w:eastAsia="zh-CN"/>
        </w:rPr>
        <w:t>防灾减灾能力有待加强，疫情防控形势严峻，项目经费保障乏力，工作开展难度较大</w:t>
      </w:r>
      <w:r>
        <w:rPr>
          <w:rFonts w:hint="eastAsia" w:ascii="仿宋_GB2312" w:hAnsi="宋体" w:eastAsia="仿宋_GB2312"/>
          <w:sz w:val="32"/>
          <w:szCs w:val="32"/>
          <w:lang w:val="zh-CN"/>
        </w:rPr>
        <w:t>。</w:t>
      </w:r>
      <w:r>
        <w:rPr>
          <w:rFonts w:hint="eastAsia" w:ascii="仿宋_GB2312" w:hAnsi="Calibri" w:eastAsia="仿宋_GB2312" w:cs="仿宋"/>
          <w:color w:val="auto"/>
          <w:kern w:val="0"/>
          <w:sz w:val="32"/>
          <w:szCs w:val="32"/>
          <w:highlight w:val="none"/>
          <w:lang w:val="zh-CN" w:eastAsia="zh-CN" w:bidi="ar-SA"/>
        </w:rPr>
        <w:tab/>
      </w:r>
    </w:p>
    <w:p>
      <w:pPr>
        <w:pageBreakBefore w:val="0"/>
        <w:widowControl/>
        <w:kinsoku/>
        <w:wordWrap/>
        <w:overflowPunct/>
        <w:topLinePunct w:val="0"/>
        <w:bidi w:val="0"/>
        <w:adjustRightInd w:val="0"/>
        <w:snapToGrid w:val="0"/>
        <w:spacing w:before="95" w:beforeLines="30" w:line="560" w:lineRule="exact"/>
        <w:ind w:firstLine="643" w:firstLineChars="200"/>
        <w:contextualSpacing/>
        <w:jc w:val="left"/>
        <w:textAlignment w:val="auto"/>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（三）相关建议。</w:t>
      </w:r>
    </w:p>
    <w:p>
      <w:pPr>
        <w:pageBreakBefore w:val="0"/>
        <w:kinsoku/>
        <w:wordWrap/>
        <w:overflowPunct/>
        <w:topLinePunct w:val="0"/>
        <w:bidi w:val="0"/>
        <w:spacing w:before="95" w:beforeLines="30" w:line="56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加快防灾应急体系队伍建设，加大救援能力培训和经费投入，确保防灾应急救援工作正常开展</w:t>
      </w:r>
      <w:r>
        <w:rPr>
          <w:rFonts w:hint="eastAsia" w:ascii="仿宋_GB2312" w:hAnsi="宋体" w:eastAsia="仿宋_GB2312"/>
          <w:sz w:val="32"/>
          <w:szCs w:val="32"/>
          <w:lang w:val="zh-CN"/>
        </w:rPr>
        <w:t>。</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附件：专项预算项目支出绩效自评表</w:t>
      </w:r>
    </w:p>
    <w:p>
      <w:pPr>
        <w:pageBreakBefore w:val="0"/>
        <w:widowControl/>
        <w:kinsoku/>
        <w:wordWrap/>
        <w:overflowPunct/>
        <w:topLinePunct w:val="0"/>
        <w:bidi w:val="0"/>
        <w:adjustRightInd w:val="0"/>
        <w:snapToGrid w:val="0"/>
        <w:spacing w:before="95" w:beforeLines="30"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en-US" w:eastAsia="zh-CN" w:bidi="ar-SA"/>
        </w:rPr>
        <w:t>（以上绩效自评报告，除涉密敏感内容外，原则上都应予以公开。）</w:t>
      </w:r>
    </w:p>
    <w:p>
      <w:pPr>
        <w:pStyle w:val="2"/>
        <w:pageBreakBefore w:val="0"/>
        <w:kinsoku/>
        <w:wordWrap/>
        <w:overflowPunct/>
        <w:topLinePunct w:val="0"/>
        <w:bidi w:val="0"/>
        <w:spacing w:before="95" w:beforeLines="30" w:line="560" w:lineRule="exact"/>
        <w:textAlignment w:val="auto"/>
        <w:rPr>
          <w:rFonts w:hint="eastAsia"/>
          <w:lang w:val="zh-CN" w:eastAsia="zh-CN"/>
        </w:rPr>
      </w:pPr>
    </w:p>
    <w:p>
      <w:pPr>
        <w:pageBreakBefore w:val="0"/>
        <w:widowControl/>
        <w:kinsoku/>
        <w:wordWrap/>
        <w:overflowPunct/>
        <w:topLinePunct w:val="0"/>
        <w:bidi w:val="0"/>
        <w:spacing w:before="95" w:beforeLines="30" w:line="560" w:lineRule="exact"/>
        <w:jc w:val="left"/>
        <w:textAlignment w:val="auto"/>
        <w:rPr>
          <w:rStyle w:val="31"/>
          <w:rFonts w:ascii="黑体" w:hAnsi="黑体" w:eastAsia="黑体"/>
          <w:b w:val="0"/>
          <w:color w:val="auto"/>
          <w:highlight w:val="none"/>
        </w:rPr>
      </w:pPr>
    </w:p>
    <w:p>
      <w:pPr>
        <w:pageBreakBefore w:val="0"/>
        <w:kinsoku/>
        <w:wordWrap/>
        <w:overflowPunct/>
        <w:topLinePunct w:val="0"/>
        <w:bidi w:val="0"/>
        <w:spacing w:before="95" w:beforeLines="30" w:line="560" w:lineRule="exact"/>
        <w:jc w:val="center"/>
        <w:textAlignment w:val="auto"/>
        <w:outlineLvl w:val="0"/>
        <w:rPr>
          <w:rFonts w:hint="eastAsia" w:ascii="黑体" w:hAnsi="黑体" w:eastAsia="黑体"/>
          <w:color w:val="auto"/>
          <w:sz w:val="44"/>
          <w:szCs w:val="44"/>
          <w:highlight w:val="none"/>
        </w:rPr>
      </w:pPr>
      <w:bookmarkStart w:id="53" w:name="_Toc15396618"/>
    </w:p>
    <w:p>
      <w:pPr>
        <w:pageBreakBefore w:val="0"/>
        <w:kinsoku/>
        <w:wordWrap/>
        <w:overflowPunct/>
        <w:topLinePunct w:val="0"/>
        <w:bidi w:val="0"/>
        <w:spacing w:before="95" w:beforeLines="30" w:line="560" w:lineRule="exact"/>
        <w:jc w:val="center"/>
        <w:textAlignment w:val="auto"/>
        <w:outlineLvl w:val="0"/>
        <w:rPr>
          <w:rFonts w:hint="eastAsia" w:ascii="黑体" w:hAnsi="黑体" w:eastAsia="黑体"/>
          <w:color w:val="auto"/>
          <w:sz w:val="44"/>
          <w:szCs w:val="44"/>
          <w:highlight w:val="none"/>
        </w:rPr>
      </w:pPr>
    </w:p>
    <w:p>
      <w:pPr>
        <w:pageBreakBefore w:val="0"/>
        <w:kinsoku/>
        <w:wordWrap/>
        <w:overflowPunct/>
        <w:topLinePunct w:val="0"/>
        <w:bidi w:val="0"/>
        <w:spacing w:before="95" w:beforeLines="30" w:line="560" w:lineRule="exact"/>
        <w:jc w:val="center"/>
        <w:textAlignment w:val="auto"/>
        <w:outlineLvl w:val="0"/>
        <w:rPr>
          <w:rFonts w:hint="eastAsia" w:ascii="黑体" w:hAnsi="黑体" w:eastAsia="黑体"/>
          <w:color w:val="auto"/>
          <w:sz w:val="44"/>
          <w:szCs w:val="44"/>
          <w:highlight w:val="none"/>
        </w:rPr>
      </w:pPr>
    </w:p>
    <w:p>
      <w:pPr>
        <w:pageBreakBefore w:val="0"/>
        <w:kinsoku/>
        <w:wordWrap/>
        <w:overflowPunct/>
        <w:topLinePunct w:val="0"/>
        <w:bidi w:val="0"/>
        <w:spacing w:before="95" w:beforeLines="30" w:line="560" w:lineRule="exact"/>
        <w:jc w:val="center"/>
        <w:textAlignment w:val="auto"/>
        <w:outlineLvl w:val="0"/>
        <w:rPr>
          <w:rFonts w:hint="eastAsia" w:ascii="黑体" w:hAnsi="黑体" w:eastAsia="黑体"/>
          <w:color w:val="auto"/>
          <w:sz w:val="44"/>
          <w:szCs w:val="44"/>
          <w:highlight w:val="none"/>
        </w:rPr>
      </w:pPr>
    </w:p>
    <w:p>
      <w:pPr>
        <w:pageBreakBefore w:val="0"/>
        <w:kinsoku/>
        <w:wordWrap/>
        <w:overflowPunct/>
        <w:topLinePunct w:val="0"/>
        <w:bidi w:val="0"/>
        <w:spacing w:before="95" w:beforeLines="30" w:line="560" w:lineRule="exact"/>
        <w:jc w:val="center"/>
        <w:textAlignment w:val="auto"/>
        <w:outlineLvl w:val="0"/>
        <w:rPr>
          <w:rFonts w:hint="eastAsia" w:ascii="黑体" w:hAnsi="黑体" w:eastAsia="黑体"/>
          <w:color w:val="auto"/>
          <w:sz w:val="44"/>
          <w:szCs w:val="44"/>
          <w:highlight w:val="none"/>
        </w:rPr>
      </w:pPr>
    </w:p>
    <w:p>
      <w:pPr>
        <w:pageBreakBefore w:val="0"/>
        <w:kinsoku/>
        <w:wordWrap/>
        <w:overflowPunct/>
        <w:topLinePunct w:val="0"/>
        <w:bidi w:val="0"/>
        <w:spacing w:before="95" w:beforeLines="30" w:line="560" w:lineRule="exact"/>
        <w:jc w:val="center"/>
        <w:textAlignment w:val="auto"/>
        <w:outlineLvl w:val="0"/>
        <w:rPr>
          <w:rFonts w:hint="eastAsia" w:ascii="黑体" w:hAnsi="黑体" w:eastAsia="黑体"/>
          <w:color w:val="auto"/>
          <w:sz w:val="44"/>
          <w:szCs w:val="44"/>
          <w:highlight w:val="none"/>
        </w:rPr>
      </w:pPr>
    </w:p>
    <w:p>
      <w:pPr>
        <w:pageBreakBefore w:val="0"/>
        <w:kinsoku/>
        <w:wordWrap/>
        <w:overflowPunct/>
        <w:topLinePunct w:val="0"/>
        <w:bidi w:val="0"/>
        <w:spacing w:before="95" w:beforeLines="30" w:line="560" w:lineRule="exact"/>
        <w:jc w:val="center"/>
        <w:textAlignment w:val="auto"/>
        <w:outlineLvl w:val="0"/>
        <w:rPr>
          <w:rFonts w:hint="eastAsia" w:ascii="黑体" w:hAnsi="黑体" w:eastAsia="黑体"/>
          <w:color w:val="auto"/>
          <w:sz w:val="44"/>
          <w:szCs w:val="44"/>
          <w:highlight w:val="none"/>
        </w:rPr>
      </w:pPr>
    </w:p>
    <w:p>
      <w:pPr>
        <w:pStyle w:val="3"/>
        <w:pageBreakBefore w:val="0"/>
        <w:kinsoku/>
        <w:wordWrap/>
        <w:overflowPunct/>
        <w:topLinePunct w:val="0"/>
        <w:bidi w:val="0"/>
        <w:spacing w:before="95" w:beforeLines="30" w:line="560" w:lineRule="exact"/>
        <w:jc w:val="center"/>
        <w:textAlignment w:val="auto"/>
        <w:rPr>
          <w:rFonts w:hint="eastAsia" w:ascii="黑体" w:hAnsi="黑体" w:eastAsia="黑体" w:cs="Times New Roman"/>
          <w:b w:val="0"/>
          <w:color w:val="auto"/>
          <w:highlight w:val="none"/>
        </w:rPr>
      </w:pPr>
      <w:r>
        <w:rPr>
          <w:rFonts w:hint="eastAsia" w:ascii="黑体" w:hAnsi="黑体" w:eastAsia="黑体" w:cs="Times New Roman"/>
          <w:b w:val="0"/>
          <w:color w:val="auto"/>
          <w:highlight w:val="none"/>
        </w:rPr>
        <w:t>第五部分 附表</w:t>
      </w:r>
      <w:bookmarkEnd w:id="51"/>
      <w:bookmarkEnd w:id="53"/>
      <w:bookmarkStart w:id="54" w:name="_Toc15396619"/>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54"/>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55"/>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bookmarkStart w:id="56"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56"/>
    </w:p>
    <w:p>
      <w:pPr>
        <w:pStyle w:val="4"/>
        <w:pageBreakBefore w:val="0"/>
        <w:kinsoku/>
        <w:wordWrap/>
        <w:overflowPunct/>
        <w:topLinePunct w:val="0"/>
        <w:bidi w:val="0"/>
        <w:spacing w:before="95" w:beforeLines="30" w:line="560" w:lineRule="exact"/>
        <w:textAlignment w:val="auto"/>
        <w:rPr>
          <w:rFonts w:ascii="仿宋" w:hAnsi="仿宋" w:eastAsia="仿宋"/>
          <w:b w:val="0"/>
          <w:color w:val="auto"/>
          <w:highlight w:val="none"/>
        </w:rPr>
      </w:pPr>
      <w:bookmarkStart w:id="57"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57"/>
    </w:p>
    <w:p>
      <w:pPr>
        <w:pStyle w:val="4"/>
        <w:pageBreakBefore w:val="0"/>
        <w:kinsoku/>
        <w:wordWrap/>
        <w:overflowPunct/>
        <w:topLinePunct w:val="0"/>
        <w:bidi w:val="0"/>
        <w:spacing w:before="95" w:beforeLines="30" w:line="560" w:lineRule="exact"/>
        <w:textAlignment w:val="auto"/>
        <w:rPr>
          <w:rStyle w:val="32"/>
          <w:rFonts w:ascii="仿宋" w:hAnsi="仿宋" w:eastAsia="仿宋"/>
          <w:b w:val="0"/>
          <w:bCs w:val="0"/>
          <w:color w:val="auto"/>
          <w:highlight w:val="none"/>
        </w:rPr>
      </w:pPr>
      <w:bookmarkStart w:id="58"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58"/>
      <w:bookmarkStart w:id="59" w:name="_Toc15396624"/>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59"/>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bookmarkStart w:id="60"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60"/>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bookmarkStart w:id="61"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61"/>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bookmarkStart w:id="62"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62"/>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bookmarkStart w:id="63" w:name="_Toc15396628"/>
      <w:r>
        <w:rPr>
          <w:rStyle w:val="32"/>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bookmarkStart w:id="64" w:name="_Toc15396629"/>
      <w:r>
        <w:rPr>
          <w:rStyle w:val="32"/>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p>
    <w:p>
      <w:pPr>
        <w:pStyle w:val="4"/>
        <w:pageBreakBefore w:val="0"/>
        <w:kinsoku/>
        <w:wordWrap/>
        <w:overflowPunct/>
        <w:topLinePunct w:val="0"/>
        <w:bidi w:val="0"/>
        <w:spacing w:before="95" w:beforeLines="30" w:line="560" w:lineRule="exact"/>
        <w:textAlignment w:val="auto"/>
        <w:rPr>
          <w:rFonts w:ascii="仿宋" w:hAnsi="仿宋" w:eastAsia="仿宋"/>
          <w:color w:val="auto"/>
          <w:highlight w:val="none"/>
        </w:rPr>
      </w:pPr>
      <w:bookmarkStart w:id="65" w:name="_Toc15396630"/>
      <w:r>
        <w:rPr>
          <w:rStyle w:val="32"/>
          <w:rFonts w:hint="eastAsia" w:ascii="仿宋" w:hAnsi="仿宋" w:eastAsia="仿宋"/>
          <w:b w:val="0"/>
          <w:bCs w:val="0"/>
          <w:color w:val="auto"/>
          <w:highlight w:val="none"/>
        </w:rPr>
        <w:t>十二、</w:t>
      </w:r>
      <w:bookmarkEnd w:id="65"/>
      <w:r>
        <w:rPr>
          <w:rStyle w:val="32"/>
          <w:rFonts w:hint="eastAsia" w:ascii="仿宋" w:hAnsi="仿宋" w:eastAsia="仿宋"/>
          <w:b w:val="0"/>
          <w:bCs w:val="0"/>
          <w:color w:val="auto"/>
          <w:highlight w:val="none"/>
          <w:lang w:eastAsia="zh-CN"/>
        </w:rPr>
        <w:t>国有资本经营预算财政拨款支出决算表</w:t>
      </w:r>
    </w:p>
    <w:p>
      <w:pPr>
        <w:pStyle w:val="4"/>
        <w:pageBreakBefore w:val="0"/>
        <w:kinsoku/>
        <w:wordWrap/>
        <w:overflowPunct/>
        <w:topLinePunct w:val="0"/>
        <w:bidi w:val="0"/>
        <w:spacing w:before="95" w:beforeLines="30" w:line="560" w:lineRule="exact"/>
        <w:textAlignment w:val="auto"/>
        <w:rPr>
          <w:rFonts w:hint="eastAsia" w:eastAsia="仿宋"/>
          <w:color w:val="auto"/>
          <w:highlight w:val="none"/>
          <w:lang w:eastAsia="zh-CN"/>
        </w:rPr>
      </w:pPr>
      <w:bookmarkStart w:id="66" w:name="_Toc15396631"/>
      <w:r>
        <w:rPr>
          <w:rStyle w:val="32"/>
          <w:rFonts w:hint="eastAsia" w:ascii="仿宋" w:hAnsi="仿宋" w:eastAsia="仿宋"/>
          <w:b w:val="0"/>
          <w:bCs w:val="0"/>
          <w:color w:val="auto"/>
          <w:highlight w:val="none"/>
        </w:rPr>
        <w:t>十三、</w:t>
      </w:r>
      <w:bookmarkEnd w:id="66"/>
      <w:r>
        <w:rPr>
          <w:rStyle w:val="32"/>
          <w:rFonts w:hint="eastAsia" w:ascii="仿宋" w:hAnsi="仿宋" w:eastAsia="仿宋"/>
          <w:b w:val="0"/>
          <w:bCs w:val="0"/>
          <w:color w:val="auto"/>
          <w:highlight w:val="none"/>
          <w:lang w:eastAsia="zh-CN"/>
        </w:rPr>
        <w:t>财政拨款“三公”经费支出决算表</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D8FFB9-77BD-49ED-BE38-21175347FF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7734EE1-FEC5-48C6-85CC-C1CAC14523F0}"/>
  </w:font>
  <w:font w:name="Cambria">
    <w:panose1 w:val="02040503050406030204"/>
    <w:charset w:val="00"/>
    <w:family w:val="roman"/>
    <w:pitch w:val="default"/>
    <w:sig w:usb0="E00002FF" w:usb1="400004FF" w:usb2="00000000" w:usb3="00000000" w:csb0="2000019F" w:csb1="00000000"/>
    <w:embedRegular r:id="rId3" w:fontKey="{734AB371-7EC5-4AFF-B786-952278C4F447}"/>
  </w:font>
  <w:font w:name="仿宋_GB2312">
    <w:altName w:val="仿宋"/>
    <w:panose1 w:val="02010609030101010101"/>
    <w:charset w:val="86"/>
    <w:family w:val="modern"/>
    <w:pitch w:val="default"/>
    <w:sig w:usb0="00000000" w:usb1="00000000" w:usb2="00000000" w:usb3="00000000" w:csb0="00040000" w:csb1="00000000"/>
    <w:embedRegular r:id="rId4" w:fontKey="{00A27116-CC27-420B-AAD8-682C3B320AC8}"/>
  </w:font>
  <w:font w:name="仿宋">
    <w:panose1 w:val="02010609060101010101"/>
    <w:charset w:val="86"/>
    <w:family w:val="modern"/>
    <w:pitch w:val="default"/>
    <w:sig w:usb0="800002BF" w:usb1="38CF7CFA" w:usb2="00000016" w:usb3="00000000" w:csb0="00040001" w:csb1="00000000"/>
    <w:embedRegular r:id="rId5" w:fontKey="{13AF6BB9-5890-4657-9374-9087CA17B48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11860E41-F056-4950-A7FC-56007FAC2319}"/>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embedRegular r:id="rId7" w:fontKey="{2C8B010C-B96E-47E1-8314-E133B3D949F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7"/>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18BC6"/>
    <w:multiLevelType w:val="singleLevel"/>
    <w:tmpl w:val="A8918BC6"/>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1226B70"/>
    <w:multiLevelType w:val="singleLevel"/>
    <w:tmpl w:val="01226B70"/>
    <w:lvl w:ilvl="0" w:tentative="0">
      <w:start w:val="1"/>
      <w:numFmt w:val="decimal"/>
      <w:pStyle w:val="6"/>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69A65B0"/>
    <w:rsid w:val="07996F6E"/>
    <w:rsid w:val="0A2032A3"/>
    <w:rsid w:val="0AAC240E"/>
    <w:rsid w:val="0B852C60"/>
    <w:rsid w:val="0F98263C"/>
    <w:rsid w:val="101860EC"/>
    <w:rsid w:val="10BF041C"/>
    <w:rsid w:val="10C055FF"/>
    <w:rsid w:val="10FB40F0"/>
    <w:rsid w:val="118107EC"/>
    <w:rsid w:val="13920E38"/>
    <w:rsid w:val="13D50BC4"/>
    <w:rsid w:val="14922675"/>
    <w:rsid w:val="16BB723D"/>
    <w:rsid w:val="16F72C63"/>
    <w:rsid w:val="1A330456"/>
    <w:rsid w:val="1BE8440E"/>
    <w:rsid w:val="1C4C3A51"/>
    <w:rsid w:val="1D155CEE"/>
    <w:rsid w:val="1FF35744"/>
    <w:rsid w:val="20BD316F"/>
    <w:rsid w:val="22FF7A6F"/>
    <w:rsid w:val="23860B96"/>
    <w:rsid w:val="23CD3996"/>
    <w:rsid w:val="240371BF"/>
    <w:rsid w:val="258B383C"/>
    <w:rsid w:val="288822B5"/>
    <w:rsid w:val="29FD04D3"/>
    <w:rsid w:val="2A094D30"/>
    <w:rsid w:val="2C155C0E"/>
    <w:rsid w:val="2C815051"/>
    <w:rsid w:val="2C8A61B5"/>
    <w:rsid w:val="2DF04E50"/>
    <w:rsid w:val="2E114AFB"/>
    <w:rsid w:val="2F040D46"/>
    <w:rsid w:val="31745184"/>
    <w:rsid w:val="319F7F4E"/>
    <w:rsid w:val="32C91500"/>
    <w:rsid w:val="3304709D"/>
    <w:rsid w:val="3454500E"/>
    <w:rsid w:val="36AA5135"/>
    <w:rsid w:val="376D39B2"/>
    <w:rsid w:val="37E16F03"/>
    <w:rsid w:val="38044D88"/>
    <w:rsid w:val="386A68D5"/>
    <w:rsid w:val="38D469F0"/>
    <w:rsid w:val="391E1E7A"/>
    <w:rsid w:val="3D98207C"/>
    <w:rsid w:val="3E2919ED"/>
    <w:rsid w:val="3E78745D"/>
    <w:rsid w:val="40FA4E7B"/>
    <w:rsid w:val="4226071D"/>
    <w:rsid w:val="426138F9"/>
    <w:rsid w:val="44A678F3"/>
    <w:rsid w:val="44E268DA"/>
    <w:rsid w:val="48D24C1A"/>
    <w:rsid w:val="4A627F82"/>
    <w:rsid w:val="4B0E749A"/>
    <w:rsid w:val="4B4F25DA"/>
    <w:rsid w:val="4BE068DB"/>
    <w:rsid w:val="4D196FC1"/>
    <w:rsid w:val="4D577224"/>
    <w:rsid w:val="4EAB630A"/>
    <w:rsid w:val="4ECE2238"/>
    <w:rsid w:val="507C775A"/>
    <w:rsid w:val="51EE6435"/>
    <w:rsid w:val="51F5550A"/>
    <w:rsid w:val="5285323E"/>
    <w:rsid w:val="537E6D0A"/>
    <w:rsid w:val="552A3C28"/>
    <w:rsid w:val="556F5ADF"/>
    <w:rsid w:val="55A41C2D"/>
    <w:rsid w:val="573214BA"/>
    <w:rsid w:val="5AD808E6"/>
    <w:rsid w:val="5AF92295"/>
    <w:rsid w:val="5CBE191F"/>
    <w:rsid w:val="5CD71FC4"/>
    <w:rsid w:val="6094289E"/>
    <w:rsid w:val="61C80A51"/>
    <w:rsid w:val="65982E30"/>
    <w:rsid w:val="660109D5"/>
    <w:rsid w:val="6C4A05C8"/>
    <w:rsid w:val="6D323B6A"/>
    <w:rsid w:val="6E7E3605"/>
    <w:rsid w:val="6EE113A4"/>
    <w:rsid w:val="6FF5CC65"/>
    <w:rsid w:val="701233DC"/>
    <w:rsid w:val="715C0E4B"/>
    <w:rsid w:val="72734D90"/>
    <w:rsid w:val="73243F55"/>
    <w:rsid w:val="73AD73D5"/>
    <w:rsid w:val="73B6EB34"/>
    <w:rsid w:val="744731E5"/>
    <w:rsid w:val="76E3355F"/>
    <w:rsid w:val="778769C8"/>
    <w:rsid w:val="79E30091"/>
    <w:rsid w:val="79EE5BA4"/>
    <w:rsid w:val="7A894339"/>
    <w:rsid w:val="7A97325F"/>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style>
  <w:style w:type="paragraph" w:styleId="6">
    <w:name w:val="List Number"/>
    <w:basedOn w:val="1"/>
    <w:semiHidden/>
    <w:unhideWhenUsed/>
    <w:qFormat/>
    <w:uiPriority w:val="99"/>
    <w:pPr>
      <w:numPr>
        <w:ilvl w:val="0"/>
        <w:numId w:val="1"/>
      </w:numPr>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rPr>
      <w:rFonts w:eastAsia="仿宋"/>
      <w:sz w:val="32"/>
      <w:szCs w:val="24"/>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rPr>
      <w:sz w:val="24"/>
    </w:rPr>
  </w:style>
  <w:style w:type="paragraph" w:styleId="17">
    <w:name w:val="Body Text First Indent 2"/>
    <w:basedOn w:val="8"/>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next w:val="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15"/>
    <w:basedOn w:val="19"/>
    <w:qFormat/>
    <w:uiPriority w:val="0"/>
    <w:rPr>
      <w:rFonts w:hint="default" w:ascii="Times New Roman" w:hAnsi="Times New Roman" w:cs="Times New Roman"/>
      <w:b/>
    </w:rPr>
  </w:style>
  <w:style w:type="character" w:customStyle="1" w:styleId="39">
    <w:name w:val="font41"/>
    <w:basedOn w:val="19"/>
    <w:qFormat/>
    <w:uiPriority w:val="0"/>
    <w:rPr>
      <w:rFonts w:hint="eastAsia" w:ascii="宋体" w:hAnsi="宋体" w:eastAsia="宋体" w:cs="宋体"/>
      <w:b/>
      <w:bCs/>
      <w:color w:val="000000"/>
      <w:sz w:val="24"/>
      <w:szCs w:val="24"/>
      <w:u w:val="none"/>
    </w:rPr>
  </w:style>
  <w:style w:type="character" w:customStyle="1" w:styleId="40">
    <w:name w:val="font10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收、支决算总计变动情况图</a:t>
            </a:r>
            <a:endParaRPr lang="zh-CN" altLang="en-US" sz="1400"/>
          </a:p>
        </c:rich>
      </c:tx>
      <c:layout>
        <c:manualLayout>
          <c:xMode val="edge"/>
          <c:yMode val="edge"/>
          <c:x val="0.272781065088757"/>
          <c:y val="0.0972590627763042"/>
        </c:manualLayout>
      </c:layout>
      <c:overlay val="0"/>
    </c:title>
    <c:autoTitleDeleted val="0"/>
    <c:plotArea>
      <c:layout>
        <c:manualLayout>
          <c:layoutTarget val="inner"/>
          <c:xMode val="edge"/>
          <c:yMode val="edge"/>
          <c:x val="0.0871324058858976"/>
          <c:y val="0.127373212676773"/>
          <c:w val="0.739890768091859"/>
          <c:h val="0.761260155913347"/>
        </c:manualLayout>
      </c:layout>
      <c:barChart>
        <c:barDir val="col"/>
        <c:grouping val="stacked"/>
        <c:varyColors val="0"/>
        <c:ser>
          <c:idx val="0"/>
          <c:order val="0"/>
          <c:tx>
            <c:strRef>
              <c:f>Sheet1!$B$1</c:f>
              <c:strCache>
                <c:ptCount val="1"/>
                <c:pt idx="0">
                  <c:v>2021年收支决算总计（万元）</c:v>
                </c:pt>
              </c:strCache>
            </c:strRef>
          </c:tx>
          <c:invertIfNegative val="0"/>
          <c:dLbls>
            <c:dLbl>
              <c:idx val="1"/>
              <c:layout>
                <c:manualLayout>
                  <c:x val="0.00497512437810945"/>
                  <c:y val="-0.2998766795941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2022年度</c:v>
                </c:pt>
                <c:pt idx="1">
                  <c:v>2021年度</c:v>
                </c:pt>
              </c:strCache>
            </c:strRef>
          </c:cat>
          <c:val>
            <c:numRef>
              <c:f>Sheet1!$B$2:$B$3</c:f>
              <c:numCache>
                <c:formatCode>General</c:formatCode>
                <c:ptCount val="2"/>
                <c:pt idx="1" c:formatCode="0.00_);\(0.00\)">
                  <c:v>3916.69</c:v>
                </c:pt>
              </c:numCache>
            </c:numRef>
          </c:val>
        </c:ser>
        <c:ser>
          <c:idx val="1"/>
          <c:order val="1"/>
          <c:tx>
            <c:strRef>
              <c:f>Sheet1!$C$1</c:f>
              <c:strCache>
                <c:ptCount val="1"/>
                <c:pt idx="0">
                  <c:v>2022年收支决算总计（万元）2</c:v>
                </c:pt>
              </c:strCache>
            </c:strRef>
          </c:tx>
          <c:invertIfNegative val="0"/>
          <c:dLbls>
            <c:dLbl>
              <c:idx val="0"/>
              <c:layout>
                <c:manualLayout>
                  <c:x val="0"/>
                  <c:y val="-0.06608357628765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2022年度</c:v>
                </c:pt>
                <c:pt idx="1">
                  <c:v>2021年度</c:v>
                </c:pt>
              </c:strCache>
            </c:strRef>
          </c:cat>
          <c:val>
            <c:numRef>
              <c:f>Sheet1!$C$2:$C$3</c:f>
              <c:numCache>
                <c:formatCode>General</c:formatCode>
                <c:ptCount val="2"/>
                <c:pt idx="0">
                  <c:v>3090.32</c:v>
                </c:pt>
              </c:numCache>
            </c:numRef>
          </c:val>
        </c:ser>
        <c:dLbls>
          <c:showLegendKey val="0"/>
          <c:showVal val="1"/>
          <c:showCatName val="0"/>
          <c:showSerName val="0"/>
          <c:showPercent val="0"/>
          <c:showBubbleSize val="0"/>
        </c:dLbls>
        <c:gapWidth val="300"/>
        <c:axId val="100129792"/>
        <c:axId val="120587008"/>
      </c:barChart>
      <c:catAx>
        <c:axId val="10012979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crossAx val="120587008"/>
        <c:crosses val="autoZero"/>
        <c:auto val="1"/>
        <c:lblAlgn val="ctr"/>
        <c:lblOffset val="100"/>
        <c:noMultiLvlLbl val="0"/>
      </c:catAx>
      <c:valAx>
        <c:axId val="120587008"/>
        <c:scaling>
          <c:orientation val="minMax"/>
        </c:scaling>
        <c:delete val="0"/>
        <c:axPos val="l"/>
        <c:majorGridlines/>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129792"/>
        <c:crosses val="autoZero"/>
        <c:crossBetween val="between"/>
      </c:valAx>
    </c:plotArea>
    <c:legend>
      <c:legendPos val="r"/>
      <c:layout>
        <c:manualLayout>
          <c:xMode val="edge"/>
          <c:yMode val="edge"/>
          <c:x val="0.823660633838681"/>
          <c:y val="0.306407490108513"/>
          <c:w val="0.17633936616132"/>
          <c:h val="0.46139099776707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manualLayout>
          <c:layoutTarget val="inner"/>
          <c:xMode val="edge"/>
          <c:yMode val="edge"/>
          <c:x val="0.0161565578361282"/>
          <c:y val="0.142331914393054"/>
          <c:w val="0.624633918668117"/>
          <c:h val="0.836344574575237"/>
        </c:manualLayout>
      </c:layout>
      <c:pieChart>
        <c:varyColors val="1"/>
        <c:ser>
          <c:idx val="0"/>
          <c:order val="0"/>
          <c:tx>
            <c:strRef>
              <c:f>Sheet1!$B$1</c:f>
              <c:strCache>
                <c:ptCount val="1"/>
                <c:pt idx="0">
                  <c:v>安居镇2022年收入决算结构图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bg1"/>
                        </a:solidFill>
                        <a:latin typeface="+mn-lt"/>
                        <a:ea typeface="+mn-ea"/>
                        <a:cs typeface="+mn-cs"/>
                      </a:defRPr>
                    </a:pPr>
                    <a:r>
                      <a:rPr lang="en-US" altLang="zh-CN" b="1" i="0" baseline="0">
                        <a:solidFill>
                          <a:schemeClr val="bg1"/>
                        </a:solidFill>
                      </a:rPr>
                      <a:t> </a:t>
                    </a:r>
                    <a:r>
                      <a:rPr lang="zh-CN" altLang="en-US" b="1" i="0" baseline="0">
                        <a:solidFill>
                          <a:schemeClr val="bg1"/>
                        </a:solidFill>
                      </a:rPr>
                      <a:t>一般公共预算财政拨款收入</a:t>
                    </a:r>
                    <a:r>
                      <a:rPr lang="en-US" altLang="zh-CN" b="1" i="0" baseline="0">
                        <a:solidFill>
                          <a:schemeClr val="bg1"/>
                        </a:solidFill>
                      </a:rPr>
                      <a:t>, 98.92%</a:t>
                    </a:r>
                    <a:endParaRPr lang="zh-CN" altLang="en-US" b="1" i="0" baseline="0">
                      <a:solidFill>
                        <a:schemeClr val="bg1"/>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bg1"/>
                      </a:solidFill>
                      <a:latin typeface="+mn-lt"/>
                      <a:ea typeface="+mn-ea"/>
                      <a:cs typeface="+mn-cs"/>
                    </a:defRPr>
                  </a:pPr>
                </a:p>
              </c:txPr>
              <c:dLblPos val="outEnd"/>
              <c:showLegendKey val="0"/>
              <c:showVal val="1"/>
              <c:showCatName val="1"/>
              <c:showSerName val="1"/>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bg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General</c:formatCode>
                <c:ptCount val="7"/>
                <c:pt idx="0">
                  <c:v>98.92</c:v>
                </c:pt>
                <c:pt idx="1">
                  <c:v>1.08</c:v>
                </c:pt>
                <c:pt idx="2">
                  <c:v>0</c:v>
                </c:pt>
                <c:pt idx="3">
                  <c:v>0</c:v>
                </c:pt>
                <c:pt idx="4">
                  <c:v>0</c:v>
                </c:pt>
                <c:pt idx="5">
                  <c:v>0</c:v>
                </c:pt>
                <c:pt idx="6">
                  <c:v>0</c:v>
                </c:pt>
              </c:numCache>
            </c:numRef>
          </c:val>
        </c:ser>
        <c:dLbls>
          <c:showLegendKey val="0"/>
          <c:showVal val="0"/>
          <c:showCatName val="1"/>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75.49%</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24.51%</a:t>
                    </a:r>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75.49</c:v>
                </c:pt>
                <c:pt idx="1">
                  <c:v>24.51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chemeClr val="tx1"/>
                </a:solidFill>
                <a:latin typeface="Arial Unicode MS" panose="020B0604020202020204" charset="-122"/>
                <a:ea typeface="+mn-ea"/>
                <a:cs typeface="+mn-cs"/>
              </a:defRPr>
            </a:pPr>
            <a:r>
              <a:rPr lang="zh-CN" altLang="en-US" sz="1200" b="1" i="0" baseline="0">
                <a:latin typeface="Arial Unicode MS" panose="020B0604020202020204" charset="-122"/>
              </a:rPr>
              <a:t>财政拨款</a:t>
            </a:r>
            <a:r>
              <a:rPr lang="zh-CN" sz="1200" b="1" i="0" baseline="0">
                <a:latin typeface="Arial Unicode MS" panose="020B0604020202020204" charset="-122"/>
              </a:rPr>
              <a:t>收、支决算总计变动情况</a:t>
            </a:r>
            <a:endParaRPr lang="zh-CN" sz="1200" b="1" i="0" baseline="0">
              <a:latin typeface="Arial Unicode MS" panose="020B0604020202020204" charset="-122"/>
            </a:endParaRPr>
          </a:p>
        </c:rich>
      </c:tx>
      <c:layout>
        <c:manualLayout>
          <c:xMode val="edge"/>
          <c:yMode val="edge"/>
          <c:x val="0.235884773662551"/>
          <c:y val="0.0505344995140915"/>
        </c:manualLayout>
      </c:layout>
      <c:overlay val="0"/>
    </c:title>
    <c:autoTitleDeleted val="0"/>
    <c:plotArea>
      <c:layout>
        <c:manualLayout>
          <c:layoutTarget val="inner"/>
          <c:xMode val="edge"/>
          <c:yMode val="edge"/>
          <c:x val="0.0946347159360987"/>
          <c:y val="0.206006922656519"/>
          <c:w val="0.632440118213578"/>
          <c:h val="0.701845228530115"/>
        </c:manualLayout>
      </c:layout>
      <c:barChart>
        <c:barDir val="col"/>
        <c:grouping val="stacked"/>
        <c:varyColors val="0"/>
        <c:ser>
          <c:idx val="0"/>
          <c:order val="0"/>
          <c:tx>
            <c:strRef>
              <c:f>Sheet1!$B$1</c:f>
              <c:strCache>
                <c:ptCount val="1"/>
                <c:pt idx="0">
                  <c:v>2022年财政拨款收、支决算总计（万元）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2021年度</c:v>
                </c:pt>
                <c:pt idx="1">
                  <c:v>2022年度</c:v>
                </c:pt>
              </c:strCache>
            </c:strRef>
          </c:cat>
          <c:val>
            <c:numRef>
              <c:f>Sheet1!$B$2:$B$3</c:f>
              <c:numCache>
                <c:formatCode>General</c:formatCode>
                <c:ptCount val="2"/>
                <c:pt idx="1" c:formatCode="0.00_);\(0.00\)">
                  <c:v>3090.32</c:v>
                </c:pt>
              </c:numCache>
            </c:numRef>
          </c:val>
        </c:ser>
        <c:ser>
          <c:idx val="1"/>
          <c:order val="1"/>
          <c:tx>
            <c:strRef>
              <c:f>Sheet1!$C$1</c:f>
              <c:strCache>
                <c:ptCount val="1"/>
                <c:pt idx="0">
                  <c:v>2021年财政拨款收、支决算总计（万元）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2021年度</c:v>
                </c:pt>
                <c:pt idx="1">
                  <c:v>2022年度</c:v>
                </c:pt>
              </c:strCache>
            </c:strRef>
          </c:cat>
          <c:val>
            <c:numRef>
              <c:f>Sheet1!$C$2:$C$3</c:f>
              <c:numCache>
                <c:formatCode>General</c:formatCode>
                <c:ptCount val="2"/>
                <c:pt idx="0">
                  <c:v>3916.69</c:v>
                </c:pt>
              </c:numCache>
            </c:numRef>
          </c:val>
        </c:ser>
        <c:dLbls>
          <c:showLegendKey val="0"/>
          <c:showVal val="1"/>
          <c:showCatName val="0"/>
          <c:showSerName val="0"/>
          <c:showPercent val="0"/>
          <c:showBubbleSize val="0"/>
        </c:dLbls>
        <c:gapWidth val="55"/>
        <c:overlap val="100"/>
        <c:axId val="100117504"/>
        <c:axId val="120464128"/>
      </c:barChart>
      <c:catAx>
        <c:axId val="10011750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464128"/>
        <c:crosses val="autoZero"/>
        <c:auto val="1"/>
        <c:lblAlgn val="ctr"/>
        <c:lblOffset val="100"/>
        <c:noMultiLvlLbl val="0"/>
      </c:catAx>
      <c:valAx>
        <c:axId val="120464128"/>
        <c:scaling>
          <c:orientation val="minMax"/>
        </c:scaling>
        <c:delete val="0"/>
        <c:axPos val="l"/>
        <c:majorGridlines/>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117504"/>
        <c:crosses val="autoZero"/>
        <c:crossBetween val="between"/>
      </c:valAx>
      <c:spPr>
        <a:noFill/>
      </c:spPr>
    </c:plotArea>
    <c:legend>
      <c:legendPos val="r"/>
      <c:layout>
        <c:manualLayout>
          <c:xMode val="edge"/>
          <c:yMode val="edge"/>
          <c:x val="0.749443951590235"/>
          <c:y val="0.396256896459373"/>
          <c:w val="0.228305743278153"/>
          <c:h val="0.432131493767361"/>
        </c:manualLayout>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baseline="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chemeClr val="tx1"/>
                </a:solidFill>
                <a:latin typeface="Arial Unicode MS" panose="020B0604020202020204" charset="-122"/>
                <a:ea typeface="+mn-ea"/>
                <a:cs typeface="+mn-cs"/>
              </a:defRPr>
            </a:pPr>
            <a:r>
              <a:rPr lang="zh-CN" altLang="en-US" sz="1200" b="1" i="0" baseline="0">
                <a:latin typeface="Arial Unicode MS" panose="020B0604020202020204" charset="-122"/>
              </a:rPr>
              <a:t>一般公共预算财政拨款支出决算情况说明</a:t>
            </a:r>
            <a:endParaRPr lang="zh-CN" sz="1200" b="1" i="0" baseline="0">
              <a:latin typeface="Arial Unicode MS" panose="020B0604020202020204" charset="-122"/>
            </a:endParaRPr>
          </a:p>
        </c:rich>
      </c:tx>
      <c:layout>
        <c:manualLayout>
          <c:xMode val="edge"/>
          <c:yMode val="edge"/>
          <c:x val="0.23437585733882"/>
          <c:y val="0.0505344995140915"/>
        </c:manualLayout>
      </c:layout>
      <c:overlay val="0"/>
    </c:title>
    <c:autoTitleDeleted val="0"/>
    <c:plotArea>
      <c:layout>
        <c:manualLayout>
          <c:layoutTarget val="inner"/>
          <c:xMode val="edge"/>
          <c:yMode val="edge"/>
          <c:x val="0.0946347159360987"/>
          <c:y val="0.206006922656519"/>
          <c:w val="0.632440118213578"/>
          <c:h val="0.701845228530115"/>
        </c:manualLayout>
      </c:layout>
      <c:barChart>
        <c:barDir val="col"/>
        <c:grouping val="stacked"/>
        <c:varyColors val="0"/>
        <c:ser>
          <c:idx val="0"/>
          <c:order val="0"/>
          <c:tx>
            <c:strRef>
              <c:f>Sheet1!$B$1</c:f>
              <c:strCache>
                <c:ptCount val="1"/>
                <c:pt idx="0">
                  <c:v>2022年一般公共预算财政拨款支出（万元）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2021年度</c:v>
                </c:pt>
                <c:pt idx="1">
                  <c:v>2022年度</c:v>
                </c:pt>
              </c:strCache>
            </c:strRef>
          </c:cat>
          <c:val>
            <c:numRef>
              <c:f>Sheet1!$B$2:$B$3</c:f>
              <c:numCache>
                <c:formatCode>General</c:formatCode>
                <c:ptCount val="2"/>
                <c:pt idx="1" c:formatCode="0.00_);\(0.00\)">
                  <c:v>3090.32</c:v>
                </c:pt>
              </c:numCache>
            </c:numRef>
          </c:val>
        </c:ser>
        <c:ser>
          <c:idx val="1"/>
          <c:order val="1"/>
          <c:tx>
            <c:strRef>
              <c:f>Sheet1!$C$1</c:f>
              <c:strCache>
                <c:ptCount val="1"/>
                <c:pt idx="0">
                  <c:v>2022年一般公共预算财政拨款支出（万元）2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2021年度</c:v>
                </c:pt>
                <c:pt idx="1">
                  <c:v>2022年度</c:v>
                </c:pt>
              </c:strCache>
            </c:strRef>
          </c:cat>
          <c:val>
            <c:numRef>
              <c:f>Sheet1!$C$2:$C$3</c:f>
              <c:numCache>
                <c:formatCode>General</c:formatCode>
                <c:ptCount val="2"/>
                <c:pt idx="0">
                  <c:v>3916.69</c:v>
                </c:pt>
              </c:numCache>
            </c:numRef>
          </c:val>
        </c:ser>
        <c:dLbls>
          <c:showLegendKey val="0"/>
          <c:showVal val="1"/>
          <c:showCatName val="0"/>
          <c:showSerName val="0"/>
          <c:showPercent val="0"/>
          <c:showBubbleSize val="0"/>
        </c:dLbls>
        <c:gapWidth val="55"/>
        <c:overlap val="100"/>
        <c:axId val="100117504"/>
        <c:axId val="120464128"/>
      </c:barChart>
      <c:catAx>
        <c:axId val="10011750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464128"/>
        <c:crosses val="autoZero"/>
        <c:auto val="1"/>
        <c:lblAlgn val="ctr"/>
        <c:lblOffset val="100"/>
        <c:noMultiLvlLbl val="0"/>
      </c:catAx>
      <c:valAx>
        <c:axId val="120464128"/>
        <c:scaling>
          <c:orientation val="minMax"/>
        </c:scaling>
        <c:delete val="0"/>
        <c:axPos val="l"/>
        <c:majorGridlines/>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117504"/>
        <c:crosses val="autoZero"/>
        <c:crossBetween val="between"/>
      </c:valAx>
      <c:spPr>
        <a:noFill/>
      </c:spPr>
    </c:plotArea>
    <c:legend>
      <c:legendPos val="r"/>
      <c:layout>
        <c:manualLayout>
          <c:xMode val="edge"/>
          <c:yMode val="edge"/>
          <c:x val="0.749443951590235"/>
          <c:y val="0.396256896459373"/>
          <c:w val="0.228305743278153"/>
          <c:h val="0.432131493767361"/>
        </c:manualLayout>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baseline="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490625"/>
          <c:y val="0.125333333333333"/>
          <c:w val="0.501875"/>
          <c:h val="0.669166666666667"/>
        </c:manualLayout>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Sheet1!$A$2:$A$9</c:f>
              <c:strCache>
                <c:ptCount val="8"/>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strCache>
            </c:strRef>
          </c:cat>
          <c:val>
            <c:numRef>
              <c:f>Sheet1!$B$2:$B$9</c:f>
              <c:numCache>
                <c:formatCode>#,##0.00</c:formatCode>
                <c:ptCount val="8"/>
                <c:pt idx="0">
                  <c:v>689.38</c:v>
                </c:pt>
                <c:pt idx="1">
                  <c:v>32.92</c:v>
                </c:pt>
                <c:pt idx="2">
                  <c:v>121.32</c:v>
                </c:pt>
                <c:pt idx="3">
                  <c:v>85.17</c:v>
                </c:pt>
                <c:pt idx="4">
                  <c:v>45</c:v>
                </c:pt>
                <c:pt idx="5">
                  <c:v>35</c:v>
                </c:pt>
                <c:pt idx="6">
                  <c:v>1950.16</c:v>
                </c:pt>
                <c:pt idx="7">
                  <c:v>97.97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0%</c:formatCode>
                <c:ptCount val="3"/>
                <c:pt idx="0">
                  <c:v>0</c:v>
                </c:pt>
                <c:pt idx="1">
                  <c:v>0</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18918</Words>
  <Characters>19964</Characters>
  <Lines>61</Lines>
  <Paragraphs>17</Paragraphs>
  <TotalTime>5</TotalTime>
  <ScaleCrop>false</ScaleCrop>
  <LinksUpToDate>false</LinksUpToDate>
  <CharactersWithSpaces>20630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2023-07-31T02:35:00Z</cp:lastPrinted>
  <dcterms:modified xsi:type="dcterms:W3CDTF">2023-09-19T06:11:10Z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A3D82B06649646E7B4F24F9568A8F3D5_12</vt:lpwstr>
  </property>
</Properties>
</file>