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77193"/>
      <w:bookmarkStart w:id="3" w:name="_Toc15396597"/>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tabs>
          <w:tab w:val="center" w:pos="4153"/>
          <w:tab w:val="right" w:pos="8306"/>
        </w:tabs>
        <w:adjustRightInd w:val="0"/>
        <w:snapToGrid w:val="0"/>
        <w:spacing w:line="360" w:lineRule="auto"/>
        <w:jc w:val="left"/>
        <w:outlineLvl w:val="0"/>
        <w:rPr>
          <w:rFonts w:ascii="方正小标宋简体" w:hAnsi="方正小标宋简体" w:eastAsia="方正小标宋简体" w:cs="方正小标宋简体"/>
          <w:sz w:val="72"/>
          <w:szCs w:val="72"/>
        </w:rPr>
      </w:pPr>
      <w:bookmarkStart w:id="6" w:name="_Toc143811701"/>
      <w:r>
        <w:rPr>
          <w:rFonts w:ascii="方正小标宋简体" w:hAnsi="方正小标宋简体" w:eastAsia="方正小标宋简体" w:cs="方正小标宋简体"/>
          <w:sz w:val="72"/>
          <w:szCs w:val="72"/>
        </w:rPr>
        <w:tab/>
      </w: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r>
        <w:rPr>
          <w:rFonts w:ascii="方正小标宋简体" w:hAnsi="方正小标宋简体" w:eastAsia="方正小标宋简体" w:cs="方正小标宋简体"/>
          <w:sz w:val="72"/>
          <w:szCs w:val="72"/>
        </w:rPr>
        <w:tab/>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3811702"/>
      <w:bookmarkStart w:id="8" w:name="_Toc15377426"/>
      <w:bookmarkStart w:id="9" w:name="_Toc15396476"/>
      <w:bookmarkStart w:id="10" w:name="_Toc15396598"/>
      <w:bookmarkStart w:id="11" w:name="_Toc15378442"/>
      <w:bookmarkStart w:id="12" w:name="_Toc15377194"/>
      <w:r>
        <w:rPr>
          <w:rFonts w:hint="eastAsia" w:ascii="方正小标宋简体" w:hAnsi="方正小标宋简体" w:eastAsia="方正小标宋简体" w:cs="方正小标宋简体"/>
          <w:sz w:val="72"/>
          <w:szCs w:val="72"/>
        </w:rPr>
        <w:t>四川省</w:t>
      </w:r>
      <w:bookmarkEnd w:id="5"/>
      <w:bookmarkStart w:id="13" w:name="_Toc24296"/>
      <w:bookmarkStart w:id="14" w:name="_Toc15306268"/>
      <w:r>
        <w:rPr>
          <w:rFonts w:hint="eastAsia" w:ascii="方正小标宋简体" w:hAnsi="宋体" w:eastAsia="方正小标宋简体"/>
          <w:color w:val="000000"/>
          <w:sz w:val="72"/>
          <w:szCs w:val="72"/>
        </w:rPr>
        <w:t>遂宁市安居区</w:t>
      </w:r>
      <w:bookmarkEnd w:id="13"/>
      <w:r>
        <w:rPr>
          <w:rFonts w:hint="eastAsia" w:ascii="方正小标宋简体" w:hAnsi="宋体" w:eastAsia="方正小标宋简体"/>
          <w:color w:val="000000"/>
          <w:sz w:val="72"/>
          <w:szCs w:val="72"/>
        </w:rPr>
        <w:t>人力资源和社会保障局</w:t>
      </w:r>
      <w:r>
        <w:rPr>
          <w:rFonts w:hint="eastAsia" w:ascii="方正小标宋简体" w:hAnsi="方正小标宋简体" w:eastAsia="方正小标宋简体" w:cs="方正小标宋简体"/>
          <w:sz w:val="72"/>
          <w:szCs w:val="72"/>
        </w:rPr>
        <w:t>部门</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5" w:name="_Toc143811703"/>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4"/>
      <w:bookmarkEnd w:id="15"/>
    </w:p>
    <w:p>
      <w:pPr>
        <w:widowControl/>
        <w:spacing w:line="440" w:lineRule="exact"/>
        <w:jc w:val="left"/>
        <w:rPr>
          <w:rFonts w:ascii="仿宋" w:hAnsi="仿宋" w:eastAsia="仿宋"/>
          <w:b/>
          <w:sz w:val="24"/>
        </w:rPr>
      </w:pPr>
      <w:r>
        <w:rPr>
          <w:rFonts w:ascii="方正小标宋简体" w:hAnsi="宋体" w:eastAsia="方正小标宋简体"/>
          <w:sz w:val="36"/>
          <w:szCs w:val="36"/>
        </w:rPr>
        <w:br w:type="page"/>
      </w:r>
      <w:bookmarkStart w:id="16" w:name="_Toc15377196"/>
      <w:bookmarkStart w:id="17" w:name="_Toc15396599"/>
    </w:p>
    <w:sdt>
      <w:sdtPr>
        <w:rPr>
          <w:rFonts w:ascii="Times New Roman" w:hAnsi="Times New Roman" w:eastAsia="宋体" w:cs="Times New Roman"/>
          <w:color w:val="auto"/>
          <w:kern w:val="2"/>
          <w:sz w:val="21"/>
          <w:szCs w:val="24"/>
          <w:lang w:val="zh-CN"/>
        </w:rPr>
        <w:id w:val="23597813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44"/>
            <w:jc w:val="center"/>
            <w:rPr>
              <w:rFonts w:asciiTheme="minorHAnsi" w:hAnsiTheme="minorHAnsi" w:eastAsiaTheme="minorEastAsia" w:cstheme="minorBidi"/>
              <w:sz w:val="21"/>
              <w:szCs w:val="22"/>
              <w14:ligatures w14:val="standardContextual"/>
            </w:rPr>
          </w:pPr>
          <w:r>
            <w:rPr>
              <w:lang w:val="zh-CN"/>
            </w:rPr>
            <w:t>目录</w:t>
          </w:r>
          <w:r>
            <w:fldChar w:fldCharType="begin"/>
          </w:r>
          <w:r>
            <w:instrText xml:space="preserve"> TOC \o "1-3" \h \z \u </w:instrText>
          </w:r>
          <w:r>
            <w:fldChar w:fldCharType="separate"/>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"_Toc143811704" </w:instrText>
          </w:r>
          <w:r>
            <w:fldChar w:fldCharType="separate"/>
          </w:r>
          <w:r>
            <w:rPr>
              <w:rStyle w:val="26"/>
              <w:rFonts w:ascii="黑体" w:hAnsi="黑体" w:eastAsia="黑体"/>
            </w:rPr>
            <w:t>第一部分 部门概况</w:t>
          </w:r>
          <w:r>
            <w:tab/>
          </w:r>
          <w:r>
            <w:fldChar w:fldCharType="begin"/>
          </w:r>
          <w:r>
            <w:instrText xml:space="preserve"> PAGEREF _Toc143811704 \h </w:instrText>
          </w:r>
          <w:r>
            <w:fldChar w:fldCharType="separate"/>
          </w:r>
          <w:r>
            <w:t>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"_Toc143811705" </w:instrText>
          </w:r>
          <w:r>
            <w:fldChar w:fldCharType="separate"/>
          </w:r>
          <w:r>
            <w:rPr>
              <w:rStyle w:val="26"/>
              <w:rFonts w:ascii="黑体" w:hAnsi="黑体" w:eastAsia="黑体"/>
            </w:rPr>
            <w:t>一、部门职责</w:t>
          </w:r>
          <w:r>
            <w:tab/>
          </w:r>
          <w:r>
            <w:fldChar w:fldCharType="begin"/>
          </w:r>
          <w:r>
            <w:instrText xml:space="preserve"> PAGEREF _Toc143811705 \h </w:instrText>
          </w:r>
          <w:r>
            <w:fldChar w:fldCharType="separate"/>
          </w:r>
          <w:r>
            <w:t>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"_Toc143811719" </w:instrText>
          </w:r>
          <w:r>
            <w:fldChar w:fldCharType="separate"/>
          </w:r>
          <w:r>
            <w:rPr>
              <w:rStyle w:val="26"/>
              <w:rFonts w:ascii="黑体" w:eastAsia="黑体"/>
            </w:rPr>
            <w:t>二、</w:t>
          </w:r>
          <w:r>
            <w:rPr>
              <w:rStyle w:val="26"/>
              <w:rFonts w:ascii="黑体" w:hAnsi="黑体" w:eastAsia="黑体"/>
            </w:rPr>
            <w:t>机构设置</w:t>
          </w:r>
          <w:r>
            <w:tab/>
          </w:r>
          <w:r>
            <w:fldChar w:fldCharType="begin"/>
          </w:r>
          <w:r>
            <w:instrText xml:space="preserve"> PAGEREF _Toc143811719 \h </w:instrText>
          </w:r>
          <w:r>
            <w:fldChar w:fldCharType="separate"/>
          </w:r>
          <w:r>
            <w:t>5</w:t>
          </w:r>
          <w:r>
            <w:fldChar w:fldCharType="end"/>
          </w:r>
          <w:r>
            <w:fldChar w:fldCharType="end"/>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"_Toc143811720" </w:instrText>
          </w:r>
          <w:r>
            <w:fldChar w:fldCharType="separate"/>
          </w:r>
          <w:r>
            <w:rPr>
              <w:rStyle w:val="26"/>
              <w:rFonts w:ascii="黑体" w:hAnsi="黑体" w:eastAsia="黑体"/>
            </w:rPr>
            <w:t>第二部分 2022年度部门决算情况说明</w:t>
          </w:r>
          <w:r>
            <w:tab/>
          </w:r>
          <w:r>
            <w:fldChar w:fldCharType="begin"/>
          </w:r>
          <w:r>
            <w:instrText xml:space="preserve"> PAGEREF _Toc143811720 \h </w:instrText>
          </w:r>
          <w:r>
            <w:fldChar w:fldCharType="separate"/>
          </w:r>
          <w:r>
            <w:t>6</w:t>
          </w:r>
          <w:r>
            <w:fldChar w:fldCharType="end"/>
          </w:r>
          <w:r>
            <w:fldChar w:fldCharType="end"/>
          </w:r>
        </w:p>
        <w:p>
          <w:pPr>
            <w:pStyle w:val="19"/>
            <w:tabs>
              <w:tab w:val="left" w:pos="1680"/>
            </w:tabs>
            <w:rPr>
              <w:rFonts w:asciiTheme="minorHAnsi" w:hAnsiTheme="minorHAnsi" w:eastAsiaTheme="minorEastAsia" w:cstheme="minorBidi"/>
              <w:szCs w:val="22"/>
              <w14:ligatures w14:val="standardContextual"/>
            </w:rPr>
          </w:pPr>
          <w:r>
            <w:fldChar w:fldCharType="begin"/>
          </w:r>
          <w:r>
            <w:instrText xml:space="preserve"> HYPERLINK \l "_Toc143811721" </w:instrText>
          </w:r>
          <w:r>
            <w:fldChar w:fldCharType="separate"/>
          </w:r>
          <w:r>
            <w:rPr>
              <w:rStyle w:val="26"/>
              <w:rFonts w:ascii="黑体" w:hAnsi="黑体" w:eastAsia="黑体" w:cstheme="majorBidi"/>
              <w:bCs/>
            </w:rPr>
            <w:t>一、</w:t>
          </w:r>
          <w:r>
            <w:rPr>
              <w:rStyle w:val="26"/>
              <w:rFonts w:ascii="黑体" w:hAnsi="黑体" w:eastAsia="黑体"/>
            </w:rPr>
            <w:t>收</w:t>
          </w:r>
          <w:r>
            <w:rPr>
              <w:rStyle w:val="26"/>
              <w:rFonts w:ascii="黑体" w:hAnsi="黑体" w:eastAsia="黑体" w:cstheme="majorBidi"/>
              <w:bCs/>
            </w:rPr>
            <w:t>入支出决算总体情况说明</w:t>
          </w:r>
          <w:r>
            <w:tab/>
          </w:r>
          <w:r>
            <w:fldChar w:fldCharType="begin"/>
          </w:r>
          <w:r>
            <w:instrText xml:space="preserve"> PAGEREF _Toc143811721 \h </w:instrText>
          </w:r>
          <w:r>
            <w:fldChar w:fldCharType="separate"/>
          </w:r>
          <w:r>
            <w:t>6</w:t>
          </w:r>
          <w:r>
            <w:fldChar w:fldCharType="end"/>
          </w:r>
          <w:r>
            <w:fldChar w:fldCharType="end"/>
          </w:r>
        </w:p>
        <w:p>
          <w:pPr>
            <w:pStyle w:val="19"/>
            <w:tabs>
              <w:tab w:val="left" w:pos="1680"/>
            </w:tabs>
            <w:rPr>
              <w:rFonts w:asciiTheme="minorHAnsi" w:hAnsiTheme="minorHAnsi" w:eastAsiaTheme="minorEastAsia" w:cstheme="minorBidi"/>
              <w:szCs w:val="22"/>
              <w14:ligatures w14:val="standardContextual"/>
            </w:rPr>
          </w:pPr>
          <w:r>
            <w:fldChar w:fldCharType="begin"/>
          </w:r>
          <w:r>
            <w:instrText xml:space="preserve"> HYPERLINK \l "_Toc143811722" </w:instrText>
          </w:r>
          <w:r>
            <w:fldChar w:fldCharType="separate"/>
          </w:r>
          <w:r>
            <w:rPr>
              <w:rStyle w:val="26"/>
              <w:rFonts w:ascii="黑体" w:hAnsi="黑体" w:eastAsia="黑体" w:cstheme="majorBidi"/>
              <w:bCs/>
            </w:rPr>
            <w:t>二、</w:t>
          </w:r>
          <w:r>
            <w:rPr>
              <w:rStyle w:val="26"/>
              <w:rFonts w:ascii="黑体" w:hAnsi="黑体" w:eastAsia="黑体"/>
            </w:rPr>
            <w:t>收</w:t>
          </w:r>
          <w:r>
            <w:rPr>
              <w:rStyle w:val="26"/>
              <w:rFonts w:ascii="黑体" w:hAnsi="黑体" w:eastAsia="黑体" w:cstheme="majorBidi"/>
              <w:bCs/>
            </w:rPr>
            <w:t>入决算情况说明</w:t>
          </w:r>
          <w:r>
            <w:tab/>
          </w:r>
          <w:r>
            <w:fldChar w:fldCharType="begin"/>
          </w:r>
          <w:r>
            <w:instrText xml:space="preserve"> PAGEREF _Toc143811722 \h </w:instrText>
          </w:r>
          <w:r>
            <w:fldChar w:fldCharType="separate"/>
          </w:r>
          <w:r>
            <w:t>6</w:t>
          </w:r>
          <w:r>
            <w:fldChar w:fldCharType="end"/>
          </w:r>
          <w:r>
            <w:fldChar w:fldCharType="end"/>
          </w:r>
        </w:p>
        <w:p>
          <w:pPr>
            <w:pStyle w:val="19"/>
            <w:tabs>
              <w:tab w:val="left" w:pos="1680"/>
            </w:tabs>
            <w:rPr>
              <w:rFonts w:asciiTheme="minorHAnsi" w:hAnsiTheme="minorHAnsi" w:eastAsiaTheme="minorEastAsia" w:cstheme="minorBidi"/>
              <w:szCs w:val="22"/>
              <w14:ligatures w14:val="standardContextual"/>
            </w:rPr>
          </w:pPr>
          <w:r>
            <w:fldChar w:fldCharType="begin"/>
          </w:r>
          <w:r>
            <w:instrText xml:space="preserve"> HYPERLINK \l "_Toc143811724" </w:instrText>
          </w:r>
          <w:r>
            <w:fldChar w:fldCharType="separate"/>
          </w:r>
          <w:r>
            <w:rPr>
              <w:rStyle w:val="26"/>
              <w:rFonts w:ascii="黑体" w:hAnsi="黑体" w:eastAsia="黑体" w:cstheme="majorBidi"/>
              <w:bCs/>
            </w:rPr>
            <w:t>三、</w:t>
          </w:r>
          <w:r>
            <w:rPr>
              <w:rStyle w:val="26"/>
              <w:rFonts w:ascii="黑体" w:hAnsi="黑体" w:eastAsia="黑体"/>
            </w:rPr>
            <w:t>支</w:t>
          </w:r>
          <w:r>
            <w:rPr>
              <w:rStyle w:val="26"/>
              <w:rFonts w:ascii="黑体" w:hAnsi="黑体" w:eastAsia="黑体" w:cstheme="majorBidi"/>
              <w:bCs/>
            </w:rPr>
            <w:t>出决算情况说明</w:t>
          </w:r>
          <w:r>
            <w:tab/>
          </w:r>
          <w:r>
            <w:fldChar w:fldCharType="begin"/>
          </w:r>
          <w:r>
            <w:instrText xml:space="preserve"> PAGEREF _Toc143811724 \h </w:instrText>
          </w:r>
          <w:r>
            <w:fldChar w:fldCharType="separate"/>
          </w:r>
          <w:r>
            <w:t>7</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"_Toc143811726" </w:instrText>
          </w:r>
          <w:r>
            <w:fldChar w:fldCharType="separate"/>
          </w:r>
          <w:r>
            <w:rPr>
              <w:rStyle w:val="26"/>
              <w:rFonts w:ascii="黑体" w:hAnsi="黑体" w:eastAsia="黑体"/>
            </w:rPr>
            <w:t>四、财</w:t>
          </w:r>
          <w:r>
            <w:rPr>
              <w:rStyle w:val="26"/>
              <w:rFonts w:ascii="黑体" w:hAnsi="黑体" w:eastAsia="黑体" w:cstheme="majorBidi"/>
              <w:bCs/>
            </w:rPr>
            <w:t>政拨款收入支出决算总体情况说明</w:t>
          </w:r>
          <w:r>
            <w:tab/>
          </w:r>
          <w:r>
            <w:fldChar w:fldCharType="begin"/>
          </w:r>
          <w:r>
            <w:instrText xml:space="preserve"> PAGEREF _Toc143811726 \h </w:instrText>
          </w:r>
          <w:r>
            <w:fldChar w:fldCharType="separate"/>
          </w:r>
          <w:r>
            <w:t>8</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"_Toc143811727" </w:instrText>
          </w:r>
          <w:r>
            <w:fldChar w:fldCharType="separate"/>
          </w:r>
          <w:r>
            <w:rPr>
              <w:rStyle w:val="26"/>
              <w:rFonts w:ascii="黑体" w:hAnsi="黑体" w:eastAsia="黑体"/>
            </w:rPr>
            <w:t>五、</w:t>
          </w:r>
          <w:r>
            <w:rPr>
              <w:rStyle w:val="26"/>
              <w:rFonts w:ascii="黑体" w:hAnsi="黑体" w:eastAsia="黑体"/>
              <w:b/>
            </w:rPr>
            <w:t>一</w:t>
          </w:r>
          <w:r>
            <w:rPr>
              <w:rStyle w:val="26"/>
              <w:rFonts w:ascii="黑体" w:hAnsi="黑体" w:eastAsia="黑体" w:cstheme="majorBidi"/>
              <w:bCs/>
            </w:rPr>
            <w:t>般公共预算财政拨款支出决算情况说明</w:t>
          </w:r>
          <w:r>
            <w:tab/>
          </w:r>
          <w:r>
            <w:fldChar w:fldCharType="begin"/>
          </w:r>
          <w:r>
            <w:instrText xml:space="preserve"> PAGEREF _Toc143811727 \h </w:instrText>
          </w:r>
          <w:r>
            <w:fldChar w:fldCharType="separate"/>
          </w:r>
          <w:r>
            <w:t>9</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"_Toc143811732" </w:instrText>
          </w:r>
          <w:r>
            <w:fldChar w:fldCharType="separate"/>
          </w:r>
          <w:r>
            <w:rPr>
              <w:rStyle w:val="26"/>
              <w:rFonts w:ascii="黑体" w:eastAsia="黑体"/>
            </w:rPr>
            <w:t>六</w:t>
          </w:r>
          <w:r>
            <w:rPr>
              <w:rStyle w:val="26"/>
              <w:rFonts w:ascii="黑体" w:eastAsia="黑体"/>
              <w:b/>
            </w:rPr>
            <w:t>、</w:t>
          </w:r>
          <w:r>
            <w:rPr>
              <w:rStyle w:val="26"/>
              <w:rFonts w:ascii="黑体" w:hAnsi="黑体" w:eastAsia="黑体"/>
              <w:b/>
            </w:rPr>
            <w:t>一</w:t>
          </w:r>
          <w:r>
            <w:rPr>
              <w:rStyle w:val="26"/>
              <w:rFonts w:ascii="黑体" w:hAnsi="黑体" w:eastAsia="黑体" w:cstheme="majorBidi"/>
              <w:bCs/>
            </w:rPr>
            <w:t>般公共预算财政拨款基本支出决算情况说明</w:t>
          </w:r>
          <w:r>
            <w:tab/>
          </w:r>
          <w:r>
            <w:fldChar w:fldCharType="begin"/>
          </w:r>
          <w:r>
            <w:instrText xml:space="preserve"> PAGEREF _Toc143811732 \h </w:instrText>
          </w:r>
          <w:r>
            <w:fldChar w:fldCharType="separate"/>
          </w:r>
          <w:r>
            <w:t>13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"_Toc143811733" </w:instrText>
          </w:r>
          <w:r>
            <w:fldChar w:fldCharType="separate"/>
          </w:r>
          <w:r>
            <w:rPr>
              <w:rStyle w:val="26"/>
              <w:rFonts w:ascii="黑体" w:eastAsia="黑体"/>
            </w:rPr>
            <w:t>七、</w:t>
          </w:r>
          <w:r>
            <w:rPr>
              <w:rStyle w:val="26"/>
              <w:rFonts w:ascii="黑体" w:hAnsi="黑体" w:eastAsia="黑体" w:cstheme="majorBidi"/>
              <w:bCs/>
            </w:rPr>
            <w:t>财政拨款</w:t>
          </w:r>
          <w:r>
            <w:rPr>
              <w:rStyle w:val="26"/>
              <w:rFonts w:ascii="黑体" w:hAnsi="黑体" w:eastAsia="黑体" w:cstheme="majorBidi"/>
              <w:b/>
              <w:bCs/>
            </w:rPr>
            <w:t>“</w:t>
          </w:r>
          <w:r>
            <w:rPr>
              <w:rStyle w:val="26"/>
              <w:rFonts w:ascii="黑体" w:hAnsi="黑体" w:eastAsia="黑体" w:cstheme="majorBidi"/>
              <w:bCs/>
            </w:rPr>
            <w:t>三公”经费支出决算情况说明</w:t>
          </w:r>
          <w:r>
            <w:tab/>
          </w:r>
          <w:r>
            <w:fldChar w:fldCharType="begin"/>
          </w:r>
          <w:r>
            <w:instrText xml:space="preserve"> PAGEREF _Toc143811733 \h </w:instrText>
          </w:r>
          <w:r>
            <w:fldChar w:fldCharType="separate"/>
          </w:r>
          <w:r>
            <w:t>13</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"_Toc143811736" </w:instrText>
          </w:r>
          <w:r>
            <w:fldChar w:fldCharType="separate"/>
          </w:r>
          <w:r>
            <w:rPr>
              <w:rStyle w:val="26"/>
              <w:rFonts w:ascii="黑体" w:eastAsia="黑体"/>
            </w:rPr>
            <w:t>八、</w:t>
          </w:r>
          <w:r>
            <w:rPr>
              <w:rStyle w:val="26"/>
              <w:rFonts w:ascii="黑体" w:hAnsi="黑体" w:eastAsia="黑体" w:cstheme="majorBidi"/>
              <w:bCs/>
            </w:rPr>
            <w:t>政府性基金预算支出决算情况说明</w:t>
          </w:r>
          <w:r>
            <w:tab/>
          </w:r>
          <w:r>
            <w:fldChar w:fldCharType="begin"/>
          </w:r>
          <w:r>
            <w:instrText xml:space="preserve"> PAGEREF _Toc143811736 \h </w:instrText>
          </w:r>
          <w:r>
            <w:fldChar w:fldCharType="separate"/>
          </w:r>
          <w:r>
            <w:t>15</w:t>
          </w:r>
          <w:r>
            <w:fldChar w:fldCharType="end"/>
          </w:r>
          <w:r>
            <w:fldChar w:fldCharType="end"/>
          </w:r>
        </w:p>
        <w:p>
          <w:pPr>
            <w:pStyle w:val="19"/>
            <w:rPr>
              <w:rFonts w:asciiTheme="minorHAnsi" w:hAnsiTheme="minorHAnsi" w:eastAsiaTheme="minorEastAsia" w:cstheme="minorBidi"/>
              <w:szCs w:val="22"/>
              <w14:ligatures w14:val="standardContextual"/>
            </w:rPr>
          </w:pPr>
          <w:r>
            <w:fldChar w:fldCharType="begin"/>
          </w:r>
          <w:r>
            <w:instrText xml:space="preserve"> HYPERLINK \l "_Toc143811737" </w:instrText>
          </w:r>
          <w:r>
            <w:fldChar w:fldCharType="separate"/>
          </w:r>
          <w:r>
            <w:rPr>
              <w:rStyle w:val="26"/>
              <w:rFonts w:ascii="黑体" w:hAnsi="黑体" w:eastAsia="黑体" w:cstheme="majorBidi"/>
              <w:bCs/>
            </w:rPr>
            <w:t>九、 国有资本经营预算支出决算情况说明</w:t>
          </w:r>
          <w:r>
            <w:tab/>
          </w:r>
          <w:r>
            <w:fldChar w:fldCharType="begin"/>
          </w:r>
          <w:r>
            <w:instrText xml:space="preserve"> PAGEREF _Toc143811737 \h </w:instrText>
          </w:r>
          <w:r>
            <w:fldChar w:fldCharType="separate"/>
          </w:r>
          <w:r>
            <w:t>15</w:t>
          </w:r>
          <w:r>
            <w:fldChar w:fldCharType="end"/>
          </w:r>
          <w:r>
            <w:fldChar w:fldCharType="end"/>
          </w:r>
        </w:p>
        <w:p>
          <w:pPr>
            <w:pStyle w:val="19"/>
          </w:pPr>
          <w:r>
            <w:fldChar w:fldCharType="begin"/>
          </w:r>
          <w:r>
            <w:instrText xml:space="preserve"> HYPERLINK \l "_Toc143811738" </w:instrText>
          </w:r>
          <w:r>
            <w:fldChar w:fldCharType="separate"/>
          </w:r>
          <w:r>
            <w:rPr>
              <w:rStyle w:val="26"/>
              <w:rFonts w:ascii="黑体" w:hAnsi="黑体" w:eastAsia="黑体" w:cstheme="majorBidi"/>
              <w:bCs/>
            </w:rPr>
            <w:t>十、 其他重要事项的情况说明</w:t>
          </w:r>
          <w:r>
            <w:tab/>
          </w:r>
          <w:r>
            <w:fldChar w:fldCharType="begin"/>
          </w:r>
          <w:r>
            <w:instrText xml:space="preserve"> PAGEREF _Toc143811738 \h </w:instrText>
          </w:r>
          <w:r>
            <w:fldChar w:fldCharType="separate"/>
          </w:r>
          <w:r>
            <w:t>15</w:t>
          </w:r>
          <w:r>
            <w:fldChar w:fldCharType="end"/>
          </w:r>
          <w:r>
            <w:fldChar w:fldCharType="end"/>
          </w:r>
        </w:p>
        <w:p>
          <w:pPr>
            <w:rPr>
              <w:rStyle w:val="26"/>
              <w:rFonts w:hint="default" w:ascii="黑体" w:hAnsi="黑体" w:eastAsia="宋体" w:cs="Times New Roman"/>
              <w:bCs/>
              <w:kern w:val="44"/>
              <w:sz w:val="28"/>
              <w:szCs w:val="28"/>
              <w:lang w:val="en-US" w:eastAsia="zh-CN" w:bidi="ar-SA"/>
            </w:rPr>
          </w:pPr>
          <w:r>
            <w:rPr>
              <w:rStyle w:val="26"/>
              <w:rFonts w:hint="eastAsia" w:ascii="黑体" w:hAnsi="黑体" w:eastAsia="黑体" w:cs="Times New Roman"/>
              <w:bCs/>
              <w:kern w:val="44"/>
              <w:sz w:val="28"/>
              <w:szCs w:val="28"/>
              <w:lang w:val="en-US" w:eastAsia="zh-CN" w:bidi="ar-SA"/>
            </w:rPr>
            <w:t>第三部分 名词解释</w:t>
          </w:r>
          <w:r>
            <w:tab/>
          </w:r>
          <w:r>
            <w:rPr>
              <w:rFonts w:hint="eastAsia"/>
              <w:lang w:val="en-US" w:eastAsia="zh-CN"/>
            </w:rPr>
            <w:t>..........................................................................................................18</w:t>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"_Toc143811743" </w:instrText>
          </w:r>
          <w:r>
            <w:fldChar w:fldCharType="separate"/>
          </w:r>
          <w:r>
            <w:rPr>
              <w:rStyle w:val="26"/>
              <w:rFonts w:ascii="黑体" w:hAnsi="黑体" w:eastAsia="黑体"/>
            </w:rPr>
            <w:t>第</w:t>
          </w:r>
          <w:r>
            <w:rPr>
              <w:rStyle w:val="26"/>
              <w:rFonts w:ascii="黑体" w:hAnsi="黑体" w:eastAsia="黑体"/>
              <w:bCs/>
              <w:kern w:val="44"/>
            </w:rPr>
            <w:t>四部分 附件</w:t>
          </w:r>
          <w:r>
            <w:tab/>
          </w:r>
          <w:r>
            <w:fldChar w:fldCharType="begin"/>
          </w:r>
          <w:r>
            <w:instrText xml:space="preserve"> PAGEREF _Toc143811743 \h </w:instrText>
          </w:r>
          <w:r>
            <w:fldChar w:fldCharType="separate"/>
          </w:r>
          <w:r>
            <w:t>21</w:t>
          </w:r>
          <w:r>
            <w:fldChar w:fldCharType="end"/>
          </w:r>
          <w:r>
            <w:fldChar w:fldCharType="end"/>
          </w:r>
        </w:p>
        <w:p>
          <w:pPr>
            <w:pStyle w:val="16"/>
            <w:rPr>
              <w:rStyle w:val="26"/>
            </w:rPr>
          </w:pPr>
          <w:r>
            <w:fldChar w:fldCharType="begin"/>
          </w:r>
          <w:r>
            <w:instrText xml:space="preserve"> HYPERLINK \l "_Toc143811744" </w:instrText>
          </w:r>
          <w:r>
            <w:fldChar w:fldCharType="separate"/>
          </w:r>
          <w:r>
            <w:rPr>
              <w:rStyle w:val="26"/>
              <w:rFonts w:ascii="黑体" w:hAnsi="黑体" w:eastAsia="黑体" w:cs="黑体"/>
            </w:rPr>
            <w:t>附件1</w:t>
          </w:r>
          <w:r>
            <w:tab/>
          </w:r>
          <w:r>
            <w:fldChar w:fldCharType="begin"/>
          </w:r>
          <w:r>
            <w:instrText xml:space="preserve"> PAGEREF _Toc143811744 \h </w:instrText>
          </w:r>
          <w:r>
            <w:fldChar w:fldCharType="separate"/>
          </w:r>
          <w:r>
            <w:t>21</w:t>
          </w:r>
          <w:r>
            <w:fldChar w:fldCharType="end"/>
          </w:r>
          <w:r>
            <w:fldChar w:fldCharType="end"/>
          </w:r>
        </w:p>
        <w:p>
          <w:pPr>
            <w:pStyle w:val="16"/>
            <w:jc w:val="both"/>
            <w:rPr>
              <w:color w:val="0000FF" w:themeColor="hyperlink"/>
              <w:u w:val="single"/>
              <w14:textFill>
                <w14:solidFill>
                  <w14:schemeClr w14:val="hlink"/>
                </w14:solidFill>
              </w14:textFill>
            </w:rPr>
          </w:pPr>
          <w:r>
            <w:rPr>
              <w:rStyle w:val="26"/>
              <w:rFonts w:ascii="黑体" w:hAnsi="黑体" w:eastAsia="黑体" w:cs="黑体"/>
              <w:color w:val="auto"/>
            </w:rPr>
            <w:t>附件2</w:t>
          </w:r>
          <w:r>
            <w:tab/>
          </w:r>
          <w:r>
            <w:t>35</w:t>
          </w:r>
        </w:p>
        <w:p>
          <w:pPr>
            <w:pStyle w:val="16"/>
            <w:rPr>
              <w:rFonts w:asciiTheme="minorHAnsi" w:hAnsiTheme="minorHAnsi" w:eastAsiaTheme="minorEastAsia" w:cstheme="minorBidi"/>
              <w:sz w:val="21"/>
              <w:szCs w:val="22"/>
              <w14:ligatures w14:val="standardContextual"/>
            </w:rPr>
          </w:pPr>
          <w:r>
            <w:fldChar w:fldCharType="begin"/>
          </w:r>
          <w:r>
            <w:instrText xml:space="preserve"> HYPERLINK \l "_Toc143811802" </w:instrText>
          </w:r>
          <w:r>
            <w:fldChar w:fldCharType="separate"/>
          </w:r>
          <w:r>
            <w:rPr>
              <w:rStyle w:val="26"/>
              <w:rFonts w:ascii="黑体" w:hAnsi="黑体" w:eastAsia="黑体"/>
            </w:rPr>
            <w:t>第</w:t>
          </w:r>
          <w:r>
            <w:rPr>
              <w:rStyle w:val="26"/>
              <w:rFonts w:ascii="黑体" w:hAnsi="黑体" w:eastAsia="黑体"/>
              <w:bCs/>
              <w:kern w:val="44"/>
            </w:rPr>
            <w:t>五部分 附表</w:t>
          </w:r>
          <w:r>
            <w:tab/>
          </w:r>
          <w:r>
            <w:fldChar w:fldCharType="begin"/>
          </w:r>
          <w:r>
            <w:instrText xml:space="preserve"> PAGEREF _Toc143811802 \h </w:instrText>
          </w:r>
          <w:r>
            <w:fldChar w:fldCharType="separate"/>
          </w:r>
          <w:r>
            <w:t>54</w:t>
          </w:r>
          <w:r>
            <w:fldChar w:fldCharType="end"/>
          </w:r>
          <w: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"_Toc143811803" </w:instrText>
          </w:r>
          <w:r>
            <w:rPr>
              <w:rStyle w:val="26"/>
              <w:rFonts w:ascii="黑体" w:hAnsi="黑体" w:eastAsia="黑体" w:cstheme="majorBidi"/>
              <w:bCs/>
            </w:rPr>
            <w:fldChar w:fldCharType="separate"/>
          </w:r>
          <w:r>
            <w:rPr>
              <w:rStyle w:val="26"/>
              <w:rFonts w:ascii="黑体" w:hAnsi="黑体" w:eastAsia="黑体" w:cstheme="majorBidi"/>
              <w:bCs/>
            </w:rPr>
            <w:t>一、收入支出决算总表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_Toc143811803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"_Toc143811804" </w:instrText>
          </w:r>
          <w:r>
            <w:rPr>
              <w:rStyle w:val="26"/>
              <w:rFonts w:ascii="黑体" w:hAnsi="黑体" w:eastAsia="黑体" w:cstheme="majorBidi"/>
              <w:bCs/>
            </w:rPr>
            <w:fldChar w:fldCharType="separate"/>
          </w:r>
          <w:r>
            <w:rPr>
              <w:rStyle w:val="26"/>
              <w:rFonts w:ascii="黑体" w:hAnsi="黑体" w:eastAsia="黑体" w:cstheme="majorBidi"/>
              <w:bCs/>
            </w:rPr>
            <w:t>二、收入决算表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_Toc143811804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"_Toc143811805" </w:instrText>
          </w:r>
          <w:r>
            <w:rPr>
              <w:rStyle w:val="26"/>
              <w:rFonts w:ascii="黑体" w:hAnsi="黑体" w:eastAsia="黑体" w:cstheme="majorBidi"/>
              <w:bCs/>
            </w:rPr>
            <w:fldChar w:fldCharType="separate"/>
          </w:r>
          <w:r>
            <w:rPr>
              <w:rStyle w:val="26"/>
              <w:rFonts w:ascii="黑体" w:hAnsi="黑体" w:eastAsia="黑体" w:cstheme="majorBidi"/>
              <w:bCs/>
            </w:rPr>
            <w:t>三、支出决算表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_Toc143811805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"_Toc143811806" </w:instrText>
          </w:r>
          <w:r>
            <w:rPr>
              <w:rStyle w:val="26"/>
              <w:rFonts w:ascii="黑体" w:hAnsi="黑体" w:eastAsia="黑体" w:cstheme="majorBidi"/>
              <w:bCs/>
            </w:rPr>
            <w:fldChar w:fldCharType="separate"/>
          </w:r>
          <w:r>
            <w:rPr>
              <w:rStyle w:val="26"/>
              <w:rFonts w:ascii="黑体" w:hAnsi="黑体" w:eastAsia="黑体" w:cstheme="majorBidi"/>
              <w:bCs/>
            </w:rPr>
            <w:t>四、财政拨款收入支出决算总表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_Toc143811806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"_Toc143811807" </w:instrText>
          </w:r>
          <w:r>
            <w:rPr>
              <w:rStyle w:val="26"/>
              <w:rFonts w:ascii="黑体" w:hAnsi="黑体" w:eastAsia="黑体" w:cstheme="majorBidi"/>
              <w:bCs/>
            </w:rPr>
            <w:fldChar w:fldCharType="separate"/>
          </w:r>
          <w:r>
            <w:rPr>
              <w:rStyle w:val="26"/>
              <w:rFonts w:ascii="黑体" w:hAnsi="黑体" w:eastAsia="黑体" w:cstheme="majorBidi"/>
              <w:bCs/>
            </w:rPr>
            <w:t>五、财政拨款支出决算明细表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_Toc143811807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"_Toc143811808" </w:instrText>
          </w:r>
          <w:r>
            <w:rPr>
              <w:rStyle w:val="26"/>
              <w:rFonts w:ascii="黑体" w:hAnsi="黑体" w:eastAsia="黑体" w:cstheme="majorBidi"/>
              <w:bCs/>
            </w:rPr>
            <w:fldChar w:fldCharType="separate"/>
          </w:r>
          <w:r>
            <w:rPr>
              <w:rStyle w:val="26"/>
              <w:rFonts w:ascii="黑体" w:hAnsi="黑体" w:eastAsia="黑体" w:cstheme="majorBidi"/>
              <w:bCs/>
            </w:rPr>
            <w:t>六、一般公共预算财政拨款支出决算表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_Toc143811808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"_Toc143811809" </w:instrText>
          </w:r>
          <w:r>
            <w:rPr>
              <w:rStyle w:val="26"/>
              <w:rFonts w:ascii="黑体" w:hAnsi="黑体" w:eastAsia="黑体" w:cstheme="majorBidi"/>
              <w:bCs/>
            </w:rPr>
            <w:fldChar w:fldCharType="separate"/>
          </w:r>
          <w:r>
            <w:rPr>
              <w:rStyle w:val="26"/>
              <w:rFonts w:ascii="黑体" w:hAnsi="黑体" w:eastAsia="黑体" w:cstheme="majorBidi"/>
              <w:bCs/>
            </w:rPr>
            <w:t>七、一般公共预算财政拨款支出决算明细表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_Toc143811809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"_Toc143811810" </w:instrText>
          </w:r>
          <w:r>
            <w:rPr>
              <w:rStyle w:val="26"/>
              <w:rFonts w:ascii="黑体" w:hAnsi="黑体" w:eastAsia="黑体" w:cstheme="majorBidi"/>
              <w:bCs/>
            </w:rPr>
            <w:fldChar w:fldCharType="separate"/>
          </w:r>
          <w:r>
            <w:rPr>
              <w:rStyle w:val="26"/>
              <w:rFonts w:ascii="黑体" w:hAnsi="黑体" w:eastAsia="黑体" w:cstheme="majorBidi"/>
              <w:bCs/>
            </w:rPr>
            <w:t>八、一般公共预算财政拨款基本支出决算表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_Toc143811810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"_Toc143811811" </w:instrText>
          </w:r>
          <w:r>
            <w:rPr>
              <w:rStyle w:val="26"/>
              <w:rFonts w:ascii="黑体" w:hAnsi="黑体" w:eastAsia="黑体" w:cstheme="majorBidi"/>
              <w:bCs/>
            </w:rPr>
            <w:fldChar w:fldCharType="separate"/>
          </w:r>
          <w:r>
            <w:rPr>
              <w:rStyle w:val="26"/>
              <w:rFonts w:ascii="黑体" w:hAnsi="黑体" w:eastAsia="黑体" w:cstheme="majorBidi"/>
              <w:bCs/>
            </w:rPr>
            <w:t>九、一般公共预算财政拨款项目支出决算表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_Toc143811811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"_Toc143811812" </w:instrText>
          </w:r>
          <w:r>
            <w:rPr>
              <w:rStyle w:val="26"/>
              <w:rFonts w:ascii="黑体" w:hAnsi="黑体" w:eastAsia="黑体" w:cstheme="majorBidi"/>
              <w:bCs/>
            </w:rPr>
            <w:fldChar w:fldCharType="separate"/>
          </w:r>
          <w:r>
            <w:rPr>
              <w:rStyle w:val="26"/>
              <w:rFonts w:ascii="黑体" w:hAnsi="黑体" w:eastAsia="黑体" w:cstheme="majorBidi"/>
              <w:bCs/>
            </w:rPr>
            <w:t>十、政府性基金预算财政拨款收入支出决算表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_Toc143811812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"_Toc143811813" </w:instrText>
          </w:r>
          <w:r>
            <w:rPr>
              <w:rStyle w:val="26"/>
              <w:rFonts w:ascii="黑体" w:hAnsi="黑体" w:eastAsia="黑体" w:cstheme="majorBidi"/>
              <w:bCs/>
            </w:rPr>
            <w:fldChar w:fldCharType="separate"/>
          </w:r>
          <w:r>
            <w:rPr>
              <w:rStyle w:val="26"/>
              <w:rFonts w:ascii="黑体" w:hAnsi="黑体" w:eastAsia="黑体" w:cstheme="majorBidi"/>
              <w:bCs/>
            </w:rPr>
            <w:t>十一、国有资本经营预算财政拨款收入支出决算表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_Toc143811813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Style w:val="26"/>
              <w:rFonts w:ascii="黑体" w:hAnsi="黑体" w:eastAsia="黑体" w:cstheme="majorBidi"/>
              <w:bCs/>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"_Toc143811814" </w:instrText>
          </w:r>
          <w:r>
            <w:rPr>
              <w:rStyle w:val="26"/>
              <w:rFonts w:ascii="黑体" w:hAnsi="黑体" w:eastAsia="黑体" w:cstheme="majorBidi"/>
              <w:bCs/>
            </w:rPr>
            <w:fldChar w:fldCharType="separate"/>
          </w:r>
          <w:r>
            <w:rPr>
              <w:rStyle w:val="26"/>
              <w:rFonts w:ascii="黑体" w:hAnsi="黑体" w:eastAsia="黑体" w:cstheme="majorBidi"/>
              <w:bCs/>
            </w:rPr>
            <w:t>十二、国有资本经营预算财政拨款支出决算表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_Toc143811814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pPr>
            <w:pStyle w:val="19"/>
            <w:tabs>
              <w:tab w:val="left" w:pos="1680"/>
            </w:tabs>
            <w:rPr>
              <w:rFonts w:asciiTheme="minorHAnsi" w:hAnsiTheme="minorHAnsi" w:eastAsiaTheme="minorEastAsia" w:cstheme="minorBidi"/>
              <w:szCs w:val="22"/>
              <w14:ligatures w14:val="standardContextual"/>
            </w:rPr>
          </w:pPr>
          <w:r>
            <w:rPr>
              <w:rStyle w:val="26"/>
              <w:rFonts w:ascii="黑体" w:hAnsi="黑体" w:eastAsia="黑体" w:cstheme="majorBidi"/>
              <w:bCs/>
            </w:rPr>
            <w:fldChar w:fldCharType="begin"/>
          </w:r>
          <w:r>
            <w:rPr>
              <w:rStyle w:val="26"/>
              <w:rFonts w:ascii="黑体" w:hAnsi="黑体" w:eastAsia="黑体" w:cstheme="majorBidi"/>
              <w:bCs/>
            </w:rPr>
            <w:instrText xml:space="preserve"> HYPERLINK \l "_Toc143811815" </w:instrText>
          </w:r>
          <w:r>
            <w:rPr>
              <w:rStyle w:val="26"/>
              <w:rFonts w:ascii="黑体" w:hAnsi="黑体" w:eastAsia="黑体" w:cstheme="majorBidi"/>
              <w:bCs/>
            </w:rPr>
            <w:fldChar w:fldCharType="separate"/>
          </w:r>
          <w:r>
            <w:rPr>
              <w:rStyle w:val="26"/>
              <w:rFonts w:ascii="黑体" w:hAnsi="黑体" w:eastAsia="黑体" w:cstheme="majorBidi"/>
              <w:bCs/>
            </w:rPr>
            <w:t>十三、财政拨款“三公”经费支出决算表</w:t>
          </w:r>
          <w:r>
            <w:rPr>
              <w:rStyle w:val="26"/>
              <w:rFonts w:ascii="黑体" w:hAnsi="黑体" w:eastAsia="黑体" w:cstheme="majorBidi"/>
              <w:bCs/>
            </w:rPr>
            <w:tab/>
          </w:r>
          <w:r>
            <w:rPr>
              <w:rStyle w:val="26"/>
              <w:rFonts w:ascii="黑体" w:hAnsi="黑体" w:eastAsia="黑体" w:cstheme="majorBidi"/>
              <w:bCs/>
            </w:rPr>
            <w:fldChar w:fldCharType="begin"/>
          </w:r>
          <w:r>
            <w:rPr>
              <w:rStyle w:val="26"/>
              <w:rFonts w:ascii="黑体" w:hAnsi="黑体" w:eastAsia="黑体" w:cstheme="majorBidi"/>
              <w:bCs/>
            </w:rPr>
            <w:instrText xml:space="preserve"> PAGEREF _Toc143811815 \h </w:instrText>
          </w:r>
          <w:r>
            <w:rPr>
              <w:rStyle w:val="26"/>
              <w:rFonts w:ascii="黑体" w:hAnsi="黑体" w:eastAsia="黑体" w:cstheme="majorBidi"/>
              <w:bCs/>
            </w:rPr>
            <w:fldChar w:fldCharType="separate"/>
          </w:r>
          <w:r>
            <w:rPr>
              <w:rStyle w:val="26"/>
              <w:rFonts w:ascii="黑体" w:hAnsi="黑体" w:eastAsia="黑体" w:cstheme="majorBidi"/>
              <w:bCs/>
            </w:rPr>
            <w:t>54</w:t>
          </w:r>
          <w:r>
            <w:rPr>
              <w:rStyle w:val="26"/>
              <w:rFonts w:ascii="黑体" w:hAnsi="黑体" w:eastAsia="黑体" w:cstheme="majorBidi"/>
              <w:bCs/>
            </w:rPr>
            <w:fldChar w:fldCharType="end"/>
          </w:r>
          <w:r>
            <w:rPr>
              <w:rStyle w:val="26"/>
              <w:rFonts w:ascii="黑体" w:hAnsi="黑体" w:eastAsia="黑体" w:cstheme="majorBidi"/>
              <w:bCs/>
            </w:rPr>
            <w:fldChar w:fldCharType="end"/>
          </w:r>
        </w:p>
        <w:p>
          <w:r>
            <w:rPr>
              <w:b/>
              <w:bCs/>
              <w:lang w:val="zh-CN"/>
            </w:rPr>
            <w:fldChar w:fldCharType="end"/>
          </w:r>
        </w:p>
      </w:sdtContent>
    </w:sdt>
    <w:p>
      <w:pPr>
        <w:widowControl/>
        <w:spacing w:line="440" w:lineRule="exact"/>
        <w:jc w:val="center"/>
        <w:rPr>
          <w:rStyle w:val="36"/>
          <w:rFonts w:ascii="仿宋" w:hAnsi="仿宋" w:eastAsia="仿宋"/>
          <w:b w:val="0"/>
          <w:sz w:val="24"/>
          <w:szCs w:val="24"/>
        </w:rPr>
      </w:pPr>
      <w:r>
        <w:rPr>
          <w:rFonts w:ascii="仿宋" w:hAnsi="仿宋" w:eastAsia="仿宋"/>
          <w:b/>
          <w:sz w:val="24"/>
        </w:rPr>
        <w:br w:type="page"/>
      </w:r>
      <w:bookmarkStart w:id="18" w:name="_Toc143811704"/>
      <w:r>
        <w:rPr>
          <w:rFonts w:hint="eastAsia" w:ascii="黑体" w:hAnsi="黑体" w:eastAsia="黑体"/>
          <w:sz w:val="44"/>
          <w:szCs w:val="44"/>
        </w:rPr>
        <w:t xml:space="preserve">第一部分 </w:t>
      </w:r>
      <w:r>
        <w:rPr>
          <w:rStyle w:val="36"/>
          <w:rFonts w:hint="eastAsia" w:ascii="黑体" w:hAnsi="黑体" w:eastAsia="黑体"/>
          <w:b w:val="0"/>
          <w:bCs w:val="0"/>
        </w:rPr>
        <w:t>部门概况</w:t>
      </w:r>
      <w:bookmarkEnd w:id="16"/>
      <w:bookmarkEnd w:id="17"/>
      <w:bookmarkEnd w:id="18"/>
    </w:p>
    <w:p>
      <w:pPr>
        <w:widowControl/>
        <w:jc w:val="left"/>
        <w:rPr>
          <w:rFonts w:ascii="黑体" w:eastAsia="黑体"/>
          <w:sz w:val="32"/>
          <w:szCs w:val="32"/>
        </w:rPr>
      </w:pPr>
    </w:p>
    <w:p>
      <w:pPr>
        <w:pStyle w:val="2"/>
        <w:numPr>
          <w:ilvl w:val="0"/>
          <w:numId w:val="2"/>
        </w:numPr>
        <w:rPr>
          <w:rFonts w:ascii="黑体" w:hAnsi="黑体" w:eastAsia="黑体"/>
          <w:b w:val="0"/>
        </w:rPr>
      </w:pPr>
      <w:bookmarkStart w:id="19" w:name="_Toc143811705"/>
      <w:r>
        <w:rPr>
          <w:rFonts w:hint="eastAsia" w:ascii="黑体" w:hAnsi="黑体" w:eastAsia="黑体"/>
          <w:b w:val="0"/>
        </w:rPr>
        <w:t>部门职责</w:t>
      </w:r>
      <w:bookmarkEnd w:id="19"/>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0" w:name="_Toc143811706"/>
      <w:bookmarkStart w:id="21" w:name="_Toc15377200"/>
      <w:bookmarkStart w:id="22" w:name="_Toc15396601"/>
      <w:r>
        <w:rPr>
          <w:rFonts w:ascii="仿宋" w:hAnsi="仿宋" w:eastAsia="仿宋"/>
          <w:color w:val="000000" w:themeColor="text1"/>
          <w:sz w:val="32"/>
          <w:szCs w:val="32"/>
          <w14:textFill>
            <w14:solidFill>
              <w14:schemeClr w14:val="tx1"/>
            </w14:solidFill>
          </w14:textFill>
        </w:rPr>
        <w:t>1.贯彻执行人力资源和社会保障工作的相关法律、 法规、 规章和政策; 拟定全区人力资源和社会保障事业发展规划、政策并组织实施和监督检查。</w:t>
      </w:r>
      <w:bookmarkEnd w:id="20"/>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3" w:name="_Toc143811707"/>
      <w:r>
        <w:rPr>
          <w:rFonts w:ascii="仿宋" w:hAnsi="仿宋" w:eastAsia="仿宋"/>
          <w:color w:val="000000" w:themeColor="text1"/>
          <w:sz w:val="32"/>
          <w:szCs w:val="32"/>
          <w14:textFill>
            <w14:solidFill>
              <w14:schemeClr w14:val="tx1"/>
            </w14:solidFill>
          </w14:textFill>
        </w:rPr>
        <w:t>2.拟定并组织实施人力资源市场发展规划和人力资源流动政策; 建立全区统一规范的人力资源市场, 促进人力资源合理流动、有效配置。</w:t>
      </w:r>
      <w:bookmarkEnd w:id="2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4" w:name="_Toc143811708"/>
      <w:r>
        <w:rPr>
          <w:rFonts w:ascii="仿宋" w:hAnsi="仿宋" w:eastAsia="仿宋"/>
          <w:color w:val="000000" w:themeColor="text1"/>
          <w:sz w:val="32"/>
          <w:szCs w:val="32"/>
          <w14:textFill>
            <w14:solidFill>
              <w14:schemeClr w14:val="tx1"/>
            </w14:solidFill>
          </w14:textFill>
        </w:rPr>
        <w:t>3.负责促进就业工作。拟定统筹城乡的就业发展规划和政策; 完善公共就业服务体系; 拟定创业、 就业援助制度, 并组织实施; 完善职业资格认定制度; 统筹建立面向城乡劳动者的职业培训制度和高校毕业生就业政策; 会同有关部门拟定高技能人才、 农村实用人才培养和激励政策。</w:t>
      </w:r>
      <w:bookmarkEnd w:id="24"/>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5" w:name="_Toc143811709"/>
      <w:r>
        <w:rPr>
          <w:rFonts w:ascii="仿宋" w:hAnsi="仿宋" w:eastAsia="仿宋"/>
          <w:color w:val="000000" w:themeColor="text1"/>
          <w:sz w:val="32"/>
          <w:szCs w:val="32"/>
          <w14:textFill>
            <w14:solidFill>
              <w14:schemeClr w14:val="tx1"/>
            </w14:solidFill>
          </w14:textFill>
        </w:rPr>
        <w:t>4.统筹建立覆盖城乡的社会保障体系。 贯彻落实全区城乡社会保险及其补充保险政策和标准; 贯彻落实全国统一的社会保险关系转续办法; 贯彻执行机关企事业单位基本养老保险政策。 会同有关部门拟定全区社会保险及其补充保险基金管理和监督办法; 编制全区社会保险基金预决算草案; 参与制定全区社会保障基金投资政策。</w:t>
      </w:r>
      <w:bookmarkEnd w:id="25"/>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6" w:name="_Toc143811710"/>
      <w:r>
        <w:rPr>
          <w:rFonts w:ascii="仿宋" w:hAnsi="仿宋" w:eastAsia="仿宋"/>
          <w:color w:val="000000" w:themeColor="text1"/>
          <w:sz w:val="32"/>
          <w:szCs w:val="32"/>
          <w14:textFill>
            <w14:solidFill>
              <w14:schemeClr w14:val="tx1"/>
            </w14:solidFill>
          </w14:textFill>
        </w:rPr>
        <w:t>5.负责对就业、失业、社会保险基金预测预警和信息引导, 拟定应对预案, 实施预防、 调节和控制, 保持就业形势稳定和社会保险基金总体收支平衡。</w:t>
      </w:r>
      <w:bookmarkEnd w:id="26"/>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7" w:name="_Toc143811711"/>
      <w:r>
        <w:rPr>
          <w:rFonts w:ascii="仿宋" w:hAnsi="仿宋" w:eastAsia="仿宋"/>
          <w:color w:val="000000" w:themeColor="text1"/>
          <w:sz w:val="32"/>
          <w:szCs w:val="32"/>
          <w14:textFill>
            <w14:solidFill>
              <w14:schemeClr w14:val="tx1"/>
            </w14:solidFill>
          </w14:textFill>
        </w:rPr>
        <w:t>6.会同有关部门拟定事业单位人员工资收入分配政策和企业职工工资收入分配调控政策, 建立企事业单位人员工资正常增长和支付保障机制; 拟定企事业单位人员福利和有关离退休政策。</w:t>
      </w:r>
      <w:bookmarkEnd w:id="27"/>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8" w:name="_Toc143811712"/>
      <w:r>
        <w:rPr>
          <w:rFonts w:ascii="仿宋" w:hAnsi="仿宋" w:eastAsia="仿宋"/>
          <w:color w:val="000000" w:themeColor="text1"/>
          <w:sz w:val="32"/>
          <w:szCs w:val="32"/>
          <w14:textFill>
            <w14:solidFill>
              <w14:schemeClr w14:val="tx1"/>
            </w14:solidFill>
          </w14:textFill>
        </w:rPr>
        <w:t>7.会同有关部门指导事业单位人事制度改革, 拟定事业单位人员和机关工勤人员管理政策; 参与人才管理工作, 拟定专业技术人员管理和继续教育政策; 牵头推进深化职称制度改革工作; 健全高层次人才管理制度, 负责高层次专业技术人才选拔和培养工作。</w:t>
      </w:r>
      <w:bookmarkEnd w:id="28"/>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29" w:name="_Toc143811713"/>
      <w:r>
        <w:rPr>
          <w:rFonts w:ascii="仿宋" w:hAnsi="仿宋" w:eastAsia="仿宋"/>
          <w:color w:val="000000" w:themeColor="text1"/>
          <w:sz w:val="32"/>
          <w:szCs w:val="32"/>
          <w14:textFill>
            <w14:solidFill>
              <w14:schemeClr w14:val="tx1"/>
            </w14:solidFill>
          </w14:textFill>
        </w:rPr>
        <w:t>8.会同有关部门拟定劳务开发及农民工工作综合性政策和规划, 并推进相关政策的落实, 协调解决重点难点问题, 维护农民工合法权益。</w:t>
      </w:r>
      <w:bookmarkEnd w:id="29"/>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0" w:name="_Toc143811714"/>
      <w:r>
        <w:rPr>
          <w:rFonts w:ascii="仿宋" w:hAnsi="仿宋" w:eastAsia="仿宋"/>
          <w:color w:val="000000" w:themeColor="text1"/>
          <w:sz w:val="32"/>
          <w:szCs w:val="32"/>
          <w14:textFill>
            <w14:solidFill>
              <w14:schemeClr w14:val="tx1"/>
            </w14:solidFill>
          </w14:textFill>
        </w:rPr>
        <w:t>9. 拟定并组织实施劳动、人事争议调解仲裁制度和劳动关系政策; 完善劳动关系协调机制, 制定执行消除非法使用童工政策和女工、未成年工的特殊劳动保护政策; 组织实施劳动监察, 协调劳动者维权工作, 依法查处重大案件。</w:t>
      </w:r>
      <w:bookmarkEnd w:id="30"/>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1" w:name="_Toc143811715"/>
      <w:r>
        <w:rPr>
          <w:rFonts w:ascii="仿宋" w:hAnsi="仿宋" w:eastAsia="仿宋"/>
          <w:color w:val="000000" w:themeColor="text1"/>
          <w:sz w:val="32"/>
          <w:szCs w:val="32"/>
          <w14:textFill>
            <w14:solidFill>
              <w14:schemeClr w14:val="tx1"/>
            </w14:solidFill>
          </w14:textFill>
        </w:rPr>
        <w:t>10.负责职责范围内的安全生产和职业健康、生态环境保护、审批服务便民化等工作。</w:t>
      </w:r>
      <w:bookmarkEnd w:id="31"/>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2" w:name="_Toc143811716"/>
      <w:r>
        <w:rPr>
          <w:rFonts w:ascii="仿宋" w:hAnsi="仿宋" w:eastAsia="仿宋"/>
          <w:color w:val="000000" w:themeColor="text1"/>
          <w:sz w:val="32"/>
          <w:szCs w:val="32"/>
          <w14:textFill>
            <w14:solidFill>
              <w14:schemeClr w14:val="tx1"/>
            </w14:solidFill>
          </w14:textFill>
        </w:rPr>
        <w:t>11.完成区委和区政府交办的其他事项。</w:t>
      </w:r>
      <w:bookmarkEnd w:id="32"/>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3" w:name="_Toc143811717"/>
      <w:r>
        <w:rPr>
          <w:rFonts w:ascii="仿宋" w:hAnsi="仿宋" w:eastAsia="仿宋"/>
          <w:color w:val="000000" w:themeColor="text1"/>
          <w:sz w:val="32"/>
          <w:szCs w:val="32"/>
          <w14:textFill>
            <w14:solidFill>
              <w14:schemeClr w14:val="tx1"/>
            </w14:solidFill>
          </w14:textFill>
        </w:rPr>
        <w:t>12.职能转变。深入推进 “ 放管服” 改革, 进一步减少行政审批事项, 规范和优化对外办理事项, 减少职业资格许可和认定等审批事项, 实行职业资格目录清单管理, 加强事中事后监管, 创新就业和社会保障等公共服务方式, 加强信息共享, 提高公共服务水平。</w:t>
      </w:r>
      <w:bookmarkEnd w:id="3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34" w:name="_Toc143811718"/>
      <w:r>
        <w:rPr>
          <w:rFonts w:ascii="仿宋" w:hAnsi="仿宋" w:eastAsia="仿宋"/>
          <w:color w:val="000000" w:themeColor="text1"/>
          <w:sz w:val="32"/>
          <w:szCs w:val="32"/>
          <w14:textFill>
            <w14:solidFill>
              <w14:schemeClr w14:val="tx1"/>
            </w14:solidFill>
          </w14:textFill>
        </w:rPr>
        <w:t>13.与区教育和体育局的有关职责分工。高校毕业生就业政策的拟订由区人力资源社会保障局牵头, 区教育和体育局配合。 高校毕业生离校前的就业指导和服务工作由区教育和体育局负责; 高校毕业生离校后的就业指导和服务工作由区人力资源社会保障局负责。</w:t>
      </w:r>
      <w:bookmarkEnd w:id="34"/>
    </w:p>
    <w:p>
      <w:pPr>
        <w:pStyle w:val="2"/>
        <w:rPr>
          <w:rStyle w:val="37"/>
          <w:b w:val="0"/>
          <w:bCs w:val="0"/>
        </w:rPr>
      </w:pPr>
      <w:bookmarkStart w:id="35" w:name="_Toc143811719"/>
      <w:r>
        <w:rPr>
          <w:rFonts w:hint="eastAsia" w:ascii="黑体" w:eastAsia="黑体"/>
          <w:b w:val="0"/>
        </w:rPr>
        <w:t>二、</w:t>
      </w:r>
      <w:r>
        <w:rPr>
          <w:rFonts w:hint="eastAsia" w:ascii="黑体" w:hAnsi="黑体" w:eastAsia="黑体"/>
          <w:b w:val="0"/>
        </w:rPr>
        <w:t>机</w:t>
      </w:r>
      <w:r>
        <w:rPr>
          <w:rStyle w:val="37"/>
          <w:rFonts w:hint="eastAsia" w:ascii="黑体" w:hAnsi="黑体" w:eastAsia="黑体"/>
          <w:b w:val="0"/>
          <w:bCs w:val="0"/>
        </w:rPr>
        <w:t>构设置</w:t>
      </w:r>
      <w:bookmarkEnd w:id="21"/>
      <w:bookmarkEnd w:id="22"/>
      <w:bookmarkEnd w:id="35"/>
    </w:p>
    <w:p>
      <w:pPr>
        <w:ind w:firstLine="800" w:firstLineChars="250"/>
        <w:rPr>
          <w:rFonts w:ascii="仿宋" w:hAnsi="仿宋" w:eastAsia="仿宋"/>
          <w:sz w:val="32"/>
          <w:szCs w:val="32"/>
        </w:rPr>
      </w:pPr>
      <w:r>
        <w:rPr>
          <w:rFonts w:hint="eastAsia" w:ascii="仿宋" w:hAnsi="仿宋" w:eastAsia="仿宋"/>
          <w:sz w:val="32"/>
          <w:szCs w:val="32"/>
        </w:rPr>
        <w:t>人力资源和社会保障局下属二级预算单位</w:t>
      </w:r>
      <w:r>
        <w:rPr>
          <w:rFonts w:ascii="仿宋" w:hAnsi="仿宋" w:eastAsia="仿宋"/>
          <w:sz w:val="32"/>
          <w:szCs w:val="32"/>
        </w:rPr>
        <w:t>2</w:t>
      </w:r>
      <w:r>
        <w:rPr>
          <w:rFonts w:hint="eastAsia" w:ascii="仿宋" w:hAnsi="仿宋" w:eastAsia="仿宋"/>
          <w:sz w:val="32"/>
          <w:szCs w:val="32"/>
        </w:rPr>
        <w:t>个，其中行政单位0个，参照公务员法管理的事业单位</w:t>
      </w:r>
      <w:r>
        <w:rPr>
          <w:rFonts w:ascii="仿宋" w:hAnsi="仿宋" w:eastAsia="仿宋"/>
          <w:bCs/>
          <w:sz w:val="32"/>
          <w:szCs w:val="32"/>
        </w:rPr>
        <w:t>2</w:t>
      </w:r>
      <w:r>
        <w:rPr>
          <w:rFonts w:hint="eastAsia" w:ascii="仿宋" w:hAnsi="仿宋" w:eastAsia="仿宋"/>
          <w:sz w:val="32"/>
          <w:szCs w:val="32"/>
        </w:rPr>
        <w:t>个，其他事业单位0个。</w:t>
      </w:r>
    </w:p>
    <w:p>
      <w:pPr>
        <w:pStyle w:val="7"/>
        <w:adjustRightInd w:val="0"/>
        <w:snapToGrid w:val="0"/>
        <w:spacing w:before="93" w:line="600" w:lineRule="exact"/>
        <w:ind w:left="420" w:firstLine="672" w:firstLineChars="210"/>
        <w:rPr>
          <w:rFonts w:ascii="仿宋" w:hAnsi="仿宋" w:eastAsia="仿宋" w:cs="仿宋"/>
          <w:color w:val="000000"/>
          <w:sz w:val="32"/>
          <w:szCs w:val="32"/>
        </w:rPr>
      </w:pPr>
      <w:r>
        <w:rPr>
          <w:rFonts w:hint="eastAsia" w:ascii="仿宋" w:hAnsi="仿宋" w:eastAsia="仿宋" w:cs="仿宋"/>
          <w:color w:val="000000"/>
          <w:sz w:val="32"/>
          <w:szCs w:val="32"/>
        </w:rPr>
        <w:t>纳入</w:t>
      </w:r>
      <w:r>
        <w:rPr>
          <w:rFonts w:hint="eastAsia" w:ascii="仿宋" w:hAnsi="仿宋" w:eastAsia="仿宋" w:cs="仿宋"/>
          <w:color w:val="000000"/>
          <w:kern w:val="2"/>
          <w:sz w:val="32"/>
          <w:szCs w:val="32"/>
        </w:rPr>
        <w:t>安居</w:t>
      </w:r>
      <w:r>
        <w:rPr>
          <w:rFonts w:hint="eastAsia" w:ascii="仿宋" w:hAnsi="仿宋" w:eastAsia="仿宋"/>
          <w:sz w:val="32"/>
          <w:szCs w:val="32"/>
        </w:rPr>
        <w:t>人力资源和社会保障局</w:t>
      </w:r>
      <w:r>
        <w:rPr>
          <w:rFonts w:hint="eastAsia" w:ascii="仿宋" w:hAnsi="仿宋" w:eastAsia="仿宋" w:cs="仿宋"/>
          <w:color w:val="000000"/>
          <w:sz w:val="32"/>
          <w:szCs w:val="32"/>
        </w:rPr>
        <w:t>202</w:t>
      </w:r>
      <w:r>
        <w:rPr>
          <w:rFonts w:ascii="仿宋" w:hAnsi="仿宋" w:eastAsia="仿宋" w:cs="仿宋"/>
          <w:color w:val="000000"/>
          <w:sz w:val="32"/>
          <w:szCs w:val="32"/>
        </w:rPr>
        <w:t>2</w:t>
      </w:r>
      <w:r>
        <w:rPr>
          <w:rFonts w:hint="eastAsia" w:ascii="仿宋" w:hAnsi="仿宋" w:eastAsia="仿宋" w:cs="仿宋"/>
          <w:color w:val="000000"/>
          <w:sz w:val="32"/>
          <w:szCs w:val="32"/>
        </w:rPr>
        <w:t>年度部门决算编制范围的二级预算单位包括：</w:t>
      </w:r>
    </w:p>
    <w:p>
      <w:pPr>
        <w:pStyle w:val="8"/>
        <w:numPr>
          <w:ilvl w:val="0"/>
          <w:numId w:val="3"/>
        </w:numPr>
        <w:ind w:firstLine="1280" w:firstLineChars="400"/>
        <w:rPr>
          <w:rFonts w:ascii="仿宋" w:hAnsi="仿宋" w:eastAsia="仿宋" w:cs="仿宋"/>
          <w:sz w:val="32"/>
          <w:szCs w:val="32"/>
        </w:rPr>
      </w:pPr>
      <w:r>
        <w:rPr>
          <w:rFonts w:hint="eastAsia" w:ascii="仿宋" w:hAnsi="仿宋" w:eastAsia="仿宋" w:cs="仿宋"/>
          <w:sz w:val="32"/>
          <w:szCs w:val="32"/>
        </w:rPr>
        <w:t>安居区就业服务管理局</w:t>
      </w:r>
    </w:p>
    <w:p>
      <w:pPr>
        <w:pStyle w:val="7"/>
        <w:adjustRightInd w:val="0"/>
        <w:snapToGrid w:val="0"/>
        <w:spacing w:before="93" w:line="600" w:lineRule="exact"/>
        <w:ind w:firstLine="630" w:firstLineChars="210"/>
        <w:rPr>
          <w:rFonts w:ascii="仿宋" w:hAnsi="仿宋" w:eastAsia="仿宋" w:cs="仿宋"/>
          <w:sz w:val="32"/>
          <w:szCs w:val="32"/>
        </w:rPr>
      </w:pPr>
      <w:r>
        <w:rPr>
          <w:rFonts w:hint="eastAsia"/>
        </w:rPr>
        <w:t xml:space="preserve">    2.</w:t>
      </w:r>
      <w:r>
        <w:rPr>
          <w:rFonts w:hint="eastAsia" w:ascii="仿宋" w:hAnsi="仿宋" w:eastAsia="仿宋" w:cs="仿宋"/>
          <w:sz w:val="32"/>
          <w:szCs w:val="32"/>
        </w:rPr>
        <w:t>安居区社会保险事业管理局</w:t>
      </w: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center"/>
        <w:rPr>
          <w:rFonts w:ascii="仿宋" w:hAnsi="仿宋" w:eastAsia="仿宋"/>
          <w:kern w:val="0"/>
          <w:sz w:val="32"/>
          <w:szCs w:val="32"/>
        </w:rPr>
      </w:pPr>
      <w:r>
        <w:rPr>
          <w:rFonts w:ascii="仿宋" w:hAnsi="仿宋" w:eastAsia="仿宋"/>
          <w:sz w:val="32"/>
          <w:szCs w:val="32"/>
        </w:rPr>
        <w:br w:type="page"/>
      </w:r>
    </w:p>
    <w:p>
      <w:pPr>
        <w:pStyle w:val="3"/>
        <w:ind w:right="440"/>
        <w:jc w:val="center"/>
        <w:rPr>
          <w:rStyle w:val="36"/>
          <w:rFonts w:ascii="黑体" w:hAnsi="黑体" w:eastAsia="黑体"/>
          <w:b w:val="0"/>
          <w:bCs/>
        </w:rPr>
      </w:pPr>
      <w:bookmarkStart w:id="36" w:name="_Toc15377204"/>
      <w:bookmarkStart w:id="37" w:name="_Toc15396602"/>
      <w:bookmarkStart w:id="38" w:name="_Toc143811720"/>
      <w:r>
        <w:rPr>
          <w:rFonts w:hint="eastAsia" w:ascii="黑体" w:hAnsi="黑体" w:eastAsia="黑体"/>
          <w:b w:val="0"/>
        </w:rPr>
        <w:t>第二部分 2022年度</w:t>
      </w:r>
      <w:r>
        <w:rPr>
          <w:rStyle w:val="36"/>
          <w:rFonts w:hint="eastAsia" w:ascii="黑体" w:hAnsi="黑体" w:eastAsia="黑体"/>
          <w:b w:val="0"/>
          <w:bCs/>
        </w:rPr>
        <w:t>部门决算情况说明</w:t>
      </w:r>
      <w:bookmarkEnd w:id="36"/>
      <w:bookmarkEnd w:id="37"/>
      <w:bookmarkEnd w:id="38"/>
    </w:p>
    <w:p/>
    <w:p>
      <w:pPr>
        <w:pStyle w:val="35"/>
        <w:numPr>
          <w:ilvl w:val="0"/>
          <w:numId w:val="4"/>
        </w:numPr>
        <w:spacing w:line="600" w:lineRule="exact"/>
        <w:ind w:firstLineChars="0"/>
        <w:outlineLvl w:val="1"/>
        <w:rPr>
          <w:rStyle w:val="37"/>
          <w:rFonts w:ascii="黑体" w:hAnsi="黑体" w:eastAsia="黑体"/>
          <w:b w:val="0"/>
        </w:rPr>
      </w:pPr>
      <w:bookmarkStart w:id="39" w:name="_Toc143811721"/>
      <w:bookmarkStart w:id="40" w:name="_Toc15396603"/>
      <w:bookmarkStart w:id="41" w:name="_Toc15377205"/>
      <w:r>
        <w:rPr>
          <w:rFonts w:hint="eastAsia" w:ascii="黑体" w:hAnsi="黑体" w:eastAsia="黑体"/>
          <w:sz w:val="32"/>
          <w:szCs w:val="32"/>
        </w:rPr>
        <w:t>收</w:t>
      </w:r>
      <w:r>
        <w:rPr>
          <w:rStyle w:val="37"/>
          <w:rFonts w:hint="eastAsia" w:ascii="黑体" w:hAnsi="黑体" w:eastAsia="黑体"/>
          <w:b w:val="0"/>
        </w:rPr>
        <w:t>入支出决算总体情况说明</w:t>
      </w:r>
      <w:bookmarkEnd w:id="39"/>
      <w:bookmarkEnd w:id="40"/>
      <w:bookmarkEnd w:id="4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917</w:t>
      </w:r>
      <w:r>
        <w:rPr>
          <w:rFonts w:hint="eastAsia" w:ascii="仿宋" w:hAnsi="仿宋" w:eastAsia="仿宋"/>
          <w:sz w:val="32"/>
          <w:szCs w:val="32"/>
        </w:rPr>
        <w:t>.</w:t>
      </w:r>
      <w:r>
        <w:rPr>
          <w:rFonts w:ascii="仿宋" w:hAnsi="仿宋" w:eastAsia="仿宋"/>
          <w:sz w:val="32"/>
          <w:szCs w:val="32"/>
        </w:rPr>
        <w:t>76</w:t>
      </w:r>
      <w:r>
        <w:rPr>
          <w:rFonts w:hint="eastAsia" w:ascii="仿宋" w:hAnsi="仿宋" w:eastAsia="仿宋"/>
          <w:sz w:val="32"/>
          <w:szCs w:val="32"/>
        </w:rPr>
        <w:t>万元。与2021年相比，收、支总计各减少</w:t>
      </w:r>
      <w:r>
        <w:rPr>
          <w:rFonts w:ascii="仿宋" w:hAnsi="仿宋" w:eastAsia="仿宋"/>
          <w:sz w:val="32"/>
          <w:szCs w:val="32"/>
        </w:rPr>
        <w:t>20</w:t>
      </w:r>
      <w:r>
        <w:rPr>
          <w:rFonts w:hint="eastAsia" w:ascii="仿宋" w:hAnsi="仿宋" w:eastAsia="仿宋"/>
          <w:sz w:val="32"/>
          <w:szCs w:val="32"/>
        </w:rPr>
        <w:t>.</w:t>
      </w:r>
      <w:r>
        <w:rPr>
          <w:rFonts w:ascii="仿宋" w:hAnsi="仿宋" w:eastAsia="仿宋"/>
          <w:sz w:val="32"/>
          <w:szCs w:val="32"/>
        </w:rPr>
        <w:t>98</w:t>
      </w:r>
      <w:r>
        <w:rPr>
          <w:rFonts w:hint="eastAsia" w:ascii="仿宋" w:hAnsi="仿宋" w:eastAsia="仿宋"/>
          <w:sz w:val="32"/>
          <w:szCs w:val="32"/>
        </w:rPr>
        <w:t>万元，减少</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23%</w:t>
      </w:r>
      <w:r>
        <w:rPr>
          <w:rFonts w:hint="eastAsia" w:ascii="仿宋" w:hAnsi="仿宋" w:eastAsia="仿宋"/>
          <w:sz w:val="32"/>
          <w:szCs w:val="32"/>
        </w:rPr>
        <w:t>。主要变动原因是单位</w:t>
      </w:r>
      <w:r>
        <w:rPr>
          <w:rFonts w:hint="eastAsia" w:ascii="仿宋" w:hAnsi="仿宋" w:eastAsia="仿宋"/>
          <w:sz w:val="32"/>
          <w:szCs w:val="32"/>
          <w:lang w:eastAsia="zh-CN"/>
        </w:rPr>
        <w:t>厉</w:t>
      </w:r>
      <w:r>
        <w:rPr>
          <w:rFonts w:hint="eastAsia" w:ascii="仿宋" w:hAnsi="仿宋" w:eastAsia="仿宋"/>
          <w:sz w:val="32"/>
          <w:szCs w:val="32"/>
        </w:rPr>
        <w:t>行节约，缩减开支。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2"/>
        <w:ind w:left="420"/>
        <w:rPr>
          <w:rFonts w:eastAsia="仿宋_GB2312"/>
          <w:sz w:val="32"/>
        </w:rPr>
      </w:pPr>
      <w:r>
        <w:rPr>
          <w:rFonts w:hint="eastAsia"/>
        </w:rPr>
        <w:drawing>
          <wp:inline distT="0" distB="0" distL="114300" distR="114300">
            <wp:extent cx="4699000" cy="3666490"/>
            <wp:effectExtent l="5080" t="4445" r="203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ind w:left="420" w:firstLine="640"/>
        <w:rPr>
          <w:rFonts w:eastAsia="仿宋_GB2312"/>
          <w:sz w:val="32"/>
        </w:rPr>
      </w:pPr>
    </w:p>
    <w:p>
      <w:pPr>
        <w:pStyle w:val="22"/>
        <w:ind w:left="420" w:firstLine="640"/>
        <w:rPr>
          <w:rFonts w:eastAsia="仿宋_GB2312"/>
          <w:sz w:val="32"/>
        </w:rPr>
      </w:pPr>
    </w:p>
    <w:p>
      <w:pPr>
        <w:pStyle w:val="22"/>
        <w:ind w:left="0" w:leftChars="0" w:firstLine="0" w:firstLineChars="0"/>
        <w:rPr>
          <w:rFonts w:eastAsia="仿宋_GB2312"/>
          <w:sz w:val="32"/>
        </w:rPr>
      </w:pPr>
    </w:p>
    <w:p>
      <w:pPr>
        <w:pStyle w:val="35"/>
        <w:numPr>
          <w:ilvl w:val="0"/>
          <w:numId w:val="4"/>
        </w:numPr>
        <w:spacing w:line="600" w:lineRule="exact"/>
        <w:ind w:firstLineChars="0"/>
        <w:outlineLvl w:val="1"/>
        <w:rPr>
          <w:rStyle w:val="37"/>
          <w:rFonts w:ascii="黑体" w:hAnsi="黑体" w:eastAsia="黑体"/>
          <w:b w:val="0"/>
        </w:rPr>
      </w:pPr>
      <w:bookmarkStart w:id="42" w:name="_Toc143811722"/>
      <w:bookmarkStart w:id="43" w:name="_Toc15377206"/>
      <w:bookmarkStart w:id="44" w:name="_Toc15396604"/>
      <w:r>
        <w:rPr>
          <w:rFonts w:hint="eastAsia" w:ascii="黑体" w:hAnsi="黑体" w:eastAsia="黑体"/>
          <w:sz w:val="32"/>
          <w:szCs w:val="32"/>
        </w:rPr>
        <w:t>收</w:t>
      </w:r>
      <w:r>
        <w:rPr>
          <w:rStyle w:val="37"/>
          <w:rFonts w:hint="eastAsia" w:ascii="黑体" w:hAnsi="黑体" w:eastAsia="黑体"/>
          <w:b w:val="0"/>
        </w:rPr>
        <w:t>入决算情况说明</w:t>
      </w:r>
      <w:bookmarkEnd w:id="42"/>
      <w:bookmarkEnd w:id="43"/>
      <w:bookmarkEnd w:id="44"/>
    </w:p>
    <w:p>
      <w:pPr>
        <w:spacing w:line="600" w:lineRule="exact"/>
        <w:ind w:firstLine="640" w:firstLineChars="200"/>
        <w:outlineLvl w:val="1"/>
        <w:rPr>
          <w:rFonts w:ascii="仿宋" w:hAnsi="仿宋" w:eastAsia="仿宋"/>
          <w:sz w:val="32"/>
          <w:szCs w:val="32"/>
        </w:rPr>
      </w:pPr>
      <w:bookmarkStart w:id="45" w:name="_Toc143811723"/>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917.76</w:t>
      </w:r>
      <w:r>
        <w:rPr>
          <w:rFonts w:hint="eastAsia" w:ascii="仿宋" w:hAnsi="仿宋" w:eastAsia="仿宋"/>
          <w:sz w:val="32"/>
          <w:szCs w:val="32"/>
        </w:rPr>
        <w:t>万元，其中：一般公共预算财政拨款收入</w:t>
      </w:r>
      <w:r>
        <w:rPr>
          <w:rFonts w:ascii="仿宋" w:hAnsi="仿宋" w:eastAsia="仿宋"/>
          <w:sz w:val="32"/>
          <w:szCs w:val="32"/>
        </w:rPr>
        <w:t>816.75</w:t>
      </w:r>
      <w:r>
        <w:rPr>
          <w:rFonts w:hint="eastAsia" w:ascii="仿宋" w:hAnsi="仿宋" w:eastAsia="仿宋"/>
          <w:sz w:val="32"/>
          <w:szCs w:val="32"/>
        </w:rPr>
        <w:t>万元，占</w:t>
      </w:r>
      <w:r>
        <w:rPr>
          <w:rFonts w:ascii="仿宋" w:hAnsi="仿宋" w:eastAsia="仿宋"/>
          <w:sz w:val="32"/>
          <w:szCs w:val="32"/>
        </w:rPr>
        <w:t>88.99%</w:t>
      </w:r>
      <w:r>
        <w:rPr>
          <w:rFonts w:hint="eastAsia" w:ascii="仿宋" w:hAnsi="仿宋" w:eastAsia="仿宋"/>
          <w:sz w:val="32"/>
          <w:szCs w:val="32"/>
        </w:rPr>
        <w:t>；政府性基金预算财政拨款收入</w:t>
      </w:r>
      <w:r>
        <w:rPr>
          <w:rFonts w:ascii="仿宋" w:hAnsi="仿宋" w:eastAsia="仿宋"/>
          <w:sz w:val="32"/>
          <w:szCs w:val="32"/>
        </w:rPr>
        <w:t>101.01</w:t>
      </w:r>
      <w:r>
        <w:rPr>
          <w:rFonts w:hint="eastAsia" w:ascii="仿宋" w:hAnsi="仿宋" w:eastAsia="仿宋"/>
          <w:sz w:val="32"/>
          <w:szCs w:val="32"/>
        </w:rPr>
        <w:t>万元，占</w:t>
      </w:r>
      <w:r>
        <w:rPr>
          <w:rFonts w:ascii="仿宋" w:hAnsi="仿宋" w:eastAsia="仿宋"/>
          <w:sz w:val="32"/>
          <w:szCs w:val="32"/>
        </w:rPr>
        <w:t>11.01%</w:t>
      </w:r>
      <w:r>
        <w:rPr>
          <w:rFonts w:hint="eastAsia" w:ascii="仿宋" w:hAnsi="仿宋" w:eastAsia="仿宋"/>
          <w:sz w:val="32"/>
          <w:szCs w:val="32"/>
        </w:rPr>
        <w:t>。</w:t>
      </w:r>
      <w:bookmarkEnd w:id="45"/>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147955</wp:posOffset>
            </wp:positionH>
            <wp:positionV relativeFrom="paragraph">
              <wp:posOffset>366395</wp:posOffset>
            </wp:positionV>
            <wp:extent cx="5080000" cy="4502150"/>
            <wp:effectExtent l="5080" t="4445" r="20320" b="825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35"/>
        <w:numPr>
          <w:ilvl w:val="0"/>
          <w:numId w:val="4"/>
        </w:numPr>
        <w:spacing w:line="600" w:lineRule="exact"/>
        <w:ind w:firstLineChars="0"/>
        <w:outlineLvl w:val="1"/>
        <w:rPr>
          <w:rStyle w:val="37"/>
          <w:rFonts w:ascii="黑体" w:hAnsi="黑体" w:eastAsia="黑体"/>
          <w:b w:val="0"/>
        </w:rPr>
      </w:pPr>
      <w:bookmarkStart w:id="46" w:name="_Toc15396605"/>
      <w:bookmarkStart w:id="47" w:name="_Toc15377207"/>
      <w:bookmarkStart w:id="48" w:name="_Toc143811724"/>
      <w:r>
        <w:rPr>
          <w:rFonts w:hint="eastAsia" w:ascii="黑体" w:hAnsi="黑体" w:eastAsia="黑体"/>
          <w:sz w:val="32"/>
          <w:szCs w:val="32"/>
        </w:rPr>
        <w:t>支</w:t>
      </w:r>
      <w:r>
        <w:rPr>
          <w:rStyle w:val="37"/>
          <w:rFonts w:hint="eastAsia" w:ascii="黑体" w:hAnsi="黑体" w:eastAsia="黑体"/>
          <w:b w:val="0"/>
        </w:rPr>
        <w:t>出决算情况说明</w:t>
      </w:r>
      <w:bookmarkEnd w:id="46"/>
      <w:bookmarkEnd w:id="47"/>
      <w:bookmarkEnd w:id="48"/>
    </w:p>
    <w:p>
      <w:pPr>
        <w:spacing w:line="600" w:lineRule="exact"/>
        <w:ind w:firstLine="640" w:firstLineChars="200"/>
        <w:outlineLvl w:val="1"/>
        <w:rPr>
          <w:rFonts w:ascii="仿宋" w:hAnsi="仿宋" w:eastAsia="仿宋"/>
          <w:sz w:val="32"/>
          <w:szCs w:val="32"/>
          <w:shd w:val="pct10" w:color="auto" w:fill="FFFFFF"/>
        </w:rPr>
      </w:pPr>
      <w:bookmarkStart w:id="49" w:name="_Toc143811725"/>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917.76</w:t>
      </w:r>
      <w:r>
        <w:rPr>
          <w:rFonts w:hint="eastAsia" w:ascii="仿宋" w:hAnsi="仿宋" w:eastAsia="仿宋"/>
          <w:sz w:val="32"/>
          <w:szCs w:val="32"/>
        </w:rPr>
        <w:t>万元，其中：基本支出</w:t>
      </w:r>
      <w:r>
        <w:rPr>
          <w:rFonts w:ascii="仿宋" w:hAnsi="仿宋" w:eastAsia="仿宋"/>
          <w:sz w:val="32"/>
          <w:szCs w:val="32"/>
        </w:rPr>
        <w:t>663.26</w:t>
      </w:r>
      <w:r>
        <w:rPr>
          <w:rFonts w:hint="eastAsia" w:ascii="仿宋" w:hAnsi="仿宋" w:eastAsia="仿宋"/>
          <w:sz w:val="32"/>
          <w:szCs w:val="32"/>
        </w:rPr>
        <w:t>万元，占</w:t>
      </w:r>
      <w:r>
        <w:rPr>
          <w:rFonts w:ascii="仿宋" w:hAnsi="仿宋" w:eastAsia="仿宋"/>
          <w:sz w:val="32"/>
          <w:szCs w:val="32"/>
        </w:rPr>
        <w:t>72.27%</w:t>
      </w:r>
      <w:r>
        <w:rPr>
          <w:rFonts w:hint="eastAsia" w:ascii="仿宋" w:hAnsi="仿宋" w:eastAsia="仿宋"/>
          <w:sz w:val="32"/>
          <w:szCs w:val="32"/>
        </w:rPr>
        <w:t>；项目支出</w:t>
      </w:r>
      <w:r>
        <w:rPr>
          <w:rFonts w:ascii="仿宋" w:hAnsi="仿宋" w:eastAsia="仿宋"/>
          <w:sz w:val="32"/>
          <w:szCs w:val="32"/>
        </w:rPr>
        <w:t>254.5</w:t>
      </w:r>
      <w:r>
        <w:rPr>
          <w:rFonts w:hint="eastAsia" w:ascii="仿宋" w:hAnsi="仿宋" w:eastAsia="仿宋"/>
          <w:sz w:val="32"/>
          <w:szCs w:val="32"/>
        </w:rPr>
        <w:t>万元，占</w:t>
      </w:r>
      <w:r>
        <w:rPr>
          <w:rFonts w:ascii="仿宋" w:hAnsi="仿宋" w:eastAsia="仿宋"/>
          <w:sz w:val="32"/>
          <w:szCs w:val="32"/>
        </w:rPr>
        <w:t>27.73%</w:t>
      </w:r>
      <w:r>
        <w:rPr>
          <w:rFonts w:hint="eastAsia" w:ascii="仿宋" w:hAnsi="仿宋" w:eastAsia="仿宋"/>
          <w:sz w:val="32"/>
          <w:szCs w:val="32"/>
        </w:rPr>
        <w:t>。</w:t>
      </w:r>
      <w:bookmarkEnd w:id="49"/>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-33655</wp:posOffset>
            </wp:positionH>
            <wp:positionV relativeFrom="paragraph">
              <wp:posOffset>47625</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37"/>
          <w:rFonts w:ascii="黑体" w:hAnsi="黑体" w:eastAsia="黑体"/>
          <w:b w:val="0"/>
        </w:rPr>
      </w:pPr>
      <w:bookmarkStart w:id="50" w:name="_Toc15377208"/>
      <w:bookmarkStart w:id="51" w:name="_Toc15396606"/>
      <w:bookmarkStart w:id="52" w:name="_Toc143811726"/>
      <w:r>
        <w:rPr>
          <w:rFonts w:hint="eastAsia" w:ascii="黑体" w:hAnsi="黑体" w:eastAsia="黑体"/>
          <w:sz w:val="32"/>
          <w:szCs w:val="32"/>
        </w:rPr>
        <w:t>四、财</w:t>
      </w:r>
      <w:r>
        <w:rPr>
          <w:rStyle w:val="37"/>
          <w:rFonts w:hint="eastAsia" w:ascii="黑体" w:hAnsi="黑体" w:eastAsia="黑体"/>
          <w:b w:val="0"/>
        </w:rPr>
        <w:t>政拨款收入支出决算总体情况说明</w:t>
      </w:r>
      <w:bookmarkEnd w:id="50"/>
      <w:bookmarkEnd w:id="51"/>
      <w:bookmarkEnd w:id="5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22年财政拨款收、支总计917.76万元。与</w:t>
      </w:r>
      <w:r>
        <w:rPr>
          <w:rFonts w:ascii="仿宋" w:hAnsi="仿宋" w:eastAsia="仿宋"/>
          <w:sz w:val="32"/>
          <w:szCs w:val="32"/>
        </w:rPr>
        <w:t>20</w:t>
      </w:r>
      <w:r>
        <w:rPr>
          <w:rFonts w:hint="eastAsia" w:ascii="仿宋" w:hAnsi="仿宋" w:eastAsia="仿宋"/>
          <w:sz w:val="32"/>
          <w:szCs w:val="32"/>
        </w:rPr>
        <w:t>21年相比，财政拨款收、支总计各增加2.72万元，增长0.30</w:t>
      </w:r>
      <w:r>
        <w:rPr>
          <w:rFonts w:ascii="仿宋" w:hAnsi="仿宋" w:eastAsia="仿宋"/>
          <w:sz w:val="32"/>
          <w:szCs w:val="32"/>
        </w:rPr>
        <w:t>%</w:t>
      </w:r>
      <w:r>
        <w:rPr>
          <w:rFonts w:hint="eastAsia" w:ascii="仿宋" w:hAnsi="仿宋" w:eastAsia="仿宋"/>
          <w:sz w:val="32"/>
          <w:szCs w:val="32"/>
        </w:rPr>
        <w:t>。主要变动原因是2021年上年有结转结余。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pStyle w:val="22"/>
        <w:ind w:left="420" w:firstLine="643"/>
        <w:rPr>
          <w:rFonts w:ascii="仿宋" w:hAnsi="仿宋" w:eastAsia="仿宋"/>
          <w:b/>
          <w:sz w:val="32"/>
        </w:rPr>
      </w:pPr>
    </w:p>
    <w:p>
      <w:pPr>
        <w:pStyle w:val="22"/>
        <w:ind w:left="420"/>
        <w:rPr>
          <w:rFonts w:ascii="仿宋" w:hAnsi="仿宋" w:eastAsia="仿宋"/>
          <w:b/>
          <w:sz w:val="32"/>
        </w:rPr>
      </w:pPr>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7"/>
          <w:rFonts w:ascii="黑体" w:hAnsi="黑体" w:eastAsia="黑体"/>
          <w:b w:val="0"/>
        </w:rPr>
      </w:pPr>
      <w:bookmarkStart w:id="53" w:name="_Toc15377209"/>
      <w:bookmarkStart w:id="54" w:name="_Toc143811727"/>
      <w:bookmarkStart w:id="55" w:name="_Toc15396607"/>
      <w:r>
        <w:rPr>
          <w:rFonts w:hint="eastAsia" w:ascii="黑体" w:hAnsi="黑体" w:eastAsia="黑体"/>
          <w:sz w:val="32"/>
          <w:szCs w:val="32"/>
        </w:rPr>
        <w:t>五、</w:t>
      </w:r>
      <w:r>
        <w:rPr>
          <w:rFonts w:hint="eastAsia" w:ascii="黑体" w:hAnsi="黑体" w:eastAsia="黑体"/>
          <w:b/>
          <w:sz w:val="32"/>
          <w:szCs w:val="32"/>
        </w:rPr>
        <w:t>一</w:t>
      </w:r>
      <w:r>
        <w:rPr>
          <w:rStyle w:val="37"/>
          <w:rFonts w:hint="eastAsia" w:ascii="黑体" w:hAnsi="黑体" w:eastAsia="黑体"/>
          <w:b w:val="0"/>
        </w:rPr>
        <w:t>般公共预算财政拨款支出决算情况说明</w:t>
      </w:r>
      <w:bookmarkEnd w:id="53"/>
      <w:bookmarkEnd w:id="54"/>
      <w:bookmarkEnd w:id="55"/>
    </w:p>
    <w:p>
      <w:pPr>
        <w:spacing w:line="600" w:lineRule="exact"/>
        <w:ind w:firstLine="643" w:firstLineChars="200"/>
        <w:outlineLvl w:val="2"/>
        <w:rPr>
          <w:rFonts w:ascii="仿宋" w:hAnsi="仿宋" w:eastAsia="仿宋"/>
          <w:b/>
          <w:sz w:val="32"/>
          <w:szCs w:val="32"/>
        </w:rPr>
      </w:pPr>
      <w:bookmarkStart w:id="56" w:name="_Toc15377210"/>
      <w:bookmarkStart w:id="57" w:name="_Toc143811728"/>
      <w:r>
        <w:rPr>
          <w:rFonts w:hint="eastAsia" w:ascii="仿宋" w:hAnsi="仿宋" w:eastAsia="仿宋"/>
          <w:b/>
          <w:sz w:val="32"/>
          <w:szCs w:val="32"/>
        </w:rPr>
        <w:t>（一）一般公共预算财政拨款支出决算总体情况</w:t>
      </w:r>
      <w:bookmarkEnd w:id="56"/>
      <w:bookmarkEnd w:id="5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22年一般公共预算财政拨款支出816.75万元，占本年支出合计的88.99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21年相比，一般公共预算财政拨款支出减少107.7万元，下降11.65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000000"/>
          <w:sz w:val="32"/>
          <w:szCs w:val="32"/>
        </w:rPr>
        <w:t>单位</w:t>
      </w:r>
      <w:r>
        <w:rPr>
          <w:rFonts w:hint="eastAsia" w:ascii="仿宋" w:hAnsi="仿宋" w:eastAsia="仿宋" w:cs="仿宋"/>
          <w:color w:val="000000"/>
          <w:sz w:val="32"/>
          <w:szCs w:val="32"/>
          <w:lang w:eastAsia="zh-CN"/>
        </w:rPr>
        <w:t>厉</w:t>
      </w:r>
      <w:r>
        <w:rPr>
          <w:rFonts w:hint="eastAsia" w:ascii="仿宋" w:hAnsi="仿宋" w:eastAsia="仿宋" w:cs="仿宋"/>
          <w:color w:val="000000"/>
          <w:sz w:val="32"/>
          <w:szCs w:val="32"/>
        </w:rPr>
        <w:t>行节约，缩减开支。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3"/>
        <w:rPr>
          <w:rFonts w:ascii="仿宋" w:hAnsi="仿宋" w:eastAsia="仿宋"/>
          <w:b/>
          <w:sz w:val="32"/>
        </w:rPr>
      </w:pPr>
      <w:bookmarkStart w:id="58" w:name="_Toc15377211"/>
    </w:p>
    <w:p>
      <w:pPr>
        <w:pStyle w:val="22"/>
        <w:ind w:left="420" w:firstLine="640"/>
        <w:rPr>
          <w:rFonts w:ascii="仿宋" w:hAnsi="仿宋" w:eastAsia="仿宋"/>
          <w:b/>
          <w:sz w:val="32"/>
        </w:rPr>
      </w:pPr>
      <w:r>
        <w:rPr>
          <w:rFonts w:hint="eastAsia" w:ascii="仿宋" w:hAnsi="仿宋" w:eastAsia="仿宋"/>
          <w:color w:val="000000" w:themeColor="text1"/>
          <w:sz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337820</wp:posOffset>
            </wp:positionH>
            <wp:positionV relativeFrom="paragraph">
              <wp:posOffset>118110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sz w:val="32"/>
          <w:szCs w:val="32"/>
        </w:rPr>
      </w:pPr>
      <w:bookmarkStart w:id="59" w:name="_Toc143811729"/>
      <w:r>
        <w:rPr>
          <w:rFonts w:hint="eastAsia" w:ascii="仿宋" w:hAnsi="仿宋" w:eastAsia="仿宋"/>
          <w:b/>
          <w:sz w:val="32"/>
          <w:szCs w:val="32"/>
        </w:rPr>
        <w:t>（二）一般公共预算财政拨款支出决算结构情况</w:t>
      </w:r>
      <w:bookmarkEnd w:id="58"/>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22年一般公共预算财政拨款支出816.75万元，主要用于以下方面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744.65万元，占91.17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25.47万元，占3.12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46.63万元，占5.71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sz w:val="32"/>
        </w:rPr>
      </w:pPr>
    </w:p>
    <w:p>
      <w:pPr>
        <w:pStyle w:val="22"/>
        <w:ind w:left="420" w:firstLine="640"/>
        <w:rPr>
          <w:rFonts w:ascii="仿宋" w:hAnsi="仿宋" w:eastAsia="仿宋"/>
          <w:color w:val="000000"/>
          <w:sz w:val="32"/>
        </w:rPr>
      </w:pPr>
      <w:r>
        <w:rPr>
          <w:rFonts w:hint="eastAsia" w:ascii="仿宋" w:hAnsi="仿宋" w:eastAsia="仿宋"/>
          <w:color w:val="000000"/>
          <w:sz w:val="32"/>
        </w:rPr>
        <w:drawing>
          <wp:anchor distT="0" distB="0" distL="114300" distR="114300" simplePos="0" relativeHeight="251662336" behindDoc="0" locked="0" layoutInCell="1" allowOverlap="1">
            <wp:simplePos x="0" y="0"/>
            <wp:positionH relativeFrom="column">
              <wp:posOffset>223520</wp:posOffset>
            </wp:positionH>
            <wp:positionV relativeFrom="paragraph">
              <wp:posOffset>471170</wp:posOffset>
            </wp:positionV>
            <wp:extent cx="5080000" cy="4243705"/>
            <wp:effectExtent l="4445" t="4445" r="20955"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sz w:val="32"/>
          <w:szCs w:val="32"/>
        </w:rPr>
      </w:pPr>
      <w:bookmarkStart w:id="60" w:name="_Toc143811730"/>
      <w:bookmarkStart w:id="61" w:name="_Toc15377212"/>
      <w:r>
        <w:rPr>
          <w:rFonts w:hint="eastAsia" w:ascii="仿宋" w:hAnsi="仿宋" w:eastAsia="仿宋"/>
          <w:b/>
          <w:sz w:val="32"/>
          <w:szCs w:val="32"/>
        </w:rPr>
        <w:t>（三）一般公共预算财政拨款支出决算具体情况</w:t>
      </w:r>
      <w:bookmarkEnd w:id="60"/>
      <w:bookmarkEnd w:id="61"/>
    </w:p>
    <w:p>
      <w:pPr>
        <w:spacing w:line="600" w:lineRule="exact"/>
        <w:ind w:firstLine="643" w:firstLineChars="200"/>
        <w:outlineLvl w:val="2"/>
        <w:rPr>
          <w:rFonts w:ascii="仿宋" w:hAnsi="仿宋" w:eastAsia="仿宋"/>
          <w:b/>
          <w:sz w:val="32"/>
          <w:szCs w:val="32"/>
        </w:rPr>
      </w:pPr>
      <w:bookmarkStart w:id="62" w:name="_Toc15377444"/>
      <w:bookmarkStart w:id="63" w:name="_Toc15378460"/>
      <w:bookmarkStart w:id="64" w:name="_Toc15377213"/>
      <w:bookmarkStart w:id="65" w:name="_Toc143811731"/>
      <w:r>
        <w:rPr>
          <w:rFonts w:hint="eastAsia" w:ascii="仿宋" w:hAnsi="仿宋" w:eastAsia="仿宋"/>
          <w:b/>
          <w:sz w:val="32"/>
          <w:szCs w:val="32"/>
        </w:rPr>
        <w:t>2022年一般公共预算支出决算数为816.75万元</w:t>
      </w:r>
      <w:r>
        <w:rPr>
          <w:rFonts w:hint="eastAsia" w:ascii="仿宋" w:hAnsi="仿宋" w:eastAsia="仿宋"/>
          <w:sz w:val="32"/>
          <w:szCs w:val="32"/>
        </w:rPr>
        <w:t>，</w:t>
      </w:r>
      <w:r>
        <w:rPr>
          <w:rStyle w:val="25"/>
          <w:rFonts w:hint="eastAsia" w:ascii="仿宋" w:hAnsi="仿宋" w:eastAsia="仿宋"/>
          <w:bCs/>
          <w:sz w:val="32"/>
          <w:szCs w:val="32"/>
        </w:rPr>
        <w:t>完成预算100</w:t>
      </w:r>
      <w:r>
        <w:rPr>
          <w:rStyle w:val="25"/>
          <w:rFonts w:ascii="仿宋" w:hAnsi="仿宋" w:eastAsia="仿宋"/>
          <w:bCs/>
          <w:sz w:val="32"/>
          <w:szCs w:val="32"/>
        </w:rPr>
        <w:t>%</w:t>
      </w:r>
      <w:r>
        <w:rPr>
          <w:rStyle w:val="25"/>
          <w:rFonts w:hint="eastAsia" w:ascii="仿宋" w:hAnsi="仿宋" w:eastAsia="仿宋"/>
          <w:bCs/>
          <w:sz w:val="32"/>
          <w:szCs w:val="32"/>
        </w:rPr>
        <w:t>。其中：</w:t>
      </w:r>
      <w:bookmarkEnd w:id="62"/>
      <w:bookmarkEnd w:id="63"/>
      <w:bookmarkEnd w:id="64"/>
      <w:bookmarkEnd w:id="65"/>
    </w:p>
    <w:p>
      <w:pPr>
        <w:spacing w:line="600" w:lineRule="exact"/>
        <w:ind w:firstLine="643" w:firstLineChars="200"/>
        <w:rPr>
          <w:rFonts w:ascii="仿宋" w:hAnsi="仿宋" w:eastAsia="仿宋"/>
          <w:b/>
          <w:sz w:val="32"/>
          <w:szCs w:val="32"/>
        </w:rPr>
      </w:pPr>
      <w:r>
        <w:rPr>
          <w:rStyle w:val="25"/>
          <w:rFonts w:hint="eastAsia" w:ascii="仿宋" w:hAnsi="仿宋" w:eastAsia="仿宋"/>
          <w:bCs/>
          <w:sz w:val="32"/>
          <w:szCs w:val="32"/>
        </w:rPr>
        <w:t>1</w:t>
      </w:r>
      <w:r>
        <w:rPr>
          <w:rStyle w:val="25"/>
          <w:rFonts w:ascii="仿宋" w:hAnsi="仿宋" w:eastAsia="仿宋"/>
          <w:bCs/>
          <w:sz w:val="32"/>
          <w:szCs w:val="32"/>
        </w:rPr>
        <w:t>.</w:t>
      </w:r>
      <w:r>
        <w:rPr>
          <w:rStyle w:val="25"/>
          <w:rFonts w:hint="eastAsia" w:ascii="仿宋" w:hAnsi="仿宋" w:eastAsia="仿宋"/>
          <w:bCs/>
          <w:sz w:val="32"/>
          <w:szCs w:val="32"/>
        </w:rPr>
        <w:t>社会保障和就业208（类）01（款）01（项）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支出决算为449.74万元，完成预算100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rPr>
          <w:rStyle w:val="25"/>
          <w:rFonts w:ascii="仿宋" w:hAnsi="仿宋" w:eastAsia="仿宋"/>
          <w:b w:val="0"/>
          <w:bCs/>
          <w:sz w:val="32"/>
          <w:szCs w:val="32"/>
        </w:rPr>
      </w:pPr>
      <w:r>
        <w:rPr>
          <w:rStyle w:val="25"/>
          <w:rFonts w:hint="eastAsia" w:ascii="仿宋" w:hAnsi="仿宋" w:eastAsia="仿宋"/>
          <w:bCs/>
          <w:sz w:val="32"/>
          <w:szCs w:val="32"/>
        </w:rPr>
        <w:t>2.社会保障和就业208（类）01（款）02（项）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支出决算为0.27万元，完成预算100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pStyle w:val="22"/>
        <w:ind w:left="420" w:firstLine="640"/>
        <w:rPr>
          <w:rStyle w:val="25"/>
          <w:rFonts w:ascii="仿宋" w:hAnsi="仿宋" w:eastAsia="仿宋"/>
          <w:b w:val="0"/>
          <w:bCs/>
          <w:sz w:val="32"/>
        </w:rPr>
      </w:pPr>
    </w:p>
    <w:p>
      <w:pPr>
        <w:spacing w:line="600" w:lineRule="exact"/>
        <w:ind w:firstLine="643" w:firstLineChars="200"/>
      </w:pPr>
      <w:r>
        <w:rPr>
          <w:rStyle w:val="25"/>
          <w:rFonts w:hint="eastAsia" w:ascii="仿宋" w:hAnsi="仿宋" w:eastAsia="仿宋"/>
          <w:bCs/>
          <w:sz w:val="32"/>
          <w:szCs w:val="32"/>
        </w:rPr>
        <w:t>3.社会保障和就业208（类）01（款）05（项）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支出决算为20万元，完成预算100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4.社会保障和就业208（类）01（款）12（项）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支出决算为10万元，完成预算100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5.社会保障和就业208（类）01（款）50（项）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支出决算为100.59万元，完成预算100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6.社会保障和就业208（类）01（款）99（项）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支出决算为103.51万元，完成预算100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spacing w:line="600" w:lineRule="exact"/>
        <w:ind w:firstLine="643" w:firstLineChars="200"/>
      </w:pPr>
      <w:r>
        <w:rPr>
          <w:rStyle w:val="25"/>
          <w:rFonts w:hint="eastAsia" w:ascii="仿宋" w:hAnsi="仿宋" w:eastAsia="仿宋"/>
          <w:bCs/>
          <w:sz w:val="32"/>
          <w:szCs w:val="32"/>
        </w:rPr>
        <w:t>7.社会保障和就业208（类）05（款）05（项）</w:t>
      </w:r>
      <w:r>
        <w:rPr>
          <w:rStyle w:val="25"/>
          <w:rFonts w:ascii="仿宋" w:hAnsi="仿宋" w:eastAsia="仿宋"/>
          <w:bCs/>
          <w:sz w:val="32"/>
          <w:szCs w:val="32"/>
        </w:rPr>
        <w:t>:</w:t>
      </w:r>
      <w:r>
        <w:rPr>
          <w:rStyle w:val="25"/>
          <w:rFonts w:ascii="仿宋" w:hAnsi="仿宋" w:eastAsia="仿宋"/>
          <w:b w:val="0"/>
          <w:bCs/>
          <w:sz w:val="32"/>
          <w:szCs w:val="32"/>
        </w:rPr>
        <w:t xml:space="preserve"> </w:t>
      </w:r>
      <w:r>
        <w:rPr>
          <w:rStyle w:val="25"/>
          <w:rFonts w:hint="eastAsia" w:ascii="仿宋" w:hAnsi="仿宋" w:eastAsia="仿宋"/>
          <w:b w:val="0"/>
          <w:bCs/>
          <w:sz w:val="32"/>
          <w:szCs w:val="32"/>
        </w:rPr>
        <w:t>支出决算为39.92万元，完成预算100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pStyle w:val="22"/>
        <w:ind w:left="0" w:leftChars="0" w:firstLine="643"/>
        <w:rPr>
          <w:rStyle w:val="25"/>
          <w:rFonts w:ascii="仿宋" w:hAnsi="仿宋" w:eastAsia="仿宋"/>
          <w:b w:val="0"/>
          <w:bCs/>
          <w:sz w:val="32"/>
        </w:rPr>
      </w:pPr>
      <w:r>
        <w:rPr>
          <w:rStyle w:val="25"/>
          <w:rFonts w:hint="eastAsia" w:ascii="仿宋" w:hAnsi="仿宋" w:eastAsia="仿宋"/>
          <w:bCs/>
          <w:sz w:val="32"/>
        </w:rPr>
        <w:t>8.社会保障和就业208（类）07（款）99（项）</w:t>
      </w:r>
      <w:r>
        <w:rPr>
          <w:rStyle w:val="25"/>
          <w:rFonts w:ascii="仿宋" w:hAnsi="仿宋" w:eastAsia="仿宋"/>
          <w:bCs/>
          <w:sz w:val="32"/>
        </w:rPr>
        <w:t>:</w:t>
      </w:r>
      <w:r>
        <w:rPr>
          <w:rStyle w:val="25"/>
          <w:rFonts w:ascii="仿宋" w:hAnsi="仿宋" w:eastAsia="仿宋"/>
          <w:b w:val="0"/>
          <w:bCs/>
          <w:sz w:val="32"/>
        </w:rPr>
        <w:t xml:space="preserve"> </w:t>
      </w:r>
      <w:r>
        <w:rPr>
          <w:rStyle w:val="25"/>
          <w:rFonts w:hint="eastAsia" w:ascii="仿宋" w:hAnsi="仿宋" w:eastAsia="仿宋"/>
          <w:b w:val="0"/>
          <w:bCs/>
          <w:sz w:val="32"/>
        </w:rPr>
        <w:t>支出决算为19.71万元，完成预算100</w:t>
      </w:r>
      <w:r>
        <w:rPr>
          <w:rStyle w:val="25"/>
          <w:rFonts w:ascii="仿宋" w:hAnsi="仿宋" w:eastAsia="仿宋"/>
          <w:b w:val="0"/>
          <w:bCs/>
          <w:sz w:val="32"/>
        </w:rPr>
        <w:t>%</w:t>
      </w:r>
      <w:r>
        <w:rPr>
          <w:rStyle w:val="25"/>
          <w:rFonts w:hint="eastAsia" w:ascii="仿宋" w:hAnsi="仿宋" w:eastAsia="仿宋"/>
          <w:b w:val="0"/>
          <w:bCs/>
          <w:sz w:val="32"/>
        </w:rPr>
        <w:t>，决算数与预算数持平。</w:t>
      </w:r>
    </w:p>
    <w:p>
      <w:pPr>
        <w:pStyle w:val="22"/>
        <w:ind w:left="0" w:leftChars="0" w:firstLine="643"/>
        <w:rPr>
          <w:rStyle w:val="25"/>
          <w:rFonts w:ascii="仿宋" w:hAnsi="仿宋" w:eastAsia="仿宋"/>
          <w:b w:val="0"/>
          <w:bCs/>
          <w:sz w:val="32"/>
        </w:rPr>
      </w:pPr>
      <w:r>
        <w:rPr>
          <w:rStyle w:val="25"/>
          <w:rFonts w:hint="eastAsia" w:ascii="仿宋" w:hAnsi="仿宋" w:eastAsia="仿宋"/>
          <w:bCs/>
          <w:sz w:val="32"/>
        </w:rPr>
        <w:t>9.社会保障和就业208（类）99（款）99（项）</w:t>
      </w:r>
      <w:r>
        <w:rPr>
          <w:rStyle w:val="25"/>
          <w:rFonts w:ascii="仿宋" w:hAnsi="仿宋" w:eastAsia="仿宋"/>
          <w:bCs/>
          <w:sz w:val="32"/>
        </w:rPr>
        <w:t>:</w:t>
      </w:r>
      <w:r>
        <w:rPr>
          <w:rStyle w:val="25"/>
          <w:rFonts w:ascii="仿宋" w:hAnsi="仿宋" w:eastAsia="仿宋"/>
          <w:b w:val="0"/>
          <w:bCs/>
          <w:sz w:val="32"/>
        </w:rPr>
        <w:t xml:space="preserve"> </w:t>
      </w:r>
      <w:r>
        <w:rPr>
          <w:rStyle w:val="25"/>
          <w:rFonts w:hint="eastAsia" w:ascii="仿宋" w:hAnsi="仿宋" w:eastAsia="仿宋"/>
          <w:b w:val="0"/>
          <w:bCs/>
          <w:sz w:val="32"/>
        </w:rPr>
        <w:t>支出决算为0.91万元，完成预算100</w:t>
      </w:r>
      <w:r>
        <w:rPr>
          <w:rStyle w:val="25"/>
          <w:rFonts w:ascii="仿宋" w:hAnsi="仿宋" w:eastAsia="仿宋"/>
          <w:b w:val="0"/>
          <w:bCs/>
          <w:sz w:val="32"/>
        </w:rPr>
        <w:t>%</w:t>
      </w:r>
      <w:r>
        <w:rPr>
          <w:rStyle w:val="25"/>
          <w:rFonts w:hint="eastAsia" w:ascii="仿宋" w:hAnsi="仿宋" w:eastAsia="仿宋"/>
          <w:b w:val="0"/>
          <w:bCs/>
          <w:sz w:val="32"/>
        </w:rPr>
        <w:t xml:space="preserve">，决算数与预算数持平。 </w:t>
      </w:r>
    </w:p>
    <w:p>
      <w:pPr>
        <w:pStyle w:val="22"/>
        <w:ind w:left="0" w:leftChars="0" w:firstLine="643"/>
        <w:rPr>
          <w:rStyle w:val="25"/>
          <w:rFonts w:ascii="仿宋" w:hAnsi="仿宋" w:eastAsia="仿宋"/>
          <w:b w:val="0"/>
          <w:bCs/>
          <w:sz w:val="32"/>
        </w:rPr>
      </w:pPr>
      <w:r>
        <w:rPr>
          <w:rStyle w:val="25"/>
          <w:rFonts w:hint="eastAsia" w:ascii="仿宋" w:hAnsi="仿宋" w:eastAsia="仿宋"/>
          <w:sz w:val="32"/>
        </w:rPr>
        <w:t>10</w:t>
      </w:r>
      <w:r>
        <w:rPr>
          <w:rStyle w:val="25"/>
          <w:rFonts w:hint="eastAsia" w:ascii="仿宋" w:hAnsi="仿宋" w:eastAsia="仿宋"/>
          <w:b w:val="0"/>
          <w:bCs/>
          <w:sz w:val="32"/>
        </w:rPr>
        <w:t>.</w:t>
      </w:r>
      <w:r>
        <w:rPr>
          <w:rFonts w:hint="eastAsia" w:ascii="仿宋" w:hAnsi="仿宋" w:eastAsia="仿宋"/>
          <w:b/>
          <w:bCs/>
          <w:sz w:val="32"/>
        </w:rPr>
        <w:t>卫生健康210</w:t>
      </w:r>
      <w:r>
        <w:rPr>
          <w:rStyle w:val="25"/>
          <w:rFonts w:hint="eastAsia" w:ascii="仿宋" w:hAnsi="仿宋" w:eastAsia="仿宋"/>
          <w:bCs/>
          <w:sz w:val="32"/>
        </w:rPr>
        <w:t>（类）11（款）01（项）</w:t>
      </w:r>
      <w:r>
        <w:rPr>
          <w:rStyle w:val="25"/>
          <w:rFonts w:ascii="仿宋" w:hAnsi="仿宋" w:eastAsia="仿宋"/>
          <w:bCs/>
          <w:sz w:val="32"/>
        </w:rPr>
        <w:t>:</w:t>
      </w:r>
      <w:r>
        <w:rPr>
          <w:rStyle w:val="25"/>
          <w:rFonts w:hint="eastAsia" w:ascii="仿宋" w:hAnsi="仿宋" w:eastAsia="仿宋"/>
          <w:b w:val="0"/>
          <w:bCs/>
          <w:sz w:val="32"/>
        </w:rPr>
        <w:t>支出决算为12.33万元，完成预算100</w:t>
      </w:r>
      <w:r>
        <w:rPr>
          <w:rStyle w:val="25"/>
          <w:rFonts w:ascii="仿宋" w:hAnsi="仿宋" w:eastAsia="仿宋"/>
          <w:b w:val="0"/>
          <w:bCs/>
          <w:sz w:val="32"/>
        </w:rPr>
        <w:t>%</w:t>
      </w:r>
      <w:r>
        <w:rPr>
          <w:rStyle w:val="25"/>
          <w:rFonts w:hint="eastAsia" w:ascii="仿宋" w:hAnsi="仿宋" w:eastAsia="仿宋"/>
          <w:b w:val="0"/>
          <w:bCs/>
          <w:sz w:val="32"/>
        </w:rPr>
        <w:t>，决算数与预算数持平。</w:t>
      </w:r>
    </w:p>
    <w:p>
      <w:pPr>
        <w:pStyle w:val="22"/>
        <w:ind w:left="0" w:leftChars="0" w:firstLine="643"/>
        <w:rPr>
          <w:rStyle w:val="25"/>
          <w:rFonts w:ascii="仿宋" w:hAnsi="仿宋" w:eastAsia="仿宋"/>
          <w:b w:val="0"/>
          <w:bCs/>
          <w:sz w:val="32"/>
        </w:rPr>
      </w:pPr>
      <w:r>
        <w:rPr>
          <w:rStyle w:val="25"/>
          <w:rFonts w:hint="eastAsia" w:ascii="仿宋" w:hAnsi="仿宋" w:eastAsia="仿宋"/>
          <w:sz w:val="32"/>
        </w:rPr>
        <w:t>11.</w:t>
      </w:r>
      <w:r>
        <w:rPr>
          <w:rFonts w:hint="eastAsia" w:ascii="仿宋" w:hAnsi="仿宋" w:eastAsia="仿宋"/>
          <w:b/>
          <w:bCs/>
          <w:sz w:val="32"/>
        </w:rPr>
        <w:t>卫生健康210</w:t>
      </w:r>
      <w:r>
        <w:rPr>
          <w:rStyle w:val="25"/>
          <w:rFonts w:hint="eastAsia" w:ascii="仿宋" w:hAnsi="仿宋" w:eastAsia="仿宋"/>
          <w:bCs/>
          <w:sz w:val="32"/>
        </w:rPr>
        <w:t>（类）11（款）02（项）</w:t>
      </w:r>
      <w:r>
        <w:rPr>
          <w:rStyle w:val="25"/>
          <w:rFonts w:ascii="仿宋" w:hAnsi="仿宋" w:eastAsia="仿宋"/>
          <w:bCs/>
          <w:sz w:val="32"/>
        </w:rPr>
        <w:t>:</w:t>
      </w:r>
      <w:r>
        <w:rPr>
          <w:rStyle w:val="25"/>
          <w:rFonts w:hint="eastAsia" w:ascii="仿宋" w:hAnsi="仿宋" w:eastAsia="仿宋"/>
          <w:b w:val="0"/>
          <w:bCs/>
          <w:sz w:val="32"/>
        </w:rPr>
        <w:t>支出决算为7.08万元，完成预算100</w:t>
      </w:r>
      <w:r>
        <w:rPr>
          <w:rStyle w:val="25"/>
          <w:rFonts w:ascii="仿宋" w:hAnsi="仿宋" w:eastAsia="仿宋"/>
          <w:b w:val="0"/>
          <w:bCs/>
          <w:sz w:val="32"/>
        </w:rPr>
        <w:t>%</w:t>
      </w:r>
      <w:r>
        <w:rPr>
          <w:rStyle w:val="25"/>
          <w:rFonts w:hint="eastAsia" w:ascii="仿宋" w:hAnsi="仿宋" w:eastAsia="仿宋"/>
          <w:b w:val="0"/>
          <w:bCs/>
          <w:sz w:val="32"/>
        </w:rPr>
        <w:t>，决算数与预算数持平。</w:t>
      </w:r>
    </w:p>
    <w:p>
      <w:pPr>
        <w:spacing w:line="600" w:lineRule="exact"/>
        <w:ind w:firstLine="643" w:firstLineChars="200"/>
        <w:rPr>
          <w:rStyle w:val="25"/>
          <w:rFonts w:ascii="仿宋" w:hAnsi="仿宋" w:eastAsia="仿宋"/>
          <w:b w:val="0"/>
          <w:bCs/>
          <w:sz w:val="32"/>
          <w:szCs w:val="32"/>
        </w:rPr>
      </w:pPr>
      <w:r>
        <w:rPr>
          <w:rFonts w:hint="eastAsia" w:ascii="仿宋" w:hAnsi="仿宋" w:eastAsia="仿宋"/>
          <w:b/>
          <w:bCs/>
          <w:sz w:val="32"/>
          <w:szCs w:val="32"/>
        </w:rPr>
        <w:t>12.卫生健康210</w:t>
      </w:r>
      <w:r>
        <w:rPr>
          <w:rStyle w:val="25"/>
          <w:rFonts w:hint="eastAsia" w:ascii="仿宋" w:hAnsi="仿宋" w:eastAsia="仿宋"/>
          <w:bCs/>
          <w:sz w:val="32"/>
          <w:szCs w:val="32"/>
        </w:rPr>
        <w:t>（类）11（款）03（项）</w:t>
      </w:r>
      <w:r>
        <w:rPr>
          <w:rStyle w:val="25"/>
          <w:rFonts w:ascii="仿宋" w:hAnsi="仿宋" w:eastAsia="仿宋"/>
          <w:bCs/>
          <w:sz w:val="32"/>
          <w:szCs w:val="32"/>
        </w:rPr>
        <w:t>:</w:t>
      </w:r>
      <w:r>
        <w:rPr>
          <w:rStyle w:val="25"/>
          <w:rFonts w:hint="eastAsia" w:ascii="仿宋" w:hAnsi="仿宋" w:eastAsia="仿宋"/>
          <w:b w:val="0"/>
          <w:bCs/>
          <w:sz w:val="32"/>
          <w:szCs w:val="32"/>
        </w:rPr>
        <w:t>支出决算为6.06万元，完成预算100</w:t>
      </w:r>
      <w:r>
        <w:rPr>
          <w:rStyle w:val="25"/>
          <w:rFonts w:ascii="仿宋" w:hAnsi="仿宋" w:eastAsia="仿宋"/>
          <w:b w:val="0"/>
          <w:bCs/>
          <w:sz w:val="32"/>
          <w:szCs w:val="32"/>
        </w:rPr>
        <w:t>%</w:t>
      </w:r>
      <w:r>
        <w:rPr>
          <w:rStyle w:val="25"/>
          <w:rFonts w:hint="eastAsia" w:ascii="仿宋" w:hAnsi="仿宋" w:eastAsia="仿宋"/>
          <w:b w:val="0"/>
          <w:bCs/>
          <w:sz w:val="32"/>
          <w:szCs w:val="32"/>
        </w:rPr>
        <w:t>，决算数与预算数持平。</w:t>
      </w:r>
    </w:p>
    <w:p>
      <w:pPr>
        <w:pStyle w:val="22"/>
        <w:ind w:left="840" w:leftChars="400" w:firstLine="0" w:firstLineChars="0"/>
      </w:pPr>
    </w:p>
    <w:p>
      <w:pPr>
        <w:spacing w:line="600" w:lineRule="exact"/>
        <w:ind w:firstLine="643" w:firstLineChars="200"/>
        <w:rPr>
          <w:rFonts w:ascii="仿宋" w:hAnsi="仿宋" w:eastAsia="仿宋"/>
          <w:b/>
          <w:sz w:val="32"/>
          <w:szCs w:val="32"/>
        </w:rPr>
      </w:pPr>
      <w:r>
        <w:rPr>
          <w:rFonts w:hint="eastAsia" w:ascii="仿宋" w:hAnsi="仿宋" w:eastAsia="仿宋"/>
          <w:b/>
          <w:bCs/>
          <w:sz w:val="32"/>
          <w:szCs w:val="32"/>
        </w:rPr>
        <w:t>13</w:t>
      </w:r>
      <w:r>
        <w:rPr>
          <w:rFonts w:hint="eastAsia" w:ascii="仿宋" w:hAnsi="仿宋" w:eastAsia="仿宋"/>
          <w:sz w:val="32"/>
          <w:szCs w:val="32"/>
        </w:rPr>
        <w:t xml:space="preserve">. </w:t>
      </w:r>
      <w:r>
        <w:rPr>
          <w:rStyle w:val="25"/>
          <w:rFonts w:hint="eastAsia" w:ascii="仿宋" w:hAnsi="仿宋" w:eastAsia="仿宋"/>
          <w:color w:val="000000"/>
          <w:sz w:val="32"/>
          <w:szCs w:val="32"/>
        </w:rPr>
        <w:t>住房保障221</w:t>
      </w:r>
      <w:r>
        <w:rPr>
          <w:rStyle w:val="25"/>
          <w:rFonts w:hint="eastAsia" w:ascii="仿宋" w:hAnsi="仿宋" w:eastAsia="仿宋"/>
          <w:bCs/>
          <w:color w:val="000000"/>
          <w:sz w:val="32"/>
          <w:szCs w:val="32"/>
        </w:rPr>
        <w:t>（类）02（款）01（项）：</w:t>
      </w:r>
      <w:r>
        <w:rPr>
          <w:rStyle w:val="25"/>
          <w:rFonts w:hint="eastAsia" w:ascii="仿宋" w:hAnsi="仿宋" w:eastAsia="仿宋"/>
          <w:b w:val="0"/>
          <w:bCs/>
          <w:color w:val="000000"/>
          <w:sz w:val="32"/>
          <w:szCs w:val="32"/>
        </w:rPr>
        <w:t>支出决算为46.63万元，完成预算100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Style w:val="25"/>
          <w:rFonts w:hint="eastAsia" w:ascii="仿宋" w:hAnsi="仿宋" w:eastAsia="仿宋"/>
          <w:b w:val="0"/>
          <w:bCs/>
          <w:sz w:val="32"/>
          <w:szCs w:val="32"/>
        </w:rPr>
        <w:t>决算数与预算数持平</w:t>
      </w:r>
      <w:r>
        <w:rPr>
          <w:rStyle w:val="25"/>
          <w:rFonts w:hint="eastAsia" w:ascii="仿宋" w:hAnsi="仿宋" w:eastAsia="仿宋"/>
          <w:b w:val="0"/>
          <w:bCs/>
          <w:color w:val="000000"/>
          <w:sz w:val="32"/>
          <w:szCs w:val="32"/>
        </w:rPr>
        <w:t>。</w:t>
      </w:r>
    </w:p>
    <w:p>
      <w:pPr>
        <w:tabs>
          <w:tab w:val="right" w:pos="8306"/>
        </w:tabs>
        <w:spacing w:line="600" w:lineRule="exact"/>
        <w:ind w:firstLine="640"/>
        <w:outlineLvl w:val="1"/>
        <w:rPr>
          <w:rStyle w:val="37"/>
        </w:rPr>
      </w:pPr>
      <w:bookmarkStart w:id="66" w:name="_Toc15396608"/>
      <w:bookmarkStart w:id="67" w:name="_Toc15377214"/>
      <w:bookmarkStart w:id="68" w:name="_Toc143811732"/>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7"/>
          <w:rFonts w:hint="eastAsia" w:ascii="黑体" w:hAnsi="黑体" w:eastAsia="黑体"/>
          <w:b w:val="0"/>
        </w:rPr>
        <w:t>般公共预算财政拨款基本支出决算情况说明</w:t>
      </w:r>
      <w:bookmarkEnd w:id="66"/>
      <w:bookmarkEnd w:id="67"/>
      <w:bookmarkEnd w:id="68"/>
      <w:r>
        <w:rPr>
          <w:rStyle w:val="3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22年一般公共预算财政拨款基本支出663.26万元，其中：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600.98万元，主要包括：基本工资、津贴补贴、资金、职工基本医疗保险缴费、绩效工资、机关事业单位基本养老保险缴费、公务员医疗补助缴费、其他社会保障缴费、住房公积金、其他社会保障缴费、对个人和家庭的补助。</w:t>
      </w:r>
      <w:r>
        <w:rPr>
          <w:rFonts w:ascii="仿宋" w:hAnsi="仿宋" w:eastAsia="仿宋"/>
          <w:sz w:val="32"/>
          <w:szCs w:val="32"/>
        </w:rPr>
        <w:br w:type="textWrapping"/>
      </w:r>
      <w:r>
        <w:rPr>
          <w:rFonts w:hint="eastAsia" w:ascii="仿宋" w:hAnsi="仿宋" w:eastAsia="仿宋"/>
          <w:sz w:val="32"/>
          <w:szCs w:val="32"/>
        </w:rPr>
        <w:t>　　公用经费62.28万元，主要包括：办公费、印刷费、 手续费、水费、电费、邮电费、物业管理费、差旅费、维修（护）费、租赁费、培训费、公务接待费、劳务费、委托业务费、工会经费、福利费、其他交通费用、其他商品和服务支出。</w:t>
      </w:r>
    </w:p>
    <w:p>
      <w:pPr>
        <w:spacing w:line="600" w:lineRule="exact"/>
        <w:ind w:firstLine="640"/>
        <w:outlineLvl w:val="1"/>
        <w:rPr>
          <w:rStyle w:val="37"/>
          <w:rFonts w:ascii="黑体" w:hAnsi="黑体" w:eastAsia="黑体"/>
          <w:b w:val="0"/>
        </w:rPr>
      </w:pPr>
      <w:bookmarkStart w:id="69" w:name="_Toc15396609"/>
      <w:bookmarkStart w:id="70" w:name="_Toc15377215"/>
      <w:bookmarkStart w:id="71" w:name="_Toc143811733"/>
      <w:r>
        <w:rPr>
          <w:rFonts w:hint="eastAsia" w:ascii="黑体" w:eastAsia="黑体"/>
          <w:sz w:val="32"/>
          <w:szCs w:val="32"/>
        </w:rPr>
        <w:t>七、</w:t>
      </w:r>
      <w:r>
        <w:rPr>
          <w:rStyle w:val="37"/>
          <w:rFonts w:hint="eastAsia" w:ascii="黑体" w:hAnsi="黑体" w:eastAsia="黑体"/>
          <w:b w:val="0"/>
        </w:rPr>
        <w:t>财政拨款</w:t>
      </w:r>
      <w:r>
        <w:rPr>
          <w:rStyle w:val="37"/>
          <w:rFonts w:hint="eastAsia" w:ascii="黑体" w:hAnsi="黑体" w:eastAsia="黑体"/>
        </w:rPr>
        <w:t>“</w:t>
      </w:r>
      <w:r>
        <w:rPr>
          <w:rStyle w:val="37"/>
          <w:rFonts w:hint="eastAsia" w:ascii="黑体" w:hAnsi="黑体" w:eastAsia="黑体"/>
          <w:b w:val="0"/>
        </w:rPr>
        <w:t>三公”经费支出决算情况说明</w:t>
      </w:r>
      <w:bookmarkEnd w:id="69"/>
      <w:bookmarkEnd w:id="70"/>
      <w:bookmarkEnd w:id="71"/>
    </w:p>
    <w:p>
      <w:pPr>
        <w:spacing w:line="600" w:lineRule="exact"/>
        <w:ind w:firstLine="640"/>
        <w:outlineLvl w:val="2"/>
        <w:rPr>
          <w:rFonts w:ascii="仿宋" w:hAnsi="仿宋" w:eastAsia="仿宋"/>
          <w:b/>
          <w:sz w:val="32"/>
          <w:szCs w:val="32"/>
        </w:rPr>
      </w:pPr>
      <w:bookmarkStart w:id="72" w:name="_Toc15377216"/>
      <w:bookmarkStart w:id="73" w:name="_Toc143811734"/>
      <w:r>
        <w:rPr>
          <w:rFonts w:hint="eastAsia" w:ascii="仿宋" w:hAnsi="仿宋" w:eastAsia="仿宋"/>
          <w:b/>
          <w:sz w:val="32"/>
          <w:szCs w:val="32"/>
        </w:rPr>
        <w:t>（一）“三公”经费财政拨款支出决算总体情况说明</w:t>
      </w:r>
      <w:bookmarkEnd w:id="72"/>
      <w:bookmarkEnd w:id="7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22年“三公”经费财政拨款支出决算为1.64万元，完成预算100</w:t>
      </w:r>
      <w:r>
        <w:rPr>
          <w:rFonts w:ascii="仿宋" w:hAnsi="仿宋" w:eastAsia="仿宋"/>
          <w:sz w:val="32"/>
          <w:szCs w:val="32"/>
        </w:rPr>
        <w:t>%</w:t>
      </w:r>
      <w:r>
        <w:rPr>
          <w:rFonts w:hint="eastAsia" w:ascii="仿宋" w:hAnsi="仿宋" w:eastAsia="仿宋"/>
          <w:sz w:val="32"/>
          <w:szCs w:val="32"/>
        </w:rPr>
        <w:t>，较上年增加0.15万元，增长10.07%。主要原因是接待工作量比上年有所增加。</w:t>
      </w:r>
    </w:p>
    <w:p>
      <w:pPr>
        <w:spacing w:line="600" w:lineRule="exact"/>
        <w:ind w:firstLine="640"/>
        <w:outlineLvl w:val="2"/>
        <w:rPr>
          <w:rFonts w:ascii="仿宋" w:hAnsi="仿宋" w:eastAsia="仿宋"/>
          <w:b/>
          <w:sz w:val="32"/>
          <w:szCs w:val="32"/>
        </w:rPr>
      </w:pPr>
      <w:bookmarkStart w:id="74" w:name="_Toc15377217"/>
      <w:bookmarkStart w:id="75" w:name="_Toc143811735"/>
      <w:r>
        <w:rPr>
          <w:rFonts w:hint="eastAsia" w:ascii="仿宋" w:hAnsi="仿宋" w:eastAsia="仿宋"/>
          <w:b/>
          <w:sz w:val="32"/>
          <w:szCs w:val="32"/>
        </w:rPr>
        <w:t>（二）“三公”经费财政拨款支出决算具体情况说明</w:t>
      </w:r>
      <w:bookmarkEnd w:id="74"/>
      <w:bookmarkEnd w:id="7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；公务用车购置及运行维护费支出决算0万元，占100</w:t>
      </w:r>
      <w:r>
        <w:rPr>
          <w:rFonts w:ascii="仿宋" w:hAnsi="仿宋" w:eastAsia="仿宋"/>
          <w:sz w:val="32"/>
          <w:szCs w:val="32"/>
        </w:rPr>
        <w:t>%</w:t>
      </w:r>
      <w:r>
        <w:rPr>
          <w:rFonts w:hint="eastAsia" w:ascii="仿宋" w:hAnsi="仿宋" w:eastAsia="仿宋"/>
          <w:sz w:val="32"/>
          <w:szCs w:val="32"/>
        </w:rPr>
        <w:t>；公务接待费支出决算1.64万元，占0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2"/>
        <w:ind w:left="420" w:firstLine="640"/>
        <w:rPr>
          <w:rFonts w:ascii="仿宋" w:hAnsi="仿宋" w:eastAsia="仿宋"/>
          <w:sz w:val="32"/>
        </w:rPr>
      </w:pPr>
      <w:r>
        <w:rPr>
          <w:rFonts w:hint="eastAsia" w:ascii="仿宋" w:hAnsi="仿宋" w:eastAsia="仿宋"/>
          <w:color w:val="000000"/>
          <w:sz w:val="32"/>
        </w:rPr>
        <w:drawing>
          <wp:anchor distT="0" distB="0" distL="114300" distR="114300" simplePos="0" relativeHeight="251663360" behindDoc="0" locked="0" layoutInCell="1" allowOverlap="1">
            <wp:simplePos x="0" y="0"/>
            <wp:positionH relativeFrom="column">
              <wp:posOffset>242570</wp:posOffset>
            </wp:positionH>
            <wp:positionV relativeFrom="paragraph">
              <wp:posOffset>190500</wp:posOffset>
            </wp:positionV>
            <wp:extent cx="5080000" cy="4030345"/>
            <wp:effectExtent l="4445" t="4445" r="20955" b="228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numPr>
          <w:ilvl w:val="0"/>
          <w:numId w:val="0"/>
        </w:numPr>
        <w:ind w:firstLine="643" w:firstLineChars="20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sz w:val="32"/>
          <w:szCs w:val="32"/>
        </w:rPr>
        <w:t>0万元，</w:t>
      </w:r>
      <w:r>
        <w:rPr>
          <w:rStyle w:val="25"/>
          <w:rFonts w:hint="eastAsia" w:ascii="仿宋" w:hAnsi="仿宋" w:eastAsia="仿宋"/>
          <w:b w:val="0"/>
          <w:bCs/>
          <w:sz w:val="32"/>
          <w:szCs w:val="32"/>
        </w:rPr>
        <w:t>完成预算0</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全年安排因公出国（境）团组0次，出国（境）0人。因公出国（境）支出决算与</w:t>
      </w:r>
      <w:r>
        <w:rPr>
          <w:rFonts w:ascii="仿宋" w:hAnsi="仿宋" w:eastAsia="仿宋"/>
          <w:sz w:val="32"/>
          <w:szCs w:val="32"/>
        </w:rPr>
        <w:t>20</w:t>
      </w:r>
      <w:r>
        <w:rPr>
          <w:rFonts w:hint="eastAsia" w:ascii="仿宋" w:hAnsi="仿宋" w:eastAsia="仿宋"/>
          <w:sz w:val="32"/>
          <w:szCs w:val="32"/>
        </w:rPr>
        <w:t>20年</w:t>
      </w:r>
      <w:r>
        <w:rPr>
          <w:rFonts w:hint="eastAsia" w:ascii="仿宋" w:hAnsi="仿宋" w:eastAsia="仿宋"/>
          <w:color w:val="000000"/>
          <w:sz w:val="32"/>
          <w:szCs w:val="32"/>
        </w:rPr>
        <w:t>持平</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0万元,</w:t>
      </w:r>
      <w:r>
        <w:rPr>
          <w:rStyle w:val="25"/>
          <w:rFonts w:hint="eastAsia" w:ascii="仿宋" w:hAnsi="仿宋" w:eastAsia="仿宋"/>
          <w:b w:val="0"/>
          <w:bCs/>
          <w:sz w:val="32"/>
          <w:szCs w:val="32"/>
        </w:rPr>
        <w:t>完成预算0</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20年</w:t>
      </w:r>
      <w:r>
        <w:rPr>
          <w:rFonts w:hint="eastAsia" w:ascii="仿宋" w:hAnsi="仿宋" w:eastAsia="仿宋"/>
          <w:color w:val="000000"/>
          <w:sz w:val="32"/>
          <w:szCs w:val="32"/>
        </w:rPr>
        <w:t>持平。</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_GB2312" w:eastAsia="仿宋_GB2312"/>
          <w:sz w:val="32"/>
          <w:szCs w:val="32"/>
        </w:rPr>
        <w:t>：</w:t>
      </w:r>
      <w:r>
        <w:rPr>
          <w:rFonts w:hint="eastAsia" w:ascii="仿宋_GB2312" w:eastAsia="仿宋_GB2312"/>
          <w:b/>
          <w:sz w:val="32"/>
          <w:szCs w:val="32"/>
        </w:rPr>
        <w:t>公务用车购置支出</w:t>
      </w:r>
      <w:r>
        <w:rPr>
          <w:rFonts w:hint="eastAsia" w:ascii="仿宋" w:hAnsi="仿宋" w:eastAsia="仿宋"/>
          <w:sz w:val="32"/>
          <w:szCs w:val="32"/>
        </w:rPr>
        <w:t>0万元。全年按规定更新购置公务用车0辆，其中：轿车0辆、金额0万元，越野车0辆、金额0万元，载客汽车0辆、金额0万元，主要用于保障全区公务用车正常运行。截至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pPr>
        <w:spacing w:line="600" w:lineRule="exact"/>
        <w:ind w:firstLine="640"/>
        <w:rPr>
          <w:rFonts w:ascii="仿宋" w:hAnsi="仿宋" w:eastAsia="仿宋" w:cs="仿宋"/>
          <w:color w:val="000000"/>
          <w:sz w:val="32"/>
          <w:szCs w:val="32"/>
        </w:rPr>
      </w:pPr>
      <w:r>
        <w:rPr>
          <w:rFonts w:hint="eastAsia" w:ascii="仿宋_GB2312" w:eastAsia="仿宋_GB2312"/>
          <w:b/>
          <w:sz w:val="32"/>
          <w:szCs w:val="32"/>
        </w:rPr>
        <w:t>公务用车运行维护费支出</w:t>
      </w:r>
      <w:r>
        <w:rPr>
          <w:rFonts w:hint="eastAsia" w:ascii="仿宋" w:hAnsi="仿宋" w:eastAsia="仿宋"/>
          <w:sz w:val="32"/>
          <w:szCs w:val="32"/>
        </w:rPr>
        <w:t>0万元。主要用于</w:t>
      </w:r>
      <w:r>
        <w:rPr>
          <w:rFonts w:hint="eastAsia" w:ascii="仿宋" w:hAnsi="仿宋" w:eastAsia="仿宋" w:cs="仿宋"/>
          <w:color w:val="000000"/>
          <w:sz w:val="32"/>
          <w:szCs w:val="32"/>
        </w:rPr>
        <w:t>应急保障、机关运行等所需的公务用车燃料费、维修费、过路过桥费、保险费等支出。</w:t>
      </w:r>
    </w:p>
    <w:p>
      <w:pPr>
        <w:spacing w:line="600" w:lineRule="exact"/>
        <w:ind w:firstLine="640"/>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1.64万元，</w:t>
      </w:r>
      <w:r>
        <w:rPr>
          <w:rStyle w:val="25"/>
          <w:rFonts w:hint="eastAsia" w:ascii="仿宋" w:hAnsi="仿宋" w:eastAsia="仿宋"/>
          <w:b w:val="0"/>
          <w:bCs/>
          <w:sz w:val="32"/>
          <w:szCs w:val="32"/>
        </w:rPr>
        <w:t>完成预算100</w:t>
      </w:r>
      <w:r>
        <w:rPr>
          <w:rStyle w:val="25"/>
          <w:rFonts w:ascii="仿宋" w:hAnsi="仿宋" w:eastAsia="仿宋"/>
          <w:b w:val="0"/>
          <w:bCs/>
          <w:sz w:val="32"/>
          <w:szCs w:val="32"/>
        </w:rPr>
        <w:t>%</w:t>
      </w:r>
      <w:r>
        <w:rPr>
          <w:rStyle w:val="25"/>
          <w:rFonts w:hint="eastAsia" w:ascii="仿宋" w:hAnsi="仿宋" w:eastAsia="仿宋"/>
          <w:b w:val="0"/>
          <w:bCs/>
          <w:sz w:val="32"/>
          <w:szCs w:val="32"/>
        </w:rPr>
        <w:t>。</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21年增加0.15万元，增长10.07</w:t>
      </w:r>
      <w:r>
        <w:rPr>
          <w:rFonts w:ascii="仿宋" w:hAnsi="仿宋" w:eastAsia="仿宋"/>
          <w:sz w:val="32"/>
          <w:szCs w:val="32"/>
        </w:rPr>
        <w:t>%</w:t>
      </w:r>
      <w:r>
        <w:rPr>
          <w:rFonts w:hint="eastAsia" w:ascii="仿宋" w:hAnsi="仿宋" w:eastAsia="仿宋"/>
          <w:sz w:val="32"/>
          <w:szCs w:val="32"/>
        </w:rPr>
        <w:t>。主要原因是接待工作量比上年有所增加。</w:t>
      </w:r>
    </w:p>
    <w:p>
      <w:pPr>
        <w:spacing w:line="600" w:lineRule="exact"/>
        <w:ind w:firstLine="640"/>
        <w:rPr>
          <w:rFonts w:ascii="仿宋" w:hAnsi="仿宋" w:eastAsia="仿宋"/>
          <w:sz w:val="32"/>
          <w:szCs w:val="32"/>
        </w:rPr>
      </w:pPr>
      <w:r>
        <w:rPr>
          <w:rFonts w:hint="eastAsia" w:ascii="仿宋" w:hAnsi="仿宋" w:eastAsia="仿宋"/>
          <w:b/>
          <w:sz w:val="32"/>
          <w:szCs w:val="32"/>
        </w:rPr>
        <w:t>国内公务接待支出</w:t>
      </w:r>
      <w:r>
        <w:rPr>
          <w:rFonts w:hint="eastAsia" w:ascii="仿宋" w:hAnsi="仿宋" w:eastAsia="仿宋"/>
          <w:sz w:val="32"/>
          <w:szCs w:val="32"/>
        </w:rPr>
        <w:t>1.64万元。</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w:t>
      </w:r>
      <w:bookmarkStart w:id="76" w:name="_Toc15396610"/>
      <w:bookmarkStart w:id="77" w:name="_Toc15377218"/>
    </w:p>
    <w:p>
      <w:pPr>
        <w:spacing w:line="600" w:lineRule="exact"/>
        <w:ind w:firstLine="640"/>
        <w:outlineLvl w:val="1"/>
        <w:rPr>
          <w:rStyle w:val="37"/>
          <w:rFonts w:ascii="黑体" w:hAnsi="黑体" w:eastAsia="黑体"/>
        </w:rPr>
      </w:pPr>
      <w:bookmarkStart w:id="78" w:name="_Toc143811736"/>
      <w:r>
        <w:rPr>
          <w:rFonts w:hint="eastAsia" w:ascii="黑体" w:eastAsia="黑体"/>
          <w:sz w:val="32"/>
          <w:szCs w:val="32"/>
        </w:rPr>
        <w:t>八、</w:t>
      </w:r>
      <w:r>
        <w:rPr>
          <w:rStyle w:val="37"/>
          <w:rFonts w:hint="eastAsia" w:ascii="黑体" w:hAnsi="黑体" w:eastAsia="黑体"/>
          <w:b w:val="0"/>
        </w:rPr>
        <w:t>政府性基金预算支出决算情况说明</w:t>
      </w:r>
      <w:bookmarkEnd w:id="76"/>
      <w:bookmarkEnd w:id="77"/>
      <w:bookmarkEnd w:id="7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22年政府性基金预算财政拨款支出101.01万元。</w:t>
      </w:r>
    </w:p>
    <w:p>
      <w:pPr>
        <w:spacing w:line="600" w:lineRule="exact"/>
        <w:ind w:firstLine="640"/>
        <w:rPr>
          <w:rFonts w:ascii="仿宋_GB2312" w:eastAsia="仿宋_GB2312"/>
          <w:sz w:val="32"/>
          <w:szCs w:val="32"/>
        </w:rPr>
      </w:pPr>
    </w:p>
    <w:p>
      <w:pPr>
        <w:numPr>
          <w:ilvl w:val="0"/>
          <w:numId w:val="5"/>
        </w:numPr>
        <w:spacing w:line="600" w:lineRule="exact"/>
        <w:ind w:firstLine="640"/>
        <w:outlineLvl w:val="1"/>
        <w:rPr>
          <w:rStyle w:val="37"/>
          <w:rFonts w:ascii="黑体" w:hAnsi="黑体" w:eastAsia="黑体"/>
          <w:b w:val="0"/>
        </w:rPr>
      </w:pPr>
      <w:bookmarkStart w:id="79" w:name="_Toc15377219"/>
      <w:bookmarkStart w:id="80" w:name="_Toc15396611"/>
      <w:bookmarkStart w:id="81" w:name="_Toc143811737"/>
      <w:r>
        <w:rPr>
          <w:rStyle w:val="37"/>
          <w:rFonts w:hint="eastAsia" w:ascii="黑体" w:hAnsi="黑体" w:eastAsia="黑体"/>
          <w:b w:val="0"/>
        </w:rPr>
        <w:t>国有资本经营预算支出决算情况说明</w:t>
      </w:r>
      <w:bookmarkEnd w:id="79"/>
      <w:bookmarkEnd w:id="80"/>
      <w:bookmarkEnd w:id="8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5"/>
        </w:numPr>
        <w:spacing w:line="600" w:lineRule="exact"/>
        <w:ind w:firstLine="640"/>
        <w:outlineLvl w:val="1"/>
        <w:rPr>
          <w:rStyle w:val="37"/>
          <w:rFonts w:ascii="黑体" w:hAnsi="黑体" w:eastAsia="黑体"/>
          <w:b w:val="0"/>
        </w:rPr>
      </w:pPr>
      <w:bookmarkStart w:id="82" w:name="_Toc15377221"/>
      <w:bookmarkStart w:id="83" w:name="_Toc15396612"/>
      <w:bookmarkStart w:id="84" w:name="_Toc143811738"/>
      <w:r>
        <w:rPr>
          <w:rStyle w:val="37"/>
          <w:rFonts w:hint="eastAsia" w:ascii="黑体" w:hAnsi="黑体" w:eastAsia="黑体"/>
          <w:b w:val="0"/>
        </w:rPr>
        <w:t>其他重要事项的情况说明</w:t>
      </w:r>
      <w:bookmarkEnd w:id="82"/>
      <w:bookmarkEnd w:id="83"/>
      <w:bookmarkEnd w:id="84"/>
    </w:p>
    <w:p>
      <w:pPr>
        <w:spacing w:line="600" w:lineRule="exact"/>
        <w:ind w:firstLine="643" w:firstLineChars="200"/>
        <w:outlineLvl w:val="2"/>
        <w:rPr>
          <w:rFonts w:ascii="仿宋" w:hAnsi="仿宋" w:eastAsia="仿宋"/>
          <w:sz w:val="32"/>
          <w:szCs w:val="32"/>
        </w:rPr>
      </w:pPr>
      <w:bookmarkStart w:id="85" w:name="_Toc15377222"/>
      <w:bookmarkStart w:id="86" w:name="_Toc143811739"/>
      <w:r>
        <w:rPr>
          <w:rFonts w:hint="eastAsia" w:ascii="仿宋" w:hAnsi="仿宋" w:eastAsia="仿宋"/>
          <w:b/>
          <w:sz w:val="32"/>
          <w:szCs w:val="32"/>
        </w:rPr>
        <w:t>（一）机关运行经费支出情况</w:t>
      </w:r>
      <w:bookmarkEnd w:id="85"/>
      <w:bookmarkEnd w:id="8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22年，人力资源和社会保障局机关运行经费支出62.28万元，比</w:t>
      </w:r>
      <w:r>
        <w:rPr>
          <w:rFonts w:ascii="仿宋" w:hAnsi="仿宋" w:eastAsia="仿宋"/>
          <w:sz w:val="32"/>
          <w:szCs w:val="32"/>
        </w:rPr>
        <w:t>20</w:t>
      </w:r>
      <w:r>
        <w:rPr>
          <w:rFonts w:hint="eastAsia" w:ascii="仿宋" w:hAnsi="仿宋" w:eastAsia="仿宋"/>
          <w:sz w:val="32"/>
          <w:szCs w:val="32"/>
        </w:rPr>
        <w:t>21年增加35.55万元，增长133</w:t>
      </w:r>
      <w:r>
        <w:rPr>
          <w:rFonts w:ascii="仿宋" w:hAnsi="仿宋" w:eastAsia="仿宋"/>
          <w:sz w:val="32"/>
          <w:szCs w:val="32"/>
        </w:rPr>
        <w:t>%</w:t>
      </w:r>
      <w:r>
        <w:rPr>
          <w:rFonts w:hint="eastAsia" w:ascii="仿宋" w:hAnsi="仿宋" w:eastAsia="仿宋"/>
          <w:sz w:val="32"/>
          <w:szCs w:val="32"/>
        </w:rPr>
        <w:t>。主要原因是单位工作量有所增加。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7" w:name="_Toc15377223"/>
      <w:bookmarkStart w:id="88" w:name="_Toc143811740"/>
      <w:r>
        <w:rPr>
          <w:rFonts w:hint="eastAsia" w:ascii="仿宋" w:hAnsi="仿宋" w:eastAsia="仿宋"/>
          <w:b/>
          <w:sz w:val="32"/>
          <w:szCs w:val="32"/>
        </w:rPr>
        <w:t>（二）政府采购支出情况</w:t>
      </w:r>
      <w:bookmarkEnd w:id="87"/>
      <w:bookmarkEnd w:id="8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22年，人力资源和社会保障局政府采购支出总额0万元，其中：政府采购货物支出0万元、政府采购工程支出</w:t>
      </w:r>
      <w:r>
        <w:rPr>
          <w:rFonts w:hint="eastAsia" w:ascii="仿宋_GB2312" w:eastAsia="仿宋_GB2312"/>
          <w:sz w:val="32"/>
          <w:szCs w:val="32"/>
        </w:rPr>
        <w:t>0</w:t>
      </w:r>
      <w:r>
        <w:rPr>
          <w:rFonts w:hint="eastAsia" w:ascii="仿宋" w:hAnsi="仿宋" w:eastAsia="仿宋"/>
          <w:sz w:val="32"/>
          <w:szCs w:val="32"/>
        </w:rPr>
        <w:t>万元、政府采购服务支出0万元。授予中小企业合同金额99.48万元，占政府采购支出总额的0</w:t>
      </w:r>
      <w:r>
        <w:rPr>
          <w:rFonts w:ascii="仿宋" w:hAnsi="仿宋" w:eastAsia="仿宋"/>
          <w:sz w:val="32"/>
          <w:szCs w:val="32"/>
        </w:rPr>
        <w:t>%</w:t>
      </w:r>
      <w:r>
        <w:rPr>
          <w:rFonts w:hint="eastAsia" w:ascii="仿宋" w:hAnsi="仿宋" w:eastAsia="仿宋"/>
          <w:sz w:val="32"/>
          <w:szCs w:val="32"/>
        </w:rPr>
        <w:t>，其中：授予小微企业合同金额0万元，占政府采购支出总额的0</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9" w:name="_Toc15377224"/>
      <w:bookmarkStart w:id="90" w:name="_Toc143811741"/>
      <w:r>
        <w:rPr>
          <w:rFonts w:hint="eastAsia" w:ascii="仿宋" w:hAnsi="仿宋" w:eastAsia="仿宋"/>
          <w:b/>
          <w:sz w:val="32"/>
          <w:szCs w:val="32"/>
        </w:rPr>
        <w:t>（三）国有资产占有使用情况</w:t>
      </w:r>
      <w:bookmarkEnd w:id="89"/>
      <w:bookmarkEnd w:id="90"/>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日，人力资源和社会保障局共有车辆0，其中：主要领导干部用车0辆、机要通信用车0辆、应急保障用车0辆、其他用车0辆。单价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1" w:name="_Toc143811742"/>
      <w:r>
        <w:rPr>
          <w:rFonts w:hint="eastAsia" w:ascii="仿宋" w:hAnsi="仿宋" w:eastAsia="仿宋"/>
          <w:b/>
          <w:sz w:val="32"/>
          <w:szCs w:val="32"/>
        </w:rPr>
        <w:t>（四）预算绩效管理情况</w:t>
      </w:r>
      <w:bookmarkEnd w:id="91"/>
    </w:p>
    <w:p>
      <w:pPr>
        <w:widowControl/>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预算绩效管理要求，本部门在2022年度预算编制阶段，组织对基层就业和社会保障服务设施建设项目、劳动保障、监督、监察经费、仲裁工作经费、人事档案管理费、人事考试考务费等5个项目开展了预算事前绩效评估，对5个项目编制了绩效目标，预算执行过程中，选取5个项目开展绩效监控。</w:t>
      </w:r>
    </w:p>
    <w:p>
      <w:pPr>
        <w:widowControl/>
        <w:ind w:firstLine="640" w:firstLineChars="200"/>
        <w:jc w:val="left"/>
        <w:rPr>
          <w:rFonts w:ascii="仿宋" w:hAnsi="仿宋" w:eastAsia="仿宋"/>
          <w:b/>
          <w:sz w:val="32"/>
          <w:szCs w:val="32"/>
        </w:rPr>
      </w:pPr>
      <w:r>
        <w:rPr>
          <w:rFonts w:hint="eastAsia" w:ascii="仿宋" w:hAnsi="仿宋" w:eastAsia="仿宋" w:cs="仿宋_GB2312"/>
          <w:sz w:val="32"/>
          <w:szCs w:val="32"/>
        </w:rPr>
        <w:t>组织对2022年度一般公共预算、政府性基金预算、国有资本经营预算、社会保险基金预算以及资本资产、债券资金等全面开展绩效自评，形成</w:t>
      </w:r>
      <w:r>
        <w:rPr>
          <w:rFonts w:hint="eastAsia" w:ascii="仿宋" w:hAnsi="仿宋" w:eastAsia="仿宋"/>
          <w:sz w:val="32"/>
          <w:szCs w:val="32"/>
        </w:rPr>
        <w:t>人力资源和社会保障局</w:t>
      </w:r>
      <w:r>
        <w:rPr>
          <w:rFonts w:hint="eastAsia" w:ascii="仿宋" w:hAnsi="仿宋" w:eastAsia="仿宋" w:cs="仿宋_GB2312"/>
          <w:sz w:val="32"/>
          <w:szCs w:val="32"/>
        </w:rPr>
        <w:t>部门整体（含部门预算项目）绩效自评报告、基层就业和社会保障服务设施建设项目、劳动保障、监督、监察经费、仲裁工作经费、人事档案管理费、人事考试考务费等专项预算项目绩效自评报告，其中，部门整体（含部门预算项目）绩效自评得分为90分。</w:t>
      </w:r>
      <w:bookmarkStart w:id="92" w:name="_Toc15396613"/>
      <w:bookmarkStart w:id="93" w:name="_Toc15377225"/>
    </w:p>
    <w:p>
      <w:pPr>
        <w:widowControl/>
        <w:ind w:firstLine="643" w:firstLineChars="200"/>
        <w:jc w:val="left"/>
        <w:rPr>
          <w:rFonts w:ascii="仿宋" w:hAnsi="仿宋" w:eastAsia="仿宋"/>
          <w:b/>
          <w:sz w:val="32"/>
          <w:szCs w:val="32"/>
        </w:rPr>
      </w:pPr>
    </w:p>
    <w:p>
      <w:pPr>
        <w:widowControl/>
        <w:ind w:firstLine="883" w:firstLineChars="200"/>
        <w:jc w:val="center"/>
        <w:rPr>
          <w:rFonts w:ascii="黑体" w:hAnsi="黑体" w:eastAsia="黑体"/>
          <w:b/>
          <w:sz w:val="32"/>
          <w:szCs w:val="32"/>
        </w:rPr>
      </w:pPr>
      <w:r>
        <w:rPr>
          <w:rFonts w:hint="eastAsia" w:ascii="黑体" w:hAnsi="黑体" w:eastAsia="黑体"/>
          <w:b/>
          <w:sz w:val="44"/>
          <w:szCs w:val="44"/>
        </w:rPr>
        <w:t xml:space="preserve">第三部分 </w:t>
      </w:r>
      <w:r>
        <w:rPr>
          <w:rFonts w:hint="eastAsia" w:ascii="黑体" w:hAnsi="黑体" w:eastAsia="黑体"/>
          <w:sz w:val="44"/>
          <w:szCs w:val="44"/>
        </w:rPr>
        <w:t>名</w:t>
      </w:r>
      <w:r>
        <w:rPr>
          <w:rStyle w:val="36"/>
          <w:rFonts w:hint="eastAsia" w:ascii="黑体" w:hAnsi="黑体" w:eastAsia="黑体"/>
          <w:b w:val="0"/>
        </w:rPr>
        <w:t>词解释</w:t>
      </w:r>
      <w:bookmarkEnd w:id="92"/>
      <w:bookmarkEnd w:id="93"/>
    </w:p>
    <w:p>
      <w:pPr>
        <w:pStyle w:val="34"/>
        <w:numPr>
          <w:ilvl w:val="0"/>
          <w:numId w:val="6"/>
        </w:numPr>
        <w:spacing w:line="560" w:lineRule="exact"/>
        <w:ind w:firstLine="640" w:firstLineChars="200"/>
        <w:rPr>
          <w:rFonts w:hAnsi="仿宋"/>
          <w:color w:val="auto"/>
          <w:sz w:val="32"/>
          <w:szCs w:val="32"/>
        </w:rPr>
      </w:pPr>
      <w:r>
        <w:rPr>
          <w:rFonts w:hint="eastAsia" w:hAnsi="仿宋"/>
          <w:color w:val="auto"/>
          <w:sz w:val="32"/>
          <w:szCs w:val="32"/>
        </w:rPr>
        <w:t>财政拨款收入：指单位从同级财政部门取得的财政预算资金。</w:t>
      </w:r>
    </w:p>
    <w:p>
      <w:pPr>
        <w:pStyle w:val="34"/>
        <w:numPr>
          <w:ilvl w:val="0"/>
          <w:numId w:val="6"/>
        </w:numPr>
        <w:spacing w:line="560" w:lineRule="exact"/>
        <w:ind w:firstLine="640" w:firstLineChars="200"/>
        <w:rPr>
          <w:rFonts w:hAnsi="仿宋"/>
          <w:color w:val="auto"/>
          <w:sz w:val="32"/>
          <w:szCs w:val="32"/>
        </w:rPr>
      </w:pPr>
      <w:r>
        <w:rPr>
          <w:rFonts w:hint="eastAsia" w:hAnsi="仿宋"/>
          <w:color w:val="auto"/>
          <w:sz w:val="32"/>
          <w:szCs w:val="32"/>
        </w:rPr>
        <w:t>政府性基金收入：指各级政府及其所属部门根据法律、行政法规规定并经国务院或财政部批准，向公民、法人和其他组织征收的政府性基金，以及参照政府性基金管理或纳入基金预算、具有特定用途的财政资金。</w:t>
      </w:r>
    </w:p>
    <w:p>
      <w:pPr>
        <w:pStyle w:val="34"/>
        <w:spacing w:line="560" w:lineRule="exact"/>
        <w:ind w:firstLine="640" w:firstLineChars="200"/>
        <w:rPr>
          <w:rFonts w:hAnsi="仿宋"/>
          <w:color w:val="auto"/>
          <w:sz w:val="32"/>
          <w:szCs w:val="32"/>
        </w:rPr>
      </w:pPr>
      <w:r>
        <w:rPr>
          <w:rFonts w:hint="eastAsia" w:hAnsi="仿宋"/>
          <w:color w:val="auto"/>
          <w:sz w:val="32"/>
          <w:szCs w:val="32"/>
        </w:rPr>
        <w:t>3</w:t>
      </w:r>
      <w:r>
        <w:rPr>
          <w:rFonts w:hAnsi="仿宋"/>
          <w:color w:val="auto"/>
          <w:sz w:val="32"/>
          <w:szCs w:val="32"/>
        </w:rPr>
        <w:t>.</w:t>
      </w:r>
      <w:r>
        <w:rPr>
          <w:rFonts w:hint="eastAsia" w:hAnsi="仿宋"/>
          <w:color w:val="auto"/>
          <w:sz w:val="32"/>
          <w:szCs w:val="32"/>
        </w:rPr>
        <w:t>事业收入：指事业单位开展专业业务活动及辅助活动取得的收入。如…（二级预算单位事业收入情况）等。</w:t>
      </w:r>
    </w:p>
    <w:p>
      <w:pPr>
        <w:pStyle w:val="34"/>
        <w:spacing w:line="560" w:lineRule="exact"/>
        <w:ind w:firstLine="640" w:firstLineChars="200"/>
        <w:rPr>
          <w:rFonts w:hAnsi="仿宋"/>
          <w:color w:val="auto"/>
          <w:sz w:val="32"/>
          <w:szCs w:val="32"/>
        </w:rPr>
      </w:pPr>
      <w:r>
        <w:rPr>
          <w:rFonts w:hint="eastAsia" w:hAnsi="仿宋"/>
          <w:color w:val="auto"/>
          <w:sz w:val="32"/>
          <w:szCs w:val="32"/>
        </w:rPr>
        <w:t>4</w:t>
      </w:r>
      <w:r>
        <w:rPr>
          <w:rFonts w:hAnsi="仿宋"/>
          <w:color w:val="auto"/>
          <w:sz w:val="32"/>
          <w:szCs w:val="32"/>
        </w:rPr>
        <w:t>.</w:t>
      </w:r>
      <w:r>
        <w:rPr>
          <w:rFonts w:hint="eastAsia" w:hAnsi="仿宋"/>
          <w:color w:val="auto"/>
          <w:sz w:val="32"/>
          <w:szCs w:val="32"/>
        </w:rPr>
        <w:t>经营收入：指事业单位在专业业务活动及其辅助活动之外开展非独立核算经营活动取得的收入。如…（二级预算单位经营收入情况）等。</w:t>
      </w:r>
    </w:p>
    <w:p>
      <w:pPr>
        <w:pStyle w:val="34"/>
        <w:spacing w:line="560" w:lineRule="exact"/>
        <w:ind w:firstLine="640" w:firstLineChars="200"/>
        <w:rPr>
          <w:rFonts w:hAnsi="仿宋"/>
          <w:color w:val="auto"/>
          <w:sz w:val="32"/>
          <w:szCs w:val="32"/>
        </w:rPr>
      </w:pPr>
      <w:r>
        <w:rPr>
          <w:rFonts w:hint="eastAsia" w:hAnsi="仿宋"/>
          <w:color w:val="auto"/>
          <w:sz w:val="32"/>
          <w:szCs w:val="32"/>
        </w:rPr>
        <w:t>5</w:t>
      </w:r>
      <w:r>
        <w:rPr>
          <w:rFonts w:hAnsi="仿宋"/>
          <w:color w:val="auto"/>
          <w:sz w:val="32"/>
          <w:szCs w:val="32"/>
        </w:rPr>
        <w:t>.</w:t>
      </w:r>
      <w:r>
        <w:rPr>
          <w:rFonts w:hint="eastAsia" w:hAnsi="仿宋"/>
          <w:color w:val="auto"/>
          <w:sz w:val="32"/>
          <w:szCs w:val="32"/>
        </w:rPr>
        <w:t>其他收入：指单位取得的除上述收入以外的各项收入。主要是…（收入类型）等。</w:t>
      </w:r>
    </w:p>
    <w:p>
      <w:pPr>
        <w:pStyle w:val="34"/>
        <w:spacing w:line="560" w:lineRule="exact"/>
        <w:ind w:firstLine="640" w:firstLineChars="200"/>
        <w:rPr>
          <w:rFonts w:hAnsi="仿宋"/>
          <w:color w:val="auto"/>
          <w:sz w:val="32"/>
          <w:szCs w:val="32"/>
        </w:rPr>
      </w:pPr>
      <w:r>
        <w:rPr>
          <w:rFonts w:hint="eastAsia" w:hAnsi="仿宋"/>
          <w:color w:val="auto"/>
          <w:sz w:val="32"/>
          <w:szCs w:val="32"/>
        </w:rPr>
        <w:t>6</w:t>
      </w:r>
      <w:r>
        <w:rPr>
          <w:rFonts w:hAnsi="仿宋"/>
          <w:color w:val="auto"/>
          <w:sz w:val="32"/>
          <w:szCs w:val="32"/>
        </w:rPr>
        <w:t>.</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34"/>
        <w:spacing w:line="560" w:lineRule="exact"/>
        <w:ind w:firstLine="640" w:firstLineChars="200"/>
        <w:rPr>
          <w:rFonts w:hAnsi="仿宋"/>
          <w:color w:val="auto"/>
          <w:sz w:val="32"/>
          <w:szCs w:val="32"/>
        </w:rPr>
      </w:pPr>
      <w:r>
        <w:rPr>
          <w:rFonts w:hint="eastAsia" w:hAnsi="仿宋"/>
          <w:color w:val="auto"/>
          <w:sz w:val="32"/>
          <w:szCs w:val="32"/>
        </w:rPr>
        <w:t>7</w:t>
      </w:r>
      <w:r>
        <w:rPr>
          <w:rFonts w:hAnsi="仿宋"/>
          <w:color w:val="auto"/>
          <w:sz w:val="32"/>
          <w:szCs w:val="32"/>
        </w:rPr>
        <w:t>.</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34"/>
        <w:spacing w:line="560" w:lineRule="exact"/>
        <w:ind w:firstLine="640" w:firstLineChars="200"/>
        <w:rPr>
          <w:rFonts w:hAnsi="仿宋"/>
          <w:color w:val="auto"/>
          <w:sz w:val="32"/>
          <w:szCs w:val="32"/>
        </w:rPr>
      </w:pPr>
      <w:r>
        <w:rPr>
          <w:rFonts w:hint="eastAsia" w:hAnsi="仿宋"/>
          <w:color w:val="auto"/>
          <w:sz w:val="32"/>
          <w:szCs w:val="32"/>
        </w:rPr>
        <w:t>8</w:t>
      </w:r>
      <w:r>
        <w:rPr>
          <w:rFonts w:hAnsi="仿宋"/>
          <w:color w:val="auto"/>
          <w:sz w:val="32"/>
          <w:szCs w:val="32"/>
        </w:rPr>
        <w:t>.</w:t>
      </w:r>
      <w:r>
        <w:rPr>
          <w:rFonts w:hint="eastAsia" w:hAnsi="仿宋"/>
          <w:color w:val="auto"/>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hAnsi="仿宋"/>
          <w:color w:val="auto"/>
          <w:sz w:val="32"/>
          <w:szCs w:val="32"/>
        </w:rPr>
      </w:pPr>
      <w:r>
        <w:rPr>
          <w:rFonts w:hint="eastAsia" w:hAnsi="仿宋"/>
          <w:color w:val="auto"/>
          <w:sz w:val="32"/>
          <w:szCs w:val="32"/>
        </w:rPr>
        <w:t>9.年末结转和结余：指单位按有关规定结转到下年或以后年度继续使用的资金。</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10.社会保障和就业208（类）01（款）01（项）：指行政单位（包括实行公务员管理的事业单位）的基本支出。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11.社会保障和就业208（类）01（款）02（项）：指行政单位（包括实行公务员管理的事业单位）未单独设置项级科目的其他项目支出。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12.社会保障和就业208（类）01（款）05（项）：指劳动保障监察事务支出。</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13.社会保障和就业208（类）01（款）12（项）：指仲裁机构实体化建设、办案经费、调解仲裁能力建设等支出。</w:t>
      </w:r>
    </w:p>
    <w:p>
      <w:pPr>
        <w:pStyle w:val="6"/>
        <w:numPr>
          <w:ilvl w:val="0"/>
          <w:numId w:val="0"/>
        </w:numPr>
        <w:ind w:firstLine="320" w:firstLineChars="100"/>
        <w:rPr>
          <w:rFonts w:ascii="仿宋" w:hAnsi="仿宋" w:eastAsia="仿宋" w:cs="仿宋"/>
          <w:color w:val="000000"/>
          <w:sz w:val="32"/>
          <w:szCs w:val="32"/>
        </w:rPr>
      </w:pPr>
      <w:r>
        <w:rPr>
          <w:rFonts w:hint="eastAsia" w:ascii="仿宋" w:hAnsi="仿宋" w:eastAsia="仿宋" w:cs="仿宋"/>
          <w:color w:val="000000"/>
          <w:sz w:val="32"/>
          <w:szCs w:val="32"/>
        </w:rPr>
        <w:t>14.社会保障和就业208（类）01（款）50（项）：指事业单位的基本支出，不包括行政单位（包括实行公务员管理的事业单位）后勤服务中心、医务室等附属事业单位。</w:t>
      </w:r>
    </w:p>
    <w:p>
      <w:pPr>
        <w:pStyle w:val="6"/>
        <w:numPr>
          <w:ilvl w:val="0"/>
          <w:numId w:val="0"/>
        </w:numPr>
        <w:ind w:left="210" w:leftChars="100"/>
        <w:rPr>
          <w:rFonts w:ascii="仿宋" w:hAnsi="仿宋" w:eastAsia="仿宋" w:cs="仿宋_GB2312"/>
          <w:color w:val="000000"/>
          <w:sz w:val="32"/>
          <w:szCs w:val="32"/>
        </w:rPr>
      </w:pPr>
      <w:r>
        <w:rPr>
          <w:rFonts w:hint="eastAsia" w:ascii="仿宋" w:hAnsi="仿宋" w:eastAsia="仿宋" w:cs="仿宋"/>
          <w:color w:val="000000"/>
          <w:sz w:val="32"/>
          <w:szCs w:val="32"/>
        </w:rPr>
        <w:t>15社会保障和就业208（类）01（款）99（项）：</w:t>
      </w:r>
      <w:r>
        <w:rPr>
          <w:rFonts w:hint="eastAsia" w:ascii="仿宋" w:hAnsi="仿宋" w:eastAsia="仿宋" w:cs="仿宋_GB2312"/>
          <w:color w:val="000000"/>
          <w:sz w:val="32"/>
          <w:szCs w:val="32"/>
        </w:rPr>
        <w:t>指除了上述项目以外其他用于社会保障和就业方面的支出。</w:t>
      </w:r>
    </w:p>
    <w:p>
      <w:pPr>
        <w:pStyle w:val="6"/>
        <w:numPr>
          <w:ilvl w:val="0"/>
          <w:numId w:val="0"/>
        </w:numPr>
        <w:ind w:left="210" w:leftChars="100"/>
        <w:rPr>
          <w:rFonts w:ascii="仿宋" w:hAnsi="仿宋" w:eastAsia="仿宋" w:cs="仿宋_GB2312"/>
          <w:color w:val="000000"/>
          <w:sz w:val="32"/>
          <w:szCs w:val="32"/>
        </w:rPr>
      </w:pPr>
      <w:r>
        <w:rPr>
          <w:rFonts w:hint="eastAsia" w:ascii="仿宋" w:hAnsi="仿宋" w:eastAsia="仿宋" w:cs="仿宋_GB2312"/>
          <w:color w:val="000000"/>
          <w:sz w:val="32"/>
          <w:szCs w:val="32"/>
        </w:rPr>
        <w:t>16社会保障和就业支出208（类）05（款）05（项）：指机关事业单位实施养老保险制度由单位缴纳的基本养老保险费支出</w:t>
      </w:r>
    </w:p>
    <w:p>
      <w:pPr>
        <w:pStyle w:val="6"/>
        <w:numPr>
          <w:ilvl w:val="0"/>
          <w:numId w:val="0"/>
        </w:numPr>
        <w:ind w:firstLine="320" w:firstLineChars="100"/>
        <w:rPr>
          <w:rFonts w:ascii="仿宋" w:hAnsi="仿宋" w:eastAsia="仿宋" w:cs="仿宋_GB2312"/>
          <w:color w:val="000000"/>
          <w:sz w:val="32"/>
          <w:szCs w:val="32"/>
        </w:rPr>
      </w:pPr>
      <w:r>
        <w:rPr>
          <w:rFonts w:hint="eastAsia" w:ascii="仿宋" w:hAnsi="仿宋" w:eastAsia="仿宋" w:cs="仿宋_GB2312"/>
          <w:color w:val="000000"/>
          <w:sz w:val="32"/>
          <w:szCs w:val="32"/>
        </w:rPr>
        <w:t>17.社会保障和就业支出208（类）07（款）99（项）：指除就业创业服务补贴、职业培训补贴、社会保险补贴、公益性岗位补贴、职业技能鉴定补贴、就业见习补贴、高技能人才培养补助、促进创业补贴以外按规定确定的其他用于促进就业的补助支出。</w:t>
      </w:r>
    </w:p>
    <w:p>
      <w:pPr>
        <w:ind w:firstLine="640" w:firstLineChars="200"/>
        <w:rPr>
          <w:rFonts w:ascii="仿宋" w:hAnsi="仿宋" w:eastAsia="仿宋"/>
          <w:sz w:val="32"/>
          <w:szCs w:val="32"/>
        </w:rPr>
      </w:pPr>
      <w:r>
        <w:rPr>
          <w:rFonts w:hint="eastAsia" w:ascii="仿宋" w:hAnsi="仿宋" w:eastAsia="仿宋" w:cs="仿宋_GB2312"/>
          <w:color w:val="000000"/>
          <w:sz w:val="32"/>
          <w:szCs w:val="32"/>
        </w:rPr>
        <w:t>18.社会保障和就业支出208（类）99（款）99（项）：</w:t>
      </w:r>
      <w:r>
        <w:rPr>
          <w:rStyle w:val="25"/>
          <w:rFonts w:hint="eastAsia" w:ascii="仿宋" w:hAnsi="仿宋" w:eastAsia="仿宋" w:cs="仿宋_GB2312"/>
          <w:b w:val="0"/>
          <w:color w:val="000000"/>
          <w:sz w:val="32"/>
          <w:szCs w:val="32"/>
        </w:rPr>
        <w:t>指除上述项目以外其他用于社会保障和就业方面的支出。</w:t>
      </w:r>
    </w:p>
    <w:p>
      <w:pPr>
        <w:ind w:firstLine="640" w:firstLineChars="200"/>
        <w:rPr>
          <w:rFonts w:ascii="仿宋" w:hAnsi="仿宋" w:eastAsia="仿宋" w:cs="仿宋_GB2312"/>
          <w:color w:val="000000"/>
          <w:sz w:val="32"/>
          <w:szCs w:val="32"/>
        </w:rPr>
      </w:pPr>
      <w:r>
        <w:rPr>
          <w:rFonts w:hint="eastAsia" w:ascii="仿宋" w:hAnsi="仿宋" w:eastAsia="仿宋"/>
          <w:sz w:val="32"/>
          <w:szCs w:val="32"/>
        </w:rPr>
        <w:t>19</w:t>
      </w:r>
      <w:r>
        <w:rPr>
          <w:rFonts w:ascii="仿宋" w:hAnsi="仿宋" w:eastAsia="仿宋"/>
          <w:sz w:val="32"/>
          <w:szCs w:val="32"/>
        </w:rPr>
        <w:t>.</w:t>
      </w:r>
      <w:r>
        <w:rPr>
          <w:rFonts w:hint="eastAsia" w:ascii="仿宋" w:hAnsi="仿宋" w:eastAsia="仿宋" w:cs="仿宋_GB2312"/>
          <w:color w:val="000000"/>
          <w:sz w:val="32"/>
          <w:szCs w:val="32"/>
        </w:rPr>
        <w:t>卫生健康支出210（类）11（款）02（项）：指财政部门安排的事业单位基本医疗保险缴费经费，未参加医疗保险的事业单位的公费医疗经费，按国家规定享受离休人员待遇的医疗经费。</w:t>
      </w:r>
    </w:p>
    <w:p>
      <w:pPr>
        <w:pStyle w:val="6"/>
        <w:numPr>
          <w:ilvl w:val="0"/>
          <w:numId w:val="0"/>
        </w:num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20.卫生健康支出210（类）11（款）01（项）：指行政单位（包括实行公务员管理的事业单位）基本医疗保险缴费经费，未参加医疗保险的行政单位的公费医疗经费，按国家规定享受离休人员、红军老战士待遇人员的医疗经费。</w:t>
      </w:r>
    </w:p>
    <w:p>
      <w:pPr>
        <w:pStyle w:val="6"/>
        <w:numPr>
          <w:ilvl w:val="0"/>
          <w:numId w:val="0"/>
        </w:num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21.卫生健康支出210（类）11（款）03（项）：指财政部门安排的公务员医疗补助经费。</w:t>
      </w:r>
    </w:p>
    <w:p>
      <w:pPr>
        <w:ind w:firstLine="640" w:firstLineChars="200"/>
        <w:rPr>
          <w:rFonts w:ascii="仿宋" w:hAnsi="仿宋" w:eastAsia="仿宋"/>
          <w:sz w:val="32"/>
          <w:szCs w:val="32"/>
        </w:rPr>
      </w:pP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城乡社区212（类）08（款）99（项）：指土地出让收入用于其他方面的支出。不包括市县级政府当年按规定用土地出让收入向中央和省级政府缴纳的新增建设用地土地有偿使用费的支出。</w:t>
      </w:r>
    </w:p>
    <w:p>
      <w:pPr>
        <w:ind w:firstLine="640" w:firstLineChars="200"/>
        <w:rPr>
          <w:rFonts w:ascii="仿宋" w:hAnsi="仿宋" w:eastAsia="仿宋" w:cs="仿宋_GB2312"/>
          <w:color w:val="000000"/>
          <w:sz w:val="32"/>
          <w:szCs w:val="32"/>
        </w:rPr>
      </w:pPr>
      <w:r>
        <w:rPr>
          <w:rFonts w:hint="eastAsia" w:ascii="仿宋" w:hAnsi="仿宋" w:eastAsia="仿宋"/>
          <w:sz w:val="32"/>
          <w:szCs w:val="32"/>
        </w:rPr>
        <w:t>23</w:t>
      </w:r>
      <w:r>
        <w:rPr>
          <w:rFonts w:ascii="仿宋" w:hAnsi="仿宋" w:eastAsia="仿宋"/>
          <w:sz w:val="32"/>
          <w:szCs w:val="32"/>
        </w:rPr>
        <w:t>.</w:t>
      </w:r>
      <w:r>
        <w:rPr>
          <w:rFonts w:hint="eastAsia" w:ascii="仿宋" w:hAnsi="仿宋" w:eastAsia="仿宋" w:cs="仿宋_GB2312"/>
          <w:color w:val="000000"/>
          <w:sz w:val="32"/>
          <w:szCs w:val="32"/>
        </w:rPr>
        <w:t>住房保障支出221（类）02（款）01（项）：指行政事业单位按人力资源和社会保障部、财政部规定的基本工资和津贴补贴以及规定比例为职工缴纳的住房公积金。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24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25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26</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34"/>
        <w:spacing w:line="560" w:lineRule="exact"/>
        <w:ind w:firstLine="640" w:firstLineChars="200"/>
        <w:rPr>
          <w:rFonts w:hAnsi="仿宋"/>
          <w:color w:val="auto"/>
          <w:sz w:val="32"/>
          <w:szCs w:val="32"/>
        </w:rPr>
      </w:pPr>
      <w:r>
        <w:rPr>
          <w:rFonts w:hint="eastAsia" w:hAnsi="仿宋"/>
          <w:color w:val="auto"/>
          <w:sz w:val="32"/>
          <w:szCs w:val="32"/>
        </w:rPr>
        <w:t>27</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hAnsi="仿宋" w:cs="黑体"/>
          <w:color w:val="auto"/>
          <w:sz w:val="32"/>
          <w:szCs w:val="32"/>
        </w:rPr>
      </w:pPr>
      <w:r>
        <w:rPr>
          <w:rFonts w:hint="eastAsia" w:hAnsi="仿宋"/>
          <w:color w:val="auto"/>
          <w:sz w:val="32"/>
          <w:szCs w:val="32"/>
        </w:rPr>
        <w:t>28</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sz w:val="44"/>
          <w:szCs w:val="44"/>
        </w:rPr>
      </w:pPr>
      <w:bookmarkStart w:id="94" w:name="_Toc15377226"/>
    </w:p>
    <w:p>
      <w:pPr>
        <w:spacing w:line="600" w:lineRule="exact"/>
        <w:jc w:val="center"/>
        <w:outlineLvl w:val="0"/>
        <w:rPr>
          <w:rFonts w:ascii="宋体"/>
          <w:b/>
          <w:sz w:val="44"/>
          <w:szCs w:val="44"/>
        </w:rPr>
      </w:pPr>
    </w:p>
    <w:p>
      <w:pPr>
        <w:spacing w:line="600" w:lineRule="exact"/>
        <w:jc w:val="center"/>
        <w:outlineLvl w:val="0"/>
        <w:rPr>
          <w:rFonts w:ascii="宋体"/>
          <w:b/>
          <w:sz w:val="44"/>
          <w:szCs w:val="44"/>
        </w:rPr>
      </w:pPr>
    </w:p>
    <w:p>
      <w:pPr>
        <w:spacing w:line="600" w:lineRule="exact"/>
        <w:jc w:val="center"/>
        <w:outlineLvl w:val="0"/>
        <w:rPr>
          <w:rStyle w:val="36"/>
          <w:rFonts w:ascii="黑体" w:hAnsi="黑体" w:eastAsia="黑体"/>
          <w:b w:val="0"/>
        </w:rPr>
      </w:pPr>
      <w:r>
        <w:rPr>
          <w:rFonts w:ascii="宋体"/>
          <w:b/>
          <w:sz w:val="44"/>
          <w:szCs w:val="44"/>
        </w:rPr>
        <w:br w:type="page"/>
      </w:r>
      <w:bookmarkStart w:id="95" w:name="_Toc15396614"/>
      <w:bookmarkStart w:id="96" w:name="_Toc143811743"/>
      <w:r>
        <w:rPr>
          <w:rFonts w:hint="eastAsia" w:ascii="黑体" w:hAnsi="黑体" w:eastAsia="黑体"/>
          <w:sz w:val="44"/>
          <w:szCs w:val="44"/>
        </w:rPr>
        <w:t>第</w:t>
      </w:r>
      <w:r>
        <w:rPr>
          <w:rStyle w:val="36"/>
          <w:rFonts w:hint="eastAsia" w:ascii="黑体" w:hAnsi="黑体" w:eastAsia="黑体"/>
          <w:b w:val="0"/>
        </w:rPr>
        <w:t>四部分 附件</w:t>
      </w:r>
      <w:bookmarkEnd w:id="95"/>
      <w:bookmarkEnd w:id="96"/>
    </w:p>
    <w:p>
      <w:pPr>
        <w:spacing w:line="572" w:lineRule="exact"/>
        <w:jc w:val="left"/>
        <w:outlineLvl w:val="0"/>
        <w:rPr>
          <w:rFonts w:ascii="方正小标宋简体" w:hAnsi="方正小标宋简体" w:eastAsia="黑体" w:cs="方正小标宋简体"/>
          <w:sz w:val="44"/>
          <w:szCs w:val="44"/>
        </w:rPr>
      </w:pPr>
      <w:bookmarkStart w:id="97" w:name="_Toc143811744"/>
      <w:r>
        <w:rPr>
          <w:rFonts w:hint="eastAsia" w:ascii="黑体" w:hAnsi="黑体" w:eastAsia="黑体" w:cs="黑体"/>
          <w:sz w:val="32"/>
          <w:szCs w:val="32"/>
        </w:rPr>
        <w:t>附件1</w:t>
      </w:r>
      <w:bookmarkEnd w:id="97"/>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2022年部门整体绩效评价报告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pStyle w:val="2"/>
        <w:ind w:firstLine="640" w:firstLineChars="200"/>
        <w:rPr>
          <w:rFonts w:ascii="黑体" w:eastAsia="黑体"/>
          <w:b w:val="0"/>
          <w:lang w:val="zh-CN"/>
        </w:rPr>
      </w:pPr>
      <w:bookmarkStart w:id="98" w:name="_Toc143811745"/>
      <w:r>
        <w:rPr>
          <w:rFonts w:hint="eastAsia" w:ascii="黑体" w:eastAsia="黑体"/>
          <w:b w:val="0"/>
        </w:rPr>
        <w:t>一、</w:t>
      </w:r>
      <w:r>
        <w:rPr>
          <w:rFonts w:hint="eastAsia" w:ascii="黑体" w:eastAsia="黑体"/>
          <w:b w:val="0"/>
          <w:lang w:val="zh-CN"/>
        </w:rPr>
        <w:t>部门（单位）概况</w:t>
      </w:r>
      <w:bookmarkEnd w:id="98"/>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99" w:name="_Toc143811746"/>
      <w:r>
        <w:rPr>
          <w:rFonts w:hint="eastAsia" w:ascii="仿宋" w:hAnsi="仿宋" w:eastAsia="仿宋"/>
          <w:b/>
          <w:sz w:val="32"/>
          <w:szCs w:val="32"/>
          <w:lang w:val="zh-CN"/>
        </w:rPr>
        <w:t>（一）机构组成。</w:t>
      </w:r>
      <w:bookmarkEnd w:id="99"/>
    </w:p>
    <w:p>
      <w:pPr>
        <w:autoSpaceDE w:val="0"/>
        <w:autoSpaceDN w:val="0"/>
        <w:adjustRightInd w:val="0"/>
        <w:spacing w:line="600" w:lineRule="exact"/>
        <w:ind w:firstLine="960" w:firstLineChars="300"/>
        <w:jc w:val="left"/>
        <w:outlineLvl w:val="2"/>
        <w:rPr>
          <w:rFonts w:ascii="仿宋" w:hAnsi="仿宋" w:eastAsia="仿宋"/>
          <w:b/>
          <w:sz w:val="32"/>
          <w:szCs w:val="32"/>
          <w:lang w:val="zh-CN"/>
        </w:rPr>
      </w:pPr>
      <w:bookmarkStart w:id="100" w:name="_Toc143811747"/>
      <w:r>
        <w:rPr>
          <w:rFonts w:ascii="仿宋" w:hAnsi="仿宋" w:eastAsia="仿宋"/>
          <w:color w:val="000000" w:themeColor="text1"/>
          <w:sz w:val="32"/>
          <w:szCs w:val="32"/>
          <w14:textFill>
            <w14:solidFill>
              <w14:schemeClr w14:val="tx1"/>
            </w14:solidFill>
          </w14:textFill>
        </w:rPr>
        <w:t>人社局下属二级单位</w:t>
      </w: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个，其中：参照公务员法管理的事业单位2个。</w:t>
      </w:r>
      <w:r>
        <w:rPr>
          <w:rFonts w:ascii="仿宋" w:hAnsi="仿宋" w:eastAsia="仿宋"/>
          <w:color w:val="000000" w:themeColor="text1"/>
          <w:sz w:val="32"/>
          <w:szCs w:val="32"/>
          <w:shd w:val="clear" w:color="auto" w:fill="FFFFFF"/>
          <w14:textFill>
            <w14:solidFill>
              <w14:schemeClr w14:val="tx1"/>
            </w14:solidFill>
          </w14:textFill>
        </w:rPr>
        <w:t>局机关内设</w:t>
      </w:r>
      <w:r>
        <w:rPr>
          <w:rFonts w:ascii="仿宋" w:hAnsi="仿宋" w:eastAsia="仿宋"/>
          <w:color w:val="000000" w:themeColor="text1"/>
          <w:sz w:val="32"/>
          <w:szCs w:val="32"/>
          <w14:textFill>
            <w14:solidFill>
              <w14:schemeClr w14:val="tx1"/>
            </w14:solidFill>
          </w14:textFill>
        </w:rPr>
        <w:t>办公室（人事教育股）、规划财务与基金监督股、就业促进股（农民工工作股）、人事人才管理股（人力资源开发股）、工资福利与保险保险股、劳动监察与信访调解仲裁股。</w:t>
      </w:r>
      <w:bookmarkEnd w:id="100"/>
    </w:p>
    <w:p>
      <w:pPr>
        <w:numPr>
          <w:ilvl w:val="0"/>
          <w:numId w:val="7"/>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01" w:name="_Toc143811748"/>
      <w:r>
        <w:rPr>
          <w:rFonts w:hint="eastAsia" w:ascii="仿宋" w:hAnsi="仿宋" w:eastAsia="仿宋"/>
          <w:b/>
          <w:sz w:val="32"/>
          <w:szCs w:val="32"/>
          <w:lang w:val="zh-CN"/>
        </w:rPr>
        <w:t>机构职能。</w:t>
      </w:r>
      <w:bookmarkEnd w:id="101"/>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2" w:name="_Toc143811749"/>
      <w:r>
        <w:rPr>
          <w:rFonts w:ascii="仿宋" w:hAnsi="仿宋" w:eastAsia="仿宋"/>
          <w:color w:val="000000" w:themeColor="text1"/>
          <w:sz w:val="32"/>
          <w:szCs w:val="32"/>
          <w14:textFill>
            <w14:solidFill>
              <w14:schemeClr w14:val="tx1"/>
            </w14:solidFill>
          </w14:textFill>
        </w:rPr>
        <w:t>1.贯彻执行人力资源和社会保障工作的相关法律、 法规、 规章和政策; 拟定全区人力资源和社会保障事业发展规划、政策并组织实施和监督检查。</w:t>
      </w:r>
      <w:bookmarkEnd w:id="102"/>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3" w:name="_Toc143811750"/>
      <w:r>
        <w:rPr>
          <w:rFonts w:ascii="仿宋" w:hAnsi="仿宋" w:eastAsia="仿宋"/>
          <w:color w:val="000000" w:themeColor="text1"/>
          <w:sz w:val="32"/>
          <w:szCs w:val="32"/>
          <w14:textFill>
            <w14:solidFill>
              <w14:schemeClr w14:val="tx1"/>
            </w14:solidFill>
          </w14:textFill>
        </w:rPr>
        <w:t>2.拟定并组织实施人力资源市场发展规划和人力资源流动政策; 建立全区统一规范的人力资源市场, 促进人力资源合理流动、有效配置。</w:t>
      </w:r>
      <w:bookmarkEnd w:id="10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4" w:name="_Toc143811751"/>
      <w:r>
        <w:rPr>
          <w:rFonts w:ascii="仿宋" w:hAnsi="仿宋" w:eastAsia="仿宋"/>
          <w:color w:val="000000" w:themeColor="text1"/>
          <w:sz w:val="32"/>
          <w:szCs w:val="32"/>
          <w14:textFill>
            <w14:solidFill>
              <w14:schemeClr w14:val="tx1"/>
            </w14:solidFill>
          </w14:textFill>
        </w:rPr>
        <w:t>3.负责促进就业工作。拟定统筹城乡的就业发展规划和政策; 完善公共就业服务体系; 拟定创业、 就业援助制度, 并组织实施; 完善职业资格认定制度; 统筹建立面向城乡劳动者的职业培训制度和高校毕业生就业政策; 会同有关部门拟定高技能人才、 农村实用人才培养和激励政策。</w:t>
      </w:r>
      <w:bookmarkEnd w:id="104"/>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5" w:name="_Toc143811752"/>
      <w:r>
        <w:rPr>
          <w:rFonts w:ascii="仿宋" w:hAnsi="仿宋" w:eastAsia="仿宋"/>
          <w:color w:val="000000" w:themeColor="text1"/>
          <w:sz w:val="32"/>
          <w:szCs w:val="32"/>
          <w14:textFill>
            <w14:solidFill>
              <w14:schemeClr w14:val="tx1"/>
            </w14:solidFill>
          </w14:textFill>
        </w:rPr>
        <w:t>4.统筹建立覆盖城乡的社会保障体系。 贯彻落实全区城乡社会保险及其补充保险政策和标准; 贯彻落实全国统一的社会保险关系转续办法; 贯彻执行机关企事业单位基本养老保险政策。 会同有关部门拟定全区社会保险及其补充保险基金管理和监督办法; 编制全区社会保险基金预决算草案; 参与制定全区社会保障基金投资政策。</w:t>
      </w:r>
      <w:bookmarkEnd w:id="105"/>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6" w:name="_Toc143811753"/>
      <w:r>
        <w:rPr>
          <w:rFonts w:ascii="仿宋" w:hAnsi="仿宋" w:eastAsia="仿宋"/>
          <w:color w:val="000000" w:themeColor="text1"/>
          <w:sz w:val="32"/>
          <w:szCs w:val="32"/>
          <w14:textFill>
            <w14:solidFill>
              <w14:schemeClr w14:val="tx1"/>
            </w14:solidFill>
          </w14:textFill>
        </w:rPr>
        <w:t>5.负责对就业、失业、社会保险基金预测预警和信息引导, 拟定应对预案, 实施预防、 调节和控制, 保持就业形势稳定和社会保险基金总体收支平衡。</w:t>
      </w:r>
      <w:bookmarkEnd w:id="106"/>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7" w:name="_Toc143811754"/>
      <w:r>
        <w:rPr>
          <w:rFonts w:ascii="仿宋" w:hAnsi="仿宋" w:eastAsia="仿宋"/>
          <w:color w:val="000000" w:themeColor="text1"/>
          <w:sz w:val="32"/>
          <w:szCs w:val="32"/>
          <w14:textFill>
            <w14:solidFill>
              <w14:schemeClr w14:val="tx1"/>
            </w14:solidFill>
          </w14:textFill>
        </w:rPr>
        <w:t>6.会同有关部门拟定事业单位人员工资收入分配政策和企业职工工资收入分配调控政策, 建立企事业单位人员工资正常增长和支付保障机制; 拟定企事业单位人员福利和有关离退休政策。</w:t>
      </w:r>
      <w:bookmarkEnd w:id="107"/>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8" w:name="_Toc143811755"/>
      <w:r>
        <w:rPr>
          <w:rFonts w:ascii="仿宋" w:hAnsi="仿宋" w:eastAsia="仿宋"/>
          <w:color w:val="000000" w:themeColor="text1"/>
          <w:sz w:val="32"/>
          <w:szCs w:val="32"/>
          <w14:textFill>
            <w14:solidFill>
              <w14:schemeClr w14:val="tx1"/>
            </w14:solidFill>
          </w14:textFill>
        </w:rPr>
        <w:t>7.会同有关部门指导事业单位人事制度改革, 拟定事业单位人员和机关工勤人员管理政策; 参与人才管理工作, 拟定专业技术人员管理和继续教育政策; 牵头推进深化职称制度改革工作; 健全高层次人才管理制度, 负责高层次专业技术人才选拔和培养工作。</w:t>
      </w:r>
      <w:bookmarkEnd w:id="108"/>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09" w:name="_Toc143811756"/>
      <w:r>
        <w:rPr>
          <w:rFonts w:ascii="仿宋" w:hAnsi="仿宋" w:eastAsia="仿宋"/>
          <w:color w:val="000000" w:themeColor="text1"/>
          <w:sz w:val="32"/>
          <w:szCs w:val="32"/>
          <w14:textFill>
            <w14:solidFill>
              <w14:schemeClr w14:val="tx1"/>
            </w14:solidFill>
          </w14:textFill>
        </w:rPr>
        <w:t>8.会同有关部门拟定劳务开发及农民工工作综合性政策和规划, 并推进相关政策的落实, 协调解决重点难点问题, 维护农民工合法权益。</w:t>
      </w:r>
      <w:bookmarkEnd w:id="109"/>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0" w:name="_Toc143811757"/>
      <w:r>
        <w:rPr>
          <w:rFonts w:ascii="仿宋" w:hAnsi="仿宋" w:eastAsia="仿宋"/>
          <w:color w:val="000000" w:themeColor="text1"/>
          <w:sz w:val="32"/>
          <w:szCs w:val="32"/>
          <w14:textFill>
            <w14:solidFill>
              <w14:schemeClr w14:val="tx1"/>
            </w14:solidFill>
          </w14:textFill>
        </w:rPr>
        <w:t>9. 拟定并组织实施劳动、人事争议调解仲裁制度和劳动关系政策; 完善劳动关系协调机制, 制定执行消除非法使用童工政策和女工、未成年工的特殊劳动保护政策; 组织实施劳动监察, 协调劳动者维权工作, 依法查处重大案件。</w:t>
      </w:r>
      <w:bookmarkEnd w:id="110"/>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1" w:name="_Toc143811758"/>
      <w:r>
        <w:rPr>
          <w:rFonts w:ascii="仿宋" w:hAnsi="仿宋" w:eastAsia="仿宋"/>
          <w:color w:val="000000" w:themeColor="text1"/>
          <w:sz w:val="32"/>
          <w:szCs w:val="32"/>
          <w14:textFill>
            <w14:solidFill>
              <w14:schemeClr w14:val="tx1"/>
            </w14:solidFill>
          </w14:textFill>
        </w:rPr>
        <w:t>10.负责职责范围内的安全生产和职业健康、生态环境保护、审批服务便民化等工作。</w:t>
      </w:r>
      <w:bookmarkEnd w:id="111"/>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2" w:name="_Toc143811759"/>
      <w:r>
        <w:rPr>
          <w:rFonts w:ascii="仿宋" w:hAnsi="仿宋" w:eastAsia="仿宋"/>
          <w:color w:val="000000" w:themeColor="text1"/>
          <w:sz w:val="32"/>
          <w:szCs w:val="32"/>
          <w14:textFill>
            <w14:solidFill>
              <w14:schemeClr w14:val="tx1"/>
            </w14:solidFill>
          </w14:textFill>
        </w:rPr>
        <w:t>11.完成区委和区政府交办的其他事项。</w:t>
      </w:r>
      <w:bookmarkEnd w:id="112"/>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3" w:name="_Toc143811760"/>
      <w:r>
        <w:rPr>
          <w:rFonts w:ascii="仿宋" w:hAnsi="仿宋" w:eastAsia="仿宋"/>
          <w:color w:val="000000" w:themeColor="text1"/>
          <w:sz w:val="32"/>
          <w:szCs w:val="32"/>
          <w14:textFill>
            <w14:solidFill>
              <w14:schemeClr w14:val="tx1"/>
            </w14:solidFill>
          </w14:textFill>
        </w:rPr>
        <w:t>12.职能转变。深入推进 “ 放管服” 改革, 进一步减少行政审批事项, 规范和优化对外办理事项, 减少职业资格许可和认定等审批事项, 实行职业资格目录清单管理, 加强事中事后监管, 创新就业和社会保障等公共服务方式, 加强信息共享, 提高公共服务水平。</w:t>
      </w:r>
      <w:bookmarkEnd w:id="113"/>
    </w:p>
    <w:p>
      <w:pPr>
        <w:autoSpaceDE w:val="0"/>
        <w:autoSpaceDN w:val="0"/>
        <w:adjustRightInd w:val="0"/>
        <w:spacing w:line="600" w:lineRule="exact"/>
        <w:ind w:firstLine="640" w:firstLineChars="200"/>
        <w:jc w:val="left"/>
        <w:outlineLvl w:val="2"/>
        <w:rPr>
          <w:rFonts w:ascii="仿宋" w:hAnsi="仿宋" w:eastAsia="仿宋"/>
          <w:color w:val="000000" w:themeColor="text1"/>
          <w:sz w:val="32"/>
          <w:szCs w:val="32"/>
          <w14:textFill>
            <w14:solidFill>
              <w14:schemeClr w14:val="tx1"/>
            </w14:solidFill>
          </w14:textFill>
        </w:rPr>
      </w:pPr>
      <w:bookmarkStart w:id="114" w:name="_Toc143811761"/>
      <w:r>
        <w:rPr>
          <w:rFonts w:ascii="仿宋" w:hAnsi="仿宋" w:eastAsia="仿宋"/>
          <w:color w:val="000000" w:themeColor="text1"/>
          <w:sz w:val="32"/>
          <w:szCs w:val="32"/>
          <w14:textFill>
            <w14:solidFill>
              <w14:schemeClr w14:val="tx1"/>
            </w14:solidFill>
          </w14:textFill>
        </w:rPr>
        <w:t>13.与区教育和体育局的有关职责分工。高校毕业生就业政策的拟订由区人力资源社会保障局牵头, 区教育和体育局配合。 高校毕业生离校前的就业指导和服务工作由区教育和体育局负责; 高校毕业生离校后的就业指导和服务工作由区人力资源社会保障局负责。</w:t>
      </w:r>
      <w:bookmarkEnd w:id="114"/>
    </w:p>
    <w:p>
      <w:pPr>
        <w:numPr>
          <w:ilvl w:val="0"/>
          <w:numId w:val="7"/>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15" w:name="_Toc143811762"/>
      <w:r>
        <w:rPr>
          <w:rFonts w:hint="eastAsia" w:ascii="仿宋" w:hAnsi="仿宋" w:eastAsia="仿宋"/>
          <w:b/>
          <w:sz w:val="32"/>
          <w:szCs w:val="32"/>
          <w:lang w:val="zh-CN"/>
        </w:rPr>
        <w:t>人员概况。</w:t>
      </w:r>
      <w:bookmarkEnd w:id="115"/>
    </w:p>
    <w:p>
      <w:pPr>
        <w:adjustRightInd w:val="0"/>
        <w:snapToGrid w:val="0"/>
        <w:spacing w:line="560" w:lineRule="exact"/>
        <w:ind w:firstLine="640" w:firstLineChars="200"/>
        <w:contextualSpacing/>
        <w:rPr>
          <w:rFonts w:ascii="仿宋" w:hAnsi="仿宋" w:eastAsia="仿宋"/>
          <w:lang w:val="zh-CN"/>
        </w:rPr>
      </w:pPr>
      <w:r>
        <w:rPr>
          <w:rFonts w:hint="eastAsia" w:ascii="仿宋" w:hAnsi="仿宋" w:eastAsia="仿宋" w:cs="仿宋"/>
          <w:color w:val="000000" w:themeColor="text1"/>
          <w:sz w:val="32"/>
          <w:szCs w:val="32"/>
          <w14:textFill>
            <w14:solidFill>
              <w14:schemeClr w14:val="tx1"/>
            </w14:solidFill>
          </w14:textFill>
        </w:rPr>
        <w:t>区人社局在编人数34人。其中：行政人员15人，参公人员2人，事业人员17人。</w:t>
      </w:r>
    </w:p>
    <w:p>
      <w:pPr>
        <w:pStyle w:val="2"/>
        <w:ind w:firstLine="640" w:firstLineChars="200"/>
        <w:rPr>
          <w:rFonts w:ascii="仿宋" w:hAnsi="仿宋" w:eastAsia="仿宋"/>
          <w:b w:val="0"/>
        </w:rPr>
      </w:pPr>
      <w:bookmarkStart w:id="116" w:name="_Toc143811763"/>
      <w:r>
        <w:rPr>
          <w:rFonts w:hint="eastAsia" w:ascii="仿宋" w:hAnsi="仿宋" w:eastAsia="仿宋"/>
          <w:b w:val="0"/>
        </w:rPr>
        <w:t>二、部门财政资金收支情况</w:t>
      </w:r>
      <w:bookmarkEnd w:id="116"/>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17" w:name="_Toc143811764"/>
      <w:r>
        <w:rPr>
          <w:rFonts w:hint="eastAsia" w:ascii="仿宋" w:hAnsi="仿宋" w:eastAsia="仿宋"/>
          <w:b/>
          <w:sz w:val="32"/>
          <w:szCs w:val="32"/>
          <w:lang w:val="zh-CN"/>
        </w:rPr>
        <w:t>（一）部门财政资金收入情况。</w:t>
      </w:r>
      <w:bookmarkEnd w:id="117"/>
    </w:p>
    <w:p>
      <w:pPr>
        <w:pStyle w:val="6"/>
        <w:numPr>
          <w:ilvl w:val="0"/>
          <w:numId w:val="0"/>
        </w:numPr>
        <w:ind w:firstLine="960" w:firstLineChars="300"/>
        <w:rPr>
          <w:rFonts w:ascii="仿宋" w:hAnsi="仿宋" w:eastAsia="仿宋"/>
          <w:lang w:val="zh-CN"/>
        </w:rPr>
      </w:pPr>
      <w:r>
        <w:rPr>
          <w:rFonts w:hint="eastAsia" w:ascii="仿宋" w:hAnsi="仿宋" w:eastAsia="仿宋" w:cs="仿宋"/>
          <w:sz w:val="32"/>
          <w:szCs w:val="32"/>
        </w:rPr>
        <w:t>2022年收入合计917.76万元,较2021年915.04万元增加了2.72万元，主要原因是单位工作量</w:t>
      </w:r>
      <w:r>
        <w:rPr>
          <w:rFonts w:hint="eastAsia" w:ascii="仿宋" w:hAnsi="仿宋" w:eastAsia="仿宋"/>
          <w:sz w:val="32"/>
          <w:szCs w:val="32"/>
        </w:rPr>
        <w:t>有所增加</w:t>
      </w:r>
      <w:r>
        <w:rPr>
          <w:rFonts w:hint="eastAsia" w:ascii="仿宋" w:hAnsi="仿宋" w:eastAsia="仿宋" w:cs="仿宋"/>
          <w:sz w:val="32"/>
          <w:szCs w:val="32"/>
        </w:rPr>
        <w:t>。</w:t>
      </w:r>
    </w:p>
    <w:p>
      <w:pPr>
        <w:numPr>
          <w:ilvl w:val="0"/>
          <w:numId w:val="8"/>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18" w:name="_Toc143811765"/>
      <w:r>
        <w:rPr>
          <w:rFonts w:hint="eastAsia" w:ascii="仿宋" w:hAnsi="仿宋" w:eastAsia="仿宋"/>
          <w:b/>
          <w:sz w:val="32"/>
          <w:szCs w:val="32"/>
          <w:lang w:val="zh-CN"/>
        </w:rPr>
        <w:t>部门财政资金支出情况。</w:t>
      </w:r>
      <w:bookmarkEnd w:id="118"/>
    </w:p>
    <w:p>
      <w:pPr>
        <w:pStyle w:val="22"/>
        <w:ind w:left="0" w:leftChars="0" w:firstLine="960" w:firstLineChars="300"/>
        <w:rPr>
          <w:rFonts w:ascii="仿宋" w:hAnsi="仿宋" w:eastAsia="仿宋"/>
          <w:lang w:val="zh-CN"/>
        </w:rPr>
      </w:pPr>
      <w:r>
        <w:rPr>
          <w:rFonts w:hint="eastAsia" w:ascii="仿宋" w:hAnsi="仿宋" w:eastAsia="仿宋" w:cs="仿宋"/>
          <w:sz w:val="32"/>
        </w:rPr>
        <w:t>2022年支出合计917.16万元，较2021年938.74万元减少了20.98万元，主要原因是</w:t>
      </w:r>
      <w:r>
        <w:rPr>
          <w:rFonts w:hint="eastAsia" w:ascii="仿宋" w:hAnsi="仿宋" w:eastAsia="仿宋"/>
          <w:sz w:val="32"/>
        </w:rPr>
        <w:t>单位</w:t>
      </w:r>
      <w:r>
        <w:rPr>
          <w:rFonts w:hint="eastAsia" w:ascii="仿宋" w:hAnsi="仿宋" w:eastAsia="仿宋"/>
          <w:sz w:val="32"/>
          <w:lang w:eastAsia="zh-CN"/>
        </w:rPr>
        <w:t>厉</w:t>
      </w:r>
      <w:r>
        <w:rPr>
          <w:rFonts w:hint="eastAsia" w:ascii="仿宋" w:hAnsi="仿宋" w:eastAsia="仿宋"/>
          <w:sz w:val="32"/>
        </w:rPr>
        <w:t>行节约，缩减开支</w:t>
      </w:r>
      <w:r>
        <w:rPr>
          <w:rFonts w:hint="eastAsia" w:ascii="仿宋" w:hAnsi="仿宋" w:eastAsia="仿宋" w:cs="仿宋"/>
          <w:sz w:val="32"/>
        </w:rPr>
        <w:t>。</w:t>
      </w:r>
    </w:p>
    <w:p>
      <w:pPr>
        <w:pStyle w:val="2"/>
        <w:ind w:firstLine="640" w:firstLineChars="200"/>
        <w:rPr>
          <w:rFonts w:ascii="仿宋" w:hAnsi="仿宋" w:eastAsia="仿宋"/>
          <w:b w:val="0"/>
        </w:rPr>
      </w:pPr>
      <w:bookmarkStart w:id="119" w:name="_Toc143811766"/>
      <w:r>
        <w:rPr>
          <w:rFonts w:hint="eastAsia" w:ascii="仿宋" w:hAnsi="仿宋" w:eastAsia="仿宋"/>
          <w:b w:val="0"/>
        </w:rPr>
        <w:t>三、部门整体预算绩效管理情况</w:t>
      </w:r>
      <w:bookmarkEnd w:id="119"/>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0" w:name="_Toc143811767"/>
      <w:r>
        <w:rPr>
          <w:rFonts w:hint="eastAsia" w:ascii="仿宋" w:hAnsi="仿宋" w:eastAsia="仿宋"/>
          <w:b/>
          <w:sz w:val="32"/>
          <w:szCs w:val="32"/>
          <w:lang w:val="zh-CN"/>
        </w:rPr>
        <w:t>（一）部门预算项目绩效管理。</w:t>
      </w:r>
      <w:bookmarkEnd w:id="120"/>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sz w:val="32"/>
          <w:szCs w:val="32"/>
        </w:rPr>
        <w:t>安居区人力资源和社会保障局为进一步加强财务管理，规范公务支付业务，减少现金支付结算，提高支付透明度，强化资金安全，制定了《安居区人力资源和社会保障局内部控制规范建设》内部控制制度，包括：预算管理、采购管理、结算管理、资产管理、财务机构、财务监督等管理事项。</w:t>
      </w:r>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1" w:name="_Toc143811768"/>
      <w:r>
        <w:rPr>
          <w:rFonts w:hint="eastAsia" w:ascii="仿宋" w:hAnsi="仿宋" w:eastAsia="仿宋"/>
          <w:b/>
          <w:sz w:val="32"/>
          <w:szCs w:val="32"/>
          <w:lang w:val="zh-CN"/>
        </w:rPr>
        <w:t>（二）结果应用情况。</w:t>
      </w:r>
      <w:bookmarkEnd w:id="121"/>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sz w:val="32"/>
          <w:szCs w:val="32"/>
          <w:lang w:val="zh-CN"/>
        </w:rPr>
        <w:t>在今后编制预算时，</w:t>
      </w:r>
      <w:r>
        <w:rPr>
          <w:rFonts w:hint="eastAsia" w:ascii="仿宋" w:hAnsi="仿宋" w:eastAsia="仿宋" w:cs="仿宋"/>
          <w:sz w:val="32"/>
          <w:szCs w:val="32"/>
        </w:rPr>
        <w:t>根据信息公开</w:t>
      </w:r>
      <w:r>
        <w:rPr>
          <w:rFonts w:hint="eastAsia" w:ascii="仿宋" w:hAnsi="仿宋" w:eastAsia="仿宋" w:cs="仿宋"/>
          <w:sz w:val="32"/>
          <w:szCs w:val="32"/>
          <w:lang w:val="zh-CN"/>
        </w:rPr>
        <w:t>按要求将</w:t>
      </w:r>
      <w:r>
        <w:rPr>
          <w:rFonts w:hint="eastAsia" w:ascii="仿宋" w:hAnsi="仿宋" w:eastAsia="仿宋" w:cs="仿宋"/>
          <w:sz w:val="32"/>
          <w:szCs w:val="32"/>
        </w:rPr>
        <w:t>我单位</w:t>
      </w:r>
      <w:r>
        <w:rPr>
          <w:rFonts w:hint="eastAsia" w:ascii="仿宋" w:hAnsi="仿宋" w:eastAsia="仿宋" w:cs="仿宋"/>
          <w:sz w:val="32"/>
          <w:szCs w:val="32"/>
          <w:lang w:val="zh-CN"/>
        </w:rPr>
        <w:t>整体绩效自评情况和</w:t>
      </w:r>
      <w:r>
        <w:rPr>
          <w:rFonts w:hint="eastAsia" w:ascii="仿宋" w:hAnsi="仿宋" w:eastAsia="仿宋" w:cs="仿宋"/>
          <w:sz w:val="32"/>
          <w:szCs w:val="32"/>
        </w:rPr>
        <w:t>自</w:t>
      </w:r>
      <w:r>
        <w:rPr>
          <w:rFonts w:hint="eastAsia" w:ascii="仿宋" w:hAnsi="仿宋" w:eastAsia="仿宋" w:cs="仿宋"/>
          <w:sz w:val="32"/>
          <w:szCs w:val="32"/>
          <w:lang w:val="zh-CN"/>
        </w:rPr>
        <w:t>行组织的评价情况向社会公开；根据整改</w:t>
      </w:r>
      <w:r>
        <w:rPr>
          <w:rFonts w:hint="eastAsia" w:ascii="仿宋" w:hAnsi="仿宋" w:eastAsia="仿宋" w:cs="仿宋"/>
          <w:sz w:val="32"/>
          <w:szCs w:val="32"/>
        </w:rPr>
        <w:t>反馈</w:t>
      </w:r>
      <w:r>
        <w:rPr>
          <w:rFonts w:hint="eastAsia" w:ascii="仿宋" w:hAnsi="仿宋" w:eastAsia="仿宋" w:cs="仿宋"/>
          <w:sz w:val="32"/>
          <w:szCs w:val="32"/>
          <w:lang w:val="zh-CN"/>
        </w:rPr>
        <w:t>问题、完善政策、改进管理的情况</w:t>
      </w:r>
      <w:r>
        <w:rPr>
          <w:rFonts w:hint="eastAsia" w:ascii="仿宋" w:hAnsi="仿宋" w:eastAsia="仿宋" w:cs="仿宋"/>
          <w:sz w:val="32"/>
          <w:szCs w:val="32"/>
        </w:rPr>
        <w:t>并及时向财政部门反馈结果应用情况</w:t>
      </w:r>
      <w:r>
        <w:rPr>
          <w:rFonts w:hint="eastAsia" w:ascii="仿宋" w:hAnsi="仿宋" w:eastAsia="仿宋" w:cs="仿宋"/>
          <w:sz w:val="32"/>
          <w:szCs w:val="32"/>
          <w:lang w:val="zh-CN"/>
        </w:rPr>
        <w:t>；将绩效自评价结果作为改进预算管理和安排以后年度预算的重要依据</w:t>
      </w:r>
      <w:r>
        <w:rPr>
          <w:rFonts w:hint="eastAsia" w:ascii="仿宋" w:hAnsi="仿宋" w:eastAsia="仿宋" w:cs="仿宋"/>
          <w:kern w:val="0"/>
          <w:sz w:val="32"/>
          <w:szCs w:val="32"/>
          <w:lang w:val="zh-CN"/>
        </w:rPr>
        <w:t>。</w:t>
      </w:r>
    </w:p>
    <w:p>
      <w:pPr>
        <w:pStyle w:val="2"/>
        <w:ind w:firstLine="640" w:firstLineChars="200"/>
        <w:rPr>
          <w:rFonts w:ascii="仿宋" w:hAnsi="仿宋" w:eastAsia="仿宋"/>
          <w:b w:val="0"/>
        </w:rPr>
      </w:pPr>
      <w:bookmarkStart w:id="122" w:name="_Toc143811769"/>
      <w:r>
        <w:rPr>
          <w:rFonts w:hint="eastAsia" w:ascii="仿宋" w:hAnsi="仿宋" w:eastAsia="仿宋"/>
          <w:b w:val="0"/>
        </w:rPr>
        <w:t>四、评价结论及建议</w:t>
      </w:r>
      <w:bookmarkEnd w:id="122"/>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3" w:name="_Toc143811770"/>
      <w:r>
        <w:rPr>
          <w:rFonts w:hint="eastAsia" w:ascii="仿宋" w:hAnsi="仿宋" w:eastAsia="仿宋"/>
          <w:b/>
          <w:sz w:val="32"/>
          <w:szCs w:val="32"/>
          <w:lang w:val="zh-CN"/>
        </w:rPr>
        <w:t>（一）评价结论。</w:t>
      </w:r>
      <w:bookmarkEnd w:id="123"/>
    </w:p>
    <w:p>
      <w:pPr>
        <w:pStyle w:val="7"/>
        <w:spacing w:before="93"/>
        <w:ind w:firstLine="600" w:firstLineChars="200"/>
        <w:rPr>
          <w:rFonts w:ascii="仿宋" w:hAnsi="仿宋" w:eastAsia="仿宋" w:cs="仿宋"/>
          <w:sz w:val="32"/>
          <w:szCs w:val="32"/>
          <w:lang w:val="zh-CN"/>
        </w:rPr>
      </w:pPr>
      <w:r>
        <w:rPr>
          <w:rFonts w:ascii="仿宋" w:hAnsi="仿宋" w:eastAsia="仿宋"/>
          <w:color w:val="000000" w:themeColor="text1"/>
          <w14:textFill>
            <w14:solidFill>
              <w14:schemeClr w14:val="tx1"/>
            </w14:solidFill>
          </w14:textFill>
        </w:rPr>
        <w:t>我局财务管理制度健全规范，无违规违纪现象，20</w:t>
      </w:r>
      <w:r>
        <w:rPr>
          <w:rFonts w:hint="eastAsia" w:ascii="仿宋" w:hAnsi="仿宋" w:eastAsia="仿宋"/>
          <w:color w:val="000000" w:themeColor="text1"/>
          <w14:textFill>
            <w14:solidFill>
              <w14:schemeClr w14:val="tx1"/>
            </w14:solidFill>
          </w14:textFill>
        </w:rPr>
        <w:t>21</w:t>
      </w:r>
      <w:r>
        <w:rPr>
          <w:rFonts w:ascii="仿宋" w:hAnsi="仿宋" w:eastAsia="仿宋"/>
          <w:color w:val="000000" w:themeColor="text1"/>
          <w14:textFill>
            <w14:solidFill>
              <w14:schemeClr w14:val="tx1"/>
            </w14:solidFill>
          </w14:textFill>
        </w:rPr>
        <w:t>年部门整体支出绩效自评得分90分。</w:t>
      </w:r>
    </w:p>
    <w:p>
      <w:pPr>
        <w:pStyle w:val="6"/>
        <w:numPr>
          <w:ilvl w:val="0"/>
          <w:numId w:val="0"/>
        </w:numPr>
        <w:ind w:firstLine="420" w:firstLineChars="200"/>
        <w:rPr>
          <w:rFonts w:ascii="仿宋" w:hAnsi="仿宋" w:eastAsia="仿宋"/>
          <w:lang w:val="zh-CN"/>
        </w:rPr>
      </w:pPr>
    </w:p>
    <w:p>
      <w:pPr>
        <w:numPr>
          <w:ilvl w:val="0"/>
          <w:numId w:val="8"/>
        </w:num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4" w:name="_Toc143811771"/>
      <w:r>
        <w:rPr>
          <w:rFonts w:hint="eastAsia" w:ascii="仿宋" w:hAnsi="仿宋" w:eastAsia="仿宋"/>
          <w:b/>
          <w:sz w:val="32"/>
          <w:szCs w:val="32"/>
          <w:lang w:val="zh-CN"/>
        </w:rPr>
        <w:t>存在问题。</w:t>
      </w:r>
      <w:bookmarkEnd w:id="124"/>
    </w:p>
    <w:p>
      <w:pPr>
        <w:widowControl/>
        <w:adjustRightInd w:val="0"/>
        <w:snapToGrid w:val="0"/>
        <w:spacing w:line="576" w:lineRule="exact"/>
        <w:ind w:firstLine="640" w:firstLineChars="200"/>
        <w:contextualSpacing/>
        <w:jc w:val="left"/>
        <w:rPr>
          <w:rFonts w:ascii="仿宋" w:hAnsi="仿宋" w:eastAsia="仿宋"/>
          <w:sz w:val="32"/>
          <w:szCs w:val="32"/>
          <w:lang w:val="zh-CN"/>
        </w:rPr>
      </w:pPr>
      <w:r>
        <w:rPr>
          <w:rFonts w:ascii="仿宋" w:hAnsi="仿宋" w:eastAsia="仿宋"/>
          <w:color w:val="000000" w:themeColor="text1"/>
          <w:sz w:val="32"/>
          <w:szCs w:val="32"/>
          <w14:textFill>
            <w14:solidFill>
              <w14:schemeClr w14:val="tx1"/>
            </w14:solidFill>
          </w14:textFill>
        </w:rPr>
        <w:t>内控制度、财务制度还有待进一步完善</w:t>
      </w:r>
      <w:r>
        <w:rPr>
          <w:rFonts w:hint="eastAsia" w:ascii="仿宋" w:hAnsi="仿宋" w:eastAsia="仿宋" w:cs="仿宋"/>
          <w:sz w:val="32"/>
          <w:szCs w:val="32"/>
        </w:rPr>
        <w:t>。</w:t>
      </w:r>
    </w:p>
    <w:p>
      <w:pPr>
        <w:pStyle w:val="6"/>
        <w:numPr>
          <w:ilvl w:val="0"/>
          <w:numId w:val="0"/>
        </w:numPr>
        <w:ind w:firstLine="640" w:firstLineChars="200"/>
        <w:rPr>
          <w:rFonts w:ascii="仿宋" w:hAnsi="仿宋" w:eastAsia="仿宋" w:cs="仿宋"/>
          <w:sz w:val="32"/>
          <w:szCs w:val="32"/>
          <w:lang w:val="zh-CN"/>
        </w:rPr>
      </w:pPr>
    </w:p>
    <w:p>
      <w:pPr>
        <w:pStyle w:val="22"/>
        <w:ind w:left="420" w:firstLine="0" w:firstLineChars="0"/>
        <w:rPr>
          <w:rFonts w:ascii="仿宋" w:hAnsi="仿宋" w:eastAsia="仿宋"/>
          <w:lang w:val="zh-CN"/>
        </w:rPr>
      </w:pPr>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bookmarkStart w:id="125" w:name="_Toc143811772"/>
      <w:r>
        <w:rPr>
          <w:rFonts w:hint="eastAsia" w:ascii="仿宋" w:hAnsi="仿宋" w:eastAsia="仿宋"/>
          <w:b/>
          <w:sz w:val="32"/>
          <w:szCs w:val="32"/>
          <w:lang w:val="zh-CN"/>
        </w:rPr>
        <w:t>（三）改进建议。</w:t>
      </w:r>
      <w:bookmarkEnd w:id="125"/>
    </w:p>
    <w:p>
      <w:pPr>
        <w:autoSpaceDE w:val="0"/>
        <w:autoSpaceDN w:val="0"/>
        <w:adjustRightInd w:val="0"/>
        <w:spacing w:line="600" w:lineRule="exact"/>
        <w:ind w:firstLine="640" w:firstLineChars="200"/>
        <w:jc w:val="left"/>
        <w:outlineLvl w:val="2"/>
        <w:rPr>
          <w:rFonts w:ascii="仿宋" w:hAnsi="仿宋" w:eastAsia="仿宋"/>
          <w:b/>
          <w:sz w:val="32"/>
          <w:szCs w:val="32"/>
          <w:lang w:val="zh-CN"/>
        </w:rPr>
      </w:pPr>
      <w:bookmarkStart w:id="126" w:name="_Toc143811773"/>
      <w:r>
        <w:rPr>
          <w:rFonts w:ascii="仿宋" w:hAnsi="仿宋" w:eastAsia="仿宋"/>
          <w:color w:val="000000" w:themeColor="text1"/>
          <w:sz w:val="32"/>
          <w:szCs w:val="32"/>
          <w14:textFill>
            <w14:solidFill>
              <w14:schemeClr w14:val="tx1"/>
            </w14:solidFill>
          </w14:textFill>
        </w:rPr>
        <w:t>科学合理编制预算，严格执行预算，规范账务处理，提高财务信息质量，完善管理制度，进一步加强资产管理</w:t>
      </w:r>
      <w:r>
        <w:rPr>
          <w:rFonts w:ascii="仿宋" w:hAnsi="仿宋" w:eastAsia="仿宋"/>
          <w:sz w:val="32"/>
          <w:szCs w:val="32"/>
        </w:rPr>
        <w:t>。</w:t>
      </w:r>
      <w:bookmarkEnd w:id="126"/>
    </w:p>
    <w:p>
      <w:pPr>
        <w:autoSpaceDE w:val="0"/>
        <w:autoSpaceDN w:val="0"/>
        <w:adjustRightInd w:val="0"/>
        <w:spacing w:line="600" w:lineRule="exact"/>
        <w:ind w:firstLine="640" w:firstLineChars="200"/>
        <w:jc w:val="left"/>
        <w:outlineLvl w:val="2"/>
        <w:rPr>
          <w:rFonts w:ascii="仿宋" w:hAnsi="仿宋" w:eastAsia="仿宋"/>
          <w:color w:val="000000" w:themeColor="text1"/>
          <w:sz w:val="36"/>
          <w:szCs w:val="36"/>
          <w:lang w:val="zh-CN"/>
          <w14:textFill>
            <w14:solidFill>
              <w14:schemeClr w14:val="tx1"/>
            </w14:solidFill>
          </w14:textFill>
        </w:rPr>
      </w:pPr>
      <w:bookmarkStart w:id="127" w:name="_Toc143811774"/>
      <w:r>
        <w:rPr>
          <w:rFonts w:hint="eastAsia" w:eastAsia="仿宋_GB2312"/>
          <w:color w:val="000000" w:themeColor="text1"/>
          <w:sz w:val="32"/>
          <w:szCs w:val="32"/>
          <w:lang w:val="zh-CN"/>
          <w14:textFill>
            <w14:solidFill>
              <w14:schemeClr w14:val="tx1"/>
            </w14:solidFill>
          </w14:textFill>
        </w:rPr>
        <w:t>附表：</w:t>
      </w:r>
      <w:r>
        <w:rPr>
          <w:rFonts w:hint="eastAsia" w:eastAsia="仿宋_GB2312"/>
          <w:color w:val="000000" w:themeColor="text1"/>
          <w:sz w:val="32"/>
          <w:szCs w:val="32"/>
          <w14:textFill>
            <w14:solidFill>
              <w14:schemeClr w14:val="tx1"/>
            </w14:solidFill>
          </w14:textFill>
        </w:rPr>
        <w:t>1.</w:t>
      </w:r>
      <w:r>
        <w:rPr>
          <w:rFonts w:hint="eastAsia" w:ascii="仿宋" w:hAnsi="仿宋" w:eastAsia="仿宋"/>
          <w:color w:val="000000" w:themeColor="text1"/>
          <w:sz w:val="36"/>
          <w:szCs w:val="36"/>
          <w14:textFill>
            <w14:solidFill>
              <w14:schemeClr w14:val="tx1"/>
            </w14:solidFill>
          </w14:textFill>
        </w:rPr>
        <w:t xml:space="preserve"> </w:t>
      </w:r>
      <w:r>
        <w:rPr>
          <w:rFonts w:hint="eastAsia" w:ascii="仿宋" w:hAnsi="仿宋" w:eastAsia="仿宋"/>
          <w:color w:val="000000" w:themeColor="text1"/>
          <w:sz w:val="36"/>
          <w:szCs w:val="36"/>
          <w:lang w:val="zh-CN"/>
          <w14:textFill>
            <w14:solidFill>
              <w14:schemeClr w14:val="tx1"/>
            </w14:solidFill>
          </w14:textFill>
        </w:rPr>
        <w:t>部门整体支出绩效自评表</w:t>
      </w:r>
      <w:bookmarkEnd w:id="127"/>
    </w:p>
    <w:tbl>
      <w:tblPr>
        <w:tblStyle w:val="23"/>
        <w:tblW w:w="10490" w:type="dxa"/>
        <w:jc w:val="center"/>
        <w:tblLayout w:type="autofit"/>
        <w:tblCellMar>
          <w:top w:w="0" w:type="dxa"/>
          <w:left w:w="108" w:type="dxa"/>
          <w:bottom w:w="0" w:type="dxa"/>
          <w:right w:w="108" w:type="dxa"/>
        </w:tblCellMar>
      </w:tblPr>
      <w:tblGrid>
        <w:gridCol w:w="1087"/>
        <w:gridCol w:w="96"/>
        <w:gridCol w:w="857"/>
        <w:gridCol w:w="58"/>
        <w:gridCol w:w="1034"/>
        <w:gridCol w:w="73"/>
        <w:gridCol w:w="592"/>
        <w:gridCol w:w="718"/>
        <w:gridCol w:w="608"/>
        <w:gridCol w:w="1010"/>
        <w:gridCol w:w="1182"/>
        <w:gridCol w:w="600"/>
        <w:gridCol w:w="583"/>
        <w:gridCol w:w="575"/>
        <w:gridCol w:w="869"/>
        <w:gridCol w:w="43"/>
        <w:gridCol w:w="505"/>
      </w:tblGrid>
      <w:tr>
        <w:tblPrEx>
          <w:tblCellMar>
            <w:top w:w="0" w:type="dxa"/>
            <w:left w:w="108" w:type="dxa"/>
            <w:bottom w:w="0" w:type="dxa"/>
            <w:right w:w="108" w:type="dxa"/>
          </w:tblCellMar>
        </w:tblPrEx>
        <w:trPr>
          <w:trHeight w:val="690" w:hRule="atLeast"/>
          <w:jc w:val="center"/>
        </w:trPr>
        <w:tc>
          <w:tcPr>
            <w:tcW w:w="10490" w:type="dxa"/>
            <w:gridSpan w:val="17"/>
            <w:tcBorders>
              <w:top w:val="nil"/>
              <w:left w:val="nil"/>
              <w:bottom w:val="single" w:color="000000" w:sz="4" w:space="0"/>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2</w:t>
            </w:r>
            <w:r>
              <w:rPr>
                <w:rFonts w:ascii="方正小标宋简体" w:hAnsi="方正小标宋简体" w:eastAsia="方正小标宋简体" w:cs="方正小标宋简体"/>
                <w:color w:val="000000"/>
                <w:kern w:val="0"/>
                <w:sz w:val="40"/>
                <w:szCs w:val="40"/>
                <w:lang w:bidi="ar"/>
              </w:rPr>
              <w:t>022</w:t>
            </w:r>
            <w:r>
              <w:rPr>
                <w:rFonts w:hint="eastAsia" w:ascii="方正小标宋简体" w:hAnsi="方正小标宋简体" w:eastAsia="方正小标宋简体" w:cs="方正小标宋简体"/>
                <w:color w:val="000000"/>
                <w:kern w:val="0"/>
                <w:sz w:val="40"/>
                <w:szCs w:val="40"/>
                <w:lang w:bidi="ar"/>
              </w:rPr>
              <w:t>年部门整体支出绩效自评表</w:t>
            </w:r>
          </w:p>
        </w:tc>
      </w:tr>
      <w:tr>
        <w:tblPrEx>
          <w:tblCellMar>
            <w:top w:w="0" w:type="dxa"/>
            <w:left w:w="108" w:type="dxa"/>
            <w:bottom w:w="0" w:type="dxa"/>
            <w:right w:w="108" w:type="dxa"/>
          </w:tblCellMar>
        </w:tblPrEx>
        <w:trPr>
          <w:trHeight w:val="690" w:hRule="atLeast"/>
          <w:jc w:val="center"/>
        </w:trPr>
        <w:tc>
          <w:tcPr>
            <w:tcW w:w="31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绩效指标</w:t>
            </w:r>
          </w:p>
        </w:tc>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指标分值</w:t>
            </w:r>
          </w:p>
        </w:tc>
        <w:tc>
          <w:tcPr>
            <w:tcW w:w="13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指标解释</w:t>
            </w:r>
          </w:p>
        </w:tc>
        <w:tc>
          <w:tcPr>
            <w:tcW w:w="3950"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计分标准</w:t>
            </w:r>
          </w:p>
        </w:tc>
        <w:tc>
          <w:tcPr>
            <w:tcW w:w="869"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自评得分</w:t>
            </w:r>
          </w:p>
        </w:tc>
        <w:tc>
          <w:tcPr>
            <w:tcW w:w="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tblPrEx>
          <w:tblCellMar>
            <w:top w:w="0" w:type="dxa"/>
            <w:left w:w="108" w:type="dxa"/>
            <w:bottom w:w="0" w:type="dxa"/>
            <w:right w:w="108" w:type="dxa"/>
          </w:tblCellMar>
        </w:tblPrEx>
        <w:trPr>
          <w:trHeight w:val="570" w:hRule="atLeast"/>
          <w:jc w:val="center"/>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一级指标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二级指标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三级指标</w:t>
            </w:r>
          </w:p>
        </w:tc>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13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3950"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8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部门预算管理（80分）</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预算编制（30分）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目标制定</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评价部门绩效目标是否要素完整、细化量化。</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目标实现</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评价部门绩效目标实际实现程度与预期目标的偏离度。</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以项目完成数量为核心，评价项目实际完成情况</w:t>
            </w:r>
            <w:bookmarkStart w:id="184" w:name="_GoBack"/>
            <w:bookmarkEnd w:id="184"/>
            <w:r>
              <w:rPr>
                <w:rFonts w:hint="eastAsia" w:ascii="宋体" w:hAnsi="宋体" w:cs="宋体"/>
                <w:color w:val="000000"/>
                <w:kern w:val="0"/>
                <w:sz w:val="24"/>
                <w:lang w:bidi="ar"/>
              </w:rPr>
              <w:t>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425"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编制准确</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评价部门年初预算编制是否科学准确。</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指标得分=（1-（10×部门全年预算调剂金额/年初部门预算数））*指标分值。其中：若部门全年预算调剂金额/年初部门预算数&gt;0.1，此项得0分。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995"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                                                                             预算执行（30分）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支出控制</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部门公用经费及非定额公用支出控制情况。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342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动态调整</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评价部门开展绩效运行监控后，将绩效监控结果应用到预算调整的情况。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执行进度</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评价部门在6、9、11月的预算执行情况。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14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完成结果（20分）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预算完成</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评价部门预算项目年终预算执行情况。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部门预算项目12月预算执行进度达到100%的，得10分，未达100%的，按照实际进度量化计算得分。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414"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违规记录</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根据审计监督、财政检查结果反映部门上一年度部门预算管理是否合规。</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依据评价年度审计监督、财政检查结果，出现部门预算管理方面违纪违规问题的，每个问题扣0.5分，直至扣完。</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2280" w:hRule="atLeast"/>
          <w:jc w:val="center"/>
        </w:trPr>
        <w:tc>
          <w:tcPr>
            <w:tcW w:w="11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绩效结果应用（10分）</w:t>
            </w:r>
          </w:p>
        </w:tc>
        <w:tc>
          <w:tcPr>
            <w:tcW w:w="85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信息公开（2分)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自评公开</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评价部门是否按要求将部门整体绩效自评情况和自行组织的评价情况向社会公开。</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按要求将相关绩效信息随同决算公开的，得2分，否则不得分。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710"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整改反馈（8分）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结果整改</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评价部门根据绩效管理结果整改问题、完善政策、改进管理的情况。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针对绩效管理过程中（包括绩效目标核查、绩效监控核查和重点绩效评价）提出的问题进行整改，将绩效管理结果应用于完善政策、改进管理、预算挂钩等的，得4分。否则，酌情扣分。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425" w:hRule="atLeast"/>
          <w:jc w:val="center"/>
        </w:trPr>
        <w:tc>
          <w:tcPr>
            <w:tcW w:w="11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应用反馈</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评价部门按要求及时向财政部门反馈结果应用情况。</w:t>
            </w:r>
          </w:p>
        </w:tc>
        <w:tc>
          <w:tcPr>
            <w:tcW w:w="3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部门在规定时间内向财政部门反馈应用绩效结果报告的，得满分，否则不得分。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1710" w:hRule="atLeast"/>
          <w:jc w:val="center"/>
        </w:trPr>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自评质量（10分）</w:t>
            </w:r>
          </w:p>
        </w:tc>
        <w:tc>
          <w:tcPr>
            <w:tcW w:w="857"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自评质量（10分）</w:t>
            </w:r>
          </w:p>
        </w:tc>
        <w:tc>
          <w:tcPr>
            <w:tcW w:w="1092"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自评准确</w:t>
            </w:r>
          </w:p>
        </w:tc>
        <w:tc>
          <w:tcPr>
            <w:tcW w:w="66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326"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评价部门整体支出自评准确率。</w:t>
            </w:r>
          </w:p>
        </w:tc>
        <w:tc>
          <w:tcPr>
            <w:tcW w:w="3950" w:type="dxa"/>
            <w:gridSpan w:val="5"/>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部门整体支出自评得分与评价组抽查得分差异在5%以内的，不扣分；在5%-10%之间的，扣4分，在10%-20%的，扣8分，在20%以上的，扣10分。（部门在自评时，此项指标无需打分，部门自评满分为90分）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548" w:type="dxa"/>
            <w:gridSpan w:val="2"/>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bottom w:val="single" w:color="auto" w:sz="4" w:space="0"/>
            </w:tcBorders>
            <w:shd w:val="clear" w:color="auto" w:fill="auto"/>
            <w:vAlign w:val="center"/>
          </w:tcPr>
          <w:p>
            <w:pPr>
              <w:widowControl/>
              <w:adjustRightInd w:val="0"/>
              <w:snapToGrid w:val="0"/>
              <w:spacing w:line="580" w:lineRule="exact"/>
              <w:ind w:firstLine="1446" w:firstLineChars="400"/>
              <w:contextualSpacing/>
              <w:jc w:val="left"/>
              <w:rPr>
                <w:rFonts w:ascii="仿宋" w:hAnsi="仿宋" w:eastAsia="仿宋" w:cs="仿宋"/>
                <w:kern w:val="0"/>
                <w:sz w:val="36"/>
                <w:szCs w:val="36"/>
              </w:rPr>
            </w:pPr>
            <w:r>
              <w:rPr>
                <w:rFonts w:ascii="仿宋" w:hAnsi="仿宋" w:eastAsia="仿宋" w:cs="黑体"/>
                <w:b/>
                <w:bCs/>
                <w:color w:val="000000"/>
                <w:kern w:val="0"/>
                <w:sz w:val="36"/>
                <w:szCs w:val="36"/>
                <w:lang w:bidi="ar"/>
              </w:rPr>
              <w:t>2</w:t>
            </w:r>
            <w:r>
              <w:rPr>
                <w:rFonts w:hint="eastAsia" w:ascii="仿宋" w:hAnsi="仿宋" w:eastAsia="仿宋" w:cs="黑体"/>
                <w:b/>
                <w:bCs/>
                <w:color w:val="000000"/>
                <w:kern w:val="0"/>
                <w:sz w:val="36"/>
                <w:szCs w:val="36"/>
                <w:lang w:bidi="ar"/>
              </w:rPr>
              <w:t>.</w:t>
            </w:r>
            <w:r>
              <w:rPr>
                <w:rFonts w:ascii="仿宋" w:hAnsi="仿宋" w:eastAsia="仿宋" w:cs="宋体"/>
                <w:color w:val="000000"/>
                <w:kern w:val="0"/>
                <w:sz w:val="36"/>
                <w:szCs w:val="36"/>
                <w:lang w:bidi="ar"/>
              </w:rPr>
              <w:t xml:space="preserve"> 人事档案管理费</w:t>
            </w:r>
            <w:r>
              <w:rPr>
                <w:rFonts w:hint="eastAsia" w:ascii="仿宋" w:hAnsi="仿宋" w:eastAsia="仿宋" w:cs="仿宋"/>
                <w:kern w:val="0"/>
                <w:sz w:val="36"/>
                <w:szCs w:val="36"/>
              </w:rPr>
              <w:t>项目绩效目标自评表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51090422T000000402724-人事档案管理费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一是对全区每年新增人事档案进行数字化整理，二是档案室安装监控设备，三是档案接收、转递工作</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26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78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全区人事档案数字化整理</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7600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正常开展工作</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增加社会影响力</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方便群众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获评人员满意度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r>
              <w:rPr>
                <w:rFonts w:hint="eastAsia" w:cs="仿宋" w:asciiTheme="minorEastAsia" w:hAnsiTheme="minorEastAsia" w:eastAsiaTheme="minorEastAsia"/>
                <w:kern w:val="0"/>
                <w:sz w:val="18"/>
                <w:szCs w:val="18"/>
                <w:lang w:val="zh-CN"/>
              </w:rPr>
              <w:tab/>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852" w:hRule="atLeast"/>
          <w:jc w:val="center"/>
        </w:trPr>
        <w:tc>
          <w:tcPr>
            <w:tcW w:w="9985" w:type="dxa"/>
            <w:gridSpan w:val="16"/>
            <w:tcBorders>
              <w:top w:val="single" w:color="auto" w:sz="4" w:space="0"/>
              <w:bottom w:val="single" w:color="auto" w:sz="4" w:space="0"/>
            </w:tcBorders>
            <w:shd w:val="clear" w:color="auto" w:fill="auto"/>
            <w:vAlign w:val="center"/>
          </w:tcPr>
          <w:p>
            <w:pPr>
              <w:widowControl/>
              <w:jc w:val="left"/>
              <w:textAlignment w:val="center"/>
              <w:rPr>
                <w:rFonts w:ascii="仿宋" w:hAnsi="仿宋" w:eastAsia="仿宋" w:cs="黑体"/>
                <w:color w:val="000000"/>
                <w:kern w:val="0"/>
                <w:sz w:val="36"/>
                <w:szCs w:val="36"/>
                <w:lang w:bidi="ar"/>
              </w:rPr>
            </w:pPr>
          </w:p>
          <w:p>
            <w:pPr>
              <w:widowControl/>
              <w:jc w:val="left"/>
              <w:textAlignment w:val="center"/>
              <w:rPr>
                <w:rFonts w:ascii="仿宋" w:hAnsi="仿宋" w:eastAsia="仿宋" w:cs="黑体"/>
                <w:color w:val="000000"/>
                <w:kern w:val="0"/>
                <w:sz w:val="36"/>
                <w:szCs w:val="36"/>
                <w:lang w:bidi="ar"/>
              </w:rPr>
            </w:pPr>
          </w:p>
          <w:p>
            <w:pPr>
              <w:widowControl/>
              <w:jc w:val="left"/>
              <w:textAlignment w:val="center"/>
              <w:rPr>
                <w:rFonts w:ascii="黑体" w:hAnsi="黑体" w:eastAsia="黑体" w:cs="黑体"/>
                <w:color w:val="000000"/>
                <w:kern w:val="0"/>
                <w:sz w:val="36"/>
                <w:szCs w:val="36"/>
                <w:lang w:bidi="ar"/>
              </w:rPr>
            </w:pPr>
            <w:r>
              <w:rPr>
                <w:rFonts w:hint="eastAsia" w:ascii="仿宋" w:hAnsi="仿宋" w:eastAsia="仿宋" w:cs="黑体"/>
                <w:color w:val="000000"/>
                <w:kern w:val="0"/>
                <w:sz w:val="36"/>
                <w:szCs w:val="36"/>
                <w:lang w:bidi="ar"/>
              </w:rPr>
              <w:t>3.</w:t>
            </w:r>
            <w:r>
              <w:rPr>
                <w:rFonts w:ascii="仿宋" w:hAnsi="仿宋" w:eastAsia="仿宋" w:cs="宋体"/>
                <w:color w:val="000000"/>
                <w:kern w:val="0"/>
                <w:sz w:val="36"/>
                <w:szCs w:val="36"/>
                <w:lang w:bidi="ar"/>
              </w:rPr>
              <w:t xml:space="preserve"> 基层就业和社会保障服务设施建设项目</w:t>
            </w:r>
            <w:r>
              <w:rPr>
                <w:rFonts w:hint="eastAsia" w:ascii="仿宋" w:hAnsi="仿宋" w:eastAsia="仿宋" w:cs="仿宋"/>
                <w:kern w:val="0"/>
                <w:sz w:val="36"/>
                <w:szCs w:val="36"/>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51090422T000000402732-基层就业和社会保障服务设施建设项目</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基层就业和社会保障服务设施建设项目已完工，但未付工程款。</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26.51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44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67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基层就业和社会保障服务设施建设项目未付工程款。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600" w:lineRule="exact"/>
              <w:ind w:firstLine="360" w:firstLineChars="200"/>
              <w:rPr>
                <w:rFonts w:asciiTheme="minorEastAsia" w:hAnsiTheme="minorEastAsia" w:eastAsiaTheme="minorEastAsia"/>
                <w:sz w:val="18"/>
                <w:szCs w:val="18"/>
                <w:bdr w:val="single" w:color="auto" w:sz="4" w:space="0"/>
                <w:lang w:val="zh-CN"/>
              </w:rPr>
            </w:pPr>
            <w:r>
              <w:rPr>
                <w:rFonts w:hint="eastAsia" w:cs="仿宋" w:asciiTheme="minorEastAsia" w:hAnsiTheme="minorEastAsia" w:eastAsiaTheme="minorEastAsia"/>
                <w:sz w:val="18"/>
                <w:szCs w:val="18"/>
              </w:rPr>
              <w:t>该项目在实施中有序推进产生了很好的社会效益</w:t>
            </w:r>
            <w:r>
              <w:rPr>
                <w:rFonts w:hint="eastAsia" w:asciiTheme="minorEastAsia" w:hAnsiTheme="minorEastAsia" w:eastAsiaTheme="minorEastAsia"/>
                <w:sz w:val="18"/>
                <w:szCs w:val="18"/>
                <w:lang w:val="zh-CN"/>
              </w:rPr>
              <w:t>。</w:t>
            </w:r>
          </w:p>
          <w:p>
            <w:pPr>
              <w:widowControl/>
              <w:jc w:val="left"/>
              <w:textAlignment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bottom w:val="single" w:color="auto" w:sz="4" w:space="0"/>
            </w:tcBorders>
            <w:shd w:val="clear" w:color="auto" w:fill="auto"/>
            <w:vAlign w:val="center"/>
          </w:tcPr>
          <w:p>
            <w:pPr>
              <w:widowControl/>
              <w:jc w:val="center"/>
              <w:textAlignment w:val="center"/>
              <w:rPr>
                <w:rFonts w:ascii="仿宋" w:hAnsi="仿宋" w:eastAsia="仿宋" w:cs="黑体"/>
                <w:b/>
                <w:bCs/>
                <w:color w:val="000000"/>
                <w:kern w:val="0"/>
                <w:sz w:val="32"/>
                <w:szCs w:val="32"/>
                <w:lang w:bidi="ar"/>
              </w:rPr>
            </w:pPr>
          </w:p>
          <w:p>
            <w:pPr>
              <w:widowControl/>
              <w:jc w:val="center"/>
              <w:textAlignment w:val="center"/>
              <w:rPr>
                <w:rFonts w:ascii="仿宋" w:hAnsi="仿宋" w:eastAsia="仿宋" w:cs="黑体"/>
                <w:b/>
                <w:bCs/>
                <w:color w:val="000000"/>
                <w:kern w:val="0"/>
                <w:sz w:val="32"/>
                <w:szCs w:val="32"/>
                <w:lang w:bidi="ar"/>
              </w:rPr>
            </w:pPr>
          </w:p>
          <w:p>
            <w:pPr>
              <w:widowControl/>
              <w:jc w:val="center"/>
              <w:textAlignment w:val="center"/>
              <w:rPr>
                <w:rFonts w:ascii="仿宋" w:hAnsi="仿宋" w:eastAsia="仿宋" w:cs="黑体"/>
                <w:b/>
                <w:bCs/>
                <w:color w:val="000000"/>
                <w:kern w:val="0"/>
                <w:sz w:val="32"/>
                <w:szCs w:val="32"/>
                <w:lang w:bidi="ar"/>
              </w:rPr>
            </w:pPr>
          </w:p>
          <w:p>
            <w:pPr>
              <w:widowControl/>
              <w:jc w:val="center"/>
              <w:textAlignment w:val="center"/>
              <w:rPr>
                <w:rFonts w:ascii="仿宋" w:hAnsi="仿宋" w:eastAsia="仿宋" w:cs="黑体"/>
                <w:b/>
                <w:bCs/>
                <w:color w:val="000000"/>
                <w:kern w:val="0"/>
                <w:sz w:val="32"/>
                <w:szCs w:val="32"/>
                <w:lang w:bidi="ar"/>
              </w:rPr>
            </w:pPr>
            <w:r>
              <w:rPr>
                <w:rFonts w:hint="eastAsia" w:ascii="仿宋" w:hAnsi="仿宋" w:eastAsia="仿宋" w:cs="黑体"/>
                <w:b/>
                <w:bCs/>
                <w:color w:val="000000"/>
                <w:kern w:val="0"/>
                <w:sz w:val="32"/>
                <w:szCs w:val="32"/>
                <w:lang w:bidi="ar"/>
              </w:rPr>
              <w:t>4.</w:t>
            </w:r>
            <w:r>
              <w:rPr>
                <w:rFonts w:ascii="仿宋" w:hAnsi="仿宋" w:eastAsia="仿宋" w:cs="宋体"/>
                <w:color w:val="000000"/>
                <w:kern w:val="0"/>
                <w:sz w:val="32"/>
                <w:szCs w:val="32"/>
                <w:lang w:bidi="ar"/>
              </w:rPr>
              <w:t xml:space="preserve"> 劳动保障</w:t>
            </w:r>
            <w:r>
              <w:rPr>
                <w:rFonts w:hint="eastAsia" w:ascii="仿宋" w:hAnsi="仿宋" w:eastAsia="仿宋" w:cs="宋体"/>
                <w:color w:val="000000"/>
                <w:kern w:val="0"/>
                <w:sz w:val="32"/>
                <w:szCs w:val="32"/>
                <w:lang w:bidi="ar"/>
              </w:rPr>
              <w:t>、</w:t>
            </w:r>
            <w:r>
              <w:rPr>
                <w:rFonts w:ascii="仿宋" w:hAnsi="仿宋" w:eastAsia="仿宋" w:cs="宋体"/>
                <w:color w:val="000000"/>
                <w:kern w:val="0"/>
                <w:sz w:val="32"/>
                <w:szCs w:val="32"/>
                <w:lang w:bidi="ar"/>
              </w:rPr>
              <w:t>监察</w:t>
            </w:r>
            <w:r>
              <w:rPr>
                <w:rFonts w:hint="eastAsia" w:ascii="仿宋" w:hAnsi="仿宋" w:eastAsia="仿宋" w:cs="宋体"/>
                <w:color w:val="000000"/>
                <w:kern w:val="0"/>
                <w:sz w:val="32"/>
                <w:szCs w:val="32"/>
                <w:lang w:bidi="ar"/>
              </w:rPr>
              <w:t>、</w:t>
            </w:r>
            <w:r>
              <w:rPr>
                <w:rFonts w:ascii="仿宋" w:hAnsi="仿宋" w:eastAsia="仿宋" w:cs="宋体"/>
                <w:color w:val="000000"/>
                <w:kern w:val="0"/>
                <w:sz w:val="32"/>
                <w:szCs w:val="32"/>
                <w:lang w:bidi="ar"/>
              </w:rPr>
              <w:t>社会基金监督等经费项目</w:t>
            </w:r>
            <w:r>
              <w:rPr>
                <w:rFonts w:hint="eastAsia" w:ascii="仿宋" w:hAnsi="仿宋" w:eastAsia="仿宋" w:cs="仿宋"/>
                <w:kern w:val="0"/>
                <w:sz w:val="32"/>
                <w:szCs w:val="32"/>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51090422T000000402755-劳动保障、监察、社会基金监督等经费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一是年受理劳动监察案件约110件，办结约90件，部分办结约20件，每件案件需送达文书约3次，现场送达需2人以上；二是对全区社保基金监督，包括印制监督宣传资料、防止基金流失，其它劳动保障等工作费用。</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20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劳动保障、监察、社会基金监督等经费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社会影响力</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高中低</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21</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93</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r>
              <w:rPr>
                <w:rFonts w:hint="eastAsia" w:cs="仿宋" w:asciiTheme="minorEastAsia" w:hAnsiTheme="minorEastAsia" w:eastAsiaTheme="minorEastAsia"/>
                <w:kern w:val="0"/>
                <w:sz w:val="18"/>
                <w:szCs w:val="18"/>
                <w:lang w:val="zh-CN"/>
              </w:rPr>
              <w:tab/>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bottom w:val="single" w:color="auto" w:sz="4" w:space="0"/>
            </w:tcBorders>
            <w:shd w:val="clear" w:color="auto" w:fill="auto"/>
            <w:vAlign w:val="center"/>
          </w:tcPr>
          <w:p>
            <w:pPr>
              <w:pStyle w:val="2"/>
              <w:rPr>
                <w:b w:val="0"/>
                <w:bCs w:val="0"/>
                <w:lang w:bidi="ar"/>
              </w:rPr>
            </w:pPr>
          </w:p>
          <w:p>
            <w:pPr>
              <w:widowControl/>
              <w:jc w:val="center"/>
              <w:textAlignment w:val="center"/>
              <w:rPr>
                <w:rFonts w:ascii="仿宋" w:hAnsi="仿宋" w:eastAsia="仿宋" w:cs="黑体"/>
                <w:color w:val="000000"/>
                <w:kern w:val="0"/>
                <w:sz w:val="36"/>
                <w:szCs w:val="36"/>
                <w:lang w:bidi="ar"/>
              </w:rPr>
            </w:pPr>
            <w:r>
              <w:rPr>
                <w:rFonts w:hint="eastAsia" w:ascii="仿宋" w:hAnsi="仿宋" w:eastAsia="仿宋" w:cs="黑体"/>
                <w:color w:val="000000"/>
                <w:kern w:val="0"/>
                <w:sz w:val="36"/>
                <w:szCs w:val="36"/>
                <w:lang w:bidi="ar"/>
              </w:rPr>
              <w:t>5.</w:t>
            </w:r>
            <w:r>
              <w:rPr>
                <w:rFonts w:ascii="仿宋" w:hAnsi="仿宋" w:eastAsia="仿宋" w:cs="宋体"/>
                <w:color w:val="000000"/>
                <w:kern w:val="0"/>
                <w:sz w:val="36"/>
                <w:szCs w:val="36"/>
                <w:lang w:bidi="ar"/>
              </w:rPr>
              <w:t xml:space="preserve"> 人事考试考务费项目</w:t>
            </w:r>
            <w:r>
              <w:rPr>
                <w:rFonts w:hint="eastAsia" w:ascii="仿宋" w:hAnsi="仿宋" w:eastAsia="仿宋" w:cs="仿宋"/>
                <w:kern w:val="0"/>
                <w:sz w:val="36"/>
                <w:szCs w:val="36"/>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51090422T000000402802-人事考试考务费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2022年拟开展事业单位公开考试招聘</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5.50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36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2022年拟开展事业单位公开考试招聘</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正常开展工作</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增加就业率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社会认可度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580" w:lineRule="exact"/>
              <w:ind w:firstLine="360" w:firstLineChars="200"/>
              <w:contextualSpacing/>
              <w:jc w:val="left"/>
              <w:rPr>
                <w:rFonts w:cs="仿宋" w:asciiTheme="minorEastAsia" w:hAnsiTheme="minorEastAsia" w:eastAsiaTheme="minorEastAsia"/>
                <w:kern w:val="0"/>
                <w:sz w:val="18"/>
                <w:szCs w:val="18"/>
                <w:lang w:val="zh-CN"/>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bottom w:val="single" w:color="auto" w:sz="4" w:space="0"/>
            </w:tcBorders>
            <w:shd w:val="clear" w:color="auto" w:fill="auto"/>
            <w:vAlign w:val="center"/>
          </w:tcPr>
          <w:p>
            <w:pPr>
              <w:widowControl/>
              <w:jc w:val="center"/>
              <w:textAlignment w:val="center"/>
              <w:rPr>
                <w:rFonts w:ascii="仿宋" w:hAnsi="仿宋" w:eastAsia="仿宋" w:cs="黑体"/>
                <w:color w:val="000000"/>
                <w:kern w:val="0"/>
                <w:sz w:val="36"/>
                <w:szCs w:val="36"/>
                <w:lang w:bidi="ar"/>
              </w:rPr>
            </w:pPr>
          </w:p>
          <w:p>
            <w:pPr>
              <w:widowControl/>
              <w:jc w:val="center"/>
              <w:textAlignment w:val="center"/>
              <w:rPr>
                <w:rFonts w:ascii="仿宋" w:hAnsi="仿宋" w:eastAsia="仿宋" w:cs="黑体"/>
                <w:color w:val="000000"/>
                <w:kern w:val="0"/>
                <w:sz w:val="36"/>
                <w:szCs w:val="36"/>
                <w:lang w:bidi="ar"/>
              </w:rPr>
            </w:pPr>
          </w:p>
          <w:p>
            <w:pPr>
              <w:widowControl/>
              <w:jc w:val="center"/>
              <w:textAlignment w:val="center"/>
              <w:rPr>
                <w:rFonts w:ascii="黑体" w:hAnsi="宋体" w:eastAsia="黑体" w:cs="黑体"/>
                <w:b/>
                <w:bCs/>
                <w:color w:val="000000"/>
                <w:kern w:val="0"/>
                <w:sz w:val="36"/>
                <w:szCs w:val="36"/>
                <w:lang w:bidi="ar"/>
              </w:rPr>
            </w:pPr>
            <w:r>
              <w:rPr>
                <w:rFonts w:ascii="仿宋" w:hAnsi="仿宋" w:eastAsia="仿宋" w:cs="黑体"/>
                <w:color w:val="000000"/>
                <w:kern w:val="0"/>
                <w:sz w:val="36"/>
                <w:szCs w:val="36"/>
                <w:lang w:bidi="ar"/>
              </w:rPr>
              <w:t>6</w:t>
            </w:r>
            <w:r>
              <w:rPr>
                <w:rFonts w:hint="eastAsia" w:ascii="仿宋" w:hAnsi="仿宋" w:eastAsia="仿宋" w:cs="黑体"/>
                <w:color w:val="000000"/>
                <w:kern w:val="0"/>
                <w:sz w:val="36"/>
                <w:szCs w:val="36"/>
                <w:lang w:bidi="ar"/>
              </w:rPr>
              <w:t>.</w:t>
            </w:r>
            <w:r>
              <w:rPr>
                <w:rFonts w:ascii="仿宋" w:hAnsi="仿宋" w:eastAsia="仿宋" w:cs="宋体"/>
                <w:color w:val="000000"/>
                <w:kern w:val="0"/>
                <w:sz w:val="36"/>
                <w:szCs w:val="36"/>
                <w:lang w:bidi="ar"/>
              </w:rPr>
              <w:t xml:space="preserve"> 仲裁工作经费项目</w:t>
            </w:r>
            <w:r>
              <w:rPr>
                <w:rFonts w:hint="eastAsia" w:ascii="仿宋" w:hAnsi="仿宋" w:eastAsia="仿宋" w:cs="仿宋"/>
                <w:kern w:val="0"/>
                <w:sz w:val="36"/>
                <w:szCs w:val="36"/>
              </w:rPr>
              <w:t>绩效目标自评表</w:t>
            </w:r>
          </w:p>
        </w:tc>
      </w:tr>
      <w:tr>
        <w:tblPrEx>
          <w:tblCellMar>
            <w:top w:w="0" w:type="dxa"/>
            <w:left w:w="108" w:type="dxa"/>
            <w:bottom w:w="0" w:type="dxa"/>
            <w:right w:w="108" w:type="dxa"/>
          </w:tblCellMar>
        </w:tblPrEx>
        <w:trPr>
          <w:gridAfter w:val="1"/>
          <w:wAfter w:w="505" w:type="dxa"/>
          <w:trHeight w:val="904" w:hRule="atLeast"/>
          <w:jc w:val="center"/>
        </w:trPr>
        <w:tc>
          <w:tcPr>
            <w:tcW w:w="9985" w:type="dxa"/>
            <w:gridSpan w:val="1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tblPrEx>
          <w:tblCellMar>
            <w:top w:w="0" w:type="dxa"/>
            <w:left w:w="108" w:type="dxa"/>
            <w:bottom w:w="0" w:type="dxa"/>
            <w:right w:w="108" w:type="dxa"/>
          </w:tblCellMar>
        </w:tblPrEx>
        <w:trPr>
          <w:gridAfter w:val="1"/>
          <w:wAfter w:w="505" w:type="dxa"/>
          <w:trHeight w:val="285"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51090422T000000402823-仲裁工作经费</w:t>
            </w:r>
          </w:p>
        </w:tc>
      </w:tr>
      <w:tr>
        <w:tblPrEx>
          <w:tblCellMar>
            <w:top w:w="0" w:type="dxa"/>
            <w:left w:w="108" w:type="dxa"/>
            <w:bottom w:w="0" w:type="dxa"/>
            <w:right w:w="108" w:type="dxa"/>
          </w:tblCellMar>
        </w:tblPrEx>
        <w:trPr>
          <w:gridAfter w:val="1"/>
          <w:wAfter w:w="505" w:type="dxa"/>
          <w:trHeight w:val="514" w:hRule="atLeast"/>
          <w:jc w:val="center"/>
        </w:trPr>
        <w:tc>
          <w:tcPr>
            <w:tcW w:w="2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遂宁市安居区人力资源和社会保障局部门</w:t>
            </w:r>
          </w:p>
        </w:tc>
        <w:tc>
          <w:tcPr>
            <w:tcW w:w="118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遂宁市安居区人力资源和社会保障局</w:t>
            </w:r>
          </w:p>
        </w:tc>
      </w:tr>
      <w:tr>
        <w:tblPrEx>
          <w:tblCellMar>
            <w:top w:w="0" w:type="dxa"/>
            <w:left w:w="108" w:type="dxa"/>
            <w:bottom w:w="0" w:type="dxa"/>
            <w:right w:w="108" w:type="dxa"/>
          </w:tblCellMar>
        </w:tblPrEx>
        <w:trPr>
          <w:gridAfter w:val="1"/>
          <w:wAfter w:w="505" w:type="dxa"/>
          <w:trHeight w:val="285"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tblPrEx>
          <w:tblCellMar>
            <w:top w:w="0" w:type="dxa"/>
            <w:left w:w="108" w:type="dxa"/>
            <w:bottom w:w="0" w:type="dxa"/>
            <w:right w:w="108" w:type="dxa"/>
          </w:tblCellMar>
        </w:tblPrEx>
        <w:trPr>
          <w:gridAfter w:val="1"/>
          <w:wAfter w:w="505" w:type="dxa"/>
          <w:trHeight w:val="70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0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接收、办理仲裁案件</w:t>
            </w:r>
          </w:p>
        </w:tc>
        <w:tc>
          <w:tcPr>
            <w:tcW w:w="38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tblPrEx>
          <w:tblCellMar>
            <w:top w:w="0" w:type="dxa"/>
            <w:left w:w="108" w:type="dxa"/>
            <w:bottom w:w="0" w:type="dxa"/>
            <w:right w:w="108" w:type="dxa"/>
          </w:tblCellMar>
        </w:tblPrEx>
        <w:trPr>
          <w:gridAfter w:val="1"/>
          <w:wAfter w:w="505" w:type="dxa"/>
          <w:trHeight w:val="69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8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360"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tblPrEx>
          <w:tblCellMar>
            <w:top w:w="0" w:type="dxa"/>
            <w:left w:w="108" w:type="dxa"/>
            <w:bottom w:w="0" w:type="dxa"/>
            <w:right w:w="108" w:type="dxa"/>
          </w:tblCellMar>
        </w:tblPrEx>
        <w:trPr>
          <w:gridAfter w:val="1"/>
          <w:wAfter w:w="505" w:type="dxa"/>
          <w:trHeight w:val="38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14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gridAfter w:val="1"/>
          <w:wAfter w:w="505" w:type="dxa"/>
          <w:trHeight w:val="43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4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02"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126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4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接收、办理仲裁案件</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办结数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338"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可持续影响指标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社会影响</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优良中低差</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13</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454"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73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gridAfter w:val="1"/>
          <w:wAfter w:w="505" w:type="dxa"/>
          <w:trHeight w:val="60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i/>
                <w:iCs/>
                <w:color w:val="000000"/>
                <w:sz w:val="16"/>
                <w:szCs w:val="16"/>
              </w:rPr>
            </w:pPr>
            <w:r>
              <w:rPr>
                <w:rFonts w:hint="eastAsia" w:cs="仿宋" w:asciiTheme="minorEastAsia" w:hAnsiTheme="minorEastAsia" w:eastAsiaTheme="minorEastAsia"/>
                <w:sz w:val="18"/>
                <w:szCs w:val="18"/>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tc>
      </w:tr>
      <w:tr>
        <w:tblPrEx>
          <w:tblCellMar>
            <w:top w:w="0" w:type="dxa"/>
            <w:left w:w="108" w:type="dxa"/>
            <w:bottom w:w="0" w:type="dxa"/>
            <w:right w:w="108" w:type="dxa"/>
          </w:tblCellMar>
        </w:tblPrEx>
        <w:trPr>
          <w:gridAfter w:val="1"/>
          <w:wAfter w:w="505" w:type="dxa"/>
          <w:trHeight w:val="57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微软雅黑" w:asciiTheme="minorEastAsia" w:hAnsiTheme="minorEastAsia" w:eastAsiaTheme="minorEastAsia"/>
                <w:i/>
                <w:iCs/>
                <w:color w:val="000000"/>
                <w:sz w:val="18"/>
                <w:szCs w:val="18"/>
              </w:rPr>
            </w:pPr>
            <w:r>
              <w:rPr>
                <w:rFonts w:hint="eastAsia" w:cs="仿宋" w:asciiTheme="minorEastAsia" w:hAnsiTheme="minorEastAsia" w:eastAsiaTheme="minorEastAsia"/>
                <w:sz w:val="18"/>
                <w:szCs w:val="18"/>
              </w:rPr>
              <w:t>预算编制精确度有待进一步提高，对各类资金的管理还存在不完善的问题，制度建设不完善。</w:t>
            </w:r>
            <w:r>
              <w:rPr>
                <w:rFonts w:hint="eastAsia" w:cs="仿宋" w:asciiTheme="minorEastAsia" w:hAnsiTheme="minorEastAsia" w:eastAsiaTheme="minorEastAsia"/>
                <w:kern w:val="0"/>
                <w:sz w:val="18"/>
                <w:szCs w:val="18"/>
                <w:lang w:val="zh-CN"/>
              </w:rPr>
              <w:tab/>
            </w:r>
          </w:p>
        </w:tc>
      </w:tr>
      <w:tr>
        <w:tblPrEx>
          <w:tblCellMar>
            <w:top w:w="0" w:type="dxa"/>
            <w:left w:w="108" w:type="dxa"/>
            <w:bottom w:w="0" w:type="dxa"/>
            <w:right w:w="108" w:type="dxa"/>
          </w:tblCellMar>
        </w:tblPrEx>
        <w:trPr>
          <w:gridAfter w:val="1"/>
          <w:wAfter w:w="505" w:type="dxa"/>
          <w:trHeight w:val="634"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89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580" w:lineRule="exact"/>
              <w:ind w:firstLine="360" w:firstLineChars="200"/>
              <w:contextualSpacing/>
              <w:jc w:val="left"/>
              <w:rPr>
                <w:rFonts w:cs="仿宋" w:asciiTheme="minorEastAsia" w:hAnsiTheme="minorEastAsia" w:eastAsiaTheme="minorEastAsia"/>
                <w:kern w:val="0"/>
                <w:sz w:val="18"/>
                <w:szCs w:val="18"/>
                <w:lang w:val="zh-CN"/>
              </w:rPr>
            </w:pPr>
            <w:r>
              <w:rPr>
                <w:rFonts w:hint="eastAsia" w:cs="仿宋" w:asciiTheme="minorEastAsia" w:hAnsiTheme="minorEastAsia" w:eastAsiaTheme="minorEastAsia"/>
                <w:sz w:val="18"/>
                <w:szCs w:val="18"/>
              </w:rPr>
              <w:t>优化预算编制，加强预算执行。合理安排预算支出计划，优化资金支出结构，强化资金统筹和绩效管理，确保工作有效开展</w:t>
            </w:r>
            <w:r>
              <w:rPr>
                <w:rFonts w:hint="eastAsia" w:cs="仿宋" w:asciiTheme="minorEastAsia" w:hAnsiTheme="minorEastAsia" w:eastAsiaTheme="minorEastAsia"/>
                <w:kern w:val="0"/>
                <w:sz w:val="18"/>
                <w:szCs w:val="18"/>
                <w:lang w:val="zh-CN"/>
              </w:rPr>
              <w:t>。</w:t>
            </w:r>
          </w:p>
          <w:p>
            <w:pPr>
              <w:widowControl/>
              <w:jc w:val="left"/>
              <w:textAlignment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gridAfter w:val="1"/>
          <w:wAfter w:w="505" w:type="dxa"/>
          <w:trHeight w:val="285" w:hRule="atLeast"/>
          <w:jc w:val="center"/>
        </w:trPr>
        <w:tc>
          <w:tcPr>
            <w:tcW w:w="51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项目负责人：</w:t>
            </w:r>
          </w:p>
        </w:tc>
        <w:tc>
          <w:tcPr>
            <w:tcW w:w="48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w:t>
            </w:r>
          </w:p>
        </w:tc>
      </w:tr>
      <w:tr>
        <w:tblPrEx>
          <w:tblCellMar>
            <w:top w:w="0" w:type="dxa"/>
            <w:left w:w="108" w:type="dxa"/>
            <w:bottom w:w="0" w:type="dxa"/>
            <w:right w:w="108" w:type="dxa"/>
          </w:tblCellMar>
        </w:tblPrEx>
        <w:trPr>
          <w:gridAfter w:val="1"/>
          <w:wAfter w:w="505" w:type="dxa"/>
          <w:trHeight w:val="285" w:hRule="atLeast"/>
          <w:jc w:val="center"/>
        </w:trPr>
        <w:tc>
          <w:tcPr>
            <w:tcW w:w="1087" w:type="dxa"/>
            <w:tcBorders>
              <w:top w:val="nil"/>
              <w:left w:val="nil"/>
              <w:bottom w:val="nil"/>
              <w:right w:val="nil"/>
            </w:tcBorders>
            <w:shd w:val="clear" w:color="auto" w:fill="auto"/>
            <w:vAlign w:val="center"/>
          </w:tcPr>
          <w:p>
            <w:pPr>
              <w:rPr>
                <w:rFonts w:ascii="宋体" w:hAnsi="宋体" w:cs="宋体"/>
                <w:color w:val="000000"/>
                <w:sz w:val="18"/>
                <w:szCs w:val="18"/>
              </w:rPr>
            </w:pPr>
          </w:p>
          <w:p>
            <w:pPr>
              <w:pStyle w:val="2"/>
            </w:pPr>
          </w:p>
        </w:tc>
        <w:tc>
          <w:tcPr>
            <w:tcW w:w="1011" w:type="dxa"/>
            <w:gridSpan w:val="3"/>
            <w:tcBorders>
              <w:top w:val="nil"/>
              <w:left w:val="nil"/>
              <w:bottom w:val="nil"/>
              <w:right w:val="nil"/>
            </w:tcBorders>
            <w:shd w:val="clear" w:color="auto" w:fill="auto"/>
            <w:vAlign w:val="center"/>
          </w:tcPr>
          <w:p>
            <w:pPr>
              <w:rPr>
                <w:rFonts w:ascii="宋体" w:hAnsi="宋体" w:cs="宋体"/>
                <w:color w:val="000000"/>
                <w:sz w:val="18"/>
                <w:szCs w:val="18"/>
              </w:rPr>
            </w:pPr>
          </w:p>
        </w:tc>
        <w:tc>
          <w:tcPr>
            <w:tcW w:w="1107" w:type="dxa"/>
            <w:gridSpan w:val="2"/>
            <w:tcBorders>
              <w:top w:val="nil"/>
              <w:left w:val="nil"/>
              <w:bottom w:val="nil"/>
              <w:right w:val="nil"/>
            </w:tcBorders>
            <w:shd w:val="clear" w:color="auto" w:fill="auto"/>
            <w:vAlign w:val="center"/>
          </w:tcPr>
          <w:p>
            <w:pPr>
              <w:rPr>
                <w:rFonts w:ascii="宋体" w:hAnsi="宋体" w:cs="宋体"/>
                <w:color w:val="000000"/>
                <w:sz w:val="18"/>
                <w:szCs w:val="18"/>
              </w:rPr>
            </w:pPr>
          </w:p>
        </w:tc>
        <w:tc>
          <w:tcPr>
            <w:tcW w:w="1310" w:type="dxa"/>
            <w:gridSpan w:val="2"/>
            <w:tcBorders>
              <w:top w:val="nil"/>
              <w:left w:val="nil"/>
              <w:bottom w:val="nil"/>
              <w:right w:val="nil"/>
            </w:tcBorders>
            <w:shd w:val="clear" w:color="auto" w:fill="auto"/>
            <w:vAlign w:val="center"/>
          </w:tcPr>
          <w:p>
            <w:pPr>
              <w:rPr>
                <w:rFonts w:ascii="宋体" w:hAnsi="宋体" w:cs="宋体"/>
                <w:color w:val="000000"/>
                <w:sz w:val="18"/>
                <w:szCs w:val="18"/>
              </w:rPr>
            </w:pPr>
          </w:p>
        </w:tc>
        <w:tc>
          <w:tcPr>
            <w:tcW w:w="608"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010"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182"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600"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583" w:type="dxa"/>
            <w:tcBorders>
              <w:top w:val="nil"/>
              <w:left w:val="nil"/>
              <w:bottom w:val="nil"/>
              <w:right w:val="nil"/>
            </w:tcBorders>
            <w:shd w:val="clear" w:color="auto" w:fill="auto"/>
            <w:vAlign w:val="center"/>
          </w:tcPr>
          <w:p>
            <w:pPr>
              <w:rPr>
                <w:rFonts w:ascii="宋体" w:hAnsi="宋体" w:cs="宋体"/>
                <w:color w:val="000000"/>
                <w:sz w:val="18"/>
                <w:szCs w:val="18"/>
              </w:rPr>
            </w:pPr>
          </w:p>
        </w:tc>
        <w:tc>
          <w:tcPr>
            <w:tcW w:w="1487" w:type="dxa"/>
            <w:gridSpan w:val="3"/>
            <w:tcBorders>
              <w:top w:val="nil"/>
              <w:left w:val="nil"/>
              <w:bottom w:val="nil"/>
              <w:right w:val="nil"/>
            </w:tcBorders>
            <w:shd w:val="clear" w:color="auto" w:fill="auto"/>
            <w:vAlign w:val="center"/>
          </w:tcPr>
          <w:p>
            <w:pPr>
              <w:rPr>
                <w:rFonts w:ascii="宋体" w:hAnsi="宋体" w:cs="宋体"/>
                <w:color w:val="000000"/>
                <w:sz w:val="18"/>
                <w:szCs w:val="18"/>
              </w:rPr>
            </w:pPr>
          </w:p>
        </w:tc>
      </w:tr>
    </w:tbl>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rFonts w:hAnsi="宋体" w:cs="宋体"/>
          <w:sz w:val="32"/>
          <w:szCs w:val="32"/>
          <w:shd w:val="clear" w:color="auto" w:fill="FFFFFF"/>
          <w:lang w:val="zh-CN"/>
        </w:rPr>
      </w:pPr>
    </w:p>
    <w:p>
      <w:pPr>
        <w:pStyle w:val="7"/>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2"/>
        <w:ind w:firstLine="640" w:firstLineChars="200"/>
        <w:rPr>
          <w:rFonts w:ascii="黑体" w:eastAsia="黑体"/>
          <w:b w:val="0"/>
          <w:lang w:val="zh-CN"/>
        </w:rPr>
      </w:pPr>
      <w:bookmarkStart w:id="128" w:name="_Toc143811775"/>
      <w:r>
        <w:rPr>
          <w:rFonts w:hint="eastAsia" w:ascii="黑体" w:eastAsia="黑体"/>
          <w:b w:val="0"/>
          <w:lang w:val="zh-CN"/>
        </w:rPr>
        <w:t>一、项目概况</w:t>
      </w:r>
      <w:bookmarkEnd w:id="128"/>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kern w:val="0"/>
          <w:sz w:val="32"/>
          <w:szCs w:val="32"/>
          <w:lang w:val="zh-CN"/>
        </w:rPr>
        <w:t>1.基层就业和社会保障服务设施建设项目</w:t>
      </w:r>
      <w:r>
        <w:rPr>
          <w:rFonts w:hint="eastAsia" w:ascii="仿宋" w:hAnsi="仿宋" w:eastAsia="仿宋" w:cs="仿宋_GB2312"/>
          <w:sz w:val="32"/>
          <w:szCs w:val="32"/>
        </w:rPr>
        <w:t>主要用于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w:t>
      </w:r>
      <w:r>
        <w:rPr>
          <w:rFonts w:hint="eastAsia" w:ascii="仿宋" w:hAnsi="仿宋" w:eastAsia="仿宋" w:cs="仿宋"/>
          <w:sz w:val="32"/>
          <w:szCs w:val="32"/>
        </w:rPr>
        <w:t>由区人社局负责实施安居区基层就业和社会保障服务设施建设项目，该项目纳入国家“十二五”规划的安居区就业和社会保障服务设施建设项目（“1+4”项目，即：新建1个区级就业和社会保障服务中心4000㎡和西眉镇、拦江镇、聚贤镇、柔刚街道办事处4个就业和社会保障服务中心各300㎡）。</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按合同支付四川联兴建筑有限公司226万元（减轻财政压力2022年计划支付80万元），四川元博项目管理有限公司7.6万元，信息产业第十一设计研究院科技工程有限公司绵阳分公司7.9万元,剩余的2022年支。</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w:t>
      </w:r>
      <w:r>
        <w:rPr>
          <w:rFonts w:hint="eastAsia" w:ascii="仿宋" w:hAnsi="仿宋" w:eastAsia="仿宋" w:cs="仿宋"/>
          <w:color w:val="000000"/>
          <w:sz w:val="32"/>
          <w:szCs w:val="32"/>
        </w:rPr>
        <w:t>人力资源社会保障局</w:t>
      </w:r>
      <w:r>
        <w:rPr>
          <w:rFonts w:hint="eastAsia" w:ascii="仿宋" w:hAnsi="仿宋" w:eastAsia="仿宋"/>
          <w:sz w:val="32"/>
          <w:szCs w:val="32"/>
        </w:rPr>
        <w:t>相关财务制度管理，资金主要用于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6"/>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w:t>
      </w:r>
      <w:r>
        <w:rPr>
          <w:rFonts w:hint="eastAsia" w:ascii="仿宋" w:hAnsi="仿宋" w:eastAsia="仿宋" w:cs="仿宋"/>
          <w:color w:val="000000"/>
          <w:sz w:val="32"/>
          <w:szCs w:val="32"/>
        </w:rPr>
        <w:t>人力资源社会保障局</w:t>
      </w:r>
      <w:r>
        <w:rPr>
          <w:rFonts w:hint="eastAsia" w:ascii="仿宋" w:hAnsi="仿宋" w:eastAsia="仿宋"/>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1.项目主要内容。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建立区级就业和社会保障服务中心1处4000㎡，乡镇就业和社会保障服务中心3处（拦江镇、西眉镇、聚贤镇）各300㎡。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2.该项目已达到很好的成效。</w:t>
      </w:r>
    </w:p>
    <w:p>
      <w:pPr>
        <w:widowControl/>
        <w:adjustRightInd w:val="0"/>
        <w:snapToGrid w:val="0"/>
        <w:spacing w:line="580" w:lineRule="exact"/>
        <w:ind w:firstLine="640" w:firstLineChars="200"/>
        <w:contextualSpacing/>
        <w:jc w:val="left"/>
        <w:rPr>
          <w:rFonts w:ascii="仿宋" w:hAnsi="仿宋" w:eastAsia="仿宋"/>
          <w:b/>
          <w:sz w:val="32"/>
          <w:szCs w:val="32"/>
          <w:lang w:val="zh-CN"/>
        </w:rPr>
      </w:pPr>
      <w:r>
        <w:rPr>
          <w:rFonts w:hint="eastAsia" w:ascii="仿宋" w:hAnsi="仿宋" w:eastAsia="仿宋" w:cs="仿宋"/>
          <w:sz w:val="32"/>
          <w:szCs w:val="32"/>
        </w:rPr>
        <w:t>3.2022年申报的内容与实际相符，申报目标合理可行。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pStyle w:val="21"/>
        <w:shd w:val="clear" w:color="auto" w:fill="FFFFFF"/>
        <w:spacing w:line="560" w:lineRule="exact"/>
        <w:ind w:firstLine="640" w:firstLineChars="200"/>
        <w:rPr>
          <w:rFonts w:ascii="仿宋" w:hAnsi="仿宋" w:eastAsia="仿宋" w:cs="Times New Roman"/>
          <w:sz w:val="32"/>
          <w:szCs w:val="32"/>
          <w:shd w:val="clear" w:color="auto" w:fill="FFFFFF"/>
        </w:rPr>
      </w:pPr>
      <w:r>
        <w:rPr>
          <w:rFonts w:ascii="仿宋" w:hAnsi="仿宋" w:eastAsia="仿宋" w:cs="Times New Roman"/>
          <w:sz w:val="32"/>
          <w:szCs w:val="32"/>
        </w:rPr>
        <w:t xml:space="preserve"> 一是认真开展前期工作。</w:t>
      </w:r>
      <w:r>
        <w:rPr>
          <w:rFonts w:ascii="仿宋" w:hAnsi="仿宋" w:eastAsia="仿宋" w:cs="Times New Roman"/>
          <w:sz w:val="32"/>
          <w:szCs w:val="32"/>
          <w:shd w:val="clear" w:color="auto" w:fill="FFFFFF"/>
        </w:rPr>
        <w:t>根据下发的有关文件要求，我局迅速向主要负责人报告有关情况。按照主要领导的指示意见，组建了绩效评价管理工作领导小组，迅速开展前期各项准备工作。</w:t>
      </w:r>
    </w:p>
    <w:p>
      <w:pPr>
        <w:pStyle w:val="22"/>
        <w:ind w:left="0" w:leftChars="0" w:firstLine="640"/>
        <w:rPr>
          <w:rFonts w:ascii="仿宋" w:hAnsi="仿宋" w:eastAsia="仿宋"/>
          <w:sz w:val="32"/>
          <w:lang w:val="zh-CN"/>
        </w:rPr>
      </w:pPr>
      <w:r>
        <w:rPr>
          <w:rFonts w:ascii="仿宋" w:hAnsi="仿宋" w:eastAsia="仿宋"/>
          <w:sz w:val="32"/>
        </w:rPr>
        <w:t xml:space="preserve">二是 </w:t>
      </w:r>
      <w:r>
        <w:rPr>
          <w:rFonts w:ascii="仿宋" w:hAnsi="仿宋" w:eastAsia="仿宋"/>
          <w:sz w:val="32"/>
          <w:shd w:val="clear" w:color="auto" w:fill="FFFFFF"/>
        </w:rPr>
        <w:t>有序开展绩效评价。为确保绩效评价工作落到实处，取得成效，我局组织各局属单位召开了专题工作部署会，对组织开展绩效考评明确了具体要求，对绩效评价指标进行了详细解读，并对提出的问题进行了系统解答，为组织开展好绩效考评工作奠定了基础。根据实施方案要求，我局组织力量进行了逐一梳理，并进行了数据分析，形成了</w:t>
      </w:r>
      <w:r>
        <w:rPr>
          <w:rFonts w:hint="eastAsia" w:ascii="仿宋" w:hAnsi="仿宋" w:eastAsia="仿宋" w:cs="仿宋"/>
          <w:kern w:val="0"/>
          <w:sz w:val="32"/>
          <w:lang w:val="zh-CN"/>
        </w:rPr>
        <w:t>基层就业和社会保障服务设施建设</w:t>
      </w:r>
      <w:r>
        <w:rPr>
          <w:rFonts w:ascii="仿宋" w:hAnsi="仿宋" w:eastAsia="仿宋"/>
          <w:sz w:val="32"/>
          <w:shd w:val="clear" w:color="auto" w:fill="FFFFFF"/>
        </w:rPr>
        <w:t>项目绩效评价报告，自评报告分数为100分。</w:t>
      </w:r>
    </w:p>
    <w:p>
      <w:pPr>
        <w:pStyle w:val="2"/>
        <w:ind w:firstLine="640" w:firstLineChars="200"/>
        <w:rPr>
          <w:rFonts w:ascii="黑体" w:eastAsia="黑体"/>
          <w:b w:val="0"/>
          <w:lang w:val="zh-CN"/>
        </w:rPr>
      </w:pPr>
      <w:bookmarkStart w:id="129" w:name="_Toc143811776"/>
      <w:r>
        <w:rPr>
          <w:rFonts w:hint="eastAsia" w:ascii="黑体" w:eastAsia="黑体"/>
          <w:b w:val="0"/>
          <w:lang w:val="zh-CN"/>
        </w:rPr>
        <w:t>二、项目资金申报及使用情况</w:t>
      </w:r>
      <w:bookmarkEnd w:id="129"/>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kern w:val="0"/>
          <w:sz w:val="32"/>
          <w:szCs w:val="32"/>
          <w:lang w:val="zh-CN"/>
        </w:rPr>
        <w:t>基层就业和社会保障服务设施建设</w:t>
      </w:r>
      <w:r>
        <w:rPr>
          <w:rFonts w:hint="eastAsia" w:ascii="仿宋" w:hAnsi="仿宋" w:eastAsia="仿宋"/>
          <w:sz w:val="32"/>
          <w:szCs w:val="32"/>
          <w:lang w:val="zh-CN"/>
        </w:rPr>
        <w:t>项目资金申报</w:t>
      </w:r>
      <w:r>
        <w:rPr>
          <w:rFonts w:ascii="仿宋" w:hAnsi="仿宋" w:eastAsia="仿宋"/>
          <w:sz w:val="32"/>
          <w:szCs w:val="32"/>
        </w:rPr>
        <w:t>50</w:t>
      </w:r>
      <w:r>
        <w:rPr>
          <w:rFonts w:hint="eastAsia" w:ascii="仿宋" w:hAnsi="仿宋" w:eastAsia="仿宋"/>
          <w:sz w:val="32"/>
          <w:szCs w:val="32"/>
        </w:rPr>
        <w:t>万</w:t>
      </w:r>
      <w:r>
        <w:rPr>
          <w:rFonts w:hint="eastAsia" w:ascii="仿宋" w:hAnsi="仿宋" w:eastAsia="仿宋"/>
          <w:sz w:val="32"/>
          <w:szCs w:val="32"/>
          <w:lang w:val="zh-CN"/>
        </w:rPr>
        <w:t>，批复</w:t>
      </w:r>
      <w:r>
        <w:rPr>
          <w:rFonts w:hint="eastAsia" w:ascii="仿宋" w:hAnsi="仿宋" w:eastAsia="仿宋"/>
          <w:sz w:val="32"/>
          <w:szCs w:val="32"/>
        </w:rPr>
        <w:t>50万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 w:hAnsi="仿宋" w:eastAsia="仿宋" w:cs="仿宋_GB2312"/>
          <w:sz w:val="32"/>
          <w:szCs w:val="32"/>
        </w:rPr>
        <w:t>该项目资金计划50万元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楷体_GB2312" w:hAnsi="宋体" w:eastAsia="楷体_GB2312"/>
          <w:sz w:val="32"/>
          <w:szCs w:val="32"/>
          <w:lang w:val="zh-CN"/>
        </w:rPr>
        <w:t>2．资金到位。</w:t>
      </w:r>
      <w:r>
        <w:rPr>
          <w:rFonts w:hint="eastAsia" w:ascii="仿宋" w:hAnsi="仿宋" w:eastAsia="仿宋" w:cs="仿宋_GB2312"/>
          <w:sz w:val="32"/>
          <w:szCs w:val="32"/>
        </w:rPr>
        <w:t>该项目资金截止评价时点实际到位</w:t>
      </w:r>
      <w:r>
        <w:rPr>
          <w:rFonts w:ascii="仿宋" w:hAnsi="仿宋" w:eastAsia="仿宋" w:cs="仿宋_GB2312"/>
          <w:sz w:val="32"/>
          <w:szCs w:val="32"/>
        </w:rPr>
        <w:t>50</w:t>
      </w:r>
      <w:r>
        <w:rPr>
          <w:rFonts w:hint="eastAsia" w:ascii="仿宋" w:hAnsi="仿宋" w:eastAsia="仿宋" w:cs="仿宋_GB2312"/>
          <w:sz w:val="32"/>
          <w:szCs w:val="32"/>
        </w:rPr>
        <w:t>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rPr>
      </w:pPr>
      <w:r>
        <w:rPr>
          <w:rFonts w:hint="eastAsia" w:ascii="楷体_GB2312" w:hAnsi="宋体" w:eastAsia="楷体_GB2312"/>
          <w:sz w:val="32"/>
          <w:szCs w:val="32"/>
          <w:lang w:val="zh-CN"/>
        </w:rPr>
        <w:t>3．资金使用。</w:t>
      </w:r>
      <w:r>
        <w:rPr>
          <w:rFonts w:hint="eastAsia" w:ascii="仿宋" w:hAnsi="仿宋" w:eastAsia="仿宋" w:cs="仿宋_GB2312"/>
          <w:sz w:val="32"/>
          <w:szCs w:val="32"/>
        </w:rPr>
        <w:t>截止评价时点项目资金的实际支出26.51万元，主要是用于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等方面的工作，其中办公费5.74万元，劳务费7.04万元。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2"/>
        <w:ind w:firstLine="640" w:firstLineChars="200"/>
        <w:rPr>
          <w:rFonts w:ascii="黑体" w:eastAsia="黑体"/>
          <w:b w:val="0"/>
          <w:lang w:val="zh-CN"/>
        </w:rPr>
      </w:pPr>
      <w:bookmarkStart w:id="130" w:name="_Toc143811777"/>
      <w:r>
        <w:rPr>
          <w:rFonts w:hint="eastAsia" w:ascii="黑体" w:eastAsia="黑体"/>
          <w:b w:val="0"/>
          <w:lang w:val="zh-CN"/>
        </w:rPr>
        <w:t>三、项目实施及管理情况</w:t>
      </w:r>
      <w:bookmarkEnd w:id="130"/>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kern w:val="0"/>
          <w:sz w:val="32"/>
          <w:lang w:val="zh-CN"/>
        </w:rPr>
        <w:t>基层就业和社会保障服务设施建设</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基层就业和社会保障服务设施建设</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r>
        <w:rPr>
          <w:rFonts w:hint="eastAsia" w:ascii="仿宋_GB2312" w:hAnsi="Calibri" w:eastAsia="仿宋_GB2312" w:cs="仿宋"/>
          <w:kern w:val="0"/>
          <w:sz w:val="32"/>
          <w:szCs w:val="32"/>
          <w:lang w:val="zh-CN"/>
        </w:rPr>
        <w:t>。</w:t>
      </w:r>
    </w:p>
    <w:p>
      <w:pPr>
        <w:pStyle w:val="2"/>
        <w:ind w:firstLine="640" w:firstLineChars="200"/>
        <w:rPr>
          <w:rFonts w:ascii="黑体" w:eastAsia="黑体"/>
          <w:b w:val="0"/>
          <w:lang w:val="zh-CN"/>
        </w:rPr>
      </w:pPr>
      <w:bookmarkStart w:id="131" w:name="_Toc143811778"/>
      <w:r>
        <w:rPr>
          <w:rFonts w:hint="eastAsia" w:ascii="黑体" w:eastAsia="黑体"/>
          <w:b w:val="0"/>
          <w:lang w:val="zh-CN"/>
        </w:rPr>
        <w:t>四、项目绩效情况</w:t>
      </w:r>
      <w:bookmarkEnd w:id="131"/>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shd w:val="clear" w:color="auto" w:fill="FFFFFF"/>
        <w:spacing w:line="600" w:lineRule="exact"/>
        <w:ind w:firstLine="900" w:firstLineChars="300"/>
        <w:jc w:val="left"/>
        <w:rPr>
          <w:rFonts w:ascii="仿宋" w:hAnsi="仿宋" w:cs="仿宋"/>
          <w:sz w:val="32"/>
          <w:szCs w:val="32"/>
        </w:rPr>
      </w:pPr>
      <w:r>
        <w:rPr>
          <w:sz w:val="30"/>
          <w:szCs w:val="30"/>
        </w:rPr>
        <w:t>截止20</w:t>
      </w:r>
      <w:r>
        <w:rPr>
          <w:rFonts w:hint="eastAsia"/>
          <w:sz w:val="30"/>
          <w:szCs w:val="30"/>
        </w:rPr>
        <w:t>21</w:t>
      </w:r>
      <w:r>
        <w:rPr>
          <w:sz w:val="30"/>
          <w:szCs w:val="30"/>
        </w:rPr>
        <w:t>年初该项目已全面建成并入住</w:t>
      </w:r>
      <w:r>
        <w:rPr>
          <w:rFonts w:hint="eastAsia"/>
          <w:sz w:val="30"/>
          <w:szCs w:val="30"/>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2"/>
        <w:ind w:firstLine="640" w:firstLineChars="200"/>
        <w:rPr>
          <w:rFonts w:ascii="仿宋" w:hAnsi="仿宋" w:eastAsia="仿宋" w:cs="仿宋"/>
          <w:b w:val="0"/>
          <w:bCs w:val="0"/>
        </w:rPr>
      </w:pPr>
      <w:bookmarkStart w:id="132" w:name="_Toc1696"/>
      <w:bookmarkStart w:id="133" w:name="_Toc143811779"/>
      <w:r>
        <w:rPr>
          <w:rFonts w:hint="eastAsia" w:ascii="仿宋" w:hAnsi="仿宋" w:eastAsia="仿宋" w:cs="仿宋"/>
          <w:b w:val="0"/>
          <w:bCs w:val="0"/>
        </w:rPr>
        <w:t>项目全面提升我区就业和社会保障服务水平，提高就业和社会保障服务干部工作的质量。</w:t>
      </w:r>
      <w:bookmarkEnd w:id="132"/>
      <w:bookmarkEnd w:id="133"/>
    </w:p>
    <w:p>
      <w:pPr>
        <w:pStyle w:val="2"/>
        <w:ind w:firstLine="640" w:firstLineChars="200"/>
        <w:rPr>
          <w:rFonts w:ascii="黑体" w:eastAsia="黑体"/>
          <w:b w:val="0"/>
          <w:lang w:val="zh-CN"/>
        </w:rPr>
      </w:pPr>
      <w:bookmarkStart w:id="134" w:name="_Toc143811780"/>
      <w:r>
        <w:rPr>
          <w:rFonts w:hint="eastAsia" w:ascii="黑体" w:eastAsia="黑体"/>
          <w:b w:val="0"/>
          <w:lang w:val="zh-CN"/>
        </w:rPr>
        <w:t>五、评价结论及建议</w:t>
      </w:r>
      <w:bookmarkEnd w:id="134"/>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 w:hAnsi="仿宋" w:eastAsia="仿宋" w:cs="仿宋"/>
          <w:sz w:val="32"/>
          <w:szCs w:val="32"/>
        </w:rPr>
        <w:t>该项目在实施中有序推进产生了很好的社会效益</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无</w:t>
      </w:r>
      <w:r>
        <w:rPr>
          <w:rFonts w:hint="eastAsia" w:ascii="仿宋" w:hAnsi="仿宋" w:eastAsia="仿宋"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无</w:t>
      </w:r>
    </w:p>
    <w:p>
      <w:pPr>
        <w:pStyle w:val="22"/>
        <w:ind w:left="0" w:leftChars="0" w:firstLine="0" w:firstLineChars="0"/>
        <w:rPr>
          <w:rFonts w:hint="eastAsia" w:hAnsi="Calibri" w:eastAsia="仿宋_GB2312" w:cs="仿宋"/>
          <w:kern w:val="0"/>
          <w:sz w:val="32"/>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2"/>
        <w:ind w:firstLine="640" w:firstLineChars="200"/>
        <w:rPr>
          <w:rFonts w:ascii="黑体" w:eastAsia="黑体"/>
          <w:b w:val="0"/>
          <w:lang w:val="zh-CN"/>
        </w:rPr>
      </w:pPr>
      <w:bookmarkStart w:id="135" w:name="_Toc143811781"/>
      <w:r>
        <w:rPr>
          <w:rFonts w:hint="eastAsia" w:ascii="黑体" w:eastAsia="黑体"/>
          <w:b w:val="0"/>
          <w:lang w:val="zh-CN"/>
        </w:rPr>
        <w:t>一、项目概况</w:t>
      </w:r>
      <w:bookmarkEnd w:id="135"/>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劳动保障、监督、监察经费</w:t>
      </w:r>
      <w:r>
        <w:rPr>
          <w:rFonts w:hint="eastAsia" w:ascii="仿宋" w:hAnsi="仿宋" w:eastAsia="仿宋" w:cs="仿宋_GB2312"/>
          <w:sz w:val="32"/>
          <w:szCs w:val="32"/>
        </w:rPr>
        <w:t>主要用于</w:t>
      </w:r>
      <w:r>
        <w:rPr>
          <w:rFonts w:hint="eastAsia" w:ascii="仿宋" w:hAnsi="仿宋" w:eastAsia="仿宋" w:cs="仿宋"/>
          <w:sz w:val="32"/>
          <w:szCs w:val="32"/>
        </w:rPr>
        <w:t>全区</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_GB2312" w:hAnsi="Calibri" w:eastAsia="仿宋_GB2312" w:cs="仿宋"/>
          <w:kern w:val="0"/>
          <w:sz w:val="32"/>
          <w:szCs w:val="32"/>
          <w:lang w:val="zh-CN"/>
        </w:rPr>
        <w:t>2.</w:t>
      </w:r>
      <w:r>
        <w:rPr>
          <w:rFonts w:hint="eastAsia" w:ascii="仿宋" w:hAnsi="仿宋" w:eastAsia="仿宋" w:cs="仿宋"/>
          <w:kern w:val="0"/>
          <w:sz w:val="32"/>
          <w:szCs w:val="32"/>
          <w:lang w:val="zh-CN"/>
        </w:rPr>
        <w:t xml:space="preserve"> 项目立项、资金申报的依据。劳动保障工作、监督、监察等工作经费（一是年受理劳动监察案件约110件，办结约90件，部分办结约20件，每件案件需送达文书约3次，现场送达需2人以上；二是对全区社保基金监督，包括印制监督宣传资料、防止基金流失，其它劳动保障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6"/>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 w:hAnsi="仿宋" w:eastAsia="仿宋" w:cs="仿宋_GB2312"/>
          <w:sz w:val="32"/>
          <w:szCs w:val="32"/>
        </w:rPr>
        <w:t>年受理劳动监察案件约110件，办结约90件，部分办结约20件，每件案件需送达文书约3次，现场送达需2人以上；对全区社保基金监督，包括印制监督宣传资料、防止基金流失，其它劳动保障。工作</w:t>
      </w:r>
      <w:r>
        <w:rPr>
          <w:rFonts w:hint="eastAsia" w:ascii="仿宋" w:hAnsi="仿宋" w:eastAsia="仿宋" w:cs="仿宋"/>
          <w:kern w:val="0"/>
          <w:sz w:val="32"/>
          <w:szCs w:val="32"/>
        </w:rPr>
        <w:t>服务对象满意度=100%</w:t>
      </w:r>
      <w:r>
        <w:rPr>
          <w:rFonts w:hint="eastAsia" w:ascii="仿宋" w:hAnsi="仿宋" w:eastAsia="仿宋" w:cs="仿宋_GB2312"/>
          <w:kern w:val="0"/>
          <w:sz w:val="32"/>
          <w:szCs w:val="32"/>
        </w:rPr>
        <w:t>。</w:t>
      </w:r>
      <w:r>
        <w:rPr>
          <w:rFonts w:hint="eastAsia" w:ascii="仿宋" w:hAnsi="仿宋" w:eastAsia="仿宋" w:cs="仿宋"/>
          <w:sz w:val="32"/>
          <w:szCs w:val="32"/>
        </w:rPr>
        <w:t>2022年申报的内容与实际相符，申报目标合理可行。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2"/>
        <w:ind w:firstLine="640" w:firstLineChars="200"/>
        <w:rPr>
          <w:rFonts w:ascii="黑体" w:eastAsia="黑体"/>
          <w:b w:val="0"/>
          <w:lang w:val="zh-CN"/>
        </w:rPr>
      </w:pPr>
      <w:bookmarkStart w:id="136" w:name="_Toc143811782"/>
      <w:r>
        <w:rPr>
          <w:rFonts w:hint="eastAsia" w:ascii="黑体" w:eastAsia="黑体"/>
          <w:b w:val="0"/>
          <w:lang w:val="zh-CN"/>
        </w:rPr>
        <w:t>二、项目资金申报及使用情况</w:t>
      </w:r>
      <w:bookmarkEnd w:id="136"/>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劳动保障、监督、监察经费</w:t>
      </w:r>
      <w:r>
        <w:rPr>
          <w:rFonts w:hint="eastAsia" w:ascii="仿宋" w:hAnsi="仿宋" w:eastAsia="仿宋"/>
          <w:sz w:val="32"/>
          <w:szCs w:val="32"/>
          <w:lang w:val="zh-CN"/>
        </w:rPr>
        <w:t>项目资金申报</w:t>
      </w:r>
      <w:r>
        <w:rPr>
          <w:rFonts w:ascii="仿宋" w:hAnsi="仿宋" w:eastAsia="仿宋"/>
          <w:sz w:val="32"/>
          <w:szCs w:val="32"/>
        </w:rPr>
        <w:t>20</w:t>
      </w:r>
      <w:r>
        <w:rPr>
          <w:rFonts w:hint="eastAsia" w:ascii="仿宋" w:hAnsi="仿宋" w:eastAsia="仿宋"/>
          <w:sz w:val="32"/>
          <w:szCs w:val="32"/>
        </w:rPr>
        <w:t>万</w:t>
      </w:r>
      <w:r>
        <w:rPr>
          <w:rFonts w:hint="eastAsia" w:ascii="仿宋" w:hAnsi="仿宋" w:eastAsia="仿宋"/>
          <w:sz w:val="32"/>
          <w:szCs w:val="32"/>
          <w:lang w:val="zh-CN"/>
        </w:rPr>
        <w:t>，批复</w:t>
      </w:r>
      <w:r>
        <w:rPr>
          <w:rFonts w:hint="eastAsia" w:ascii="仿宋" w:hAnsi="仿宋" w:eastAsia="仿宋"/>
          <w:sz w:val="32"/>
          <w:szCs w:val="32"/>
        </w:rPr>
        <w:t>20万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该项目资金计划20万元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该项目资金截止评价时点实际到位20万元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截止评价时点项目资金的实际支出20万元，主要是用于</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等方面的工作，其中办公费1.43万元，劳务费1.18万元。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2"/>
        <w:ind w:firstLine="640" w:firstLineChars="200"/>
        <w:rPr>
          <w:rFonts w:ascii="黑体" w:eastAsia="黑体"/>
          <w:b w:val="0"/>
          <w:lang w:val="zh-CN"/>
        </w:rPr>
      </w:pPr>
      <w:bookmarkStart w:id="137" w:name="_Toc143811783"/>
      <w:r>
        <w:rPr>
          <w:rFonts w:hint="eastAsia" w:ascii="黑体" w:eastAsia="黑体"/>
          <w:b w:val="0"/>
          <w:lang w:val="zh-CN"/>
        </w:rPr>
        <w:t>三、项目实施及管理情况</w:t>
      </w:r>
      <w:bookmarkEnd w:id="137"/>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劳动保障、监督、监察经费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社保资金监督管理政策宣传、资料印制、法律咨询</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r>
        <w:rPr>
          <w:rFonts w:hint="eastAsia" w:ascii="仿宋_GB2312" w:hAnsi="Calibri" w:eastAsia="仿宋_GB2312" w:cs="仿宋"/>
          <w:kern w:val="0"/>
          <w:sz w:val="32"/>
          <w:szCs w:val="32"/>
          <w:lang w:val="zh-CN"/>
        </w:rPr>
        <w:t>。</w:t>
      </w:r>
    </w:p>
    <w:p>
      <w:pPr>
        <w:pStyle w:val="2"/>
        <w:ind w:firstLine="640" w:firstLineChars="200"/>
        <w:rPr>
          <w:rFonts w:ascii="黑体" w:eastAsia="黑体"/>
          <w:b w:val="0"/>
          <w:lang w:val="zh-CN"/>
        </w:rPr>
      </w:pPr>
      <w:bookmarkStart w:id="138" w:name="_Toc143811784"/>
      <w:r>
        <w:rPr>
          <w:rFonts w:hint="eastAsia" w:ascii="黑体" w:eastAsia="黑体"/>
          <w:b w:val="0"/>
          <w:lang w:val="zh-CN"/>
        </w:rPr>
        <w:t>四、项目绩效情况</w:t>
      </w:r>
      <w:bookmarkEnd w:id="138"/>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600" w:lineRule="exact"/>
        <w:ind w:firstLine="960" w:firstLineChars="300"/>
        <w:rPr>
          <w:lang w:val="zh-CN"/>
        </w:rPr>
      </w:pPr>
      <w:r>
        <w:rPr>
          <w:rFonts w:hint="eastAsia" w:ascii="仿宋" w:hAnsi="仿宋" w:eastAsia="仿宋" w:cs="仿宋"/>
          <w:kern w:val="0"/>
          <w:sz w:val="32"/>
          <w:szCs w:val="32"/>
        </w:rPr>
        <w:t>劳动保障、</w:t>
      </w:r>
      <w:r>
        <w:rPr>
          <w:rFonts w:hint="eastAsia" w:ascii="仿宋" w:hAnsi="仿宋" w:eastAsia="仿宋" w:cs="仿宋"/>
          <w:sz w:val="32"/>
          <w:szCs w:val="32"/>
        </w:rPr>
        <w:t>社保资金监督管理有效促进了全区人社事业发展。</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6"/>
        <w:numPr>
          <w:ilvl w:val="0"/>
          <w:numId w:val="0"/>
        </w:numPr>
        <w:ind w:firstLine="960" w:firstLineChars="300"/>
      </w:pPr>
      <w:r>
        <w:rPr>
          <w:rFonts w:hint="eastAsia" w:ascii="仿宋" w:hAnsi="仿宋" w:eastAsia="仿宋" w:cs="仿宋"/>
          <w:kern w:val="0"/>
          <w:sz w:val="32"/>
          <w:szCs w:val="32"/>
        </w:rPr>
        <w:t>劳动保障、</w:t>
      </w:r>
      <w:r>
        <w:rPr>
          <w:rFonts w:hint="eastAsia" w:ascii="仿宋" w:hAnsi="仿宋" w:eastAsia="仿宋" w:cs="仿宋"/>
          <w:sz w:val="32"/>
          <w:szCs w:val="32"/>
        </w:rPr>
        <w:t xml:space="preserve">社保基金监督费项目对全区社保资金进行监督管理，该项目实施保障全区社保资金安全、有效的运行，该项目总体价较高 </w:t>
      </w:r>
    </w:p>
    <w:p>
      <w:pPr>
        <w:pStyle w:val="2"/>
        <w:ind w:firstLine="640" w:firstLineChars="200"/>
        <w:rPr>
          <w:rFonts w:ascii="黑体" w:eastAsia="黑体"/>
          <w:b w:val="0"/>
          <w:lang w:val="zh-CN"/>
        </w:rPr>
      </w:pPr>
      <w:bookmarkStart w:id="139" w:name="_Toc143811785"/>
      <w:r>
        <w:rPr>
          <w:rFonts w:hint="eastAsia" w:ascii="黑体" w:eastAsia="黑体"/>
          <w:b w:val="0"/>
          <w:lang w:val="zh-CN"/>
        </w:rPr>
        <w:t>五、评价结论及建议</w:t>
      </w:r>
      <w:bookmarkEnd w:id="139"/>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2"/>
        <w:ind w:left="420" w:firstLine="640"/>
        <w:rPr>
          <w:rFonts w:hAnsi="Calibri" w:eastAsia="仿宋_GB2312" w:cs="仿宋"/>
          <w:kern w:val="0"/>
          <w:sz w:val="32"/>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2"/>
        <w:ind w:firstLine="640" w:firstLineChars="200"/>
        <w:rPr>
          <w:rFonts w:ascii="黑体" w:eastAsia="黑体"/>
          <w:b w:val="0"/>
          <w:lang w:val="zh-CN"/>
        </w:rPr>
      </w:pPr>
      <w:bookmarkStart w:id="140" w:name="_Toc143811786"/>
      <w:r>
        <w:rPr>
          <w:rFonts w:hint="eastAsia" w:ascii="黑体" w:eastAsia="黑体"/>
          <w:b w:val="0"/>
          <w:lang w:val="zh-CN"/>
        </w:rPr>
        <w:t>一、项目概况</w:t>
      </w:r>
      <w:bookmarkEnd w:id="140"/>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1. </w:t>
      </w:r>
      <w:r>
        <w:rPr>
          <w:rFonts w:hint="eastAsia" w:ascii="仿宋" w:hAnsi="仿宋" w:eastAsia="仿宋" w:cs="仿宋"/>
          <w:sz w:val="32"/>
          <w:szCs w:val="32"/>
        </w:rPr>
        <w:t>仲裁工作经费</w:t>
      </w:r>
      <w:r>
        <w:rPr>
          <w:rFonts w:hint="eastAsia" w:ascii="仿宋" w:hAnsi="仿宋" w:eastAsia="仿宋" w:cs="仿宋_GB2312"/>
          <w:sz w:val="32"/>
          <w:szCs w:val="32"/>
        </w:rPr>
        <w:t>主要用于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年接收、办理仲裁案件约80件，需通过机要或当面送达仲裁文书，件均10个左右，每件需送达2次，当面或邮寄或公告送达需双方；机要或当面送达件均300元；公告送达1000元/件，共计30000元。档案装文书制作、订费等费用50元/卷（含正副卷），共4000元。电话咨询和“12345”办结约1500件·次，每件回复平均3次，年电话费约7000元。省厅、省仲裁调解处组织培训5000元。电脑、监控、打印机、饮用水、耗材等14000元，律师顾问及诉讼费40000元，合计100000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6"/>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仲裁工作经费主要用于对全区劳动纠纷进行仲裁，</w:t>
      </w:r>
      <w:r>
        <w:rPr>
          <w:rFonts w:hint="eastAsia" w:ascii="仿宋" w:hAnsi="仿宋" w:eastAsia="仿宋" w:cs="仿宋"/>
          <w:sz w:val="32"/>
          <w:szCs w:val="32"/>
          <w:lang w:val="zh-CN"/>
        </w:rPr>
        <w:t>申报内容与实际相符，申报目标合理可行。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2"/>
        <w:ind w:firstLine="640" w:firstLineChars="200"/>
        <w:rPr>
          <w:rFonts w:ascii="黑体" w:eastAsia="黑体"/>
          <w:b w:val="0"/>
          <w:lang w:val="zh-CN"/>
        </w:rPr>
      </w:pPr>
      <w:bookmarkStart w:id="141" w:name="_Toc143811787"/>
      <w:r>
        <w:rPr>
          <w:rFonts w:hint="eastAsia" w:ascii="黑体" w:eastAsia="黑体"/>
          <w:b w:val="0"/>
          <w:lang w:val="zh-CN"/>
        </w:rPr>
        <w:t>二、项目资金申报及使用情况</w:t>
      </w:r>
      <w:bookmarkEnd w:id="14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仲裁工作经费</w:t>
      </w:r>
      <w:r>
        <w:rPr>
          <w:rFonts w:hint="eastAsia" w:ascii="仿宋" w:hAnsi="仿宋" w:eastAsia="仿宋"/>
          <w:sz w:val="32"/>
          <w:szCs w:val="32"/>
          <w:lang w:val="zh-CN"/>
        </w:rPr>
        <w:t>项目资金申报</w:t>
      </w:r>
      <w:r>
        <w:rPr>
          <w:rFonts w:hint="eastAsia" w:ascii="仿宋" w:hAnsi="仿宋" w:eastAsia="仿宋"/>
          <w:sz w:val="32"/>
          <w:szCs w:val="32"/>
        </w:rPr>
        <w:t>10万</w:t>
      </w:r>
      <w:r>
        <w:rPr>
          <w:rFonts w:hint="eastAsia" w:ascii="仿宋" w:hAnsi="仿宋" w:eastAsia="仿宋"/>
          <w:sz w:val="32"/>
          <w:szCs w:val="32"/>
          <w:lang w:val="zh-CN"/>
        </w:rPr>
        <w:t>，批复</w:t>
      </w:r>
      <w:r>
        <w:rPr>
          <w:rFonts w:hint="eastAsia" w:ascii="仿宋" w:hAnsi="仿宋" w:eastAsia="仿宋"/>
          <w:sz w:val="32"/>
          <w:szCs w:val="32"/>
        </w:rPr>
        <w:t>10万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该项目资金计划10万元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截止评价时点项目资金的实际支出10万元，主要是用于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等方面的工作，其中办公费1.01万元，印刷费4.79万元。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2"/>
        <w:ind w:firstLine="640" w:firstLineChars="200"/>
        <w:rPr>
          <w:rFonts w:ascii="黑体" w:eastAsia="黑体"/>
          <w:b w:val="0"/>
          <w:lang w:val="zh-CN"/>
        </w:rPr>
      </w:pPr>
      <w:bookmarkStart w:id="142" w:name="_Toc143811788"/>
      <w:r>
        <w:rPr>
          <w:rFonts w:hint="eastAsia" w:ascii="黑体" w:eastAsia="黑体"/>
          <w:b w:val="0"/>
          <w:lang w:val="zh-CN"/>
        </w:rPr>
        <w:t>三、项目实施及管理情况</w:t>
      </w:r>
      <w:bookmarkEnd w:id="142"/>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仲裁工作经费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sz w:val="32"/>
          <w:szCs w:val="32"/>
        </w:rPr>
        <w:t>接收、办理仲裁案件</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r>
        <w:rPr>
          <w:rFonts w:hint="eastAsia" w:ascii="仿宋_GB2312" w:hAnsi="Calibri" w:eastAsia="仿宋_GB2312" w:cs="仿宋"/>
          <w:kern w:val="0"/>
          <w:sz w:val="32"/>
          <w:szCs w:val="32"/>
          <w:lang w:val="zh-CN"/>
        </w:rPr>
        <w:t>。</w:t>
      </w:r>
    </w:p>
    <w:p>
      <w:pPr>
        <w:pStyle w:val="2"/>
        <w:ind w:firstLine="640" w:firstLineChars="200"/>
        <w:rPr>
          <w:rFonts w:ascii="黑体" w:eastAsia="黑体"/>
          <w:b w:val="0"/>
          <w:lang w:val="zh-CN"/>
        </w:rPr>
      </w:pPr>
      <w:bookmarkStart w:id="143" w:name="_Toc143811789"/>
      <w:r>
        <w:rPr>
          <w:rFonts w:hint="eastAsia" w:ascii="黑体" w:eastAsia="黑体"/>
          <w:b w:val="0"/>
          <w:lang w:val="zh-CN"/>
        </w:rPr>
        <w:t>四、项目绩效情况</w:t>
      </w:r>
      <w:bookmarkEnd w:id="143"/>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600" w:lineRule="exact"/>
        <w:ind w:firstLine="720"/>
        <w:rPr>
          <w:rFonts w:ascii="仿宋" w:hAnsi="仿宋" w:eastAsia="仿宋" w:cs="仿宋"/>
          <w:b/>
          <w:sz w:val="32"/>
          <w:szCs w:val="32"/>
          <w:lang w:val="zh-CN"/>
        </w:rPr>
      </w:pPr>
      <w:r>
        <w:rPr>
          <w:rFonts w:hint="eastAsia" w:ascii="仿宋" w:hAnsi="仿宋" w:eastAsia="仿宋" w:cs="仿宋"/>
          <w:sz w:val="32"/>
          <w:szCs w:val="32"/>
        </w:rPr>
        <w:t>该项目完成2022年全区劳动纠纷仲裁工作</w:t>
      </w:r>
      <w:r>
        <w:rPr>
          <w:rFonts w:hint="eastAsia" w:ascii="仿宋" w:hAnsi="仿宋" w:eastAsia="仿宋" w:cs="仿宋"/>
          <w:bCs/>
          <w:sz w:val="32"/>
          <w:szCs w:val="32"/>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2"/>
        <w:ind w:firstLine="640" w:firstLineChars="200"/>
        <w:rPr>
          <w:rFonts w:ascii="仿宋" w:hAnsi="仿宋" w:eastAsia="仿宋" w:cs="仿宋"/>
          <w:b w:val="0"/>
          <w:bCs w:val="0"/>
        </w:rPr>
      </w:pPr>
      <w:bookmarkStart w:id="144" w:name="_Toc143811790"/>
      <w:r>
        <w:rPr>
          <w:rFonts w:hint="eastAsia" w:ascii="仿宋" w:hAnsi="仿宋" w:eastAsia="仿宋" w:cs="仿宋"/>
          <w:b w:val="0"/>
          <w:bCs w:val="0"/>
        </w:rPr>
        <w:t>该项目对全区劳动纠纷仲裁工作，及时掌握了对全区劳动纠纷进行了及时解决。</w:t>
      </w:r>
      <w:bookmarkEnd w:id="144"/>
    </w:p>
    <w:p>
      <w:pPr>
        <w:pStyle w:val="2"/>
        <w:ind w:firstLine="640" w:firstLineChars="200"/>
        <w:rPr>
          <w:rFonts w:ascii="黑体" w:eastAsia="黑体"/>
          <w:b w:val="0"/>
          <w:lang w:val="zh-CN"/>
        </w:rPr>
      </w:pPr>
      <w:bookmarkStart w:id="145" w:name="_Toc143811791"/>
      <w:r>
        <w:rPr>
          <w:rFonts w:hint="eastAsia" w:ascii="黑体" w:eastAsia="黑体"/>
          <w:b w:val="0"/>
          <w:lang w:val="zh-CN"/>
        </w:rPr>
        <w:t>五、评价结论及建议</w:t>
      </w:r>
      <w:bookmarkEnd w:id="145"/>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hint="eastAsia"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2"/>
        <w:ind w:left="420" w:firstLine="640"/>
        <w:rPr>
          <w:rFonts w:hAnsi="Calibri" w:eastAsia="仿宋_GB2312" w:cs="仿宋"/>
          <w:kern w:val="0"/>
          <w:sz w:val="32"/>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2"/>
        <w:ind w:firstLine="640" w:firstLineChars="200"/>
        <w:rPr>
          <w:rFonts w:ascii="黑体" w:eastAsia="黑体"/>
          <w:b w:val="0"/>
          <w:lang w:val="zh-CN"/>
        </w:rPr>
      </w:pPr>
      <w:bookmarkStart w:id="146" w:name="_Toc143811792"/>
      <w:r>
        <w:rPr>
          <w:rFonts w:hint="eastAsia" w:ascii="黑体" w:eastAsia="黑体"/>
          <w:b w:val="0"/>
          <w:lang w:val="zh-CN"/>
        </w:rPr>
        <w:t>一、项目概况</w:t>
      </w:r>
      <w:bookmarkEnd w:id="146"/>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_GB2312" w:hAnsi="Calibri" w:eastAsia="仿宋_GB2312" w:cs="仿宋"/>
          <w:kern w:val="0"/>
          <w:sz w:val="32"/>
          <w:szCs w:val="32"/>
          <w:lang w:val="zh-CN"/>
        </w:rPr>
        <w:t xml:space="preserve">1. </w:t>
      </w:r>
      <w:r>
        <w:rPr>
          <w:rFonts w:hint="eastAsia" w:ascii="仿宋" w:hAnsi="仿宋" w:eastAsia="仿宋" w:cs="仿宋"/>
          <w:sz w:val="32"/>
          <w:szCs w:val="32"/>
        </w:rPr>
        <w:t>人事档案管理费</w:t>
      </w:r>
      <w:r>
        <w:rPr>
          <w:rFonts w:hint="eastAsia" w:ascii="仿宋" w:hAnsi="仿宋" w:eastAsia="仿宋" w:cs="仿宋_GB2312"/>
          <w:sz w:val="32"/>
          <w:szCs w:val="32"/>
        </w:rPr>
        <w:t>主要用于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项目立项、资金申报的依据按照档案管理规定，一是全区人事档案数字化整理费（2019年以前已整理费用49.6万元，2019-2022年新增），档案室安装监控设备，档案接收、转递费。</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6"/>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人事档案管理费主要用于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
          <w:sz w:val="32"/>
          <w:szCs w:val="32"/>
        </w:rPr>
        <w:t>，</w:t>
      </w:r>
      <w:r>
        <w:rPr>
          <w:rFonts w:hint="eastAsia" w:ascii="仿宋" w:hAnsi="仿宋" w:eastAsia="仿宋" w:cs="仿宋"/>
          <w:sz w:val="32"/>
          <w:szCs w:val="32"/>
          <w:lang w:val="zh-CN"/>
        </w:rPr>
        <w:t>申报内容与实际相符，申报目标合理可行。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2"/>
        <w:ind w:firstLine="640" w:firstLineChars="200"/>
        <w:rPr>
          <w:rFonts w:ascii="黑体" w:eastAsia="黑体"/>
          <w:b w:val="0"/>
          <w:lang w:val="zh-CN"/>
        </w:rPr>
      </w:pPr>
      <w:bookmarkStart w:id="147" w:name="_Toc143811793"/>
      <w:r>
        <w:rPr>
          <w:rFonts w:hint="eastAsia" w:ascii="黑体" w:eastAsia="黑体"/>
          <w:b w:val="0"/>
          <w:lang w:val="zh-CN"/>
        </w:rPr>
        <w:t>二、项目资金申报及使用情况</w:t>
      </w:r>
      <w:bookmarkEnd w:id="147"/>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cs="仿宋"/>
          <w:sz w:val="32"/>
          <w:szCs w:val="32"/>
        </w:rPr>
        <w:t>人事档案管理费</w:t>
      </w:r>
      <w:r>
        <w:rPr>
          <w:rFonts w:hint="eastAsia" w:ascii="仿宋" w:hAnsi="仿宋" w:eastAsia="仿宋"/>
          <w:sz w:val="32"/>
          <w:szCs w:val="32"/>
          <w:lang w:val="zh-CN"/>
        </w:rPr>
        <w:t>项目资金申报</w:t>
      </w:r>
      <w:r>
        <w:rPr>
          <w:rFonts w:ascii="仿宋" w:hAnsi="仿宋" w:eastAsia="仿宋"/>
          <w:sz w:val="32"/>
          <w:szCs w:val="32"/>
        </w:rPr>
        <w:t>10</w:t>
      </w:r>
      <w:r>
        <w:rPr>
          <w:rFonts w:hint="eastAsia" w:ascii="仿宋" w:hAnsi="仿宋" w:eastAsia="仿宋"/>
          <w:sz w:val="32"/>
          <w:szCs w:val="32"/>
        </w:rPr>
        <w:t>万</w:t>
      </w:r>
      <w:r>
        <w:rPr>
          <w:rFonts w:hint="eastAsia" w:ascii="仿宋" w:hAnsi="仿宋" w:eastAsia="仿宋"/>
          <w:sz w:val="32"/>
          <w:szCs w:val="32"/>
          <w:lang w:val="zh-CN"/>
        </w:rPr>
        <w:t>，批复</w:t>
      </w:r>
      <w:r>
        <w:rPr>
          <w:rFonts w:hint="eastAsia" w:ascii="仿宋" w:hAnsi="仿宋" w:eastAsia="仿宋"/>
          <w:sz w:val="32"/>
          <w:szCs w:val="32"/>
        </w:rPr>
        <w:t>10万</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该项目资金计划10万元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截止评价时点项目资金的实际支出9.41万元，主要是用于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等方面的工作，其中邮电费0.87万元，劳务费8.45万元。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2"/>
        <w:ind w:firstLine="640" w:firstLineChars="200"/>
        <w:rPr>
          <w:rFonts w:ascii="黑体" w:eastAsia="黑体"/>
          <w:b w:val="0"/>
          <w:lang w:val="zh-CN"/>
        </w:rPr>
      </w:pPr>
      <w:bookmarkStart w:id="148" w:name="_Toc143811794"/>
      <w:r>
        <w:rPr>
          <w:rFonts w:hint="eastAsia" w:ascii="黑体" w:eastAsia="黑体"/>
          <w:b w:val="0"/>
          <w:lang w:val="zh-CN"/>
        </w:rPr>
        <w:t>三、项目实施及管理情况</w:t>
      </w:r>
      <w:bookmarkEnd w:id="148"/>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人事档案管理费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bCs/>
          <w:color w:val="000000" w:themeColor="text1"/>
          <w:sz w:val="32"/>
          <w:szCs w:val="32"/>
          <w14:textFill>
            <w14:solidFill>
              <w14:schemeClr w14:val="tx1"/>
            </w14:solidFill>
          </w14:textFill>
        </w:rPr>
        <w:t>全区每年新增人事档案进行数字化整理，档案室安装监控设备，以及档案接收和转递</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p>
    <w:p>
      <w:pPr>
        <w:pStyle w:val="2"/>
        <w:ind w:firstLine="640" w:firstLineChars="200"/>
        <w:rPr>
          <w:rFonts w:ascii="黑体" w:eastAsia="黑体"/>
          <w:b w:val="0"/>
          <w:lang w:val="zh-CN"/>
        </w:rPr>
      </w:pPr>
      <w:bookmarkStart w:id="149" w:name="_Toc143811795"/>
      <w:r>
        <w:rPr>
          <w:rFonts w:hint="eastAsia" w:ascii="黑体" w:eastAsia="黑体"/>
          <w:b w:val="0"/>
          <w:lang w:val="zh-CN"/>
        </w:rPr>
        <w:t>四、项目绩效情况</w:t>
      </w:r>
      <w:bookmarkEnd w:id="149"/>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截止2022年底人事档案管理费全部预拨给公司，按照项目计划完成目标，本计划为常态化工作，对截止评价时点已完成当年工作。</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spacing w:line="560" w:lineRule="exact"/>
        <w:ind w:firstLine="640" w:firstLineChars="200"/>
        <w:rPr>
          <w:lang w:val="zh-CN"/>
        </w:rPr>
      </w:pPr>
      <w:r>
        <w:rPr>
          <w:rFonts w:hint="eastAsia" w:ascii="仿宋" w:hAnsi="仿宋" w:eastAsia="仿宋" w:cs="仿宋"/>
          <w:color w:val="000000" w:themeColor="text1"/>
          <w:sz w:val="32"/>
          <w:szCs w:val="32"/>
          <w14:textFill>
            <w14:solidFill>
              <w14:schemeClr w14:val="tx1"/>
            </w14:solidFill>
          </w14:textFill>
        </w:rPr>
        <w:t>项目全面提升我区干部人事档案管理水平，提高干部人事档案服务干部工作的质量。</w:t>
      </w:r>
    </w:p>
    <w:p>
      <w:pPr>
        <w:pStyle w:val="2"/>
        <w:ind w:firstLine="640" w:firstLineChars="200"/>
        <w:rPr>
          <w:rFonts w:ascii="黑体" w:eastAsia="黑体"/>
          <w:b w:val="0"/>
          <w:lang w:val="zh-CN"/>
        </w:rPr>
      </w:pPr>
      <w:bookmarkStart w:id="150" w:name="_Toc143811796"/>
      <w:r>
        <w:rPr>
          <w:rFonts w:hint="eastAsia" w:ascii="黑体" w:eastAsia="黑体"/>
          <w:b w:val="0"/>
          <w:lang w:val="zh-CN"/>
        </w:rPr>
        <w:t>五、评价结论及建议</w:t>
      </w:r>
      <w:bookmarkEnd w:id="150"/>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pStyle w:val="22"/>
        <w:ind w:left="420" w:firstLine="640"/>
        <w:rPr>
          <w:rFonts w:hAnsi="Calibri" w:eastAsia="仿宋_GB2312" w:cs="仿宋"/>
          <w:kern w:val="0"/>
          <w:sz w:val="32"/>
        </w:rPr>
      </w:pPr>
    </w:p>
    <w:p>
      <w:pPr>
        <w:pStyle w:val="22"/>
        <w:ind w:left="420" w:firstLine="640"/>
        <w:rPr>
          <w:rFonts w:hAnsi="Calibri" w:eastAsia="仿宋_GB2312" w:cs="仿宋"/>
          <w:kern w:val="0"/>
          <w:sz w:val="32"/>
        </w:rPr>
      </w:pPr>
    </w:p>
    <w:p>
      <w:pPr>
        <w:pStyle w:val="22"/>
        <w:ind w:left="0" w:leftChars="0" w:firstLine="0" w:firstLineChars="0"/>
        <w:rPr>
          <w:rFonts w:hAnsi="Calibri" w:eastAsia="仿宋_GB2312" w:cs="仿宋"/>
          <w:kern w:val="0"/>
          <w:sz w:val="32"/>
          <w:lang w:val="zh-CN"/>
        </w:rPr>
      </w:pPr>
    </w:p>
    <w:p>
      <w:pPr>
        <w:widowControl/>
        <w:jc w:val="left"/>
        <w:rPr>
          <w:rStyle w:val="36"/>
          <w:rFonts w:ascii="黑体" w:hAnsi="黑体" w:eastAsia="黑体"/>
          <w:b w:val="0"/>
        </w:rPr>
      </w:pPr>
    </w:p>
    <w:p>
      <w:pPr>
        <w:widowControl/>
        <w:jc w:val="left"/>
        <w:rPr>
          <w:rStyle w:val="36"/>
          <w:rFonts w:ascii="黑体" w:hAnsi="黑体" w:eastAsia="黑体"/>
          <w:b w:val="0"/>
        </w:rPr>
      </w:pPr>
    </w:p>
    <w:p>
      <w:pPr>
        <w:widowControl/>
        <w:jc w:val="left"/>
        <w:rPr>
          <w:rStyle w:val="36"/>
          <w:rFonts w:ascii="黑体" w:hAnsi="黑体" w:eastAsia="黑体"/>
          <w:b w:val="0"/>
        </w:rPr>
      </w:pPr>
    </w:p>
    <w:p>
      <w:pPr>
        <w:pStyle w:val="42"/>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2"/>
        <w:ind w:firstLine="640" w:firstLineChars="200"/>
        <w:rPr>
          <w:rFonts w:ascii="黑体" w:eastAsia="黑体"/>
          <w:b w:val="0"/>
          <w:lang w:val="zh-CN"/>
        </w:rPr>
      </w:pPr>
      <w:bookmarkStart w:id="151" w:name="_Toc143811797"/>
      <w:r>
        <w:rPr>
          <w:rFonts w:hint="eastAsia" w:ascii="黑体" w:eastAsia="黑体"/>
          <w:b w:val="0"/>
          <w:lang w:val="zh-CN"/>
        </w:rPr>
        <w:t>一、项目概况</w:t>
      </w:r>
      <w:bookmarkEnd w:id="15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 xml:space="preserve">1. </w:t>
      </w:r>
      <w:r>
        <w:rPr>
          <w:rFonts w:hint="eastAsia" w:ascii="仿宋" w:hAnsi="仿宋" w:eastAsia="仿宋" w:cs="仿宋"/>
          <w:sz w:val="32"/>
          <w:szCs w:val="32"/>
        </w:rPr>
        <w:t>人事考试考务费</w:t>
      </w:r>
      <w:r>
        <w:rPr>
          <w:rFonts w:hint="eastAsia" w:ascii="仿宋" w:hAnsi="仿宋" w:eastAsia="仿宋" w:cs="仿宋_GB2312"/>
          <w:sz w:val="32"/>
          <w:szCs w:val="32"/>
        </w:rPr>
        <w:t>主要用于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2. 项目立项、资金申报的依据2022年拟开展事业单位公开考试招聘上半年和下半年共计2场，面向全省考调事业人员上半年和下半年共计2场(命题1.5万元,面试考官、工作人员和巡视费6.5万元,租用考场、车辆2万元),合计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3. 资金管理办法制定情况，资金支持具体项目的条件、范围与支持方式概况。</w:t>
      </w:r>
    </w:p>
    <w:p>
      <w:pPr>
        <w:adjustRightInd w:val="0"/>
        <w:snapToGrid w:val="0"/>
        <w:spacing w:line="600" w:lineRule="exact"/>
        <w:ind w:firstLine="720"/>
        <w:rPr>
          <w:rFonts w:ascii="仿宋" w:hAnsi="仿宋" w:eastAsia="仿宋"/>
          <w:lang w:val="zh-CN"/>
        </w:rPr>
      </w:pPr>
      <w:r>
        <w:rPr>
          <w:rFonts w:hint="eastAsia" w:ascii="仿宋" w:hAnsi="仿宋" w:eastAsia="仿宋"/>
          <w:sz w:val="32"/>
          <w:szCs w:val="32"/>
        </w:rPr>
        <w:t>该项目资金严格按照区人社局相关财务制度管理，资金主要用于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rPr>
        <w:t>4.</w:t>
      </w:r>
      <w:r>
        <w:rPr>
          <w:rFonts w:hint="eastAsia" w:ascii="仿宋" w:hAnsi="仿宋" w:eastAsia="仿宋" w:cs="仿宋"/>
          <w:kern w:val="0"/>
          <w:sz w:val="32"/>
          <w:szCs w:val="32"/>
          <w:lang w:val="zh-CN"/>
        </w:rPr>
        <w:t>资金分配的原则及考虑因素。</w:t>
      </w:r>
    </w:p>
    <w:p>
      <w:pPr>
        <w:pStyle w:val="6"/>
        <w:numPr>
          <w:ilvl w:val="0"/>
          <w:numId w:val="0"/>
        </w:numPr>
        <w:ind w:firstLine="960" w:firstLineChars="300"/>
        <w:rPr>
          <w:rFonts w:ascii="仿宋" w:hAnsi="仿宋" w:eastAsia="仿宋"/>
          <w:lang w:val="zh-CN"/>
        </w:rPr>
      </w:pPr>
      <w:r>
        <w:rPr>
          <w:rFonts w:hint="eastAsia" w:ascii="仿宋" w:hAnsi="仿宋" w:eastAsia="仿宋"/>
          <w:sz w:val="32"/>
          <w:szCs w:val="32"/>
        </w:rPr>
        <w:t>该项目资金根据区人社局实际支出情况按需支取。</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人事考试考务费主要用于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
          <w:sz w:val="32"/>
          <w:szCs w:val="32"/>
        </w:rPr>
        <w:t>，</w:t>
      </w:r>
      <w:r>
        <w:rPr>
          <w:rFonts w:hint="eastAsia" w:ascii="仿宋" w:hAnsi="仿宋" w:eastAsia="仿宋" w:cs="仿宋"/>
          <w:sz w:val="32"/>
          <w:szCs w:val="32"/>
          <w:lang w:val="zh-CN"/>
        </w:rPr>
        <w:t>申报内容与实际相符，申报目标合理可行。</w:t>
      </w:r>
    </w:p>
    <w:p>
      <w:pPr>
        <w:widowControl/>
        <w:numPr>
          <w:ilvl w:val="0"/>
          <w:numId w:val="8"/>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p>
    <w:p>
      <w:pPr>
        <w:pStyle w:val="22"/>
        <w:ind w:left="0" w:leftChars="0" w:firstLine="640"/>
        <w:rPr>
          <w:rFonts w:ascii="仿宋" w:hAnsi="仿宋" w:eastAsia="仿宋"/>
          <w:lang w:val="zh-CN"/>
        </w:rPr>
      </w:pPr>
      <w:r>
        <w:rPr>
          <w:rFonts w:hint="eastAsia" w:ascii="仿宋" w:hAnsi="仿宋" w:eastAsia="仿宋"/>
          <w:sz w:val="32"/>
        </w:rPr>
        <w:t>该</w:t>
      </w:r>
      <w:r>
        <w:rPr>
          <w:rFonts w:hint="eastAsia" w:ascii="仿宋" w:hAnsi="仿宋" w:eastAsia="仿宋"/>
          <w:sz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2"/>
        <w:ind w:firstLine="640" w:firstLineChars="200"/>
        <w:rPr>
          <w:rFonts w:ascii="黑体" w:eastAsia="黑体"/>
          <w:b w:val="0"/>
          <w:lang w:val="zh-CN"/>
        </w:rPr>
      </w:pPr>
      <w:bookmarkStart w:id="152" w:name="_Toc143811798"/>
      <w:r>
        <w:rPr>
          <w:rFonts w:hint="eastAsia" w:ascii="黑体" w:eastAsia="黑体"/>
          <w:b w:val="0"/>
          <w:lang w:val="zh-CN"/>
        </w:rPr>
        <w:t>二、项目资金申报及使用情况</w:t>
      </w:r>
      <w:bookmarkEnd w:id="152"/>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sz w:val="32"/>
          <w:szCs w:val="32"/>
        </w:rPr>
        <w:t>人事考试考务费</w:t>
      </w:r>
      <w:r>
        <w:rPr>
          <w:rFonts w:hint="eastAsia" w:ascii="仿宋" w:hAnsi="仿宋" w:eastAsia="仿宋"/>
          <w:sz w:val="32"/>
          <w:szCs w:val="32"/>
          <w:lang w:val="zh-CN"/>
        </w:rPr>
        <w:t>项目资金申报</w:t>
      </w:r>
      <w:r>
        <w:rPr>
          <w:rFonts w:hint="eastAsia" w:ascii="仿宋" w:hAnsi="仿宋" w:eastAsia="仿宋"/>
          <w:sz w:val="32"/>
          <w:szCs w:val="32"/>
        </w:rPr>
        <w:t>10万</w:t>
      </w:r>
      <w:r>
        <w:rPr>
          <w:rFonts w:hint="eastAsia" w:ascii="仿宋" w:hAnsi="仿宋" w:eastAsia="仿宋"/>
          <w:sz w:val="32"/>
          <w:szCs w:val="32"/>
          <w:lang w:val="zh-CN"/>
        </w:rPr>
        <w:t>，批复</w:t>
      </w:r>
      <w:r>
        <w:rPr>
          <w:rFonts w:hint="eastAsia" w:ascii="仿宋" w:hAnsi="仿宋" w:eastAsia="仿宋"/>
          <w:sz w:val="32"/>
          <w:szCs w:val="32"/>
        </w:rPr>
        <w:t>10万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1．资金计划。</w:t>
      </w:r>
      <w:r>
        <w:rPr>
          <w:rFonts w:hint="eastAsia" w:ascii="仿宋" w:hAnsi="仿宋" w:eastAsia="仿宋" w:cs="仿宋_GB2312"/>
          <w:sz w:val="32"/>
          <w:szCs w:val="32"/>
        </w:rPr>
        <w:t>该项目资金计划10万元</w:t>
      </w:r>
      <w:r>
        <w:rPr>
          <w:rFonts w:hint="eastAsia" w:ascii="仿宋" w:hAnsi="仿宋" w:eastAsia="仿宋"/>
          <w:sz w:val="32"/>
          <w:szCs w:val="32"/>
          <w:lang w:val="zh-CN"/>
        </w:rPr>
        <w:t>。</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2．资金到位。</w:t>
      </w:r>
      <w:r>
        <w:rPr>
          <w:rFonts w:hint="eastAsia" w:ascii="仿宋" w:hAnsi="仿宋" w:eastAsia="仿宋" w:cs="仿宋_GB2312"/>
          <w:sz w:val="32"/>
          <w:szCs w:val="32"/>
        </w:rPr>
        <w:t>该项目资金截止评价时点实际到位10万元</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sz w:val="32"/>
          <w:szCs w:val="32"/>
          <w:lang w:val="zh-CN"/>
        </w:rPr>
        <w:t>3．资金使用。</w:t>
      </w:r>
      <w:r>
        <w:rPr>
          <w:rFonts w:hint="eastAsia" w:ascii="仿宋" w:hAnsi="仿宋" w:eastAsia="仿宋" w:cs="仿宋_GB2312"/>
          <w:sz w:val="32"/>
          <w:szCs w:val="32"/>
        </w:rPr>
        <w:t>截止评价时点项目资金的实际支出5.5万元，主要是用于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等方面的工作，其他商品和服务支出5.5万元。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 w:hAnsi="仿宋" w:eastAsia="仿宋"/>
          <w:sz w:val="32"/>
          <w:szCs w:val="32"/>
          <w:lang w:val="zh-CN"/>
        </w:rPr>
        <w:t>。</w:t>
      </w:r>
    </w:p>
    <w:p>
      <w:pPr>
        <w:pStyle w:val="2"/>
        <w:ind w:firstLine="640" w:firstLineChars="200"/>
        <w:rPr>
          <w:rFonts w:ascii="黑体" w:eastAsia="黑体"/>
          <w:b w:val="0"/>
          <w:lang w:val="zh-CN"/>
        </w:rPr>
      </w:pPr>
      <w:bookmarkStart w:id="153" w:name="_Toc143811799"/>
      <w:r>
        <w:rPr>
          <w:rFonts w:hint="eastAsia" w:ascii="黑体" w:eastAsia="黑体"/>
          <w:b w:val="0"/>
          <w:lang w:val="zh-CN"/>
        </w:rPr>
        <w:t>三、项目实施及管理情况</w:t>
      </w:r>
      <w:bookmarkEnd w:id="153"/>
    </w:p>
    <w:p>
      <w:pPr>
        <w:widowControl/>
        <w:adjustRightInd w:val="0"/>
        <w:snapToGrid w:val="0"/>
        <w:spacing w:line="580" w:lineRule="exact"/>
        <w:ind w:firstLine="640" w:firstLineChars="200"/>
        <w:contextualSpacing/>
        <w:jc w:val="left"/>
        <w:rPr>
          <w:rFonts w:ascii="仿宋" w:hAnsi="仿宋" w:eastAsia="仿宋" w:cs="仿宋"/>
          <w:kern w:val="0"/>
          <w:sz w:val="32"/>
          <w:szCs w:val="32"/>
          <w:lang w:val="zh-CN"/>
        </w:rPr>
      </w:pPr>
      <w:r>
        <w:rPr>
          <w:rFonts w:hint="eastAsia" w:ascii="仿宋" w:hAnsi="仿宋" w:eastAsia="仿宋"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2"/>
        <w:ind w:left="0" w:leftChars="0" w:firstLine="640"/>
        <w:rPr>
          <w:rFonts w:ascii="仿宋" w:hAnsi="仿宋" w:eastAsia="仿宋"/>
          <w:lang w:val="zh-CN"/>
        </w:rPr>
      </w:pPr>
      <w:r>
        <w:rPr>
          <w:rFonts w:hint="eastAsia" w:ascii="仿宋" w:hAnsi="仿宋" w:eastAsia="仿宋" w:cs="仿宋"/>
          <w:sz w:val="32"/>
        </w:rPr>
        <w:t>人事考试考务费</w:t>
      </w:r>
      <w:r>
        <w:rPr>
          <w:rFonts w:hint="eastAsia" w:ascii="仿宋" w:hAnsi="仿宋" w:eastAsia="仿宋"/>
          <w:sz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 w:hAnsi="仿宋" w:eastAsia="仿宋" w:cs="仿宋"/>
          <w:kern w:val="0"/>
          <w:sz w:val="32"/>
          <w:szCs w:val="32"/>
          <w:lang w:val="zh-CN"/>
        </w:rPr>
      </w:pPr>
      <w:r>
        <w:rPr>
          <w:rFonts w:hint="eastAsia" w:ascii="仿宋" w:hAnsi="仿宋" w:eastAsia="仿宋"/>
          <w:b/>
          <w:sz w:val="32"/>
          <w:szCs w:val="32"/>
          <w:lang w:val="zh-CN"/>
        </w:rPr>
        <w:t>（二）项目管理情况。</w:t>
      </w:r>
      <w:r>
        <w:rPr>
          <w:rFonts w:hint="eastAsia" w:ascii="仿宋" w:hAnsi="仿宋" w:eastAsia="仿宋"/>
          <w:sz w:val="32"/>
          <w:szCs w:val="32"/>
        </w:rPr>
        <w:t>项目严格按照区级有关规定执行，严格</w:t>
      </w:r>
      <w:r>
        <w:rPr>
          <w:rFonts w:hint="eastAsia" w:ascii="仿宋" w:hAnsi="仿宋" w:eastAsia="仿宋" w:cs="仿宋_GB2312"/>
          <w:sz w:val="32"/>
          <w:szCs w:val="32"/>
        </w:rPr>
        <w:t>用于</w:t>
      </w:r>
      <w:r>
        <w:rPr>
          <w:rFonts w:hint="eastAsia" w:ascii="仿宋" w:hAnsi="仿宋" w:eastAsia="仿宋" w:cs="仿宋"/>
          <w:bCs/>
          <w:color w:val="000000" w:themeColor="text1"/>
          <w:sz w:val="32"/>
          <w:szCs w:val="32"/>
          <w14:textFill>
            <w14:solidFill>
              <w14:schemeClr w14:val="tx1"/>
            </w14:solidFill>
          </w14:textFill>
        </w:rPr>
        <w:t>事业单位公开考试招聘</w:t>
      </w:r>
      <w:r>
        <w:rPr>
          <w:rFonts w:hint="eastAsia" w:ascii="仿宋" w:hAnsi="仿宋" w:eastAsia="仿宋" w:cs="仿宋_GB2312"/>
          <w:sz w:val="32"/>
          <w:szCs w:val="32"/>
        </w:rPr>
        <w:t>等方面的工作</w:t>
      </w:r>
      <w:r>
        <w:rPr>
          <w:rFonts w:hint="eastAsia" w:ascii="仿宋" w:hAnsi="仿宋" w:eastAsia="仿宋"/>
          <w:sz w:val="32"/>
          <w:szCs w:val="32"/>
        </w:rPr>
        <w:t>支出，</w:t>
      </w:r>
      <w:r>
        <w:rPr>
          <w:rFonts w:ascii="仿宋" w:hAnsi="仿宋" w:eastAsia="仿宋"/>
          <w:sz w:val="32"/>
          <w:szCs w:val="32"/>
          <w:lang w:val="zh-CN"/>
        </w:rPr>
        <w:t>资金专款专用</w:t>
      </w:r>
      <w:r>
        <w:rPr>
          <w:rFonts w:hint="eastAsia" w:ascii="仿宋" w:hAnsi="仿宋" w:eastAsia="仿宋"/>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项目由区人社局监管，并严格按照相关财经纪律执行。</w:t>
      </w:r>
    </w:p>
    <w:p>
      <w:pPr>
        <w:pStyle w:val="2"/>
        <w:ind w:firstLine="640" w:firstLineChars="200"/>
        <w:rPr>
          <w:rFonts w:ascii="黑体" w:eastAsia="黑体"/>
          <w:b w:val="0"/>
          <w:lang w:val="zh-CN"/>
        </w:rPr>
      </w:pPr>
      <w:bookmarkStart w:id="154" w:name="_Toc143811800"/>
      <w:r>
        <w:rPr>
          <w:rFonts w:hint="eastAsia" w:ascii="黑体" w:eastAsia="黑体"/>
          <w:b w:val="0"/>
          <w:lang w:val="zh-CN"/>
        </w:rPr>
        <w:t>四、项目绩效情况</w:t>
      </w:r>
      <w:bookmarkEnd w:id="154"/>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spacing w:line="560" w:lineRule="exact"/>
        <w:ind w:firstLine="600" w:firstLineChars="200"/>
        <w:rPr>
          <w:rFonts w:ascii="仿宋" w:hAnsi="仿宋" w:eastAsia="仿宋" w:cs="仿宋"/>
          <w:sz w:val="32"/>
          <w:szCs w:val="32"/>
        </w:rPr>
      </w:pPr>
      <w:r>
        <w:rPr>
          <w:rFonts w:hint="eastAsia"/>
          <w:color w:val="000000" w:themeColor="text1"/>
          <w:sz w:val="30"/>
          <w:szCs w:val="30"/>
          <w14:textFill>
            <w14:solidFill>
              <w14:schemeClr w14:val="tx1"/>
            </w14:solidFill>
          </w14:textFill>
        </w:rPr>
        <w:t>2022年度人事人才招聘工作按要求全面完成了年度招聘计划</w:t>
      </w:r>
      <w:r>
        <w:rPr>
          <w:rFonts w:hint="eastAsia" w:ascii="仿宋" w:hAnsi="仿宋" w:eastAsia="仿宋" w:cs="仿宋"/>
          <w:color w:val="000000" w:themeColor="text1"/>
          <w:sz w:val="32"/>
          <w:szCs w:val="32"/>
          <w14:textFill>
            <w14:solidFill>
              <w14:schemeClr w14:val="tx1"/>
            </w14:solidFill>
          </w14:textFill>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14:textFill>
            <w14:solidFill>
              <w14:schemeClr w14:val="tx1"/>
            </w14:solidFill>
          </w14:textFill>
        </w:rPr>
        <w:t>成功推进了产业人才聚集，吸引了大批优秀青年人才来安居发展。</w:t>
      </w:r>
    </w:p>
    <w:p>
      <w:pPr>
        <w:pStyle w:val="2"/>
        <w:ind w:firstLine="640" w:firstLineChars="200"/>
        <w:rPr>
          <w:rFonts w:ascii="黑体" w:eastAsia="黑体"/>
          <w:b w:val="0"/>
          <w:lang w:val="zh-CN"/>
        </w:rPr>
      </w:pPr>
      <w:bookmarkStart w:id="155" w:name="_Toc143811801"/>
      <w:r>
        <w:rPr>
          <w:rFonts w:hint="eastAsia" w:ascii="黑体" w:eastAsia="黑体"/>
          <w:b w:val="0"/>
          <w:lang w:val="zh-CN"/>
        </w:rPr>
        <w:t>五、评价结论及建议</w:t>
      </w:r>
      <w:bookmarkEnd w:id="155"/>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2022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 w:hAnsi="仿宋" w:eastAsia="仿宋" w:cs="仿宋"/>
          <w:sz w:val="32"/>
          <w:szCs w:val="32"/>
        </w:rPr>
        <w:t>预算编制精确度有待进一步提高，对各类资金的管理还存在不完善的问题，制度建设不完善。</w:t>
      </w:r>
      <w:r>
        <w:rPr>
          <w:rFonts w:hint="eastAsia" w:ascii="仿宋_GB2312" w:hAnsi="Calibri" w:eastAsia="仿宋_GB2312" w:cs="仿宋"/>
          <w:kern w:val="0"/>
          <w:sz w:val="32"/>
          <w:szCs w:val="32"/>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sz w:val="32"/>
          <w:szCs w:val="32"/>
        </w:rPr>
        <w:t>优化预算编制，加强预算执行。合理安排预算支出计划，优化资金支出结构，强化资金统筹和绩效管理，确保工作有效开展</w:t>
      </w:r>
      <w:r>
        <w:rPr>
          <w:rFonts w:hint="eastAsia" w:ascii="仿宋_GB2312" w:hAnsi="Calibri" w:eastAsia="仿宋_GB2312" w:cs="仿宋"/>
          <w:kern w:val="0"/>
          <w:sz w:val="32"/>
          <w:szCs w:val="32"/>
          <w:lang w:val="zh-CN"/>
        </w:rPr>
        <w:t>。</w:t>
      </w:r>
    </w:p>
    <w:p>
      <w:pPr>
        <w:widowControl/>
        <w:jc w:val="left"/>
        <w:rPr>
          <w:rStyle w:val="36"/>
          <w:rFonts w:ascii="黑体" w:hAnsi="黑体" w:eastAsia="黑体"/>
          <w:b w:val="0"/>
        </w:rPr>
      </w:pPr>
    </w:p>
    <w:p>
      <w:pPr>
        <w:widowControl/>
        <w:jc w:val="center"/>
        <w:rPr>
          <w:rStyle w:val="36"/>
          <w:rFonts w:ascii="黑体" w:hAnsi="黑体" w:eastAsia="黑体"/>
          <w:b w:val="0"/>
        </w:rPr>
      </w:pPr>
      <w:r>
        <w:rPr>
          <w:rStyle w:val="36"/>
          <w:rFonts w:ascii="黑体" w:hAnsi="黑体" w:eastAsia="黑体"/>
          <w:b w:val="0"/>
        </w:rPr>
        <w:br w:type="page"/>
      </w:r>
    </w:p>
    <w:p>
      <w:pPr>
        <w:pStyle w:val="22"/>
        <w:ind w:left="420"/>
      </w:pPr>
    </w:p>
    <w:p>
      <w:pPr>
        <w:spacing w:line="600" w:lineRule="exact"/>
        <w:jc w:val="center"/>
        <w:outlineLvl w:val="0"/>
        <w:rPr>
          <w:rFonts w:ascii="仿宋" w:hAnsi="仿宋" w:eastAsia="仿宋"/>
        </w:rPr>
      </w:pPr>
      <w:bookmarkStart w:id="156" w:name="_Toc15396618"/>
      <w:bookmarkStart w:id="157" w:name="_Toc143811802"/>
      <w:r>
        <w:rPr>
          <w:rFonts w:hint="eastAsia" w:ascii="黑体" w:hAnsi="黑体" w:eastAsia="黑体"/>
          <w:sz w:val="44"/>
          <w:szCs w:val="44"/>
        </w:rPr>
        <w:t>第</w:t>
      </w:r>
      <w:r>
        <w:rPr>
          <w:rStyle w:val="36"/>
          <w:rFonts w:hint="eastAsia" w:ascii="黑体" w:hAnsi="黑体" w:eastAsia="黑体"/>
          <w:b w:val="0"/>
        </w:rPr>
        <w:t>五部分 附表</w:t>
      </w:r>
      <w:bookmarkEnd w:id="94"/>
      <w:bookmarkEnd w:id="156"/>
      <w:bookmarkEnd w:id="157"/>
      <w:bookmarkStart w:id="158" w:name="_Toc15396619"/>
    </w:p>
    <w:p>
      <w:pPr>
        <w:pStyle w:val="2"/>
        <w:rPr>
          <w:rFonts w:ascii="仿宋" w:hAnsi="仿宋" w:eastAsia="仿宋"/>
        </w:rPr>
      </w:pPr>
      <w:bookmarkStart w:id="159" w:name="_Toc143811803"/>
      <w:r>
        <w:rPr>
          <w:rFonts w:hint="eastAsia" w:ascii="仿宋" w:hAnsi="仿宋" w:eastAsia="仿宋"/>
          <w:b w:val="0"/>
        </w:rPr>
        <w:t>一、收</w:t>
      </w:r>
      <w:r>
        <w:rPr>
          <w:rStyle w:val="37"/>
          <w:rFonts w:hint="eastAsia" w:ascii="仿宋" w:hAnsi="仿宋" w:eastAsia="仿宋"/>
          <w:b w:val="0"/>
          <w:bCs w:val="0"/>
        </w:rPr>
        <w:t>入支出决算总表</w:t>
      </w:r>
      <w:bookmarkEnd w:id="158"/>
      <w:bookmarkEnd w:id="159"/>
    </w:p>
    <w:p>
      <w:pPr>
        <w:pStyle w:val="2"/>
        <w:rPr>
          <w:rFonts w:ascii="仿宋" w:hAnsi="仿宋" w:eastAsia="仿宋"/>
        </w:rPr>
      </w:pPr>
      <w:bookmarkStart w:id="160" w:name="_Toc15396620"/>
      <w:bookmarkStart w:id="161" w:name="_Toc143811804"/>
      <w:r>
        <w:rPr>
          <w:rFonts w:hint="eastAsia" w:ascii="仿宋" w:hAnsi="仿宋" w:eastAsia="仿宋"/>
          <w:b w:val="0"/>
        </w:rPr>
        <w:t>二、收</w:t>
      </w:r>
      <w:r>
        <w:rPr>
          <w:rStyle w:val="37"/>
          <w:rFonts w:hint="eastAsia" w:ascii="仿宋" w:hAnsi="仿宋" w:eastAsia="仿宋"/>
          <w:b w:val="0"/>
          <w:bCs w:val="0"/>
        </w:rPr>
        <w:t>入决算表</w:t>
      </w:r>
      <w:bookmarkEnd w:id="160"/>
      <w:bookmarkEnd w:id="161"/>
    </w:p>
    <w:p>
      <w:pPr>
        <w:pStyle w:val="2"/>
        <w:rPr>
          <w:rFonts w:ascii="仿宋" w:hAnsi="仿宋" w:eastAsia="仿宋"/>
        </w:rPr>
      </w:pPr>
      <w:bookmarkStart w:id="162" w:name="_Toc15396621"/>
      <w:bookmarkStart w:id="163" w:name="_Toc143811805"/>
      <w:r>
        <w:rPr>
          <w:rStyle w:val="37"/>
          <w:rFonts w:hint="eastAsia" w:ascii="仿宋" w:hAnsi="仿宋" w:eastAsia="仿宋"/>
          <w:b w:val="0"/>
          <w:bCs w:val="0"/>
        </w:rPr>
        <w:t>三、</w:t>
      </w:r>
      <w:r>
        <w:rPr>
          <w:rFonts w:hint="eastAsia" w:ascii="仿宋" w:hAnsi="仿宋" w:eastAsia="仿宋"/>
          <w:b w:val="0"/>
        </w:rPr>
        <w:t>支</w:t>
      </w:r>
      <w:r>
        <w:rPr>
          <w:rStyle w:val="37"/>
          <w:rFonts w:hint="eastAsia" w:ascii="仿宋" w:hAnsi="仿宋" w:eastAsia="仿宋"/>
          <w:b w:val="0"/>
          <w:bCs w:val="0"/>
        </w:rPr>
        <w:t>出决算表</w:t>
      </w:r>
      <w:bookmarkEnd w:id="162"/>
      <w:bookmarkEnd w:id="163"/>
    </w:p>
    <w:p>
      <w:pPr>
        <w:pStyle w:val="2"/>
        <w:rPr>
          <w:rFonts w:ascii="仿宋" w:hAnsi="仿宋" w:eastAsia="仿宋"/>
          <w:b w:val="0"/>
        </w:rPr>
      </w:pPr>
      <w:bookmarkStart w:id="164" w:name="_Toc15396622"/>
      <w:bookmarkStart w:id="165" w:name="_Toc143811806"/>
      <w:r>
        <w:rPr>
          <w:rStyle w:val="37"/>
          <w:rFonts w:hint="eastAsia" w:ascii="仿宋" w:hAnsi="仿宋" w:eastAsia="仿宋"/>
          <w:b w:val="0"/>
          <w:bCs w:val="0"/>
        </w:rPr>
        <w:t>四、</w:t>
      </w:r>
      <w:r>
        <w:rPr>
          <w:rFonts w:hint="eastAsia" w:ascii="仿宋" w:hAnsi="仿宋" w:eastAsia="仿宋"/>
          <w:b w:val="0"/>
        </w:rPr>
        <w:t>财</w:t>
      </w:r>
      <w:r>
        <w:rPr>
          <w:rStyle w:val="37"/>
          <w:rFonts w:hint="eastAsia" w:ascii="仿宋" w:hAnsi="仿宋" w:eastAsia="仿宋"/>
          <w:b w:val="0"/>
          <w:bCs w:val="0"/>
        </w:rPr>
        <w:t>政拨款收入支出决算总表</w:t>
      </w:r>
      <w:bookmarkEnd w:id="164"/>
      <w:bookmarkEnd w:id="165"/>
    </w:p>
    <w:p>
      <w:pPr>
        <w:pStyle w:val="2"/>
        <w:rPr>
          <w:rStyle w:val="37"/>
          <w:rFonts w:ascii="仿宋" w:hAnsi="仿宋" w:eastAsia="仿宋"/>
          <w:b w:val="0"/>
          <w:bCs w:val="0"/>
        </w:rPr>
      </w:pPr>
      <w:bookmarkStart w:id="166" w:name="_Toc15396623"/>
      <w:bookmarkStart w:id="167" w:name="_Toc143811807"/>
      <w:r>
        <w:rPr>
          <w:rStyle w:val="37"/>
          <w:rFonts w:hint="eastAsia" w:ascii="仿宋" w:hAnsi="仿宋" w:eastAsia="仿宋"/>
          <w:b w:val="0"/>
          <w:bCs w:val="0"/>
        </w:rPr>
        <w:t>五、</w:t>
      </w:r>
      <w:r>
        <w:rPr>
          <w:rFonts w:hint="eastAsia" w:ascii="仿宋" w:hAnsi="仿宋" w:eastAsia="仿宋"/>
          <w:b w:val="0"/>
        </w:rPr>
        <w:t>财</w:t>
      </w:r>
      <w:r>
        <w:rPr>
          <w:rStyle w:val="37"/>
          <w:rFonts w:hint="eastAsia" w:ascii="仿宋" w:hAnsi="仿宋" w:eastAsia="仿宋"/>
          <w:b w:val="0"/>
          <w:bCs w:val="0"/>
        </w:rPr>
        <w:t>政拨款支出决算明细表</w:t>
      </w:r>
      <w:bookmarkEnd w:id="166"/>
      <w:bookmarkEnd w:id="167"/>
      <w:bookmarkStart w:id="168" w:name="_Toc15396624"/>
    </w:p>
    <w:p>
      <w:pPr>
        <w:pStyle w:val="2"/>
        <w:rPr>
          <w:rFonts w:ascii="仿宋" w:hAnsi="仿宋" w:eastAsia="仿宋"/>
        </w:rPr>
      </w:pPr>
      <w:bookmarkStart w:id="169" w:name="_Toc143811808"/>
      <w:r>
        <w:rPr>
          <w:rStyle w:val="37"/>
          <w:rFonts w:hint="eastAsia" w:ascii="仿宋" w:hAnsi="仿宋" w:eastAsia="仿宋"/>
          <w:b w:val="0"/>
          <w:bCs w:val="0"/>
        </w:rPr>
        <w:t>六、</w:t>
      </w:r>
      <w:r>
        <w:rPr>
          <w:rFonts w:hint="eastAsia" w:ascii="仿宋" w:hAnsi="仿宋" w:eastAsia="仿宋"/>
          <w:b w:val="0"/>
        </w:rPr>
        <w:t>一</w:t>
      </w:r>
      <w:r>
        <w:rPr>
          <w:rStyle w:val="37"/>
          <w:rFonts w:hint="eastAsia" w:ascii="仿宋" w:hAnsi="仿宋" w:eastAsia="仿宋"/>
          <w:b w:val="0"/>
          <w:bCs w:val="0"/>
        </w:rPr>
        <w:t>般公共预算财政拨款支出决算表</w:t>
      </w:r>
      <w:bookmarkEnd w:id="168"/>
      <w:bookmarkEnd w:id="169"/>
    </w:p>
    <w:p>
      <w:pPr>
        <w:pStyle w:val="2"/>
        <w:rPr>
          <w:rFonts w:ascii="仿宋" w:hAnsi="仿宋" w:eastAsia="仿宋"/>
        </w:rPr>
      </w:pPr>
      <w:bookmarkStart w:id="170" w:name="_Toc15396625"/>
      <w:bookmarkStart w:id="171" w:name="_Toc143811809"/>
      <w:r>
        <w:rPr>
          <w:rStyle w:val="37"/>
          <w:rFonts w:hint="eastAsia" w:ascii="仿宋" w:hAnsi="仿宋" w:eastAsia="仿宋"/>
          <w:b w:val="0"/>
          <w:bCs w:val="0"/>
        </w:rPr>
        <w:t>七、</w:t>
      </w:r>
      <w:r>
        <w:rPr>
          <w:rFonts w:hint="eastAsia" w:ascii="仿宋" w:hAnsi="仿宋" w:eastAsia="仿宋"/>
          <w:b w:val="0"/>
        </w:rPr>
        <w:t>一</w:t>
      </w:r>
      <w:r>
        <w:rPr>
          <w:rStyle w:val="37"/>
          <w:rFonts w:hint="eastAsia" w:ascii="仿宋" w:hAnsi="仿宋" w:eastAsia="仿宋"/>
          <w:b w:val="0"/>
          <w:bCs w:val="0"/>
        </w:rPr>
        <w:t>般公共预算财政拨款支出决算明细表</w:t>
      </w:r>
      <w:bookmarkEnd w:id="170"/>
      <w:bookmarkEnd w:id="171"/>
    </w:p>
    <w:p>
      <w:pPr>
        <w:pStyle w:val="2"/>
        <w:rPr>
          <w:rFonts w:ascii="仿宋" w:hAnsi="仿宋" w:eastAsia="仿宋"/>
        </w:rPr>
      </w:pPr>
      <w:bookmarkStart w:id="172" w:name="_Toc15396626"/>
      <w:bookmarkStart w:id="173" w:name="_Toc143811810"/>
      <w:r>
        <w:rPr>
          <w:rStyle w:val="37"/>
          <w:rFonts w:hint="eastAsia" w:ascii="仿宋" w:hAnsi="仿宋" w:eastAsia="仿宋"/>
          <w:b w:val="0"/>
          <w:bCs w:val="0"/>
        </w:rPr>
        <w:t>八、</w:t>
      </w:r>
      <w:r>
        <w:rPr>
          <w:rFonts w:hint="eastAsia" w:ascii="仿宋" w:hAnsi="仿宋" w:eastAsia="仿宋"/>
          <w:b w:val="0"/>
        </w:rPr>
        <w:t>一</w:t>
      </w:r>
      <w:r>
        <w:rPr>
          <w:rStyle w:val="37"/>
          <w:rFonts w:hint="eastAsia" w:ascii="仿宋" w:hAnsi="仿宋" w:eastAsia="仿宋"/>
          <w:b w:val="0"/>
          <w:bCs w:val="0"/>
        </w:rPr>
        <w:t>般公共预算财政拨款基本支出决算表</w:t>
      </w:r>
      <w:bookmarkEnd w:id="172"/>
      <w:bookmarkEnd w:id="173"/>
    </w:p>
    <w:p>
      <w:pPr>
        <w:pStyle w:val="2"/>
        <w:rPr>
          <w:rFonts w:ascii="仿宋" w:hAnsi="仿宋" w:eastAsia="仿宋"/>
        </w:rPr>
      </w:pPr>
      <w:bookmarkStart w:id="174" w:name="_Toc15396627"/>
      <w:bookmarkStart w:id="175" w:name="_Toc143811811"/>
      <w:r>
        <w:rPr>
          <w:rStyle w:val="37"/>
          <w:rFonts w:hint="eastAsia" w:ascii="仿宋" w:hAnsi="仿宋" w:eastAsia="仿宋"/>
          <w:b w:val="0"/>
          <w:bCs w:val="0"/>
        </w:rPr>
        <w:t>九、</w:t>
      </w:r>
      <w:r>
        <w:rPr>
          <w:rFonts w:hint="eastAsia" w:ascii="仿宋" w:hAnsi="仿宋" w:eastAsia="仿宋"/>
          <w:b w:val="0"/>
        </w:rPr>
        <w:t>一</w:t>
      </w:r>
      <w:r>
        <w:rPr>
          <w:rStyle w:val="37"/>
          <w:rFonts w:hint="eastAsia" w:ascii="仿宋" w:hAnsi="仿宋" w:eastAsia="仿宋"/>
          <w:b w:val="0"/>
          <w:bCs w:val="0"/>
        </w:rPr>
        <w:t>般公共预算财政拨款项目支出决算表</w:t>
      </w:r>
      <w:bookmarkEnd w:id="174"/>
      <w:bookmarkEnd w:id="175"/>
    </w:p>
    <w:p>
      <w:pPr>
        <w:pStyle w:val="2"/>
        <w:rPr>
          <w:rFonts w:ascii="仿宋" w:hAnsi="仿宋" w:eastAsia="仿宋"/>
        </w:rPr>
      </w:pPr>
      <w:bookmarkStart w:id="176" w:name="_Toc15396628"/>
      <w:bookmarkStart w:id="177" w:name="_Toc143811812"/>
      <w:r>
        <w:rPr>
          <w:rStyle w:val="37"/>
          <w:rFonts w:hint="eastAsia" w:ascii="仿宋" w:hAnsi="仿宋" w:eastAsia="仿宋"/>
          <w:b w:val="0"/>
          <w:bCs w:val="0"/>
        </w:rPr>
        <w:t>十、</w:t>
      </w:r>
      <w:bookmarkEnd w:id="176"/>
      <w:r>
        <w:rPr>
          <w:rFonts w:hint="eastAsia" w:ascii="仿宋" w:hAnsi="仿宋" w:eastAsia="仿宋"/>
          <w:b w:val="0"/>
        </w:rPr>
        <w:t>政</w:t>
      </w:r>
      <w:r>
        <w:rPr>
          <w:rStyle w:val="37"/>
          <w:rFonts w:hint="eastAsia" w:ascii="仿宋" w:hAnsi="仿宋" w:eastAsia="仿宋"/>
          <w:b w:val="0"/>
          <w:bCs w:val="0"/>
        </w:rPr>
        <w:t>府性基金预算财政拨款收入支出决算表</w:t>
      </w:r>
      <w:bookmarkEnd w:id="177"/>
    </w:p>
    <w:p>
      <w:pPr>
        <w:pStyle w:val="2"/>
        <w:rPr>
          <w:rFonts w:ascii="仿宋" w:hAnsi="仿宋" w:eastAsia="仿宋"/>
        </w:rPr>
      </w:pPr>
      <w:bookmarkStart w:id="178" w:name="_Toc15396629"/>
      <w:bookmarkStart w:id="179" w:name="_Toc143811813"/>
      <w:r>
        <w:rPr>
          <w:rStyle w:val="37"/>
          <w:rFonts w:hint="eastAsia" w:ascii="仿宋" w:hAnsi="仿宋" w:eastAsia="仿宋"/>
          <w:b w:val="0"/>
          <w:bCs w:val="0"/>
        </w:rPr>
        <w:t>十一、</w:t>
      </w:r>
      <w:bookmarkEnd w:id="178"/>
      <w:r>
        <w:rPr>
          <w:rFonts w:hint="eastAsia" w:ascii="仿宋" w:hAnsi="仿宋" w:eastAsia="仿宋"/>
          <w:b w:val="0"/>
        </w:rPr>
        <w:t>国</w:t>
      </w:r>
      <w:r>
        <w:rPr>
          <w:rStyle w:val="37"/>
          <w:rFonts w:hint="eastAsia" w:ascii="仿宋" w:hAnsi="仿宋" w:eastAsia="仿宋"/>
          <w:b w:val="0"/>
          <w:bCs w:val="0"/>
        </w:rPr>
        <w:t>有资本经营预算财政拨款收入支出决算表</w:t>
      </w:r>
      <w:bookmarkEnd w:id="179"/>
    </w:p>
    <w:p>
      <w:pPr>
        <w:pStyle w:val="2"/>
        <w:rPr>
          <w:rFonts w:ascii="仿宋" w:hAnsi="仿宋" w:eastAsia="仿宋"/>
        </w:rPr>
      </w:pPr>
      <w:bookmarkStart w:id="180" w:name="_Toc15396630"/>
      <w:bookmarkStart w:id="181" w:name="_Toc143811814"/>
      <w:r>
        <w:rPr>
          <w:rStyle w:val="37"/>
          <w:rFonts w:hint="eastAsia" w:ascii="仿宋" w:hAnsi="仿宋" w:eastAsia="仿宋"/>
          <w:b w:val="0"/>
          <w:bCs w:val="0"/>
        </w:rPr>
        <w:t>十二、</w:t>
      </w:r>
      <w:bookmarkEnd w:id="180"/>
      <w:r>
        <w:rPr>
          <w:rStyle w:val="37"/>
          <w:rFonts w:hint="eastAsia" w:ascii="仿宋" w:hAnsi="仿宋" w:eastAsia="仿宋"/>
          <w:b w:val="0"/>
          <w:bCs w:val="0"/>
        </w:rPr>
        <w:t>国有资本经营预算财政拨款支出决算表</w:t>
      </w:r>
      <w:bookmarkEnd w:id="181"/>
    </w:p>
    <w:p>
      <w:pPr>
        <w:pStyle w:val="2"/>
        <w:rPr>
          <w:rFonts w:eastAsia="仿宋"/>
        </w:rPr>
      </w:pPr>
      <w:bookmarkStart w:id="182" w:name="_Toc15396631"/>
      <w:bookmarkStart w:id="183" w:name="_Toc143811815"/>
      <w:r>
        <w:rPr>
          <w:rStyle w:val="37"/>
          <w:rFonts w:hint="eastAsia" w:ascii="仿宋" w:hAnsi="仿宋" w:eastAsia="仿宋"/>
          <w:b w:val="0"/>
          <w:bCs w:val="0"/>
        </w:rPr>
        <w:t>十三、</w:t>
      </w:r>
      <w:bookmarkEnd w:id="182"/>
      <w:r>
        <w:rPr>
          <w:rStyle w:val="37"/>
          <w:rFonts w:hint="eastAsia" w:ascii="仿宋" w:hAnsi="仿宋" w:eastAsia="仿宋"/>
          <w:b w:val="0"/>
          <w:bCs w:val="0"/>
        </w:rPr>
        <w:t>财政拨款“三公”经费支出决算表</w:t>
      </w:r>
      <w:bookmarkEnd w:id="18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94D6FA-8CBF-4901-B5AD-22CAB77AA8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201C7FD-9C91-42E4-A8FD-EE686AAEA1CA}"/>
  </w:font>
  <w:font w:name="Cambria">
    <w:panose1 w:val="02040503050406030204"/>
    <w:charset w:val="00"/>
    <w:family w:val="roman"/>
    <w:pitch w:val="default"/>
    <w:sig w:usb0="E00002FF" w:usb1="400004FF" w:usb2="00000000" w:usb3="00000000" w:csb0="2000019F" w:csb1="00000000"/>
    <w:embedRegular r:id="rId3" w:fontKey="{47F68DCB-7A3E-486D-8DE2-0A5F49458565}"/>
  </w:font>
  <w:font w:name="仿宋_GB2312">
    <w:altName w:val="仿宋"/>
    <w:panose1 w:val="02010609030101010101"/>
    <w:charset w:val="86"/>
    <w:family w:val="modern"/>
    <w:pitch w:val="default"/>
    <w:sig w:usb0="00000000" w:usb1="00000000" w:usb2="00000000" w:usb3="00000000" w:csb0="00040000" w:csb1="00000000"/>
    <w:embedRegular r:id="rId4" w:fontKey="{7567A3A5-A2DF-4892-8199-59818197DBA5}"/>
  </w:font>
  <w:font w:name="仿宋">
    <w:panose1 w:val="02010609060101010101"/>
    <w:charset w:val="86"/>
    <w:family w:val="modern"/>
    <w:pitch w:val="default"/>
    <w:sig w:usb0="800002BF" w:usb1="38CF7CFA" w:usb2="00000016" w:usb3="00000000" w:csb0="00040001" w:csb1="00000000"/>
    <w:embedRegular r:id="rId5" w:fontKey="{B12931DA-87A5-434A-96D5-5FE288B8D9F9}"/>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9A868568-92B4-4320-B572-0E24AEFA8F15}"/>
  </w:font>
  <w:font w:name="微软雅黑">
    <w:panose1 w:val="020B0503020204020204"/>
    <w:charset w:val="86"/>
    <w:family w:val="swiss"/>
    <w:pitch w:val="default"/>
    <w:sig w:usb0="80000287" w:usb1="280F3C52" w:usb2="00000016" w:usb3="00000000" w:csb0="0004001F" w:csb1="00000000"/>
    <w:embedRegular r:id="rId7" w:fontKey="{90803AEA-4F3E-49C2-B3D6-1B6313C844C1}"/>
  </w:font>
  <w:font w:name="楷体_GB2312">
    <w:altName w:val="楷体"/>
    <w:panose1 w:val="02010609030101010101"/>
    <w:charset w:val="86"/>
    <w:family w:val="auto"/>
    <w:pitch w:val="default"/>
    <w:sig w:usb0="00000000" w:usb1="00000000" w:usb2="00000000" w:usb3="00000000" w:csb0="00040000" w:csb1="00000000"/>
    <w:embedRegular r:id="rId8" w:fontKey="{5D4E4CD9-2AC5-4D8F-B569-CAB66E809C5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4"/>
          <w:jc w:val="center"/>
        </w:pPr>
        <w:r>
          <w:fldChar w:fldCharType="begin"/>
        </w:r>
        <w:r>
          <w:instrText xml:space="preserve">PAGE   \* MERGEFORMAT</w:instrText>
        </w:r>
        <w:r>
          <w:fldChar w:fldCharType="separate"/>
        </w:r>
        <w:r>
          <w:rPr>
            <w:lang w:val="zh-CN"/>
          </w:rPr>
          <w:t>8</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0F736"/>
    <w:multiLevelType w:val="singleLevel"/>
    <w:tmpl w:val="B810F736"/>
    <w:lvl w:ilvl="0" w:tentative="0">
      <w:start w:val="2"/>
      <w:numFmt w:val="chineseCounting"/>
      <w:suff w:val="nothing"/>
      <w:lvlText w:val="（%1）"/>
      <w:lvlJc w:val="left"/>
      <w:rPr>
        <w:rFonts w:hint="eastAsia"/>
      </w:rPr>
    </w:lvl>
  </w:abstractNum>
  <w:abstractNum w:abstractNumId="1">
    <w:nsid w:val="CA8D616E"/>
    <w:multiLevelType w:val="singleLevel"/>
    <w:tmpl w:val="CA8D616E"/>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F5D877CF"/>
    <w:multiLevelType w:val="singleLevel"/>
    <w:tmpl w:val="F5D877CF"/>
    <w:lvl w:ilvl="0" w:tentative="0">
      <w:start w:val="1"/>
      <w:numFmt w:val="chineseCounting"/>
      <w:suff w:val="nothing"/>
      <w:lvlText w:val="（%1）"/>
      <w:lvlJc w:val="left"/>
      <w:rPr>
        <w:rFonts w:hint="eastAsia"/>
      </w:rPr>
    </w:lvl>
  </w:abstractNum>
  <w:abstractNum w:abstractNumId="4">
    <w:nsid w:val="F74FB893"/>
    <w:multiLevelType w:val="singleLevel"/>
    <w:tmpl w:val="F74FB893"/>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A1B27BA"/>
    <w:multiLevelType w:val="singleLevel"/>
    <w:tmpl w:val="4A1B27BA"/>
    <w:lvl w:ilvl="0" w:tentative="0">
      <w:start w:val="1"/>
      <w:numFmt w:val="decimal"/>
      <w:pStyle w:val="6"/>
      <w:lvlText w:val="%1."/>
      <w:lvlJc w:val="left"/>
      <w:pPr>
        <w:tabs>
          <w:tab w:val="left" w:pos="360"/>
        </w:tabs>
        <w:ind w:left="360" w:hanging="360"/>
      </w:pPr>
    </w:lvl>
  </w:abstractNum>
  <w:abstractNum w:abstractNumId="7">
    <w:nsid w:val="5461B624"/>
    <w:multiLevelType w:val="singleLevel"/>
    <w:tmpl w:val="5461B624"/>
    <w:lvl w:ilvl="0" w:tentative="0">
      <w:start w:val="2"/>
      <w:numFmt w:val="chineseCounting"/>
      <w:suff w:val="nothing"/>
      <w:lvlText w:val="（%1）"/>
      <w:lvlJc w:val="left"/>
      <w:rPr>
        <w:rFonts w:hint="eastAsia"/>
      </w:rPr>
    </w:lvl>
  </w:abstractNum>
  <w:abstractNum w:abstractNumId="8">
    <w:nsid w:val="7FFF023B"/>
    <w:multiLevelType w:val="singleLevel"/>
    <w:tmpl w:val="7FFF023B"/>
    <w:lvl w:ilvl="0" w:tentative="0">
      <w:start w:val="1"/>
      <w:numFmt w:val="decimal"/>
      <w:lvlText w:val="%1."/>
      <w:lvlJc w:val="left"/>
      <w:pPr>
        <w:tabs>
          <w:tab w:val="left" w:pos="312"/>
        </w:tabs>
      </w:p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ZjQzM2ZkZDE1MjYyOTgyYTc4YjE1YjNmZWI3NGEifQ=="/>
  </w:docVars>
  <w:rsids>
    <w:rsidRoot w:val="00F1361C"/>
    <w:rsid w:val="000222C6"/>
    <w:rsid w:val="0002549F"/>
    <w:rsid w:val="000468DB"/>
    <w:rsid w:val="00046B5B"/>
    <w:rsid w:val="00047B6A"/>
    <w:rsid w:val="0006487A"/>
    <w:rsid w:val="00065F8F"/>
    <w:rsid w:val="00070A43"/>
    <w:rsid w:val="000768F2"/>
    <w:rsid w:val="0009184B"/>
    <w:rsid w:val="00094236"/>
    <w:rsid w:val="0009593C"/>
    <w:rsid w:val="00097322"/>
    <w:rsid w:val="000A5031"/>
    <w:rsid w:val="000A6A92"/>
    <w:rsid w:val="000B047F"/>
    <w:rsid w:val="000B4B5E"/>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7C0B"/>
    <w:rsid w:val="00471401"/>
    <w:rsid w:val="00473F31"/>
    <w:rsid w:val="00481504"/>
    <w:rsid w:val="0048263A"/>
    <w:rsid w:val="00487E5D"/>
    <w:rsid w:val="004A711F"/>
    <w:rsid w:val="004B199D"/>
    <w:rsid w:val="004B45C2"/>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0F99"/>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2D7A"/>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202"/>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573C6"/>
    <w:rsid w:val="00860645"/>
    <w:rsid w:val="00871F71"/>
    <w:rsid w:val="00872FD8"/>
    <w:rsid w:val="00885AF4"/>
    <w:rsid w:val="008939CD"/>
    <w:rsid w:val="008B768C"/>
    <w:rsid w:val="008C4DB1"/>
    <w:rsid w:val="008C4EAF"/>
    <w:rsid w:val="008C5176"/>
    <w:rsid w:val="008C7FD0"/>
    <w:rsid w:val="008E1DE7"/>
    <w:rsid w:val="008E707C"/>
    <w:rsid w:val="008F34D5"/>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FEE"/>
    <w:rsid w:val="0098660A"/>
    <w:rsid w:val="009931C3"/>
    <w:rsid w:val="009B2C43"/>
    <w:rsid w:val="009B4EAE"/>
    <w:rsid w:val="009B7573"/>
    <w:rsid w:val="009C22F4"/>
    <w:rsid w:val="009C2A4B"/>
    <w:rsid w:val="009C2E98"/>
    <w:rsid w:val="009C7DD6"/>
    <w:rsid w:val="009D3447"/>
    <w:rsid w:val="009D4711"/>
    <w:rsid w:val="009F1185"/>
    <w:rsid w:val="009F18CD"/>
    <w:rsid w:val="009F2A13"/>
    <w:rsid w:val="009F7527"/>
    <w:rsid w:val="00A04EB0"/>
    <w:rsid w:val="00A13CC1"/>
    <w:rsid w:val="00A16847"/>
    <w:rsid w:val="00A20BE3"/>
    <w:rsid w:val="00A237D8"/>
    <w:rsid w:val="00A268C4"/>
    <w:rsid w:val="00A307CD"/>
    <w:rsid w:val="00A331C8"/>
    <w:rsid w:val="00A40A00"/>
    <w:rsid w:val="00A4142F"/>
    <w:rsid w:val="00A422EB"/>
    <w:rsid w:val="00A45BB7"/>
    <w:rsid w:val="00A468D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39FD"/>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3D3F"/>
    <w:rsid w:val="00FA23E8"/>
    <w:rsid w:val="00FB37A7"/>
    <w:rsid w:val="00FD3CC1"/>
    <w:rsid w:val="00FF1E02"/>
    <w:rsid w:val="00FF30B4"/>
    <w:rsid w:val="015975B8"/>
    <w:rsid w:val="02143E91"/>
    <w:rsid w:val="05924D4E"/>
    <w:rsid w:val="0664493D"/>
    <w:rsid w:val="066E0107"/>
    <w:rsid w:val="069A65B0"/>
    <w:rsid w:val="07996F6E"/>
    <w:rsid w:val="0A2032A3"/>
    <w:rsid w:val="0AAC240E"/>
    <w:rsid w:val="0B852C60"/>
    <w:rsid w:val="0DBB7526"/>
    <w:rsid w:val="0F5A1EDD"/>
    <w:rsid w:val="0F841F4D"/>
    <w:rsid w:val="0F98263C"/>
    <w:rsid w:val="101860EC"/>
    <w:rsid w:val="10BF041C"/>
    <w:rsid w:val="10C055FF"/>
    <w:rsid w:val="10FB40F0"/>
    <w:rsid w:val="118107EC"/>
    <w:rsid w:val="12851EC3"/>
    <w:rsid w:val="13D50BC4"/>
    <w:rsid w:val="14922675"/>
    <w:rsid w:val="16BB723D"/>
    <w:rsid w:val="16F72C63"/>
    <w:rsid w:val="17C0399D"/>
    <w:rsid w:val="1A330456"/>
    <w:rsid w:val="1BE8440E"/>
    <w:rsid w:val="1C4C3A51"/>
    <w:rsid w:val="1D155CEE"/>
    <w:rsid w:val="1E5170FD"/>
    <w:rsid w:val="1E733517"/>
    <w:rsid w:val="1FF35744"/>
    <w:rsid w:val="20BD316F"/>
    <w:rsid w:val="213B5E42"/>
    <w:rsid w:val="22FF7A6F"/>
    <w:rsid w:val="23860B96"/>
    <w:rsid w:val="240371BF"/>
    <w:rsid w:val="24D34D10"/>
    <w:rsid w:val="258B383C"/>
    <w:rsid w:val="25DB3053"/>
    <w:rsid w:val="27E86D24"/>
    <w:rsid w:val="288822B5"/>
    <w:rsid w:val="29FD04D3"/>
    <w:rsid w:val="2A094D30"/>
    <w:rsid w:val="2C155C0E"/>
    <w:rsid w:val="2C815051"/>
    <w:rsid w:val="2C8A61B5"/>
    <w:rsid w:val="2DF04E50"/>
    <w:rsid w:val="2E114AFB"/>
    <w:rsid w:val="2E9C5846"/>
    <w:rsid w:val="2F040D46"/>
    <w:rsid w:val="2FEB24C5"/>
    <w:rsid w:val="31745184"/>
    <w:rsid w:val="319F7F4E"/>
    <w:rsid w:val="32061FE8"/>
    <w:rsid w:val="3304709D"/>
    <w:rsid w:val="34BD32E6"/>
    <w:rsid w:val="36AA5135"/>
    <w:rsid w:val="376D39B2"/>
    <w:rsid w:val="37E16F03"/>
    <w:rsid w:val="38044D88"/>
    <w:rsid w:val="386A68D5"/>
    <w:rsid w:val="38D469F0"/>
    <w:rsid w:val="391E1E7A"/>
    <w:rsid w:val="3ADE5D64"/>
    <w:rsid w:val="3C3025F0"/>
    <w:rsid w:val="3D98207C"/>
    <w:rsid w:val="3E2919ED"/>
    <w:rsid w:val="3E78745D"/>
    <w:rsid w:val="400B75FC"/>
    <w:rsid w:val="40FA4E7B"/>
    <w:rsid w:val="4226071D"/>
    <w:rsid w:val="447D65EE"/>
    <w:rsid w:val="44A678F3"/>
    <w:rsid w:val="44E268DA"/>
    <w:rsid w:val="458B0E76"/>
    <w:rsid w:val="47A11B6B"/>
    <w:rsid w:val="48D24C1A"/>
    <w:rsid w:val="4A627F82"/>
    <w:rsid w:val="4B0E749A"/>
    <w:rsid w:val="4B4F25DA"/>
    <w:rsid w:val="4B865D88"/>
    <w:rsid w:val="4BE068DB"/>
    <w:rsid w:val="4D196FC1"/>
    <w:rsid w:val="4D577224"/>
    <w:rsid w:val="4EAB630A"/>
    <w:rsid w:val="4ECE2238"/>
    <w:rsid w:val="507C775A"/>
    <w:rsid w:val="51EE6435"/>
    <w:rsid w:val="5285323E"/>
    <w:rsid w:val="537E6D0A"/>
    <w:rsid w:val="54613610"/>
    <w:rsid w:val="552A3C28"/>
    <w:rsid w:val="556F5ADF"/>
    <w:rsid w:val="55A41C2D"/>
    <w:rsid w:val="572C5988"/>
    <w:rsid w:val="573214BA"/>
    <w:rsid w:val="58DD0FB2"/>
    <w:rsid w:val="5934396D"/>
    <w:rsid w:val="5AF92295"/>
    <w:rsid w:val="5CD71FC4"/>
    <w:rsid w:val="5EC7073A"/>
    <w:rsid w:val="6094289E"/>
    <w:rsid w:val="61C80A51"/>
    <w:rsid w:val="651A5A67"/>
    <w:rsid w:val="65982E30"/>
    <w:rsid w:val="660109D5"/>
    <w:rsid w:val="6B7E4876"/>
    <w:rsid w:val="6C4A05C8"/>
    <w:rsid w:val="6D323B6A"/>
    <w:rsid w:val="6DC522E8"/>
    <w:rsid w:val="6DF826BE"/>
    <w:rsid w:val="6E7E3605"/>
    <w:rsid w:val="6EE113A4"/>
    <w:rsid w:val="6FF5CC65"/>
    <w:rsid w:val="70DF7B65"/>
    <w:rsid w:val="715C0E4B"/>
    <w:rsid w:val="72734D90"/>
    <w:rsid w:val="73243F55"/>
    <w:rsid w:val="73AD73D5"/>
    <w:rsid w:val="73B6EB34"/>
    <w:rsid w:val="744731E5"/>
    <w:rsid w:val="748C6CA7"/>
    <w:rsid w:val="765A0952"/>
    <w:rsid w:val="76E3355F"/>
    <w:rsid w:val="77135325"/>
    <w:rsid w:val="778769C8"/>
    <w:rsid w:val="79725A1A"/>
    <w:rsid w:val="79EE5BA4"/>
    <w:rsid w:val="7A894339"/>
    <w:rsid w:val="7A97325F"/>
    <w:rsid w:val="7CB4634A"/>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uiPriority w:val="39"/>
    <w:pPr>
      <w:ind w:left="2520" w:leftChars="1200"/>
    </w:pPr>
    <w:rPr>
      <w:rFonts w:asciiTheme="minorHAnsi" w:hAnsiTheme="minorHAnsi" w:eastAsiaTheme="minorEastAsia" w:cstheme="minorBidi"/>
      <w:szCs w:val="22"/>
      <w14:ligatures w14:val="standardContextual"/>
    </w:rPr>
  </w:style>
  <w:style w:type="paragraph" w:styleId="6">
    <w:name w:val="List Number"/>
    <w:basedOn w:val="1"/>
    <w:semiHidden/>
    <w:unhideWhenUsed/>
    <w:qFormat/>
    <w:uiPriority w:val="99"/>
    <w:pPr>
      <w:numPr>
        <w:ilvl w:val="0"/>
        <w:numId w:val="1"/>
      </w:numPr>
    </w:pPr>
  </w:style>
  <w:style w:type="paragraph" w:styleId="7">
    <w:name w:val="Body Text"/>
    <w:basedOn w:val="1"/>
    <w:next w:val="8"/>
    <w:link w:val="33"/>
    <w:qFormat/>
    <w:uiPriority w:val="99"/>
    <w:pPr>
      <w:spacing w:beforeLines="30"/>
    </w:pPr>
    <w:rPr>
      <w:rFonts w:ascii="仿宋_GB2312" w:eastAsia="仿宋_GB2312"/>
      <w:kern w:val="0"/>
      <w:sz w:val="30"/>
    </w:rPr>
  </w:style>
  <w:style w:type="paragraph" w:styleId="8">
    <w:name w:val="Plain Text"/>
    <w:basedOn w:val="1"/>
    <w:next w:val="9"/>
    <w:link w:val="43"/>
    <w:qFormat/>
    <w:uiPriority w:val="99"/>
    <w:rPr>
      <w:rFonts w:ascii="宋体" w:hAnsi="Courier New"/>
      <w:kern w:val="0"/>
      <w:sz w:val="20"/>
      <w:szCs w:val="21"/>
    </w:rPr>
  </w:style>
  <w:style w:type="paragraph" w:styleId="9">
    <w:name w:val="toc 5"/>
    <w:basedOn w:val="1"/>
    <w:next w:val="1"/>
    <w:unhideWhenUsed/>
    <w:qFormat/>
    <w:uiPriority w:val="39"/>
    <w:pPr>
      <w:ind w:left="1680" w:leftChars="800"/>
    </w:pPr>
  </w:style>
  <w:style w:type="paragraph" w:styleId="10">
    <w:name w:val="Body Text Indent"/>
    <w:basedOn w:val="1"/>
    <w:qFormat/>
    <w:uiPriority w:val="0"/>
    <w:pPr>
      <w:spacing w:after="120"/>
      <w:ind w:left="200" w:leftChars="200"/>
    </w:pPr>
    <w:rPr>
      <w:rFonts w:ascii="仿宋_GB2312"/>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toc 8"/>
    <w:basedOn w:val="1"/>
    <w:next w:val="1"/>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3">
    <w:name w:val="Balloon Text"/>
    <w:basedOn w:val="1"/>
    <w:link w:val="39"/>
    <w:semiHidden/>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4"/>
    <w:basedOn w:val="1"/>
    <w:next w:val="1"/>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18">
    <w:name w:val="toc 6"/>
    <w:basedOn w:val="1"/>
    <w:next w:val="1"/>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19">
    <w:name w:val="toc 2"/>
    <w:basedOn w:val="1"/>
    <w:next w:val="1"/>
    <w:unhideWhenUsed/>
    <w:qFormat/>
    <w:uiPriority w:val="39"/>
    <w:pPr>
      <w:tabs>
        <w:tab w:val="right" w:leader="dot" w:pos="8296"/>
      </w:tabs>
      <w:ind w:left="420" w:leftChars="200"/>
    </w:pPr>
  </w:style>
  <w:style w:type="paragraph" w:styleId="20">
    <w:name w:val="toc 9"/>
    <w:basedOn w:val="1"/>
    <w:next w:val="1"/>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2"/>
    <w:basedOn w:val="10"/>
    <w:unhideWhenUsed/>
    <w:qFormat/>
    <w:uiPriority w:val="99"/>
    <w:pPr>
      <w:ind w:firstLine="420" w:firstLineChars="200"/>
    </w:pPr>
  </w:style>
  <w:style w:type="character" w:styleId="25">
    <w:name w:val="Strong"/>
    <w:basedOn w:val="24"/>
    <w:qFormat/>
    <w:uiPriority w:val="99"/>
    <w:rPr>
      <w:b/>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8">
    <w:name w:val="Header Char"/>
    <w:basedOn w:val="24"/>
    <w:semiHidden/>
    <w:qFormat/>
    <w:uiPriority w:val="99"/>
    <w:rPr>
      <w:rFonts w:ascii="Times New Roman" w:hAnsi="Times New Roman"/>
      <w:sz w:val="18"/>
      <w:szCs w:val="18"/>
    </w:rPr>
  </w:style>
  <w:style w:type="character" w:customStyle="1" w:styleId="29">
    <w:name w:val="页眉 字符"/>
    <w:link w:val="15"/>
    <w:semiHidden/>
    <w:qFormat/>
    <w:locked/>
    <w:uiPriority w:val="99"/>
    <w:rPr>
      <w:sz w:val="18"/>
    </w:rPr>
  </w:style>
  <w:style w:type="character" w:customStyle="1" w:styleId="30">
    <w:name w:val="Footer Char"/>
    <w:basedOn w:val="24"/>
    <w:semiHidden/>
    <w:qFormat/>
    <w:uiPriority w:val="99"/>
    <w:rPr>
      <w:rFonts w:ascii="Times New Roman" w:hAnsi="Times New Roman"/>
      <w:sz w:val="18"/>
      <w:szCs w:val="18"/>
    </w:rPr>
  </w:style>
  <w:style w:type="character" w:customStyle="1" w:styleId="31">
    <w:name w:val="页脚 字符"/>
    <w:link w:val="14"/>
    <w:qFormat/>
    <w:locked/>
    <w:uiPriority w:val="99"/>
    <w:rPr>
      <w:sz w:val="18"/>
    </w:rPr>
  </w:style>
  <w:style w:type="character" w:customStyle="1" w:styleId="32">
    <w:name w:val="Body Text Char"/>
    <w:basedOn w:val="24"/>
    <w:semiHidden/>
    <w:qFormat/>
    <w:uiPriority w:val="99"/>
    <w:rPr>
      <w:rFonts w:ascii="Times New Roman" w:hAnsi="Times New Roman"/>
      <w:szCs w:val="24"/>
    </w:rPr>
  </w:style>
  <w:style w:type="character" w:customStyle="1" w:styleId="33">
    <w:name w:val="正文文本 字符"/>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字符"/>
    <w:basedOn w:val="24"/>
    <w:link w:val="3"/>
    <w:qFormat/>
    <w:uiPriority w:val="9"/>
    <w:rPr>
      <w:rFonts w:ascii="Times New Roman" w:hAnsi="Times New Roman"/>
      <w:b/>
      <w:bCs/>
      <w:kern w:val="44"/>
      <w:sz w:val="44"/>
      <w:szCs w:val="44"/>
    </w:rPr>
  </w:style>
  <w:style w:type="character" w:customStyle="1" w:styleId="37">
    <w:name w:val="标题 2 字符"/>
    <w:basedOn w:val="24"/>
    <w:link w:val="2"/>
    <w:qFormat/>
    <w:uiPriority w:val="9"/>
    <w:rPr>
      <w:rFonts w:asciiTheme="majorHAnsi" w:hAnsiTheme="majorHAnsi" w:eastAsiaTheme="majorEastAsia" w:cstheme="majorBidi"/>
      <w:b/>
      <w:bCs/>
      <w:kern w:val="2"/>
      <w:sz w:val="32"/>
      <w:szCs w:val="32"/>
    </w:r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4"/>
    <w:link w:val="13"/>
    <w:semiHidden/>
    <w:qFormat/>
    <w:uiPriority w:val="99"/>
    <w:rPr>
      <w:rFonts w:ascii="Times New Roman" w:hAnsi="Times New Roman"/>
      <w:kern w:val="2"/>
      <w:sz w:val="18"/>
      <w:szCs w:val="18"/>
    </w:rPr>
  </w:style>
  <w:style w:type="character" w:customStyle="1" w:styleId="40">
    <w:name w:val="标题 3 字符"/>
    <w:basedOn w:val="24"/>
    <w:link w:val="4"/>
    <w:qFormat/>
    <w:uiPriority w:val="9"/>
    <w:rPr>
      <w:rFonts w:ascii="Times New Roman" w:hAnsi="Times New Roman"/>
      <w:b/>
      <w:bCs/>
      <w:kern w:val="2"/>
      <w:sz w:val="32"/>
      <w:szCs w:val="32"/>
    </w:rPr>
  </w:style>
  <w:style w:type="paragraph" w:customStyle="1" w:styleId="4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character" w:customStyle="1" w:styleId="43">
    <w:name w:val="纯文本 字符"/>
    <w:basedOn w:val="24"/>
    <w:link w:val="8"/>
    <w:qFormat/>
    <w:uiPriority w:val="99"/>
    <w:rPr>
      <w:rFonts w:ascii="宋体" w:hAnsi="Courier New"/>
      <w:szCs w:val="21"/>
    </w:rPr>
  </w:style>
  <w:style w:type="paragraph" w:customStyle="1" w:styleId="4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5">
    <w:name w:val="Unresolved Mention"/>
    <w:basedOn w:val="2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269662950383934"/>
          <c:y val="0.032130591032233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Sheet1!$B$2:$B$3</c:f>
              <c:numCache>
                <c:formatCode>General</c:formatCode>
                <c:ptCount val="2"/>
                <c:pt idx="0">
                  <c:v>917.76</c:v>
                </c:pt>
                <c:pt idx="1">
                  <c:v>917.76</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收入（万元）</c:v>
                </c:pt>
                <c:pt idx="1">
                  <c:v>支出（万元）</c:v>
                </c:pt>
              </c:strCache>
            </c:strRef>
          </c:cat>
          <c:val>
            <c:numRef>
              <c:f>Sheet1!$C$2:$C$3</c:f>
              <c:numCache>
                <c:formatCode>General</c:formatCode>
                <c:ptCount val="2"/>
                <c:pt idx="0">
                  <c:v>938.74</c:v>
                </c:pt>
                <c:pt idx="1">
                  <c:v>938.74</c:v>
                </c:pt>
              </c:numCache>
            </c:numRef>
          </c:val>
        </c:ser>
        <c:dLbls>
          <c:showLegendKey val="0"/>
          <c:showVal val="0"/>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收入（万元）</c:v>
                      </c:pt>
                      <c:pt idx="1">
                        <c:v>支出（万元）</c:v>
                      </c:pt>
                    </c:strCache>
                  </c:strRef>
                </c:cat>
                <c:val>
                  <c:numRef>
                    <c:extLst>
                      <c:ext uri="{02D57815-91ED-43cb-92C2-25804820EDAC}">
                        <c15:formulaRef>
                          <c15:sqref>Sheet1!$D$2:$D$3</c15:sqref>
                        </c15:formulaRef>
                      </c:ext>
                    </c:extLst>
                    <c:numCache>
                      <c:formatCode>General</c:formatCode>
                      <c:ptCount val="2"/>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0"/>
              <c:layout/>
              <c:numFmt formatCode="#,##0.00_ %"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395998410589804"/>
                  <c:y val="0.0141488011283499"/>
                </c:manualLayout>
              </c:layout>
              <c:numFmt formatCode="#,##0.00_ %"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95376603826615"/>
                  <c:y val="0.016502115655853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(Sheet1!$A$2:$A$3,Sheet1!$A$6)</c:f>
              <c:strCache>
                <c:ptCount val="3"/>
                <c:pt idx="0">
                  <c:v>一般公共预算财政拨款收入</c:v>
                </c:pt>
                <c:pt idx="1">
                  <c:v>政府性基金预算财政拨款收入</c:v>
                </c:pt>
                <c:pt idx="2">
                  <c:v>国有资本经营预算财政拨款收入</c:v>
                </c:pt>
              </c:strCache>
            </c:strRef>
          </c:cat>
          <c:val>
            <c:numRef>
              <c:f>(Sheet1!$B$2:$B$3,Sheet1!$B$6)</c:f>
              <c:numCache>
                <c:formatCode>#,##0.00_ </c:formatCode>
                <c:ptCount val="3"/>
                <c:pt idx="0">
                  <c:v>816.75</c:v>
                </c:pt>
                <c:pt idx="1">
                  <c:v>101.01</c:v>
                </c:pt>
                <c:pt idx="2" c:formatCode="General">
                  <c:v>0</c:v>
                </c:pt>
              </c:numCache>
            </c:numRef>
          </c:val>
        </c:ser>
        <c:dLbls>
          <c:showLegendKey val="0"/>
          <c:showVal val="0"/>
          <c:showCatName val="0"/>
          <c:showSerName val="0"/>
          <c:showPercent val="1"/>
          <c:showBubbleSize val="0"/>
          <c:showLeaderLines val="0"/>
        </c:dLbls>
        <c:firstSliceAng val="0"/>
      </c:pieChart>
    </c:plotArea>
    <c:plotVisOnly val="1"/>
    <c:dispBlanksAs val="gap"/>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663.26</c:v>
                </c:pt>
                <c:pt idx="1" c:formatCode="0.00_ ">
                  <c:v>254.5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Sheet1!$A$2:$A$5</c:f>
              <c:strCache>
                <c:ptCount val="4"/>
                <c:pt idx="0">
                  <c:v>收入（万元）</c:v>
                </c:pt>
                <c:pt idx="1">
                  <c:v>支出（万元）</c:v>
                </c:pt>
              </c:strCache>
            </c:strRef>
          </c:cat>
          <c:val>
            <c:numRef>
              <c:f>Sheet1!$B$2:$B$5</c:f>
              <c:numCache>
                <c:formatCode>General</c:formatCode>
                <c:ptCount val="4"/>
                <c:pt idx="0">
                  <c:v>917.76</c:v>
                </c:pt>
                <c:pt idx="1">
                  <c:v>917.76</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Sheet1!$A$2:$A$5</c:f>
              <c:strCache>
                <c:ptCount val="4"/>
                <c:pt idx="0">
                  <c:v>收入（万元）</c:v>
                </c:pt>
                <c:pt idx="1">
                  <c:v>支出（万元）</c:v>
                </c:pt>
              </c:strCache>
            </c:strRef>
          </c:cat>
          <c:val>
            <c:numRef>
              <c:f>Sheet1!$C$2:$C$5</c:f>
              <c:numCache>
                <c:formatCode>General</c:formatCode>
                <c:ptCount val="4"/>
                <c:pt idx="0">
                  <c:v>915.04</c:v>
                </c:pt>
                <c:pt idx="1">
                  <c:v>915.04</c:v>
                </c:pt>
              </c:numCache>
            </c:numRef>
          </c:val>
        </c:ser>
        <c:dLbls>
          <c:showLegendKey val="0"/>
          <c:showVal val="1"/>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4"/>
                      <c:pt idx="0">
                        <c:v>收入（万元）</c:v>
                      </c:pt>
                      <c:pt idx="1">
                        <c:v>支出（万元）</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816.75</c:v>
                </c:pt>
                <c:pt idx="1">
                  <c:v>924.45</c:v>
                </c:pt>
              </c:numCache>
            </c:numRef>
          </c:val>
        </c:ser>
        <c:dLbls>
          <c:showLegendKey val="0"/>
          <c:showVal val="0"/>
          <c:showCatName val="0"/>
          <c:showSerName val="0"/>
          <c:showPercent val="0"/>
          <c:showBubbleSize val="0"/>
        </c:dLbls>
        <c:gapWidth val="219"/>
        <c:overlap val="-27"/>
        <c:axId val="361801296"/>
        <c:axId val="321196904"/>
      </c:barChart>
      <c:catAx>
        <c:axId val="361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96904"/>
        <c:crosses val="autoZero"/>
        <c:auto val="1"/>
        <c:lblAlgn val="ctr"/>
        <c:lblOffset val="100"/>
        <c:noMultiLvlLbl val="0"/>
      </c:catAx>
      <c:valAx>
        <c:axId val="321196904"/>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80129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125"/>
          <c:y val="0.118259252331787"/>
          <c:w val="0.638375"/>
          <c:h val="0.851166666666667"/>
        </c:manualLayout>
      </c:layout>
      <c:pieChart>
        <c:varyColors val="1"/>
        <c:ser>
          <c:idx val="0"/>
          <c:order val="0"/>
          <c:tx>
            <c:strRef>
              <c:f>Sheet1!$B$1</c:f>
              <c:strCache>
                <c:ptCount val="1"/>
                <c:pt idx="0">
                  <c:v>一般公共预算财政拨款支出决算结构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3"/>
                <c:pt idx="0">
                  <c:v>社会保障和就业</c:v>
                </c:pt>
                <c:pt idx="1">
                  <c:v>卫生健康</c:v>
                </c:pt>
                <c:pt idx="2">
                  <c:v>住房保障</c:v>
                </c:pt>
              </c:strCache>
            </c:strRef>
          </c:cat>
          <c:val>
            <c:numRef>
              <c:f>Sheet1!$B$2:$B$7</c:f>
              <c:numCache>
                <c:formatCode>General</c:formatCode>
                <c:ptCount val="3"/>
                <c:pt idx="0">
                  <c:v>744.65</c:v>
                </c:pt>
                <c:pt idx="1">
                  <c:v>25.47</c:v>
                </c:pt>
                <c:pt idx="2">
                  <c:v>46.63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0</c:v>
                </c:pt>
                <c:pt idx="2">
                  <c:v>1.64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189A-BC0C-4249-9215-E9BF36B9B33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20587</Words>
  <Characters>22292</Characters>
  <Lines>185</Lines>
  <Paragraphs>52</Paragraphs>
  <TotalTime>3</TotalTime>
  <ScaleCrop>false</ScaleCrop>
  <LinksUpToDate>false</LinksUpToDate>
  <CharactersWithSpaces>23080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2023-08-21T13:55:00Z</dcterms:created>
  <dc:creator>曹颖</dc:creator>
  <cp:lastModifiedBy>惠</cp:lastModifiedBy>
  <cp:lastPrinted>2023-08-25T01:24:00Z</cp:lastPrinted>
  <dcterms:modified xsi:type="dcterms:W3CDTF">2023-09-19T07:19:22Z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43D54371830D43558841143729E2B579_13</vt:lpwstr>
  </property>
</Properties>
</file>