
<file path=[Content_Types].xml><?xml version="1.0" encoding="utf-8"?>
<Types xmlns="http://schemas.openxmlformats.org/package/2006/content-types">
  <Default Extension="xlsx" ContentType="application/vnd.openxmlformats-officedocument.spreadsheetml.sheet"/>
  <Default Extension="bin" ContentType="application/vnd.openxmlformats-officedocument.oleObjec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0"/>
        <w:rPr>
          <w:rFonts w:hint="eastAsia" w:ascii="黑体" w:hAnsi="黑体" w:eastAsia="黑体" w:cs="黑体"/>
          <w:color w:val="auto"/>
          <w:sz w:val="32"/>
          <w:szCs w:val="32"/>
          <w:highlight w:val="none"/>
          <w:lang w:val="en-US" w:eastAsia="zh-CN"/>
        </w:rPr>
      </w:pPr>
      <w:bookmarkStart w:id="0" w:name="_Toc7336"/>
      <w:bookmarkStart w:id="1" w:name="_Toc15396475"/>
      <w:bookmarkStart w:id="2" w:name="_Toc15378441"/>
      <w:bookmarkStart w:id="3" w:name="_Toc15377193"/>
      <w:bookmarkStart w:id="4" w:name="_Toc15396597"/>
      <w:bookmarkStart w:id="5" w:name="_Toc15377425"/>
      <w:bookmarkStart w:id="6" w:name="_Toc15306267"/>
      <w:r>
        <w:rPr>
          <w:rFonts w:hint="eastAsia" w:ascii="黑体" w:hAnsi="黑体" w:eastAsia="黑体" w:cs="黑体"/>
          <w:color w:val="auto"/>
          <w:sz w:val="32"/>
          <w:szCs w:val="32"/>
          <w:highlight w:val="none"/>
          <w:lang w:val="en-US" w:eastAsia="zh-CN"/>
        </w:rPr>
        <w:t>附件1</w:t>
      </w:r>
      <w:bookmarkEnd w:id="0"/>
    </w:p>
    <w:p>
      <w:pPr>
        <w:spacing w:line="600" w:lineRule="exact"/>
        <w:jc w:val="center"/>
        <w:outlineLvl w:val="9"/>
        <w:rPr>
          <w:rFonts w:ascii="方正小标宋简体" w:hAnsi="宋体" w:eastAsia="方正小标宋简体"/>
          <w:color w:val="auto"/>
          <w:sz w:val="72"/>
          <w:szCs w:val="72"/>
          <w:highlight w:val="none"/>
        </w:rPr>
      </w:pPr>
    </w:p>
    <w:p>
      <w:pPr>
        <w:spacing w:line="600" w:lineRule="exact"/>
        <w:jc w:val="center"/>
        <w:outlineLvl w:val="9"/>
        <w:rPr>
          <w:rFonts w:ascii="方正小标宋简体" w:hAnsi="宋体" w:eastAsia="方正小标宋简体"/>
          <w:color w:val="auto"/>
          <w:sz w:val="72"/>
          <w:szCs w:val="72"/>
          <w:highlight w:val="none"/>
        </w:rPr>
      </w:pPr>
    </w:p>
    <w:p>
      <w:pPr>
        <w:adjustRightInd w:val="0"/>
        <w:snapToGrid w:val="0"/>
        <w:spacing w:line="240" w:lineRule="auto"/>
        <w:jc w:val="center"/>
        <w:outlineLvl w:val="0"/>
        <w:rPr>
          <w:rFonts w:hint="eastAsia" w:ascii="方正小标宋简体" w:hAnsi="方正小标宋简体" w:eastAsia="方正小标宋简体" w:cs="方正小标宋简体"/>
          <w:color w:val="auto"/>
          <w:sz w:val="84"/>
          <w:szCs w:val="84"/>
          <w:highlight w:val="none"/>
        </w:rPr>
      </w:pPr>
      <w:bookmarkStart w:id="7" w:name="_Toc1556"/>
    </w:p>
    <w:p>
      <w:pPr>
        <w:adjustRightInd w:val="0"/>
        <w:snapToGrid w:val="0"/>
        <w:spacing w:line="240" w:lineRule="auto"/>
        <w:jc w:val="center"/>
        <w:outlineLvl w:val="0"/>
        <w:rPr>
          <w:rFonts w:hint="eastAsia" w:ascii="方正小标宋简体" w:hAnsi="方正小标宋简体" w:eastAsia="方正小标宋简体" w:cs="方正小标宋简体"/>
          <w:color w:val="auto"/>
          <w:sz w:val="84"/>
          <w:szCs w:val="84"/>
          <w:highlight w:val="none"/>
        </w:rPr>
      </w:pPr>
      <w:r>
        <w:rPr>
          <w:rFonts w:hint="eastAsia" w:ascii="方正小标宋简体" w:hAnsi="方正小标宋简体" w:eastAsia="方正小标宋简体" w:cs="方正小标宋简体"/>
          <w:color w:val="auto"/>
          <w:sz w:val="84"/>
          <w:szCs w:val="84"/>
          <w:highlight w:val="none"/>
        </w:rPr>
        <w:t>20</w:t>
      </w:r>
      <w:r>
        <w:rPr>
          <w:rFonts w:hint="eastAsia" w:ascii="方正小标宋简体" w:hAnsi="方正小标宋简体" w:eastAsia="方正小标宋简体" w:cs="方正小标宋简体"/>
          <w:color w:val="auto"/>
          <w:sz w:val="84"/>
          <w:szCs w:val="84"/>
          <w:highlight w:val="none"/>
          <w:lang w:val="en-US" w:eastAsia="zh-CN"/>
        </w:rPr>
        <w:t>22</w:t>
      </w:r>
      <w:r>
        <w:rPr>
          <w:rFonts w:hint="eastAsia" w:ascii="方正小标宋简体" w:hAnsi="方正小标宋简体" w:eastAsia="方正小标宋简体" w:cs="方正小标宋简体"/>
          <w:color w:val="auto"/>
          <w:sz w:val="84"/>
          <w:szCs w:val="84"/>
          <w:highlight w:val="none"/>
        </w:rPr>
        <w:t>年度</w:t>
      </w:r>
      <w:bookmarkEnd w:id="1"/>
      <w:bookmarkEnd w:id="2"/>
      <w:bookmarkEnd w:id="3"/>
      <w:bookmarkEnd w:id="4"/>
      <w:bookmarkEnd w:id="5"/>
      <w:bookmarkEnd w:id="7"/>
    </w:p>
    <w:bookmarkEnd w:id="6"/>
    <w:p>
      <w:pPr>
        <w:adjustRightInd w:val="0"/>
        <w:snapToGrid w:val="0"/>
        <w:spacing w:line="240" w:lineRule="auto"/>
        <w:jc w:val="center"/>
        <w:outlineLvl w:val="0"/>
        <w:rPr>
          <w:rFonts w:hint="eastAsia" w:ascii="方正小标宋简体" w:hAnsi="方正小标宋简体" w:eastAsia="方正小标宋简体" w:cs="方正小标宋简体"/>
          <w:color w:val="auto"/>
          <w:sz w:val="84"/>
          <w:szCs w:val="84"/>
          <w:highlight w:val="none"/>
        </w:rPr>
      </w:pPr>
      <w:bookmarkStart w:id="8" w:name="_Toc13641"/>
      <w:bookmarkStart w:id="9" w:name="_Toc15378442"/>
      <w:bookmarkStart w:id="10" w:name="_Toc15396598"/>
      <w:bookmarkStart w:id="11" w:name="_Toc15306268"/>
      <w:bookmarkStart w:id="12" w:name="_Toc15396476"/>
      <w:bookmarkStart w:id="13" w:name="_Toc15377426"/>
      <w:bookmarkStart w:id="14" w:name="_Toc15377194"/>
      <w:r>
        <w:rPr>
          <w:rFonts w:hint="eastAsia" w:ascii="方正小标宋简体" w:hAnsi="方正小标宋简体" w:eastAsia="方正小标宋简体" w:cs="方正小标宋简体"/>
          <w:color w:val="auto"/>
          <w:sz w:val="84"/>
          <w:szCs w:val="84"/>
          <w:highlight w:val="none"/>
        </w:rPr>
        <w:t>中共</w:t>
      </w:r>
      <w:bookmarkEnd w:id="8"/>
      <w:bookmarkStart w:id="15" w:name="_Toc23788"/>
      <w:r>
        <w:rPr>
          <w:rFonts w:hint="eastAsia" w:ascii="方正小标宋简体" w:hAnsi="方正小标宋简体" w:eastAsia="方正小标宋简体" w:cs="方正小标宋简体"/>
          <w:color w:val="auto"/>
          <w:sz w:val="84"/>
          <w:szCs w:val="84"/>
          <w:highlight w:val="none"/>
        </w:rPr>
        <w:t>遂宁市安居区委组织部部门决算</w:t>
      </w:r>
      <w:bookmarkEnd w:id="9"/>
      <w:bookmarkEnd w:id="10"/>
      <w:bookmarkEnd w:id="11"/>
      <w:bookmarkEnd w:id="12"/>
      <w:bookmarkEnd w:id="13"/>
      <w:bookmarkEnd w:id="14"/>
      <w:bookmarkEnd w:id="15"/>
    </w:p>
    <w:p>
      <w:pPr>
        <w:widowControl/>
        <w:jc w:val="center"/>
        <w:rPr>
          <w:rFonts w:ascii="黑体" w:hAnsi="黑体" w:eastAsia="黑体"/>
          <w:color w:val="auto"/>
          <w:sz w:val="48"/>
          <w:szCs w:val="48"/>
          <w:highlight w:val="none"/>
        </w:rPr>
      </w:pPr>
      <w:r>
        <w:rPr>
          <w:rFonts w:ascii="方正小标宋简体" w:hAnsi="宋体" w:eastAsia="方正小标宋简体"/>
          <w:color w:val="auto"/>
          <w:sz w:val="36"/>
          <w:szCs w:val="36"/>
          <w:highlight w:val="none"/>
        </w:rPr>
        <w:br w:type="page"/>
      </w:r>
      <w:r>
        <w:rPr>
          <w:rFonts w:hint="eastAsia" w:ascii="黑体" w:hAnsi="黑体" w:eastAsia="黑体"/>
          <w:color w:val="auto"/>
          <w:sz w:val="48"/>
          <w:szCs w:val="48"/>
          <w:highlight w:val="none"/>
        </w:rPr>
        <w:t>目录</w:t>
      </w:r>
    </w:p>
    <w:p>
      <w:pPr>
        <w:pStyle w:val="12"/>
        <w:rPr>
          <w:color w:val="auto"/>
          <w:highlight w:val="none"/>
        </w:rPr>
      </w:pPr>
      <w:r>
        <w:rPr>
          <w:rFonts w:hint="eastAsia"/>
          <w:color w:val="auto"/>
          <w:highlight w:val="none"/>
        </w:rPr>
        <w:t>公开时间：20</w:t>
      </w:r>
      <w:r>
        <w:rPr>
          <w:rFonts w:hint="eastAsia"/>
          <w:color w:val="auto"/>
          <w:highlight w:val="none"/>
          <w:lang w:val="en-US" w:eastAsia="zh-CN"/>
        </w:rPr>
        <w:t>23</w:t>
      </w:r>
      <w:r>
        <w:rPr>
          <w:rFonts w:hint="eastAsia"/>
          <w:color w:val="auto"/>
          <w:highlight w:val="none"/>
        </w:rPr>
        <w:t>年</w:t>
      </w:r>
      <w:r>
        <w:rPr>
          <w:rFonts w:hint="eastAsia"/>
          <w:color w:val="auto"/>
          <w:highlight w:val="none"/>
          <w:lang w:val="en-US" w:eastAsia="zh-CN"/>
        </w:rPr>
        <w:t>8</w:t>
      </w:r>
      <w:r>
        <w:rPr>
          <w:rFonts w:hint="eastAsia"/>
          <w:color w:val="auto"/>
          <w:highlight w:val="none"/>
        </w:rPr>
        <w:t>月</w:t>
      </w:r>
      <w:r>
        <w:rPr>
          <w:rFonts w:hint="eastAsia"/>
          <w:color w:val="auto"/>
          <w:highlight w:val="none"/>
          <w:lang w:val="en-US" w:eastAsia="zh-CN"/>
        </w:rPr>
        <w:t>25</w:t>
      </w:r>
      <w:r>
        <w:rPr>
          <w:rFonts w:hint="eastAsia"/>
          <w:color w:val="auto"/>
          <w:highlight w:val="none"/>
        </w:rPr>
        <w:t>日</w:t>
      </w:r>
    </w:p>
    <w:p>
      <w:pPr>
        <w:rPr>
          <w:color w:val="auto"/>
          <w:sz w:val="24"/>
          <w:szCs w:val="24"/>
          <w:highlight w:val="none"/>
        </w:rPr>
      </w:pPr>
    </w:p>
    <w:sdt>
      <w:sdtPr>
        <w:rPr>
          <w:rFonts w:ascii="宋体" w:hAnsi="宋体" w:eastAsia="宋体" w:cs="Times New Roman"/>
          <w:kern w:val="2"/>
          <w:sz w:val="24"/>
          <w:szCs w:val="24"/>
          <w:lang w:val="en-US" w:eastAsia="zh-CN" w:bidi="ar-SA"/>
        </w:rPr>
        <w:id w:val="147468514"/>
        <w15:color w:val="DBDBDB"/>
        <w:docPartObj>
          <w:docPartGallery w:val="Table of Contents"/>
          <w:docPartUnique/>
        </w:docPartObj>
      </w:sdtPr>
      <w:sdtEndPr>
        <w:rPr>
          <w:rFonts w:ascii="宋体" w:hAnsi="宋体" w:eastAsia="宋体" w:cs="Times New Roman"/>
          <w:b/>
          <w:kern w:val="2"/>
          <w:sz w:val="24"/>
          <w:szCs w:val="24"/>
          <w:lang w:val="en-US" w:eastAsia="zh-CN" w:bidi="ar-SA"/>
        </w:rPr>
      </w:sdtEndPr>
      <w:sdtContent>
        <w:p>
          <w:pPr>
            <w:spacing w:before="0" w:beforeLines="0" w:after="0" w:afterLines="0" w:line="240" w:lineRule="auto"/>
            <w:ind w:left="0" w:leftChars="0" w:right="0" w:rightChars="0" w:firstLine="0" w:firstLineChars="0"/>
            <w:jc w:val="center"/>
            <w:rPr>
              <w:sz w:val="24"/>
              <w:szCs w:val="24"/>
            </w:rPr>
          </w:pPr>
        </w:p>
        <w:p>
          <w:pPr>
            <w:pStyle w:val="36"/>
            <w:tabs>
              <w:tab w:val="right" w:leader="dot" w:pos="8306"/>
            </w:tabs>
            <w:rPr>
              <w:b/>
              <w:sz w:val="24"/>
              <w:szCs w:val="24"/>
            </w:rPr>
          </w:pPr>
          <w:r>
            <w:rPr>
              <w:sz w:val="24"/>
              <w:szCs w:val="24"/>
            </w:rPr>
            <w:fldChar w:fldCharType="begin"/>
          </w:r>
          <w:r>
            <w:rPr>
              <w:sz w:val="24"/>
              <w:szCs w:val="24"/>
            </w:rPr>
            <w:instrText xml:space="preserve">TOC \o "1-2" \h \u </w:instrText>
          </w:r>
          <w:r>
            <w:rPr>
              <w:sz w:val="24"/>
              <w:szCs w:val="24"/>
            </w:rPr>
            <w:fldChar w:fldCharType="separate"/>
          </w:r>
          <w:r>
            <w:rPr>
              <w:b/>
              <w:sz w:val="24"/>
              <w:szCs w:val="24"/>
            </w:rPr>
            <w:fldChar w:fldCharType="begin"/>
          </w:r>
          <w:r>
            <w:rPr>
              <w:b/>
              <w:sz w:val="24"/>
              <w:szCs w:val="24"/>
            </w:rPr>
            <w:instrText xml:space="preserve"> HYPERLINK \l _Toc1556 </w:instrText>
          </w:r>
          <w:r>
            <w:rPr>
              <w:b/>
              <w:sz w:val="24"/>
              <w:szCs w:val="24"/>
            </w:rPr>
            <w:fldChar w:fldCharType="separate"/>
          </w:r>
          <w:r>
            <w:rPr>
              <w:b/>
              <w:sz w:val="24"/>
              <w:szCs w:val="24"/>
            </w:rPr>
            <w:fldChar w:fldCharType="end"/>
          </w:r>
          <w:r>
            <w:rPr>
              <w:b/>
              <w:sz w:val="24"/>
              <w:szCs w:val="24"/>
            </w:rPr>
            <w:fldChar w:fldCharType="begin"/>
          </w:r>
          <w:r>
            <w:rPr>
              <w:b/>
              <w:sz w:val="24"/>
              <w:szCs w:val="24"/>
            </w:rPr>
            <w:instrText xml:space="preserve"> HYPERLINK \l _Toc7984 </w:instrText>
          </w:r>
          <w:r>
            <w:rPr>
              <w:b/>
              <w:sz w:val="24"/>
              <w:szCs w:val="24"/>
            </w:rPr>
            <w:fldChar w:fldCharType="separate"/>
          </w:r>
          <w:r>
            <w:rPr>
              <w:rFonts w:hint="eastAsia" w:ascii="黑体" w:hAnsi="黑体" w:eastAsia="黑体"/>
              <w:b/>
              <w:sz w:val="24"/>
              <w:szCs w:val="24"/>
              <w:highlight w:val="none"/>
            </w:rPr>
            <w:t xml:space="preserve">第一部分 </w:t>
          </w:r>
          <w:r>
            <w:rPr>
              <w:rFonts w:hint="eastAsia" w:ascii="黑体" w:hAnsi="黑体" w:eastAsia="黑体"/>
              <w:b/>
              <w:bCs w:val="0"/>
              <w:sz w:val="24"/>
              <w:szCs w:val="24"/>
              <w:highlight w:val="none"/>
            </w:rPr>
            <w:t>部门概况</w:t>
          </w:r>
          <w:r>
            <w:rPr>
              <w:b/>
              <w:sz w:val="24"/>
              <w:szCs w:val="24"/>
            </w:rPr>
            <w:tab/>
          </w:r>
          <w:r>
            <w:rPr>
              <w:b/>
              <w:sz w:val="24"/>
              <w:szCs w:val="24"/>
            </w:rPr>
            <w:fldChar w:fldCharType="begin"/>
          </w:r>
          <w:r>
            <w:rPr>
              <w:b/>
              <w:sz w:val="24"/>
              <w:szCs w:val="24"/>
            </w:rPr>
            <w:instrText xml:space="preserve"> PAGEREF _Toc7984 \h </w:instrText>
          </w:r>
          <w:r>
            <w:rPr>
              <w:b/>
              <w:sz w:val="24"/>
              <w:szCs w:val="24"/>
            </w:rPr>
            <w:fldChar w:fldCharType="separate"/>
          </w:r>
          <w:r>
            <w:rPr>
              <w:b/>
              <w:sz w:val="24"/>
              <w:szCs w:val="24"/>
            </w:rPr>
            <w:t>4</w:t>
          </w:r>
          <w:r>
            <w:rPr>
              <w:b/>
              <w:sz w:val="24"/>
              <w:szCs w:val="24"/>
            </w:rPr>
            <w:fldChar w:fldCharType="end"/>
          </w:r>
          <w:r>
            <w:rPr>
              <w:b/>
              <w:sz w:val="24"/>
              <w:szCs w:val="24"/>
            </w:rPr>
            <w:fldChar w:fldCharType="end"/>
          </w:r>
        </w:p>
        <w:p>
          <w:pPr>
            <w:pStyle w:val="37"/>
            <w:tabs>
              <w:tab w:val="right" w:leader="dot" w:pos="8306"/>
            </w:tabs>
            <w:rPr>
              <w:sz w:val="24"/>
              <w:szCs w:val="24"/>
            </w:rPr>
          </w:pPr>
          <w:r>
            <w:rPr>
              <w:sz w:val="24"/>
              <w:szCs w:val="24"/>
            </w:rPr>
            <w:fldChar w:fldCharType="begin"/>
          </w:r>
          <w:r>
            <w:rPr>
              <w:sz w:val="24"/>
              <w:szCs w:val="24"/>
            </w:rPr>
            <w:instrText xml:space="preserve"> HYPERLINK \l _Toc25104 </w:instrText>
          </w:r>
          <w:r>
            <w:rPr>
              <w:sz w:val="24"/>
              <w:szCs w:val="24"/>
            </w:rPr>
            <w:fldChar w:fldCharType="separate"/>
          </w:r>
          <w:r>
            <w:rPr>
              <w:rFonts w:hint="eastAsia" w:ascii="黑体" w:hAnsi="黑体" w:eastAsia="黑体"/>
              <w:sz w:val="24"/>
              <w:szCs w:val="24"/>
              <w:lang w:eastAsia="zh-CN"/>
            </w:rPr>
            <w:t>一、</w:t>
          </w:r>
          <w:r>
            <w:rPr>
              <w:rFonts w:hint="eastAsia" w:ascii="黑体" w:hAnsi="黑体" w:eastAsia="黑体"/>
              <w:sz w:val="24"/>
              <w:szCs w:val="24"/>
              <w:highlight w:val="none"/>
              <w:lang w:eastAsia="zh-CN"/>
            </w:rPr>
            <w:t>部门职责</w:t>
          </w:r>
          <w:r>
            <w:rPr>
              <w:sz w:val="24"/>
              <w:szCs w:val="24"/>
            </w:rPr>
            <w:tab/>
          </w:r>
          <w:r>
            <w:rPr>
              <w:sz w:val="24"/>
              <w:szCs w:val="24"/>
            </w:rPr>
            <w:fldChar w:fldCharType="begin"/>
          </w:r>
          <w:r>
            <w:rPr>
              <w:sz w:val="24"/>
              <w:szCs w:val="24"/>
            </w:rPr>
            <w:instrText xml:space="preserve"> PAGEREF _Toc25104 \h </w:instrText>
          </w:r>
          <w:r>
            <w:rPr>
              <w:sz w:val="24"/>
              <w:szCs w:val="24"/>
            </w:rPr>
            <w:fldChar w:fldCharType="separate"/>
          </w:r>
          <w:r>
            <w:rPr>
              <w:sz w:val="24"/>
              <w:szCs w:val="24"/>
            </w:rPr>
            <w:t>4</w:t>
          </w:r>
          <w:r>
            <w:rPr>
              <w:sz w:val="24"/>
              <w:szCs w:val="24"/>
            </w:rPr>
            <w:fldChar w:fldCharType="end"/>
          </w:r>
          <w:r>
            <w:rPr>
              <w:sz w:val="24"/>
              <w:szCs w:val="24"/>
            </w:rPr>
            <w:fldChar w:fldCharType="end"/>
          </w:r>
        </w:p>
        <w:p>
          <w:pPr>
            <w:pStyle w:val="37"/>
            <w:tabs>
              <w:tab w:val="right" w:leader="dot" w:pos="8306"/>
            </w:tabs>
            <w:rPr>
              <w:sz w:val="24"/>
              <w:szCs w:val="24"/>
            </w:rPr>
          </w:pPr>
          <w:r>
            <w:rPr>
              <w:sz w:val="24"/>
              <w:szCs w:val="24"/>
            </w:rPr>
            <w:fldChar w:fldCharType="begin"/>
          </w:r>
          <w:r>
            <w:rPr>
              <w:sz w:val="24"/>
              <w:szCs w:val="24"/>
            </w:rPr>
            <w:instrText xml:space="preserve"> HYPERLINK \l _Toc7384 </w:instrText>
          </w:r>
          <w:r>
            <w:rPr>
              <w:sz w:val="24"/>
              <w:szCs w:val="24"/>
            </w:rPr>
            <w:fldChar w:fldCharType="separate"/>
          </w:r>
          <w:r>
            <w:rPr>
              <w:rFonts w:hint="eastAsia" w:ascii="黑体" w:eastAsia="黑体"/>
              <w:sz w:val="24"/>
              <w:szCs w:val="24"/>
              <w:highlight w:val="none"/>
            </w:rPr>
            <w:t>二、</w:t>
          </w:r>
          <w:r>
            <w:rPr>
              <w:rFonts w:hint="eastAsia" w:ascii="黑体" w:hAnsi="黑体" w:eastAsia="黑体"/>
              <w:sz w:val="24"/>
              <w:szCs w:val="24"/>
              <w:highlight w:val="none"/>
            </w:rPr>
            <w:t>机</w:t>
          </w:r>
          <w:r>
            <w:rPr>
              <w:rFonts w:hint="eastAsia" w:ascii="黑体" w:hAnsi="黑体" w:eastAsia="黑体"/>
              <w:bCs w:val="0"/>
              <w:sz w:val="24"/>
              <w:szCs w:val="24"/>
              <w:highlight w:val="none"/>
            </w:rPr>
            <w:t>构设置</w:t>
          </w:r>
          <w:r>
            <w:rPr>
              <w:sz w:val="24"/>
              <w:szCs w:val="24"/>
            </w:rPr>
            <w:tab/>
          </w:r>
          <w:r>
            <w:rPr>
              <w:sz w:val="24"/>
              <w:szCs w:val="24"/>
            </w:rPr>
            <w:fldChar w:fldCharType="begin"/>
          </w:r>
          <w:r>
            <w:rPr>
              <w:sz w:val="24"/>
              <w:szCs w:val="24"/>
            </w:rPr>
            <w:instrText xml:space="preserve"> PAGEREF _Toc7384 \h </w:instrText>
          </w:r>
          <w:r>
            <w:rPr>
              <w:sz w:val="24"/>
              <w:szCs w:val="24"/>
            </w:rPr>
            <w:fldChar w:fldCharType="separate"/>
          </w:r>
          <w:r>
            <w:rPr>
              <w:sz w:val="24"/>
              <w:szCs w:val="24"/>
            </w:rPr>
            <w:t>4</w:t>
          </w:r>
          <w:r>
            <w:rPr>
              <w:sz w:val="24"/>
              <w:szCs w:val="24"/>
            </w:rPr>
            <w:fldChar w:fldCharType="end"/>
          </w:r>
          <w:r>
            <w:rPr>
              <w:sz w:val="24"/>
              <w:szCs w:val="24"/>
            </w:rPr>
            <w:fldChar w:fldCharType="end"/>
          </w:r>
        </w:p>
        <w:p>
          <w:pPr>
            <w:pStyle w:val="36"/>
            <w:tabs>
              <w:tab w:val="right" w:leader="dot" w:pos="8306"/>
            </w:tabs>
            <w:rPr>
              <w:b/>
              <w:sz w:val="24"/>
              <w:szCs w:val="24"/>
            </w:rPr>
          </w:pPr>
          <w:r>
            <w:rPr>
              <w:b/>
              <w:sz w:val="24"/>
              <w:szCs w:val="24"/>
            </w:rPr>
            <w:fldChar w:fldCharType="begin"/>
          </w:r>
          <w:r>
            <w:rPr>
              <w:b/>
              <w:sz w:val="24"/>
              <w:szCs w:val="24"/>
            </w:rPr>
            <w:instrText xml:space="preserve"> HYPERLINK \l _Toc16632 </w:instrText>
          </w:r>
          <w:r>
            <w:rPr>
              <w:b/>
              <w:sz w:val="24"/>
              <w:szCs w:val="24"/>
            </w:rPr>
            <w:fldChar w:fldCharType="separate"/>
          </w:r>
          <w:r>
            <w:rPr>
              <w:rFonts w:hint="eastAsia" w:ascii="黑体" w:hAnsi="黑体" w:eastAsia="黑体"/>
              <w:b/>
              <w:bCs/>
              <w:sz w:val="24"/>
              <w:szCs w:val="24"/>
              <w:highlight w:val="none"/>
            </w:rPr>
            <w:t xml:space="preserve">第二部分 </w:t>
          </w:r>
          <w:r>
            <w:rPr>
              <w:rFonts w:hint="eastAsia" w:ascii="黑体" w:hAnsi="黑体" w:eastAsia="黑体"/>
              <w:b/>
              <w:bCs/>
              <w:sz w:val="24"/>
              <w:szCs w:val="24"/>
              <w:highlight w:val="none"/>
              <w:lang w:val="en-US" w:eastAsia="zh-CN"/>
            </w:rPr>
            <w:t>2022年度</w:t>
          </w:r>
          <w:r>
            <w:rPr>
              <w:rFonts w:hint="eastAsia" w:ascii="黑体" w:hAnsi="黑体" w:eastAsia="黑体"/>
              <w:b/>
              <w:bCs/>
              <w:sz w:val="24"/>
              <w:szCs w:val="24"/>
              <w:highlight w:val="none"/>
            </w:rPr>
            <w:t>部门决算情况说明</w:t>
          </w:r>
          <w:r>
            <w:rPr>
              <w:b/>
              <w:sz w:val="24"/>
              <w:szCs w:val="24"/>
            </w:rPr>
            <w:tab/>
          </w:r>
          <w:r>
            <w:rPr>
              <w:b/>
              <w:sz w:val="24"/>
              <w:szCs w:val="24"/>
            </w:rPr>
            <w:fldChar w:fldCharType="begin"/>
          </w:r>
          <w:r>
            <w:rPr>
              <w:b/>
              <w:sz w:val="24"/>
              <w:szCs w:val="24"/>
            </w:rPr>
            <w:instrText xml:space="preserve"> PAGEREF _Toc16632 \h </w:instrText>
          </w:r>
          <w:r>
            <w:rPr>
              <w:b/>
              <w:sz w:val="24"/>
              <w:szCs w:val="24"/>
            </w:rPr>
            <w:fldChar w:fldCharType="separate"/>
          </w:r>
          <w:r>
            <w:rPr>
              <w:b/>
              <w:sz w:val="24"/>
              <w:szCs w:val="24"/>
            </w:rPr>
            <w:t>6</w:t>
          </w:r>
          <w:r>
            <w:rPr>
              <w:b/>
              <w:sz w:val="24"/>
              <w:szCs w:val="24"/>
            </w:rPr>
            <w:fldChar w:fldCharType="end"/>
          </w:r>
          <w:r>
            <w:rPr>
              <w:b/>
              <w:sz w:val="24"/>
              <w:szCs w:val="24"/>
            </w:rPr>
            <w:fldChar w:fldCharType="end"/>
          </w:r>
        </w:p>
        <w:p>
          <w:pPr>
            <w:pStyle w:val="37"/>
            <w:tabs>
              <w:tab w:val="right" w:leader="dot" w:pos="8306"/>
            </w:tabs>
            <w:rPr>
              <w:sz w:val="24"/>
              <w:szCs w:val="24"/>
            </w:rPr>
          </w:pPr>
          <w:r>
            <w:rPr>
              <w:sz w:val="24"/>
              <w:szCs w:val="24"/>
            </w:rPr>
            <w:fldChar w:fldCharType="begin"/>
          </w:r>
          <w:r>
            <w:rPr>
              <w:sz w:val="24"/>
              <w:szCs w:val="24"/>
            </w:rPr>
            <w:instrText xml:space="preserve"> HYPERLINK \l _Toc31518 </w:instrText>
          </w:r>
          <w:r>
            <w:rPr>
              <w:sz w:val="24"/>
              <w:szCs w:val="24"/>
            </w:rPr>
            <w:fldChar w:fldCharType="separate"/>
          </w:r>
          <w:r>
            <w:rPr>
              <w:rFonts w:hint="default" w:ascii="黑体" w:hAnsi="黑体" w:eastAsia="黑体"/>
              <w:sz w:val="24"/>
              <w:szCs w:val="24"/>
            </w:rPr>
            <w:t xml:space="preserve">一、 </w:t>
          </w:r>
          <w:r>
            <w:rPr>
              <w:rFonts w:hint="eastAsia" w:ascii="黑体" w:hAnsi="黑体" w:eastAsia="黑体"/>
              <w:sz w:val="24"/>
              <w:szCs w:val="24"/>
              <w:highlight w:val="none"/>
            </w:rPr>
            <w:t>收入支出决算总体情况说明</w:t>
          </w:r>
          <w:r>
            <w:rPr>
              <w:sz w:val="24"/>
              <w:szCs w:val="24"/>
            </w:rPr>
            <w:tab/>
          </w:r>
          <w:r>
            <w:rPr>
              <w:sz w:val="24"/>
              <w:szCs w:val="24"/>
            </w:rPr>
            <w:fldChar w:fldCharType="begin"/>
          </w:r>
          <w:r>
            <w:rPr>
              <w:sz w:val="24"/>
              <w:szCs w:val="24"/>
            </w:rPr>
            <w:instrText xml:space="preserve"> PAGEREF _Toc31518 \h </w:instrText>
          </w:r>
          <w:r>
            <w:rPr>
              <w:sz w:val="24"/>
              <w:szCs w:val="24"/>
            </w:rPr>
            <w:fldChar w:fldCharType="separate"/>
          </w:r>
          <w:r>
            <w:rPr>
              <w:sz w:val="24"/>
              <w:szCs w:val="24"/>
            </w:rPr>
            <w:t>6</w:t>
          </w:r>
          <w:r>
            <w:rPr>
              <w:sz w:val="24"/>
              <w:szCs w:val="24"/>
            </w:rPr>
            <w:fldChar w:fldCharType="end"/>
          </w:r>
          <w:r>
            <w:rPr>
              <w:sz w:val="24"/>
              <w:szCs w:val="24"/>
            </w:rPr>
            <w:fldChar w:fldCharType="end"/>
          </w:r>
        </w:p>
        <w:p>
          <w:pPr>
            <w:pStyle w:val="37"/>
            <w:tabs>
              <w:tab w:val="right" w:leader="dot" w:pos="8306"/>
            </w:tabs>
            <w:rPr>
              <w:sz w:val="24"/>
              <w:szCs w:val="24"/>
            </w:rPr>
          </w:pPr>
          <w:r>
            <w:rPr>
              <w:sz w:val="24"/>
              <w:szCs w:val="24"/>
            </w:rPr>
            <w:fldChar w:fldCharType="begin"/>
          </w:r>
          <w:r>
            <w:rPr>
              <w:sz w:val="24"/>
              <w:szCs w:val="24"/>
            </w:rPr>
            <w:instrText xml:space="preserve"> HYPERLINK \l _Toc11591 </w:instrText>
          </w:r>
          <w:r>
            <w:rPr>
              <w:sz w:val="24"/>
              <w:szCs w:val="24"/>
            </w:rPr>
            <w:fldChar w:fldCharType="separate"/>
          </w:r>
          <w:r>
            <w:rPr>
              <w:rFonts w:hint="default" w:ascii="黑体" w:hAnsi="黑体" w:eastAsia="黑体"/>
              <w:sz w:val="24"/>
              <w:szCs w:val="24"/>
            </w:rPr>
            <w:t xml:space="preserve">二、 </w:t>
          </w:r>
          <w:r>
            <w:rPr>
              <w:rFonts w:hint="eastAsia" w:ascii="黑体" w:hAnsi="黑体" w:eastAsia="黑体"/>
              <w:sz w:val="24"/>
              <w:szCs w:val="24"/>
              <w:highlight w:val="none"/>
            </w:rPr>
            <w:t>收入决算情况说明</w:t>
          </w:r>
          <w:r>
            <w:rPr>
              <w:sz w:val="24"/>
              <w:szCs w:val="24"/>
            </w:rPr>
            <w:tab/>
          </w:r>
          <w:r>
            <w:rPr>
              <w:sz w:val="24"/>
              <w:szCs w:val="24"/>
            </w:rPr>
            <w:fldChar w:fldCharType="begin"/>
          </w:r>
          <w:r>
            <w:rPr>
              <w:sz w:val="24"/>
              <w:szCs w:val="24"/>
            </w:rPr>
            <w:instrText xml:space="preserve"> PAGEREF _Toc11591 \h </w:instrText>
          </w:r>
          <w:r>
            <w:rPr>
              <w:sz w:val="24"/>
              <w:szCs w:val="24"/>
            </w:rPr>
            <w:fldChar w:fldCharType="separate"/>
          </w:r>
          <w:r>
            <w:rPr>
              <w:sz w:val="24"/>
              <w:szCs w:val="24"/>
            </w:rPr>
            <w:t>7</w:t>
          </w:r>
          <w:r>
            <w:rPr>
              <w:sz w:val="24"/>
              <w:szCs w:val="24"/>
            </w:rPr>
            <w:fldChar w:fldCharType="end"/>
          </w:r>
          <w:r>
            <w:rPr>
              <w:sz w:val="24"/>
              <w:szCs w:val="24"/>
            </w:rPr>
            <w:fldChar w:fldCharType="end"/>
          </w:r>
        </w:p>
        <w:p>
          <w:pPr>
            <w:pStyle w:val="37"/>
            <w:tabs>
              <w:tab w:val="right" w:leader="dot" w:pos="8306"/>
            </w:tabs>
            <w:rPr>
              <w:sz w:val="24"/>
              <w:szCs w:val="24"/>
            </w:rPr>
          </w:pPr>
          <w:r>
            <w:rPr>
              <w:sz w:val="24"/>
              <w:szCs w:val="24"/>
            </w:rPr>
            <w:fldChar w:fldCharType="begin"/>
          </w:r>
          <w:r>
            <w:rPr>
              <w:sz w:val="24"/>
              <w:szCs w:val="24"/>
            </w:rPr>
            <w:instrText xml:space="preserve"> HYPERLINK \l _Toc10179 </w:instrText>
          </w:r>
          <w:r>
            <w:rPr>
              <w:sz w:val="24"/>
              <w:szCs w:val="24"/>
            </w:rPr>
            <w:fldChar w:fldCharType="separate"/>
          </w:r>
          <w:r>
            <w:rPr>
              <w:rFonts w:hint="default" w:ascii="黑体" w:hAnsi="黑体" w:eastAsia="黑体"/>
              <w:sz w:val="24"/>
              <w:szCs w:val="24"/>
            </w:rPr>
            <w:t xml:space="preserve">三、 </w:t>
          </w:r>
          <w:r>
            <w:rPr>
              <w:rFonts w:hint="eastAsia" w:ascii="黑体" w:hAnsi="黑体" w:eastAsia="黑体"/>
              <w:sz w:val="24"/>
              <w:szCs w:val="24"/>
              <w:highlight w:val="none"/>
            </w:rPr>
            <w:t>支出决算情况说明</w:t>
          </w:r>
          <w:r>
            <w:rPr>
              <w:sz w:val="24"/>
              <w:szCs w:val="24"/>
            </w:rPr>
            <w:tab/>
          </w:r>
          <w:r>
            <w:rPr>
              <w:sz w:val="24"/>
              <w:szCs w:val="24"/>
            </w:rPr>
            <w:fldChar w:fldCharType="begin"/>
          </w:r>
          <w:r>
            <w:rPr>
              <w:sz w:val="24"/>
              <w:szCs w:val="24"/>
            </w:rPr>
            <w:instrText xml:space="preserve"> PAGEREF _Toc10179 \h </w:instrText>
          </w:r>
          <w:r>
            <w:rPr>
              <w:sz w:val="24"/>
              <w:szCs w:val="24"/>
            </w:rPr>
            <w:fldChar w:fldCharType="separate"/>
          </w:r>
          <w:r>
            <w:rPr>
              <w:sz w:val="24"/>
              <w:szCs w:val="24"/>
            </w:rPr>
            <w:t>7</w:t>
          </w:r>
          <w:r>
            <w:rPr>
              <w:sz w:val="24"/>
              <w:szCs w:val="24"/>
            </w:rPr>
            <w:fldChar w:fldCharType="end"/>
          </w:r>
          <w:r>
            <w:rPr>
              <w:sz w:val="24"/>
              <w:szCs w:val="24"/>
            </w:rPr>
            <w:fldChar w:fldCharType="end"/>
          </w:r>
        </w:p>
        <w:p>
          <w:pPr>
            <w:pStyle w:val="37"/>
            <w:tabs>
              <w:tab w:val="right" w:leader="dot" w:pos="8306"/>
            </w:tabs>
            <w:rPr>
              <w:sz w:val="24"/>
              <w:szCs w:val="24"/>
            </w:rPr>
          </w:pPr>
          <w:r>
            <w:rPr>
              <w:sz w:val="24"/>
              <w:szCs w:val="24"/>
            </w:rPr>
            <w:fldChar w:fldCharType="begin"/>
          </w:r>
          <w:r>
            <w:rPr>
              <w:sz w:val="24"/>
              <w:szCs w:val="24"/>
            </w:rPr>
            <w:instrText xml:space="preserve"> HYPERLINK \l _Toc2085 </w:instrText>
          </w:r>
          <w:r>
            <w:rPr>
              <w:sz w:val="24"/>
              <w:szCs w:val="24"/>
            </w:rPr>
            <w:fldChar w:fldCharType="separate"/>
          </w:r>
          <w:r>
            <w:rPr>
              <w:rFonts w:hint="eastAsia" w:ascii="黑体" w:hAnsi="黑体" w:eastAsia="黑体"/>
              <w:sz w:val="24"/>
              <w:szCs w:val="24"/>
              <w:highlight w:val="none"/>
            </w:rPr>
            <w:t>四、财政拨款收入支出决算总体情况说明</w:t>
          </w:r>
          <w:r>
            <w:rPr>
              <w:sz w:val="24"/>
              <w:szCs w:val="24"/>
            </w:rPr>
            <w:tab/>
          </w:r>
          <w:r>
            <w:rPr>
              <w:sz w:val="24"/>
              <w:szCs w:val="24"/>
            </w:rPr>
            <w:fldChar w:fldCharType="begin"/>
          </w:r>
          <w:r>
            <w:rPr>
              <w:sz w:val="24"/>
              <w:szCs w:val="24"/>
            </w:rPr>
            <w:instrText xml:space="preserve"> PAGEREF _Toc2085 \h </w:instrText>
          </w:r>
          <w:r>
            <w:rPr>
              <w:sz w:val="24"/>
              <w:szCs w:val="24"/>
            </w:rPr>
            <w:fldChar w:fldCharType="separate"/>
          </w:r>
          <w:r>
            <w:rPr>
              <w:sz w:val="24"/>
              <w:szCs w:val="24"/>
            </w:rPr>
            <w:t>8</w:t>
          </w:r>
          <w:r>
            <w:rPr>
              <w:sz w:val="24"/>
              <w:szCs w:val="24"/>
            </w:rPr>
            <w:fldChar w:fldCharType="end"/>
          </w:r>
          <w:r>
            <w:rPr>
              <w:sz w:val="24"/>
              <w:szCs w:val="24"/>
            </w:rPr>
            <w:fldChar w:fldCharType="end"/>
          </w:r>
        </w:p>
        <w:p>
          <w:pPr>
            <w:pStyle w:val="37"/>
            <w:tabs>
              <w:tab w:val="right" w:leader="dot" w:pos="8306"/>
            </w:tabs>
            <w:rPr>
              <w:sz w:val="24"/>
              <w:szCs w:val="24"/>
            </w:rPr>
          </w:pPr>
          <w:r>
            <w:rPr>
              <w:sz w:val="24"/>
              <w:szCs w:val="24"/>
            </w:rPr>
            <w:fldChar w:fldCharType="begin"/>
          </w:r>
          <w:r>
            <w:rPr>
              <w:sz w:val="24"/>
              <w:szCs w:val="24"/>
            </w:rPr>
            <w:instrText xml:space="preserve"> HYPERLINK \l _Toc152 </w:instrText>
          </w:r>
          <w:r>
            <w:rPr>
              <w:sz w:val="24"/>
              <w:szCs w:val="24"/>
            </w:rPr>
            <w:fldChar w:fldCharType="separate"/>
          </w:r>
          <w:r>
            <w:rPr>
              <w:rFonts w:hint="eastAsia" w:ascii="黑体" w:hAnsi="黑体" w:eastAsia="黑体"/>
              <w:sz w:val="24"/>
              <w:szCs w:val="24"/>
              <w:highlight w:val="none"/>
            </w:rPr>
            <w:t>五、一般公共预算财政拨款支出决算情况说明</w:t>
          </w:r>
          <w:r>
            <w:rPr>
              <w:sz w:val="24"/>
              <w:szCs w:val="24"/>
            </w:rPr>
            <w:tab/>
          </w:r>
          <w:r>
            <w:rPr>
              <w:sz w:val="24"/>
              <w:szCs w:val="24"/>
            </w:rPr>
            <w:fldChar w:fldCharType="begin"/>
          </w:r>
          <w:r>
            <w:rPr>
              <w:sz w:val="24"/>
              <w:szCs w:val="24"/>
            </w:rPr>
            <w:instrText xml:space="preserve"> PAGEREF _Toc152 \h </w:instrText>
          </w:r>
          <w:r>
            <w:rPr>
              <w:sz w:val="24"/>
              <w:szCs w:val="24"/>
            </w:rPr>
            <w:fldChar w:fldCharType="separate"/>
          </w:r>
          <w:r>
            <w:rPr>
              <w:sz w:val="24"/>
              <w:szCs w:val="24"/>
            </w:rPr>
            <w:t>9</w:t>
          </w:r>
          <w:r>
            <w:rPr>
              <w:sz w:val="24"/>
              <w:szCs w:val="24"/>
            </w:rPr>
            <w:fldChar w:fldCharType="end"/>
          </w:r>
          <w:r>
            <w:rPr>
              <w:sz w:val="24"/>
              <w:szCs w:val="24"/>
            </w:rPr>
            <w:fldChar w:fldCharType="end"/>
          </w:r>
        </w:p>
        <w:p>
          <w:pPr>
            <w:pStyle w:val="37"/>
            <w:tabs>
              <w:tab w:val="right" w:leader="dot" w:pos="8306"/>
            </w:tabs>
            <w:rPr>
              <w:sz w:val="24"/>
              <w:szCs w:val="24"/>
            </w:rPr>
          </w:pPr>
          <w:r>
            <w:rPr>
              <w:sz w:val="24"/>
              <w:szCs w:val="24"/>
            </w:rPr>
            <w:fldChar w:fldCharType="begin"/>
          </w:r>
          <w:r>
            <w:rPr>
              <w:sz w:val="24"/>
              <w:szCs w:val="24"/>
            </w:rPr>
            <w:instrText xml:space="preserve"> HYPERLINK \l _Toc23098 </w:instrText>
          </w:r>
          <w:r>
            <w:rPr>
              <w:sz w:val="24"/>
              <w:szCs w:val="24"/>
            </w:rPr>
            <w:fldChar w:fldCharType="separate"/>
          </w:r>
          <w:r>
            <w:rPr>
              <w:rFonts w:hint="eastAsia" w:ascii="黑体" w:eastAsia="黑体"/>
              <w:sz w:val="24"/>
              <w:szCs w:val="24"/>
              <w:highlight w:val="none"/>
            </w:rPr>
            <w:t>六、</w:t>
          </w:r>
          <w:r>
            <w:rPr>
              <w:rFonts w:hint="eastAsia" w:ascii="黑体" w:hAnsi="黑体" w:eastAsia="黑体"/>
              <w:sz w:val="24"/>
              <w:szCs w:val="24"/>
              <w:highlight w:val="none"/>
            </w:rPr>
            <w:t>一般公共预算财政拨款基本支出决算情况说明</w:t>
          </w:r>
          <w:r>
            <w:rPr>
              <w:sz w:val="24"/>
              <w:szCs w:val="24"/>
            </w:rPr>
            <w:tab/>
          </w:r>
          <w:r>
            <w:rPr>
              <w:sz w:val="24"/>
              <w:szCs w:val="24"/>
            </w:rPr>
            <w:fldChar w:fldCharType="begin"/>
          </w:r>
          <w:r>
            <w:rPr>
              <w:sz w:val="24"/>
              <w:szCs w:val="24"/>
            </w:rPr>
            <w:instrText xml:space="preserve"> PAGEREF _Toc23098 \h </w:instrText>
          </w:r>
          <w:r>
            <w:rPr>
              <w:sz w:val="24"/>
              <w:szCs w:val="24"/>
            </w:rPr>
            <w:fldChar w:fldCharType="separate"/>
          </w:r>
          <w:r>
            <w:rPr>
              <w:sz w:val="24"/>
              <w:szCs w:val="24"/>
            </w:rPr>
            <w:t>12</w:t>
          </w:r>
          <w:r>
            <w:rPr>
              <w:sz w:val="24"/>
              <w:szCs w:val="24"/>
            </w:rPr>
            <w:fldChar w:fldCharType="end"/>
          </w:r>
          <w:r>
            <w:rPr>
              <w:sz w:val="24"/>
              <w:szCs w:val="24"/>
            </w:rPr>
            <w:fldChar w:fldCharType="end"/>
          </w:r>
        </w:p>
        <w:p>
          <w:pPr>
            <w:pStyle w:val="37"/>
            <w:tabs>
              <w:tab w:val="right" w:leader="dot" w:pos="8306"/>
            </w:tabs>
            <w:rPr>
              <w:sz w:val="24"/>
              <w:szCs w:val="24"/>
            </w:rPr>
          </w:pPr>
          <w:r>
            <w:rPr>
              <w:sz w:val="24"/>
              <w:szCs w:val="24"/>
            </w:rPr>
            <w:fldChar w:fldCharType="begin"/>
          </w:r>
          <w:r>
            <w:rPr>
              <w:sz w:val="24"/>
              <w:szCs w:val="24"/>
            </w:rPr>
            <w:instrText xml:space="preserve"> HYPERLINK \l _Toc3671 </w:instrText>
          </w:r>
          <w:r>
            <w:rPr>
              <w:sz w:val="24"/>
              <w:szCs w:val="24"/>
            </w:rPr>
            <w:fldChar w:fldCharType="separate"/>
          </w:r>
          <w:r>
            <w:rPr>
              <w:rFonts w:hint="eastAsia" w:ascii="黑体" w:eastAsia="黑体"/>
              <w:sz w:val="24"/>
              <w:szCs w:val="24"/>
              <w:highlight w:val="none"/>
            </w:rPr>
            <w:t>七、</w:t>
          </w:r>
          <w:r>
            <w:rPr>
              <w:rFonts w:hint="eastAsia" w:ascii="黑体" w:hAnsi="黑体" w:eastAsia="黑体"/>
              <w:sz w:val="24"/>
              <w:szCs w:val="24"/>
              <w:highlight w:val="none"/>
            </w:rPr>
            <w:t>财政拨款“三公”经费支出决算情况说明</w:t>
          </w:r>
          <w:r>
            <w:rPr>
              <w:sz w:val="24"/>
              <w:szCs w:val="24"/>
            </w:rPr>
            <w:tab/>
          </w:r>
          <w:r>
            <w:rPr>
              <w:sz w:val="24"/>
              <w:szCs w:val="24"/>
            </w:rPr>
            <w:fldChar w:fldCharType="begin"/>
          </w:r>
          <w:r>
            <w:rPr>
              <w:sz w:val="24"/>
              <w:szCs w:val="24"/>
            </w:rPr>
            <w:instrText xml:space="preserve"> PAGEREF _Toc3671 \h </w:instrText>
          </w:r>
          <w:r>
            <w:rPr>
              <w:sz w:val="24"/>
              <w:szCs w:val="24"/>
            </w:rPr>
            <w:fldChar w:fldCharType="separate"/>
          </w:r>
          <w:r>
            <w:rPr>
              <w:sz w:val="24"/>
              <w:szCs w:val="24"/>
            </w:rPr>
            <w:t>12</w:t>
          </w:r>
          <w:r>
            <w:rPr>
              <w:sz w:val="24"/>
              <w:szCs w:val="24"/>
            </w:rPr>
            <w:fldChar w:fldCharType="end"/>
          </w:r>
          <w:r>
            <w:rPr>
              <w:sz w:val="24"/>
              <w:szCs w:val="24"/>
            </w:rPr>
            <w:fldChar w:fldCharType="end"/>
          </w:r>
        </w:p>
        <w:p>
          <w:pPr>
            <w:pStyle w:val="37"/>
            <w:tabs>
              <w:tab w:val="right" w:leader="dot" w:pos="8306"/>
            </w:tabs>
            <w:rPr>
              <w:sz w:val="24"/>
              <w:szCs w:val="24"/>
            </w:rPr>
          </w:pPr>
          <w:r>
            <w:rPr>
              <w:sz w:val="24"/>
              <w:szCs w:val="24"/>
            </w:rPr>
            <w:fldChar w:fldCharType="begin"/>
          </w:r>
          <w:r>
            <w:rPr>
              <w:sz w:val="24"/>
              <w:szCs w:val="24"/>
            </w:rPr>
            <w:instrText xml:space="preserve"> HYPERLINK \l _Toc20775 </w:instrText>
          </w:r>
          <w:r>
            <w:rPr>
              <w:sz w:val="24"/>
              <w:szCs w:val="24"/>
            </w:rPr>
            <w:fldChar w:fldCharType="separate"/>
          </w:r>
          <w:r>
            <w:rPr>
              <w:rFonts w:hint="eastAsia" w:ascii="黑体" w:eastAsia="黑体"/>
              <w:sz w:val="24"/>
              <w:szCs w:val="24"/>
              <w:highlight w:val="none"/>
            </w:rPr>
            <w:t>八、</w:t>
          </w:r>
          <w:r>
            <w:rPr>
              <w:rFonts w:hint="eastAsia" w:ascii="黑体" w:hAnsi="黑体" w:eastAsia="黑体"/>
              <w:sz w:val="24"/>
              <w:szCs w:val="24"/>
              <w:highlight w:val="none"/>
            </w:rPr>
            <w:t>政府性基金预算支出决算情况说明</w:t>
          </w:r>
          <w:r>
            <w:rPr>
              <w:sz w:val="24"/>
              <w:szCs w:val="24"/>
            </w:rPr>
            <w:tab/>
          </w:r>
          <w:r>
            <w:rPr>
              <w:sz w:val="24"/>
              <w:szCs w:val="24"/>
            </w:rPr>
            <w:fldChar w:fldCharType="begin"/>
          </w:r>
          <w:r>
            <w:rPr>
              <w:sz w:val="24"/>
              <w:szCs w:val="24"/>
            </w:rPr>
            <w:instrText xml:space="preserve"> PAGEREF _Toc20775 \h </w:instrText>
          </w:r>
          <w:r>
            <w:rPr>
              <w:sz w:val="24"/>
              <w:szCs w:val="24"/>
            </w:rPr>
            <w:fldChar w:fldCharType="separate"/>
          </w:r>
          <w:r>
            <w:rPr>
              <w:sz w:val="24"/>
              <w:szCs w:val="24"/>
            </w:rPr>
            <w:t>14</w:t>
          </w:r>
          <w:r>
            <w:rPr>
              <w:sz w:val="24"/>
              <w:szCs w:val="24"/>
            </w:rPr>
            <w:fldChar w:fldCharType="end"/>
          </w:r>
          <w:r>
            <w:rPr>
              <w:sz w:val="24"/>
              <w:szCs w:val="24"/>
            </w:rPr>
            <w:fldChar w:fldCharType="end"/>
          </w:r>
        </w:p>
        <w:p>
          <w:pPr>
            <w:pStyle w:val="37"/>
            <w:tabs>
              <w:tab w:val="right" w:leader="dot" w:pos="8306"/>
            </w:tabs>
            <w:rPr>
              <w:sz w:val="24"/>
              <w:szCs w:val="24"/>
            </w:rPr>
          </w:pPr>
          <w:r>
            <w:rPr>
              <w:sz w:val="24"/>
              <w:szCs w:val="24"/>
            </w:rPr>
            <w:fldChar w:fldCharType="begin"/>
          </w:r>
          <w:r>
            <w:rPr>
              <w:sz w:val="24"/>
              <w:szCs w:val="24"/>
            </w:rPr>
            <w:instrText xml:space="preserve"> HYPERLINK \l _Toc17583 </w:instrText>
          </w:r>
          <w:r>
            <w:rPr>
              <w:sz w:val="24"/>
              <w:szCs w:val="24"/>
            </w:rPr>
            <w:fldChar w:fldCharType="separate"/>
          </w:r>
          <w:r>
            <w:rPr>
              <w:rFonts w:hint="eastAsia" w:ascii="黑体" w:hAnsi="黑体" w:eastAsia="黑体"/>
              <w:sz w:val="24"/>
              <w:szCs w:val="24"/>
            </w:rPr>
            <w:t xml:space="preserve">九、 </w:t>
          </w:r>
          <w:r>
            <w:rPr>
              <w:rFonts w:hint="eastAsia" w:ascii="黑体" w:hAnsi="黑体" w:eastAsia="黑体"/>
              <w:sz w:val="24"/>
              <w:szCs w:val="24"/>
              <w:highlight w:val="none"/>
            </w:rPr>
            <w:t>国有资本经营预算支出决算情况说明</w:t>
          </w:r>
          <w:r>
            <w:rPr>
              <w:sz w:val="24"/>
              <w:szCs w:val="24"/>
            </w:rPr>
            <w:tab/>
          </w:r>
          <w:r>
            <w:rPr>
              <w:sz w:val="24"/>
              <w:szCs w:val="24"/>
            </w:rPr>
            <w:fldChar w:fldCharType="begin"/>
          </w:r>
          <w:r>
            <w:rPr>
              <w:sz w:val="24"/>
              <w:szCs w:val="24"/>
            </w:rPr>
            <w:instrText xml:space="preserve"> PAGEREF _Toc17583 \h </w:instrText>
          </w:r>
          <w:r>
            <w:rPr>
              <w:sz w:val="24"/>
              <w:szCs w:val="24"/>
            </w:rPr>
            <w:fldChar w:fldCharType="separate"/>
          </w:r>
          <w:r>
            <w:rPr>
              <w:sz w:val="24"/>
              <w:szCs w:val="24"/>
            </w:rPr>
            <w:t>14</w:t>
          </w:r>
          <w:r>
            <w:rPr>
              <w:sz w:val="24"/>
              <w:szCs w:val="24"/>
            </w:rPr>
            <w:fldChar w:fldCharType="end"/>
          </w:r>
          <w:r>
            <w:rPr>
              <w:sz w:val="24"/>
              <w:szCs w:val="24"/>
            </w:rPr>
            <w:fldChar w:fldCharType="end"/>
          </w:r>
        </w:p>
        <w:p>
          <w:pPr>
            <w:pStyle w:val="37"/>
            <w:tabs>
              <w:tab w:val="right" w:leader="dot" w:pos="8306"/>
            </w:tabs>
            <w:rPr>
              <w:sz w:val="24"/>
              <w:szCs w:val="24"/>
            </w:rPr>
          </w:pPr>
          <w:r>
            <w:rPr>
              <w:sz w:val="24"/>
              <w:szCs w:val="24"/>
            </w:rPr>
            <w:fldChar w:fldCharType="begin"/>
          </w:r>
          <w:r>
            <w:rPr>
              <w:sz w:val="24"/>
              <w:szCs w:val="24"/>
            </w:rPr>
            <w:instrText xml:space="preserve"> HYPERLINK \l _Toc27100 </w:instrText>
          </w:r>
          <w:r>
            <w:rPr>
              <w:sz w:val="24"/>
              <w:szCs w:val="24"/>
            </w:rPr>
            <w:fldChar w:fldCharType="separate"/>
          </w:r>
          <w:r>
            <w:rPr>
              <w:rFonts w:hint="eastAsia" w:ascii="黑体" w:hAnsi="黑体" w:eastAsia="黑体"/>
              <w:sz w:val="24"/>
              <w:szCs w:val="24"/>
            </w:rPr>
            <w:t xml:space="preserve">十、 </w:t>
          </w:r>
          <w:r>
            <w:rPr>
              <w:rFonts w:hint="eastAsia" w:ascii="黑体" w:hAnsi="黑体" w:eastAsia="黑体"/>
              <w:sz w:val="24"/>
              <w:szCs w:val="24"/>
              <w:highlight w:val="none"/>
            </w:rPr>
            <w:t>其他重要事项的情况说明</w:t>
          </w:r>
          <w:r>
            <w:rPr>
              <w:sz w:val="24"/>
              <w:szCs w:val="24"/>
            </w:rPr>
            <w:tab/>
          </w:r>
          <w:r>
            <w:rPr>
              <w:sz w:val="24"/>
              <w:szCs w:val="24"/>
            </w:rPr>
            <w:fldChar w:fldCharType="begin"/>
          </w:r>
          <w:r>
            <w:rPr>
              <w:sz w:val="24"/>
              <w:szCs w:val="24"/>
            </w:rPr>
            <w:instrText xml:space="preserve"> PAGEREF _Toc27100 \h </w:instrText>
          </w:r>
          <w:r>
            <w:rPr>
              <w:sz w:val="24"/>
              <w:szCs w:val="24"/>
            </w:rPr>
            <w:fldChar w:fldCharType="separate"/>
          </w:r>
          <w:r>
            <w:rPr>
              <w:sz w:val="24"/>
              <w:szCs w:val="24"/>
            </w:rPr>
            <w:t>14</w:t>
          </w:r>
          <w:r>
            <w:rPr>
              <w:sz w:val="24"/>
              <w:szCs w:val="24"/>
            </w:rPr>
            <w:fldChar w:fldCharType="end"/>
          </w:r>
          <w:r>
            <w:rPr>
              <w:sz w:val="24"/>
              <w:szCs w:val="24"/>
            </w:rPr>
            <w:fldChar w:fldCharType="end"/>
          </w:r>
        </w:p>
        <w:p>
          <w:pPr>
            <w:pStyle w:val="36"/>
            <w:tabs>
              <w:tab w:val="right" w:leader="dot" w:pos="8306"/>
            </w:tabs>
            <w:rPr>
              <w:b/>
              <w:sz w:val="24"/>
              <w:szCs w:val="24"/>
            </w:rPr>
          </w:pPr>
          <w:r>
            <w:rPr>
              <w:b/>
              <w:sz w:val="24"/>
              <w:szCs w:val="24"/>
            </w:rPr>
            <w:fldChar w:fldCharType="begin"/>
          </w:r>
          <w:r>
            <w:rPr>
              <w:b/>
              <w:sz w:val="24"/>
              <w:szCs w:val="24"/>
            </w:rPr>
            <w:instrText xml:space="preserve"> HYPERLINK \l _Toc8183 </w:instrText>
          </w:r>
          <w:r>
            <w:rPr>
              <w:b/>
              <w:sz w:val="24"/>
              <w:szCs w:val="24"/>
            </w:rPr>
            <w:fldChar w:fldCharType="separate"/>
          </w:r>
          <w:r>
            <w:rPr>
              <w:rFonts w:hint="eastAsia" w:ascii="黑体" w:hAnsi="黑体" w:eastAsia="黑体"/>
              <w:b/>
              <w:sz w:val="24"/>
              <w:szCs w:val="24"/>
            </w:rPr>
            <w:t xml:space="preserve">第三部分 </w:t>
          </w:r>
          <w:r>
            <w:rPr>
              <w:rFonts w:hint="eastAsia" w:ascii="黑体" w:hAnsi="黑体" w:eastAsia="黑体"/>
              <w:b/>
              <w:sz w:val="24"/>
              <w:szCs w:val="24"/>
              <w:highlight w:val="none"/>
            </w:rPr>
            <w:t>名词解释</w:t>
          </w:r>
          <w:r>
            <w:rPr>
              <w:b/>
              <w:sz w:val="24"/>
              <w:szCs w:val="24"/>
            </w:rPr>
            <w:tab/>
          </w:r>
          <w:r>
            <w:rPr>
              <w:b/>
              <w:sz w:val="24"/>
              <w:szCs w:val="24"/>
            </w:rPr>
            <w:fldChar w:fldCharType="begin"/>
          </w:r>
          <w:r>
            <w:rPr>
              <w:b/>
              <w:sz w:val="24"/>
              <w:szCs w:val="24"/>
            </w:rPr>
            <w:instrText xml:space="preserve"> PAGEREF _Toc8183 \h </w:instrText>
          </w:r>
          <w:r>
            <w:rPr>
              <w:b/>
              <w:sz w:val="24"/>
              <w:szCs w:val="24"/>
            </w:rPr>
            <w:fldChar w:fldCharType="separate"/>
          </w:r>
          <w:r>
            <w:rPr>
              <w:b/>
              <w:sz w:val="24"/>
              <w:szCs w:val="24"/>
            </w:rPr>
            <w:t>17</w:t>
          </w:r>
          <w:r>
            <w:rPr>
              <w:b/>
              <w:sz w:val="24"/>
              <w:szCs w:val="24"/>
            </w:rPr>
            <w:fldChar w:fldCharType="end"/>
          </w:r>
          <w:r>
            <w:rPr>
              <w:b/>
              <w:sz w:val="24"/>
              <w:szCs w:val="24"/>
            </w:rPr>
            <w:fldChar w:fldCharType="end"/>
          </w:r>
        </w:p>
        <w:p>
          <w:pPr>
            <w:pStyle w:val="36"/>
            <w:tabs>
              <w:tab w:val="right" w:leader="dot" w:pos="8306"/>
            </w:tabs>
            <w:rPr>
              <w:b/>
              <w:sz w:val="24"/>
              <w:szCs w:val="24"/>
            </w:rPr>
          </w:pPr>
          <w:r>
            <w:rPr>
              <w:b/>
              <w:sz w:val="24"/>
              <w:szCs w:val="24"/>
            </w:rPr>
            <w:fldChar w:fldCharType="begin"/>
          </w:r>
          <w:r>
            <w:rPr>
              <w:b/>
              <w:sz w:val="24"/>
              <w:szCs w:val="24"/>
            </w:rPr>
            <w:instrText xml:space="preserve"> HYPERLINK \l _Toc24046 </w:instrText>
          </w:r>
          <w:r>
            <w:rPr>
              <w:b/>
              <w:sz w:val="24"/>
              <w:szCs w:val="24"/>
            </w:rPr>
            <w:fldChar w:fldCharType="separate"/>
          </w:r>
          <w:r>
            <w:rPr>
              <w:rFonts w:hint="eastAsia" w:ascii="黑体" w:hAnsi="黑体" w:eastAsia="黑体"/>
              <w:b/>
              <w:sz w:val="24"/>
              <w:szCs w:val="24"/>
              <w:highlight w:val="none"/>
            </w:rPr>
            <w:t>第四部分 附件</w:t>
          </w:r>
          <w:r>
            <w:rPr>
              <w:b/>
              <w:sz w:val="24"/>
              <w:szCs w:val="24"/>
            </w:rPr>
            <w:tab/>
          </w:r>
          <w:r>
            <w:rPr>
              <w:b/>
              <w:sz w:val="24"/>
              <w:szCs w:val="24"/>
            </w:rPr>
            <w:fldChar w:fldCharType="begin"/>
          </w:r>
          <w:r>
            <w:rPr>
              <w:b/>
              <w:sz w:val="24"/>
              <w:szCs w:val="24"/>
            </w:rPr>
            <w:instrText xml:space="preserve"> PAGEREF _Toc24046 \h </w:instrText>
          </w:r>
          <w:r>
            <w:rPr>
              <w:b/>
              <w:sz w:val="24"/>
              <w:szCs w:val="24"/>
            </w:rPr>
            <w:fldChar w:fldCharType="separate"/>
          </w:r>
          <w:r>
            <w:rPr>
              <w:b/>
              <w:sz w:val="24"/>
              <w:szCs w:val="24"/>
            </w:rPr>
            <w:t>21</w:t>
          </w:r>
          <w:r>
            <w:rPr>
              <w:b/>
              <w:sz w:val="24"/>
              <w:szCs w:val="24"/>
            </w:rPr>
            <w:fldChar w:fldCharType="end"/>
          </w:r>
          <w:r>
            <w:rPr>
              <w:b/>
              <w:sz w:val="24"/>
              <w:szCs w:val="24"/>
            </w:rPr>
            <w:fldChar w:fldCharType="end"/>
          </w:r>
        </w:p>
        <w:p>
          <w:pPr>
            <w:pStyle w:val="36"/>
            <w:tabs>
              <w:tab w:val="right" w:leader="dot" w:pos="8306"/>
            </w:tabs>
            <w:rPr>
              <w:b/>
              <w:sz w:val="24"/>
              <w:szCs w:val="24"/>
            </w:rPr>
          </w:pPr>
          <w:r>
            <w:rPr>
              <w:b/>
              <w:sz w:val="24"/>
              <w:szCs w:val="24"/>
            </w:rPr>
            <w:fldChar w:fldCharType="begin"/>
          </w:r>
          <w:r>
            <w:rPr>
              <w:b/>
              <w:sz w:val="24"/>
              <w:szCs w:val="24"/>
            </w:rPr>
            <w:instrText xml:space="preserve"> HYPERLINK \l _Toc29235 </w:instrText>
          </w:r>
          <w:r>
            <w:rPr>
              <w:b/>
              <w:sz w:val="24"/>
              <w:szCs w:val="24"/>
            </w:rPr>
            <w:fldChar w:fldCharType="separate"/>
          </w:r>
          <w:r>
            <w:rPr>
              <w:rFonts w:hint="eastAsia" w:ascii="黑体" w:hAnsi="黑体" w:eastAsia="黑体"/>
              <w:b/>
              <w:sz w:val="24"/>
              <w:szCs w:val="24"/>
              <w:highlight w:val="none"/>
            </w:rPr>
            <w:t>第五部分 附表</w:t>
          </w:r>
          <w:r>
            <w:rPr>
              <w:b/>
              <w:sz w:val="24"/>
              <w:szCs w:val="24"/>
            </w:rPr>
            <w:tab/>
          </w:r>
          <w:r>
            <w:rPr>
              <w:b/>
              <w:sz w:val="24"/>
              <w:szCs w:val="24"/>
            </w:rPr>
            <w:fldChar w:fldCharType="begin"/>
          </w:r>
          <w:r>
            <w:rPr>
              <w:b/>
              <w:sz w:val="24"/>
              <w:szCs w:val="24"/>
            </w:rPr>
            <w:instrText xml:space="preserve"> PAGEREF _Toc29235 \h </w:instrText>
          </w:r>
          <w:r>
            <w:rPr>
              <w:b/>
              <w:sz w:val="24"/>
              <w:szCs w:val="24"/>
            </w:rPr>
            <w:fldChar w:fldCharType="separate"/>
          </w:r>
          <w:r>
            <w:rPr>
              <w:b/>
              <w:sz w:val="24"/>
              <w:szCs w:val="24"/>
            </w:rPr>
            <w:t>67</w:t>
          </w:r>
          <w:r>
            <w:rPr>
              <w:b/>
              <w:sz w:val="24"/>
              <w:szCs w:val="24"/>
            </w:rPr>
            <w:fldChar w:fldCharType="end"/>
          </w:r>
          <w:r>
            <w:rPr>
              <w:b/>
              <w:sz w:val="24"/>
              <w:szCs w:val="24"/>
            </w:rPr>
            <w:fldChar w:fldCharType="end"/>
          </w:r>
        </w:p>
        <w:p>
          <w:pPr>
            <w:pStyle w:val="37"/>
            <w:tabs>
              <w:tab w:val="right" w:leader="dot" w:pos="8306"/>
            </w:tabs>
            <w:rPr>
              <w:sz w:val="24"/>
              <w:szCs w:val="24"/>
            </w:rPr>
          </w:pPr>
          <w:r>
            <w:rPr>
              <w:sz w:val="24"/>
              <w:szCs w:val="24"/>
            </w:rPr>
            <w:fldChar w:fldCharType="begin"/>
          </w:r>
          <w:r>
            <w:rPr>
              <w:sz w:val="24"/>
              <w:szCs w:val="24"/>
            </w:rPr>
            <w:instrText xml:space="preserve"> HYPERLINK \l _Toc19090 </w:instrText>
          </w:r>
          <w:r>
            <w:rPr>
              <w:sz w:val="24"/>
              <w:szCs w:val="24"/>
            </w:rPr>
            <w:fldChar w:fldCharType="separate"/>
          </w:r>
          <w:r>
            <w:rPr>
              <w:rFonts w:hint="eastAsia" w:ascii="仿宋" w:hAnsi="仿宋" w:eastAsia="仿宋"/>
              <w:sz w:val="24"/>
              <w:szCs w:val="24"/>
              <w:highlight w:val="none"/>
            </w:rPr>
            <w:t>一、收</w:t>
          </w:r>
          <w:r>
            <w:rPr>
              <w:rFonts w:hint="eastAsia" w:ascii="仿宋" w:hAnsi="仿宋" w:eastAsia="仿宋"/>
              <w:bCs w:val="0"/>
              <w:sz w:val="24"/>
              <w:szCs w:val="24"/>
              <w:highlight w:val="none"/>
            </w:rPr>
            <w:t>入支出决算总表</w:t>
          </w:r>
          <w:r>
            <w:rPr>
              <w:sz w:val="24"/>
              <w:szCs w:val="24"/>
            </w:rPr>
            <w:tab/>
          </w:r>
          <w:r>
            <w:rPr>
              <w:sz w:val="24"/>
              <w:szCs w:val="24"/>
            </w:rPr>
            <w:fldChar w:fldCharType="begin"/>
          </w:r>
          <w:r>
            <w:rPr>
              <w:sz w:val="24"/>
              <w:szCs w:val="24"/>
            </w:rPr>
            <w:instrText xml:space="preserve"> PAGEREF _Toc19090 \h </w:instrText>
          </w:r>
          <w:r>
            <w:rPr>
              <w:sz w:val="24"/>
              <w:szCs w:val="24"/>
            </w:rPr>
            <w:fldChar w:fldCharType="separate"/>
          </w:r>
          <w:r>
            <w:rPr>
              <w:sz w:val="24"/>
              <w:szCs w:val="24"/>
            </w:rPr>
            <w:t>67</w:t>
          </w:r>
          <w:r>
            <w:rPr>
              <w:sz w:val="24"/>
              <w:szCs w:val="24"/>
            </w:rPr>
            <w:fldChar w:fldCharType="end"/>
          </w:r>
          <w:r>
            <w:rPr>
              <w:sz w:val="24"/>
              <w:szCs w:val="24"/>
            </w:rPr>
            <w:fldChar w:fldCharType="end"/>
          </w:r>
        </w:p>
        <w:p>
          <w:pPr>
            <w:pStyle w:val="37"/>
            <w:tabs>
              <w:tab w:val="right" w:leader="dot" w:pos="8306"/>
            </w:tabs>
            <w:rPr>
              <w:sz w:val="24"/>
              <w:szCs w:val="24"/>
            </w:rPr>
          </w:pPr>
          <w:r>
            <w:rPr>
              <w:sz w:val="24"/>
              <w:szCs w:val="24"/>
            </w:rPr>
            <w:fldChar w:fldCharType="begin"/>
          </w:r>
          <w:r>
            <w:rPr>
              <w:sz w:val="24"/>
              <w:szCs w:val="24"/>
            </w:rPr>
            <w:instrText xml:space="preserve"> HYPERLINK \l _Toc18933 </w:instrText>
          </w:r>
          <w:r>
            <w:rPr>
              <w:sz w:val="24"/>
              <w:szCs w:val="24"/>
            </w:rPr>
            <w:fldChar w:fldCharType="separate"/>
          </w:r>
          <w:r>
            <w:rPr>
              <w:rFonts w:hint="eastAsia" w:ascii="仿宋" w:hAnsi="仿宋" w:eastAsia="仿宋"/>
              <w:sz w:val="24"/>
              <w:szCs w:val="24"/>
              <w:highlight w:val="none"/>
            </w:rPr>
            <w:t>二、收</w:t>
          </w:r>
          <w:r>
            <w:rPr>
              <w:rFonts w:hint="eastAsia" w:ascii="仿宋" w:hAnsi="仿宋" w:eastAsia="仿宋"/>
              <w:bCs w:val="0"/>
              <w:sz w:val="24"/>
              <w:szCs w:val="24"/>
              <w:highlight w:val="none"/>
            </w:rPr>
            <w:t>入决算表</w:t>
          </w:r>
          <w:r>
            <w:rPr>
              <w:sz w:val="24"/>
              <w:szCs w:val="24"/>
            </w:rPr>
            <w:tab/>
          </w:r>
          <w:r>
            <w:rPr>
              <w:sz w:val="24"/>
              <w:szCs w:val="24"/>
            </w:rPr>
            <w:fldChar w:fldCharType="begin"/>
          </w:r>
          <w:r>
            <w:rPr>
              <w:sz w:val="24"/>
              <w:szCs w:val="24"/>
            </w:rPr>
            <w:instrText xml:space="preserve"> PAGEREF _Toc18933 \h </w:instrText>
          </w:r>
          <w:r>
            <w:rPr>
              <w:sz w:val="24"/>
              <w:szCs w:val="24"/>
            </w:rPr>
            <w:fldChar w:fldCharType="separate"/>
          </w:r>
          <w:r>
            <w:rPr>
              <w:sz w:val="24"/>
              <w:szCs w:val="24"/>
            </w:rPr>
            <w:t>67</w:t>
          </w:r>
          <w:r>
            <w:rPr>
              <w:sz w:val="24"/>
              <w:szCs w:val="24"/>
            </w:rPr>
            <w:fldChar w:fldCharType="end"/>
          </w:r>
          <w:r>
            <w:rPr>
              <w:sz w:val="24"/>
              <w:szCs w:val="24"/>
            </w:rPr>
            <w:fldChar w:fldCharType="end"/>
          </w:r>
        </w:p>
        <w:p>
          <w:pPr>
            <w:pStyle w:val="37"/>
            <w:tabs>
              <w:tab w:val="right" w:leader="dot" w:pos="8306"/>
            </w:tabs>
            <w:rPr>
              <w:sz w:val="24"/>
              <w:szCs w:val="24"/>
            </w:rPr>
          </w:pPr>
          <w:r>
            <w:rPr>
              <w:sz w:val="24"/>
              <w:szCs w:val="24"/>
            </w:rPr>
            <w:fldChar w:fldCharType="begin"/>
          </w:r>
          <w:r>
            <w:rPr>
              <w:sz w:val="24"/>
              <w:szCs w:val="24"/>
            </w:rPr>
            <w:instrText xml:space="preserve"> HYPERLINK \l _Toc25592 </w:instrText>
          </w:r>
          <w:r>
            <w:rPr>
              <w:sz w:val="24"/>
              <w:szCs w:val="24"/>
            </w:rPr>
            <w:fldChar w:fldCharType="separate"/>
          </w:r>
          <w:r>
            <w:rPr>
              <w:rFonts w:hint="eastAsia" w:ascii="仿宋" w:hAnsi="仿宋" w:eastAsia="仿宋"/>
              <w:bCs w:val="0"/>
              <w:sz w:val="24"/>
              <w:szCs w:val="24"/>
              <w:highlight w:val="none"/>
            </w:rPr>
            <w:t>三、</w:t>
          </w:r>
          <w:r>
            <w:rPr>
              <w:rFonts w:hint="eastAsia" w:ascii="仿宋" w:hAnsi="仿宋" w:eastAsia="仿宋"/>
              <w:sz w:val="24"/>
              <w:szCs w:val="24"/>
              <w:highlight w:val="none"/>
            </w:rPr>
            <w:t>支</w:t>
          </w:r>
          <w:r>
            <w:rPr>
              <w:rFonts w:hint="eastAsia" w:ascii="仿宋" w:hAnsi="仿宋" w:eastAsia="仿宋"/>
              <w:bCs w:val="0"/>
              <w:sz w:val="24"/>
              <w:szCs w:val="24"/>
              <w:highlight w:val="none"/>
            </w:rPr>
            <w:t>出决算表</w:t>
          </w:r>
          <w:r>
            <w:rPr>
              <w:sz w:val="24"/>
              <w:szCs w:val="24"/>
            </w:rPr>
            <w:tab/>
          </w:r>
          <w:r>
            <w:rPr>
              <w:sz w:val="24"/>
              <w:szCs w:val="24"/>
            </w:rPr>
            <w:fldChar w:fldCharType="begin"/>
          </w:r>
          <w:r>
            <w:rPr>
              <w:sz w:val="24"/>
              <w:szCs w:val="24"/>
            </w:rPr>
            <w:instrText xml:space="preserve"> PAGEREF _Toc25592 \h </w:instrText>
          </w:r>
          <w:r>
            <w:rPr>
              <w:sz w:val="24"/>
              <w:szCs w:val="24"/>
            </w:rPr>
            <w:fldChar w:fldCharType="separate"/>
          </w:r>
          <w:r>
            <w:rPr>
              <w:sz w:val="24"/>
              <w:szCs w:val="24"/>
            </w:rPr>
            <w:t>67</w:t>
          </w:r>
          <w:r>
            <w:rPr>
              <w:sz w:val="24"/>
              <w:szCs w:val="24"/>
            </w:rPr>
            <w:fldChar w:fldCharType="end"/>
          </w:r>
          <w:r>
            <w:rPr>
              <w:sz w:val="24"/>
              <w:szCs w:val="24"/>
            </w:rPr>
            <w:fldChar w:fldCharType="end"/>
          </w:r>
        </w:p>
        <w:p>
          <w:pPr>
            <w:pStyle w:val="37"/>
            <w:tabs>
              <w:tab w:val="right" w:leader="dot" w:pos="8306"/>
            </w:tabs>
            <w:rPr>
              <w:sz w:val="24"/>
              <w:szCs w:val="24"/>
            </w:rPr>
          </w:pPr>
          <w:r>
            <w:rPr>
              <w:sz w:val="24"/>
              <w:szCs w:val="24"/>
            </w:rPr>
            <w:fldChar w:fldCharType="begin"/>
          </w:r>
          <w:r>
            <w:rPr>
              <w:sz w:val="24"/>
              <w:szCs w:val="24"/>
            </w:rPr>
            <w:instrText xml:space="preserve"> HYPERLINK \l _Toc30807 </w:instrText>
          </w:r>
          <w:r>
            <w:rPr>
              <w:sz w:val="24"/>
              <w:szCs w:val="24"/>
            </w:rPr>
            <w:fldChar w:fldCharType="separate"/>
          </w:r>
          <w:r>
            <w:rPr>
              <w:rFonts w:hint="eastAsia" w:ascii="仿宋" w:hAnsi="仿宋" w:eastAsia="仿宋"/>
              <w:bCs w:val="0"/>
              <w:sz w:val="24"/>
              <w:szCs w:val="24"/>
              <w:highlight w:val="none"/>
            </w:rPr>
            <w:t>四、</w:t>
          </w:r>
          <w:r>
            <w:rPr>
              <w:rFonts w:hint="eastAsia" w:ascii="仿宋" w:hAnsi="仿宋" w:eastAsia="仿宋"/>
              <w:sz w:val="24"/>
              <w:szCs w:val="24"/>
              <w:highlight w:val="none"/>
            </w:rPr>
            <w:t>财</w:t>
          </w:r>
          <w:r>
            <w:rPr>
              <w:rFonts w:hint="eastAsia" w:ascii="仿宋" w:hAnsi="仿宋" w:eastAsia="仿宋"/>
              <w:bCs w:val="0"/>
              <w:sz w:val="24"/>
              <w:szCs w:val="24"/>
              <w:highlight w:val="none"/>
            </w:rPr>
            <w:t>政拨款收入支出决算总表</w:t>
          </w:r>
          <w:r>
            <w:rPr>
              <w:sz w:val="24"/>
              <w:szCs w:val="24"/>
            </w:rPr>
            <w:tab/>
          </w:r>
          <w:r>
            <w:rPr>
              <w:sz w:val="24"/>
              <w:szCs w:val="24"/>
            </w:rPr>
            <w:fldChar w:fldCharType="begin"/>
          </w:r>
          <w:r>
            <w:rPr>
              <w:sz w:val="24"/>
              <w:szCs w:val="24"/>
            </w:rPr>
            <w:instrText xml:space="preserve"> PAGEREF _Toc30807 \h </w:instrText>
          </w:r>
          <w:r>
            <w:rPr>
              <w:sz w:val="24"/>
              <w:szCs w:val="24"/>
            </w:rPr>
            <w:fldChar w:fldCharType="separate"/>
          </w:r>
          <w:r>
            <w:rPr>
              <w:sz w:val="24"/>
              <w:szCs w:val="24"/>
            </w:rPr>
            <w:t>67</w:t>
          </w:r>
          <w:r>
            <w:rPr>
              <w:sz w:val="24"/>
              <w:szCs w:val="24"/>
            </w:rPr>
            <w:fldChar w:fldCharType="end"/>
          </w:r>
          <w:r>
            <w:rPr>
              <w:sz w:val="24"/>
              <w:szCs w:val="24"/>
            </w:rPr>
            <w:fldChar w:fldCharType="end"/>
          </w:r>
        </w:p>
        <w:p>
          <w:pPr>
            <w:pStyle w:val="37"/>
            <w:tabs>
              <w:tab w:val="right" w:leader="dot" w:pos="8306"/>
            </w:tabs>
            <w:rPr>
              <w:sz w:val="24"/>
              <w:szCs w:val="24"/>
            </w:rPr>
          </w:pPr>
          <w:r>
            <w:rPr>
              <w:sz w:val="24"/>
              <w:szCs w:val="24"/>
            </w:rPr>
            <w:fldChar w:fldCharType="begin"/>
          </w:r>
          <w:r>
            <w:rPr>
              <w:sz w:val="24"/>
              <w:szCs w:val="24"/>
            </w:rPr>
            <w:instrText xml:space="preserve"> HYPERLINK \l _Toc21304 </w:instrText>
          </w:r>
          <w:r>
            <w:rPr>
              <w:sz w:val="24"/>
              <w:szCs w:val="24"/>
            </w:rPr>
            <w:fldChar w:fldCharType="separate"/>
          </w:r>
          <w:r>
            <w:rPr>
              <w:rFonts w:hint="eastAsia" w:ascii="仿宋" w:hAnsi="仿宋" w:eastAsia="仿宋"/>
              <w:bCs w:val="0"/>
              <w:sz w:val="24"/>
              <w:szCs w:val="24"/>
              <w:highlight w:val="none"/>
            </w:rPr>
            <w:t>五、</w:t>
          </w:r>
          <w:r>
            <w:rPr>
              <w:rFonts w:hint="eastAsia" w:ascii="仿宋" w:hAnsi="仿宋" w:eastAsia="仿宋"/>
              <w:sz w:val="24"/>
              <w:szCs w:val="24"/>
              <w:highlight w:val="none"/>
            </w:rPr>
            <w:t>财</w:t>
          </w:r>
          <w:r>
            <w:rPr>
              <w:rFonts w:hint="eastAsia" w:ascii="仿宋" w:hAnsi="仿宋" w:eastAsia="仿宋"/>
              <w:bCs w:val="0"/>
              <w:sz w:val="24"/>
              <w:szCs w:val="24"/>
              <w:highlight w:val="none"/>
            </w:rPr>
            <w:t>政拨款支出决算明细表</w:t>
          </w:r>
          <w:r>
            <w:rPr>
              <w:sz w:val="24"/>
              <w:szCs w:val="24"/>
            </w:rPr>
            <w:tab/>
          </w:r>
          <w:r>
            <w:rPr>
              <w:sz w:val="24"/>
              <w:szCs w:val="24"/>
            </w:rPr>
            <w:fldChar w:fldCharType="begin"/>
          </w:r>
          <w:r>
            <w:rPr>
              <w:sz w:val="24"/>
              <w:szCs w:val="24"/>
            </w:rPr>
            <w:instrText xml:space="preserve"> PAGEREF _Toc21304 \h </w:instrText>
          </w:r>
          <w:r>
            <w:rPr>
              <w:sz w:val="24"/>
              <w:szCs w:val="24"/>
            </w:rPr>
            <w:fldChar w:fldCharType="separate"/>
          </w:r>
          <w:r>
            <w:rPr>
              <w:sz w:val="24"/>
              <w:szCs w:val="24"/>
            </w:rPr>
            <w:t>67</w:t>
          </w:r>
          <w:r>
            <w:rPr>
              <w:sz w:val="24"/>
              <w:szCs w:val="24"/>
            </w:rPr>
            <w:fldChar w:fldCharType="end"/>
          </w:r>
          <w:r>
            <w:rPr>
              <w:sz w:val="24"/>
              <w:szCs w:val="24"/>
            </w:rPr>
            <w:fldChar w:fldCharType="end"/>
          </w:r>
        </w:p>
        <w:p>
          <w:pPr>
            <w:pStyle w:val="37"/>
            <w:tabs>
              <w:tab w:val="right" w:leader="dot" w:pos="8306"/>
            </w:tabs>
            <w:rPr>
              <w:sz w:val="24"/>
              <w:szCs w:val="24"/>
            </w:rPr>
          </w:pPr>
          <w:r>
            <w:rPr>
              <w:sz w:val="24"/>
              <w:szCs w:val="24"/>
            </w:rPr>
            <w:fldChar w:fldCharType="begin"/>
          </w:r>
          <w:r>
            <w:rPr>
              <w:sz w:val="24"/>
              <w:szCs w:val="24"/>
            </w:rPr>
            <w:instrText xml:space="preserve"> HYPERLINK \l _Toc32010 </w:instrText>
          </w:r>
          <w:r>
            <w:rPr>
              <w:sz w:val="24"/>
              <w:szCs w:val="24"/>
            </w:rPr>
            <w:fldChar w:fldCharType="separate"/>
          </w:r>
          <w:r>
            <w:rPr>
              <w:rFonts w:hint="eastAsia" w:ascii="仿宋" w:hAnsi="仿宋" w:eastAsia="仿宋"/>
              <w:bCs w:val="0"/>
              <w:sz w:val="24"/>
              <w:szCs w:val="24"/>
              <w:highlight w:val="none"/>
            </w:rPr>
            <w:t>六、</w:t>
          </w:r>
          <w:r>
            <w:rPr>
              <w:rFonts w:hint="eastAsia" w:ascii="仿宋" w:hAnsi="仿宋" w:eastAsia="仿宋"/>
              <w:sz w:val="24"/>
              <w:szCs w:val="24"/>
              <w:highlight w:val="none"/>
            </w:rPr>
            <w:t>一</w:t>
          </w:r>
          <w:r>
            <w:rPr>
              <w:rFonts w:hint="eastAsia" w:ascii="仿宋" w:hAnsi="仿宋" w:eastAsia="仿宋"/>
              <w:bCs w:val="0"/>
              <w:sz w:val="24"/>
              <w:szCs w:val="24"/>
              <w:highlight w:val="none"/>
            </w:rPr>
            <w:t>般公共预算财政拨款支出决算表</w:t>
          </w:r>
          <w:r>
            <w:rPr>
              <w:sz w:val="24"/>
              <w:szCs w:val="24"/>
            </w:rPr>
            <w:tab/>
          </w:r>
          <w:r>
            <w:rPr>
              <w:sz w:val="24"/>
              <w:szCs w:val="24"/>
            </w:rPr>
            <w:fldChar w:fldCharType="begin"/>
          </w:r>
          <w:r>
            <w:rPr>
              <w:sz w:val="24"/>
              <w:szCs w:val="24"/>
            </w:rPr>
            <w:instrText xml:space="preserve"> PAGEREF _Toc32010 \h </w:instrText>
          </w:r>
          <w:r>
            <w:rPr>
              <w:sz w:val="24"/>
              <w:szCs w:val="24"/>
            </w:rPr>
            <w:fldChar w:fldCharType="separate"/>
          </w:r>
          <w:r>
            <w:rPr>
              <w:sz w:val="24"/>
              <w:szCs w:val="24"/>
            </w:rPr>
            <w:t>67</w:t>
          </w:r>
          <w:r>
            <w:rPr>
              <w:sz w:val="24"/>
              <w:szCs w:val="24"/>
            </w:rPr>
            <w:fldChar w:fldCharType="end"/>
          </w:r>
          <w:r>
            <w:rPr>
              <w:sz w:val="24"/>
              <w:szCs w:val="24"/>
            </w:rPr>
            <w:fldChar w:fldCharType="end"/>
          </w:r>
        </w:p>
        <w:p>
          <w:pPr>
            <w:pStyle w:val="37"/>
            <w:tabs>
              <w:tab w:val="right" w:leader="dot" w:pos="8306"/>
            </w:tabs>
            <w:rPr>
              <w:sz w:val="24"/>
              <w:szCs w:val="24"/>
            </w:rPr>
          </w:pPr>
          <w:r>
            <w:rPr>
              <w:sz w:val="24"/>
              <w:szCs w:val="24"/>
            </w:rPr>
            <w:fldChar w:fldCharType="begin"/>
          </w:r>
          <w:r>
            <w:rPr>
              <w:sz w:val="24"/>
              <w:szCs w:val="24"/>
            </w:rPr>
            <w:instrText xml:space="preserve"> HYPERLINK \l _Toc2273 </w:instrText>
          </w:r>
          <w:r>
            <w:rPr>
              <w:sz w:val="24"/>
              <w:szCs w:val="24"/>
            </w:rPr>
            <w:fldChar w:fldCharType="separate"/>
          </w:r>
          <w:r>
            <w:rPr>
              <w:rFonts w:hint="eastAsia" w:ascii="仿宋" w:hAnsi="仿宋" w:eastAsia="仿宋"/>
              <w:bCs w:val="0"/>
              <w:sz w:val="24"/>
              <w:szCs w:val="24"/>
              <w:highlight w:val="none"/>
            </w:rPr>
            <w:t>七、</w:t>
          </w:r>
          <w:r>
            <w:rPr>
              <w:rFonts w:hint="eastAsia" w:ascii="仿宋" w:hAnsi="仿宋" w:eastAsia="仿宋"/>
              <w:sz w:val="24"/>
              <w:szCs w:val="24"/>
              <w:highlight w:val="none"/>
            </w:rPr>
            <w:t>一</w:t>
          </w:r>
          <w:r>
            <w:rPr>
              <w:rFonts w:hint="eastAsia" w:ascii="仿宋" w:hAnsi="仿宋" w:eastAsia="仿宋"/>
              <w:bCs w:val="0"/>
              <w:sz w:val="24"/>
              <w:szCs w:val="24"/>
              <w:highlight w:val="none"/>
            </w:rPr>
            <w:t>般公共预算财政拨款支出决算明细表</w:t>
          </w:r>
          <w:r>
            <w:rPr>
              <w:sz w:val="24"/>
              <w:szCs w:val="24"/>
            </w:rPr>
            <w:tab/>
          </w:r>
          <w:r>
            <w:rPr>
              <w:sz w:val="24"/>
              <w:szCs w:val="24"/>
            </w:rPr>
            <w:fldChar w:fldCharType="begin"/>
          </w:r>
          <w:r>
            <w:rPr>
              <w:sz w:val="24"/>
              <w:szCs w:val="24"/>
            </w:rPr>
            <w:instrText xml:space="preserve"> PAGEREF _Toc2273 \h </w:instrText>
          </w:r>
          <w:r>
            <w:rPr>
              <w:sz w:val="24"/>
              <w:szCs w:val="24"/>
            </w:rPr>
            <w:fldChar w:fldCharType="separate"/>
          </w:r>
          <w:r>
            <w:rPr>
              <w:sz w:val="24"/>
              <w:szCs w:val="24"/>
            </w:rPr>
            <w:t>67</w:t>
          </w:r>
          <w:r>
            <w:rPr>
              <w:sz w:val="24"/>
              <w:szCs w:val="24"/>
            </w:rPr>
            <w:fldChar w:fldCharType="end"/>
          </w:r>
          <w:r>
            <w:rPr>
              <w:sz w:val="24"/>
              <w:szCs w:val="24"/>
            </w:rPr>
            <w:fldChar w:fldCharType="end"/>
          </w:r>
        </w:p>
        <w:p>
          <w:pPr>
            <w:pStyle w:val="37"/>
            <w:tabs>
              <w:tab w:val="right" w:leader="dot" w:pos="8306"/>
            </w:tabs>
            <w:rPr>
              <w:sz w:val="24"/>
              <w:szCs w:val="24"/>
            </w:rPr>
          </w:pPr>
          <w:r>
            <w:rPr>
              <w:sz w:val="24"/>
              <w:szCs w:val="24"/>
            </w:rPr>
            <w:fldChar w:fldCharType="begin"/>
          </w:r>
          <w:r>
            <w:rPr>
              <w:sz w:val="24"/>
              <w:szCs w:val="24"/>
            </w:rPr>
            <w:instrText xml:space="preserve"> HYPERLINK \l _Toc24423 </w:instrText>
          </w:r>
          <w:r>
            <w:rPr>
              <w:sz w:val="24"/>
              <w:szCs w:val="24"/>
            </w:rPr>
            <w:fldChar w:fldCharType="separate"/>
          </w:r>
          <w:r>
            <w:rPr>
              <w:rFonts w:hint="eastAsia" w:ascii="仿宋" w:hAnsi="仿宋" w:eastAsia="仿宋"/>
              <w:bCs w:val="0"/>
              <w:sz w:val="24"/>
              <w:szCs w:val="24"/>
              <w:highlight w:val="none"/>
            </w:rPr>
            <w:t>八、</w:t>
          </w:r>
          <w:r>
            <w:rPr>
              <w:rFonts w:hint="eastAsia" w:ascii="仿宋" w:hAnsi="仿宋" w:eastAsia="仿宋"/>
              <w:sz w:val="24"/>
              <w:szCs w:val="24"/>
              <w:highlight w:val="none"/>
            </w:rPr>
            <w:t>一</w:t>
          </w:r>
          <w:r>
            <w:rPr>
              <w:rFonts w:hint="eastAsia" w:ascii="仿宋" w:hAnsi="仿宋" w:eastAsia="仿宋"/>
              <w:bCs w:val="0"/>
              <w:sz w:val="24"/>
              <w:szCs w:val="24"/>
              <w:highlight w:val="none"/>
            </w:rPr>
            <w:t>般公共预算财政拨款基本支出决算表</w:t>
          </w:r>
          <w:r>
            <w:rPr>
              <w:sz w:val="24"/>
              <w:szCs w:val="24"/>
            </w:rPr>
            <w:tab/>
          </w:r>
          <w:r>
            <w:rPr>
              <w:sz w:val="24"/>
              <w:szCs w:val="24"/>
            </w:rPr>
            <w:fldChar w:fldCharType="begin"/>
          </w:r>
          <w:r>
            <w:rPr>
              <w:sz w:val="24"/>
              <w:szCs w:val="24"/>
            </w:rPr>
            <w:instrText xml:space="preserve"> PAGEREF _Toc24423 \h </w:instrText>
          </w:r>
          <w:r>
            <w:rPr>
              <w:sz w:val="24"/>
              <w:szCs w:val="24"/>
            </w:rPr>
            <w:fldChar w:fldCharType="separate"/>
          </w:r>
          <w:r>
            <w:rPr>
              <w:sz w:val="24"/>
              <w:szCs w:val="24"/>
            </w:rPr>
            <w:t>67</w:t>
          </w:r>
          <w:r>
            <w:rPr>
              <w:sz w:val="24"/>
              <w:szCs w:val="24"/>
            </w:rPr>
            <w:fldChar w:fldCharType="end"/>
          </w:r>
          <w:r>
            <w:rPr>
              <w:sz w:val="24"/>
              <w:szCs w:val="24"/>
            </w:rPr>
            <w:fldChar w:fldCharType="end"/>
          </w:r>
        </w:p>
        <w:p>
          <w:pPr>
            <w:pStyle w:val="37"/>
            <w:tabs>
              <w:tab w:val="right" w:leader="dot" w:pos="8306"/>
            </w:tabs>
            <w:rPr>
              <w:sz w:val="24"/>
              <w:szCs w:val="24"/>
            </w:rPr>
          </w:pPr>
          <w:r>
            <w:rPr>
              <w:sz w:val="24"/>
              <w:szCs w:val="24"/>
            </w:rPr>
            <w:fldChar w:fldCharType="begin"/>
          </w:r>
          <w:r>
            <w:rPr>
              <w:sz w:val="24"/>
              <w:szCs w:val="24"/>
            </w:rPr>
            <w:instrText xml:space="preserve"> HYPERLINK \l _Toc27623 </w:instrText>
          </w:r>
          <w:r>
            <w:rPr>
              <w:sz w:val="24"/>
              <w:szCs w:val="24"/>
            </w:rPr>
            <w:fldChar w:fldCharType="separate"/>
          </w:r>
          <w:r>
            <w:rPr>
              <w:rFonts w:hint="eastAsia" w:ascii="仿宋" w:hAnsi="仿宋" w:eastAsia="仿宋"/>
              <w:bCs w:val="0"/>
              <w:sz w:val="24"/>
              <w:szCs w:val="24"/>
              <w:highlight w:val="none"/>
            </w:rPr>
            <w:t>九、</w:t>
          </w:r>
          <w:r>
            <w:rPr>
              <w:rFonts w:hint="eastAsia" w:ascii="仿宋" w:hAnsi="仿宋" w:eastAsia="仿宋"/>
              <w:sz w:val="24"/>
              <w:szCs w:val="24"/>
              <w:highlight w:val="none"/>
            </w:rPr>
            <w:t>一</w:t>
          </w:r>
          <w:r>
            <w:rPr>
              <w:rFonts w:hint="eastAsia" w:ascii="仿宋" w:hAnsi="仿宋" w:eastAsia="仿宋"/>
              <w:bCs w:val="0"/>
              <w:sz w:val="24"/>
              <w:szCs w:val="24"/>
              <w:highlight w:val="none"/>
            </w:rPr>
            <w:t>般公共预算财政拨款项目支出决算表</w:t>
          </w:r>
          <w:r>
            <w:rPr>
              <w:sz w:val="24"/>
              <w:szCs w:val="24"/>
            </w:rPr>
            <w:tab/>
          </w:r>
          <w:r>
            <w:rPr>
              <w:sz w:val="24"/>
              <w:szCs w:val="24"/>
            </w:rPr>
            <w:fldChar w:fldCharType="begin"/>
          </w:r>
          <w:r>
            <w:rPr>
              <w:sz w:val="24"/>
              <w:szCs w:val="24"/>
            </w:rPr>
            <w:instrText xml:space="preserve"> PAGEREF _Toc27623 \h </w:instrText>
          </w:r>
          <w:r>
            <w:rPr>
              <w:sz w:val="24"/>
              <w:szCs w:val="24"/>
            </w:rPr>
            <w:fldChar w:fldCharType="separate"/>
          </w:r>
          <w:r>
            <w:rPr>
              <w:sz w:val="24"/>
              <w:szCs w:val="24"/>
            </w:rPr>
            <w:t>67</w:t>
          </w:r>
          <w:r>
            <w:rPr>
              <w:sz w:val="24"/>
              <w:szCs w:val="24"/>
            </w:rPr>
            <w:fldChar w:fldCharType="end"/>
          </w:r>
          <w:r>
            <w:rPr>
              <w:sz w:val="24"/>
              <w:szCs w:val="24"/>
            </w:rPr>
            <w:fldChar w:fldCharType="end"/>
          </w:r>
        </w:p>
        <w:p>
          <w:pPr>
            <w:pStyle w:val="37"/>
            <w:tabs>
              <w:tab w:val="right" w:leader="dot" w:pos="8306"/>
            </w:tabs>
            <w:rPr>
              <w:sz w:val="24"/>
              <w:szCs w:val="24"/>
            </w:rPr>
          </w:pPr>
          <w:r>
            <w:rPr>
              <w:sz w:val="24"/>
              <w:szCs w:val="24"/>
            </w:rPr>
            <w:fldChar w:fldCharType="begin"/>
          </w:r>
          <w:r>
            <w:rPr>
              <w:sz w:val="24"/>
              <w:szCs w:val="24"/>
            </w:rPr>
            <w:instrText xml:space="preserve"> HYPERLINK \l _Toc23456 </w:instrText>
          </w:r>
          <w:r>
            <w:rPr>
              <w:sz w:val="24"/>
              <w:szCs w:val="24"/>
            </w:rPr>
            <w:fldChar w:fldCharType="separate"/>
          </w:r>
          <w:r>
            <w:rPr>
              <w:rFonts w:hint="eastAsia" w:ascii="仿宋" w:hAnsi="仿宋" w:eastAsia="仿宋"/>
              <w:bCs w:val="0"/>
              <w:sz w:val="24"/>
              <w:szCs w:val="24"/>
              <w:highlight w:val="none"/>
            </w:rPr>
            <w:t>十、</w:t>
          </w:r>
          <w:r>
            <w:rPr>
              <w:rFonts w:hint="eastAsia" w:ascii="仿宋" w:hAnsi="仿宋" w:eastAsia="仿宋"/>
              <w:sz w:val="24"/>
              <w:szCs w:val="24"/>
              <w:highlight w:val="none"/>
            </w:rPr>
            <w:t>政</w:t>
          </w:r>
          <w:r>
            <w:rPr>
              <w:rFonts w:hint="eastAsia" w:ascii="仿宋" w:hAnsi="仿宋" w:eastAsia="仿宋"/>
              <w:bCs w:val="0"/>
              <w:sz w:val="24"/>
              <w:szCs w:val="24"/>
              <w:highlight w:val="none"/>
            </w:rPr>
            <w:t>府性基金预算财政拨款收入支出决算表</w:t>
          </w:r>
          <w:r>
            <w:rPr>
              <w:sz w:val="24"/>
              <w:szCs w:val="24"/>
            </w:rPr>
            <w:tab/>
          </w:r>
          <w:r>
            <w:rPr>
              <w:sz w:val="24"/>
              <w:szCs w:val="24"/>
            </w:rPr>
            <w:fldChar w:fldCharType="begin"/>
          </w:r>
          <w:r>
            <w:rPr>
              <w:sz w:val="24"/>
              <w:szCs w:val="24"/>
            </w:rPr>
            <w:instrText xml:space="preserve"> PAGEREF _Toc23456 \h </w:instrText>
          </w:r>
          <w:r>
            <w:rPr>
              <w:sz w:val="24"/>
              <w:szCs w:val="24"/>
            </w:rPr>
            <w:fldChar w:fldCharType="separate"/>
          </w:r>
          <w:r>
            <w:rPr>
              <w:sz w:val="24"/>
              <w:szCs w:val="24"/>
            </w:rPr>
            <w:t>67</w:t>
          </w:r>
          <w:r>
            <w:rPr>
              <w:sz w:val="24"/>
              <w:szCs w:val="24"/>
            </w:rPr>
            <w:fldChar w:fldCharType="end"/>
          </w:r>
          <w:r>
            <w:rPr>
              <w:sz w:val="24"/>
              <w:szCs w:val="24"/>
            </w:rPr>
            <w:fldChar w:fldCharType="end"/>
          </w:r>
        </w:p>
        <w:p>
          <w:pPr>
            <w:pStyle w:val="37"/>
            <w:tabs>
              <w:tab w:val="right" w:leader="dot" w:pos="8306"/>
            </w:tabs>
            <w:rPr>
              <w:sz w:val="24"/>
              <w:szCs w:val="24"/>
            </w:rPr>
          </w:pPr>
          <w:r>
            <w:rPr>
              <w:sz w:val="24"/>
              <w:szCs w:val="24"/>
            </w:rPr>
            <w:fldChar w:fldCharType="begin"/>
          </w:r>
          <w:r>
            <w:rPr>
              <w:sz w:val="24"/>
              <w:szCs w:val="24"/>
            </w:rPr>
            <w:instrText xml:space="preserve"> HYPERLINK \l _Toc15484 </w:instrText>
          </w:r>
          <w:r>
            <w:rPr>
              <w:sz w:val="24"/>
              <w:szCs w:val="24"/>
            </w:rPr>
            <w:fldChar w:fldCharType="separate"/>
          </w:r>
          <w:r>
            <w:rPr>
              <w:rFonts w:hint="eastAsia" w:ascii="仿宋" w:hAnsi="仿宋" w:eastAsia="仿宋"/>
              <w:bCs w:val="0"/>
              <w:sz w:val="24"/>
              <w:szCs w:val="24"/>
              <w:highlight w:val="none"/>
            </w:rPr>
            <w:t>十一、</w:t>
          </w:r>
          <w:r>
            <w:rPr>
              <w:rFonts w:hint="eastAsia" w:ascii="仿宋" w:hAnsi="仿宋" w:eastAsia="仿宋"/>
              <w:sz w:val="24"/>
              <w:szCs w:val="24"/>
              <w:highlight w:val="none"/>
            </w:rPr>
            <w:t>国</w:t>
          </w:r>
          <w:r>
            <w:rPr>
              <w:rFonts w:hint="eastAsia" w:ascii="仿宋" w:hAnsi="仿宋" w:eastAsia="仿宋"/>
              <w:bCs w:val="0"/>
              <w:sz w:val="24"/>
              <w:szCs w:val="24"/>
              <w:highlight w:val="none"/>
            </w:rPr>
            <w:t>有资本经营预算</w:t>
          </w:r>
          <w:r>
            <w:rPr>
              <w:rFonts w:hint="eastAsia" w:ascii="仿宋" w:hAnsi="仿宋" w:eastAsia="仿宋"/>
              <w:bCs w:val="0"/>
              <w:sz w:val="24"/>
              <w:szCs w:val="24"/>
              <w:highlight w:val="none"/>
              <w:lang w:eastAsia="zh-CN"/>
            </w:rPr>
            <w:t>财政拨款收入</w:t>
          </w:r>
          <w:r>
            <w:rPr>
              <w:rFonts w:hint="eastAsia" w:ascii="仿宋" w:hAnsi="仿宋" w:eastAsia="仿宋"/>
              <w:bCs w:val="0"/>
              <w:sz w:val="24"/>
              <w:szCs w:val="24"/>
              <w:highlight w:val="none"/>
            </w:rPr>
            <w:t>支出决算表</w:t>
          </w:r>
          <w:r>
            <w:rPr>
              <w:sz w:val="24"/>
              <w:szCs w:val="24"/>
            </w:rPr>
            <w:tab/>
          </w:r>
          <w:r>
            <w:rPr>
              <w:sz w:val="24"/>
              <w:szCs w:val="24"/>
            </w:rPr>
            <w:fldChar w:fldCharType="begin"/>
          </w:r>
          <w:r>
            <w:rPr>
              <w:sz w:val="24"/>
              <w:szCs w:val="24"/>
            </w:rPr>
            <w:instrText xml:space="preserve"> PAGEREF _Toc15484 \h </w:instrText>
          </w:r>
          <w:r>
            <w:rPr>
              <w:sz w:val="24"/>
              <w:szCs w:val="24"/>
            </w:rPr>
            <w:fldChar w:fldCharType="separate"/>
          </w:r>
          <w:r>
            <w:rPr>
              <w:sz w:val="24"/>
              <w:szCs w:val="24"/>
            </w:rPr>
            <w:t>67</w:t>
          </w:r>
          <w:r>
            <w:rPr>
              <w:sz w:val="24"/>
              <w:szCs w:val="24"/>
            </w:rPr>
            <w:fldChar w:fldCharType="end"/>
          </w:r>
          <w:r>
            <w:rPr>
              <w:sz w:val="24"/>
              <w:szCs w:val="24"/>
            </w:rPr>
            <w:fldChar w:fldCharType="end"/>
          </w:r>
        </w:p>
        <w:p>
          <w:pPr>
            <w:pStyle w:val="37"/>
            <w:tabs>
              <w:tab w:val="right" w:leader="dot" w:pos="8306"/>
            </w:tabs>
            <w:rPr>
              <w:sz w:val="24"/>
              <w:szCs w:val="24"/>
            </w:rPr>
          </w:pPr>
          <w:r>
            <w:rPr>
              <w:sz w:val="24"/>
              <w:szCs w:val="24"/>
            </w:rPr>
            <w:fldChar w:fldCharType="begin"/>
          </w:r>
          <w:r>
            <w:rPr>
              <w:sz w:val="24"/>
              <w:szCs w:val="24"/>
            </w:rPr>
            <w:instrText xml:space="preserve"> HYPERLINK \l _Toc31424 </w:instrText>
          </w:r>
          <w:r>
            <w:rPr>
              <w:sz w:val="24"/>
              <w:szCs w:val="24"/>
            </w:rPr>
            <w:fldChar w:fldCharType="separate"/>
          </w:r>
          <w:r>
            <w:rPr>
              <w:rFonts w:hint="eastAsia" w:ascii="仿宋" w:hAnsi="仿宋" w:eastAsia="仿宋"/>
              <w:bCs w:val="0"/>
              <w:sz w:val="24"/>
              <w:szCs w:val="24"/>
              <w:highlight w:val="none"/>
            </w:rPr>
            <w:t>十二、</w:t>
          </w:r>
          <w:r>
            <w:rPr>
              <w:rFonts w:hint="eastAsia" w:ascii="仿宋" w:hAnsi="仿宋" w:eastAsia="仿宋"/>
              <w:bCs w:val="0"/>
              <w:sz w:val="24"/>
              <w:szCs w:val="24"/>
              <w:highlight w:val="none"/>
              <w:lang w:eastAsia="zh-CN"/>
            </w:rPr>
            <w:t>国有资本经营预算财政拨款支出决算表</w:t>
          </w:r>
          <w:r>
            <w:rPr>
              <w:sz w:val="24"/>
              <w:szCs w:val="24"/>
            </w:rPr>
            <w:tab/>
          </w:r>
          <w:r>
            <w:rPr>
              <w:sz w:val="24"/>
              <w:szCs w:val="24"/>
            </w:rPr>
            <w:fldChar w:fldCharType="begin"/>
          </w:r>
          <w:r>
            <w:rPr>
              <w:sz w:val="24"/>
              <w:szCs w:val="24"/>
            </w:rPr>
            <w:instrText xml:space="preserve"> PAGEREF _Toc31424 \h </w:instrText>
          </w:r>
          <w:r>
            <w:rPr>
              <w:sz w:val="24"/>
              <w:szCs w:val="24"/>
            </w:rPr>
            <w:fldChar w:fldCharType="separate"/>
          </w:r>
          <w:r>
            <w:rPr>
              <w:sz w:val="24"/>
              <w:szCs w:val="24"/>
            </w:rPr>
            <w:t>67</w:t>
          </w:r>
          <w:r>
            <w:rPr>
              <w:sz w:val="24"/>
              <w:szCs w:val="24"/>
            </w:rPr>
            <w:fldChar w:fldCharType="end"/>
          </w:r>
          <w:r>
            <w:rPr>
              <w:sz w:val="24"/>
              <w:szCs w:val="24"/>
            </w:rPr>
            <w:fldChar w:fldCharType="end"/>
          </w:r>
        </w:p>
        <w:p>
          <w:pPr>
            <w:pStyle w:val="37"/>
            <w:tabs>
              <w:tab w:val="right" w:leader="dot" w:pos="8306"/>
            </w:tabs>
            <w:rPr>
              <w:sz w:val="24"/>
              <w:szCs w:val="24"/>
            </w:rPr>
          </w:pPr>
          <w:r>
            <w:rPr>
              <w:sz w:val="24"/>
              <w:szCs w:val="24"/>
            </w:rPr>
            <w:fldChar w:fldCharType="begin"/>
          </w:r>
          <w:r>
            <w:rPr>
              <w:sz w:val="24"/>
              <w:szCs w:val="24"/>
            </w:rPr>
            <w:instrText xml:space="preserve"> HYPERLINK \l _Toc2711 </w:instrText>
          </w:r>
          <w:r>
            <w:rPr>
              <w:sz w:val="24"/>
              <w:szCs w:val="24"/>
            </w:rPr>
            <w:fldChar w:fldCharType="separate"/>
          </w:r>
          <w:r>
            <w:rPr>
              <w:rFonts w:hint="eastAsia" w:ascii="仿宋" w:hAnsi="仿宋" w:eastAsia="仿宋"/>
              <w:bCs w:val="0"/>
              <w:sz w:val="24"/>
              <w:szCs w:val="24"/>
              <w:highlight w:val="none"/>
            </w:rPr>
            <w:t>十三、</w:t>
          </w:r>
          <w:r>
            <w:rPr>
              <w:rFonts w:hint="eastAsia" w:ascii="仿宋" w:hAnsi="仿宋" w:eastAsia="仿宋"/>
              <w:bCs w:val="0"/>
              <w:sz w:val="24"/>
              <w:szCs w:val="24"/>
              <w:highlight w:val="none"/>
              <w:lang w:eastAsia="zh-CN"/>
            </w:rPr>
            <w:t>财政拨款“三公”经费支出决算表</w:t>
          </w:r>
          <w:r>
            <w:rPr>
              <w:sz w:val="24"/>
              <w:szCs w:val="24"/>
            </w:rPr>
            <w:tab/>
          </w:r>
          <w:r>
            <w:rPr>
              <w:sz w:val="24"/>
              <w:szCs w:val="24"/>
            </w:rPr>
            <w:fldChar w:fldCharType="begin"/>
          </w:r>
          <w:r>
            <w:rPr>
              <w:sz w:val="24"/>
              <w:szCs w:val="24"/>
            </w:rPr>
            <w:instrText xml:space="preserve"> PAGEREF _Toc2711 \h </w:instrText>
          </w:r>
          <w:r>
            <w:rPr>
              <w:sz w:val="24"/>
              <w:szCs w:val="24"/>
            </w:rPr>
            <w:fldChar w:fldCharType="separate"/>
          </w:r>
          <w:r>
            <w:rPr>
              <w:sz w:val="24"/>
              <w:szCs w:val="24"/>
            </w:rPr>
            <w:t>67</w:t>
          </w:r>
          <w:r>
            <w:rPr>
              <w:sz w:val="24"/>
              <w:szCs w:val="24"/>
            </w:rPr>
            <w:fldChar w:fldCharType="end"/>
          </w:r>
          <w:r>
            <w:rPr>
              <w:sz w:val="24"/>
              <w:szCs w:val="24"/>
            </w:rPr>
            <w:fldChar w:fldCharType="end"/>
          </w:r>
        </w:p>
        <w:p>
          <w:r>
            <w:rPr>
              <w:b/>
              <w:sz w:val="24"/>
              <w:szCs w:val="24"/>
            </w:rPr>
            <w:fldChar w:fldCharType="end"/>
          </w:r>
        </w:p>
      </w:sdtContent>
    </w:sdt>
    <w:p>
      <w:pPr>
        <w:pStyle w:val="4"/>
        <w:jc w:val="center"/>
        <w:rPr>
          <w:rFonts w:hint="eastAsia" w:ascii="黑体" w:hAnsi="黑体" w:eastAsia="黑体"/>
          <w:b w:val="0"/>
          <w:color w:val="auto"/>
          <w:highlight w:val="none"/>
        </w:rPr>
      </w:pPr>
      <w:bookmarkStart w:id="16" w:name="_Toc15396599"/>
      <w:bookmarkStart w:id="17" w:name="_Toc15377196"/>
      <w:bookmarkStart w:id="18" w:name="_Toc7984"/>
    </w:p>
    <w:p>
      <w:pPr>
        <w:rPr>
          <w:rFonts w:hint="eastAsia" w:ascii="黑体" w:hAnsi="黑体" w:eastAsia="黑体"/>
          <w:b w:val="0"/>
          <w:color w:val="auto"/>
          <w:highlight w:val="none"/>
        </w:rPr>
      </w:pPr>
    </w:p>
    <w:p>
      <w:pPr>
        <w:pStyle w:val="19"/>
        <w:rPr>
          <w:rFonts w:hint="eastAsia" w:ascii="黑体" w:hAnsi="黑体" w:eastAsia="黑体"/>
          <w:b w:val="0"/>
          <w:color w:val="auto"/>
          <w:highlight w:val="none"/>
        </w:rPr>
      </w:pPr>
    </w:p>
    <w:p>
      <w:pPr>
        <w:pStyle w:val="20"/>
        <w:rPr>
          <w:rFonts w:hint="eastAsia"/>
        </w:rPr>
      </w:pPr>
    </w:p>
    <w:p>
      <w:pPr>
        <w:pStyle w:val="4"/>
        <w:jc w:val="center"/>
        <w:rPr>
          <w:rFonts w:hint="eastAsia" w:ascii="黑体" w:hAnsi="黑体" w:eastAsia="黑体"/>
          <w:b w:val="0"/>
          <w:color w:val="auto"/>
          <w:highlight w:val="none"/>
        </w:rPr>
      </w:pPr>
    </w:p>
    <w:p>
      <w:pPr>
        <w:rPr>
          <w:rFonts w:hint="eastAsia" w:ascii="黑体" w:hAnsi="黑体" w:eastAsia="黑体"/>
          <w:b w:val="0"/>
          <w:color w:val="auto"/>
          <w:highlight w:val="none"/>
        </w:rPr>
      </w:pPr>
    </w:p>
    <w:p>
      <w:pPr>
        <w:pStyle w:val="19"/>
        <w:rPr>
          <w:rFonts w:hint="eastAsia"/>
        </w:rPr>
      </w:pPr>
    </w:p>
    <w:p>
      <w:pPr>
        <w:pStyle w:val="4"/>
        <w:jc w:val="center"/>
        <w:rPr>
          <w:rFonts w:ascii="黑体" w:eastAsia="黑体"/>
          <w:color w:val="auto"/>
          <w:sz w:val="32"/>
          <w:szCs w:val="32"/>
          <w:highlight w:val="none"/>
        </w:rPr>
      </w:pPr>
      <w:r>
        <w:rPr>
          <w:rFonts w:hint="eastAsia" w:ascii="黑体" w:hAnsi="黑体" w:eastAsia="黑体"/>
          <w:b w:val="0"/>
          <w:color w:val="auto"/>
          <w:highlight w:val="none"/>
        </w:rPr>
        <w:t xml:space="preserve">第一部分 </w:t>
      </w:r>
      <w:r>
        <w:rPr>
          <w:rStyle w:val="29"/>
          <w:rFonts w:hint="eastAsia" w:ascii="黑体" w:hAnsi="黑体" w:eastAsia="黑体"/>
          <w:b w:val="0"/>
          <w:bCs w:val="0"/>
          <w:color w:val="auto"/>
          <w:highlight w:val="none"/>
        </w:rPr>
        <w:t>部门概况</w:t>
      </w:r>
      <w:bookmarkEnd w:id="16"/>
      <w:bookmarkEnd w:id="17"/>
      <w:bookmarkEnd w:id="18"/>
    </w:p>
    <w:p>
      <w:pPr>
        <w:pStyle w:val="5"/>
        <w:numPr>
          <w:ilvl w:val="0"/>
          <w:numId w:val="1"/>
        </w:numPr>
        <w:rPr>
          <w:rFonts w:hint="eastAsia" w:ascii="黑体" w:hAnsi="黑体" w:eastAsia="黑体"/>
          <w:b w:val="0"/>
          <w:color w:val="auto"/>
          <w:highlight w:val="none"/>
          <w:lang w:eastAsia="zh-CN"/>
        </w:rPr>
      </w:pPr>
      <w:bookmarkStart w:id="19" w:name="_Toc25104"/>
      <w:r>
        <w:rPr>
          <w:rFonts w:hint="eastAsia" w:ascii="黑体" w:hAnsi="黑体" w:eastAsia="黑体"/>
          <w:b w:val="0"/>
          <w:color w:val="auto"/>
          <w:highlight w:val="none"/>
          <w:lang w:eastAsia="zh-CN"/>
        </w:rPr>
        <w:t>部门职责</w:t>
      </w:r>
      <w:bookmarkEnd w:id="19"/>
    </w:p>
    <w:p>
      <w:pPr>
        <w:ind w:firstLine="640" w:firstLineChars="200"/>
        <w:rPr>
          <w:rFonts w:hint="eastAsia" w:ascii="仿宋" w:hAnsi="仿宋" w:eastAsia="仿宋"/>
          <w:color w:val="auto"/>
          <w:sz w:val="32"/>
          <w:szCs w:val="32"/>
          <w:highlight w:val="none"/>
        </w:rPr>
      </w:pPr>
      <w:bookmarkStart w:id="20" w:name="_Toc7384"/>
      <w:bookmarkStart w:id="21" w:name="_Toc15377200"/>
      <w:bookmarkStart w:id="22" w:name="_Toc15396601"/>
      <w:r>
        <w:rPr>
          <w:rFonts w:hint="eastAsia" w:ascii="仿宋" w:hAnsi="仿宋" w:eastAsia="仿宋"/>
          <w:color w:val="auto"/>
          <w:sz w:val="32"/>
          <w:szCs w:val="32"/>
          <w:highlight w:val="none"/>
        </w:rPr>
        <w:t>贯彻新时代党的建设总要求和新时代党的组织路线，落实区委相关决策部署。</w:t>
      </w:r>
    </w:p>
    <w:p>
      <w:pPr>
        <w:ind w:firstLine="640" w:firstLineChars="20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val="en-US" w:eastAsia="zh-CN"/>
        </w:rPr>
        <w:t>1.</w:t>
      </w:r>
      <w:r>
        <w:rPr>
          <w:rFonts w:hint="eastAsia" w:ascii="仿宋" w:hAnsi="仿宋" w:eastAsia="仿宋"/>
          <w:color w:val="auto"/>
          <w:sz w:val="32"/>
          <w:szCs w:val="32"/>
          <w:highlight w:val="none"/>
        </w:rPr>
        <w:t>负责全区党的组织体系、组织制度建设，负责基层党组织建设规划指导和党员队伍宏观管理，指导开展党员教育工作</w:t>
      </w:r>
      <w:r>
        <w:rPr>
          <w:rFonts w:hint="eastAsia" w:ascii="仿宋" w:hAnsi="仿宋" w:eastAsia="仿宋"/>
          <w:color w:val="auto"/>
          <w:sz w:val="32"/>
          <w:szCs w:val="32"/>
          <w:highlight w:val="none"/>
          <w:lang w:eastAsia="zh-CN"/>
        </w:rPr>
        <w:t>。</w:t>
      </w:r>
    </w:p>
    <w:p>
      <w:pPr>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2.</w:t>
      </w:r>
      <w:r>
        <w:rPr>
          <w:rFonts w:hint="eastAsia" w:ascii="仿宋" w:hAnsi="仿宋" w:eastAsia="仿宋"/>
          <w:color w:val="auto"/>
          <w:sz w:val="32"/>
          <w:szCs w:val="32"/>
          <w:highlight w:val="none"/>
        </w:rPr>
        <w:t>负责全区科级领导班子和干部队伍建设的总体规划和宏观管理.负责区委管理领导班子和领导干部的考察考核、日常管理，提出调整配备建议，审核办理任免、工资、退休、兼职、待遇等有关事项。负责全区优秀年轻干部队伍建设工作。</w:t>
      </w:r>
    </w:p>
    <w:p>
      <w:pPr>
        <w:ind w:firstLine="640" w:firstLineChars="20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val="en-US" w:eastAsia="zh-CN"/>
        </w:rPr>
        <w:t>3.</w:t>
      </w:r>
      <w:r>
        <w:rPr>
          <w:rFonts w:hint="eastAsia" w:ascii="仿宋" w:hAnsi="仿宋" w:eastAsia="仿宋"/>
          <w:color w:val="auto"/>
          <w:sz w:val="32"/>
          <w:szCs w:val="32"/>
          <w:highlight w:val="none"/>
        </w:rPr>
        <w:t>负责管理全区公务员工作。牵头拟订和组织实施公务员管理政策，承担公务员录用、调配、考核、奖惩、培训、监督、工资福利等工作，指导公务员绩效管理工作</w:t>
      </w:r>
      <w:r>
        <w:rPr>
          <w:rFonts w:hint="eastAsia" w:ascii="仿宋" w:hAnsi="仿宋" w:eastAsia="仿宋"/>
          <w:color w:val="auto"/>
          <w:sz w:val="32"/>
          <w:szCs w:val="32"/>
          <w:highlight w:val="none"/>
          <w:lang w:eastAsia="zh-CN"/>
        </w:rPr>
        <w:t>。</w:t>
      </w:r>
    </w:p>
    <w:p>
      <w:pPr>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 xml:space="preserve"> </w:t>
      </w:r>
      <w:r>
        <w:rPr>
          <w:rFonts w:hint="eastAsia" w:ascii="仿宋" w:hAnsi="仿宋" w:eastAsia="仿宋"/>
          <w:color w:val="auto"/>
          <w:sz w:val="32"/>
          <w:szCs w:val="32"/>
          <w:highlight w:val="none"/>
          <w:lang w:val="en-US" w:eastAsia="zh-CN"/>
        </w:rPr>
        <w:t>4.</w:t>
      </w:r>
      <w:r>
        <w:rPr>
          <w:rFonts w:hint="eastAsia" w:ascii="仿宋" w:hAnsi="仿宋" w:eastAsia="仿宋"/>
          <w:color w:val="auto"/>
          <w:sz w:val="32"/>
          <w:szCs w:val="32"/>
          <w:highlight w:val="none"/>
        </w:rPr>
        <w:t>负责全区人才工作的宏观指导、组织协调和督促检查，牵头推进人才发展体制机制改革和政策创新。</w:t>
      </w:r>
    </w:p>
    <w:p>
      <w:pPr>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 xml:space="preserve"> </w:t>
      </w:r>
      <w:r>
        <w:rPr>
          <w:rFonts w:hint="eastAsia" w:ascii="仿宋" w:hAnsi="仿宋" w:eastAsia="仿宋"/>
          <w:color w:val="auto"/>
          <w:sz w:val="32"/>
          <w:szCs w:val="32"/>
          <w:highlight w:val="none"/>
          <w:lang w:val="en-US" w:eastAsia="zh-CN"/>
        </w:rPr>
        <w:t>5.</w:t>
      </w:r>
      <w:r>
        <w:rPr>
          <w:rFonts w:hint="eastAsia" w:ascii="仿宋" w:hAnsi="仿宋" w:eastAsia="仿宋"/>
          <w:color w:val="auto"/>
          <w:sz w:val="32"/>
          <w:szCs w:val="32"/>
          <w:highlight w:val="none"/>
        </w:rPr>
        <w:t>负责全区干部教育培训工作的宏观指导、政策规划、组织协调和督促检查，负责区级重点培训项目的策划、实施和管理，指导全区干部教育培训基地建设管理、师资队伍建设等工作。</w:t>
      </w:r>
    </w:p>
    <w:p>
      <w:pPr>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 xml:space="preserve">   6.</w:t>
      </w:r>
      <w:r>
        <w:rPr>
          <w:rFonts w:hint="eastAsia" w:ascii="仿宋" w:hAnsi="仿宋" w:eastAsia="仿宋"/>
          <w:color w:val="auto"/>
          <w:sz w:val="32"/>
          <w:szCs w:val="32"/>
          <w:highlight w:val="none"/>
        </w:rPr>
        <w:t>负责全区干部监督工作的宏观指导和综合协调，制定和落实干部监督工作制度，组织开展对选人用人工作情况的监督检查，受理和办理有关问题举报，负责领导干部报告个人有关事项工作。</w:t>
      </w:r>
    </w:p>
    <w:p>
      <w:pPr>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7.</w:t>
      </w:r>
      <w:r>
        <w:rPr>
          <w:rFonts w:hint="eastAsia" w:ascii="仿宋" w:hAnsi="仿宋" w:eastAsia="仿宋"/>
          <w:color w:val="auto"/>
          <w:sz w:val="32"/>
          <w:szCs w:val="32"/>
          <w:highlight w:val="none"/>
        </w:rPr>
        <w:t>负责区直机关党的建设工作，审批机关党组织的建立，负责机关党组织领导班子组成人员的任免、培训、考核，审批区直各党委、总支、支部发展党员，领导区直属机关团体及其他事业单位的机关工会、共青团、妇委会等群众组织的工作。</w:t>
      </w:r>
    </w:p>
    <w:p>
      <w:pPr>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8.</w:t>
      </w:r>
      <w:r>
        <w:rPr>
          <w:rFonts w:hint="eastAsia" w:ascii="仿宋" w:hAnsi="仿宋" w:eastAsia="仿宋"/>
          <w:color w:val="auto"/>
          <w:sz w:val="32"/>
          <w:szCs w:val="32"/>
          <w:highlight w:val="none"/>
        </w:rPr>
        <w:t>负责全区离退休干部工作的宏观管理指导和离退休干部政策落实情况的督促检查；负责老干部局管理的离退休干部服务管理工作；承担以老干部局名义开展的对外交流合作等工作。</w:t>
      </w:r>
    </w:p>
    <w:p>
      <w:pPr>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9.</w:t>
      </w:r>
      <w:r>
        <w:rPr>
          <w:rFonts w:hint="eastAsia" w:ascii="仿宋" w:hAnsi="仿宋" w:eastAsia="仿宋"/>
          <w:color w:val="auto"/>
          <w:sz w:val="32"/>
          <w:szCs w:val="32"/>
          <w:highlight w:val="none"/>
        </w:rPr>
        <w:t>承担区委党建工作领导小组、区人才工作领导小组日常工作。</w:t>
      </w:r>
    </w:p>
    <w:p>
      <w:pPr>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10.</w:t>
      </w:r>
      <w:r>
        <w:rPr>
          <w:rFonts w:hint="eastAsia" w:ascii="仿宋" w:hAnsi="仿宋" w:eastAsia="仿宋"/>
          <w:color w:val="auto"/>
          <w:sz w:val="32"/>
          <w:szCs w:val="32"/>
          <w:highlight w:val="none"/>
        </w:rPr>
        <w:t>负责职责范围内安全生产和职业健康、生态环境保护等工作。</w:t>
      </w:r>
    </w:p>
    <w:p>
      <w:pPr>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11.</w:t>
      </w:r>
      <w:r>
        <w:rPr>
          <w:rFonts w:hint="eastAsia" w:ascii="仿宋" w:hAnsi="仿宋" w:eastAsia="仿宋"/>
          <w:color w:val="auto"/>
          <w:sz w:val="32"/>
          <w:szCs w:val="32"/>
          <w:highlight w:val="none"/>
        </w:rPr>
        <w:t>归口管理区委机构编制委员会办公室。</w:t>
      </w:r>
    </w:p>
    <w:p>
      <w:pPr>
        <w:ind w:firstLine="640" w:firstLineChars="200"/>
        <w:rPr>
          <w:rFonts w:hint="eastAsia" w:ascii="仿宋" w:hAnsi="仿宋" w:eastAsia="仿宋"/>
          <w:color w:val="auto"/>
          <w:sz w:val="32"/>
          <w:szCs w:val="32"/>
          <w:highlight w:val="none"/>
          <w:lang w:val="zh-CN"/>
        </w:rPr>
      </w:pPr>
      <w:r>
        <w:rPr>
          <w:rFonts w:hint="eastAsia" w:ascii="仿宋" w:hAnsi="仿宋" w:eastAsia="仿宋"/>
          <w:color w:val="auto"/>
          <w:sz w:val="32"/>
          <w:szCs w:val="32"/>
          <w:highlight w:val="none"/>
          <w:lang w:val="en-US" w:eastAsia="zh-CN"/>
        </w:rPr>
        <w:t>12.</w:t>
      </w:r>
      <w:r>
        <w:rPr>
          <w:rFonts w:hint="eastAsia" w:ascii="仿宋" w:hAnsi="仿宋" w:eastAsia="仿宋"/>
          <w:color w:val="auto"/>
          <w:sz w:val="32"/>
          <w:szCs w:val="32"/>
          <w:highlight w:val="none"/>
        </w:rPr>
        <w:t>完成区委交办的其他任务。</w:t>
      </w:r>
    </w:p>
    <w:p>
      <w:pPr>
        <w:pStyle w:val="5"/>
        <w:rPr>
          <w:rStyle w:val="30"/>
          <w:b w:val="0"/>
          <w:bCs w:val="0"/>
          <w:color w:val="auto"/>
          <w:highlight w:val="none"/>
        </w:rPr>
      </w:pPr>
      <w:r>
        <w:rPr>
          <w:rFonts w:hint="eastAsia" w:ascii="黑体" w:eastAsia="黑体"/>
          <w:b w:val="0"/>
          <w:color w:val="auto"/>
          <w:highlight w:val="none"/>
        </w:rPr>
        <w:t>二、</w:t>
      </w:r>
      <w:r>
        <w:rPr>
          <w:rFonts w:hint="eastAsia" w:ascii="黑体" w:hAnsi="黑体" w:eastAsia="黑体"/>
          <w:b w:val="0"/>
          <w:color w:val="auto"/>
          <w:highlight w:val="none"/>
        </w:rPr>
        <w:t>机</w:t>
      </w:r>
      <w:r>
        <w:rPr>
          <w:rStyle w:val="30"/>
          <w:rFonts w:hint="eastAsia" w:ascii="黑体" w:hAnsi="黑体" w:eastAsia="黑体"/>
          <w:b w:val="0"/>
          <w:bCs w:val="0"/>
          <w:color w:val="auto"/>
          <w:highlight w:val="none"/>
        </w:rPr>
        <w:t>构设置</w:t>
      </w:r>
      <w:bookmarkEnd w:id="20"/>
      <w:bookmarkEnd w:id="21"/>
      <w:bookmarkEnd w:id="22"/>
    </w:p>
    <w:p>
      <w:pPr>
        <w:ind w:firstLine="709"/>
        <w:rPr>
          <w:rFonts w:hint="eastAsia" w:ascii="仿宋_GB2312" w:hAnsi="仿宋" w:eastAsia="仿宋_GB2312" w:cs="仿宋"/>
          <w:bCs/>
          <w:color w:val="000000"/>
          <w:sz w:val="32"/>
          <w:szCs w:val="32"/>
        </w:rPr>
      </w:pPr>
      <w:r>
        <w:rPr>
          <w:rFonts w:hint="eastAsia" w:ascii="仿宋_GB2312" w:hAnsi="仿宋" w:eastAsia="仿宋_GB2312" w:cs="仿宋"/>
          <w:bCs/>
          <w:color w:val="000000"/>
          <w:sz w:val="32"/>
          <w:szCs w:val="32"/>
        </w:rPr>
        <w:t>区委组织部下属二级单位3个，其中行政单位0个，参照公务员法管理的事业单位2个，其他事业单位1个。</w:t>
      </w:r>
    </w:p>
    <w:p>
      <w:pPr>
        <w:ind w:firstLine="709"/>
        <w:rPr>
          <w:rFonts w:hint="eastAsia" w:ascii="仿宋_GB2312" w:hAnsi="仿宋" w:eastAsia="仿宋_GB2312" w:cs="仿宋"/>
          <w:bCs/>
          <w:color w:val="000000"/>
          <w:sz w:val="32"/>
          <w:szCs w:val="32"/>
        </w:rPr>
      </w:pPr>
      <w:r>
        <w:rPr>
          <w:rFonts w:hint="eastAsia" w:ascii="仿宋_GB2312" w:hAnsi="仿宋" w:eastAsia="仿宋_GB2312" w:cs="仿宋"/>
          <w:bCs/>
          <w:color w:val="000000"/>
          <w:sz w:val="32"/>
          <w:szCs w:val="32"/>
        </w:rPr>
        <w:t>纳入区委组织部20</w:t>
      </w:r>
      <w:r>
        <w:rPr>
          <w:rFonts w:hint="eastAsia" w:ascii="仿宋_GB2312" w:hAnsi="仿宋" w:eastAsia="仿宋_GB2312" w:cs="仿宋"/>
          <w:bCs/>
          <w:color w:val="000000"/>
          <w:sz w:val="32"/>
          <w:szCs w:val="32"/>
          <w:lang w:val="en-US" w:eastAsia="zh-CN"/>
        </w:rPr>
        <w:t>22</w:t>
      </w:r>
      <w:r>
        <w:rPr>
          <w:rFonts w:hint="eastAsia" w:ascii="仿宋_GB2312" w:hAnsi="仿宋" w:eastAsia="仿宋_GB2312" w:cs="仿宋"/>
          <w:bCs/>
          <w:color w:val="000000"/>
          <w:sz w:val="32"/>
          <w:szCs w:val="32"/>
        </w:rPr>
        <w:t>年度部门决算编制范围的二级预算单位包括：</w:t>
      </w:r>
    </w:p>
    <w:p>
      <w:pPr>
        <w:ind w:firstLine="709"/>
        <w:rPr>
          <w:rFonts w:hint="eastAsia" w:ascii="仿宋_GB2312" w:hAnsi="仿宋" w:eastAsia="仿宋_GB2312" w:cs="仿宋"/>
          <w:bCs/>
          <w:color w:val="000000"/>
          <w:sz w:val="32"/>
          <w:szCs w:val="32"/>
        </w:rPr>
      </w:pPr>
      <w:bookmarkStart w:id="23" w:name="_Toc15377433"/>
      <w:bookmarkStart w:id="24" w:name="_Toc15377202"/>
      <w:bookmarkStart w:id="25" w:name="_Toc15306276"/>
      <w:bookmarkStart w:id="26" w:name="_Toc15378449"/>
      <w:r>
        <w:rPr>
          <w:rFonts w:hint="eastAsia" w:ascii="仿宋_GB2312" w:hAnsi="仿宋" w:eastAsia="仿宋_GB2312" w:cs="仿宋"/>
          <w:bCs/>
          <w:color w:val="000000"/>
          <w:sz w:val="32"/>
          <w:szCs w:val="32"/>
          <w:lang w:val="en-US" w:eastAsia="zh-CN"/>
        </w:rPr>
        <w:t>1.</w:t>
      </w:r>
      <w:r>
        <w:rPr>
          <w:rFonts w:hint="eastAsia" w:ascii="仿宋_GB2312" w:hAnsi="仿宋" w:eastAsia="仿宋_GB2312" w:cs="仿宋"/>
          <w:bCs/>
          <w:color w:val="000000"/>
          <w:sz w:val="32"/>
          <w:szCs w:val="32"/>
        </w:rPr>
        <w:t>区老干部活动中心</w:t>
      </w:r>
    </w:p>
    <w:bookmarkEnd w:id="23"/>
    <w:bookmarkEnd w:id="24"/>
    <w:bookmarkEnd w:id="25"/>
    <w:bookmarkEnd w:id="26"/>
    <w:p>
      <w:pPr>
        <w:ind w:firstLine="709"/>
        <w:rPr>
          <w:rFonts w:hint="eastAsia" w:ascii="仿宋_GB2312" w:hAnsi="仿宋" w:eastAsia="仿宋_GB2312" w:cs="仿宋"/>
          <w:bCs/>
          <w:color w:val="000000"/>
          <w:sz w:val="32"/>
          <w:szCs w:val="32"/>
        </w:rPr>
      </w:pPr>
      <w:bookmarkStart w:id="27" w:name="_Toc15377434"/>
      <w:bookmarkStart w:id="28" w:name="_Toc15378450"/>
      <w:bookmarkStart w:id="29" w:name="_Toc15377203"/>
      <w:bookmarkStart w:id="30" w:name="_Toc15306277"/>
      <w:r>
        <w:rPr>
          <w:rFonts w:hint="eastAsia" w:ascii="仿宋_GB2312" w:hAnsi="仿宋" w:eastAsia="仿宋_GB2312" w:cs="仿宋"/>
          <w:bCs/>
          <w:color w:val="000000"/>
          <w:sz w:val="32"/>
          <w:szCs w:val="32"/>
          <w:lang w:val="en-US" w:eastAsia="zh-CN"/>
        </w:rPr>
        <w:t>2.</w:t>
      </w:r>
      <w:r>
        <w:rPr>
          <w:rFonts w:hint="eastAsia" w:ascii="仿宋_GB2312" w:hAnsi="仿宋" w:eastAsia="仿宋_GB2312" w:cs="仿宋"/>
          <w:bCs/>
          <w:color w:val="000000"/>
          <w:sz w:val="32"/>
          <w:szCs w:val="32"/>
        </w:rPr>
        <w:t>区党员教育中心</w:t>
      </w:r>
    </w:p>
    <w:bookmarkEnd w:id="27"/>
    <w:bookmarkEnd w:id="28"/>
    <w:bookmarkEnd w:id="29"/>
    <w:bookmarkEnd w:id="30"/>
    <w:p>
      <w:pPr>
        <w:ind w:firstLine="709"/>
        <w:rPr>
          <w:rFonts w:hint="eastAsia" w:ascii="仿宋_GB2312" w:hAnsi="仿宋" w:eastAsia="仿宋_GB2312" w:cs="仿宋"/>
          <w:bCs/>
          <w:color w:val="000000"/>
          <w:sz w:val="32"/>
          <w:szCs w:val="32"/>
        </w:rPr>
      </w:pPr>
      <w:r>
        <w:rPr>
          <w:rFonts w:hint="eastAsia" w:ascii="仿宋_GB2312" w:hAnsi="仿宋" w:eastAsia="仿宋_GB2312" w:cs="仿宋"/>
          <w:bCs/>
          <w:color w:val="000000"/>
          <w:sz w:val="32"/>
          <w:szCs w:val="32"/>
          <w:lang w:val="en-US" w:eastAsia="zh-CN"/>
        </w:rPr>
        <w:t>3.</w:t>
      </w:r>
      <w:r>
        <w:rPr>
          <w:rFonts w:hint="eastAsia" w:ascii="仿宋_GB2312" w:hAnsi="仿宋" w:eastAsia="仿宋_GB2312" w:cs="仿宋"/>
          <w:bCs/>
          <w:color w:val="000000"/>
          <w:sz w:val="32"/>
          <w:szCs w:val="32"/>
        </w:rPr>
        <w:t>区高端人才服务中心</w:t>
      </w:r>
    </w:p>
    <w:p>
      <w:pPr>
        <w:pStyle w:val="19"/>
        <w:rPr>
          <w:rFonts w:ascii="仿宋" w:hAnsi="仿宋" w:eastAsia="仿宋"/>
          <w:color w:val="auto"/>
          <w:kern w:val="0"/>
          <w:sz w:val="32"/>
          <w:szCs w:val="32"/>
          <w:highlight w:val="none"/>
        </w:rPr>
      </w:pPr>
    </w:p>
    <w:p>
      <w:pPr>
        <w:pStyle w:val="20"/>
      </w:pPr>
    </w:p>
    <w:p>
      <w:pPr>
        <w:pStyle w:val="4"/>
        <w:ind w:right="440"/>
        <w:jc w:val="center"/>
        <w:rPr>
          <w:rStyle w:val="29"/>
          <w:rFonts w:ascii="黑体" w:hAnsi="黑体" w:eastAsia="黑体"/>
          <w:b w:val="0"/>
          <w:bCs/>
          <w:color w:val="auto"/>
          <w:highlight w:val="none"/>
        </w:rPr>
      </w:pPr>
      <w:bookmarkStart w:id="31" w:name="_Toc15377204"/>
      <w:bookmarkStart w:id="32" w:name="_Toc16632"/>
      <w:bookmarkStart w:id="33" w:name="_Toc15396602"/>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2022年度</w:t>
      </w:r>
      <w:r>
        <w:rPr>
          <w:rStyle w:val="29"/>
          <w:rFonts w:hint="eastAsia" w:ascii="黑体" w:hAnsi="黑体" w:eastAsia="黑体"/>
          <w:b w:val="0"/>
          <w:bCs/>
          <w:color w:val="auto"/>
          <w:highlight w:val="none"/>
        </w:rPr>
        <w:t>部门决算情况说明</w:t>
      </w:r>
      <w:bookmarkEnd w:id="31"/>
      <w:bookmarkEnd w:id="32"/>
      <w:bookmarkEnd w:id="33"/>
    </w:p>
    <w:p>
      <w:pPr>
        <w:rPr>
          <w:color w:val="auto"/>
          <w:highlight w:val="none"/>
        </w:rPr>
      </w:pPr>
    </w:p>
    <w:p>
      <w:pPr>
        <w:pStyle w:val="28"/>
        <w:numPr>
          <w:ilvl w:val="0"/>
          <w:numId w:val="2"/>
        </w:numPr>
        <w:spacing w:line="600" w:lineRule="exact"/>
        <w:ind w:firstLineChars="0"/>
        <w:outlineLvl w:val="1"/>
        <w:rPr>
          <w:rStyle w:val="30"/>
          <w:rFonts w:ascii="黑体" w:hAnsi="黑体" w:eastAsia="黑体"/>
          <w:b w:val="0"/>
          <w:color w:val="auto"/>
          <w:highlight w:val="none"/>
        </w:rPr>
      </w:pPr>
      <w:bookmarkStart w:id="34" w:name="_Toc15396603"/>
      <w:bookmarkStart w:id="35" w:name="_Toc15377205"/>
      <w:bookmarkStart w:id="36" w:name="_Toc31518"/>
      <w:r>
        <w:rPr>
          <w:rFonts w:hint="eastAsia" w:ascii="黑体" w:hAnsi="黑体" w:eastAsia="黑体"/>
          <w:color w:val="auto"/>
          <w:sz w:val="32"/>
          <w:szCs w:val="32"/>
          <w:highlight w:val="none"/>
        </w:rPr>
        <w:t>收</w:t>
      </w:r>
      <w:r>
        <w:rPr>
          <w:rStyle w:val="30"/>
          <w:rFonts w:hint="eastAsia" w:ascii="黑体" w:hAnsi="黑体" w:eastAsia="黑体"/>
          <w:b w:val="0"/>
          <w:color w:val="auto"/>
          <w:highlight w:val="none"/>
        </w:rPr>
        <w:t>入支出决算总体情况说明</w:t>
      </w:r>
      <w:bookmarkEnd w:id="34"/>
      <w:bookmarkEnd w:id="35"/>
      <w:bookmarkEnd w:id="36"/>
    </w:p>
    <w:p>
      <w:pPr>
        <w:snapToGrid w:val="0"/>
        <w:spacing w:line="576" w:lineRule="exact"/>
        <w:ind w:firstLine="640" w:firstLineChars="200"/>
        <w:rPr>
          <w:rFonts w:hint="eastAsia" w:ascii="仿宋_GB2312" w:hAnsi="仿宋_GB2312" w:eastAsia="仿宋_GB2312" w:cs="仿宋_GB2312"/>
          <w:sz w:val="32"/>
          <w:szCs w:val="32"/>
        </w:rPr>
      </w:pPr>
      <w:r>
        <w:rPr>
          <w:rFonts w:hint="eastAsia" w:ascii="仿宋" w:hAnsi="仿宋" w:eastAsia="仿宋"/>
          <w:sz w:val="32"/>
          <w:szCs w:val="32"/>
        </w:rPr>
        <w:t>202</w:t>
      </w:r>
      <w:r>
        <w:rPr>
          <w:rFonts w:hint="eastAsia" w:ascii="仿宋" w:hAnsi="仿宋" w:eastAsia="仿宋"/>
          <w:sz w:val="32"/>
          <w:szCs w:val="32"/>
          <w:lang w:val="en-US" w:eastAsia="zh-CN"/>
        </w:rPr>
        <w:t>2</w:t>
      </w:r>
      <w:r>
        <w:rPr>
          <w:rFonts w:hint="eastAsia" w:ascii="仿宋" w:hAnsi="仿宋" w:eastAsia="仿宋"/>
          <w:sz w:val="32"/>
          <w:szCs w:val="32"/>
        </w:rPr>
        <w:t>年度收入总计1,311.52万元、支出总计1,311.52万元。与202</w:t>
      </w:r>
      <w:r>
        <w:rPr>
          <w:rFonts w:hint="eastAsia" w:ascii="仿宋" w:hAnsi="仿宋" w:eastAsia="仿宋"/>
          <w:sz w:val="32"/>
          <w:szCs w:val="32"/>
          <w:lang w:val="en-US" w:eastAsia="zh-CN"/>
        </w:rPr>
        <w:t>1</w:t>
      </w:r>
      <w:r>
        <w:rPr>
          <w:rFonts w:hint="eastAsia" w:ascii="仿宋" w:hAnsi="仿宋" w:eastAsia="仿宋"/>
          <w:sz w:val="32"/>
          <w:szCs w:val="32"/>
        </w:rPr>
        <w:t>年相比，收入总计</w:t>
      </w:r>
      <w:r>
        <w:rPr>
          <w:rFonts w:hint="eastAsia" w:ascii="仿宋" w:hAnsi="仿宋" w:eastAsia="仿宋"/>
          <w:sz w:val="32"/>
          <w:szCs w:val="32"/>
          <w:lang w:eastAsia="zh-CN"/>
        </w:rPr>
        <w:t>减少</w:t>
      </w:r>
      <w:r>
        <w:rPr>
          <w:rFonts w:hint="eastAsia" w:ascii="仿宋" w:hAnsi="仿宋" w:eastAsia="仿宋"/>
          <w:sz w:val="32"/>
          <w:szCs w:val="32"/>
          <w:lang w:val="en-US" w:eastAsia="zh-CN"/>
        </w:rPr>
        <w:t>129.5</w:t>
      </w:r>
      <w:r>
        <w:rPr>
          <w:rFonts w:hint="eastAsia" w:ascii="仿宋" w:hAnsi="仿宋" w:eastAsia="仿宋"/>
          <w:color w:val="auto"/>
          <w:sz w:val="32"/>
          <w:szCs w:val="32"/>
          <w:highlight w:val="none"/>
          <w:lang w:val="en-US" w:eastAsia="zh-CN"/>
        </w:rPr>
        <w:t>6</w:t>
      </w:r>
      <w:r>
        <w:rPr>
          <w:rFonts w:hint="eastAsia" w:ascii="仿宋" w:hAnsi="仿宋" w:eastAsia="仿宋"/>
          <w:sz w:val="32"/>
          <w:szCs w:val="32"/>
        </w:rPr>
        <w:t>万元，</w:t>
      </w:r>
      <w:r>
        <w:rPr>
          <w:rFonts w:hint="eastAsia" w:ascii="仿宋" w:hAnsi="仿宋" w:eastAsia="仿宋"/>
          <w:color w:val="auto"/>
          <w:sz w:val="32"/>
          <w:szCs w:val="32"/>
          <w:highlight w:val="none"/>
        </w:rPr>
        <w:t>下降</w:t>
      </w:r>
      <w:r>
        <w:rPr>
          <w:rFonts w:hint="eastAsia" w:ascii="仿宋" w:hAnsi="仿宋" w:eastAsia="仿宋"/>
          <w:color w:val="auto"/>
          <w:sz w:val="32"/>
          <w:szCs w:val="32"/>
          <w:highlight w:val="none"/>
          <w:lang w:val="en-US" w:eastAsia="zh-CN"/>
        </w:rPr>
        <w:t>8.99</w:t>
      </w:r>
      <w:r>
        <w:rPr>
          <w:rFonts w:hint="eastAsia" w:ascii="仿宋" w:hAnsi="仿宋" w:eastAsia="仿宋"/>
          <w:sz w:val="32"/>
          <w:szCs w:val="32"/>
        </w:rPr>
        <w:t>%；支出总计</w:t>
      </w:r>
      <w:r>
        <w:rPr>
          <w:rFonts w:hint="eastAsia" w:ascii="仿宋" w:hAnsi="仿宋" w:eastAsia="仿宋"/>
          <w:sz w:val="32"/>
          <w:szCs w:val="32"/>
          <w:lang w:eastAsia="zh-CN"/>
        </w:rPr>
        <w:t>减少</w:t>
      </w:r>
      <w:r>
        <w:rPr>
          <w:rFonts w:hint="eastAsia" w:ascii="仿宋" w:hAnsi="仿宋" w:eastAsia="仿宋"/>
          <w:sz w:val="32"/>
          <w:szCs w:val="32"/>
          <w:lang w:val="en-US" w:eastAsia="zh-CN"/>
        </w:rPr>
        <w:t>129.5</w:t>
      </w:r>
      <w:r>
        <w:rPr>
          <w:rFonts w:hint="eastAsia" w:ascii="仿宋" w:hAnsi="仿宋" w:eastAsia="仿宋"/>
          <w:color w:val="auto"/>
          <w:sz w:val="32"/>
          <w:szCs w:val="32"/>
          <w:highlight w:val="none"/>
          <w:lang w:val="en-US" w:eastAsia="zh-CN"/>
        </w:rPr>
        <w:t>6</w:t>
      </w:r>
      <w:r>
        <w:rPr>
          <w:rFonts w:hint="eastAsia" w:ascii="仿宋" w:hAnsi="仿宋" w:eastAsia="仿宋"/>
          <w:sz w:val="32"/>
          <w:szCs w:val="32"/>
        </w:rPr>
        <w:t>万元，</w:t>
      </w:r>
      <w:r>
        <w:rPr>
          <w:rFonts w:hint="eastAsia" w:ascii="仿宋" w:hAnsi="仿宋" w:eastAsia="仿宋"/>
          <w:color w:val="auto"/>
          <w:sz w:val="32"/>
          <w:szCs w:val="32"/>
          <w:highlight w:val="none"/>
        </w:rPr>
        <w:t>下降</w:t>
      </w:r>
      <w:r>
        <w:rPr>
          <w:rFonts w:hint="eastAsia" w:ascii="仿宋" w:hAnsi="仿宋" w:eastAsia="仿宋"/>
          <w:color w:val="auto"/>
          <w:sz w:val="32"/>
          <w:szCs w:val="32"/>
          <w:highlight w:val="none"/>
          <w:lang w:val="en-US" w:eastAsia="zh-CN"/>
        </w:rPr>
        <w:t>8.99</w:t>
      </w:r>
      <w:r>
        <w:rPr>
          <w:rFonts w:hint="eastAsia" w:ascii="仿宋" w:hAnsi="仿宋" w:eastAsia="仿宋"/>
          <w:sz w:val="32"/>
          <w:szCs w:val="32"/>
        </w:rPr>
        <w:t>%</w:t>
      </w:r>
      <w:r>
        <w:rPr>
          <w:rFonts w:hint="eastAsia" w:ascii="仿宋" w:hAnsi="仿宋" w:eastAsia="仿宋"/>
          <w:sz w:val="32"/>
          <w:szCs w:val="32"/>
          <w:lang w:eastAsia="zh-CN"/>
        </w:rPr>
        <w:t>。</w:t>
      </w:r>
      <w:r>
        <w:rPr>
          <w:rFonts w:hint="eastAsia" w:ascii="仿宋_GB2312" w:hAnsi="仿宋_GB2312" w:eastAsia="仿宋_GB2312" w:cs="仿宋_GB2312"/>
          <w:sz w:val="32"/>
          <w:szCs w:val="32"/>
        </w:rPr>
        <w:t>主要原因系本年度</w:t>
      </w:r>
      <w:r>
        <w:rPr>
          <w:rFonts w:hint="eastAsia" w:ascii="仿宋_GB2312" w:hAnsi="仿宋_GB2312" w:eastAsia="仿宋_GB2312" w:cs="仿宋_GB2312"/>
          <w:sz w:val="32"/>
          <w:szCs w:val="32"/>
          <w:lang w:eastAsia="zh-CN"/>
        </w:rPr>
        <w:t>人员减少以及专项项目合理调整</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b/>
          <w:bCs/>
          <w:sz w:val="32"/>
          <w:szCs w:val="32"/>
          <w:lang w:eastAsia="zh-CN"/>
        </w:rPr>
      </w:pPr>
      <w:r>
        <w:drawing>
          <wp:inline distT="0" distB="0" distL="0" distR="0">
            <wp:extent cx="5274310" cy="3076575"/>
            <wp:effectExtent l="19050" t="0" r="21590" b="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line="600" w:lineRule="exact"/>
        <w:ind w:firstLine="640" w:firstLineChars="200"/>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：收、支决算总计变动情况图）（柱状图）</w:t>
      </w:r>
    </w:p>
    <w:p>
      <w:pPr>
        <w:pStyle w:val="28"/>
        <w:numPr>
          <w:ilvl w:val="0"/>
          <w:numId w:val="2"/>
        </w:numPr>
        <w:spacing w:line="600" w:lineRule="exact"/>
        <w:ind w:firstLineChars="0"/>
        <w:outlineLvl w:val="1"/>
        <w:rPr>
          <w:rStyle w:val="30"/>
          <w:rFonts w:ascii="黑体" w:hAnsi="黑体" w:eastAsia="黑体"/>
          <w:b w:val="0"/>
          <w:color w:val="auto"/>
          <w:highlight w:val="none"/>
        </w:rPr>
      </w:pPr>
      <w:bookmarkStart w:id="37" w:name="_Toc11591"/>
      <w:bookmarkStart w:id="38" w:name="_Toc15377206"/>
      <w:bookmarkStart w:id="39" w:name="_Toc15396604"/>
      <w:r>
        <w:rPr>
          <w:rFonts w:hint="eastAsia" w:ascii="黑体" w:hAnsi="黑体" w:eastAsia="黑体"/>
          <w:color w:val="auto"/>
          <w:sz w:val="32"/>
          <w:szCs w:val="32"/>
          <w:highlight w:val="none"/>
        </w:rPr>
        <w:t>收</w:t>
      </w:r>
      <w:r>
        <w:rPr>
          <w:rStyle w:val="30"/>
          <w:rFonts w:hint="eastAsia" w:ascii="黑体" w:hAnsi="黑体" w:eastAsia="黑体"/>
          <w:b w:val="0"/>
          <w:color w:val="auto"/>
          <w:highlight w:val="none"/>
        </w:rPr>
        <w:t>入决算情况说明</w:t>
      </w:r>
      <w:bookmarkEnd w:id="37"/>
      <w:bookmarkEnd w:id="38"/>
      <w:bookmarkEnd w:id="39"/>
    </w:p>
    <w:p>
      <w:pPr>
        <w:spacing w:line="600" w:lineRule="exact"/>
        <w:ind w:firstLine="640" w:firstLineChars="200"/>
        <w:outlineLvl w:val="1"/>
        <w:rPr>
          <w:rFonts w:ascii="仿宋" w:hAnsi="仿宋" w:eastAsia="仿宋"/>
          <w:sz w:val="32"/>
          <w:szCs w:val="32"/>
        </w:rPr>
      </w:pPr>
      <w:bookmarkStart w:id="40" w:name="_Toc14446"/>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bookmarkStart w:id="41" w:name="_Toc3723"/>
      <w:r>
        <w:rPr>
          <w:rFonts w:hint="eastAsia" w:ascii="仿宋" w:hAnsi="仿宋" w:eastAsia="仿宋"/>
          <w:sz w:val="32"/>
          <w:szCs w:val="32"/>
        </w:rPr>
        <w:t>年本年收入合计1,311.52万元，其中：一般公共预算财政拨款收入1,166.59万元，占</w:t>
      </w:r>
      <w:r>
        <w:rPr>
          <w:rFonts w:hint="eastAsia" w:ascii="仿宋" w:hAnsi="仿宋" w:eastAsia="仿宋"/>
          <w:sz w:val="32"/>
          <w:szCs w:val="32"/>
          <w:lang w:val="en-US" w:eastAsia="zh-CN"/>
        </w:rPr>
        <w:t>88.95</w:t>
      </w:r>
      <w:r>
        <w:rPr>
          <w:rFonts w:ascii="仿宋" w:hAnsi="仿宋" w:eastAsia="仿宋"/>
          <w:sz w:val="32"/>
          <w:szCs w:val="32"/>
        </w:rPr>
        <w:t>%</w:t>
      </w:r>
      <w:r>
        <w:rPr>
          <w:rFonts w:hint="eastAsia" w:ascii="仿宋" w:hAnsi="仿宋" w:eastAsia="仿宋"/>
          <w:sz w:val="32"/>
          <w:szCs w:val="32"/>
        </w:rPr>
        <w:t>；政府性基金预算财政拨款收入144.93万元，占</w:t>
      </w:r>
      <w:r>
        <w:rPr>
          <w:rFonts w:hint="eastAsia" w:ascii="仿宋" w:hAnsi="仿宋" w:eastAsia="仿宋"/>
          <w:sz w:val="32"/>
          <w:szCs w:val="32"/>
          <w:lang w:val="en-US" w:eastAsia="zh-CN"/>
        </w:rPr>
        <w:t>11.05</w:t>
      </w:r>
      <w:r>
        <w:rPr>
          <w:rFonts w:ascii="仿宋" w:hAnsi="仿宋" w:eastAsia="仿宋"/>
          <w:sz w:val="32"/>
          <w:szCs w:val="32"/>
        </w:rPr>
        <w:t>%</w:t>
      </w:r>
      <w:r>
        <w:rPr>
          <w:rFonts w:hint="eastAsia" w:ascii="仿宋" w:hAnsi="仿宋" w:eastAsia="仿宋"/>
          <w:sz w:val="32"/>
          <w:szCs w:val="32"/>
        </w:rPr>
        <w:t>；国有资本经营预算财政拨款收入0万元，占0</w:t>
      </w:r>
      <w:r>
        <w:rPr>
          <w:rFonts w:ascii="仿宋" w:hAnsi="仿宋" w:eastAsia="仿宋"/>
          <w:sz w:val="32"/>
          <w:szCs w:val="32"/>
        </w:rPr>
        <w:t>%</w:t>
      </w:r>
      <w:r>
        <w:rPr>
          <w:rFonts w:hint="eastAsia" w:ascii="仿宋" w:hAnsi="仿宋" w:eastAsia="仿宋"/>
          <w:sz w:val="32"/>
          <w:szCs w:val="32"/>
        </w:rPr>
        <w:t>；上级补助收入0万元，占0</w:t>
      </w:r>
      <w:r>
        <w:rPr>
          <w:rFonts w:ascii="仿宋" w:hAnsi="仿宋" w:eastAsia="仿宋"/>
          <w:sz w:val="32"/>
          <w:szCs w:val="32"/>
        </w:rPr>
        <w:t>%</w:t>
      </w:r>
      <w:r>
        <w:rPr>
          <w:rFonts w:hint="eastAsia" w:ascii="仿宋" w:hAnsi="仿宋" w:eastAsia="仿宋"/>
          <w:sz w:val="32"/>
          <w:szCs w:val="32"/>
        </w:rPr>
        <w:t>；事业收入0万元，占0</w:t>
      </w:r>
      <w:r>
        <w:rPr>
          <w:rFonts w:ascii="仿宋" w:hAnsi="仿宋" w:eastAsia="仿宋"/>
          <w:sz w:val="32"/>
          <w:szCs w:val="32"/>
        </w:rPr>
        <w:t>%</w:t>
      </w:r>
      <w:r>
        <w:rPr>
          <w:rFonts w:hint="eastAsia" w:ascii="仿宋" w:hAnsi="仿宋" w:eastAsia="仿宋"/>
          <w:sz w:val="32"/>
          <w:szCs w:val="32"/>
        </w:rPr>
        <w:t>；经营收入0万元，占0</w:t>
      </w:r>
      <w:r>
        <w:rPr>
          <w:rFonts w:ascii="仿宋" w:hAnsi="仿宋" w:eastAsia="仿宋"/>
          <w:sz w:val="32"/>
          <w:szCs w:val="32"/>
        </w:rPr>
        <w:t>%</w:t>
      </w:r>
      <w:r>
        <w:rPr>
          <w:rFonts w:hint="eastAsia" w:ascii="仿宋" w:hAnsi="仿宋" w:eastAsia="仿宋"/>
          <w:sz w:val="32"/>
          <w:szCs w:val="32"/>
        </w:rPr>
        <w:t>；附属单位上缴收入0万元，占0</w:t>
      </w:r>
      <w:r>
        <w:rPr>
          <w:rFonts w:ascii="仿宋" w:hAnsi="仿宋" w:eastAsia="仿宋"/>
          <w:sz w:val="32"/>
          <w:szCs w:val="32"/>
        </w:rPr>
        <w:t>%</w:t>
      </w:r>
      <w:r>
        <w:rPr>
          <w:rFonts w:hint="eastAsia" w:ascii="仿宋" w:hAnsi="仿宋" w:eastAsia="仿宋"/>
          <w:sz w:val="32"/>
          <w:szCs w:val="32"/>
        </w:rPr>
        <w:t>；其他收入0万元，占0</w:t>
      </w:r>
      <w:r>
        <w:rPr>
          <w:rFonts w:ascii="仿宋" w:hAnsi="仿宋" w:eastAsia="仿宋"/>
          <w:sz w:val="32"/>
          <w:szCs w:val="32"/>
        </w:rPr>
        <w:t>%</w:t>
      </w:r>
      <w:r>
        <w:rPr>
          <w:rFonts w:hint="eastAsia" w:ascii="仿宋" w:hAnsi="仿宋" w:eastAsia="仿宋"/>
          <w:sz w:val="32"/>
          <w:szCs w:val="32"/>
        </w:rPr>
        <w:t>。</w:t>
      </w:r>
      <w:bookmarkEnd w:id="40"/>
      <w:bookmarkEnd w:id="41"/>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outlineLvl w:val="9"/>
        <w:rPr>
          <w:rFonts w:ascii="仿宋" w:hAnsi="仿宋" w:eastAsia="仿宋"/>
          <w:color w:val="auto"/>
          <w:sz w:val="32"/>
          <w:szCs w:val="32"/>
          <w:highlight w:val="none"/>
        </w:rPr>
      </w:pPr>
      <w:r>
        <w:drawing>
          <wp:inline distT="0" distB="0" distL="0" distR="0">
            <wp:extent cx="5274310" cy="3076575"/>
            <wp:effectExtent l="5080" t="4445" r="16510" b="508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pacing w:line="600" w:lineRule="exact"/>
        <w:ind w:firstLine="640" w:firstLineChars="200"/>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（图2：收入决算结构图）（饼状图）</w:t>
      </w:r>
    </w:p>
    <w:p>
      <w:pPr>
        <w:pStyle w:val="28"/>
        <w:numPr>
          <w:ilvl w:val="0"/>
          <w:numId w:val="2"/>
        </w:numPr>
        <w:spacing w:line="600" w:lineRule="exact"/>
        <w:ind w:firstLineChars="0"/>
        <w:outlineLvl w:val="1"/>
        <w:rPr>
          <w:rStyle w:val="30"/>
          <w:rFonts w:ascii="黑体" w:hAnsi="黑体" w:eastAsia="黑体"/>
          <w:b w:val="0"/>
          <w:color w:val="auto"/>
          <w:highlight w:val="none"/>
        </w:rPr>
      </w:pPr>
      <w:bookmarkStart w:id="42" w:name="_Toc15377207"/>
      <w:bookmarkStart w:id="43" w:name="_Toc15396605"/>
      <w:bookmarkStart w:id="44" w:name="_Toc10179"/>
      <w:r>
        <w:rPr>
          <w:rFonts w:hint="eastAsia" w:ascii="黑体" w:hAnsi="黑体" w:eastAsia="黑体"/>
          <w:color w:val="auto"/>
          <w:sz w:val="32"/>
          <w:szCs w:val="32"/>
          <w:highlight w:val="none"/>
        </w:rPr>
        <w:t>支</w:t>
      </w:r>
      <w:r>
        <w:rPr>
          <w:rStyle w:val="30"/>
          <w:rFonts w:hint="eastAsia" w:ascii="黑体" w:hAnsi="黑体" w:eastAsia="黑体"/>
          <w:b w:val="0"/>
          <w:color w:val="auto"/>
          <w:highlight w:val="none"/>
        </w:rPr>
        <w:t>出决算情况说明</w:t>
      </w:r>
      <w:bookmarkEnd w:id="42"/>
      <w:bookmarkEnd w:id="43"/>
      <w:bookmarkEnd w:id="44"/>
    </w:p>
    <w:p>
      <w:pPr>
        <w:spacing w:line="600" w:lineRule="exact"/>
        <w:ind w:firstLine="640" w:firstLineChars="200"/>
        <w:outlineLvl w:val="1"/>
        <w:rPr>
          <w:rFonts w:ascii="仿宋" w:hAnsi="仿宋" w:eastAsia="仿宋"/>
          <w:sz w:val="32"/>
          <w:szCs w:val="32"/>
        </w:rPr>
      </w:pPr>
      <w:bookmarkStart w:id="45" w:name="_Toc1620"/>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bookmarkStart w:id="46" w:name="_Toc7146"/>
      <w:r>
        <w:rPr>
          <w:rFonts w:hint="eastAsia" w:ascii="仿宋" w:hAnsi="仿宋" w:eastAsia="仿宋"/>
          <w:sz w:val="32"/>
          <w:szCs w:val="32"/>
        </w:rPr>
        <w:t>年本年支出合计1,311.52万元，其中：基本支出608.32万元，占</w:t>
      </w:r>
      <w:r>
        <w:rPr>
          <w:rFonts w:hint="eastAsia" w:ascii="仿宋" w:hAnsi="仿宋" w:eastAsia="仿宋"/>
          <w:sz w:val="32"/>
          <w:szCs w:val="32"/>
          <w:lang w:val="en-US" w:eastAsia="zh-CN"/>
        </w:rPr>
        <w:t>46.38</w:t>
      </w:r>
      <w:r>
        <w:rPr>
          <w:rFonts w:ascii="仿宋" w:hAnsi="仿宋" w:eastAsia="仿宋"/>
          <w:sz w:val="32"/>
          <w:szCs w:val="32"/>
        </w:rPr>
        <w:t>%</w:t>
      </w:r>
      <w:r>
        <w:rPr>
          <w:rFonts w:hint="eastAsia" w:ascii="仿宋" w:hAnsi="仿宋" w:eastAsia="仿宋"/>
          <w:sz w:val="32"/>
          <w:szCs w:val="32"/>
        </w:rPr>
        <w:t>；项目支出703.20万元，占</w:t>
      </w:r>
      <w:r>
        <w:rPr>
          <w:rFonts w:hint="eastAsia" w:ascii="仿宋" w:hAnsi="仿宋" w:eastAsia="仿宋"/>
          <w:sz w:val="32"/>
          <w:szCs w:val="32"/>
          <w:lang w:val="en-US" w:eastAsia="zh-CN"/>
        </w:rPr>
        <w:t>53.62</w:t>
      </w:r>
      <w:r>
        <w:rPr>
          <w:rFonts w:ascii="仿宋" w:hAnsi="仿宋" w:eastAsia="仿宋"/>
          <w:sz w:val="32"/>
          <w:szCs w:val="32"/>
        </w:rPr>
        <w:t>%</w:t>
      </w:r>
      <w:r>
        <w:rPr>
          <w:rFonts w:hint="eastAsia" w:ascii="仿宋" w:hAnsi="仿宋" w:eastAsia="仿宋"/>
          <w:sz w:val="32"/>
          <w:szCs w:val="32"/>
        </w:rPr>
        <w:t>；上缴上级支出0万元，占0</w:t>
      </w:r>
      <w:r>
        <w:rPr>
          <w:rFonts w:ascii="仿宋" w:hAnsi="仿宋" w:eastAsia="仿宋"/>
          <w:sz w:val="32"/>
          <w:szCs w:val="32"/>
        </w:rPr>
        <w:t>%</w:t>
      </w:r>
      <w:r>
        <w:rPr>
          <w:rFonts w:hint="eastAsia" w:ascii="仿宋" w:hAnsi="仿宋" w:eastAsia="仿宋"/>
          <w:sz w:val="32"/>
          <w:szCs w:val="32"/>
        </w:rPr>
        <w:t>；经营支出0万元，占0</w:t>
      </w:r>
      <w:r>
        <w:rPr>
          <w:rFonts w:ascii="仿宋" w:hAnsi="仿宋" w:eastAsia="仿宋"/>
          <w:sz w:val="32"/>
          <w:szCs w:val="32"/>
        </w:rPr>
        <w:t>%</w:t>
      </w:r>
      <w:r>
        <w:rPr>
          <w:rFonts w:hint="eastAsia" w:ascii="仿宋" w:hAnsi="仿宋" w:eastAsia="仿宋"/>
          <w:sz w:val="32"/>
          <w:szCs w:val="32"/>
        </w:rPr>
        <w:t>；对附属单位补助支出0万元，占0</w:t>
      </w:r>
      <w:r>
        <w:rPr>
          <w:rFonts w:ascii="仿宋" w:hAnsi="仿宋" w:eastAsia="仿宋"/>
          <w:sz w:val="32"/>
          <w:szCs w:val="32"/>
        </w:rPr>
        <w:t>%</w:t>
      </w:r>
      <w:r>
        <w:rPr>
          <w:rFonts w:hint="eastAsia" w:ascii="仿宋" w:hAnsi="仿宋" w:eastAsia="仿宋"/>
          <w:sz w:val="32"/>
          <w:szCs w:val="32"/>
        </w:rPr>
        <w:t>。</w:t>
      </w:r>
      <w:bookmarkEnd w:id="45"/>
      <w:bookmarkEnd w:id="46"/>
    </w:p>
    <w:p>
      <w:pPr>
        <w:pStyle w:val="7"/>
      </w:pPr>
      <w:r>
        <w:drawing>
          <wp:inline distT="0" distB="0" distL="0" distR="0">
            <wp:extent cx="5274310" cy="3076575"/>
            <wp:effectExtent l="19050" t="0" r="21590" b="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640" w:firstLineChars="200"/>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（图3：支出决算结构图）（饼状图）</w:t>
      </w:r>
    </w:p>
    <w:p>
      <w:pPr>
        <w:spacing w:line="600" w:lineRule="exact"/>
        <w:ind w:firstLine="640" w:firstLineChars="200"/>
        <w:outlineLvl w:val="1"/>
        <w:rPr>
          <w:rStyle w:val="30"/>
          <w:rFonts w:ascii="黑体" w:hAnsi="黑体" w:eastAsia="黑体"/>
          <w:b w:val="0"/>
          <w:color w:val="auto"/>
          <w:highlight w:val="none"/>
        </w:rPr>
      </w:pPr>
      <w:bookmarkStart w:id="47" w:name="_Toc15377208"/>
      <w:bookmarkStart w:id="48" w:name="_Toc2085"/>
      <w:bookmarkStart w:id="49" w:name="_Toc15396606"/>
      <w:r>
        <w:rPr>
          <w:rFonts w:hint="eastAsia" w:ascii="黑体" w:hAnsi="黑体" w:eastAsia="黑体"/>
          <w:color w:val="auto"/>
          <w:sz w:val="32"/>
          <w:szCs w:val="32"/>
          <w:highlight w:val="none"/>
        </w:rPr>
        <w:t>四、财</w:t>
      </w:r>
      <w:r>
        <w:rPr>
          <w:rStyle w:val="30"/>
          <w:rFonts w:hint="eastAsia" w:ascii="黑体" w:hAnsi="黑体" w:eastAsia="黑体"/>
          <w:b w:val="0"/>
          <w:color w:val="auto"/>
          <w:highlight w:val="none"/>
        </w:rPr>
        <w:t>政拨款收入支出决算总体情况说明</w:t>
      </w:r>
      <w:bookmarkEnd w:id="47"/>
      <w:bookmarkEnd w:id="48"/>
      <w:bookmarkEnd w:id="49"/>
    </w:p>
    <w:p>
      <w:pPr>
        <w:snapToGrid w:val="0"/>
        <w:spacing w:line="576" w:lineRule="exact"/>
        <w:ind w:firstLine="640" w:firstLineChars="200"/>
        <w:rPr>
          <w:rFonts w:hint="eastAsia" w:ascii="仿宋_GB2312" w:hAnsi="仿宋_GB2312" w:eastAsia="仿宋_GB2312" w:cs="仿宋_GB2312"/>
          <w:sz w:val="32"/>
          <w:szCs w:val="32"/>
        </w:rPr>
      </w:pPr>
      <w:r>
        <w:rPr>
          <w:rFonts w:hint="eastAsia" w:ascii="仿宋" w:hAnsi="仿宋" w:eastAsia="仿宋"/>
          <w:sz w:val="32"/>
          <w:szCs w:val="32"/>
        </w:rPr>
        <w:t>202</w:t>
      </w:r>
      <w:r>
        <w:rPr>
          <w:rFonts w:hint="eastAsia" w:ascii="仿宋" w:hAnsi="仿宋" w:eastAsia="仿宋"/>
          <w:sz w:val="32"/>
          <w:szCs w:val="32"/>
          <w:lang w:val="en-US" w:eastAsia="zh-CN"/>
        </w:rPr>
        <w:t>2</w:t>
      </w:r>
      <w:r>
        <w:rPr>
          <w:rFonts w:hint="eastAsia" w:ascii="仿宋" w:hAnsi="仿宋" w:eastAsia="仿宋"/>
          <w:sz w:val="32"/>
          <w:szCs w:val="32"/>
        </w:rPr>
        <w:t>年度</w:t>
      </w:r>
      <w:r>
        <w:rPr>
          <w:rFonts w:hint="eastAsia" w:ascii="仿宋" w:hAnsi="仿宋" w:eastAsia="仿宋"/>
          <w:color w:val="auto"/>
          <w:sz w:val="32"/>
          <w:szCs w:val="32"/>
          <w:highlight w:val="none"/>
        </w:rPr>
        <w:t>财政拨款</w:t>
      </w:r>
      <w:r>
        <w:rPr>
          <w:rFonts w:hint="eastAsia" w:ascii="仿宋" w:hAnsi="仿宋" w:eastAsia="仿宋"/>
          <w:sz w:val="32"/>
          <w:szCs w:val="32"/>
        </w:rPr>
        <w:t>收入总计1,311.52万元、</w:t>
      </w:r>
      <w:r>
        <w:rPr>
          <w:rFonts w:hint="eastAsia" w:ascii="仿宋" w:hAnsi="仿宋" w:eastAsia="仿宋"/>
          <w:color w:val="auto"/>
          <w:sz w:val="32"/>
          <w:szCs w:val="32"/>
          <w:highlight w:val="none"/>
        </w:rPr>
        <w:t>财政拨款</w:t>
      </w:r>
      <w:r>
        <w:rPr>
          <w:rFonts w:hint="eastAsia" w:ascii="仿宋" w:hAnsi="仿宋" w:eastAsia="仿宋"/>
          <w:sz w:val="32"/>
          <w:szCs w:val="32"/>
        </w:rPr>
        <w:t>支出总计1,311.52万元。与202</w:t>
      </w:r>
      <w:r>
        <w:rPr>
          <w:rFonts w:hint="eastAsia" w:ascii="仿宋" w:hAnsi="仿宋" w:eastAsia="仿宋"/>
          <w:sz w:val="32"/>
          <w:szCs w:val="32"/>
          <w:lang w:val="en-US" w:eastAsia="zh-CN"/>
        </w:rPr>
        <w:t>1</w:t>
      </w:r>
      <w:r>
        <w:rPr>
          <w:rFonts w:hint="eastAsia" w:ascii="仿宋" w:hAnsi="仿宋" w:eastAsia="仿宋"/>
          <w:sz w:val="32"/>
          <w:szCs w:val="32"/>
        </w:rPr>
        <w:t>年相比，</w:t>
      </w:r>
      <w:r>
        <w:rPr>
          <w:rFonts w:hint="eastAsia" w:ascii="仿宋" w:hAnsi="仿宋" w:eastAsia="仿宋"/>
          <w:color w:val="auto"/>
          <w:sz w:val="32"/>
          <w:szCs w:val="32"/>
          <w:highlight w:val="none"/>
        </w:rPr>
        <w:t>财政拨款</w:t>
      </w:r>
      <w:r>
        <w:rPr>
          <w:rFonts w:hint="eastAsia" w:ascii="仿宋" w:hAnsi="仿宋" w:eastAsia="仿宋"/>
          <w:sz w:val="32"/>
          <w:szCs w:val="32"/>
        </w:rPr>
        <w:t>收入总计</w:t>
      </w:r>
      <w:r>
        <w:rPr>
          <w:rFonts w:hint="eastAsia" w:ascii="仿宋" w:hAnsi="仿宋" w:eastAsia="仿宋"/>
          <w:sz w:val="32"/>
          <w:szCs w:val="32"/>
          <w:lang w:eastAsia="zh-CN"/>
        </w:rPr>
        <w:t>减少</w:t>
      </w:r>
      <w:r>
        <w:rPr>
          <w:rFonts w:hint="eastAsia" w:ascii="仿宋" w:hAnsi="仿宋" w:eastAsia="仿宋"/>
          <w:sz w:val="32"/>
          <w:szCs w:val="32"/>
          <w:lang w:val="en-US" w:eastAsia="zh-CN"/>
        </w:rPr>
        <w:t>129.5</w:t>
      </w:r>
      <w:r>
        <w:rPr>
          <w:rFonts w:hint="eastAsia" w:ascii="仿宋" w:hAnsi="仿宋" w:eastAsia="仿宋"/>
          <w:color w:val="auto"/>
          <w:sz w:val="32"/>
          <w:szCs w:val="32"/>
          <w:highlight w:val="none"/>
          <w:lang w:val="en-US" w:eastAsia="zh-CN"/>
        </w:rPr>
        <w:t>6</w:t>
      </w:r>
      <w:r>
        <w:rPr>
          <w:rFonts w:hint="eastAsia" w:ascii="仿宋" w:hAnsi="仿宋" w:eastAsia="仿宋"/>
          <w:sz w:val="32"/>
          <w:szCs w:val="32"/>
        </w:rPr>
        <w:t>万元，</w:t>
      </w:r>
      <w:r>
        <w:rPr>
          <w:rFonts w:hint="eastAsia" w:ascii="仿宋" w:hAnsi="仿宋" w:eastAsia="仿宋"/>
          <w:color w:val="auto"/>
          <w:sz w:val="32"/>
          <w:szCs w:val="32"/>
          <w:highlight w:val="none"/>
        </w:rPr>
        <w:t>下降</w:t>
      </w:r>
      <w:r>
        <w:rPr>
          <w:rFonts w:hint="eastAsia" w:ascii="仿宋" w:hAnsi="仿宋" w:eastAsia="仿宋"/>
          <w:color w:val="auto"/>
          <w:sz w:val="32"/>
          <w:szCs w:val="32"/>
          <w:highlight w:val="none"/>
          <w:lang w:val="en-US" w:eastAsia="zh-CN"/>
        </w:rPr>
        <w:t>8.99</w:t>
      </w:r>
      <w:r>
        <w:rPr>
          <w:rFonts w:hint="eastAsia" w:ascii="仿宋" w:hAnsi="仿宋" w:eastAsia="仿宋"/>
          <w:sz w:val="32"/>
          <w:szCs w:val="32"/>
        </w:rPr>
        <w:t>%；</w:t>
      </w:r>
      <w:r>
        <w:rPr>
          <w:rFonts w:hint="eastAsia" w:ascii="仿宋" w:hAnsi="仿宋" w:eastAsia="仿宋"/>
          <w:color w:val="auto"/>
          <w:sz w:val="32"/>
          <w:szCs w:val="32"/>
          <w:highlight w:val="none"/>
        </w:rPr>
        <w:t>财政拨款</w:t>
      </w:r>
      <w:r>
        <w:rPr>
          <w:rFonts w:hint="eastAsia" w:ascii="仿宋" w:hAnsi="仿宋" w:eastAsia="仿宋"/>
          <w:sz w:val="32"/>
          <w:szCs w:val="32"/>
        </w:rPr>
        <w:t>支出总计</w:t>
      </w:r>
      <w:r>
        <w:rPr>
          <w:rFonts w:hint="eastAsia" w:ascii="仿宋" w:hAnsi="仿宋" w:eastAsia="仿宋"/>
          <w:sz w:val="32"/>
          <w:szCs w:val="32"/>
          <w:lang w:eastAsia="zh-CN"/>
        </w:rPr>
        <w:t>减少</w:t>
      </w:r>
      <w:r>
        <w:rPr>
          <w:rFonts w:hint="eastAsia" w:ascii="仿宋" w:hAnsi="仿宋" w:eastAsia="仿宋"/>
          <w:sz w:val="32"/>
          <w:szCs w:val="32"/>
          <w:lang w:val="en-US" w:eastAsia="zh-CN"/>
        </w:rPr>
        <w:t>129.5</w:t>
      </w:r>
      <w:r>
        <w:rPr>
          <w:rFonts w:hint="eastAsia" w:ascii="仿宋" w:hAnsi="仿宋" w:eastAsia="仿宋"/>
          <w:color w:val="auto"/>
          <w:sz w:val="32"/>
          <w:szCs w:val="32"/>
          <w:highlight w:val="none"/>
          <w:lang w:val="en-US" w:eastAsia="zh-CN"/>
        </w:rPr>
        <w:t>6</w:t>
      </w:r>
      <w:r>
        <w:rPr>
          <w:rFonts w:hint="eastAsia" w:ascii="仿宋" w:hAnsi="仿宋" w:eastAsia="仿宋"/>
          <w:sz w:val="32"/>
          <w:szCs w:val="32"/>
        </w:rPr>
        <w:t>万元，</w:t>
      </w:r>
      <w:r>
        <w:rPr>
          <w:rFonts w:hint="eastAsia" w:ascii="仿宋" w:hAnsi="仿宋" w:eastAsia="仿宋"/>
          <w:color w:val="auto"/>
          <w:sz w:val="32"/>
          <w:szCs w:val="32"/>
          <w:highlight w:val="none"/>
        </w:rPr>
        <w:t>下降</w:t>
      </w:r>
      <w:r>
        <w:rPr>
          <w:rFonts w:hint="eastAsia" w:ascii="仿宋" w:hAnsi="仿宋" w:eastAsia="仿宋"/>
          <w:color w:val="auto"/>
          <w:sz w:val="32"/>
          <w:szCs w:val="32"/>
          <w:highlight w:val="none"/>
          <w:lang w:val="en-US" w:eastAsia="zh-CN"/>
        </w:rPr>
        <w:t>8.99</w:t>
      </w:r>
      <w:r>
        <w:rPr>
          <w:rFonts w:hint="eastAsia" w:ascii="仿宋" w:hAnsi="仿宋" w:eastAsia="仿宋"/>
          <w:sz w:val="32"/>
          <w:szCs w:val="32"/>
        </w:rPr>
        <w:t>%</w:t>
      </w:r>
      <w:r>
        <w:rPr>
          <w:rFonts w:hint="eastAsia" w:ascii="仿宋" w:hAnsi="仿宋" w:eastAsia="仿宋"/>
          <w:sz w:val="32"/>
          <w:szCs w:val="32"/>
          <w:lang w:eastAsia="zh-CN"/>
        </w:rPr>
        <w:t>。</w:t>
      </w:r>
      <w:r>
        <w:rPr>
          <w:rFonts w:hint="eastAsia" w:ascii="仿宋_GB2312" w:hAnsi="仿宋_GB2312" w:eastAsia="仿宋_GB2312" w:cs="仿宋_GB2312"/>
          <w:sz w:val="32"/>
          <w:szCs w:val="32"/>
        </w:rPr>
        <w:t>主要原因系本年度</w:t>
      </w:r>
      <w:r>
        <w:rPr>
          <w:rFonts w:hint="eastAsia" w:ascii="仿宋_GB2312" w:hAnsi="仿宋_GB2312" w:eastAsia="仿宋_GB2312" w:cs="仿宋_GB2312"/>
          <w:sz w:val="32"/>
          <w:szCs w:val="32"/>
          <w:lang w:eastAsia="zh-CN"/>
        </w:rPr>
        <w:t>人员减少以及专项项目合理调整</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hAnsi="仿宋_GB2312" w:eastAsia="仿宋_GB2312" w:cs="仿宋_GB2312"/>
          <w:sz w:val="32"/>
          <w:szCs w:val="32"/>
        </w:rPr>
      </w:pPr>
      <w:r>
        <w:drawing>
          <wp:inline distT="0" distB="0" distL="0" distR="0">
            <wp:extent cx="5274310" cy="3076575"/>
            <wp:effectExtent l="5080" t="4445" r="16510" b="508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olor w:val="auto"/>
          <w:sz w:val="32"/>
          <w:szCs w:val="32"/>
          <w:highlight w:val="none"/>
        </w:rPr>
      </w:pPr>
    </w:p>
    <w:p>
      <w:pPr>
        <w:spacing w:line="600" w:lineRule="exact"/>
        <w:ind w:firstLine="640" w:firstLineChars="200"/>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（图4：财政拨款收、支决算总计变动情况）（柱状图）</w:t>
      </w:r>
    </w:p>
    <w:p>
      <w:pPr>
        <w:spacing w:line="600" w:lineRule="exact"/>
        <w:ind w:firstLine="640" w:firstLineChars="200"/>
        <w:outlineLvl w:val="1"/>
        <w:rPr>
          <w:rStyle w:val="30"/>
          <w:rFonts w:ascii="黑体" w:hAnsi="黑体" w:eastAsia="黑体"/>
          <w:b w:val="0"/>
          <w:color w:val="auto"/>
          <w:highlight w:val="none"/>
        </w:rPr>
      </w:pPr>
      <w:bookmarkStart w:id="50" w:name="_Toc152"/>
      <w:bookmarkStart w:id="51" w:name="_Toc15377209"/>
      <w:bookmarkStart w:id="52" w:name="_Toc15396607"/>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30"/>
          <w:rFonts w:hint="eastAsia" w:ascii="黑体" w:hAnsi="黑体" w:eastAsia="黑体"/>
          <w:b w:val="0"/>
          <w:color w:val="auto"/>
          <w:highlight w:val="none"/>
        </w:rPr>
        <w:t>般公共预算财政拨款支出决算情况说明</w:t>
      </w:r>
      <w:bookmarkEnd w:id="50"/>
      <w:bookmarkEnd w:id="51"/>
      <w:bookmarkEnd w:id="52"/>
    </w:p>
    <w:p>
      <w:pPr>
        <w:spacing w:line="600" w:lineRule="exact"/>
        <w:ind w:firstLine="643" w:firstLineChars="200"/>
        <w:outlineLvl w:val="2"/>
        <w:rPr>
          <w:rFonts w:ascii="仿宋" w:hAnsi="仿宋" w:eastAsia="仿宋"/>
          <w:b/>
          <w:color w:val="auto"/>
          <w:sz w:val="32"/>
          <w:szCs w:val="32"/>
          <w:highlight w:val="none"/>
        </w:rPr>
      </w:pPr>
      <w:bookmarkStart w:id="53" w:name="_Toc15377210"/>
      <w:r>
        <w:rPr>
          <w:rFonts w:hint="eastAsia" w:ascii="仿宋" w:hAnsi="仿宋" w:eastAsia="仿宋"/>
          <w:b/>
          <w:color w:val="auto"/>
          <w:sz w:val="32"/>
          <w:szCs w:val="32"/>
          <w:highlight w:val="none"/>
        </w:rPr>
        <w:t>（一）一般公共预算财政拨款支出决算总体情况</w:t>
      </w:r>
      <w:bookmarkEnd w:id="53"/>
    </w:p>
    <w:p>
      <w:pPr>
        <w:snapToGrid w:val="0"/>
        <w:spacing w:line="576" w:lineRule="exact"/>
        <w:ind w:firstLine="640" w:firstLineChars="200"/>
        <w:rPr>
          <w:rFonts w:hint="eastAsia" w:ascii="仿宋_GB2312" w:hAnsi="仿宋_GB2312" w:eastAsia="仿宋_GB2312" w:cs="仿宋_GB2312"/>
          <w:sz w:val="32"/>
          <w:szCs w:val="32"/>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sz w:val="32"/>
          <w:szCs w:val="32"/>
        </w:rPr>
        <w:t>年一般公共预算财政拨款支出1,166.59万元，占本年支出合计的</w:t>
      </w:r>
      <w:r>
        <w:rPr>
          <w:rFonts w:hint="eastAsia" w:ascii="仿宋" w:hAnsi="仿宋" w:eastAsia="仿宋"/>
          <w:sz w:val="32"/>
          <w:szCs w:val="32"/>
          <w:lang w:val="en-US" w:eastAsia="zh-CN"/>
        </w:rPr>
        <w:t>88.95</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1</w:t>
      </w:r>
      <w:r>
        <w:rPr>
          <w:rFonts w:hint="eastAsia" w:ascii="仿宋" w:hAnsi="仿宋" w:eastAsia="仿宋"/>
          <w:sz w:val="32"/>
          <w:szCs w:val="32"/>
        </w:rPr>
        <w:t>年相比，一般公共预算财政拨款支出总计</w:t>
      </w:r>
      <w:r>
        <w:rPr>
          <w:rFonts w:hint="eastAsia" w:ascii="仿宋" w:hAnsi="仿宋" w:eastAsia="仿宋"/>
          <w:sz w:val="32"/>
          <w:szCs w:val="32"/>
          <w:lang w:eastAsia="zh-CN"/>
        </w:rPr>
        <w:t>减少</w:t>
      </w:r>
      <w:r>
        <w:rPr>
          <w:rFonts w:hint="eastAsia" w:ascii="仿宋" w:hAnsi="仿宋" w:eastAsia="仿宋"/>
          <w:sz w:val="32"/>
          <w:szCs w:val="32"/>
          <w:lang w:val="en-US" w:eastAsia="zh-CN"/>
        </w:rPr>
        <w:t>105.47</w:t>
      </w:r>
      <w:r>
        <w:rPr>
          <w:rFonts w:hint="eastAsia" w:ascii="仿宋" w:hAnsi="仿宋" w:eastAsia="仿宋"/>
          <w:sz w:val="32"/>
          <w:szCs w:val="32"/>
        </w:rPr>
        <w:t>万元，</w:t>
      </w:r>
      <w:r>
        <w:rPr>
          <w:rFonts w:hint="eastAsia" w:ascii="仿宋" w:hAnsi="仿宋" w:eastAsia="仿宋"/>
          <w:sz w:val="32"/>
          <w:szCs w:val="32"/>
          <w:lang w:eastAsia="zh-CN"/>
        </w:rPr>
        <w:t>降低</w:t>
      </w:r>
      <w:r>
        <w:rPr>
          <w:rFonts w:hint="eastAsia" w:ascii="仿宋" w:hAnsi="仿宋" w:eastAsia="仿宋"/>
          <w:sz w:val="32"/>
          <w:szCs w:val="32"/>
          <w:lang w:val="en-US" w:eastAsia="zh-CN"/>
        </w:rPr>
        <w:t>8.29</w:t>
      </w:r>
      <w:r>
        <w:rPr>
          <w:rFonts w:ascii="仿宋" w:hAnsi="仿宋" w:eastAsia="仿宋"/>
          <w:sz w:val="32"/>
          <w:szCs w:val="32"/>
        </w:rPr>
        <w:t>%</w:t>
      </w:r>
      <w:r>
        <w:rPr>
          <w:rFonts w:hint="eastAsia" w:ascii="仿宋" w:hAnsi="仿宋" w:eastAsia="仿宋"/>
          <w:sz w:val="32"/>
          <w:szCs w:val="32"/>
        </w:rPr>
        <w:t>。</w:t>
      </w:r>
      <w:r>
        <w:rPr>
          <w:rFonts w:hint="eastAsia" w:ascii="仿宋_GB2312" w:hAnsi="仿宋_GB2312" w:eastAsia="仿宋_GB2312" w:cs="仿宋_GB2312"/>
          <w:sz w:val="32"/>
          <w:szCs w:val="32"/>
        </w:rPr>
        <w:t>主要原因系本年度</w:t>
      </w:r>
      <w:r>
        <w:rPr>
          <w:rFonts w:hint="eastAsia" w:ascii="仿宋_GB2312" w:hAnsi="仿宋_GB2312" w:eastAsia="仿宋_GB2312" w:cs="仿宋_GB2312"/>
          <w:sz w:val="32"/>
          <w:szCs w:val="32"/>
          <w:lang w:eastAsia="zh-CN"/>
        </w:rPr>
        <w:t>人员减少以及专项项目合理调整</w:t>
      </w:r>
      <w:r>
        <w:rPr>
          <w:rFonts w:hint="eastAsia" w:ascii="仿宋_GB2312" w:hAnsi="仿宋_GB2312" w:eastAsia="仿宋_GB2312" w:cs="仿宋_GB2312"/>
          <w:sz w:val="32"/>
          <w:szCs w:val="32"/>
        </w:rPr>
        <w:t>。</w:t>
      </w:r>
    </w:p>
    <w:p>
      <w:pPr>
        <w:pStyle w:val="7"/>
        <w:keepNext w:val="0"/>
        <w:keepLines w:val="0"/>
        <w:pageBreakBefore w:val="0"/>
        <w:widowControl w:val="0"/>
        <w:kinsoku/>
        <w:wordWrap/>
        <w:overflowPunct/>
        <w:topLinePunct w:val="0"/>
        <w:autoSpaceDE/>
        <w:autoSpaceDN/>
        <w:bidi w:val="0"/>
        <w:adjustRightInd/>
        <w:snapToGrid/>
        <w:textAlignment w:val="auto"/>
        <w:rPr>
          <w:rFonts w:ascii="仿宋" w:hAnsi="仿宋" w:eastAsia="仿宋"/>
          <w:color w:val="auto"/>
          <w:sz w:val="32"/>
          <w:szCs w:val="32"/>
          <w:highlight w:val="none"/>
        </w:rPr>
      </w:pPr>
      <w:r>
        <w:drawing>
          <wp:inline distT="0" distB="0" distL="0" distR="0">
            <wp:extent cx="5274310" cy="3076575"/>
            <wp:effectExtent l="5080" t="4445" r="16510" b="5080"/>
            <wp:docPr id="5"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jc w:val="both"/>
        <w:rPr>
          <w:rFonts w:ascii="仿宋" w:hAnsi="仿宋" w:eastAsia="仿宋"/>
          <w:color w:val="auto"/>
          <w:sz w:val="32"/>
          <w:szCs w:val="32"/>
          <w:highlight w:val="none"/>
        </w:rPr>
      </w:pPr>
      <w:r>
        <w:rPr>
          <w:rFonts w:hint="eastAsia" w:ascii="仿宋" w:hAnsi="仿宋" w:eastAsia="仿宋"/>
          <w:color w:val="auto"/>
          <w:sz w:val="32"/>
          <w:szCs w:val="32"/>
          <w:highlight w:val="none"/>
        </w:rPr>
        <w:t>（图5：一般公共预算财政拨款支出决算变动情况）（柱状图）</w:t>
      </w:r>
    </w:p>
    <w:p>
      <w:pPr>
        <w:spacing w:line="600" w:lineRule="exact"/>
        <w:ind w:firstLine="643" w:firstLineChars="200"/>
        <w:outlineLvl w:val="2"/>
        <w:rPr>
          <w:rFonts w:ascii="仿宋" w:hAnsi="仿宋" w:eastAsia="仿宋"/>
          <w:b/>
          <w:color w:val="auto"/>
          <w:sz w:val="32"/>
          <w:szCs w:val="32"/>
          <w:highlight w:val="none"/>
        </w:rPr>
      </w:pPr>
      <w:bookmarkStart w:id="54" w:name="_Toc15377211"/>
      <w:r>
        <w:rPr>
          <w:rFonts w:hint="eastAsia" w:ascii="仿宋" w:hAnsi="仿宋" w:eastAsia="仿宋"/>
          <w:b/>
          <w:color w:val="auto"/>
          <w:sz w:val="32"/>
          <w:szCs w:val="32"/>
          <w:highlight w:val="none"/>
        </w:rPr>
        <w:t>（二）一般公共预算财政拨款支出决算结构情况</w:t>
      </w:r>
      <w:bookmarkEnd w:id="54"/>
    </w:p>
    <w:p>
      <w:pPr>
        <w:spacing w:line="600" w:lineRule="exact"/>
        <w:ind w:firstLine="640"/>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2</w:t>
      </w:r>
      <w:r>
        <w:rPr>
          <w:rFonts w:hint="eastAsia" w:ascii="仿宋" w:hAnsi="仿宋" w:eastAsia="仿宋"/>
          <w:sz w:val="32"/>
          <w:szCs w:val="32"/>
        </w:rPr>
        <w:t>年一般公共预算财政拨款支出</w:t>
      </w:r>
      <w:r>
        <w:rPr>
          <w:rFonts w:hint="eastAsia" w:ascii="仿宋" w:hAnsi="仿宋" w:eastAsia="仿宋"/>
          <w:sz w:val="32"/>
          <w:szCs w:val="32"/>
          <w:lang w:val="en-US" w:eastAsia="zh-CN"/>
        </w:rPr>
        <w:t>1,166.59</w:t>
      </w:r>
      <w:r>
        <w:rPr>
          <w:rFonts w:hint="eastAsia" w:ascii="仿宋" w:hAnsi="仿宋" w:eastAsia="仿宋"/>
          <w:sz w:val="32"/>
          <w:szCs w:val="32"/>
        </w:rPr>
        <w:t>万元，主要用于以下方面</w:t>
      </w:r>
      <w:r>
        <w:rPr>
          <w:rFonts w:ascii="仿宋" w:hAnsi="仿宋" w:eastAsia="仿宋"/>
          <w:sz w:val="32"/>
          <w:szCs w:val="32"/>
        </w:rPr>
        <w:t>:</w:t>
      </w:r>
      <w:r>
        <w:rPr>
          <w:rFonts w:hint="eastAsia" w:ascii="仿宋" w:hAnsi="仿宋" w:eastAsia="仿宋"/>
          <w:b/>
          <w:sz w:val="32"/>
          <w:szCs w:val="32"/>
        </w:rPr>
        <w:t>一般公共服务</w:t>
      </w:r>
      <w:r>
        <w:rPr>
          <w:rFonts w:hint="eastAsia" w:ascii="仿宋" w:hAnsi="仿宋" w:eastAsia="仿宋"/>
          <w:b/>
          <w:bCs/>
          <w:sz w:val="32"/>
          <w:szCs w:val="32"/>
        </w:rPr>
        <w:t>支出</w:t>
      </w:r>
      <w:r>
        <w:rPr>
          <w:rFonts w:hint="eastAsia" w:ascii="仿宋" w:hAnsi="仿宋" w:eastAsia="仿宋"/>
          <w:sz w:val="32"/>
          <w:szCs w:val="32"/>
        </w:rPr>
        <w:t>1,053.45万元，占</w:t>
      </w:r>
      <w:r>
        <w:rPr>
          <w:rFonts w:hint="eastAsia" w:ascii="仿宋" w:hAnsi="仿宋" w:eastAsia="仿宋"/>
          <w:sz w:val="32"/>
          <w:szCs w:val="32"/>
          <w:lang w:val="en-US" w:eastAsia="zh-CN"/>
        </w:rPr>
        <w:t>90.30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教育支出</w:t>
      </w:r>
      <w:r>
        <w:rPr>
          <w:rFonts w:hint="eastAsia" w:ascii="仿宋" w:hAnsi="仿宋" w:eastAsia="仿宋"/>
          <w:sz w:val="32"/>
          <w:szCs w:val="32"/>
        </w:rPr>
        <w:t>0万元，占0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科学技术</w:t>
      </w:r>
      <w:r>
        <w:rPr>
          <w:rFonts w:hint="eastAsia" w:ascii="仿宋" w:hAnsi="仿宋" w:eastAsia="仿宋"/>
          <w:b/>
          <w:bCs/>
          <w:sz w:val="32"/>
          <w:szCs w:val="32"/>
        </w:rPr>
        <w:t>支出</w:t>
      </w:r>
      <w:r>
        <w:rPr>
          <w:rFonts w:hint="eastAsia" w:ascii="仿宋" w:hAnsi="仿宋" w:eastAsia="仿宋"/>
          <w:sz w:val="32"/>
          <w:szCs w:val="32"/>
        </w:rPr>
        <w:t>0万元，占0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文化旅游体育与传媒支出</w:t>
      </w:r>
      <w:r>
        <w:rPr>
          <w:rFonts w:hint="eastAsia" w:ascii="仿宋" w:hAnsi="仿宋" w:eastAsia="仿宋"/>
          <w:sz w:val="32"/>
          <w:szCs w:val="32"/>
        </w:rPr>
        <w:t>0万元，占0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sz w:val="32"/>
          <w:szCs w:val="32"/>
        </w:rPr>
        <w:t>39.82万元，占3.</w:t>
      </w:r>
      <w:r>
        <w:rPr>
          <w:rFonts w:hint="eastAsia" w:ascii="仿宋" w:hAnsi="仿宋" w:eastAsia="仿宋"/>
          <w:sz w:val="32"/>
          <w:szCs w:val="32"/>
          <w:lang w:val="en-US" w:eastAsia="zh-CN"/>
        </w:rPr>
        <w:t>41</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rPr>
        <w:t>22.10万元，占</w:t>
      </w:r>
      <w:r>
        <w:rPr>
          <w:rFonts w:hint="eastAsia" w:ascii="仿宋" w:hAnsi="仿宋" w:eastAsia="仿宋"/>
          <w:sz w:val="32"/>
          <w:szCs w:val="32"/>
          <w:lang w:val="en-US" w:eastAsia="zh-CN"/>
        </w:rPr>
        <w:t>1.89</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农林水支出</w:t>
      </w:r>
      <w:r>
        <w:rPr>
          <w:rFonts w:hint="eastAsia" w:ascii="仿宋" w:hAnsi="仿宋" w:eastAsia="仿宋"/>
          <w:sz w:val="32"/>
          <w:szCs w:val="32"/>
        </w:rPr>
        <w:t>11.46万元，占</w:t>
      </w:r>
      <w:r>
        <w:rPr>
          <w:rFonts w:hint="eastAsia" w:ascii="仿宋" w:hAnsi="仿宋" w:eastAsia="仿宋"/>
          <w:sz w:val="32"/>
          <w:szCs w:val="32"/>
          <w:lang w:val="en-US" w:eastAsia="zh-CN"/>
        </w:rPr>
        <w:t>0.99</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住房保障支出</w:t>
      </w:r>
      <w:r>
        <w:rPr>
          <w:rFonts w:hint="eastAsia" w:ascii="仿宋" w:hAnsi="仿宋" w:eastAsia="仿宋"/>
          <w:sz w:val="32"/>
          <w:szCs w:val="32"/>
        </w:rPr>
        <w:t>39.76万元，占</w:t>
      </w:r>
      <w:r>
        <w:rPr>
          <w:rFonts w:hint="eastAsia" w:ascii="仿宋" w:hAnsi="仿宋" w:eastAsia="仿宋"/>
          <w:sz w:val="32"/>
          <w:szCs w:val="32"/>
          <w:lang w:val="en-US" w:eastAsia="zh-CN"/>
        </w:rPr>
        <w:t>3.41</w:t>
      </w:r>
      <w:r>
        <w:rPr>
          <w:rFonts w:ascii="仿宋" w:hAnsi="仿宋" w:eastAsia="仿宋"/>
          <w:sz w:val="32"/>
          <w:szCs w:val="32"/>
        </w:rPr>
        <w:t>%</w:t>
      </w:r>
      <w:r>
        <w:rPr>
          <w:rFonts w:hint="eastAsia" w:ascii="仿宋" w:hAnsi="仿宋" w:eastAsia="仿宋"/>
          <w:sz w:val="32"/>
          <w:szCs w:val="32"/>
        </w:rPr>
        <w:t>。</w:t>
      </w:r>
    </w:p>
    <w:p>
      <w:pPr>
        <w:pStyle w:val="7"/>
        <w:rPr>
          <w:rFonts w:hint="eastAsia" w:eastAsia="仿宋_GB2312"/>
          <w:lang w:eastAsia="zh-CN"/>
        </w:rPr>
      </w:pPr>
      <w:r>
        <w:rPr>
          <w:rFonts w:hint="eastAsia" w:eastAsia="仿宋_GB2312"/>
          <w:lang w:eastAsia="zh-CN"/>
        </w:rPr>
        <w:drawing>
          <wp:inline distT="0" distB="0" distL="114300" distR="114300">
            <wp:extent cx="5080000" cy="3810000"/>
            <wp:effectExtent l="4445" t="4445" r="20955" b="1460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rPr>
          <w:rFonts w:hint="eastAsia" w:ascii="仿宋" w:hAnsi="仿宋" w:eastAsia="仿宋"/>
          <w:b/>
          <w:color w:val="auto"/>
          <w:sz w:val="32"/>
          <w:szCs w:val="32"/>
          <w:highlight w:val="none"/>
        </w:rPr>
      </w:pPr>
      <w:r>
        <w:rPr>
          <w:rFonts w:hint="eastAsia" w:ascii="仿宋" w:hAnsi="仿宋" w:eastAsia="仿宋"/>
          <w:color w:val="auto"/>
          <w:sz w:val="32"/>
          <w:szCs w:val="32"/>
          <w:highlight w:val="none"/>
        </w:rPr>
        <w:t>（图6：一般公共预算财政拨款支出决算结构）（饼状图）</w:t>
      </w:r>
      <w:bookmarkStart w:id="55" w:name="_Toc15377212"/>
    </w:p>
    <w:p>
      <w:pPr>
        <w:spacing w:line="600" w:lineRule="exact"/>
        <w:ind w:firstLine="643" w:firstLineChars="200"/>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（三）一般公共预算财政拨款支出决算具体情况</w:t>
      </w:r>
      <w:bookmarkEnd w:id="55"/>
    </w:p>
    <w:p>
      <w:pPr>
        <w:spacing w:line="600" w:lineRule="exact"/>
        <w:ind w:firstLine="643" w:firstLineChars="200"/>
        <w:outlineLvl w:val="2"/>
        <w:rPr>
          <w:rFonts w:ascii="仿宋" w:hAnsi="仿宋" w:eastAsia="仿宋"/>
          <w:color w:val="auto"/>
          <w:sz w:val="32"/>
          <w:szCs w:val="32"/>
          <w:highlight w:val="none"/>
        </w:rPr>
      </w:pPr>
      <w:bookmarkStart w:id="56" w:name="_Toc15377444"/>
      <w:bookmarkStart w:id="57" w:name="_Toc15378460"/>
      <w:bookmarkStart w:id="58" w:name="_Toc15377213"/>
      <w:r>
        <w:rPr>
          <w:rFonts w:hint="eastAsia" w:ascii="仿宋" w:hAnsi="仿宋" w:eastAsia="仿宋"/>
          <w:b/>
          <w:color w:val="auto"/>
          <w:sz w:val="32"/>
          <w:szCs w:val="32"/>
          <w:highlight w:val="none"/>
        </w:rPr>
        <w:t>20</w:t>
      </w:r>
      <w:r>
        <w:rPr>
          <w:rFonts w:hint="eastAsia" w:ascii="仿宋" w:hAnsi="仿宋" w:eastAsia="仿宋"/>
          <w:b/>
          <w:color w:val="auto"/>
          <w:sz w:val="32"/>
          <w:szCs w:val="32"/>
          <w:highlight w:val="none"/>
          <w:lang w:val="en-US" w:eastAsia="zh-CN"/>
        </w:rPr>
        <w:t>22</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般公共预算支出决算数为1,166.59</w:t>
      </w:r>
      <w:r>
        <w:rPr>
          <w:rFonts w:hint="eastAsia" w:ascii="仿宋" w:hAnsi="仿宋" w:eastAsia="仿宋"/>
          <w:color w:val="auto"/>
          <w:sz w:val="32"/>
          <w:szCs w:val="32"/>
          <w:highlight w:val="none"/>
        </w:rPr>
        <w:t>，</w:t>
      </w:r>
      <w:r>
        <w:rPr>
          <w:rStyle w:val="17"/>
          <w:rFonts w:hint="eastAsia" w:ascii="仿宋" w:hAnsi="仿宋" w:eastAsia="仿宋"/>
          <w:bCs/>
          <w:color w:val="auto"/>
          <w:sz w:val="32"/>
          <w:szCs w:val="32"/>
          <w:highlight w:val="none"/>
        </w:rPr>
        <w:t>完成预算</w:t>
      </w:r>
      <w:r>
        <w:rPr>
          <w:rStyle w:val="17"/>
          <w:rFonts w:hint="eastAsia" w:ascii="仿宋" w:hAnsi="仿宋" w:eastAsia="仿宋"/>
          <w:bCs/>
          <w:color w:val="auto"/>
          <w:sz w:val="32"/>
          <w:szCs w:val="32"/>
          <w:highlight w:val="none"/>
          <w:lang w:val="en-US" w:eastAsia="zh-CN"/>
        </w:rPr>
        <w:t>100</w:t>
      </w:r>
      <w:r>
        <w:rPr>
          <w:rStyle w:val="17"/>
          <w:rFonts w:ascii="仿宋" w:hAnsi="仿宋" w:eastAsia="仿宋"/>
          <w:bCs/>
          <w:color w:val="auto"/>
          <w:sz w:val="32"/>
          <w:szCs w:val="32"/>
          <w:highlight w:val="none"/>
        </w:rPr>
        <w:t>%</w:t>
      </w:r>
      <w:r>
        <w:rPr>
          <w:rStyle w:val="17"/>
          <w:rFonts w:hint="eastAsia" w:ascii="仿宋" w:hAnsi="仿宋" w:eastAsia="仿宋"/>
          <w:bCs/>
          <w:color w:val="auto"/>
          <w:sz w:val="32"/>
          <w:szCs w:val="32"/>
          <w:highlight w:val="none"/>
        </w:rPr>
        <w:t>。其中：</w:t>
      </w:r>
      <w:bookmarkEnd w:id="56"/>
      <w:bookmarkEnd w:id="57"/>
      <w:bookmarkEnd w:id="58"/>
    </w:p>
    <w:p>
      <w:pPr>
        <w:spacing w:line="600" w:lineRule="exact"/>
        <w:ind w:firstLine="643" w:firstLineChars="200"/>
        <w:rPr>
          <w:rFonts w:ascii="仿宋" w:hAnsi="仿宋" w:eastAsia="仿宋"/>
          <w:b/>
          <w:color w:val="auto"/>
          <w:sz w:val="32"/>
          <w:szCs w:val="32"/>
          <w:highlight w:val="none"/>
        </w:rPr>
      </w:pPr>
      <w:r>
        <w:rPr>
          <w:rStyle w:val="17"/>
          <w:rFonts w:ascii="仿宋" w:hAnsi="仿宋" w:eastAsia="仿宋"/>
          <w:bCs/>
          <w:color w:val="auto"/>
          <w:sz w:val="32"/>
          <w:szCs w:val="32"/>
          <w:highlight w:val="none"/>
        </w:rPr>
        <w:t>1.</w:t>
      </w:r>
      <w:r>
        <w:rPr>
          <w:rStyle w:val="17"/>
          <w:rFonts w:hint="eastAsia" w:ascii="仿宋" w:hAnsi="仿宋" w:eastAsia="仿宋"/>
          <w:bCs/>
          <w:color w:val="auto"/>
          <w:sz w:val="32"/>
          <w:szCs w:val="32"/>
          <w:highlight w:val="none"/>
        </w:rPr>
        <w:t>一般公共服务（类）党委办公厅（室）及相关机构事务（室）及相关机构事务（款）专项业务（项）</w:t>
      </w:r>
      <w:r>
        <w:rPr>
          <w:rStyle w:val="17"/>
          <w:rFonts w:ascii="仿宋" w:hAnsi="仿宋" w:eastAsia="仿宋"/>
          <w:bCs/>
          <w:color w:val="auto"/>
          <w:sz w:val="32"/>
          <w:szCs w:val="32"/>
          <w:highlight w:val="none"/>
        </w:rPr>
        <w:t>:</w:t>
      </w:r>
      <w:r>
        <w:rPr>
          <w:rStyle w:val="17"/>
          <w:rFonts w:ascii="仿宋" w:hAnsi="仿宋" w:eastAsia="仿宋"/>
          <w:b w:val="0"/>
          <w:bCs/>
          <w:color w:val="auto"/>
          <w:sz w:val="32"/>
          <w:szCs w:val="32"/>
          <w:highlight w:val="none"/>
        </w:rPr>
        <w:t xml:space="preserve"> </w:t>
      </w:r>
      <w:r>
        <w:rPr>
          <w:rStyle w:val="17"/>
          <w:rFonts w:hint="eastAsia" w:ascii="仿宋" w:hAnsi="仿宋" w:eastAsia="仿宋"/>
          <w:b w:val="0"/>
          <w:bCs/>
          <w:color w:val="auto"/>
          <w:sz w:val="32"/>
          <w:szCs w:val="32"/>
          <w:highlight w:val="none"/>
        </w:rPr>
        <w:t>支出决算为221.19万元，完成预算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w:t>
      </w:r>
    </w:p>
    <w:p>
      <w:pPr>
        <w:spacing w:line="600" w:lineRule="exact"/>
        <w:ind w:firstLine="643" w:firstLineChars="200"/>
        <w:rPr>
          <w:rFonts w:ascii="仿宋" w:hAnsi="仿宋" w:eastAsia="仿宋"/>
          <w:b/>
          <w:sz w:val="32"/>
          <w:szCs w:val="32"/>
        </w:rPr>
      </w:pPr>
      <w:r>
        <w:rPr>
          <w:rStyle w:val="17"/>
          <w:rFonts w:hint="eastAsia" w:ascii="仿宋" w:hAnsi="仿宋" w:eastAsia="仿宋"/>
          <w:bCs/>
          <w:sz w:val="32"/>
          <w:szCs w:val="32"/>
        </w:rPr>
        <w:t>2</w:t>
      </w:r>
      <w:r>
        <w:rPr>
          <w:rStyle w:val="17"/>
          <w:rFonts w:ascii="仿宋" w:hAnsi="仿宋" w:eastAsia="仿宋"/>
          <w:bCs/>
          <w:sz w:val="32"/>
          <w:szCs w:val="32"/>
        </w:rPr>
        <w:t>.</w:t>
      </w:r>
      <w:r>
        <w:rPr>
          <w:rStyle w:val="17"/>
          <w:rFonts w:hint="eastAsia" w:ascii="仿宋" w:hAnsi="仿宋" w:eastAsia="仿宋"/>
          <w:bCs/>
          <w:sz w:val="32"/>
          <w:szCs w:val="32"/>
        </w:rPr>
        <w:t>一般公共服务（类）</w:t>
      </w:r>
      <w:r>
        <w:rPr>
          <w:rStyle w:val="17"/>
          <w:rFonts w:hint="eastAsia" w:ascii="仿宋" w:hAnsi="仿宋" w:eastAsia="仿宋"/>
          <w:bCs/>
          <w:color w:val="auto"/>
          <w:sz w:val="32"/>
          <w:szCs w:val="32"/>
          <w:highlight w:val="none"/>
        </w:rPr>
        <w:t>党委办公厅（室）及相关机构事务（室）及相关机构事务</w:t>
      </w:r>
      <w:r>
        <w:rPr>
          <w:rStyle w:val="17"/>
          <w:rFonts w:hint="eastAsia" w:ascii="仿宋" w:hAnsi="仿宋" w:eastAsia="仿宋"/>
          <w:bCs/>
          <w:sz w:val="32"/>
          <w:szCs w:val="32"/>
        </w:rPr>
        <w:t>（款）</w:t>
      </w:r>
      <w:r>
        <w:rPr>
          <w:rStyle w:val="17"/>
          <w:rFonts w:hint="eastAsia" w:ascii="仿宋" w:hAnsi="仿宋" w:eastAsia="仿宋"/>
          <w:bCs/>
          <w:sz w:val="32"/>
          <w:szCs w:val="32"/>
          <w:lang w:eastAsia="zh-CN"/>
        </w:rPr>
        <w:t>事业</w:t>
      </w:r>
      <w:r>
        <w:rPr>
          <w:rStyle w:val="17"/>
          <w:rFonts w:hint="eastAsia" w:ascii="仿宋" w:hAnsi="仿宋" w:eastAsia="仿宋"/>
          <w:bCs/>
          <w:sz w:val="32"/>
          <w:szCs w:val="32"/>
        </w:rPr>
        <w:t>运行（项）</w:t>
      </w:r>
      <w:r>
        <w:rPr>
          <w:rStyle w:val="17"/>
          <w:rFonts w:ascii="仿宋" w:hAnsi="仿宋" w:eastAsia="仿宋"/>
          <w:bCs/>
          <w:sz w:val="32"/>
          <w:szCs w:val="32"/>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支出决算为2</w:t>
      </w:r>
      <w:r>
        <w:rPr>
          <w:rStyle w:val="17"/>
          <w:rFonts w:hint="eastAsia" w:ascii="仿宋" w:hAnsi="仿宋" w:eastAsia="仿宋"/>
          <w:b w:val="0"/>
          <w:bCs/>
          <w:sz w:val="32"/>
          <w:szCs w:val="32"/>
          <w:lang w:val="en-US" w:eastAsia="zh-CN"/>
        </w:rPr>
        <w:t>.00</w:t>
      </w:r>
      <w:r>
        <w:rPr>
          <w:rStyle w:val="17"/>
          <w:rFonts w:hint="eastAsia" w:ascii="仿宋" w:hAnsi="仿宋" w:eastAsia="仿宋"/>
          <w:b w:val="0"/>
          <w:bCs/>
          <w:sz w:val="32"/>
          <w:szCs w:val="32"/>
        </w:rPr>
        <w:t>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w:t>
      </w:r>
    </w:p>
    <w:p>
      <w:pPr>
        <w:spacing w:line="600" w:lineRule="exact"/>
        <w:ind w:firstLine="643" w:firstLineChars="200"/>
        <w:rPr>
          <w:rFonts w:ascii="仿宋" w:hAnsi="仿宋" w:eastAsia="仿宋"/>
          <w:b/>
          <w:sz w:val="32"/>
          <w:szCs w:val="32"/>
        </w:rPr>
      </w:pPr>
      <w:r>
        <w:rPr>
          <w:rStyle w:val="17"/>
          <w:rFonts w:hint="eastAsia" w:ascii="仿宋" w:hAnsi="仿宋" w:eastAsia="仿宋"/>
          <w:bCs/>
          <w:sz w:val="32"/>
          <w:szCs w:val="32"/>
        </w:rPr>
        <w:t>3</w:t>
      </w:r>
      <w:r>
        <w:rPr>
          <w:rStyle w:val="17"/>
          <w:rFonts w:ascii="仿宋" w:hAnsi="仿宋" w:eastAsia="仿宋"/>
          <w:bCs/>
          <w:sz w:val="32"/>
          <w:szCs w:val="32"/>
        </w:rPr>
        <w:t>.</w:t>
      </w:r>
      <w:r>
        <w:rPr>
          <w:rStyle w:val="17"/>
          <w:rFonts w:hint="eastAsia" w:ascii="仿宋" w:hAnsi="仿宋" w:eastAsia="仿宋"/>
          <w:bCs/>
          <w:sz w:val="32"/>
          <w:szCs w:val="32"/>
        </w:rPr>
        <w:t>一般公共服务（类）组织事务（款）行政运行（项）</w:t>
      </w:r>
      <w:r>
        <w:rPr>
          <w:rStyle w:val="17"/>
          <w:rFonts w:ascii="仿宋" w:hAnsi="仿宋" w:eastAsia="仿宋"/>
          <w:bCs/>
          <w:sz w:val="32"/>
          <w:szCs w:val="32"/>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支出决算为487.59万元，完成预算100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w:t>
      </w:r>
    </w:p>
    <w:p>
      <w:pPr>
        <w:spacing w:line="600" w:lineRule="exact"/>
        <w:ind w:firstLine="643" w:firstLineChars="200"/>
        <w:rPr>
          <w:rFonts w:ascii="仿宋" w:hAnsi="仿宋" w:eastAsia="仿宋"/>
          <w:b/>
          <w:sz w:val="32"/>
          <w:szCs w:val="32"/>
        </w:rPr>
      </w:pPr>
      <w:r>
        <w:rPr>
          <w:rStyle w:val="17"/>
          <w:rFonts w:hint="eastAsia" w:ascii="仿宋" w:hAnsi="仿宋" w:eastAsia="仿宋"/>
          <w:bCs/>
          <w:sz w:val="32"/>
          <w:szCs w:val="32"/>
          <w:lang w:val="en-US" w:eastAsia="zh-CN"/>
        </w:rPr>
        <w:t>4</w:t>
      </w:r>
      <w:r>
        <w:rPr>
          <w:rStyle w:val="17"/>
          <w:rFonts w:ascii="仿宋" w:hAnsi="仿宋" w:eastAsia="仿宋"/>
          <w:bCs/>
          <w:sz w:val="32"/>
          <w:szCs w:val="32"/>
        </w:rPr>
        <w:t>.</w:t>
      </w:r>
      <w:r>
        <w:rPr>
          <w:rStyle w:val="17"/>
          <w:rFonts w:hint="eastAsia" w:ascii="仿宋" w:hAnsi="仿宋" w:eastAsia="仿宋"/>
          <w:bCs/>
          <w:sz w:val="32"/>
          <w:szCs w:val="32"/>
        </w:rPr>
        <w:t>一般公共服务（类）组织事务（款）一般行政管理事务（项）</w:t>
      </w:r>
      <w:r>
        <w:rPr>
          <w:rStyle w:val="17"/>
          <w:rFonts w:ascii="仿宋" w:hAnsi="仿宋" w:eastAsia="仿宋"/>
          <w:bCs/>
          <w:sz w:val="32"/>
          <w:szCs w:val="32"/>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支出决算为27.52万元，完成预算100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w:t>
      </w:r>
    </w:p>
    <w:p>
      <w:pPr>
        <w:spacing w:line="600" w:lineRule="exact"/>
        <w:ind w:firstLine="643" w:firstLineChars="200"/>
        <w:rPr>
          <w:rFonts w:ascii="仿宋" w:hAnsi="仿宋" w:eastAsia="仿宋"/>
          <w:b/>
          <w:sz w:val="32"/>
          <w:szCs w:val="32"/>
        </w:rPr>
      </w:pPr>
      <w:r>
        <w:rPr>
          <w:rStyle w:val="17"/>
          <w:rFonts w:hint="eastAsia" w:ascii="仿宋" w:hAnsi="仿宋" w:eastAsia="仿宋"/>
          <w:bCs/>
          <w:sz w:val="32"/>
          <w:szCs w:val="32"/>
          <w:lang w:val="en-US" w:eastAsia="zh-CN"/>
        </w:rPr>
        <w:t>5</w:t>
      </w:r>
      <w:r>
        <w:rPr>
          <w:rStyle w:val="17"/>
          <w:rFonts w:ascii="仿宋" w:hAnsi="仿宋" w:eastAsia="仿宋"/>
          <w:bCs/>
          <w:sz w:val="32"/>
          <w:szCs w:val="32"/>
        </w:rPr>
        <w:t>.</w:t>
      </w:r>
      <w:r>
        <w:rPr>
          <w:rStyle w:val="17"/>
          <w:rFonts w:hint="eastAsia" w:ascii="仿宋" w:hAnsi="仿宋" w:eastAsia="仿宋"/>
          <w:bCs/>
          <w:sz w:val="32"/>
          <w:szCs w:val="32"/>
        </w:rPr>
        <w:t>一般公共服务（类）组织事务（款）公务员事务（项）</w:t>
      </w:r>
      <w:r>
        <w:rPr>
          <w:rStyle w:val="17"/>
          <w:rFonts w:ascii="仿宋" w:hAnsi="仿宋" w:eastAsia="仿宋"/>
          <w:bCs/>
          <w:sz w:val="32"/>
          <w:szCs w:val="32"/>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支出决算为238.10万元，完成预算100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w:t>
      </w:r>
    </w:p>
    <w:p>
      <w:pPr>
        <w:spacing w:line="600" w:lineRule="exact"/>
        <w:ind w:firstLine="643" w:firstLineChars="200"/>
        <w:rPr>
          <w:rFonts w:ascii="仿宋" w:hAnsi="仿宋" w:eastAsia="仿宋"/>
          <w:b/>
          <w:sz w:val="32"/>
          <w:szCs w:val="32"/>
        </w:rPr>
      </w:pPr>
      <w:r>
        <w:rPr>
          <w:rStyle w:val="17"/>
          <w:rFonts w:hint="eastAsia" w:ascii="仿宋" w:hAnsi="仿宋" w:eastAsia="仿宋"/>
          <w:bCs/>
          <w:sz w:val="32"/>
          <w:szCs w:val="32"/>
          <w:lang w:val="en-US" w:eastAsia="zh-CN"/>
        </w:rPr>
        <w:t>6</w:t>
      </w:r>
      <w:r>
        <w:rPr>
          <w:rStyle w:val="17"/>
          <w:rFonts w:ascii="仿宋" w:hAnsi="仿宋" w:eastAsia="仿宋"/>
          <w:bCs/>
          <w:sz w:val="32"/>
          <w:szCs w:val="32"/>
        </w:rPr>
        <w:t>.</w:t>
      </w:r>
      <w:r>
        <w:rPr>
          <w:rStyle w:val="17"/>
          <w:rFonts w:hint="eastAsia" w:ascii="仿宋" w:hAnsi="仿宋" w:eastAsia="仿宋"/>
          <w:bCs/>
          <w:sz w:val="32"/>
          <w:szCs w:val="32"/>
        </w:rPr>
        <w:t>一般公共服务（类）组织事务（款）事业运行（项）</w:t>
      </w:r>
      <w:r>
        <w:rPr>
          <w:rStyle w:val="17"/>
          <w:rFonts w:ascii="仿宋" w:hAnsi="仿宋" w:eastAsia="仿宋"/>
          <w:bCs/>
          <w:sz w:val="32"/>
          <w:szCs w:val="32"/>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支出决算为17.04万元，完成预算100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w:t>
      </w:r>
    </w:p>
    <w:p>
      <w:pPr>
        <w:spacing w:line="600" w:lineRule="exact"/>
        <w:ind w:firstLine="643" w:firstLineChars="200"/>
        <w:rPr>
          <w:rFonts w:ascii="仿宋" w:hAnsi="仿宋" w:eastAsia="仿宋"/>
          <w:b/>
          <w:sz w:val="32"/>
          <w:szCs w:val="32"/>
        </w:rPr>
      </w:pPr>
      <w:r>
        <w:rPr>
          <w:rStyle w:val="17"/>
          <w:rFonts w:hint="eastAsia" w:ascii="仿宋" w:hAnsi="仿宋" w:eastAsia="仿宋"/>
          <w:bCs/>
          <w:sz w:val="32"/>
          <w:szCs w:val="32"/>
          <w:lang w:val="en-US" w:eastAsia="zh-CN"/>
        </w:rPr>
        <w:t>7</w:t>
      </w:r>
      <w:r>
        <w:rPr>
          <w:rStyle w:val="17"/>
          <w:rFonts w:ascii="仿宋" w:hAnsi="仿宋" w:eastAsia="仿宋"/>
          <w:bCs/>
          <w:sz w:val="32"/>
          <w:szCs w:val="32"/>
        </w:rPr>
        <w:t>.</w:t>
      </w:r>
      <w:r>
        <w:rPr>
          <w:rStyle w:val="17"/>
          <w:rFonts w:hint="eastAsia" w:ascii="仿宋" w:hAnsi="仿宋" w:eastAsia="仿宋"/>
          <w:bCs/>
          <w:sz w:val="32"/>
          <w:szCs w:val="32"/>
        </w:rPr>
        <w:t>一般公共服务（类）组织事务（款）其他组织事务支出（项）</w:t>
      </w:r>
      <w:r>
        <w:rPr>
          <w:rStyle w:val="17"/>
          <w:rFonts w:ascii="仿宋" w:hAnsi="仿宋" w:eastAsia="仿宋"/>
          <w:bCs/>
          <w:sz w:val="32"/>
          <w:szCs w:val="32"/>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支出决算为60.00万元，完成预算100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w:t>
      </w:r>
    </w:p>
    <w:p>
      <w:pPr>
        <w:spacing w:line="600" w:lineRule="exact"/>
        <w:ind w:firstLine="643" w:firstLineChars="200"/>
        <w:rPr>
          <w:rStyle w:val="17"/>
          <w:rFonts w:hint="eastAsia" w:ascii="仿宋" w:hAnsi="仿宋" w:eastAsia="仿宋"/>
          <w:b w:val="0"/>
          <w:bCs/>
          <w:sz w:val="32"/>
          <w:szCs w:val="32"/>
        </w:rPr>
      </w:pPr>
      <w:r>
        <w:rPr>
          <w:rStyle w:val="17"/>
          <w:rFonts w:hint="eastAsia" w:ascii="仿宋" w:hAnsi="仿宋" w:eastAsia="仿宋"/>
          <w:bCs/>
          <w:sz w:val="32"/>
          <w:szCs w:val="32"/>
          <w:lang w:val="en-US" w:eastAsia="zh-CN"/>
        </w:rPr>
        <w:t>8</w:t>
      </w:r>
      <w:r>
        <w:rPr>
          <w:rStyle w:val="17"/>
          <w:rFonts w:ascii="仿宋" w:hAnsi="仿宋" w:eastAsia="仿宋"/>
          <w:bCs/>
          <w:sz w:val="32"/>
          <w:szCs w:val="32"/>
        </w:rPr>
        <w:t>.</w:t>
      </w:r>
      <w:r>
        <w:rPr>
          <w:rStyle w:val="17"/>
          <w:rFonts w:hint="eastAsia" w:ascii="仿宋" w:hAnsi="仿宋" w:eastAsia="仿宋"/>
          <w:bCs/>
          <w:sz w:val="32"/>
          <w:szCs w:val="32"/>
        </w:rPr>
        <w:t>社会保障和就业（类）行政事业单位养老支出（款）  行政单位离退休（项）</w:t>
      </w:r>
      <w:r>
        <w:rPr>
          <w:rStyle w:val="17"/>
          <w:rFonts w:ascii="仿宋" w:hAnsi="仿宋" w:eastAsia="仿宋"/>
          <w:bCs/>
          <w:sz w:val="32"/>
          <w:szCs w:val="32"/>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支出决算为3.73万元，完成预算100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w:t>
      </w:r>
    </w:p>
    <w:p>
      <w:pPr>
        <w:spacing w:line="600" w:lineRule="exact"/>
        <w:ind w:firstLine="643" w:firstLineChars="200"/>
        <w:rPr>
          <w:rStyle w:val="17"/>
          <w:rFonts w:ascii="仿宋" w:hAnsi="仿宋" w:eastAsia="仿宋"/>
          <w:b w:val="0"/>
          <w:bCs/>
          <w:sz w:val="32"/>
          <w:szCs w:val="32"/>
        </w:rPr>
      </w:pPr>
      <w:r>
        <w:rPr>
          <w:rStyle w:val="17"/>
          <w:rFonts w:hint="eastAsia" w:ascii="仿宋" w:hAnsi="仿宋" w:eastAsia="仿宋"/>
          <w:bCs/>
          <w:sz w:val="32"/>
          <w:szCs w:val="32"/>
          <w:lang w:val="en-US" w:eastAsia="zh-CN"/>
        </w:rPr>
        <w:t>9</w:t>
      </w:r>
      <w:r>
        <w:rPr>
          <w:rStyle w:val="17"/>
          <w:rFonts w:ascii="仿宋" w:hAnsi="仿宋" w:eastAsia="仿宋"/>
          <w:bCs/>
          <w:sz w:val="32"/>
          <w:szCs w:val="32"/>
        </w:rPr>
        <w:t>.</w:t>
      </w:r>
      <w:r>
        <w:rPr>
          <w:rStyle w:val="17"/>
          <w:rFonts w:hint="eastAsia" w:ascii="仿宋" w:hAnsi="仿宋" w:eastAsia="仿宋"/>
          <w:bCs/>
          <w:sz w:val="32"/>
          <w:szCs w:val="32"/>
        </w:rPr>
        <w:t>社会保障和就业（类）行政事业单位养老支出（款）机关事业单位基本养老保险缴费支出（项）</w:t>
      </w:r>
      <w:r>
        <w:rPr>
          <w:rStyle w:val="17"/>
          <w:rFonts w:ascii="仿宋" w:hAnsi="仿宋" w:eastAsia="仿宋"/>
          <w:bCs/>
          <w:sz w:val="32"/>
          <w:szCs w:val="32"/>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支出决算为33.95万元，完成预算100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w:t>
      </w:r>
    </w:p>
    <w:p>
      <w:pPr>
        <w:spacing w:line="600" w:lineRule="exact"/>
        <w:ind w:firstLine="643" w:firstLineChars="200"/>
        <w:rPr>
          <w:rStyle w:val="17"/>
          <w:rFonts w:ascii="仿宋" w:hAnsi="仿宋" w:eastAsia="仿宋"/>
          <w:b w:val="0"/>
          <w:bCs/>
          <w:sz w:val="32"/>
          <w:szCs w:val="32"/>
        </w:rPr>
      </w:pPr>
      <w:r>
        <w:rPr>
          <w:rStyle w:val="17"/>
          <w:rFonts w:hint="eastAsia" w:ascii="仿宋" w:hAnsi="仿宋" w:eastAsia="仿宋"/>
          <w:bCs/>
          <w:sz w:val="32"/>
          <w:szCs w:val="32"/>
          <w:lang w:val="en-US" w:eastAsia="zh-CN"/>
        </w:rPr>
        <w:t>10</w:t>
      </w:r>
      <w:r>
        <w:rPr>
          <w:rStyle w:val="17"/>
          <w:rFonts w:ascii="仿宋" w:hAnsi="仿宋" w:eastAsia="仿宋"/>
          <w:bCs/>
          <w:sz w:val="32"/>
          <w:szCs w:val="32"/>
        </w:rPr>
        <w:t>.</w:t>
      </w:r>
      <w:r>
        <w:rPr>
          <w:rStyle w:val="17"/>
          <w:rFonts w:hint="eastAsia" w:ascii="仿宋" w:hAnsi="仿宋" w:eastAsia="仿宋"/>
          <w:bCs/>
          <w:sz w:val="32"/>
          <w:szCs w:val="32"/>
        </w:rPr>
        <w:t>社会保障和就业（类）行政事业单位养老支出（款）  其他行政事业单位养老支出（项）</w:t>
      </w:r>
      <w:r>
        <w:rPr>
          <w:rStyle w:val="17"/>
          <w:rFonts w:ascii="仿宋" w:hAnsi="仿宋" w:eastAsia="仿宋"/>
          <w:bCs/>
          <w:sz w:val="32"/>
          <w:szCs w:val="32"/>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支出决算为1.91万元，完成预算100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w:t>
      </w:r>
    </w:p>
    <w:p>
      <w:pPr>
        <w:spacing w:line="600" w:lineRule="exact"/>
        <w:ind w:firstLine="643" w:firstLineChars="200"/>
        <w:rPr>
          <w:rStyle w:val="17"/>
          <w:rFonts w:ascii="仿宋" w:hAnsi="仿宋" w:eastAsia="仿宋"/>
          <w:b w:val="0"/>
          <w:bCs/>
          <w:sz w:val="32"/>
          <w:szCs w:val="32"/>
        </w:rPr>
      </w:pPr>
      <w:r>
        <w:rPr>
          <w:rStyle w:val="17"/>
          <w:rFonts w:hint="eastAsia" w:ascii="仿宋" w:hAnsi="仿宋" w:eastAsia="仿宋"/>
          <w:bCs/>
          <w:sz w:val="32"/>
          <w:szCs w:val="32"/>
          <w:lang w:val="en-US" w:eastAsia="zh-CN"/>
        </w:rPr>
        <w:t>11</w:t>
      </w:r>
      <w:r>
        <w:rPr>
          <w:rStyle w:val="17"/>
          <w:rFonts w:ascii="仿宋" w:hAnsi="仿宋" w:eastAsia="仿宋"/>
          <w:bCs/>
          <w:sz w:val="32"/>
          <w:szCs w:val="32"/>
        </w:rPr>
        <w:t>.</w:t>
      </w:r>
      <w:r>
        <w:rPr>
          <w:rStyle w:val="17"/>
          <w:rFonts w:hint="eastAsia" w:ascii="仿宋" w:hAnsi="仿宋" w:eastAsia="仿宋"/>
          <w:bCs/>
          <w:sz w:val="32"/>
          <w:szCs w:val="32"/>
        </w:rPr>
        <w:t>社会保障和就业（类）其他社会保障和就业支出（款）  其他社会保障和就业支出（项）</w:t>
      </w:r>
      <w:r>
        <w:rPr>
          <w:rStyle w:val="17"/>
          <w:rFonts w:ascii="仿宋" w:hAnsi="仿宋" w:eastAsia="仿宋"/>
          <w:bCs/>
          <w:sz w:val="32"/>
          <w:szCs w:val="32"/>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支出决算为0.23万元，完成预算100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w:t>
      </w:r>
    </w:p>
    <w:p>
      <w:pPr>
        <w:spacing w:line="600" w:lineRule="exact"/>
        <w:ind w:firstLine="643" w:firstLineChars="200"/>
        <w:rPr>
          <w:rFonts w:ascii="仿宋" w:hAnsi="仿宋" w:eastAsia="仿宋"/>
          <w:b/>
          <w:sz w:val="32"/>
          <w:szCs w:val="32"/>
        </w:rPr>
      </w:pPr>
      <w:r>
        <w:rPr>
          <w:rStyle w:val="17"/>
          <w:rFonts w:hint="eastAsia" w:ascii="仿宋" w:hAnsi="仿宋" w:eastAsia="仿宋"/>
          <w:bCs/>
          <w:sz w:val="32"/>
          <w:szCs w:val="32"/>
          <w:lang w:val="en-US" w:eastAsia="zh-CN"/>
        </w:rPr>
        <w:t>12</w:t>
      </w:r>
      <w:r>
        <w:rPr>
          <w:rStyle w:val="17"/>
          <w:rFonts w:ascii="仿宋" w:hAnsi="仿宋" w:eastAsia="仿宋"/>
          <w:bCs/>
          <w:sz w:val="32"/>
          <w:szCs w:val="32"/>
        </w:rPr>
        <w:t>.</w:t>
      </w:r>
      <w:r>
        <w:rPr>
          <w:rFonts w:hint="eastAsia" w:ascii="仿宋" w:hAnsi="仿宋" w:eastAsia="仿宋"/>
          <w:b/>
          <w:bCs/>
          <w:sz w:val="32"/>
          <w:szCs w:val="32"/>
        </w:rPr>
        <w:t>卫生健康</w:t>
      </w:r>
      <w:r>
        <w:rPr>
          <w:rStyle w:val="17"/>
          <w:rFonts w:hint="eastAsia" w:ascii="仿宋" w:hAnsi="仿宋" w:eastAsia="仿宋"/>
          <w:bCs/>
          <w:sz w:val="32"/>
          <w:szCs w:val="32"/>
        </w:rPr>
        <w:t>（类）行政事业单位医疗（款）行政单位医疗（项）</w:t>
      </w:r>
      <w:r>
        <w:rPr>
          <w:rStyle w:val="17"/>
          <w:rFonts w:ascii="仿宋" w:hAnsi="仿宋" w:eastAsia="仿宋"/>
          <w:bCs/>
          <w:sz w:val="32"/>
          <w:szCs w:val="32"/>
        </w:rPr>
        <w:t>:</w:t>
      </w:r>
      <w:r>
        <w:rPr>
          <w:rStyle w:val="17"/>
          <w:rFonts w:hint="eastAsia" w:ascii="仿宋" w:hAnsi="仿宋" w:eastAsia="仿宋"/>
          <w:b w:val="0"/>
          <w:bCs/>
          <w:sz w:val="32"/>
          <w:szCs w:val="32"/>
        </w:rPr>
        <w:t>支出决算为15.75万元，完成预算100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w:t>
      </w:r>
    </w:p>
    <w:p>
      <w:pPr>
        <w:spacing w:line="600" w:lineRule="exact"/>
        <w:ind w:firstLine="643" w:firstLineChars="200"/>
        <w:rPr>
          <w:rFonts w:ascii="仿宋" w:hAnsi="仿宋" w:eastAsia="仿宋"/>
          <w:b/>
          <w:sz w:val="32"/>
          <w:szCs w:val="32"/>
        </w:rPr>
      </w:pPr>
      <w:r>
        <w:rPr>
          <w:rStyle w:val="17"/>
          <w:rFonts w:hint="eastAsia" w:ascii="仿宋" w:hAnsi="仿宋" w:eastAsia="仿宋"/>
          <w:bCs/>
          <w:sz w:val="32"/>
          <w:szCs w:val="32"/>
          <w:lang w:val="en-US" w:eastAsia="zh-CN"/>
        </w:rPr>
        <w:t>13</w:t>
      </w:r>
      <w:r>
        <w:rPr>
          <w:rStyle w:val="17"/>
          <w:rFonts w:ascii="仿宋" w:hAnsi="仿宋" w:eastAsia="仿宋"/>
          <w:bCs/>
          <w:sz w:val="32"/>
          <w:szCs w:val="32"/>
        </w:rPr>
        <w:t>.</w:t>
      </w:r>
      <w:r>
        <w:rPr>
          <w:rFonts w:hint="eastAsia" w:ascii="仿宋" w:hAnsi="仿宋" w:eastAsia="仿宋"/>
          <w:b/>
          <w:bCs/>
          <w:sz w:val="32"/>
          <w:szCs w:val="32"/>
        </w:rPr>
        <w:t>卫生健康</w:t>
      </w:r>
      <w:r>
        <w:rPr>
          <w:rStyle w:val="17"/>
          <w:rFonts w:hint="eastAsia" w:ascii="仿宋" w:hAnsi="仿宋" w:eastAsia="仿宋"/>
          <w:bCs/>
          <w:sz w:val="32"/>
          <w:szCs w:val="32"/>
        </w:rPr>
        <w:t>（类）行政事业单位医疗（款）事业单位医疗（项）</w:t>
      </w:r>
      <w:r>
        <w:rPr>
          <w:rStyle w:val="17"/>
          <w:rFonts w:ascii="仿宋" w:hAnsi="仿宋" w:eastAsia="仿宋"/>
          <w:bCs/>
          <w:sz w:val="32"/>
          <w:szCs w:val="32"/>
        </w:rPr>
        <w:t>:</w:t>
      </w:r>
      <w:r>
        <w:rPr>
          <w:rStyle w:val="17"/>
          <w:rFonts w:hint="eastAsia" w:ascii="仿宋" w:hAnsi="仿宋" w:eastAsia="仿宋"/>
          <w:b w:val="0"/>
          <w:bCs/>
          <w:sz w:val="32"/>
          <w:szCs w:val="32"/>
        </w:rPr>
        <w:t>支出决算为1.52万元，完成预算100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w:t>
      </w:r>
    </w:p>
    <w:p>
      <w:pPr>
        <w:spacing w:line="600" w:lineRule="exact"/>
        <w:ind w:firstLine="643" w:firstLineChars="200"/>
        <w:rPr>
          <w:rFonts w:ascii="仿宋" w:hAnsi="仿宋" w:eastAsia="仿宋"/>
          <w:b/>
          <w:sz w:val="32"/>
          <w:szCs w:val="32"/>
        </w:rPr>
      </w:pPr>
      <w:r>
        <w:rPr>
          <w:rStyle w:val="17"/>
          <w:rFonts w:hint="eastAsia" w:ascii="仿宋" w:hAnsi="仿宋" w:eastAsia="仿宋"/>
          <w:bCs/>
          <w:sz w:val="32"/>
          <w:szCs w:val="32"/>
          <w:lang w:val="en-US" w:eastAsia="zh-CN"/>
        </w:rPr>
        <w:t>14</w:t>
      </w:r>
      <w:r>
        <w:rPr>
          <w:rStyle w:val="17"/>
          <w:rFonts w:ascii="仿宋" w:hAnsi="仿宋" w:eastAsia="仿宋"/>
          <w:bCs/>
          <w:sz w:val="32"/>
          <w:szCs w:val="32"/>
        </w:rPr>
        <w:t>.</w:t>
      </w:r>
      <w:r>
        <w:rPr>
          <w:rFonts w:hint="eastAsia" w:ascii="仿宋" w:hAnsi="仿宋" w:eastAsia="仿宋"/>
          <w:b/>
          <w:bCs/>
          <w:sz w:val="32"/>
          <w:szCs w:val="32"/>
        </w:rPr>
        <w:t>卫生健康</w:t>
      </w:r>
      <w:r>
        <w:rPr>
          <w:rStyle w:val="17"/>
          <w:rFonts w:hint="eastAsia" w:ascii="仿宋" w:hAnsi="仿宋" w:eastAsia="仿宋"/>
          <w:bCs/>
          <w:sz w:val="32"/>
          <w:szCs w:val="32"/>
        </w:rPr>
        <w:t>（类）行政事业单位医疗（款）公务员医疗补助（项）</w:t>
      </w:r>
      <w:r>
        <w:rPr>
          <w:rStyle w:val="17"/>
          <w:rFonts w:ascii="仿宋" w:hAnsi="仿宋" w:eastAsia="仿宋"/>
          <w:bCs/>
          <w:sz w:val="32"/>
          <w:szCs w:val="32"/>
        </w:rPr>
        <w:t>:</w:t>
      </w:r>
      <w:r>
        <w:rPr>
          <w:rStyle w:val="17"/>
          <w:rFonts w:hint="eastAsia" w:ascii="仿宋" w:hAnsi="仿宋" w:eastAsia="仿宋"/>
          <w:b w:val="0"/>
          <w:bCs/>
          <w:sz w:val="32"/>
          <w:szCs w:val="32"/>
        </w:rPr>
        <w:t>支出决算为4.82万元，完成预算100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w:t>
      </w:r>
    </w:p>
    <w:p>
      <w:pPr>
        <w:spacing w:line="600" w:lineRule="exact"/>
        <w:ind w:firstLine="643" w:firstLineChars="200"/>
        <w:rPr>
          <w:rFonts w:ascii="仿宋" w:hAnsi="仿宋" w:eastAsia="仿宋"/>
          <w:b/>
          <w:sz w:val="32"/>
          <w:szCs w:val="32"/>
        </w:rPr>
      </w:pPr>
      <w:bookmarkStart w:id="59" w:name="_Toc23098"/>
      <w:bookmarkStart w:id="60" w:name="_Toc15396608"/>
      <w:bookmarkStart w:id="61" w:name="_Toc15377214"/>
      <w:r>
        <w:rPr>
          <w:rStyle w:val="17"/>
          <w:rFonts w:hint="eastAsia" w:ascii="仿宋" w:hAnsi="仿宋" w:eastAsia="仿宋"/>
          <w:bCs/>
          <w:sz w:val="32"/>
          <w:szCs w:val="32"/>
          <w:lang w:val="en-US" w:eastAsia="zh-CN"/>
        </w:rPr>
        <w:t>15</w:t>
      </w:r>
      <w:r>
        <w:rPr>
          <w:rStyle w:val="17"/>
          <w:rFonts w:ascii="仿宋" w:hAnsi="仿宋" w:eastAsia="仿宋"/>
          <w:bCs/>
          <w:sz w:val="32"/>
          <w:szCs w:val="32"/>
        </w:rPr>
        <w:t>.</w:t>
      </w:r>
      <w:r>
        <w:rPr>
          <w:rFonts w:hint="eastAsia"/>
        </w:rPr>
        <w:t xml:space="preserve"> </w:t>
      </w:r>
      <w:r>
        <w:rPr>
          <w:rFonts w:hint="eastAsia" w:ascii="仿宋" w:hAnsi="仿宋" w:eastAsia="仿宋"/>
          <w:b/>
          <w:bCs/>
          <w:sz w:val="32"/>
          <w:szCs w:val="32"/>
        </w:rPr>
        <w:t>农林水支出</w:t>
      </w:r>
      <w:r>
        <w:rPr>
          <w:rStyle w:val="17"/>
          <w:rFonts w:hint="eastAsia" w:ascii="仿宋" w:hAnsi="仿宋" w:eastAsia="仿宋"/>
          <w:bCs/>
          <w:sz w:val="32"/>
          <w:szCs w:val="32"/>
        </w:rPr>
        <w:t>（类）巩固脱贫衔接乡村振兴（款）其他巩固脱贫衔接乡村振兴支出（项）</w:t>
      </w:r>
      <w:r>
        <w:rPr>
          <w:rStyle w:val="17"/>
          <w:rFonts w:ascii="仿宋" w:hAnsi="仿宋" w:eastAsia="仿宋"/>
          <w:bCs/>
          <w:sz w:val="32"/>
          <w:szCs w:val="32"/>
        </w:rPr>
        <w:t>:</w:t>
      </w:r>
      <w:r>
        <w:rPr>
          <w:rStyle w:val="17"/>
          <w:rFonts w:hint="eastAsia" w:ascii="仿宋" w:hAnsi="仿宋" w:eastAsia="仿宋"/>
          <w:b w:val="0"/>
          <w:bCs/>
          <w:sz w:val="32"/>
          <w:szCs w:val="32"/>
        </w:rPr>
        <w:t>支出决算为11.46万元，完成预算100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w:t>
      </w:r>
    </w:p>
    <w:p>
      <w:pPr>
        <w:spacing w:line="600" w:lineRule="exact"/>
        <w:ind w:firstLine="643" w:firstLineChars="200"/>
        <w:rPr>
          <w:rFonts w:ascii="仿宋" w:hAnsi="仿宋" w:eastAsia="仿宋"/>
          <w:b/>
          <w:sz w:val="32"/>
          <w:szCs w:val="32"/>
        </w:rPr>
      </w:pPr>
      <w:r>
        <w:rPr>
          <w:rStyle w:val="17"/>
          <w:rFonts w:hint="eastAsia" w:ascii="仿宋" w:hAnsi="仿宋" w:eastAsia="仿宋"/>
          <w:bCs/>
          <w:sz w:val="32"/>
          <w:szCs w:val="32"/>
          <w:lang w:val="en-US" w:eastAsia="zh-CN"/>
        </w:rPr>
        <w:t>16</w:t>
      </w:r>
      <w:r>
        <w:rPr>
          <w:rStyle w:val="17"/>
          <w:rFonts w:ascii="仿宋" w:hAnsi="仿宋" w:eastAsia="仿宋"/>
          <w:bCs/>
          <w:sz w:val="32"/>
          <w:szCs w:val="32"/>
        </w:rPr>
        <w:t>.</w:t>
      </w:r>
      <w:r>
        <w:rPr>
          <w:rFonts w:hint="eastAsia"/>
        </w:rPr>
        <w:t xml:space="preserve"> </w:t>
      </w:r>
      <w:r>
        <w:rPr>
          <w:rFonts w:hint="eastAsia" w:ascii="仿宋" w:hAnsi="仿宋" w:eastAsia="仿宋"/>
          <w:b/>
          <w:bCs/>
          <w:sz w:val="32"/>
          <w:szCs w:val="32"/>
        </w:rPr>
        <w:t>住房保障支出</w:t>
      </w:r>
      <w:r>
        <w:rPr>
          <w:rStyle w:val="17"/>
          <w:rFonts w:hint="eastAsia" w:ascii="仿宋" w:hAnsi="仿宋" w:eastAsia="仿宋"/>
          <w:bCs/>
          <w:sz w:val="32"/>
          <w:szCs w:val="32"/>
        </w:rPr>
        <w:t>（类）住房改革支出（款）住房公积金（项）</w:t>
      </w:r>
      <w:r>
        <w:rPr>
          <w:rStyle w:val="17"/>
          <w:rFonts w:ascii="仿宋" w:hAnsi="仿宋" w:eastAsia="仿宋"/>
          <w:bCs/>
          <w:sz w:val="32"/>
          <w:szCs w:val="32"/>
        </w:rPr>
        <w:t>:</w:t>
      </w:r>
      <w:r>
        <w:rPr>
          <w:rStyle w:val="17"/>
          <w:rFonts w:hint="eastAsia" w:ascii="仿宋" w:hAnsi="仿宋" w:eastAsia="仿宋"/>
          <w:b w:val="0"/>
          <w:bCs/>
          <w:sz w:val="32"/>
          <w:szCs w:val="32"/>
        </w:rPr>
        <w:t>支出决算为39.76万元，完成预算100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w:t>
      </w:r>
    </w:p>
    <w:p>
      <w:pPr>
        <w:tabs>
          <w:tab w:val="right" w:pos="8306"/>
        </w:tabs>
        <w:spacing w:line="600" w:lineRule="exact"/>
        <w:ind w:firstLine="640"/>
        <w:outlineLvl w:val="1"/>
        <w:rPr>
          <w:rStyle w:val="30"/>
          <w:color w:val="auto"/>
          <w:highlight w:val="none"/>
        </w:rPr>
      </w:pPr>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30"/>
          <w:rFonts w:hint="eastAsia" w:ascii="黑体" w:hAnsi="黑体" w:eastAsia="黑体"/>
          <w:b w:val="0"/>
          <w:color w:val="auto"/>
          <w:highlight w:val="none"/>
        </w:rPr>
        <w:t>般公共预算财政拨款基本支出决算情况说明</w:t>
      </w:r>
      <w:bookmarkEnd w:id="59"/>
      <w:bookmarkEnd w:id="60"/>
      <w:bookmarkEnd w:id="61"/>
      <w:r>
        <w:rPr>
          <w:rStyle w:val="30"/>
          <w:rFonts w:ascii="黑体" w:hAnsi="黑体" w:eastAsia="黑体"/>
          <w:b w:val="0"/>
          <w:color w:val="auto"/>
          <w:highlight w:val="none"/>
        </w:rPr>
        <w:tab/>
      </w:r>
    </w:p>
    <w:p>
      <w:pPr>
        <w:spacing w:line="600" w:lineRule="exact"/>
        <w:ind w:firstLine="645"/>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年一般公共预算财政拨款基本支出608.32万元，其中：</w:t>
      </w:r>
    </w:p>
    <w:p>
      <w:pPr>
        <w:spacing w:line="600" w:lineRule="exact"/>
        <w:ind w:firstLine="645"/>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人员经费530.19万元，主要包括：基本工资、津贴补贴、奖金、绩效工资</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机关事业单位基本养老保险缴费、职工基本医疗保险缴费</w:t>
      </w:r>
      <w:r>
        <w:rPr>
          <w:rFonts w:hint="eastAsia" w:ascii="仿宋" w:hAnsi="仿宋" w:eastAsia="仿宋"/>
          <w:color w:val="auto"/>
          <w:sz w:val="32"/>
          <w:szCs w:val="32"/>
          <w:highlight w:val="none"/>
          <w:lang w:eastAsia="zh-CN"/>
        </w:rPr>
        <w:t>、其他社会保障缴费、公务员医疗补助缴费、</w:t>
      </w:r>
      <w:r>
        <w:rPr>
          <w:rFonts w:hint="eastAsia" w:ascii="仿宋" w:hAnsi="仿宋" w:eastAsia="仿宋"/>
          <w:color w:val="auto"/>
          <w:sz w:val="32"/>
          <w:szCs w:val="32"/>
          <w:highlight w:val="none"/>
        </w:rPr>
        <w:t>住房公积金</w:t>
      </w:r>
      <w:r>
        <w:rPr>
          <w:rFonts w:hint="eastAsia" w:ascii="仿宋" w:hAnsi="仿宋" w:eastAsia="仿宋"/>
          <w:color w:val="auto"/>
          <w:sz w:val="32"/>
          <w:szCs w:val="32"/>
          <w:highlight w:val="none"/>
          <w:lang w:eastAsia="zh-CN"/>
        </w:rPr>
        <w:t>、其他工资福利支出</w:t>
      </w:r>
      <w:r>
        <w:rPr>
          <w:rFonts w:hint="eastAsia" w:ascii="仿宋" w:hAnsi="仿宋" w:eastAsia="仿宋"/>
          <w:color w:val="auto"/>
          <w:sz w:val="32"/>
          <w:szCs w:val="32"/>
          <w:highlight w:val="none"/>
        </w:rPr>
        <w:t>等。</w:t>
      </w:r>
    </w:p>
    <w:p>
      <w:pPr>
        <w:spacing w:line="600" w:lineRule="exact"/>
        <w:ind w:firstLine="645"/>
        <w:rPr>
          <w:rFonts w:ascii="仿宋" w:hAnsi="仿宋" w:eastAsia="仿宋"/>
          <w:color w:val="auto"/>
          <w:sz w:val="32"/>
          <w:szCs w:val="32"/>
          <w:highlight w:val="none"/>
        </w:rPr>
      </w:pPr>
      <w:r>
        <w:rPr>
          <w:rFonts w:hint="eastAsia" w:ascii="仿宋" w:hAnsi="仿宋" w:eastAsia="仿宋"/>
          <w:color w:val="auto"/>
          <w:sz w:val="32"/>
          <w:szCs w:val="32"/>
          <w:highlight w:val="none"/>
        </w:rPr>
        <w:t>公用经费78.13万元，主要包括：办公费、印刷费</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邮电费、差旅费、维修（护）费、租赁费</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劳务费、委托业务费</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工会经费、福利费、其他交通费</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其他商品和服务支出等。</w:t>
      </w:r>
    </w:p>
    <w:p>
      <w:pPr>
        <w:spacing w:line="600" w:lineRule="exact"/>
        <w:ind w:firstLine="640"/>
        <w:outlineLvl w:val="1"/>
        <w:rPr>
          <w:rStyle w:val="30"/>
          <w:rFonts w:ascii="黑体" w:hAnsi="黑体" w:eastAsia="黑体"/>
          <w:b w:val="0"/>
          <w:color w:val="auto"/>
          <w:highlight w:val="none"/>
        </w:rPr>
      </w:pPr>
      <w:bookmarkStart w:id="62" w:name="_Toc15377215"/>
      <w:bookmarkStart w:id="63" w:name="_Toc15396609"/>
      <w:bookmarkStart w:id="64" w:name="_Toc3671"/>
      <w:r>
        <w:rPr>
          <w:rFonts w:hint="eastAsia" w:ascii="黑体" w:eastAsia="黑体"/>
          <w:color w:val="auto"/>
          <w:sz w:val="32"/>
          <w:szCs w:val="32"/>
          <w:highlight w:val="none"/>
        </w:rPr>
        <w:t>七、</w:t>
      </w:r>
      <w:r>
        <w:rPr>
          <w:rStyle w:val="30"/>
          <w:rFonts w:hint="eastAsia" w:ascii="黑体" w:hAnsi="黑体" w:eastAsia="黑体"/>
          <w:b w:val="0"/>
          <w:color w:val="auto"/>
          <w:highlight w:val="none"/>
        </w:rPr>
        <w:t>财政拨款</w:t>
      </w:r>
      <w:r>
        <w:rPr>
          <w:rStyle w:val="30"/>
          <w:rFonts w:hint="eastAsia" w:ascii="黑体" w:hAnsi="黑体" w:eastAsia="黑体"/>
          <w:color w:val="auto"/>
          <w:highlight w:val="none"/>
        </w:rPr>
        <w:t>“</w:t>
      </w:r>
      <w:r>
        <w:rPr>
          <w:rStyle w:val="30"/>
          <w:rFonts w:hint="eastAsia" w:ascii="黑体" w:hAnsi="黑体" w:eastAsia="黑体"/>
          <w:b w:val="0"/>
          <w:color w:val="auto"/>
          <w:highlight w:val="none"/>
        </w:rPr>
        <w:t>三公”经费支出决算情况说明</w:t>
      </w:r>
      <w:bookmarkEnd w:id="62"/>
      <w:bookmarkEnd w:id="63"/>
      <w:bookmarkEnd w:id="64"/>
    </w:p>
    <w:p>
      <w:pPr>
        <w:spacing w:line="600" w:lineRule="exact"/>
        <w:ind w:firstLine="640"/>
        <w:outlineLvl w:val="2"/>
        <w:rPr>
          <w:rFonts w:ascii="仿宋" w:hAnsi="仿宋" w:eastAsia="仿宋"/>
          <w:b/>
          <w:color w:val="auto"/>
          <w:sz w:val="32"/>
          <w:szCs w:val="32"/>
          <w:highlight w:val="none"/>
        </w:rPr>
      </w:pPr>
      <w:bookmarkStart w:id="65" w:name="_Toc15377216"/>
      <w:r>
        <w:rPr>
          <w:rFonts w:hint="eastAsia" w:ascii="仿宋" w:hAnsi="仿宋" w:eastAsia="仿宋"/>
          <w:b/>
          <w:color w:val="auto"/>
          <w:sz w:val="32"/>
          <w:szCs w:val="32"/>
          <w:highlight w:val="none"/>
        </w:rPr>
        <w:t>（一）“三公”经费财政拨款支出决算总体情况说明</w:t>
      </w:r>
      <w:bookmarkEnd w:id="65"/>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2</w:t>
      </w:r>
      <w:r>
        <w:rPr>
          <w:rFonts w:hint="eastAsia" w:ascii="仿宋" w:hAnsi="仿宋" w:eastAsia="仿宋"/>
          <w:sz w:val="32"/>
          <w:szCs w:val="32"/>
        </w:rPr>
        <w:t>年“三公”经费财政拨款支出决算为0万元，完成预算</w:t>
      </w:r>
      <w:r>
        <w:rPr>
          <w:rFonts w:hint="eastAsia" w:ascii="仿宋" w:hAnsi="仿宋" w:eastAsia="仿宋"/>
          <w:sz w:val="32"/>
          <w:szCs w:val="32"/>
          <w:lang w:val="en-US" w:eastAsia="zh-CN"/>
        </w:rPr>
        <w:t>100.00</w:t>
      </w:r>
      <w:r>
        <w:rPr>
          <w:rFonts w:ascii="仿宋" w:hAnsi="仿宋" w:eastAsia="仿宋"/>
          <w:sz w:val="32"/>
          <w:szCs w:val="32"/>
        </w:rPr>
        <w:t>%</w:t>
      </w:r>
      <w:r>
        <w:rPr>
          <w:rFonts w:hint="eastAsia" w:ascii="仿宋" w:hAnsi="仿宋" w:eastAsia="仿宋"/>
          <w:sz w:val="32"/>
          <w:szCs w:val="32"/>
        </w:rPr>
        <w:t>，决算数</w:t>
      </w:r>
      <w:r>
        <w:rPr>
          <w:rFonts w:hint="eastAsia" w:ascii="仿宋" w:hAnsi="仿宋" w:eastAsia="仿宋"/>
          <w:sz w:val="32"/>
          <w:szCs w:val="32"/>
          <w:lang w:eastAsia="zh-CN"/>
        </w:rPr>
        <w:t>等</w:t>
      </w:r>
      <w:r>
        <w:rPr>
          <w:rFonts w:hint="eastAsia" w:ascii="仿宋" w:hAnsi="仿宋" w:eastAsia="仿宋"/>
          <w:sz w:val="32"/>
          <w:szCs w:val="32"/>
        </w:rPr>
        <w:t>于预算数。</w:t>
      </w:r>
    </w:p>
    <w:p>
      <w:pPr>
        <w:spacing w:line="600" w:lineRule="exact"/>
        <w:ind w:firstLine="640"/>
        <w:outlineLvl w:val="2"/>
        <w:rPr>
          <w:rFonts w:ascii="仿宋" w:hAnsi="仿宋" w:eastAsia="仿宋"/>
          <w:b/>
          <w:color w:val="auto"/>
          <w:sz w:val="32"/>
          <w:szCs w:val="32"/>
          <w:highlight w:val="none"/>
        </w:rPr>
      </w:pPr>
      <w:bookmarkStart w:id="66" w:name="_Toc15377217"/>
      <w:r>
        <w:rPr>
          <w:rFonts w:hint="eastAsia" w:ascii="仿宋" w:hAnsi="仿宋" w:eastAsia="仿宋"/>
          <w:b/>
          <w:color w:val="auto"/>
          <w:sz w:val="32"/>
          <w:szCs w:val="32"/>
          <w:highlight w:val="none"/>
        </w:rPr>
        <w:t>（二）“三公”经费财政拨款支出决算具体情况说明</w:t>
      </w:r>
      <w:bookmarkEnd w:id="66"/>
    </w:p>
    <w:p>
      <w:pPr>
        <w:spacing w:line="600" w:lineRule="exact"/>
        <w:ind w:firstLine="640"/>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2</w:t>
      </w:r>
      <w:r>
        <w:rPr>
          <w:rFonts w:hint="eastAsia" w:ascii="仿宋" w:hAnsi="仿宋" w:eastAsia="仿宋"/>
          <w:sz w:val="32"/>
          <w:szCs w:val="32"/>
        </w:rPr>
        <w:t>年“三公”经费财政拨款支出决算中，因公出国（境）费支出决算0万元，占0</w:t>
      </w:r>
      <w:r>
        <w:rPr>
          <w:rFonts w:ascii="仿宋" w:hAnsi="仿宋" w:eastAsia="仿宋"/>
          <w:sz w:val="32"/>
          <w:szCs w:val="32"/>
        </w:rPr>
        <w:t>%</w:t>
      </w:r>
      <w:r>
        <w:rPr>
          <w:rFonts w:hint="eastAsia" w:ascii="仿宋" w:hAnsi="仿宋" w:eastAsia="仿宋"/>
          <w:sz w:val="32"/>
          <w:szCs w:val="32"/>
        </w:rPr>
        <w:t>；公务用车购置及运行维护费支出决算0万元，占0</w:t>
      </w:r>
      <w:r>
        <w:rPr>
          <w:rFonts w:ascii="仿宋" w:hAnsi="仿宋" w:eastAsia="仿宋"/>
          <w:sz w:val="32"/>
          <w:szCs w:val="32"/>
        </w:rPr>
        <w:t>%</w:t>
      </w:r>
      <w:r>
        <w:rPr>
          <w:rFonts w:hint="eastAsia" w:ascii="仿宋" w:hAnsi="仿宋" w:eastAsia="仿宋"/>
          <w:sz w:val="32"/>
          <w:szCs w:val="32"/>
        </w:rPr>
        <w:t>；公务接待费支出决算0万元，占100</w:t>
      </w:r>
      <w:r>
        <w:rPr>
          <w:rFonts w:ascii="仿宋" w:hAnsi="仿宋" w:eastAsia="仿宋"/>
          <w:sz w:val="32"/>
          <w:szCs w:val="32"/>
        </w:rPr>
        <w:t>%</w:t>
      </w:r>
      <w:r>
        <w:rPr>
          <w:rFonts w:hint="eastAsia" w:ascii="仿宋" w:hAnsi="仿宋" w:eastAsia="仿宋"/>
          <w:sz w:val="32"/>
          <w:szCs w:val="32"/>
        </w:rPr>
        <w:t>。具体情况如下：</w:t>
      </w:r>
    </w:p>
    <w:p>
      <w:pPr>
        <w:spacing w:line="600" w:lineRule="exact"/>
        <w:ind w:firstLine="640"/>
        <w:rPr>
          <w:rFonts w:ascii="仿宋_GB2312" w:eastAsia="仿宋_GB2312"/>
          <w:sz w:val="32"/>
          <w:szCs w:val="32"/>
        </w:rPr>
      </w:pPr>
      <w:r>
        <w:rPr>
          <w:rFonts w:ascii="仿宋_GB2312" w:eastAsia="仿宋_GB2312"/>
          <w:b/>
          <w:color w:val="auto"/>
          <w:sz w:val="32"/>
          <w:szCs w:val="32"/>
          <w:highlight w:val="none"/>
        </w:rPr>
        <w:t>1.</w:t>
      </w:r>
      <w:r>
        <w:rPr>
          <w:rFonts w:hint="eastAsia" w:ascii="仿宋_GB2312" w:eastAsia="仿宋_GB2312"/>
          <w:b/>
          <w:color w:val="auto"/>
          <w:sz w:val="32"/>
          <w:szCs w:val="32"/>
          <w:highlight w:val="none"/>
        </w:rPr>
        <w:t>因公出国（境）经费支出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17"/>
          <w:rFonts w:hint="eastAsia" w:ascii="仿宋" w:hAnsi="仿宋" w:eastAsia="仿宋"/>
          <w:b w:val="0"/>
          <w:bCs/>
          <w:color w:val="auto"/>
          <w:sz w:val="32"/>
          <w:szCs w:val="32"/>
          <w:highlight w:val="none"/>
        </w:rPr>
        <w:t>完成预算</w:t>
      </w:r>
      <w:r>
        <w:rPr>
          <w:rStyle w:val="17"/>
          <w:rFonts w:hint="eastAsia" w:ascii="仿宋" w:hAnsi="仿宋" w:eastAsia="仿宋"/>
          <w:b w:val="0"/>
          <w:bCs/>
          <w:color w:val="auto"/>
          <w:sz w:val="32"/>
          <w:szCs w:val="32"/>
          <w:highlight w:val="none"/>
          <w:lang w:val="en-US" w:eastAsia="zh-CN"/>
        </w:rPr>
        <w:t>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全年安排因公出国（境）团组</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次，出国（境）</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人。因公出国（境）支出决算</w:t>
      </w:r>
      <w:r>
        <w:rPr>
          <w:rFonts w:hint="eastAsia" w:ascii="仿宋_GB2312" w:eastAsia="仿宋_GB2312"/>
          <w:sz w:val="32"/>
          <w:szCs w:val="32"/>
        </w:rPr>
        <w:t>与202</w:t>
      </w:r>
      <w:r>
        <w:rPr>
          <w:rFonts w:hint="eastAsia" w:ascii="仿宋_GB2312" w:eastAsia="仿宋_GB2312"/>
          <w:sz w:val="32"/>
          <w:szCs w:val="32"/>
          <w:lang w:val="en-US" w:eastAsia="zh-CN"/>
        </w:rPr>
        <w:t>1</w:t>
      </w:r>
      <w:r>
        <w:rPr>
          <w:rFonts w:hint="eastAsia" w:ascii="仿宋_GB2312" w:eastAsia="仿宋_GB2312"/>
          <w:sz w:val="32"/>
          <w:szCs w:val="32"/>
        </w:rPr>
        <w:t>年持平</w:t>
      </w:r>
      <w:r>
        <w:rPr>
          <w:rFonts w:hint="eastAsia" w:ascii="仿宋_GB2312" w:eastAsia="仿宋_GB2312"/>
          <w:color w:val="auto"/>
          <w:sz w:val="32"/>
          <w:szCs w:val="32"/>
          <w:highlight w:val="none"/>
        </w:rPr>
        <w:t>，增降</w:t>
      </w:r>
      <w:r>
        <w:rPr>
          <w:rFonts w:hint="eastAsia" w:ascii="仿宋_GB2312" w:eastAsia="仿宋_GB2312"/>
          <w:color w:val="auto"/>
          <w:sz w:val="32"/>
          <w:szCs w:val="32"/>
          <w:highlight w:val="none"/>
          <w:lang w:eastAsia="zh-CN"/>
        </w:rPr>
        <w:t>变动</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r>
        <w:rPr>
          <w:rFonts w:hint="eastAsia" w:ascii="仿宋_GB2312" w:eastAsia="仿宋_GB2312"/>
          <w:sz w:val="32"/>
          <w:szCs w:val="32"/>
        </w:rPr>
        <w:t>主要原因是我单位未安排因公出国（境）。</w:t>
      </w:r>
    </w:p>
    <w:p>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eastAsia="仿宋_GB2312"/>
          <w:sz w:val="32"/>
          <w:szCs w:val="32"/>
        </w:rPr>
        <w:t>0万元,</w:t>
      </w:r>
      <w:r>
        <w:rPr>
          <w:rStyle w:val="17"/>
          <w:rFonts w:hint="eastAsia" w:ascii="仿宋" w:hAnsi="仿宋" w:eastAsia="仿宋"/>
          <w:b w:val="0"/>
          <w:bCs/>
          <w:sz w:val="32"/>
          <w:szCs w:val="32"/>
        </w:rPr>
        <w:t>完成预算0</w:t>
      </w:r>
      <w:r>
        <w:rPr>
          <w:rStyle w:val="17"/>
          <w:rFonts w:ascii="仿宋" w:hAnsi="仿宋" w:eastAsia="仿宋"/>
          <w:b w:val="0"/>
          <w:bCs/>
          <w:sz w:val="32"/>
          <w:szCs w:val="32"/>
        </w:rPr>
        <w:t>%</w:t>
      </w:r>
      <w:r>
        <w:rPr>
          <w:rStyle w:val="17"/>
          <w:rFonts w:hint="eastAsia" w:ascii="仿宋" w:hAnsi="仿宋" w:eastAsia="仿宋"/>
          <w:b w:val="0"/>
          <w:bCs/>
          <w:sz w:val="32"/>
          <w:szCs w:val="32"/>
        </w:rPr>
        <w:t>。</w:t>
      </w:r>
      <w:r>
        <w:rPr>
          <w:rFonts w:hint="eastAsia" w:ascii="仿宋_GB2312" w:eastAsia="仿宋_GB2312"/>
          <w:sz w:val="32"/>
          <w:szCs w:val="32"/>
        </w:rPr>
        <w:t>公务用车购置及运行维护费支出决算与202</w:t>
      </w:r>
      <w:r>
        <w:rPr>
          <w:rFonts w:hint="eastAsia" w:ascii="仿宋_GB2312" w:eastAsia="仿宋_GB2312"/>
          <w:sz w:val="32"/>
          <w:szCs w:val="32"/>
          <w:lang w:val="en-US" w:eastAsia="zh-CN"/>
        </w:rPr>
        <w:t>1</w:t>
      </w:r>
      <w:r>
        <w:rPr>
          <w:rFonts w:hint="eastAsia" w:ascii="仿宋_GB2312" w:eastAsia="仿宋_GB2312"/>
          <w:sz w:val="32"/>
          <w:szCs w:val="32"/>
        </w:rPr>
        <w:t>年持平</w:t>
      </w:r>
      <w:r>
        <w:rPr>
          <w:rFonts w:hint="eastAsia" w:ascii="仿宋_GB2312" w:eastAsia="仿宋_GB2312"/>
          <w:sz w:val="32"/>
          <w:szCs w:val="32"/>
          <w:lang w:eastAsia="zh-CN"/>
        </w:rPr>
        <w:t>，</w:t>
      </w:r>
      <w:r>
        <w:rPr>
          <w:rFonts w:hint="eastAsia" w:ascii="仿宋_GB2312" w:eastAsia="仿宋_GB2312"/>
          <w:sz w:val="32"/>
          <w:szCs w:val="32"/>
        </w:rPr>
        <w:t>主要原因是我单位</w:t>
      </w:r>
      <w:r>
        <w:rPr>
          <w:rFonts w:hint="eastAsia" w:ascii="仿宋_GB2312" w:eastAsia="仿宋_GB2312"/>
          <w:sz w:val="32"/>
          <w:szCs w:val="32"/>
          <w:lang w:eastAsia="zh-CN"/>
        </w:rPr>
        <w:t>无</w:t>
      </w:r>
      <w:r>
        <w:rPr>
          <w:rFonts w:hint="eastAsia" w:ascii="仿宋_GB2312" w:eastAsia="仿宋_GB2312"/>
          <w:sz w:val="32"/>
          <w:szCs w:val="32"/>
        </w:rPr>
        <w:t>公务用车。</w:t>
      </w:r>
    </w:p>
    <w:p>
      <w:pPr>
        <w:spacing w:line="600" w:lineRule="exact"/>
        <w:ind w:firstLine="640" w:firstLineChars="200"/>
        <w:rPr>
          <w:rFonts w:ascii="仿宋_GB2312" w:eastAsia="仿宋_GB2312"/>
          <w:b/>
          <w:color w:val="FF0000"/>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hint="eastAsia" w:ascii="仿宋_GB2312" w:eastAsia="仿宋_GB2312"/>
          <w:sz w:val="32"/>
          <w:szCs w:val="32"/>
        </w:rPr>
        <w:t>0万元。全年按规定更新购置公务用车0辆，其中：轿车0辆、金额0万元，越野车0辆、金额0万元，载客汽车0辆、金额0万元。截至</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2</w:t>
      </w:r>
      <w:r>
        <w:rPr>
          <w:rFonts w:hint="eastAsia" w:ascii="仿宋_GB2312" w:eastAsia="仿宋_GB2312"/>
          <w:sz w:val="32"/>
          <w:szCs w:val="32"/>
        </w:rPr>
        <w:t>年</w:t>
      </w:r>
      <w:r>
        <w:rPr>
          <w:rFonts w:ascii="仿宋_GB2312" w:eastAsia="仿宋_GB2312"/>
          <w:sz w:val="32"/>
          <w:szCs w:val="32"/>
        </w:rPr>
        <w:t>12</w:t>
      </w:r>
      <w:r>
        <w:rPr>
          <w:rFonts w:hint="eastAsia" w:ascii="仿宋_GB2312" w:eastAsia="仿宋_GB2312"/>
          <w:sz w:val="32"/>
          <w:szCs w:val="32"/>
        </w:rPr>
        <w:t>月底，单位共有公务用车0辆，其中：轿车0辆、越野车0辆、载客汽车0辆。</w:t>
      </w:r>
    </w:p>
    <w:p>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rFonts w:hint="eastAsia" w:ascii="仿宋_GB2312" w:eastAsia="仿宋_GB2312"/>
          <w:sz w:val="32"/>
          <w:szCs w:val="32"/>
        </w:rPr>
        <w:t>0万元。</w:t>
      </w:r>
    </w:p>
    <w:p>
      <w:pPr>
        <w:spacing w:line="600" w:lineRule="exact"/>
        <w:ind w:firstLine="640"/>
        <w:rPr>
          <w:rFonts w:ascii="仿宋_GB2312" w:eastAsia="仿宋_GB2312"/>
          <w:color w:val="auto"/>
          <w:sz w:val="32"/>
          <w:szCs w:val="32"/>
          <w:highlight w:val="none"/>
        </w:rPr>
      </w:pPr>
      <w:r>
        <w:rPr>
          <w:rFonts w:ascii="仿宋_GB2312" w:eastAsia="仿宋_GB2312"/>
          <w:b/>
          <w:color w:val="auto"/>
          <w:sz w:val="32"/>
          <w:szCs w:val="32"/>
          <w:highlight w:val="none"/>
        </w:rPr>
        <w:t>3.</w:t>
      </w:r>
      <w:r>
        <w:rPr>
          <w:rFonts w:hint="eastAsia" w:ascii="仿宋_GB2312" w:eastAsia="仿宋_GB2312"/>
          <w:b/>
          <w:color w:val="auto"/>
          <w:sz w:val="32"/>
          <w:szCs w:val="32"/>
          <w:highlight w:val="none"/>
        </w:rPr>
        <w:t>公务接待费支出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17"/>
          <w:rFonts w:hint="eastAsia" w:ascii="仿宋" w:hAnsi="仿宋" w:eastAsia="仿宋"/>
          <w:b w:val="0"/>
          <w:bCs/>
          <w:color w:val="auto"/>
          <w:sz w:val="32"/>
          <w:szCs w:val="32"/>
          <w:highlight w:val="none"/>
        </w:rPr>
        <w:t>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公务接待费支出决算比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年减少</w:t>
      </w:r>
      <w:r>
        <w:rPr>
          <w:rFonts w:hint="eastAsia" w:ascii="仿宋_GB2312" w:eastAsia="仿宋_GB2312"/>
          <w:color w:val="auto"/>
          <w:sz w:val="32"/>
          <w:szCs w:val="32"/>
          <w:highlight w:val="none"/>
          <w:lang w:val="en-US" w:eastAsia="zh-CN"/>
        </w:rPr>
        <w:t>0.16</w:t>
      </w:r>
      <w:r>
        <w:rPr>
          <w:rFonts w:hint="eastAsia" w:ascii="仿宋_GB2312" w:eastAsia="仿宋_GB2312"/>
          <w:color w:val="auto"/>
          <w:sz w:val="32"/>
          <w:szCs w:val="32"/>
          <w:highlight w:val="none"/>
        </w:rPr>
        <w:t>万元，下降</w:t>
      </w:r>
      <w:r>
        <w:rPr>
          <w:rFonts w:hint="eastAsia" w:ascii="仿宋_GB2312" w:eastAsia="仿宋_GB2312"/>
          <w:color w:val="auto"/>
          <w:sz w:val="32"/>
          <w:szCs w:val="32"/>
          <w:highlight w:val="none"/>
          <w:lang w:val="en-US" w:eastAsia="zh-CN"/>
        </w:rPr>
        <w:t>100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r>
        <w:rPr>
          <w:rFonts w:hint="eastAsia" w:ascii="仿宋_GB2312" w:eastAsia="仿宋_GB2312"/>
          <w:sz w:val="32"/>
          <w:szCs w:val="32"/>
        </w:rPr>
        <w:t>主要原因是单位今年</w:t>
      </w:r>
      <w:r>
        <w:rPr>
          <w:rFonts w:hint="eastAsia" w:ascii="仿宋_GB2312" w:eastAsia="仿宋_GB2312"/>
          <w:sz w:val="32"/>
          <w:szCs w:val="32"/>
          <w:lang w:eastAsia="zh-CN"/>
        </w:rPr>
        <w:t>暂未</w:t>
      </w:r>
      <w:r>
        <w:rPr>
          <w:rFonts w:hint="eastAsia" w:ascii="仿宋_GB2312" w:eastAsia="仿宋_GB2312"/>
          <w:sz w:val="32"/>
          <w:szCs w:val="32"/>
        </w:rPr>
        <w:t>开展</w:t>
      </w:r>
      <w:r>
        <w:rPr>
          <w:rFonts w:hint="eastAsia" w:ascii="仿宋_GB2312" w:eastAsia="仿宋_GB2312"/>
          <w:sz w:val="32"/>
          <w:szCs w:val="32"/>
          <w:lang w:eastAsia="zh-CN"/>
        </w:rPr>
        <w:t>公务接待</w:t>
      </w:r>
      <w:r>
        <w:rPr>
          <w:rFonts w:hint="eastAsia" w:ascii="仿宋_GB2312" w:eastAsia="仿宋_GB2312"/>
          <w:color w:val="auto"/>
          <w:sz w:val="32"/>
          <w:szCs w:val="32"/>
          <w:highlight w:val="none"/>
        </w:rPr>
        <w:t>。其中：</w:t>
      </w:r>
    </w:p>
    <w:p>
      <w:pPr>
        <w:spacing w:line="600" w:lineRule="exact"/>
        <w:ind w:firstLine="640"/>
        <w:rPr>
          <w:rFonts w:ascii="仿宋_GB2312" w:eastAsia="仿宋_GB2312"/>
          <w:color w:val="auto"/>
          <w:sz w:val="32"/>
          <w:szCs w:val="32"/>
          <w:highlight w:val="none"/>
        </w:rPr>
      </w:pPr>
      <w:r>
        <w:rPr>
          <w:rFonts w:hint="eastAsia" w:ascii="仿宋" w:hAnsi="仿宋" w:eastAsia="仿宋"/>
          <w:b/>
          <w:color w:val="auto"/>
          <w:sz w:val="32"/>
          <w:szCs w:val="32"/>
          <w:highlight w:val="none"/>
        </w:rPr>
        <w:t>国内公务接待支出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万元。国内公务接待</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人次（不包括陪同人员），共计支出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spacing w:line="600" w:lineRule="exact"/>
        <w:ind w:firstLine="643" w:firstLineChars="200"/>
        <w:rPr>
          <w:rFonts w:ascii="仿宋_GB2312" w:eastAsia="仿宋_GB2312"/>
          <w:color w:val="auto"/>
          <w:sz w:val="32"/>
          <w:szCs w:val="32"/>
          <w:highlight w:val="none"/>
        </w:rPr>
      </w:pPr>
      <w:r>
        <w:rPr>
          <w:rFonts w:hint="eastAsia" w:ascii="仿宋" w:hAnsi="仿宋" w:eastAsia="仿宋"/>
          <w:b/>
          <w:color w:val="auto"/>
          <w:sz w:val="32"/>
          <w:szCs w:val="32"/>
          <w:highlight w:val="none"/>
        </w:rPr>
        <w:t>外事接待支出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外事接待</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w:t>
      </w:r>
      <w:r>
        <w:rPr>
          <w:rFonts w:hint="eastAsia" w:ascii="仿宋_GB2312" w:eastAsia="仿宋_GB2312"/>
          <w:color w:val="auto"/>
          <w:sz w:val="32"/>
          <w:szCs w:val="32"/>
          <w:highlight w:val="none"/>
          <w:lang w:eastAsia="zh-CN"/>
        </w:rPr>
        <w:t>次（不包括陪同人员）</w:t>
      </w:r>
      <w:r>
        <w:rPr>
          <w:rFonts w:hint="eastAsia" w:ascii="仿宋_GB2312" w:eastAsia="仿宋_GB2312"/>
          <w:color w:val="auto"/>
          <w:sz w:val="32"/>
          <w:szCs w:val="32"/>
          <w:highlight w:val="none"/>
        </w:rPr>
        <w:t>，共计支出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spacing w:line="600" w:lineRule="exact"/>
        <w:ind w:firstLine="640"/>
        <w:outlineLvl w:val="1"/>
        <w:rPr>
          <w:rStyle w:val="30"/>
          <w:rFonts w:ascii="黑体" w:hAnsi="黑体" w:eastAsia="黑体"/>
          <w:color w:val="auto"/>
          <w:highlight w:val="none"/>
        </w:rPr>
      </w:pPr>
      <w:bookmarkStart w:id="67" w:name="_Toc20775"/>
      <w:bookmarkStart w:id="68" w:name="_Toc15377218"/>
      <w:bookmarkStart w:id="69" w:name="_Toc15396610"/>
      <w:r>
        <w:rPr>
          <w:rFonts w:hint="eastAsia" w:ascii="黑体" w:eastAsia="黑体"/>
          <w:color w:val="auto"/>
          <w:sz w:val="32"/>
          <w:szCs w:val="32"/>
          <w:highlight w:val="none"/>
        </w:rPr>
        <w:t>八、</w:t>
      </w:r>
      <w:r>
        <w:rPr>
          <w:rStyle w:val="30"/>
          <w:rFonts w:hint="eastAsia" w:ascii="黑体" w:hAnsi="黑体" w:eastAsia="黑体"/>
          <w:b w:val="0"/>
          <w:color w:val="auto"/>
          <w:highlight w:val="none"/>
        </w:rPr>
        <w:t>政府性基金预算支出决算情况说明</w:t>
      </w:r>
      <w:bookmarkEnd w:id="67"/>
      <w:bookmarkEnd w:id="68"/>
      <w:bookmarkEnd w:id="69"/>
    </w:p>
    <w:p>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144.93</w:t>
      </w:r>
      <w:r>
        <w:rPr>
          <w:rFonts w:hint="eastAsia" w:ascii="仿宋_GB2312" w:eastAsia="仿宋_GB2312"/>
          <w:color w:val="auto"/>
          <w:sz w:val="32"/>
          <w:szCs w:val="32"/>
          <w:highlight w:val="none"/>
        </w:rPr>
        <w:t>万元。</w:t>
      </w:r>
    </w:p>
    <w:p>
      <w:pPr>
        <w:numPr>
          <w:ilvl w:val="0"/>
          <w:numId w:val="3"/>
        </w:numPr>
        <w:spacing w:line="600" w:lineRule="exact"/>
        <w:ind w:firstLine="640"/>
        <w:outlineLvl w:val="1"/>
        <w:rPr>
          <w:rStyle w:val="30"/>
          <w:rFonts w:ascii="黑体" w:hAnsi="黑体" w:eastAsia="黑体"/>
          <w:b w:val="0"/>
          <w:color w:val="auto"/>
          <w:highlight w:val="none"/>
        </w:rPr>
      </w:pPr>
      <w:bookmarkStart w:id="70" w:name="_Toc17583"/>
      <w:bookmarkStart w:id="71" w:name="_Toc15396611"/>
      <w:bookmarkStart w:id="72" w:name="_Toc15377219"/>
      <w:r>
        <w:rPr>
          <w:rStyle w:val="30"/>
          <w:rFonts w:hint="eastAsia" w:ascii="黑体" w:hAnsi="黑体" w:eastAsia="黑体"/>
          <w:b w:val="0"/>
          <w:color w:val="auto"/>
          <w:highlight w:val="none"/>
        </w:rPr>
        <w:t>国有资本经营预算支出决算情况说明</w:t>
      </w:r>
      <w:bookmarkEnd w:id="70"/>
      <w:bookmarkEnd w:id="71"/>
      <w:bookmarkEnd w:id="72"/>
    </w:p>
    <w:p>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numPr>
          <w:ilvl w:val="0"/>
          <w:numId w:val="3"/>
        </w:numPr>
        <w:spacing w:line="600" w:lineRule="exact"/>
        <w:ind w:firstLine="640"/>
        <w:outlineLvl w:val="1"/>
        <w:rPr>
          <w:rStyle w:val="30"/>
          <w:rFonts w:hint="eastAsia" w:ascii="黑体" w:hAnsi="黑体" w:eastAsia="黑体"/>
          <w:b w:val="0"/>
          <w:color w:val="auto"/>
          <w:highlight w:val="none"/>
        </w:rPr>
      </w:pPr>
      <w:bookmarkStart w:id="73" w:name="_Toc15396612"/>
      <w:bookmarkStart w:id="74" w:name="_Toc27100"/>
      <w:bookmarkStart w:id="75" w:name="_Toc15377221"/>
      <w:r>
        <w:rPr>
          <w:rStyle w:val="30"/>
          <w:rFonts w:hint="eastAsia" w:ascii="黑体" w:hAnsi="黑体" w:eastAsia="黑体"/>
          <w:b w:val="0"/>
          <w:color w:val="auto"/>
          <w:highlight w:val="none"/>
        </w:rPr>
        <w:t>其他重要事项的情况说明</w:t>
      </w:r>
      <w:bookmarkEnd w:id="73"/>
      <w:bookmarkEnd w:id="74"/>
      <w:bookmarkEnd w:id="75"/>
    </w:p>
    <w:p>
      <w:pPr>
        <w:spacing w:line="600" w:lineRule="exact"/>
        <w:ind w:firstLine="643" w:firstLineChars="200"/>
        <w:outlineLvl w:val="2"/>
        <w:rPr>
          <w:rFonts w:ascii="仿宋" w:hAnsi="仿宋" w:eastAsia="仿宋"/>
          <w:color w:val="auto"/>
          <w:sz w:val="32"/>
          <w:szCs w:val="32"/>
          <w:highlight w:val="none"/>
        </w:rPr>
      </w:pPr>
      <w:bookmarkStart w:id="76" w:name="_Toc15377222"/>
      <w:r>
        <w:rPr>
          <w:rFonts w:hint="eastAsia" w:ascii="仿宋" w:hAnsi="仿宋" w:eastAsia="仿宋"/>
          <w:b/>
          <w:color w:val="auto"/>
          <w:sz w:val="32"/>
          <w:szCs w:val="32"/>
          <w:highlight w:val="none"/>
        </w:rPr>
        <w:t>（一）机关运行经费支出情况</w:t>
      </w:r>
      <w:bookmarkEnd w:id="76"/>
    </w:p>
    <w:p>
      <w:pPr>
        <w:spacing w:line="600" w:lineRule="exact"/>
        <w:ind w:firstLine="640" w:firstLineChars="200"/>
        <w:rPr>
          <w:rFonts w:hint="eastAsia" w:ascii="仿宋_GB2312" w:eastAsia="仿宋_GB2312"/>
          <w:color w:val="auto"/>
          <w:sz w:val="32"/>
          <w:szCs w:val="32"/>
          <w:highlight w:val="none"/>
          <w:lang w:eastAsia="zh-CN"/>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区委组织部</w:t>
      </w:r>
      <w:r>
        <w:rPr>
          <w:rFonts w:hint="eastAsia" w:ascii="仿宋_GB2312" w:eastAsia="仿宋_GB2312"/>
          <w:color w:val="auto"/>
          <w:sz w:val="32"/>
          <w:szCs w:val="32"/>
          <w:highlight w:val="none"/>
        </w:rPr>
        <w:t>机关运行经费支出78.13万元，比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年减少</w:t>
      </w:r>
      <w:r>
        <w:rPr>
          <w:rFonts w:hint="eastAsia" w:ascii="仿宋_GB2312" w:eastAsia="仿宋_GB2312"/>
          <w:color w:val="auto"/>
          <w:sz w:val="32"/>
          <w:szCs w:val="32"/>
          <w:highlight w:val="none"/>
          <w:lang w:val="en-US" w:eastAsia="zh-CN"/>
        </w:rPr>
        <w:t>4.54</w:t>
      </w:r>
      <w:r>
        <w:rPr>
          <w:rFonts w:hint="eastAsia" w:ascii="仿宋_GB2312" w:eastAsia="仿宋_GB2312"/>
          <w:color w:val="auto"/>
          <w:sz w:val="32"/>
          <w:szCs w:val="32"/>
          <w:highlight w:val="none"/>
        </w:rPr>
        <w:t>万元，下降</w:t>
      </w:r>
      <w:r>
        <w:rPr>
          <w:rFonts w:hint="eastAsia" w:ascii="仿宋_GB2312" w:eastAsia="仿宋_GB2312"/>
          <w:color w:val="auto"/>
          <w:sz w:val="32"/>
          <w:szCs w:val="32"/>
          <w:highlight w:val="none"/>
          <w:lang w:val="en-US" w:eastAsia="zh-CN"/>
        </w:rPr>
        <w:t>5.49</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eastAsia="zh-CN"/>
        </w:rPr>
        <w:t>单位人员变动调出。</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77" w:name="_Toc15377223"/>
      <w:r>
        <w:rPr>
          <w:rFonts w:hint="eastAsia" w:ascii="仿宋" w:hAnsi="仿宋" w:eastAsia="仿宋"/>
          <w:b/>
          <w:color w:val="auto"/>
          <w:sz w:val="32"/>
          <w:szCs w:val="32"/>
          <w:highlight w:val="none"/>
        </w:rPr>
        <w:t>（二）政府采购支出情况</w:t>
      </w:r>
      <w:bookmarkEnd w:id="77"/>
    </w:p>
    <w:p>
      <w:pPr>
        <w:spacing w:line="60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区委组织部</w:t>
      </w:r>
      <w:r>
        <w:rPr>
          <w:rFonts w:hint="eastAsia" w:ascii="仿宋_GB2312" w:eastAsia="仿宋_GB2312"/>
          <w:color w:val="auto"/>
          <w:sz w:val="32"/>
          <w:szCs w:val="32"/>
          <w:highlight w:val="none"/>
        </w:rPr>
        <w:t>政府采购支出总额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万元，其中：政府采购货物支出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万元、政府采购工程支出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万元、政府采购服务支出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万元。授予中小企业合同金额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，其中：授予小微企业合同金额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78" w:name="_Toc15377224"/>
      <w:r>
        <w:rPr>
          <w:rFonts w:hint="eastAsia" w:ascii="仿宋" w:hAnsi="仿宋" w:eastAsia="仿宋"/>
          <w:b/>
          <w:color w:val="auto"/>
          <w:sz w:val="32"/>
          <w:szCs w:val="32"/>
          <w:highlight w:val="none"/>
        </w:rPr>
        <w:t>（三）国有资产占有使用情况</w:t>
      </w:r>
      <w:bookmarkEnd w:id="78"/>
    </w:p>
    <w:p>
      <w:pPr>
        <w:autoSpaceDE w:val="0"/>
        <w:autoSpaceDN w:val="0"/>
        <w:adjustRightInd w:val="0"/>
        <w:spacing w:line="600" w:lineRule="exact"/>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eastAsia="zh-CN"/>
        </w:rPr>
        <w:t>区委组织部</w:t>
      </w:r>
      <w:r>
        <w:rPr>
          <w:rFonts w:hint="eastAsia" w:ascii="仿宋_GB2312" w:eastAsia="仿宋_GB2312"/>
          <w:color w:val="auto"/>
          <w:sz w:val="32"/>
          <w:szCs w:val="32"/>
          <w:highlight w:val="none"/>
        </w:rPr>
        <w:t>共有车辆</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辆，其中：主要领导干部用车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辆、机要通信用车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辆、应急保障用车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辆、其他用车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万元以上专用设备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（四）预算绩效管理情况</w:t>
      </w:r>
    </w:p>
    <w:p>
      <w:pPr>
        <w:widowControl/>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根据预算绩效管理要求，本部门在202</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年度预算编制阶段，组织对</w:t>
      </w:r>
      <w:r>
        <w:rPr>
          <w:rFonts w:hint="eastAsia" w:ascii="仿宋_GB2312" w:hAnsi="仿宋_GB2312" w:eastAsia="仿宋_GB2312" w:cs="仿宋_GB2312"/>
          <w:color w:val="auto"/>
          <w:sz w:val="32"/>
          <w:szCs w:val="32"/>
          <w:highlight w:val="none"/>
          <w:lang w:val="en-US" w:eastAsia="zh-CN"/>
        </w:rPr>
        <w:t>党报党刊征订经费、干部教育培训经费、公务员管理系统建设、组织工作及考察经费、关工委工作经费、老干部外出疗养及体检费等项目开展了预算事前绩效评估，对5个项目编制了绩效目标，预算执行过</w:t>
      </w:r>
      <w:r>
        <w:rPr>
          <w:rFonts w:hint="eastAsia" w:ascii="仿宋_GB2312" w:hAnsi="仿宋_GB2312" w:eastAsia="仿宋_GB2312" w:cs="仿宋_GB2312"/>
          <w:color w:val="auto"/>
          <w:sz w:val="32"/>
          <w:szCs w:val="32"/>
          <w:highlight w:val="none"/>
        </w:rPr>
        <w:t>程中，选取</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个项目开展绩效监控。</w:t>
      </w:r>
    </w:p>
    <w:p>
      <w:pPr>
        <w:widowControl/>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组织对2022年度一般公共预算、政府性基金预算、国有资本经营预算、社会保险基金预算以及资本资产、债券资金等全面开展绩效自评，形成</w:t>
      </w:r>
      <w:r>
        <w:rPr>
          <w:rFonts w:hint="eastAsia" w:ascii="仿宋_GB2312" w:hAnsi="仿宋_GB2312" w:eastAsia="仿宋_GB2312" w:cs="仿宋_GB2312"/>
          <w:color w:val="auto"/>
          <w:sz w:val="32"/>
          <w:szCs w:val="32"/>
          <w:highlight w:val="none"/>
          <w:lang w:eastAsia="zh-CN"/>
        </w:rPr>
        <w:t>区委组织部</w:t>
      </w:r>
      <w:r>
        <w:rPr>
          <w:rFonts w:hint="eastAsia" w:ascii="仿宋_GB2312" w:hAnsi="仿宋_GB2312" w:eastAsia="仿宋_GB2312" w:cs="仿宋_GB2312"/>
          <w:color w:val="auto"/>
          <w:sz w:val="32"/>
          <w:szCs w:val="32"/>
          <w:highlight w:val="none"/>
        </w:rPr>
        <w:t>部门整体（含部门预算项目）绩效自评报告、</w:t>
      </w:r>
      <w:r>
        <w:rPr>
          <w:rFonts w:hint="eastAsia" w:ascii="仿宋_GB2312" w:hAnsi="仿宋_GB2312" w:eastAsia="仿宋_GB2312" w:cs="仿宋_GB2312"/>
          <w:color w:val="auto"/>
          <w:sz w:val="32"/>
          <w:szCs w:val="32"/>
          <w:highlight w:val="none"/>
          <w:lang w:val="en-US" w:eastAsia="zh-CN"/>
        </w:rPr>
        <w:t>党报党刊征订经费、干部教育培训经费、公务员管理系统建设、组织工作及考察经费、关工委工作经费、老干部外出疗养及体检费</w:t>
      </w:r>
      <w:r>
        <w:rPr>
          <w:rFonts w:hint="eastAsia" w:ascii="仿宋_GB2312" w:hAnsi="仿宋_GB2312" w:eastAsia="仿宋_GB2312" w:cs="仿宋_GB2312"/>
          <w:color w:val="auto"/>
          <w:sz w:val="32"/>
          <w:szCs w:val="32"/>
          <w:highlight w:val="none"/>
        </w:rPr>
        <w:t>等专项预算项目绩效自评报告，其中，</w:t>
      </w:r>
      <w:r>
        <w:rPr>
          <w:rFonts w:hint="eastAsia" w:ascii="仿宋_GB2312" w:hAnsi="仿宋_GB2312" w:eastAsia="仿宋_GB2312" w:cs="仿宋_GB2312"/>
          <w:color w:val="auto"/>
          <w:sz w:val="32"/>
          <w:szCs w:val="32"/>
          <w:highlight w:val="none"/>
          <w:lang w:eastAsia="zh-CN"/>
        </w:rPr>
        <w:t>区委组织部</w:t>
      </w:r>
      <w:r>
        <w:rPr>
          <w:rFonts w:hint="eastAsia" w:ascii="仿宋_GB2312" w:hAnsi="仿宋_GB2312" w:eastAsia="仿宋_GB2312" w:cs="仿宋_GB2312"/>
          <w:color w:val="auto"/>
          <w:sz w:val="32"/>
          <w:szCs w:val="32"/>
          <w:highlight w:val="none"/>
        </w:rPr>
        <w:t>部门整体（含部门预算项目）绩效自评得分为</w:t>
      </w:r>
      <w:r>
        <w:rPr>
          <w:rFonts w:hint="eastAsia" w:ascii="仿宋_GB2312" w:hAnsi="仿宋_GB2312" w:eastAsia="仿宋_GB2312" w:cs="仿宋_GB2312"/>
          <w:color w:val="auto"/>
          <w:sz w:val="32"/>
          <w:szCs w:val="32"/>
          <w:highlight w:val="none"/>
          <w:lang w:val="en-US" w:eastAsia="zh-CN"/>
        </w:rPr>
        <w:t>97</w:t>
      </w:r>
      <w:r>
        <w:rPr>
          <w:rFonts w:hint="eastAsia" w:ascii="仿宋_GB2312" w:hAnsi="仿宋_GB2312" w:eastAsia="仿宋_GB2312" w:cs="仿宋_GB2312"/>
          <w:color w:val="auto"/>
          <w:sz w:val="32"/>
          <w:szCs w:val="32"/>
          <w:highlight w:val="none"/>
        </w:rPr>
        <w:t>分，绩效自评综述：总体来说，2022年度部门预算具有明确的用途和目标，我</w:t>
      </w:r>
      <w:r>
        <w:rPr>
          <w:rFonts w:hint="eastAsia" w:ascii="仿宋_GB2312" w:hAnsi="仿宋_GB2312" w:eastAsia="仿宋_GB2312" w:cs="仿宋_GB2312"/>
          <w:color w:val="auto"/>
          <w:sz w:val="32"/>
          <w:szCs w:val="32"/>
          <w:highlight w:val="none"/>
          <w:lang w:eastAsia="zh-CN"/>
        </w:rPr>
        <w:t>单位</w:t>
      </w:r>
      <w:r>
        <w:rPr>
          <w:rFonts w:hint="eastAsia" w:ascii="仿宋_GB2312" w:hAnsi="仿宋_GB2312" w:eastAsia="仿宋_GB2312" w:cs="仿宋_GB2312"/>
          <w:color w:val="auto"/>
          <w:sz w:val="32"/>
          <w:szCs w:val="32"/>
          <w:highlight w:val="none"/>
        </w:rPr>
        <w:t>预算执行、综合管理、整体绩效方面，都按相关规定严格执行，并合理安排支出,使财政资金</w:t>
      </w:r>
      <w:r>
        <w:rPr>
          <w:rFonts w:hint="eastAsia" w:ascii="仿宋_GB2312" w:hAnsi="仿宋_GB2312" w:eastAsia="仿宋_GB2312" w:cs="仿宋_GB2312"/>
          <w:color w:val="auto"/>
          <w:sz w:val="32"/>
          <w:szCs w:val="32"/>
          <w:highlight w:val="none"/>
          <w:lang w:eastAsia="zh-CN"/>
        </w:rPr>
        <w:t>发挥</w:t>
      </w:r>
      <w:r>
        <w:rPr>
          <w:rFonts w:hint="eastAsia" w:ascii="仿宋_GB2312" w:hAnsi="仿宋_GB2312" w:eastAsia="仿宋_GB2312" w:cs="仿宋_GB2312"/>
          <w:color w:val="auto"/>
          <w:sz w:val="32"/>
          <w:szCs w:val="32"/>
          <w:highlight w:val="none"/>
        </w:rPr>
        <w:t>最大的效益。制定了较为细致</w:t>
      </w:r>
      <w:r>
        <w:rPr>
          <w:rFonts w:hint="eastAsia" w:ascii="仿宋_GB2312" w:hAnsi="仿宋_GB2312" w:eastAsia="仿宋_GB2312" w:cs="仿宋_GB2312"/>
          <w:color w:val="auto"/>
          <w:sz w:val="32"/>
          <w:szCs w:val="32"/>
          <w:highlight w:val="none"/>
          <w:lang w:eastAsia="zh-CN"/>
        </w:rPr>
        <w:t>的</w:t>
      </w:r>
      <w:r>
        <w:rPr>
          <w:rFonts w:hint="eastAsia" w:ascii="仿宋_GB2312" w:hAnsi="仿宋_GB2312" w:eastAsia="仿宋_GB2312" w:cs="仿宋_GB2312"/>
          <w:color w:val="auto"/>
          <w:sz w:val="32"/>
          <w:szCs w:val="32"/>
          <w:highlight w:val="none"/>
        </w:rPr>
        <w:t>执行计划，资金到位及时并严格按照财政有关规定专款专用，保障项目顺利开展时效，并取得了较为满意的社会效益；</w:t>
      </w:r>
    </w:p>
    <w:p>
      <w:pPr>
        <w:widowControl/>
        <w:ind w:firstLine="640" w:firstLineChars="200"/>
        <w:jc w:val="left"/>
        <w:rPr>
          <w:rFonts w:ascii="仿宋_GB2312" w:eastAsia="仿宋_GB2312"/>
          <w:b/>
          <w:color w:val="auto"/>
          <w:sz w:val="32"/>
          <w:szCs w:val="32"/>
          <w:highlight w:val="none"/>
        </w:rPr>
      </w:pPr>
      <w:r>
        <w:rPr>
          <w:rFonts w:hint="eastAsia" w:ascii="仿宋_GB2312" w:hAnsi="仿宋_GB2312" w:eastAsia="仿宋_GB2312" w:cs="仿宋_GB2312"/>
          <w:color w:val="auto"/>
          <w:sz w:val="32"/>
          <w:szCs w:val="32"/>
          <w:highlight w:val="none"/>
          <w:lang w:val="en-US" w:eastAsia="zh-CN"/>
        </w:rPr>
        <w:t>党报党刊征订经费、干部教育培训经费、公务员管理系统建设、组织工作及考察经费、关工委工作经费、老干部外出疗养及体检费等</w:t>
      </w:r>
      <w:r>
        <w:rPr>
          <w:rFonts w:hint="eastAsia" w:ascii="仿宋_GB2312" w:hAnsi="仿宋_GB2312" w:eastAsia="仿宋_GB2312" w:cs="仿宋_GB2312"/>
          <w:color w:val="auto"/>
          <w:sz w:val="32"/>
          <w:szCs w:val="32"/>
          <w:highlight w:val="none"/>
        </w:rPr>
        <w:t>专项经费专项预算项目绩效自评得分</w:t>
      </w:r>
      <w:r>
        <w:rPr>
          <w:rFonts w:hint="eastAsia" w:ascii="仿宋_GB2312" w:hAnsi="仿宋_GB2312" w:eastAsia="仿宋_GB2312" w:cs="仿宋_GB2312"/>
          <w:color w:val="auto"/>
          <w:sz w:val="32"/>
          <w:szCs w:val="32"/>
          <w:highlight w:val="none"/>
          <w:lang w:eastAsia="zh-CN"/>
        </w:rPr>
        <w:t>均在</w:t>
      </w:r>
      <w:r>
        <w:rPr>
          <w:rFonts w:hint="eastAsia" w:ascii="仿宋_GB2312" w:hAnsi="仿宋_GB2312" w:eastAsia="仿宋_GB2312" w:cs="仿宋_GB2312"/>
          <w:color w:val="auto"/>
          <w:sz w:val="32"/>
          <w:szCs w:val="32"/>
          <w:highlight w:val="none"/>
          <w:lang w:val="en-US" w:eastAsia="zh-CN"/>
        </w:rPr>
        <w:t>95</w:t>
      </w:r>
      <w:r>
        <w:rPr>
          <w:rFonts w:hint="eastAsia" w:ascii="仿宋_GB2312" w:hAnsi="仿宋_GB2312" w:eastAsia="仿宋_GB2312" w:cs="仿宋_GB2312"/>
          <w:color w:val="auto"/>
          <w:sz w:val="32"/>
          <w:szCs w:val="32"/>
          <w:highlight w:val="none"/>
        </w:rPr>
        <w:t>分</w:t>
      </w:r>
      <w:r>
        <w:rPr>
          <w:rFonts w:hint="eastAsia" w:ascii="仿宋_GB2312" w:hAnsi="仿宋_GB2312" w:eastAsia="仿宋_GB2312" w:cs="仿宋_GB2312"/>
          <w:color w:val="auto"/>
          <w:sz w:val="32"/>
          <w:szCs w:val="32"/>
          <w:highlight w:val="none"/>
          <w:lang w:eastAsia="zh-CN"/>
        </w:rPr>
        <w:t>以上</w:t>
      </w:r>
      <w:r>
        <w:rPr>
          <w:rFonts w:hint="eastAsia" w:ascii="仿宋_GB2312" w:hAnsi="仿宋_GB2312" w:eastAsia="仿宋_GB2312" w:cs="仿宋_GB2312"/>
          <w:color w:val="auto"/>
          <w:sz w:val="32"/>
          <w:szCs w:val="32"/>
          <w:highlight w:val="none"/>
        </w:rPr>
        <w:t>，绩效自评综述：经过评价小组科学评分，通用指标的项目决策、项目实施、完成结果较好。年度</w:t>
      </w:r>
      <w:r>
        <w:rPr>
          <w:rFonts w:hint="eastAsia" w:ascii="仿宋_GB2312" w:hAnsi="仿宋_GB2312" w:eastAsia="仿宋_GB2312" w:cs="仿宋_GB2312"/>
          <w:color w:val="auto"/>
          <w:sz w:val="32"/>
          <w:szCs w:val="32"/>
          <w:highlight w:val="none"/>
          <w:lang w:eastAsia="zh-CN"/>
        </w:rPr>
        <w:t>组织</w:t>
      </w:r>
      <w:r>
        <w:rPr>
          <w:rFonts w:hint="eastAsia" w:ascii="仿宋_GB2312" w:hAnsi="仿宋_GB2312" w:eastAsia="仿宋_GB2312" w:cs="仿宋_GB2312"/>
          <w:color w:val="auto"/>
          <w:sz w:val="32"/>
          <w:szCs w:val="32"/>
          <w:highlight w:val="none"/>
        </w:rPr>
        <w:t>任务制定科学、合理，严格按照</w:t>
      </w:r>
      <w:r>
        <w:rPr>
          <w:rFonts w:hint="eastAsia" w:ascii="仿宋_GB2312" w:hAnsi="仿宋_GB2312" w:eastAsia="仿宋_GB2312" w:cs="仿宋_GB2312"/>
          <w:color w:val="auto"/>
          <w:sz w:val="32"/>
          <w:szCs w:val="32"/>
          <w:highlight w:val="none"/>
          <w:lang w:eastAsia="zh-CN"/>
        </w:rPr>
        <w:t>年初组织</w:t>
      </w:r>
      <w:r>
        <w:rPr>
          <w:rFonts w:hint="eastAsia" w:ascii="仿宋_GB2312" w:hAnsi="仿宋_GB2312" w:eastAsia="仿宋_GB2312" w:cs="仿宋_GB2312"/>
          <w:color w:val="auto"/>
          <w:sz w:val="32"/>
          <w:szCs w:val="32"/>
          <w:highlight w:val="none"/>
        </w:rPr>
        <w:t>工作规划执行。项目申报内容与具体实施内容相符、申报目标合理可行。在项目实施中，严格按照按需支配的原则，规范支出，符合相关的财务管理制度规定，符合相关管理制度规定。项目实施达到预期目标，符合项目有关规定。项目实施进度如期完成，计划实现的具体绩效目标达到100%，项目实施进度计划达到100%。绩效自评报告详见附件。</w:t>
      </w:r>
      <w:r>
        <w:rPr>
          <w:rFonts w:ascii="仿宋_GB2312" w:eastAsia="仿宋_GB2312"/>
          <w:b/>
          <w:color w:val="auto"/>
          <w:sz w:val="32"/>
          <w:szCs w:val="32"/>
          <w:highlight w:val="none"/>
        </w:rPr>
        <w:br w:type="page"/>
      </w:r>
    </w:p>
    <w:p>
      <w:pPr>
        <w:numPr>
          <w:ilvl w:val="0"/>
          <w:numId w:val="4"/>
        </w:numPr>
        <w:spacing w:line="600" w:lineRule="exact"/>
        <w:ind w:firstLine="660" w:firstLineChars="150"/>
        <w:jc w:val="center"/>
        <w:outlineLvl w:val="0"/>
        <w:rPr>
          <w:rStyle w:val="29"/>
          <w:rFonts w:ascii="黑体" w:hAnsi="黑体" w:eastAsia="黑体"/>
          <w:b w:val="0"/>
          <w:color w:val="auto"/>
          <w:highlight w:val="none"/>
        </w:rPr>
      </w:pPr>
      <w:bookmarkStart w:id="79" w:name="_Toc15396613"/>
      <w:bookmarkStart w:id="80" w:name="_Toc15377225"/>
      <w:bookmarkStart w:id="81" w:name="_Toc8183"/>
      <w:r>
        <w:rPr>
          <w:rFonts w:hint="eastAsia" w:ascii="黑体" w:hAnsi="黑体" w:eastAsia="黑体"/>
          <w:color w:val="auto"/>
          <w:sz w:val="44"/>
          <w:szCs w:val="44"/>
          <w:highlight w:val="none"/>
        </w:rPr>
        <w:t>名</w:t>
      </w:r>
      <w:r>
        <w:rPr>
          <w:rStyle w:val="29"/>
          <w:rFonts w:hint="eastAsia" w:ascii="黑体" w:hAnsi="黑体" w:eastAsia="黑体"/>
          <w:b w:val="0"/>
          <w:color w:val="auto"/>
          <w:highlight w:val="none"/>
        </w:rPr>
        <w:t>词解释</w:t>
      </w:r>
      <w:bookmarkEnd w:id="79"/>
      <w:bookmarkEnd w:id="80"/>
      <w:bookmarkEnd w:id="81"/>
    </w:p>
    <w:p>
      <w:pPr>
        <w:spacing w:line="600" w:lineRule="exact"/>
        <w:jc w:val="left"/>
        <w:rPr>
          <w:rFonts w:ascii="宋体"/>
          <w:b/>
          <w:color w:val="auto"/>
          <w:sz w:val="44"/>
          <w:szCs w:val="44"/>
          <w:highlight w:val="none"/>
        </w:rPr>
      </w:pPr>
    </w:p>
    <w:p>
      <w:pPr>
        <w:pStyle w:val="2"/>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p>
    <w:p>
      <w:pPr>
        <w:pStyle w:val="2"/>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rPr>
        <w:t>事业收入：指事业单位开展专业业务活动及辅助活动取得的收入。</w:t>
      </w:r>
    </w:p>
    <w:p>
      <w:pPr>
        <w:pStyle w:val="2"/>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3.</w:t>
      </w:r>
      <w:r>
        <w:rPr>
          <w:rFonts w:hint="eastAsia" w:ascii="仿宋_GB2312" w:eastAsia="仿宋_GB2312"/>
          <w:color w:val="auto"/>
          <w:sz w:val="32"/>
          <w:szCs w:val="32"/>
          <w:highlight w:val="none"/>
        </w:rPr>
        <w:t>经营收入：指事业单位在专业业务活动及其辅助活动之外开展非独立核算经营活动取得的收入。</w:t>
      </w:r>
    </w:p>
    <w:p>
      <w:pPr>
        <w:pStyle w:val="2"/>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4.</w:t>
      </w:r>
      <w:r>
        <w:rPr>
          <w:rFonts w:hint="eastAsia" w:ascii="仿宋_GB2312" w:eastAsia="仿宋_GB2312"/>
          <w:color w:val="auto"/>
          <w:sz w:val="32"/>
          <w:szCs w:val="32"/>
          <w:highlight w:val="none"/>
        </w:rPr>
        <w:t>其他收入：指单位取得的除上述收入以外的各项收入。</w:t>
      </w:r>
      <w:r>
        <w:rPr>
          <w:rFonts w:ascii="仿宋_GB2312" w:eastAsia="仿宋_GB2312"/>
          <w:color w:val="auto"/>
          <w:sz w:val="32"/>
          <w:szCs w:val="32"/>
          <w:highlight w:val="none"/>
        </w:rPr>
        <w:t xml:space="preserve"> </w:t>
      </w:r>
    </w:p>
    <w:p>
      <w:pPr>
        <w:pStyle w:val="2"/>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5.</w:t>
      </w:r>
      <w:r>
        <w:rPr>
          <w:rFonts w:hint="eastAsia" w:ascii="仿宋_GB2312" w:eastAsia="仿宋_GB2312"/>
          <w:color w:val="auto"/>
          <w:sz w:val="32"/>
          <w:szCs w:val="32"/>
          <w:highlight w:val="none"/>
          <w:lang w:eastAsia="zh-CN"/>
        </w:rPr>
        <w:t>使用非财政拨款结余</w:t>
      </w:r>
      <w:r>
        <w:rPr>
          <w:rFonts w:hint="eastAsia" w:ascii="仿宋_GB2312" w:eastAsia="仿宋_GB2312"/>
          <w:color w:val="auto"/>
          <w:sz w:val="32"/>
          <w:szCs w:val="32"/>
          <w:highlight w:val="none"/>
        </w:rPr>
        <w:t>：指事业单位</w:t>
      </w:r>
      <w:r>
        <w:rPr>
          <w:rFonts w:hint="eastAsia" w:ascii="仿宋_GB2312" w:eastAsia="仿宋_GB2312"/>
          <w:color w:val="auto"/>
          <w:sz w:val="32"/>
          <w:szCs w:val="32"/>
          <w:highlight w:val="none"/>
          <w:lang w:eastAsia="zh-CN"/>
        </w:rPr>
        <w:t>使用以前年度积累的非财政拨款结余弥补当年收支差额的金额。</w:t>
      </w:r>
      <w:r>
        <w:rPr>
          <w:rFonts w:ascii="仿宋_GB2312" w:eastAsia="仿宋_GB2312"/>
          <w:color w:val="auto"/>
          <w:sz w:val="32"/>
          <w:szCs w:val="32"/>
          <w:highlight w:val="none"/>
        </w:rPr>
        <w:t xml:space="preserve"> </w:t>
      </w:r>
    </w:p>
    <w:p>
      <w:pPr>
        <w:pStyle w:val="2"/>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6.</w:t>
      </w:r>
      <w:r>
        <w:rPr>
          <w:rFonts w:hint="eastAsia" w:ascii="仿宋_GB2312" w:eastAsia="仿宋_GB2312"/>
          <w:color w:val="auto"/>
          <w:sz w:val="32"/>
          <w:szCs w:val="32"/>
          <w:highlight w:val="none"/>
        </w:rPr>
        <w:t>年初结转和结余：指以前年度尚未完成、结转到本年按有关规定继续使用的资金。</w:t>
      </w:r>
      <w:r>
        <w:rPr>
          <w:rFonts w:ascii="仿宋_GB2312" w:eastAsia="仿宋_GB2312"/>
          <w:color w:val="auto"/>
          <w:sz w:val="32"/>
          <w:szCs w:val="32"/>
          <w:highlight w:val="none"/>
        </w:rPr>
        <w:t xml:space="preserve"> </w:t>
      </w:r>
    </w:p>
    <w:p>
      <w:pPr>
        <w:pStyle w:val="2"/>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7.</w:t>
      </w:r>
      <w:r>
        <w:rPr>
          <w:rFonts w:hint="eastAsia" w:ascii="仿宋_GB2312" w:eastAsia="仿宋_GB2312"/>
          <w:color w:val="auto"/>
          <w:sz w:val="32"/>
          <w:szCs w:val="32"/>
          <w:highlight w:val="none"/>
        </w:rPr>
        <w:t>结余分配：指事业单位按照会计制度规定</w:t>
      </w:r>
      <w:r>
        <w:rPr>
          <w:rFonts w:hint="eastAsia" w:ascii="仿宋_GB2312" w:eastAsia="仿宋_GB2312"/>
          <w:color w:val="auto"/>
          <w:sz w:val="32"/>
          <w:szCs w:val="32"/>
          <w:highlight w:val="none"/>
          <w:lang w:eastAsia="zh-CN"/>
        </w:rPr>
        <w:t>缴纳的所得税、提取的专用结余以及转入非财政拨款结余的金额</w:t>
      </w:r>
      <w:r>
        <w:rPr>
          <w:rFonts w:hint="eastAsia" w:ascii="仿宋_GB2312" w:eastAsia="仿宋_GB2312"/>
          <w:color w:val="auto"/>
          <w:sz w:val="32"/>
          <w:szCs w:val="32"/>
          <w:highlight w:val="none"/>
        </w:rPr>
        <w:t>等。</w:t>
      </w:r>
    </w:p>
    <w:p>
      <w:pPr>
        <w:pStyle w:val="2"/>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8</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rPr>
        <w:t>年末结转和结余：指单位按有关规定结转到下年或以后年度继续使用的资金。</w:t>
      </w:r>
    </w:p>
    <w:p>
      <w:pPr>
        <w:spacing w:line="600" w:lineRule="exact"/>
        <w:ind w:firstLine="640" w:firstLineChars="200"/>
        <w:rPr>
          <w:rFonts w:hint="eastAsia" w:ascii="仿宋_GB2312" w:hAnsi="Calibri" w:eastAsia="仿宋_GB2312" w:cs="仿宋"/>
          <w:color w:val="auto"/>
          <w:kern w:val="0"/>
          <w:sz w:val="32"/>
          <w:szCs w:val="32"/>
          <w:highlight w:val="none"/>
          <w:lang w:val="en-US" w:eastAsia="zh-CN" w:bidi="ar-SA"/>
        </w:rPr>
      </w:pPr>
      <w:bookmarkStart w:id="82" w:name="_Toc15377226"/>
      <w:r>
        <w:rPr>
          <w:rFonts w:hint="eastAsia" w:ascii="仿宋_GB2312" w:hAnsi="Calibri" w:eastAsia="仿宋_GB2312" w:cs="仿宋"/>
          <w:color w:val="auto"/>
          <w:kern w:val="0"/>
          <w:sz w:val="32"/>
          <w:szCs w:val="32"/>
          <w:highlight w:val="none"/>
          <w:lang w:val="en-US" w:eastAsia="zh-CN" w:bidi="ar-SA"/>
        </w:rPr>
        <w:t>9.一般公共服务（类）党委办公厅（室）及相关机构事务（室）及相关机构事务（款）专项业务（项）: 指党委办公厅(室)及相关机构开展专项业务活动所发生的支出</w:t>
      </w:r>
    </w:p>
    <w:p>
      <w:pPr>
        <w:spacing w:line="600" w:lineRule="exact"/>
        <w:ind w:firstLine="640" w:firstLineChars="200"/>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10.一般公共服务（类）党委办公厅（室）及相关机构事务（室）及相关机构事务（款）事业运行（项）:反映事业单位的基本支出，不包括行政单位(包括实行公务员管理的事业单位)后勤服务中心、医务室等附属事业单位。</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lang w:val="en-US" w:eastAsia="zh-CN"/>
        </w:rPr>
        <w:t>11</w:t>
      </w:r>
      <w:r>
        <w:rPr>
          <w:rFonts w:hint="eastAsia" w:ascii="仿宋" w:hAnsi="仿宋" w:eastAsia="仿宋"/>
          <w:sz w:val="32"/>
          <w:szCs w:val="32"/>
        </w:rPr>
        <w:t xml:space="preserve">.一般公共服务（类）组织事务（款）行政运行（项）: </w:t>
      </w:r>
      <w:r>
        <w:rPr>
          <w:rFonts w:hint="eastAsia" w:ascii="仿宋" w:hAnsi="仿宋" w:eastAsia="仿宋"/>
          <w:sz w:val="32"/>
          <w:szCs w:val="32"/>
          <w:lang w:val="en-US" w:eastAsia="zh-CN"/>
        </w:rPr>
        <w:t>指中国共产党组织部门的支出。反映行政单位(包括实行公务员管理的事业单位)的基本支出</w:t>
      </w:r>
      <w:r>
        <w:rPr>
          <w:rFonts w:hint="eastAsia" w:ascii="仿宋" w:hAnsi="仿宋" w:eastAsia="仿宋"/>
          <w:sz w:val="32"/>
          <w:szCs w:val="32"/>
        </w:rPr>
        <w:t>。</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lang w:val="en-US" w:eastAsia="zh-CN"/>
        </w:rPr>
        <w:t>12</w:t>
      </w:r>
      <w:r>
        <w:rPr>
          <w:rFonts w:hint="eastAsia" w:ascii="仿宋" w:hAnsi="仿宋" w:eastAsia="仿宋"/>
          <w:sz w:val="32"/>
          <w:szCs w:val="32"/>
        </w:rPr>
        <w:t xml:space="preserve">.一般公共服务（类）组织事务（款）一般行政管理事务（项）: </w:t>
      </w:r>
      <w:r>
        <w:rPr>
          <w:rFonts w:hint="eastAsia" w:ascii="仿宋" w:hAnsi="仿宋" w:eastAsia="仿宋"/>
          <w:sz w:val="32"/>
          <w:szCs w:val="32"/>
          <w:lang w:val="en-US" w:eastAsia="zh-CN"/>
        </w:rPr>
        <w:t>指行政单位(包括实行公务员管理的事业单位)未单独设置项级科目的其他项目支出</w:t>
      </w:r>
      <w:r>
        <w:rPr>
          <w:rFonts w:hint="eastAsia" w:ascii="仿宋" w:hAnsi="仿宋" w:eastAsia="仿宋"/>
          <w:sz w:val="32"/>
          <w:szCs w:val="32"/>
        </w:rPr>
        <w:t>。</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lang w:val="en-US" w:eastAsia="zh-CN"/>
        </w:rPr>
        <w:t>13</w:t>
      </w:r>
      <w:r>
        <w:rPr>
          <w:rFonts w:hint="eastAsia" w:ascii="仿宋" w:hAnsi="仿宋" w:eastAsia="仿宋"/>
          <w:sz w:val="32"/>
          <w:szCs w:val="32"/>
        </w:rPr>
        <w:t xml:space="preserve">.一般公共服务（类）组织事务（款）公务员事务（项）: </w:t>
      </w:r>
      <w:r>
        <w:rPr>
          <w:rFonts w:hint="eastAsia" w:ascii="仿宋" w:hAnsi="仿宋" w:eastAsia="仿宋"/>
          <w:sz w:val="32"/>
          <w:szCs w:val="32"/>
          <w:lang w:val="en-US" w:eastAsia="zh-CN"/>
        </w:rPr>
        <w:t>指公务员考核、公务员招考、公务员管理、公务员履职能力提升等方面的支出</w:t>
      </w:r>
      <w:r>
        <w:rPr>
          <w:rFonts w:hint="eastAsia" w:ascii="仿宋" w:hAnsi="仿宋" w:eastAsia="仿宋"/>
          <w:sz w:val="32"/>
          <w:szCs w:val="32"/>
        </w:rPr>
        <w:t>。</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lang w:val="en-US" w:eastAsia="zh-CN"/>
        </w:rPr>
        <w:t>14</w:t>
      </w:r>
      <w:r>
        <w:rPr>
          <w:rFonts w:hint="eastAsia" w:ascii="仿宋" w:hAnsi="仿宋" w:eastAsia="仿宋"/>
          <w:sz w:val="32"/>
          <w:szCs w:val="32"/>
        </w:rPr>
        <w:t xml:space="preserve">.一般公共服务（类）组织事务（款）事业运行（项）: </w:t>
      </w:r>
      <w:r>
        <w:rPr>
          <w:rFonts w:hint="eastAsia" w:ascii="仿宋" w:hAnsi="仿宋" w:eastAsia="仿宋"/>
          <w:sz w:val="32"/>
          <w:szCs w:val="32"/>
          <w:lang w:val="en-US" w:eastAsia="zh-CN"/>
        </w:rPr>
        <w:t>反映事业单位的基本支出，不包括行政单位(包括实行公务员管理的事业单位)后勤服务中心、医务室等附属事业单位。</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lang w:val="en-US" w:eastAsia="zh-CN"/>
        </w:rPr>
        <w:t>15</w:t>
      </w:r>
      <w:r>
        <w:rPr>
          <w:rFonts w:hint="eastAsia" w:ascii="仿宋" w:hAnsi="仿宋" w:eastAsia="仿宋"/>
          <w:sz w:val="32"/>
          <w:szCs w:val="32"/>
        </w:rPr>
        <w:t xml:space="preserve">.一般公共服务（类）组织事务（款）其他组织事务支出（项）: </w:t>
      </w:r>
      <w:r>
        <w:rPr>
          <w:rFonts w:hint="eastAsia" w:ascii="仿宋" w:hAnsi="仿宋" w:eastAsia="仿宋"/>
          <w:sz w:val="32"/>
          <w:szCs w:val="32"/>
          <w:lang w:val="en-US" w:eastAsia="zh-CN"/>
        </w:rPr>
        <w:t>反映除上述项目以外其他用于中国共产党组织部门的事务的支出。</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1</w:t>
      </w:r>
      <w:r>
        <w:rPr>
          <w:rFonts w:hint="eastAsia" w:ascii="仿宋" w:hAnsi="仿宋" w:eastAsia="仿宋"/>
          <w:sz w:val="32"/>
          <w:szCs w:val="32"/>
          <w:lang w:val="en-US" w:eastAsia="zh-CN"/>
        </w:rPr>
        <w:t>6</w:t>
      </w:r>
      <w:r>
        <w:rPr>
          <w:rFonts w:ascii="仿宋" w:hAnsi="仿宋" w:eastAsia="仿宋"/>
          <w:sz w:val="32"/>
          <w:szCs w:val="32"/>
        </w:rPr>
        <w:t>.</w:t>
      </w:r>
      <w:r>
        <w:rPr>
          <w:rFonts w:hint="eastAsia" w:ascii="仿宋" w:hAnsi="仿宋" w:eastAsia="仿宋"/>
          <w:sz w:val="32"/>
          <w:szCs w:val="32"/>
        </w:rPr>
        <w:t>社会保障和就业（类）行政事业单位养老支出（款）  机关事业单位基本养老保险缴费支出（项）</w:t>
      </w:r>
      <w:r>
        <w:rPr>
          <w:rFonts w:ascii="仿宋" w:hAnsi="仿宋" w:eastAsia="仿宋"/>
          <w:sz w:val="32"/>
          <w:szCs w:val="32"/>
        </w:rPr>
        <w:t xml:space="preserve">: </w:t>
      </w:r>
      <w:r>
        <w:rPr>
          <w:rFonts w:hint="eastAsia" w:ascii="仿宋" w:hAnsi="仿宋" w:eastAsia="仿宋"/>
          <w:sz w:val="32"/>
          <w:szCs w:val="32"/>
        </w:rPr>
        <w:t>指机关事业单位实施养老保险制度由单位缴纳的基本养老保险费支出。</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1</w:t>
      </w:r>
      <w:r>
        <w:rPr>
          <w:rFonts w:hint="eastAsia" w:ascii="仿宋" w:hAnsi="仿宋" w:eastAsia="仿宋"/>
          <w:sz w:val="32"/>
          <w:szCs w:val="32"/>
          <w:lang w:val="en-US" w:eastAsia="zh-CN"/>
        </w:rPr>
        <w:t>7</w:t>
      </w:r>
      <w:r>
        <w:rPr>
          <w:rFonts w:ascii="仿宋" w:hAnsi="仿宋" w:eastAsia="仿宋"/>
          <w:sz w:val="32"/>
          <w:szCs w:val="32"/>
        </w:rPr>
        <w:t>.</w:t>
      </w:r>
      <w:r>
        <w:rPr>
          <w:rFonts w:hint="eastAsia" w:ascii="仿宋" w:hAnsi="仿宋" w:eastAsia="仿宋"/>
          <w:sz w:val="32"/>
          <w:szCs w:val="32"/>
        </w:rPr>
        <w:t>社会保障和就业（类）其他社会保障和就业支出（款）其他社会保障和就业支出（项）</w:t>
      </w:r>
      <w:r>
        <w:rPr>
          <w:rFonts w:ascii="仿宋" w:hAnsi="仿宋" w:eastAsia="仿宋"/>
          <w:sz w:val="32"/>
          <w:szCs w:val="32"/>
        </w:rPr>
        <w:t xml:space="preserve">: </w:t>
      </w:r>
      <w:r>
        <w:rPr>
          <w:rFonts w:hint="eastAsia" w:ascii="仿宋" w:hAnsi="仿宋" w:eastAsia="仿宋"/>
          <w:sz w:val="32"/>
          <w:szCs w:val="32"/>
        </w:rPr>
        <w:t>指其他用于社会保障和就业方面的支出</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1</w:t>
      </w:r>
      <w:r>
        <w:rPr>
          <w:rFonts w:hint="eastAsia" w:ascii="仿宋" w:hAnsi="仿宋" w:eastAsia="仿宋"/>
          <w:sz w:val="32"/>
          <w:szCs w:val="32"/>
          <w:lang w:val="en-US" w:eastAsia="zh-CN"/>
        </w:rPr>
        <w:t>8</w:t>
      </w:r>
      <w:r>
        <w:rPr>
          <w:rFonts w:hint="eastAsia" w:ascii="仿宋" w:hAnsi="仿宋" w:eastAsia="仿宋"/>
          <w:sz w:val="32"/>
          <w:szCs w:val="32"/>
        </w:rPr>
        <w:t>.卫生健康支出（类）行政事业单位医疗（款）行政单位医疗（项）:</w:t>
      </w:r>
      <w:r>
        <w:rPr>
          <w:rFonts w:ascii="仿宋" w:hAnsi="仿宋" w:eastAsia="仿宋"/>
          <w:sz w:val="32"/>
          <w:szCs w:val="32"/>
        </w:rPr>
        <w:t xml:space="preserve"> </w:t>
      </w:r>
      <w:r>
        <w:rPr>
          <w:rFonts w:hint="eastAsia" w:ascii="仿宋" w:hAnsi="仿宋" w:eastAsia="仿宋"/>
          <w:sz w:val="32"/>
          <w:szCs w:val="32"/>
        </w:rPr>
        <w:t>指行政事业单位医疗方面的支出</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1</w:t>
      </w:r>
      <w:r>
        <w:rPr>
          <w:rFonts w:hint="eastAsia" w:ascii="仿宋" w:hAnsi="仿宋" w:eastAsia="仿宋"/>
          <w:sz w:val="32"/>
          <w:szCs w:val="32"/>
          <w:lang w:val="en-US" w:eastAsia="zh-CN"/>
        </w:rPr>
        <w:t>9</w:t>
      </w:r>
      <w:r>
        <w:rPr>
          <w:rFonts w:hint="eastAsia" w:ascii="仿宋" w:hAnsi="仿宋" w:eastAsia="仿宋"/>
          <w:sz w:val="32"/>
          <w:szCs w:val="32"/>
        </w:rPr>
        <w:t>.卫生健康支出（类）行政事业单位医疗（款）公务员医疗补助（项）: 指财政部门安排的公务员医疗补助经费。</w:t>
      </w:r>
    </w:p>
    <w:p>
      <w:pPr>
        <w:spacing w:line="600" w:lineRule="exact"/>
        <w:ind w:firstLine="640" w:firstLineChars="200"/>
        <w:rPr>
          <w:rFonts w:ascii="仿宋" w:hAnsi="仿宋" w:eastAsia="仿宋"/>
          <w:sz w:val="32"/>
          <w:szCs w:val="32"/>
        </w:rPr>
      </w:pPr>
      <w:r>
        <w:rPr>
          <w:rFonts w:hint="eastAsia" w:ascii="仿宋" w:hAnsi="仿宋" w:eastAsia="仿宋"/>
          <w:sz w:val="32"/>
          <w:szCs w:val="32"/>
          <w:lang w:val="en-US" w:eastAsia="zh-CN"/>
        </w:rPr>
        <w:t>20</w:t>
      </w:r>
      <w:r>
        <w:rPr>
          <w:rFonts w:hint="eastAsia" w:ascii="仿宋" w:hAnsi="仿宋" w:eastAsia="仿宋"/>
          <w:sz w:val="32"/>
          <w:szCs w:val="32"/>
        </w:rPr>
        <w:t>.住房保障支出（类）住房改革支出（款）住房公积金（项）：指行政事业单位按人力资源和社会保障部、财政部规定的基本工资和津贴补贴以及规定比例为职工缴纳的住房公积金。</w:t>
      </w:r>
    </w:p>
    <w:p>
      <w:pPr>
        <w:ind w:firstLine="640" w:firstLineChars="200"/>
        <w:rPr>
          <w:rFonts w:ascii="仿宋_GB2312" w:eastAsia="仿宋_GB2312"/>
          <w:sz w:val="32"/>
          <w:szCs w:val="32"/>
        </w:rPr>
      </w:pPr>
      <w:r>
        <w:rPr>
          <w:rFonts w:hint="eastAsia" w:ascii="仿宋_GB2312" w:eastAsia="仿宋_GB2312"/>
          <w:sz w:val="32"/>
          <w:szCs w:val="32"/>
          <w:lang w:val="en-US" w:eastAsia="zh-CN"/>
        </w:rPr>
        <w:t>21</w:t>
      </w:r>
      <w:r>
        <w:rPr>
          <w:rFonts w:ascii="仿宋_GB2312" w:eastAsia="仿宋_GB2312"/>
          <w:sz w:val="32"/>
          <w:szCs w:val="32"/>
        </w:rPr>
        <w:t>.</w:t>
      </w:r>
      <w:r>
        <w:rPr>
          <w:rFonts w:hint="eastAsia" w:ascii="仿宋_GB2312" w:eastAsia="仿宋_GB2312"/>
          <w:sz w:val="32"/>
          <w:szCs w:val="32"/>
        </w:rPr>
        <w:t>基本支出：指为保障机构正常运转、完成日常工作任务而发生的人员支出和公用支出。</w:t>
      </w:r>
    </w:p>
    <w:p>
      <w:pPr>
        <w:ind w:firstLine="640" w:firstLineChars="200"/>
        <w:rPr>
          <w:rFonts w:ascii="仿宋_GB2312" w:eastAsia="仿宋_GB2312"/>
          <w:sz w:val="32"/>
          <w:szCs w:val="32"/>
        </w:rPr>
      </w:pPr>
      <w:r>
        <w:rPr>
          <w:rFonts w:hint="eastAsia" w:ascii="仿宋_GB2312" w:eastAsia="仿宋_GB2312"/>
          <w:sz w:val="32"/>
          <w:szCs w:val="32"/>
          <w:lang w:val="en-US" w:eastAsia="zh-CN"/>
        </w:rPr>
        <w:t>22</w:t>
      </w:r>
      <w:r>
        <w:rPr>
          <w:rFonts w:ascii="仿宋_GB2312" w:eastAsia="仿宋_GB2312"/>
          <w:sz w:val="32"/>
          <w:szCs w:val="32"/>
        </w:rPr>
        <w:t>.</w:t>
      </w:r>
      <w:r>
        <w:rPr>
          <w:rFonts w:hint="eastAsia" w:ascii="仿宋_GB2312" w:eastAsia="仿宋_GB2312"/>
          <w:sz w:val="32"/>
          <w:szCs w:val="32"/>
        </w:rPr>
        <w:t>项目支出：指在基本支出之外为完成特定行政任务和事业发展目标所发生的支出。</w:t>
      </w:r>
      <w:r>
        <w:rPr>
          <w:rFonts w:ascii="仿宋_GB2312" w:eastAsia="仿宋_GB2312"/>
          <w:sz w:val="32"/>
          <w:szCs w:val="32"/>
        </w:rPr>
        <w:t xml:space="preserve"> </w:t>
      </w:r>
    </w:p>
    <w:p>
      <w:pPr>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lang w:val="en-US" w:eastAsia="zh-CN"/>
        </w:rPr>
        <w:t>3</w:t>
      </w:r>
      <w:r>
        <w:rPr>
          <w:rFonts w:ascii="仿宋_GB2312" w:eastAsia="仿宋_GB2312"/>
          <w:sz w:val="32"/>
          <w:szCs w:val="32"/>
        </w:rPr>
        <w:t>.</w:t>
      </w:r>
      <w:r>
        <w:rPr>
          <w:rFonts w:hint="eastAsia" w:ascii="仿宋_GB2312" w:eastAsia="仿宋_GB2312"/>
          <w:sz w:val="32"/>
          <w:szCs w:val="32"/>
        </w:rPr>
        <w:t>经营支出：指事业单位在专业业务活动及其辅助活动之外开展非独立核算经营活动发生的支出。</w:t>
      </w:r>
    </w:p>
    <w:p>
      <w:pPr>
        <w:pStyle w:val="2"/>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w:t>
      </w:r>
      <w:r>
        <w:rPr>
          <w:rFonts w:hint="eastAsia" w:ascii="仿宋_GB2312" w:eastAsia="仿宋_GB2312"/>
          <w:color w:val="auto"/>
          <w:sz w:val="32"/>
          <w:szCs w:val="32"/>
          <w:lang w:val="en-US" w:eastAsia="zh-CN"/>
        </w:rPr>
        <w:t>4</w:t>
      </w:r>
      <w:r>
        <w:rPr>
          <w:rFonts w:ascii="仿宋_GB2312" w:eastAsia="仿宋_GB2312"/>
          <w:color w:val="auto"/>
          <w:sz w:val="32"/>
          <w:szCs w:val="32"/>
        </w:rPr>
        <w:t>.</w:t>
      </w:r>
      <w:r>
        <w:rPr>
          <w:rFonts w:hint="eastAsia" w:ascii="仿宋_GB2312" w:eastAsia="仿宋_GB2312"/>
          <w:color w:val="auto"/>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及租用费、燃料费、维修费、过路过桥费、保险费等支出；公务接待费反映单位按规定开支的各类公务接待（含外宾接待）支出。</w:t>
      </w:r>
    </w:p>
    <w:p>
      <w:pPr>
        <w:pStyle w:val="2"/>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w:t>
      </w:r>
      <w:r>
        <w:rPr>
          <w:rFonts w:hint="eastAsia" w:ascii="仿宋_GB2312" w:eastAsia="仿宋_GB2312"/>
          <w:color w:val="auto"/>
          <w:sz w:val="32"/>
          <w:szCs w:val="32"/>
          <w:lang w:val="en-US" w:eastAsia="zh-CN"/>
        </w:rPr>
        <w:t>5</w:t>
      </w:r>
      <w:r>
        <w:rPr>
          <w:rFonts w:ascii="仿宋_GB2312" w:eastAsia="仿宋_GB2312"/>
          <w:color w:val="auto"/>
          <w:sz w:val="32"/>
          <w:szCs w:val="32"/>
        </w:rPr>
        <w:t>.</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29"/>
          <w:rFonts w:hint="eastAsia" w:ascii="黑体" w:hAnsi="黑体" w:eastAsia="黑体"/>
          <w:b w:val="0"/>
          <w:color w:val="auto"/>
          <w:highlight w:val="none"/>
          <w:lang w:eastAsia="zh-CN"/>
        </w:rPr>
      </w:pPr>
      <w:r>
        <w:rPr>
          <w:rFonts w:ascii="宋体"/>
          <w:b/>
          <w:color w:val="auto"/>
          <w:sz w:val="44"/>
          <w:szCs w:val="44"/>
          <w:highlight w:val="none"/>
        </w:rPr>
        <w:br w:type="page"/>
      </w:r>
      <w:bookmarkStart w:id="83" w:name="_Toc24046"/>
      <w:bookmarkStart w:id="84" w:name="_Toc15396614"/>
      <w:r>
        <w:rPr>
          <w:rFonts w:hint="eastAsia" w:ascii="黑体" w:hAnsi="黑体" w:eastAsia="黑体"/>
          <w:color w:val="auto"/>
          <w:sz w:val="44"/>
          <w:szCs w:val="44"/>
          <w:highlight w:val="none"/>
        </w:rPr>
        <w:t>第</w:t>
      </w:r>
      <w:r>
        <w:rPr>
          <w:rStyle w:val="29"/>
          <w:rFonts w:hint="eastAsia" w:ascii="黑体" w:hAnsi="黑体" w:eastAsia="黑体"/>
          <w:b w:val="0"/>
          <w:color w:val="auto"/>
          <w:highlight w:val="none"/>
        </w:rPr>
        <w:t>四部分 附件</w:t>
      </w:r>
      <w:bookmarkEnd w:id="83"/>
      <w:bookmarkEnd w:id="84"/>
    </w:p>
    <w:p>
      <w:pPr>
        <w:keepNext w:val="0"/>
        <w:keepLines w:val="0"/>
        <w:pageBreakBefore w:val="0"/>
        <w:kinsoku/>
        <w:wordWrap/>
        <w:overflowPunct/>
        <w:topLinePunct w:val="0"/>
        <w:autoSpaceDE/>
        <w:autoSpaceDN/>
        <w:bidi w:val="0"/>
        <w:spacing w:line="572" w:lineRule="exact"/>
        <w:jc w:val="left"/>
        <w:textAlignment w:val="auto"/>
        <w:outlineLvl w:val="0"/>
        <w:rPr>
          <w:rFonts w:ascii="方正小标宋简体" w:hAnsi="方正小标宋简体" w:eastAsia="方正小标宋简体" w:cs="方正小标宋简体"/>
          <w:color w:val="auto"/>
          <w:sz w:val="44"/>
          <w:szCs w:val="44"/>
          <w:highlight w:val="none"/>
        </w:rPr>
      </w:pPr>
      <w:bookmarkStart w:id="85" w:name="_Toc20386"/>
      <w:r>
        <w:rPr>
          <w:rFonts w:hint="eastAsia" w:ascii="黑体" w:hAnsi="黑体" w:eastAsia="黑体" w:cs="黑体"/>
          <w:color w:val="auto"/>
          <w:sz w:val="32"/>
          <w:szCs w:val="32"/>
          <w:highlight w:val="none"/>
        </w:rPr>
        <w:t>附件</w:t>
      </w:r>
      <w:bookmarkEnd w:id="85"/>
    </w:p>
    <w:p>
      <w:pPr>
        <w:spacing w:line="572" w:lineRule="exact"/>
        <w:jc w:val="center"/>
        <w:rPr>
          <w:rFonts w:ascii="方正小标宋简体" w:hAnsi="宋体" w:eastAsia="方正小标宋简体"/>
          <w:kern w:val="0"/>
          <w:sz w:val="40"/>
          <w:szCs w:val="44"/>
          <w:lang w:val="zh-CN"/>
        </w:rPr>
      </w:pPr>
      <w:r>
        <w:rPr>
          <w:rFonts w:hint="eastAsia" w:ascii="方正小标宋简体" w:hAnsi="宋体" w:eastAsia="方正小标宋简体"/>
          <w:kern w:val="0"/>
          <w:sz w:val="40"/>
          <w:szCs w:val="44"/>
        </w:rPr>
        <w:t>202</w:t>
      </w:r>
      <w:r>
        <w:rPr>
          <w:rFonts w:hint="eastAsia" w:ascii="方正小标宋简体" w:hAnsi="宋体" w:eastAsia="方正小标宋简体"/>
          <w:kern w:val="0"/>
          <w:sz w:val="40"/>
          <w:szCs w:val="44"/>
          <w:lang w:val="en-US" w:eastAsia="zh-CN"/>
        </w:rPr>
        <w:t>2</w:t>
      </w:r>
      <w:r>
        <w:rPr>
          <w:rFonts w:hint="eastAsia" w:ascii="方正小标宋简体" w:hAnsi="宋体" w:eastAsia="方正小标宋简体"/>
          <w:kern w:val="0"/>
          <w:sz w:val="40"/>
          <w:szCs w:val="44"/>
        </w:rPr>
        <w:t>年</w:t>
      </w:r>
      <w:r>
        <w:rPr>
          <w:rFonts w:hint="eastAsia" w:ascii="方正小标宋简体" w:hAnsi="宋体" w:eastAsia="方正小标宋简体"/>
          <w:kern w:val="0"/>
          <w:sz w:val="40"/>
          <w:szCs w:val="44"/>
          <w:lang w:eastAsia="zh-CN"/>
        </w:rPr>
        <w:t>区委组织部</w:t>
      </w:r>
      <w:r>
        <w:rPr>
          <w:rFonts w:hint="eastAsia" w:ascii="方正小标宋简体" w:hAnsi="宋体" w:eastAsia="方正小标宋简体"/>
          <w:kern w:val="0"/>
          <w:sz w:val="40"/>
          <w:szCs w:val="44"/>
        </w:rPr>
        <w:t>部门整体绩效评价报告</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ascii="黑体" w:hAnsi="宋体" w:eastAsia="黑体" w:cs="宋体"/>
          <w:color w:val="auto"/>
          <w:kern w:val="0"/>
          <w:sz w:val="32"/>
          <w:szCs w:val="32"/>
          <w:highlight w:val="none"/>
          <w:shd w:val="clear" w:color="auto" w:fill="FFFFFF"/>
        </w:rPr>
      </w:pPr>
    </w:p>
    <w:p>
      <w:pPr>
        <w:keepNext w:val="0"/>
        <w:keepLines w:val="0"/>
        <w:pageBreakBefore w:val="0"/>
        <w:widowControl/>
        <w:numPr>
          <w:ilvl w:val="0"/>
          <w:numId w:val="5"/>
        </w:numPr>
        <w:kinsoku/>
        <w:wordWrap/>
        <w:overflowPunct/>
        <w:topLinePunct w:val="0"/>
        <w:autoSpaceDE/>
        <w:autoSpaceDN/>
        <w:bidi w:val="0"/>
        <w:adjustRightInd w:val="0"/>
        <w:snapToGrid w:val="0"/>
        <w:spacing w:line="560" w:lineRule="exact"/>
        <w:ind w:left="-10" w:leftChars="0" w:firstLine="640" w:firstLineChars="0"/>
        <w:contextualSpacing/>
        <w:jc w:val="left"/>
        <w:textAlignment w:val="auto"/>
        <w:rPr>
          <w:rFonts w:hint="eastAsia" w:ascii="黑体" w:hAnsi="宋体" w:eastAsia="黑体" w:cs="宋体"/>
          <w:color w:val="auto"/>
          <w:kern w:val="0"/>
          <w:sz w:val="32"/>
          <w:szCs w:val="32"/>
          <w:highlight w:val="none"/>
          <w:shd w:val="clear" w:color="auto" w:fill="FFFFFF"/>
          <w:lang w:val="zh-CN"/>
        </w:rPr>
      </w:pPr>
      <w:r>
        <w:rPr>
          <w:rFonts w:hint="eastAsia" w:ascii="黑体" w:hAnsi="宋体" w:eastAsia="黑体" w:cs="宋体"/>
          <w:color w:val="auto"/>
          <w:kern w:val="0"/>
          <w:sz w:val="32"/>
          <w:szCs w:val="32"/>
          <w:highlight w:val="none"/>
          <w:shd w:val="clear" w:color="auto" w:fill="FFFFFF"/>
          <w:lang w:val="zh-CN"/>
        </w:rPr>
        <w:t>部门（单位）基本情况</w:t>
      </w:r>
    </w:p>
    <w:p>
      <w:pPr>
        <w:keepNext w:val="0"/>
        <w:keepLines w:val="0"/>
        <w:pageBreakBefore w:val="0"/>
        <w:widowControl/>
        <w:numPr>
          <w:ilvl w:val="0"/>
          <w:numId w:val="6"/>
        </w:numPr>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机构组成。</w:t>
      </w:r>
    </w:p>
    <w:p>
      <w:pPr>
        <w:pStyle w:val="2"/>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default" w:ascii="仿宋_GB2312" w:eastAsia="仿宋_GB2312"/>
          <w:color w:val="auto"/>
          <w:sz w:val="32"/>
          <w:szCs w:val="32"/>
          <w:lang w:val="en-US" w:eastAsia="zh-CN"/>
        </w:rPr>
      </w:pPr>
      <w:r>
        <w:rPr>
          <w:rFonts w:hint="eastAsia" w:ascii="仿宋_GB2312" w:eastAsia="仿宋_GB2312"/>
          <w:color w:val="auto"/>
          <w:sz w:val="32"/>
          <w:szCs w:val="32"/>
          <w:lang w:val="zh-CN"/>
        </w:rPr>
        <w:t>遂宁市区委组织部</w:t>
      </w:r>
      <w:r>
        <w:rPr>
          <w:rFonts w:hint="eastAsia" w:ascii="仿宋_GB2312" w:eastAsia="仿宋_GB2312"/>
          <w:color w:val="auto"/>
          <w:sz w:val="32"/>
          <w:szCs w:val="32"/>
          <w:lang w:val="en-US" w:eastAsia="zh-CN"/>
        </w:rPr>
        <w:t>设内设机构9个，包括：办公室（信息股）、研究室（政策法规股）、组织一股、组织二股（区委党建办综合股）、组织三股（非公经济组织和社会组织工委办公室）、干部股（干部教育培训股）、公务员股（人才股）、干部监督股（干部档案管理室）、老干部股。</w:t>
      </w:r>
    </w:p>
    <w:p>
      <w:pPr>
        <w:keepNext w:val="0"/>
        <w:keepLines w:val="0"/>
        <w:pageBreakBefore w:val="0"/>
        <w:widowControl/>
        <w:numPr>
          <w:ilvl w:val="0"/>
          <w:numId w:val="6"/>
        </w:numPr>
        <w:kinsoku/>
        <w:wordWrap/>
        <w:overflowPunct/>
        <w:topLinePunct w:val="0"/>
        <w:autoSpaceDE/>
        <w:autoSpaceDN/>
        <w:bidi w:val="0"/>
        <w:adjustRightInd w:val="0"/>
        <w:snapToGrid w:val="0"/>
        <w:spacing w:line="560" w:lineRule="exact"/>
        <w:ind w:left="0" w:leftChars="0"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机构职能。</w:t>
      </w:r>
    </w:p>
    <w:p>
      <w:pPr>
        <w:pStyle w:val="2"/>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贯彻新时代党的建设总要求和新时代党的组织路线，落实区委相关决策部署。</w:t>
      </w:r>
    </w:p>
    <w:p>
      <w:pPr>
        <w:pStyle w:val="2"/>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1.负责全区党的组织体系、组织制度建设，负责基层党组织建设规划指导和党员队伍宏观管理，指导开展党员教育工作。</w:t>
      </w:r>
    </w:p>
    <w:p>
      <w:pPr>
        <w:pStyle w:val="2"/>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2.负责全区科级领导班子和干部队伍建设的总体规划和宏观管理.负责区委管理领导班子和领导干部的考察考核、日常管理，提出调整配备建议，审核办理任免、工资、退休、兼职、待遇等有关事项。负责全区优秀年轻干部队伍建设工作。</w:t>
      </w:r>
    </w:p>
    <w:p>
      <w:pPr>
        <w:pStyle w:val="2"/>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3.负责管理全区公务员工作。牵头拟订和组织实施公务员管理政策，承担公务员录用、调配、考核、奖惩、培训、监督、工资福利等工作，指导公务员绩效管理工作。</w:t>
      </w:r>
    </w:p>
    <w:p>
      <w:pPr>
        <w:pStyle w:val="2"/>
        <w:keepNext w:val="0"/>
        <w:keepLines w:val="0"/>
        <w:pageBreakBefore w:val="0"/>
        <w:widowControl w:val="0"/>
        <w:kinsoku/>
        <w:wordWrap/>
        <w:overflowPunct/>
        <w:topLinePunct w:val="0"/>
        <w:autoSpaceDE w:val="0"/>
        <w:autoSpaceDN w:val="0"/>
        <w:bidi w:val="0"/>
        <w:adjustRightInd w:val="0"/>
        <w:snapToGrid/>
        <w:spacing w:line="560" w:lineRule="exact"/>
        <w:ind w:firstLine="480" w:firstLineChars="150"/>
        <w:jc w:val="both"/>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 xml:space="preserve"> 4.负责全区人才工作的宏观指导、组织协调和督促检查，牵头推进人才发展体制机制改革和政策创新。</w:t>
      </w:r>
    </w:p>
    <w:p>
      <w:pPr>
        <w:pStyle w:val="2"/>
        <w:keepNext w:val="0"/>
        <w:keepLines w:val="0"/>
        <w:pageBreakBefore w:val="0"/>
        <w:widowControl w:val="0"/>
        <w:kinsoku/>
        <w:wordWrap/>
        <w:overflowPunct/>
        <w:topLinePunct w:val="0"/>
        <w:autoSpaceDE w:val="0"/>
        <w:autoSpaceDN w:val="0"/>
        <w:bidi w:val="0"/>
        <w:adjustRightInd w:val="0"/>
        <w:snapToGrid/>
        <w:spacing w:line="560" w:lineRule="exact"/>
        <w:ind w:firstLine="480" w:firstLineChars="150"/>
        <w:jc w:val="both"/>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 xml:space="preserve"> 5.负责全区干部教育培训工作的宏观指导、政策规划、组织协调和督促检查，负责区级重点培训项目的策划、实施和管理，指导全区干部教育培训基地建设管理、师资队伍建设等工作。</w:t>
      </w:r>
    </w:p>
    <w:p>
      <w:pPr>
        <w:pStyle w:val="2"/>
        <w:keepNext w:val="0"/>
        <w:keepLines w:val="0"/>
        <w:pageBreakBefore w:val="0"/>
        <w:widowControl w:val="0"/>
        <w:kinsoku/>
        <w:wordWrap/>
        <w:overflowPunct/>
        <w:topLinePunct w:val="0"/>
        <w:autoSpaceDE w:val="0"/>
        <w:autoSpaceDN w:val="0"/>
        <w:bidi w:val="0"/>
        <w:adjustRightInd w:val="0"/>
        <w:snapToGrid/>
        <w:spacing w:line="560" w:lineRule="exact"/>
        <w:ind w:firstLine="480" w:firstLineChars="150"/>
        <w:jc w:val="both"/>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 xml:space="preserve"> 6.负责全区干部监督工作的宏观指导和综合协调，制定和落实干部监督工作制度，组织开展对选人用人工作情况的监督检查，受理和办理有关问题举报，负责领导干部报告个人有关事项工作。</w:t>
      </w:r>
    </w:p>
    <w:p>
      <w:pPr>
        <w:pStyle w:val="2"/>
        <w:keepNext w:val="0"/>
        <w:keepLines w:val="0"/>
        <w:pageBreakBefore w:val="0"/>
        <w:widowControl w:val="0"/>
        <w:kinsoku/>
        <w:wordWrap/>
        <w:overflowPunct/>
        <w:topLinePunct w:val="0"/>
        <w:autoSpaceDE w:val="0"/>
        <w:autoSpaceDN w:val="0"/>
        <w:bidi w:val="0"/>
        <w:adjustRightInd w:val="0"/>
        <w:snapToGrid/>
        <w:spacing w:line="560" w:lineRule="exact"/>
        <w:ind w:firstLine="480" w:firstLineChars="150"/>
        <w:jc w:val="both"/>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 xml:space="preserve"> 7.负责区直机关党的建设工作，审批机关党组织的建立，负责机关党组织领导班子组成人员的任免、培训、考核，审批区直各党委、总支、支部发展党员，领导区直属机关团体及其他事业单位的机关工会、共青团、妇委会等群众组织的工作。</w:t>
      </w:r>
    </w:p>
    <w:p>
      <w:pPr>
        <w:pStyle w:val="2"/>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8.负责全区离退休干部工作的宏观管理指导和离退休干部政策落实情况的督促检查；负责老干部局管理的离退休干部服务管理工作；承担以老干部局名义开展的对外交流合作等工作。</w:t>
      </w:r>
    </w:p>
    <w:p>
      <w:pPr>
        <w:pStyle w:val="2"/>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9.承担区委党建工作领导小组、区人才工作领导小组日常工作。</w:t>
      </w:r>
    </w:p>
    <w:p>
      <w:pPr>
        <w:pStyle w:val="2"/>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10.负责职责范围内安全生产和职业健康、生态环境保护等工作。</w:t>
      </w:r>
    </w:p>
    <w:p>
      <w:pPr>
        <w:pStyle w:val="2"/>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11.归口管理区委机构编制委员会办公室。</w:t>
      </w:r>
    </w:p>
    <w:p>
      <w:pPr>
        <w:pStyle w:val="2"/>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eastAsia="仿宋_GB2312"/>
          <w:color w:val="auto"/>
          <w:sz w:val="32"/>
          <w:szCs w:val="32"/>
          <w:lang w:val="zh-CN" w:eastAsia="zh-CN"/>
        </w:rPr>
      </w:pPr>
      <w:r>
        <w:rPr>
          <w:rFonts w:hint="eastAsia" w:ascii="仿宋_GB2312" w:eastAsia="仿宋_GB2312"/>
          <w:color w:val="auto"/>
          <w:sz w:val="32"/>
          <w:szCs w:val="32"/>
          <w:lang w:val="en-US" w:eastAsia="zh-CN"/>
        </w:rPr>
        <w:t>12.完成区委交办的其他任务。</w:t>
      </w:r>
    </w:p>
    <w:p>
      <w:pPr>
        <w:keepNext w:val="0"/>
        <w:keepLines w:val="0"/>
        <w:pageBreakBefore w:val="0"/>
        <w:widowControl/>
        <w:numPr>
          <w:ilvl w:val="0"/>
          <w:numId w:val="6"/>
        </w:numPr>
        <w:kinsoku/>
        <w:wordWrap/>
        <w:overflowPunct/>
        <w:topLinePunct w:val="0"/>
        <w:autoSpaceDE/>
        <w:autoSpaceDN/>
        <w:bidi w:val="0"/>
        <w:adjustRightInd w:val="0"/>
        <w:snapToGrid w:val="0"/>
        <w:spacing w:line="560" w:lineRule="exact"/>
        <w:ind w:left="0" w:leftChars="0"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仿宋" w:hAnsi="仿宋" w:eastAsia="仿宋"/>
          <w:b/>
          <w:color w:val="auto"/>
          <w:sz w:val="32"/>
          <w:szCs w:val="32"/>
          <w:highlight w:val="none"/>
          <w:lang w:val="zh-CN" w:eastAsia="zh-CN"/>
        </w:rPr>
        <w:t>人员概况</w:t>
      </w:r>
    </w:p>
    <w:p>
      <w:pPr>
        <w:pStyle w:val="2"/>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区委组织部行政编制18名。其中：其中部长1名（常委兼任）；常务副部长1名；副部长2名（不含兼职，其中1名兼任区委非公有制经济组织和社会组织工作委员会书记、区委党建领导小组办公室主任，正科）；机关党总支书记1名；正股级职数9名。保留机关工勤人员控制数2名。机关在职在岗的干部职工28人，县纪委监委派驻纪检组1人，离退休干部职工4人。</w:t>
      </w:r>
    </w:p>
    <w:p>
      <w:pPr>
        <w:pStyle w:val="5"/>
        <w:pageBreakBefore w:val="0"/>
        <w:widowControl w:val="0"/>
        <w:kinsoku/>
        <w:wordWrap/>
        <w:overflowPunct/>
        <w:topLinePunct w:val="0"/>
        <w:bidi w:val="0"/>
        <w:snapToGrid/>
        <w:spacing w:line="360" w:lineRule="exact"/>
        <w:ind w:firstLine="640" w:firstLineChars="200"/>
        <w:textAlignment w:val="auto"/>
        <w:rPr>
          <w:rFonts w:hint="eastAsia" w:ascii="黑体" w:eastAsia="黑体"/>
          <w:b w:val="0"/>
          <w:color w:val="auto"/>
          <w:highlight w:val="none"/>
          <w:lang w:val="en-US" w:eastAsia="zh-CN"/>
        </w:rPr>
      </w:pPr>
      <w:r>
        <w:rPr>
          <w:rFonts w:hint="eastAsia" w:ascii="黑体" w:eastAsia="黑体"/>
          <w:b w:val="0"/>
          <w:color w:val="auto"/>
          <w:highlight w:val="none"/>
          <w:lang w:val="en-US" w:eastAsia="zh-CN"/>
        </w:rPr>
        <w:t>二、部门财政资金收支情况</w:t>
      </w:r>
    </w:p>
    <w:p>
      <w:pPr>
        <w:pageBreakBefore w:val="0"/>
        <w:widowControl w:val="0"/>
        <w:kinsoku/>
        <w:wordWrap/>
        <w:overflowPunct/>
        <w:topLinePunct w:val="0"/>
        <w:autoSpaceDE w:val="0"/>
        <w:autoSpaceDN w:val="0"/>
        <w:bidi w:val="0"/>
        <w:adjustRightInd w:val="0"/>
        <w:snapToGrid/>
        <w:spacing w:line="360" w:lineRule="exact"/>
        <w:ind w:firstLine="643" w:firstLineChars="200"/>
        <w:jc w:val="left"/>
        <w:textAlignment w:val="auto"/>
        <w:outlineLvl w:val="2"/>
        <w:rPr>
          <w:rFonts w:hint="eastAsia" w:ascii="仿宋" w:hAnsi="仿宋" w:eastAsia="仿宋"/>
          <w:b/>
          <w:color w:val="auto"/>
          <w:sz w:val="32"/>
          <w:szCs w:val="32"/>
          <w:highlight w:val="none"/>
          <w:lang w:val="zh-CN" w:eastAsia="zh-CN"/>
        </w:rPr>
      </w:pPr>
      <w:r>
        <w:rPr>
          <w:rFonts w:hint="eastAsia" w:ascii="仿宋" w:hAnsi="仿宋" w:eastAsia="仿宋"/>
          <w:b/>
          <w:color w:val="auto"/>
          <w:sz w:val="32"/>
          <w:szCs w:val="32"/>
          <w:highlight w:val="none"/>
          <w:lang w:val="zh-CN" w:eastAsia="zh-CN"/>
        </w:rPr>
        <w:t>（一）部门财政资金收入情况。</w:t>
      </w:r>
    </w:p>
    <w:p>
      <w:pPr>
        <w:snapToGrid w:val="0"/>
        <w:spacing w:line="576" w:lineRule="exact"/>
        <w:ind w:firstLine="640" w:firstLineChars="200"/>
        <w:rPr>
          <w:rFonts w:hint="eastAsia" w:ascii="仿宋_GB2312" w:hAnsi="仿宋_GB2312" w:eastAsia="仿宋_GB2312" w:cs="仿宋_GB2312"/>
          <w:sz w:val="32"/>
          <w:szCs w:val="32"/>
        </w:rPr>
      </w:pPr>
      <w:r>
        <w:rPr>
          <w:rFonts w:hint="eastAsia" w:ascii="仿宋" w:hAnsi="仿宋" w:eastAsia="仿宋"/>
          <w:sz w:val="32"/>
          <w:szCs w:val="32"/>
        </w:rPr>
        <w:t>202</w:t>
      </w:r>
      <w:r>
        <w:rPr>
          <w:rFonts w:hint="eastAsia" w:ascii="仿宋" w:hAnsi="仿宋" w:eastAsia="仿宋"/>
          <w:sz w:val="32"/>
          <w:szCs w:val="32"/>
          <w:lang w:val="en-US" w:eastAsia="zh-CN"/>
        </w:rPr>
        <w:t>2</w:t>
      </w:r>
      <w:r>
        <w:rPr>
          <w:rFonts w:hint="eastAsia" w:ascii="仿宋" w:hAnsi="仿宋" w:eastAsia="仿宋"/>
          <w:sz w:val="32"/>
          <w:szCs w:val="32"/>
        </w:rPr>
        <w:t>年度</w:t>
      </w:r>
      <w:r>
        <w:rPr>
          <w:rFonts w:hint="eastAsia" w:ascii="仿宋" w:hAnsi="仿宋" w:eastAsia="仿宋"/>
          <w:color w:val="auto"/>
          <w:sz w:val="32"/>
          <w:szCs w:val="32"/>
          <w:highlight w:val="none"/>
        </w:rPr>
        <w:t>财政拨款</w:t>
      </w:r>
      <w:r>
        <w:rPr>
          <w:rFonts w:hint="eastAsia" w:ascii="仿宋" w:hAnsi="仿宋" w:eastAsia="仿宋"/>
          <w:sz w:val="32"/>
          <w:szCs w:val="32"/>
        </w:rPr>
        <w:t>收入总计1,311.52万元</w:t>
      </w:r>
      <w:r>
        <w:rPr>
          <w:rFonts w:hint="eastAsia" w:ascii="仿宋" w:hAnsi="仿宋" w:eastAsia="仿宋"/>
          <w:sz w:val="32"/>
          <w:szCs w:val="32"/>
          <w:lang w:eastAsia="zh-CN"/>
        </w:rPr>
        <w:t>，</w:t>
      </w:r>
      <w:r>
        <w:rPr>
          <w:rFonts w:hint="eastAsia" w:ascii="仿宋" w:hAnsi="仿宋" w:eastAsia="仿宋"/>
          <w:sz w:val="32"/>
          <w:szCs w:val="32"/>
        </w:rPr>
        <w:t>与202</w:t>
      </w:r>
      <w:r>
        <w:rPr>
          <w:rFonts w:hint="eastAsia" w:ascii="仿宋" w:hAnsi="仿宋" w:eastAsia="仿宋"/>
          <w:sz w:val="32"/>
          <w:szCs w:val="32"/>
          <w:lang w:val="en-US" w:eastAsia="zh-CN"/>
        </w:rPr>
        <w:t>1</w:t>
      </w:r>
      <w:r>
        <w:rPr>
          <w:rFonts w:hint="eastAsia" w:ascii="仿宋" w:hAnsi="仿宋" w:eastAsia="仿宋"/>
          <w:sz w:val="32"/>
          <w:szCs w:val="32"/>
        </w:rPr>
        <w:t>年相比，</w:t>
      </w:r>
      <w:r>
        <w:rPr>
          <w:rFonts w:hint="eastAsia" w:ascii="仿宋" w:hAnsi="仿宋" w:eastAsia="仿宋"/>
          <w:color w:val="auto"/>
          <w:sz w:val="32"/>
          <w:szCs w:val="32"/>
          <w:highlight w:val="none"/>
        </w:rPr>
        <w:t>财政拨款</w:t>
      </w:r>
      <w:r>
        <w:rPr>
          <w:rFonts w:hint="eastAsia" w:ascii="仿宋" w:hAnsi="仿宋" w:eastAsia="仿宋"/>
          <w:sz w:val="32"/>
          <w:szCs w:val="32"/>
        </w:rPr>
        <w:t>收入总计</w:t>
      </w:r>
      <w:r>
        <w:rPr>
          <w:rFonts w:hint="eastAsia" w:ascii="仿宋" w:hAnsi="仿宋" w:eastAsia="仿宋"/>
          <w:sz w:val="32"/>
          <w:szCs w:val="32"/>
          <w:lang w:eastAsia="zh-CN"/>
        </w:rPr>
        <w:t>减少</w:t>
      </w:r>
      <w:r>
        <w:rPr>
          <w:rFonts w:hint="eastAsia" w:ascii="仿宋" w:hAnsi="仿宋" w:eastAsia="仿宋"/>
          <w:sz w:val="32"/>
          <w:szCs w:val="32"/>
          <w:lang w:val="en-US" w:eastAsia="zh-CN"/>
        </w:rPr>
        <w:t>129.5</w:t>
      </w:r>
      <w:r>
        <w:rPr>
          <w:rFonts w:hint="eastAsia" w:ascii="仿宋" w:hAnsi="仿宋" w:eastAsia="仿宋"/>
          <w:color w:val="auto"/>
          <w:sz w:val="32"/>
          <w:szCs w:val="32"/>
          <w:highlight w:val="none"/>
          <w:lang w:val="en-US" w:eastAsia="zh-CN"/>
        </w:rPr>
        <w:t>6</w:t>
      </w:r>
      <w:r>
        <w:rPr>
          <w:rFonts w:hint="eastAsia" w:ascii="仿宋" w:hAnsi="仿宋" w:eastAsia="仿宋"/>
          <w:sz w:val="32"/>
          <w:szCs w:val="32"/>
        </w:rPr>
        <w:t>万元，</w:t>
      </w:r>
      <w:r>
        <w:rPr>
          <w:rFonts w:hint="eastAsia" w:ascii="仿宋" w:hAnsi="仿宋" w:eastAsia="仿宋"/>
          <w:color w:val="auto"/>
          <w:sz w:val="32"/>
          <w:szCs w:val="32"/>
          <w:highlight w:val="none"/>
        </w:rPr>
        <w:t>下降</w:t>
      </w:r>
      <w:r>
        <w:rPr>
          <w:rFonts w:hint="eastAsia" w:ascii="仿宋" w:hAnsi="仿宋" w:eastAsia="仿宋"/>
          <w:color w:val="auto"/>
          <w:sz w:val="32"/>
          <w:szCs w:val="32"/>
          <w:highlight w:val="none"/>
          <w:lang w:val="en-US" w:eastAsia="zh-CN"/>
        </w:rPr>
        <w:t>8.99</w:t>
      </w:r>
      <w:r>
        <w:rPr>
          <w:rFonts w:hint="eastAsia" w:ascii="仿宋" w:hAnsi="仿宋" w:eastAsia="仿宋"/>
          <w:sz w:val="32"/>
          <w:szCs w:val="32"/>
        </w:rPr>
        <w:t>%</w:t>
      </w:r>
      <w:r>
        <w:rPr>
          <w:rFonts w:hint="eastAsia" w:ascii="仿宋" w:hAnsi="仿宋" w:eastAsia="仿宋"/>
          <w:sz w:val="32"/>
          <w:szCs w:val="32"/>
          <w:lang w:eastAsia="zh-CN"/>
        </w:rPr>
        <w:t>。</w:t>
      </w:r>
      <w:r>
        <w:rPr>
          <w:rFonts w:hint="eastAsia" w:ascii="仿宋_GB2312" w:hAnsi="仿宋_GB2312" w:eastAsia="仿宋_GB2312" w:cs="仿宋_GB2312"/>
          <w:sz w:val="32"/>
          <w:szCs w:val="32"/>
        </w:rPr>
        <w:t>主要原因系本年度</w:t>
      </w:r>
      <w:r>
        <w:rPr>
          <w:rFonts w:hint="eastAsia" w:ascii="仿宋_GB2312" w:hAnsi="仿宋_GB2312" w:eastAsia="仿宋_GB2312" w:cs="仿宋_GB2312"/>
          <w:sz w:val="32"/>
          <w:szCs w:val="32"/>
          <w:lang w:eastAsia="zh-CN"/>
        </w:rPr>
        <w:t>人员减少以及专项项目合理调整</w:t>
      </w:r>
      <w:r>
        <w:rPr>
          <w:rFonts w:hint="eastAsia" w:ascii="仿宋_GB2312" w:hAnsi="仿宋_GB2312" w:eastAsia="仿宋_GB2312" w:cs="仿宋_GB2312"/>
          <w:sz w:val="32"/>
          <w:szCs w:val="32"/>
        </w:rPr>
        <w:t>。</w:t>
      </w:r>
    </w:p>
    <w:p>
      <w:pPr>
        <w:autoSpaceDE w:val="0"/>
        <w:autoSpaceDN w:val="0"/>
        <w:adjustRightInd w:val="0"/>
        <w:spacing w:line="600" w:lineRule="exact"/>
        <w:ind w:firstLine="643" w:firstLineChars="200"/>
        <w:jc w:val="left"/>
        <w:outlineLvl w:val="2"/>
        <w:rPr>
          <w:rFonts w:hint="eastAsia" w:ascii="仿宋" w:hAnsi="仿宋" w:eastAsia="仿宋"/>
          <w:b/>
          <w:color w:val="auto"/>
          <w:sz w:val="32"/>
          <w:szCs w:val="32"/>
          <w:highlight w:val="none"/>
          <w:lang w:val="zh-CN" w:eastAsia="zh-CN"/>
        </w:rPr>
      </w:pPr>
      <w:r>
        <w:rPr>
          <w:rFonts w:hint="eastAsia" w:ascii="仿宋" w:hAnsi="仿宋" w:eastAsia="仿宋"/>
          <w:b/>
          <w:color w:val="auto"/>
          <w:sz w:val="32"/>
          <w:szCs w:val="32"/>
          <w:highlight w:val="none"/>
          <w:lang w:val="zh-CN" w:eastAsia="zh-CN"/>
        </w:rPr>
        <w:t>（二）部门财政资金支出情况。</w:t>
      </w:r>
    </w:p>
    <w:p>
      <w:pPr>
        <w:snapToGrid w:val="0"/>
        <w:spacing w:line="576" w:lineRule="exact"/>
        <w:ind w:firstLine="640" w:firstLineChars="200"/>
        <w:rPr>
          <w:rFonts w:hint="eastAsia" w:ascii="仿宋_GB2312" w:hAnsi="仿宋_GB2312" w:eastAsia="仿宋_GB2312" w:cs="仿宋_GB2312"/>
          <w:sz w:val="32"/>
          <w:szCs w:val="32"/>
        </w:rPr>
      </w:pPr>
      <w:r>
        <w:rPr>
          <w:rFonts w:hint="eastAsia" w:ascii="仿宋" w:hAnsi="仿宋" w:eastAsia="仿宋"/>
          <w:sz w:val="32"/>
          <w:szCs w:val="32"/>
        </w:rPr>
        <w:t>202</w:t>
      </w:r>
      <w:r>
        <w:rPr>
          <w:rFonts w:hint="eastAsia" w:ascii="仿宋" w:hAnsi="仿宋" w:eastAsia="仿宋"/>
          <w:sz w:val="32"/>
          <w:szCs w:val="32"/>
          <w:lang w:val="en-US" w:eastAsia="zh-CN"/>
        </w:rPr>
        <w:t>2</w:t>
      </w:r>
      <w:r>
        <w:rPr>
          <w:rFonts w:hint="eastAsia" w:ascii="仿宋" w:hAnsi="仿宋" w:eastAsia="仿宋"/>
          <w:sz w:val="32"/>
          <w:szCs w:val="32"/>
        </w:rPr>
        <w:t>年度</w:t>
      </w:r>
      <w:r>
        <w:rPr>
          <w:rFonts w:hint="eastAsia" w:ascii="仿宋" w:hAnsi="仿宋" w:eastAsia="仿宋"/>
          <w:color w:val="auto"/>
          <w:sz w:val="32"/>
          <w:szCs w:val="32"/>
          <w:highlight w:val="none"/>
        </w:rPr>
        <w:t>财政拨款</w:t>
      </w:r>
      <w:r>
        <w:rPr>
          <w:rFonts w:hint="eastAsia" w:ascii="仿宋" w:hAnsi="仿宋" w:eastAsia="仿宋"/>
          <w:sz w:val="32"/>
          <w:szCs w:val="32"/>
        </w:rPr>
        <w:t>支出总计1,311.52万元</w:t>
      </w:r>
      <w:r>
        <w:rPr>
          <w:rFonts w:hint="eastAsia" w:ascii="仿宋" w:hAnsi="仿宋" w:eastAsia="仿宋"/>
          <w:sz w:val="32"/>
          <w:szCs w:val="32"/>
          <w:lang w:eastAsia="zh-CN"/>
        </w:rPr>
        <w:t>，</w:t>
      </w:r>
      <w:r>
        <w:rPr>
          <w:rFonts w:hint="eastAsia" w:ascii="仿宋" w:hAnsi="仿宋" w:eastAsia="仿宋"/>
          <w:sz w:val="32"/>
          <w:szCs w:val="32"/>
        </w:rPr>
        <w:t>与202</w:t>
      </w:r>
      <w:r>
        <w:rPr>
          <w:rFonts w:hint="eastAsia" w:ascii="仿宋" w:hAnsi="仿宋" w:eastAsia="仿宋"/>
          <w:sz w:val="32"/>
          <w:szCs w:val="32"/>
          <w:lang w:val="en-US" w:eastAsia="zh-CN"/>
        </w:rPr>
        <w:t>1</w:t>
      </w:r>
      <w:r>
        <w:rPr>
          <w:rFonts w:hint="eastAsia" w:ascii="仿宋" w:hAnsi="仿宋" w:eastAsia="仿宋"/>
          <w:sz w:val="32"/>
          <w:szCs w:val="32"/>
        </w:rPr>
        <w:t>年相比，</w:t>
      </w:r>
      <w:r>
        <w:rPr>
          <w:rFonts w:hint="eastAsia" w:ascii="仿宋" w:hAnsi="仿宋" w:eastAsia="仿宋"/>
          <w:color w:val="auto"/>
          <w:sz w:val="32"/>
          <w:szCs w:val="32"/>
          <w:highlight w:val="none"/>
        </w:rPr>
        <w:t>财政拨款</w:t>
      </w:r>
      <w:r>
        <w:rPr>
          <w:rFonts w:hint="eastAsia" w:ascii="仿宋" w:hAnsi="仿宋" w:eastAsia="仿宋"/>
          <w:sz w:val="32"/>
          <w:szCs w:val="32"/>
        </w:rPr>
        <w:t>支出总计</w:t>
      </w:r>
      <w:r>
        <w:rPr>
          <w:rFonts w:hint="eastAsia" w:ascii="仿宋" w:hAnsi="仿宋" w:eastAsia="仿宋"/>
          <w:sz w:val="32"/>
          <w:szCs w:val="32"/>
          <w:lang w:eastAsia="zh-CN"/>
        </w:rPr>
        <w:t>减少</w:t>
      </w:r>
      <w:r>
        <w:rPr>
          <w:rFonts w:hint="eastAsia" w:ascii="仿宋" w:hAnsi="仿宋" w:eastAsia="仿宋"/>
          <w:sz w:val="32"/>
          <w:szCs w:val="32"/>
          <w:lang w:val="en-US" w:eastAsia="zh-CN"/>
        </w:rPr>
        <w:t>129.5</w:t>
      </w:r>
      <w:r>
        <w:rPr>
          <w:rFonts w:hint="eastAsia" w:ascii="仿宋" w:hAnsi="仿宋" w:eastAsia="仿宋"/>
          <w:color w:val="auto"/>
          <w:sz w:val="32"/>
          <w:szCs w:val="32"/>
          <w:highlight w:val="none"/>
          <w:lang w:val="en-US" w:eastAsia="zh-CN"/>
        </w:rPr>
        <w:t>6</w:t>
      </w:r>
      <w:r>
        <w:rPr>
          <w:rFonts w:hint="eastAsia" w:ascii="仿宋" w:hAnsi="仿宋" w:eastAsia="仿宋"/>
          <w:sz w:val="32"/>
          <w:szCs w:val="32"/>
        </w:rPr>
        <w:t>万元，</w:t>
      </w:r>
      <w:r>
        <w:rPr>
          <w:rFonts w:hint="eastAsia" w:ascii="仿宋" w:hAnsi="仿宋" w:eastAsia="仿宋"/>
          <w:color w:val="auto"/>
          <w:sz w:val="32"/>
          <w:szCs w:val="32"/>
          <w:highlight w:val="none"/>
        </w:rPr>
        <w:t>下降</w:t>
      </w:r>
      <w:r>
        <w:rPr>
          <w:rFonts w:hint="eastAsia" w:ascii="仿宋" w:hAnsi="仿宋" w:eastAsia="仿宋"/>
          <w:color w:val="auto"/>
          <w:sz w:val="32"/>
          <w:szCs w:val="32"/>
          <w:highlight w:val="none"/>
          <w:lang w:val="en-US" w:eastAsia="zh-CN"/>
        </w:rPr>
        <w:t>8.99</w:t>
      </w:r>
      <w:r>
        <w:rPr>
          <w:rFonts w:hint="eastAsia" w:ascii="仿宋" w:hAnsi="仿宋" w:eastAsia="仿宋"/>
          <w:sz w:val="32"/>
          <w:szCs w:val="32"/>
        </w:rPr>
        <w:t>%</w:t>
      </w:r>
      <w:r>
        <w:rPr>
          <w:rFonts w:hint="eastAsia" w:ascii="仿宋" w:hAnsi="仿宋" w:eastAsia="仿宋"/>
          <w:sz w:val="32"/>
          <w:szCs w:val="32"/>
          <w:lang w:eastAsia="zh-CN"/>
        </w:rPr>
        <w:t>。</w:t>
      </w:r>
      <w:r>
        <w:rPr>
          <w:rFonts w:hint="eastAsia" w:ascii="仿宋_GB2312" w:hAnsi="仿宋_GB2312" w:eastAsia="仿宋_GB2312" w:cs="仿宋_GB2312"/>
          <w:sz w:val="32"/>
          <w:szCs w:val="32"/>
        </w:rPr>
        <w:t>主要原因系本年度</w:t>
      </w:r>
      <w:r>
        <w:rPr>
          <w:rFonts w:hint="eastAsia" w:ascii="仿宋_GB2312" w:hAnsi="仿宋_GB2312" w:eastAsia="仿宋_GB2312" w:cs="仿宋_GB2312"/>
          <w:sz w:val="32"/>
          <w:szCs w:val="32"/>
          <w:lang w:eastAsia="zh-CN"/>
        </w:rPr>
        <w:t>人员减少以及专项项目合理调整</w:t>
      </w:r>
      <w:r>
        <w:rPr>
          <w:rFonts w:hint="eastAsia" w:ascii="仿宋_GB2312" w:hAnsi="仿宋_GB2312" w:eastAsia="仿宋_GB2312" w:cs="仿宋_GB2312"/>
          <w:sz w:val="32"/>
          <w:szCs w:val="32"/>
        </w:rPr>
        <w:t>。</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黑体" w:hAnsi="黑体" w:eastAsia="黑体" w:cs="黑体"/>
          <w:b w:val="0"/>
          <w:bCs w:val="0"/>
          <w:color w:val="auto"/>
          <w:kern w:val="0"/>
          <w:sz w:val="32"/>
          <w:szCs w:val="32"/>
          <w:highlight w:val="none"/>
          <w:shd w:val="clear" w:color="auto" w:fill="FFFFFF"/>
          <w:lang w:val="zh-CN"/>
        </w:rPr>
      </w:pPr>
      <w:r>
        <w:rPr>
          <w:rFonts w:hint="eastAsia" w:ascii="黑体" w:hAnsi="黑体" w:eastAsia="黑体" w:cs="黑体"/>
          <w:b w:val="0"/>
          <w:bCs w:val="0"/>
          <w:color w:val="auto"/>
          <w:kern w:val="0"/>
          <w:sz w:val="32"/>
          <w:szCs w:val="32"/>
          <w:highlight w:val="none"/>
          <w:shd w:val="clear" w:color="auto" w:fill="FFFFFF"/>
          <w:lang w:val="zh-CN"/>
        </w:rPr>
        <w:t>三、部门整体预算绩效管理情况</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zh-CN" w:eastAsia="zh-CN"/>
        </w:rPr>
      </w:pPr>
      <w:r>
        <w:rPr>
          <w:rFonts w:hint="eastAsia" w:ascii="楷体_GB2312" w:hAnsi="楷体_GB2312" w:eastAsia="楷体_GB2312" w:cs="楷体_GB2312"/>
          <w:b/>
          <w:bCs/>
          <w:color w:val="auto"/>
          <w:kern w:val="0"/>
          <w:sz w:val="32"/>
          <w:szCs w:val="32"/>
          <w:highlight w:val="none"/>
          <w:shd w:val="clear" w:color="auto" w:fill="FFFFFF"/>
          <w:lang w:val="zh-CN"/>
        </w:rPr>
        <w:t>（一）部门预算项目绩效</w:t>
      </w:r>
      <w:r>
        <w:rPr>
          <w:rFonts w:hint="eastAsia" w:ascii="仿宋" w:hAnsi="仿宋" w:eastAsia="仿宋"/>
          <w:b/>
          <w:color w:val="auto"/>
          <w:sz w:val="32"/>
          <w:szCs w:val="32"/>
          <w:highlight w:val="none"/>
          <w:lang w:val="zh-CN" w:eastAsia="zh-CN"/>
        </w:rPr>
        <w:t>管理</w:t>
      </w:r>
      <w:r>
        <w:rPr>
          <w:rFonts w:hint="eastAsia" w:ascii="楷体_GB2312" w:hAnsi="楷体_GB2312" w:eastAsia="楷体_GB2312" w:cs="楷体_GB2312"/>
          <w:b/>
          <w:bCs/>
          <w:color w:val="auto"/>
          <w:kern w:val="0"/>
          <w:sz w:val="32"/>
          <w:szCs w:val="32"/>
          <w:highlight w:val="none"/>
          <w:shd w:val="clear" w:color="auto" w:fill="FFFFFF"/>
          <w:lang w:val="zh-CN"/>
        </w:rPr>
        <w:t>。</w:t>
      </w:r>
      <w:r>
        <w:rPr>
          <w:rFonts w:hint="eastAsia" w:ascii="仿宋_GB2312" w:hAnsi="仿宋_GB2312" w:eastAsia="仿宋_GB2312" w:cs="仿宋_GB2312"/>
          <w:color w:val="auto"/>
          <w:kern w:val="0"/>
          <w:sz w:val="32"/>
          <w:szCs w:val="32"/>
          <w:highlight w:val="none"/>
          <w:shd w:val="clear" w:color="auto" w:fill="FFFFFF"/>
          <w:lang w:val="zh-CN"/>
        </w:rPr>
        <w:t>（分段表述人员类、运</w:t>
      </w:r>
      <w:r>
        <w:rPr>
          <w:rFonts w:hint="eastAsia" w:ascii="仿宋_GB2312" w:hAnsi="仿宋_GB2312" w:eastAsia="仿宋_GB2312" w:cs="仿宋_GB2312"/>
          <w:b w:val="0"/>
          <w:bCs w:val="0"/>
          <w:color w:val="auto"/>
          <w:kern w:val="0"/>
          <w:sz w:val="32"/>
          <w:szCs w:val="32"/>
          <w:highlight w:val="none"/>
          <w:shd w:val="clear" w:color="auto" w:fill="FFFFFF"/>
          <w:lang w:val="zh-CN" w:eastAsia="zh-CN"/>
        </w:rPr>
        <w:t>转类、特定目标类项目绩效情况和存在问题）</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1.人员类项目绩效分析</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本年度人员类支出530.19万元，完成预算100%，足额保障率100%、按时发放率100%，均达到年初</w:t>
      </w:r>
      <w:r>
        <w:rPr>
          <w:rFonts w:hint="eastAsia" w:ascii="仿宋_GB2312" w:hAnsi="仿宋_GB2312" w:eastAsia="仿宋_GB2312" w:cs="仿宋_GB2312"/>
          <w:b w:val="0"/>
          <w:bCs w:val="0"/>
          <w:color w:val="auto"/>
          <w:kern w:val="0"/>
          <w:sz w:val="32"/>
          <w:szCs w:val="32"/>
          <w:highlight w:val="none"/>
          <w:shd w:val="clear" w:color="auto" w:fill="FFFFFF"/>
          <w:lang w:val="zh-CN" w:eastAsia="zh-CN"/>
        </w:rPr>
        <w:t>绩效目标设定。</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2.运转类项目绩效分析</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本年度运转类支出78.13万元，完成预算100%，足额保障率100%、按时发放率100%，均达到年初</w:t>
      </w:r>
      <w:r>
        <w:rPr>
          <w:rFonts w:hint="eastAsia" w:ascii="仿宋_GB2312" w:hAnsi="仿宋_GB2312" w:eastAsia="仿宋_GB2312" w:cs="仿宋_GB2312"/>
          <w:b w:val="0"/>
          <w:bCs w:val="0"/>
          <w:color w:val="auto"/>
          <w:kern w:val="0"/>
          <w:sz w:val="32"/>
          <w:szCs w:val="32"/>
          <w:highlight w:val="none"/>
          <w:shd w:val="clear" w:color="auto" w:fill="FFFFFF"/>
          <w:lang w:val="zh-CN" w:eastAsia="zh-CN"/>
        </w:rPr>
        <w:t>绩效目标设定。</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3.特定目标类项目绩效分析</w:t>
      </w:r>
    </w:p>
    <w:p>
      <w:pPr>
        <w:keepNext w:val="0"/>
        <w:keepLines w:val="0"/>
        <w:pageBreakBefore w:val="0"/>
        <w:widowControl/>
        <w:kinsoku/>
        <w:wordWrap/>
        <w:overflowPunct/>
        <w:topLinePunct w:val="0"/>
        <w:autoSpaceDE/>
        <w:autoSpaceDN/>
        <w:bidi w:val="0"/>
        <w:adjustRightInd w:val="0"/>
        <w:snapToGrid w:val="0"/>
        <w:spacing w:line="560" w:lineRule="exact"/>
        <w:ind w:firstLine="600" w:firstLineChars="200"/>
        <w:contextualSpacing/>
        <w:jc w:val="both"/>
        <w:textAlignment w:val="auto"/>
        <w:rPr>
          <w:rFonts w:hint="eastAsia"/>
          <w:lang w:val="en-US" w:eastAsia="zh-CN"/>
        </w:rPr>
      </w:pPr>
      <w:r>
        <w:rPr>
          <w:rFonts w:hint="eastAsia" w:ascii="仿宋_GB2312" w:hAnsi="仿宋_GB2312" w:eastAsia="仿宋_GB2312" w:cs="仿宋_GB2312"/>
          <w:color w:val="000000"/>
          <w:spacing w:val="0"/>
          <w:w w:val="100"/>
          <w:position w:val="0"/>
          <w:sz w:val="30"/>
          <w:szCs w:val="30"/>
          <w:lang w:val="en-US" w:eastAsia="zh-CN"/>
        </w:rPr>
        <w:t>2022年</w:t>
      </w:r>
      <w:r>
        <w:rPr>
          <w:rFonts w:hint="eastAsia" w:ascii="仿宋_GB2312" w:hAnsi="仿宋_GB2312" w:eastAsia="仿宋_GB2312" w:cs="仿宋_GB2312"/>
          <w:b w:val="0"/>
          <w:bCs w:val="0"/>
          <w:snapToGrid/>
          <w:kern w:val="2"/>
          <w:sz w:val="32"/>
          <w:szCs w:val="32"/>
          <w:lang w:val="en-US" w:eastAsia="zh-CN" w:bidi="ar-SA"/>
        </w:rPr>
        <w:t>项目支出</w:t>
      </w:r>
      <w:r>
        <w:rPr>
          <w:rFonts w:hint="eastAsia" w:ascii="仿宋_GB2312" w:hAnsi="仿宋_GB2312" w:eastAsia="仿宋_GB2312" w:cs="仿宋_GB2312"/>
          <w:b w:val="0"/>
          <w:bCs w:val="0"/>
          <w:color w:val="auto"/>
          <w:kern w:val="0"/>
          <w:sz w:val="32"/>
          <w:szCs w:val="32"/>
          <w:highlight w:val="none"/>
          <w:shd w:val="clear" w:color="auto" w:fill="FFFFFF"/>
          <w:lang w:val="en-US" w:eastAsia="zh-CN"/>
        </w:rPr>
        <w:t>703.20</w:t>
      </w:r>
      <w:r>
        <w:rPr>
          <w:rFonts w:hint="eastAsia" w:ascii="仿宋_GB2312" w:hAnsi="仿宋_GB2312" w:eastAsia="仿宋_GB2312" w:cs="仿宋_GB2312"/>
          <w:b w:val="0"/>
          <w:bCs w:val="0"/>
          <w:snapToGrid/>
          <w:kern w:val="2"/>
          <w:sz w:val="32"/>
          <w:szCs w:val="32"/>
          <w:lang w:val="en-US" w:eastAsia="zh-CN" w:bidi="ar-SA"/>
        </w:rPr>
        <w:t>万元，专项经费支付率100%，</w:t>
      </w:r>
      <w:r>
        <w:rPr>
          <w:rFonts w:hint="eastAsia" w:ascii="仿宋_GB2312" w:hAnsi="仿宋_GB2312" w:eastAsia="仿宋_GB2312" w:cs="仿宋_GB2312"/>
          <w:b w:val="0"/>
          <w:bCs w:val="0"/>
          <w:color w:val="auto"/>
          <w:kern w:val="0"/>
          <w:sz w:val="32"/>
          <w:szCs w:val="32"/>
          <w:highlight w:val="none"/>
          <w:shd w:val="clear" w:color="auto" w:fill="FFFFFF"/>
          <w:lang w:val="en-US" w:eastAsia="zh-CN"/>
        </w:rPr>
        <w:t>足额保障率100%</w:t>
      </w:r>
      <w:r>
        <w:rPr>
          <w:rFonts w:hint="eastAsia" w:ascii="仿宋_GB2312" w:hAnsi="仿宋_GB2312" w:eastAsia="仿宋_GB2312" w:cs="仿宋_GB2312"/>
          <w:b w:val="0"/>
          <w:bCs w:val="0"/>
          <w:snapToGrid/>
          <w:kern w:val="2"/>
          <w:sz w:val="32"/>
          <w:szCs w:val="32"/>
          <w:lang w:val="en-US" w:eastAsia="zh-CN" w:bidi="ar-SA"/>
        </w:rPr>
        <w:t>。本部门项目支出经费使用与工作执行进度紧密结合，年初制定的项目工作任务目标100%按时完成； 各项目均达到实际的成效，效率指标达优，工作成本节约，没有出现工作质量不高，工作拖欠的现象；项目的社会效益良好，服务对象满意度高。</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（二）结果应用情况。</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shd w:val="clear" w:color="auto" w:fill="FFFFFF"/>
          <w:lang w:val="zh-CN" w:eastAsia="zh-CN"/>
        </w:rPr>
      </w:pPr>
      <w:r>
        <w:rPr>
          <w:rFonts w:hint="eastAsia" w:ascii="仿宋_GB2312" w:hAnsi="仿宋_GB2312" w:eastAsia="仿宋_GB2312" w:cs="仿宋_GB2312"/>
          <w:b w:val="0"/>
          <w:bCs w:val="0"/>
          <w:color w:val="auto"/>
          <w:kern w:val="0"/>
          <w:sz w:val="32"/>
          <w:szCs w:val="32"/>
          <w:highlight w:val="none"/>
          <w:shd w:val="clear" w:color="auto" w:fill="FFFFFF"/>
          <w:lang w:val="zh-CN" w:eastAsia="zh-CN"/>
        </w:rPr>
        <w:t>按要求对2022年部门整体支出情况开展绩效自评，认真做好绩效评价，及时进行信息公开，依法接受上级财政等部门监督。从评价情况来看，整体执行情况良好，符合党中央、国务院和省委、省政府决策部署，资金分配及使用合规合法，取得较好的社会效益，但还存在管理不健全等问题。我部门已及时分析原因并进行结果反馈，将进一步加强预决算管理，确保各项资金发挥最大效益。</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ascii="黑体" w:hAnsi="宋体" w:eastAsia="黑体" w:cs="宋体"/>
          <w:color w:val="auto"/>
          <w:kern w:val="0"/>
          <w:sz w:val="32"/>
          <w:szCs w:val="32"/>
          <w:highlight w:val="none"/>
          <w:shd w:val="clear" w:color="auto" w:fill="FFFFFF"/>
        </w:rPr>
      </w:pPr>
      <w:r>
        <w:rPr>
          <w:rFonts w:hint="eastAsia" w:ascii="黑体" w:hAnsi="宋体" w:eastAsia="黑体" w:cs="宋体"/>
          <w:color w:val="auto"/>
          <w:kern w:val="0"/>
          <w:sz w:val="32"/>
          <w:szCs w:val="32"/>
          <w:highlight w:val="none"/>
          <w:shd w:val="clear" w:color="auto" w:fill="FFFFFF"/>
        </w:rPr>
        <w:t>四、评价结论及建议</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（一）评价结论。</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仿宋_GB2312" w:eastAsia="仿宋_GB2312" w:cs="仿宋_GB2312"/>
          <w:sz w:val="32"/>
          <w:szCs w:val="48"/>
        </w:rPr>
        <w:t>我部门按要求对</w:t>
      </w:r>
      <w:r>
        <w:rPr>
          <w:rFonts w:ascii="Times New Roman" w:hAnsi="Times New Roman" w:eastAsia="仿宋_GB2312" w:cs="Times New Roman"/>
          <w:sz w:val="32"/>
          <w:szCs w:val="48"/>
        </w:rPr>
        <w:t>202</w:t>
      </w:r>
      <w:r>
        <w:rPr>
          <w:rFonts w:hint="eastAsia" w:eastAsia="仿宋_GB2312" w:cs="Times New Roman"/>
          <w:sz w:val="32"/>
          <w:szCs w:val="48"/>
          <w:lang w:val="en-US" w:eastAsia="zh-CN"/>
        </w:rPr>
        <w:t>2</w:t>
      </w:r>
      <w:r>
        <w:rPr>
          <w:rFonts w:hint="eastAsia" w:ascii="仿宋_GB2312" w:hAnsi="仿宋_GB2312" w:eastAsia="仿宋_GB2312" w:cs="仿宋_GB2312"/>
          <w:sz w:val="32"/>
          <w:szCs w:val="48"/>
        </w:rPr>
        <w:t>年部门整体支出情况开展绩效自评，认真做好绩效评价，及时进行信息公开，依法接受上级财政等部门监督。从评价情况来看，项目整体执行情况良好，符合上级决策部署，资金分配及使用合规合法，取得较好的社会效益</w:t>
      </w:r>
      <w:r>
        <w:rPr>
          <w:rFonts w:hint="eastAsia" w:ascii="仿宋_GB2312" w:hAnsi="仿宋_GB2312" w:eastAsia="仿宋_GB2312" w:cs="仿宋_GB2312"/>
          <w:sz w:val="32"/>
          <w:szCs w:val="48"/>
          <w:lang w:eastAsia="zh-CN"/>
        </w:rPr>
        <w:t>。</w:t>
      </w:r>
      <w:r>
        <w:rPr>
          <w:rFonts w:hint="eastAsia" w:ascii="仿宋_GB2312" w:hAnsi="仿宋" w:eastAsia="仿宋_GB2312" w:cs="仿宋_GB2312"/>
          <w:sz w:val="32"/>
          <w:szCs w:val="32"/>
        </w:rPr>
        <w:t>通过绩效评</w:t>
      </w:r>
      <w:r>
        <w:rPr>
          <w:rFonts w:ascii="Times New Roman" w:hAnsi="Times New Roman" w:eastAsia="仿宋_GB2312" w:cs="Times New Roman"/>
          <w:sz w:val="32"/>
          <w:szCs w:val="32"/>
        </w:rPr>
        <w:t>价，202</w:t>
      </w:r>
      <w:r>
        <w:rPr>
          <w:rFonts w:hint="eastAsia" w:eastAsia="仿宋_GB2312" w:cs="Times New Roman"/>
          <w:sz w:val="32"/>
          <w:szCs w:val="32"/>
          <w:lang w:val="en-US" w:eastAsia="zh-CN"/>
        </w:rPr>
        <w:t>2</w:t>
      </w:r>
      <w:r>
        <w:rPr>
          <w:rFonts w:ascii="Times New Roman" w:hAnsi="Times New Roman" w:eastAsia="仿宋_GB2312" w:cs="Times New Roman"/>
          <w:sz w:val="32"/>
          <w:szCs w:val="32"/>
        </w:rPr>
        <w:t>年度部门预算具有明确的用途和目标，通过细致</w:t>
      </w:r>
      <w:r>
        <w:rPr>
          <w:rFonts w:hint="eastAsia" w:eastAsia="仿宋_GB2312" w:cs="Times New Roman"/>
          <w:sz w:val="32"/>
          <w:szCs w:val="32"/>
          <w:lang w:eastAsia="zh-CN"/>
        </w:rPr>
        <w:t>地</w:t>
      </w:r>
      <w:r>
        <w:rPr>
          <w:rFonts w:ascii="Times New Roman" w:hAnsi="Times New Roman" w:eastAsia="仿宋_GB2312" w:cs="Times New Roman"/>
          <w:sz w:val="32"/>
          <w:szCs w:val="32"/>
        </w:rPr>
        <w:t>执行计划，使各项资金及时到位并严格按照财政有关规定使用。预算决策、管理、执行过程逐渐规范，能较好地满足工作需要，保障项目顺利开展时效，并取得了较为满意的社会效益。</w:t>
      </w:r>
    </w:p>
    <w:p>
      <w:pPr>
        <w:keepNext w:val="0"/>
        <w:keepLines w:val="0"/>
        <w:pageBreakBefore w:val="0"/>
        <w:widowControl/>
        <w:numPr>
          <w:ilvl w:val="0"/>
          <w:numId w:val="7"/>
        </w:numPr>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存在问题。</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rPr>
          <w:rFonts w:hint="eastAsia" w:ascii="Times New Roman" w:hAnsi="Times New Roman" w:eastAsia="仿宋_GB2312" w:cs="Times New Roman"/>
          <w:sz w:val="32"/>
          <w:szCs w:val="32"/>
          <w:lang w:val="zh-CN"/>
        </w:rPr>
      </w:pPr>
      <w:r>
        <w:rPr>
          <w:rFonts w:hint="eastAsia" w:ascii="Times New Roman" w:hAnsi="Times New Roman" w:eastAsia="仿宋_GB2312" w:cs="Times New Roman"/>
          <w:sz w:val="32"/>
          <w:szCs w:val="32"/>
          <w:lang w:val="en-US" w:eastAsia="zh-CN"/>
        </w:rPr>
        <w:t>一是</w:t>
      </w:r>
      <w:r>
        <w:rPr>
          <w:rFonts w:hint="eastAsia" w:ascii="Times New Roman" w:hAnsi="Times New Roman" w:eastAsia="仿宋_GB2312" w:cs="Times New Roman"/>
          <w:sz w:val="32"/>
          <w:szCs w:val="32"/>
          <w:lang w:val="zh-CN"/>
        </w:rPr>
        <w:t>对项目资金开支分类需要进一步科学化、规范化，费用开支和绩效产出测得结果不够准确，需要进一步量化。二是组织事务支出涉及资金项目类型较多、对各类专项资金的管理制度还不完善。预算管理、绩效管理、资金管理需要加强。</w:t>
      </w:r>
    </w:p>
    <w:p>
      <w:pPr>
        <w:keepNext w:val="0"/>
        <w:keepLines w:val="0"/>
        <w:pageBreakBefore w:val="0"/>
        <w:widowControl/>
        <w:numPr>
          <w:ilvl w:val="0"/>
          <w:numId w:val="7"/>
        </w:numPr>
        <w:kinsoku/>
        <w:wordWrap/>
        <w:overflowPunct/>
        <w:topLinePunct w:val="0"/>
        <w:autoSpaceDE/>
        <w:autoSpaceDN/>
        <w:bidi w:val="0"/>
        <w:adjustRightInd w:val="0"/>
        <w:snapToGrid w:val="0"/>
        <w:spacing w:line="560" w:lineRule="exact"/>
        <w:ind w:left="0" w:leftChars="0"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改进建议。</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ascii="Times New Roman" w:hAnsi="Times New Roman" w:eastAsia="仿宋_GB2312" w:cs="Times New Roman"/>
          <w:sz w:val="32"/>
          <w:szCs w:val="32"/>
        </w:rPr>
        <w:t>一是加快专项资金拨付进度；</w:t>
      </w:r>
      <w:r>
        <w:rPr>
          <w:rFonts w:hint="eastAsia" w:ascii="Times New Roman" w:hAnsi="Times New Roman" w:eastAsia="仿宋_GB2312" w:cs="Times New Roman"/>
          <w:sz w:val="32"/>
          <w:szCs w:val="32"/>
          <w:lang w:val="en-US" w:eastAsia="zh-CN"/>
        </w:rPr>
        <w:t>二是</w:t>
      </w:r>
      <w:r>
        <w:rPr>
          <w:rFonts w:hint="eastAsia" w:ascii="仿宋_GB2312" w:hAnsi="宋体" w:eastAsia="仿宋_GB2312" w:cs="宋体"/>
          <w:color w:val="000000"/>
          <w:kern w:val="0"/>
          <w:sz w:val="32"/>
          <w:szCs w:val="32"/>
          <w:shd w:val="clear" w:color="auto" w:fill="FFFFFF"/>
          <w:lang w:val="zh-CN"/>
        </w:rPr>
        <w:t>加强绩效评价管理制度和流程的建设，进一步深化、完善绩效管理体系，建立全过程的预算绩效管理机制。规范绩效评价管理资料的收集整理，确保相关信息完整、可靠，客观公正地反映项目资金实际使用和产生的绩效状况。</w:t>
      </w:r>
    </w:p>
    <w:p>
      <w:pPr>
        <w:pStyle w:val="19"/>
        <w:numPr>
          <w:ilvl w:val="0"/>
          <w:numId w:val="0"/>
        </w:numPr>
        <w:ind w:leftChars="200" w:right="-120" w:rightChars="0"/>
        <w:jc w:val="both"/>
        <w:rPr>
          <w:rFonts w:hint="eastAsia"/>
          <w:lang w:val="zh-CN"/>
        </w:rPr>
      </w:pPr>
    </w:p>
    <w:p>
      <w:pPr>
        <w:widowControl/>
        <w:adjustRightInd w:val="0"/>
        <w:snapToGrid w:val="0"/>
        <w:spacing w:line="620" w:lineRule="exact"/>
        <w:ind w:firstLine="640" w:firstLineChars="200"/>
        <w:contextualSpacing/>
        <w:jc w:val="left"/>
        <w:rPr>
          <w:rFonts w:hint="eastAsia" w:ascii="仿宋_GB2312" w:hAnsi="Calibri" w:eastAsia="仿宋_GB2312" w:cs="仿宋"/>
          <w:color w:val="auto"/>
          <w:kern w:val="0"/>
          <w:sz w:val="32"/>
          <w:szCs w:val="32"/>
          <w:highlight w:val="none"/>
          <w:lang w:val="zh-CN" w:eastAsia="zh-CN" w:bidi="ar-SA"/>
        </w:rPr>
      </w:pPr>
      <w:r>
        <w:rPr>
          <w:rFonts w:hint="eastAsia" w:ascii="仿宋_GB2312" w:hAnsi="Calibri" w:eastAsia="仿宋_GB2312" w:cs="仿宋"/>
          <w:color w:val="auto"/>
          <w:kern w:val="0"/>
          <w:sz w:val="32"/>
          <w:szCs w:val="32"/>
          <w:highlight w:val="none"/>
          <w:lang w:val="zh-CN" w:eastAsia="zh-CN" w:bidi="ar-SA"/>
        </w:rPr>
        <w:t>附表：</w:t>
      </w:r>
      <w:r>
        <w:rPr>
          <w:rFonts w:hint="eastAsia" w:ascii="仿宋_GB2312" w:hAnsi="Calibri" w:eastAsia="仿宋_GB2312" w:cs="仿宋"/>
          <w:color w:val="auto"/>
          <w:kern w:val="0"/>
          <w:sz w:val="32"/>
          <w:szCs w:val="32"/>
          <w:highlight w:val="none"/>
          <w:lang w:val="en-US" w:eastAsia="zh-CN" w:bidi="ar-SA"/>
        </w:rPr>
        <w:t>1.</w:t>
      </w:r>
      <w:r>
        <w:rPr>
          <w:rFonts w:hint="eastAsia" w:ascii="仿宋_GB2312" w:hAnsi="Calibri" w:eastAsia="仿宋_GB2312" w:cs="仿宋"/>
          <w:color w:val="auto"/>
          <w:kern w:val="0"/>
          <w:sz w:val="32"/>
          <w:szCs w:val="32"/>
          <w:highlight w:val="none"/>
          <w:lang w:val="zh-CN" w:eastAsia="zh-CN" w:bidi="ar-SA"/>
        </w:rPr>
        <w:t>部门整体支出绩效自评表</w:t>
      </w:r>
    </w:p>
    <w:p>
      <w:pPr>
        <w:widowControl/>
        <w:numPr>
          <w:ilvl w:val="0"/>
          <w:numId w:val="0"/>
        </w:numPr>
        <w:adjustRightInd w:val="0"/>
        <w:snapToGrid w:val="0"/>
        <w:spacing w:line="580" w:lineRule="exact"/>
        <w:ind w:left="1577" w:leftChars="0"/>
        <w:contextualSpacing/>
        <w:jc w:val="left"/>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2.党报党刊征订经费项目绩效目标自评表</w:t>
      </w:r>
    </w:p>
    <w:p>
      <w:pPr>
        <w:widowControl/>
        <w:numPr>
          <w:ilvl w:val="0"/>
          <w:numId w:val="0"/>
        </w:numPr>
        <w:adjustRightInd w:val="0"/>
        <w:snapToGrid w:val="0"/>
        <w:spacing w:line="580" w:lineRule="exact"/>
        <w:ind w:left="1577" w:leftChars="0"/>
        <w:contextualSpacing/>
        <w:jc w:val="left"/>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3.干部教育培训经费项目绩效目标自评表</w:t>
      </w:r>
    </w:p>
    <w:p>
      <w:pPr>
        <w:widowControl/>
        <w:numPr>
          <w:ilvl w:val="0"/>
          <w:numId w:val="0"/>
        </w:numPr>
        <w:adjustRightInd w:val="0"/>
        <w:snapToGrid w:val="0"/>
        <w:spacing w:line="580" w:lineRule="exact"/>
        <w:ind w:left="1577" w:leftChars="0"/>
        <w:contextualSpacing/>
        <w:jc w:val="left"/>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4.公务员管理系统建设、组织工作及考察经费项目绩效目标自评表</w:t>
      </w:r>
    </w:p>
    <w:p>
      <w:pPr>
        <w:widowControl/>
        <w:numPr>
          <w:ilvl w:val="0"/>
          <w:numId w:val="0"/>
        </w:numPr>
        <w:adjustRightInd w:val="0"/>
        <w:snapToGrid w:val="0"/>
        <w:spacing w:line="580" w:lineRule="exact"/>
        <w:ind w:left="1577" w:leftChars="0"/>
        <w:contextualSpacing/>
        <w:jc w:val="left"/>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5.关工委工作经费项目绩效目标自评表</w:t>
      </w:r>
    </w:p>
    <w:p>
      <w:pPr>
        <w:widowControl/>
        <w:numPr>
          <w:ilvl w:val="0"/>
          <w:numId w:val="0"/>
        </w:numPr>
        <w:adjustRightInd w:val="0"/>
        <w:snapToGrid w:val="0"/>
        <w:spacing w:line="580" w:lineRule="exact"/>
        <w:ind w:left="1577" w:leftChars="0"/>
        <w:contextualSpacing/>
        <w:jc w:val="left"/>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6.老干部外出疗养及体检费项目绩效目标自评表</w:t>
      </w:r>
    </w:p>
    <w:p>
      <w:pPr>
        <w:widowControl/>
        <w:numPr>
          <w:ilvl w:val="0"/>
          <w:numId w:val="0"/>
        </w:numPr>
        <w:adjustRightInd w:val="0"/>
        <w:snapToGrid w:val="0"/>
        <w:spacing w:line="580" w:lineRule="exact"/>
        <w:ind w:left="1577" w:leftChars="0"/>
        <w:contextualSpacing/>
        <w:jc w:val="left"/>
        <w:rPr>
          <w:rFonts w:hint="eastAsia" w:ascii="仿宋_GB2312" w:hAnsi="Calibri" w:eastAsia="仿宋_GB2312" w:cs="仿宋"/>
          <w:color w:val="auto"/>
          <w:kern w:val="0"/>
          <w:sz w:val="32"/>
          <w:szCs w:val="32"/>
          <w:highlight w:val="none"/>
          <w:lang w:val="en-US" w:eastAsia="zh-CN" w:bidi="ar-SA"/>
        </w:rPr>
      </w:pPr>
    </w:p>
    <w:tbl>
      <w:tblPr>
        <w:tblStyle w:val="15"/>
        <w:tblpPr w:leftFromText="180" w:rightFromText="180" w:vertAnchor="text" w:horzAnchor="page" w:tblpX="1007" w:tblpY="655"/>
        <w:tblOverlap w:val="never"/>
        <w:tblW w:w="636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47"/>
        <w:gridCol w:w="746"/>
        <w:gridCol w:w="724"/>
        <w:gridCol w:w="473"/>
        <w:gridCol w:w="2229"/>
        <w:gridCol w:w="2459"/>
        <w:gridCol w:w="789"/>
        <w:gridCol w:w="20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5000" w:type="pct"/>
            <w:gridSpan w:val="8"/>
            <w:tcBorders>
              <w:top w:val="nil"/>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黑体" w:hAnsi="黑体" w:eastAsia="黑体" w:cs="黑体"/>
                <w:i w:val="0"/>
                <w:iCs w:val="0"/>
                <w:color w:val="000000"/>
                <w:kern w:val="0"/>
                <w:sz w:val="28"/>
                <w:szCs w:val="28"/>
                <w:u w:val="none"/>
                <w:lang w:val="en-US" w:eastAsia="zh-CN" w:bidi="ar"/>
              </w:rPr>
              <w:t>2022年区委组织部部门整体支出绩效自评表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8" w:hRule="atLeast"/>
        </w:trPr>
        <w:tc>
          <w:tcPr>
            <w:tcW w:w="13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绩效指标</w:t>
            </w:r>
          </w:p>
        </w:tc>
        <w:tc>
          <w:tcPr>
            <w:tcW w:w="2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指标分值</w:t>
            </w:r>
          </w:p>
        </w:tc>
        <w:tc>
          <w:tcPr>
            <w:tcW w:w="10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指标解释</w:t>
            </w:r>
          </w:p>
        </w:tc>
        <w:tc>
          <w:tcPr>
            <w:tcW w:w="1134"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计分标准</w:t>
            </w:r>
          </w:p>
        </w:tc>
        <w:tc>
          <w:tcPr>
            <w:tcW w:w="364"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自评得分</w:t>
            </w:r>
          </w:p>
        </w:tc>
        <w:tc>
          <w:tcPr>
            <w:tcW w:w="9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9" w:hRule="atLeast"/>
        </w:trPr>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一级指标</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二级指标</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三级指标</w:t>
            </w:r>
          </w:p>
        </w:tc>
        <w:tc>
          <w:tcPr>
            <w:tcW w:w="2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134"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64"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9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34" w:hRule="atLeast"/>
        </w:trPr>
        <w:tc>
          <w:tcPr>
            <w:tcW w:w="6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部门预算管理（80分）</w:t>
            </w:r>
          </w:p>
        </w:tc>
        <w:tc>
          <w:tcPr>
            <w:tcW w:w="3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预算编制（30分）</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目标制定</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评价部门绩效目标是否要素完整、细化量化。</w:t>
            </w:r>
          </w:p>
        </w:tc>
        <w:tc>
          <w:tcPr>
            <w:tcW w:w="11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1.绩效目标编制要素完整的，得5分，否则酌情扣分。                                                       2.绩效指标细化量化的，得5分，否则酌情扣分。                  有项目绩效目标的部门（单位），根据项目绩效目标编制质量打分，无项目绩效目标的部门，根据部门整体支出绩效目标打分。                                                                    </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4" w:hRule="atLeast"/>
        </w:trPr>
        <w:tc>
          <w:tcPr>
            <w:tcW w:w="6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目标实现</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评价部门绩效目标实际实现程度与预期目标的偏离度。</w:t>
            </w:r>
          </w:p>
        </w:tc>
        <w:tc>
          <w:tcPr>
            <w:tcW w:w="11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以项目完成数量为核心，评价项目实际完成情况与预期绩效目标偏离度，单个数量指标实际完成未达到预期指标或超过预期指标30%以上的，均不计分。该项指标得分=达到预期值的数量指标个数/全部数量指标个数（即评价选取的项目绩效目标包含的所有数量指标）</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16" w:hRule="atLeast"/>
        </w:trPr>
        <w:tc>
          <w:tcPr>
            <w:tcW w:w="6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编制准确</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评价部门年初预算编制是否科学准确。</w:t>
            </w:r>
          </w:p>
        </w:tc>
        <w:tc>
          <w:tcPr>
            <w:tcW w:w="11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指标得分=（1-（10×部门全年预算调剂金额/年初部门预算数））*指标分值。其中：若部门全年预算调剂金额/年初部门预算数&gt;0.1，此项得0分。</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16" w:hRule="atLeast"/>
        </w:trPr>
        <w:tc>
          <w:tcPr>
            <w:tcW w:w="6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预算执行（30分）</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支出控制</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部门公用经费及非定额公用支出控制情况。</w:t>
            </w:r>
          </w:p>
        </w:tc>
        <w:tc>
          <w:tcPr>
            <w:tcW w:w="11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计算部门日常公用经费、项目支出中“办公费、印刷费、水费、电费、物业管理费”等科目年初预算数与决算数偏差程度                                                              预决算偏差程度在10%以内的，得10分。偏差度在10%-20%之间的，得5分，偏差度超过20%的，不得分。</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2" w:hRule="atLeast"/>
        </w:trPr>
        <w:tc>
          <w:tcPr>
            <w:tcW w:w="6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动态调整</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评价部门开展绩效运行监控后，将绩效监控结果应用到预算调整的情况。</w:t>
            </w:r>
          </w:p>
        </w:tc>
        <w:tc>
          <w:tcPr>
            <w:tcW w:w="11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1.当部门绩效监控调整取消额和结余注销额均不为零时，指标得分=部门项目支出绩效监控调整取消额÷(部门绩效监控调整取消额+预算结余注销额）*10                                                  2.当部门绩效监控调整取消额为零，结余注销额不为零时，指标得分=（1-10*结余注销额/年度预算总额）*10，结余注销额超过部门年度预算总额10%的，指标不得分。                  3.当部门绩效监控调整取消额与结余注销额均为零时，得满分。                                                             </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34" w:hRule="atLeast"/>
        </w:trPr>
        <w:tc>
          <w:tcPr>
            <w:tcW w:w="6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执行进度</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评价部门在6、9、11月的预算执行情况。</w:t>
            </w:r>
          </w:p>
        </w:tc>
        <w:tc>
          <w:tcPr>
            <w:tcW w:w="11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部门预算执行进度在6、9、11月应达到序时进度的80%、90%、90%，即实际支出进度分别达到40%、67.5%、82.5%。                                                     6、9、11月部门预算执行进度达到量化指标的分别得3、4、3分，未达到目标进度的按其实际进度占目标进度的比重计算得分。                                             </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6" w:hRule="atLeast"/>
        </w:trPr>
        <w:tc>
          <w:tcPr>
            <w:tcW w:w="6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完成结果（20分）</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预算完成</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评价部门预算项目年终预算执行情况。</w:t>
            </w:r>
          </w:p>
        </w:tc>
        <w:tc>
          <w:tcPr>
            <w:tcW w:w="11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部门预算项目12月预算执行进度达到100%的，得10分，未达100%的，按照实际进度量化计算得分。</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6" w:hRule="atLeast"/>
        </w:trPr>
        <w:tc>
          <w:tcPr>
            <w:tcW w:w="6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违规记录</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根据审计监督、财政检查结果反映部门上一年度部门预算管理是否合规。</w:t>
            </w:r>
          </w:p>
        </w:tc>
        <w:tc>
          <w:tcPr>
            <w:tcW w:w="11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依据评价年度审计监督、财政检查结果，出现部门预算管理方面违纪违规问题的，每个问题扣0.5分，直至扣完。</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7" w:hRule="atLeast"/>
        </w:trPr>
        <w:tc>
          <w:tcPr>
            <w:tcW w:w="6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绩效结果应用（10分）</w:t>
            </w:r>
          </w:p>
        </w:tc>
        <w:tc>
          <w:tcPr>
            <w:tcW w:w="34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信息公开（2分)</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自评公开</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评价部门是否按要求将部门整体绩效自评情况和自行组织的评价情况向社会公开。</w:t>
            </w:r>
          </w:p>
        </w:tc>
        <w:tc>
          <w:tcPr>
            <w:tcW w:w="11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按要求将相关绩效信息随同决算公开的，得2分，否则不得分。</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5" w:hRule="atLeast"/>
        </w:trPr>
        <w:tc>
          <w:tcPr>
            <w:tcW w:w="6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整改反馈（8分）</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结果整改</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评价部门根据绩效管理结果整改问题、完善政策、改进管理的情况。</w:t>
            </w:r>
          </w:p>
        </w:tc>
        <w:tc>
          <w:tcPr>
            <w:tcW w:w="11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针对绩效管理过程中（包括绩效目标核查、绩效监控核查和重点绩效评价）提出的问题进行整改，将绩效管理结果应用于完善政策、改进管理、预算挂钩等的，得4分。否则，酌情扣分。</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7" w:hRule="atLeast"/>
        </w:trPr>
        <w:tc>
          <w:tcPr>
            <w:tcW w:w="6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应用反馈</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评价部门按要求及时向财政部门反馈结果应用情况。</w:t>
            </w:r>
          </w:p>
        </w:tc>
        <w:tc>
          <w:tcPr>
            <w:tcW w:w="11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部门在规定时间内向财政部门反馈应用绩效结果报告的，得满分，否则不得分。</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2" w:hRule="atLeast"/>
        </w:trPr>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自评质量（10分）</w:t>
            </w:r>
          </w:p>
        </w:tc>
        <w:tc>
          <w:tcPr>
            <w:tcW w:w="34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自评质量（10分）</w:t>
            </w:r>
          </w:p>
        </w:tc>
        <w:tc>
          <w:tcPr>
            <w:tcW w:w="33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自评准确</w:t>
            </w:r>
          </w:p>
        </w:tc>
        <w:tc>
          <w:tcPr>
            <w:tcW w:w="21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2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评价部门整体支出自评准确率。</w:t>
            </w:r>
          </w:p>
        </w:tc>
        <w:tc>
          <w:tcPr>
            <w:tcW w:w="113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部门整体支出自评得分与评价组抽查得分差异在5%以内的，不扣分；在5%-10%之间的，扣4分，在10%-20%的，扣8分，在20%以上的，扣10分。（部门在自评时，此项指标无需打分，部门自评满分为90分）</w:t>
            </w:r>
          </w:p>
        </w:tc>
        <w:tc>
          <w:tcPr>
            <w:tcW w:w="36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953" w:type="pct"/>
            <w:tcBorders>
              <w:top w:val="nil"/>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bl>
    <w:p>
      <w:pPr>
        <w:pStyle w:val="14"/>
        <w:keepNext w:val="0"/>
        <w:keepLines w:val="0"/>
        <w:pageBreakBefore w:val="0"/>
        <w:numPr>
          <w:ilvl w:val="0"/>
          <w:numId w:val="0"/>
        </w:numPr>
        <w:kinsoku/>
        <w:wordWrap/>
        <w:overflowPunct/>
        <w:topLinePunct w:val="0"/>
        <w:autoSpaceDE/>
        <w:autoSpaceDN/>
        <w:bidi w:val="0"/>
        <w:spacing w:line="560" w:lineRule="exact"/>
        <w:textAlignment w:val="auto"/>
        <w:rPr>
          <w:rFonts w:hint="eastAsia" w:hAnsi="Times New Roman" w:cs="Times New Roman"/>
          <w:color w:val="auto"/>
          <w:sz w:val="32"/>
          <w:szCs w:val="32"/>
          <w:highlight w:val="none"/>
          <w:lang w:val="zh-CN" w:eastAsia="zh-CN"/>
        </w:rPr>
      </w:pPr>
    </w:p>
    <w:p>
      <w:pPr>
        <w:pStyle w:val="14"/>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hAnsi="Times New Roman" w:cs="Times New Roman"/>
          <w:color w:val="auto"/>
          <w:sz w:val="32"/>
          <w:szCs w:val="32"/>
          <w:highlight w:val="none"/>
          <w:lang w:val="zh-CN" w:eastAsia="zh-CN"/>
        </w:rPr>
      </w:pPr>
    </w:p>
    <w:tbl>
      <w:tblPr>
        <w:tblStyle w:val="15"/>
        <w:tblW w:w="10820" w:type="dxa"/>
        <w:tblInd w:w="-78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30"/>
        <w:gridCol w:w="1020"/>
        <w:gridCol w:w="1455"/>
        <w:gridCol w:w="1074"/>
        <w:gridCol w:w="909"/>
        <w:gridCol w:w="916"/>
        <w:gridCol w:w="922"/>
        <w:gridCol w:w="1019"/>
        <w:gridCol w:w="913"/>
        <w:gridCol w:w="909"/>
        <w:gridCol w:w="6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0820" w:type="dxa"/>
            <w:gridSpan w:val="11"/>
            <w:tcBorders>
              <w:top w:val="single" w:color="000000" w:sz="4" w:space="0"/>
              <w:left w:val="single" w:color="000000" w:sz="4" w:space="0"/>
              <w:bottom w:val="single" w:color="000000" w:sz="4" w:space="0"/>
              <w:right w:val="single" w:color="000000" w:sz="4" w:space="0"/>
            </w:tcBorders>
            <w:noWrap w:val="0"/>
            <w:vAlign w:val="center"/>
          </w:tcPr>
          <w:p>
            <w:pPr>
              <w:pStyle w:val="14"/>
              <w:keepNext w:val="0"/>
              <w:keepLines w:val="0"/>
              <w:pageBreakBefore w:val="0"/>
              <w:numPr>
                <w:ilvl w:val="0"/>
                <w:numId w:val="0"/>
              </w:numPr>
              <w:kinsoku/>
              <w:wordWrap/>
              <w:overflowPunct/>
              <w:topLinePunct w:val="0"/>
              <w:autoSpaceDE/>
              <w:autoSpaceDN/>
              <w:bidi w:val="0"/>
              <w:spacing w:line="560" w:lineRule="exact"/>
              <w:jc w:val="center"/>
              <w:textAlignment w:val="auto"/>
              <w:rPr>
                <w:rFonts w:hint="eastAsia" w:ascii="宋体" w:hAnsi="宋体" w:eastAsia="宋体" w:cs="宋体"/>
                <w:i w:val="0"/>
                <w:iCs w:val="0"/>
                <w:color w:val="000000"/>
                <w:sz w:val="18"/>
                <w:szCs w:val="18"/>
                <w:u w:val="none"/>
              </w:rPr>
            </w:pPr>
            <w:r>
              <w:rPr>
                <w:rFonts w:hint="eastAsia" w:ascii="黑体" w:hAnsi="黑体" w:eastAsia="黑体" w:cs="黑体"/>
                <w:b w:val="0"/>
                <w:bCs w:val="0"/>
                <w:i w:val="0"/>
                <w:iCs w:val="0"/>
                <w:color w:val="000000"/>
                <w:kern w:val="0"/>
                <w:sz w:val="28"/>
                <w:szCs w:val="28"/>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05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项目名称</w:t>
            </w:r>
          </w:p>
        </w:tc>
        <w:tc>
          <w:tcPr>
            <w:tcW w:w="8770"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党报党刊征订经费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trPr>
        <w:tc>
          <w:tcPr>
            <w:tcW w:w="205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5276"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中国共产党遂宁市安居区委员会组织部部门</w:t>
            </w:r>
          </w:p>
        </w:tc>
        <w:tc>
          <w:tcPr>
            <w:tcW w:w="1019"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 （盖章）</w:t>
            </w:r>
          </w:p>
        </w:tc>
        <w:tc>
          <w:tcPr>
            <w:tcW w:w="24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中国共产党遂宁市安居区委员会组织部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103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项目基本情况</w:t>
            </w:r>
          </w:p>
        </w:tc>
        <w:tc>
          <w:tcPr>
            <w:tcW w:w="102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5276"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项目年度目标</w:t>
            </w:r>
          </w:p>
        </w:tc>
        <w:tc>
          <w:tcPr>
            <w:tcW w:w="3494"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7" w:hRule="atLeast"/>
        </w:trPr>
        <w:tc>
          <w:tcPr>
            <w:tcW w:w="1030"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c>
          <w:tcPr>
            <w:tcW w:w="5276"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按照市委要求征订党报党刊、老年报刊等。包含《四川党的建设》、《看四川》、《党建研究》、《晚霞》等。</w:t>
            </w:r>
          </w:p>
        </w:tc>
        <w:tc>
          <w:tcPr>
            <w:tcW w:w="3494"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2022年全区党报党刊完成任务总数为三千余份，任务完成率100%。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trPr>
        <w:tc>
          <w:tcPr>
            <w:tcW w:w="1030"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2.项目实施内容及过程概述</w:t>
            </w:r>
          </w:p>
        </w:tc>
        <w:tc>
          <w:tcPr>
            <w:tcW w:w="8770" w:type="dxa"/>
            <w:gridSpan w:val="9"/>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rPr>
              <w:t>根据年度征订工作任务申请立项，通过审议批准后，纳入年初本级预算。项目开展后，我单位在预算一体化系统中申请使用资金并向财政局归口股室递交项目专项资金申请表提交申请，国库等业务股室审核通过后，指标下达到本单位，本单位再按经费实际开支情况，据实报销资金</w:t>
            </w:r>
            <w:r>
              <w:rPr>
                <w:rFonts w:hint="eastAsia" w:ascii="宋体" w:hAnsi="宋体" w:eastAsia="宋体" w:cs="宋体"/>
                <w:i w:val="0"/>
                <w:iCs w:val="0"/>
                <w:color w:val="000000"/>
                <w:sz w:val="18"/>
                <w:szCs w:val="18"/>
                <w:u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trPr>
        <w:tc>
          <w:tcPr>
            <w:tcW w:w="103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预算执行情况（10分）</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调整后预算数</w:t>
            </w:r>
          </w:p>
        </w:tc>
        <w:tc>
          <w:tcPr>
            <w:tcW w:w="274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预算执行数</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103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66.62</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66.62</w:t>
            </w:r>
          </w:p>
        </w:tc>
        <w:tc>
          <w:tcPr>
            <w:tcW w:w="274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66.62</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53" w:type="dxa"/>
            <w:vMerge w:val="restar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trPr>
        <w:tc>
          <w:tcPr>
            <w:tcW w:w="103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66.62</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66.62</w:t>
            </w:r>
          </w:p>
        </w:tc>
        <w:tc>
          <w:tcPr>
            <w:tcW w:w="274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66.62</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53"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trPr>
        <w:tc>
          <w:tcPr>
            <w:tcW w:w="103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4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53"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103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单位资金</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74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53"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103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iCs/>
                <w:color w:val="000000"/>
                <w:sz w:val="18"/>
                <w:szCs w:val="18"/>
                <w:u w:val="none"/>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iCs/>
                <w:color w:val="000000"/>
                <w:sz w:val="18"/>
                <w:szCs w:val="18"/>
                <w:u w:val="none"/>
              </w:rPr>
            </w:pPr>
          </w:p>
        </w:tc>
        <w:tc>
          <w:tcPr>
            <w:tcW w:w="2747"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iCs/>
                <w:color w:val="000000"/>
                <w:sz w:val="18"/>
                <w:szCs w:val="18"/>
                <w:u w:val="none"/>
              </w:rPr>
            </w:pPr>
          </w:p>
        </w:tc>
        <w:tc>
          <w:tcPr>
            <w:tcW w:w="10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iCs/>
                <w:color w:val="000000"/>
                <w:sz w:val="18"/>
                <w:szCs w:val="18"/>
                <w:u w:val="none"/>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53"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3" w:hRule="atLeast"/>
        </w:trPr>
        <w:tc>
          <w:tcPr>
            <w:tcW w:w="103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绩效指标（90分）</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度量单位</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完成值</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4" w:hRule="atLeast"/>
        </w:trPr>
        <w:tc>
          <w:tcPr>
            <w:tcW w:w="103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本年内按照市委要求征订党报党刊</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2022</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4" w:hRule="atLeast"/>
        </w:trPr>
        <w:tc>
          <w:tcPr>
            <w:tcW w:w="103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全区离退休干部、党员干部满意度</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trPr>
        <w:tc>
          <w:tcPr>
            <w:tcW w:w="8345"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trPr>
        <w:tc>
          <w:tcPr>
            <w:tcW w:w="1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评价结论</w:t>
            </w:r>
          </w:p>
        </w:tc>
        <w:tc>
          <w:tcPr>
            <w:tcW w:w="9790"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本部门项目支出经费使用与工作执行进度紧密结合，年初制定的项目工作任务目标100%按时完成；各项目均达到实际的成效，效率指标达优，工作成本节约，没有出现工作质量不高，工作拖欠的现象；项目的社会效益良好，服务对象满意度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4" w:hRule="atLeast"/>
        </w:trPr>
        <w:tc>
          <w:tcPr>
            <w:tcW w:w="1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存在问题</w:t>
            </w:r>
          </w:p>
        </w:tc>
        <w:tc>
          <w:tcPr>
            <w:tcW w:w="9790"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1.</w:t>
            </w:r>
            <w:r>
              <w:rPr>
                <w:rFonts w:hint="eastAsia" w:ascii="宋体" w:hAnsi="宋体" w:eastAsia="宋体" w:cs="宋体"/>
                <w:i w:val="0"/>
                <w:iCs w:val="0"/>
                <w:color w:val="000000"/>
                <w:sz w:val="18"/>
                <w:szCs w:val="18"/>
                <w:u w:val="none"/>
              </w:rPr>
              <w:t>深入基层调研不够，不能更有效地为党报党刊征订提供决策依据。</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2.党报党刊的征订宣传力度不够，没有营造良好的宣传征订氛围</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3.征订计划统筹安排不尽合理，有些脱离实际基层征订经费困难，难以完成任务。</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4.没有充分发挥个人订阅、扶贫单位、企业赠阅的作用，党报党刊征订覆盖面较窄。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9" w:hRule="atLeast"/>
        </w:trPr>
        <w:tc>
          <w:tcPr>
            <w:tcW w:w="1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改进措施</w:t>
            </w:r>
          </w:p>
        </w:tc>
        <w:tc>
          <w:tcPr>
            <w:tcW w:w="9790"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组织、宣传、邮政等党报党刊征订宣传部门要在市党报党刊征订领导小组领导下做好分工、协调与配合，杜绝各唱各调，转变文件指令征订，拉客、摊派违规征订等观念或行为，禁止在未完成党报党刊任务征订杂报杂刊。要形成征订合力，落实服务责任，分配人员到各单位开展上门收订、汇款征订、电话订阅等服务措施，做好基层征订协调服务。</w:t>
            </w:r>
          </w:p>
        </w:tc>
      </w:tr>
    </w:tbl>
    <w:tbl>
      <w:tblPr>
        <w:tblStyle w:val="15"/>
        <w:tblpPr w:leftFromText="180" w:rightFromText="180" w:vertAnchor="text" w:horzAnchor="page" w:tblpX="991" w:tblpY="2605"/>
        <w:tblOverlap w:val="never"/>
        <w:tblW w:w="108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0"/>
        <w:gridCol w:w="1374"/>
        <w:gridCol w:w="1239"/>
        <w:gridCol w:w="1544"/>
        <w:gridCol w:w="421"/>
        <w:gridCol w:w="1187"/>
        <w:gridCol w:w="427"/>
        <w:gridCol w:w="942"/>
        <w:gridCol w:w="525"/>
        <w:gridCol w:w="421"/>
        <w:gridCol w:w="20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108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黑体" w:hAnsi="黑体" w:eastAsia="黑体" w:cs="黑体"/>
                <w:b w:val="0"/>
                <w:bCs w:val="0"/>
                <w:i w:val="0"/>
                <w:iCs w:val="0"/>
                <w:color w:val="000000"/>
                <w:kern w:val="0"/>
                <w:sz w:val="28"/>
                <w:szCs w:val="28"/>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2" w:hRule="atLeast"/>
        </w:trPr>
        <w:tc>
          <w:tcPr>
            <w:tcW w:w="20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项目名称</w:t>
            </w:r>
          </w:p>
        </w:tc>
        <w:tc>
          <w:tcPr>
            <w:tcW w:w="879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干部教育培训经费项目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20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481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中国共产党遂宁市安居区委员会组织部部门</w:t>
            </w:r>
          </w:p>
        </w:tc>
        <w:tc>
          <w:tcPr>
            <w:tcW w:w="942"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 （盖章）</w:t>
            </w:r>
          </w:p>
        </w:tc>
        <w:tc>
          <w:tcPr>
            <w:tcW w:w="30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中国共产党遂宁市安居区委员会组织部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项目基本情况</w:t>
            </w:r>
          </w:p>
        </w:tc>
        <w:tc>
          <w:tcPr>
            <w:tcW w:w="13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481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项目年度目标</w:t>
            </w:r>
          </w:p>
        </w:tc>
        <w:tc>
          <w:tcPr>
            <w:tcW w:w="39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1"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3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81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加强组织领导，强化培训统筹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突出培训重点，扩大培训覆盖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优化课程设置，提升培训实效</w:t>
            </w:r>
          </w:p>
        </w:tc>
        <w:tc>
          <w:tcPr>
            <w:tcW w:w="39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开展“理论武装、实地研学、特色党课”三大培育行动100余场次，累计培训党员干部7378人次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5"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2.项目实施内容及过程概述</w:t>
            </w:r>
          </w:p>
        </w:tc>
        <w:tc>
          <w:tcPr>
            <w:tcW w:w="879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rPr>
              <w:t>主要用于党的十九届六中全会精神和党的二十大精神教育培训、换届后县乡党政领导干部培训和党建引领新时代基层干部主题培训</w:t>
            </w:r>
            <w:r>
              <w:rPr>
                <w:rFonts w:hint="eastAsia" w:ascii="宋体" w:hAnsi="宋体" w:eastAsia="宋体" w:cs="宋体"/>
                <w:i w:val="0"/>
                <w:iCs w:val="0"/>
                <w:color w:val="000000"/>
                <w:sz w:val="18"/>
                <w:szCs w:val="18"/>
                <w:u w:val="none"/>
                <w:lang w:eastAsia="zh-CN"/>
              </w:rPr>
              <w:t>；我单位根据年度培训任务申请立项，通过审议批准后，纳入年初本级预算，项目开展后，我单位在预算一体化系统中申请使用资金并向财政局归口股室递交项目专项资金申请表提交申请，国库等业务股室审核通过后，指标下达到本单位，本单位再按经费实际开支情况，据实报销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预算执行情况（10分）</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调整后预算数</w:t>
            </w:r>
          </w:p>
        </w:tc>
        <w:tc>
          <w:tcPr>
            <w:tcW w:w="20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预算执行数</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2"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138.23</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138.23</w:t>
            </w:r>
          </w:p>
        </w:tc>
        <w:tc>
          <w:tcPr>
            <w:tcW w:w="20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138.23</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0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138.23</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138.23</w:t>
            </w:r>
          </w:p>
        </w:tc>
        <w:tc>
          <w:tcPr>
            <w:tcW w:w="20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138.23</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0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0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0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9"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单位资金</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0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0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7"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0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5"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绩效指标（90分）</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度量单位</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完成值</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74"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培训干部人数</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7800</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5"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74"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培训质量</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高质高效地开展干部教育培训工作</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74"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完成时间</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11个月</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74"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138.23</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138.23万元</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74"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干部满意度</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776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bl>
    <w:tbl>
      <w:tblPr>
        <w:tblStyle w:val="15"/>
        <w:tblW w:w="10800" w:type="dxa"/>
        <w:tblInd w:w="-8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35"/>
        <w:gridCol w:w="101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trPr>
        <w:tc>
          <w:tcPr>
            <w:tcW w:w="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评价结论</w:t>
            </w:r>
          </w:p>
        </w:tc>
        <w:tc>
          <w:tcPr>
            <w:tcW w:w="10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本部门项目支出经费使用与工作执行进度紧密结合，年初制定的项目工作任务目标100%按时完成；各项目均达到实际的成效，效率指标达优，工作成本节约，没有出现工作质量不高，工作拖欠的现象；项目的社会效益良好，服务对象满意度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存在问题</w:t>
            </w:r>
          </w:p>
        </w:tc>
        <w:tc>
          <w:tcPr>
            <w:tcW w:w="10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1.干部培训实效有待加强，如外出学习较少，视野开拓不足；基地打造不力，市级现场教学基地仍为空白；干教培训时间紧，任务重，人手少；</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2.科研</w:t>
            </w:r>
            <w:r>
              <w:rPr>
                <w:rFonts w:hint="eastAsia" w:ascii="宋体" w:hAnsi="宋体" w:cs="宋体"/>
                <w:i w:val="0"/>
                <w:iCs w:val="0"/>
                <w:color w:val="000000"/>
                <w:sz w:val="18"/>
                <w:szCs w:val="18"/>
                <w:u w:val="none"/>
                <w:lang w:eastAsia="zh-CN"/>
              </w:rPr>
              <w:t>质量</w:t>
            </w:r>
            <w:r>
              <w:rPr>
                <w:rFonts w:hint="eastAsia" w:ascii="宋体" w:hAnsi="宋体" w:eastAsia="宋体" w:cs="宋体"/>
                <w:i w:val="0"/>
                <w:iCs w:val="0"/>
                <w:color w:val="000000"/>
                <w:sz w:val="18"/>
                <w:szCs w:val="18"/>
                <w:u w:val="none"/>
              </w:rPr>
              <w:t>有待提升，如理论文章质量不精，立项课题级别不够，科研获奖层次不高等。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2" w:hRule="atLeast"/>
        </w:trPr>
        <w:tc>
          <w:tcPr>
            <w:tcW w:w="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改进措施</w:t>
            </w:r>
          </w:p>
        </w:tc>
        <w:tc>
          <w:tcPr>
            <w:tcW w:w="10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1.提升培训实效。不断优化培训内容，结合需求调研情况，科学设置教学专题；不断创新培训手段，不断探索新的教学方法，用“互联网+”推动教学、科研、教学管理的改革创新，不断提升干部教育培训的现代化水平；升级打造现场教学，切实提升现场教学的质量水平，提高教育培训吸引力。</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2.提高科研质量。强化科研精品意识，推出精品创作，力争在省部级等重大项目申报立项上实现新突破，实现在核心刊物、公开刊物发文数量上稳步增加；强化资政导向，强化成果转化，拓宽资政途径，更好为教学和基层干部服务。</w:t>
            </w:r>
          </w:p>
        </w:tc>
      </w:tr>
    </w:tbl>
    <w:tbl>
      <w:tblPr>
        <w:tblStyle w:val="15"/>
        <w:tblpPr w:leftFromText="180" w:rightFromText="180" w:vertAnchor="text" w:horzAnchor="page" w:tblpX="532" w:tblpY="1838"/>
        <w:tblOverlap w:val="never"/>
        <w:tblW w:w="113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6"/>
        <w:gridCol w:w="1608"/>
        <w:gridCol w:w="1395"/>
        <w:gridCol w:w="1773"/>
        <w:gridCol w:w="414"/>
        <w:gridCol w:w="1317"/>
        <w:gridCol w:w="423"/>
        <w:gridCol w:w="871"/>
        <w:gridCol w:w="494"/>
        <w:gridCol w:w="403"/>
        <w:gridCol w:w="20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4" w:hRule="atLeast"/>
        </w:trPr>
        <w:tc>
          <w:tcPr>
            <w:tcW w:w="113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黑体" w:hAnsi="黑体" w:eastAsia="黑体" w:cs="黑体"/>
                <w:b w:val="0"/>
                <w:bCs w:val="0"/>
                <w:i w:val="0"/>
                <w:iCs w:val="0"/>
                <w:color w:val="000000"/>
                <w:kern w:val="0"/>
                <w:sz w:val="28"/>
                <w:szCs w:val="28"/>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4" w:hRule="atLeast"/>
        </w:trPr>
        <w:tc>
          <w:tcPr>
            <w:tcW w:w="21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项目名称</w:t>
            </w:r>
          </w:p>
        </w:tc>
        <w:tc>
          <w:tcPr>
            <w:tcW w:w="910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公务员管理系统建设、组织工作及考察经费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4" w:hRule="atLeast"/>
        </w:trPr>
        <w:tc>
          <w:tcPr>
            <w:tcW w:w="21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5322"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中国共产党遂宁市安居区委员会组织部部门</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 （盖章）</w:t>
            </w:r>
          </w:p>
        </w:tc>
        <w:tc>
          <w:tcPr>
            <w:tcW w:w="2913"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中国共产党遂宁市安居区委员会组织部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4" w:hRule="atLeast"/>
        </w:trPr>
        <w:tc>
          <w:tcPr>
            <w:tcW w:w="5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项目基本情况</w:t>
            </w:r>
          </w:p>
        </w:tc>
        <w:tc>
          <w:tcPr>
            <w:tcW w:w="16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532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项目年度目标</w:t>
            </w:r>
          </w:p>
        </w:tc>
        <w:tc>
          <w:tcPr>
            <w:tcW w:w="37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8" w:hRule="atLeast"/>
        </w:trPr>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32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考察拟提拔干部工作经费；2.筹备考录公务员工作经费；3.开展年度领导班子考核工作经费；4.开展年度科级领导干部考核工作经费；5、公务员职务职级晋升工作经费。该项资金用于全区公务员管理系统相关建设工作。</w:t>
            </w:r>
          </w:p>
        </w:tc>
        <w:tc>
          <w:tcPr>
            <w:tcW w:w="37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一是顺利完成2022年度面向社会公招公务员工作。二是完善公务员管理系统建设。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4" w:hRule="atLeast"/>
        </w:trPr>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2.项目实施内容及过程概述</w:t>
            </w:r>
          </w:p>
        </w:tc>
        <w:tc>
          <w:tcPr>
            <w:tcW w:w="910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主要用于全区公务员管理系统相关建设及</w:t>
            </w:r>
            <w:r>
              <w:rPr>
                <w:rFonts w:hint="eastAsia" w:ascii="宋体" w:hAnsi="宋体" w:eastAsia="宋体" w:cs="宋体"/>
                <w:i w:val="0"/>
                <w:iCs w:val="0"/>
                <w:color w:val="000000"/>
                <w:sz w:val="18"/>
                <w:szCs w:val="18"/>
                <w:u w:val="none"/>
              </w:rPr>
              <w:t>组织工作</w:t>
            </w:r>
            <w:r>
              <w:rPr>
                <w:rFonts w:hint="eastAsia" w:ascii="宋体" w:hAnsi="宋体" w:eastAsia="宋体" w:cs="宋体"/>
                <w:i w:val="0"/>
                <w:iCs w:val="0"/>
                <w:color w:val="000000"/>
                <w:sz w:val="18"/>
                <w:szCs w:val="18"/>
                <w:u w:val="none"/>
                <w:lang w:val="en-US" w:eastAsia="zh-CN"/>
              </w:rPr>
              <w:t>工作。</w:t>
            </w:r>
            <w:r>
              <w:rPr>
                <w:rFonts w:hint="eastAsia" w:ascii="宋体" w:hAnsi="宋体" w:eastAsia="宋体" w:cs="宋体"/>
                <w:i w:val="0"/>
                <w:iCs w:val="0"/>
                <w:color w:val="000000"/>
                <w:sz w:val="18"/>
                <w:szCs w:val="18"/>
                <w:u w:val="none"/>
                <w:lang w:eastAsia="zh-CN"/>
              </w:rPr>
              <w:t>申请立项通过审议批准后，纳入年初本级预算，项目开展后，我单位在预算一体化系统中申请使用资金并向财政局归口股室递交项目专项资金申请表提交申请，国库等业务股室审核通过后，指标下达到本单位，本单位再按经费实际开支情况，据实报销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trPr>
        <w:tc>
          <w:tcPr>
            <w:tcW w:w="5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预算执行情况（10分）</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调整后预算数</w:t>
            </w:r>
          </w:p>
        </w:tc>
        <w:tc>
          <w:tcPr>
            <w:tcW w:w="21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预算执行数</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4" w:hRule="atLeast"/>
        </w:trPr>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30</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30</w:t>
            </w:r>
          </w:p>
        </w:tc>
        <w:tc>
          <w:tcPr>
            <w:tcW w:w="21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30</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trPr>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30</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30</w:t>
            </w:r>
          </w:p>
        </w:tc>
        <w:tc>
          <w:tcPr>
            <w:tcW w:w="21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30</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trPr>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1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4" w:hRule="atLeast"/>
        </w:trPr>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单位资金</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1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0" w:hRule="atLeast"/>
        </w:trPr>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8" w:hRule="atLeast"/>
        </w:trPr>
        <w:tc>
          <w:tcPr>
            <w:tcW w:w="5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绩效指标（90分）</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度量单位</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完成值</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trPr>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建设公务员管理系统</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trPr>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本年内完成全区公务员管理工作</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2022</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2022年</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全区公务员满意度</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8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bl>
    <w:tbl>
      <w:tblPr>
        <w:tblStyle w:val="15"/>
        <w:tblW w:w="11319" w:type="dxa"/>
        <w:tblInd w:w="-128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10"/>
        <w:gridCol w:w="102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评价结论</w:t>
            </w:r>
          </w:p>
        </w:tc>
        <w:tc>
          <w:tcPr>
            <w:tcW w:w="102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本部门项目支出经费使用与工作执行进度紧密结合，年初制定的项目工作任务目标100%按时完成；各项目均达到实际的成效，效率指标达优，工作成本节约，没有出现工作质量不高，工作拖欠的现象；项目的社会效益良好，服务对象满意度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7" w:hRule="atLeast"/>
        </w:trPr>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存在问题</w:t>
            </w:r>
          </w:p>
        </w:tc>
        <w:tc>
          <w:tcPr>
            <w:tcW w:w="102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1.绩效评价指标的科学性有待研究。科学细化、量化专项经费绩效评价指标是开展绩效管理的重要内容，在实际工作中各项目绩效评价指标应各有针对性，指标体系的设立有待进一步研究，从而优化专项经费的三级绩效评价指标。</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2.相关资金预算不足，导致工作开展困难。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3" w:hRule="atLeast"/>
        </w:trPr>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改进措施</w:t>
            </w:r>
          </w:p>
        </w:tc>
        <w:tc>
          <w:tcPr>
            <w:tcW w:w="102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1.增加公务员管理相关工作经费，保障公务员管理工作有效推进。</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2.加强评价指标体系建设。一是汇总梳理以前年度制定的指标，将符合当前预算绩效管理要求和行业管理特点的个性指标汇编成库；二是建立指标更新机制，将以后年度新制定的指标及时纳入指标库，做到随时更新、完善。</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3.加强培训和指导。采取集中学习、讲座、专题会议等方式，加大对参与绩效评价的人员培训力度，进一步统一认识，充实业务知识。</w:t>
            </w:r>
          </w:p>
        </w:tc>
      </w:tr>
    </w:tbl>
    <w:p>
      <w:pPr>
        <w:pStyle w:val="14"/>
        <w:keepNext w:val="0"/>
        <w:keepLines w:val="0"/>
        <w:pageBreakBefore w:val="0"/>
        <w:numPr>
          <w:ilvl w:val="0"/>
          <w:numId w:val="0"/>
        </w:numPr>
        <w:kinsoku/>
        <w:wordWrap/>
        <w:overflowPunct/>
        <w:topLinePunct w:val="0"/>
        <w:autoSpaceDE/>
        <w:autoSpaceDN/>
        <w:bidi w:val="0"/>
        <w:spacing w:line="560" w:lineRule="exact"/>
        <w:textAlignment w:val="auto"/>
        <w:rPr>
          <w:rFonts w:hint="eastAsia" w:hAnsi="Times New Roman" w:cs="Times New Roman"/>
          <w:color w:val="auto"/>
          <w:sz w:val="32"/>
          <w:szCs w:val="32"/>
          <w:highlight w:val="none"/>
          <w:lang w:val="zh-CN" w:eastAsia="zh-CN"/>
        </w:rPr>
      </w:pPr>
    </w:p>
    <w:tbl>
      <w:tblPr>
        <w:tblStyle w:val="15"/>
        <w:tblpPr w:leftFromText="180" w:rightFromText="180" w:vertAnchor="text" w:horzAnchor="page" w:tblpX="427" w:tblpY="1555"/>
        <w:tblOverlap w:val="never"/>
        <w:tblW w:w="1133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621"/>
        <w:gridCol w:w="1406"/>
        <w:gridCol w:w="1789"/>
        <w:gridCol w:w="417"/>
        <w:gridCol w:w="1325"/>
        <w:gridCol w:w="421"/>
        <w:gridCol w:w="875"/>
        <w:gridCol w:w="486"/>
        <w:gridCol w:w="396"/>
        <w:gridCol w:w="20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1133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黑体" w:hAnsi="黑体" w:eastAsia="黑体" w:cs="黑体"/>
                <w:b w:val="0"/>
                <w:bCs w:val="0"/>
                <w:i w:val="0"/>
                <w:iCs w:val="0"/>
                <w:color w:val="000000"/>
                <w:kern w:val="0"/>
                <w:sz w:val="28"/>
                <w:szCs w:val="28"/>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21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项目名称</w:t>
            </w:r>
          </w:p>
        </w:tc>
        <w:tc>
          <w:tcPr>
            <w:tcW w:w="914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关工委工作经费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6" w:hRule="atLeast"/>
        </w:trPr>
        <w:tc>
          <w:tcPr>
            <w:tcW w:w="21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53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中国共产党遂宁市安居区委员会组织部部门</w:t>
            </w:r>
          </w:p>
        </w:tc>
        <w:tc>
          <w:tcPr>
            <w:tcW w:w="875"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 （盖章）</w:t>
            </w:r>
          </w:p>
        </w:tc>
        <w:tc>
          <w:tcPr>
            <w:tcW w:w="29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中国共产党遂宁市安居区委员会组织部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项目基本情况</w:t>
            </w:r>
          </w:p>
        </w:tc>
        <w:tc>
          <w:tcPr>
            <w:tcW w:w="16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53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项目年度目标</w:t>
            </w:r>
          </w:p>
        </w:tc>
        <w:tc>
          <w:tcPr>
            <w:tcW w:w="37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3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用于区关心下一代工作委员会日常工作开展</w:t>
            </w:r>
          </w:p>
        </w:tc>
        <w:tc>
          <w:tcPr>
            <w:tcW w:w="37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一是关工委做好了青少年儿童的教育引导和关爱保护工作，组织动员老干部、老战士、老专家、老教师、老模范等到青少年中讲述亲身经历，弘扬爱国传统，培养新时代的社会主义建设者和接班人 ;二是推进青少年普法教育活动，提高青少年法律意识，减少青少年违法犯罪，开展青少年法制宣传教育和帮扶帮教活动，向广大群众宣传《中华人民共和国未成年人保护法》、《中华人民共和国预防未成年人犯罪法》等法律法规，接受群众业务咨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2.项目实施内容及过程概述</w:t>
            </w:r>
          </w:p>
        </w:tc>
        <w:tc>
          <w:tcPr>
            <w:tcW w:w="914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 xml:space="preserve">主要用于为五老人员开展工作提供适当经费，调动其积极性关心下一代。一是教育引导青少年树立和践行社会主义核心价值观，扎实推进青少年思想道德建设。二是坚持以人民为中心，重点突出培养青少年成长成才和关爱弱势群体工作，有效为青少年服务。三是加强关工委自身建设，为全面推进关工委工作提供组织保证。加强关工委自身建设。把各级关工委建设成学习型、服务型、调研型、创新型关工委。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预算执行情况（10分）</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调整后预算数</w:t>
            </w:r>
          </w:p>
        </w:tc>
        <w:tc>
          <w:tcPr>
            <w:tcW w:w="21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预算执行数</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29.99</w:t>
            </w:r>
          </w:p>
        </w:tc>
        <w:tc>
          <w:tcPr>
            <w:tcW w:w="21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29.99</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29.99</w:t>
            </w:r>
          </w:p>
        </w:tc>
        <w:tc>
          <w:tcPr>
            <w:tcW w:w="21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29.99</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0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1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0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单位资金</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1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0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0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8"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绩效指标（90分）</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度量单位</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4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开展关工委各类活动次数</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8次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20</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帮扶关爱对象人数</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443</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478人</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20</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深化爱国主义教育和传统文化教育，不断强化青少年思想道德建设</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优良中低差</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优</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19</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全区青少年满意度</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19</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843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98</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bl>
    <w:tbl>
      <w:tblPr>
        <w:tblStyle w:val="15"/>
        <w:tblW w:w="11319" w:type="dxa"/>
        <w:tblInd w:w="-136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23"/>
        <w:gridCol w:w="106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6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评价结论</w:t>
            </w:r>
          </w:p>
        </w:tc>
        <w:tc>
          <w:tcPr>
            <w:tcW w:w="10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本部门项目支出经费使用与工作执行进度紧密结合，年初制定的项目工作任务目标100%按时完成；各项目均达到实际的成效，效率指标达优，工作成本节约，没有出现工作质量不高，工作拖欠的现象；项目的社会效益良好，服务对象满意度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6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存在问题</w:t>
            </w:r>
          </w:p>
        </w:tc>
        <w:tc>
          <w:tcPr>
            <w:tcW w:w="10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1.在项目储备和项目申报质量上还有待进一步提高。 </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2.项目实施质量有待提高，跟踪问效有待加强。重项目申报、轻项目储备，重口头汇报、轻督促检查，重前期工作、轻后期跟踪问效、总结宣传等。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6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改进措施</w:t>
            </w:r>
          </w:p>
        </w:tc>
        <w:tc>
          <w:tcPr>
            <w:tcW w:w="10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建议下一步将绩效管理工作作为一项日常性重要工作来抓；彻底改变“重安排，轻监督；重争取，轻管理；重使用，轻绩效”的思想，扭转“只要资金使用合法合规就行，忽视财政资金的使用绩效”的工作方式；完善绩效评价指标体系，科学设定评价指标；重视档案建立、完善、管理工作。</w:t>
            </w:r>
          </w:p>
        </w:tc>
      </w:tr>
    </w:tbl>
    <w:p>
      <w:pPr>
        <w:pStyle w:val="14"/>
        <w:keepNext w:val="0"/>
        <w:keepLines w:val="0"/>
        <w:pageBreakBefore w:val="0"/>
        <w:numPr>
          <w:ilvl w:val="0"/>
          <w:numId w:val="0"/>
        </w:numPr>
        <w:kinsoku/>
        <w:wordWrap/>
        <w:overflowPunct/>
        <w:topLinePunct w:val="0"/>
        <w:autoSpaceDE/>
        <w:autoSpaceDN/>
        <w:bidi w:val="0"/>
        <w:spacing w:line="560" w:lineRule="exact"/>
        <w:textAlignment w:val="auto"/>
        <w:rPr>
          <w:rFonts w:hint="eastAsia" w:hAnsi="Times New Roman" w:cs="Times New Roman"/>
          <w:color w:val="auto"/>
          <w:sz w:val="32"/>
          <w:szCs w:val="32"/>
          <w:highlight w:val="none"/>
          <w:lang w:val="zh-CN" w:eastAsia="zh-CN"/>
        </w:rPr>
      </w:pPr>
    </w:p>
    <w:tbl>
      <w:tblPr>
        <w:tblStyle w:val="15"/>
        <w:tblpPr w:leftFromText="180" w:rightFromText="180" w:vertAnchor="text" w:horzAnchor="page" w:tblpX="322" w:tblpY="1826"/>
        <w:tblOverlap w:val="never"/>
        <w:tblW w:w="114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0"/>
        <w:gridCol w:w="1627"/>
        <w:gridCol w:w="1411"/>
        <w:gridCol w:w="1794"/>
        <w:gridCol w:w="417"/>
        <w:gridCol w:w="1331"/>
        <w:gridCol w:w="428"/>
        <w:gridCol w:w="879"/>
        <w:gridCol w:w="489"/>
        <w:gridCol w:w="398"/>
        <w:gridCol w:w="20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114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黑体" w:hAnsi="黑体" w:eastAsia="黑体" w:cs="黑体"/>
                <w:b w:val="0"/>
                <w:bCs w:val="0"/>
                <w:i w:val="0"/>
                <w:iCs w:val="0"/>
                <w:color w:val="000000"/>
                <w:kern w:val="0"/>
                <w:sz w:val="24"/>
                <w:szCs w:val="24"/>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22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项目名称</w:t>
            </w:r>
          </w:p>
        </w:tc>
        <w:tc>
          <w:tcPr>
            <w:tcW w:w="919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val="0"/>
                <w:bCs w:val="0"/>
                <w:i w:val="0"/>
                <w:iCs w:val="0"/>
                <w:sz w:val="18"/>
                <w:szCs w:val="18"/>
                <w:lang w:val="en-US" w:eastAsia="zh-CN"/>
              </w:rPr>
              <w:t>老干部外出疗养及体检费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9" w:hRule="atLeast"/>
        </w:trPr>
        <w:tc>
          <w:tcPr>
            <w:tcW w:w="22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53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中国共产党遂宁市安居区委员会组织部部门</w:t>
            </w:r>
          </w:p>
        </w:tc>
        <w:tc>
          <w:tcPr>
            <w:tcW w:w="879"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 （盖章）</w:t>
            </w:r>
          </w:p>
        </w:tc>
        <w:tc>
          <w:tcPr>
            <w:tcW w:w="29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中国共产党遂宁市安居区委员会组织部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5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项目基本情况</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53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项目年度目标</w:t>
            </w:r>
          </w:p>
        </w:tc>
        <w:tc>
          <w:tcPr>
            <w:tcW w:w="38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3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完成2022年全区离退休干部身体检查、疗养</w:t>
            </w:r>
          </w:p>
        </w:tc>
        <w:tc>
          <w:tcPr>
            <w:tcW w:w="38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完成2022年全区离退休干部身体检查、疗养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2" w:hRule="atLeast"/>
        </w:trPr>
        <w:tc>
          <w:tcPr>
            <w:tcW w:w="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2.项目实施内容及过程概述</w:t>
            </w:r>
          </w:p>
        </w:tc>
        <w:tc>
          <w:tcPr>
            <w:tcW w:w="919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根据安居区委老干部股工作职责“组织全区离休干部及副处级以上退休干部的年度健康体检工作”内容，组织全区离休及副处以上退休干部体检工作及健康疗养。项目开展后，我单位在预算一体化系统中申请使用资金并向财政局归口股室递交项目专项资金申请表提交申请，国库等业务股室审核通过后，指标下达到本单位，本单位再按经费实际开支情况，据实报销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5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预算执行情况（10分）</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调整后预算数</w:t>
            </w:r>
          </w:p>
        </w:tc>
        <w:tc>
          <w:tcPr>
            <w:tcW w:w="2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预算执行数</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29.20</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23.44</w:t>
            </w:r>
          </w:p>
        </w:tc>
        <w:tc>
          <w:tcPr>
            <w:tcW w:w="2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23.44</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0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29.20</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23.44</w:t>
            </w:r>
          </w:p>
        </w:tc>
        <w:tc>
          <w:tcPr>
            <w:tcW w:w="2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23.44</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单位资金</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2" w:hRule="atLeast"/>
        </w:trPr>
        <w:tc>
          <w:tcPr>
            <w:tcW w:w="5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绩效指标（90分）</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度量单位</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完成值</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4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为全区局管老干</w:t>
            </w:r>
            <w:r>
              <w:rPr>
                <w:rFonts w:hint="eastAsia" w:ascii="宋体" w:hAnsi="宋体" w:cs="宋体"/>
                <w:i w:val="0"/>
                <w:iCs w:val="0"/>
                <w:color w:val="000000"/>
                <w:kern w:val="0"/>
                <w:sz w:val="18"/>
                <w:szCs w:val="18"/>
                <w:u w:val="none"/>
                <w:lang w:val="en-US" w:eastAsia="zh-CN" w:bidi="ar"/>
              </w:rPr>
              <w:t>部</w:t>
            </w:r>
            <w:r>
              <w:rPr>
                <w:rFonts w:hint="eastAsia" w:ascii="宋体" w:hAnsi="宋体" w:eastAsia="宋体" w:cs="宋体"/>
                <w:i w:val="0"/>
                <w:iCs w:val="0"/>
                <w:color w:val="000000"/>
                <w:kern w:val="0"/>
                <w:sz w:val="18"/>
                <w:szCs w:val="18"/>
                <w:u w:val="none"/>
                <w:lang w:val="en-US" w:eastAsia="zh-CN" w:bidi="ar"/>
              </w:rPr>
              <w:t>局体检</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名</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130名</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体检次数</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1次</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组织全区离退休干部</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130人</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外出疗养花费</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25万元</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9" w:hRule="atLeast"/>
        </w:trPr>
        <w:tc>
          <w:tcPr>
            <w:tcW w:w="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体检费用标准</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1500</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元/人</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1500元/人</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老干部满意度</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846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bl>
    <w:tbl>
      <w:tblPr>
        <w:tblStyle w:val="15"/>
        <w:tblW w:w="11423" w:type="dxa"/>
        <w:tblInd w:w="-1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93"/>
        <w:gridCol w:w="101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12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评价结论</w:t>
            </w:r>
          </w:p>
        </w:tc>
        <w:tc>
          <w:tcPr>
            <w:tcW w:w="10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本部门项目支出经费使用与工作执行进度紧密结合，年初制定的项目工作任务目标100%按时完成；各项目均达到实际的成效，效率指标达优，工作成本节约，没有出现工作质量不高，工作拖欠的现象；项目的社会效益良好，服务对象满意度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12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存在问题</w:t>
            </w:r>
          </w:p>
        </w:tc>
        <w:tc>
          <w:tcPr>
            <w:tcW w:w="10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sz w:val="18"/>
                <w:szCs w:val="18"/>
                <w:highlight w:val="none"/>
                <w:lang w:val="en-US" w:eastAsia="zh-CN"/>
              </w:rPr>
              <w:t>针对老同志的健康需求和身体特点，对体检标准与需求越来越高，体检项目的增加与升级日益迫切。虽然近两年区委老干部局不断申请提高老干部体检费用，但由于费用提高幅度较小，仍难以跟上老干部的需求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12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改进措施</w:t>
            </w:r>
          </w:p>
        </w:tc>
        <w:tc>
          <w:tcPr>
            <w:tcW w:w="1013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600" w:lineRule="exact"/>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建议适当增加老干部体检费标准，进一步提高我区离退休干部健康保障水平。</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r>
    </w:tbl>
    <w:p>
      <w:pPr>
        <w:pStyle w:val="7"/>
        <w:rPr>
          <w:rFonts w:hint="eastAsia" w:hAnsi="宋体" w:cs="宋体"/>
          <w:color w:val="auto"/>
          <w:kern w:val="0"/>
          <w:sz w:val="32"/>
          <w:szCs w:val="32"/>
          <w:highlight w:val="none"/>
          <w:shd w:val="clear" w:color="auto" w:fill="FFFFFF"/>
          <w:lang w:val="zh-CN"/>
        </w:rPr>
      </w:pPr>
    </w:p>
    <w:p>
      <w:pPr>
        <w:pStyle w:val="7"/>
        <w:rPr>
          <w:rFonts w:hint="eastAsia" w:hAnsi="宋体" w:cs="宋体"/>
          <w:color w:val="auto"/>
          <w:kern w:val="0"/>
          <w:sz w:val="32"/>
          <w:szCs w:val="32"/>
          <w:highlight w:val="none"/>
          <w:shd w:val="clear" w:color="auto" w:fill="FFFFFF"/>
          <w:lang w:val="zh-CN"/>
        </w:rPr>
      </w:pPr>
      <w:bookmarkStart w:id="114" w:name="_GoBack"/>
      <w:bookmarkEnd w:id="114"/>
    </w:p>
    <w:p>
      <w:pPr>
        <w:pStyle w:val="7"/>
        <w:rPr>
          <w:rFonts w:hint="eastAsia" w:hAnsi="宋体" w:cs="宋体"/>
          <w:color w:val="auto"/>
          <w:kern w:val="0"/>
          <w:sz w:val="32"/>
          <w:szCs w:val="32"/>
          <w:highlight w:val="none"/>
          <w:shd w:val="clear" w:color="auto" w:fill="FFFFFF"/>
          <w:lang w:val="zh-CN"/>
        </w:rPr>
      </w:pPr>
    </w:p>
    <w:p>
      <w:pPr>
        <w:pStyle w:val="7"/>
        <w:rPr>
          <w:rFonts w:hint="eastAsia" w:hAnsi="宋体" w:cs="宋体"/>
          <w:color w:val="auto"/>
          <w:kern w:val="0"/>
          <w:sz w:val="32"/>
          <w:szCs w:val="32"/>
          <w:highlight w:val="none"/>
          <w:shd w:val="clear" w:color="auto" w:fill="FFFFFF"/>
          <w:lang w:val="zh-CN"/>
        </w:rPr>
      </w:pPr>
    </w:p>
    <w:p>
      <w:pPr>
        <w:pStyle w:val="7"/>
        <w:rPr>
          <w:rFonts w:hint="eastAsia" w:hAnsi="宋体" w:cs="宋体"/>
          <w:color w:val="auto"/>
          <w:kern w:val="0"/>
          <w:sz w:val="32"/>
          <w:szCs w:val="32"/>
          <w:highlight w:val="none"/>
          <w:shd w:val="clear" w:color="auto" w:fill="FFFFFF"/>
          <w:lang w:val="zh-CN"/>
        </w:rPr>
      </w:pPr>
    </w:p>
    <w:p>
      <w:pPr>
        <w:pStyle w:val="7"/>
        <w:rPr>
          <w:rFonts w:hint="eastAsia" w:hAnsi="宋体" w:cs="宋体"/>
          <w:color w:val="auto"/>
          <w:kern w:val="0"/>
          <w:sz w:val="32"/>
          <w:szCs w:val="32"/>
          <w:highlight w:val="none"/>
          <w:shd w:val="clear" w:color="auto" w:fill="FFFFFF"/>
          <w:lang w:val="zh-CN"/>
        </w:rPr>
      </w:pPr>
    </w:p>
    <w:p>
      <w:pPr>
        <w:pStyle w:val="7"/>
        <w:rPr>
          <w:rFonts w:hint="eastAsia" w:hAnsi="宋体" w:cs="宋体"/>
          <w:color w:val="auto"/>
          <w:kern w:val="0"/>
          <w:sz w:val="32"/>
          <w:szCs w:val="32"/>
          <w:highlight w:val="none"/>
          <w:shd w:val="clear" w:color="auto" w:fill="FFFFFF"/>
          <w:lang w:val="zh-CN"/>
        </w:rPr>
      </w:pPr>
    </w:p>
    <w:p>
      <w:pPr>
        <w:pStyle w:val="7"/>
        <w:rPr>
          <w:rFonts w:hint="eastAsia" w:eastAsia="仿宋_GB2312"/>
          <w:color w:val="auto"/>
          <w:sz w:val="32"/>
          <w:szCs w:val="32"/>
          <w:highlight w:val="none"/>
          <w:lang w:val="en-US" w:eastAsia="zh-CN"/>
        </w:rPr>
      </w:pPr>
      <w:r>
        <w:rPr>
          <w:rFonts w:hint="eastAsia" w:hAnsi="宋体" w:cs="宋体"/>
          <w:color w:val="auto"/>
          <w:kern w:val="0"/>
          <w:sz w:val="32"/>
          <w:szCs w:val="32"/>
          <w:highlight w:val="none"/>
          <w:shd w:val="clear" w:color="auto" w:fill="FFFFFF"/>
          <w:lang w:val="zh-CN"/>
        </w:rPr>
        <w:t>附件</w:t>
      </w:r>
      <w:r>
        <w:rPr>
          <w:rFonts w:hint="eastAsia" w:hAnsi="宋体" w:cs="宋体"/>
          <w:color w:val="auto"/>
          <w:kern w:val="0"/>
          <w:sz w:val="32"/>
          <w:szCs w:val="32"/>
          <w:highlight w:val="none"/>
          <w:shd w:val="clear" w:color="auto" w:fill="FFFFFF"/>
          <w:lang w:val="en-US" w:eastAsia="zh-CN"/>
        </w:rPr>
        <w:t>2</w:t>
      </w:r>
    </w:p>
    <w:p>
      <w:pPr>
        <w:kinsoku w:val="0"/>
        <w:overflowPunct w:val="0"/>
        <w:spacing w:line="550" w:lineRule="exact"/>
        <w:jc w:val="center"/>
        <w:rPr>
          <w:rFonts w:eastAsia="方正小标宋简体"/>
          <w:spacing w:val="1"/>
          <w:sz w:val="44"/>
          <w:szCs w:val="44"/>
        </w:rPr>
      </w:pPr>
      <w:r>
        <w:rPr>
          <w:rFonts w:hint="eastAsia" w:eastAsia="方正小标宋简体"/>
          <w:spacing w:val="1"/>
          <w:sz w:val="44"/>
          <w:szCs w:val="44"/>
        </w:rPr>
        <w:t>中共遂宁市安居区委组织部</w:t>
      </w:r>
      <w:r>
        <w:rPr>
          <w:rFonts w:eastAsia="方正小标宋简体"/>
          <w:spacing w:val="1"/>
          <w:sz w:val="44"/>
          <w:szCs w:val="44"/>
        </w:rPr>
        <w:t>项目支出绩效自评报告</w:t>
      </w:r>
    </w:p>
    <w:p>
      <w:pPr>
        <w:tabs>
          <w:tab w:val="left" w:pos="3885"/>
        </w:tabs>
        <w:snapToGrid w:val="0"/>
        <w:spacing w:line="600" w:lineRule="exact"/>
        <w:jc w:val="center"/>
        <w:rPr>
          <w:rFonts w:hAnsi="宋体"/>
          <w:b/>
          <w:bCs/>
          <w:sz w:val="32"/>
          <w:szCs w:val="32"/>
        </w:rPr>
      </w:pPr>
      <w:r>
        <w:rPr>
          <w:rFonts w:hint="eastAsia" w:hAnsi="宋体"/>
          <w:b/>
          <w:bCs/>
          <w:sz w:val="32"/>
          <w:szCs w:val="32"/>
        </w:rPr>
        <w:t>（党报党刊征订经费）</w:t>
      </w:r>
    </w:p>
    <w:p>
      <w:pPr>
        <w:pStyle w:val="35"/>
        <w:keepNext w:val="0"/>
        <w:keepLines w:val="0"/>
        <w:pageBreakBefore w:val="0"/>
        <w:widowControl w:val="0"/>
        <w:kinsoku/>
        <w:wordWrap/>
        <w:overflowPunct/>
        <w:topLinePunct w:val="0"/>
        <w:autoSpaceDE/>
        <w:autoSpaceDN/>
        <w:bidi w:val="0"/>
        <w:spacing w:line="578" w:lineRule="exact"/>
        <w:ind w:firstLine="640"/>
        <w:jc w:val="center"/>
        <w:textAlignment w:val="auto"/>
        <w:rPr>
          <w:rFonts w:ascii="宋体" w:hAnsi="宋体"/>
          <w:color w:val="auto"/>
          <w:kern w:val="2"/>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78" w:lineRule="exact"/>
        <w:ind w:firstLine="720"/>
        <w:textAlignment w:val="auto"/>
        <w:rPr>
          <w:rFonts w:ascii="黑体" w:hAnsi="宋体" w:eastAsia="黑体"/>
          <w:color w:val="auto"/>
          <w:sz w:val="32"/>
          <w:szCs w:val="32"/>
          <w:highlight w:val="none"/>
          <w:lang w:val="zh-CN"/>
        </w:rPr>
      </w:pPr>
      <w:r>
        <w:rPr>
          <w:rFonts w:hint="eastAsia" w:ascii="黑体" w:hAnsi="宋体" w:eastAsia="黑体"/>
          <w:color w:val="auto"/>
          <w:sz w:val="32"/>
          <w:szCs w:val="32"/>
          <w:highlight w:val="none"/>
        </w:rPr>
        <w:t>一、</w:t>
      </w:r>
      <w:r>
        <w:rPr>
          <w:rFonts w:hint="eastAsia" w:ascii="黑体" w:hAnsi="宋体" w:eastAsia="黑体"/>
          <w:color w:val="auto"/>
          <w:sz w:val="32"/>
          <w:szCs w:val="32"/>
          <w:highlight w:val="none"/>
          <w:lang w:val="zh-CN"/>
        </w:rPr>
        <w:t>项目概况</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（一）项目基本情况。</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1</w:t>
      </w:r>
      <w:r>
        <w:rPr>
          <w:rFonts w:hint="eastAsia" w:ascii="仿宋_GB2312" w:hAnsi="仿宋_GB2312" w:eastAsia="仿宋_GB2312" w:cs="仿宋_GB2312"/>
          <w:color w:val="auto"/>
          <w:kern w:val="0"/>
          <w:sz w:val="32"/>
          <w:szCs w:val="32"/>
          <w:highlight w:val="none"/>
          <w:u w:val="none"/>
          <w:shd w:val="clear" w:color="auto" w:fill="FFFFFF"/>
          <w:lang w:val="en-US" w:eastAsia="zh-CN"/>
        </w:rPr>
        <w:t>.</w:t>
      </w:r>
      <w:r>
        <w:rPr>
          <w:rFonts w:hint="eastAsia" w:ascii="仿宋_GB2312" w:hAnsi="仿宋_GB2312" w:eastAsia="仿宋_GB2312" w:cs="仿宋_GB2312"/>
          <w:color w:val="auto"/>
          <w:kern w:val="0"/>
          <w:sz w:val="32"/>
          <w:szCs w:val="32"/>
          <w:highlight w:val="none"/>
          <w:u w:val="none"/>
          <w:shd w:val="clear" w:color="auto" w:fill="FFFFFF"/>
          <w:lang w:val="zh-CN"/>
        </w:rPr>
        <w:t>说明项目主管部门（单位）在该项目管理中的职能。</w:t>
      </w:r>
    </w:p>
    <w:p>
      <w:pPr>
        <w:keepNext w:val="0"/>
        <w:keepLines w:val="0"/>
        <w:pageBreakBefore w:val="0"/>
        <w:kinsoku/>
        <w:wordWrap/>
        <w:overflowPunct/>
        <w:topLinePunct w:val="0"/>
        <w:autoSpaceDE/>
        <w:autoSpaceDN/>
        <w:bidi w:val="0"/>
        <w:spacing w:line="560" w:lineRule="exact"/>
        <w:ind w:firstLine="640" w:firstLineChars="200"/>
        <w:rPr>
          <w:rFonts w:hint="eastAsia" w:ascii="Times New Roman" w:hAnsi="仿宋_GB2312" w:eastAsia="仿宋_GB2312" w:cs="Times New Roman"/>
          <w:sz w:val="32"/>
          <w:lang w:eastAsia="zh-CN"/>
        </w:rPr>
      </w:pPr>
      <w:r>
        <w:rPr>
          <w:rFonts w:ascii="Times New Roman" w:hAnsi="仿宋_GB2312" w:eastAsia="仿宋_GB2312" w:cs="Times New Roman"/>
          <w:sz w:val="32"/>
        </w:rPr>
        <w:t>贯彻新时代党的建设总要求和新时代党的组织路线，落实区委相关决策部署</w:t>
      </w:r>
      <w:r>
        <w:rPr>
          <w:rFonts w:hint="eastAsia" w:hAnsi="仿宋_GB2312" w:eastAsia="仿宋_GB2312" w:cs="Times New Roman"/>
          <w:sz w:val="32"/>
          <w:lang w:eastAsia="zh-CN"/>
        </w:rPr>
        <w:t>，</w:t>
      </w:r>
      <w:r>
        <w:rPr>
          <w:rFonts w:ascii="Times New Roman" w:hAnsi="仿宋_GB2312" w:eastAsia="仿宋_GB2312" w:cs="Times New Roman"/>
          <w:sz w:val="32"/>
        </w:rPr>
        <w:t>负责全区党的组织体系、组织制度建设，负责基层党组织建设规划指导和党员队伍宏观管理，指导开展党员教育工作</w:t>
      </w:r>
      <w:r>
        <w:rPr>
          <w:rFonts w:hint="eastAsia" w:ascii="Times New Roman" w:hAnsi="仿宋_GB2312" w:eastAsia="仿宋_GB2312" w:cs="Times New Roman"/>
          <w:sz w:val="32"/>
          <w:lang w:eastAsia="zh-CN"/>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en-US" w:eastAsia="zh-CN"/>
        </w:rPr>
        <w:t>2.</w:t>
      </w:r>
      <w:r>
        <w:rPr>
          <w:rFonts w:hint="eastAsia" w:ascii="仿宋_GB2312" w:hAnsi="仿宋_GB2312" w:eastAsia="仿宋_GB2312" w:cs="仿宋_GB2312"/>
          <w:color w:val="auto"/>
          <w:kern w:val="0"/>
          <w:sz w:val="32"/>
          <w:szCs w:val="32"/>
          <w:highlight w:val="none"/>
          <w:u w:val="none"/>
          <w:shd w:val="clear" w:color="auto" w:fill="FFFFFF"/>
          <w:lang w:val="zh-CN"/>
        </w:rPr>
        <w:t>项目立项、资金申报的依据。</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根据全市</w:t>
      </w:r>
      <w:r>
        <w:rPr>
          <w:rFonts w:hint="eastAsia" w:ascii="仿宋_GB2312" w:hAnsi="仿宋_GB2312" w:eastAsia="仿宋_GB2312" w:cs="仿宋_GB2312"/>
          <w:kern w:val="0"/>
          <w:sz w:val="32"/>
          <w:szCs w:val="32"/>
          <w:lang w:val="en-US" w:eastAsia="zh-CN"/>
        </w:rPr>
        <w:t>党报</w:t>
      </w:r>
      <w:r>
        <w:rPr>
          <w:rFonts w:hint="eastAsia" w:ascii="仿宋_GB2312" w:hAnsi="仿宋_GB2312" w:eastAsia="仿宋_GB2312" w:cs="仿宋_GB2312"/>
          <w:kern w:val="0"/>
          <w:sz w:val="32"/>
          <w:szCs w:val="32"/>
        </w:rPr>
        <w:t>党刊、老年报刊征订工作任务安排，20</w:t>
      </w:r>
      <w:r>
        <w:rPr>
          <w:rFonts w:hint="eastAsia" w:ascii="仿宋_GB2312" w:hAnsi="仿宋_GB2312" w:eastAsia="仿宋_GB2312" w:cs="仿宋_GB2312"/>
          <w:kern w:val="0"/>
          <w:sz w:val="32"/>
          <w:szCs w:val="32"/>
          <w:lang w:val="en-US" w:eastAsia="zh-CN"/>
        </w:rPr>
        <w:t>22</w:t>
      </w:r>
      <w:r>
        <w:rPr>
          <w:rFonts w:hint="eastAsia" w:ascii="仿宋_GB2312" w:hAnsi="仿宋_GB2312" w:eastAsia="仿宋_GB2312" w:cs="仿宋_GB2312"/>
          <w:kern w:val="0"/>
          <w:sz w:val="32"/>
          <w:szCs w:val="32"/>
        </w:rPr>
        <w:t>年全区</w:t>
      </w:r>
      <w:r>
        <w:rPr>
          <w:rFonts w:hint="eastAsia" w:ascii="仿宋_GB2312" w:hAnsi="仿宋_GB2312" w:eastAsia="仿宋_GB2312" w:cs="仿宋_GB2312"/>
          <w:kern w:val="0"/>
          <w:sz w:val="32"/>
          <w:szCs w:val="32"/>
          <w:lang w:val="en-US" w:eastAsia="zh-CN"/>
        </w:rPr>
        <w:t>党报</w:t>
      </w:r>
      <w:r>
        <w:rPr>
          <w:rFonts w:hint="eastAsia" w:ascii="仿宋_GB2312" w:hAnsi="仿宋_GB2312" w:eastAsia="仿宋_GB2312" w:cs="仿宋_GB2312"/>
          <w:kern w:val="0"/>
          <w:sz w:val="32"/>
          <w:szCs w:val="32"/>
        </w:rPr>
        <w:t>党刊</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老年报刊</w:t>
      </w:r>
      <w:r>
        <w:rPr>
          <w:rFonts w:hint="eastAsia" w:ascii="仿宋_GB2312" w:hAnsi="仿宋_GB2312" w:eastAsia="仿宋_GB2312" w:cs="仿宋_GB2312"/>
          <w:kern w:val="0"/>
          <w:sz w:val="32"/>
          <w:szCs w:val="32"/>
        </w:rPr>
        <w:t>征订任务数为</w:t>
      </w:r>
      <w:r>
        <w:rPr>
          <w:rFonts w:hint="eastAsia" w:ascii="仿宋_GB2312" w:hAnsi="仿宋_GB2312" w:eastAsia="仿宋_GB2312" w:cs="仿宋_GB2312"/>
          <w:kern w:val="0"/>
          <w:sz w:val="32"/>
          <w:szCs w:val="32"/>
          <w:highlight w:val="none"/>
          <w:lang w:val="en-US" w:eastAsia="zh-CN"/>
        </w:rPr>
        <w:t>4031</w:t>
      </w:r>
      <w:r>
        <w:rPr>
          <w:rFonts w:hint="eastAsia" w:ascii="仿宋_GB2312" w:hAnsi="仿宋_GB2312" w:eastAsia="仿宋_GB2312" w:cs="仿宋_GB2312"/>
          <w:kern w:val="0"/>
          <w:sz w:val="32"/>
          <w:szCs w:val="32"/>
        </w:rPr>
        <w:t>份，</w:t>
      </w:r>
      <w:r>
        <w:rPr>
          <w:rFonts w:hint="eastAsia" w:ascii="仿宋_GB2312" w:hAnsi="仿宋_GB2312" w:eastAsia="仿宋_GB2312" w:cs="仿宋_GB2312"/>
          <w:kern w:val="0"/>
          <w:sz w:val="32"/>
          <w:szCs w:val="32"/>
          <w:lang w:val="en-US" w:eastAsia="zh-CN"/>
        </w:rPr>
        <w:t>其中《四川党的建设》2065份（240元/份/年）、《看四川》100份（360元/份/年）、《党建研究》130份（67.2元/份/年）、《党建研究内参》160份（25.2元/份/年）、《晚霞杂志》788份（144元/份/年）、《晚霞知识手册》788份（19.5元/份/年）。</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en-US" w:eastAsia="zh-CN"/>
        </w:rPr>
        <w:t>3.</w:t>
      </w:r>
      <w:r>
        <w:rPr>
          <w:rFonts w:hint="eastAsia" w:ascii="仿宋_GB2312" w:hAnsi="仿宋_GB2312" w:eastAsia="仿宋_GB2312" w:cs="仿宋_GB2312"/>
          <w:color w:val="auto"/>
          <w:kern w:val="0"/>
          <w:sz w:val="32"/>
          <w:szCs w:val="32"/>
          <w:highlight w:val="none"/>
          <w:u w:val="none"/>
          <w:shd w:val="clear" w:color="auto" w:fill="FFFFFF"/>
          <w:lang w:val="zh-CN"/>
        </w:rPr>
        <w:t>资金</w:t>
      </w:r>
      <w:r>
        <w:rPr>
          <w:rFonts w:hint="eastAsia" w:ascii="仿宋_GB2312" w:hAnsi="仿宋_GB2312" w:eastAsia="仿宋_GB2312" w:cs="仿宋_GB2312"/>
          <w:color w:val="auto"/>
          <w:kern w:val="0"/>
          <w:sz w:val="32"/>
          <w:szCs w:val="32"/>
          <w:highlight w:val="none"/>
          <w:u w:val="none"/>
          <w:shd w:val="clear" w:color="auto" w:fill="FFFFFF"/>
          <w:lang w:val="en-US" w:eastAsia="zh-CN"/>
        </w:rPr>
        <w:t>或项目</w:t>
      </w:r>
      <w:r>
        <w:rPr>
          <w:rFonts w:hint="eastAsia" w:ascii="仿宋_GB2312" w:hAnsi="仿宋_GB2312" w:eastAsia="仿宋_GB2312" w:cs="仿宋_GB2312"/>
          <w:color w:val="auto"/>
          <w:kern w:val="0"/>
          <w:sz w:val="32"/>
          <w:szCs w:val="32"/>
          <w:highlight w:val="none"/>
          <w:u w:val="none"/>
          <w:shd w:val="clear" w:color="auto" w:fill="FFFFFF"/>
          <w:lang w:val="zh-CN"/>
        </w:rPr>
        <w:t>管理办法制定情况，资金支持具体项目的条件、范围与支持方式概况。</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主要按照市委要求征订党报党刊、老年报刊等。包含《四川党的建设》、《看四川》、《党建研究》、《晚霞》等。专项经费严格按照专款专用原则，及时通知有关单位提供合法票据，完善报账手续，严格票据审核，规范报账程序，确保资金使用的及时性、规范性，同时财政部门对资金支付严格审核，确保资金使用安全。根据国家财经法规和单位财务管理制度的相关规定以及有关项目资金管理办法的规定支出，做到了资金使用的安全性、规范性，保证资金使用无截留、挤占、挪用、虚列支出等情况。</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Chars="200" w:firstLine="320" w:firstLineChars="1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en-US" w:eastAsia="zh-CN"/>
        </w:rPr>
        <w:t>4.</w:t>
      </w:r>
      <w:r>
        <w:rPr>
          <w:rFonts w:hint="eastAsia" w:ascii="仿宋_GB2312" w:hAnsi="仿宋_GB2312" w:eastAsia="仿宋_GB2312" w:cs="仿宋_GB2312"/>
          <w:color w:val="auto"/>
          <w:kern w:val="0"/>
          <w:sz w:val="32"/>
          <w:szCs w:val="32"/>
          <w:highlight w:val="none"/>
          <w:u w:val="none"/>
          <w:shd w:val="clear" w:color="auto" w:fill="FFFFFF"/>
          <w:lang w:val="zh-CN"/>
        </w:rPr>
        <w:t>资金分配的原则及考虑因素。</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default" w:ascii="仿宋_GB2312" w:hAnsi="仿宋_GB2312" w:eastAsia="仿宋_GB2312" w:cs="仿宋_GB2312"/>
          <w:color w:val="auto"/>
          <w:kern w:val="0"/>
          <w:sz w:val="32"/>
          <w:szCs w:val="32"/>
          <w:highlight w:val="none"/>
          <w:u w:val="none"/>
          <w:shd w:val="clear" w:color="auto" w:fill="FFFFFF"/>
          <w:lang w:val="zh-CN"/>
        </w:rPr>
        <w:t>突出重点，树立机关党建工作品牌</w:t>
      </w:r>
      <w:r>
        <w:rPr>
          <w:rFonts w:hint="eastAsia" w:ascii="仿宋_GB2312" w:hAnsi="仿宋_GB2312" w:eastAsia="仿宋_GB2312" w:cs="仿宋_GB2312"/>
          <w:color w:val="auto"/>
          <w:kern w:val="0"/>
          <w:sz w:val="32"/>
          <w:szCs w:val="32"/>
          <w:highlight w:val="none"/>
          <w:u w:val="none"/>
          <w:shd w:val="clear" w:color="auto" w:fill="FFFFFF"/>
          <w:lang w:val="zh-CN"/>
        </w:rPr>
        <w:t>、</w:t>
      </w:r>
      <w:r>
        <w:rPr>
          <w:rFonts w:hint="default" w:ascii="仿宋_GB2312" w:hAnsi="仿宋_GB2312" w:eastAsia="仿宋_GB2312" w:cs="仿宋_GB2312"/>
          <w:color w:val="auto"/>
          <w:kern w:val="0"/>
          <w:sz w:val="32"/>
          <w:szCs w:val="32"/>
          <w:highlight w:val="none"/>
          <w:u w:val="none"/>
          <w:shd w:val="clear" w:color="auto" w:fill="FFFFFF"/>
          <w:lang w:val="zh-CN"/>
        </w:rPr>
        <w:t>重视难点，提升两新党建工作质量</w:t>
      </w:r>
      <w:r>
        <w:rPr>
          <w:rFonts w:hint="eastAsia" w:ascii="仿宋_GB2312" w:hAnsi="仿宋_GB2312" w:eastAsia="仿宋_GB2312" w:cs="仿宋_GB2312"/>
          <w:color w:val="auto"/>
          <w:kern w:val="0"/>
          <w:sz w:val="32"/>
          <w:szCs w:val="32"/>
          <w:highlight w:val="none"/>
          <w:u w:val="none"/>
          <w:shd w:val="clear" w:color="auto" w:fill="FFFFFF"/>
          <w:lang w:val="zh-CN"/>
        </w:rPr>
        <w:t>、</w:t>
      </w:r>
      <w:r>
        <w:rPr>
          <w:rFonts w:hint="default" w:ascii="仿宋_GB2312" w:hAnsi="仿宋_GB2312" w:eastAsia="仿宋_GB2312" w:cs="仿宋_GB2312"/>
          <w:color w:val="auto"/>
          <w:kern w:val="0"/>
          <w:sz w:val="32"/>
          <w:szCs w:val="32"/>
          <w:highlight w:val="none"/>
          <w:u w:val="none"/>
          <w:shd w:val="clear" w:color="auto" w:fill="FFFFFF"/>
          <w:lang w:val="zh-CN"/>
        </w:rPr>
        <w:t>找准落点，加快各领域党建推进步伐。持续实施“红烛先锋”品牌创建活动</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（二）项目绩效目标。</w:t>
      </w:r>
    </w:p>
    <w:p>
      <w:pPr>
        <w:adjustRightInd w:val="0"/>
        <w:snapToGrid w:val="0"/>
        <w:spacing w:line="600" w:lineRule="exact"/>
        <w:ind w:firstLine="640" w:firstLineChars="200"/>
        <w:rPr>
          <w:rFonts w:hint="eastAsia" w:ascii="仿宋_GB2312" w:hAnsi="宋体" w:eastAsia="仿宋_GB2312"/>
          <w:sz w:val="32"/>
          <w:szCs w:val="32"/>
          <w:lang w:val="zh-CN" w:eastAsia="zh-CN"/>
        </w:rPr>
      </w:pPr>
      <w:r>
        <w:rPr>
          <w:rFonts w:hint="eastAsia" w:ascii="仿宋_GB2312" w:hAnsi="宋体" w:eastAsia="仿宋_GB2312"/>
          <w:sz w:val="32"/>
          <w:szCs w:val="32"/>
          <w:lang w:val="en-US" w:eastAsia="zh-CN"/>
        </w:rPr>
        <w:t>1.</w:t>
      </w:r>
      <w:r>
        <w:rPr>
          <w:rFonts w:hint="eastAsia" w:ascii="仿宋_GB2312" w:hAnsi="宋体" w:eastAsia="仿宋_GB2312"/>
          <w:sz w:val="32"/>
          <w:szCs w:val="32"/>
          <w:lang w:val="zh-CN" w:eastAsia="zh-CN"/>
        </w:rPr>
        <w:t>项目主要内容。</w:t>
      </w:r>
    </w:p>
    <w:p>
      <w:pPr>
        <w:adjustRightInd w:val="0"/>
        <w:snapToGrid w:val="0"/>
        <w:spacing w:line="600" w:lineRule="exact"/>
        <w:ind w:firstLine="640" w:firstLineChars="200"/>
        <w:rPr>
          <w:rFonts w:hint="default" w:ascii="仿宋_GB2312" w:hAnsi="宋体" w:eastAsia="仿宋_GB2312"/>
          <w:sz w:val="32"/>
          <w:szCs w:val="32"/>
          <w:lang w:val="en-US" w:eastAsia="zh-CN"/>
        </w:rPr>
      </w:pPr>
      <w:r>
        <w:rPr>
          <w:rFonts w:hint="default" w:ascii="仿宋_GB2312" w:hAnsi="宋体" w:eastAsia="仿宋_GB2312"/>
          <w:sz w:val="32"/>
          <w:szCs w:val="32"/>
          <w:lang w:val="en-US" w:eastAsia="zh-CN"/>
        </w:rPr>
        <w:t>主</w:t>
      </w:r>
      <w:r>
        <w:rPr>
          <w:rFonts w:hint="eastAsia" w:ascii="仿宋_GB2312" w:hAnsi="宋体" w:eastAsia="仿宋_GB2312"/>
          <w:sz w:val="32"/>
          <w:szCs w:val="32"/>
          <w:lang w:val="en-US" w:eastAsia="zh-CN"/>
        </w:rPr>
        <w:t>要按照市委要求征订党报党刊、老年报刊等。包含《四川党的建设》、《看四川》、《党建研究》、《晚霞》等。</w:t>
      </w:r>
    </w:p>
    <w:p>
      <w:pPr>
        <w:adjustRightInd w:val="0"/>
        <w:snapToGrid w:val="0"/>
        <w:spacing w:line="600" w:lineRule="exact"/>
        <w:ind w:firstLine="640" w:firstLineChars="200"/>
        <w:rPr>
          <w:rFonts w:hint="eastAsia" w:ascii="仿宋_GB2312" w:hAnsi="宋体" w:eastAsia="仿宋_GB2312"/>
          <w:sz w:val="32"/>
          <w:szCs w:val="32"/>
          <w:lang w:val="zh-CN" w:eastAsia="zh-CN"/>
        </w:rPr>
      </w:pPr>
      <w:r>
        <w:rPr>
          <w:rFonts w:hint="eastAsia" w:ascii="仿宋_GB2312" w:hAnsi="宋体" w:eastAsia="仿宋_GB2312"/>
          <w:sz w:val="32"/>
          <w:szCs w:val="32"/>
          <w:lang w:val="en-US" w:eastAsia="zh-CN"/>
        </w:rPr>
        <w:t>2.</w:t>
      </w:r>
      <w:r>
        <w:rPr>
          <w:rFonts w:hint="eastAsia" w:ascii="仿宋_GB2312" w:hAnsi="宋体" w:eastAsia="仿宋_GB2312"/>
          <w:sz w:val="32"/>
          <w:szCs w:val="32"/>
          <w:lang w:val="zh-CN" w:eastAsia="zh-CN"/>
        </w:rPr>
        <w:t>项目应实现的具体绩效目标，</w:t>
      </w:r>
      <w:r>
        <w:rPr>
          <w:rFonts w:hint="eastAsia" w:ascii="仿宋_GB2312" w:hAnsi="宋体" w:eastAsia="仿宋_GB2312"/>
          <w:sz w:val="32"/>
          <w:szCs w:val="32"/>
          <w:lang w:val="en-US" w:eastAsia="zh-CN"/>
        </w:rPr>
        <w:t>包括但不限于：绩效</w:t>
      </w:r>
      <w:r>
        <w:rPr>
          <w:rFonts w:hint="eastAsia" w:ascii="仿宋_GB2312" w:hAnsi="宋体" w:eastAsia="仿宋_GB2312"/>
          <w:sz w:val="32"/>
          <w:szCs w:val="32"/>
          <w:lang w:val="zh-CN" w:eastAsia="zh-CN"/>
        </w:rPr>
        <w:t>目标的量化细化情况、项目实施进度计划等。</w:t>
      </w:r>
    </w:p>
    <w:p>
      <w:pPr>
        <w:adjustRightInd w:val="0"/>
        <w:snapToGrid w:val="0"/>
        <w:spacing w:line="600" w:lineRule="exact"/>
        <w:ind w:firstLine="640" w:firstLineChars="200"/>
        <w:rPr>
          <w:rFonts w:hint="default" w:ascii="仿宋_GB2312" w:hAnsi="宋体" w:eastAsia="仿宋_GB2312"/>
          <w:sz w:val="32"/>
          <w:szCs w:val="32"/>
          <w:lang w:val="zh-CN" w:eastAsia="zh-CN"/>
        </w:rPr>
      </w:pPr>
      <w:r>
        <w:rPr>
          <w:rFonts w:hint="eastAsia" w:ascii="仿宋_GB2312" w:hAnsi="宋体" w:eastAsia="仿宋_GB2312"/>
          <w:sz w:val="32"/>
          <w:szCs w:val="32"/>
          <w:lang w:val="zh-CN" w:eastAsia="zh-CN"/>
        </w:rPr>
        <w:t>（1）数量指标：全区党报党刊完成任务总数为三千余份。</w:t>
      </w:r>
    </w:p>
    <w:p>
      <w:pPr>
        <w:adjustRightInd w:val="0"/>
        <w:snapToGrid w:val="0"/>
        <w:spacing w:line="600" w:lineRule="exact"/>
        <w:ind w:firstLine="640" w:firstLineChars="200"/>
        <w:rPr>
          <w:rFonts w:hint="default" w:ascii="仿宋_GB2312" w:hAnsi="宋体" w:eastAsia="仿宋_GB2312"/>
          <w:sz w:val="32"/>
          <w:szCs w:val="32"/>
          <w:lang w:val="zh-CN" w:eastAsia="zh-CN"/>
        </w:rPr>
      </w:pPr>
      <w:r>
        <w:rPr>
          <w:rFonts w:hint="eastAsia" w:ascii="仿宋_GB2312" w:hAnsi="宋体" w:eastAsia="仿宋_GB2312"/>
          <w:sz w:val="32"/>
          <w:szCs w:val="32"/>
          <w:lang w:val="zh-CN" w:eastAsia="zh-CN"/>
        </w:rPr>
        <w:t>（2）满意度指标：全区离退休干部、党员干部满意度得到不断提升。</w:t>
      </w:r>
    </w:p>
    <w:p>
      <w:pPr>
        <w:adjustRightInd w:val="0"/>
        <w:snapToGrid w:val="0"/>
        <w:spacing w:line="600" w:lineRule="exact"/>
        <w:ind w:firstLine="640" w:firstLineChars="200"/>
        <w:rPr>
          <w:rFonts w:hint="eastAsia" w:ascii="仿宋_GB2312" w:hAnsi="宋体" w:eastAsia="仿宋_GB2312"/>
          <w:sz w:val="32"/>
          <w:szCs w:val="32"/>
          <w:lang w:val="en-US" w:eastAsia="zh-CN"/>
        </w:rPr>
      </w:pPr>
      <w:r>
        <w:rPr>
          <w:rFonts w:hint="eastAsia" w:ascii="仿宋_GB2312" w:hAnsi="宋体" w:eastAsia="仿宋_GB2312"/>
          <w:sz w:val="32"/>
          <w:szCs w:val="32"/>
          <w:lang w:val="zh-CN" w:eastAsia="zh-CN"/>
        </w:rPr>
        <w:t>（</w:t>
      </w:r>
      <w:r>
        <w:rPr>
          <w:rFonts w:hint="eastAsia" w:ascii="仿宋_GB2312" w:hAnsi="宋体" w:eastAsia="仿宋_GB2312"/>
          <w:sz w:val="32"/>
          <w:szCs w:val="32"/>
          <w:lang w:val="en-US" w:eastAsia="zh-CN"/>
        </w:rPr>
        <w:t>3</w:t>
      </w:r>
      <w:r>
        <w:rPr>
          <w:rFonts w:hint="eastAsia" w:ascii="仿宋_GB2312" w:hAnsi="宋体" w:eastAsia="仿宋_GB2312"/>
          <w:sz w:val="32"/>
          <w:szCs w:val="32"/>
          <w:lang w:val="zh-CN" w:eastAsia="zh-CN"/>
        </w:rPr>
        <w:t>）</w:t>
      </w:r>
      <w:r>
        <w:rPr>
          <w:rFonts w:hint="eastAsia" w:ascii="仿宋_GB2312" w:hAnsi="宋体" w:eastAsia="仿宋_GB2312"/>
          <w:sz w:val="32"/>
          <w:szCs w:val="32"/>
          <w:lang w:val="en-US" w:eastAsia="zh-CN"/>
        </w:rPr>
        <w:t>社会效益指标：做好党报党刊征订宣传工作，是构建和谐社会的需要。在构建和谐社会的实践中，党报党刊肩负着为构建和谐社会提供强大精神动力，思想保证和舆论支持的重任。广大干部群众通过党报党刊学习现代科学文化知识，更新思想观念，满足自身日益增长的精神物质文化需求。</w:t>
      </w:r>
    </w:p>
    <w:p>
      <w:pPr>
        <w:adjustRightInd w:val="0"/>
        <w:snapToGrid w:val="0"/>
        <w:spacing w:line="600" w:lineRule="exact"/>
        <w:ind w:firstLine="640" w:firstLineChars="200"/>
        <w:rPr>
          <w:rFonts w:hint="eastAsia" w:ascii="仿宋_GB2312" w:hAnsi="宋体" w:eastAsia="仿宋_GB2312"/>
          <w:sz w:val="32"/>
          <w:szCs w:val="32"/>
          <w:lang w:val="zh-CN" w:eastAsia="zh-CN"/>
        </w:rPr>
      </w:pPr>
      <w:r>
        <w:rPr>
          <w:rFonts w:hint="eastAsia" w:ascii="仿宋_GB2312" w:hAnsi="宋体" w:eastAsia="仿宋_GB2312"/>
          <w:sz w:val="32"/>
          <w:szCs w:val="32"/>
          <w:lang w:val="en-US" w:eastAsia="zh-CN"/>
        </w:rPr>
        <w:t>3.</w:t>
      </w:r>
      <w:r>
        <w:rPr>
          <w:rFonts w:hint="eastAsia" w:ascii="仿宋_GB2312" w:hAnsi="宋体" w:eastAsia="仿宋_GB2312"/>
          <w:sz w:val="32"/>
          <w:szCs w:val="32"/>
          <w:lang w:val="zh-CN" w:eastAsia="zh-CN"/>
        </w:rPr>
        <w:t>分析评价申报内容是否与实际相符，申报目标是否合理可行。</w:t>
      </w:r>
    </w:p>
    <w:p>
      <w:pPr>
        <w:adjustRightInd w:val="0"/>
        <w:snapToGrid w:val="0"/>
        <w:spacing w:line="600" w:lineRule="exact"/>
        <w:ind w:firstLine="640" w:firstLineChars="200"/>
        <w:rPr>
          <w:rFonts w:hint="eastAsia" w:ascii="仿宋_GB2312" w:hAnsi="宋体" w:eastAsia="仿宋_GB2312"/>
          <w:sz w:val="32"/>
          <w:szCs w:val="32"/>
          <w:lang w:val="zh-CN" w:eastAsia="zh-CN"/>
        </w:rPr>
      </w:pPr>
      <w:r>
        <w:rPr>
          <w:rFonts w:hint="eastAsia" w:ascii="仿宋_GB2312" w:hAnsi="宋体" w:eastAsia="仿宋_GB2312"/>
          <w:sz w:val="32"/>
          <w:szCs w:val="32"/>
          <w:lang w:val="zh-CN" w:eastAsia="zh-CN"/>
        </w:rPr>
        <w:t>项目申报内容与具体实施内容相符、申报目标合理可行。项目实施进度如期完成，计划实现的具体绩效目标达到100%，项目实施进度计划达到100%。</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（三）项目自评步骤及方法。</w:t>
      </w:r>
    </w:p>
    <w:p>
      <w:pPr>
        <w:adjustRightInd w:val="0"/>
        <w:snapToGrid w:val="0"/>
        <w:spacing w:line="600" w:lineRule="exact"/>
        <w:ind w:firstLine="640" w:firstLineChars="200"/>
        <w:rPr>
          <w:rFonts w:hint="default" w:ascii="仿宋_GB2312" w:hAnsi="宋体" w:eastAsia="仿宋_GB2312"/>
          <w:sz w:val="32"/>
          <w:szCs w:val="32"/>
          <w:lang w:val="zh-CN" w:eastAsia="zh-CN"/>
        </w:rPr>
      </w:pPr>
      <w:r>
        <w:rPr>
          <w:rFonts w:hint="default" w:ascii="仿宋_GB2312" w:hAnsi="宋体" w:eastAsia="仿宋_GB2312"/>
          <w:sz w:val="32"/>
          <w:szCs w:val="32"/>
          <w:lang w:val="en-US" w:eastAsia="zh-CN"/>
        </w:rPr>
        <w:t>部</w:t>
      </w:r>
      <w:r>
        <w:rPr>
          <w:rFonts w:hint="default" w:ascii="仿宋_GB2312" w:hAnsi="宋体" w:eastAsia="仿宋_GB2312"/>
          <w:sz w:val="32"/>
          <w:szCs w:val="32"/>
          <w:lang w:val="zh-CN" w:eastAsia="zh-CN"/>
        </w:rPr>
        <w:t>领导高度重视202</w:t>
      </w:r>
      <w:r>
        <w:rPr>
          <w:rFonts w:hint="eastAsia" w:ascii="仿宋_GB2312" w:hAnsi="宋体" w:eastAsia="仿宋_GB2312"/>
          <w:sz w:val="32"/>
          <w:szCs w:val="32"/>
          <w:lang w:val="en-US" w:eastAsia="zh-CN"/>
        </w:rPr>
        <w:t>2</w:t>
      </w:r>
      <w:r>
        <w:rPr>
          <w:rFonts w:hint="default" w:ascii="仿宋_GB2312" w:hAnsi="宋体" w:eastAsia="仿宋_GB2312"/>
          <w:sz w:val="32"/>
          <w:szCs w:val="32"/>
          <w:lang w:val="zh-CN" w:eastAsia="zh-CN"/>
        </w:rPr>
        <w:t>年度部门预算项目支出绩效自评工作，要求各分管领导具体负责，按照通知要求，积极开展自评工作，认真填报项目支出绩效自评表。同时，成立部门预算项目支出绩效自评工作组，对本单位项目的绩效自评结果进行审核。</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黑体" w:hAnsi="宋体" w:eastAsia="黑体"/>
          <w:color w:val="auto"/>
          <w:sz w:val="32"/>
          <w:szCs w:val="32"/>
          <w:highlight w:val="none"/>
          <w:u w:val="none"/>
        </w:rPr>
      </w:pPr>
      <w:r>
        <w:rPr>
          <w:rFonts w:hint="eastAsia" w:ascii="黑体" w:hAnsi="宋体" w:eastAsia="黑体"/>
          <w:color w:val="auto"/>
          <w:sz w:val="32"/>
          <w:szCs w:val="32"/>
          <w:highlight w:val="none"/>
          <w:u w:val="none"/>
        </w:rPr>
        <w:t>二、项目资金申报及使用情况</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（一）项目资金申报及批复情况。</w:t>
      </w:r>
    </w:p>
    <w:p>
      <w:pPr>
        <w:adjustRightInd w:val="0"/>
        <w:snapToGrid w:val="0"/>
        <w:spacing w:line="600" w:lineRule="exact"/>
        <w:ind w:firstLine="640" w:firstLineChars="200"/>
        <w:rPr>
          <w:rFonts w:hint="eastAsia" w:ascii="仿宋_GB2312" w:hAnsi="宋体" w:eastAsia="仿宋_GB2312"/>
          <w:sz w:val="32"/>
          <w:szCs w:val="32"/>
          <w:lang w:val="zh-CN" w:eastAsia="zh-CN"/>
        </w:rPr>
      </w:pPr>
      <w:r>
        <w:rPr>
          <w:rFonts w:hint="eastAsia" w:ascii="仿宋_GB2312" w:hAnsi="宋体" w:eastAsia="仿宋_GB2312"/>
          <w:sz w:val="32"/>
          <w:szCs w:val="32"/>
          <w:lang w:val="zh-CN" w:eastAsia="zh-CN"/>
        </w:rPr>
        <w:t>按照市委要求征订党报党刊、老年报刊等，包含《四川党的建设》、《看四川》、《党建研究》、《晚霞》等。我单位根据年度征订任务申请立项，通过审议批准后，纳入年初本级预算，预算金额</w:t>
      </w:r>
      <w:r>
        <w:rPr>
          <w:rFonts w:hint="eastAsia" w:ascii="仿宋_GB2312" w:hAnsi="宋体" w:eastAsia="仿宋_GB2312"/>
          <w:sz w:val="32"/>
          <w:szCs w:val="32"/>
          <w:lang w:val="en-US" w:eastAsia="zh-CN"/>
        </w:rPr>
        <w:t>66.62</w:t>
      </w:r>
      <w:r>
        <w:rPr>
          <w:rFonts w:hint="eastAsia" w:ascii="仿宋_GB2312" w:hAnsi="宋体" w:eastAsia="仿宋_GB2312"/>
          <w:sz w:val="32"/>
          <w:szCs w:val="32"/>
          <w:lang w:val="zh-CN" w:eastAsia="zh-CN"/>
        </w:rPr>
        <w:t>万元，预算批复</w:t>
      </w:r>
      <w:r>
        <w:rPr>
          <w:rFonts w:hint="eastAsia" w:ascii="仿宋_GB2312" w:hAnsi="宋体" w:eastAsia="仿宋_GB2312"/>
          <w:sz w:val="32"/>
          <w:szCs w:val="32"/>
          <w:lang w:val="en-US" w:eastAsia="zh-CN"/>
        </w:rPr>
        <w:t>66.62</w:t>
      </w:r>
      <w:r>
        <w:rPr>
          <w:rFonts w:hint="eastAsia" w:ascii="仿宋_GB2312" w:hAnsi="宋体" w:eastAsia="仿宋_GB2312"/>
          <w:sz w:val="32"/>
          <w:szCs w:val="32"/>
          <w:lang w:val="zh-CN" w:eastAsia="zh-CN"/>
        </w:rPr>
        <w:t>万元。项目开展后，我单位在预算一体化系统中申请使用资金并向财政局归口股室递交项目专项资金申请表提交申请，国库等业务股室审核通过后，指标下达到本单位，本单位再按经费实际开支情况，据实报销资金。</w:t>
      </w:r>
    </w:p>
    <w:p>
      <w:pPr>
        <w:keepNext w:val="0"/>
        <w:keepLines w:val="0"/>
        <w:pageBreakBefore w:val="0"/>
        <w:kinsoku/>
        <w:wordWrap/>
        <w:overflowPunct/>
        <w:topLinePunct w:val="0"/>
        <w:autoSpaceDE/>
        <w:autoSpaceDN/>
        <w:bidi w:val="0"/>
        <w:adjustRightInd w:val="0"/>
        <w:snapToGrid w:val="0"/>
        <w:spacing w:line="578" w:lineRule="exact"/>
        <w:ind w:firstLine="643" w:firstLineChars="200"/>
        <w:textAlignment w:val="auto"/>
        <w:rPr>
          <w:rFonts w:ascii="仿宋_GB2312" w:hAnsi="宋体"/>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（二）资金计划、到位及使用情况（可用表格形式反映）。</w:t>
      </w:r>
    </w:p>
    <w:p>
      <w:pPr>
        <w:adjustRightInd w:val="0"/>
        <w:snapToGrid w:val="0"/>
        <w:spacing w:line="600" w:lineRule="exact"/>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en-US" w:eastAsia="zh-CN"/>
        </w:rPr>
        <w:t>1.</w:t>
      </w:r>
      <w:r>
        <w:rPr>
          <w:rFonts w:hint="eastAsia" w:ascii="仿宋_GB2312" w:hAnsi="宋体" w:eastAsia="仿宋_GB2312"/>
          <w:sz w:val="32"/>
          <w:szCs w:val="32"/>
          <w:lang w:val="zh-CN"/>
        </w:rPr>
        <w:t>资金计划。</w:t>
      </w:r>
    </w:p>
    <w:p>
      <w:pPr>
        <w:adjustRightInd w:val="0"/>
        <w:snapToGrid w:val="0"/>
        <w:spacing w:line="600" w:lineRule="exact"/>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t>专项项目资金源于年初财政拨款预算，由区财政局统一批复，20</w:t>
      </w:r>
      <w:r>
        <w:rPr>
          <w:rFonts w:hint="eastAsia" w:ascii="仿宋_GB2312" w:hAnsi="宋体" w:eastAsia="仿宋_GB2312"/>
          <w:sz w:val="32"/>
          <w:szCs w:val="32"/>
        </w:rPr>
        <w:t>2</w:t>
      </w:r>
      <w:r>
        <w:rPr>
          <w:rFonts w:hint="eastAsia" w:ascii="仿宋_GB2312" w:hAnsi="宋体" w:eastAsia="仿宋_GB2312"/>
          <w:sz w:val="32"/>
          <w:szCs w:val="32"/>
          <w:lang w:val="en-US" w:eastAsia="zh-CN"/>
        </w:rPr>
        <w:t>2</w:t>
      </w:r>
      <w:r>
        <w:rPr>
          <w:rFonts w:hint="eastAsia" w:ascii="仿宋_GB2312" w:hAnsi="宋体" w:eastAsia="仿宋_GB2312"/>
          <w:sz w:val="32"/>
          <w:szCs w:val="32"/>
          <w:lang w:val="zh-CN"/>
        </w:rPr>
        <w:t>年预算金额</w:t>
      </w:r>
      <w:r>
        <w:rPr>
          <w:rFonts w:hint="eastAsia" w:ascii="仿宋_GB2312" w:hAnsi="宋体" w:eastAsia="仿宋_GB2312"/>
          <w:sz w:val="32"/>
          <w:szCs w:val="32"/>
          <w:lang w:val="en-US" w:eastAsia="zh-CN"/>
        </w:rPr>
        <w:t>66.62</w:t>
      </w:r>
      <w:r>
        <w:rPr>
          <w:rFonts w:hint="eastAsia" w:ascii="仿宋_GB2312" w:hAnsi="宋体" w:eastAsia="仿宋_GB2312"/>
          <w:sz w:val="32"/>
          <w:szCs w:val="32"/>
          <w:lang w:val="zh-CN"/>
        </w:rPr>
        <w:t>万元，预算批复</w:t>
      </w:r>
      <w:r>
        <w:rPr>
          <w:rFonts w:hint="eastAsia" w:ascii="仿宋_GB2312" w:hAnsi="宋体" w:eastAsia="仿宋_GB2312"/>
          <w:sz w:val="32"/>
          <w:szCs w:val="32"/>
          <w:lang w:val="en-US" w:eastAsia="zh-CN"/>
        </w:rPr>
        <w:t>66.62</w:t>
      </w:r>
      <w:r>
        <w:rPr>
          <w:rFonts w:hint="eastAsia" w:ascii="仿宋_GB2312" w:hAnsi="宋体" w:eastAsia="仿宋_GB2312"/>
          <w:sz w:val="32"/>
          <w:szCs w:val="32"/>
          <w:lang w:val="zh-CN"/>
        </w:rPr>
        <w:t>万元，实际下达</w:t>
      </w:r>
      <w:r>
        <w:rPr>
          <w:rFonts w:hint="eastAsia" w:ascii="仿宋_GB2312" w:hAnsi="宋体" w:eastAsia="仿宋_GB2312"/>
          <w:sz w:val="32"/>
          <w:szCs w:val="32"/>
          <w:lang w:val="en-US" w:eastAsia="zh-CN"/>
        </w:rPr>
        <w:t>66.62</w:t>
      </w:r>
      <w:r>
        <w:rPr>
          <w:rFonts w:hint="eastAsia" w:ascii="仿宋_GB2312" w:hAnsi="宋体" w:eastAsia="仿宋_GB2312"/>
          <w:sz w:val="32"/>
          <w:szCs w:val="32"/>
        </w:rPr>
        <w:t>万元</w:t>
      </w:r>
      <w:r>
        <w:rPr>
          <w:rFonts w:hint="eastAsia" w:ascii="仿宋_GB2312" w:hAnsi="宋体" w:eastAsia="仿宋_GB2312"/>
          <w:sz w:val="32"/>
          <w:szCs w:val="32"/>
          <w:lang w:val="zh-CN"/>
        </w:rPr>
        <w:t>。</w:t>
      </w:r>
    </w:p>
    <w:p>
      <w:pPr>
        <w:adjustRightInd w:val="0"/>
        <w:snapToGrid w:val="0"/>
        <w:spacing w:line="600" w:lineRule="exact"/>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en-US" w:eastAsia="zh-CN"/>
        </w:rPr>
        <w:t>2.</w:t>
      </w:r>
      <w:r>
        <w:rPr>
          <w:rFonts w:hint="eastAsia" w:ascii="仿宋_GB2312" w:hAnsi="宋体" w:eastAsia="仿宋_GB2312"/>
          <w:sz w:val="32"/>
          <w:szCs w:val="32"/>
          <w:lang w:val="zh-CN"/>
        </w:rPr>
        <w:t>资金到位。</w:t>
      </w:r>
    </w:p>
    <w:p>
      <w:pPr>
        <w:adjustRightInd w:val="0"/>
        <w:snapToGrid w:val="0"/>
        <w:spacing w:line="600" w:lineRule="exact"/>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eastAsia="zh-CN"/>
        </w:rPr>
        <w:t>专项</w:t>
      </w:r>
      <w:r>
        <w:rPr>
          <w:rFonts w:hint="eastAsia" w:ascii="仿宋_GB2312" w:hAnsi="宋体" w:eastAsia="仿宋_GB2312"/>
          <w:sz w:val="32"/>
          <w:szCs w:val="32"/>
        </w:rPr>
        <w:t>项目资金预算</w:t>
      </w:r>
      <w:r>
        <w:rPr>
          <w:rFonts w:hint="eastAsia" w:ascii="仿宋_GB2312" w:hAnsi="宋体" w:eastAsia="仿宋_GB2312"/>
          <w:sz w:val="32"/>
          <w:szCs w:val="32"/>
          <w:lang w:val="en-US" w:eastAsia="zh-CN"/>
        </w:rPr>
        <w:t>66.62</w:t>
      </w:r>
      <w:r>
        <w:rPr>
          <w:rFonts w:hint="eastAsia" w:ascii="仿宋_GB2312" w:hAnsi="宋体" w:eastAsia="仿宋_GB2312"/>
          <w:sz w:val="32"/>
          <w:szCs w:val="32"/>
        </w:rPr>
        <w:t>万</w:t>
      </w:r>
      <w:r>
        <w:rPr>
          <w:rFonts w:hint="eastAsia" w:ascii="仿宋_GB2312" w:hAnsi="宋体" w:eastAsia="仿宋_GB2312"/>
          <w:sz w:val="32"/>
          <w:szCs w:val="32"/>
          <w:lang w:eastAsia="zh-CN"/>
        </w:rPr>
        <w:t>元</w:t>
      </w:r>
      <w:r>
        <w:rPr>
          <w:rFonts w:hint="eastAsia" w:ascii="仿宋_GB2312" w:hAnsi="宋体" w:eastAsia="仿宋_GB2312"/>
          <w:sz w:val="32"/>
          <w:szCs w:val="32"/>
        </w:rPr>
        <w:t>，拨付到位</w:t>
      </w:r>
      <w:r>
        <w:rPr>
          <w:rFonts w:hint="eastAsia" w:ascii="仿宋_GB2312" w:hAnsi="宋体" w:eastAsia="仿宋_GB2312"/>
          <w:sz w:val="32"/>
          <w:szCs w:val="32"/>
          <w:lang w:val="en-US" w:eastAsia="zh-CN"/>
        </w:rPr>
        <w:t>66.62</w:t>
      </w:r>
      <w:r>
        <w:rPr>
          <w:rFonts w:hint="eastAsia" w:ascii="仿宋_GB2312" w:hAnsi="宋体" w:eastAsia="仿宋_GB2312"/>
          <w:sz w:val="32"/>
          <w:szCs w:val="32"/>
        </w:rPr>
        <w:t>万元，到位率</w:t>
      </w:r>
      <w:r>
        <w:rPr>
          <w:rFonts w:hint="eastAsia" w:ascii="仿宋_GB2312" w:hAnsi="宋体" w:eastAsia="仿宋_GB2312"/>
          <w:sz w:val="32"/>
          <w:szCs w:val="32"/>
          <w:lang w:val="en-US" w:eastAsia="zh-CN"/>
        </w:rPr>
        <w:t>100</w:t>
      </w:r>
      <w:r>
        <w:rPr>
          <w:rFonts w:hint="eastAsia" w:ascii="仿宋_GB2312" w:hAnsi="宋体" w:eastAsia="仿宋_GB2312"/>
          <w:sz w:val="32"/>
          <w:szCs w:val="32"/>
        </w:rPr>
        <w:t>%。</w:t>
      </w:r>
    </w:p>
    <w:p>
      <w:pPr>
        <w:adjustRightInd w:val="0"/>
        <w:snapToGrid w:val="0"/>
        <w:spacing w:line="600" w:lineRule="exact"/>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en-US" w:eastAsia="zh-CN"/>
        </w:rPr>
        <w:t>3.</w:t>
      </w:r>
      <w:r>
        <w:rPr>
          <w:rFonts w:hint="eastAsia" w:ascii="仿宋_GB2312" w:hAnsi="宋体" w:eastAsia="仿宋_GB2312"/>
          <w:sz w:val="32"/>
          <w:szCs w:val="32"/>
          <w:lang w:val="zh-CN"/>
        </w:rPr>
        <w:t>资金使用。</w:t>
      </w:r>
    </w:p>
    <w:p>
      <w:pPr>
        <w:adjustRightInd w:val="0"/>
        <w:snapToGrid w:val="0"/>
        <w:spacing w:line="600" w:lineRule="exact"/>
        <w:ind w:firstLine="640" w:firstLineChars="200"/>
        <w:rPr>
          <w:rFonts w:hint="eastAsia" w:ascii="仿宋_GB2312" w:hAnsi="宋体" w:eastAsia="仿宋_GB2312"/>
          <w:sz w:val="32"/>
          <w:szCs w:val="32"/>
          <w:lang w:val="en-US" w:eastAsia="zh-CN"/>
        </w:rPr>
      </w:pPr>
      <w:r>
        <w:rPr>
          <w:rFonts w:hint="eastAsia" w:ascii="仿宋_GB2312" w:hAnsi="宋体" w:eastAsia="仿宋_GB2312"/>
          <w:sz w:val="32"/>
          <w:szCs w:val="32"/>
          <w:lang w:val="zh-CN" w:eastAsia="zh-CN"/>
        </w:rPr>
        <w:t>按照市委要求征订党报党刊、老年报刊等，包含《四川党的建设》、《看四川》、《党建研究》、《晚霞》等。</w:t>
      </w:r>
      <w:r>
        <w:rPr>
          <w:rFonts w:hint="eastAsia" w:ascii="仿宋_GB2312" w:hAnsi="宋体" w:eastAsia="仿宋_GB2312"/>
          <w:sz w:val="32"/>
          <w:szCs w:val="32"/>
          <w:lang w:val="en-US" w:eastAsia="zh-CN"/>
        </w:rPr>
        <w:t>2022年党报党刊征订工作顺利完成，全区党报党刊完成任务总数为三千余份，总金额为66.62万元，全区已全面完成好了党报党刊征订任务数。</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（三）项目财务管理情况。</w:t>
      </w:r>
    </w:p>
    <w:p>
      <w:pPr>
        <w:adjustRightInd w:val="0"/>
        <w:snapToGrid w:val="0"/>
        <w:spacing w:line="600" w:lineRule="exact"/>
        <w:ind w:firstLine="640" w:firstLineChars="200"/>
        <w:rPr>
          <w:rFonts w:hint="eastAsia" w:ascii="仿宋_GB2312" w:hAnsi="宋体" w:eastAsia="仿宋_GB2312"/>
          <w:sz w:val="32"/>
          <w:szCs w:val="32"/>
          <w:lang w:eastAsia="zh-CN"/>
        </w:rPr>
      </w:pPr>
      <w:r>
        <w:rPr>
          <w:rFonts w:hint="eastAsia" w:ascii="仿宋_GB2312" w:hAnsi="宋体" w:eastAsia="仿宋_GB2312"/>
          <w:sz w:val="32"/>
          <w:szCs w:val="32"/>
        </w:rPr>
        <w:t>专项经费严格按照专款专用原则，及时通知有关单位提供合法票据，完善报账手续，严格票据审核，规范报账程，同时财政部门对资金支付严格审核，确保资金使用安全。根据国家财经法规和单位财务管理制度的相关规定以及有关项目资金管理办法的规定支出，做到了资金使用的安全性、规范性</w:t>
      </w:r>
      <w:r>
        <w:rPr>
          <w:rFonts w:hint="eastAsia" w:ascii="仿宋_GB2312" w:hAnsi="宋体" w:eastAsia="仿宋_GB2312"/>
          <w:sz w:val="32"/>
          <w:szCs w:val="32"/>
          <w:lang w:eastAsia="zh-CN"/>
        </w:rPr>
        <w:t>。待费用报销结束后会计人员</w:t>
      </w:r>
      <w:r>
        <w:rPr>
          <w:rFonts w:hint="eastAsia" w:ascii="仿宋" w:hAnsi="仿宋" w:eastAsia="仿宋" w:cs="FangSong_GB2312"/>
          <w:sz w:val="32"/>
          <w:szCs w:val="32"/>
          <w:lang w:val="zh-CN"/>
        </w:rPr>
        <w:t>严格按照财务管理制度及时进行账务处理，会计核算规范，无遗漏、错记等情况。</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黑体" w:hAnsi="宋体" w:eastAsia="黑体"/>
          <w:color w:val="auto"/>
          <w:sz w:val="32"/>
          <w:szCs w:val="32"/>
          <w:highlight w:val="none"/>
          <w:u w:val="none"/>
        </w:rPr>
      </w:pPr>
      <w:r>
        <w:rPr>
          <w:rFonts w:hint="eastAsia" w:ascii="黑体" w:hAnsi="宋体" w:eastAsia="黑体"/>
          <w:color w:val="auto"/>
          <w:sz w:val="32"/>
          <w:szCs w:val="32"/>
          <w:highlight w:val="none"/>
          <w:u w:val="none"/>
        </w:rPr>
        <w:t>三、项目实施及管理情况</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结合项目组织实施管理办法，重点围绕以下内容进行分析评价，并对自评中发现的问题分析说明。</w:t>
      </w:r>
    </w:p>
    <w:p>
      <w:pPr>
        <w:keepNext w:val="0"/>
        <w:keepLines w:val="0"/>
        <w:pageBreakBefore w:val="0"/>
        <w:numPr>
          <w:ilvl w:val="0"/>
          <w:numId w:val="8"/>
        </w:numPr>
        <w:kinsoku/>
        <w:wordWrap/>
        <w:overflowPunct/>
        <w:topLinePunct w:val="0"/>
        <w:autoSpaceDE/>
        <w:autoSpaceDN/>
        <w:bidi w:val="0"/>
        <w:adjustRightInd w:val="0"/>
        <w:snapToGrid w:val="0"/>
        <w:spacing w:line="578" w:lineRule="exact"/>
        <w:ind w:firstLine="720"/>
        <w:textAlignment w:val="auto"/>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项目组织架构及实施流程。</w:t>
      </w:r>
    </w:p>
    <w:p>
      <w:pPr>
        <w:adjustRightInd w:val="0"/>
        <w:snapToGrid w:val="0"/>
        <w:spacing w:line="600" w:lineRule="exact"/>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rPr>
        <w:t>按照市委要求征订党报党刊、老年报刊等。根据年度</w:t>
      </w:r>
      <w:r>
        <w:rPr>
          <w:rFonts w:hint="eastAsia" w:ascii="仿宋_GB2312" w:hAnsi="宋体" w:eastAsia="仿宋_GB2312"/>
          <w:sz w:val="32"/>
          <w:szCs w:val="32"/>
          <w:lang w:eastAsia="zh-CN"/>
        </w:rPr>
        <w:t>征订</w:t>
      </w:r>
      <w:r>
        <w:rPr>
          <w:rFonts w:hint="eastAsia" w:ascii="仿宋_GB2312" w:hAnsi="宋体" w:eastAsia="仿宋_GB2312"/>
          <w:sz w:val="32"/>
          <w:szCs w:val="32"/>
        </w:rPr>
        <w:t>工作任务申请立项，通过审议批准后，纳入年初本级预算</w:t>
      </w:r>
      <w:r>
        <w:rPr>
          <w:rFonts w:hint="eastAsia" w:ascii="仿宋_GB2312" w:hAnsi="宋体" w:eastAsia="仿宋_GB2312"/>
          <w:sz w:val="32"/>
          <w:szCs w:val="32"/>
          <w:lang w:eastAsia="zh-CN"/>
        </w:rPr>
        <w:t>。</w:t>
      </w:r>
      <w:r>
        <w:rPr>
          <w:rFonts w:hint="eastAsia" w:ascii="仿宋_GB2312" w:hAnsi="宋体" w:eastAsia="仿宋_GB2312"/>
          <w:sz w:val="32"/>
          <w:szCs w:val="32"/>
        </w:rPr>
        <w:t>项目开展后，我单位在</w:t>
      </w:r>
      <w:r>
        <w:rPr>
          <w:rFonts w:hint="eastAsia" w:ascii="仿宋_GB2312" w:hAnsi="宋体" w:eastAsia="仿宋_GB2312"/>
          <w:sz w:val="32"/>
          <w:szCs w:val="32"/>
          <w:lang w:eastAsia="zh-CN"/>
        </w:rPr>
        <w:t>预算一体化系统中</w:t>
      </w:r>
      <w:r>
        <w:rPr>
          <w:rFonts w:hint="eastAsia" w:ascii="仿宋_GB2312" w:hAnsi="宋体" w:eastAsia="仿宋_GB2312"/>
          <w:sz w:val="32"/>
          <w:szCs w:val="32"/>
        </w:rPr>
        <w:t>申请使用资金并向财政局归口股室递交项目专项资金申请表提交申请，国库等业务股室审核通过后，指标下达到本单位，本单位再按经费实际开支情况，据实报销资金。</w:t>
      </w:r>
    </w:p>
    <w:p>
      <w:pPr>
        <w:keepNext w:val="0"/>
        <w:keepLines w:val="0"/>
        <w:pageBreakBefore w:val="0"/>
        <w:numPr>
          <w:ilvl w:val="0"/>
          <w:numId w:val="8"/>
        </w:numPr>
        <w:kinsoku/>
        <w:wordWrap/>
        <w:overflowPunct/>
        <w:topLinePunct w:val="0"/>
        <w:autoSpaceDE/>
        <w:autoSpaceDN/>
        <w:bidi w:val="0"/>
        <w:adjustRightInd w:val="0"/>
        <w:snapToGrid w:val="0"/>
        <w:spacing w:line="578" w:lineRule="exact"/>
        <w:ind w:left="0" w:leftChars="0" w:firstLine="720" w:firstLineChars="0"/>
        <w:textAlignment w:val="auto"/>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项目管理情况。</w:t>
      </w:r>
    </w:p>
    <w:p>
      <w:pPr>
        <w:adjustRightInd w:val="0"/>
        <w:snapToGrid w:val="0"/>
        <w:spacing w:line="600" w:lineRule="exact"/>
        <w:ind w:firstLine="720"/>
        <w:rPr>
          <w:rFonts w:ascii="仿宋_GB2312" w:hAnsi="宋体" w:eastAsia="仿宋_GB2312"/>
          <w:sz w:val="32"/>
          <w:szCs w:val="32"/>
        </w:rPr>
      </w:pPr>
      <w:r>
        <w:rPr>
          <w:rFonts w:hint="eastAsia" w:ascii="仿宋_GB2312" w:hAnsi="宋体" w:eastAsia="仿宋_GB2312"/>
          <w:sz w:val="32"/>
          <w:szCs w:val="32"/>
        </w:rPr>
        <w:t>项目严格按照区级有关规定执行，严格用于开展</w:t>
      </w:r>
      <w:r>
        <w:rPr>
          <w:rFonts w:hint="eastAsia" w:ascii="仿宋_GB2312" w:hAnsi="宋体" w:eastAsia="仿宋_GB2312"/>
          <w:sz w:val="32"/>
          <w:szCs w:val="32"/>
          <w:lang w:eastAsia="zh-CN"/>
        </w:rPr>
        <w:t>党报党刊征订</w:t>
      </w:r>
      <w:r>
        <w:rPr>
          <w:rFonts w:hint="eastAsia" w:ascii="仿宋_GB2312" w:hAnsi="宋体" w:eastAsia="仿宋_GB2312"/>
          <w:sz w:val="32"/>
          <w:szCs w:val="32"/>
        </w:rPr>
        <w:t>工作，</w:t>
      </w:r>
      <w:r>
        <w:rPr>
          <w:rFonts w:ascii="仿宋_GB2312" w:hAnsi="宋体" w:eastAsia="仿宋_GB2312"/>
          <w:sz w:val="32"/>
          <w:szCs w:val="32"/>
          <w:lang w:val="zh-CN"/>
        </w:rPr>
        <w:t>资金专款专用。</w:t>
      </w:r>
    </w:p>
    <w:p>
      <w:pPr>
        <w:keepNext w:val="0"/>
        <w:keepLines w:val="0"/>
        <w:pageBreakBefore w:val="0"/>
        <w:numPr>
          <w:ilvl w:val="0"/>
          <w:numId w:val="8"/>
        </w:numPr>
        <w:kinsoku/>
        <w:wordWrap/>
        <w:overflowPunct/>
        <w:topLinePunct w:val="0"/>
        <w:autoSpaceDE/>
        <w:autoSpaceDN/>
        <w:bidi w:val="0"/>
        <w:adjustRightInd w:val="0"/>
        <w:snapToGrid w:val="0"/>
        <w:spacing w:line="578" w:lineRule="exact"/>
        <w:ind w:left="0" w:leftChars="0" w:firstLine="720" w:firstLineChars="0"/>
        <w:textAlignment w:val="auto"/>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项目监管情况。</w:t>
      </w:r>
    </w:p>
    <w:p>
      <w:pPr>
        <w:keepNext w:val="0"/>
        <w:keepLines w:val="0"/>
        <w:pageBreakBefore w:val="0"/>
        <w:numPr>
          <w:ilvl w:val="0"/>
          <w:numId w:val="0"/>
        </w:numPr>
        <w:kinsoku/>
        <w:wordWrap/>
        <w:overflowPunct/>
        <w:topLinePunct w:val="0"/>
        <w:autoSpaceDE/>
        <w:autoSpaceDN/>
        <w:bidi w:val="0"/>
        <w:adjustRightInd w:val="0"/>
        <w:snapToGrid w:val="0"/>
        <w:spacing w:line="578" w:lineRule="exact"/>
        <w:ind w:left="720" w:leftChars="0"/>
        <w:textAlignment w:val="auto"/>
        <w:rPr>
          <w:rFonts w:ascii="仿宋_GB2312" w:hAnsi="宋体"/>
          <w:color w:val="auto"/>
          <w:sz w:val="32"/>
          <w:szCs w:val="32"/>
          <w:highlight w:val="none"/>
          <w:u w:val="none"/>
          <w:lang w:val="zh-CN"/>
        </w:rPr>
      </w:pPr>
      <w:r>
        <w:rPr>
          <w:rFonts w:hint="eastAsia" w:ascii="仿宋" w:hAnsi="仿宋" w:eastAsia="仿宋" w:cs="FangSong_GB2312"/>
          <w:sz w:val="32"/>
          <w:szCs w:val="32"/>
        </w:rPr>
        <w:t>项目由</w:t>
      </w:r>
      <w:r>
        <w:rPr>
          <w:rFonts w:hint="eastAsia" w:ascii="仿宋" w:hAnsi="仿宋" w:eastAsia="仿宋" w:cs="FangSong_GB2312"/>
          <w:sz w:val="32"/>
          <w:szCs w:val="32"/>
          <w:lang w:eastAsia="zh-CN"/>
        </w:rPr>
        <w:t>区委组织部</w:t>
      </w:r>
      <w:r>
        <w:rPr>
          <w:rFonts w:hint="eastAsia" w:ascii="仿宋" w:hAnsi="仿宋" w:eastAsia="仿宋" w:cs="FangSong_GB2312"/>
          <w:sz w:val="32"/>
          <w:szCs w:val="32"/>
        </w:rPr>
        <w:t>监管，并严格按照相关财经纪律执行。</w:t>
      </w:r>
    </w:p>
    <w:p>
      <w:pPr>
        <w:keepNext w:val="0"/>
        <w:keepLines w:val="0"/>
        <w:pageBreakBefore w:val="0"/>
        <w:numPr>
          <w:ilvl w:val="0"/>
          <w:numId w:val="0"/>
        </w:numPr>
        <w:kinsoku/>
        <w:wordWrap/>
        <w:overflowPunct/>
        <w:topLinePunct w:val="0"/>
        <w:autoSpaceDE/>
        <w:autoSpaceDN/>
        <w:bidi w:val="0"/>
        <w:adjustRightInd w:val="0"/>
        <w:snapToGrid w:val="0"/>
        <w:spacing w:line="578" w:lineRule="exact"/>
        <w:ind w:left="720" w:leftChars="0"/>
        <w:textAlignment w:val="auto"/>
        <w:rPr>
          <w:rFonts w:ascii="仿宋_GB2312" w:hAnsi="宋体"/>
          <w:color w:val="auto"/>
          <w:sz w:val="32"/>
          <w:szCs w:val="32"/>
          <w:highlight w:val="none"/>
          <w:u w:val="none"/>
          <w:lang w:val="zh-CN"/>
        </w:rPr>
      </w:pPr>
      <w:r>
        <w:rPr>
          <w:rFonts w:hint="eastAsia" w:ascii="黑体" w:hAnsi="宋体" w:eastAsia="黑体"/>
          <w:color w:val="auto"/>
          <w:sz w:val="32"/>
          <w:szCs w:val="32"/>
          <w:highlight w:val="none"/>
          <w:u w:val="none"/>
        </w:rPr>
        <w:t>四、项目绩效情况</w:t>
      </w:r>
      <w:r>
        <w:rPr>
          <w:rFonts w:hint="eastAsia" w:ascii="仿宋_GB2312" w:hAnsi="宋体"/>
          <w:color w:val="auto"/>
          <w:sz w:val="32"/>
          <w:szCs w:val="32"/>
          <w:highlight w:val="none"/>
          <w:u w:val="none"/>
          <w:lang w:val="zh-CN"/>
        </w:rPr>
        <w:tab/>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（一）项目完成情况。</w:t>
      </w:r>
    </w:p>
    <w:p>
      <w:pPr>
        <w:adjustRightInd w:val="0"/>
        <w:snapToGrid w:val="0"/>
        <w:spacing w:line="600" w:lineRule="exact"/>
        <w:ind w:firstLine="720"/>
        <w:rPr>
          <w:rFonts w:ascii="仿宋_GB2312" w:hAnsi="宋体" w:eastAsia="仿宋_GB2312"/>
          <w:sz w:val="32"/>
          <w:szCs w:val="32"/>
          <w:highlight w:val="none"/>
        </w:rPr>
      </w:pPr>
      <w:r>
        <w:rPr>
          <w:rFonts w:hint="eastAsia" w:ascii="仿宋_GB2312" w:hAnsi="宋体" w:eastAsia="仿宋_GB2312"/>
          <w:sz w:val="32"/>
          <w:szCs w:val="32"/>
          <w:highlight w:val="none"/>
        </w:rPr>
        <w:t>2022年全区党报党刊完成任务总数为三千余份，任务完成率100%。</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（二）项目效益情况。</w:t>
      </w:r>
    </w:p>
    <w:p>
      <w:pPr>
        <w:adjustRightInd w:val="0"/>
        <w:snapToGrid w:val="0"/>
        <w:spacing w:line="600" w:lineRule="exact"/>
        <w:ind w:firstLine="720"/>
        <w:rPr>
          <w:rFonts w:hint="eastAsia" w:ascii="仿宋_GB2312" w:hAnsi="宋体" w:eastAsia="仿宋_GB2312"/>
          <w:sz w:val="32"/>
          <w:szCs w:val="32"/>
          <w:highlight w:val="none"/>
          <w:lang w:val="en-US" w:eastAsia="zh-CN"/>
        </w:rPr>
      </w:pPr>
      <w:r>
        <w:rPr>
          <w:rFonts w:hint="eastAsia" w:ascii="仿宋_GB2312" w:hAnsi="宋体" w:eastAsia="仿宋_GB2312"/>
          <w:sz w:val="32"/>
          <w:szCs w:val="32"/>
          <w:highlight w:val="none"/>
          <w:lang w:val="en-US" w:eastAsia="zh-CN"/>
        </w:rPr>
        <w:t>做好党报党刊征订宣传工作，是构建和谐社会的需要。在构建和谐社会的实践中，党报党刊肩负着为构建和谐社会提供强大精神动力，思想保证和舆论支持的重任。广大干部群众通过党报党刊学习现代科学文化知识，更新思想观念，满足自身日益增长的精神物质文化需求。</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黑体" w:hAnsi="宋体" w:eastAsia="黑体"/>
          <w:color w:val="auto"/>
          <w:sz w:val="32"/>
          <w:szCs w:val="32"/>
          <w:highlight w:val="none"/>
          <w:u w:val="none"/>
        </w:rPr>
      </w:pPr>
      <w:r>
        <w:rPr>
          <w:rFonts w:hint="eastAsia" w:ascii="黑体" w:hAnsi="宋体" w:eastAsia="黑体"/>
          <w:color w:val="auto"/>
          <w:sz w:val="32"/>
          <w:szCs w:val="32"/>
          <w:highlight w:val="none"/>
          <w:u w:val="none"/>
        </w:rPr>
        <w:t>五、评价结论及建议</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（一）评价结论。</w:t>
      </w:r>
    </w:p>
    <w:p>
      <w:pPr>
        <w:adjustRightInd w:val="0"/>
        <w:snapToGrid w:val="0"/>
        <w:spacing w:line="600" w:lineRule="exact"/>
        <w:ind w:firstLine="720"/>
        <w:rPr>
          <w:rFonts w:hint="eastAsia" w:ascii="仿宋_GB2312" w:hAnsi="宋体" w:eastAsia="仿宋_GB2312"/>
          <w:sz w:val="32"/>
          <w:szCs w:val="32"/>
          <w:highlight w:val="none"/>
          <w:lang w:val="en-US" w:eastAsia="zh-CN"/>
        </w:rPr>
      </w:pPr>
      <w:r>
        <w:rPr>
          <w:rFonts w:hint="eastAsia" w:ascii="仿宋_GB2312" w:hAnsi="宋体" w:eastAsia="仿宋_GB2312"/>
          <w:sz w:val="32"/>
          <w:szCs w:val="32"/>
          <w:highlight w:val="none"/>
          <w:lang w:val="en-US" w:eastAsia="zh-CN"/>
        </w:rPr>
        <w:t>本部门项目支出经费使用与工作执行进度紧密结合，年初制定的项目工作任务目标100%按时完成；各项目均达到实际的成效，效率指标达优，工作成本节约，没有出现工作质量不高，工作拖欠的现象；项目的社会效益良好，服务对象满意度高。</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（二）存在的问题。</w:t>
      </w:r>
    </w:p>
    <w:p>
      <w:pPr>
        <w:adjustRightInd w:val="0"/>
        <w:snapToGrid w:val="0"/>
        <w:spacing w:line="600" w:lineRule="exact"/>
        <w:ind w:firstLine="720"/>
        <w:rPr>
          <w:rFonts w:hint="eastAsia" w:ascii="仿宋_GB2312" w:hAnsi="宋体" w:eastAsia="仿宋_GB2312"/>
          <w:sz w:val="32"/>
          <w:szCs w:val="32"/>
          <w:highlight w:val="none"/>
          <w:lang w:val="en-US" w:eastAsia="zh-CN"/>
        </w:rPr>
      </w:pPr>
      <w:r>
        <w:rPr>
          <w:rFonts w:hint="eastAsia" w:ascii="仿宋_GB2312" w:hAnsi="宋体" w:eastAsia="仿宋_GB2312"/>
          <w:sz w:val="32"/>
          <w:szCs w:val="32"/>
          <w:highlight w:val="none"/>
          <w:lang w:val="en-US" w:eastAsia="zh-CN"/>
        </w:rPr>
        <w:t>1.深入基层调研不够，不能更有效地为党报党刊征订提供决策依据。</w:t>
      </w:r>
    </w:p>
    <w:p>
      <w:pPr>
        <w:adjustRightInd w:val="0"/>
        <w:snapToGrid w:val="0"/>
        <w:spacing w:line="600" w:lineRule="exact"/>
        <w:ind w:firstLine="720"/>
        <w:rPr>
          <w:rFonts w:hint="eastAsia" w:ascii="仿宋_GB2312" w:hAnsi="宋体" w:eastAsia="仿宋_GB2312"/>
          <w:sz w:val="32"/>
          <w:szCs w:val="32"/>
          <w:highlight w:val="none"/>
          <w:lang w:val="en-US" w:eastAsia="zh-CN"/>
        </w:rPr>
      </w:pPr>
      <w:r>
        <w:rPr>
          <w:rFonts w:hint="eastAsia" w:ascii="仿宋_GB2312" w:hAnsi="宋体" w:eastAsia="仿宋_GB2312"/>
          <w:sz w:val="32"/>
          <w:szCs w:val="32"/>
          <w:highlight w:val="none"/>
          <w:lang w:val="en-US" w:eastAsia="zh-CN"/>
        </w:rPr>
        <w:t>2.党报党刊的征订宣传力度不够，没有营造良好的宣传征订氛围</w:t>
      </w:r>
    </w:p>
    <w:p>
      <w:pPr>
        <w:adjustRightInd w:val="0"/>
        <w:snapToGrid w:val="0"/>
        <w:spacing w:line="600" w:lineRule="exact"/>
        <w:ind w:firstLine="720"/>
        <w:rPr>
          <w:rFonts w:hint="eastAsia" w:ascii="仿宋_GB2312" w:hAnsi="宋体" w:eastAsia="仿宋_GB2312"/>
          <w:sz w:val="32"/>
          <w:szCs w:val="32"/>
          <w:highlight w:val="none"/>
          <w:lang w:val="en-US" w:eastAsia="zh-CN"/>
        </w:rPr>
      </w:pPr>
      <w:r>
        <w:rPr>
          <w:rFonts w:hint="eastAsia" w:ascii="仿宋_GB2312" w:hAnsi="宋体" w:eastAsia="仿宋_GB2312"/>
          <w:sz w:val="32"/>
          <w:szCs w:val="32"/>
          <w:highlight w:val="none"/>
          <w:lang w:val="en-US" w:eastAsia="zh-CN"/>
        </w:rPr>
        <w:t>3.征订计划统筹安排不尽合理，有些脱离实际基层征订经费困难，难以完成任务。</w:t>
      </w:r>
    </w:p>
    <w:p>
      <w:pPr>
        <w:adjustRightInd w:val="0"/>
        <w:snapToGrid w:val="0"/>
        <w:spacing w:line="600" w:lineRule="exact"/>
        <w:ind w:firstLine="720"/>
        <w:rPr>
          <w:rFonts w:hint="eastAsia" w:ascii="仿宋_GB2312" w:hAnsi="宋体" w:eastAsia="仿宋_GB2312"/>
          <w:sz w:val="32"/>
          <w:szCs w:val="32"/>
          <w:highlight w:val="none"/>
          <w:lang w:val="zh-CN"/>
        </w:rPr>
      </w:pPr>
      <w:r>
        <w:rPr>
          <w:rFonts w:hint="eastAsia" w:ascii="仿宋_GB2312" w:hAnsi="宋体" w:eastAsia="仿宋_GB2312"/>
          <w:sz w:val="32"/>
          <w:szCs w:val="32"/>
          <w:highlight w:val="none"/>
          <w:lang w:val="en-US" w:eastAsia="zh-CN"/>
        </w:rPr>
        <w:t>4.没有充分发挥个人订阅、扶贫单位、企业赠阅的作用，党报党刊征订覆盖面较窄。</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（三）相关建议。</w:t>
      </w:r>
    </w:p>
    <w:p>
      <w:pPr>
        <w:adjustRightInd w:val="0"/>
        <w:snapToGrid w:val="0"/>
        <w:spacing w:line="600" w:lineRule="exact"/>
        <w:ind w:firstLine="720"/>
        <w:rPr>
          <w:rFonts w:hint="eastAsia" w:ascii="仿宋_GB2312" w:hAnsi="宋体" w:eastAsia="仿宋_GB2312"/>
          <w:sz w:val="32"/>
          <w:szCs w:val="32"/>
          <w:highlight w:val="none"/>
          <w:lang w:val="en-US" w:eastAsia="zh-CN"/>
        </w:rPr>
      </w:pPr>
      <w:r>
        <w:rPr>
          <w:rFonts w:hint="eastAsia" w:ascii="仿宋_GB2312" w:hAnsi="宋体" w:eastAsia="仿宋_GB2312"/>
          <w:sz w:val="32"/>
          <w:szCs w:val="32"/>
          <w:highlight w:val="none"/>
          <w:lang w:val="en-US" w:eastAsia="zh-CN"/>
        </w:rPr>
        <w:t>组织、宣传、邮政等党报党刊征订宣传部门要在市党报党刊征订领导小组领导下做好分工、协调与配合，杜绝各唱各调，转变文件指令征订，拉客、摊派违规征订等观念或行为，禁止在未完成党报党刊任务征订杂报杂刊。要形成征订合力，落实服务责任，分配人员到各单位开展上门收订、汇款征订、电话订阅等服务措施，做好基层征订协调服务。</w:t>
      </w:r>
    </w:p>
    <w:p>
      <w:pPr>
        <w:widowControl/>
        <w:jc w:val="left"/>
        <w:rPr>
          <w:rStyle w:val="29"/>
          <w:rFonts w:ascii="黑体" w:hAnsi="黑体" w:eastAsia="黑体"/>
          <w:b w:val="0"/>
          <w:color w:val="auto"/>
          <w:highlight w:val="none"/>
        </w:rPr>
      </w:pPr>
    </w:p>
    <w:p>
      <w:pPr>
        <w:kinsoku w:val="0"/>
        <w:overflowPunct w:val="0"/>
        <w:spacing w:line="550" w:lineRule="exact"/>
        <w:jc w:val="center"/>
        <w:rPr>
          <w:rFonts w:hint="eastAsia" w:eastAsia="方正小标宋简体"/>
          <w:spacing w:val="1"/>
          <w:sz w:val="44"/>
          <w:szCs w:val="44"/>
        </w:rPr>
      </w:pPr>
    </w:p>
    <w:p>
      <w:pPr>
        <w:kinsoku w:val="0"/>
        <w:overflowPunct w:val="0"/>
        <w:spacing w:line="550" w:lineRule="exact"/>
        <w:jc w:val="center"/>
        <w:rPr>
          <w:rFonts w:hint="eastAsia" w:eastAsia="方正小标宋简体"/>
          <w:spacing w:val="1"/>
          <w:sz w:val="44"/>
          <w:szCs w:val="44"/>
        </w:rPr>
      </w:pPr>
    </w:p>
    <w:p>
      <w:pPr>
        <w:kinsoku w:val="0"/>
        <w:overflowPunct w:val="0"/>
        <w:spacing w:line="550" w:lineRule="exact"/>
        <w:jc w:val="center"/>
        <w:rPr>
          <w:rFonts w:eastAsia="方正小标宋简体"/>
          <w:spacing w:val="1"/>
          <w:sz w:val="44"/>
          <w:szCs w:val="44"/>
        </w:rPr>
      </w:pPr>
      <w:r>
        <w:rPr>
          <w:rFonts w:hint="eastAsia" w:eastAsia="方正小标宋简体"/>
          <w:spacing w:val="1"/>
          <w:sz w:val="44"/>
          <w:szCs w:val="44"/>
        </w:rPr>
        <w:t>中共遂宁市安居区委组织部</w:t>
      </w:r>
      <w:r>
        <w:rPr>
          <w:rFonts w:eastAsia="方正小标宋简体"/>
          <w:spacing w:val="1"/>
          <w:sz w:val="44"/>
          <w:szCs w:val="44"/>
        </w:rPr>
        <w:t>项目支出绩效自评报告</w:t>
      </w:r>
    </w:p>
    <w:p>
      <w:pPr>
        <w:tabs>
          <w:tab w:val="left" w:pos="3885"/>
        </w:tabs>
        <w:snapToGrid w:val="0"/>
        <w:spacing w:line="600" w:lineRule="exact"/>
        <w:jc w:val="center"/>
        <w:rPr>
          <w:rFonts w:hAnsi="宋体"/>
          <w:b/>
          <w:bCs/>
          <w:sz w:val="32"/>
          <w:szCs w:val="32"/>
        </w:rPr>
      </w:pPr>
      <w:r>
        <w:rPr>
          <w:rFonts w:hint="eastAsia" w:hAnsi="宋体"/>
          <w:b/>
          <w:bCs/>
          <w:sz w:val="32"/>
          <w:szCs w:val="32"/>
        </w:rPr>
        <w:t>（干部教育培训经费）</w:t>
      </w:r>
    </w:p>
    <w:p>
      <w:pPr>
        <w:pStyle w:val="35"/>
        <w:keepNext w:val="0"/>
        <w:keepLines w:val="0"/>
        <w:pageBreakBefore w:val="0"/>
        <w:widowControl w:val="0"/>
        <w:kinsoku/>
        <w:wordWrap/>
        <w:overflowPunct/>
        <w:topLinePunct w:val="0"/>
        <w:autoSpaceDE/>
        <w:autoSpaceDN/>
        <w:bidi w:val="0"/>
        <w:spacing w:line="578" w:lineRule="exact"/>
        <w:ind w:firstLine="640"/>
        <w:jc w:val="center"/>
        <w:textAlignment w:val="auto"/>
        <w:rPr>
          <w:rFonts w:ascii="宋体" w:hAnsi="宋体"/>
          <w:color w:val="auto"/>
          <w:kern w:val="2"/>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78" w:lineRule="exact"/>
        <w:ind w:firstLine="720"/>
        <w:textAlignment w:val="auto"/>
        <w:rPr>
          <w:rFonts w:ascii="黑体" w:hAnsi="宋体" w:eastAsia="黑体"/>
          <w:color w:val="auto"/>
          <w:sz w:val="32"/>
          <w:szCs w:val="32"/>
          <w:highlight w:val="none"/>
          <w:lang w:val="zh-CN"/>
        </w:rPr>
      </w:pPr>
      <w:r>
        <w:rPr>
          <w:rFonts w:hint="eastAsia" w:ascii="黑体" w:hAnsi="宋体" w:eastAsia="黑体"/>
          <w:color w:val="auto"/>
          <w:sz w:val="32"/>
          <w:szCs w:val="32"/>
          <w:highlight w:val="none"/>
        </w:rPr>
        <w:t>一、</w:t>
      </w:r>
      <w:r>
        <w:rPr>
          <w:rFonts w:hint="eastAsia" w:ascii="黑体" w:hAnsi="宋体" w:eastAsia="黑体"/>
          <w:color w:val="auto"/>
          <w:sz w:val="32"/>
          <w:szCs w:val="32"/>
          <w:highlight w:val="none"/>
          <w:lang w:val="zh-CN"/>
        </w:rPr>
        <w:t>项目概况</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（一）项目基本情况。</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1</w:t>
      </w:r>
      <w:r>
        <w:rPr>
          <w:rFonts w:hint="eastAsia" w:ascii="仿宋_GB2312" w:hAnsi="仿宋_GB2312" w:eastAsia="仿宋_GB2312" w:cs="仿宋_GB2312"/>
          <w:color w:val="auto"/>
          <w:kern w:val="0"/>
          <w:sz w:val="32"/>
          <w:szCs w:val="32"/>
          <w:highlight w:val="none"/>
          <w:u w:val="none"/>
          <w:shd w:val="clear" w:color="auto" w:fill="FFFFFF"/>
          <w:lang w:val="en-US" w:eastAsia="zh-CN"/>
        </w:rPr>
        <w:t>.</w:t>
      </w:r>
      <w:r>
        <w:rPr>
          <w:rFonts w:hint="eastAsia" w:ascii="仿宋_GB2312" w:hAnsi="仿宋_GB2312" w:eastAsia="仿宋_GB2312" w:cs="仿宋_GB2312"/>
          <w:color w:val="auto"/>
          <w:kern w:val="0"/>
          <w:sz w:val="32"/>
          <w:szCs w:val="32"/>
          <w:highlight w:val="none"/>
          <w:u w:val="none"/>
          <w:shd w:val="clear" w:color="auto" w:fill="FFFFFF"/>
          <w:lang w:val="zh-CN"/>
        </w:rPr>
        <w:t>说明项目主管部门（单位）在该项目管理中的职能。</w:t>
      </w:r>
    </w:p>
    <w:p>
      <w:pPr>
        <w:keepNext w:val="0"/>
        <w:keepLines w:val="0"/>
        <w:pageBreakBefore w:val="0"/>
        <w:kinsoku/>
        <w:wordWrap/>
        <w:overflowPunct/>
        <w:topLinePunct w:val="0"/>
        <w:autoSpaceDE/>
        <w:autoSpaceDN/>
        <w:bidi w:val="0"/>
        <w:spacing w:line="560" w:lineRule="exact"/>
        <w:ind w:firstLine="640" w:firstLineChars="200"/>
        <w:rPr>
          <w:rFonts w:ascii="Times New Roman" w:hAnsi="仿宋_GB2312" w:eastAsia="仿宋_GB2312" w:cs="Times New Roman"/>
          <w:sz w:val="32"/>
        </w:rPr>
      </w:pPr>
      <w:r>
        <w:rPr>
          <w:rFonts w:ascii="Times New Roman" w:hAnsi="仿宋_GB2312" w:eastAsia="仿宋_GB2312" w:cs="Times New Roman"/>
          <w:sz w:val="32"/>
        </w:rPr>
        <w:t>负责全区干部教育培训工作的宏观指导、政策规划、组织协调和督促检查，负责区级重点培训项目的策划、实施和管理，指导全区干部教育培训基地建设管理、师资队伍建设等工作。</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en-US" w:eastAsia="zh-CN"/>
        </w:rPr>
        <w:t>2.</w:t>
      </w:r>
      <w:r>
        <w:rPr>
          <w:rFonts w:hint="eastAsia" w:ascii="仿宋_GB2312" w:hAnsi="仿宋_GB2312" w:eastAsia="仿宋_GB2312" w:cs="仿宋_GB2312"/>
          <w:color w:val="auto"/>
          <w:kern w:val="0"/>
          <w:sz w:val="32"/>
          <w:szCs w:val="32"/>
          <w:highlight w:val="none"/>
          <w:u w:val="none"/>
          <w:shd w:val="clear" w:color="auto" w:fill="FFFFFF"/>
          <w:lang w:val="zh-CN"/>
        </w:rPr>
        <w:t>项目立项、资金申报的依据。</w:t>
      </w:r>
    </w:p>
    <w:p>
      <w:pPr>
        <w:keepNext w:val="0"/>
        <w:keepLines w:val="0"/>
        <w:widowControl/>
        <w:suppressLineNumbers w:val="0"/>
        <w:ind w:firstLine="640" w:firstLineChars="200"/>
        <w:jc w:val="both"/>
        <w:rPr>
          <w:rFonts w:hint="eastAsia"/>
          <w:lang w:val="zh-CN"/>
        </w:rPr>
      </w:pPr>
      <w:r>
        <w:rPr>
          <w:rFonts w:hint="eastAsia" w:ascii="仿宋_GB2312" w:hAnsi="仿宋_GB2312" w:eastAsia="仿宋_GB2312" w:cs="仿宋_GB2312"/>
          <w:color w:val="auto"/>
          <w:kern w:val="0"/>
          <w:sz w:val="32"/>
          <w:szCs w:val="32"/>
          <w:highlight w:val="none"/>
          <w:u w:val="none"/>
          <w:shd w:val="clear" w:color="auto" w:fill="FFFFFF"/>
          <w:lang w:val="en-US" w:eastAsia="zh-CN"/>
        </w:rPr>
        <w:t>根据《市县级党校 主体班班次办学规范》（川组训【</w:t>
      </w:r>
      <w:r>
        <w:rPr>
          <w:rFonts w:hint="default" w:ascii="仿宋_GB2312" w:hAnsi="仿宋_GB2312" w:eastAsia="仿宋_GB2312" w:cs="仿宋_GB2312"/>
          <w:color w:val="auto"/>
          <w:kern w:val="0"/>
          <w:sz w:val="32"/>
          <w:szCs w:val="32"/>
          <w:highlight w:val="none"/>
          <w:u w:val="none"/>
          <w:shd w:val="clear" w:color="auto" w:fill="FFFFFF"/>
          <w:lang w:val="en-US" w:eastAsia="zh-CN"/>
        </w:rPr>
        <w:t>2020</w:t>
      </w:r>
      <w:r>
        <w:rPr>
          <w:rFonts w:hint="eastAsia" w:ascii="仿宋_GB2312" w:hAnsi="仿宋_GB2312" w:eastAsia="仿宋_GB2312" w:cs="仿宋_GB2312"/>
          <w:color w:val="auto"/>
          <w:kern w:val="0"/>
          <w:sz w:val="32"/>
          <w:szCs w:val="32"/>
          <w:highlight w:val="none"/>
          <w:u w:val="none"/>
          <w:shd w:val="clear" w:color="auto" w:fill="FFFFFF"/>
          <w:lang w:val="en-US" w:eastAsia="zh-CN"/>
        </w:rPr>
        <w:t>】</w:t>
      </w:r>
      <w:r>
        <w:rPr>
          <w:rFonts w:hint="default" w:ascii="仿宋_GB2312" w:hAnsi="仿宋_GB2312" w:eastAsia="仿宋_GB2312" w:cs="仿宋_GB2312"/>
          <w:color w:val="auto"/>
          <w:kern w:val="0"/>
          <w:sz w:val="32"/>
          <w:szCs w:val="32"/>
          <w:highlight w:val="none"/>
          <w:u w:val="none"/>
          <w:shd w:val="clear" w:color="auto" w:fill="FFFFFF"/>
          <w:lang w:val="en-US" w:eastAsia="zh-CN"/>
        </w:rPr>
        <w:t xml:space="preserve">30 </w:t>
      </w:r>
      <w:r>
        <w:rPr>
          <w:rFonts w:hint="eastAsia" w:ascii="仿宋_GB2312" w:hAnsi="仿宋_GB2312" w:eastAsia="仿宋_GB2312" w:cs="仿宋_GB2312"/>
          <w:color w:val="auto"/>
          <w:kern w:val="0"/>
          <w:sz w:val="32"/>
          <w:szCs w:val="32"/>
          <w:highlight w:val="none"/>
          <w:u w:val="none"/>
          <w:shd w:val="clear" w:color="auto" w:fill="FFFFFF"/>
          <w:lang w:val="en-US" w:eastAsia="zh-CN"/>
        </w:rPr>
        <w:t>号）、区委《关于认真学习宣传贯彻党的二十大精神的通知》（遂安委发【</w:t>
      </w:r>
      <w:r>
        <w:rPr>
          <w:rFonts w:hint="default" w:ascii="仿宋_GB2312" w:hAnsi="仿宋_GB2312" w:eastAsia="仿宋_GB2312" w:cs="仿宋_GB2312"/>
          <w:color w:val="auto"/>
          <w:kern w:val="0"/>
          <w:sz w:val="32"/>
          <w:szCs w:val="32"/>
          <w:highlight w:val="none"/>
          <w:u w:val="none"/>
          <w:shd w:val="clear" w:color="auto" w:fill="FFFFFF"/>
          <w:lang w:val="en-US" w:eastAsia="zh-CN"/>
        </w:rPr>
        <w:t>2022</w:t>
      </w:r>
      <w:r>
        <w:rPr>
          <w:rFonts w:hint="eastAsia" w:ascii="仿宋_GB2312" w:hAnsi="仿宋_GB2312" w:eastAsia="仿宋_GB2312" w:cs="仿宋_GB2312"/>
          <w:color w:val="auto"/>
          <w:kern w:val="0"/>
          <w:sz w:val="32"/>
          <w:szCs w:val="32"/>
          <w:highlight w:val="none"/>
          <w:u w:val="none"/>
          <w:shd w:val="clear" w:color="auto" w:fill="FFFFFF"/>
          <w:lang w:val="en-US" w:eastAsia="zh-CN"/>
        </w:rPr>
        <w:t>】</w:t>
      </w:r>
      <w:r>
        <w:rPr>
          <w:rFonts w:hint="default" w:ascii="仿宋_GB2312" w:hAnsi="仿宋_GB2312" w:eastAsia="仿宋_GB2312" w:cs="仿宋_GB2312"/>
          <w:color w:val="auto"/>
          <w:kern w:val="0"/>
          <w:sz w:val="32"/>
          <w:szCs w:val="32"/>
          <w:highlight w:val="none"/>
          <w:u w:val="none"/>
          <w:shd w:val="clear" w:color="auto" w:fill="FFFFFF"/>
          <w:lang w:val="en-US" w:eastAsia="zh-CN"/>
        </w:rPr>
        <w:t xml:space="preserve">15 </w:t>
      </w:r>
      <w:r>
        <w:rPr>
          <w:rFonts w:hint="eastAsia" w:ascii="仿宋_GB2312" w:hAnsi="仿宋_GB2312" w:eastAsia="仿宋_GB2312" w:cs="仿宋_GB2312"/>
          <w:color w:val="auto"/>
          <w:kern w:val="0"/>
          <w:sz w:val="32"/>
          <w:szCs w:val="32"/>
          <w:highlight w:val="none"/>
          <w:u w:val="none"/>
          <w:shd w:val="clear" w:color="auto" w:fill="FFFFFF"/>
          <w:lang w:val="en-US" w:eastAsia="zh-CN"/>
        </w:rPr>
        <w:t>号）。</w:t>
      </w:r>
      <w:r>
        <w:rPr>
          <w:rFonts w:hint="default" w:ascii="Times New Roman" w:hAnsi="Times New Roman" w:eastAsia="仿宋_GB2312" w:cs="Times New Roman"/>
          <w:sz w:val="32"/>
          <w:szCs w:val="32"/>
        </w:rPr>
        <w:t>认真贯彻落实《干部教育培训工作条例》《遂宁市安居区贯彻落实&lt;2019—2023年四川省干部教育培训规划&gt;责任分工方案》的部署和要求，始终坚持围绕中心、服务大局，聚焦主题、突出重点，</w:t>
      </w:r>
      <w:r>
        <w:rPr>
          <w:rFonts w:hint="default" w:ascii="Times New Roman" w:hAnsi="Times New Roman" w:eastAsia="仿宋_GB2312" w:cs="Times New Roman"/>
          <w:sz w:val="32"/>
          <w:szCs w:val="32"/>
          <w:lang w:val="en-US" w:eastAsia="zh-CN"/>
        </w:rPr>
        <w:t>高质高效</w:t>
      </w:r>
      <w:r>
        <w:rPr>
          <w:rFonts w:hint="default" w:ascii="Times New Roman" w:hAnsi="Times New Roman" w:eastAsia="仿宋_GB2312" w:cs="Times New Roman"/>
          <w:sz w:val="32"/>
          <w:szCs w:val="32"/>
        </w:rPr>
        <w:t>地开展干部教育培训工作，着力培养造就忠诚干净担当的高素质专业化干部队伍。</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en-US" w:eastAsia="zh-CN"/>
        </w:rPr>
        <w:t>3.</w:t>
      </w:r>
      <w:r>
        <w:rPr>
          <w:rFonts w:hint="eastAsia" w:ascii="仿宋_GB2312" w:hAnsi="仿宋_GB2312" w:eastAsia="仿宋_GB2312" w:cs="仿宋_GB2312"/>
          <w:color w:val="auto"/>
          <w:kern w:val="0"/>
          <w:sz w:val="32"/>
          <w:szCs w:val="32"/>
          <w:highlight w:val="none"/>
          <w:u w:val="none"/>
          <w:shd w:val="clear" w:color="auto" w:fill="FFFFFF"/>
          <w:lang w:val="zh-CN"/>
        </w:rPr>
        <w:t>资金</w:t>
      </w:r>
      <w:r>
        <w:rPr>
          <w:rFonts w:hint="eastAsia" w:ascii="仿宋_GB2312" w:hAnsi="仿宋_GB2312" w:eastAsia="仿宋_GB2312" w:cs="仿宋_GB2312"/>
          <w:color w:val="auto"/>
          <w:kern w:val="0"/>
          <w:sz w:val="32"/>
          <w:szCs w:val="32"/>
          <w:highlight w:val="none"/>
          <w:u w:val="none"/>
          <w:shd w:val="clear" w:color="auto" w:fill="FFFFFF"/>
          <w:lang w:val="en-US" w:eastAsia="zh-CN"/>
        </w:rPr>
        <w:t>或项目</w:t>
      </w:r>
      <w:r>
        <w:rPr>
          <w:rFonts w:hint="eastAsia" w:ascii="仿宋_GB2312" w:hAnsi="仿宋_GB2312" w:eastAsia="仿宋_GB2312" w:cs="仿宋_GB2312"/>
          <w:color w:val="auto"/>
          <w:kern w:val="0"/>
          <w:sz w:val="32"/>
          <w:szCs w:val="32"/>
          <w:highlight w:val="none"/>
          <w:u w:val="none"/>
          <w:shd w:val="clear" w:color="auto" w:fill="FFFFFF"/>
          <w:lang w:val="zh-CN"/>
        </w:rPr>
        <w:t>管理办法制定情况，资金支持具体项目的条件、范围与支持方式概况。</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仿宋_GB2312" w:hAnsi="仿宋_GB2312" w:eastAsia="仿宋_GB2312" w:cs="仿宋_GB2312"/>
          <w:color w:val="auto"/>
          <w:kern w:val="0"/>
          <w:sz w:val="32"/>
          <w:szCs w:val="32"/>
          <w:highlight w:val="none"/>
          <w:u w:val="none"/>
          <w:shd w:val="clear" w:color="auto" w:fill="FFFFFF"/>
          <w:lang w:val="en-US" w:eastAsia="zh-CN"/>
        </w:rPr>
      </w:pPr>
      <w:r>
        <w:rPr>
          <w:rFonts w:hint="eastAsia" w:ascii="仿宋_GB2312" w:hAnsi="仿宋_GB2312" w:eastAsia="仿宋_GB2312" w:cs="仿宋_GB2312"/>
          <w:color w:val="auto"/>
          <w:kern w:val="0"/>
          <w:sz w:val="32"/>
          <w:szCs w:val="32"/>
          <w:highlight w:val="none"/>
          <w:u w:val="none"/>
          <w:shd w:val="clear" w:color="auto" w:fill="FFFFFF"/>
          <w:lang w:val="en-US" w:eastAsia="zh-CN"/>
        </w:rPr>
        <w:t>区委、区政府高度重视干部培训教育工作，要认真落实区委常委会提出的“强化经费保障，严格执行上级关于干部教育培训经费管理制度，全力保障干部教育培训工作有序推进”精神，进一步从严规范管理干部教育培训工作，聚焦主责主业，强化基础保障，为培养和造就好干部服务，采取统筹与自筹相结合的方式保障培训经费落实。项目经费主要用于党的十九届六中全会精神和党的二十大精神教育培训、换届后县乡党政领导干部培训和党建引领新时代基层干部主题培训。</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Chars="200" w:firstLine="320" w:firstLineChars="1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en-US" w:eastAsia="zh-CN"/>
        </w:rPr>
        <w:t>4.</w:t>
      </w:r>
      <w:r>
        <w:rPr>
          <w:rFonts w:hint="eastAsia" w:ascii="仿宋_GB2312" w:hAnsi="仿宋_GB2312" w:eastAsia="仿宋_GB2312" w:cs="仿宋_GB2312"/>
          <w:color w:val="auto"/>
          <w:kern w:val="0"/>
          <w:sz w:val="32"/>
          <w:szCs w:val="32"/>
          <w:highlight w:val="none"/>
          <w:u w:val="none"/>
          <w:shd w:val="clear" w:color="auto" w:fill="FFFFFF"/>
          <w:lang w:val="zh-CN"/>
        </w:rPr>
        <w:t>资金分配的原则及考虑因素。</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仿宋_GB2312" w:hAnsi="仿宋_GB2312" w:eastAsia="仿宋_GB2312" w:cs="仿宋_GB2312"/>
          <w:color w:val="auto"/>
          <w:kern w:val="0"/>
          <w:sz w:val="32"/>
          <w:szCs w:val="32"/>
          <w:highlight w:val="none"/>
          <w:u w:val="none"/>
          <w:shd w:val="clear" w:color="auto" w:fill="FFFFFF"/>
          <w:lang w:val="zh-CN" w:eastAsia="zh-CN"/>
        </w:rPr>
      </w:pPr>
      <w:r>
        <w:rPr>
          <w:rFonts w:hint="eastAsia" w:ascii="仿宋_GB2312" w:hAnsi="仿宋_GB2312" w:eastAsia="仿宋_GB2312" w:cs="仿宋_GB2312"/>
          <w:color w:val="auto"/>
          <w:kern w:val="0"/>
          <w:sz w:val="32"/>
          <w:szCs w:val="32"/>
          <w:highlight w:val="none"/>
          <w:u w:val="none"/>
          <w:shd w:val="clear" w:color="auto" w:fill="FFFFFF"/>
          <w:lang w:val="en-US" w:eastAsia="zh-CN"/>
        </w:rPr>
        <w:t>选优配强科级领导班子、</w:t>
      </w:r>
      <w:r>
        <w:rPr>
          <w:rFonts w:hint="default" w:ascii="仿宋_GB2312" w:hAnsi="仿宋_GB2312" w:eastAsia="仿宋_GB2312" w:cs="仿宋_GB2312"/>
          <w:color w:val="auto"/>
          <w:kern w:val="0"/>
          <w:sz w:val="32"/>
          <w:szCs w:val="32"/>
          <w:highlight w:val="none"/>
          <w:u w:val="none"/>
          <w:shd w:val="clear" w:color="auto" w:fill="FFFFFF"/>
          <w:lang w:val="en-US" w:eastAsia="zh-CN"/>
        </w:rPr>
        <w:t>持续优化晋升渠道</w:t>
      </w:r>
      <w:r>
        <w:rPr>
          <w:rFonts w:hint="eastAsia" w:ascii="仿宋_GB2312" w:hAnsi="仿宋_GB2312" w:eastAsia="仿宋_GB2312" w:cs="仿宋_GB2312"/>
          <w:color w:val="auto"/>
          <w:kern w:val="0"/>
          <w:sz w:val="32"/>
          <w:szCs w:val="32"/>
          <w:highlight w:val="none"/>
          <w:u w:val="none"/>
          <w:shd w:val="clear" w:color="auto" w:fill="FFFFFF"/>
          <w:lang w:val="en-US" w:eastAsia="zh-CN"/>
        </w:rPr>
        <w:t>、创新实施“琼江菁英”五大主体培育计划、进一步激励干部担当作为、开展新提任科级领导干部从“新”出发活动。</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（二）项目绩效目标。</w:t>
      </w:r>
    </w:p>
    <w:p>
      <w:pPr>
        <w:adjustRightInd w:val="0"/>
        <w:snapToGrid w:val="0"/>
        <w:spacing w:line="600" w:lineRule="exact"/>
        <w:ind w:firstLine="480" w:firstLineChars="150"/>
        <w:rPr>
          <w:rFonts w:hint="eastAsia" w:ascii="仿宋_GB2312" w:hAnsi="仿宋_GB2312" w:eastAsia="仿宋_GB2312" w:cs="仿宋_GB2312"/>
          <w:color w:val="auto"/>
          <w:kern w:val="0"/>
          <w:sz w:val="32"/>
          <w:szCs w:val="32"/>
          <w:highlight w:val="none"/>
          <w:u w:val="none"/>
          <w:shd w:val="clear" w:color="auto" w:fill="FFFFFF"/>
          <w:lang w:val="zh-CN" w:eastAsia="zh-CN"/>
        </w:rPr>
      </w:pPr>
      <w:r>
        <w:rPr>
          <w:rFonts w:hint="eastAsia" w:ascii="仿宋_GB2312" w:hAnsi="仿宋_GB2312" w:eastAsia="仿宋_GB2312" w:cs="仿宋_GB2312"/>
          <w:color w:val="auto"/>
          <w:kern w:val="0"/>
          <w:sz w:val="32"/>
          <w:szCs w:val="32"/>
          <w:highlight w:val="none"/>
          <w:u w:val="none"/>
          <w:shd w:val="clear" w:color="auto" w:fill="FFFFFF"/>
          <w:lang w:val="zh-CN" w:eastAsia="zh-CN"/>
        </w:rPr>
        <w:t>1</w:t>
      </w:r>
      <w:r>
        <w:rPr>
          <w:rFonts w:hint="eastAsia" w:ascii="仿宋_GB2312" w:hAnsi="仿宋_GB2312" w:eastAsia="仿宋_GB2312" w:cs="仿宋_GB2312"/>
          <w:color w:val="auto"/>
          <w:kern w:val="0"/>
          <w:sz w:val="32"/>
          <w:szCs w:val="32"/>
          <w:highlight w:val="none"/>
          <w:u w:val="none"/>
          <w:shd w:val="clear" w:color="auto" w:fill="FFFFFF"/>
          <w:lang w:val="en-US" w:eastAsia="zh-CN"/>
        </w:rPr>
        <w:t>.</w:t>
      </w:r>
      <w:r>
        <w:rPr>
          <w:rFonts w:hint="eastAsia" w:ascii="仿宋_GB2312" w:hAnsi="仿宋_GB2312" w:eastAsia="仿宋_GB2312" w:cs="仿宋_GB2312"/>
          <w:color w:val="auto"/>
          <w:kern w:val="0"/>
          <w:sz w:val="32"/>
          <w:szCs w:val="32"/>
          <w:highlight w:val="none"/>
          <w:u w:val="none"/>
          <w:shd w:val="clear" w:color="auto" w:fill="FFFFFF"/>
          <w:lang w:val="zh-CN" w:eastAsia="zh-CN"/>
        </w:rPr>
        <w:t>项目主要内容。</w:t>
      </w:r>
    </w:p>
    <w:p>
      <w:pPr>
        <w:adjustRightInd w:val="0"/>
        <w:snapToGrid w:val="0"/>
        <w:spacing w:line="600" w:lineRule="exact"/>
        <w:ind w:firstLine="480" w:firstLineChars="150"/>
        <w:rPr>
          <w:rFonts w:hint="eastAsia" w:ascii="仿宋_GB2312" w:hAnsi="仿宋_GB2312" w:eastAsia="仿宋_GB2312" w:cs="仿宋_GB2312"/>
          <w:color w:val="auto"/>
          <w:kern w:val="0"/>
          <w:sz w:val="32"/>
          <w:szCs w:val="32"/>
          <w:highlight w:val="none"/>
          <w:u w:val="none"/>
          <w:shd w:val="clear" w:color="auto" w:fill="FFFFFF"/>
          <w:lang w:val="en-US" w:eastAsia="zh-CN"/>
        </w:rPr>
      </w:pPr>
      <w:r>
        <w:rPr>
          <w:rFonts w:hint="eastAsia" w:ascii="仿宋_GB2312" w:hAnsi="仿宋_GB2312" w:eastAsia="仿宋_GB2312" w:cs="仿宋_GB2312"/>
          <w:color w:val="auto"/>
          <w:kern w:val="0"/>
          <w:sz w:val="32"/>
          <w:szCs w:val="32"/>
          <w:highlight w:val="none"/>
          <w:u w:val="none"/>
          <w:shd w:val="clear" w:color="auto" w:fill="FFFFFF"/>
          <w:lang w:val="en-US" w:eastAsia="zh-CN"/>
        </w:rPr>
        <w:t>主要用于党的十九届六中全会精神和党的二十大精神教育培训、换届后县乡党政领导干部培训和党建引领新时代基层干部主题培训。</w:t>
      </w:r>
    </w:p>
    <w:p>
      <w:pPr>
        <w:adjustRightInd w:val="0"/>
        <w:snapToGrid w:val="0"/>
        <w:spacing w:line="600" w:lineRule="exact"/>
        <w:ind w:firstLine="480" w:firstLineChars="150"/>
        <w:rPr>
          <w:rFonts w:hint="eastAsia" w:ascii="仿宋_GB2312" w:hAnsi="仿宋_GB2312" w:eastAsia="仿宋_GB2312" w:cs="仿宋_GB2312"/>
          <w:color w:val="auto"/>
          <w:kern w:val="0"/>
          <w:sz w:val="32"/>
          <w:szCs w:val="32"/>
          <w:highlight w:val="none"/>
          <w:u w:val="none"/>
          <w:shd w:val="clear" w:color="auto" w:fill="FFFFFF"/>
          <w:lang w:val="zh-CN" w:eastAsia="zh-CN"/>
        </w:rPr>
      </w:pPr>
      <w:r>
        <w:rPr>
          <w:rFonts w:hint="eastAsia" w:ascii="仿宋_GB2312" w:hAnsi="仿宋_GB2312" w:eastAsia="仿宋_GB2312" w:cs="仿宋_GB2312"/>
          <w:color w:val="auto"/>
          <w:kern w:val="0"/>
          <w:sz w:val="32"/>
          <w:szCs w:val="32"/>
          <w:highlight w:val="none"/>
          <w:u w:val="none"/>
          <w:shd w:val="clear" w:color="auto" w:fill="FFFFFF"/>
          <w:lang w:val="en-US" w:eastAsia="zh-CN"/>
        </w:rPr>
        <w:t>2.</w:t>
      </w:r>
      <w:r>
        <w:rPr>
          <w:rFonts w:hint="eastAsia" w:ascii="仿宋_GB2312" w:hAnsi="仿宋_GB2312" w:eastAsia="仿宋_GB2312" w:cs="仿宋_GB2312"/>
          <w:color w:val="auto"/>
          <w:kern w:val="0"/>
          <w:sz w:val="32"/>
          <w:szCs w:val="32"/>
          <w:highlight w:val="none"/>
          <w:u w:val="none"/>
          <w:shd w:val="clear" w:color="auto" w:fill="FFFFFF"/>
          <w:lang w:val="zh-CN" w:eastAsia="zh-CN"/>
        </w:rPr>
        <w:t>项目应实现的具体绩效目标，</w:t>
      </w:r>
      <w:r>
        <w:rPr>
          <w:rFonts w:hint="eastAsia" w:ascii="仿宋_GB2312" w:hAnsi="仿宋_GB2312" w:eastAsia="仿宋_GB2312" w:cs="仿宋_GB2312"/>
          <w:color w:val="auto"/>
          <w:kern w:val="0"/>
          <w:sz w:val="32"/>
          <w:szCs w:val="32"/>
          <w:highlight w:val="none"/>
          <w:u w:val="none"/>
          <w:shd w:val="clear" w:color="auto" w:fill="FFFFFF"/>
          <w:lang w:val="en-US" w:eastAsia="zh-CN"/>
        </w:rPr>
        <w:t>包括但不限于：绩效</w:t>
      </w:r>
      <w:r>
        <w:rPr>
          <w:rFonts w:hint="eastAsia" w:ascii="仿宋_GB2312" w:hAnsi="仿宋_GB2312" w:eastAsia="仿宋_GB2312" w:cs="仿宋_GB2312"/>
          <w:color w:val="auto"/>
          <w:kern w:val="0"/>
          <w:sz w:val="32"/>
          <w:szCs w:val="32"/>
          <w:highlight w:val="none"/>
          <w:u w:val="none"/>
          <w:shd w:val="clear" w:color="auto" w:fill="FFFFFF"/>
          <w:lang w:val="zh-CN" w:eastAsia="zh-CN"/>
        </w:rPr>
        <w:t>目标的量化细化情况、项目实施进度计划等。</w:t>
      </w:r>
    </w:p>
    <w:p>
      <w:pPr>
        <w:adjustRightInd w:val="0"/>
        <w:snapToGrid w:val="0"/>
        <w:spacing w:line="600" w:lineRule="exact"/>
        <w:ind w:firstLine="480" w:firstLineChars="150"/>
        <w:rPr>
          <w:rFonts w:hint="eastAsia" w:ascii="仿宋_GB2312" w:hAnsi="仿宋_GB2312" w:eastAsia="仿宋_GB2312" w:cs="仿宋_GB2312"/>
          <w:color w:val="auto"/>
          <w:kern w:val="0"/>
          <w:sz w:val="32"/>
          <w:szCs w:val="32"/>
          <w:highlight w:val="none"/>
          <w:u w:val="none"/>
          <w:shd w:val="clear" w:color="auto" w:fill="FFFFFF"/>
          <w:lang w:val="zh-CN" w:eastAsia="zh-CN"/>
        </w:rPr>
      </w:pPr>
      <w:r>
        <w:rPr>
          <w:rFonts w:hint="eastAsia" w:ascii="仿宋_GB2312" w:hAnsi="仿宋_GB2312" w:eastAsia="仿宋_GB2312" w:cs="仿宋_GB2312"/>
          <w:color w:val="auto"/>
          <w:kern w:val="0"/>
          <w:sz w:val="32"/>
          <w:szCs w:val="32"/>
          <w:highlight w:val="none"/>
          <w:u w:val="none"/>
          <w:shd w:val="clear" w:color="auto" w:fill="FFFFFF"/>
          <w:lang w:val="zh-CN" w:eastAsia="zh-CN"/>
        </w:rPr>
        <w:t>（1）数量指标：开展“理论武装、实地研学、特色党课”三大培育行动100余场次，累计培训党员干部7378人次。</w:t>
      </w:r>
    </w:p>
    <w:p>
      <w:pPr>
        <w:adjustRightInd w:val="0"/>
        <w:snapToGrid w:val="0"/>
        <w:spacing w:line="600" w:lineRule="exact"/>
        <w:ind w:firstLine="480" w:firstLineChars="150"/>
        <w:rPr>
          <w:rFonts w:hint="eastAsia" w:ascii="仿宋_GB2312" w:hAnsi="仿宋_GB2312" w:eastAsia="仿宋_GB2312" w:cs="仿宋_GB2312"/>
          <w:color w:val="auto"/>
          <w:kern w:val="0"/>
          <w:sz w:val="32"/>
          <w:szCs w:val="32"/>
          <w:highlight w:val="none"/>
          <w:u w:val="none"/>
          <w:shd w:val="clear" w:color="auto" w:fill="FFFFFF"/>
          <w:lang w:val="zh-CN" w:eastAsia="zh-CN"/>
        </w:rPr>
      </w:pPr>
      <w:r>
        <w:rPr>
          <w:rFonts w:hint="eastAsia" w:ascii="仿宋_GB2312" w:hAnsi="仿宋_GB2312" w:eastAsia="仿宋_GB2312" w:cs="仿宋_GB2312"/>
          <w:color w:val="auto"/>
          <w:kern w:val="0"/>
          <w:sz w:val="32"/>
          <w:szCs w:val="32"/>
          <w:highlight w:val="none"/>
          <w:u w:val="none"/>
          <w:shd w:val="clear" w:color="auto" w:fill="FFFFFF"/>
          <w:lang w:val="zh-CN" w:eastAsia="zh-CN"/>
        </w:rPr>
        <w:t>（2）满意度指标：干部职工满意度得到不断提升。</w:t>
      </w:r>
    </w:p>
    <w:p>
      <w:pPr>
        <w:adjustRightInd w:val="0"/>
        <w:snapToGrid w:val="0"/>
        <w:spacing w:line="600" w:lineRule="exact"/>
        <w:ind w:firstLine="480" w:firstLineChars="150"/>
        <w:rPr>
          <w:rFonts w:hint="eastAsia" w:ascii="仿宋_GB2312" w:hAnsi="仿宋_GB2312" w:eastAsia="仿宋_GB2312" w:cs="仿宋_GB2312"/>
          <w:color w:val="auto"/>
          <w:kern w:val="0"/>
          <w:sz w:val="32"/>
          <w:szCs w:val="32"/>
          <w:highlight w:val="none"/>
          <w:u w:val="none"/>
          <w:shd w:val="clear" w:color="auto" w:fill="FFFFFF"/>
          <w:lang w:val="en-US" w:eastAsia="zh-CN"/>
        </w:rPr>
      </w:pPr>
      <w:r>
        <w:rPr>
          <w:rFonts w:hint="eastAsia" w:ascii="仿宋_GB2312" w:hAnsi="仿宋_GB2312" w:eastAsia="仿宋_GB2312" w:cs="仿宋_GB2312"/>
          <w:color w:val="auto"/>
          <w:kern w:val="0"/>
          <w:sz w:val="32"/>
          <w:szCs w:val="32"/>
          <w:highlight w:val="none"/>
          <w:u w:val="none"/>
          <w:shd w:val="clear" w:color="auto" w:fill="FFFFFF"/>
          <w:lang w:val="zh-CN" w:eastAsia="zh-CN"/>
        </w:rPr>
        <w:t>（</w:t>
      </w:r>
      <w:r>
        <w:rPr>
          <w:rFonts w:hint="eastAsia" w:ascii="仿宋_GB2312" w:hAnsi="仿宋_GB2312" w:eastAsia="仿宋_GB2312" w:cs="仿宋_GB2312"/>
          <w:color w:val="auto"/>
          <w:kern w:val="0"/>
          <w:sz w:val="32"/>
          <w:szCs w:val="32"/>
          <w:highlight w:val="none"/>
          <w:u w:val="none"/>
          <w:shd w:val="clear" w:color="auto" w:fill="FFFFFF"/>
          <w:lang w:val="en-US" w:eastAsia="zh-CN"/>
        </w:rPr>
        <w:t>3</w:t>
      </w:r>
      <w:r>
        <w:rPr>
          <w:rFonts w:hint="eastAsia" w:ascii="仿宋_GB2312" w:hAnsi="仿宋_GB2312" w:eastAsia="仿宋_GB2312" w:cs="仿宋_GB2312"/>
          <w:color w:val="auto"/>
          <w:kern w:val="0"/>
          <w:sz w:val="32"/>
          <w:szCs w:val="32"/>
          <w:highlight w:val="none"/>
          <w:u w:val="none"/>
          <w:shd w:val="clear" w:color="auto" w:fill="FFFFFF"/>
          <w:lang w:val="zh-CN" w:eastAsia="zh-CN"/>
        </w:rPr>
        <w:t>）</w:t>
      </w:r>
      <w:r>
        <w:rPr>
          <w:rFonts w:hint="eastAsia" w:ascii="仿宋_GB2312" w:hAnsi="仿宋_GB2312" w:eastAsia="仿宋_GB2312" w:cs="仿宋_GB2312"/>
          <w:color w:val="auto"/>
          <w:kern w:val="0"/>
          <w:sz w:val="32"/>
          <w:szCs w:val="32"/>
          <w:highlight w:val="none"/>
          <w:u w:val="none"/>
          <w:shd w:val="clear" w:color="auto" w:fill="FFFFFF"/>
          <w:lang w:val="en-US" w:eastAsia="zh-CN"/>
        </w:rPr>
        <w:t>社会效益指标：推动干部思想受洗礼、灵魂受触动；推动理论教育从教化、强化到固化、内化。</w:t>
      </w:r>
    </w:p>
    <w:p>
      <w:pPr>
        <w:adjustRightInd w:val="0"/>
        <w:snapToGrid w:val="0"/>
        <w:spacing w:line="600" w:lineRule="exact"/>
        <w:ind w:firstLine="480" w:firstLineChars="150"/>
        <w:rPr>
          <w:rFonts w:hint="eastAsia" w:ascii="仿宋_GB2312" w:hAnsi="仿宋_GB2312" w:eastAsia="仿宋_GB2312" w:cs="仿宋_GB2312"/>
          <w:color w:val="auto"/>
          <w:kern w:val="0"/>
          <w:sz w:val="32"/>
          <w:szCs w:val="32"/>
          <w:highlight w:val="none"/>
          <w:u w:val="none"/>
          <w:shd w:val="clear" w:color="auto" w:fill="FFFFFF"/>
          <w:lang w:val="zh-CN" w:eastAsia="zh-CN"/>
        </w:rPr>
      </w:pPr>
      <w:r>
        <w:rPr>
          <w:rFonts w:hint="eastAsia" w:ascii="仿宋_GB2312" w:hAnsi="仿宋_GB2312" w:eastAsia="仿宋_GB2312" w:cs="仿宋_GB2312"/>
          <w:color w:val="auto"/>
          <w:kern w:val="0"/>
          <w:sz w:val="32"/>
          <w:szCs w:val="32"/>
          <w:highlight w:val="none"/>
          <w:u w:val="none"/>
          <w:shd w:val="clear" w:color="auto" w:fill="FFFFFF"/>
          <w:lang w:val="en-US" w:eastAsia="zh-CN"/>
        </w:rPr>
        <w:t>3.</w:t>
      </w:r>
      <w:r>
        <w:rPr>
          <w:rFonts w:hint="eastAsia" w:ascii="仿宋_GB2312" w:hAnsi="仿宋_GB2312" w:eastAsia="仿宋_GB2312" w:cs="仿宋_GB2312"/>
          <w:color w:val="auto"/>
          <w:kern w:val="0"/>
          <w:sz w:val="32"/>
          <w:szCs w:val="32"/>
          <w:highlight w:val="none"/>
          <w:u w:val="none"/>
          <w:shd w:val="clear" w:color="auto" w:fill="FFFFFF"/>
          <w:lang w:val="zh-CN" w:eastAsia="zh-CN"/>
        </w:rPr>
        <w:t>分析评价申报内容是否与实际相符，申报目标是否合理可行。</w:t>
      </w:r>
    </w:p>
    <w:p>
      <w:pPr>
        <w:adjustRightInd w:val="0"/>
        <w:snapToGrid w:val="0"/>
        <w:spacing w:line="600" w:lineRule="exact"/>
        <w:ind w:firstLine="480" w:firstLineChars="150"/>
        <w:rPr>
          <w:rFonts w:hint="eastAsia" w:ascii="仿宋_GB2312" w:hAnsi="仿宋_GB2312" w:eastAsia="仿宋_GB2312" w:cs="仿宋_GB2312"/>
          <w:color w:val="auto"/>
          <w:kern w:val="0"/>
          <w:sz w:val="32"/>
          <w:szCs w:val="32"/>
          <w:highlight w:val="none"/>
          <w:u w:val="none"/>
          <w:shd w:val="clear" w:color="auto" w:fill="FFFFFF"/>
          <w:lang w:val="zh-CN" w:eastAsia="zh-CN"/>
        </w:rPr>
      </w:pPr>
      <w:r>
        <w:rPr>
          <w:rFonts w:hint="eastAsia" w:ascii="仿宋_GB2312" w:hAnsi="仿宋_GB2312" w:eastAsia="仿宋_GB2312" w:cs="仿宋_GB2312"/>
          <w:color w:val="auto"/>
          <w:kern w:val="0"/>
          <w:sz w:val="32"/>
          <w:szCs w:val="32"/>
          <w:highlight w:val="none"/>
          <w:u w:val="none"/>
          <w:shd w:val="clear" w:color="auto" w:fill="FFFFFF"/>
          <w:lang w:val="zh-CN" w:eastAsia="zh-CN"/>
        </w:rPr>
        <w:t>项目申报内容与具体实施内容相符、申报目标合理可行。项目实施进度如期完成，计划实现的具体绩效目标达到100%，项目实施进度计划达到100%。</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（三）项目自评步骤及方法。</w:t>
      </w:r>
    </w:p>
    <w:p>
      <w:pPr>
        <w:adjustRightInd w:val="0"/>
        <w:snapToGrid w:val="0"/>
        <w:spacing w:line="600" w:lineRule="exact"/>
        <w:ind w:firstLine="480" w:firstLineChars="150"/>
        <w:rPr>
          <w:rFonts w:hint="default" w:ascii="仿宋_GB2312" w:hAnsi="仿宋_GB2312" w:eastAsia="仿宋_GB2312" w:cs="仿宋_GB2312"/>
          <w:color w:val="auto"/>
          <w:kern w:val="0"/>
          <w:sz w:val="32"/>
          <w:szCs w:val="32"/>
          <w:highlight w:val="none"/>
          <w:u w:val="none"/>
          <w:shd w:val="clear" w:color="auto" w:fill="FFFFFF"/>
          <w:lang w:val="zh-CN" w:eastAsia="zh-CN"/>
        </w:rPr>
      </w:pPr>
      <w:r>
        <w:rPr>
          <w:rFonts w:hint="default" w:ascii="仿宋_GB2312" w:hAnsi="仿宋_GB2312" w:eastAsia="仿宋_GB2312" w:cs="仿宋_GB2312"/>
          <w:color w:val="auto"/>
          <w:kern w:val="0"/>
          <w:sz w:val="32"/>
          <w:szCs w:val="32"/>
          <w:highlight w:val="none"/>
          <w:u w:val="none"/>
          <w:shd w:val="clear" w:color="auto" w:fill="FFFFFF"/>
          <w:lang w:val="en-US" w:eastAsia="zh-CN"/>
        </w:rPr>
        <w:t>部</w:t>
      </w:r>
      <w:r>
        <w:rPr>
          <w:rFonts w:hint="default" w:ascii="仿宋_GB2312" w:hAnsi="仿宋_GB2312" w:eastAsia="仿宋_GB2312" w:cs="仿宋_GB2312"/>
          <w:color w:val="auto"/>
          <w:kern w:val="0"/>
          <w:sz w:val="32"/>
          <w:szCs w:val="32"/>
          <w:highlight w:val="none"/>
          <w:u w:val="none"/>
          <w:shd w:val="clear" w:color="auto" w:fill="FFFFFF"/>
          <w:lang w:val="zh-CN" w:eastAsia="zh-CN"/>
        </w:rPr>
        <w:t>领导高度重视202</w:t>
      </w:r>
      <w:r>
        <w:rPr>
          <w:rFonts w:hint="eastAsia" w:ascii="仿宋_GB2312" w:hAnsi="仿宋_GB2312" w:eastAsia="仿宋_GB2312" w:cs="仿宋_GB2312"/>
          <w:color w:val="auto"/>
          <w:kern w:val="0"/>
          <w:sz w:val="32"/>
          <w:szCs w:val="32"/>
          <w:highlight w:val="none"/>
          <w:u w:val="none"/>
          <w:shd w:val="clear" w:color="auto" w:fill="FFFFFF"/>
          <w:lang w:val="en-US" w:eastAsia="zh-CN"/>
        </w:rPr>
        <w:t>2</w:t>
      </w:r>
      <w:r>
        <w:rPr>
          <w:rFonts w:hint="default" w:ascii="仿宋_GB2312" w:hAnsi="仿宋_GB2312" w:eastAsia="仿宋_GB2312" w:cs="仿宋_GB2312"/>
          <w:color w:val="auto"/>
          <w:kern w:val="0"/>
          <w:sz w:val="32"/>
          <w:szCs w:val="32"/>
          <w:highlight w:val="none"/>
          <w:u w:val="none"/>
          <w:shd w:val="clear" w:color="auto" w:fill="FFFFFF"/>
          <w:lang w:val="zh-CN" w:eastAsia="zh-CN"/>
        </w:rPr>
        <w:t>年度部门预算项目支出绩效自评工作，要求各分管领导具体负责，按照通知要求，积极开展自评工作，认真填报项目支出绩效自评表。同时，成立部门预算项目支出绩效自评工作组，对本单位项目的绩效自评结果进行审核。</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黑体" w:hAnsi="宋体" w:eastAsia="黑体"/>
          <w:color w:val="auto"/>
          <w:sz w:val="32"/>
          <w:szCs w:val="32"/>
          <w:highlight w:val="none"/>
          <w:u w:val="none"/>
        </w:rPr>
      </w:pPr>
      <w:r>
        <w:rPr>
          <w:rFonts w:hint="eastAsia" w:ascii="黑体" w:hAnsi="宋体" w:eastAsia="黑体"/>
          <w:color w:val="auto"/>
          <w:sz w:val="32"/>
          <w:szCs w:val="32"/>
          <w:highlight w:val="none"/>
          <w:u w:val="none"/>
        </w:rPr>
        <w:t>二、项目资金申报及使用情况</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（一）项目资金申报及批复情况。</w:t>
      </w:r>
    </w:p>
    <w:p>
      <w:pPr>
        <w:adjustRightInd w:val="0"/>
        <w:snapToGrid w:val="0"/>
        <w:spacing w:line="600" w:lineRule="exact"/>
        <w:ind w:firstLine="480" w:firstLineChars="150"/>
        <w:rPr>
          <w:rFonts w:hint="eastAsia" w:ascii="仿宋_GB2312" w:hAnsi="仿宋_GB2312" w:eastAsia="仿宋_GB2312" w:cs="仿宋_GB2312"/>
          <w:color w:val="auto"/>
          <w:kern w:val="0"/>
          <w:sz w:val="32"/>
          <w:szCs w:val="32"/>
          <w:highlight w:val="none"/>
          <w:u w:val="none"/>
          <w:shd w:val="clear" w:color="auto" w:fill="FFFFFF"/>
          <w:lang w:val="zh-CN" w:eastAsia="zh-CN"/>
        </w:rPr>
      </w:pPr>
      <w:r>
        <w:rPr>
          <w:rFonts w:hint="eastAsia" w:ascii="仿宋_GB2312" w:hAnsi="仿宋_GB2312" w:eastAsia="仿宋_GB2312" w:cs="仿宋_GB2312"/>
          <w:color w:val="auto"/>
          <w:kern w:val="0"/>
          <w:sz w:val="32"/>
          <w:szCs w:val="32"/>
          <w:highlight w:val="none"/>
          <w:u w:val="none"/>
          <w:shd w:val="clear" w:color="auto" w:fill="FFFFFF"/>
          <w:lang w:val="zh-CN" w:eastAsia="zh-CN"/>
        </w:rPr>
        <w:t>我单位根据年度培训任务申请立项，通过审议批准后，纳入年初本级预算，预算金额138.23万元，预算批复138.23万元。项目开展后，我单位在预算一体化系统中申请使用资金并向财政局归口股室递交项目专项资金申请表提交申请，国库等业务股室审核通过后，指标下达到本单位，本单位再按经费实际开支情况，据实报销资金。</w:t>
      </w:r>
    </w:p>
    <w:p>
      <w:pPr>
        <w:keepNext w:val="0"/>
        <w:keepLines w:val="0"/>
        <w:pageBreakBefore w:val="0"/>
        <w:kinsoku/>
        <w:wordWrap/>
        <w:overflowPunct/>
        <w:topLinePunct w:val="0"/>
        <w:autoSpaceDE/>
        <w:autoSpaceDN/>
        <w:bidi w:val="0"/>
        <w:adjustRightInd w:val="0"/>
        <w:snapToGrid w:val="0"/>
        <w:spacing w:line="578" w:lineRule="exact"/>
        <w:ind w:firstLine="643" w:firstLineChars="200"/>
        <w:textAlignment w:val="auto"/>
        <w:rPr>
          <w:rFonts w:ascii="仿宋_GB2312" w:hAnsi="宋体"/>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（二）资金计划、到位及使用情况（可用表格形式反映）。</w:t>
      </w:r>
    </w:p>
    <w:p>
      <w:pPr>
        <w:adjustRightInd w:val="0"/>
        <w:snapToGrid w:val="0"/>
        <w:spacing w:line="600" w:lineRule="exact"/>
        <w:ind w:firstLine="480" w:firstLineChars="150"/>
        <w:rPr>
          <w:rFonts w:hint="eastAsia" w:ascii="仿宋_GB2312" w:hAnsi="仿宋_GB2312" w:eastAsia="仿宋_GB2312" w:cs="仿宋_GB2312"/>
          <w:color w:val="auto"/>
          <w:kern w:val="0"/>
          <w:sz w:val="32"/>
          <w:szCs w:val="32"/>
          <w:highlight w:val="none"/>
          <w:u w:val="none"/>
          <w:shd w:val="clear" w:color="auto" w:fill="FFFFFF"/>
          <w:lang w:val="zh-CN" w:eastAsia="zh-CN"/>
        </w:rPr>
      </w:pPr>
      <w:r>
        <w:rPr>
          <w:rFonts w:hint="eastAsia" w:ascii="仿宋_GB2312" w:hAnsi="仿宋_GB2312" w:eastAsia="仿宋_GB2312" w:cs="仿宋_GB2312"/>
          <w:color w:val="auto"/>
          <w:kern w:val="0"/>
          <w:sz w:val="32"/>
          <w:szCs w:val="32"/>
          <w:highlight w:val="none"/>
          <w:u w:val="none"/>
          <w:shd w:val="clear" w:color="auto" w:fill="FFFFFF"/>
          <w:lang w:val="en-US" w:eastAsia="zh-CN"/>
        </w:rPr>
        <w:t>1.</w:t>
      </w:r>
      <w:r>
        <w:rPr>
          <w:rFonts w:hint="eastAsia" w:ascii="仿宋_GB2312" w:hAnsi="仿宋_GB2312" w:eastAsia="仿宋_GB2312" w:cs="仿宋_GB2312"/>
          <w:color w:val="auto"/>
          <w:kern w:val="0"/>
          <w:sz w:val="32"/>
          <w:szCs w:val="32"/>
          <w:highlight w:val="none"/>
          <w:u w:val="none"/>
          <w:shd w:val="clear" w:color="auto" w:fill="FFFFFF"/>
          <w:lang w:val="zh-CN" w:eastAsia="zh-CN"/>
        </w:rPr>
        <w:t>资金计划。</w:t>
      </w:r>
    </w:p>
    <w:p>
      <w:pPr>
        <w:adjustRightInd w:val="0"/>
        <w:snapToGrid w:val="0"/>
        <w:spacing w:line="600" w:lineRule="exact"/>
        <w:ind w:firstLine="480" w:firstLineChars="150"/>
        <w:rPr>
          <w:rFonts w:hint="eastAsia" w:ascii="仿宋_GB2312" w:hAnsi="仿宋_GB2312" w:eastAsia="仿宋_GB2312" w:cs="仿宋_GB2312"/>
          <w:color w:val="auto"/>
          <w:kern w:val="0"/>
          <w:sz w:val="32"/>
          <w:szCs w:val="32"/>
          <w:highlight w:val="none"/>
          <w:u w:val="none"/>
          <w:shd w:val="clear" w:color="auto" w:fill="FFFFFF"/>
          <w:lang w:val="zh-CN" w:eastAsia="zh-CN"/>
        </w:rPr>
      </w:pPr>
      <w:r>
        <w:rPr>
          <w:rFonts w:hint="eastAsia" w:ascii="仿宋_GB2312" w:hAnsi="仿宋_GB2312" w:eastAsia="仿宋_GB2312" w:cs="仿宋_GB2312"/>
          <w:color w:val="auto"/>
          <w:kern w:val="0"/>
          <w:sz w:val="32"/>
          <w:szCs w:val="32"/>
          <w:highlight w:val="none"/>
          <w:u w:val="none"/>
          <w:shd w:val="clear" w:color="auto" w:fill="FFFFFF"/>
          <w:lang w:val="zh-CN" w:eastAsia="zh-CN"/>
        </w:rPr>
        <w:t>专项项目资金源于年初财政拨款预算，由区财政局统一批复，20</w:t>
      </w:r>
      <w:r>
        <w:rPr>
          <w:rFonts w:hint="eastAsia" w:ascii="仿宋_GB2312" w:hAnsi="仿宋_GB2312" w:eastAsia="仿宋_GB2312" w:cs="仿宋_GB2312"/>
          <w:color w:val="auto"/>
          <w:kern w:val="0"/>
          <w:sz w:val="32"/>
          <w:szCs w:val="32"/>
          <w:highlight w:val="none"/>
          <w:u w:val="none"/>
          <w:shd w:val="clear" w:color="auto" w:fill="FFFFFF"/>
          <w:lang w:val="en-US" w:eastAsia="zh-CN"/>
        </w:rPr>
        <w:t>22</w:t>
      </w:r>
      <w:r>
        <w:rPr>
          <w:rFonts w:hint="eastAsia" w:ascii="仿宋_GB2312" w:hAnsi="仿宋_GB2312" w:eastAsia="仿宋_GB2312" w:cs="仿宋_GB2312"/>
          <w:color w:val="auto"/>
          <w:kern w:val="0"/>
          <w:sz w:val="32"/>
          <w:szCs w:val="32"/>
          <w:highlight w:val="none"/>
          <w:u w:val="none"/>
          <w:shd w:val="clear" w:color="auto" w:fill="FFFFFF"/>
          <w:lang w:val="zh-CN" w:eastAsia="zh-CN"/>
        </w:rPr>
        <w:t>年年初预算</w:t>
      </w:r>
      <w:r>
        <w:rPr>
          <w:rFonts w:hint="eastAsia" w:ascii="仿宋_GB2312" w:hAnsi="仿宋_GB2312" w:eastAsia="仿宋_GB2312" w:cs="仿宋_GB2312"/>
          <w:color w:val="auto"/>
          <w:kern w:val="0"/>
          <w:sz w:val="32"/>
          <w:szCs w:val="32"/>
          <w:highlight w:val="none"/>
          <w:u w:val="none"/>
          <w:shd w:val="clear" w:color="auto" w:fill="FFFFFF"/>
          <w:lang w:val="en-US" w:eastAsia="zh-CN"/>
        </w:rPr>
        <w:t>0万元，后期预算</w:t>
      </w:r>
      <w:r>
        <w:rPr>
          <w:rFonts w:hint="eastAsia" w:ascii="仿宋_GB2312" w:hAnsi="仿宋_GB2312" w:eastAsia="仿宋_GB2312" w:cs="仿宋_GB2312"/>
          <w:color w:val="auto"/>
          <w:kern w:val="0"/>
          <w:sz w:val="32"/>
          <w:szCs w:val="32"/>
          <w:highlight w:val="none"/>
          <w:u w:val="none"/>
          <w:shd w:val="clear" w:color="auto" w:fill="FFFFFF"/>
          <w:lang w:val="zh-CN" w:eastAsia="zh-CN"/>
        </w:rPr>
        <w:t>追加138.23万元，预算批复138.23万元，实际下达138.23</w:t>
      </w:r>
      <w:r>
        <w:rPr>
          <w:rFonts w:hint="eastAsia" w:ascii="仿宋_GB2312" w:hAnsi="仿宋_GB2312" w:eastAsia="仿宋_GB2312" w:cs="仿宋_GB2312"/>
          <w:color w:val="auto"/>
          <w:kern w:val="0"/>
          <w:sz w:val="32"/>
          <w:szCs w:val="32"/>
          <w:highlight w:val="none"/>
          <w:u w:val="none"/>
          <w:shd w:val="clear" w:color="auto" w:fill="FFFFFF"/>
          <w:lang w:val="en-US" w:eastAsia="zh-CN"/>
        </w:rPr>
        <w:t>万元</w:t>
      </w:r>
      <w:r>
        <w:rPr>
          <w:rFonts w:hint="eastAsia" w:ascii="仿宋_GB2312" w:hAnsi="仿宋_GB2312" w:eastAsia="仿宋_GB2312" w:cs="仿宋_GB2312"/>
          <w:color w:val="auto"/>
          <w:kern w:val="0"/>
          <w:sz w:val="32"/>
          <w:szCs w:val="32"/>
          <w:highlight w:val="none"/>
          <w:u w:val="none"/>
          <w:shd w:val="clear" w:color="auto" w:fill="FFFFFF"/>
          <w:lang w:val="zh-CN" w:eastAsia="zh-CN"/>
        </w:rPr>
        <w:t>。</w:t>
      </w:r>
    </w:p>
    <w:p>
      <w:pPr>
        <w:adjustRightInd w:val="0"/>
        <w:snapToGrid w:val="0"/>
        <w:spacing w:line="600" w:lineRule="exact"/>
        <w:ind w:firstLine="480" w:firstLineChars="150"/>
        <w:rPr>
          <w:rFonts w:hint="eastAsia" w:ascii="仿宋_GB2312" w:hAnsi="仿宋_GB2312" w:eastAsia="仿宋_GB2312" w:cs="仿宋_GB2312"/>
          <w:color w:val="auto"/>
          <w:kern w:val="0"/>
          <w:sz w:val="32"/>
          <w:szCs w:val="32"/>
          <w:highlight w:val="none"/>
          <w:u w:val="none"/>
          <w:shd w:val="clear" w:color="auto" w:fill="FFFFFF"/>
          <w:lang w:val="zh-CN" w:eastAsia="zh-CN"/>
        </w:rPr>
      </w:pPr>
      <w:r>
        <w:rPr>
          <w:rFonts w:hint="eastAsia" w:ascii="仿宋_GB2312" w:hAnsi="仿宋_GB2312" w:eastAsia="仿宋_GB2312" w:cs="仿宋_GB2312"/>
          <w:color w:val="auto"/>
          <w:kern w:val="0"/>
          <w:sz w:val="32"/>
          <w:szCs w:val="32"/>
          <w:highlight w:val="none"/>
          <w:u w:val="none"/>
          <w:shd w:val="clear" w:color="auto" w:fill="FFFFFF"/>
          <w:lang w:val="en-US" w:eastAsia="zh-CN"/>
        </w:rPr>
        <w:t>2.</w:t>
      </w:r>
      <w:r>
        <w:rPr>
          <w:rFonts w:hint="eastAsia" w:ascii="仿宋_GB2312" w:hAnsi="仿宋_GB2312" w:eastAsia="仿宋_GB2312" w:cs="仿宋_GB2312"/>
          <w:color w:val="auto"/>
          <w:kern w:val="0"/>
          <w:sz w:val="32"/>
          <w:szCs w:val="32"/>
          <w:highlight w:val="none"/>
          <w:u w:val="none"/>
          <w:shd w:val="clear" w:color="auto" w:fill="FFFFFF"/>
          <w:lang w:val="zh-CN" w:eastAsia="zh-CN"/>
        </w:rPr>
        <w:t>资金到位。</w:t>
      </w:r>
    </w:p>
    <w:p>
      <w:pPr>
        <w:adjustRightInd w:val="0"/>
        <w:snapToGrid w:val="0"/>
        <w:spacing w:line="600" w:lineRule="exact"/>
        <w:ind w:firstLine="480" w:firstLineChars="150"/>
        <w:rPr>
          <w:rFonts w:hint="eastAsia" w:ascii="仿宋_GB2312" w:hAnsi="仿宋_GB2312" w:eastAsia="仿宋_GB2312" w:cs="仿宋_GB2312"/>
          <w:color w:val="auto"/>
          <w:kern w:val="0"/>
          <w:sz w:val="32"/>
          <w:szCs w:val="32"/>
          <w:highlight w:val="none"/>
          <w:u w:val="none"/>
          <w:shd w:val="clear" w:color="auto" w:fill="FFFFFF"/>
          <w:lang w:val="zh-CN" w:eastAsia="zh-CN"/>
        </w:rPr>
      </w:pPr>
      <w:r>
        <w:rPr>
          <w:rFonts w:hint="eastAsia" w:ascii="仿宋_GB2312" w:hAnsi="仿宋_GB2312" w:eastAsia="仿宋_GB2312" w:cs="仿宋_GB2312"/>
          <w:color w:val="auto"/>
          <w:kern w:val="0"/>
          <w:sz w:val="32"/>
          <w:szCs w:val="32"/>
          <w:highlight w:val="none"/>
          <w:u w:val="none"/>
          <w:shd w:val="clear" w:color="auto" w:fill="FFFFFF"/>
          <w:lang w:val="en-US" w:eastAsia="zh-CN"/>
        </w:rPr>
        <w:t>专项项目资金预算</w:t>
      </w:r>
      <w:r>
        <w:rPr>
          <w:rFonts w:hint="eastAsia" w:ascii="仿宋_GB2312" w:hAnsi="仿宋_GB2312" w:eastAsia="仿宋_GB2312" w:cs="仿宋_GB2312"/>
          <w:color w:val="auto"/>
          <w:kern w:val="0"/>
          <w:sz w:val="32"/>
          <w:szCs w:val="32"/>
          <w:highlight w:val="none"/>
          <w:u w:val="none"/>
          <w:shd w:val="clear" w:color="auto" w:fill="FFFFFF"/>
          <w:lang w:val="zh-CN" w:eastAsia="zh-CN"/>
        </w:rPr>
        <w:t>138.23</w:t>
      </w:r>
      <w:r>
        <w:rPr>
          <w:rFonts w:hint="eastAsia" w:ascii="仿宋_GB2312" w:hAnsi="仿宋_GB2312" w:eastAsia="仿宋_GB2312" w:cs="仿宋_GB2312"/>
          <w:color w:val="auto"/>
          <w:kern w:val="0"/>
          <w:sz w:val="32"/>
          <w:szCs w:val="32"/>
          <w:highlight w:val="none"/>
          <w:u w:val="none"/>
          <w:shd w:val="clear" w:color="auto" w:fill="FFFFFF"/>
          <w:lang w:val="en-US" w:eastAsia="zh-CN"/>
        </w:rPr>
        <w:t>万，拨付到位</w:t>
      </w:r>
      <w:r>
        <w:rPr>
          <w:rFonts w:hint="eastAsia" w:ascii="仿宋_GB2312" w:hAnsi="仿宋_GB2312" w:eastAsia="仿宋_GB2312" w:cs="仿宋_GB2312"/>
          <w:color w:val="auto"/>
          <w:kern w:val="0"/>
          <w:sz w:val="32"/>
          <w:szCs w:val="32"/>
          <w:highlight w:val="none"/>
          <w:u w:val="none"/>
          <w:shd w:val="clear" w:color="auto" w:fill="FFFFFF"/>
          <w:lang w:val="zh-CN" w:eastAsia="zh-CN"/>
        </w:rPr>
        <w:t>138.23</w:t>
      </w:r>
      <w:r>
        <w:rPr>
          <w:rFonts w:hint="eastAsia" w:ascii="仿宋_GB2312" w:hAnsi="仿宋_GB2312" w:eastAsia="仿宋_GB2312" w:cs="仿宋_GB2312"/>
          <w:color w:val="auto"/>
          <w:kern w:val="0"/>
          <w:sz w:val="32"/>
          <w:szCs w:val="32"/>
          <w:highlight w:val="none"/>
          <w:u w:val="none"/>
          <w:shd w:val="clear" w:color="auto" w:fill="FFFFFF"/>
          <w:lang w:val="en-US" w:eastAsia="zh-CN"/>
        </w:rPr>
        <w:t>万元，到位率100%。</w:t>
      </w:r>
    </w:p>
    <w:p>
      <w:pPr>
        <w:adjustRightInd w:val="0"/>
        <w:snapToGrid w:val="0"/>
        <w:spacing w:line="600" w:lineRule="exact"/>
        <w:ind w:firstLine="480" w:firstLineChars="150"/>
        <w:rPr>
          <w:rFonts w:hint="eastAsia" w:ascii="仿宋_GB2312" w:hAnsi="仿宋_GB2312" w:eastAsia="仿宋_GB2312" w:cs="仿宋_GB2312"/>
          <w:color w:val="auto"/>
          <w:kern w:val="0"/>
          <w:sz w:val="32"/>
          <w:szCs w:val="32"/>
          <w:highlight w:val="none"/>
          <w:u w:val="none"/>
          <w:shd w:val="clear" w:color="auto" w:fill="FFFFFF"/>
          <w:lang w:val="zh-CN" w:eastAsia="zh-CN"/>
        </w:rPr>
      </w:pPr>
      <w:r>
        <w:rPr>
          <w:rFonts w:hint="eastAsia" w:ascii="仿宋_GB2312" w:hAnsi="仿宋_GB2312" w:eastAsia="仿宋_GB2312" w:cs="仿宋_GB2312"/>
          <w:color w:val="auto"/>
          <w:kern w:val="0"/>
          <w:sz w:val="32"/>
          <w:szCs w:val="32"/>
          <w:highlight w:val="none"/>
          <w:u w:val="none"/>
          <w:shd w:val="clear" w:color="auto" w:fill="FFFFFF"/>
          <w:lang w:val="en-US" w:eastAsia="zh-CN"/>
        </w:rPr>
        <w:t>3.</w:t>
      </w:r>
      <w:r>
        <w:rPr>
          <w:rFonts w:hint="eastAsia" w:ascii="仿宋_GB2312" w:hAnsi="仿宋_GB2312" w:eastAsia="仿宋_GB2312" w:cs="仿宋_GB2312"/>
          <w:color w:val="auto"/>
          <w:kern w:val="0"/>
          <w:sz w:val="32"/>
          <w:szCs w:val="32"/>
          <w:highlight w:val="none"/>
          <w:u w:val="none"/>
          <w:shd w:val="clear" w:color="auto" w:fill="FFFFFF"/>
          <w:lang w:val="zh-CN" w:eastAsia="zh-CN"/>
        </w:rPr>
        <w:t>资金使用。</w:t>
      </w:r>
    </w:p>
    <w:p>
      <w:pPr>
        <w:adjustRightInd w:val="0"/>
        <w:snapToGrid w:val="0"/>
        <w:spacing w:line="600" w:lineRule="exact"/>
        <w:ind w:firstLine="480" w:firstLineChars="150"/>
        <w:rPr>
          <w:rFonts w:hint="eastAsia" w:ascii="仿宋_GB2312" w:hAnsi="仿宋_GB2312" w:eastAsia="仿宋_GB2312" w:cs="仿宋_GB2312"/>
          <w:color w:val="auto"/>
          <w:kern w:val="0"/>
          <w:sz w:val="32"/>
          <w:szCs w:val="32"/>
          <w:highlight w:val="none"/>
          <w:u w:val="none"/>
          <w:shd w:val="clear" w:color="auto" w:fill="FFFFFF"/>
          <w:lang w:val="en-US" w:eastAsia="zh-CN"/>
        </w:rPr>
      </w:pPr>
      <w:r>
        <w:rPr>
          <w:rFonts w:hint="eastAsia" w:ascii="仿宋_GB2312" w:hAnsi="仿宋_GB2312" w:eastAsia="仿宋_GB2312" w:cs="仿宋_GB2312"/>
          <w:color w:val="auto"/>
          <w:kern w:val="0"/>
          <w:sz w:val="32"/>
          <w:szCs w:val="32"/>
          <w:highlight w:val="none"/>
          <w:u w:val="none"/>
          <w:shd w:val="clear" w:color="auto" w:fill="FFFFFF"/>
          <w:lang w:val="en-US" w:eastAsia="zh-CN"/>
        </w:rPr>
        <w:t>开展“理论武装、实地研学、特色党课”三大培育行动100余场次，累计培训党员干部7378人次，让“灌输式”教育转变为“启发式”“体验式”教育，“海龙凯歌”成功获全市首个“市委党校精品现场教学点”。围绕“献礼二十大”、党性教育等内容，拍摄《唱支山歌给党听》《坚守》等10余部党员教育电视片，精心编排《讲好安居英雄故事传承敢为人先精神》《伍先华》红色主题音乐剧、《青山依旧》家廉文化历史川剧等一批党员教育特色教材。</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（三）项目财务管理情况。</w:t>
      </w:r>
    </w:p>
    <w:p>
      <w:pPr>
        <w:adjustRightInd w:val="0"/>
        <w:snapToGrid w:val="0"/>
        <w:spacing w:line="600" w:lineRule="exact"/>
        <w:ind w:firstLine="640" w:firstLineChars="200"/>
        <w:rPr>
          <w:rFonts w:hint="eastAsia" w:ascii="仿宋_GB2312" w:hAnsi="宋体" w:eastAsia="仿宋_GB2312"/>
          <w:sz w:val="32"/>
          <w:szCs w:val="32"/>
          <w:lang w:eastAsia="zh-CN"/>
        </w:rPr>
      </w:pPr>
      <w:r>
        <w:rPr>
          <w:rFonts w:hint="eastAsia" w:ascii="仿宋_GB2312" w:hAnsi="宋体" w:eastAsia="仿宋_GB2312"/>
          <w:sz w:val="32"/>
          <w:szCs w:val="32"/>
        </w:rPr>
        <w:t>专项经费严格按照专款专用原则，及时通知有关单位提供合法票据，完善报账手续，严格票据审核，规范报账程，同时财政部门对资金支付严格审核，确保资金使用安全。根据国家财经法规和单位财务管理制度的相关规定以及有关项目资金管理办法的规定支出，做到了资金使用的安全性、规范性</w:t>
      </w:r>
      <w:r>
        <w:rPr>
          <w:rFonts w:hint="eastAsia" w:ascii="仿宋_GB2312" w:hAnsi="宋体" w:eastAsia="仿宋_GB2312"/>
          <w:sz w:val="32"/>
          <w:szCs w:val="32"/>
          <w:lang w:eastAsia="zh-CN"/>
        </w:rPr>
        <w:t>。待费用报销结束后会计人员</w:t>
      </w:r>
      <w:r>
        <w:rPr>
          <w:rFonts w:hint="eastAsia" w:ascii="仿宋" w:hAnsi="仿宋" w:eastAsia="仿宋" w:cs="FangSong_GB2312"/>
          <w:sz w:val="32"/>
          <w:szCs w:val="32"/>
          <w:lang w:val="zh-CN"/>
        </w:rPr>
        <w:t>严格按照财务管理制度及时进行账务处理，会计核算规范，无遗漏、错记等情况。</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黑体" w:hAnsi="宋体" w:eastAsia="黑体"/>
          <w:color w:val="auto"/>
          <w:sz w:val="32"/>
          <w:szCs w:val="32"/>
          <w:highlight w:val="none"/>
          <w:u w:val="none"/>
        </w:rPr>
      </w:pPr>
      <w:r>
        <w:rPr>
          <w:rFonts w:hint="eastAsia" w:ascii="黑体" w:hAnsi="宋体" w:eastAsia="黑体"/>
          <w:color w:val="auto"/>
          <w:sz w:val="32"/>
          <w:szCs w:val="32"/>
          <w:highlight w:val="none"/>
          <w:u w:val="none"/>
        </w:rPr>
        <w:t>三、项目实施及管理情况</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结合项目组织实施管理办法，重点围绕以下内容进行分析评价，并对自评中发现的问题分析说明。</w:t>
      </w:r>
    </w:p>
    <w:p>
      <w:pPr>
        <w:keepNext w:val="0"/>
        <w:keepLines w:val="0"/>
        <w:pageBreakBefore w:val="0"/>
        <w:numPr>
          <w:ilvl w:val="0"/>
          <w:numId w:val="0"/>
        </w:numPr>
        <w:kinsoku/>
        <w:wordWrap/>
        <w:overflowPunct/>
        <w:topLinePunct w:val="0"/>
        <w:autoSpaceDE/>
        <w:autoSpaceDN/>
        <w:bidi w:val="0"/>
        <w:adjustRightInd w:val="0"/>
        <w:snapToGrid w:val="0"/>
        <w:spacing w:line="578" w:lineRule="exact"/>
        <w:ind w:firstLine="643" w:firstLineChars="200"/>
        <w:textAlignment w:val="auto"/>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（一）项目组织架构及实施流程。</w:t>
      </w:r>
    </w:p>
    <w:p>
      <w:pPr>
        <w:adjustRightInd w:val="0"/>
        <w:snapToGrid w:val="0"/>
        <w:spacing w:line="600" w:lineRule="exact"/>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rPr>
        <w:t>按照</w:t>
      </w:r>
      <w:r>
        <w:rPr>
          <w:rFonts w:hint="eastAsia" w:ascii="仿宋_GB2312" w:hAnsi="宋体" w:eastAsia="仿宋_GB2312"/>
          <w:sz w:val="32"/>
          <w:szCs w:val="32"/>
          <w:lang w:eastAsia="zh-CN"/>
        </w:rPr>
        <w:t>区委、区府相关要求，</w:t>
      </w:r>
      <w:r>
        <w:rPr>
          <w:rFonts w:hint="eastAsia" w:ascii="仿宋_GB2312" w:hAnsi="宋体" w:eastAsia="仿宋_GB2312"/>
          <w:sz w:val="32"/>
          <w:szCs w:val="32"/>
        </w:rPr>
        <w:t>根据年度</w:t>
      </w:r>
      <w:r>
        <w:rPr>
          <w:rFonts w:hint="eastAsia" w:ascii="仿宋_GB2312" w:hAnsi="宋体" w:eastAsia="仿宋_GB2312"/>
          <w:sz w:val="32"/>
          <w:szCs w:val="32"/>
          <w:lang w:eastAsia="zh-CN"/>
        </w:rPr>
        <w:t>培训</w:t>
      </w:r>
      <w:r>
        <w:rPr>
          <w:rFonts w:hint="eastAsia" w:ascii="仿宋_GB2312" w:hAnsi="宋体" w:eastAsia="仿宋_GB2312"/>
          <w:sz w:val="32"/>
          <w:szCs w:val="32"/>
        </w:rPr>
        <w:t>工作任务申请立项，通过审议批准后，纳入年初本级预算</w:t>
      </w:r>
      <w:r>
        <w:rPr>
          <w:rFonts w:hint="eastAsia" w:ascii="仿宋_GB2312" w:hAnsi="宋体" w:eastAsia="仿宋_GB2312"/>
          <w:sz w:val="32"/>
          <w:szCs w:val="32"/>
          <w:lang w:eastAsia="zh-CN"/>
        </w:rPr>
        <w:t>。项目经费主要用于党的十九届六中全会精神和党的二十大精神教育培训、换届后县乡党政领导干部培训和党建引领新时代基层干部主题培训。</w:t>
      </w:r>
      <w:r>
        <w:rPr>
          <w:rFonts w:hint="eastAsia" w:ascii="仿宋_GB2312" w:hAnsi="宋体" w:eastAsia="仿宋_GB2312"/>
          <w:sz w:val="32"/>
          <w:szCs w:val="32"/>
        </w:rPr>
        <w:t>项目开展后，我单位在</w:t>
      </w:r>
      <w:r>
        <w:rPr>
          <w:rFonts w:hint="eastAsia" w:ascii="仿宋_GB2312" w:hAnsi="宋体" w:eastAsia="仿宋_GB2312"/>
          <w:sz w:val="32"/>
          <w:szCs w:val="32"/>
          <w:lang w:eastAsia="zh-CN"/>
        </w:rPr>
        <w:t>预算一体化系统中</w:t>
      </w:r>
      <w:r>
        <w:rPr>
          <w:rFonts w:hint="eastAsia" w:ascii="仿宋_GB2312" w:hAnsi="宋体" w:eastAsia="仿宋_GB2312"/>
          <w:sz w:val="32"/>
          <w:szCs w:val="32"/>
        </w:rPr>
        <w:t>申请使用资金并向财政局归口股室递交项目专项资金申请表提交申请，国库等业务股室审核通过后，指标下达到本单位，本单位再按经费实际开支情况，据实报销资金。</w:t>
      </w:r>
    </w:p>
    <w:p>
      <w:pPr>
        <w:keepNext w:val="0"/>
        <w:keepLines w:val="0"/>
        <w:pageBreakBefore w:val="0"/>
        <w:numPr>
          <w:ilvl w:val="0"/>
          <w:numId w:val="0"/>
        </w:numPr>
        <w:kinsoku/>
        <w:wordWrap/>
        <w:overflowPunct/>
        <w:topLinePunct w:val="0"/>
        <w:autoSpaceDE/>
        <w:autoSpaceDN/>
        <w:bidi w:val="0"/>
        <w:adjustRightInd w:val="0"/>
        <w:snapToGrid w:val="0"/>
        <w:spacing w:line="578" w:lineRule="exact"/>
        <w:ind w:left="720" w:leftChars="0"/>
        <w:textAlignment w:val="auto"/>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（二）项目管理情况。</w:t>
      </w:r>
    </w:p>
    <w:p>
      <w:pPr>
        <w:adjustRightInd w:val="0"/>
        <w:snapToGrid w:val="0"/>
        <w:spacing w:line="600" w:lineRule="exact"/>
        <w:ind w:firstLine="720"/>
        <w:rPr>
          <w:rFonts w:ascii="仿宋_GB2312" w:hAnsi="宋体" w:eastAsia="仿宋_GB2312"/>
          <w:sz w:val="32"/>
          <w:szCs w:val="32"/>
        </w:rPr>
      </w:pPr>
      <w:r>
        <w:rPr>
          <w:rFonts w:hint="eastAsia" w:ascii="仿宋_GB2312" w:hAnsi="宋体" w:eastAsia="仿宋_GB2312"/>
          <w:sz w:val="32"/>
          <w:szCs w:val="32"/>
        </w:rPr>
        <w:t>项目严格按照区级有关规定执行，严格用于开展干部教育培训工作，</w:t>
      </w:r>
      <w:r>
        <w:rPr>
          <w:rFonts w:ascii="仿宋_GB2312" w:hAnsi="宋体" w:eastAsia="仿宋_GB2312"/>
          <w:sz w:val="32"/>
          <w:szCs w:val="32"/>
          <w:lang w:val="zh-CN"/>
        </w:rPr>
        <w:t>资金专款专用。</w:t>
      </w:r>
    </w:p>
    <w:p>
      <w:pPr>
        <w:keepNext w:val="0"/>
        <w:keepLines w:val="0"/>
        <w:pageBreakBefore w:val="0"/>
        <w:numPr>
          <w:ilvl w:val="0"/>
          <w:numId w:val="0"/>
        </w:numPr>
        <w:kinsoku/>
        <w:wordWrap/>
        <w:overflowPunct/>
        <w:topLinePunct w:val="0"/>
        <w:autoSpaceDE/>
        <w:autoSpaceDN/>
        <w:bidi w:val="0"/>
        <w:adjustRightInd w:val="0"/>
        <w:snapToGrid w:val="0"/>
        <w:spacing w:line="578" w:lineRule="exact"/>
        <w:ind w:left="720" w:leftChars="0"/>
        <w:textAlignment w:val="auto"/>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（三）项目监管情况。</w:t>
      </w:r>
    </w:p>
    <w:p>
      <w:pPr>
        <w:keepNext w:val="0"/>
        <w:keepLines w:val="0"/>
        <w:pageBreakBefore w:val="0"/>
        <w:numPr>
          <w:ilvl w:val="0"/>
          <w:numId w:val="0"/>
        </w:numPr>
        <w:kinsoku/>
        <w:wordWrap/>
        <w:overflowPunct/>
        <w:topLinePunct w:val="0"/>
        <w:autoSpaceDE/>
        <w:autoSpaceDN/>
        <w:bidi w:val="0"/>
        <w:adjustRightInd w:val="0"/>
        <w:snapToGrid w:val="0"/>
        <w:spacing w:line="578" w:lineRule="exact"/>
        <w:ind w:left="720" w:leftChars="0"/>
        <w:textAlignment w:val="auto"/>
        <w:rPr>
          <w:rFonts w:ascii="仿宋_GB2312" w:hAnsi="宋体"/>
          <w:color w:val="auto"/>
          <w:sz w:val="32"/>
          <w:szCs w:val="32"/>
          <w:highlight w:val="none"/>
          <w:u w:val="none"/>
          <w:lang w:val="zh-CN"/>
        </w:rPr>
      </w:pPr>
      <w:r>
        <w:rPr>
          <w:rFonts w:hint="eastAsia" w:ascii="仿宋" w:hAnsi="仿宋" w:eastAsia="仿宋" w:cs="FangSong_GB2312"/>
          <w:sz w:val="32"/>
          <w:szCs w:val="32"/>
        </w:rPr>
        <w:t>项目由</w:t>
      </w:r>
      <w:r>
        <w:rPr>
          <w:rFonts w:hint="eastAsia" w:ascii="仿宋" w:hAnsi="仿宋" w:eastAsia="仿宋" w:cs="FangSong_GB2312"/>
          <w:sz w:val="32"/>
          <w:szCs w:val="32"/>
          <w:lang w:eastAsia="zh-CN"/>
        </w:rPr>
        <w:t>区委组织部</w:t>
      </w:r>
      <w:r>
        <w:rPr>
          <w:rFonts w:hint="eastAsia" w:ascii="仿宋" w:hAnsi="仿宋" w:eastAsia="仿宋" w:cs="FangSong_GB2312"/>
          <w:sz w:val="32"/>
          <w:szCs w:val="32"/>
        </w:rPr>
        <w:t>监管，并严格按照相关财经纪律执行。</w:t>
      </w:r>
    </w:p>
    <w:p>
      <w:pPr>
        <w:keepNext w:val="0"/>
        <w:keepLines w:val="0"/>
        <w:pageBreakBefore w:val="0"/>
        <w:numPr>
          <w:ilvl w:val="0"/>
          <w:numId w:val="0"/>
        </w:numPr>
        <w:kinsoku/>
        <w:wordWrap/>
        <w:overflowPunct/>
        <w:topLinePunct w:val="0"/>
        <w:autoSpaceDE/>
        <w:autoSpaceDN/>
        <w:bidi w:val="0"/>
        <w:adjustRightInd w:val="0"/>
        <w:snapToGrid w:val="0"/>
        <w:spacing w:line="578" w:lineRule="exact"/>
        <w:ind w:left="720" w:leftChars="0"/>
        <w:textAlignment w:val="auto"/>
        <w:rPr>
          <w:rFonts w:ascii="仿宋_GB2312" w:hAnsi="宋体"/>
          <w:color w:val="auto"/>
          <w:sz w:val="32"/>
          <w:szCs w:val="32"/>
          <w:highlight w:val="none"/>
          <w:u w:val="none"/>
          <w:lang w:val="zh-CN"/>
        </w:rPr>
      </w:pPr>
      <w:r>
        <w:rPr>
          <w:rFonts w:hint="eastAsia" w:ascii="黑体" w:hAnsi="宋体" w:eastAsia="黑体"/>
          <w:color w:val="auto"/>
          <w:sz w:val="32"/>
          <w:szCs w:val="32"/>
          <w:highlight w:val="none"/>
          <w:u w:val="none"/>
        </w:rPr>
        <w:t>四、项目绩效情况</w:t>
      </w:r>
      <w:r>
        <w:rPr>
          <w:rFonts w:hint="eastAsia" w:ascii="仿宋_GB2312" w:hAnsi="宋体"/>
          <w:color w:val="auto"/>
          <w:sz w:val="32"/>
          <w:szCs w:val="32"/>
          <w:highlight w:val="none"/>
          <w:u w:val="none"/>
          <w:lang w:val="zh-CN"/>
        </w:rPr>
        <w:tab/>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（一）项目完成情况。</w:t>
      </w:r>
    </w:p>
    <w:p>
      <w:pPr>
        <w:adjustRightInd w:val="0"/>
        <w:snapToGrid w:val="0"/>
        <w:spacing w:line="600" w:lineRule="exact"/>
        <w:ind w:firstLine="720"/>
        <w:rPr>
          <w:rFonts w:hint="eastAsia" w:ascii="仿宋_GB2312" w:hAnsi="宋体" w:eastAsia="仿宋_GB2312"/>
          <w:sz w:val="32"/>
          <w:szCs w:val="32"/>
          <w:highlight w:val="none"/>
          <w:lang w:val="en-US" w:eastAsia="zh-CN"/>
        </w:rPr>
      </w:pPr>
      <w:r>
        <w:rPr>
          <w:rFonts w:hint="eastAsia" w:ascii="仿宋_GB2312" w:hAnsi="宋体" w:eastAsia="仿宋_GB2312"/>
          <w:sz w:val="32"/>
          <w:szCs w:val="32"/>
          <w:highlight w:val="none"/>
          <w:lang w:val="en-US" w:eastAsia="zh-CN"/>
        </w:rPr>
        <w:t>开展“理论武装、实地研学、特色党课”三大培育行动100余场次，累计培训党员干部7378人次，让“灌输式”教育转变为“启发式”“体验式”教育，“海龙凯歌”成功获全市首个“市委党校精品现场教学点”。围绕“献礼二十大”、党性教育等内容，拍摄《唱支山歌给党听》《坚守》等10余部党员教育电视片，精心编排《讲好安居英雄故事传承敢为人先精神》《伍先华》红色主题音乐剧、《青山依旧》家廉文化历史川剧等一批党员教育特色教材。</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（二）项目效益情况。</w:t>
      </w:r>
    </w:p>
    <w:p>
      <w:pPr>
        <w:adjustRightInd w:val="0"/>
        <w:snapToGrid w:val="0"/>
        <w:spacing w:line="600" w:lineRule="exact"/>
        <w:ind w:firstLine="720"/>
        <w:rPr>
          <w:rFonts w:hint="eastAsia" w:ascii="仿宋_GB2312" w:hAnsi="宋体" w:eastAsia="仿宋_GB2312"/>
          <w:sz w:val="32"/>
          <w:szCs w:val="32"/>
          <w:highlight w:val="none"/>
          <w:lang w:val="en-US" w:eastAsia="zh-CN"/>
        </w:rPr>
      </w:pPr>
      <w:r>
        <w:rPr>
          <w:rFonts w:hint="eastAsia" w:ascii="仿宋_GB2312" w:hAnsi="宋体" w:eastAsia="仿宋_GB2312"/>
          <w:sz w:val="32"/>
          <w:szCs w:val="32"/>
          <w:highlight w:val="none"/>
        </w:rPr>
        <w:t>创新训前问需、训中创新、训后问效“三段式”模式，探索案例警示、叩问初心、作风整顿“攻心式”举措，开展警示教育10余期，制发督查通报22期，推动干部思想受洗礼、灵魂受触动。聚焦“学、考、用”有机结合，举办科级干部考试、执法考试、学法考试等专项考试10余场次，参考学员达2800余人次，推动理论教育从教化、强化到固化、内化</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黑体" w:hAnsi="宋体" w:eastAsia="黑体"/>
          <w:color w:val="auto"/>
          <w:sz w:val="32"/>
          <w:szCs w:val="32"/>
          <w:highlight w:val="none"/>
          <w:u w:val="none"/>
        </w:rPr>
      </w:pPr>
      <w:r>
        <w:rPr>
          <w:rFonts w:hint="eastAsia" w:ascii="黑体" w:hAnsi="宋体" w:eastAsia="黑体"/>
          <w:color w:val="auto"/>
          <w:sz w:val="32"/>
          <w:szCs w:val="32"/>
          <w:highlight w:val="none"/>
          <w:u w:val="none"/>
        </w:rPr>
        <w:t>五、评价结论及建议</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（一）评价结论。</w:t>
      </w:r>
    </w:p>
    <w:p>
      <w:pPr>
        <w:adjustRightInd w:val="0"/>
        <w:snapToGrid w:val="0"/>
        <w:spacing w:line="600" w:lineRule="exact"/>
        <w:ind w:firstLine="720"/>
        <w:rPr>
          <w:rFonts w:hint="eastAsia" w:ascii="仿宋_GB2312" w:hAnsi="宋体" w:eastAsia="仿宋_GB2312"/>
          <w:sz w:val="32"/>
          <w:szCs w:val="32"/>
          <w:highlight w:val="none"/>
          <w:lang w:val="en-US" w:eastAsia="zh-CN"/>
        </w:rPr>
      </w:pPr>
      <w:r>
        <w:rPr>
          <w:rFonts w:hint="eastAsia" w:ascii="仿宋_GB2312" w:hAnsi="宋体" w:eastAsia="仿宋_GB2312"/>
          <w:sz w:val="32"/>
          <w:szCs w:val="32"/>
          <w:highlight w:val="none"/>
          <w:lang w:val="en-US" w:eastAsia="zh-CN"/>
        </w:rPr>
        <w:t>根据项目实施情况，对照绩效评价评分标准，对项目的各项指标进行评价打分，我部干部教育培训专项经费2022年目标任务基本完成，经评价，项目支出绩效自评综合得分为 98分，评价等级为“优秀”。</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（二）存在的问题。</w:t>
      </w:r>
    </w:p>
    <w:p>
      <w:pPr>
        <w:adjustRightInd w:val="0"/>
        <w:snapToGrid w:val="0"/>
        <w:spacing w:line="600" w:lineRule="exact"/>
        <w:ind w:firstLine="720"/>
        <w:rPr>
          <w:rFonts w:hint="eastAsia" w:ascii="仿宋_GB2312" w:hAnsi="宋体" w:eastAsia="仿宋_GB2312"/>
          <w:sz w:val="32"/>
          <w:szCs w:val="32"/>
          <w:highlight w:val="none"/>
          <w:lang w:val="en-US" w:eastAsia="zh-CN"/>
        </w:rPr>
      </w:pPr>
      <w:r>
        <w:rPr>
          <w:rFonts w:hint="eastAsia" w:ascii="仿宋_GB2312" w:hAnsi="宋体" w:eastAsia="仿宋_GB2312"/>
          <w:sz w:val="32"/>
          <w:szCs w:val="32"/>
          <w:highlight w:val="none"/>
          <w:lang w:val="en-US" w:eastAsia="zh-CN"/>
        </w:rPr>
        <w:t>1.干部培训实效有待加强，如外出学习较少，视野开拓不足；基地打造不力，市级现场教学基地仍为空白；干教培训时间紧，任务重，人手少；</w:t>
      </w:r>
    </w:p>
    <w:p>
      <w:pPr>
        <w:adjustRightInd w:val="0"/>
        <w:snapToGrid w:val="0"/>
        <w:spacing w:line="600" w:lineRule="exact"/>
        <w:ind w:firstLine="720"/>
        <w:rPr>
          <w:rFonts w:hint="eastAsia" w:ascii="仿宋_GB2312" w:hAnsi="宋体" w:eastAsia="仿宋_GB2312"/>
          <w:sz w:val="32"/>
          <w:szCs w:val="32"/>
          <w:highlight w:val="none"/>
          <w:lang w:val="en-US" w:eastAsia="zh-CN"/>
        </w:rPr>
      </w:pPr>
      <w:r>
        <w:rPr>
          <w:rFonts w:hint="eastAsia" w:ascii="仿宋_GB2312" w:hAnsi="宋体" w:eastAsia="仿宋_GB2312"/>
          <w:sz w:val="32"/>
          <w:szCs w:val="32"/>
          <w:highlight w:val="none"/>
          <w:lang w:val="en-US" w:eastAsia="zh-CN"/>
        </w:rPr>
        <w:t>2.科研质量有待提升，如理论文章质量不精，立项课题级别不够，科研获奖层次不高等。</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（三）相关建议。</w:t>
      </w:r>
    </w:p>
    <w:p>
      <w:pPr>
        <w:adjustRightInd w:val="0"/>
        <w:snapToGrid w:val="0"/>
        <w:spacing w:line="600" w:lineRule="exact"/>
        <w:ind w:firstLine="720"/>
        <w:rPr>
          <w:rFonts w:hint="eastAsia" w:ascii="仿宋_GB2312" w:hAnsi="宋体" w:eastAsia="仿宋_GB2312"/>
          <w:sz w:val="32"/>
          <w:szCs w:val="32"/>
          <w:highlight w:val="none"/>
          <w:lang w:val="en-US" w:eastAsia="zh-CN"/>
        </w:rPr>
      </w:pPr>
      <w:r>
        <w:rPr>
          <w:rFonts w:hint="eastAsia" w:ascii="仿宋_GB2312" w:hAnsi="宋体" w:eastAsia="仿宋_GB2312"/>
          <w:sz w:val="32"/>
          <w:szCs w:val="32"/>
          <w:highlight w:val="none"/>
          <w:lang w:val="en-US" w:eastAsia="zh-CN"/>
        </w:rPr>
        <w:t>1.提升培训实效。不断优化培训内容，结合需求调研情况，科学设置教学专题；不断创新培训手段，不断探索新的教学方法，用“互联网+”推动教学、科研、教学管理的改革创新，不断提升干部教育培训的现代化水平；升级打造现场教学，切实提升现场教学的质量水平，提高教育培训吸引力。</w:t>
      </w:r>
    </w:p>
    <w:p>
      <w:pPr>
        <w:adjustRightInd w:val="0"/>
        <w:snapToGrid w:val="0"/>
        <w:spacing w:line="600" w:lineRule="exact"/>
        <w:ind w:firstLine="720"/>
        <w:rPr>
          <w:rFonts w:hint="eastAsia" w:ascii="仿宋_GB2312" w:hAnsi="宋体" w:eastAsia="仿宋_GB2312"/>
          <w:sz w:val="32"/>
          <w:szCs w:val="32"/>
          <w:highlight w:val="none"/>
          <w:lang w:val="en-US" w:eastAsia="zh-CN"/>
        </w:rPr>
      </w:pPr>
      <w:r>
        <w:rPr>
          <w:rFonts w:hint="eastAsia" w:ascii="仿宋_GB2312" w:hAnsi="宋体" w:eastAsia="仿宋_GB2312"/>
          <w:sz w:val="32"/>
          <w:szCs w:val="32"/>
          <w:highlight w:val="none"/>
          <w:lang w:val="en-US" w:eastAsia="zh-CN"/>
        </w:rPr>
        <w:t>2.提高科研质量。强化科研精品意识，推出精品创作，力争在省部级等重大项目申报立项上实现新突破，实现在核心刊物、公开刊物发文数量上稳步增加；强化资政导向，强化成果转化，拓宽资政途径，更好为教学和基层干部服务。</w:t>
      </w:r>
    </w:p>
    <w:p>
      <w:pPr>
        <w:widowControl/>
        <w:jc w:val="left"/>
        <w:rPr>
          <w:rStyle w:val="29"/>
          <w:rFonts w:ascii="黑体" w:hAnsi="黑体" w:eastAsia="黑体"/>
          <w:b w:val="0"/>
          <w:color w:val="auto"/>
          <w:highlight w:val="none"/>
        </w:rPr>
      </w:pPr>
      <w:r>
        <w:rPr>
          <w:rStyle w:val="29"/>
          <w:rFonts w:ascii="黑体" w:hAnsi="黑体" w:eastAsia="黑体"/>
          <w:b w:val="0"/>
          <w:color w:val="auto"/>
          <w:highlight w:val="none"/>
        </w:rPr>
        <w:br w:type="page"/>
      </w:r>
    </w:p>
    <w:p>
      <w:pPr>
        <w:kinsoku w:val="0"/>
        <w:overflowPunct w:val="0"/>
        <w:spacing w:line="550" w:lineRule="exact"/>
        <w:jc w:val="center"/>
        <w:rPr>
          <w:rFonts w:eastAsia="方正小标宋简体"/>
          <w:spacing w:val="1"/>
          <w:sz w:val="44"/>
          <w:szCs w:val="44"/>
        </w:rPr>
      </w:pPr>
      <w:r>
        <w:rPr>
          <w:rFonts w:hint="eastAsia" w:eastAsia="方正小标宋简体"/>
          <w:spacing w:val="1"/>
          <w:sz w:val="44"/>
          <w:szCs w:val="44"/>
        </w:rPr>
        <w:t>中共遂宁市安居区委组织部</w:t>
      </w:r>
      <w:r>
        <w:rPr>
          <w:rFonts w:eastAsia="方正小标宋简体"/>
          <w:spacing w:val="1"/>
          <w:sz w:val="44"/>
          <w:szCs w:val="44"/>
        </w:rPr>
        <w:t>项目支出绩效自评报告</w:t>
      </w:r>
    </w:p>
    <w:p>
      <w:pPr>
        <w:tabs>
          <w:tab w:val="left" w:pos="3885"/>
        </w:tabs>
        <w:snapToGrid w:val="0"/>
        <w:spacing w:line="600" w:lineRule="exact"/>
        <w:jc w:val="center"/>
        <w:rPr>
          <w:rFonts w:hAnsi="宋体"/>
          <w:b/>
          <w:bCs/>
          <w:sz w:val="32"/>
          <w:szCs w:val="32"/>
        </w:rPr>
      </w:pPr>
      <w:r>
        <w:rPr>
          <w:rFonts w:hint="eastAsia" w:hAnsi="宋体"/>
          <w:b/>
          <w:bCs/>
          <w:sz w:val="32"/>
          <w:szCs w:val="32"/>
        </w:rPr>
        <w:t>（公务员管理系统建设、组织工作及考察经费）</w:t>
      </w:r>
    </w:p>
    <w:p>
      <w:pPr>
        <w:pStyle w:val="35"/>
        <w:keepNext w:val="0"/>
        <w:keepLines w:val="0"/>
        <w:pageBreakBefore w:val="0"/>
        <w:widowControl w:val="0"/>
        <w:kinsoku/>
        <w:wordWrap/>
        <w:overflowPunct/>
        <w:topLinePunct w:val="0"/>
        <w:autoSpaceDE/>
        <w:autoSpaceDN/>
        <w:bidi w:val="0"/>
        <w:spacing w:line="578" w:lineRule="exact"/>
        <w:ind w:firstLine="640"/>
        <w:jc w:val="center"/>
        <w:textAlignment w:val="auto"/>
        <w:rPr>
          <w:rFonts w:ascii="宋体" w:hAnsi="宋体"/>
          <w:color w:val="auto"/>
          <w:kern w:val="2"/>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78" w:lineRule="exact"/>
        <w:ind w:firstLine="720"/>
        <w:textAlignment w:val="auto"/>
        <w:rPr>
          <w:rFonts w:ascii="黑体" w:hAnsi="宋体" w:eastAsia="黑体"/>
          <w:color w:val="auto"/>
          <w:sz w:val="32"/>
          <w:szCs w:val="32"/>
          <w:highlight w:val="none"/>
          <w:lang w:val="zh-CN"/>
        </w:rPr>
      </w:pPr>
      <w:r>
        <w:rPr>
          <w:rFonts w:hint="eastAsia" w:ascii="黑体" w:hAnsi="宋体" w:eastAsia="黑体"/>
          <w:color w:val="auto"/>
          <w:sz w:val="32"/>
          <w:szCs w:val="32"/>
          <w:highlight w:val="none"/>
        </w:rPr>
        <w:t>一、</w:t>
      </w:r>
      <w:r>
        <w:rPr>
          <w:rFonts w:hint="eastAsia" w:ascii="黑体" w:hAnsi="宋体" w:eastAsia="黑体"/>
          <w:color w:val="auto"/>
          <w:sz w:val="32"/>
          <w:szCs w:val="32"/>
          <w:highlight w:val="none"/>
          <w:lang w:val="zh-CN"/>
        </w:rPr>
        <w:t>项目概况</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（一）项目基本情况。</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1</w:t>
      </w:r>
      <w:r>
        <w:rPr>
          <w:rFonts w:hint="eastAsia" w:ascii="仿宋_GB2312" w:hAnsi="仿宋_GB2312" w:eastAsia="仿宋_GB2312" w:cs="仿宋_GB2312"/>
          <w:color w:val="auto"/>
          <w:kern w:val="0"/>
          <w:sz w:val="32"/>
          <w:szCs w:val="32"/>
          <w:highlight w:val="none"/>
          <w:u w:val="none"/>
          <w:shd w:val="clear" w:color="auto" w:fill="FFFFFF"/>
          <w:lang w:val="en-US" w:eastAsia="zh-CN"/>
        </w:rPr>
        <w:t>.</w:t>
      </w:r>
      <w:r>
        <w:rPr>
          <w:rFonts w:hint="eastAsia" w:ascii="仿宋_GB2312" w:hAnsi="仿宋_GB2312" w:eastAsia="仿宋_GB2312" w:cs="仿宋_GB2312"/>
          <w:color w:val="auto"/>
          <w:kern w:val="0"/>
          <w:sz w:val="32"/>
          <w:szCs w:val="32"/>
          <w:highlight w:val="none"/>
          <w:u w:val="none"/>
          <w:shd w:val="clear" w:color="auto" w:fill="FFFFFF"/>
          <w:lang w:val="zh-CN"/>
        </w:rPr>
        <w:t>说明项目主管部门（单位）在该项目管理中的职能。</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仿宋_GB2312" w:hAnsi="仿宋_GB2312" w:eastAsia="仿宋_GB2312" w:cs="仿宋_GB2312"/>
          <w:color w:val="auto"/>
          <w:kern w:val="0"/>
          <w:sz w:val="32"/>
          <w:szCs w:val="32"/>
          <w:highlight w:val="none"/>
          <w:u w:val="none"/>
          <w:shd w:val="clear" w:color="auto" w:fill="FFFFFF"/>
          <w:lang w:val="en-US" w:eastAsia="zh-CN"/>
        </w:rPr>
      </w:pPr>
      <w:r>
        <w:rPr>
          <w:rFonts w:hint="eastAsia" w:ascii="仿宋_GB2312" w:hAnsi="仿宋_GB2312" w:eastAsia="仿宋_GB2312" w:cs="仿宋_GB2312"/>
          <w:color w:val="auto"/>
          <w:kern w:val="0"/>
          <w:sz w:val="32"/>
          <w:szCs w:val="32"/>
          <w:highlight w:val="none"/>
          <w:u w:val="none"/>
          <w:shd w:val="clear" w:color="auto" w:fill="FFFFFF"/>
          <w:lang w:val="en-US" w:eastAsia="zh-CN"/>
        </w:rPr>
        <w:t>负责管理全区公务员工作。牵头拟订和组织实施公务员管理政策，承担公务员录用、调配、考核、奖惩、培训、监督、工资福利等工作，指导公务员绩效管理工作。</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en-US" w:eastAsia="zh-CN"/>
        </w:rPr>
        <w:t>2.</w:t>
      </w:r>
      <w:r>
        <w:rPr>
          <w:rFonts w:hint="eastAsia" w:ascii="仿宋_GB2312" w:hAnsi="仿宋_GB2312" w:eastAsia="仿宋_GB2312" w:cs="仿宋_GB2312"/>
          <w:color w:val="auto"/>
          <w:kern w:val="0"/>
          <w:sz w:val="32"/>
          <w:szCs w:val="32"/>
          <w:highlight w:val="none"/>
          <w:u w:val="none"/>
          <w:shd w:val="clear" w:color="auto" w:fill="FFFFFF"/>
          <w:lang w:val="zh-CN"/>
        </w:rPr>
        <w:t>项目立项、资金申报的依据。</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en-US" w:eastAsia="zh-CN"/>
        </w:rPr>
        <w:t>严格对照《</w:t>
      </w:r>
      <w:r>
        <w:rPr>
          <w:rFonts w:hint="default" w:ascii="仿宋_GB2312" w:hAnsi="仿宋_GB2312" w:eastAsia="仿宋_GB2312" w:cs="仿宋_GB2312"/>
          <w:color w:val="auto"/>
          <w:kern w:val="0"/>
          <w:sz w:val="32"/>
          <w:szCs w:val="32"/>
          <w:highlight w:val="none"/>
          <w:u w:val="none"/>
          <w:shd w:val="clear" w:color="auto" w:fill="FFFFFF"/>
          <w:lang w:val="en-US" w:eastAsia="zh-CN"/>
        </w:rPr>
        <w:t>2022</w:t>
      </w:r>
      <w:r>
        <w:rPr>
          <w:rFonts w:hint="eastAsia" w:ascii="仿宋_GB2312" w:hAnsi="仿宋_GB2312" w:eastAsia="仿宋_GB2312" w:cs="仿宋_GB2312"/>
          <w:color w:val="auto"/>
          <w:kern w:val="0"/>
          <w:sz w:val="32"/>
          <w:szCs w:val="32"/>
          <w:highlight w:val="none"/>
          <w:u w:val="none"/>
          <w:shd w:val="clear" w:color="auto" w:fill="FFFFFF"/>
          <w:lang w:val="en-US" w:eastAsia="zh-CN"/>
        </w:rPr>
        <w:t>年全区组织工作要点》，始终坚持将贯彻落实《中华人民共和国公务员法》及相关法规作为规范公务员队伍管理、激发公务员工作活力的重要举措，不断提升公务员管理效率。</w:t>
      </w:r>
      <w:r>
        <w:rPr>
          <w:rFonts w:hint="eastAsia" w:ascii="仿宋_GB2312" w:hAnsi="仿宋_GB2312" w:eastAsia="仿宋_GB2312" w:cs="仿宋_GB2312"/>
          <w:color w:val="auto"/>
          <w:kern w:val="0"/>
          <w:sz w:val="32"/>
          <w:szCs w:val="32"/>
          <w:highlight w:val="none"/>
          <w:u w:val="none"/>
          <w:shd w:val="clear" w:color="auto" w:fill="FFFFFF"/>
          <w:lang w:val="zh-CN"/>
        </w:rPr>
        <w:t>组织召开《全区基层党建重点任务暨基层党组织规范化建设工作推进会议》，高位推进全区基层党组织“查问题、补短板、提质效”规范化建设专项行动，以“五清五化”为重点，全面巩固“五个基本”。</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en-US" w:eastAsia="zh-CN"/>
        </w:rPr>
        <w:t>3.</w:t>
      </w:r>
      <w:r>
        <w:rPr>
          <w:rFonts w:hint="eastAsia" w:ascii="仿宋_GB2312" w:hAnsi="仿宋_GB2312" w:eastAsia="仿宋_GB2312" w:cs="仿宋_GB2312"/>
          <w:color w:val="auto"/>
          <w:kern w:val="0"/>
          <w:sz w:val="32"/>
          <w:szCs w:val="32"/>
          <w:highlight w:val="none"/>
          <w:u w:val="none"/>
          <w:shd w:val="clear" w:color="auto" w:fill="FFFFFF"/>
          <w:lang w:val="zh-CN"/>
        </w:rPr>
        <w:t>资金</w:t>
      </w:r>
      <w:r>
        <w:rPr>
          <w:rFonts w:hint="eastAsia" w:ascii="仿宋_GB2312" w:hAnsi="仿宋_GB2312" w:eastAsia="仿宋_GB2312" w:cs="仿宋_GB2312"/>
          <w:color w:val="auto"/>
          <w:kern w:val="0"/>
          <w:sz w:val="32"/>
          <w:szCs w:val="32"/>
          <w:highlight w:val="none"/>
          <w:u w:val="none"/>
          <w:shd w:val="clear" w:color="auto" w:fill="FFFFFF"/>
          <w:lang w:val="en-US" w:eastAsia="zh-CN"/>
        </w:rPr>
        <w:t>或项目</w:t>
      </w:r>
      <w:r>
        <w:rPr>
          <w:rFonts w:hint="eastAsia" w:ascii="仿宋_GB2312" w:hAnsi="仿宋_GB2312" w:eastAsia="仿宋_GB2312" w:cs="仿宋_GB2312"/>
          <w:color w:val="auto"/>
          <w:kern w:val="0"/>
          <w:sz w:val="32"/>
          <w:szCs w:val="32"/>
          <w:highlight w:val="none"/>
          <w:u w:val="none"/>
          <w:shd w:val="clear" w:color="auto" w:fill="FFFFFF"/>
          <w:lang w:val="zh-CN"/>
        </w:rPr>
        <w:t>管理办法制定情况，资金支持具体项目的条件、范围与支持方式概况。</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default" w:ascii="仿宋_GB2312" w:hAnsi="仿宋_GB2312" w:eastAsia="仿宋_GB2312" w:cs="仿宋_GB2312"/>
          <w:color w:val="auto"/>
          <w:kern w:val="0"/>
          <w:sz w:val="32"/>
          <w:szCs w:val="32"/>
          <w:highlight w:val="none"/>
          <w:u w:val="none"/>
          <w:shd w:val="clear" w:color="auto" w:fill="FFFFFF"/>
          <w:lang w:val="en-US" w:eastAsia="zh-CN"/>
        </w:rPr>
      </w:pPr>
      <w:r>
        <w:rPr>
          <w:rFonts w:hint="eastAsia" w:ascii="仿宋_GB2312" w:hAnsi="仿宋_GB2312" w:eastAsia="仿宋_GB2312" w:cs="仿宋_GB2312"/>
          <w:color w:val="auto"/>
          <w:kern w:val="0"/>
          <w:sz w:val="32"/>
          <w:szCs w:val="32"/>
          <w:highlight w:val="none"/>
          <w:u w:val="none"/>
          <w:shd w:val="clear" w:color="auto" w:fill="FFFFFF"/>
          <w:lang w:val="en-US" w:eastAsia="zh-CN"/>
        </w:rPr>
        <w:t>主要用于全区公务员管理系统相关建设及组织工作工作。</w:t>
      </w:r>
      <w:r>
        <w:rPr>
          <w:rFonts w:hint="eastAsia" w:ascii="仿宋_GB2312" w:hAnsi="仿宋_GB2312" w:eastAsia="仿宋_GB2312" w:cs="仿宋_GB2312"/>
          <w:color w:val="auto"/>
          <w:kern w:val="0"/>
          <w:sz w:val="32"/>
          <w:szCs w:val="32"/>
          <w:highlight w:val="none"/>
          <w:u w:val="none"/>
          <w:shd w:val="clear" w:color="auto" w:fill="FFFFFF"/>
          <w:lang w:val="zh-CN"/>
        </w:rPr>
        <w:t>专项经费严格按照专款专用原则，及时通知有关单位提供合法票据，完善报账手续，严格票据审核，规范报账程序，确保资金使用的及时性、规范性，同时财政部门对资金支付严格审核，确保资金使用安全。根据国家财经法规和单位财务管理制度的相关规定以及有关项目资金管理办法的规定支出，做到了资金使用的安全性、规范性，保证资金使用无截留、挤占、挪用、虚列支出等情况。</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Chars="200" w:firstLine="320" w:firstLineChars="1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en-US" w:eastAsia="zh-CN"/>
        </w:rPr>
        <w:t>4.</w:t>
      </w:r>
      <w:r>
        <w:rPr>
          <w:rFonts w:hint="eastAsia" w:ascii="仿宋_GB2312" w:hAnsi="仿宋_GB2312" w:eastAsia="仿宋_GB2312" w:cs="仿宋_GB2312"/>
          <w:color w:val="auto"/>
          <w:kern w:val="0"/>
          <w:sz w:val="32"/>
          <w:szCs w:val="32"/>
          <w:highlight w:val="none"/>
          <w:u w:val="none"/>
          <w:shd w:val="clear" w:color="auto" w:fill="FFFFFF"/>
          <w:lang w:val="zh-CN"/>
        </w:rPr>
        <w:t>资金分配的原则及考虑因素。</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en-US" w:eastAsia="zh-CN"/>
        </w:rPr>
        <w:t>保障</w:t>
      </w:r>
      <w:r>
        <w:rPr>
          <w:rFonts w:hint="default" w:ascii="仿宋_GB2312" w:hAnsi="仿宋_GB2312" w:eastAsia="仿宋_GB2312" w:cs="仿宋_GB2312"/>
          <w:color w:val="auto"/>
          <w:kern w:val="0"/>
          <w:sz w:val="32"/>
          <w:szCs w:val="32"/>
          <w:highlight w:val="none"/>
          <w:u w:val="none"/>
          <w:shd w:val="clear" w:color="auto" w:fill="FFFFFF"/>
          <w:lang w:val="en-US" w:eastAsia="zh-CN"/>
        </w:rPr>
        <w:t>做好公务员招录工作</w:t>
      </w:r>
      <w:r>
        <w:rPr>
          <w:rFonts w:hint="eastAsia" w:ascii="仿宋_GB2312" w:hAnsi="仿宋_GB2312" w:eastAsia="仿宋_GB2312" w:cs="仿宋_GB2312"/>
          <w:color w:val="auto"/>
          <w:kern w:val="0"/>
          <w:sz w:val="32"/>
          <w:szCs w:val="32"/>
          <w:highlight w:val="none"/>
          <w:u w:val="none"/>
          <w:shd w:val="clear" w:color="auto" w:fill="FFFFFF"/>
          <w:lang w:val="en-US" w:eastAsia="zh-CN"/>
        </w:rPr>
        <w:t>、</w:t>
      </w:r>
      <w:r>
        <w:rPr>
          <w:rFonts w:hint="default" w:ascii="仿宋_GB2312" w:hAnsi="仿宋_GB2312" w:eastAsia="仿宋_GB2312" w:cs="仿宋_GB2312"/>
          <w:color w:val="auto"/>
          <w:kern w:val="0"/>
          <w:sz w:val="32"/>
          <w:szCs w:val="32"/>
          <w:highlight w:val="none"/>
          <w:u w:val="none"/>
          <w:shd w:val="clear" w:color="auto" w:fill="FFFFFF"/>
          <w:lang w:val="en-US" w:eastAsia="zh-CN"/>
        </w:rPr>
        <w:t>规范开展公务员转任工作</w:t>
      </w:r>
      <w:r>
        <w:rPr>
          <w:rFonts w:hint="eastAsia" w:ascii="仿宋_GB2312" w:hAnsi="仿宋_GB2312" w:eastAsia="仿宋_GB2312" w:cs="仿宋_GB2312"/>
          <w:color w:val="auto"/>
          <w:kern w:val="0"/>
          <w:sz w:val="32"/>
          <w:szCs w:val="32"/>
          <w:highlight w:val="none"/>
          <w:u w:val="none"/>
          <w:shd w:val="clear" w:color="auto" w:fill="FFFFFF"/>
          <w:lang w:val="en-US" w:eastAsia="zh-CN"/>
        </w:rPr>
        <w:t>、</w:t>
      </w:r>
      <w:r>
        <w:rPr>
          <w:rFonts w:hint="default" w:ascii="仿宋_GB2312" w:hAnsi="仿宋_GB2312" w:eastAsia="仿宋_GB2312" w:cs="仿宋_GB2312"/>
          <w:color w:val="auto"/>
          <w:kern w:val="0"/>
          <w:sz w:val="32"/>
          <w:szCs w:val="32"/>
          <w:highlight w:val="none"/>
          <w:u w:val="none"/>
          <w:shd w:val="clear" w:color="auto" w:fill="FFFFFF"/>
          <w:lang w:val="en-US" w:eastAsia="zh-CN"/>
        </w:rPr>
        <w:t>有序完成行政执法类公务员入轨工作</w:t>
      </w:r>
      <w:r>
        <w:rPr>
          <w:rFonts w:hint="eastAsia" w:ascii="仿宋_GB2312" w:hAnsi="仿宋_GB2312" w:eastAsia="仿宋_GB2312" w:cs="仿宋_GB2312"/>
          <w:color w:val="auto"/>
          <w:kern w:val="0"/>
          <w:sz w:val="32"/>
          <w:szCs w:val="32"/>
          <w:highlight w:val="none"/>
          <w:u w:val="none"/>
          <w:shd w:val="clear" w:color="auto" w:fill="FFFFFF"/>
          <w:lang w:val="en-US" w:eastAsia="zh-CN"/>
        </w:rPr>
        <w:t>、</w:t>
      </w:r>
      <w:r>
        <w:rPr>
          <w:rFonts w:hint="default" w:ascii="仿宋_GB2312" w:hAnsi="仿宋_GB2312" w:eastAsia="仿宋_GB2312" w:cs="仿宋_GB2312"/>
          <w:color w:val="auto"/>
          <w:kern w:val="0"/>
          <w:sz w:val="32"/>
          <w:szCs w:val="32"/>
          <w:highlight w:val="none"/>
          <w:u w:val="none"/>
          <w:shd w:val="clear" w:color="auto" w:fill="FFFFFF"/>
          <w:lang w:val="en-US" w:eastAsia="zh-CN"/>
        </w:rPr>
        <w:t>常态开展职级晋升工作</w:t>
      </w:r>
      <w:r>
        <w:rPr>
          <w:rFonts w:hint="eastAsia" w:ascii="仿宋_GB2312" w:hAnsi="仿宋_GB2312" w:eastAsia="仿宋_GB2312" w:cs="仿宋_GB2312"/>
          <w:color w:val="auto"/>
          <w:kern w:val="0"/>
          <w:sz w:val="32"/>
          <w:szCs w:val="32"/>
          <w:highlight w:val="none"/>
          <w:u w:val="none"/>
          <w:shd w:val="clear" w:color="auto" w:fill="FFFFFF"/>
          <w:lang w:val="en-US" w:eastAsia="zh-CN"/>
        </w:rPr>
        <w:t>、</w:t>
      </w:r>
      <w:r>
        <w:rPr>
          <w:rFonts w:hint="default" w:ascii="仿宋_GB2312" w:hAnsi="仿宋_GB2312" w:eastAsia="仿宋_GB2312" w:cs="仿宋_GB2312"/>
          <w:color w:val="auto"/>
          <w:kern w:val="0"/>
          <w:sz w:val="32"/>
          <w:szCs w:val="32"/>
          <w:highlight w:val="none"/>
          <w:u w:val="none"/>
          <w:shd w:val="clear" w:color="auto" w:fill="FFFFFF"/>
          <w:lang w:val="en-US" w:eastAsia="zh-CN"/>
        </w:rPr>
        <w:t>适时开展公务员奖励工作</w:t>
      </w:r>
      <w:r>
        <w:rPr>
          <w:rFonts w:hint="eastAsia" w:ascii="仿宋_GB2312" w:hAnsi="仿宋_GB2312" w:eastAsia="仿宋_GB2312" w:cs="仿宋_GB2312"/>
          <w:color w:val="auto"/>
          <w:kern w:val="0"/>
          <w:sz w:val="32"/>
          <w:szCs w:val="32"/>
          <w:highlight w:val="none"/>
          <w:u w:val="none"/>
          <w:shd w:val="clear" w:color="auto" w:fill="FFFFFF"/>
          <w:lang w:val="en-US" w:eastAsia="zh-CN"/>
        </w:rPr>
        <w:t>、</w:t>
      </w:r>
      <w:r>
        <w:rPr>
          <w:rFonts w:hint="default" w:ascii="仿宋_GB2312" w:hAnsi="仿宋_GB2312" w:eastAsia="仿宋_GB2312" w:cs="仿宋_GB2312"/>
          <w:color w:val="auto"/>
          <w:kern w:val="0"/>
          <w:sz w:val="32"/>
          <w:szCs w:val="32"/>
          <w:highlight w:val="none"/>
          <w:u w:val="none"/>
          <w:shd w:val="clear" w:color="auto" w:fill="FFFFFF"/>
          <w:lang w:val="en-US" w:eastAsia="zh-CN"/>
        </w:rPr>
        <w:t>积极开展“琼江菁英”培养行动。</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（二）项目绩效目标。</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1</w:t>
      </w:r>
      <w:r>
        <w:rPr>
          <w:rFonts w:hint="eastAsia" w:ascii="仿宋_GB2312" w:hAnsi="仿宋_GB2312" w:eastAsia="仿宋_GB2312" w:cs="仿宋_GB2312"/>
          <w:color w:val="auto"/>
          <w:kern w:val="0"/>
          <w:sz w:val="32"/>
          <w:szCs w:val="32"/>
          <w:highlight w:val="none"/>
          <w:u w:val="none"/>
          <w:shd w:val="clear" w:color="auto" w:fill="FFFFFF"/>
          <w:lang w:val="en-US" w:eastAsia="zh-CN"/>
        </w:rPr>
        <w:t>.</w:t>
      </w:r>
      <w:r>
        <w:rPr>
          <w:rFonts w:hint="eastAsia" w:ascii="仿宋_GB2312" w:hAnsi="仿宋_GB2312" w:eastAsia="仿宋_GB2312" w:cs="仿宋_GB2312"/>
          <w:color w:val="auto"/>
          <w:kern w:val="0"/>
          <w:sz w:val="32"/>
          <w:szCs w:val="32"/>
          <w:highlight w:val="none"/>
          <w:u w:val="none"/>
          <w:shd w:val="clear" w:color="auto" w:fill="FFFFFF"/>
          <w:lang w:val="zh-CN"/>
        </w:rPr>
        <w:t>项目主要内容。</w:t>
      </w:r>
    </w:p>
    <w:p>
      <w:pPr>
        <w:adjustRightInd w:val="0"/>
        <w:snapToGrid w:val="0"/>
        <w:spacing w:line="600" w:lineRule="exact"/>
        <w:ind w:firstLine="480" w:firstLineChars="150"/>
        <w:rPr>
          <w:rFonts w:hint="eastAsia" w:ascii="仿宋_GB2312" w:hAnsi="宋体" w:eastAsia="仿宋_GB2312"/>
          <w:sz w:val="32"/>
          <w:szCs w:val="32"/>
          <w:highlight w:val="none"/>
          <w:lang w:val="en-US" w:eastAsia="zh-CN"/>
        </w:rPr>
      </w:pPr>
      <w:r>
        <w:rPr>
          <w:rFonts w:hint="eastAsia" w:ascii="仿宋_GB2312" w:hAnsi="宋体" w:eastAsia="仿宋_GB2312"/>
          <w:sz w:val="32"/>
          <w:szCs w:val="32"/>
          <w:highlight w:val="none"/>
          <w:lang w:val="en-US" w:eastAsia="zh-CN"/>
        </w:rPr>
        <w:t>主要用于全区公务员管理系统相关建设及</w:t>
      </w:r>
      <w:r>
        <w:rPr>
          <w:rFonts w:hint="eastAsia" w:ascii="仿宋_GB2312" w:hAnsi="宋体" w:eastAsia="仿宋_GB2312"/>
          <w:sz w:val="32"/>
          <w:szCs w:val="32"/>
          <w:highlight w:val="none"/>
        </w:rPr>
        <w:t>组织工作</w:t>
      </w:r>
      <w:r>
        <w:rPr>
          <w:rFonts w:hint="eastAsia" w:ascii="仿宋_GB2312" w:hAnsi="宋体" w:eastAsia="仿宋_GB2312"/>
          <w:sz w:val="32"/>
          <w:szCs w:val="32"/>
          <w:highlight w:val="none"/>
          <w:lang w:val="en-US" w:eastAsia="zh-CN"/>
        </w:rPr>
        <w:t>工作。</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仿宋_GB2312" w:hAnsi="仿宋_GB2312" w:eastAsia="仿宋_GB2312" w:cs="仿宋_GB2312"/>
          <w:color w:val="auto"/>
          <w:kern w:val="0"/>
          <w:sz w:val="32"/>
          <w:szCs w:val="32"/>
          <w:highlight w:val="none"/>
          <w:u w:val="none"/>
          <w:shd w:val="clear" w:color="auto" w:fill="FFFFFF"/>
          <w:lang w:val="zh-CN" w:eastAsia="zh-CN"/>
        </w:rPr>
      </w:pPr>
      <w:r>
        <w:rPr>
          <w:rFonts w:hint="eastAsia" w:ascii="仿宋_GB2312" w:hAnsi="仿宋_GB2312" w:eastAsia="仿宋_GB2312" w:cs="仿宋_GB2312"/>
          <w:color w:val="auto"/>
          <w:kern w:val="0"/>
          <w:sz w:val="32"/>
          <w:szCs w:val="32"/>
          <w:highlight w:val="none"/>
          <w:u w:val="none"/>
          <w:shd w:val="clear" w:color="auto" w:fill="FFFFFF"/>
          <w:lang w:val="en-US" w:eastAsia="zh-CN"/>
        </w:rPr>
        <w:t>2.</w:t>
      </w:r>
      <w:r>
        <w:rPr>
          <w:rFonts w:hint="eastAsia" w:ascii="仿宋_GB2312" w:hAnsi="仿宋_GB2312" w:eastAsia="仿宋_GB2312" w:cs="仿宋_GB2312"/>
          <w:color w:val="auto"/>
          <w:kern w:val="0"/>
          <w:sz w:val="32"/>
          <w:szCs w:val="32"/>
          <w:highlight w:val="none"/>
          <w:u w:val="none"/>
          <w:shd w:val="clear" w:color="auto" w:fill="FFFFFF"/>
          <w:lang w:val="zh-CN" w:eastAsia="zh-CN"/>
        </w:rPr>
        <w:t>项目应实现的具体绩效目标，</w:t>
      </w:r>
      <w:r>
        <w:rPr>
          <w:rFonts w:hint="eastAsia" w:ascii="仿宋_GB2312" w:hAnsi="仿宋_GB2312" w:eastAsia="仿宋_GB2312" w:cs="仿宋_GB2312"/>
          <w:color w:val="auto"/>
          <w:kern w:val="0"/>
          <w:sz w:val="32"/>
          <w:szCs w:val="32"/>
          <w:highlight w:val="none"/>
          <w:u w:val="none"/>
          <w:shd w:val="clear" w:color="auto" w:fill="FFFFFF"/>
          <w:lang w:val="en-US" w:eastAsia="zh-CN"/>
        </w:rPr>
        <w:t>包括但不限于：绩效</w:t>
      </w:r>
      <w:r>
        <w:rPr>
          <w:rFonts w:hint="eastAsia" w:ascii="仿宋_GB2312" w:hAnsi="仿宋_GB2312" w:eastAsia="仿宋_GB2312" w:cs="仿宋_GB2312"/>
          <w:color w:val="auto"/>
          <w:kern w:val="0"/>
          <w:sz w:val="32"/>
          <w:szCs w:val="32"/>
          <w:highlight w:val="none"/>
          <w:u w:val="none"/>
          <w:shd w:val="clear" w:color="auto" w:fill="FFFFFF"/>
          <w:lang w:val="zh-CN" w:eastAsia="zh-CN"/>
        </w:rPr>
        <w:t>目标的量化细化情况、项目实施进度计划等。</w:t>
      </w:r>
    </w:p>
    <w:p>
      <w:pPr>
        <w:adjustRightInd w:val="0"/>
        <w:snapToGrid w:val="0"/>
        <w:spacing w:line="600" w:lineRule="exact"/>
        <w:ind w:firstLine="480" w:firstLineChars="150"/>
        <w:rPr>
          <w:rFonts w:ascii="仿宋_GB2312" w:hAnsi="宋体" w:eastAsia="仿宋_GB2312"/>
          <w:sz w:val="32"/>
          <w:szCs w:val="32"/>
          <w:highlight w:val="none"/>
        </w:rPr>
      </w:pPr>
      <w:r>
        <w:rPr>
          <w:rFonts w:hint="eastAsia" w:ascii="仿宋_GB2312" w:hAnsi="宋体" w:eastAsia="仿宋_GB2312"/>
          <w:sz w:val="32"/>
          <w:szCs w:val="32"/>
          <w:highlight w:val="none"/>
        </w:rPr>
        <w:t>（1）数量指标：</w:t>
      </w:r>
      <w:r>
        <w:rPr>
          <w:rFonts w:hint="eastAsia" w:ascii="仿宋_GB2312" w:hAnsi="宋体" w:eastAsia="仿宋_GB2312"/>
          <w:sz w:val="32"/>
          <w:szCs w:val="32"/>
          <w:highlight w:val="none"/>
          <w:lang w:val="en-US" w:eastAsia="zh-CN"/>
        </w:rPr>
        <w:t>建设维护公务员管理系统1个</w:t>
      </w:r>
      <w:r>
        <w:rPr>
          <w:rFonts w:hint="eastAsia" w:ascii="仿宋_GB2312" w:hAnsi="宋体" w:eastAsia="仿宋_GB2312"/>
          <w:sz w:val="32"/>
          <w:szCs w:val="32"/>
          <w:highlight w:val="none"/>
          <w:lang w:eastAsia="zh-CN"/>
        </w:rPr>
        <w:t>。</w:t>
      </w:r>
    </w:p>
    <w:p>
      <w:pPr>
        <w:adjustRightInd w:val="0"/>
        <w:snapToGrid w:val="0"/>
        <w:spacing w:line="600" w:lineRule="exact"/>
        <w:ind w:firstLine="480" w:firstLineChars="150"/>
        <w:rPr>
          <w:rFonts w:ascii="仿宋_GB2312" w:hAnsi="宋体" w:eastAsia="仿宋_GB2312"/>
          <w:sz w:val="32"/>
          <w:szCs w:val="32"/>
        </w:rPr>
      </w:pPr>
      <w:r>
        <w:rPr>
          <w:rFonts w:hint="eastAsia" w:ascii="仿宋_GB2312" w:hAnsi="宋体" w:eastAsia="仿宋_GB2312"/>
          <w:sz w:val="32"/>
          <w:szCs w:val="32"/>
          <w:highlight w:val="none"/>
        </w:rPr>
        <w:t>（2）</w:t>
      </w:r>
      <w:r>
        <w:rPr>
          <w:rFonts w:hint="eastAsia" w:ascii="仿宋_GB2312" w:hAnsi="宋体" w:eastAsia="仿宋_GB2312"/>
          <w:color w:val="auto"/>
          <w:sz w:val="32"/>
          <w:szCs w:val="32"/>
          <w:highlight w:val="none"/>
        </w:rPr>
        <w:t>满</w:t>
      </w:r>
      <w:r>
        <w:rPr>
          <w:rFonts w:hint="eastAsia" w:ascii="仿宋_GB2312" w:hAnsi="宋体" w:eastAsia="仿宋_GB2312"/>
          <w:color w:val="auto"/>
          <w:sz w:val="32"/>
          <w:szCs w:val="32"/>
        </w:rPr>
        <w:t>意度指标：全区公务员满意度得到不断提升。</w:t>
      </w:r>
    </w:p>
    <w:p>
      <w:pPr>
        <w:adjustRightInd w:val="0"/>
        <w:snapToGrid w:val="0"/>
        <w:spacing w:line="600" w:lineRule="exact"/>
        <w:ind w:firstLine="480" w:firstLineChars="150"/>
        <w:rPr>
          <w:rFonts w:hint="eastAsia" w:ascii="仿宋_GB2312" w:hAnsi="仿宋_GB2312" w:cs="仿宋_GB2312"/>
          <w:szCs w:val="21"/>
          <w:lang w:val="en-US" w:eastAsia="zh-CN"/>
        </w:rPr>
      </w:pPr>
      <w:r>
        <w:rPr>
          <w:rFonts w:hint="eastAsia" w:ascii="仿宋_GB2312" w:hAnsi="宋体" w:eastAsia="仿宋_GB2312"/>
          <w:color w:val="auto"/>
          <w:sz w:val="32"/>
          <w:szCs w:val="32"/>
        </w:rPr>
        <w:t>（</w:t>
      </w:r>
      <w:r>
        <w:rPr>
          <w:rFonts w:hint="eastAsia" w:ascii="仿宋_GB2312" w:hAnsi="宋体" w:eastAsia="仿宋_GB2312"/>
          <w:color w:val="auto"/>
          <w:sz w:val="32"/>
          <w:szCs w:val="32"/>
          <w:lang w:val="en-US" w:eastAsia="zh-CN"/>
        </w:rPr>
        <w:t>3</w:t>
      </w:r>
      <w:r>
        <w:rPr>
          <w:rFonts w:hint="eastAsia" w:ascii="仿宋_GB2312" w:hAnsi="宋体" w:eastAsia="仿宋_GB2312"/>
          <w:color w:val="auto"/>
          <w:sz w:val="32"/>
          <w:szCs w:val="32"/>
        </w:rPr>
        <w:t>）</w:t>
      </w:r>
      <w:r>
        <w:rPr>
          <w:rFonts w:hint="eastAsia" w:ascii="仿宋_GB2312" w:hAnsi="宋体" w:eastAsia="仿宋_GB2312"/>
          <w:color w:val="auto"/>
          <w:sz w:val="32"/>
          <w:szCs w:val="32"/>
          <w:lang w:val="en-US" w:eastAsia="zh-CN"/>
        </w:rPr>
        <w:t>社会效益指标</w:t>
      </w:r>
      <w:r>
        <w:rPr>
          <w:rFonts w:hint="eastAsia" w:ascii="仿宋_GB2312" w:hAnsi="仿宋_GB2312" w:eastAsia="仿宋_GB2312" w:cs="仿宋_GB2312"/>
          <w:color w:val="auto"/>
          <w:kern w:val="0"/>
          <w:sz w:val="32"/>
          <w:szCs w:val="32"/>
          <w:highlight w:val="none"/>
          <w:u w:val="none"/>
          <w:shd w:val="clear" w:color="auto" w:fill="FFFFFF"/>
          <w:lang w:val="en-US" w:eastAsia="zh-CN"/>
        </w:rPr>
        <w:t>：解决我县部分单位人手不足问题，充实公务员队伍，为我县高素质专业化公务员队伍建设注入新鲜血液。</w:t>
      </w:r>
    </w:p>
    <w:p>
      <w:pPr>
        <w:adjustRightInd w:val="0"/>
        <w:snapToGrid w:val="0"/>
        <w:spacing w:line="600" w:lineRule="exact"/>
        <w:ind w:firstLine="480" w:firstLineChars="150"/>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宋体" w:eastAsia="仿宋_GB2312"/>
          <w:color w:val="auto"/>
          <w:sz w:val="32"/>
          <w:szCs w:val="32"/>
          <w:lang w:val="zh-CN"/>
        </w:rPr>
        <w:t>3．分析评价申报内容</w:t>
      </w:r>
      <w:r>
        <w:rPr>
          <w:rFonts w:hint="eastAsia" w:ascii="仿宋_GB2312" w:hAnsi="仿宋_GB2312" w:eastAsia="仿宋_GB2312" w:cs="仿宋_GB2312"/>
          <w:color w:val="auto"/>
          <w:kern w:val="0"/>
          <w:sz w:val="32"/>
          <w:szCs w:val="32"/>
          <w:highlight w:val="none"/>
          <w:u w:val="none"/>
          <w:shd w:val="clear" w:color="auto" w:fill="FFFFFF"/>
          <w:lang w:val="zh-CN"/>
        </w:rPr>
        <w:t>是否与实际相符，申报目标是否合理可行。</w:t>
      </w:r>
    </w:p>
    <w:p>
      <w:pPr>
        <w:adjustRightInd w:val="0"/>
        <w:snapToGrid w:val="0"/>
        <w:spacing w:line="600" w:lineRule="exact"/>
        <w:ind w:firstLine="480" w:firstLineChars="150"/>
        <w:rPr>
          <w:rFonts w:hint="eastAsia" w:ascii="仿宋_GB2312" w:hAnsi="宋体" w:eastAsia="仿宋_GB2312"/>
          <w:sz w:val="32"/>
          <w:szCs w:val="32"/>
          <w:highlight w:val="none"/>
          <w:lang w:val="zh-CN" w:eastAsia="zh-CN"/>
        </w:rPr>
      </w:pPr>
      <w:r>
        <w:rPr>
          <w:rFonts w:hint="eastAsia" w:ascii="仿宋_GB2312" w:hAnsi="宋体" w:eastAsia="仿宋_GB2312"/>
          <w:sz w:val="32"/>
          <w:szCs w:val="32"/>
          <w:highlight w:val="none"/>
          <w:lang w:val="zh-CN" w:eastAsia="zh-CN"/>
        </w:rPr>
        <w:t>项目申报内容与具体实施内容相符、申报目标合理可行。项目实施进度如期完成，计划实现的具体绩效目标达到100%，项目实施进度计划达到100%。</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（三）项目自评步骤及方法。</w:t>
      </w:r>
    </w:p>
    <w:p>
      <w:pPr>
        <w:adjustRightInd w:val="0"/>
        <w:snapToGrid w:val="0"/>
        <w:spacing w:line="600" w:lineRule="exact"/>
        <w:ind w:firstLine="480" w:firstLineChars="150"/>
        <w:rPr>
          <w:rFonts w:hint="default" w:ascii="仿宋_GB2312" w:hAnsi="宋体" w:eastAsia="仿宋_GB2312"/>
          <w:sz w:val="32"/>
          <w:szCs w:val="32"/>
          <w:highlight w:val="none"/>
          <w:lang w:val="zh-CN" w:eastAsia="zh-CN"/>
        </w:rPr>
      </w:pPr>
      <w:r>
        <w:rPr>
          <w:rFonts w:hint="default" w:ascii="仿宋_GB2312" w:hAnsi="宋体" w:eastAsia="仿宋_GB2312"/>
          <w:sz w:val="32"/>
          <w:szCs w:val="32"/>
          <w:highlight w:val="none"/>
          <w:lang w:val="en-US" w:eastAsia="zh-CN"/>
        </w:rPr>
        <w:t>部</w:t>
      </w:r>
      <w:r>
        <w:rPr>
          <w:rFonts w:hint="default" w:ascii="仿宋_GB2312" w:hAnsi="宋体" w:eastAsia="仿宋_GB2312"/>
          <w:sz w:val="32"/>
          <w:szCs w:val="32"/>
          <w:highlight w:val="none"/>
          <w:lang w:val="zh-CN" w:eastAsia="zh-CN"/>
        </w:rPr>
        <w:t>领导高度重视202</w:t>
      </w:r>
      <w:r>
        <w:rPr>
          <w:rFonts w:hint="eastAsia" w:ascii="仿宋_GB2312" w:hAnsi="宋体" w:eastAsia="仿宋_GB2312"/>
          <w:sz w:val="32"/>
          <w:szCs w:val="32"/>
          <w:highlight w:val="none"/>
          <w:lang w:val="en-US" w:eastAsia="zh-CN"/>
        </w:rPr>
        <w:t>2</w:t>
      </w:r>
      <w:r>
        <w:rPr>
          <w:rFonts w:hint="default" w:ascii="仿宋_GB2312" w:hAnsi="宋体" w:eastAsia="仿宋_GB2312"/>
          <w:sz w:val="32"/>
          <w:szCs w:val="32"/>
          <w:highlight w:val="none"/>
          <w:lang w:val="zh-CN" w:eastAsia="zh-CN"/>
        </w:rPr>
        <w:t>年度部门预算项目支出绩效自评工作，要求各分管领导具体负责，按照通知要求，积极开展自评工作，认真填报项目支出绩效自评表。同时，成立部门预算项目支出绩效自评工作组，对本单位项目的绩效自评结果进行审核。</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黑体" w:hAnsi="宋体" w:eastAsia="黑体"/>
          <w:color w:val="auto"/>
          <w:sz w:val="32"/>
          <w:szCs w:val="32"/>
          <w:highlight w:val="none"/>
          <w:u w:val="none"/>
        </w:rPr>
      </w:pPr>
      <w:r>
        <w:rPr>
          <w:rFonts w:hint="eastAsia" w:ascii="黑体" w:hAnsi="宋体" w:eastAsia="黑体"/>
          <w:color w:val="auto"/>
          <w:sz w:val="32"/>
          <w:szCs w:val="32"/>
          <w:highlight w:val="none"/>
          <w:u w:val="none"/>
        </w:rPr>
        <w:t>二、项目资金申报及使用情况</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（一）项目资金申报及批复情况。</w:t>
      </w:r>
    </w:p>
    <w:p>
      <w:pPr>
        <w:adjustRightInd w:val="0"/>
        <w:snapToGrid w:val="0"/>
        <w:spacing w:line="600" w:lineRule="exact"/>
        <w:ind w:firstLine="480" w:firstLineChars="150"/>
        <w:rPr>
          <w:rFonts w:hint="eastAsia" w:ascii="仿宋_GB2312" w:hAnsi="宋体" w:eastAsia="仿宋_GB2312"/>
          <w:sz w:val="32"/>
          <w:szCs w:val="32"/>
          <w:highlight w:val="none"/>
          <w:lang w:val="zh-CN" w:eastAsia="zh-CN"/>
        </w:rPr>
      </w:pPr>
      <w:r>
        <w:rPr>
          <w:rFonts w:hint="eastAsia" w:ascii="仿宋_GB2312" w:hAnsi="宋体" w:eastAsia="仿宋_GB2312"/>
          <w:sz w:val="32"/>
          <w:szCs w:val="32"/>
          <w:highlight w:val="none"/>
          <w:lang w:val="zh-CN" w:eastAsia="zh-CN"/>
        </w:rPr>
        <w:t>我单位根据年度公务员管理任务申请立项，通过审议批准后，纳入年初本级预算，预算金额</w:t>
      </w:r>
      <w:r>
        <w:rPr>
          <w:rFonts w:hint="eastAsia" w:ascii="仿宋_GB2312" w:hAnsi="宋体" w:eastAsia="仿宋_GB2312"/>
          <w:sz w:val="32"/>
          <w:szCs w:val="32"/>
          <w:highlight w:val="none"/>
          <w:lang w:val="en-US" w:eastAsia="zh-CN"/>
        </w:rPr>
        <w:t>30.00</w:t>
      </w:r>
      <w:r>
        <w:rPr>
          <w:rFonts w:hint="eastAsia" w:ascii="仿宋_GB2312" w:hAnsi="宋体" w:eastAsia="仿宋_GB2312"/>
          <w:sz w:val="32"/>
          <w:szCs w:val="32"/>
          <w:highlight w:val="none"/>
          <w:lang w:val="zh-CN" w:eastAsia="zh-CN"/>
        </w:rPr>
        <w:t>万元，预算批复</w:t>
      </w:r>
      <w:r>
        <w:rPr>
          <w:rFonts w:hint="eastAsia" w:ascii="仿宋_GB2312" w:hAnsi="宋体" w:eastAsia="仿宋_GB2312"/>
          <w:sz w:val="32"/>
          <w:szCs w:val="32"/>
          <w:highlight w:val="none"/>
          <w:lang w:val="en-US" w:eastAsia="zh-CN"/>
        </w:rPr>
        <w:t>30.00</w:t>
      </w:r>
      <w:r>
        <w:rPr>
          <w:rFonts w:hint="eastAsia" w:ascii="仿宋_GB2312" w:hAnsi="宋体" w:eastAsia="仿宋_GB2312"/>
          <w:sz w:val="32"/>
          <w:szCs w:val="32"/>
          <w:highlight w:val="none"/>
          <w:lang w:val="zh-CN" w:eastAsia="zh-CN"/>
        </w:rPr>
        <w:t>万元。项目开展后，我单位在预算一体化系统中申请使用资金并向财政局归口股室递交项目专项资金申请表提交申请，国库等业务股室审核通过后，指标下达到本单位，本单位再按经费实际开支情况，据实报销资金。</w:t>
      </w:r>
    </w:p>
    <w:p>
      <w:pPr>
        <w:keepNext w:val="0"/>
        <w:keepLines w:val="0"/>
        <w:pageBreakBefore w:val="0"/>
        <w:kinsoku/>
        <w:wordWrap/>
        <w:overflowPunct/>
        <w:topLinePunct w:val="0"/>
        <w:autoSpaceDE/>
        <w:autoSpaceDN/>
        <w:bidi w:val="0"/>
        <w:adjustRightInd w:val="0"/>
        <w:snapToGrid w:val="0"/>
        <w:spacing w:line="578" w:lineRule="exact"/>
        <w:ind w:firstLine="643" w:firstLineChars="200"/>
        <w:textAlignment w:val="auto"/>
        <w:rPr>
          <w:rFonts w:ascii="仿宋_GB2312" w:hAnsi="宋体"/>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（二）资金计划、到位及使用情况（可用表格形式反映）。</w:t>
      </w:r>
    </w:p>
    <w:p>
      <w:pPr>
        <w:adjustRightInd w:val="0"/>
        <w:snapToGrid w:val="0"/>
        <w:spacing w:line="600" w:lineRule="exact"/>
        <w:ind w:firstLine="480" w:firstLineChars="150"/>
        <w:rPr>
          <w:rFonts w:hint="eastAsia" w:ascii="仿宋_GB2312" w:hAnsi="宋体" w:eastAsia="仿宋_GB2312"/>
          <w:sz w:val="32"/>
          <w:szCs w:val="32"/>
          <w:highlight w:val="none"/>
          <w:lang w:val="zh-CN" w:eastAsia="zh-CN"/>
        </w:rPr>
      </w:pPr>
      <w:r>
        <w:rPr>
          <w:rFonts w:hint="eastAsia" w:ascii="仿宋_GB2312" w:hAnsi="宋体" w:eastAsia="仿宋_GB2312"/>
          <w:sz w:val="32"/>
          <w:szCs w:val="32"/>
          <w:highlight w:val="none"/>
          <w:lang w:val="en-US" w:eastAsia="zh-CN"/>
        </w:rPr>
        <w:t>1.</w:t>
      </w:r>
      <w:r>
        <w:rPr>
          <w:rFonts w:hint="eastAsia" w:ascii="仿宋_GB2312" w:hAnsi="宋体" w:eastAsia="仿宋_GB2312"/>
          <w:sz w:val="32"/>
          <w:szCs w:val="32"/>
          <w:highlight w:val="none"/>
          <w:lang w:val="zh-CN" w:eastAsia="zh-CN"/>
        </w:rPr>
        <w:t>资金计划。</w:t>
      </w:r>
    </w:p>
    <w:p>
      <w:pPr>
        <w:adjustRightInd w:val="0"/>
        <w:snapToGrid w:val="0"/>
        <w:spacing w:line="600" w:lineRule="exact"/>
        <w:ind w:firstLine="480" w:firstLineChars="150"/>
        <w:rPr>
          <w:rFonts w:hint="eastAsia" w:ascii="仿宋_GB2312" w:hAnsi="宋体" w:eastAsia="仿宋_GB2312"/>
          <w:sz w:val="32"/>
          <w:szCs w:val="32"/>
          <w:highlight w:val="none"/>
          <w:lang w:val="zh-CN" w:eastAsia="zh-CN"/>
        </w:rPr>
      </w:pPr>
      <w:r>
        <w:rPr>
          <w:rFonts w:hint="eastAsia" w:ascii="仿宋_GB2312" w:hAnsi="宋体" w:eastAsia="仿宋_GB2312"/>
          <w:sz w:val="32"/>
          <w:szCs w:val="32"/>
          <w:highlight w:val="none"/>
          <w:lang w:val="zh-CN" w:eastAsia="zh-CN"/>
        </w:rPr>
        <w:t>专项项目资金源于年初财政拨款预算，由区财政局统一批复，202</w:t>
      </w:r>
      <w:r>
        <w:rPr>
          <w:rFonts w:hint="eastAsia" w:ascii="仿宋_GB2312" w:hAnsi="宋体" w:eastAsia="仿宋_GB2312"/>
          <w:sz w:val="32"/>
          <w:szCs w:val="32"/>
          <w:highlight w:val="none"/>
          <w:lang w:val="en-US" w:eastAsia="zh-CN"/>
        </w:rPr>
        <w:t>2</w:t>
      </w:r>
      <w:r>
        <w:rPr>
          <w:rFonts w:hint="eastAsia" w:ascii="仿宋_GB2312" w:hAnsi="宋体" w:eastAsia="仿宋_GB2312"/>
          <w:sz w:val="32"/>
          <w:szCs w:val="32"/>
          <w:highlight w:val="none"/>
          <w:lang w:val="zh-CN" w:eastAsia="zh-CN"/>
        </w:rPr>
        <w:t>年年初预算</w:t>
      </w:r>
      <w:r>
        <w:rPr>
          <w:rFonts w:hint="eastAsia" w:ascii="仿宋_GB2312" w:hAnsi="宋体" w:eastAsia="仿宋_GB2312"/>
          <w:sz w:val="32"/>
          <w:szCs w:val="32"/>
          <w:highlight w:val="none"/>
          <w:lang w:val="en-US" w:eastAsia="zh-CN"/>
        </w:rPr>
        <w:t>30.00万元，</w:t>
      </w:r>
      <w:r>
        <w:rPr>
          <w:rFonts w:hint="eastAsia" w:ascii="仿宋_GB2312" w:hAnsi="宋体" w:eastAsia="仿宋_GB2312"/>
          <w:sz w:val="32"/>
          <w:szCs w:val="32"/>
          <w:highlight w:val="none"/>
          <w:lang w:val="zh-CN" w:eastAsia="zh-CN"/>
        </w:rPr>
        <w:t>预算批复</w:t>
      </w:r>
      <w:r>
        <w:rPr>
          <w:rFonts w:hint="eastAsia" w:ascii="仿宋_GB2312" w:hAnsi="宋体" w:eastAsia="仿宋_GB2312"/>
          <w:sz w:val="32"/>
          <w:szCs w:val="32"/>
          <w:highlight w:val="none"/>
          <w:lang w:val="en-US" w:eastAsia="zh-CN"/>
        </w:rPr>
        <w:t>30.00</w:t>
      </w:r>
      <w:r>
        <w:rPr>
          <w:rFonts w:hint="eastAsia" w:ascii="仿宋_GB2312" w:hAnsi="宋体" w:eastAsia="仿宋_GB2312"/>
          <w:sz w:val="32"/>
          <w:szCs w:val="32"/>
          <w:highlight w:val="none"/>
          <w:lang w:val="zh-CN" w:eastAsia="zh-CN"/>
        </w:rPr>
        <w:t>万元，实际下达</w:t>
      </w:r>
      <w:r>
        <w:rPr>
          <w:rFonts w:hint="eastAsia" w:ascii="仿宋_GB2312" w:hAnsi="宋体" w:eastAsia="仿宋_GB2312"/>
          <w:sz w:val="32"/>
          <w:szCs w:val="32"/>
          <w:highlight w:val="none"/>
          <w:lang w:val="en-US" w:eastAsia="zh-CN"/>
        </w:rPr>
        <w:t>30.00</w:t>
      </w:r>
      <w:r>
        <w:rPr>
          <w:rFonts w:hint="eastAsia" w:ascii="仿宋_GB2312" w:hAnsi="宋体" w:eastAsia="仿宋_GB2312"/>
          <w:sz w:val="32"/>
          <w:szCs w:val="32"/>
          <w:highlight w:val="none"/>
          <w:lang w:val="zh-CN" w:eastAsia="zh-CN"/>
        </w:rPr>
        <w:t>万元。</w:t>
      </w:r>
    </w:p>
    <w:p>
      <w:pPr>
        <w:adjustRightInd w:val="0"/>
        <w:snapToGrid w:val="0"/>
        <w:spacing w:line="600" w:lineRule="exact"/>
        <w:ind w:firstLine="480" w:firstLineChars="150"/>
        <w:rPr>
          <w:rFonts w:hint="eastAsia" w:ascii="仿宋_GB2312" w:hAnsi="宋体" w:eastAsia="仿宋_GB2312"/>
          <w:sz w:val="32"/>
          <w:szCs w:val="32"/>
          <w:highlight w:val="none"/>
          <w:lang w:val="zh-CN" w:eastAsia="zh-CN"/>
        </w:rPr>
      </w:pPr>
      <w:r>
        <w:rPr>
          <w:rFonts w:hint="eastAsia" w:ascii="仿宋_GB2312" w:hAnsi="宋体" w:eastAsia="仿宋_GB2312"/>
          <w:sz w:val="32"/>
          <w:szCs w:val="32"/>
          <w:highlight w:val="none"/>
          <w:lang w:val="en-US" w:eastAsia="zh-CN"/>
        </w:rPr>
        <w:t>2.</w:t>
      </w:r>
      <w:r>
        <w:rPr>
          <w:rFonts w:hint="eastAsia" w:ascii="仿宋_GB2312" w:hAnsi="宋体" w:eastAsia="仿宋_GB2312"/>
          <w:sz w:val="32"/>
          <w:szCs w:val="32"/>
          <w:highlight w:val="none"/>
          <w:lang w:val="zh-CN" w:eastAsia="zh-CN"/>
        </w:rPr>
        <w:t>资金到位。</w:t>
      </w:r>
    </w:p>
    <w:p>
      <w:pPr>
        <w:adjustRightInd w:val="0"/>
        <w:snapToGrid w:val="0"/>
        <w:spacing w:line="600" w:lineRule="exact"/>
        <w:ind w:firstLine="480" w:firstLineChars="150"/>
        <w:rPr>
          <w:rFonts w:hint="eastAsia" w:ascii="仿宋_GB2312" w:hAnsi="宋体" w:eastAsia="仿宋_GB2312"/>
          <w:sz w:val="32"/>
          <w:szCs w:val="32"/>
          <w:highlight w:val="none"/>
          <w:lang w:val="zh-CN" w:eastAsia="zh-CN"/>
        </w:rPr>
      </w:pPr>
      <w:r>
        <w:rPr>
          <w:rFonts w:hint="eastAsia" w:ascii="仿宋_GB2312" w:hAnsi="宋体" w:eastAsia="仿宋_GB2312"/>
          <w:sz w:val="32"/>
          <w:szCs w:val="32"/>
          <w:highlight w:val="none"/>
          <w:lang w:val="zh-CN" w:eastAsia="zh-CN"/>
        </w:rPr>
        <w:t>专项项目资金预算</w:t>
      </w:r>
      <w:r>
        <w:rPr>
          <w:rFonts w:hint="eastAsia" w:ascii="仿宋_GB2312" w:hAnsi="宋体" w:eastAsia="仿宋_GB2312"/>
          <w:sz w:val="32"/>
          <w:szCs w:val="32"/>
          <w:highlight w:val="none"/>
          <w:lang w:val="en-US" w:eastAsia="zh-CN"/>
        </w:rPr>
        <w:t>30.00</w:t>
      </w:r>
      <w:r>
        <w:rPr>
          <w:rFonts w:hint="eastAsia" w:ascii="仿宋_GB2312" w:hAnsi="宋体" w:eastAsia="仿宋_GB2312"/>
          <w:sz w:val="32"/>
          <w:szCs w:val="32"/>
          <w:highlight w:val="none"/>
          <w:lang w:val="zh-CN" w:eastAsia="zh-CN"/>
        </w:rPr>
        <w:t>万，拨付到位</w:t>
      </w:r>
      <w:r>
        <w:rPr>
          <w:rFonts w:hint="eastAsia" w:ascii="仿宋_GB2312" w:hAnsi="宋体" w:eastAsia="仿宋_GB2312"/>
          <w:sz w:val="32"/>
          <w:szCs w:val="32"/>
          <w:highlight w:val="none"/>
          <w:lang w:val="en-US" w:eastAsia="zh-CN"/>
        </w:rPr>
        <w:t>30.00</w:t>
      </w:r>
      <w:r>
        <w:rPr>
          <w:rFonts w:hint="eastAsia" w:ascii="仿宋_GB2312" w:hAnsi="宋体" w:eastAsia="仿宋_GB2312"/>
          <w:sz w:val="32"/>
          <w:szCs w:val="32"/>
          <w:highlight w:val="none"/>
          <w:lang w:val="zh-CN" w:eastAsia="zh-CN"/>
        </w:rPr>
        <w:t>万元，到位率</w:t>
      </w:r>
      <w:r>
        <w:rPr>
          <w:rFonts w:hint="eastAsia" w:ascii="仿宋_GB2312" w:hAnsi="宋体" w:eastAsia="仿宋_GB2312"/>
          <w:sz w:val="32"/>
          <w:szCs w:val="32"/>
          <w:highlight w:val="none"/>
          <w:lang w:val="en-US" w:eastAsia="zh-CN"/>
        </w:rPr>
        <w:t>100</w:t>
      </w:r>
      <w:r>
        <w:rPr>
          <w:rFonts w:hint="eastAsia" w:ascii="仿宋_GB2312" w:hAnsi="宋体" w:eastAsia="仿宋_GB2312"/>
          <w:sz w:val="32"/>
          <w:szCs w:val="32"/>
          <w:highlight w:val="none"/>
          <w:lang w:val="zh-CN" w:eastAsia="zh-CN"/>
        </w:rPr>
        <w:t>%。</w:t>
      </w:r>
    </w:p>
    <w:p>
      <w:pPr>
        <w:adjustRightInd w:val="0"/>
        <w:snapToGrid w:val="0"/>
        <w:spacing w:line="600" w:lineRule="exact"/>
        <w:ind w:firstLine="480" w:firstLineChars="150"/>
        <w:rPr>
          <w:rFonts w:hint="eastAsia" w:ascii="仿宋_GB2312" w:hAnsi="宋体" w:eastAsia="仿宋_GB2312"/>
          <w:sz w:val="32"/>
          <w:szCs w:val="32"/>
          <w:highlight w:val="none"/>
          <w:lang w:val="zh-CN" w:eastAsia="zh-CN"/>
        </w:rPr>
      </w:pPr>
      <w:r>
        <w:rPr>
          <w:rFonts w:hint="eastAsia" w:ascii="仿宋_GB2312" w:hAnsi="宋体" w:eastAsia="仿宋_GB2312"/>
          <w:sz w:val="32"/>
          <w:szCs w:val="32"/>
          <w:highlight w:val="none"/>
          <w:lang w:val="en-US" w:eastAsia="zh-CN"/>
        </w:rPr>
        <w:t>3.</w:t>
      </w:r>
      <w:r>
        <w:rPr>
          <w:rFonts w:hint="eastAsia" w:ascii="仿宋_GB2312" w:hAnsi="宋体" w:eastAsia="仿宋_GB2312"/>
          <w:sz w:val="32"/>
          <w:szCs w:val="32"/>
          <w:highlight w:val="none"/>
          <w:lang w:val="zh-CN" w:eastAsia="zh-CN"/>
        </w:rPr>
        <w:t>资金使用。</w:t>
      </w:r>
    </w:p>
    <w:p>
      <w:pPr>
        <w:adjustRightInd w:val="0"/>
        <w:snapToGrid w:val="0"/>
        <w:spacing w:line="600" w:lineRule="exact"/>
        <w:ind w:firstLine="480" w:firstLineChars="150"/>
        <w:rPr>
          <w:rFonts w:hint="eastAsia" w:ascii="仿宋_GB2312" w:hAnsi="宋体" w:eastAsia="仿宋_GB2312"/>
          <w:sz w:val="32"/>
          <w:szCs w:val="32"/>
          <w:highlight w:val="none"/>
          <w:lang w:val="en-US" w:eastAsia="zh-CN"/>
        </w:rPr>
      </w:pPr>
      <w:r>
        <w:rPr>
          <w:rFonts w:hint="eastAsia" w:ascii="仿宋_GB2312" w:hAnsi="宋体" w:eastAsia="仿宋_GB2312"/>
          <w:sz w:val="32"/>
          <w:szCs w:val="32"/>
          <w:highlight w:val="none"/>
          <w:lang w:val="en-US" w:eastAsia="zh-CN"/>
        </w:rPr>
        <w:t>一是顺利完成2022年度面向社会公招公务员工作。二是完善公务员管理系统建设。</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（三）项目财务管理情况。</w:t>
      </w:r>
    </w:p>
    <w:p>
      <w:pPr>
        <w:adjustRightInd w:val="0"/>
        <w:snapToGrid w:val="0"/>
        <w:spacing w:line="600" w:lineRule="exact"/>
        <w:ind w:firstLine="640" w:firstLineChars="200"/>
        <w:rPr>
          <w:rFonts w:hint="eastAsia" w:ascii="仿宋_GB2312" w:hAnsi="宋体" w:eastAsia="仿宋_GB2312"/>
          <w:sz w:val="32"/>
          <w:szCs w:val="32"/>
          <w:lang w:eastAsia="zh-CN"/>
        </w:rPr>
      </w:pPr>
      <w:r>
        <w:rPr>
          <w:rFonts w:hint="eastAsia" w:ascii="仿宋_GB2312" w:hAnsi="宋体" w:eastAsia="仿宋_GB2312"/>
          <w:sz w:val="32"/>
          <w:szCs w:val="32"/>
        </w:rPr>
        <w:t>专项经费严格按照专款专用原则，及时通知有关单位提供合法票据，完善报账手续，严格票据审核，规范报账程，同时财政部门对资金支付严格审核，确保资金使用安全。根据国家财经法规和单位财务管理制度的相关规定以及有关项目资金管理办法的规定支出，做到了资金使用的安全性、规范性</w:t>
      </w:r>
      <w:r>
        <w:rPr>
          <w:rFonts w:hint="eastAsia" w:ascii="仿宋_GB2312" w:hAnsi="宋体" w:eastAsia="仿宋_GB2312"/>
          <w:sz w:val="32"/>
          <w:szCs w:val="32"/>
          <w:lang w:eastAsia="zh-CN"/>
        </w:rPr>
        <w:t>。待费用报销结束后会计人员</w:t>
      </w:r>
      <w:r>
        <w:rPr>
          <w:rFonts w:hint="eastAsia" w:ascii="仿宋" w:hAnsi="仿宋" w:eastAsia="仿宋" w:cs="FangSong_GB2312"/>
          <w:sz w:val="32"/>
          <w:szCs w:val="32"/>
          <w:lang w:val="zh-CN"/>
        </w:rPr>
        <w:t>严格按照财务管理制度及时进行账务处理，会计核算规范，无遗漏、错记等情况。</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黑体" w:hAnsi="宋体" w:eastAsia="黑体"/>
          <w:color w:val="auto"/>
          <w:sz w:val="32"/>
          <w:szCs w:val="32"/>
          <w:highlight w:val="none"/>
          <w:u w:val="none"/>
        </w:rPr>
      </w:pPr>
      <w:r>
        <w:rPr>
          <w:rFonts w:hint="eastAsia" w:ascii="黑体" w:hAnsi="宋体" w:eastAsia="黑体"/>
          <w:color w:val="auto"/>
          <w:sz w:val="32"/>
          <w:szCs w:val="32"/>
          <w:highlight w:val="none"/>
          <w:u w:val="none"/>
        </w:rPr>
        <w:t>三、项目实施及管理情况</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结合项目组织实施管理办法，重点围绕以下内容进行分析评价，并对自评中发现的问题分析说明。</w:t>
      </w:r>
    </w:p>
    <w:p>
      <w:pPr>
        <w:keepNext w:val="0"/>
        <w:keepLines w:val="0"/>
        <w:pageBreakBefore w:val="0"/>
        <w:numPr>
          <w:ilvl w:val="0"/>
          <w:numId w:val="8"/>
        </w:numPr>
        <w:kinsoku/>
        <w:wordWrap/>
        <w:overflowPunct/>
        <w:topLinePunct w:val="0"/>
        <w:autoSpaceDE/>
        <w:autoSpaceDN/>
        <w:bidi w:val="0"/>
        <w:adjustRightInd w:val="0"/>
        <w:snapToGrid w:val="0"/>
        <w:spacing w:line="578" w:lineRule="exact"/>
        <w:ind w:firstLine="720"/>
        <w:textAlignment w:val="auto"/>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项目组织架构及实施流程。</w:t>
      </w:r>
    </w:p>
    <w:p>
      <w:pPr>
        <w:adjustRightInd w:val="0"/>
        <w:snapToGrid w:val="0"/>
        <w:spacing w:line="600" w:lineRule="exact"/>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rPr>
        <w:t>2022年公务员管理系统建设及组织工作经费投入30万元，主要用于全区公务员管理系统相关建设及组织工作工作。项目开展后，我单位在</w:t>
      </w:r>
      <w:r>
        <w:rPr>
          <w:rFonts w:hint="eastAsia" w:ascii="仿宋_GB2312" w:hAnsi="宋体" w:eastAsia="仿宋_GB2312"/>
          <w:sz w:val="32"/>
          <w:szCs w:val="32"/>
          <w:lang w:eastAsia="zh-CN"/>
        </w:rPr>
        <w:t>预算一体化系统中</w:t>
      </w:r>
      <w:r>
        <w:rPr>
          <w:rFonts w:hint="eastAsia" w:ascii="仿宋_GB2312" w:hAnsi="宋体" w:eastAsia="仿宋_GB2312"/>
          <w:sz w:val="32"/>
          <w:szCs w:val="32"/>
        </w:rPr>
        <w:t>申请使用资金并向财政局归口股室递交项目专项资金申请表提交申请，国库等业务股室审核通过后，指标下达到本单位，本单位再按经费实际开支情况，据实报销资金。</w:t>
      </w:r>
    </w:p>
    <w:p>
      <w:pPr>
        <w:keepNext w:val="0"/>
        <w:keepLines w:val="0"/>
        <w:pageBreakBefore w:val="0"/>
        <w:numPr>
          <w:ilvl w:val="0"/>
          <w:numId w:val="8"/>
        </w:numPr>
        <w:kinsoku/>
        <w:wordWrap/>
        <w:overflowPunct/>
        <w:topLinePunct w:val="0"/>
        <w:autoSpaceDE/>
        <w:autoSpaceDN/>
        <w:bidi w:val="0"/>
        <w:adjustRightInd w:val="0"/>
        <w:snapToGrid w:val="0"/>
        <w:spacing w:line="578" w:lineRule="exact"/>
        <w:ind w:left="0" w:leftChars="0" w:firstLine="720" w:firstLineChars="0"/>
        <w:textAlignment w:val="auto"/>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项目管理情况。</w:t>
      </w:r>
    </w:p>
    <w:p>
      <w:pPr>
        <w:adjustRightInd w:val="0"/>
        <w:snapToGrid w:val="0"/>
        <w:spacing w:line="600" w:lineRule="exact"/>
        <w:ind w:firstLine="720"/>
        <w:rPr>
          <w:rFonts w:ascii="仿宋_GB2312" w:hAnsi="宋体" w:eastAsia="仿宋_GB2312"/>
          <w:sz w:val="32"/>
          <w:szCs w:val="32"/>
        </w:rPr>
      </w:pPr>
      <w:r>
        <w:rPr>
          <w:rFonts w:hint="eastAsia" w:ascii="仿宋_GB2312" w:hAnsi="宋体" w:eastAsia="仿宋_GB2312"/>
          <w:sz w:val="32"/>
          <w:szCs w:val="32"/>
        </w:rPr>
        <w:t>项目严格按照区级有关规定执行，严格用于开展公务员管理系统建设、组织工作及考察经费</w:t>
      </w:r>
      <w:r>
        <w:rPr>
          <w:rFonts w:hint="eastAsia" w:ascii="仿宋_GB2312" w:hAnsi="宋体" w:eastAsia="仿宋_GB2312"/>
          <w:sz w:val="32"/>
          <w:szCs w:val="32"/>
          <w:lang w:eastAsia="zh-CN"/>
        </w:rPr>
        <w:t>等</w:t>
      </w:r>
      <w:r>
        <w:rPr>
          <w:rFonts w:hint="eastAsia" w:ascii="仿宋_GB2312" w:hAnsi="宋体" w:eastAsia="仿宋_GB2312"/>
          <w:sz w:val="32"/>
          <w:szCs w:val="32"/>
        </w:rPr>
        <w:t>工作，</w:t>
      </w:r>
      <w:r>
        <w:rPr>
          <w:rFonts w:ascii="仿宋_GB2312" w:hAnsi="宋体" w:eastAsia="仿宋_GB2312"/>
          <w:sz w:val="32"/>
          <w:szCs w:val="32"/>
          <w:lang w:val="zh-CN"/>
        </w:rPr>
        <w:t>资金专款专用。</w:t>
      </w:r>
    </w:p>
    <w:p>
      <w:pPr>
        <w:keepNext w:val="0"/>
        <w:keepLines w:val="0"/>
        <w:pageBreakBefore w:val="0"/>
        <w:numPr>
          <w:ilvl w:val="0"/>
          <w:numId w:val="8"/>
        </w:numPr>
        <w:kinsoku/>
        <w:wordWrap/>
        <w:overflowPunct/>
        <w:topLinePunct w:val="0"/>
        <w:autoSpaceDE/>
        <w:autoSpaceDN/>
        <w:bidi w:val="0"/>
        <w:adjustRightInd w:val="0"/>
        <w:snapToGrid w:val="0"/>
        <w:spacing w:line="578" w:lineRule="exact"/>
        <w:ind w:left="0" w:leftChars="0" w:firstLine="720" w:firstLineChars="0"/>
        <w:textAlignment w:val="auto"/>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项目监管情况。</w:t>
      </w:r>
    </w:p>
    <w:p>
      <w:pPr>
        <w:keepNext w:val="0"/>
        <w:keepLines w:val="0"/>
        <w:pageBreakBefore w:val="0"/>
        <w:numPr>
          <w:ilvl w:val="0"/>
          <w:numId w:val="0"/>
        </w:numPr>
        <w:kinsoku/>
        <w:wordWrap/>
        <w:overflowPunct/>
        <w:topLinePunct w:val="0"/>
        <w:autoSpaceDE/>
        <w:autoSpaceDN/>
        <w:bidi w:val="0"/>
        <w:adjustRightInd w:val="0"/>
        <w:snapToGrid w:val="0"/>
        <w:spacing w:line="578" w:lineRule="exact"/>
        <w:ind w:left="720" w:leftChars="0"/>
        <w:textAlignment w:val="auto"/>
        <w:rPr>
          <w:rFonts w:ascii="仿宋_GB2312" w:hAnsi="宋体"/>
          <w:color w:val="auto"/>
          <w:sz w:val="32"/>
          <w:szCs w:val="32"/>
          <w:highlight w:val="none"/>
          <w:u w:val="none"/>
          <w:lang w:val="zh-CN"/>
        </w:rPr>
      </w:pPr>
      <w:r>
        <w:rPr>
          <w:rFonts w:hint="eastAsia" w:ascii="仿宋" w:hAnsi="仿宋" w:eastAsia="仿宋" w:cs="FangSong_GB2312"/>
          <w:sz w:val="32"/>
          <w:szCs w:val="32"/>
        </w:rPr>
        <w:t>项目由</w:t>
      </w:r>
      <w:r>
        <w:rPr>
          <w:rFonts w:hint="eastAsia" w:ascii="仿宋" w:hAnsi="仿宋" w:eastAsia="仿宋" w:cs="FangSong_GB2312"/>
          <w:sz w:val="32"/>
          <w:szCs w:val="32"/>
          <w:lang w:eastAsia="zh-CN"/>
        </w:rPr>
        <w:t>区委组织部</w:t>
      </w:r>
      <w:r>
        <w:rPr>
          <w:rFonts w:hint="eastAsia" w:ascii="仿宋" w:hAnsi="仿宋" w:eastAsia="仿宋" w:cs="FangSong_GB2312"/>
          <w:sz w:val="32"/>
          <w:szCs w:val="32"/>
        </w:rPr>
        <w:t>监管，并严格按照相关财经纪律执行。</w:t>
      </w:r>
    </w:p>
    <w:p>
      <w:pPr>
        <w:keepNext w:val="0"/>
        <w:keepLines w:val="0"/>
        <w:pageBreakBefore w:val="0"/>
        <w:numPr>
          <w:ilvl w:val="0"/>
          <w:numId w:val="0"/>
        </w:numPr>
        <w:kinsoku/>
        <w:wordWrap/>
        <w:overflowPunct/>
        <w:topLinePunct w:val="0"/>
        <w:autoSpaceDE/>
        <w:autoSpaceDN/>
        <w:bidi w:val="0"/>
        <w:adjustRightInd w:val="0"/>
        <w:snapToGrid w:val="0"/>
        <w:spacing w:line="578" w:lineRule="exact"/>
        <w:ind w:left="720" w:leftChars="0"/>
        <w:textAlignment w:val="auto"/>
        <w:rPr>
          <w:rFonts w:ascii="仿宋_GB2312" w:hAnsi="宋体"/>
          <w:color w:val="auto"/>
          <w:sz w:val="32"/>
          <w:szCs w:val="32"/>
          <w:highlight w:val="none"/>
          <w:u w:val="none"/>
          <w:lang w:val="zh-CN"/>
        </w:rPr>
      </w:pPr>
      <w:r>
        <w:rPr>
          <w:rFonts w:hint="eastAsia" w:ascii="黑体" w:hAnsi="宋体" w:eastAsia="黑体"/>
          <w:color w:val="auto"/>
          <w:sz w:val="32"/>
          <w:szCs w:val="32"/>
          <w:highlight w:val="none"/>
          <w:u w:val="none"/>
        </w:rPr>
        <w:t>四、项目绩效情况</w:t>
      </w:r>
      <w:r>
        <w:rPr>
          <w:rFonts w:hint="eastAsia" w:ascii="仿宋_GB2312" w:hAnsi="宋体"/>
          <w:color w:val="auto"/>
          <w:sz w:val="32"/>
          <w:szCs w:val="32"/>
          <w:highlight w:val="none"/>
          <w:u w:val="none"/>
          <w:lang w:val="zh-CN"/>
        </w:rPr>
        <w:tab/>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（一）项目完成情况。</w:t>
      </w:r>
    </w:p>
    <w:p>
      <w:pPr>
        <w:keepNext w:val="0"/>
        <w:keepLines w:val="0"/>
        <w:pageBreakBefore w:val="0"/>
        <w:numPr>
          <w:ilvl w:val="0"/>
          <w:numId w:val="0"/>
        </w:numPr>
        <w:kinsoku/>
        <w:wordWrap/>
        <w:overflowPunct/>
        <w:topLinePunct w:val="0"/>
        <w:autoSpaceDE/>
        <w:autoSpaceDN/>
        <w:bidi w:val="0"/>
        <w:adjustRightInd w:val="0"/>
        <w:snapToGrid w:val="0"/>
        <w:spacing w:line="578" w:lineRule="exact"/>
        <w:ind w:left="720" w:leftChars="0"/>
        <w:jc w:val="left"/>
        <w:textAlignment w:val="auto"/>
        <w:rPr>
          <w:rFonts w:hint="eastAsia" w:ascii="仿宋" w:hAnsi="仿宋" w:eastAsia="仿宋" w:cs="FangSong_GB2312"/>
          <w:sz w:val="32"/>
          <w:szCs w:val="32"/>
          <w:lang w:val="en-US" w:eastAsia="zh-CN"/>
        </w:rPr>
      </w:pPr>
      <w:r>
        <w:rPr>
          <w:rFonts w:hint="eastAsia" w:ascii="仿宋" w:hAnsi="仿宋" w:eastAsia="仿宋" w:cs="FangSong_GB2312"/>
          <w:sz w:val="32"/>
          <w:szCs w:val="32"/>
          <w:lang w:val="en-US" w:eastAsia="zh-CN"/>
        </w:rPr>
        <w:t>1.顺利完成2022年度面向社会公招公务员工作。</w:t>
      </w:r>
    </w:p>
    <w:p>
      <w:pPr>
        <w:keepNext w:val="0"/>
        <w:keepLines w:val="0"/>
        <w:pageBreakBefore w:val="0"/>
        <w:numPr>
          <w:ilvl w:val="0"/>
          <w:numId w:val="0"/>
        </w:numPr>
        <w:kinsoku/>
        <w:wordWrap/>
        <w:overflowPunct/>
        <w:topLinePunct w:val="0"/>
        <w:autoSpaceDE/>
        <w:autoSpaceDN/>
        <w:bidi w:val="0"/>
        <w:adjustRightInd w:val="0"/>
        <w:snapToGrid w:val="0"/>
        <w:spacing w:line="578" w:lineRule="exact"/>
        <w:ind w:left="720" w:leftChars="0"/>
        <w:jc w:val="left"/>
        <w:textAlignment w:val="auto"/>
        <w:rPr>
          <w:rFonts w:hint="eastAsia" w:ascii="仿宋" w:hAnsi="仿宋" w:eastAsia="仿宋" w:cs="FangSong_GB2312"/>
          <w:sz w:val="32"/>
          <w:szCs w:val="32"/>
          <w:lang w:val="en-US" w:eastAsia="zh-CN"/>
        </w:rPr>
      </w:pPr>
      <w:r>
        <w:rPr>
          <w:rFonts w:hint="eastAsia" w:ascii="仿宋" w:hAnsi="仿宋" w:eastAsia="仿宋" w:cs="FangSong_GB2312"/>
          <w:sz w:val="32"/>
          <w:szCs w:val="32"/>
          <w:lang w:val="en-US" w:eastAsia="zh-CN"/>
        </w:rPr>
        <w:t>2.完善公务员管理系统建设。</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（二）项目效益情况。</w:t>
      </w:r>
    </w:p>
    <w:p>
      <w:pPr>
        <w:snapToGrid w:val="0"/>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是进一步强化了公务员录用工作的考务管理。二是严格落实安全措施。认真组织开展考录工作人员警示教育，严格实行面试考官、工作人员、考生和考场“四抽签”制度和纪检部门监督制度。对面试过程实行全程全方位录像录音监控，公务员考试录用安全工作得到保障。</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黑体" w:hAnsi="宋体" w:eastAsia="黑体"/>
          <w:color w:val="auto"/>
          <w:sz w:val="32"/>
          <w:szCs w:val="32"/>
          <w:highlight w:val="none"/>
          <w:u w:val="none"/>
        </w:rPr>
      </w:pPr>
      <w:r>
        <w:rPr>
          <w:rFonts w:hint="eastAsia" w:ascii="黑体" w:hAnsi="宋体" w:eastAsia="黑体"/>
          <w:color w:val="auto"/>
          <w:sz w:val="32"/>
          <w:szCs w:val="32"/>
          <w:highlight w:val="none"/>
          <w:u w:val="none"/>
        </w:rPr>
        <w:t>五、评价结论及建议</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（一）评价结论。</w:t>
      </w:r>
    </w:p>
    <w:p>
      <w:pPr>
        <w:adjustRightInd w:val="0"/>
        <w:snapToGrid w:val="0"/>
        <w:spacing w:line="600" w:lineRule="exact"/>
        <w:ind w:firstLine="720"/>
        <w:rPr>
          <w:rFonts w:hint="eastAsia" w:ascii="仿宋_GB2312" w:hAnsi="宋体" w:eastAsia="仿宋_GB2312"/>
          <w:sz w:val="32"/>
          <w:szCs w:val="32"/>
          <w:highlight w:val="none"/>
          <w:lang w:val="en-US" w:eastAsia="zh-CN"/>
        </w:rPr>
      </w:pPr>
      <w:r>
        <w:rPr>
          <w:rFonts w:hint="eastAsia" w:ascii="仿宋_GB2312" w:hAnsi="宋体" w:eastAsia="仿宋_GB2312"/>
          <w:sz w:val="32"/>
          <w:szCs w:val="32"/>
          <w:highlight w:val="none"/>
          <w:lang w:val="en-US" w:eastAsia="zh-CN"/>
        </w:rPr>
        <w:t>2022年度我部门预算党公务员管理系统建设及组织工作经费30万元，开展绩效自评项目金额合计30万元，开展绩效自评项目支出总额占本部门预算项目支出总额的比例100%。项目绩效自评平均分95分，评价等级为“优秀”。</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（二）存在的问题。</w:t>
      </w:r>
    </w:p>
    <w:p>
      <w:pPr>
        <w:adjustRightInd w:val="0"/>
        <w:snapToGrid w:val="0"/>
        <w:spacing w:line="600" w:lineRule="exact"/>
        <w:ind w:firstLine="720"/>
        <w:rPr>
          <w:rFonts w:hint="eastAsia" w:ascii="仿宋_GB2312" w:hAnsi="宋体" w:eastAsia="仿宋_GB2312"/>
          <w:sz w:val="32"/>
          <w:szCs w:val="32"/>
          <w:highlight w:val="none"/>
          <w:lang w:val="en-US" w:eastAsia="zh-CN"/>
        </w:rPr>
      </w:pPr>
      <w:r>
        <w:rPr>
          <w:rFonts w:hint="eastAsia" w:ascii="仿宋_GB2312" w:hAnsi="宋体" w:eastAsia="仿宋_GB2312"/>
          <w:sz w:val="32"/>
          <w:szCs w:val="32"/>
          <w:highlight w:val="none"/>
          <w:lang w:val="en-US" w:eastAsia="zh-CN"/>
        </w:rPr>
        <w:t>1.绩效评价指标的科学性有待研究。科学细化、量化专项经费绩效评价指标是开展绩效管理的重要内容，在实际工作中各项目绩效评价指标应各有针对性，指标体系的设立有待进一步研究，从而优化专项经费的三级绩效评价指标。</w:t>
      </w:r>
    </w:p>
    <w:p>
      <w:pPr>
        <w:adjustRightInd w:val="0"/>
        <w:snapToGrid w:val="0"/>
        <w:spacing w:line="600" w:lineRule="exact"/>
        <w:ind w:firstLine="720"/>
        <w:rPr>
          <w:rFonts w:hint="default" w:ascii="仿宋_GB2312" w:hAnsi="宋体" w:eastAsia="仿宋_GB2312"/>
          <w:sz w:val="32"/>
          <w:szCs w:val="32"/>
          <w:highlight w:val="none"/>
          <w:lang w:val="en-US" w:eastAsia="zh-CN"/>
        </w:rPr>
      </w:pPr>
      <w:r>
        <w:rPr>
          <w:rFonts w:hint="eastAsia" w:ascii="仿宋_GB2312" w:hAnsi="宋体" w:eastAsia="仿宋_GB2312"/>
          <w:sz w:val="32"/>
          <w:szCs w:val="32"/>
          <w:highlight w:val="none"/>
          <w:lang w:val="en-US" w:eastAsia="zh-CN"/>
        </w:rPr>
        <w:t>2.相关资金预算不足，导致工作开展困难。</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（三）相关建议。</w:t>
      </w:r>
    </w:p>
    <w:p>
      <w:pPr>
        <w:adjustRightInd w:val="0"/>
        <w:snapToGrid w:val="0"/>
        <w:spacing w:line="600" w:lineRule="exact"/>
        <w:ind w:firstLine="720"/>
        <w:rPr>
          <w:rFonts w:hint="eastAsia" w:ascii="仿宋_GB2312" w:hAnsi="宋体" w:eastAsia="仿宋_GB2312"/>
          <w:sz w:val="32"/>
          <w:szCs w:val="32"/>
          <w:highlight w:val="none"/>
          <w:lang w:val="en-US" w:eastAsia="zh-CN"/>
        </w:rPr>
      </w:pPr>
      <w:r>
        <w:rPr>
          <w:rFonts w:hint="eastAsia" w:ascii="仿宋_GB2312" w:hAnsi="宋体" w:eastAsia="仿宋_GB2312"/>
          <w:sz w:val="32"/>
          <w:szCs w:val="32"/>
          <w:highlight w:val="none"/>
          <w:lang w:val="en-US" w:eastAsia="zh-CN"/>
        </w:rPr>
        <w:t>1.增加公务员管理相关工作经费，保障公务员管理工作有效推进。</w:t>
      </w:r>
    </w:p>
    <w:p>
      <w:pPr>
        <w:adjustRightInd w:val="0"/>
        <w:snapToGrid w:val="0"/>
        <w:spacing w:line="600" w:lineRule="exact"/>
        <w:ind w:firstLine="720"/>
        <w:rPr>
          <w:rFonts w:hint="eastAsia" w:ascii="仿宋_GB2312" w:hAnsi="宋体" w:eastAsia="仿宋_GB2312"/>
          <w:sz w:val="32"/>
          <w:szCs w:val="32"/>
          <w:highlight w:val="none"/>
          <w:lang w:val="en-US" w:eastAsia="zh-CN"/>
        </w:rPr>
      </w:pPr>
      <w:r>
        <w:rPr>
          <w:rFonts w:hint="eastAsia" w:ascii="仿宋_GB2312" w:hAnsi="宋体" w:eastAsia="仿宋_GB2312"/>
          <w:sz w:val="32"/>
          <w:szCs w:val="32"/>
          <w:highlight w:val="none"/>
          <w:lang w:val="en-US" w:eastAsia="zh-CN"/>
        </w:rPr>
        <w:t>2.加强评价指标体系建设。一是汇总梳理以前年度制定的指标，将符合当前预算绩效管理要求和行业管理特点的个性指标汇编成库；二是建立指标更新机制，将以后年度新制定的指标及时纳入指标库，做到随时更新、完善。</w:t>
      </w:r>
    </w:p>
    <w:p>
      <w:pPr>
        <w:adjustRightInd w:val="0"/>
        <w:snapToGrid w:val="0"/>
        <w:spacing w:line="600" w:lineRule="exact"/>
        <w:ind w:firstLine="720"/>
        <w:rPr>
          <w:rFonts w:hint="eastAsia" w:ascii="仿宋_GB2312" w:hAnsi="宋体" w:eastAsia="仿宋_GB2312"/>
          <w:sz w:val="32"/>
          <w:szCs w:val="32"/>
          <w:highlight w:val="none"/>
          <w:lang w:val="en-US" w:eastAsia="zh-CN"/>
        </w:rPr>
      </w:pPr>
      <w:r>
        <w:rPr>
          <w:rFonts w:hint="eastAsia" w:ascii="仿宋_GB2312" w:hAnsi="宋体" w:eastAsia="仿宋_GB2312"/>
          <w:sz w:val="32"/>
          <w:szCs w:val="32"/>
          <w:highlight w:val="none"/>
          <w:lang w:val="en-US" w:eastAsia="zh-CN"/>
        </w:rPr>
        <w:t>3.加强培训和指导。采取集中学习、讲座、专题会议等方式，加大对参与绩效评价的人员培训力度，进一步统一认识，充实业务知识。</w:t>
      </w:r>
    </w:p>
    <w:p>
      <w:pPr>
        <w:kinsoku w:val="0"/>
        <w:overflowPunct w:val="0"/>
        <w:spacing w:before="12"/>
        <w:rPr>
          <w:rFonts w:eastAsia="黑体"/>
          <w:szCs w:val="32"/>
        </w:rPr>
      </w:pPr>
    </w:p>
    <w:p>
      <w:pPr>
        <w:kinsoku w:val="0"/>
        <w:overflowPunct w:val="0"/>
        <w:spacing w:line="550" w:lineRule="exact"/>
        <w:jc w:val="center"/>
        <w:rPr>
          <w:rFonts w:hint="eastAsia" w:eastAsia="方正小标宋简体"/>
          <w:spacing w:val="1"/>
          <w:sz w:val="44"/>
          <w:szCs w:val="44"/>
        </w:rPr>
      </w:pPr>
    </w:p>
    <w:p>
      <w:pPr>
        <w:kinsoku w:val="0"/>
        <w:overflowPunct w:val="0"/>
        <w:spacing w:line="550" w:lineRule="exact"/>
        <w:jc w:val="center"/>
        <w:rPr>
          <w:rFonts w:hint="eastAsia" w:eastAsia="方正小标宋简体"/>
          <w:spacing w:val="1"/>
          <w:sz w:val="44"/>
          <w:szCs w:val="44"/>
        </w:rPr>
      </w:pPr>
    </w:p>
    <w:p>
      <w:pPr>
        <w:kinsoku w:val="0"/>
        <w:overflowPunct w:val="0"/>
        <w:spacing w:line="550" w:lineRule="exact"/>
        <w:jc w:val="center"/>
        <w:rPr>
          <w:rFonts w:hint="eastAsia" w:eastAsia="方正小标宋简体"/>
          <w:spacing w:val="1"/>
          <w:sz w:val="44"/>
          <w:szCs w:val="44"/>
        </w:rPr>
      </w:pPr>
    </w:p>
    <w:p>
      <w:pPr>
        <w:kinsoku w:val="0"/>
        <w:overflowPunct w:val="0"/>
        <w:spacing w:line="550" w:lineRule="exact"/>
        <w:jc w:val="center"/>
        <w:rPr>
          <w:rFonts w:eastAsia="方正小标宋简体"/>
          <w:spacing w:val="1"/>
          <w:sz w:val="44"/>
          <w:szCs w:val="44"/>
        </w:rPr>
      </w:pPr>
      <w:r>
        <w:rPr>
          <w:rFonts w:hint="eastAsia" w:eastAsia="方正小标宋简体"/>
          <w:spacing w:val="1"/>
          <w:sz w:val="44"/>
          <w:szCs w:val="44"/>
        </w:rPr>
        <w:t>中共遂宁市安居区委组织部</w:t>
      </w:r>
      <w:r>
        <w:rPr>
          <w:rFonts w:eastAsia="方正小标宋简体"/>
          <w:spacing w:val="1"/>
          <w:sz w:val="44"/>
          <w:szCs w:val="44"/>
        </w:rPr>
        <w:t>项目支出绩效自评报告</w:t>
      </w:r>
    </w:p>
    <w:p>
      <w:pPr>
        <w:tabs>
          <w:tab w:val="left" w:pos="3885"/>
        </w:tabs>
        <w:snapToGrid w:val="0"/>
        <w:spacing w:line="600" w:lineRule="exact"/>
        <w:jc w:val="center"/>
        <w:rPr>
          <w:rFonts w:hAnsi="宋体"/>
          <w:b/>
          <w:bCs/>
          <w:sz w:val="32"/>
          <w:szCs w:val="32"/>
        </w:rPr>
      </w:pPr>
      <w:r>
        <w:rPr>
          <w:rFonts w:hint="eastAsia" w:hAnsi="宋体"/>
          <w:b/>
          <w:bCs/>
          <w:sz w:val="32"/>
          <w:szCs w:val="32"/>
        </w:rPr>
        <w:t>（关工委工作经费）</w:t>
      </w:r>
    </w:p>
    <w:p>
      <w:pPr>
        <w:pStyle w:val="35"/>
        <w:keepNext w:val="0"/>
        <w:keepLines w:val="0"/>
        <w:pageBreakBefore w:val="0"/>
        <w:widowControl w:val="0"/>
        <w:kinsoku/>
        <w:wordWrap/>
        <w:overflowPunct/>
        <w:topLinePunct w:val="0"/>
        <w:autoSpaceDE/>
        <w:autoSpaceDN/>
        <w:bidi w:val="0"/>
        <w:spacing w:line="578" w:lineRule="exact"/>
        <w:ind w:firstLine="640"/>
        <w:jc w:val="center"/>
        <w:textAlignment w:val="auto"/>
        <w:rPr>
          <w:rFonts w:ascii="宋体" w:hAnsi="宋体"/>
          <w:color w:val="auto"/>
          <w:kern w:val="2"/>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78" w:lineRule="exact"/>
        <w:ind w:firstLine="720"/>
        <w:textAlignment w:val="auto"/>
        <w:rPr>
          <w:rFonts w:ascii="黑体" w:hAnsi="宋体" w:eastAsia="黑体"/>
          <w:color w:val="auto"/>
          <w:sz w:val="32"/>
          <w:szCs w:val="32"/>
          <w:highlight w:val="none"/>
          <w:lang w:val="zh-CN"/>
        </w:rPr>
      </w:pPr>
      <w:r>
        <w:rPr>
          <w:rFonts w:hint="eastAsia" w:ascii="黑体" w:hAnsi="宋体" w:eastAsia="黑体"/>
          <w:color w:val="auto"/>
          <w:sz w:val="32"/>
          <w:szCs w:val="32"/>
          <w:highlight w:val="none"/>
        </w:rPr>
        <w:t>一、</w:t>
      </w:r>
      <w:r>
        <w:rPr>
          <w:rFonts w:hint="eastAsia" w:ascii="黑体" w:hAnsi="宋体" w:eastAsia="黑体"/>
          <w:color w:val="auto"/>
          <w:sz w:val="32"/>
          <w:szCs w:val="32"/>
          <w:highlight w:val="none"/>
          <w:lang w:val="zh-CN"/>
        </w:rPr>
        <w:t>项目概况</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（一）项目基本情况。</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1</w:t>
      </w:r>
      <w:r>
        <w:rPr>
          <w:rFonts w:hint="eastAsia" w:ascii="仿宋_GB2312" w:hAnsi="仿宋_GB2312" w:eastAsia="仿宋_GB2312" w:cs="仿宋_GB2312"/>
          <w:color w:val="auto"/>
          <w:kern w:val="0"/>
          <w:sz w:val="32"/>
          <w:szCs w:val="32"/>
          <w:highlight w:val="none"/>
          <w:u w:val="none"/>
          <w:shd w:val="clear" w:color="auto" w:fill="FFFFFF"/>
          <w:lang w:val="en-US" w:eastAsia="zh-CN"/>
        </w:rPr>
        <w:t>.</w:t>
      </w:r>
      <w:r>
        <w:rPr>
          <w:rFonts w:hint="eastAsia" w:ascii="仿宋_GB2312" w:hAnsi="仿宋_GB2312" w:eastAsia="仿宋_GB2312" w:cs="仿宋_GB2312"/>
          <w:color w:val="auto"/>
          <w:kern w:val="0"/>
          <w:sz w:val="32"/>
          <w:szCs w:val="32"/>
          <w:highlight w:val="none"/>
          <w:u w:val="none"/>
          <w:shd w:val="clear" w:color="auto" w:fill="FFFFFF"/>
          <w:lang w:val="zh-CN"/>
        </w:rPr>
        <w:t>说明项目主管部门（单位）在该项目管理中的职能。</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仿宋_GB2312" w:hAnsi="仿宋_GB2312" w:eastAsia="仿宋_GB2312" w:cs="仿宋_GB2312"/>
          <w:color w:val="auto"/>
          <w:kern w:val="0"/>
          <w:sz w:val="32"/>
          <w:szCs w:val="32"/>
          <w:highlight w:val="none"/>
          <w:u w:val="none"/>
          <w:shd w:val="clear" w:color="auto" w:fill="FFFFFF"/>
          <w:lang w:val="en-US" w:eastAsia="zh-CN"/>
        </w:rPr>
      </w:pPr>
      <w:r>
        <w:rPr>
          <w:rFonts w:hint="eastAsia" w:ascii="仿宋_GB2312" w:hAnsi="仿宋_GB2312" w:eastAsia="仿宋_GB2312" w:cs="仿宋_GB2312"/>
          <w:color w:val="auto"/>
          <w:kern w:val="0"/>
          <w:sz w:val="32"/>
          <w:szCs w:val="32"/>
          <w:highlight w:val="none"/>
          <w:u w:val="none"/>
          <w:shd w:val="clear" w:color="auto" w:fill="FFFFFF"/>
          <w:lang w:val="en-US" w:eastAsia="zh-CN"/>
        </w:rPr>
        <w:t>关工委</w:t>
      </w:r>
      <w:r>
        <w:rPr>
          <w:rFonts w:hint="eastAsia" w:ascii="仿宋_GB2312" w:hAnsi="仿宋_GB2312" w:eastAsia="仿宋_GB2312" w:cs="仿宋_GB2312"/>
          <w:color w:val="auto"/>
          <w:kern w:val="0"/>
          <w:sz w:val="32"/>
          <w:szCs w:val="32"/>
          <w:highlight w:val="none"/>
          <w:u w:val="none"/>
          <w:shd w:val="clear" w:color="auto" w:fill="FFFFFF"/>
          <w:lang w:val="zh-CN"/>
        </w:rPr>
        <w:t>以离退休老同志为主体，以青少年为工作对象，积极协调配合有关部门，发动有关专家、学者和全社会广泛参与，以培养青少年成为“四有”新人为主要工作目标</w:t>
      </w:r>
      <w:r>
        <w:rPr>
          <w:rFonts w:hint="eastAsia" w:ascii="仿宋_GB2312" w:hAnsi="仿宋_GB2312" w:eastAsia="仿宋_GB2312" w:cs="仿宋_GB2312"/>
          <w:color w:val="auto"/>
          <w:kern w:val="0"/>
          <w:sz w:val="32"/>
          <w:szCs w:val="32"/>
          <w:highlight w:val="none"/>
          <w:u w:val="none"/>
          <w:shd w:val="clear" w:color="auto" w:fill="FFFFFF"/>
          <w:lang w:val="en-US" w:eastAsia="zh-CN"/>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en-US" w:eastAsia="zh-CN"/>
        </w:rPr>
        <w:t>2.</w:t>
      </w:r>
      <w:r>
        <w:rPr>
          <w:rFonts w:hint="eastAsia" w:ascii="仿宋_GB2312" w:hAnsi="仿宋_GB2312" w:eastAsia="仿宋_GB2312" w:cs="仿宋_GB2312"/>
          <w:color w:val="auto"/>
          <w:kern w:val="0"/>
          <w:sz w:val="32"/>
          <w:szCs w:val="32"/>
          <w:highlight w:val="none"/>
          <w:u w:val="none"/>
          <w:shd w:val="clear" w:color="auto" w:fill="FFFFFF"/>
          <w:lang w:val="zh-CN"/>
        </w:rPr>
        <w:t>项目立项、资金申报的依据。</w:t>
      </w:r>
    </w:p>
    <w:p>
      <w:pPr>
        <w:pStyle w:val="2"/>
        <w:widowControl w:val="0"/>
        <w:numPr>
          <w:ilvl w:val="0"/>
          <w:numId w:val="0"/>
        </w:numPr>
        <w:autoSpaceDE w:val="0"/>
        <w:autoSpaceDN w:val="0"/>
        <w:adjustRightInd w:val="0"/>
        <w:ind w:firstLine="640" w:firstLineChars="200"/>
        <w:rPr>
          <w:rFonts w:hint="eastAsia"/>
          <w:lang w:val="zh-CN"/>
        </w:rPr>
      </w:pPr>
      <w:r>
        <w:rPr>
          <w:rFonts w:hint="eastAsia" w:ascii="Times New Roman" w:hAnsi="Times New Roman" w:eastAsia="仿宋_GB2312" w:cs="Times New Roman"/>
          <w:sz w:val="32"/>
          <w:szCs w:val="32"/>
        </w:rPr>
        <w:t>2022年，</w:t>
      </w:r>
      <w:r>
        <w:rPr>
          <w:rFonts w:ascii="Times New Roman" w:hAnsi="Times New Roman" w:eastAsia="仿宋_GB2312" w:cs="Times New Roman"/>
          <w:sz w:val="32"/>
          <w:szCs w:val="32"/>
        </w:rPr>
        <w:t>安居区关工委牢牢把握习近平总书记对关心下一代工作系列重要指示，</w:t>
      </w:r>
      <w:r>
        <w:rPr>
          <w:rFonts w:hint="eastAsia" w:ascii="Times New Roman" w:hAnsi="Times New Roman" w:eastAsia="仿宋_GB2312" w:cs="Times New Roman"/>
          <w:sz w:val="32"/>
          <w:szCs w:val="32"/>
        </w:rPr>
        <w:t>以党的二十大精神为指引，</w:t>
      </w:r>
      <w:r>
        <w:rPr>
          <w:rFonts w:ascii="Times New Roman" w:hAnsi="Times New Roman" w:eastAsia="仿宋_GB2312" w:cs="Times New Roman"/>
          <w:sz w:val="32"/>
          <w:szCs w:val="32"/>
        </w:rPr>
        <w:t>认真贯彻落实《中共中央办公厅 国务院办公厅关于加强新时代关心下一代工作委员会工作的意见》和省委、省政府，市委、市政府及区委、区政府部署要求，遵循“急党政之所急，想青少年所想，尽关工委所能”的工作方针，围绕中心，服务大局，坚持立德树人的根本任务，着力助弱帮困、固本强基等重点工作，</w:t>
      </w:r>
      <w:r>
        <w:rPr>
          <w:rFonts w:hint="eastAsia" w:ascii="Times New Roman" w:hAnsi="Times New Roman" w:eastAsia="仿宋_GB2312" w:cs="Times New Roman"/>
          <w:sz w:val="32"/>
          <w:szCs w:val="32"/>
        </w:rPr>
        <w:t>奋力</w:t>
      </w:r>
      <w:r>
        <w:rPr>
          <w:rFonts w:ascii="Times New Roman" w:hAnsi="Times New Roman" w:eastAsia="仿宋_GB2312" w:cs="Times New Roman"/>
          <w:sz w:val="32"/>
          <w:szCs w:val="32"/>
        </w:rPr>
        <w:t>营造青少年健康成长成才的良好环境。</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en-US" w:eastAsia="zh-CN"/>
        </w:rPr>
        <w:t>3.</w:t>
      </w:r>
      <w:r>
        <w:rPr>
          <w:rFonts w:hint="eastAsia" w:ascii="仿宋_GB2312" w:hAnsi="仿宋_GB2312" w:eastAsia="仿宋_GB2312" w:cs="仿宋_GB2312"/>
          <w:color w:val="auto"/>
          <w:kern w:val="0"/>
          <w:sz w:val="32"/>
          <w:szCs w:val="32"/>
          <w:highlight w:val="none"/>
          <w:u w:val="none"/>
          <w:shd w:val="clear" w:color="auto" w:fill="FFFFFF"/>
          <w:lang w:val="zh-CN"/>
        </w:rPr>
        <w:t>资金</w:t>
      </w:r>
      <w:r>
        <w:rPr>
          <w:rFonts w:hint="eastAsia" w:ascii="仿宋_GB2312" w:hAnsi="仿宋_GB2312" w:eastAsia="仿宋_GB2312" w:cs="仿宋_GB2312"/>
          <w:color w:val="auto"/>
          <w:kern w:val="0"/>
          <w:sz w:val="32"/>
          <w:szCs w:val="32"/>
          <w:highlight w:val="none"/>
          <w:u w:val="none"/>
          <w:shd w:val="clear" w:color="auto" w:fill="FFFFFF"/>
          <w:lang w:val="en-US" w:eastAsia="zh-CN"/>
        </w:rPr>
        <w:t>或项目</w:t>
      </w:r>
      <w:r>
        <w:rPr>
          <w:rFonts w:hint="eastAsia" w:ascii="仿宋_GB2312" w:hAnsi="仿宋_GB2312" w:eastAsia="仿宋_GB2312" w:cs="仿宋_GB2312"/>
          <w:color w:val="auto"/>
          <w:kern w:val="0"/>
          <w:sz w:val="32"/>
          <w:szCs w:val="32"/>
          <w:highlight w:val="none"/>
          <w:u w:val="none"/>
          <w:shd w:val="clear" w:color="auto" w:fill="FFFFFF"/>
          <w:lang w:val="zh-CN"/>
        </w:rPr>
        <w:t>管理办法制定情况，资金支持具体项目的条件、范围与支持方式概况。</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default" w:ascii="仿宋_GB2312" w:hAnsi="仿宋_GB2312" w:eastAsia="仿宋_GB2312" w:cs="仿宋_GB2312"/>
          <w:color w:val="auto"/>
          <w:kern w:val="0"/>
          <w:sz w:val="32"/>
          <w:szCs w:val="32"/>
          <w:highlight w:val="none"/>
          <w:u w:val="none"/>
          <w:shd w:val="clear" w:color="auto" w:fill="FFFFFF"/>
          <w:lang w:val="en-US" w:eastAsia="zh-CN"/>
        </w:rPr>
      </w:pPr>
      <w:r>
        <w:rPr>
          <w:rFonts w:hint="eastAsia" w:ascii="仿宋_GB2312" w:hAnsi="仿宋_GB2312" w:eastAsia="仿宋_GB2312" w:cs="仿宋_GB2312"/>
          <w:color w:val="auto"/>
          <w:kern w:val="0"/>
          <w:sz w:val="32"/>
          <w:szCs w:val="32"/>
          <w:highlight w:val="none"/>
          <w:u w:val="none"/>
          <w:shd w:val="clear" w:color="auto" w:fill="FFFFFF"/>
          <w:lang w:val="en-US" w:eastAsia="zh-CN"/>
        </w:rPr>
        <w:t>项目经费主要用于为五老人员开展工作提供适当经费，调动其积极性关心下一代，更好更优地实现关工委的职能作用。</w:t>
      </w:r>
      <w:r>
        <w:rPr>
          <w:rFonts w:hint="eastAsia" w:ascii="仿宋_GB2312" w:hAnsi="仿宋_GB2312" w:eastAsia="仿宋_GB2312" w:cs="仿宋_GB2312"/>
          <w:color w:val="auto"/>
          <w:kern w:val="0"/>
          <w:sz w:val="32"/>
          <w:szCs w:val="32"/>
          <w:highlight w:val="none"/>
          <w:u w:val="none"/>
          <w:shd w:val="clear" w:color="auto" w:fill="FFFFFF"/>
          <w:lang w:val="zh-CN"/>
        </w:rPr>
        <w:t>专项经费严格按照专款专用原则，及时通知有关单位提供合法票据，完善报账手续，严格票据审核，规范报账程序，确保资金使用的及时性、规范性，同时财政部门对资金支付严格审核，确保资金使用安全。根据国家财经法规和单位财务管理制度的相关规定以及有关项目资金管理办法的规定支出，做到了资金使用的安全性、规范性，保证资金使用无截留、挤占、挪用、虚列支出等情况。</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Chars="200" w:firstLine="320" w:firstLineChars="1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en-US" w:eastAsia="zh-CN"/>
        </w:rPr>
        <w:t>4.</w:t>
      </w:r>
      <w:r>
        <w:rPr>
          <w:rFonts w:hint="eastAsia" w:ascii="仿宋_GB2312" w:hAnsi="仿宋_GB2312" w:eastAsia="仿宋_GB2312" w:cs="仿宋_GB2312"/>
          <w:color w:val="auto"/>
          <w:kern w:val="0"/>
          <w:sz w:val="32"/>
          <w:szCs w:val="32"/>
          <w:highlight w:val="none"/>
          <w:u w:val="none"/>
          <w:shd w:val="clear" w:color="auto" w:fill="FFFFFF"/>
          <w:lang w:val="zh-CN"/>
        </w:rPr>
        <w:t>资金分配的原则及考虑因素。</w:t>
      </w:r>
    </w:p>
    <w:p>
      <w:pPr>
        <w:spacing w:after="0" w:line="560" w:lineRule="exact"/>
        <w:ind w:firstLine="640" w:firstLineChars="200"/>
        <w:jc w:val="both"/>
        <w:rPr>
          <w:rFonts w:ascii="Times New Roman" w:hAnsi="Times New Roman" w:eastAsia="仿宋_GB2312" w:cs="Times New Roman"/>
          <w:sz w:val="32"/>
          <w:szCs w:val="32"/>
        </w:rPr>
      </w:pPr>
      <w:r>
        <w:rPr>
          <w:rFonts w:hint="eastAsia" w:ascii="仿宋_GB2312" w:hAnsi="仿宋_GB2312" w:eastAsia="仿宋_GB2312" w:cs="仿宋_GB2312"/>
          <w:sz w:val="32"/>
          <w:szCs w:val="32"/>
        </w:rPr>
        <w:t>安居区关工委</w:t>
      </w:r>
      <w:r>
        <w:rPr>
          <w:rFonts w:hint="eastAsia" w:ascii="Times New Roman" w:hAnsi="Times New Roman" w:eastAsia="仿宋_GB2312" w:cs="Times New Roman"/>
          <w:sz w:val="32"/>
          <w:szCs w:val="32"/>
        </w:rPr>
        <w:t>坚持“凡困必帮、有难必救”原则，探索助弱帮困新举措，用真心关爱青少年、用真情温暖青少年、用真诚感动青少年。</w:t>
      </w:r>
    </w:p>
    <w:p>
      <w:pPr>
        <w:pStyle w:val="2"/>
        <w:widowControl w:val="0"/>
        <w:numPr>
          <w:ilvl w:val="0"/>
          <w:numId w:val="0"/>
        </w:numPr>
        <w:autoSpaceDE w:val="0"/>
        <w:autoSpaceDN w:val="0"/>
        <w:adjustRightInd w:val="0"/>
        <w:ind w:firstLine="640" w:firstLineChars="200"/>
        <w:rPr>
          <w:rFonts w:hint="eastAsia" w:eastAsia="仿宋_GB2312"/>
          <w:lang w:val="zh-CN" w:eastAsia="zh-CN"/>
        </w:rPr>
      </w:pPr>
      <w:r>
        <w:rPr>
          <w:rFonts w:hint="eastAsia" w:ascii="Times New Roman" w:hAnsi="Times New Roman" w:eastAsia="仿宋_GB2312" w:cs="Times New Roman"/>
          <w:sz w:val="32"/>
          <w:szCs w:val="32"/>
        </w:rPr>
        <w:t>充分发挥</w:t>
      </w:r>
      <w:r>
        <w:rPr>
          <w:rFonts w:ascii="Times New Roman" w:hAnsi="Times New Roman" w:eastAsia="仿宋_GB2312" w:cs="Times New Roman"/>
          <w:sz w:val="32"/>
          <w:szCs w:val="32"/>
        </w:rPr>
        <w:t>关心下一代工作联席会议</w:t>
      </w:r>
      <w:r>
        <w:rPr>
          <w:rFonts w:hint="eastAsia" w:ascii="Times New Roman" w:hAnsi="Times New Roman" w:eastAsia="仿宋_GB2312" w:cs="Times New Roman"/>
          <w:sz w:val="32"/>
          <w:szCs w:val="32"/>
        </w:rPr>
        <w:t>统筹协调</w:t>
      </w:r>
      <w:r>
        <w:rPr>
          <w:rFonts w:ascii="Times New Roman" w:hAnsi="Times New Roman" w:eastAsia="仿宋_GB2312" w:cs="Times New Roman"/>
          <w:sz w:val="32"/>
          <w:szCs w:val="32"/>
        </w:rPr>
        <w:t>作用，</w:t>
      </w:r>
      <w:r>
        <w:rPr>
          <w:rFonts w:hint="eastAsia" w:ascii="Times New Roman" w:hAnsi="Times New Roman" w:eastAsia="仿宋_GB2312" w:cs="Times New Roman"/>
          <w:sz w:val="32"/>
          <w:szCs w:val="32"/>
        </w:rPr>
        <w:t>由区</w:t>
      </w:r>
      <w:r>
        <w:rPr>
          <w:rFonts w:ascii="Times New Roman" w:hAnsi="Times New Roman" w:eastAsia="仿宋_GB2312" w:cs="Times New Roman"/>
          <w:sz w:val="32"/>
          <w:szCs w:val="32"/>
        </w:rPr>
        <w:t>关工委</w:t>
      </w:r>
      <w:r>
        <w:rPr>
          <w:rFonts w:hint="eastAsia" w:ascii="Times New Roman" w:hAnsi="Times New Roman" w:eastAsia="仿宋_GB2312" w:cs="Times New Roman"/>
          <w:sz w:val="32"/>
          <w:szCs w:val="32"/>
        </w:rPr>
        <w:t>牵头，联合</w:t>
      </w:r>
      <w:r>
        <w:rPr>
          <w:rFonts w:ascii="Times New Roman" w:hAnsi="Times New Roman" w:eastAsia="仿宋_GB2312" w:cs="Times New Roman"/>
          <w:sz w:val="32"/>
          <w:szCs w:val="32"/>
        </w:rPr>
        <w:t>教体、民政、团委、妇联等</w:t>
      </w:r>
      <w:r>
        <w:rPr>
          <w:rFonts w:hint="eastAsia" w:ascii="Times New Roman" w:hAnsi="Times New Roman" w:eastAsia="仿宋_GB2312" w:cs="Times New Roman"/>
          <w:sz w:val="32"/>
          <w:szCs w:val="32"/>
        </w:rPr>
        <w:t>26个</w:t>
      </w:r>
      <w:r>
        <w:rPr>
          <w:rFonts w:ascii="Times New Roman" w:hAnsi="Times New Roman" w:eastAsia="仿宋_GB2312" w:cs="Times New Roman"/>
          <w:sz w:val="32"/>
          <w:szCs w:val="32"/>
        </w:rPr>
        <w:t>部门</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实施“金秋助学”</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滋惠计划”</w:t>
      </w:r>
      <w:r>
        <w:rPr>
          <w:rFonts w:hint="eastAsia" w:ascii="Times New Roman" w:hAnsi="Times New Roman" w:eastAsia="仿宋_GB2312" w:cs="Times New Roman"/>
          <w:sz w:val="32"/>
          <w:szCs w:val="32"/>
        </w:rPr>
        <w:t>“春蕾计划”</w:t>
      </w:r>
      <w:r>
        <w:rPr>
          <w:rFonts w:ascii="Times New Roman" w:hAnsi="Times New Roman" w:eastAsia="仿宋_GB2312" w:cs="Times New Roman"/>
          <w:sz w:val="32"/>
          <w:szCs w:val="32"/>
        </w:rPr>
        <w:t>等</w:t>
      </w:r>
      <w:r>
        <w:rPr>
          <w:rFonts w:hint="eastAsia" w:ascii="Times New Roman" w:hAnsi="Times New Roman" w:eastAsia="仿宋_GB2312" w:cs="Times New Roman"/>
          <w:sz w:val="32"/>
          <w:szCs w:val="32"/>
        </w:rPr>
        <w:t>13个青少年关爱</w:t>
      </w:r>
      <w:r>
        <w:rPr>
          <w:rFonts w:ascii="Times New Roman" w:hAnsi="Times New Roman" w:eastAsia="仿宋_GB2312" w:cs="Times New Roman"/>
          <w:sz w:val="32"/>
          <w:szCs w:val="32"/>
        </w:rPr>
        <w:t>帮扶</w:t>
      </w:r>
      <w:r>
        <w:rPr>
          <w:rFonts w:hint="eastAsia" w:ascii="Times New Roman" w:hAnsi="Times New Roman" w:eastAsia="仿宋_GB2312" w:cs="Times New Roman"/>
          <w:sz w:val="32"/>
          <w:szCs w:val="32"/>
        </w:rPr>
        <w:t>项目</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开展</w:t>
      </w:r>
      <w:r>
        <w:rPr>
          <w:rFonts w:ascii="Times New Roman" w:hAnsi="Times New Roman" w:eastAsia="仿宋_GB2312" w:cs="Times New Roman"/>
          <w:sz w:val="32"/>
          <w:szCs w:val="32"/>
        </w:rPr>
        <w:t>微心愿</w:t>
      </w:r>
      <w:r>
        <w:rPr>
          <w:rFonts w:hint="eastAsia" w:ascii="Times New Roman" w:hAnsi="Times New Roman" w:eastAsia="仿宋_GB2312" w:cs="Times New Roman"/>
          <w:sz w:val="32"/>
          <w:szCs w:val="32"/>
        </w:rPr>
        <w:t>、暖冬行动等走访慰问活动近10场次</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走访慰问10名</w:t>
      </w:r>
      <w:r>
        <w:rPr>
          <w:rFonts w:hint="eastAsia" w:ascii="Times New Roman" w:hAnsi="Times New Roman" w:eastAsia="仿宋_GB2312" w:cs="Times New Roman"/>
          <w:sz w:val="32"/>
          <w:szCs w:val="32"/>
        </w:rPr>
        <w:t>困难</w:t>
      </w:r>
      <w:r>
        <w:rPr>
          <w:rFonts w:ascii="Times New Roman" w:hAnsi="Times New Roman" w:eastAsia="仿宋_GB2312" w:cs="Times New Roman"/>
          <w:sz w:val="32"/>
          <w:szCs w:val="32"/>
        </w:rPr>
        <w:t>“五老”骨干</w:t>
      </w:r>
      <w:r>
        <w:rPr>
          <w:rFonts w:hint="eastAsia" w:ascii="Times New Roman" w:hAnsi="Times New Roman" w:eastAsia="仿宋_GB2312" w:cs="Times New Roman"/>
          <w:sz w:val="32"/>
          <w:szCs w:val="32"/>
        </w:rPr>
        <w:t>，看望慰问23名生病住院</w:t>
      </w:r>
      <w:r>
        <w:rPr>
          <w:rFonts w:ascii="Times New Roman" w:hAnsi="Times New Roman" w:eastAsia="仿宋_GB2312" w:cs="Times New Roman"/>
          <w:sz w:val="32"/>
          <w:szCs w:val="32"/>
        </w:rPr>
        <w:t>“五老”骨干</w:t>
      </w:r>
      <w:r>
        <w:rPr>
          <w:rFonts w:hint="eastAsia" w:ascii="Times New Roman" w:hAnsi="Times New Roman" w:eastAsia="仿宋_GB2312" w:cs="Times New Roman"/>
          <w:sz w:val="32"/>
          <w:szCs w:val="32"/>
        </w:rPr>
        <w:t>，送去价值近2万元的慰问品和慰问金，</w:t>
      </w:r>
      <w:r>
        <w:rPr>
          <w:rFonts w:ascii="Times New Roman" w:hAnsi="Times New Roman" w:eastAsia="仿宋_GB2312" w:cs="Times New Roman"/>
          <w:sz w:val="32"/>
          <w:szCs w:val="32"/>
        </w:rPr>
        <w:t>用实际行动将温暖、关爱送到老同志的心坎上</w:t>
      </w:r>
      <w:r>
        <w:rPr>
          <w:rFonts w:hint="eastAsia" w:ascii="Times New Roman" w:hAnsi="Times New Roman" w:eastAsia="仿宋_GB2312" w:cs="Times New Roman"/>
          <w:sz w:val="32"/>
          <w:szCs w:val="32"/>
        </w:rPr>
        <w:t>。充分调动“五老”的积极性和主动性，通过公众号、新闻网站等方式宣传报道</w:t>
      </w:r>
      <w:r>
        <w:rPr>
          <w:rFonts w:ascii="Times New Roman" w:hAnsi="Times New Roman" w:eastAsia="仿宋_GB2312" w:cs="Times New Roman"/>
          <w:sz w:val="32"/>
          <w:szCs w:val="32"/>
        </w:rPr>
        <w:t>关心下一代工作</w:t>
      </w:r>
      <w:r>
        <w:rPr>
          <w:rFonts w:hint="eastAsia" w:ascii="Times New Roman" w:hAnsi="Times New Roman" w:eastAsia="仿宋_GB2312" w:cs="Times New Roman"/>
          <w:sz w:val="32"/>
          <w:szCs w:val="32"/>
        </w:rPr>
        <w:t>30余篇次，</w:t>
      </w:r>
      <w:r>
        <w:rPr>
          <w:rFonts w:ascii="Times New Roman" w:hAnsi="Times New Roman" w:eastAsia="仿宋_GB2312" w:cs="Times New Roman"/>
          <w:sz w:val="32"/>
          <w:szCs w:val="32"/>
        </w:rPr>
        <w:t>努力营造全社会共同关心青少年健康成长的舆论氛围</w:t>
      </w:r>
      <w:r>
        <w:rPr>
          <w:rFonts w:hint="eastAsia" w:ascii="Times New Roman" w:hAnsi="Times New Roman" w:eastAsia="仿宋_GB2312" w:cs="Times New Roman"/>
          <w:sz w:val="32"/>
          <w:szCs w:val="32"/>
        </w:rPr>
        <w:t>，增强“五老”的使命感、责任感。</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（二）项目绩效目标。</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1</w:t>
      </w:r>
      <w:r>
        <w:rPr>
          <w:rFonts w:hint="eastAsia" w:ascii="仿宋_GB2312" w:hAnsi="仿宋_GB2312" w:eastAsia="仿宋_GB2312" w:cs="仿宋_GB2312"/>
          <w:color w:val="auto"/>
          <w:kern w:val="0"/>
          <w:sz w:val="32"/>
          <w:szCs w:val="32"/>
          <w:highlight w:val="none"/>
          <w:u w:val="none"/>
          <w:shd w:val="clear" w:color="auto" w:fill="FFFFFF"/>
          <w:lang w:val="en-US" w:eastAsia="zh-CN"/>
        </w:rPr>
        <w:t>.</w:t>
      </w:r>
      <w:r>
        <w:rPr>
          <w:rFonts w:hint="eastAsia" w:ascii="仿宋_GB2312" w:hAnsi="仿宋_GB2312" w:eastAsia="仿宋_GB2312" w:cs="仿宋_GB2312"/>
          <w:color w:val="auto"/>
          <w:kern w:val="0"/>
          <w:sz w:val="32"/>
          <w:szCs w:val="32"/>
          <w:highlight w:val="none"/>
          <w:u w:val="none"/>
          <w:shd w:val="clear" w:color="auto" w:fill="FFFFFF"/>
          <w:lang w:val="zh-CN"/>
        </w:rPr>
        <w:t>项目主要内容。</w:t>
      </w:r>
    </w:p>
    <w:p>
      <w:pPr>
        <w:adjustRightInd w:val="0"/>
        <w:snapToGrid w:val="0"/>
        <w:spacing w:line="600" w:lineRule="exact"/>
        <w:ind w:firstLine="480" w:firstLineChars="150"/>
        <w:rPr>
          <w:rFonts w:hint="eastAsia" w:ascii="仿宋_GB2312" w:hAnsi="宋体" w:eastAsia="仿宋_GB2312"/>
          <w:sz w:val="32"/>
          <w:szCs w:val="32"/>
          <w:highlight w:val="none"/>
          <w:lang w:val="en-US" w:eastAsia="zh-CN"/>
        </w:rPr>
      </w:pPr>
      <w:r>
        <w:rPr>
          <w:rFonts w:hint="eastAsia" w:ascii="仿宋_GB2312" w:hAnsi="宋体" w:eastAsia="仿宋_GB2312"/>
          <w:sz w:val="32"/>
          <w:szCs w:val="32"/>
          <w:highlight w:val="none"/>
          <w:lang w:val="en-US" w:eastAsia="zh-CN"/>
        </w:rPr>
        <w:t xml:space="preserve">主要用于为五老人员开展工作提供适当经费，调动其积极性关心下一代。一是教育引导青少年树立和践行社会主义核心价值观，扎实推进青少年思想道德建设。二是坚持以人民为中心，重点突出培养青少年成长成才和关爱弱势群体工作，有效为青少年服务。三是加强关工委自身建设，为全面推进关工委工作提供组织保证。加强关工委自身建设。把各级关工委建设成学习型、服务型、调研型、创新型关工委。 </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仿宋_GB2312" w:hAnsi="仿宋_GB2312" w:eastAsia="仿宋_GB2312" w:cs="仿宋_GB2312"/>
          <w:color w:val="auto"/>
          <w:kern w:val="0"/>
          <w:sz w:val="32"/>
          <w:szCs w:val="32"/>
          <w:highlight w:val="none"/>
          <w:u w:val="none"/>
          <w:shd w:val="clear" w:color="auto" w:fill="FFFFFF"/>
          <w:lang w:val="zh-CN" w:eastAsia="zh-CN"/>
        </w:rPr>
      </w:pPr>
      <w:r>
        <w:rPr>
          <w:rFonts w:hint="eastAsia" w:ascii="仿宋_GB2312" w:hAnsi="仿宋_GB2312" w:eastAsia="仿宋_GB2312" w:cs="仿宋_GB2312"/>
          <w:color w:val="auto"/>
          <w:kern w:val="0"/>
          <w:sz w:val="32"/>
          <w:szCs w:val="32"/>
          <w:highlight w:val="none"/>
          <w:u w:val="none"/>
          <w:shd w:val="clear" w:color="auto" w:fill="FFFFFF"/>
          <w:lang w:val="en-US" w:eastAsia="zh-CN"/>
        </w:rPr>
        <w:t>2.</w:t>
      </w:r>
      <w:r>
        <w:rPr>
          <w:rFonts w:hint="eastAsia" w:ascii="仿宋_GB2312" w:hAnsi="仿宋_GB2312" w:eastAsia="仿宋_GB2312" w:cs="仿宋_GB2312"/>
          <w:color w:val="auto"/>
          <w:kern w:val="0"/>
          <w:sz w:val="32"/>
          <w:szCs w:val="32"/>
          <w:highlight w:val="none"/>
          <w:u w:val="none"/>
          <w:shd w:val="clear" w:color="auto" w:fill="FFFFFF"/>
          <w:lang w:val="zh-CN" w:eastAsia="zh-CN"/>
        </w:rPr>
        <w:t>项目应实现的具体绩效目标，</w:t>
      </w:r>
      <w:r>
        <w:rPr>
          <w:rFonts w:hint="eastAsia" w:ascii="仿宋_GB2312" w:hAnsi="仿宋_GB2312" w:eastAsia="仿宋_GB2312" w:cs="仿宋_GB2312"/>
          <w:color w:val="auto"/>
          <w:kern w:val="0"/>
          <w:sz w:val="32"/>
          <w:szCs w:val="32"/>
          <w:highlight w:val="none"/>
          <w:u w:val="none"/>
          <w:shd w:val="clear" w:color="auto" w:fill="FFFFFF"/>
          <w:lang w:val="en-US" w:eastAsia="zh-CN"/>
        </w:rPr>
        <w:t>包括但不限于：绩效</w:t>
      </w:r>
      <w:r>
        <w:rPr>
          <w:rFonts w:hint="eastAsia" w:ascii="仿宋_GB2312" w:hAnsi="仿宋_GB2312" w:eastAsia="仿宋_GB2312" w:cs="仿宋_GB2312"/>
          <w:color w:val="auto"/>
          <w:kern w:val="0"/>
          <w:sz w:val="32"/>
          <w:szCs w:val="32"/>
          <w:highlight w:val="none"/>
          <w:u w:val="none"/>
          <w:shd w:val="clear" w:color="auto" w:fill="FFFFFF"/>
          <w:lang w:val="zh-CN" w:eastAsia="zh-CN"/>
        </w:rPr>
        <w:t>目标的量化细化情况、项目实施进度计划等。</w:t>
      </w:r>
    </w:p>
    <w:p>
      <w:pPr>
        <w:adjustRightInd w:val="0"/>
        <w:snapToGrid w:val="0"/>
        <w:spacing w:line="600" w:lineRule="exact"/>
        <w:ind w:firstLine="480" w:firstLineChars="150"/>
        <w:rPr>
          <w:rFonts w:hint="eastAsia" w:ascii="仿宋_GB2312" w:hAnsi="宋体" w:eastAsia="仿宋_GB2312"/>
          <w:sz w:val="32"/>
          <w:szCs w:val="32"/>
          <w:highlight w:val="none"/>
          <w:lang w:val="en-US" w:eastAsia="zh-CN"/>
        </w:rPr>
      </w:pPr>
      <w:r>
        <w:rPr>
          <w:rFonts w:hint="eastAsia" w:ascii="仿宋_GB2312" w:hAnsi="宋体" w:eastAsia="仿宋_GB2312"/>
          <w:sz w:val="32"/>
          <w:szCs w:val="32"/>
          <w:highlight w:val="none"/>
          <w:lang w:val="en-US" w:eastAsia="zh-CN"/>
        </w:rPr>
        <w:t>（1）数量指标：开展关工委各类活动至少6次。</w:t>
      </w:r>
    </w:p>
    <w:p>
      <w:pPr>
        <w:adjustRightInd w:val="0"/>
        <w:snapToGrid w:val="0"/>
        <w:spacing w:line="600" w:lineRule="exact"/>
        <w:ind w:firstLine="480" w:firstLineChars="150"/>
        <w:rPr>
          <w:rFonts w:hint="eastAsia" w:ascii="仿宋_GB2312" w:hAnsi="宋体" w:eastAsia="仿宋_GB2312"/>
          <w:sz w:val="32"/>
          <w:szCs w:val="32"/>
          <w:highlight w:val="none"/>
          <w:lang w:val="en-US" w:eastAsia="zh-CN"/>
        </w:rPr>
      </w:pPr>
      <w:r>
        <w:rPr>
          <w:rFonts w:hint="eastAsia" w:ascii="仿宋_GB2312" w:hAnsi="宋体" w:eastAsia="仿宋_GB2312"/>
          <w:sz w:val="32"/>
          <w:szCs w:val="32"/>
          <w:highlight w:val="none"/>
          <w:lang w:val="en-US" w:eastAsia="zh-CN"/>
        </w:rPr>
        <w:t>（2）满意度指标：全区青少年满意度得到不断提升。</w:t>
      </w:r>
    </w:p>
    <w:p>
      <w:pPr>
        <w:adjustRightInd w:val="0"/>
        <w:snapToGrid w:val="0"/>
        <w:spacing w:line="600" w:lineRule="exact"/>
        <w:ind w:firstLine="480" w:firstLineChars="150"/>
        <w:rPr>
          <w:rFonts w:hint="eastAsia" w:ascii="仿宋_GB2312" w:hAnsi="宋体" w:eastAsia="仿宋_GB2312"/>
          <w:sz w:val="32"/>
          <w:szCs w:val="32"/>
          <w:highlight w:val="none"/>
          <w:lang w:val="en-US" w:eastAsia="zh-CN"/>
        </w:rPr>
      </w:pPr>
      <w:r>
        <w:rPr>
          <w:rFonts w:hint="eastAsia" w:ascii="仿宋_GB2312" w:hAnsi="宋体" w:eastAsia="仿宋_GB2312"/>
          <w:sz w:val="32"/>
          <w:szCs w:val="32"/>
          <w:highlight w:val="none"/>
          <w:lang w:val="en-US" w:eastAsia="zh-CN"/>
        </w:rPr>
        <w:t>（3）社会效益指标：深化爱国主义教育和传统文化教育，不断强化青少年思想道德建设。</w:t>
      </w:r>
    </w:p>
    <w:p>
      <w:pPr>
        <w:adjustRightInd w:val="0"/>
        <w:snapToGrid w:val="0"/>
        <w:spacing w:line="600" w:lineRule="exact"/>
        <w:ind w:firstLine="480" w:firstLineChars="150"/>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宋体" w:eastAsia="仿宋_GB2312"/>
          <w:color w:val="auto"/>
          <w:sz w:val="32"/>
          <w:szCs w:val="32"/>
          <w:lang w:val="zh-CN"/>
        </w:rPr>
        <w:t>3．分析评价申报内容</w:t>
      </w:r>
      <w:r>
        <w:rPr>
          <w:rFonts w:hint="eastAsia" w:ascii="仿宋_GB2312" w:hAnsi="仿宋_GB2312" w:eastAsia="仿宋_GB2312" w:cs="仿宋_GB2312"/>
          <w:color w:val="auto"/>
          <w:kern w:val="0"/>
          <w:sz w:val="32"/>
          <w:szCs w:val="32"/>
          <w:highlight w:val="none"/>
          <w:u w:val="none"/>
          <w:shd w:val="clear" w:color="auto" w:fill="FFFFFF"/>
          <w:lang w:val="zh-CN"/>
        </w:rPr>
        <w:t>是否与实际相符，申报目标是否合理可行。</w:t>
      </w:r>
    </w:p>
    <w:p>
      <w:pPr>
        <w:adjustRightInd w:val="0"/>
        <w:snapToGrid w:val="0"/>
        <w:spacing w:line="600" w:lineRule="exact"/>
        <w:ind w:firstLine="480" w:firstLineChars="150"/>
        <w:rPr>
          <w:rFonts w:hint="eastAsia" w:ascii="仿宋_GB2312" w:hAnsi="宋体" w:eastAsia="仿宋_GB2312"/>
          <w:sz w:val="32"/>
          <w:szCs w:val="32"/>
          <w:highlight w:val="none"/>
          <w:lang w:val="zh-CN" w:eastAsia="zh-CN"/>
        </w:rPr>
      </w:pPr>
      <w:r>
        <w:rPr>
          <w:rFonts w:hint="eastAsia" w:ascii="仿宋_GB2312" w:hAnsi="宋体" w:eastAsia="仿宋_GB2312"/>
          <w:sz w:val="32"/>
          <w:szCs w:val="32"/>
          <w:highlight w:val="none"/>
          <w:lang w:val="zh-CN" w:eastAsia="zh-CN"/>
        </w:rPr>
        <w:t>项目申报内容与具体实施内容相符、申报目标合理可行。项目实施进度如期完成，计划实现的具体绩效目标达到100%，项目实施进度计划达到100%。</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（三）项目自评步骤及方法。</w:t>
      </w:r>
    </w:p>
    <w:p>
      <w:pPr>
        <w:adjustRightInd w:val="0"/>
        <w:snapToGrid w:val="0"/>
        <w:spacing w:line="600" w:lineRule="exact"/>
        <w:ind w:firstLine="480" w:firstLineChars="150"/>
        <w:rPr>
          <w:rFonts w:hint="default" w:ascii="仿宋_GB2312" w:hAnsi="宋体" w:eastAsia="仿宋_GB2312"/>
          <w:sz w:val="32"/>
          <w:szCs w:val="32"/>
          <w:highlight w:val="none"/>
          <w:lang w:val="zh-CN" w:eastAsia="zh-CN"/>
        </w:rPr>
      </w:pPr>
      <w:r>
        <w:rPr>
          <w:rFonts w:hint="default" w:ascii="仿宋_GB2312" w:hAnsi="宋体" w:eastAsia="仿宋_GB2312"/>
          <w:sz w:val="32"/>
          <w:szCs w:val="32"/>
          <w:highlight w:val="none"/>
          <w:lang w:val="en-US" w:eastAsia="zh-CN"/>
        </w:rPr>
        <w:t>部</w:t>
      </w:r>
      <w:r>
        <w:rPr>
          <w:rFonts w:hint="default" w:ascii="仿宋_GB2312" w:hAnsi="宋体" w:eastAsia="仿宋_GB2312"/>
          <w:sz w:val="32"/>
          <w:szCs w:val="32"/>
          <w:highlight w:val="none"/>
          <w:lang w:val="zh-CN" w:eastAsia="zh-CN"/>
        </w:rPr>
        <w:t>领导高度重视202</w:t>
      </w:r>
      <w:r>
        <w:rPr>
          <w:rFonts w:hint="eastAsia" w:ascii="仿宋_GB2312" w:hAnsi="宋体" w:eastAsia="仿宋_GB2312"/>
          <w:sz w:val="32"/>
          <w:szCs w:val="32"/>
          <w:highlight w:val="none"/>
          <w:lang w:val="en-US" w:eastAsia="zh-CN"/>
        </w:rPr>
        <w:t>2</w:t>
      </w:r>
      <w:r>
        <w:rPr>
          <w:rFonts w:hint="default" w:ascii="仿宋_GB2312" w:hAnsi="宋体" w:eastAsia="仿宋_GB2312"/>
          <w:sz w:val="32"/>
          <w:szCs w:val="32"/>
          <w:highlight w:val="none"/>
          <w:lang w:val="zh-CN" w:eastAsia="zh-CN"/>
        </w:rPr>
        <w:t>年度部门预算项目支出绩效自评工作，要求各分管领导具体负责，按照通知要求，积极开展自评工作，认真填报项目支出绩效自评表。同时，成立部门预算项目支出绩效自评工作组，对本单位项目的绩效自评结果进行审核。</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黑体" w:hAnsi="宋体" w:eastAsia="黑体"/>
          <w:color w:val="auto"/>
          <w:sz w:val="32"/>
          <w:szCs w:val="32"/>
          <w:highlight w:val="none"/>
          <w:u w:val="none"/>
        </w:rPr>
      </w:pPr>
      <w:r>
        <w:rPr>
          <w:rFonts w:hint="eastAsia" w:ascii="黑体" w:hAnsi="宋体" w:eastAsia="黑体"/>
          <w:color w:val="auto"/>
          <w:sz w:val="32"/>
          <w:szCs w:val="32"/>
          <w:highlight w:val="none"/>
          <w:u w:val="none"/>
        </w:rPr>
        <w:t>二、项目资金申报及使用情况</w:t>
      </w:r>
    </w:p>
    <w:p>
      <w:pPr>
        <w:keepNext w:val="0"/>
        <w:keepLines w:val="0"/>
        <w:pageBreakBefore w:val="0"/>
        <w:kinsoku/>
        <w:wordWrap/>
        <w:overflowPunct/>
        <w:topLinePunct w:val="0"/>
        <w:autoSpaceDE/>
        <w:autoSpaceDN/>
        <w:bidi w:val="0"/>
        <w:adjustRightInd w:val="0"/>
        <w:snapToGrid w:val="0"/>
        <w:spacing w:line="578" w:lineRule="exact"/>
        <w:ind w:firstLine="321" w:firstLineChars="10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（一）项目资金申报及批复情况。</w:t>
      </w:r>
    </w:p>
    <w:p>
      <w:pPr>
        <w:adjustRightInd w:val="0"/>
        <w:snapToGrid w:val="0"/>
        <w:spacing w:line="600" w:lineRule="exact"/>
        <w:ind w:firstLine="480" w:firstLineChars="150"/>
        <w:rPr>
          <w:rFonts w:hint="eastAsia" w:ascii="仿宋_GB2312" w:hAnsi="宋体" w:eastAsia="仿宋_GB2312"/>
          <w:sz w:val="32"/>
          <w:szCs w:val="32"/>
          <w:highlight w:val="none"/>
          <w:lang w:val="zh-CN" w:eastAsia="zh-CN"/>
        </w:rPr>
      </w:pPr>
      <w:r>
        <w:rPr>
          <w:rFonts w:hint="eastAsia" w:ascii="仿宋_GB2312" w:hAnsi="宋体" w:eastAsia="仿宋_GB2312"/>
          <w:sz w:val="32"/>
          <w:szCs w:val="32"/>
          <w:highlight w:val="none"/>
          <w:lang w:val="zh-CN" w:eastAsia="zh-CN"/>
        </w:rPr>
        <w:t>我单位根据年度关工委工作任务申请立项，通过审议批准后，纳入年初本级预算，预算金额</w:t>
      </w:r>
      <w:r>
        <w:rPr>
          <w:rFonts w:hint="eastAsia" w:ascii="仿宋_GB2312" w:hAnsi="宋体" w:eastAsia="仿宋_GB2312"/>
          <w:sz w:val="32"/>
          <w:szCs w:val="32"/>
          <w:highlight w:val="none"/>
          <w:lang w:val="en-US" w:eastAsia="zh-CN"/>
        </w:rPr>
        <w:t>30.00</w:t>
      </w:r>
      <w:r>
        <w:rPr>
          <w:rFonts w:hint="eastAsia" w:ascii="仿宋_GB2312" w:hAnsi="宋体" w:eastAsia="仿宋_GB2312"/>
          <w:sz w:val="32"/>
          <w:szCs w:val="32"/>
          <w:highlight w:val="none"/>
          <w:lang w:val="zh-CN" w:eastAsia="zh-CN"/>
        </w:rPr>
        <w:t>万元，预算批复</w:t>
      </w:r>
      <w:r>
        <w:rPr>
          <w:rFonts w:hint="eastAsia" w:ascii="仿宋_GB2312" w:hAnsi="宋体" w:eastAsia="仿宋_GB2312"/>
          <w:sz w:val="32"/>
          <w:szCs w:val="32"/>
          <w:highlight w:val="none"/>
          <w:lang w:val="en-US" w:eastAsia="zh-CN"/>
        </w:rPr>
        <w:t>30.00</w:t>
      </w:r>
      <w:r>
        <w:rPr>
          <w:rFonts w:hint="eastAsia" w:ascii="仿宋_GB2312" w:hAnsi="宋体" w:eastAsia="仿宋_GB2312"/>
          <w:sz w:val="32"/>
          <w:szCs w:val="32"/>
          <w:highlight w:val="none"/>
          <w:lang w:val="zh-CN" w:eastAsia="zh-CN"/>
        </w:rPr>
        <w:t>万元。项目开展后，我单位在预算一体化系统中申请使用资金并向财政局归口股室递交项目专项资金申请表提交申请，国库等业务股室审核通过后，指标下达到本单位，本单位再按经费实际开支情况，据实报销资金。</w:t>
      </w:r>
    </w:p>
    <w:p>
      <w:pPr>
        <w:keepNext w:val="0"/>
        <w:keepLines w:val="0"/>
        <w:pageBreakBefore w:val="0"/>
        <w:kinsoku/>
        <w:wordWrap/>
        <w:overflowPunct/>
        <w:topLinePunct w:val="0"/>
        <w:autoSpaceDE/>
        <w:autoSpaceDN/>
        <w:bidi w:val="0"/>
        <w:adjustRightInd w:val="0"/>
        <w:snapToGrid w:val="0"/>
        <w:spacing w:line="578" w:lineRule="exact"/>
        <w:ind w:firstLine="643" w:firstLineChars="200"/>
        <w:textAlignment w:val="auto"/>
        <w:rPr>
          <w:rFonts w:ascii="仿宋_GB2312" w:hAnsi="宋体"/>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（二）资金计划、到位及使用情况（可用表格形式反映）。</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en-US" w:eastAsia="zh-CN"/>
        </w:rPr>
        <w:t>1.</w:t>
      </w:r>
      <w:r>
        <w:rPr>
          <w:rFonts w:hint="eastAsia" w:ascii="仿宋_GB2312" w:hAnsi="仿宋_GB2312" w:eastAsia="仿宋_GB2312" w:cs="仿宋_GB2312"/>
          <w:color w:val="auto"/>
          <w:kern w:val="0"/>
          <w:sz w:val="32"/>
          <w:szCs w:val="32"/>
          <w:highlight w:val="none"/>
          <w:u w:val="none"/>
          <w:shd w:val="clear" w:color="auto" w:fill="FFFFFF"/>
          <w:lang w:val="zh-CN"/>
        </w:rPr>
        <w:t>资金计划。</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000000"/>
          <w:sz w:val="32"/>
          <w:szCs w:val="32"/>
          <w:shd w:val="clear" w:color="auto" w:fill="FFFFFF"/>
          <w:lang w:val="zh-CN"/>
        </w:rPr>
        <w:t>专项项目资金源于年初财政拨款预算，由区财政局统一</w:t>
      </w:r>
      <w:r>
        <w:rPr>
          <w:rFonts w:hint="eastAsia" w:ascii="仿宋_GB2312" w:hAnsi="仿宋_GB2312" w:eastAsia="仿宋_GB2312" w:cs="仿宋_GB2312"/>
          <w:color w:val="000000"/>
          <w:sz w:val="32"/>
          <w:szCs w:val="32"/>
          <w:highlight w:val="none"/>
          <w:shd w:val="clear" w:color="auto" w:fill="FFFFFF"/>
          <w:lang w:val="zh-CN"/>
        </w:rPr>
        <w:t>批复，20</w:t>
      </w:r>
      <w:r>
        <w:rPr>
          <w:rFonts w:hint="eastAsia" w:ascii="仿宋_GB2312" w:hAnsi="仿宋_GB2312" w:eastAsia="仿宋_GB2312" w:cs="仿宋_GB2312"/>
          <w:color w:val="000000"/>
          <w:sz w:val="32"/>
          <w:szCs w:val="32"/>
          <w:highlight w:val="none"/>
          <w:shd w:val="clear" w:color="auto" w:fill="FFFFFF"/>
        </w:rPr>
        <w:t>2</w:t>
      </w:r>
      <w:r>
        <w:rPr>
          <w:rFonts w:hint="eastAsia" w:ascii="仿宋_GB2312" w:hAnsi="仿宋_GB2312" w:eastAsia="仿宋_GB2312" w:cs="仿宋_GB2312"/>
          <w:color w:val="000000"/>
          <w:sz w:val="32"/>
          <w:szCs w:val="32"/>
          <w:highlight w:val="none"/>
          <w:shd w:val="clear" w:color="auto" w:fill="FFFFFF"/>
          <w:lang w:val="en-US" w:eastAsia="zh-CN"/>
        </w:rPr>
        <w:t>2</w:t>
      </w:r>
      <w:r>
        <w:rPr>
          <w:rFonts w:hint="eastAsia" w:ascii="仿宋_GB2312" w:hAnsi="仿宋_GB2312" w:eastAsia="仿宋_GB2312" w:cs="仿宋_GB2312"/>
          <w:color w:val="000000"/>
          <w:sz w:val="32"/>
          <w:szCs w:val="32"/>
          <w:highlight w:val="none"/>
          <w:shd w:val="clear" w:color="auto" w:fill="FFFFFF"/>
          <w:lang w:val="zh-CN"/>
        </w:rPr>
        <w:t>年年初预算</w:t>
      </w:r>
      <w:r>
        <w:rPr>
          <w:rFonts w:hint="eastAsia" w:ascii="仿宋_GB2312" w:eastAsia="仿宋_GB2312" w:cs="Times New Roman"/>
          <w:kern w:val="0"/>
          <w:sz w:val="30"/>
          <w:szCs w:val="24"/>
          <w:lang w:val="en-US" w:eastAsia="zh-CN" w:bidi="ar-SA"/>
        </w:rPr>
        <w:t>30.00</w:t>
      </w:r>
      <w:r>
        <w:rPr>
          <w:rFonts w:hint="eastAsia" w:ascii="仿宋_GB2312" w:hAnsi="仿宋_GB2312" w:eastAsia="仿宋_GB2312" w:cs="仿宋_GB2312"/>
          <w:color w:val="000000"/>
          <w:sz w:val="32"/>
          <w:szCs w:val="32"/>
          <w:highlight w:val="none"/>
          <w:shd w:val="clear" w:color="auto" w:fill="FFFFFF"/>
          <w:lang w:val="en-US" w:eastAsia="zh-CN"/>
        </w:rPr>
        <w:t>万元，</w:t>
      </w:r>
      <w:r>
        <w:rPr>
          <w:rFonts w:hint="eastAsia" w:ascii="仿宋_GB2312" w:hAnsi="仿宋_GB2312" w:eastAsia="仿宋_GB2312" w:cs="仿宋_GB2312"/>
          <w:color w:val="000000"/>
          <w:sz w:val="32"/>
          <w:szCs w:val="32"/>
          <w:highlight w:val="none"/>
          <w:shd w:val="clear" w:color="auto" w:fill="FFFFFF"/>
          <w:lang w:val="zh-CN"/>
        </w:rPr>
        <w:t>预算批复</w:t>
      </w:r>
      <w:r>
        <w:rPr>
          <w:rFonts w:hint="eastAsia" w:ascii="仿宋_GB2312" w:eastAsia="仿宋_GB2312" w:cs="Times New Roman"/>
          <w:kern w:val="0"/>
          <w:sz w:val="30"/>
          <w:szCs w:val="24"/>
          <w:lang w:val="en-US" w:eastAsia="zh-CN" w:bidi="ar-SA"/>
        </w:rPr>
        <w:t>30.00</w:t>
      </w:r>
      <w:r>
        <w:rPr>
          <w:rFonts w:hint="eastAsia" w:ascii="仿宋_GB2312" w:hAnsi="仿宋_GB2312" w:eastAsia="仿宋_GB2312" w:cs="仿宋_GB2312"/>
          <w:color w:val="000000"/>
          <w:sz w:val="32"/>
          <w:szCs w:val="32"/>
          <w:highlight w:val="none"/>
          <w:shd w:val="clear" w:color="auto" w:fill="FFFFFF"/>
          <w:lang w:val="zh-CN"/>
        </w:rPr>
        <w:t>万元，实际下达</w:t>
      </w:r>
      <w:r>
        <w:rPr>
          <w:rFonts w:hint="eastAsia" w:ascii="仿宋_GB2312" w:eastAsia="仿宋_GB2312" w:cs="Times New Roman"/>
          <w:kern w:val="0"/>
          <w:sz w:val="30"/>
          <w:szCs w:val="24"/>
          <w:lang w:val="en-US" w:eastAsia="zh-CN" w:bidi="ar-SA"/>
        </w:rPr>
        <w:t>30.00</w:t>
      </w:r>
      <w:r>
        <w:rPr>
          <w:rFonts w:hint="eastAsia" w:ascii="仿宋_GB2312" w:hAnsi="仿宋_GB2312" w:eastAsia="仿宋_GB2312" w:cs="仿宋_GB2312"/>
          <w:color w:val="000000"/>
          <w:sz w:val="32"/>
          <w:szCs w:val="32"/>
          <w:highlight w:val="none"/>
          <w:shd w:val="clear" w:color="auto" w:fill="FFFFFF"/>
        </w:rPr>
        <w:t>万元</w:t>
      </w:r>
      <w:r>
        <w:rPr>
          <w:rFonts w:hint="eastAsia" w:ascii="仿宋_GB2312" w:hAnsi="仿宋_GB2312" w:eastAsia="仿宋_GB2312" w:cs="仿宋_GB2312"/>
          <w:color w:val="000000"/>
          <w:sz w:val="32"/>
          <w:szCs w:val="32"/>
          <w:highlight w:val="none"/>
          <w:shd w:val="clear" w:color="auto" w:fill="FFFFFF"/>
          <w:lang w:val="zh-CN"/>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630" w:leftChars="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en-US" w:eastAsia="zh-CN"/>
        </w:rPr>
        <w:t>2.</w:t>
      </w:r>
      <w:r>
        <w:rPr>
          <w:rFonts w:hint="eastAsia" w:ascii="仿宋_GB2312" w:hAnsi="仿宋_GB2312" w:eastAsia="仿宋_GB2312" w:cs="仿宋_GB2312"/>
          <w:color w:val="auto"/>
          <w:kern w:val="0"/>
          <w:sz w:val="32"/>
          <w:szCs w:val="32"/>
          <w:highlight w:val="none"/>
          <w:u w:val="none"/>
          <w:shd w:val="clear" w:color="auto" w:fill="FFFFFF"/>
          <w:lang w:val="zh-CN"/>
        </w:rPr>
        <w:t>资金到位。</w:t>
      </w:r>
    </w:p>
    <w:p>
      <w:pPr>
        <w:adjustRightInd w:val="0"/>
        <w:snapToGrid w:val="0"/>
        <w:spacing w:line="600" w:lineRule="exact"/>
        <w:ind w:firstLine="640" w:firstLineChars="200"/>
        <w:rPr>
          <w:rFonts w:ascii="仿宋_GB2312" w:hAnsi="宋体" w:eastAsia="仿宋_GB2312"/>
          <w:sz w:val="32"/>
          <w:szCs w:val="32"/>
          <w:highlight w:val="none"/>
          <w:lang w:val="zh-CN"/>
        </w:rPr>
      </w:pPr>
      <w:r>
        <w:rPr>
          <w:rFonts w:hint="eastAsia" w:ascii="仿宋_GB2312" w:hAnsi="宋体" w:eastAsia="仿宋_GB2312"/>
          <w:sz w:val="32"/>
          <w:szCs w:val="32"/>
          <w:highlight w:val="none"/>
          <w:lang w:eastAsia="zh-CN"/>
        </w:rPr>
        <w:t>专项</w:t>
      </w:r>
      <w:r>
        <w:rPr>
          <w:rFonts w:hint="eastAsia" w:ascii="仿宋_GB2312" w:hAnsi="宋体" w:eastAsia="仿宋_GB2312"/>
          <w:sz w:val="32"/>
          <w:szCs w:val="32"/>
          <w:highlight w:val="none"/>
        </w:rPr>
        <w:t>项目资金预算</w:t>
      </w:r>
      <w:r>
        <w:rPr>
          <w:rFonts w:hint="eastAsia" w:ascii="仿宋_GB2312" w:eastAsia="仿宋_GB2312" w:cs="Times New Roman"/>
          <w:kern w:val="0"/>
          <w:sz w:val="30"/>
          <w:szCs w:val="24"/>
          <w:lang w:val="en-US" w:eastAsia="zh-CN" w:bidi="ar-SA"/>
        </w:rPr>
        <w:t>30.00</w:t>
      </w:r>
      <w:r>
        <w:rPr>
          <w:rFonts w:hint="eastAsia" w:ascii="仿宋_GB2312" w:hAnsi="宋体" w:eastAsia="仿宋_GB2312"/>
          <w:sz w:val="32"/>
          <w:szCs w:val="32"/>
          <w:highlight w:val="none"/>
        </w:rPr>
        <w:t>万，拨付到位</w:t>
      </w:r>
      <w:r>
        <w:rPr>
          <w:rFonts w:hint="eastAsia" w:ascii="仿宋_GB2312" w:eastAsia="仿宋_GB2312" w:cs="Times New Roman"/>
          <w:kern w:val="0"/>
          <w:sz w:val="30"/>
          <w:szCs w:val="24"/>
          <w:lang w:val="en-US" w:eastAsia="zh-CN" w:bidi="ar-SA"/>
        </w:rPr>
        <w:t>30.00</w:t>
      </w:r>
      <w:r>
        <w:rPr>
          <w:rFonts w:hint="eastAsia" w:ascii="仿宋_GB2312" w:hAnsi="宋体" w:eastAsia="仿宋_GB2312"/>
          <w:sz w:val="32"/>
          <w:szCs w:val="32"/>
          <w:highlight w:val="none"/>
        </w:rPr>
        <w:t>万元，到位率</w:t>
      </w:r>
      <w:r>
        <w:rPr>
          <w:rFonts w:hint="eastAsia" w:ascii="仿宋_GB2312" w:hAnsi="宋体" w:eastAsia="仿宋_GB2312"/>
          <w:sz w:val="32"/>
          <w:szCs w:val="32"/>
          <w:highlight w:val="none"/>
          <w:lang w:val="en-US" w:eastAsia="zh-CN"/>
        </w:rPr>
        <w:t>100</w:t>
      </w:r>
      <w:r>
        <w:rPr>
          <w:rFonts w:hint="eastAsia" w:ascii="仿宋_GB2312" w:hAnsi="宋体" w:eastAsia="仿宋_GB2312"/>
          <w:sz w:val="32"/>
          <w:szCs w:val="32"/>
          <w:highlight w:val="none"/>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630" w:leftChars="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en-US" w:eastAsia="zh-CN"/>
        </w:rPr>
        <w:t>3.</w:t>
      </w:r>
      <w:r>
        <w:rPr>
          <w:rFonts w:hint="eastAsia" w:ascii="仿宋_GB2312" w:hAnsi="仿宋_GB2312" w:eastAsia="仿宋_GB2312" w:cs="仿宋_GB2312"/>
          <w:color w:val="auto"/>
          <w:kern w:val="0"/>
          <w:sz w:val="32"/>
          <w:szCs w:val="32"/>
          <w:highlight w:val="none"/>
          <w:u w:val="none"/>
          <w:shd w:val="clear" w:color="auto" w:fill="FFFFFF"/>
          <w:lang w:val="zh-CN"/>
        </w:rPr>
        <w:t>资金使用。</w:t>
      </w:r>
    </w:p>
    <w:p>
      <w:pPr>
        <w:adjustRightInd w:val="0"/>
        <w:snapToGrid w:val="0"/>
        <w:spacing w:line="600" w:lineRule="exact"/>
        <w:ind w:firstLine="640" w:firstLineChars="20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 xml:space="preserve">主要用于为五老人员开展工作提供适当经费，调动其积极性关心下一代。一是教育引导青少年树立和践行社会主义核心价值观，扎实推进青少年思想道德建设。二是坚持以人民为中心，重点突出培养青少年成长成才和关爱弱势群体工作，有效为青少年服务。三是加强关工委自身建设，为全面推进关工委工作提供组织保证。加强关工委自身建设。把各级关工委建设成学习型、服务型、调研型、创新型关工委。 </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（三）项目财务管理情况。</w:t>
      </w:r>
    </w:p>
    <w:p>
      <w:pPr>
        <w:adjustRightInd w:val="0"/>
        <w:snapToGrid w:val="0"/>
        <w:spacing w:line="600" w:lineRule="exact"/>
        <w:ind w:firstLine="640" w:firstLineChars="200"/>
        <w:rPr>
          <w:rFonts w:hint="eastAsia" w:ascii="仿宋_GB2312" w:hAnsi="宋体" w:eastAsia="仿宋_GB2312"/>
          <w:sz w:val="32"/>
          <w:szCs w:val="32"/>
          <w:lang w:eastAsia="zh-CN"/>
        </w:rPr>
      </w:pPr>
      <w:r>
        <w:rPr>
          <w:rFonts w:hint="eastAsia" w:ascii="仿宋_GB2312" w:hAnsi="宋体" w:eastAsia="仿宋_GB2312"/>
          <w:sz w:val="32"/>
          <w:szCs w:val="32"/>
        </w:rPr>
        <w:t>专项经费严格按照专款专用原则，及时通知有关单位提供合法票据，完善报账手续，严格票据审核，规范报账程，同时财政部门对资金支付严格审核，确保资金使用安全。根据国家财经法规和单位财务管理制度的相关规定以及有关项目资金管理办法的规定支出，做到了资金使用的安全性、规范性</w:t>
      </w:r>
      <w:r>
        <w:rPr>
          <w:rFonts w:hint="eastAsia" w:ascii="仿宋_GB2312" w:hAnsi="宋体" w:eastAsia="仿宋_GB2312"/>
          <w:sz w:val="32"/>
          <w:szCs w:val="32"/>
          <w:lang w:eastAsia="zh-CN"/>
        </w:rPr>
        <w:t>。待费用报销结束后会计人员</w:t>
      </w:r>
      <w:r>
        <w:rPr>
          <w:rFonts w:hint="eastAsia" w:ascii="仿宋" w:hAnsi="仿宋" w:eastAsia="仿宋" w:cs="FangSong_GB2312"/>
          <w:sz w:val="32"/>
          <w:szCs w:val="32"/>
          <w:lang w:val="zh-CN"/>
        </w:rPr>
        <w:t>严格按照财务管理制度及时进行账务处理，会计核算规范，无遗漏、错记等情况。</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黑体" w:hAnsi="宋体" w:eastAsia="黑体"/>
          <w:color w:val="auto"/>
          <w:sz w:val="32"/>
          <w:szCs w:val="32"/>
          <w:highlight w:val="none"/>
          <w:u w:val="none"/>
        </w:rPr>
      </w:pPr>
      <w:r>
        <w:rPr>
          <w:rFonts w:hint="eastAsia" w:ascii="黑体" w:hAnsi="宋体" w:eastAsia="黑体"/>
          <w:color w:val="auto"/>
          <w:sz w:val="32"/>
          <w:szCs w:val="32"/>
          <w:highlight w:val="none"/>
          <w:u w:val="none"/>
        </w:rPr>
        <w:t>三、项目实施及管理情况</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结合项目组织实施管理办法，重点围绕以下内容进行分析评价，并对自评中发现的问题分析说明。</w:t>
      </w:r>
    </w:p>
    <w:p>
      <w:pPr>
        <w:keepNext w:val="0"/>
        <w:keepLines w:val="0"/>
        <w:pageBreakBefore w:val="0"/>
        <w:numPr>
          <w:ilvl w:val="0"/>
          <w:numId w:val="0"/>
        </w:numPr>
        <w:kinsoku/>
        <w:wordWrap/>
        <w:overflowPunct/>
        <w:topLinePunct w:val="0"/>
        <w:autoSpaceDE/>
        <w:autoSpaceDN/>
        <w:bidi w:val="0"/>
        <w:adjustRightInd w:val="0"/>
        <w:snapToGrid w:val="0"/>
        <w:spacing w:line="578" w:lineRule="exact"/>
        <w:ind w:firstLine="643" w:firstLineChars="200"/>
        <w:textAlignment w:val="auto"/>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（一）项目组织架构及实施流程。</w:t>
      </w:r>
    </w:p>
    <w:p>
      <w:pPr>
        <w:adjustRightInd w:val="0"/>
        <w:snapToGrid w:val="0"/>
        <w:spacing w:line="600" w:lineRule="exact"/>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en-US" w:eastAsia="zh-CN"/>
        </w:rPr>
        <w:t>项目经费主要用于为五老人员开展工作提供适当经费，调动其积极性关心下一代</w:t>
      </w:r>
      <w:r>
        <w:rPr>
          <w:rFonts w:hint="eastAsia" w:ascii="仿宋_GB2312" w:hAnsi="宋体" w:eastAsia="仿宋_GB2312"/>
          <w:sz w:val="32"/>
          <w:szCs w:val="32"/>
        </w:rPr>
        <w:t>。项目开展后，我单位在</w:t>
      </w:r>
      <w:r>
        <w:rPr>
          <w:rFonts w:hint="eastAsia" w:ascii="仿宋_GB2312" w:hAnsi="宋体" w:eastAsia="仿宋_GB2312"/>
          <w:sz w:val="32"/>
          <w:szCs w:val="32"/>
          <w:lang w:eastAsia="zh-CN"/>
        </w:rPr>
        <w:t>预算一体化系统中</w:t>
      </w:r>
      <w:r>
        <w:rPr>
          <w:rFonts w:hint="eastAsia" w:ascii="仿宋_GB2312" w:hAnsi="宋体" w:eastAsia="仿宋_GB2312"/>
          <w:sz w:val="32"/>
          <w:szCs w:val="32"/>
        </w:rPr>
        <w:t>申请使用资金并向财政局归口股室递交项目专项资金申请表提交申请，国库等业务股室审核通过后，指标下达到本单位，本单位再按经费实际开支情况，据实报销资金。</w:t>
      </w:r>
    </w:p>
    <w:p>
      <w:pPr>
        <w:keepNext w:val="0"/>
        <w:keepLines w:val="0"/>
        <w:pageBreakBefore w:val="0"/>
        <w:numPr>
          <w:ilvl w:val="0"/>
          <w:numId w:val="0"/>
        </w:numPr>
        <w:kinsoku/>
        <w:wordWrap/>
        <w:overflowPunct/>
        <w:topLinePunct w:val="0"/>
        <w:autoSpaceDE/>
        <w:autoSpaceDN/>
        <w:bidi w:val="0"/>
        <w:adjustRightInd w:val="0"/>
        <w:snapToGrid w:val="0"/>
        <w:spacing w:line="578" w:lineRule="exact"/>
        <w:ind w:left="720" w:leftChars="0"/>
        <w:textAlignment w:val="auto"/>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（二）项目管理情况。</w:t>
      </w:r>
    </w:p>
    <w:p>
      <w:pPr>
        <w:adjustRightInd w:val="0"/>
        <w:snapToGrid w:val="0"/>
        <w:spacing w:line="600" w:lineRule="exact"/>
        <w:ind w:firstLine="720"/>
        <w:rPr>
          <w:rFonts w:ascii="仿宋_GB2312" w:hAnsi="宋体" w:eastAsia="仿宋_GB2312"/>
          <w:sz w:val="32"/>
          <w:szCs w:val="32"/>
        </w:rPr>
      </w:pPr>
      <w:r>
        <w:rPr>
          <w:rFonts w:hint="eastAsia" w:ascii="仿宋_GB2312" w:hAnsi="宋体" w:eastAsia="仿宋_GB2312"/>
          <w:sz w:val="32"/>
          <w:szCs w:val="32"/>
        </w:rPr>
        <w:t>项目严格按照区级有关规定执行，严格用于开展公务员管理系统建设、组织工作及考察经费</w:t>
      </w:r>
      <w:r>
        <w:rPr>
          <w:rFonts w:hint="eastAsia" w:ascii="仿宋_GB2312" w:hAnsi="宋体" w:eastAsia="仿宋_GB2312"/>
          <w:sz w:val="32"/>
          <w:szCs w:val="32"/>
          <w:lang w:eastAsia="zh-CN"/>
        </w:rPr>
        <w:t>等</w:t>
      </w:r>
      <w:r>
        <w:rPr>
          <w:rFonts w:hint="eastAsia" w:ascii="仿宋_GB2312" w:hAnsi="宋体" w:eastAsia="仿宋_GB2312"/>
          <w:sz w:val="32"/>
          <w:szCs w:val="32"/>
        </w:rPr>
        <w:t>工作，</w:t>
      </w:r>
      <w:r>
        <w:rPr>
          <w:rFonts w:ascii="仿宋_GB2312" w:hAnsi="宋体" w:eastAsia="仿宋_GB2312"/>
          <w:sz w:val="32"/>
          <w:szCs w:val="32"/>
          <w:lang w:val="zh-CN"/>
        </w:rPr>
        <w:t>资金专款专用。</w:t>
      </w:r>
    </w:p>
    <w:p>
      <w:pPr>
        <w:keepNext w:val="0"/>
        <w:keepLines w:val="0"/>
        <w:pageBreakBefore w:val="0"/>
        <w:numPr>
          <w:ilvl w:val="0"/>
          <w:numId w:val="0"/>
        </w:numPr>
        <w:kinsoku/>
        <w:wordWrap/>
        <w:overflowPunct/>
        <w:topLinePunct w:val="0"/>
        <w:autoSpaceDE/>
        <w:autoSpaceDN/>
        <w:bidi w:val="0"/>
        <w:adjustRightInd w:val="0"/>
        <w:snapToGrid w:val="0"/>
        <w:spacing w:line="578" w:lineRule="exact"/>
        <w:ind w:left="720" w:leftChars="0"/>
        <w:textAlignment w:val="auto"/>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（三）项目监管情况。</w:t>
      </w:r>
    </w:p>
    <w:p>
      <w:pPr>
        <w:keepNext w:val="0"/>
        <w:keepLines w:val="0"/>
        <w:pageBreakBefore w:val="0"/>
        <w:numPr>
          <w:ilvl w:val="0"/>
          <w:numId w:val="0"/>
        </w:numPr>
        <w:kinsoku/>
        <w:wordWrap/>
        <w:overflowPunct/>
        <w:topLinePunct w:val="0"/>
        <w:autoSpaceDE/>
        <w:autoSpaceDN/>
        <w:bidi w:val="0"/>
        <w:adjustRightInd w:val="0"/>
        <w:snapToGrid w:val="0"/>
        <w:spacing w:line="578" w:lineRule="exact"/>
        <w:ind w:left="720" w:leftChars="0"/>
        <w:textAlignment w:val="auto"/>
        <w:rPr>
          <w:rFonts w:ascii="仿宋_GB2312" w:hAnsi="宋体"/>
          <w:color w:val="auto"/>
          <w:sz w:val="32"/>
          <w:szCs w:val="32"/>
          <w:highlight w:val="none"/>
          <w:u w:val="none"/>
          <w:lang w:val="zh-CN"/>
        </w:rPr>
      </w:pPr>
      <w:r>
        <w:rPr>
          <w:rFonts w:hint="eastAsia" w:ascii="仿宋" w:hAnsi="仿宋" w:eastAsia="仿宋" w:cs="FangSong_GB2312"/>
          <w:sz w:val="32"/>
          <w:szCs w:val="32"/>
        </w:rPr>
        <w:t>项目由</w:t>
      </w:r>
      <w:r>
        <w:rPr>
          <w:rFonts w:hint="eastAsia" w:ascii="仿宋" w:hAnsi="仿宋" w:eastAsia="仿宋" w:cs="FangSong_GB2312"/>
          <w:sz w:val="32"/>
          <w:szCs w:val="32"/>
          <w:lang w:eastAsia="zh-CN"/>
        </w:rPr>
        <w:t>区委组织部</w:t>
      </w:r>
      <w:r>
        <w:rPr>
          <w:rFonts w:hint="eastAsia" w:ascii="仿宋" w:hAnsi="仿宋" w:eastAsia="仿宋" w:cs="FangSong_GB2312"/>
          <w:sz w:val="32"/>
          <w:szCs w:val="32"/>
        </w:rPr>
        <w:t>监管，并严格按照相关财经纪律执行。</w:t>
      </w:r>
    </w:p>
    <w:p>
      <w:pPr>
        <w:keepNext w:val="0"/>
        <w:keepLines w:val="0"/>
        <w:pageBreakBefore w:val="0"/>
        <w:numPr>
          <w:ilvl w:val="0"/>
          <w:numId w:val="0"/>
        </w:numPr>
        <w:kinsoku/>
        <w:wordWrap/>
        <w:overflowPunct/>
        <w:topLinePunct w:val="0"/>
        <w:autoSpaceDE/>
        <w:autoSpaceDN/>
        <w:bidi w:val="0"/>
        <w:adjustRightInd w:val="0"/>
        <w:snapToGrid w:val="0"/>
        <w:spacing w:line="578" w:lineRule="exact"/>
        <w:ind w:left="720" w:leftChars="0"/>
        <w:textAlignment w:val="auto"/>
        <w:rPr>
          <w:rFonts w:ascii="仿宋_GB2312" w:hAnsi="宋体"/>
          <w:color w:val="auto"/>
          <w:sz w:val="32"/>
          <w:szCs w:val="32"/>
          <w:highlight w:val="none"/>
          <w:u w:val="none"/>
          <w:lang w:val="zh-CN"/>
        </w:rPr>
      </w:pPr>
      <w:r>
        <w:rPr>
          <w:rFonts w:hint="eastAsia" w:ascii="黑体" w:hAnsi="宋体" w:eastAsia="黑体"/>
          <w:color w:val="auto"/>
          <w:sz w:val="32"/>
          <w:szCs w:val="32"/>
          <w:highlight w:val="none"/>
          <w:u w:val="none"/>
        </w:rPr>
        <w:t>四、项目绩效情况</w:t>
      </w:r>
      <w:r>
        <w:rPr>
          <w:rFonts w:hint="eastAsia" w:ascii="仿宋_GB2312" w:hAnsi="宋体"/>
          <w:color w:val="auto"/>
          <w:sz w:val="32"/>
          <w:szCs w:val="32"/>
          <w:highlight w:val="none"/>
          <w:u w:val="none"/>
          <w:lang w:val="zh-CN"/>
        </w:rPr>
        <w:tab/>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（一）项目完成情况。</w:t>
      </w:r>
    </w:p>
    <w:p>
      <w:pPr>
        <w:snapToGrid w:val="0"/>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一是关工委做好了青少年儿童的教育引导和关爱保护工作，组织动员老干部、老战士、老专家、老教师、老模范等到青少年中讲述亲身经历，弘扬爱国传统，培养新时代的社会主义建设者和接班人 ;二是推进青少年普法教育活动，提高青少年法律意识，减少青少年违法犯罪，开展青少年法制宣传教育和帮扶帮教活动，向广大群众宣传《中华人民共和国未成年人保护法》、《中华人民共和国预防未成年人犯罪法》等法律法规，接受群众业务咨询。</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（二）项目效益情况。</w:t>
      </w:r>
    </w:p>
    <w:p>
      <w:pPr>
        <w:snapToGrid w:val="0"/>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的实施提升全区青少年的思想道德素质，培养青少年成长成才，推进关心下一代工作委员会的组织建设和工作开展的目标任务，反映出项目的实施在社会效益、可持续发展及满意度方面完成效果较好，全区青少年及关工委工作者对项目实施的总体情况较为满意。</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黑体" w:hAnsi="宋体" w:eastAsia="黑体"/>
          <w:color w:val="auto"/>
          <w:sz w:val="32"/>
          <w:szCs w:val="32"/>
          <w:highlight w:val="none"/>
          <w:u w:val="none"/>
        </w:rPr>
      </w:pPr>
      <w:r>
        <w:rPr>
          <w:rFonts w:hint="eastAsia" w:ascii="黑体" w:hAnsi="宋体" w:eastAsia="黑体"/>
          <w:color w:val="auto"/>
          <w:sz w:val="32"/>
          <w:szCs w:val="32"/>
          <w:highlight w:val="none"/>
          <w:u w:val="none"/>
        </w:rPr>
        <w:t>五、评价结论及建议</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（一）评价结论。</w:t>
      </w:r>
    </w:p>
    <w:p>
      <w:pPr>
        <w:adjustRightInd w:val="0"/>
        <w:snapToGrid w:val="0"/>
        <w:spacing w:line="600" w:lineRule="exact"/>
        <w:ind w:firstLine="720"/>
        <w:rPr>
          <w:rFonts w:hint="eastAsia" w:ascii="仿宋_GB2312" w:hAnsi="宋体" w:eastAsia="仿宋_GB2312"/>
          <w:sz w:val="32"/>
          <w:szCs w:val="32"/>
          <w:highlight w:val="none"/>
          <w:lang w:val="en-US" w:eastAsia="zh-CN"/>
        </w:rPr>
      </w:pPr>
      <w:r>
        <w:rPr>
          <w:rFonts w:hint="eastAsia" w:ascii="仿宋_GB2312" w:hAnsi="宋体" w:eastAsia="仿宋_GB2312"/>
          <w:sz w:val="32"/>
          <w:szCs w:val="32"/>
          <w:highlight w:val="none"/>
          <w:lang w:val="en-US" w:eastAsia="zh-CN"/>
        </w:rPr>
        <w:t>根据项目实施情况，对照绩效评价评分标准，对项目的各项指标进行评价打分，我部关工委2022年目标任务基本完成，经评价，项目支出绩效自评综合得分为 98分，评价等级为“优秀”。</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（二）存在的问题。</w:t>
      </w:r>
    </w:p>
    <w:p>
      <w:pPr>
        <w:adjustRightInd w:val="0"/>
        <w:snapToGrid w:val="0"/>
        <w:spacing w:line="600" w:lineRule="exact"/>
        <w:ind w:firstLine="720"/>
        <w:rPr>
          <w:rFonts w:hint="eastAsia" w:ascii="仿宋_GB2312" w:hAnsi="宋体" w:eastAsia="仿宋_GB2312"/>
          <w:sz w:val="32"/>
          <w:szCs w:val="32"/>
          <w:highlight w:val="none"/>
          <w:lang w:val="en-US" w:eastAsia="zh-CN"/>
        </w:rPr>
      </w:pPr>
      <w:r>
        <w:rPr>
          <w:rFonts w:hint="eastAsia" w:ascii="仿宋_GB2312" w:hAnsi="宋体" w:eastAsia="仿宋_GB2312"/>
          <w:sz w:val="32"/>
          <w:szCs w:val="32"/>
          <w:highlight w:val="none"/>
          <w:lang w:val="en-US" w:eastAsia="zh-CN"/>
        </w:rPr>
        <w:t>1.在项目储备和项目申报质量上还有待进一步提高。 </w:t>
      </w:r>
    </w:p>
    <w:p>
      <w:pPr>
        <w:adjustRightInd w:val="0"/>
        <w:snapToGrid w:val="0"/>
        <w:spacing w:line="600" w:lineRule="exact"/>
        <w:ind w:firstLine="720"/>
        <w:rPr>
          <w:rFonts w:hint="eastAsia" w:ascii="仿宋_GB2312" w:hAnsi="宋体" w:eastAsia="仿宋_GB2312"/>
          <w:sz w:val="32"/>
          <w:szCs w:val="32"/>
          <w:highlight w:val="none"/>
          <w:lang w:val="en-US" w:eastAsia="zh-CN"/>
        </w:rPr>
      </w:pPr>
      <w:r>
        <w:rPr>
          <w:rFonts w:hint="eastAsia" w:ascii="仿宋_GB2312" w:hAnsi="宋体" w:eastAsia="仿宋_GB2312"/>
          <w:sz w:val="32"/>
          <w:szCs w:val="32"/>
          <w:highlight w:val="none"/>
          <w:lang w:val="en-US" w:eastAsia="zh-CN"/>
        </w:rPr>
        <w:t>2.项目实施质量有待提高，跟踪问效有待加强。重项目申报、轻项目储备，重口头汇报、轻督促检查，重前期工作、轻后期跟踪问效、总结宣传等。 </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（三）相关建议。</w:t>
      </w:r>
    </w:p>
    <w:p>
      <w:pPr>
        <w:adjustRightInd w:val="0"/>
        <w:snapToGrid w:val="0"/>
        <w:spacing w:line="600" w:lineRule="exact"/>
        <w:ind w:firstLine="720"/>
        <w:rPr>
          <w:rFonts w:hint="eastAsia" w:ascii="仿宋_GB2312" w:hAnsi="宋体" w:eastAsia="仿宋_GB2312"/>
          <w:sz w:val="32"/>
          <w:szCs w:val="32"/>
          <w:highlight w:val="none"/>
          <w:lang w:val="en-US" w:eastAsia="zh-CN"/>
        </w:rPr>
      </w:pPr>
      <w:r>
        <w:rPr>
          <w:rFonts w:hint="eastAsia" w:ascii="仿宋_GB2312" w:hAnsi="宋体" w:eastAsia="仿宋_GB2312"/>
          <w:sz w:val="32"/>
          <w:szCs w:val="32"/>
          <w:highlight w:val="none"/>
          <w:lang w:val="en-US" w:eastAsia="zh-CN"/>
        </w:rPr>
        <w:t>建议下一步将绩效管理工作作为一项日常性重要工作来抓；彻底改变“重安排，轻监督；重争取，轻管理；重使用，轻绩效”的思想，扭转“只要资金使用合法合规就行，忽视财政资金的使用绩效”的工作方式；完善绩效评价指标体系，科学设定评价指标；重视档案建立、完善、管理工作。</w:t>
      </w:r>
    </w:p>
    <w:p>
      <w:pPr>
        <w:kinsoku w:val="0"/>
        <w:overflowPunct w:val="0"/>
        <w:spacing w:line="550" w:lineRule="exact"/>
        <w:jc w:val="center"/>
        <w:rPr>
          <w:rFonts w:hint="eastAsia" w:eastAsia="方正小标宋简体"/>
          <w:spacing w:val="1"/>
          <w:sz w:val="44"/>
          <w:szCs w:val="44"/>
        </w:rPr>
      </w:pPr>
    </w:p>
    <w:p>
      <w:pPr>
        <w:kinsoku w:val="0"/>
        <w:overflowPunct w:val="0"/>
        <w:spacing w:line="550" w:lineRule="exact"/>
        <w:jc w:val="center"/>
        <w:rPr>
          <w:rFonts w:hint="eastAsia" w:eastAsia="方正小标宋简体"/>
          <w:spacing w:val="1"/>
          <w:sz w:val="44"/>
          <w:szCs w:val="44"/>
        </w:rPr>
      </w:pPr>
    </w:p>
    <w:p>
      <w:pPr>
        <w:kinsoku w:val="0"/>
        <w:overflowPunct w:val="0"/>
        <w:spacing w:line="550" w:lineRule="exact"/>
        <w:jc w:val="center"/>
        <w:rPr>
          <w:rFonts w:hint="eastAsia" w:eastAsia="方正小标宋简体"/>
          <w:spacing w:val="1"/>
          <w:sz w:val="44"/>
          <w:szCs w:val="44"/>
        </w:rPr>
      </w:pPr>
    </w:p>
    <w:p>
      <w:pPr>
        <w:kinsoku w:val="0"/>
        <w:overflowPunct w:val="0"/>
        <w:spacing w:line="550" w:lineRule="exact"/>
        <w:jc w:val="center"/>
        <w:rPr>
          <w:rFonts w:eastAsia="方正小标宋简体"/>
          <w:spacing w:val="1"/>
          <w:sz w:val="44"/>
          <w:szCs w:val="44"/>
        </w:rPr>
      </w:pPr>
      <w:r>
        <w:rPr>
          <w:rFonts w:hint="eastAsia" w:eastAsia="方正小标宋简体"/>
          <w:spacing w:val="1"/>
          <w:sz w:val="44"/>
          <w:szCs w:val="44"/>
        </w:rPr>
        <w:t>中共遂宁市安居区委组织部</w:t>
      </w:r>
      <w:r>
        <w:rPr>
          <w:rFonts w:eastAsia="方正小标宋简体"/>
          <w:spacing w:val="1"/>
          <w:sz w:val="44"/>
          <w:szCs w:val="44"/>
        </w:rPr>
        <w:t>项目支出绩效自评报告</w:t>
      </w:r>
    </w:p>
    <w:p>
      <w:pPr>
        <w:tabs>
          <w:tab w:val="left" w:pos="3885"/>
        </w:tabs>
        <w:snapToGrid w:val="0"/>
        <w:spacing w:line="600" w:lineRule="exact"/>
        <w:jc w:val="center"/>
        <w:rPr>
          <w:rFonts w:hAnsi="宋体"/>
          <w:b/>
          <w:bCs/>
          <w:sz w:val="32"/>
          <w:szCs w:val="32"/>
        </w:rPr>
      </w:pPr>
      <w:r>
        <w:rPr>
          <w:rFonts w:hint="eastAsia" w:hAnsi="宋体"/>
          <w:b/>
          <w:bCs/>
          <w:sz w:val="32"/>
          <w:szCs w:val="32"/>
        </w:rPr>
        <w:t>（</w:t>
      </w:r>
      <w:r>
        <w:rPr>
          <w:rFonts w:hint="eastAsia" w:hAnsi="宋体"/>
          <w:b/>
          <w:bCs/>
          <w:sz w:val="32"/>
          <w:szCs w:val="32"/>
          <w:lang w:val="en-US" w:eastAsia="zh-CN"/>
        </w:rPr>
        <w:t>老干部外出疗养及体检费</w:t>
      </w:r>
      <w:r>
        <w:rPr>
          <w:rFonts w:hint="eastAsia" w:hAnsi="宋体"/>
          <w:b/>
          <w:bCs/>
          <w:sz w:val="32"/>
          <w:szCs w:val="32"/>
        </w:rPr>
        <w:t>）</w:t>
      </w:r>
    </w:p>
    <w:p>
      <w:pPr>
        <w:pStyle w:val="35"/>
        <w:keepNext w:val="0"/>
        <w:keepLines w:val="0"/>
        <w:pageBreakBefore w:val="0"/>
        <w:widowControl w:val="0"/>
        <w:kinsoku/>
        <w:wordWrap/>
        <w:overflowPunct/>
        <w:topLinePunct w:val="0"/>
        <w:autoSpaceDE/>
        <w:autoSpaceDN/>
        <w:bidi w:val="0"/>
        <w:spacing w:line="578" w:lineRule="exact"/>
        <w:ind w:firstLine="640"/>
        <w:jc w:val="center"/>
        <w:textAlignment w:val="auto"/>
        <w:rPr>
          <w:rFonts w:ascii="宋体" w:hAnsi="宋体"/>
          <w:color w:val="auto"/>
          <w:kern w:val="2"/>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78" w:lineRule="exact"/>
        <w:ind w:firstLine="720"/>
        <w:textAlignment w:val="auto"/>
        <w:rPr>
          <w:rFonts w:ascii="黑体" w:hAnsi="宋体" w:eastAsia="黑体"/>
          <w:color w:val="auto"/>
          <w:sz w:val="32"/>
          <w:szCs w:val="32"/>
          <w:highlight w:val="none"/>
          <w:lang w:val="zh-CN"/>
        </w:rPr>
      </w:pPr>
      <w:r>
        <w:rPr>
          <w:rFonts w:hint="eastAsia" w:ascii="黑体" w:hAnsi="宋体" w:eastAsia="黑体"/>
          <w:color w:val="auto"/>
          <w:sz w:val="32"/>
          <w:szCs w:val="32"/>
          <w:highlight w:val="none"/>
        </w:rPr>
        <w:t>一、</w:t>
      </w:r>
      <w:r>
        <w:rPr>
          <w:rFonts w:hint="eastAsia" w:ascii="黑体" w:hAnsi="宋体" w:eastAsia="黑体"/>
          <w:color w:val="auto"/>
          <w:sz w:val="32"/>
          <w:szCs w:val="32"/>
          <w:highlight w:val="none"/>
          <w:lang w:val="zh-CN"/>
        </w:rPr>
        <w:t>项目概况</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（一）项目基本情况。</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1</w:t>
      </w:r>
      <w:r>
        <w:rPr>
          <w:rFonts w:hint="eastAsia" w:ascii="仿宋_GB2312" w:hAnsi="仿宋_GB2312" w:eastAsia="仿宋_GB2312" w:cs="仿宋_GB2312"/>
          <w:color w:val="auto"/>
          <w:kern w:val="0"/>
          <w:sz w:val="32"/>
          <w:szCs w:val="32"/>
          <w:highlight w:val="none"/>
          <w:u w:val="none"/>
          <w:shd w:val="clear" w:color="auto" w:fill="FFFFFF"/>
          <w:lang w:val="en-US" w:eastAsia="zh-CN"/>
        </w:rPr>
        <w:t>.</w:t>
      </w:r>
      <w:r>
        <w:rPr>
          <w:rFonts w:hint="eastAsia" w:ascii="仿宋_GB2312" w:hAnsi="仿宋_GB2312" w:eastAsia="仿宋_GB2312" w:cs="仿宋_GB2312"/>
          <w:color w:val="auto"/>
          <w:kern w:val="0"/>
          <w:sz w:val="32"/>
          <w:szCs w:val="32"/>
          <w:highlight w:val="none"/>
          <w:u w:val="none"/>
          <w:shd w:val="clear" w:color="auto" w:fill="FFFFFF"/>
          <w:lang w:val="zh-CN"/>
        </w:rPr>
        <w:t>说明项目主管部门（单位）在该项目管理中的职能。</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仿宋_GB2312" w:hAnsi="仿宋_GB2312" w:eastAsia="仿宋_GB2312" w:cs="仿宋_GB2312"/>
          <w:color w:val="auto"/>
          <w:kern w:val="0"/>
          <w:sz w:val="32"/>
          <w:szCs w:val="32"/>
          <w:highlight w:val="none"/>
          <w:u w:val="none"/>
          <w:shd w:val="clear" w:color="auto" w:fill="FFFFFF"/>
          <w:lang w:val="en-US" w:eastAsia="zh-CN"/>
        </w:rPr>
      </w:pPr>
      <w:r>
        <w:rPr>
          <w:rFonts w:hint="eastAsia" w:ascii="仿宋_GB2312" w:hAnsi="仿宋_GB2312" w:eastAsia="仿宋_GB2312" w:cs="仿宋_GB2312"/>
          <w:color w:val="auto"/>
          <w:kern w:val="0"/>
          <w:sz w:val="32"/>
          <w:szCs w:val="32"/>
          <w:highlight w:val="none"/>
          <w:u w:val="none"/>
          <w:shd w:val="clear" w:color="auto" w:fill="FFFFFF"/>
          <w:lang w:val="en-US" w:eastAsia="zh-CN"/>
        </w:rPr>
        <w:t>负责全区离退休干部工作的宏观管理指导和离退休干部政策落实情况的督促检查；负责老干部局管理的离退休干部服务管理工作；承担以老干部局名义开展的对外交流合作等工作。</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en-US" w:eastAsia="zh-CN"/>
        </w:rPr>
        <w:t>2.</w:t>
      </w:r>
      <w:r>
        <w:rPr>
          <w:rFonts w:hint="eastAsia" w:ascii="仿宋_GB2312" w:hAnsi="仿宋_GB2312" w:eastAsia="仿宋_GB2312" w:cs="仿宋_GB2312"/>
          <w:color w:val="auto"/>
          <w:kern w:val="0"/>
          <w:sz w:val="32"/>
          <w:szCs w:val="32"/>
          <w:highlight w:val="none"/>
          <w:u w:val="none"/>
          <w:shd w:val="clear" w:color="auto" w:fill="FFFFFF"/>
          <w:lang w:val="zh-CN"/>
        </w:rPr>
        <w:t>项目立项、资金申报的依据。</w:t>
      </w:r>
    </w:p>
    <w:p>
      <w:pPr>
        <w:pStyle w:val="2"/>
        <w:widowControl w:val="0"/>
        <w:numPr>
          <w:ilvl w:val="0"/>
          <w:numId w:val="0"/>
        </w:numPr>
        <w:autoSpaceDE w:val="0"/>
        <w:autoSpaceDN w:val="0"/>
        <w:adjustRightInd w:val="0"/>
        <w:ind w:firstLine="640" w:firstLineChars="200"/>
        <w:rPr>
          <w:rFonts w:hint="eastAsia" w:ascii="仿宋_GB2312" w:hAnsi="仿宋_GB2312" w:eastAsia="仿宋_GB2312" w:cs="仿宋_GB2312"/>
          <w:color w:val="auto"/>
          <w:kern w:val="0"/>
          <w:sz w:val="32"/>
          <w:szCs w:val="32"/>
          <w:highlight w:val="none"/>
          <w:u w:val="none"/>
          <w:shd w:val="clear" w:color="auto" w:fill="FFFFFF"/>
          <w:lang w:val="zh-CN" w:eastAsia="zh-CN" w:bidi="ar-SA"/>
        </w:rPr>
      </w:pPr>
      <w:r>
        <w:rPr>
          <w:rFonts w:hint="eastAsia" w:ascii="仿宋_GB2312" w:hAnsi="仿宋_GB2312" w:eastAsia="仿宋_GB2312" w:cs="仿宋_GB2312"/>
          <w:color w:val="auto"/>
          <w:kern w:val="0"/>
          <w:sz w:val="32"/>
          <w:szCs w:val="32"/>
          <w:highlight w:val="none"/>
          <w:u w:val="none"/>
          <w:shd w:val="clear" w:color="auto" w:fill="FFFFFF"/>
          <w:lang w:val="zh-CN" w:eastAsia="zh-CN" w:bidi="ar-SA"/>
        </w:rPr>
        <w:t>为充分体现区委、区政府对老干部在政治上关心、生活上照顾，根据《关于进一步加强和改进离退休干部工作的实施意见》（遂安委办发〔2017〕4号）的工作指示以及区领导在《中共遂宁市安居区委组织部关于组织老领导外出参观考察的请示》（遂安委组报〔2019〕36号）上的批示精神。</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en-US" w:eastAsia="zh-CN"/>
        </w:rPr>
        <w:t>3.</w:t>
      </w:r>
      <w:r>
        <w:rPr>
          <w:rFonts w:hint="eastAsia" w:ascii="仿宋_GB2312" w:hAnsi="仿宋_GB2312" w:eastAsia="仿宋_GB2312" w:cs="仿宋_GB2312"/>
          <w:color w:val="auto"/>
          <w:kern w:val="0"/>
          <w:sz w:val="32"/>
          <w:szCs w:val="32"/>
          <w:highlight w:val="none"/>
          <w:u w:val="none"/>
          <w:shd w:val="clear" w:color="auto" w:fill="FFFFFF"/>
          <w:lang w:val="zh-CN"/>
        </w:rPr>
        <w:t>资金</w:t>
      </w:r>
      <w:r>
        <w:rPr>
          <w:rFonts w:hint="eastAsia" w:ascii="仿宋_GB2312" w:hAnsi="仿宋_GB2312" w:eastAsia="仿宋_GB2312" w:cs="仿宋_GB2312"/>
          <w:color w:val="auto"/>
          <w:kern w:val="0"/>
          <w:sz w:val="32"/>
          <w:szCs w:val="32"/>
          <w:highlight w:val="none"/>
          <w:u w:val="none"/>
          <w:shd w:val="clear" w:color="auto" w:fill="FFFFFF"/>
          <w:lang w:val="en-US" w:eastAsia="zh-CN"/>
        </w:rPr>
        <w:t>或项目</w:t>
      </w:r>
      <w:r>
        <w:rPr>
          <w:rFonts w:hint="eastAsia" w:ascii="仿宋_GB2312" w:hAnsi="仿宋_GB2312" w:eastAsia="仿宋_GB2312" w:cs="仿宋_GB2312"/>
          <w:color w:val="auto"/>
          <w:kern w:val="0"/>
          <w:sz w:val="32"/>
          <w:szCs w:val="32"/>
          <w:highlight w:val="none"/>
          <w:u w:val="none"/>
          <w:shd w:val="clear" w:color="auto" w:fill="FFFFFF"/>
          <w:lang w:val="zh-CN"/>
        </w:rPr>
        <w:t>管理办法制定情况，资金支持具体项目的条件、范围与支持方式概况。</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default" w:ascii="仿宋_GB2312" w:hAnsi="仿宋_GB2312" w:eastAsia="仿宋_GB2312" w:cs="仿宋_GB2312"/>
          <w:color w:val="auto"/>
          <w:kern w:val="0"/>
          <w:sz w:val="32"/>
          <w:szCs w:val="32"/>
          <w:highlight w:val="none"/>
          <w:u w:val="none"/>
          <w:shd w:val="clear" w:color="auto" w:fill="FFFFFF"/>
          <w:lang w:val="en-US" w:eastAsia="zh-CN"/>
        </w:rPr>
      </w:pPr>
      <w:r>
        <w:rPr>
          <w:rFonts w:hint="eastAsia" w:ascii="仿宋_GB2312" w:hAnsi="仿宋_GB2312" w:eastAsia="仿宋_GB2312" w:cs="仿宋_GB2312"/>
          <w:color w:val="auto"/>
          <w:kern w:val="0"/>
          <w:sz w:val="32"/>
          <w:szCs w:val="32"/>
          <w:highlight w:val="none"/>
          <w:u w:val="none"/>
          <w:shd w:val="clear" w:color="auto" w:fill="FFFFFF"/>
          <w:lang w:val="en-US" w:eastAsia="zh-CN"/>
        </w:rPr>
        <w:t>根据安居区委老干部股工作职责“组织全区离休干部及副处级以上退休干部的年度健康体检工作”内容，组织全区离休及副处以上退休干部体检工作及健康疗养。</w:t>
      </w:r>
      <w:r>
        <w:rPr>
          <w:rFonts w:hint="eastAsia" w:ascii="仿宋_GB2312" w:hAnsi="仿宋_GB2312" w:eastAsia="仿宋_GB2312" w:cs="仿宋_GB2312"/>
          <w:color w:val="auto"/>
          <w:kern w:val="0"/>
          <w:sz w:val="32"/>
          <w:szCs w:val="32"/>
          <w:highlight w:val="none"/>
          <w:u w:val="none"/>
          <w:shd w:val="clear" w:color="auto" w:fill="FFFFFF"/>
          <w:lang w:val="zh-CN"/>
        </w:rPr>
        <w:t>专项经费严格按照专款专用原则，及时通知有关单位提供合法票据，完善报账手续，严格票据审核，规范报账程序，确保资金使用的及时性、规范性，同时财政部门对资金支付严格审核，确保资金使用安全。根据国家财经法规和单位财务管理制度的相关规定以及有关项目资金管理办法的规定支出，做到了资金使用的安全性、规范性，保证资金使用无截留、挤占、挪用、虚列支出等情况。</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Chars="200" w:firstLine="320" w:firstLineChars="1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en-US" w:eastAsia="zh-CN"/>
        </w:rPr>
        <w:t>4.</w:t>
      </w:r>
      <w:r>
        <w:rPr>
          <w:rFonts w:hint="eastAsia" w:ascii="仿宋_GB2312" w:hAnsi="仿宋_GB2312" w:eastAsia="仿宋_GB2312" w:cs="仿宋_GB2312"/>
          <w:color w:val="auto"/>
          <w:kern w:val="0"/>
          <w:sz w:val="32"/>
          <w:szCs w:val="32"/>
          <w:highlight w:val="none"/>
          <w:u w:val="none"/>
          <w:shd w:val="clear" w:color="auto" w:fill="FFFFFF"/>
          <w:lang w:val="zh-CN"/>
        </w:rPr>
        <w:t>资金分配的原则及考虑因素。</w:t>
      </w:r>
    </w:p>
    <w:p>
      <w:pPr>
        <w:pStyle w:val="2"/>
        <w:widowControl w:val="0"/>
        <w:numPr>
          <w:ilvl w:val="0"/>
          <w:numId w:val="0"/>
        </w:numPr>
        <w:autoSpaceDE w:val="0"/>
        <w:autoSpaceDN w:val="0"/>
        <w:adjustRightInd w:val="0"/>
        <w:ind w:firstLine="640" w:firstLineChars="200"/>
        <w:rPr>
          <w:rFonts w:hint="eastAsia" w:ascii="仿宋_GB2312" w:hAnsi="仿宋_GB2312" w:eastAsia="仿宋_GB2312" w:cs="仿宋_GB2312"/>
          <w:color w:val="auto"/>
          <w:kern w:val="0"/>
          <w:sz w:val="32"/>
          <w:szCs w:val="32"/>
          <w:highlight w:val="none"/>
          <w:u w:val="none"/>
          <w:shd w:val="clear" w:color="auto" w:fill="FFFFFF"/>
          <w:lang w:val="zh-CN" w:eastAsia="zh-CN" w:bidi="ar-SA"/>
        </w:rPr>
      </w:pPr>
      <w:r>
        <w:rPr>
          <w:rFonts w:hint="eastAsia" w:ascii="仿宋_GB2312" w:hAnsi="仿宋_GB2312" w:eastAsia="仿宋_GB2312" w:cs="仿宋_GB2312"/>
          <w:color w:val="auto"/>
          <w:kern w:val="0"/>
          <w:sz w:val="32"/>
          <w:szCs w:val="32"/>
          <w:highlight w:val="none"/>
          <w:u w:val="none"/>
          <w:shd w:val="clear" w:color="auto" w:fill="FFFFFF"/>
          <w:lang w:val="zh-CN" w:eastAsia="zh-CN" w:bidi="ar-SA"/>
        </w:rPr>
        <w:t>按照不重复享受的原则。138名局管老干部在区委组织部统一组织的体检和原单位统一组织的体检中，选择一边参加。</w:t>
      </w:r>
    </w:p>
    <w:p>
      <w:pPr>
        <w:pStyle w:val="2"/>
        <w:widowControl w:val="0"/>
        <w:numPr>
          <w:ilvl w:val="0"/>
          <w:numId w:val="0"/>
        </w:numPr>
        <w:autoSpaceDE w:val="0"/>
        <w:autoSpaceDN w:val="0"/>
        <w:adjustRightInd w:val="0"/>
        <w:ind w:firstLine="640" w:firstLineChars="200"/>
        <w:rPr>
          <w:rFonts w:hint="eastAsia" w:ascii="仿宋_GB2312" w:hAnsi="仿宋_GB2312" w:eastAsia="仿宋_GB2312" w:cs="仿宋_GB2312"/>
          <w:color w:val="auto"/>
          <w:kern w:val="0"/>
          <w:sz w:val="32"/>
          <w:szCs w:val="32"/>
          <w:highlight w:val="none"/>
          <w:u w:val="none"/>
          <w:shd w:val="clear" w:color="auto" w:fill="FFFFFF"/>
          <w:lang w:val="zh-CN" w:eastAsia="zh-CN" w:bidi="ar-SA"/>
        </w:rPr>
      </w:pPr>
      <w:r>
        <w:rPr>
          <w:rFonts w:hint="eastAsia" w:ascii="仿宋_GB2312" w:hAnsi="仿宋_GB2312" w:eastAsia="仿宋_GB2312" w:cs="仿宋_GB2312"/>
          <w:color w:val="auto"/>
          <w:kern w:val="0"/>
          <w:sz w:val="32"/>
          <w:szCs w:val="32"/>
          <w:highlight w:val="none"/>
          <w:u w:val="none"/>
          <w:shd w:val="clear" w:color="auto" w:fill="FFFFFF"/>
          <w:lang w:val="zh-CN" w:eastAsia="zh-CN" w:bidi="ar-SA"/>
        </w:rPr>
        <w:t>按照“集中+灵活”的原则。参与区委组织部统一组织体检的局管老干部，可集中或自行前往遂宁第一人民医院河东院区1楼健康管理中心进行体检，并由区委组织部统一结账；不参加集中体检的局管老干部，自行选择医院体检后凭正规票据到区委组织部按相应标准进行报销。</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（二）项目绩效目标。</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1</w:t>
      </w:r>
      <w:r>
        <w:rPr>
          <w:rFonts w:hint="eastAsia" w:ascii="仿宋_GB2312" w:hAnsi="仿宋_GB2312" w:eastAsia="仿宋_GB2312" w:cs="仿宋_GB2312"/>
          <w:color w:val="auto"/>
          <w:kern w:val="0"/>
          <w:sz w:val="32"/>
          <w:szCs w:val="32"/>
          <w:highlight w:val="none"/>
          <w:u w:val="none"/>
          <w:shd w:val="clear" w:color="auto" w:fill="FFFFFF"/>
          <w:lang w:val="en-US" w:eastAsia="zh-CN"/>
        </w:rPr>
        <w:t>.</w:t>
      </w:r>
      <w:r>
        <w:rPr>
          <w:rFonts w:hint="eastAsia" w:ascii="仿宋_GB2312" w:hAnsi="仿宋_GB2312" w:eastAsia="仿宋_GB2312" w:cs="仿宋_GB2312"/>
          <w:color w:val="auto"/>
          <w:kern w:val="0"/>
          <w:sz w:val="32"/>
          <w:szCs w:val="32"/>
          <w:highlight w:val="none"/>
          <w:u w:val="none"/>
          <w:shd w:val="clear" w:color="auto" w:fill="FFFFFF"/>
          <w:lang w:val="zh-CN"/>
        </w:rPr>
        <w:t>项目主要内容。</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仿宋_GB2312" w:hAnsi="仿宋_GB2312" w:eastAsia="仿宋_GB2312" w:cs="仿宋_GB2312"/>
          <w:color w:val="auto"/>
          <w:kern w:val="0"/>
          <w:sz w:val="32"/>
          <w:szCs w:val="32"/>
          <w:highlight w:val="none"/>
          <w:u w:val="none"/>
          <w:shd w:val="clear" w:color="auto" w:fill="FFFFFF"/>
          <w:lang w:val="en-US" w:eastAsia="zh-CN"/>
        </w:rPr>
      </w:pPr>
      <w:r>
        <w:rPr>
          <w:rFonts w:hint="eastAsia" w:ascii="仿宋_GB2312" w:hAnsi="仿宋_GB2312" w:eastAsia="仿宋_GB2312" w:cs="仿宋_GB2312"/>
          <w:color w:val="auto"/>
          <w:kern w:val="0"/>
          <w:sz w:val="32"/>
          <w:szCs w:val="32"/>
          <w:highlight w:val="none"/>
          <w:u w:val="none"/>
          <w:shd w:val="clear" w:color="auto" w:fill="FFFFFF"/>
          <w:lang w:val="en-US" w:eastAsia="zh-CN"/>
        </w:rPr>
        <w:t>根据安居区委老干部股工作职责“组织全区离休干部及副处级以上退休干部的年度健康体检工作”内容，组织全区离休及副处以上退休干部体检工作及健康疗养。</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仿宋_GB2312" w:hAnsi="仿宋_GB2312" w:eastAsia="仿宋_GB2312" w:cs="仿宋_GB2312"/>
          <w:color w:val="auto"/>
          <w:kern w:val="0"/>
          <w:sz w:val="32"/>
          <w:szCs w:val="32"/>
          <w:highlight w:val="none"/>
          <w:u w:val="none"/>
          <w:shd w:val="clear" w:color="auto" w:fill="FFFFFF"/>
          <w:lang w:val="zh-CN" w:eastAsia="zh-CN"/>
        </w:rPr>
      </w:pPr>
      <w:r>
        <w:rPr>
          <w:rFonts w:hint="eastAsia" w:ascii="仿宋_GB2312" w:hAnsi="仿宋_GB2312" w:eastAsia="仿宋_GB2312" w:cs="仿宋_GB2312"/>
          <w:color w:val="auto"/>
          <w:kern w:val="0"/>
          <w:sz w:val="32"/>
          <w:szCs w:val="32"/>
          <w:highlight w:val="none"/>
          <w:u w:val="none"/>
          <w:shd w:val="clear" w:color="auto" w:fill="FFFFFF"/>
          <w:lang w:val="en-US" w:eastAsia="zh-CN"/>
        </w:rPr>
        <w:t>2.</w:t>
      </w:r>
      <w:r>
        <w:rPr>
          <w:rFonts w:hint="eastAsia" w:ascii="仿宋_GB2312" w:hAnsi="仿宋_GB2312" w:eastAsia="仿宋_GB2312" w:cs="仿宋_GB2312"/>
          <w:color w:val="auto"/>
          <w:kern w:val="0"/>
          <w:sz w:val="32"/>
          <w:szCs w:val="32"/>
          <w:highlight w:val="none"/>
          <w:u w:val="none"/>
          <w:shd w:val="clear" w:color="auto" w:fill="FFFFFF"/>
          <w:lang w:val="zh-CN" w:eastAsia="zh-CN"/>
        </w:rPr>
        <w:t>项目应实现的具体绩效目标，</w:t>
      </w:r>
      <w:r>
        <w:rPr>
          <w:rFonts w:hint="eastAsia" w:ascii="仿宋_GB2312" w:hAnsi="仿宋_GB2312" w:eastAsia="仿宋_GB2312" w:cs="仿宋_GB2312"/>
          <w:color w:val="auto"/>
          <w:kern w:val="0"/>
          <w:sz w:val="32"/>
          <w:szCs w:val="32"/>
          <w:highlight w:val="none"/>
          <w:u w:val="none"/>
          <w:shd w:val="clear" w:color="auto" w:fill="FFFFFF"/>
          <w:lang w:val="en-US" w:eastAsia="zh-CN"/>
        </w:rPr>
        <w:t>包括但不限于：绩效</w:t>
      </w:r>
      <w:r>
        <w:rPr>
          <w:rFonts w:hint="eastAsia" w:ascii="仿宋_GB2312" w:hAnsi="仿宋_GB2312" w:eastAsia="仿宋_GB2312" w:cs="仿宋_GB2312"/>
          <w:color w:val="auto"/>
          <w:kern w:val="0"/>
          <w:sz w:val="32"/>
          <w:szCs w:val="32"/>
          <w:highlight w:val="none"/>
          <w:u w:val="none"/>
          <w:shd w:val="clear" w:color="auto" w:fill="FFFFFF"/>
          <w:lang w:val="zh-CN" w:eastAsia="zh-CN"/>
        </w:rPr>
        <w:t>目标的量化细化情况、项目实施进度计划等。</w:t>
      </w:r>
    </w:p>
    <w:p>
      <w:pPr>
        <w:adjustRightInd w:val="0"/>
        <w:snapToGrid w:val="0"/>
        <w:spacing w:line="600" w:lineRule="exact"/>
        <w:ind w:firstLine="480" w:firstLineChars="150"/>
        <w:rPr>
          <w:rFonts w:hint="eastAsia" w:ascii="仿宋_GB2312" w:hAnsi="宋体" w:eastAsia="仿宋_GB2312"/>
          <w:sz w:val="32"/>
          <w:szCs w:val="32"/>
          <w:highlight w:val="none"/>
          <w:lang w:val="en-US" w:eastAsia="zh-CN"/>
        </w:rPr>
      </w:pPr>
      <w:r>
        <w:rPr>
          <w:rFonts w:hint="eastAsia" w:ascii="仿宋_GB2312" w:hAnsi="宋体" w:eastAsia="仿宋_GB2312"/>
          <w:sz w:val="32"/>
          <w:szCs w:val="32"/>
          <w:highlight w:val="none"/>
          <w:lang w:val="en-US" w:eastAsia="zh-CN"/>
        </w:rPr>
        <w:t>（1）数量指标：年度组织全区离休及副处以上退休老干部共130人完成体检。</w:t>
      </w:r>
    </w:p>
    <w:p>
      <w:pPr>
        <w:adjustRightInd w:val="0"/>
        <w:snapToGrid w:val="0"/>
        <w:spacing w:line="600" w:lineRule="exact"/>
        <w:ind w:firstLine="480" w:firstLineChars="150"/>
        <w:rPr>
          <w:rFonts w:hint="eastAsia" w:ascii="仿宋_GB2312" w:hAnsi="宋体" w:eastAsia="仿宋_GB2312"/>
          <w:sz w:val="32"/>
          <w:szCs w:val="32"/>
          <w:highlight w:val="none"/>
          <w:lang w:val="en-US" w:eastAsia="zh-CN"/>
        </w:rPr>
      </w:pPr>
      <w:r>
        <w:rPr>
          <w:rFonts w:hint="eastAsia" w:ascii="仿宋_GB2312" w:hAnsi="宋体" w:eastAsia="仿宋_GB2312"/>
          <w:sz w:val="32"/>
          <w:szCs w:val="32"/>
          <w:highlight w:val="none"/>
          <w:lang w:val="en-US" w:eastAsia="zh-CN"/>
        </w:rPr>
        <w:t>（2）满意度指标：全区老干部满意度得到不断提升。</w:t>
      </w:r>
    </w:p>
    <w:p>
      <w:pPr>
        <w:adjustRightInd w:val="0"/>
        <w:snapToGrid w:val="0"/>
        <w:spacing w:line="600" w:lineRule="exact"/>
        <w:ind w:firstLine="480" w:firstLineChars="150"/>
        <w:rPr>
          <w:rFonts w:hint="eastAsia" w:ascii="仿宋_GB2312" w:hAnsi="宋体" w:eastAsia="仿宋_GB2312"/>
          <w:sz w:val="32"/>
          <w:szCs w:val="32"/>
          <w:highlight w:val="none"/>
          <w:lang w:val="en-US" w:eastAsia="zh-CN"/>
        </w:rPr>
      </w:pPr>
      <w:r>
        <w:rPr>
          <w:rFonts w:hint="eastAsia" w:ascii="仿宋_GB2312" w:hAnsi="宋体" w:eastAsia="仿宋_GB2312"/>
          <w:sz w:val="32"/>
          <w:szCs w:val="32"/>
          <w:highlight w:val="none"/>
          <w:lang w:val="en-US" w:eastAsia="zh-CN"/>
        </w:rPr>
        <w:t>（3）成本指标：1500元/人。</w:t>
      </w:r>
    </w:p>
    <w:p>
      <w:pPr>
        <w:adjustRightInd w:val="0"/>
        <w:snapToGrid w:val="0"/>
        <w:spacing w:line="600" w:lineRule="exact"/>
        <w:ind w:firstLine="480" w:firstLineChars="150"/>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宋体" w:eastAsia="仿宋_GB2312"/>
          <w:color w:val="auto"/>
          <w:sz w:val="32"/>
          <w:szCs w:val="32"/>
          <w:lang w:val="zh-CN"/>
        </w:rPr>
        <w:t>3．分析评价申报内容</w:t>
      </w:r>
      <w:r>
        <w:rPr>
          <w:rFonts w:hint="eastAsia" w:ascii="仿宋_GB2312" w:hAnsi="仿宋_GB2312" w:eastAsia="仿宋_GB2312" w:cs="仿宋_GB2312"/>
          <w:color w:val="auto"/>
          <w:kern w:val="0"/>
          <w:sz w:val="32"/>
          <w:szCs w:val="32"/>
          <w:highlight w:val="none"/>
          <w:u w:val="none"/>
          <w:shd w:val="clear" w:color="auto" w:fill="FFFFFF"/>
          <w:lang w:val="zh-CN"/>
        </w:rPr>
        <w:t>是否与实际相符，申报目标是否合理可行。</w:t>
      </w:r>
    </w:p>
    <w:p>
      <w:pPr>
        <w:adjustRightInd w:val="0"/>
        <w:snapToGrid w:val="0"/>
        <w:spacing w:line="600" w:lineRule="exact"/>
        <w:ind w:firstLine="480" w:firstLineChars="150"/>
        <w:rPr>
          <w:rFonts w:hint="eastAsia" w:ascii="仿宋_GB2312" w:hAnsi="宋体" w:eastAsia="仿宋_GB2312"/>
          <w:sz w:val="32"/>
          <w:szCs w:val="32"/>
          <w:highlight w:val="none"/>
          <w:lang w:val="zh-CN" w:eastAsia="zh-CN"/>
        </w:rPr>
      </w:pPr>
      <w:r>
        <w:rPr>
          <w:rFonts w:hint="eastAsia" w:ascii="仿宋_GB2312" w:hAnsi="宋体" w:eastAsia="仿宋_GB2312"/>
          <w:sz w:val="32"/>
          <w:szCs w:val="32"/>
          <w:highlight w:val="none"/>
          <w:lang w:val="zh-CN" w:eastAsia="zh-CN"/>
        </w:rPr>
        <w:t>项目申报内容与具体实施内容相符、申报目标合理可行。项目实施进度如期完成，计划实现的具体绩效目标达到100%，项目实施进度计划达到100%。</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（三）项目自评步骤及方法。</w:t>
      </w:r>
    </w:p>
    <w:p>
      <w:pPr>
        <w:adjustRightInd w:val="0"/>
        <w:snapToGrid w:val="0"/>
        <w:spacing w:line="600" w:lineRule="exact"/>
        <w:ind w:firstLine="480" w:firstLineChars="150"/>
        <w:rPr>
          <w:rFonts w:hint="default" w:ascii="仿宋_GB2312" w:hAnsi="宋体" w:eastAsia="仿宋_GB2312"/>
          <w:sz w:val="32"/>
          <w:szCs w:val="32"/>
          <w:highlight w:val="none"/>
          <w:lang w:val="zh-CN" w:eastAsia="zh-CN"/>
        </w:rPr>
      </w:pPr>
      <w:r>
        <w:rPr>
          <w:rFonts w:hint="default" w:ascii="仿宋_GB2312" w:hAnsi="宋体" w:eastAsia="仿宋_GB2312"/>
          <w:sz w:val="32"/>
          <w:szCs w:val="32"/>
          <w:highlight w:val="none"/>
          <w:lang w:val="en-US" w:eastAsia="zh-CN"/>
        </w:rPr>
        <w:t>部</w:t>
      </w:r>
      <w:r>
        <w:rPr>
          <w:rFonts w:hint="default" w:ascii="仿宋_GB2312" w:hAnsi="宋体" w:eastAsia="仿宋_GB2312"/>
          <w:sz w:val="32"/>
          <w:szCs w:val="32"/>
          <w:highlight w:val="none"/>
          <w:lang w:val="zh-CN" w:eastAsia="zh-CN"/>
        </w:rPr>
        <w:t>领导高度重视202</w:t>
      </w:r>
      <w:r>
        <w:rPr>
          <w:rFonts w:hint="eastAsia" w:ascii="仿宋_GB2312" w:hAnsi="宋体" w:eastAsia="仿宋_GB2312"/>
          <w:sz w:val="32"/>
          <w:szCs w:val="32"/>
          <w:highlight w:val="none"/>
          <w:lang w:val="en-US" w:eastAsia="zh-CN"/>
        </w:rPr>
        <w:t>2</w:t>
      </w:r>
      <w:r>
        <w:rPr>
          <w:rFonts w:hint="default" w:ascii="仿宋_GB2312" w:hAnsi="宋体" w:eastAsia="仿宋_GB2312"/>
          <w:sz w:val="32"/>
          <w:szCs w:val="32"/>
          <w:highlight w:val="none"/>
          <w:lang w:val="zh-CN" w:eastAsia="zh-CN"/>
        </w:rPr>
        <w:t>年度部门预算项目支出绩效自评工作，要求各分管领导具体负责，按照通知要求，积极开展自评工作，认真填报项目支出绩效自评表。同时，成立部门预算项目支出绩效自评工作组，对本单位项目的绩效自评结果进行审核。</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黑体" w:hAnsi="宋体" w:eastAsia="黑体"/>
          <w:color w:val="auto"/>
          <w:sz w:val="32"/>
          <w:szCs w:val="32"/>
          <w:highlight w:val="none"/>
          <w:u w:val="none"/>
        </w:rPr>
      </w:pPr>
      <w:r>
        <w:rPr>
          <w:rFonts w:hint="eastAsia" w:ascii="黑体" w:hAnsi="宋体" w:eastAsia="黑体"/>
          <w:color w:val="auto"/>
          <w:sz w:val="32"/>
          <w:szCs w:val="32"/>
          <w:highlight w:val="none"/>
          <w:u w:val="none"/>
        </w:rPr>
        <w:t>二、项目资金申报及使用情况</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（一）项目资金申报及批复情况。</w:t>
      </w:r>
    </w:p>
    <w:p>
      <w:pPr>
        <w:adjustRightInd w:val="0"/>
        <w:snapToGrid w:val="0"/>
        <w:spacing w:line="600" w:lineRule="exact"/>
        <w:ind w:firstLine="800" w:firstLineChars="250"/>
        <w:rPr>
          <w:rFonts w:hint="eastAsia" w:ascii="仿宋_GB2312" w:hAnsi="宋体" w:eastAsia="仿宋_GB2312"/>
          <w:sz w:val="32"/>
          <w:szCs w:val="32"/>
          <w:highlight w:val="none"/>
          <w:lang w:val="zh-CN" w:eastAsia="zh-CN"/>
        </w:rPr>
      </w:pPr>
      <w:r>
        <w:rPr>
          <w:rFonts w:hint="eastAsia" w:ascii="仿宋_GB2312" w:hAnsi="宋体" w:eastAsia="仿宋_GB2312"/>
          <w:sz w:val="32"/>
          <w:szCs w:val="32"/>
          <w:highlight w:val="none"/>
          <w:lang w:val="zh-CN" w:eastAsia="zh-CN"/>
        </w:rPr>
        <w:t>我单位根据本年度老干部外出疗养及体检工作任务申请立项，通过审议批准后，纳入年初本级预算，预算金额</w:t>
      </w:r>
      <w:r>
        <w:rPr>
          <w:rFonts w:hint="eastAsia" w:ascii="仿宋_GB2312" w:hAnsi="宋体" w:eastAsia="仿宋_GB2312"/>
          <w:sz w:val="32"/>
          <w:szCs w:val="32"/>
          <w:highlight w:val="none"/>
          <w:lang w:val="en-US" w:eastAsia="zh-CN"/>
        </w:rPr>
        <w:t>29.20</w:t>
      </w:r>
      <w:r>
        <w:rPr>
          <w:rFonts w:hint="eastAsia" w:ascii="仿宋_GB2312" w:hAnsi="宋体" w:eastAsia="仿宋_GB2312"/>
          <w:sz w:val="32"/>
          <w:szCs w:val="32"/>
          <w:highlight w:val="none"/>
          <w:lang w:val="zh-CN" w:eastAsia="zh-CN"/>
        </w:rPr>
        <w:t>万元，执行中调整</w:t>
      </w:r>
      <w:r>
        <w:rPr>
          <w:rFonts w:hint="eastAsia" w:ascii="仿宋_GB2312" w:hAnsi="宋体" w:eastAsia="仿宋_GB2312"/>
          <w:sz w:val="32"/>
          <w:szCs w:val="32"/>
          <w:highlight w:val="none"/>
          <w:lang w:val="en-US" w:eastAsia="zh-CN"/>
        </w:rPr>
        <w:t>5.76万元，最终</w:t>
      </w:r>
      <w:r>
        <w:rPr>
          <w:rFonts w:hint="eastAsia" w:ascii="仿宋_GB2312" w:hAnsi="宋体" w:eastAsia="仿宋_GB2312"/>
          <w:sz w:val="32"/>
          <w:szCs w:val="32"/>
          <w:highlight w:val="none"/>
          <w:lang w:val="zh-CN" w:eastAsia="zh-CN"/>
        </w:rPr>
        <w:t>预算批复23.44万元。项目开展后，我单位在预算一体化系统中申请使用资金并向财政局归口股室递交项目专项资金申请表提交申请，国库等业务股室审核通过后，指标下达到本单位，本单位再按经费实际开支情况，据实报销资金。</w:t>
      </w:r>
    </w:p>
    <w:p>
      <w:pPr>
        <w:keepNext w:val="0"/>
        <w:keepLines w:val="0"/>
        <w:pageBreakBefore w:val="0"/>
        <w:kinsoku/>
        <w:wordWrap/>
        <w:overflowPunct/>
        <w:topLinePunct w:val="0"/>
        <w:autoSpaceDE/>
        <w:autoSpaceDN/>
        <w:bidi w:val="0"/>
        <w:adjustRightInd w:val="0"/>
        <w:snapToGrid w:val="0"/>
        <w:spacing w:line="578" w:lineRule="exact"/>
        <w:ind w:firstLine="643" w:firstLineChars="200"/>
        <w:textAlignment w:val="auto"/>
        <w:rPr>
          <w:rFonts w:ascii="仿宋_GB2312" w:hAnsi="宋体"/>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（二）资金计划、到位及使用情况（可用表格形式反映）。</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en-US" w:eastAsia="zh-CN"/>
        </w:rPr>
        <w:t>1.</w:t>
      </w:r>
      <w:r>
        <w:rPr>
          <w:rFonts w:hint="eastAsia" w:ascii="仿宋_GB2312" w:hAnsi="仿宋_GB2312" w:eastAsia="仿宋_GB2312" w:cs="仿宋_GB2312"/>
          <w:color w:val="auto"/>
          <w:kern w:val="0"/>
          <w:sz w:val="32"/>
          <w:szCs w:val="32"/>
          <w:highlight w:val="none"/>
          <w:u w:val="none"/>
          <w:shd w:val="clear" w:color="auto" w:fill="FFFFFF"/>
          <w:lang w:val="zh-CN"/>
        </w:rPr>
        <w:t>资金计划。</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000000"/>
          <w:sz w:val="32"/>
          <w:szCs w:val="32"/>
          <w:shd w:val="clear" w:color="auto" w:fill="FFFFFF"/>
          <w:lang w:val="zh-CN"/>
        </w:rPr>
        <w:t>专项项目资金源于年初财政拨款预算，由区财政局统一</w:t>
      </w:r>
      <w:r>
        <w:rPr>
          <w:rFonts w:hint="eastAsia" w:ascii="仿宋_GB2312" w:hAnsi="仿宋_GB2312" w:eastAsia="仿宋_GB2312" w:cs="仿宋_GB2312"/>
          <w:color w:val="000000"/>
          <w:sz w:val="32"/>
          <w:szCs w:val="32"/>
          <w:highlight w:val="none"/>
          <w:shd w:val="clear" w:color="auto" w:fill="FFFFFF"/>
          <w:lang w:val="zh-CN"/>
        </w:rPr>
        <w:t>批复，20</w:t>
      </w:r>
      <w:r>
        <w:rPr>
          <w:rFonts w:hint="eastAsia" w:ascii="仿宋_GB2312" w:hAnsi="仿宋_GB2312" w:eastAsia="仿宋_GB2312" w:cs="仿宋_GB2312"/>
          <w:color w:val="000000"/>
          <w:sz w:val="32"/>
          <w:szCs w:val="32"/>
          <w:highlight w:val="none"/>
          <w:shd w:val="clear" w:color="auto" w:fill="FFFFFF"/>
        </w:rPr>
        <w:t>2</w:t>
      </w:r>
      <w:r>
        <w:rPr>
          <w:rFonts w:hint="eastAsia" w:ascii="仿宋_GB2312" w:hAnsi="仿宋_GB2312" w:eastAsia="仿宋_GB2312" w:cs="仿宋_GB2312"/>
          <w:color w:val="000000"/>
          <w:sz w:val="32"/>
          <w:szCs w:val="32"/>
          <w:highlight w:val="none"/>
          <w:shd w:val="clear" w:color="auto" w:fill="FFFFFF"/>
          <w:lang w:val="en-US" w:eastAsia="zh-CN"/>
        </w:rPr>
        <w:t>2</w:t>
      </w:r>
      <w:r>
        <w:rPr>
          <w:rFonts w:hint="eastAsia" w:ascii="仿宋_GB2312" w:hAnsi="仿宋_GB2312" w:eastAsia="仿宋_GB2312" w:cs="仿宋_GB2312"/>
          <w:color w:val="000000"/>
          <w:sz w:val="32"/>
          <w:szCs w:val="32"/>
          <w:highlight w:val="none"/>
          <w:shd w:val="clear" w:color="auto" w:fill="FFFFFF"/>
          <w:lang w:val="zh-CN"/>
        </w:rPr>
        <w:t>年年初预算</w:t>
      </w:r>
      <w:r>
        <w:rPr>
          <w:rFonts w:hint="eastAsia" w:ascii="仿宋_GB2312" w:hAnsi="宋体" w:eastAsia="仿宋_GB2312"/>
          <w:sz w:val="32"/>
          <w:szCs w:val="32"/>
          <w:highlight w:val="none"/>
          <w:lang w:val="en-US" w:eastAsia="zh-CN"/>
        </w:rPr>
        <w:t>29.20</w:t>
      </w:r>
      <w:r>
        <w:rPr>
          <w:rFonts w:hint="eastAsia" w:ascii="仿宋_GB2312" w:hAnsi="仿宋_GB2312" w:eastAsia="仿宋_GB2312" w:cs="仿宋_GB2312"/>
          <w:color w:val="000000"/>
          <w:sz w:val="32"/>
          <w:szCs w:val="32"/>
          <w:highlight w:val="none"/>
          <w:shd w:val="clear" w:color="auto" w:fill="FFFFFF"/>
          <w:lang w:val="en-US" w:eastAsia="zh-CN"/>
        </w:rPr>
        <w:t>万元，</w:t>
      </w:r>
      <w:r>
        <w:rPr>
          <w:rFonts w:hint="eastAsia" w:ascii="仿宋_GB2312" w:hAnsi="仿宋_GB2312" w:eastAsia="仿宋_GB2312" w:cs="仿宋_GB2312"/>
          <w:color w:val="000000"/>
          <w:sz w:val="32"/>
          <w:szCs w:val="32"/>
          <w:highlight w:val="none"/>
          <w:shd w:val="clear" w:color="auto" w:fill="FFFFFF"/>
          <w:lang w:val="zh-CN"/>
        </w:rPr>
        <w:t>预算批复</w:t>
      </w:r>
      <w:r>
        <w:rPr>
          <w:rFonts w:hint="eastAsia" w:ascii="仿宋_GB2312" w:hAnsi="宋体" w:eastAsia="仿宋_GB2312"/>
          <w:sz w:val="32"/>
          <w:szCs w:val="32"/>
          <w:highlight w:val="none"/>
          <w:lang w:val="zh-CN" w:eastAsia="zh-CN"/>
        </w:rPr>
        <w:t>23.44</w:t>
      </w:r>
      <w:r>
        <w:rPr>
          <w:rFonts w:hint="eastAsia" w:ascii="仿宋_GB2312" w:hAnsi="仿宋_GB2312" w:eastAsia="仿宋_GB2312" w:cs="仿宋_GB2312"/>
          <w:color w:val="000000"/>
          <w:sz w:val="32"/>
          <w:szCs w:val="32"/>
          <w:highlight w:val="none"/>
          <w:shd w:val="clear" w:color="auto" w:fill="FFFFFF"/>
          <w:lang w:val="zh-CN"/>
        </w:rPr>
        <w:t>万元，实际下达</w:t>
      </w:r>
      <w:r>
        <w:rPr>
          <w:rFonts w:hint="eastAsia" w:ascii="仿宋_GB2312" w:hAnsi="宋体" w:eastAsia="仿宋_GB2312"/>
          <w:sz w:val="32"/>
          <w:szCs w:val="32"/>
          <w:highlight w:val="none"/>
          <w:lang w:val="zh-CN" w:eastAsia="zh-CN"/>
        </w:rPr>
        <w:t>23.44</w:t>
      </w:r>
      <w:r>
        <w:rPr>
          <w:rFonts w:hint="eastAsia" w:ascii="仿宋_GB2312" w:hAnsi="仿宋_GB2312" w:eastAsia="仿宋_GB2312" w:cs="仿宋_GB2312"/>
          <w:color w:val="000000"/>
          <w:sz w:val="32"/>
          <w:szCs w:val="32"/>
          <w:highlight w:val="none"/>
          <w:shd w:val="clear" w:color="auto" w:fill="FFFFFF"/>
        </w:rPr>
        <w:t>万元</w:t>
      </w:r>
      <w:r>
        <w:rPr>
          <w:rFonts w:hint="eastAsia" w:ascii="仿宋_GB2312" w:hAnsi="仿宋_GB2312" w:eastAsia="仿宋_GB2312" w:cs="仿宋_GB2312"/>
          <w:color w:val="000000"/>
          <w:sz w:val="32"/>
          <w:szCs w:val="32"/>
          <w:highlight w:val="none"/>
          <w:shd w:val="clear" w:color="auto" w:fill="FFFFFF"/>
          <w:lang w:val="zh-CN"/>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630" w:leftChars="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en-US" w:eastAsia="zh-CN"/>
        </w:rPr>
        <w:t>2.</w:t>
      </w:r>
      <w:r>
        <w:rPr>
          <w:rFonts w:hint="eastAsia" w:ascii="仿宋_GB2312" w:hAnsi="仿宋_GB2312" w:eastAsia="仿宋_GB2312" w:cs="仿宋_GB2312"/>
          <w:color w:val="auto"/>
          <w:kern w:val="0"/>
          <w:sz w:val="32"/>
          <w:szCs w:val="32"/>
          <w:highlight w:val="none"/>
          <w:u w:val="none"/>
          <w:shd w:val="clear" w:color="auto" w:fill="FFFFFF"/>
          <w:lang w:val="zh-CN"/>
        </w:rPr>
        <w:t>资金到位。</w:t>
      </w:r>
    </w:p>
    <w:p>
      <w:pPr>
        <w:adjustRightInd w:val="0"/>
        <w:snapToGrid w:val="0"/>
        <w:spacing w:line="600" w:lineRule="exact"/>
        <w:ind w:firstLine="640" w:firstLineChars="200"/>
        <w:rPr>
          <w:rFonts w:ascii="仿宋_GB2312" w:hAnsi="宋体" w:eastAsia="仿宋_GB2312"/>
          <w:sz w:val="32"/>
          <w:szCs w:val="32"/>
          <w:highlight w:val="none"/>
          <w:lang w:val="zh-CN"/>
        </w:rPr>
      </w:pPr>
      <w:r>
        <w:rPr>
          <w:rFonts w:hint="eastAsia" w:ascii="仿宋_GB2312" w:hAnsi="宋体" w:eastAsia="仿宋_GB2312"/>
          <w:sz w:val="32"/>
          <w:szCs w:val="32"/>
          <w:highlight w:val="none"/>
          <w:lang w:eastAsia="zh-CN"/>
        </w:rPr>
        <w:t>专项</w:t>
      </w:r>
      <w:r>
        <w:rPr>
          <w:rFonts w:hint="eastAsia" w:ascii="仿宋_GB2312" w:hAnsi="宋体" w:eastAsia="仿宋_GB2312"/>
          <w:sz w:val="32"/>
          <w:szCs w:val="32"/>
          <w:highlight w:val="none"/>
        </w:rPr>
        <w:t>项目资金预算</w:t>
      </w:r>
      <w:r>
        <w:rPr>
          <w:rFonts w:hint="eastAsia" w:ascii="仿宋_GB2312" w:hAnsi="宋体" w:eastAsia="仿宋_GB2312"/>
          <w:sz w:val="32"/>
          <w:szCs w:val="32"/>
          <w:highlight w:val="none"/>
          <w:lang w:eastAsia="zh-CN"/>
        </w:rPr>
        <w:t>批复</w:t>
      </w:r>
      <w:r>
        <w:rPr>
          <w:rFonts w:hint="eastAsia" w:ascii="仿宋_GB2312" w:hAnsi="宋体" w:eastAsia="仿宋_GB2312"/>
          <w:sz w:val="32"/>
          <w:szCs w:val="32"/>
          <w:highlight w:val="none"/>
          <w:lang w:val="zh-CN" w:eastAsia="zh-CN"/>
        </w:rPr>
        <w:t>23.44</w:t>
      </w:r>
      <w:r>
        <w:rPr>
          <w:rFonts w:hint="eastAsia" w:ascii="仿宋_GB2312" w:hAnsi="宋体" w:eastAsia="仿宋_GB2312"/>
          <w:sz w:val="32"/>
          <w:szCs w:val="32"/>
          <w:highlight w:val="none"/>
        </w:rPr>
        <w:t>万，拨付到位</w:t>
      </w:r>
      <w:r>
        <w:rPr>
          <w:rFonts w:hint="eastAsia" w:ascii="仿宋_GB2312" w:hAnsi="宋体" w:eastAsia="仿宋_GB2312"/>
          <w:sz w:val="32"/>
          <w:szCs w:val="32"/>
          <w:highlight w:val="none"/>
          <w:lang w:val="zh-CN" w:eastAsia="zh-CN"/>
        </w:rPr>
        <w:t>23.44</w:t>
      </w:r>
      <w:r>
        <w:rPr>
          <w:rFonts w:hint="eastAsia" w:ascii="仿宋_GB2312" w:hAnsi="宋体" w:eastAsia="仿宋_GB2312"/>
          <w:sz w:val="32"/>
          <w:szCs w:val="32"/>
          <w:highlight w:val="none"/>
        </w:rPr>
        <w:t>万元，到位率</w:t>
      </w:r>
      <w:r>
        <w:rPr>
          <w:rFonts w:hint="eastAsia" w:ascii="仿宋_GB2312" w:hAnsi="宋体" w:eastAsia="仿宋_GB2312"/>
          <w:sz w:val="32"/>
          <w:szCs w:val="32"/>
          <w:highlight w:val="none"/>
          <w:lang w:val="en-US" w:eastAsia="zh-CN"/>
        </w:rPr>
        <w:t>100</w:t>
      </w:r>
      <w:r>
        <w:rPr>
          <w:rFonts w:hint="eastAsia" w:ascii="仿宋_GB2312" w:hAnsi="宋体" w:eastAsia="仿宋_GB2312"/>
          <w:sz w:val="32"/>
          <w:szCs w:val="32"/>
          <w:highlight w:val="none"/>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630" w:leftChars="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en-US" w:eastAsia="zh-CN"/>
        </w:rPr>
        <w:t>3.</w:t>
      </w:r>
      <w:r>
        <w:rPr>
          <w:rFonts w:hint="eastAsia" w:ascii="仿宋_GB2312" w:hAnsi="仿宋_GB2312" w:eastAsia="仿宋_GB2312" w:cs="仿宋_GB2312"/>
          <w:color w:val="auto"/>
          <w:kern w:val="0"/>
          <w:sz w:val="32"/>
          <w:szCs w:val="32"/>
          <w:highlight w:val="none"/>
          <w:u w:val="none"/>
          <w:shd w:val="clear" w:color="auto" w:fill="FFFFFF"/>
          <w:lang w:val="zh-CN"/>
        </w:rPr>
        <w:t>资金使用。</w:t>
      </w:r>
    </w:p>
    <w:p>
      <w:pPr>
        <w:adjustRightInd w:val="0"/>
        <w:snapToGrid w:val="0"/>
        <w:spacing w:line="600" w:lineRule="exact"/>
        <w:ind w:firstLine="640" w:firstLineChars="20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 xml:space="preserve">组织全区离休及副处以上退休老干部共130人完成体检，并对每位老干部的体检结果进行综合分析，提出相应诊断和治疗意见。体检项目已按计划完成，符合年初设定绩效目标。项目实际成本23.44万元，控制在预算范围内，与预算一致。 </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（三）项目财务管理情况。</w:t>
      </w:r>
    </w:p>
    <w:p>
      <w:pPr>
        <w:adjustRightInd w:val="0"/>
        <w:snapToGrid w:val="0"/>
        <w:spacing w:line="600" w:lineRule="exact"/>
        <w:ind w:firstLine="640" w:firstLineChars="200"/>
        <w:rPr>
          <w:rFonts w:hint="eastAsia" w:ascii="仿宋_GB2312" w:hAnsi="宋体" w:eastAsia="仿宋_GB2312"/>
          <w:sz w:val="32"/>
          <w:szCs w:val="32"/>
          <w:lang w:eastAsia="zh-CN"/>
        </w:rPr>
      </w:pPr>
      <w:r>
        <w:rPr>
          <w:rFonts w:hint="eastAsia" w:ascii="仿宋_GB2312" w:hAnsi="宋体" w:eastAsia="仿宋_GB2312"/>
          <w:sz w:val="32"/>
          <w:szCs w:val="32"/>
        </w:rPr>
        <w:t>专项经费严格按照专款专用原则，及时通知有关单位提供合法票据，完善报账手续，严格票据审核，规范报账程，同时财政部门对资金支付严格审核，确保资金使用安全。根据国家财经法规和单位财务管理制度的相关规定以及有关项目资金管理办法的规定支出，做到了资金使用的安全性、规范性</w:t>
      </w:r>
      <w:r>
        <w:rPr>
          <w:rFonts w:hint="eastAsia" w:ascii="仿宋_GB2312" w:hAnsi="宋体" w:eastAsia="仿宋_GB2312"/>
          <w:sz w:val="32"/>
          <w:szCs w:val="32"/>
          <w:lang w:eastAsia="zh-CN"/>
        </w:rPr>
        <w:t>。待费用报销结束后会计人员</w:t>
      </w:r>
      <w:r>
        <w:rPr>
          <w:rFonts w:hint="eastAsia" w:ascii="仿宋" w:hAnsi="仿宋" w:eastAsia="仿宋" w:cs="FangSong_GB2312"/>
          <w:sz w:val="32"/>
          <w:szCs w:val="32"/>
          <w:lang w:val="zh-CN"/>
        </w:rPr>
        <w:t>严格按照财务管理制度及时进行账务处理，会计核算规范，无遗漏、错记等情况。</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黑体" w:hAnsi="宋体" w:eastAsia="黑体"/>
          <w:color w:val="auto"/>
          <w:sz w:val="32"/>
          <w:szCs w:val="32"/>
          <w:highlight w:val="none"/>
          <w:u w:val="none"/>
        </w:rPr>
      </w:pPr>
      <w:r>
        <w:rPr>
          <w:rFonts w:hint="eastAsia" w:ascii="黑体" w:hAnsi="宋体" w:eastAsia="黑体"/>
          <w:color w:val="auto"/>
          <w:sz w:val="32"/>
          <w:szCs w:val="32"/>
          <w:highlight w:val="none"/>
          <w:u w:val="none"/>
        </w:rPr>
        <w:t>三、项目实施及管理情况</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结合项目组织实施管理办法，重点围绕以下内容进行分析评价，并对自评中发现的问题分析说明。</w:t>
      </w:r>
    </w:p>
    <w:p>
      <w:pPr>
        <w:keepNext w:val="0"/>
        <w:keepLines w:val="0"/>
        <w:pageBreakBefore w:val="0"/>
        <w:numPr>
          <w:ilvl w:val="0"/>
          <w:numId w:val="0"/>
        </w:numPr>
        <w:kinsoku/>
        <w:wordWrap/>
        <w:overflowPunct/>
        <w:topLinePunct w:val="0"/>
        <w:autoSpaceDE/>
        <w:autoSpaceDN/>
        <w:bidi w:val="0"/>
        <w:adjustRightInd w:val="0"/>
        <w:snapToGrid w:val="0"/>
        <w:spacing w:line="578" w:lineRule="exact"/>
        <w:ind w:firstLine="643" w:firstLineChars="200"/>
        <w:textAlignment w:val="auto"/>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（一）项目组织架构及实施流程。</w:t>
      </w:r>
    </w:p>
    <w:p>
      <w:pPr>
        <w:adjustRightInd w:val="0"/>
        <w:snapToGrid w:val="0"/>
        <w:spacing w:line="600" w:lineRule="exact"/>
        <w:ind w:firstLine="640" w:firstLineChars="200"/>
        <w:rPr>
          <w:rFonts w:hint="eastAsia" w:ascii="仿宋_GB2312" w:hAnsi="宋体" w:eastAsia="仿宋_GB2312"/>
          <w:sz w:val="32"/>
          <w:szCs w:val="32"/>
          <w:lang w:val="zh-CN"/>
        </w:rPr>
      </w:pPr>
      <w:r>
        <w:rPr>
          <w:rFonts w:hint="eastAsia" w:ascii="仿宋_GB2312" w:hAnsi="仿宋_GB2312" w:eastAsia="仿宋_GB2312" w:cs="仿宋_GB2312"/>
          <w:color w:val="auto"/>
          <w:kern w:val="0"/>
          <w:sz w:val="32"/>
          <w:szCs w:val="32"/>
          <w:highlight w:val="none"/>
          <w:u w:val="none"/>
          <w:shd w:val="clear" w:color="auto" w:fill="FFFFFF"/>
          <w:lang w:val="en-US" w:eastAsia="zh-CN"/>
        </w:rPr>
        <w:t>根据安居区委老干部股工作职责“组织全区离休干部及副处级以上退休干部的年度健康体检工作”内容，组织全区离休及副处以上退休干部体检工作及健康疗养</w:t>
      </w:r>
      <w:r>
        <w:rPr>
          <w:rFonts w:hint="eastAsia" w:ascii="仿宋_GB2312" w:hAnsi="宋体" w:eastAsia="仿宋_GB2312"/>
          <w:sz w:val="32"/>
          <w:szCs w:val="32"/>
        </w:rPr>
        <w:t>。项目开展后，我单位在</w:t>
      </w:r>
      <w:r>
        <w:rPr>
          <w:rFonts w:hint="eastAsia" w:ascii="仿宋_GB2312" w:hAnsi="宋体" w:eastAsia="仿宋_GB2312"/>
          <w:sz w:val="32"/>
          <w:szCs w:val="32"/>
          <w:lang w:eastAsia="zh-CN"/>
        </w:rPr>
        <w:t>预算一体化系统中</w:t>
      </w:r>
      <w:r>
        <w:rPr>
          <w:rFonts w:hint="eastAsia" w:ascii="仿宋_GB2312" w:hAnsi="宋体" w:eastAsia="仿宋_GB2312"/>
          <w:sz w:val="32"/>
          <w:szCs w:val="32"/>
        </w:rPr>
        <w:t>申请使用资金并向财政局归口股室递交项目专项资金申请表提交申请，国库等业务股室审核通过后，指标下达到本单位，本单位再按经费实际开支情况，据实报销资金。</w:t>
      </w:r>
    </w:p>
    <w:p>
      <w:pPr>
        <w:keepNext w:val="0"/>
        <w:keepLines w:val="0"/>
        <w:pageBreakBefore w:val="0"/>
        <w:numPr>
          <w:ilvl w:val="0"/>
          <w:numId w:val="0"/>
        </w:numPr>
        <w:kinsoku/>
        <w:wordWrap/>
        <w:overflowPunct/>
        <w:topLinePunct w:val="0"/>
        <w:autoSpaceDE/>
        <w:autoSpaceDN/>
        <w:bidi w:val="0"/>
        <w:adjustRightInd w:val="0"/>
        <w:snapToGrid w:val="0"/>
        <w:spacing w:line="578" w:lineRule="exact"/>
        <w:ind w:left="720" w:leftChars="0"/>
        <w:textAlignment w:val="auto"/>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（二）项目管理情况。</w:t>
      </w:r>
    </w:p>
    <w:p>
      <w:pPr>
        <w:adjustRightInd w:val="0"/>
        <w:snapToGrid w:val="0"/>
        <w:spacing w:line="600" w:lineRule="exact"/>
        <w:ind w:firstLine="720"/>
        <w:rPr>
          <w:rFonts w:ascii="仿宋_GB2312" w:hAnsi="宋体" w:eastAsia="仿宋_GB2312"/>
          <w:sz w:val="32"/>
          <w:szCs w:val="32"/>
        </w:rPr>
      </w:pPr>
      <w:r>
        <w:rPr>
          <w:rFonts w:hint="eastAsia" w:ascii="仿宋_GB2312" w:hAnsi="宋体" w:eastAsia="仿宋_GB2312"/>
          <w:sz w:val="32"/>
          <w:szCs w:val="32"/>
        </w:rPr>
        <w:t>项目严格按照区级有关规定执行，严格用于开展老干部外出疗养及体检费</w:t>
      </w:r>
      <w:r>
        <w:rPr>
          <w:rFonts w:hint="eastAsia" w:ascii="仿宋_GB2312" w:hAnsi="宋体" w:eastAsia="仿宋_GB2312"/>
          <w:sz w:val="32"/>
          <w:szCs w:val="32"/>
          <w:lang w:eastAsia="zh-CN"/>
        </w:rPr>
        <w:t>等</w:t>
      </w:r>
      <w:r>
        <w:rPr>
          <w:rFonts w:hint="eastAsia" w:ascii="仿宋_GB2312" w:hAnsi="宋体" w:eastAsia="仿宋_GB2312"/>
          <w:sz w:val="32"/>
          <w:szCs w:val="32"/>
        </w:rPr>
        <w:t>工作，</w:t>
      </w:r>
      <w:r>
        <w:rPr>
          <w:rFonts w:ascii="仿宋_GB2312" w:hAnsi="宋体" w:eastAsia="仿宋_GB2312"/>
          <w:sz w:val="32"/>
          <w:szCs w:val="32"/>
          <w:lang w:val="zh-CN"/>
        </w:rPr>
        <w:t>资金专款专用。</w:t>
      </w:r>
    </w:p>
    <w:p>
      <w:pPr>
        <w:keepNext w:val="0"/>
        <w:keepLines w:val="0"/>
        <w:pageBreakBefore w:val="0"/>
        <w:numPr>
          <w:ilvl w:val="0"/>
          <w:numId w:val="0"/>
        </w:numPr>
        <w:kinsoku/>
        <w:wordWrap/>
        <w:overflowPunct/>
        <w:topLinePunct w:val="0"/>
        <w:autoSpaceDE/>
        <w:autoSpaceDN/>
        <w:bidi w:val="0"/>
        <w:adjustRightInd w:val="0"/>
        <w:snapToGrid w:val="0"/>
        <w:spacing w:line="578" w:lineRule="exact"/>
        <w:ind w:left="720" w:leftChars="0"/>
        <w:textAlignment w:val="auto"/>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（三）项目监管情况。</w:t>
      </w:r>
    </w:p>
    <w:p>
      <w:pPr>
        <w:keepNext w:val="0"/>
        <w:keepLines w:val="0"/>
        <w:pageBreakBefore w:val="0"/>
        <w:numPr>
          <w:ilvl w:val="0"/>
          <w:numId w:val="0"/>
        </w:numPr>
        <w:kinsoku/>
        <w:wordWrap/>
        <w:overflowPunct/>
        <w:topLinePunct w:val="0"/>
        <w:autoSpaceDE/>
        <w:autoSpaceDN/>
        <w:bidi w:val="0"/>
        <w:adjustRightInd w:val="0"/>
        <w:snapToGrid w:val="0"/>
        <w:spacing w:line="578" w:lineRule="exact"/>
        <w:ind w:left="720" w:leftChars="0"/>
        <w:textAlignment w:val="auto"/>
        <w:rPr>
          <w:rFonts w:ascii="仿宋_GB2312" w:hAnsi="宋体"/>
          <w:color w:val="auto"/>
          <w:sz w:val="32"/>
          <w:szCs w:val="32"/>
          <w:highlight w:val="none"/>
          <w:u w:val="none"/>
          <w:lang w:val="zh-CN"/>
        </w:rPr>
      </w:pPr>
      <w:r>
        <w:rPr>
          <w:rFonts w:hint="eastAsia" w:ascii="仿宋" w:hAnsi="仿宋" w:eastAsia="仿宋" w:cs="FangSong_GB2312"/>
          <w:sz w:val="32"/>
          <w:szCs w:val="32"/>
        </w:rPr>
        <w:t>项目由</w:t>
      </w:r>
      <w:r>
        <w:rPr>
          <w:rFonts w:hint="eastAsia" w:ascii="仿宋" w:hAnsi="仿宋" w:eastAsia="仿宋" w:cs="FangSong_GB2312"/>
          <w:sz w:val="32"/>
          <w:szCs w:val="32"/>
          <w:lang w:eastAsia="zh-CN"/>
        </w:rPr>
        <w:t>区委组织部</w:t>
      </w:r>
      <w:r>
        <w:rPr>
          <w:rFonts w:hint="eastAsia" w:ascii="仿宋" w:hAnsi="仿宋" w:eastAsia="仿宋" w:cs="FangSong_GB2312"/>
          <w:sz w:val="32"/>
          <w:szCs w:val="32"/>
        </w:rPr>
        <w:t>监管，并严格按照相关财经纪律执行。</w:t>
      </w:r>
    </w:p>
    <w:p>
      <w:pPr>
        <w:keepNext w:val="0"/>
        <w:keepLines w:val="0"/>
        <w:pageBreakBefore w:val="0"/>
        <w:numPr>
          <w:ilvl w:val="0"/>
          <w:numId w:val="0"/>
        </w:numPr>
        <w:kinsoku/>
        <w:wordWrap/>
        <w:overflowPunct/>
        <w:topLinePunct w:val="0"/>
        <w:autoSpaceDE/>
        <w:autoSpaceDN/>
        <w:bidi w:val="0"/>
        <w:adjustRightInd w:val="0"/>
        <w:snapToGrid w:val="0"/>
        <w:spacing w:line="578" w:lineRule="exact"/>
        <w:ind w:left="720" w:leftChars="0"/>
        <w:textAlignment w:val="auto"/>
        <w:rPr>
          <w:rFonts w:ascii="仿宋_GB2312" w:hAnsi="宋体"/>
          <w:color w:val="auto"/>
          <w:sz w:val="32"/>
          <w:szCs w:val="32"/>
          <w:highlight w:val="none"/>
          <w:u w:val="none"/>
          <w:lang w:val="zh-CN"/>
        </w:rPr>
      </w:pPr>
      <w:r>
        <w:rPr>
          <w:rFonts w:hint="eastAsia" w:ascii="黑体" w:hAnsi="宋体" w:eastAsia="黑体"/>
          <w:color w:val="auto"/>
          <w:sz w:val="32"/>
          <w:szCs w:val="32"/>
          <w:highlight w:val="none"/>
          <w:u w:val="none"/>
        </w:rPr>
        <w:t>四、项目绩效情况</w:t>
      </w:r>
      <w:r>
        <w:rPr>
          <w:rFonts w:hint="eastAsia" w:ascii="仿宋_GB2312" w:hAnsi="宋体"/>
          <w:color w:val="auto"/>
          <w:sz w:val="32"/>
          <w:szCs w:val="32"/>
          <w:highlight w:val="none"/>
          <w:u w:val="none"/>
          <w:lang w:val="zh-CN"/>
        </w:rPr>
        <w:tab/>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（一）项目完成情况。</w:t>
      </w:r>
    </w:p>
    <w:p>
      <w:pPr>
        <w:snapToGrid w:val="0"/>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本年度组织全区离休及副处以上退休老干部共130人完成体检，并对每位老干部的体检结果进行综合分析，提出相应诊断和治疗意见。体检项目已按计划完成，符合年初设定绩效目标。</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（二）项目效益情况。</w:t>
      </w:r>
    </w:p>
    <w:p>
      <w:pPr>
        <w:snapToGrid w:val="0"/>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一是组织老干部外出健康疗养，提升老干部的身心愉悦感；二是对每位老干部的体检结果进行综合分析，提出相应诊断和治疗意见。通过以上两个措施不断提高我区老干部的满意度。</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黑体" w:hAnsi="宋体" w:eastAsia="黑体"/>
          <w:color w:val="auto"/>
          <w:sz w:val="32"/>
          <w:szCs w:val="32"/>
          <w:highlight w:val="none"/>
          <w:u w:val="none"/>
        </w:rPr>
      </w:pPr>
      <w:r>
        <w:rPr>
          <w:rFonts w:hint="eastAsia" w:ascii="黑体" w:hAnsi="宋体" w:eastAsia="黑体"/>
          <w:color w:val="auto"/>
          <w:sz w:val="32"/>
          <w:szCs w:val="32"/>
          <w:highlight w:val="none"/>
          <w:u w:val="none"/>
        </w:rPr>
        <w:t>五、评价结论及建议</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（一）评价结论。</w:t>
      </w:r>
    </w:p>
    <w:p>
      <w:pPr>
        <w:adjustRightInd w:val="0"/>
        <w:snapToGrid w:val="0"/>
        <w:spacing w:line="600" w:lineRule="exact"/>
        <w:ind w:firstLine="720"/>
        <w:rPr>
          <w:rFonts w:hint="eastAsia" w:ascii="仿宋_GB2312" w:hAnsi="宋体" w:eastAsia="仿宋_GB2312"/>
          <w:sz w:val="32"/>
          <w:szCs w:val="32"/>
          <w:highlight w:val="none"/>
          <w:lang w:val="en-US" w:eastAsia="zh-CN"/>
        </w:rPr>
      </w:pPr>
      <w:r>
        <w:rPr>
          <w:rFonts w:hint="eastAsia" w:ascii="仿宋_GB2312" w:hAnsi="宋体" w:eastAsia="仿宋_GB2312"/>
          <w:sz w:val="32"/>
          <w:szCs w:val="32"/>
          <w:highlight w:val="none"/>
          <w:lang w:val="en-US" w:eastAsia="zh-CN"/>
        </w:rPr>
        <w:t>年度老干部外出疗养及体检费23.44万元，开展绩效自评项目金额合计23.44万元，开展绩效自评项目支出总额占本项目支出总额的比例100%，项目绩效自评平均分95分，评价等级为“优秀”。</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（二）存在的问题。</w:t>
      </w:r>
    </w:p>
    <w:p>
      <w:pPr>
        <w:adjustRightInd w:val="0"/>
        <w:snapToGrid w:val="0"/>
        <w:spacing w:line="600" w:lineRule="exact"/>
        <w:ind w:firstLine="720"/>
        <w:rPr>
          <w:rFonts w:hint="eastAsia" w:ascii="仿宋_GB2312" w:hAnsi="宋体" w:eastAsia="仿宋_GB2312"/>
          <w:sz w:val="32"/>
          <w:szCs w:val="32"/>
          <w:highlight w:val="none"/>
          <w:lang w:val="en-US" w:eastAsia="zh-CN"/>
        </w:rPr>
      </w:pPr>
      <w:r>
        <w:rPr>
          <w:rFonts w:hint="eastAsia" w:ascii="仿宋_GB2312" w:hAnsi="宋体" w:eastAsia="仿宋_GB2312"/>
          <w:sz w:val="32"/>
          <w:szCs w:val="32"/>
          <w:highlight w:val="none"/>
          <w:lang w:val="en-US" w:eastAsia="zh-CN"/>
        </w:rPr>
        <w:t>区委老干部局高度重视体检及疗养工作，精心筹备，周密部署，每天安排专人轮流在体检中心值班，做好沟通协调和服务保障沟通工作，确保体检工作安全圆满完成。各单位老干部部门认真落实有关要求，积极组织本单位老干部参加体检，做好各项服务保障工作。体检中心医护人员齐上阵，保证体检质量的同时，积极做好登记、引导、就餐等服务保障。这些好的经验做法，我们将继续保持下去，并且认真听取老干部的意见建议，及时改进存在的问题，高质量服务保障好老干部体检工作。</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（三）相关建议。</w:t>
      </w:r>
    </w:p>
    <w:p>
      <w:pPr>
        <w:adjustRightInd w:val="0"/>
        <w:snapToGrid w:val="0"/>
        <w:spacing w:line="600" w:lineRule="exact"/>
        <w:ind w:firstLine="720"/>
        <w:rPr>
          <w:rFonts w:hint="eastAsia" w:ascii="仿宋_GB2312" w:hAnsi="宋体" w:eastAsia="仿宋_GB2312"/>
          <w:sz w:val="32"/>
          <w:szCs w:val="32"/>
          <w:highlight w:val="none"/>
          <w:lang w:val="en-US" w:eastAsia="zh-CN"/>
        </w:rPr>
      </w:pPr>
      <w:r>
        <w:rPr>
          <w:rFonts w:hint="eastAsia" w:ascii="仿宋_GB2312" w:hAnsi="宋体" w:eastAsia="仿宋_GB2312"/>
          <w:sz w:val="32"/>
          <w:szCs w:val="32"/>
          <w:highlight w:val="none"/>
          <w:lang w:val="en-US" w:eastAsia="zh-CN"/>
        </w:rPr>
        <w:t>针对老同志的健康需求和身体特点，对体检标准与需求越来越高，体检项目的增加与升级日益迫切。虽然近两年区委老干部局不断申请提高老干部体检费用，但由于费用提高幅度较小，仍难以跟上老干部的需求。因此，建议适当增加老干部体检费标准，进一步提高我区离退休干部健康保障水平。</w:t>
      </w:r>
    </w:p>
    <w:p>
      <w:pPr>
        <w:pStyle w:val="2"/>
      </w:pPr>
    </w:p>
    <w:p>
      <w:pPr>
        <w:pStyle w:val="2"/>
      </w:pPr>
    </w:p>
    <w:p>
      <w:pPr>
        <w:widowControl/>
        <w:jc w:val="left"/>
        <w:rPr>
          <w:rStyle w:val="29"/>
          <w:rFonts w:ascii="黑体" w:hAnsi="黑体" w:eastAsia="黑体"/>
          <w:b w:val="0"/>
          <w:color w:val="auto"/>
          <w:highlight w:val="none"/>
        </w:rPr>
      </w:pPr>
      <w:r>
        <w:rPr>
          <w:rStyle w:val="29"/>
          <w:rFonts w:ascii="黑体" w:hAnsi="黑体" w:eastAsia="黑体"/>
          <w:b w:val="0"/>
          <w:color w:val="auto"/>
          <w:highlight w:val="none"/>
        </w:rPr>
        <w:br w:type="page"/>
      </w:r>
    </w:p>
    <w:p>
      <w:pPr>
        <w:spacing w:line="600" w:lineRule="exact"/>
        <w:jc w:val="center"/>
        <w:outlineLvl w:val="0"/>
        <w:rPr>
          <w:rFonts w:hint="eastAsia" w:ascii="仿宋" w:hAnsi="仿宋" w:eastAsia="仿宋"/>
          <w:b w:val="0"/>
          <w:color w:val="auto"/>
          <w:highlight w:val="none"/>
        </w:rPr>
      </w:pPr>
      <w:bookmarkStart w:id="86" w:name="_Toc15396618"/>
      <w:bookmarkStart w:id="87" w:name="_Toc29235"/>
      <w:r>
        <w:rPr>
          <w:rFonts w:hint="eastAsia" w:ascii="黑体" w:hAnsi="黑体" w:eastAsia="黑体"/>
          <w:color w:val="auto"/>
          <w:sz w:val="44"/>
          <w:szCs w:val="44"/>
          <w:highlight w:val="none"/>
        </w:rPr>
        <w:t>第</w:t>
      </w:r>
      <w:r>
        <w:rPr>
          <w:rStyle w:val="29"/>
          <w:rFonts w:hint="eastAsia" w:ascii="黑体" w:hAnsi="黑体" w:eastAsia="黑体"/>
          <w:b w:val="0"/>
          <w:color w:val="auto"/>
          <w:highlight w:val="none"/>
        </w:rPr>
        <w:t>五部分 附表</w:t>
      </w:r>
      <w:bookmarkEnd w:id="82"/>
      <w:bookmarkEnd w:id="86"/>
      <w:bookmarkEnd w:id="87"/>
      <w:bookmarkStart w:id="88" w:name="_Toc15396619"/>
    </w:p>
    <w:p>
      <w:pPr>
        <w:pStyle w:val="5"/>
        <w:rPr>
          <w:rFonts w:ascii="仿宋" w:hAnsi="仿宋" w:eastAsia="仿宋"/>
          <w:color w:val="auto"/>
          <w:highlight w:val="none"/>
        </w:rPr>
      </w:pPr>
      <w:bookmarkStart w:id="89" w:name="_Toc19090"/>
      <w:r>
        <w:rPr>
          <w:rFonts w:hint="eastAsia" w:ascii="仿宋" w:hAnsi="仿宋" w:eastAsia="仿宋"/>
          <w:b w:val="0"/>
          <w:color w:val="auto"/>
          <w:highlight w:val="none"/>
        </w:rPr>
        <w:t>一、收</w:t>
      </w:r>
      <w:r>
        <w:rPr>
          <w:rStyle w:val="30"/>
          <w:rFonts w:hint="eastAsia" w:ascii="仿宋" w:hAnsi="仿宋" w:eastAsia="仿宋"/>
          <w:b w:val="0"/>
          <w:bCs w:val="0"/>
          <w:color w:val="auto"/>
          <w:highlight w:val="none"/>
        </w:rPr>
        <w:t>入支出决算总表</w:t>
      </w:r>
      <w:bookmarkEnd w:id="88"/>
      <w:bookmarkEnd w:id="89"/>
    </w:p>
    <w:p>
      <w:pPr>
        <w:pStyle w:val="5"/>
        <w:rPr>
          <w:rFonts w:ascii="仿宋" w:hAnsi="仿宋" w:eastAsia="仿宋"/>
          <w:color w:val="auto"/>
          <w:highlight w:val="none"/>
        </w:rPr>
      </w:pPr>
      <w:bookmarkStart w:id="90" w:name="_Toc15396620"/>
      <w:bookmarkStart w:id="91" w:name="_Toc18933"/>
      <w:r>
        <w:rPr>
          <w:rFonts w:hint="eastAsia" w:ascii="仿宋" w:hAnsi="仿宋" w:eastAsia="仿宋"/>
          <w:b w:val="0"/>
          <w:color w:val="auto"/>
          <w:highlight w:val="none"/>
        </w:rPr>
        <w:t>二、收</w:t>
      </w:r>
      <w:r>
        <w:rPr>
          <w:rStyle w:val="30"/>
          <w:rFonts w:hint="eastAsia" w:ascii="仿宋" w:hAnsi="仿宋" w:eastAsia="仿宋"/>
          <w:b w:val="0"/>
          <w:bCs w:val="0"/>
          <w:color w:val="auto"/>
          <w:highlight w:val="none"/>
        </w:rPr>
        <w:t>入决算表</w:t>
      </w:r>
      <w:bookmarkEnd w:id="90"/>
      <w:bookmarkEnd w:id="91"/>
    </w:p>
    <w:p>
      <w:pPr>
        <w:pStyle w:val="5"/>
        <w:rPr>
          <w:rFonts w:ascii="仿宋" w:hAnsi="仿宋" w:eastAsia="仿宋"/>
          <w:color w:val="auto"/>
          <w:highlight w:val="none"/>
        </w:rPr>
      </w:pPr>
      <w:bookmarkStart w:id="92" w:name="_Toc25592"/>
      <w:bookmarkStart w:id="93" w:name="_Toc15396621"/>
      <w:r>
        <w:rPr>
          <w:rStyle w:val="30"/>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30"/>
          <w:rFonts w:hint="eastAsia" w:ascii="仿宋" w:hAnsi="仿宋" w:eastAsia="仿宋"/>
          <w:b w:val="0"/>
          <w:bCs w:val="0"/>
          <w:color w:val="auto"/>
          <w:highlight w:val="none"/>
        </w:rPr>
        <w:t>出决算表</w:t>
      </w:r>
      <w:bookmarkEnd w:id="92"/>
      <w:bookmarkEnd w:id="93"/>
    </w:p>
    <w:p>
      <w:pPr>
        <w:pStyle w:val="5"/>
        <w:rPr>
          <w:rFonts w:ascii="仿宋" w:hAnsi="仿宋" w:eastAsia="仿宋"/>
          <w:b w:val="0"/>
          <w:color w:val="auto"/>
          <w:highlight w:val="none"/>
        </w:rPr>
      </w:pPr>
      <w:bookmarkStart w:id="94" w:name="_Toc15396622"/>
      <w:bookmarkStart w:id="95" w:name="_Toc30807"/>
      <w:r>
        <w:rPr>
          <w:rStyle w:val="30"/>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30"/>
          <w:rFonts w:hint="eastAsia" w:ascii="仿宋" w:hAnsi="仿宋" w:eastAsia="仿宋"/>
          <w:b w:val="0"/>
          <w:bCs w:val="0"/>
          <w:color w:val="auto"/>
          <w:highlight w:val="none"/>
        </w:rPr>
        <w:t>政拨款收入支出决算总表</w:t>
      </w:r>
      <w:bookmarkEnd w:id="94"/>
      <w:bookmarkEnd w:id="95"/>
    </w:p>
    <w:p>
      <w:pPr>
        <w:pStyle w:val="5"/>
        <w:rPr>
          <w:rStyle w:val="30"/>
          <w:rFonts w:ascii="仿宋" w:hAnsi="仿宋" w:eastAsia="仿宋"/>
          <w:b w:val="0"/>
          <w:bCs w:val="0"/>
          <w:color w:val="auto"/>
          <w:highlight w:val="none"/>
        </w:rPr>
      </w:pPr>
      <w:bookmarkStart w:id="96" w:name="_Toc15396623"/>
      <w:bookmarkStart w:id="97" w:name="_Toc21304"/>
      <w:r>
        <w:rPr>
          <w:rStyle w:val="30"/>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30"/>
          <w:rFonts w:hint="eastAsia" w:ascii="仿宋" w:hAnsi="仿宋" w:eastAsia="仿宋"/>
          <w:b w:val="0"/>
          <w:bCs w:val="0"/>
          <w:color w:val="auto"/>
          <w:highlight w:val="none"/>
        </w:rPr>
        <w:t>政拨款支出决算明细表</w:t>
      </w:r>
      <w:bookmarkEnd w:id="96"/>
      <w:bookmarkEnd w:id="97"/>
      <w:bookmarkStart w:id="98" w:name="_Toc15396624"/>
    </w:p>
    <w:p>
      <w:pPr>
        <w:pStyle w:val="5"/>
        <w:rPr>
          <w:rFonts w:ascii="仿宋" w:hAnsi="仿宋" w:eastAsia="仿宋"/>
          <w:color w:val="auto"/>
          <w:highlight w:val="none"/>
        </w:rPr>
      </w:pPr>
      <w:bookmarkStart w:id="99" w:name="_Toc32010"/>
      <w:r>
        <w:rPr>
          <w:rStyle w:val="30"/>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30"/>
          <w:rFonts w:hint="eastAsia" w:ascii="仿宋" w:hAnsi="仿宋" w:eastAsia="仿宋"/>
          <w:b w:val="0"/>
          <w:bCs w:val="0"/>
          <w:color w:val="auto"/>
          <w:highlight w:val="none"/>
        </w:rPr>
        <w:t>般公共预算财政拨款支出决算表</w:t>
      </w:r>
      <w:bookmarkEnd w:id="98"/>
      <w:bookmarkEnd w:id="99"/>
    </w:p>
    <w:p>
      <w:pPr>
        <w:pStyle w:val="5"/>
        <w:rPr>
          <w:rFonts w:ascii="仿宋" w:hAnsi="仿宋" w:eastAsia="仿宋"/>
          <w:color w:val="auto"/>
          <w:highlight w:val="none"/>
        </w:rPr>
      </w:pPr>
      <w:bookmarkStart w:id="100" w:name="_Toc2273"/>
      <w:bookmarkStart w:id="101" w:name="_Toc15396625"/>
      <w:r>
        <w:rPr>
          <w:rStyle w:val="30"/>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30"/>
          <w:rFonts w:hint="eastAsia" w:ascii="仿宋" w:hAnsi="仿宋" w:eastAsia="仿宋"/>
          <w:b w:val="0"/>
          <w:bCs w:val="0"/>
          <w:color w:val="auto"/>
          <w:highlight w:val="none"/>
        </w:rPr>
        <w:t>般公共预算财政拨款支出决算明细表</w:t>
      </w:r>
      <w:bookmarkEnd w:id="100"/>
      <w:bookmarkEnd w:id="101"/>
    </w:p>
    <w:p>
      <w:pPr>
        <w:pStyle w:val="5"/>
        <w:rPr>
          <w:rFonts w:ascii="仿宋" w:hAnsi="仿宋" w:eastAsia="仿宋"/>
          <w:color w:val="auto"/>
          <w:highlight w:val="none"/>
        </w:rPr>
      </w:pPr>
      <w:bookmarkStart w:id="102" w:name="_Toc24423"/>
      <w:bookmarkStart w:id="103" w:name="_Toc15396626"/>
      <w:r>
        <w:rPr>
          <w:rStyle w:val="30"/>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30"/>
          <w:rFonts w:hint="eastAsia" w:ascii="仿宋" w:hAnsi="仿宋" w:eastAsia="仿宋"/>
          <w:b w:val="0"/>
          <w:bCs w:val="0"/>
          <w:color w:val="auto"/>
          <w:highlight w:val="none"/>
        </w:rPr>
        <w:t>般公共预算财政拨款基本支出决算表</w:t>
      </w:r>
      <w:bookmarkEnd w:id="102"/>
      <w:bookmarkEnd w:id="103"/>
    </w:p>
    <w:p>
      <w:pPr>
        <w:pStyle w:val="5"/>
        <w:rPr>
          <w:rFonts w:ascii="仿宋" w:hAnsi="仿宋" w:eastAsia="仿宋"/>
          <w:color w:val="auto"/>
          <w:highlight w:val="none"/>
        </w:rPr>
      </w:pPr>
      <w:bookmarkStart w:id="104" w:name="_Toc15396627"/>
      <w:bookmarkStart w:id="105" w:name="_Toc27623"/>
      <w:r>
        <w:rPr>
          <w:rStyle w:val="30"/>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30"/>
          <w:rFonts w:hint="eastAsia" w:ascii="仿宋" w:hAnsi="仿宋" w:eastAsia="仿宋"/>
          <w:b w:val="0"/>
          <w:bCs w:val="0"/>
          <w:color w:val="auto"/>
          <w:highlight w:val="none"/>
        </w:rPr>
        <w:t>般公共预算财政拨款项目支出决算表</w:t>
      </w:r>
      <w:bookmarkEnd w:id="104"/>
      <w:bookmarkEnd w:id="105"/>
    </w:p>
    <w:p>
      <w:pPr>
        <w:pStyle w:val="5"/>
        <w:rPr>
          <w:rFonts w:ascii="仿宋" w:hAnsi="仿宋" w:eastAsia="仿宋"/>
          <w:color w:val="auto"/>
          <w:highlight w:val="none"/>
        </w:rPr>
      </w:pPr>
      <w:bookmarkStart w:id="106" w:name="_Toc15396628"/>
      <w:bookmarkStart w:id="107" w:name="_Toc23456"/>
      <w:r>
        <w:rPr>
          <w:rStyle w:val="30"/>
          <w:rFonts w:hint="eastAsia" w:ascii="仿宋" w:hAnsi="仿宋" w:eastAsia="仿宋"/>
          <w:b w:val="0"/>
          <w:bCs w:val="0"/>
          <w:color w:val="auto"/>
          <w:highlight w:val="none"/>
        </w:rPr>
        <w:t>十、</w:t>
      </w:r>
      <w:bookmarkEnd w:id="106"/>
      <w:r>
        <w:rPr>
          <w:rFonts w:hint="eastAsia" w:ascii="仿宋" w:hAnsi="仿宋" w:eastAsia="仿宋"/>
          <w:b w:val="0"/>
          <w:color w:val="auto"/>
          <w:highlight w:val="none"/>
        </w:rPr>
        <w:t>政</w:t>
      </w:r>
      <w:r>
        <w:rPr>
          <w:rStyle w:val="30"/>
          <w:rFonts w:hint="eastAsia" w:ascii="仿宋" w:hAnsi="仿宋" w:eastAsia="仿宋"/>
          <w:b w:val="0"/>
          <w:bCs w:val="0"/>
          <w:color w:val="auto"/>
          <w:highlight w:val="none"/>
        </w:rPr>
        <w:t>府性基金预算财政拨款收入支出决算表</w:t>
      </w:r>
      <w:bookmarkEnd w:id="107"/>
    </w:p>
    <w:p>
      <w:pPr>
        <w:pStyle w:val="5"/>
        <w:rPr>
          <w:rFonts w:ascii="仿宋" w:hAnsi="仿宋" w:eastAsia="仿宋"/>
          <w:color w:val="auto"/>
          <w:highlight w:val="none"/>
        </w:rPr>
      </w:pPr>
      <w:bookmarkStart w:id="108" w:name="_Toc15396629"/>
      <w:bookmarkStart w:id="109" w:name="_Toc15484"/>
      <w:r>
        <w:rPr>
          <w:rStyle w:val="30"/>
          <w:rFonts w:hint="eastAsia" w:ascii="仿宋" w:hAnsi="仿宋" w:eastAsia="仿宋"/>
          <w:b w:val="0"/>
          <w:bCs w:val="0"/>
          <w:color w:val="auto"/>
          <w:highlight w:val="none"/>
        </w:rPr>
        <w:t>十一、</w:t>
      </w:r>
      <w:bookmarkEnd w:id="108"/>
      <w:r>
        <w:rPr>
          <w:rFonts w:hint="eastAsia" w:ascii="仿宋" w:hAnsi="仿宋" w:eastAsia="仿宋"/>
          <w:b w:val="0"/>
          <w:color w:val="auto"/>
          <w:highlight w:val="none"/>
        </w:rPr>
        <w:t>国</w:t>
      </w:r>
      <w:r>
        <w:rPr>
          <w:rStyle w:val="30"/>
          <w:rFonts w:hint="eastAsia" w:ascii="仿宋" w:hAnsi="仿宋" w:eastAsia="仿宋"/>
          <w:b w:val="0"/>
          <w:bCs w:val="0"/>
          <w:color w:val="auto"/>
          <w:highlight w:val="none"/>
        </w:rPr>
        <w:t>有资本经营预算</w:t>
      </w:r>
      <w:r>
        <w:rPr>
          <w:rStyle w:val="30"/>
          <w:rFonts w:hint="eastAsia" w:ascii="仿宋" w:hAnsi="仿宋" w:eastAsia="仿宋"/>
          <w:b w:val="0"/>
          <w:bCs w:val="0"/>
          <w:color w:val="auto"/>
          <w:highlight w:val="none"/>
          <w:lang w:eastAsia="zh-CN"/>
        </w:rPr>
        <w:t>财政拨款收入</w:t>
      </w:r>
      <w:r>
        <w:rPr>
          <w:rStyle w:val="30"/>
          <w:rFonts w:hint="eastAsia" w:ascii="仿宋" w:hAnsi="仿宋" w:eastAsia="仿宋"/>
          <w:b w:val="0"/>
          <w:bCs w:val="0"/>
          <w:color w:val="auto"/>
          <w:highlight w:val="none"/>
        </w:rPr>
        <w:t>支出决算表</w:t>
      </w:r>
      <w:bookmarkEnd w:id="109"/>
    </w:p>
    <w:p>
      <w:pPr>
        <w:pStyle w:val="5"/>
        <w:rPr>
          <w:rFonts w:ascii="仿宋" w:hAnsi="仿宋" w:eastAsia="仿宋"/>
          <w:color w:val="auto"/>
          <w:highlight w:val="none"/>
        </w:rPr>
      </w:pPr>
      <w:bookmarkStart w:id="110" w:name="_Toc15396630"/>
      <w:bookmarkStart w:id="111" w:name="_Toc31424"/>
      <w:r>
        <w:rPr>
          <w:rStyle w:val="30"/>
          <w:rFonts w:hint="eastAsia" w:ascii="仿宋" w:hAnsi="仿宋" w:eastAsia="仿宋"/>
          <w:b w:val="0"/>
          <w:bCs w:val="0"/>
          <w:color w:val="auto"/>
          <w:highlight w:val="none"/>
        </w:rPr>
        <w:t>十二、</w:t>
      </w:r>
      <w:bookmarkEnd w:id="110"/>
      <w:r>
        <w:rPr>
          <w:rStyle w:val="30"/>
          <w:rFonts w:hint="eastAsia" w:ascii="仿宋" w:hAnsi="仿宋" w:eastAsia="仿宋"/>
          <w:b w:val="0"/>
          <w:bCs w:val="0"/>
          <w:color w:val="auto"/>
          <w:highlight w:val="none"/>
          <w:lang w:eastAsia="zh-CN"/>
        </w:rPr>
        <w:t>国有资本经营预算财政拨款支出决算表</w:t>
      </w:r>
      <w:bookmarkEnd w:id="111"/>
    </w:p>
    <w:p>
      <w:pPr>
        <w:pStyle w:val="5"/>
        <w:rPr>
          <w:rFonts w:hint="eastAsia" w:eastAsia="仿宋"/>
          <w:color w:val="auto"/>
          <w:highlight w:val="none"/>
          <w:lang w:eastAsia="zh-CN"/>
        </w:rPr>
      </w:pPr>
      <w:bookmarkStart w:id="112" w:name="_Toc15396631"/>
      <w:bookmarkStart w:id="113" w:name="_Toc2711"/>
      <w:r>
        <w:rPr>
          <w:rStyle w:val="30"/>
          <w:rFonts w:hint="eastAsia" w:ascii="仿宋" w:hAnsi="仿宋" w:eastAsia="仿宋"/>
          <w:b w:val="0"/>
          <w:bCs w:val="0"/>
          <w:color w:val="auto"/>
          <w:highlight w:val="none"/>
        </w:rPr>
        <w:t>十三、</w:t>
      </w:r>
      <w:bookmarkEnd w:id="112"/>
      <w:r>
        <w:rPr>
          <w:rStyle w:val="30"/>
          <w:rFonts w:hint="eastAsia" w:ascii="仿宋" w:hAnsi="仿宋" w:eastAsia="仿宋"/>
          <w:b w:val="0"/>
          <w:bCs w:val="0"/>
          <w:color w:val="auto"/>
          <w:highlight w:val="none"/>
          <w:lang w:eastAsia="zh-CN"/>
        </w:rPr>
        <w:t>财政拨款“三公”经费支出决算表</w:t>
      </w:r>
      <w:bookmarkEnd w:id="113"/>
    </w:p>
    <w:sectPr>
      <w:headerReference r:id="rId3" w:type="default"/>
      <w:footerReference r:id="rId4" w:type="default"/>
      <w:pgSz w:w="11906" w:h="16838"/>
      <w:pgMar w:top="1440" w:right="1800" w:bottom="1440" w:left="1800" w:header="851" w:footer="992" w:gutter="0"/>
      <w:pgNumType w:start="1"/>
      <w:cols w:space="0" w:num="1"/>
      <w:titlePg/>
      <w:rtlGutter w:val="0"/>
      <w:docGrid w:type="lines" w:linePitch="30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1707925-571E-4E51-8C76-3BAB13FACE9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17A28827-EC46-4D17-8127-804233F6D0DC}"/>
  </w:font>
  <w:font w:name="Cambria">
    <w:panose1 w:val="02040503050406030204"/>
    <w:charset w:val="00"/>
    <w:family w:val="roman"/>
    <w:pitch w:val="default"/>
    <w:sig w:usb0="E00002FF" w:usb1="400004FF" w:usb2="00000000" w:usb3="00000000" w:csb0="2000019F" w:csb1="00000000"/>
    <w:embedRegular r:id="rId3" w:fontKey="{B5C0A6AC-C742-4B59-96A5-5A731068053C}"/>
  </w:font>
  <w:font w:name="仿宋">
    <w:panose1 w:val="02010609060101010101"/>
    <w:charset w:val="86"/>
    <w:family w:val="modern"/>
    <w:pitch w:val="default"/>
    <w:sig w:usb0="800002BF" w:usb1="38CF7CFA" w:usb2="00000016" w:usb3="00000000" w:csb0="00040001" w:csb1="00000000"/>
    <w:embedRegular r:id="rId4" w:fontKey="{41CA88AC-14CF-4C64-8715-EA2030191B81}"/>
  </w:font>
  <w:font w:name="仿宋_GB2312">
    <w:altName w:val="仿宋"/>
    <w:panose1 w:val="02010609030101010101"/>
    <w:charset w:val="86"/>
    <w:family w:val="modern"/>
    <w:pitch w:val="default"/>
    <w:sig w:usb0="00000000" w:usb1="00000000" w:usb2="00000000" w:usb3="00000000" w:csb0="00040000" w:csb1="00000000"/>
    <w:embedRegular r:id="rId5" w:fontKey="{4210C722-609B-4282-B79A-1160224EB47F}"/>
  </w:font>
  <w:font w:name="??">
    <w:altName w:val="Times New Roman"/>
    <w:panose1 w:val="00000000000000000000"/>
    <w:charset w:val="00"/>
    <w:family w:val="roman"/>
    <w:pitch w:val="default"/>
    <w:sig w:usb0="00000000" w:usb1="00000000" w:usb2="00000000" w:usb3="00000000" w:csb0="00000000" w:csb1="00000000"/>
  </w:font>
  <w:font w:name="方正仿宋简体">
    <w:panose1 w:val="03000509000000000000"/>
    <w:charset w:val="86"/>
    <w:family w:val="script"/>
    <w:pitch w:val="default"/>
    <w:sig w:usb0="00000001" w:usb1="080E0000" w:usb2="00000000" w:usb3="00000000" w:csb0="00040000" w:csb1="00000000"/>
  </w:font>
  <w:font w:name="方正小标宋简体">
    <w:panose1 w:val="02000000000000000000"/>
    <w:charset w:val="86"/>
    <w:family w:val="script"/>
    <w:pitch w:val="default"/>
    <w:sig w:usb0="00000001" w:usb1="080E0000" w:usb2="00000000" w:usb3="00000000" w:csb0="00040000" w:csb1="00000000"/>
    <w:embedRegular r:id="rId6" w:fontKey="{FB0202D9-8131-4858-9FDD-B10D60175248}"/>
  </w:font>
  <w:font w:name="楷体_GB2312">
    <w:altName w:val="楷体"/>
    <w:panose1 w:val="02010609030101010101"/>
    <w:charset w:val="86"/>
    <w:family w:val="auto"/>
    <w:pitch w:val="default"/>
    <w:sig w:usb0="00000000" w:usb1="00000000" w:usb2="00000000" w:usb3="00000000" w:csb0="00040000" w:csb1="00000000"/>
    <w:embedRegular r:id="rId7" w:fontKey="{67C0AEBE-BE8C-46D1-B5C1-6B56669B5EC7}"/>
  </w:font>
  <w:font w:name="FangSong_GB2312">
    <w:altName w:val="仿宋"/>
    <w:panose1 w:val="00000000000000000000"/>
    <w:charset w:val="86"/>
    <w:family w:val="modern"/>
    <w:pitch w:val="default"/>
    <w:sig w:usb0="00000000" w:usb1="00000000" w:usb2="00000016" w:usb3="00000000" w:csb0="00040001" w:csb1="00000000"/>
    <w:embedRegular r:id="rId8" w:fontKey="{8C7A2E7F-3C24-4C3C-A438-9F9038DF921F}"/>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11"/>
          <w:jc w:val="center"/>
        </w:pPr>
        <w:r>
          <w:fldChar w:fldCharType="begin"/>
        </w:r>
        <w:r>
          <w:instrText xml:space="preserve">PAGE   \* MERGEFORMAT</w:instrText>
        </w:r>
        <w:r>
          <w:fldChar w:fldCharType="separate"/>
        </w:r>
        <w:r>
          <w:rPr>
            <w:lang w:val="zh-CN"/>
          </w:rPr>
          <w:t>8</w:t>
        </w:r>
        <w:r>
          <w:fldChar w:fldCharType="end"/>
        </w:r>
      </w:p>
    </w:sdtContent>
  </w:sdt>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2DD799"/>
    <w:multiLevelType w:val="singleLevel"/>
    <w:tmpl w:val="AA2DD799"/>
    <w:lvl w:ilvl="0" w:tentative="0">
      <w:start w:val="1"/>
      <w:numFmt w:val="chineseCounting"/>
      <w:suff w:val="nothing"/>
      <w:lvlText w:val="（%1）"/>
      <w:lvlJc w:val="left"/>
      <w:rPr>
        <w:rFonts w:hint="eastAsia"/>
      </w:rPr>
    </w:lvl>
  </w:abstractNum>
  <w:abstractNum w:abstractNumId="1">
    <w:nsid w:val="CC3FF66E"/>
    <w:multiLevelType w:val="singleLevel"/>
    <w:tmpl w:val="CC3FF66E"/>
    <w:lvl w:ilvl="0" w:tentative="0">
      <w:start w:val="1"/>
      <w:numFmt w:val="chineseCounting"/>
      <w:suff w:val="nothing"/>
      <w:lvlText w:val="（%1）"/>
      <w:lvlJc w:val="left"/>
      <w:rPr>
        <w:rFonts w:hint="eastAsia"/>
      </w:rPr>
    </w:lvl>
  </w:abstractNum>
  <w:abstractNum w:abstractNumId="2">
    <w:nsid w:val="CF652CEC"/>
    <w:multiLevelType w:val="singleLevel"/>
    <w:tmpl w:val="CF652CEC"/>
    <w:lvl w:ilvl="0" w:tentative="0">
      <w:start w:val="9"/>
      <w:numFmt w:val="chineseCounting"/>
      <w:suff w:val="nothing"/>
      <w:lvlText w:val="%1、"/>
      <w:lvlJc w:val="left"/>
      <w:rPr>
        <w:rFonts w:hint="eastAsia"/>
      </w:rPr>
    </w:lvl>
  </w:abstractNum>
  <w:abstractNum w:abstractNumId="3">
    <w:nsid w:val="E2FA047D"/>
    <w:multiLevelType w:val="singleLevel"/>
    <w:tmpl w:val="E2FA047D"/>
    <w:lvl w:ilvl="0" w:tentative="0">
      <w:start w:val="3"/>
      <w:numFmt w:val="chineseCounting"/>
      <w:suff w:val="space"/>
      <w:lvlText w:val="第%1部分"/>
      <w:lvlJc w:val="left"/>
      <w:rPr>
        <w:rFonts w:hint="eastAsia"/>
      </w:rPr>
    </w:lvl>
  </w:abstractNum>
  <w:abstractNum w:abstractNumId="4">
    <w:nsid w:val="F1FC177C"/>
    <w:multiLevelType w:val="singleLevel"/>
    <w:tmpl w:val="F1FC177C"/>
    <w:lvl w:ilvl="0" w:tentative="0">
      <w:start w:val="2"/>
      <w:numFmt w:val="chineseCounting"/>
      <w:suff w:val="nothing"/>
      <w:lvlText w:val="（%1）"/>
      <w:lvlJc w:val="left"/>
      <w:rPr>
        <w:rFonts w:hint="eastAsia"/>
      </w:rPr>
    </w:lvl>
  </w:abstractNum>
  <w:abstractNum w:abstractNumId="5">
    <w:nsid w:val="FFF674BC"/>
    <w:multiLevelType w:val="singleLevel"/>
    <w:tmpl w:val="FFF674BC"/>
    <w:lvl w:ilvl="0" w:tentative="0">
      <w:start w:val="1"/>
      <w:numFmt w:val="chineseCounting"/>
      <w:suff w:val="nothing"/>
      <w:lvlText w:val="%1、"/>
      <w:lvlJc w:val="left"/>
      <w:pPr>
        <w:ind w:left="-10"/>
      </w:pPr>
      <w:rPr>
        <w:rFonts w:hint="eastAsia"/>
      </w:rPr>
    </w:lvl>
  </w:abstractNum>
  <w:abstractNum w:abstractNumId="6">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7">
    <w:nsid w:val="5F55604B"/>
    <w:multiLevelType w:val="singleLevel"/>
    <w:tmpl w:val="5F55604B"/>
    <w:lvl w:ilvl="0" w:tentative="0">
      <w:start w:val="1"/>
      <w:numFmt w:val="chineseCounting"/>
      <w:suff w:val="nothing"/>
      <w:lvlText w:val="%1、"/>
      <w:lvlJc w:val="left"/>
      <w:rPr>
        <w:rFonts w:hint="eastAsia"/>
      </w:rPr>
    </w:lvl>
  </w:abstractNum>
  <w:num w:numId="1">
    <w:abstractNumId w:val="7"/>
  </w:num>
  <w:num w:numId="2">
    <w:abstractNumId w:val="6"/>
  </w:num>
  <w:num w:numId="3">
    <w:abstractNumId w:val="2"/>
  </w:num>
  <w:num w:numId="4">
    <w:abstractNumId w:val="3"/>
  </w:num>
  <w:num w:numId="5">
    <w:abstractNumId w:val="5"/>
  </w:num>
  <w:num w:numId="6">
    <w:abstractNumId w:val="0"/>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xZjQzM2ZkZDE1MjYyOTgyYTc4YjE1YjNmZWI3NGE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B3D86"/>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A7B3C"/>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95315"/>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56EAC"/>
    <w:rsid w:val="00F602DF"/>
    <w:rsid w:val="00F754A1"/>
    <w:rsid w:val="00F81FD9"/>
    <w:rsid w:val="00F841AA"/>
    <w:rsid w:val="00F84A94"/>
    <w:rsid w:val="00F87E96"/>
    <w:rsid w:val="00FA23E8"/>
    <w:rsid w:val="00FD3CC1"/>
    <w:rsid w:val="00FF1E02"/>
    <w:rsid w:val="00FF30B4"/>
    <w:rsid w:val="015975B8"/>
    <w:rsid w:val="02143E91"/>
    <w:rsid w:val="02354BB2"/>
    <w:rsid w:val="02D057E1"/>
    <w:rsid w:val="03AB65AF"/>
    <w:rsid w:val="03C8194E"/>
    <w:rsid w:val="03C93EAE"/>
    <w:rsid w:val="04134A25"/>
    <w:rsid w:val="04D274D3"/>
    <w:rsid w:val="04FC263C"/>
    <w:rsid w:val="05B233E8"/>
    <w:rsid w:val="05D9291F"/>
    <w:rsid w:val="06396511"/>
    <w:rsid w:val="066E0107"/>
    <w:rsid w:val="06A20D46"/>
    <w:rsid w:val="07785F11"/>
    <w:rsid w:val="07996F6E"/>
    <w:rsid w:val="07F36E06"/>
    <w:rsid w:val="080C1821"/>
    <w:rsid w:val="092D3D00"/>
    <w:rsid w:val="09F27555"/>
    <w:rsid w:val="0A2032A3"/>
    <w:rsid w:val="0AC0160E"/>
    <w:rsid w:val="0B9D4146"/>
    <w:rsid w:val="0BCB0FBA"/>
    <w:rsid w:val="0BCB2D68"/>
    <w:rsid w:val="0C2C2B11"/>
    <w:rsid w:val="0D5F7F82"/>
    <w:rsid w:val="0EBE0909"/>
    <w:rsid w:val="0F98263C"/>
    <w:rsid w:val="101860EC"/>
    <w:rsid w:val="10756397"/>
    <w:rsid w:val="10C055FF"/>
    <w:rsid w:val="118107EC"/>
    <w:rsid w:val="11C70F52"/>
    <w:rsid w:val="13D50BC4"/>
    <w:rsid w:val="140E7DA1"/>
    <w:rsid w:val="15064E11"/>
    <w:rsid w:val="15743C8B"/>
    <w:rsid w:val="161A49C4"/>
    <w:rsid w:val="166C1E48"/>
    <w:rsid w:val="16BB723D"/>
    <w:rsid w:val="16CF1E69"/>
    <w:rsid w:val="17916B44"/>
    <w:rsid w:val="17A24910"/>
    <w:rsid w:val="17C23DDB"/>
    <w:rsid w:val="18E016C7"/>
    <w:rsid w:val="19020F76"/>
    <w:rsid w:val="19361B10"/>
    <w:rsid w:val="193F260E"/>
    <w:rsid w:val="199C4094"/>
    <w:rsid w:val="19B15D03"/>
    <w:rsid w:val="1A0C111B"/>
    <w:rsid w:val="1A4C1201"/>
    <w:rsid w:val="1BE8440E"/>
    <w:rsid w:val="1D155CEE"/>
    <w:rsid w:val="1DA03292"/>
    <w:rsid w:val="1F161587"/>
    <w:rsid w:val="1F5B0764"/>
    <w:rsid w:val="1F90555B"/>
    <w:rsid w:val="1FF35744"/>
    <w:rsid w:val="201D443F"/>
    <w:rsid w:val="22561186"/>
    <w:rsid w:val="227D1FA7"/>
    <w:rsid w:val="22D50CEF"/>
    <w:rsid w:val="23860B96"/>
    <w:rsid w:val="23E26D02"/>
    <w:rsid w:val="240371BF"/>
    <w:rsid w:val="244C4B15"/>
    <w:rsid w:val="247735B3"/>
    <w:rsid w:val="24C42EA1"/>
    <w:rsid w:val="25430540"/>
    <w:rsid w:val="2555276B"/>
    <w:rsid w:val="266369B3"/>
    <w:rsid w:val="26D7149B"/>
    <w:rsid w:val="26D9193A"/>
    <w:rsid w:val="27D427AF"/>
    <w:rsid w:val="28612842"/>
    <w:rsid w:val="28BE5CD7"/>
    <w:rsid w:val="29082034"/>
    <w:rsid w:val="2955460C"/>
    <w:rsid w:val="29D07A83"/>
    <w:rsid w:val="29FD04D3"/>
    <w:rsid w:val="2AED63FF"/>
    <w:rsid w:val="2B990BA7"/>
    <w:rsid w:val="2C8A61B5"/>
    <w:rsid w:val="2D351A85"/>
    <w:rsid w:val="2DB77BDA"/>
    <w:rsid w:val="2DF04E50"/>
    <w:rsid w:val="2E127056"/>
    <w:rsid w:val="2EE960A4"/>
    <w:rsid w:val="2F040D46"/>
    <w:rsid w:val="2F3C6C0E"/>
    <w:rsid w:val="2F8F217B"/>
    <w:rsid w:val="30041F65"/>
    <w:rsid w:val="311824E1"/>
    <w:rsid w:val="31461DF6"/>
    <w:rsid w:val="318E3F4C"/>
    <w:rsid w:val="319F7F4E"/>
    <w:rsid w:val="31A640C3"/>
    <w:rsid w:val="31BE3B38"/>
    <w:rsid w:val="31ED6DE4"/>
    <w:rsid w:val="328533C1"/>
    <w:rsid w:val="3304709D"/>
    <w:rsid w:val="358D2A71"/>
    <w:rsid w:val="35F35808"/>
    <w:rsid w:val="363E2DEC"/>
    <w:rsid w:val="36AA5135"/>
    <w:rsid w:val="376D39B2"/>
    <w:rsid w:val="37E16F03"/>
    <w:rsid w:val="387364B8"/>
    <w:rsid w:val="387B329C"/>
    <w:rsid w:val="38D469F0"/>
    <w:rsid w:val="38D67AE9"/>
    <w:rsid w:val="38DB3179"/>
    <w:rsid w:val="391A2595"/>
    <w:rsid w:val="3A026D93"/>
    <w:rsid w:val="3A6F6C0C"/>
    <w:rsid w:val="3ACA0437"/>
    <w:rsid w:val="3AE54500"/>
    <w:rsid w:val="3BD47604"/>
    <w:rsid w:val="3C640470"/>
    <w:rsid w:val="3D3040F6"/>
    <w:rsid w:val="3D98207C"/>
    <w:rsid w:val="3DFB4499"/>
    <w:rsid w:val="3E5D1661"/>
    <w:rsid w:val="3E6413FB"/>
    <w:rsid w:val="3E78745D"/>
    <w:rsid w:val="3E8F1850"/>
    <w:rsid w:val="3EE548B7"/>
    <w:rsid w:val="3F327370"/>
    <w:rsid w:val="3F327625"/>
    <w:rsid w:val="3F804EFE"/>
    <w:rsid w:val="3FBB681C"/>
    <w:rsid w:val="410B10B8"/>
    <w:rsid w:val="42B24DA4"/>
    <w:rsid w:val="43BF48CD"/>
    <w:rsid w:val="44D9796A"/>
    <w:rsid w:val="44E268DA"/>
    <w:rsid w:val="453D30B5"/>
    <w:rsid w:val="456C3CD1"/>
    <w:rsid w:val="465777BA"/>
    <w:rsid w:val="4799729B"/>
    <w:rsid w:val="47A8679C"/>
    <w:rsid w:val="492754C1"/>
    <w:rsid w:val="4A4609BD"/>
    <w:rsid w:val="4A627F82"/>
    <w:rsid w:val="4AC94638"/>
    <w:rsid w:val="4AC96449"/>
    <w:rsid w:val="4B0E749A"/>
    <w:rsid w:val="4B4F25DA"/>
    <w:rsid w:val="4B596751"/>
    <w:rsid w:val="4BD40E87"/>
    <w:rsid w:val="4BE068DB"/>
    <w:rsid w:val="4CA759EA"/>
    <w:rsid w:val="4D577224"/>
    <w:rsid w:val="4D7004D4"/>
    <w:rsid w:val="4EAB630A"/>
    <w:rsid w:val="4ECE2238"/>
    <w:rsid w:val="4EEE70A9"/>
    <w:rsid w:val="4FF10EF6"/>
    <w:rsid w:val="505F0FDC"/>
    <w:rsid w:val="51925C37"/>
    <w:rsid w:val="51C878AC"/>
    <w:rsid w:val="51F60495"/>
    <w:rsid w:val="52381826"/>
    <w:rsid w:val="5319652A"/>
    <w:rsid w:val="537E6D0A"/>
    <w:rsid w:val="53E9451E"/>
    <w:rsid w:val="546208AA"/>
    <w:rsid w:val="55124120"/>
    <w:rsid w:val="55CD58BC"/>
    <w:rsid w:val="56700CBB"/>
    <w:rsid w:val="56B545AC"/>
    <w:rsid w:val="56DD6100"/>
    <w:rsid w:val="57802E9F"/>
    <w:rsid w:val="581E3CA7"/>
    <w:rsid w:val="58F17243"/>
    <w:rsid w:val="59F635E0"/>
    <w:rsid w:val="59FE0AC5"/>
    <w:rsid w:val="5AF92295"/>
    <w:rsid w:val="5BEF23E4"/>
    <w:rsid w:val="5CD71FC4"/>
    <w:rsid w:val="5E733DB6"/>
    <w:rsid w:val="5ECB33E8"/>
    <w:rsid w:val="5EE74938"/>
    <w:rsid w:val="605131CD"/>
    <w:rsid w:val="60A26D69"/>
    <w:rsid w:val="60D21138"/>
    <w:rsid w:val="62B81B10"/>
    <w:rsid w:val="62FB2672"/>
    <w:rsid w:val="63DE4DD3"/>
    <w:rsid w:val="63E2343A"/>
    <w:rsid w:val="63F218F7"/>
    <w:rsid w:val="641F7CD1"/>
    <w:rsid w:val="642C4066"/>
    <w:rsid w:val="649C534D"/>
    <w:rsid w:val="64AB03DD"/>
    <w:rsid w:val="65B500B8"/>
    <w:rsid w:val="65D26EC1"/>
    <w:rsid w:val="661324B7"/>
    <w:rsid w:val="67130C17"/>
    <w:rsid w:val="67E51C56"/>
    <w:rsid w:val="67E773BE"/>
    <w:rsid w:val="6907551F"/>
    <w:rsid w:val="695A624A"/>
    <w:rsid w:val="6A9869BE"/>
    <w:rsid w:val="6B0A442D"/>
    <w:rsid w:val="6C4A05C8"/>
    <w:rsid w:val="6CCE7137"/>
    <w:rsid w:val="6D1F3C81"/>
    <w:rsid w:val="6D2521D7"/>
    <w:rsid w:val="6D8C7F00"/>
    <w:rsid w:val="6D957CEF"/>
    <w:rsid w:val="6E7E3605"/>
    <w:rsid w:val="6F873C60"/>
    <w:rsid w:val="6FAD224B"/>
    <w:rsid w:val="6FF5CC65"/>
    <w:rsid w:val="70480FAF"/>
    <w:rsid w:val="715C0E4B"/>
    <w:rsid w:val="717A3BFF"/>
    <w:rsid w:val="72734D90"/>
    <w:rsid w:val="72A8342B"/>
    <w:rsid w:val="72C15D31"/>
    <w:rsid w:val="72E22317"/>
    <w:rsid w:val="73002AFD"/>
    <w:rsid w:val="730F2F44"/>
    <w:rsid w:val="735D7511"/>
    <w:rsid w:val="73AD73D5"/>
    <w:rsid w:val="73B6EB34"/>
    <w:rsid w:val="73C44DF0"/>
    <w:rsid w:val="74321691"/>
    <w:rsid w:val="743B3304"/>
    <w:rsid w:val="744731E5"/>
    <w:rsid w:val="75330BC7"/>
    <w:rsid w:val="753D0724"/>
    <w:rsid w:val="75E1437B"/>
    <w:rsid w:val="762F50EB"/>
    <w:rsid w:val="76B77D18"/>
    <w:rsid w:val="76E3355F"/>
    <w:rsid w:val="76F16155"/>
    <w:rsid w:val="778769C8"/>
    <w:rsid w:val="784108B3"/>
    <w:rsid w:val="78604DF1"/>
    <w:rsid w:val="78A7540C"/>
    <w:rsid w:val="79095411"/>
    <w:rsid w:val="79EE5BA4"/>
    <w:rsid w:val="7A894339"/>
    <w:rsid w:val="7AC878BC"/>
    <w:rsid w:val="7B212B22"/>
    <w:rsid w:val="7B400F8D"/>
    <w:rsid w:val="7B42766E"/>
    <w:rsid w:val="7B7B71D7"/>
    <w:rsid w:val="7BC22E5A"/>
    <w:rsid w:val="7C174657"/>
    <w:rsid w:val="7CB842D6"/>
    <w:rsid w:val="7D044A16"/>
    <w:rsid w:val="7E6D04DE"/>
    <w:rsid w:val="7EEF11D3"/>
    <w:rsid w:val="7FA30C79"/>
    <w:rsid w:val="7FB7269E"/>
    <w:rsid w:val="7FC96657"/>
    <w:rsid w:val="7FF363D0"/>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6">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customStyle="1" w:styleId="2">
    <w:name w:val="Default"/>
    <w:next w:val="3"/>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7">
    <w:name w:val="Body Text"/>
    <w:basedOn w:val="1"/>
    <w:link w:val="27"/>
    <w:qFormat/>
    <w:uiPriority w:val="99"/>
    <w:pPr>
      <w:spacing w:beforeLines="30"/>
    </w:pPr>
    <w:rPr>
      <w:rFonts w:ascii="仿宋_GB2312" w:eastAsia="仿宋_GB2312"/>
      <w:kern w:val="0"/>
      <w:sz w:val="30"/>
    </w:rPr>
  </w:style>
  <w:style w:type="paragraph" w:styleId="8">
    <w:name w:val="Body Text Indent"/>
    <w:basedOn w:val="1"/>
    <w:qFormat/>
    <w:uiPriority w:val="0"/>
    <w:pPr>
      <w:spacing w:after="120"/>
      <w:ind w:leftChars="200"/>
    </w:pPr>
    <w:rPr>
      <w:rFonts w:ascii="仿宋_GB2312"/>
      <w:szCs w:val="32"/>
    </w:r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2"/>
    <w:semiHidden/>
    <w:unhideWhenUsed/>
    <w:qFormat/>
    <w:uiPriority w:val="99"/>
    <w:rPr>
      <w:sz w:val="18"/>
      <w:szCs w:val="18"/>
    </w:rPr>
  </w:style>
  <w:style w:type="paragraph" w:styleId="11">
    <w:name w:val="footer"/>
    <w:basedOn w:val="1"/>
    <w:next w:val="1"/>
    <w:link w:val="25"/>
    <w:qFormat/>
    <w:uiPriority w:val="99"/>
    <w:pPr>
      <w:tabs>
        <w:tab w:val="center" w:pos="4153"/>
        <w:tab w:val="right" w:pos="8306"/>
      </w:tabs>
      <w:snapToGrid w:val="0"/>
      <w:jc w:val="left"/>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paragraph" w:styleId="14">
    <w:name w:val="Body Text First Indent 2"/>
    <w:basedOn w:val="8"/>
    <w:unhideWhenUsed/>
    <w:qFormat/>
    <w:uiPriority w:val="99"/>
    <w:pPr>
      <w:ind w:firstLine="420" w:firstLine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paragraph" w:customStyle="1" w:styleId="19">
    <w:name w:val="章标题"/>
    <w:basedOn w:val="1"/>
    <w:next w:val="20"/>
    <w:qFormat/>
    <w:uiPriority w:val="99"/>
    <w:pPr>
      <w:widowControl/>
      <w:spacing w:before="158" w:after="153" w:line="323" w:lineRule="atLeast"/>
      <w:ind w:right="-120"/>
      <w:jc w:val="center"/>
      <w:textAlignment w:val="baseline"/>
    </w:pPr>
    <w:rPr>
      <w:rFonts w:ascii="Times New Roman" w:hAnsi="Times New Roman" w:eastAsia="宋体"/>
      <w:color w:val="FF0000"/>
      <w:sz w:val="18"/>
    </w:rPr>
  </w:style>
  <w:style w:type="paragraph" w:customStyle="1" w:styleId="20">
    <w:name w:val="节标题"/>
    <w:basedOn w:val="1"/>
    <w:next w:val="1"/>
    <w:qFormat/>
    <w:uiPriority w:val="99"/>
    <w:pPr>
      <w:widowControl/>
      <w:spacing w:line="289" w:lineRule="atLeast"/>
      <w:jc w:val="center"/>
      <w:textAlignment w:val="baseline"/>
    </w:pPr>
    <w:rPr>
      <w:color w:val="000000"/>
      <w:sz w:val="28"/>
    </w:rPr>
  </w:style>
  <w:style w:type="paragraph" w:customStyle="1" w:styleId="21">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2">
    <w:name w:val="Header Char"/>
    <w:basedOn w:val="16"/>
    <w:semiHidden/>
    <w:qFormat/>
    <w:uiPriority w:val="99"/>
    <w:rPr>
      <w:rFonts w:ascii="Times New Roman" w:hAnsi="Times New Roman"/>
      <w:sz w:val="18"/>
      <w:szCs w:val="18"/>
    </w:rPr>
  </w:style>
  <w:style w:type="character" w:customStyle="1" w:styleId="23">
    <w:name w:val="页眉 Char"/>
    <w:link w:val="3"/>
    <w:semiHidden/>
    <w:qFormat/>
    <w:locked/>
    <w:uiPriority w:val="99"/>
    <w:rPr>
      <w:sz w:val="18"/>
    </w:rPr>
  </w:style>
  <w:style w:type="character" w:customStyle="1" w:styleId="24">
    <w:name w:val="Footer Char"/>
    <w:basedOn w:val="16"/>
    <w:semiHidden/>
    <w:qFormat/>
    <w:uiPriority w:val="99"/>
    <w:rPr>
      <w:rFonts w:ascii="Times New Roman" w:hAnsi="Times New Roman"/>
      <w:sz w:val="18"/>
      <w:szCs w:val="18"/>
    </w:rPr>
  </w:style>
  <w:style w:type="character" w:customStyle="1" w:styleId="25">
    <w:name w:val="页脚 Char"/>
    <w:link w:val="11"/>
    <w:qFormat/>
    <w:locked/>
    <w:uiPriority w:val="99"/>
    <w:rPr>
      <w:sz w:val="18"/>
    </w:rPr>
  </w:style>
  <w:style w:type="character" w:customStyle="1" w:styleId="26">
    <w:name w:val="Body Text Char"/>
    <w:basedOn w:val="16"/>
    <w:semiHidden/>
    <w:qFormat/>
    <w:uiPriority w:val="99"/>
    <w:rPr>
      <w:rFonts w:ascii="Times New Roman" w:hAnsi="Times New Roman"/>
      <w:szCs w:val="24"/>
    </w:rPr>
  </w:style>
  <w:style w:type="character" w:customStyle="1" w:styleId="27">
    <w:name w:val="正文文本 Char"/>
    <w:link w:val="7"/>
    <w:qFormat/>
    <w:locked/>
    <w:uiPriority w:val="99"/>
    <w:rPr>
      <w:rFonts w:ascii="仿宋_GB2312" w:hAnsi="Times New Roman" w:eastAsia="仿宋_GB2312"/>
      <w:sz w:val="24"/>
    </w:rPr>
  </w:style>
  <w:style w:type="paragraph" w:styleId="28">
    <w:name w:val="List Paragraph"/>
    <w:basedOn w:val="1"/>
    <w:qFormat/>
    <w:uiPriority w:val="34"/>
    <w:pPr>
      <w:ind w:firstLine="420" w:firstLineChars="200"/>
    </w:pPr>
  </w:style>
  <w:style w:type="character" w:customStyle="1" w:styleId="29">
    <w:name w:val="标题 1 Char"/>
    <w:basedOn w:val="16"/>
    <w:link w:val="4"/>
    <w:qFormat/>
    <w:uiPriority w:val="9"/>
    <w:rPr>
      <w:rFonts w:ascii="Times New Roman" w:hAnsi="Times New Roman"/>
      <w:b/>
      <w:bCs/>
      <w:kern w:val="44"/>
      <w:sz w:val="44"/>
      <w:szCs w:val="44"/>
    </w:rPr>
  </w:style>
  <w:style w:type="character" w:customStyle="1" w:styleId="30">
    <w:name w:val="标题 2 Char"/>
    <w:basedOn w:val="16"/>
    <w:link w:val="5"/>
    <w:qFormat/>
    <w:uiPriority w:val="9"/>
    <w:rPr>
      <w:rFonts w:asciiTheme="majorHAnsi" w:hAnsiTheme="majorHAnsi" w:eastAsiaTheme="majorEastAsia" w:cstheme="majorBidi"/>
      <w:b/>
      <w:bCs/>
      <w:kern w:val="2"/>
      <w:sz w:val="32"/>
      <w:szCs w:val="32"/>
    </w:rPr>
  </w:style>
  <w:style w:type="paragraph" w:customStyle="1" w:styleId="31">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Char"/>
    <w:basedOn w:val="16"/>
    <w:link w:val="10"/>
    <w:semiHidden/>
    <w:qFormat/>
    <w:uiPriority w:val="99"/>
    <w:rPr>
      <w:rFonts w:ascii="Times New Roman" w:hAnsi="Times New Roman"/>
      <w:kern w:val="2"/>
      <w:sz w:val="18"/>
      <w:szCs w:val="18"/>
    </w:rPr>
  </w:style>
  <w:style w:type="character" w:customStyle="1" w:styleId="33">
    <w:name w:val="标题 3 Char"/>
    <w:basedOn w:val="16"/>
    <w:link w:val="6"/>
    <w:qFormat/>
    <w:uiPriority w:val="9"/>
    <w:rPr>
      <w:rFonts w:ascii="Times New Roman" w:hAnsi="Times New Roman"/>
      <w:b/>
      <w:bCs/>
      <w:kern w:val="2"/>
      <w:sz w:val="32"/>
      <w:szCs w:val="32"/>
    </w:rPr>
  </w:style>
  <w:style w:type="paragraph" w:customStyle="1" w:styleId="34">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36">
    <w:name w:val="WPSOffice手动目录 1"/>
    <w:qFormat/>
    <w:uiPriority w:val="0"/>
    <w:pPr>
      <w:ind w:leftChars="0"/>
    </w:pPr>
    <w:rPr>
      <w:rFonts w:ascii="Times New Roman" w:hAnsi="Times New Roman" w:eastAsia="宋体" w:cs="Times New Roman"/>
      <w:sz w:val="20"/>
      <w:szCs w:val="20"/>
    </w:rPr>
  </w:style>
  <w:style w:type="paragraph" w:customStyle="1" w:styleId="37">
    <w:name w:val="WPSOffice手动目录 2"/>
    <w:qFormat/>
    <w:uiPriority w:val="0"/>
    <w:pPr>
      <w:ind w:leftChars="200"/>
    </w:pPr>
    <w:rPr>
      <w:rFonts w:ascii="Times New Roman" w:hAnsi="Times New Roman" w:eastAsia="宋体" w:cs="Times New Roman"/>
      <w:sz w:val="20"/>
      <w:szCs w:val="20"/>
    </w:rPr>
  </w:style>
  <w:style w:type="character" w:customStyle="1" w:styleId="38">
    <w:name w:val="NormalCharacter"/>
    <w:qFormat/>
    <w:uiPriority w:val="0"/>
  </w:style>
  <w:style w:type="paragraph" w:customStyle="1" w:styleId="39">
    <w:name w:val="常用样式（方正仿宋简）"/>
    <w:basedOn w:val="1"/>
    <w:qFormat/>
    <w:uiPriority w:val="99"/>
    <w:pPr>
      <w:spacing w:line="580" w:lineRule="exact"/>
      <w:ind w:firstLine="420" w:firstLineChars="200"/>
    </w:pPr>
    <w:rPr>
      <w:rFonts w:eastAsia="方正仿宋简体"/>
      <w:sz w:val="32"/>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1" Type="http://schemas.openxmlformats.org/officeDocument/2006/relationships/oleObject" Target="../embeddings/oleObject2.bin"/></Relationships>
</file>

<file path=word/charts/_rels/chart3.xml.rels><?xml version="1.0" encoding="UTF-8" standalone="yes"?>
<Relationships xmlns="http://schemas.openxmlformats.org/package/2006/relationships"><Relationship Id="rId1" Type="http://schemas.openxmlformats.org/officeDocument/2006/relationships/oleObject" Target="../embeddings/oleObject3.bin"/></Relationships>
</file>

<file path=word/charts/_rels/chart4.xml.rels><?xml version="1.0" encoding="UTF-8" standalone="yes"?>
<Relationships xmlns="http://schemas.openxmlformats.org/package/2006/relationships"><Relationship Id="rId1" Type="http://schemas.openxmlformats.org/officeDocument/2006/relationships/oleObject" Target="../embeddings/oleObject4.bin"/></Relationships>
</file>

<file path=word/charts/_rels/chart5.xml.rels><?xml version="1.0" encoding="UTF-8" standalone="yes"?>
<Relationships xmlns="http://schemas.openxmlformats.org/package/2006/relationships"><Relationship Id="rId1" Type="http://schemas.openxmlformats.org/officeDocument/2006/relationships/oleObject" Target="../embeddings/oleObject5.bin"/></Relationships>
</file>

<file path=word/charts/_rels/chart6.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2021年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Sheet1!$A$2:$A$3</c:f>
              <c:strCache>
                <c:ptCount val="2"/>
                <c:pt idx="0">
                  <c:v>收入（万元）</c:v>
                </c:pt>
                <c:pt idx="1">
                  <c:v>支出（万元）</c:v>
                </c:pt>
              </c:strCache>
            </c:strRef>
          </c:cat>
          <c:val>
            <c:numRef>
              <c:f>Sheet1!$B$2:$B$3</c:f>
              <c:numCache>
                <c:formatCode>#,##0.00</c:formatCode>
                <c:ptCount val="2"/>
                <c:pt idx="0">
                  <c:v>1441.08</c:v>
                </c:pt>
                <c:pt idx="1">
                  <c:v>1441.08</c:v>
                </c:pt>
              </c:numCache>
            </c:numRef>
          </c:val>
        </c:ser>
        <c:ser>
          <c:idx val="1"/>
          <c:order val="1"/>
          <c:tx>
            <c:strRef>
              <c:f>Sheet1!$C$1</c:f>
              <c:strCache>
                <c:ptCount val="1"/>
                <c:pt idx="0">
                  <c:v>2022年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Sheet1!$A$2:$A$3</c:f>
              <c:strCache>
                <c:ptCount val="2"/>
                <c:pt idx="0">
                  <c:v>收入（万元）</c:v>
                </c:pt>
                <c:pt idx="1">
                  <c:v>支出（万元）</c:v>
                </c:pt>
              </c:strCache>
            </c:strRef>
          </c:cat>
          <c:val>
            <c:numRef>
              <c:f>Sheet1!$C$2:$C$3</c:f>
              <c:numCache>
                <c:formatCode>#,##0.00</c:formatCode>
                <c:ptCount val="2"/>
                <c:pt idx="0">
                  <c:v>1311.52</c:v>
                </c:pt>
                <c:pt idx="1">
                  <c:v>1311.52</c:v>
                </c:pt>
              </c:numCache>
            </c:numRef>
          </c:val>
        </c:ser>
        <c:dLbls>
          <c:showLegendKey val="0"/>
          <c:showVal val="0"/>
          <c:showCatName val="0"/>
          <c:showSerName val="0"/>
          <c:showPercent val="0"/>
          <c:showBubbleSize val="0"/>
        </c:dLbls>
        <c:gapWidth val="150"/>
        <c:axId val="153620480"/>
        <c:axId val="153622016"/>
      </c:barChart>
      <c:catAx>
        <c:axId val="153620480"/>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53622016"/>
        <c:crosses val="autoZero"/>
        <c:auto val="1"/>
        <c:lblAlgn val="ctr"/>
        <c:lblOffset val="100"/>
        <c:noMultiLvlLbl val="0"/>
      </c:catAx>
      <c:valAx>
        <c:axId val="153622016"/>
        <c:scaling>
          <c:orientation val="minMax"/>
        </c:scaling>
        <c:delete val="0"/>
        <c:axPos val="l"/>
        <c:majorGridlines/>
        <c:numFmt formatCode="#,##0.00"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53620480"/>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收入占比（%）</c:v>
                </c:pt>
              </c:strCache>
            </c:strRef>
          </c:tx>
          <c:explosion val="0"/>
          <c:dPt>
            <c:idx val="0"/>
            <c:bubble3D val="0"/>
          </c:dPt>
          <c:dPt>
            <c:idx val="1"/>
            <c:bubble3D val="0"/>
          </c:dPt>
          <c:dPt>
            <c:idx val="2"/>
            <c:bubble3D val="0"/>
          </c:dPt>
          <c:dPt>
            <c:idx val="3"/>
            <c:bubble3D val="0"/>
          </c:dPt>
          <c:dPt>
            <c:idx val="4"/>
            <c:bubble3D val="0"/>
          </c:dPt>
          <c:dPt>
            <c:idx val="5"/>
            <c:bubble3D val="0"/>
          </c:dPt>
          <c:dPt>
            <c:idx val="6"/>
            <c:bubble3D val="0"/>
          </c:dPt>
          <c:dPt>
            <c:idx val="7"/>
            <c:bubble3D val="0"/>
          </c:dPt>
          <c:dPt>
            <c:idx val="8"/>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Sheet1!$A$2:$A$10</c:f>
              <c:strCache>
                <c:ptCount val="9"/>
                <c:pt idx="0">
                  <c:v>一般公共预算财政拨款收入</c:v>
                </c:pt>
                <c:pt idx="1">
                  <c:v>政府性基金预算财政拨款收入</c:v>
                </c:pt>
                <c:pt idx="2">
                  <c:v>国有资本经营预算财政拨款收入</c:v>
                </c:pt>
                <c:pt idx="3">
                  <c:v>上级补助收入</c:v>
                </c:pt>
                <c:pt idx="4">
                  <c:v>事业收入</c:v>
                </c:pt>
                <c:pt idx="5">
                  <c:v>经营收入</c:v>
                </c:pt>
                <c:pt idx="6">
                  <c:v>附属单位上缴收入</c:v>
                </c:pt>
                <c:pt idx="7">
                  <c:v>其他收入</c:v>
                </c:pt>
              </c:strCache>
            </c:strRef>
          </c:cat>
          <c:val>
            <c:numRef>
              <c:f>Sheet1!$B$2:$B$10</c:f>
              <c:numCache>
                <c:formatCode>General</c:formatCode>
                <c:ptCount val="9"/>
                <c:pt idx="0">
                  <c:v>88.95</c:v>
                </c:pt>
                <c:pt idx="1">
                  <c:v>11.05</c:v>
                </c:pt>
                <c:pt idx="2">
                  <c:v>0</c:v>
                </c:pt>
                <c:pt idx="3">
                  <c:v>0</c:v>
                </c:pt>
                <c:pt idx="4">
                  <c:v>0</c:v>
                </c:pt>
                <c:pt idx="5">
                  <c:v>0</c:v>
                </c:pt>
                <c:pt idx="6">
                  <c:v>0</c:v>
                </c:pt>
                <c:pt idx="7">
                  <c:v>0</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支出占比（%）</c:v>
                </c:pt>
              </c:strCache>
            </c:strRef>
          </c:tx>
          <c:explosion val="0"/>
          <c:dPt>
            <c:idx val="0"/>
            <c:bubble3D val="0"/>
          </c:dPt>
          <c:dPt>
            <c:idx val="1"/>
            <c:bubble3D val="0"/>
          </c:dPt>
          <c:dPt>
            <c:idx val="2"/>
            <c:bubble3D val="0"/>
          </c:dPt>
          <c:dPt>
            <c:idx val="3"/>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Sheet1!$A$2:$A$5</c:f>
              <c:strCache>
                <c:ptCount val="4"/>
                <c:pt idx="0">
                  <c:v>基本支出</c:v>
                </c:pt>
                <c:pt idx="1">
                  <c:v>项目支出</c:v>
                </c:pt>
                <c:pt idx="2">
                  <c:v>上缴上级支出</c:v>
                </c:pt>
                <c:pt idx="3">
                  <c:v>对附属单位补助支出</c:v>
                </c:pt>
              </c:strCache>
            </c:strRef>
          </c:cat>
          <c:val>
            <c:numRef>
              <c:f>Sheet1!$B$2:$B$5</c:f>
              <c:numCache>
                <c:formatCode>General</c:formatCode>
                <c:ptCount val="4"/>
                <c:pt idx="0">
                  <c:v>46.38</c:v>
                </c:pt>
                <c:pt idx="1">
                  <c:v>53.62</c:v>
                </c:pt>
                <c:pt idx="2">
                  <c:v>0</c:v>
                </c:pt>
                <c:pt idx="3">
                  <c:v>0</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2021年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Sheet1!$A$2:$A$3</c:f>
              <c:strCache>
                <c:ptCount val="2"/>
                <c:pt idx="0">
                  <c:v>财政拨款收入（万元）</c:v>
                </c:pt>
                <c:pt idx="1">
                  <c:v>财政拨款支出（万元）</c:v>
                </c:pt>
              </c:strCache>
            </c:strRef>
          </c:cat>
          <c:val>
            <c:numRef>
              <c:f>Sheet1!$B$2:$B$3</c:f>
              <c:numCache>
                <c:formatCode>#,##0.00</c:formatCode>
                <c:ptCount val="2"/>
                <c:pt idx="0">
                  <c:v>1441.08</c:v>
                </c:pt>
                <c:pt idx="1">
                  <c:v>1441.08</c:v>
                </c:pt>
              </c:numCache>
            </c:numRef>
          </c:val>
        </c:ser>
        <c:ser>
          <c:idx val="1"/>
          <c:order val="1"/>
          <c:tx>
            <c:strRef>
              <c:f>Sheet1!$C$1</c:f>
              <c:strCache>
                <c:ptCount val="1"/>
                <c:pt idx="0">
                  <c:v>2022年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Sheet1!$A$2:$A$3</c:f>
              <c:strCache>
                <c:ptCount val="2"/>
                <c:pt idx="0">
                  <c:v>财政拨款收入（万元）</c:v>
                </c:pt>
                <c:pt idx="1">
                  <c:v>财政拨款支出（万元）</c:v>
                </c:pt>
              </c:strCache>
            </c:strRef>
          </c:cat>
          <c:val>
            <c:numRef>
              <c:f>Sheet1!$C$2:$C$3</c:f>
              <c:numCache>
                <c:formatCode>#,##0.00</c:formatCode>
                <c:ptCount val="2"/>
                <c:pt idx="0">
                  <c:v>1311.52</c:v>
                </c:pt>
                <c:pt idx="1">
                  <c:v>1311.52</c:v>
                </c:pt>
              </c:numCache>
            </c:numRef>
          </c:val>
        </c:ser>
        <c:dLbls>
          <c:showLegendKey val="0"/>
          <c:showVal val="0"/>
          <c:showCatName val="0"/>
          <c:showSerName val="0"/>
          <c:showPercent val="0"/>
          <c:showBubbleSize val="0"/>
        </c:dLbls>
        <c:gapWidth val="150"/>
        <c:axId val="153620480"/>
        <c:axId val="153622016"/>
      </c:barChart>
      <c:catAx>
        <c:axId val="153620480"/>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53622016"/>
        <c:crosses val="autoZero"/>
        <c:auto val="1"/>
        <c:lblAlgn val="ctr"/>
        <c:lblOffset val="100"/>
        <c:noMultiLvlLbl val="0"/>
      </c:catAx>
      <c:valAx>
        <c:axId val="153622016"/>
        <c:scaling>
          <c:orientation val="minMax"/>
        </c:scaling>
        <c:delete val="0"/>
        <c:axPos val="l"/>
        <c:majorGridlines/>
        <c:numFmt formatCode="#,##0.00"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53620480"/>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2021年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Sheet1!$A$2</c:f>
              <c:strCache>
                <c:ptCount val="1"/>
                <c:pt idx="0">
                  <c:v>一般公共预算财政拨款支出（万元）</c:v>
                </c:pt>
              </c:strCache>
            </c:strRef>
          </c:cat>
          <c:val>
            <c:numRef>
              <c:f>Sheet1!$B$2</c:f>
              <c:numCache>
                <c:formatCode>#,##0.00</c:formatCode>
                <c:ptCount val="1"/>
                <c:pt idx="0">
                  <c:v>1272.06</c:v>
                </c:pt>
              </c:numCache>
            </c:numRef>
          </c:val>
        </c:ser>
        <c:ser>
          <c:idx val="1"/>
          <c:order val="1"/>
          <c:tx>
            <c:strRef>
              <c:f>Sheet1!$C$1</c:f>
              <c:strCache>
                <c:ptCount val="1"/>
                <c:pt idx="0">
                  <c:v>2022年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Sheet1!$A$2</c:f>
              <c:strCache>
                <c:ptCount val="1"/>
                <c:pt idx="0">
                  <c:v>一般公共预算财政拨款支出（万元）</c:v>
                </c:pt>
              </c:strCache>
            </c:strRef>
          </c:cat>
          <c:val>
            <c:numRef>
              <c:f>Sheet1!$C$2</c:f>
              <c:numCache>
                <c:formatCode>#,##0.00</c:formatCode>
                <c:ptCount val="1"/>
                <c:pt idx="0">
                  <c:v>1166.59</c:v>
                </c:pt>
              </c:numCache>
            </c:numRef>
          </c:val>
        </c:ser>
        <c:dLbls>
          <c:showLegendKey val="0"/>
          <c:showVal val="0"/>
          <c:showCatName val="0"/>
          <c:showSerName val="0"/>
          <c:showPercent val="0"/>
          <c:showBubbleSize val="0"/>
        </c:dLbls>
        <c:gapWidth val="150"/>
        <c:axId val="157426048"/>
        <c:axId val="157427584"/>
      </c:barChart>
      <c:catAx>
        <c:axId val="157426048"/>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57427584"/>
        <c:crosses val="autoZero"/>
        <c:auto val="1"/>
        <c:lblAlgn val="ctr"/>
        <c:lblOffset val="100"/>
        <c:noMultiLvlLbl val="0"/>
      </c:catAx>
      <c:valAx>
        <c:axId val="157427584"/>
        <c:scaling>
          <c:orientation val="minMax"/>
        </c:scaling>
        <c:delete val="0"/>
        <c:axPos val="l"/>
        <c:majorGridlines/>
        <c:numFmt formatCode="#,##0.00"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57426048"/>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pie3DChart>
        <c:varyColors val="1"/>
        <c:ser>
          <c:idx val="0"/>
          <c:order val="0"/>
          <c:tx>
            <c:strRef>
              <c:f>Sheet1!$B$1</c:f>
              <c:strCache>
                <c:ptCount val="1"/>
                <c:pt idx="0">
                  <c:v>一般公共预算财政拨款支出占比（%）</c:v>
                </c:pt>
              </c:strCache>
            </c:strRef>
          </c:tx>
          <c:spPr/>
          <c:explosion val="0"/>
          <c:dPt>
            <c:idx val="0"/>
            <c:bubble3D val="0"/>
            <c:spPr>
              <a:solidFill>
                <a:schemeClr val="accent1"/>
              </a:solidFill>
              <a:ln w="25400">
                <a:solidFill>
                  <a:schemeClr val="lt1"/>
                </a:solidFill>
              </a:ln>
              <a:effectLst/>
            </c:spPr>
          </c:dPt>
          <c:dPt>
            <c:idx val="1"/>
            <c:bubble3D val="0"/>
            <c:spPr>
              <a:solidFill>
                <a:schemeClr val="accent2"/>
              </a:solidFill>
              <a:ln w="25400">
                <a:solidFill>
                  <a:schemeClr val="lt1"/>
                </a:solidFill>
              </a:ln>
              <a:effectLst/>
            </c:spPr>
          </c:dPt>
          <c:dPt>
            <c:idx val="2"/>
            <c:bubble3D val="0"/>
            <c:spPr>
              <a:solidFill>
                <a:schemeClr val="accent3"/>
              </a:solidFill>
              <a:ln w="25400">
                <a:solidFill>
                  <a:schemeClr val="lt1"/>
                </a:solidFill>
              </a:ln>
              <a:effectLst/>
            </c:spPr>
          </c:dPt>
          <c:dPt>
            <c:idx val="3"/>
            <c:bubble3D val="0"/>
            <c:spPr>
              <a:solidFill>
                <a:schemeClr val="accent4"/>
              </a:solidFill>
              <a:ln w="25400">
                <a:solidFill>
                  <a:schemeClr val="lt1"/>
                </a:solidFill>
              </a:ln>
              <a:effectLst/>
            </c:spPr>
          </c:dPt>
          <c:dPt>
            <c:idx val="4"/>
            <c:bubble3D val="0"/>
            <c:spPr>
              <a:solidFill>
                <a:schemeClr val="accent5"/>
              </a:solidFill>
              <a:ln w="25400">
                <a:solidFill>
                  <a:schemeClr val="lt1"/>
                </a:solidFill>
              </a:ln>
              <a:effectLst/>
            </c:spPr>
          </c:dPt>
          <c:dPt>
            <c:idx val="5"/>
            <c:bubble3D val="0"/>
            <c:spPr>
              <a:solidFill>
                <a:schemeClr val="accent6"/>
              </a:solidFill>
              <a:ln w="25400">
                <a:solidFill>
                  <a:schemeClr val="lt1"/>
                </a:solidFill>
              </a:ln>
              <a:effectLst/>
            </c:spPr>
          </c:dPt>
          <c:dPt>
            <c:idx val="6"/>
            <c:bubble3D val="0"/>
            <c:spPr>
              <a:solidFill>
                <a:schemeClr val="accent1">
                  <a:lumMod val="60000"/>
                </a:schemeClr>
              </a:solidFill>
              <a:ln w="25400">
                <a:solidFill>
                  <a:schemeClr val="lt1"/>
                </a:solidFill>
              </a:ln>
              <a:effectLst/>
            </c:spPr>
          </c:dPt>
          <c:dPt>
            <c:idx val="7"/>
            <c:bubble3D val="0"/>
            <c:spPr>
              <a:solidFill>
                <a:schemeClr val="accent2">
                  <a:lumMod val="60000"/>
                </a:schemeClr>
              </a:solidFill>
              <a:ln w="25400">
                <a:solidFill>
                  <a:schemeClr val="lt1"/>
                </a:solidFill>
              </a:ln>
              <a:effectLst/>
            </c:spPr>
          </c:dPt>
          <c:dLbls>
            <c:delete val="1"/>
          </c:dLbls>
          <c:cat>
            <c:strRef>
              <c:f>Sheet1!$A$2:$A$9</c:f>
              <c:strCache>
                <c:ptCount val="8"/>
                <c:pt idx="0">
                  <c:v>一般公共服务支出</c:v>
                </c:pt>
                <c:pt idx="1">
                  <c:v>教育支出</c:v>
                </c:pt>
                <c:pt idx="2">
                  <c:v>科学技术支出</c:v>
                </c:pt>
                <c:pt idx="3">
                  <c:v>文化旅游体育与传媒支出</c:v>
                </c:pt>
                <c:pt idx="4">
                  <c:v>社会保障和就业支出</c:v>
                </c:pt>
                <c:pt idx="5">
                  <c:v>卫生健康支出</c:v>
                </c:pt>
                <c:pt idx="6">
                  <c:v>农林水支出</c:v>
                </c:pt>
                <c:pt idx="7">
                  <c:v>住房保障支出</c:v>
                </c:pt>
              </c:strCache>
            </c:strRef>
          </c:cat>
          <c:val>
            <c:numRef>
              <c:f>Sheet1!$B$2:$B$9</c:f>
              <c:numCache>
                <c:formatCode>General</c:formatCode>
                <c:ptCount val="8"/>
                <c:pt idx="0">
                  <c:v>90.3</c:v>
                </c:pt>
                <c:pt idx="4">
                  <c:v>3.41</c:v>
                </c:pt>
                <c:pt idx="5">
                  <c:v>1.89</c:v>
                </c:pt>
                <c:pt idx="6">
                  <c:v>0.99</c:v>
                </c:pt>
                <c:pt idx="7">
                  <c:v>3.41</c:v>
                </c:pt>
              </c:numCache>
            </c:numRef>
          </c:val>
        </c:ser>
        <c:dLbls>
          <c:showLegendKey val="0"/>
          <c:showVal val="0"/>
          <c:showCatName val="0"/>
          <c:showSerName val="0"/>
          <c:showPercent val="0"/>
          <c:showBubbleSize val="0"/>
        </c:dLbls>
      </c:pie3D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67</Pages>
  <Words>29941</Words>
  <Characters>31758</Characters>
  <Lines>61</Lines>
  <Paragraphs>17</Paragraphs>
  <TotalTime>43</TotalTime>
  <ScaleCrop>false</ScaleCrop>
  <LinksUpToDate>false</LinksUpToDate>
  <CharactersWithSpaces>32440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惠</cp:lastModifiedBy>
  <cp:lastPrinted>2023-07-31T02:35:00Z</cp:lastPrinted>
  <dcterms:modified xsi:type="dcterms:W3CDTF">2023-09-19T07:44:49Z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0724903ED7784CC5900DA2351FA3A707</vt:lpwstr>
  </property>
</Properties>
</file>