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597"/>
      <w:bookmarkStart w:id="2" w:name="_Toc15378441"/>
      <w:bookmarkStart w:id="3" w:name="_Toc15396475"/>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9"/>
        <w:rPr>
          <w:rFonts w:ascii="方正小标宋简体" w:hAnsi="宋体" w:eastAsia="方正小标宋简体"/>
          <w:color w:val="auto"/>
          <w:sz w:val="52"/>
          <w:szCs w:val="52"/>
          <w:highlight w:val="none"/>
        </w:rPr>
      </w:pPr>
      <w:bookmarkStart w:id="6" w:name="_Toc15396476"/>
      <w:bookmarkStart w:id="7" w:name="_Toc15378442"/>
      <w:bookmarkStart w:id="8" w:name="_Toc15377194"/>
      <w:bookmarkStart w:id="9" w:name="_Toc15396598"/>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宋体" w:eastAsia="方正小标宋简体"/>
          <w:color w:val="000000"/>
          <w:sz w:val="72"/>
          <w:szCs w:val="72"/>
        </w:rPr>
        <w:t>遂宁市安居区重点工程和铁路建设办公室</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方正小标宋简体" w:hAnsi="宋体" w:eastAsia="方正小标宋简体"/>
          <w:color w:val="auto"/>
          <w:sz w:val="36"/>
          <w:szCs w:val="36"/>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方正小标宋简体" w:hAnsi="宋体" w:eastAsia="方正小标宋简体"/>
          <w:color w:val="auto"/>
          <w:sz w:val="36"/>
          <w:szCs w:val="36"/>
          <w:highlight w:val="none"/>
        </w:rPr>
        <w:br w:type="page"/>
      </w: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2"/>
        <w:tabs>
          <w:tab w:val="right" w:leader="dot" w:pos="8306"/>
          <w:tab w:val="clear" w:pos="8296"/>
        </w:tabs>
      </w:pPr>
      <w:bookmarkStart w:id="12" w:name="_Toc15377196"/>
      <w:bookmarkStart w:id="13" w:name="_Toc15396599"/>
      <w:r>
        <w:fldChar w:fldCharType="begin"/>
      </w:r>
      <w:r>
        <w:instrText xml:space="preserve">TOC \o "1-3" \h \u </w:instrText>
      </w:r>
      <w:r>
        <w:fldChar w:fldCharType="separate"/>
      </w:r>
      <w:r>
        <w:fldChar w:fldCharType="begin"/>
      </w:r>
      <w:r>
        <w:instrText xml:space="preserve"> HYPERLINK \l _Toc22724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_Toc22724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_Toc31311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_Toc31311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_Toc3885 </w:instrText>
      </w:r>
      <w:r>
        <w:fldChar w:fldCharType="separate"/>
      </w:r>
      <w:r>
        <w:rPr>
          <w:rFonts w:hint="eastAsia" w:ascii="黑体" w:hAnsi="黑体" w:eastAsia="黑体"/>
          <w:lang w:eastAsia="zh-CN"/>
        </w:rPr>
        <w:t xml:space="preserve">二、 </w:t>
      </w:r>
      <w:r>
        <w:rPr>
          <w:rFonts w:hint="eastAsia" w:ascii="黑体" w:hAnsi="黑体" w:eastAsia="黑体"/>
          <w:highlight w:val="none"/>
          <w:lang w:eastAsia="zh-CN"/>
        </w:rPr>
        <w:t>机构设置</w:t>
      </w:r>
      <w:r>
        <w:tab/>
      </w:r>
      <w:r>
        <w:fldChar w:fldCharType="begin"/>
      </w:r>
      <w:r>
        <w:instrText xml:space="preserve"> PAGEREF _Toc3885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_Toc6856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_Toc6856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_Toc13635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_Toc13635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_Toc6683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_Toc6683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_Toc18988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_Toc18988 \h </w:instrText>
      </w:r>
      <w:r>
        <w:fldChar w:fldCharType="separate"/>
      </w:r>
      <w:r>
        <w:t>4</w:t>
      </w:r>
      <w:r>
        <w:fldChar w:fldCharType="end"/>
      </w:r>
      <w:r>
        <w:fldChar w:fldCharType="end"/>
      </w:r>
    </w:p>
    <w:p>
      <w:pPr>
        <w:pStyle w:val="13"/>
        <w:tabs>
          <w:tab w:val="right" w:leader="dot" w:pos="8306"/>
          <w:tab w:val="clear" w:pos="8296"/>
        </w:tabs>
      </w:pPr>
      <w:r>
        <w:fldChar w:fldCharType="begin"/>
      </w:r>
      <w:r>
        <w:instrText xml:space="preserve"> HYPERLINK \l _Toc27618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_Toc27618 \h </w:instrText>
      </w:r>
      <w:r>
        <w:fldChar w:fldCharType="separate"/>
      </w:r>
      <w:r>
        <w:t>4</w:t>
      </w:r>
      <w:r>
        <w:fldChar w:fldCharType="end"/>
      </w:r>
      <w:r>
        <w:fldChar w:fldCharType="end"/>
      </w:r>
    </w:p>
    <w:p>
      <w:pPr>
        <w:pStyle w:val="13"/>
        <w:tabs>
          <w:tab w:val="right" w:leader="dot" w:pos="8306"/>
          <w:tab w:val="clear" w:pos="8296"/>
        </w:tabs>
      </w:pPr>
      <w:r>
        <w:fldChar w:fldCharType="begin"/>
      </w:r>
      <w:r>
        <w:instrText xml:space="preserve"> HYPERLINK \l _Toc18421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_Toc18421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_Toc11083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_Toc11083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_Toc10502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_Toc10502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_Toc19789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_Toc19789 \h </w:instrText>
      </w:r>
      <w:r>
        <w:fldChar w:fldCharType="separate"/>
      </w:r>
      <w:r>
        <w:t>10</w:t>
      </w:r>
      <w:r>
        <w:fldChar w:fldCharType="end"/>
      </w:r>
      <w:r>
        <w:fldChar w:fldCharType="end"/>
      </w:r>
    </w:p>
    <w:p>
      <w:pPr>
        <w:pStyle w:val="13"/>
        <w:tabs>
          <w:tab w:val="right" w:leader="dot" w:pos="8306"/>
          <w:tab w:val="clear" w:pos="8296"/>
        </w:tabs>
      </w:pPr>
      <w:r>
        <w:fldChar w:fldCharType="begin"/>
      </w:r>
      <w:r>
        <w:instrText xml:space="preserve"> HYPERLINK \l _Toc2562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_Toc2562 \h </w:instrText>
      </w:r>
      <w:r>
        <w:fldChar w:fldCharType="separate"/>
      </w:r>
      <w:r>
        <w:t>10</w:t>
      </w:r>
      <w:r>
        <w:fldChar w:fldCharType="end"/>
      </w:r>
      <w:r>
        <w:fldChar w:fldCharType="end"/>
      </w:r>
    </w:p>
    <w:p>
      <w:pPr>
        <w:pStyle w:val="13"/>
        <w:tabs>
          <w:tab w:val="right" w:leader="dot" w:pos="8306"/>
          <w:tab w:val="clear" w:pos="8296"/>
        </w:tabs>
      </w:pPr>
      <w:r>
        <w:fldChar w:fldCharType="begin"/>
      </w:r>
      <w:r>
        <w:instrText xml:space="preserve"> HYPERLINK \l _Toc4471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_Toc4471 \h </w:instrText>
      </w:r>
      <w:r>
        <w:fldChar w:fldCharType="separate"/>
      </w:r>
      <w:r>
        <w:t>10</w:t>
      </w:r>
      <w:r>
        <w:fldChar w:fldCharType="end"/>
      </w:r>
      <w:r>
        <w:fldChar w:fldCharType="end"/>
      </w:r>
    </w:p>
    <w:p>
      <w:pPr>
        <w:pStyle w:val="12"/>
        <w:tabs>
          <w:tab w:val="right" w:leader="dot" w:pos="8306"/>
          <w:tab w:val="clear" w:pos="8296"/>
        </w:tabs>
      </w:pPr>
      <w:r>
        <w:fldChar w:fldCharType="begin"/>
      </w:r>
      <w:r>
        <w:instrText xml:space="preserve"> HYPERLINK \l _Toc21449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_Toc21449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_Toc3700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_Toc3700 \h </w:instrText>
      </w:r>
      <w:r>
        <w:fldChar w:fldCharType="separate"/>
      </w:r>
      <w:r>
        <w:t>26</w:t>
      </w:r>
      <w:r>
        <w:fldChar w:fldCharType="end"/>
      </w:r>
      <w:r>
        <w:fldChar w:fldCharType="end"/>
      </w:r>
    </w:p>
    <w:p>
      <w:pPr>
        <w:pStyle w:val="12"/>
        <w:tabs>
          <w:tab w:val="right" w:leader="dot" w:pos="8306"/>
          <w:tab w:val="clear" w:pos="8296"/>
        </w:tabs>
      </w:pPr>
      <w:r>
        <w:fldChar w:fldCharType="begin"/>
      </w:r>
      <w:r>
        <w:instrText xml:space="preserve"> HYPERLINK \l _Toc30333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_Toc30333 \h </w:instrText>
      </w:r>
      <w:r>
        <w:fldChar w:fldCharType="separate"/>
      </w:r>
      <w:r>
        <w:t>26</w:t>
      </w:r>
      <w:r>
        <w:fldChar w:fldCharType="end"/>
      </w:r>
      <w:r>
        <w:fldChar w:fldCharType="end"/>
      </w:r>
    </w:p>
    <w:p>
      <w:pPr>
        <w:pStyle w:val="13"/>
        <w:tabs>
          <w:tab w:val="right" w:leader="dot" w:pos="8306"/>
          <w:tab w:val="clear" w:pos="8296"/>
        </w:tabs>
      </w:pPr>
      <w:r>
        <w:fldChar w:fldCharType="begin"/>
      </w:r>
      <w:r>
        <w:instrText xml:space="preserve"> HYPERLINK \l _Toc24440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_Toc24440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_Toc17845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_Toc17845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_Toc25127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_Toc25127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_Toc18244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_Toc18244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_Toc12481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_Toc12481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_Toc4415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_Toc4415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_Toc8849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_Toc8849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_Toc31015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_Toc31015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_Toc11507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_Toc11507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_Toc9564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_Toc9564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_Toc4459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_Toc4459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_Toc23372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_Toc23372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_Toc27051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_Toc27051 \h </w:instrText>
      </w:r>
      <w:r>
        <w:fldChar w:fldCharType="separate"/>
      </w:r>
      <w:r>
        <w:t>30</w:t>
      </w:r>
      <w:r>
        <w:fldChar w:fldCharType="end"/>
      </w:r>
      <w:r>
        <w:fldChar w:fldCharType="end"/>
      </w:r>
    </w:p>
    <w:p>
      <w:r>
        <w:fldChar w:fldCharType="end"/>
      </w:r>
    </w:p>
    <w:p>
      <w:pPr>
        <w:widowControl/>
        <w:spacing w:line="440" w:lineRule="exact"/>
        <w:jc w:val="left"/>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upperRoman" w:start="1"/>
          <w:cols w:space="425" w:num="1"/>
          <w:docGrid w:type="lines" w:linePitch="312" w:charSpace="0"/>
        </w:sectPr>
      </w:pPr>
    </w:p>
    <w:p>
      <w:pPr>
        <w:pStyle w:val="3"/>
        <w:jc w:val="center"/>
        <w:rPr>
          <w:rStyle w:val="28"/>
          <w:rFonts w:ascii="黑体" w:hAnsi="黑体" w:eastAsia="黑体"/>
          <w:b/>
          <w:bCs w:val="0"/>
          <w:color w:val="auto"/>
          <w:highlight w:val="none"/>
        </w:rPr>
      </w:pPr>
      <w:bookmarkStart w:id="14" w:name="_Toc22724"/>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bookmarkEnd w:id="14"/>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15" w:name="_Toc31311"/>
      <w:r>
        <w:rPr>
          <w:rFonts w:hint="eastAsia" w:ascii="黑体" w:hAnsi="黑体" w:eastAsia="黑体"/>
          <w:b w:val="0"/>
          <w:color w:val="auto"/>
          <w:highlight w:val="none"/>
          <w:lang w:eastAsia="zh-CN"/>
        </w:rPr>
        <w:t>部门职责</w:t>
      </w:r>
      <w:bookmarkEnd w:id="15"/>
    </w:p>
    <w:p>
      <w:pPr>
        <w:ind w:firstLine="800" w:firstLineChars="250"/>
        <w:rPr>
          <w:rFonts w:hint="eastAsia" w:ascii="仿宋" w:hAnsi="仿宋" w:eastAsia="仿宋"/>
          <w:sz w:val="32"/>
          <w:szCs w:val="32"/>
        </w:rPr>
      </w:pPr>
      <w:r>
        <w:rPr>
          <w:rFonts w:hint="eastAsia" w:ascii="仿宋" w:hAnsi="仿宋" w:eastAsia="仿宋"/>
          <w:sz w:val="32"/>
          <w:szCs w:val="32"/>
        </w:rPr>
        <w:t>遂宁市安居区重点工程</w:t>
      </w:r>
      <w:r>
        <w:rPr>
          <w:rFonts w:hint="eastAsia" w:ascii="仿宋" w:hAnsi="仿宋" w:eastAsia="仿宋"/>
          <w:sz w:val="32"/>
          <w:szCs w:val="32"/>
          <w:lang w:val="en-US" w:eastAsia="zh-CN"/>
        </w:rPr>
        <w:t>和铁路</w:t>
      </w:r>
      <w:r>
        <w:rPr>
          <w:rFonts w:hint="eastAsia" w:ascii="仿宋" w:hAnsi="仿宋" w:eastAsia="仿宋"/>
          <w:sz w:val="32"/>
          <w:szCs w:val="32"/>
        </w:rPr>
        <w:t>建设办公室是经遂宁市安居区编委批准成立的正科级财政全额拨款事业单位，主要职能是：</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贯彻执行国家关于重点建设和铁路建设的有关法律、法规及相关政策，研究涉及重点工程、铁路建设及拆迁建设方面的重大问题和管理办法，起草相关的规范性文件，综合管理全区重点工程、铁路建设工作，对工程项目建设全过程履行协调、检查、监督、服务、考核职能。</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负责区重点工程建设领导小组的日常工作。对区委、区政府相关重点工程、铁路建设决定事项的检查督促落实，直接参与国家、省、市在区境内的重点工程项目建设所涉工作。</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参与区重点工程建设项目的组织协调工作。负责重点工程建设项目建设进度、工程质量、投资预算、工程竣工验收等建设活动的指导、检查、总结和考核。</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组织重点工程、铁路建设的实施、协调处理各建设项目在资金筹集、征地拆迁、安全生产和质量、工程造价等方面的有关问题。</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提出年度重点工程建设项目建议名单、编制年度计划；审查重点工程建设项目业主管理项目的资格和能力；参与重点建设项目的初步设计、工程概预算调整、审计稽查和竣工验收；参与重点建设项目招标投标全过程监督；监督重点建设项目通过施工图设计文件审查。</w:t>
      </w:r>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跟踪重点工程建设项目实施情况，收集反馈信息，定期、不定期报告重点工程建设项目计划执行情况，分析趋势，提出建议。</w:t>
      </w:r>
    </w:p>
    <w:p>
      <w:pPr>
        <w:ind w:firstLine="800" w:firstLineChars="250"/>
        <w:rPr>
          <w:rFonts w:hint="eastAsia"/>
          <w:lang w:eastAsia="zh-CN"/>
        </w:rPr>
      </w:pPr>
      <w:r>
        <w:rPr>
          <w:rFonts w:hint="eastAsia" w:ascii="仿宋" w:hAnsi="仿宋" w:eastAsia="仿宋"/>
          <w:sz w:val="32"/>
          <w:szCs w:val="32"/>
          <w:lang w:val="en-US" w:eastAsia="zh-CN"/>
        </w:rPr>
        <w:t>7.</w:t>
      </w:r>
      <w:r>
        <w:rPr>
          <w:rFonts w:hint="eastAsia" w:ascii="仿宋" w:hAnsi="仿宋" w:eastAsia="仿宋"/>
          <w:sz w:val="32"/>
          <w:szCs w:val="32"/>
        </w:rPr>
        <w:t>承办区政府交办的其他事项。</w:t>
      </w:r>
    </w:p>
    <w:p>
      <w:pPr>
        <w:pStyle w:val="4"/>
        <w:numPr>
          <w:ilvl w:val="0"/>
          <w:numId w:val="1"/>
        </w:numPr>
        <w:rPr>
          <w:rFonts w:hint="eastAsia" w:ascii="黑体" w:hAnsi="黑体" w:eastAsia="黑体"/>
          <w:b w:val="0"/>
          <w:color w:val="auto"/>
          <w:highlight w:val="none"/>
          <w:lang w:eastAsia="zh-CN"/>
        </w:rPr>
      </w:pPr>
      <w:bookmarkStart w:id="16" w:name="_Toc15377200"/>
      <w:bookmarkStart w:id="17" w:name="_Toc3885"/>
      <w:bookmarkStart w:id="18" w:name="_Toc15396601"/>
      <w:r>
        <w:rPr>
          <w:rFonts w:hint="eastAsia" w:ascii="黑体" w:hAnsi="黑体" w:eastAsia="黑体"/>
          <w:b w:val="0"/>
          <w:color w:val="auto"/>
          <w:highlight w:val="none"/>
          <w:lang w:eastAsia="zh-CN"/>
        </w:rPr>
        <w:t>机构设置</w:t>
      </w:r>
      <w:bookmarkEnd w:id="16"/>
      <w:bookmarkEnd w:id="17"/>
      <w:bookmarkEnd w:id="18"/>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遂宁市安居区重点工程和铁路建设办公室下属二级单位0个，其中行政单位0个，参照公务员法管理的事业单位0个，其他事业单位0个。</w:t>
      </w:r>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纳入20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年度部门决算编制范围的二级预算单位0个。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Fonts w:hint="eastAsia" w:ascii="黑体" w:hAnsi="黑体" w:eastAsia="黑体"/>
          <w:b w:val="0"/>
          <w:bCs/>
          <w:color w:val="auto"/>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9" w:name="_Toc15396602"/>
      <w:bookmarkStart w:id="20" w:name="_Toc15377204"/>
    </w:p>
    <w:p>
      <w:pPr>
        <w:pStyle w:val="3"/>
        <w:ind w:right="440"/>
        <w:jc w:val="center"/>
        <w:rPr>
          <w:rStyle w:val="28"/>
          <w:rFonts w:ascii="黑体" w:hAnsi="黑体" w:eastAsia="黑体"/>
          <w:b w:val="0"/>
          <w:bCs/>
          <w:color w:val="auto"/>
          <w:highlight w:val="none"/>
        </w:rPr>
      </w:pPr>
      <w:bookmarkStart w:id="21" w:name="_Toc6856"/>
      <w:r>
        <w:drawing>
          <wp:anchor distT="0" distB="0" distL="114300" distR="114300" simplePos="0" relativeHeight="251660288" behindDoc="0" locked="0" layoutInCell="1" allowOverlap="1">
            <wp:simplePos x="0" y="0"/>
            <wp:positionH relativeFrom="column">
              <wp:posOffset>351155</wp:posOffset>
            </wp:positionH>
            <wp:positionV relativeFrom="paragraph">
              <wp:posOffset>2760345</wp:posOffset>
            </wp:positionV>
            <wp:extent cx="4572000" cy="2743200"/>
            <wp:effectExtent l="4445" t="4445" r="825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19"/>
      <w:bookmarkEnd w:id="20"/>
      <w:bookmarkEnd w:id="21"/>
    </w:p>
    <w:p>
      <w:pPr>
        <w:rPr>
          <w:color w:val="auto"/>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2" w:name="_Toc15377205"/>
      <w:bookmarkStart w:id="23" w:name="_Toc15396603"/>
      <w:bookmarkStart w:id="24" w:name="_Toc1363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2"/>
      <w:bookmarkEnd w:id="23"/>
      <w:bookmarkEnd w:id="2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32133.64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2104.05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。主要变动原因是铁路专债项目资金</w:t>
      </w:r>
      <w:r>
        <w:rPr>
          <w:rFonts w:hint="eastAsia" w:ascii="仿宋" w:hAnsi="仿宋" w:eastAsia="仿宋"/>
          <w:color w:val="auto"/>
          <w:sz w:val="32"/>
          <w:szCs w:val="32"/>
          <w:highlight w:val="none"/>
          <w:lang w:eastAsia="zh-CN"/>
        </w:rPr>
        <w:t>增加。</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5" w:name="_Toc15377206"/>
      <w:bookmarkStart w:id="26" w:name="_Toc15396604"/>
      <w:bookmarkStart w:id="27" w:name="_Toc668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5"/>
      <w:bookmarkEnd w:id="26"/>
      <w:bookmarkEnd w:id="27"/>
    </w:p>
    <w:p>
      <w:pPr>
        <w:spacing w:line="600" w:lineRule="exact"/>
        <w:ind w:firstLine="640" w:firstLineChars="200"/>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32133.64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153.64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31980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99.52</w:t>
      </w:r>
      <w:r>
        <w:rPr>
          <w:rFonts w:ascii="仿宋" w:hAnsi="仿宋" w:eastAsia="仿宋"/>
          <w:color w:val="auto"/>
          <w:sz w:val="32"/>
          <w:szCs w:val="32"/>
          <w:highlight w:val="none"/>
        </w:rPr>
        <w:t>%</w:t>
      </w: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420" w:firstLineChars="200"/>
        <w:jc w:val="center"/>
        <w:rPr>
          <w:rFonts w:ascii="仿宋_GB2312" w:eastAsia="仿宋_GB2312"/>
          <w:color w:val="auto"/>
          <w:sz w:val="32"/>
          <w:szCs w:val="32"/>
          <w:highlight w:val="none"/>
        </w:rPr>
      </w:pPr>
      <w:r>
        <w:drawing>
          <wp:anchor distT="0" distB="0" distL="114300" distR="114300" simplePos="0" relativeHeight="251666432" behindDoc="0" locked="0" layoutInCell="1" allowOverlap="1">
            <wp:simplePos x="0" y="0"/>
            <wp:positionH relativeFrom="column">
              <wp:posOffset>433070</wp:posOffset>
            </wp:positionH>
            <wp:positionV relativeFrom="paragraph">
              <wp:posOffset>305435</wp:posOffset>
            </wp:positionV>
            <wp:extent cx="4572000" cy="2743200"/>
            <wp:effectExtent l="4445" t="4445" r="8255" b="825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（图2：收入决算结构图）（饼状图）</w:t>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8" w:name="_Toc15377207"/>
      <w:bookmarkStart w:id="29" w:name="_Toc15396605"/>
      <w:bookmarkStart w:id="30" w:name="_Toc18988"/>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bookmarkEnd w:id="30"/>
    </w:p>
    <w:p>
      <w:pPr>
        <w:spacing w:line="600" w:lineRule="exact"/>
        <w:ind w:firstLine="640" w:firstLineChars="200"/>
        <w:outlineLvl w:val="9"/>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32133.64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99.31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32034.33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99.69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420" w:firstLineChars="200"/>
        <w:jc w:val="center"/>
        <w:rPr>
          <w:rFonts w:ascii="仿宋_GB2312" w:eastAsia="仿宋_GB2312"/>
          <w:color w:val="auto"/>
          <w:sz w:val="32"/>
          <w:szCs w:val="32"/>
          <w:highlight w:val="none"/>
        </w:rPr>
      </w:pPr>
      <w:r>
        <w:drawing>
          <wp:anchor distT="0" distB="0" distL="114300" distR="114300" simplePos="0" relativeHeight="251662336" behindDoc="0" locked="0" layoutInCell="1" allowOverlap="1">
            <wp:simplePos x="0" y="0"/>
            <wp:positionH relativeFrom="column">
              <wp:posOffset>368935</wp:posOffset>
            </wp:positionH>
            <wp:positionV relativeFrom="paragraph">
              <wp:posOffset>148590</wp:posOffset>
            </wp:positionV>
            <wp:extent cx="4572000" cy="2743200"/>
            <wp:effectExtent l="4445" t="4445" r="8255" b="82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9"/>
          <w:rFonts w:ascii="黑体" w:hAnsi="黑体" w:eastAsia="黑体"/>
          <w:b w:val="0"/>
          <w:color w:val="auto"/>
          <w:highlight w:val="none"/>
        </w:rPr>
      </w:pPr>
      <w:bookmarkStart w:id="31" w:name="_Toc15396606"/>
      <w:bookmarkStart w:id="32" w:name="_Toc15377208"/>
      <w:bookmarkStart w:id="33" w:name="_Toc2761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1"/>
      <w:bookmarkEnd w:id="32"/>
      <w:bookmarkEnd w:id="33"/>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32133.64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drawing>
          <wp:anchor distT="0" distB="0" distL="114300" distR="114300" simplePos="0" relativeHeight="251663360" behindDoc="0" locked="0" layoutInCell="1" allowOverlap="1">
            <wp:simplePos x="0" y="0"/>
            <wp:positionH relativeFrom="column">
              <wp:posOffset>394970</wp:posOffset>
            </wp:positionH>
            <wp:positionV relativeFrom="paragraph">
              <wp:posOffset>1024890</wp:posOffset>
            </wp:positionV>
            <wp:extent cx="4572000" cy="2743200"/>
            <wp:effectExtent l="4445" t="4445" r="8255" b="825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收、支总计各增加</w:t>
      </w:r>
      <w:r>
        <w:rPr>
          <w:rFonts w:hint="eastAsia" w:ascii="仿宋" w:hAnsi="仿宋" w:eastAsia="仿宋"/>
          <w:color w:val="auto"/>
          <w:sz w:val="32"/>
          <w:szCs w:val="32"/>
          <w:highlight w:val="none"/>
          <w:lang w:val="en-US" w:eastAsia="zh-CN"/>
        </w:rPr>
        <w:t>2104.05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。主要变动原因是铁路专债项目资金</w:t>
      </w:r>
      <w:r>
        <w:rPr>
          <w:rFonts w:hint="eastAsia" w:ascii="仿宋" w:hAnsi="仿宋" w:eastAsia="仿宋"/>
          <w:color w:val="auto"/>
          <w:sz w:val="32"/>
          <w:szCs w:val="32"/>
          <w:highlight w:val="none"/>
          <w:lang w:eastAsia="zh-CN"/>
        </w:rPr>
        <w:t>增加。</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9"/>
          <w:rFonts w:ascii="黑体" w:hAnsi="黑体" w:eastAsia="黑体"/>
          <w:b w:val="0"/>
          <w:color w:val="auto"/>
          <w:highlight w:val="none"/>
        </w:rPr>
      </w:pPr>
      <w:bookmarkStart w:id="34" w:name="_Toc15377209"/>
      <w:bookmarkStart w:id="35" w:name="_Toc18421"/>
      <w:bookmarkStart w:id="3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4"/>
      <w:bookmarkEnd w:id="35"/>
      <w:bookmarkEnd w:id="36"/>
    </w:p>
    <w:p>
      <w:pPr>
        <w:spacing w:line="600" w:lineRule="exact"/>
        <w:ind w:firstLine="643" w:firstLineChars="200"/>
        <w:outlineLvl w:val="9"/>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pPr>
        <w:spacing w:line="600" w:lineRule="exact"/>
        <w:ind w:firstLine="640" w:firstLineChars="20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153.64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0.48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315.95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205.64%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减少了</w:t>
      </w:r>
      <w:r>
        <w:rPr>
          <w:rFonts w:hint="eastAsia" w:ascii="仿宋" w:hAnsi="仿宋" w:eastAsia="仿宋"/>
          <w:color w:val="auto"/>
          <w:sz w:val="32"/>
          <w:szCs w:val="32"/>
          <w:highlight w:val="none"/>
          <w:lang w:val="en-US" w:eastAsia="zh-CN"/>
        </w:rPr>
        <w:t>川矿补助经</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jc w:val="center"/>
        <w:rPr>
          <w:rFonts w:hint="eastAsia"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206375</wp:posOffset>
            </wp:positionH>
            <wp:positionV relativeFrom="paragraph">
              <wp:posOffset>374015</wp:posOffset>
            </wp:positionV>
            <wp:extent cx="4572000" cy="2743200"/>
            <wp:effectExtent l="4445" t="4445" r="8255" b="825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（图5：一般公共预算财政拨款支出决算变动情况）</w: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（柱状图）</w:t>
      </w:r>
    </w:p>
    <w:p>
      <w:pPr>
        <w:spacing w:line="600" w:lineRule="exact"/>
        <w:ind w:firstLine="643" w:firstLineChars="200"/>
        <w:outlineLvl w:val="9"/>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pPr>
        <w:spacing w:line="600" w:lineRule="exact"/>
        <w:ind w:firstLine="640"/>
        <w:rPr>
          <w:rFonts w:hint="eastAsia"/>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153.64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一般公共服务支出</w:t>
      </w:r>
      <w:r>
        <w:rPr>
          <w:rFonts w:hint="eastAsia" w:ascii="仿宋" w:hAnsi="仿宋" w:eastAsia="仿宋"/>
          <w:b w:val="0"/>
          <w:bCs/>
          <w:color w:val="auto"/>
          <w:sz w:val="32"/>
          <w:szCs w:val="32"/>
          <w:highlight w:val="none"/>
          <w:lang w:val="en-US" w:eastAsia="zh-CN"/>
        </w:rPr>
        <w:t>109.37</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71.19</w:t>
      </w:r>
      <w:r>
        <w:rPr>
          <w:rFonts w:hint="eastAsia" w:ascii="仿宋" w:hAnsi="仿宋" w:eastAsia="仿宋"/>
          <w:b w:val="0"/>
          <w:bCs/>
          <w:color w:val="auto"/>
          <w:sz w:val="32"/>
          <w:szCs w:val="32"/>
          <w:highlight w:val="none"/>
        </w:rPr>
        <w:t>%；文化旅游体育与传媒支出</w:t>
      </w:r>
      <w:r>
        <w:rPr>
          <w:rFonts w:hint="eastAsia" w:ascii="仿宋" w:hAnsi="仿宋" w:eastAsia="仿宋"/>
          <w:b w:val="0"/>
          <w:bCs/>
          <w:color w:val="auto"/>
          <w:sz w:val="32"/>
          <w:szCs w:val="32"/>
          <w:highlight w:val="none"/>
          <w:lang w:val="en-US" w:eastAsia="zh-CN"/>
        </w:rPr>
        <w:t>30.43</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19.81</w:t>
      </w:r>
      <w:r>
        <w:rPr>
          <w:rFonts w:hint="eastAsia" w:ascii="仿宋" w:hAnsi="仿宋" w:eastAsia="仿宋"/>
          <w:b w:val="0"/>
          <w:bCs/>
          <w:color w:val="auto"/>
          <w:sz w:val="32"/>
          <w:szCs w:val="32"/>
          <w:highlight w:val="none"/>
        </w:rPr>
        <w:t>%；社会保障和就业支出</w:t>
      </w:r>
      <w:r>
        <w:rPr>
          <w:rFonts w:hint="eastAsia" w:ascii="仿宋" w:hAnsi="仿宋" w:eastAsia="仿宋"/>
          <w:b w:val="0"/>
          <w:bCs/>
          <w:color w:val="auto"/>
          <w:sz w:val="32"/>
          <w:szCs w:val="32"/>
          <w:highlight w:val="none"/>
          <w:lang w:val="en-US" w:eastAsia="zh-CN"/>
        </w:rPr>
        <w:t>5.83</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3.79</w:t>
      </w:r>
      <w:r>
        <w:rPr>
          <w:rFonts w:hint="eastAsia" w:ascii="仿宋" w:hAnsi="仿宋" w:eastAsia="仿宋"/>
          <w:b w:val="0"/>
          <w:bCs/>
          <w:color w:val="auto"/>
          <w:sz w:val="32"/>
          <w:szCs w:val="32"/>
          <w:highlight w:val="none"/>
        </w:rPr>
        <w:t>%；卫生健康支出</w:t>
      </w:r>
      <w:r>
        <w:rPr>
          <w:rFonts w:hint="eastAsia" w:ascii="仿宋" w:hAnsi="仿宋" w:eastAsia="仿宋"/>
          <w:b w:val="0"/>
          <w:bCs/>
          <w:color w:val="auto"/>
          <w:sz w:val="32"/>
          <w:szCs w:val="32"/>
          <w:highlight w:val="none"/>
          <w:lang w:val="en-US" w:eastAsia="zh-CN"/>
        </w:rPr>
        <w:t>3.42</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2.23</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val="en-US" w:eastAsia="zh-CN"/>
        </w:rPr>
        <w:t>4.59</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2.99</w:t>
      </w:r>
      <w:r>
        <w:rPr>
          <w:rFonts w:hint="eastAsia" w:ascii="仿宋" w:hAnsi="仿宋" w:eastAsia="仿宋"/>
          <w:b w:val="0"/>
          <w:bCs/>
          <w:color w:val="auto"/>
          <w:sz w:val="32"/>
          <w:szCs w:val="32"/>
          <w:highlight w:val="none"/>
        </w:rPr>
        <w:t>%。</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7456" behindDoc="0" locked="0" layoutInCell="1" allowOverlap="1">
            <wp:simplePos x="0" y="0"/>
            <wp:positionH relativeFrom="column">
              <wp:posOffset>539115</wp:posOffset>
            </wp:positionH>
            <wp:positionV relativeFrom="paragraph">
              <wp:posOffset>73025</wp:posOffset>
            </wp:positionV>
            <wp:extent cx="4572000" cy="2743200"/>
            <wp:effectExtent l="4445" t="4445" r="8255" b="825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9"/>
        <w:rPr>
          <w:rFonts w:ascii="仿宋" w:hAnsi="仿宋" w:eastAsia="仿宋"/>
          <w:b/>
          <w:color w:val="auto"/>
          <w:sz w:val="32"/>
          <w:szCs w:val="32"/>
          <w:highlight w:val="none"/>
        </w:rPr>
      </w:pPr>
      <w:bookmarkStart w:id="39" w:name="_Toc15377212"/>
      <w:r>
        <w:rPr>
          <w:rFonts w:hint="eastAsia" w:ascii="仿宋" w:hAnsi="仿宋" w:eastAsia="仿宋"/>
          <w:b/>
          <w:color w:val="auto"/>
          <w:sz w:val="32"/>
          <w:szCs w:val="32"/>
          <w:highlight w:val="none"/>
        </w:rPr>
        <w:t>（三）一般公共预算财政拨款支出决算具体情况</w:t>
      </w:r>
      <w:bookmarkEnd w:id="39"/>
    </w:p>
    <w:p>
      <w:pPr>
        <w:spacing w:line="600" w:lineRule="exact"/>
        <w:ind w:firstLine="643" w:firstLineChars="200"/>
        <w:outlineLvl w:val="9"/>
        <w:rPr>
          <w:rFonts w:ascii="仿宋" w:hAnsi="仿宋" w:eastAsia="仿宋"/>
          <w:color w:val="auto"/>
          <w:sz w:val="32"/>
          <w:szCs w:val="32"/>
          <w:highlight w:val="none"/>
        </w:rPr>
      </w:pPr>
      <w:bookmarkStart w:id="40" w:name="_Toc15377213"/>
      <w:bookmarkStart w:id="41" w:name="_Toc15377444"/>
      <w:bookmarkStart w:id="42"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153.64万元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0"/>
      <w:bookmarkEnd w:id="41"/>
      <w:bookmarkEnd w:id="42"/>
    </w:p>
    <w:p>
      <w:p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政府办公厅（室）及相关机构事务</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事业运行</w:t>
      </w:r>
      <w:r>
        <w:rPr>
          <w:rStyle w:val="17"/>
          <w:rFonts w:hint="eastAsia" w:ascii="仿宋" w:hAnsi="仿宋" w:eastAsia="仿宋"/>
          <w:bCs/>
          <w:color w:val="auto"/>
          <w:sz w:val="32"/>
          <w:szCs w:val="32"/>
          <w:highlight w:val="none"/>
          <w:lang w:val="en-US" w:eastAsia="zh-CN"/>
        </w:rPr>
        <w:t>50</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75.49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政府办公厅（室）及相关机构事务</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（款）</w:t>
      </w:r>
      <w:r>
        <w:rPr>
          <w:rStyle w:val="17"/>
          <w:rFonts w:hint="eastAsia" w:ascii="仿宋" w:hAnsi="仿宋" w:eastAsia="仿宋" w:cstheme="minorBidi"/>
          <w:bCs/>
          <w:color w:val="auto"/>
          <w:sz w:val="32"/>
          <w:szCs w:val="32"/>
          <w:highlight w:val="none"/>
          <w:lang w:eastAsia="zh-CN"/>
        </w:rPr>
        <w:t>其他政府</w:t>
      </w:r>
      <w:r>
        <w:rPr>
          <w:rStyle w:val="17"/>
          <w:rFonts w:hint="eastAsia" w:ascii="仿宋" w:hAnsi="仿宋" w:eastAsia="仿宋"/>
          <w:bCs/>
          <w:color w:val="auto"/>
          <w:sz w:val="32"/>
          <w:szCs w:val="32"/>
          <w:highlight w:val="none"/>
          <w:lang w:eastAsia="zh-CN"/>
        </w:rPr>
        <w:t>办公厅（室）及相关机构事务支出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33.88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hint="eastAsia" w:ascii="仿宋" w:hAnsi="仿宋" w:eastAsia="仿宋"/>
          <w:b/>
          <w:color w:val="auto"/>
          <w:sz w:val="32"/>
          <w:szCs w:val="32"/>
          <w:highlight w:val="none"/>
          <w:lang w:eastAsia="zh-CN"/>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30.43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机关事业单位基本养老保险缴费支出</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pP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0.27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3.42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住房保障支出</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住房改革支出</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4.59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9"/>
          <w:color w:val="auto"/>
          <w:highlight w:val="none"/>
        </w:rPr>
      </w:pPr>
      <w:bookmarkStart w:id="43" w:name="_Toc15396608"/>
      <w:bookmarkStart w:id="44" w:name="_Toc15377214"/>
      <w:bookmarkStart w:id="45" w:name="_Toc1108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3"/>
      <w:bookmarkEnd w:id="44"/>
      <w:bookmarkEnd w:id="45"/>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99.31</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82.92</w:t>
      </w:r>
      <w:r>
        <w:rPr>
          <w:rFonts w:hint="eastAsia" w:ascii="仿宋" w:hAnsi="仿宋" w:eastAsia="仿宋"/>
          <w:color w:val="auto"/>
          <w:sz w:val="32"/>
          <w:szCs w:val="32"/>
          <w:highlight w:val="none"/>
        </w:rPr>
        <w:t>万元，主要包括：基本工资、津贴补贴、绩效工资、机关事业单位基本养老保险缴费、职工基本医疗保险缴费、公务员医疗补助缴费、其他社会保障缴费、住房公积金。</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16.39</w:t>
      </w:r>
      <w:r>
        <w:rPr>
          <w:rFonts w:hint="eastAsia" w:ascii="仿宋" w:hAnsi="仿宋" w:eastAsia="仿宋"/>
          <w:color w:val="auto"/>
          <w:sz w:val="32"/>
          <w:szCs w:val="32"/>
          <w:highlight w:val="none"/>
        </w:rPr>
        <w:t>万元，主要包括：办公费、印刷费、手续费、水费、电费、邮电费、物业管理费、差旅费、维修（护）费、会议费、培训费、公务接待费、工会经费、福利费、公务用车运行维护费、其他商品和服务支出。</w:t>
      </w:r>
    </w:p>
    <w:p>
      <w:pPr>
        <w:spacing w:line="600" w:lineRule="exact"/>
        <w:ind w:firstLine="640"/>
        <w:outlineLvl w:val="1"/>
        <w:rPr>
          <w:rStyle w:val="29"/>
          <w:rFonts w:ascii="黑体" w:hAnsi="黑体" w:eastAsia="黑体"/>
          <w:b w:val="0"/>
          <w:color w:val="auto"/>
          <w:highlight w:val="none"/>
        </w:rPr>
      </w:pPr>
      <w:bookmarkStart w:id="46" w:name="_Toc15396609"/>
      <w:bookmarkStart w:id="47" w:name="_Toc15377215"/>
      <w:bookmarkStart w:id="48" w:name="_Toc10502"/>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46"/>
      <w:bookmarkEnd w:id="47"/>
      <w:bookmarkEnd w:id="48"/>
    </w:p>
    <w:p>
      <w:pPr>
        <w:spacing w:line="600" w:lineRule="exact"/>
        <w:ind w:firstLine="640"/>
        <w:outlineLvl w:val="9"/>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10.78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99.81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0.1万元，增长0.93%。</w:t>
      </w:r>
    </w:p>
    <w:p>
      <w:pPr>
        <w:spacing w:line="600" w:lineRule="exact"/>
        <w:ind w:firstLine="640"/>
        <w:outlineLvl w:val="9"/>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9.98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92.58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323850</wp:posOffset>
            </wp:positionH>
            <wp:positionV relativeFrom="paragraph">
              <wp:posOffset>99060</wp:posOffset>
            </wp:positionV>
            <wp:extent cx="4572000" cy="2743200"/>
            <wp:effectExtent l="4445" t="4445" r="8255" b="825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9.78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正常支出使用波动</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9.78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重点工程日常督查</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成达万高铁开工建设，联系工作增加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重点工程</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要对接成达万高铁工作开展和川矿协调工作。</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1" w:name="_Toc15396610"/>
      <w:bookmarkStart w:id="52" w:name="_Toc15377218"/>
    </w:p>
    <w:p>
      <w:pPr>
        <w:spacing w:line="600" w:lineRule="exact"/>
        <w:ind w:firstLine="640"/>
        <w:outlineLvl w:val="1"/>
        <w:rPr>
          <w:rStyle w:val="29"/>
          <w:rFonts w:ascii="黑体" w:hAnsi="黑体" w:eastAsia="黑体"/>
          <w:color w:val="auto"/>
          <w:highlight w:val="none"/>
        </w:rPr>
      </w:pPr>
      <w:bookmarkStart w:id="53" w:name="_Toc19789"/>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1"/>
      <w:bookmarkEnd w:id="52"/>
      <w:bookmarkEnd w:id="5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31980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9"/>
          <w:rFonts w:ascii="黑体" w:hAnsi="黑体" w:eastAsia="黑体"/>
          <w:b w:val="0"/>
          <w:color w:val="auto"/>
          <w:highlight w:val="none"/>
        </w:rPr>
      </w:pPr>
      <w:bookmarkStart w:id="54" w:name="_Toc15377219"/>
      <w:bookmarkStart w:id="55" w:name="_Toc15396611"/>
      <w:bookmarkStart w:id="56" w:name="_Toc2562"/>
      <w:r>
        <w:rPr>
          <w:rStyle w:val="29"/>
          <w:rFonts w:hint="eastAsia" w:ascii="黑体" w:hAnsi="黑体" w:eastAsia="黑体"/>
          <w:b w:val="0"/>
          <w:color w:val="auto"/>
          <w:highlight w:val="none"/>
        </w:rPr>
        <w:t>国有资本经营预算支出决算情况说明</w:t>
      </w:r>
      <w:bookmarkEnd w:id="54"/>
      <w:bookmarkEnd w:id="55"/>
      <w:bookmarkEnd w:id="56"/>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9"/>
          <w:rFonts w:hint="eastAsia" w:ascii="黑体" w:hAnsi="黑体" w:eastAsia="黑体"/>
          <w:b w:val="0"/>
          <w:color w:val="auto"/>
          <w:highlight w:val="none"/>
        </w:rPr>
      </w:pPr>
      <w:bookmarkStart w:id="57" w:name="_Toc15396612"/>
      <w:bookmarkStart w:id="58" w:name="_Toc15377221"/>
      <w:bookmarkStart w:id="59" w:name="_Toc4471"/>
      <w:r>
        <w:rPr>
          <w:rStyle w:val="29"/>
          <w:rFonts w:hint="eastAsia" w:ascii="黑体" w:hAnsi="黑体" w:eastAsia="黑体"/>
          <w:b w:val="0"/>
          <w:color w:val="auto"/>
          <w:highlight w:val="none"/>
        </w:rPr>
        <w:t>其他重要事项的情况说明</w:t>
      </w:r>
      <w:bookmarkEnd w:id="57"/>
      <w:bookmarkEnd w:id="58"/>
      <w:bookmarkEnd w:id="59"/>
    </w:p>
    <w:p>
      <w:pPr>
        <w:spacing w:line="600" w:lineRule="exact"/>
        <w:ind w:firstLine="643" w:firstLineChars="200"/>
        <w:outlineLvl w:val="9"/>
        <w:rPr>
          <w:rFonts w:ascii="仿宋" w:hAnsi="仿宋" w:eastAsia="仿宋"/>
          <w:color w:val="auto"/>
          <w:sz w:val="32"/>
          <w:szCs w:val="32"/>
          <w:highlight w:val="none"/>
        </w:rPr>
      </w:pPr>
      <w:bookmarkStart w:id="60" w:name="_Toc15377222"/>
      <w:r>
        <w:rPr>
          <w:rFonts w:hint="eastAsia" w:ascii="仿宋" w:hAnsi="仿宋" w:eastAsia="仿宋"/>
          <w:b/>
          <w:color w:val="auto"/>
          <w:sz w:val="32"/>
          <w:szCs w:val="32"/>
          <w:highlight w:val="none"/>
        </w:rPr>
        <w:t>（一）机关运行经费支出情况</w:t>
      </w:r>
      <w:bookmarkEnd w:id="60"/>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color w:val="000000"/>
          <w:sz w:val="32"/>
          <w:szCs w:val="32"/>
        </w:rPr>
        <w:t>区重点办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bookmarkStart w:id="61" w:name="_Toc15377223"/>
      <w:r>
        <w:rPr>
          <w:rFonts w:hint="eastAsia" w:ascii="仿宋" w:hAnsi="仿宋" w:eastAsia="仿宋"/>
          <w:b/>
          <w:color w:val="auto"/>
          <w:sz w:val="32"/>
          <w:szCs w:val="32"/>
          <w:highlight w:val="none"/>
        </w:rPr>
        <w:t>（二）政府采购支出情况</w:t>
      </w:r>
      <w:bookmarkEnd w:id="6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color w:val="000000"/>
          <w:sz w:val="32"/>
          <w:szCs w:val="32"/>
        </w:rPr>
        <w:t>区重点办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rPr>
        <w:t>区重点办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lang w:eastAsia="zh-CN"/>
        </w:rPr>
        <w:t>日常重点工程现场督查、铁路工作和川矿协调事项等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重点工程和铁路建设办公室</w:t>
      </w:r>
      <w:r>
        <w:rPr>
          <w:rFonts w:hint="eastAsia" w:ascii="仿宋_GB2312" w:hAnsi="仿宋_GB2312" w:eastAsia="仿宋_GB2312" w:cs="仿宋_GB2312"/>
          <w:color w:val="auto"/>
          <w:sz w:val="32"/>
          <w:szCs w:val="32"/>
          <w:highlight w:val="none"/>
        </w:rPr>
        <w:t>部门整体（含部门预算项目）绩效自评报告。绩效自评报告详见附件。</w:t>
      </w:r>
    </w:p>
    <w:p>
      <w:pPr>
        <w:widowControl/>
        <w:jc w:val="left"/>
        <w:rPr>
          <w:rFonts w:ascii="仿宋_GB2312" w:eastAsia="仿宋_GB2312"/>
          <w:b/>
          <w:color w:val="auto"/>
          <w:sz w:val="32"/>
          <w:szCs w:val="32"/>
          <w:highlight w:val="none"/>
        </w:rPr>
      </w:pPr>
    </w:p>
    <w:p>
      <w:pPr>
        <w:pStyle w:val="26"/>
        <w:spacing w:line="560" w:lineRule="exact"/>
        <w:ind w:firstLine="880" w:firstLineChars="200"/>
        <w:jc w:val="center"/>
        <w:outlineLvl w:val="0"/>
        <w:rPr>
          <w:rStyle w:val="28"/>
          <w:rFonts w:hint="eastAsia" w:ascii="黑体" w:hAnsi="黑体" w:eastAsia="黑体"/>
          <w:b w:val="0"/>
          <w:color w:val="auto"/>
          <w:highlight w:val="none"/>
          <w:lang w:eastAsia="zh-CN"/>
        </w:rPr>
      </w:pPr>
      <w:bookmarkStart w:id="63" w:name="_Toc15396614"/>
      <w:bookmarkStart w:id="64" w:name="_Toc21449"/>
      <w:bookmarkStart w:id="65" w:name="_Toc15377226"/>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63"/>
      <w:bookmarkEnd w:id="64"/>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年省级部门整体绩效评价报告</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（一）机构组成。（简要介绍）</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仿宋" w:hAnsi="仿宋" w:eastAsia="仿宋"/>
          <w:sz w:val="32"/>
          <w:szCs w:val="32"/>
        </w:rPr>
        <w:t>遂宁市安居区重点工程和铁路建设办公室，作为区发改局管理的事业单位。设立综合股、重点工程和铁路建设股</w:t>
      </w:r>
      <w:r>
        <w:rPr>
          <w:rFonts w:ascii="仿宋" w:hAnsi="仿宋" w:eastAsia="仿宋"/>
          <w:sz w:val="32"/>
          <w:szCs w:val="32"/>
        </w:rPr>
        <w:t>2</w:t>
      </w:r>
      <w:r>
        <w:rPr>
          <w:rFonts w:hint="eastAsia" w:ascii="仿宋" w:hAnsi="仿宋" w:eastAsia="仿宋"/>
          <w:sz w:val="32"/>
          <w:szCs w:val="32"/>
        </w:rPr>
        <w:t>个股室。</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（二）机构职能和人员概况。（简要介绍）</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1</w:t>
      </w:r>
      <w:r>
        <w:rPr>
          <w:rFonts w:hint="eastAsia" w:ascii="仿宋_GB2312" w:eastAsia="仿宋_GB2312"/>
          <w:color w:val="auto"/>
          <w:sz w:val="32"/>
          <w:szCs w:val="32"/>
          <w:highlight w:val="none"/>
        </w:rPr>
        <w:t>、贯彻执行国家关于重点建设和铁路建设的有关法律、法规及相关政策，研究涉及重点工程、铁路建设及拆迁建设方面的重大问题和管理方法，起草相关的规范性文件，综合管理全区重点工程、铁路建设工作，对工程项目建设全过程履行协调、检查、监督、服务、考核职能。</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2</w:t>
      </w:r>
      <w:r>
        <w:rPr>
          <w:rFonts w:hint="eastAsia" w:ascii="仿宋_GB2312" w:eastAsia="仿宋_GB2312"/>
          <w:color w:val="auto"/>
          <w:sz w:val="32"/>
          <w:szCs w:val="32"/>
          <w:highlight w:val="none"/>
        </w:rPr>
        <w:t>、负责区重点工程建设领导小组的日常工作。对区委、区政府有关重点工程、铁路建设决定事项的检查督促落实，直接参与国家、省、市在区境内的重点工程项目建设所涉工作。</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3</w:t>
      </w:r>
      <w:r>
        <w:rPr>
          <w:rFonts w:hint="eastAsia" w:ascii="仿宋_GB2312" w:eastAsia="仿宋_GB2312"/>
          <w:color w:val="auto"/>
          <w:sz w:val="32"/>
          <w:szCs w:val="32"/>
          <w:highlight w:val="none"/>
        </w:rPr>
        <w:t>、参与区重点工程建设项目的组织协调工作。负责重点工作建设项目建设进度、工程质量、投资预算、工程竣工验收等建设活动的指导、检查、总结和考核。</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4</w:t>
      </w:r>
      <w:r>
        <w:rPr>
          <w:rFonts w:hint="eastAsia" w:ascii="仿宋_GB2312" w:eastAsia="仿宋_GB2312"/>
          <w:color w:val="auto"/>
          <w:sz w:val="32"/>
          <w:szCs w:val="32"/>
          <w:highlight w:val="none"/>
        </w:rPr>
        <w:t>、组织重点工程、铁路建设的实施，协调处理各建设项目在资金筹集、征地拆迁、安全生产和质量、工程造价等方面的有关问题。</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5</w:t>
      </w:r>
      <w:r>
        <w:rPr>
          <w:rFonts w:hint="eastAsia" w:ascii="仿宋_GB2312" w:eastAsia="仿宋_GB2312"/>
          <w:color w:val="auto"/>
          <w:sz w:val="32"/>
          <w:szCs w:val="32"/>
          <w:highlight w:val="none"/>
        </w:rPr>
        <w:t>、提出年度重点工程建设项目建议名单，编制年度实施计划；审查重点工程建设项目业主管理项目的资格和能力；参与重点建设项目的初步设计、工程概预算调整、审计稽查和竣工验收；参与重点建设项目招标投标全过程监督；监督重点建设项目通过施工图设计文件审查。</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6</w:t>
      </w:r>
      <w:r>
        <w:rPr>
          <w:rFonts w:hint="eastAsia" w:ascii="仿宋_GB2312" w:eastAsia="仿宋_GB2312"/>
          <w:color w:val="auto"/>
          <w:sz w:val="32"/>
          <w:szCs w:val="32"/>
          <w:highlight w:val="none"/>
        </w:rPr>
        <w:t>、跟踪重点工程建设项目实施情况，收集反馈信息，定期、不定期报告重点工程建设项目计划执行情况，分析趋势，提出建议。</w:t>
      </w:r>
    </w:p>
    <w:p>
      <w:pPr>
        <w:spacing w:line="600" w:lineRule="exact"/>
        <w:ind w:firstLine="640"/>
        <w:rPr>
          <w:rFonts w:hint="eastAsia" w:ascii="仿宋_GB2312" w:eastAsia="仿宋_GB2312"/>
          <w:color w:val="auto"/>
          <w:sz w:val="32"/>
          <w:szCs w:val="32"/>
          <w:highlight w:val="none"/>
          <w:lang w:val="zh-CN"/>
        </w:rPr>
      </w:pPr>
      <w:r>
        <w:rPr>
          <w:rFonts w:hint="default" w:ascii="仿宋_GB2312" w:eastAsia="仿宋_GB2312"/>
          <w:color w:val="auto"/>
          <w:sz w:val="32"/>
          <w:szCs w:val="32"/>
          <w:highlight w:val="none"/>
        </w:rPr>
        <w:t>7</w:t>
      </w:r>
      <w:r>
        <w:rPr>
          <w:rFonts w:hint="eastAsia" w:ascii="仿宋_GB2312" w:eastAsia="仿宋_GB2312"/>
          <w:color w:val="auto"/>
          <w:sz w:val="32"/>
          <w:szCs w:val="32"/>
          <w:highlight w:val="none"/>
        </w:rPr>
        <w:t>、承办区政府交办的其它事项。</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pPr>
        <w:spacing w:line="600" w:lineRule="exact"/>
        <w:ind w:firstLine="640"/>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rPr>
        <w:t>1.制定出台《安居区202</w:t>
      </w:r>
      <w:r>
        <w:rPr>
          <w:rFonts w:hint="default"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rPr>
        <w:t>年重点工程投资计划表》《安居区202</w:t>
      </w:r>
      <w:r>
        <w:rPr>
          <w:rFonts w:hint="default"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rPr>
        <w:t>年重点工程倒排工期表》</w:t>
      </w:r>
      <w:r>
        <w:rPr>
          <w:rFonts w:hint="default" w:ascii="仿宋_GB2312" w:eastAsia="仿宋_GB2312"/>
          <w:color w:val="auto"/>
          <w:sz w:val="32"/>
          <w:szCs w:val="32"/>
          <w:highlight w:val="none"/>
          <w:lang w:eastAsia="zh-CN"/>
        </w:rPr>
        <w:t>《</w:t>
      </w:r>
      <w:r>
        <w:rPr>
          <w:rFonts w:hint="default" w:ascii="仿宋_GB2312" w:eastAsia="仿宋_GB2312"/>
          <w:color w:val="auto"/>
          <w:sz w:val="32"/>
          <w:szCs w:val="32"/>
          <w:highlight w:val="none"/>
          <w:lang w:val="en-US" w:eastAsia="zh-CN"/>
        </w:rPr>
        <w:t>遂宁市安居区2022年重点工程建设项目考核办法》</w:t>
      </w:r>
      <w:r>
        <w:rPr>
          <w:rFonts w:hint="default" w:ascii="仿宋_GB2312" w:eastAsia="仿宋_GB2312"/>
          <w:color w:val="auto"/>
          <w:sz w:val="32"/>
          <w:szCs w:val="32"/>
          <w:highlight w:val="none"/>
        </w:rPr>
        <w:t>，坚持</w:t>
      </w:r>
      <w:r>
        <w:rPr>
          <w:rFonts w:hint="default" w:ascii="仿宋_GB2312" w:eastAsia="仿宋_GB2312"/>
          <w:color w:val="auto"/>
          <w:sz w:val="32"/>
          <w:szCs w:val="32"/>
          <w:highlight w:val="none"/>
          <w:lang w:eastAsia="zh-CN"/>
        </w:rPr>
        <w:t>目标导向、</w:t>
      </w:r>
      <w:r>
        <w:rPr>
          <w:rFonts w:hint="default" w:ascii="仿宋_GB2312" w:eastAsia="仿宋_GB2312"/>
          <w:color w:val="auto"/>
          <w:sz w:val="32"/>
          <w:szCs w:val="32"/>
          <w:highlight w:val="none"/>
        </w:rPr>
        <w:t>问题导向</w:t>
      </w:r>
      <w:r>
        <w:rPr>
          <w:rFonts w:hint="default" w:ascii="仿宋_GB2312" w:eastAsia="仿宋_GB2312"/>
          <w:color w:val="auto"/>
          <w:sz w:val="32"/>
          <w:szCs w:val="32"/>
          <w:highlight w:val="none"/>
          <w:lang w:eastAsia="zh-CN"/>
        </w:rPr>
        <w:t>、结果导向</w:t>
      </w:r>
      <w:r>
        <w:rPr>
          <w:rFonts w:hint="default" w:ascii="仿宋_GB2312" w:eastAsia="仿宋_GB2312"/>
          <w:color w:val="auto"/>
          <w:sz w:val="32"/>
          <w:szCs w:val="32"/>
          <w:highlight w:val="none"/>
        </w:rPr>
        <w:t>，</w:t>
      </w:r>
      <w:r>
        <w:rPr>
          <w:rFonts w:hint="default" w:ascii="仿宋_GB2312" w:eastAsia="仿宋_GB2312"/>
          <w:color w:val="auto"/>
          <w:sz w:val="32"/>
          <w:szCs w:val="32"/>
          <w:highlight w:val="none"/>
          <w:lang w:eastAsia="zh-CN"/>
        </w:rPr>
        <w:t>突出重点、明确责任，</w:t>
      </w:r>
      <w:r>
        <w:rPr>
          <w:rFonts w:hint="default" w:ascii="仿宋_GB2312" w:eastAsia="仿宋_GB2312"/>
          <w:color w:val="auto"/>
          <w:sz w:val="32"/>
          <w:szCs w:val="32"/>
          <w:highlight w:val="none"/>
        </w:rPr>
        <w:t>保障202</w:t>
      </w:r>
      <w:r>
        <w:rPr>
          <w:rFonts w:hint="default"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rPr>
        <w:t>年重点工程建设任务顺利完成。</w:t>
      </w:r>
      <w:r>
        <w:rPr>
          <w:rFonts w:hint="default" w:ascii="仿宋_GB2312" w:eastAsia="仿宋_GB2312"/>
          <w:color w:val="auto"/>
          <w:sz w:val="32"/>
          <w:szCs w:val="32"/>
          <w:highlight w:val="none"/>
          <w:lang w:val="en-US" w:eastAsia="zh-CN"/>
        </w:rPr>
        <w:t>2022年重点工程建设项目共116个，总投资1195.5亿元，年度计划投资181.6亿元。其中2021年转结至2022年的续建项目40个，新建项目76个。</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持续优化</w:t>
      </w:r>
      <w:r>
        <w:rPr>
          <w:rFonts w:hint="default" w:ascii="仿宋_GB2312" w:eastAsia="仿宋_GB2312"/>
          <w:color w:val="auto"/>
          <w:sz w:val="32"/>
          <w:szCs w:val="32"/>
          <w:highlight w:val="none"/>
        </w:rPr>
        <w:t>项目推进机制。</w:t>
      </w:r>
      <w:r>
        <w:rPr>
          <w:rFonts w:hint="default" w:ascii="仿宋_GB2312" w:eastAsia="仿宋_GB2312"/>
          <w:color w:val="auto"/>
          <w:sz w:val="32"/>
          <w:szCs w:val="32"/>
          <w:highlight w:val="none"/>
          <w:lang w:val="en-US" w:eastAsia="zh-CN"/>
        </w:rPr>
        <w:t>坚持“项目攻坚工作群”晾晒、“红黑榜”公示、“四级调度”及“发点球”等制度；在“五个一”（一个项目、一名联系领导、一个工作班子、一个项目秘书、一套推进机制）工作机制的基础上，进一步深化完善为“七个一”（一个项目、一个联系领导、一个工作班子、一个项目秘书、一套推进机制、一张倒排工期表、一揽子抓到底）工作机制；建立健全项目推进“首问负责制”“限时办结制”“责任追究制”三大机制，助推全区重点项目高质高效推进。</w:t>
      </w:r>
    </w:p>
    <w:p>
      <w:pPr>
        <w:spacing w:line="600" w:lineRule="exact"/>
        <w:ind w:firstLine="640"/>
        <w:rPr>
          <w:rFonts w:hint="default" w:ascii="仿宋_GB2312" w:eastAsia="仿宋_GB2312"/>
          <w:color w:val="auto"/>
          <w:sz w:val="32"/>
          <w:szCs w:val="32"/>
          <w:highlight w:val="none"/>
        </w:rPr>
      </w:pPr>
      <w:r>
        <w:rPr>
          <w:rFonts w:hint="default" w:ascii="仿宋_GB2312" w:eastAsia="仿宋_GB2312"/>
          <w:color w:val="auto"/>
          <w:sz w:val="32"/>
          <w:szCs w:val="32"/>
          <w:highlight w:val="none"/>
        </w:rPr>
        <w:t>3.做实重点工程日常监管工作。继续坚持每天深入施工现场，每周总结</w:t>
      </w:r>
      <w:r>
        <w:rPr>
          <w:rFonts w:hint="default" w:ascii="仿宋_GB2312" w:eastAsia="仿宋_GB2312"/>
          <w:color w:val="auto"/>
          <w:sz w:val="32"/>
          <w:szCs w:val="32"/>
          <w:highlight w:val="none"/>
          <w:lang w:val="en-US" w:eastAsia="zh-CN"/>
        </w:rPr>
        <w:t>汇报督查情况</w:t>
      </w:r>
      <w:r>
        <w:rPr>
          <w:rFonts w:hint="default" w:ascii="仿宋_GB2312" w:eastAsia="仿宋_GB2312"/>
          <w:color w:val="auto"/>
          <w:sz w:val="32"/>
          <w:szCs w:val="32"/>
          <w:highlight w:val="none"/>
        </w:rPr>
        <w:t>，每半月进行形象进度对比，每月通报一次建设进度</w:t>
      </w:r>
      <w:r>
        <w:rPr>
          <w:rFonts w:hint="default" w:ascii="仿宋_GB2312" w:eastAsia="仿宋_GB2312"/>
          <w:color w:val="auto"/>
          <w:sz w:val="32"/>
          <w:szCs w:val="32"/>
          <w:highlight w:val="none"/>
          <w:lang w:eastAsia="zh-CN"/>
        </w:rPr>
        <w:t>、</w:t>
      </w:r>
      <w:r>
        <w:rPr>
          <w:rFonts w:hint="default" w:ascii="仿宋_GB2312" w:eastAsia="仿宋_GB2312"/>
          <w:color w:val="auto"/>
          <w:sz w:val="32"/>
          <w:szCs w:val="32"/>
          <w:highlight w:val="none"/>
        </w:rPr>
        <w:t>安全生产情况，每月</w:t>
      </w:r>
      <w:r>
        <w:rPr>
          <w:rFonts w:hint="default" w:ascii="仿宋_GB2312" w:eastAsia="仿宋_GB2312"/>
          <w:color w:val="auto"/>
          <w:sz w:val="32"/>
          <w:szCs w:val="32"/>
          <w:highlight w:val="none"/>
          <w:lang w:val="en-US" w:eastAsia="zh-CN"/>
        </w:rPr>
        <w:t>筹备</w:t>
      </w:r>
      <w:r>
        <w:rPr>
          <w:rFonts w:hint="default" w:ascii="仿宋_GB2312" w:eastAsia="仿宋_GB2312"/>
          <w:color w:val="auto"/>
          <w:sz w:val="32"/>
          <w:szCs w:val="32"/>
          <w:highlight w:val="none"/>
        </w:rPr>
        <w:t>项目办公会、调度会</w:t>
      </w:r>
      <w:r>
        <w:rPr>
          <w:rFonts w:hint="default" w:ascii="仿宋_GB2312" w:eastAsia="仿宋_GB2312"/>
          <w:color w:val="auto"/>
          <w:sz w:val="32"/>
          <w:szCs w:val="32"/>
          <w:highlight w:val="none"/>
          <w:lang w:eastAsia="zh-CN"/>
        </w:rPr>
        <w:t>、</w:t>
      </w:r>
      <w:r>
        <w:rPr>
          <w:rFonts w:hint="default" w:ascii="仿宋_GB2312" w:eastAsia="仿宋_GB2312"/>
          <w:color w:val="auto"/>
          <w:sz w:val="32"/>
          <w:szCs w:val="32"/>
          <w:highlight w:val="none"/>
          <w:lang w:val="en-US" w:eastAsia="zh-CN"/>
        </w:rPr>
        <w:t>推进会</w:t>
      </w:r>
      <w:r>
        <w:rPr>
          <w:rFonts w:hint="default" w:ascii="仿宋_GB2312" w:eastAsia="仿宋_GB2312"/>
          <w:color w:val="auto"/>
          <w:sz w:val="32"/>
          <w:szCs w:val="32"/>
          <w:highlight w:val="none"/>
        </w:rPr>
        <w:t>，</w:t>
      </w:r>
      <w:r>
        <w:rPr>
          <w:rFonts w:hint="default" w:ascii="仿宋_GB2312" w:eastAsia="仿宋_GB2312"/>
          <w:color w:val="auto"/>
          <w:sz w:val="32"/>
          <w:szCs w:val="32"/>
          <w:highlight w:val="none"/>
          <w:lang w:val="en-US" w:eastAsia="zh-CN"/>
        </w:rPr>
        <w:t>每</w:t>
      </w:r>
      <w:r>
        <w:rPr>
          <w:rFonts w:hint="default" w:ascii="仿宋_GB2312" w:eastAsia="仿宋_GB2312"/>
          <w:color w:val="auto"/>
          <w:sz w:val="32"/>
          <w:szCs w:val="32"/>
          <w:highlight w:val="none"/>
        </w:rPr>
        <w:t>半年</w:t>
      </w:r>
      <w:r>
        <w:rPr>
          <w:rFonts w:hint="default" w:ascii="仿宋_GB2312" w:eastAsia="仿宋_GB2312"/>
          <w:color w:val="auto"/>
          <w:sz w:val="32"/>
          <w:szCs w:val="32"/>
          <w:highlight w:val="none"/>
          <w:lang w:val="en-US" w:eastAsia="zh-CN"/>
        </w:rPr>
        <w:t>提请区委常委会审议项目调整建议</w:t>
      </w:r>
      <w:r>
        <w:rPr>
          <w:rFonts w:hint="default" w:ascii="仿宋_GB2312" w:eastAsia="仿宋_GB2312"/>
          <w:color w:val="auto"/>
          <w:sz w:val="32"/>
          <w:szCs w:val="32"/>
          <w:highlight w:val="none"/>
        </w:rPr>
        <w:t>，全年逗硬实施考核。</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default" w:ascii="仿宋_GB2312" w:eastAsia="仿宋_GB2312"/>
          <w:color w:val="auto"/>
          <w:sz w:val="32"/>
          <w:szCs w:val="32"/>
          <w:highlight w:val="none"/>
          <w:lang w:val="en-US" w:eastAsia="zh-CN"/>
        </w:rPr>
        <w:t>.做好</w:t>
      </w:r>
      <w:r>
        <w:rPr>
          <w:rFonts w:hint="default" w:ascii="仿宋_GB2312" w:eastAsia="仿宋_GB2312"/>
          <w:color w:val="auto"/>
          <w:sz w:val="32"/>
          <w:szCs w:val="32"/>
          <w:highlight w:val="none"/>
        </w:rPr>
        <w:t>成达万铁路</w:t>
      </w:r>
      <w:r>
        <w:rPr>
          <w:rFonts w:hint="default" w:ascii="仿宋_GB2312" w:eastAsia="仿宋_GB2312"/>
          <w:color w:val="auto"/>
          <w:sz w:val="32"/>
          <w:szCs w:val="32"/>
          <w:highlight w:val="none"/>
          <w:lang w:val="en-US" w:eastAsia="zh-CN"/>
        </w:rPr>
        <w:t>安居段</w:t>
      </w:r>
      <w:r>
        <w:rPr>
          <w:rFonts w:hint="default" w:ascii="仿宋_GB2312" w:eastAsia="仿宋_GB2312"/>
          <w:color w:val="auto"/>
          <w:sz w:val="32"/>
          <w:szCs w:val="32"/>
          <w:highlight w:val="none"/>
        </w:rPr>
        <w:t>征地拆迁。</w:t>
      </w:r>
      <w:r>
        <w:rPr>
          <w:rFonts w:hint="default" w:ascii="仿宋_GB2312" w:eastAsia="仿宋_GB2312"/>
          <w:color w:val="auto"/>
          <w:sz w:val="32"/>
          <w:szCs w:val="32"/>
          <w:highlight w:val="none"/>
          <w:lang w:val="en-US" w:eastAsia="zh-CN"/>
        </w:rPr>
        <w:t>初步统计，我区</w:t>
      </w:r>
      <w:r>
        <w:rPr>
          <w:rFonts w:hint="default" w:ascii="仿宋_GB2312" w:eastAsia="仿宋_GB2312"/>
          <w:color w:val="auto"/>
          <w:sz w:val="32"/>
          <w:szCs w:val="32"/>
          <w:highlight w:val="none"/>
        </w:rPr>
        <w:t>成达万铁路</w:t>
      </w:r>
      <w:r>
        <w:rPr>
          <w:rFonts w:hint="default" w:ascii="仿宋_GB2312" w:eastAsia="仿宋_GB2312"/>
          <w:color w:val="auto"/>
          <w:sz w:val="32"/>
          <w:szCs w:val="32"/>
          <w:highlight w:val="none"/>
          <w:lang w:val="en-US" w:eastAsia="zh-CN"/>
        </w:rPr>
        <w:t>安居段正线和既有线路征地拆迁里程39.83公里，涉及征拆人数2722人、682户，需征地2588亩，安置人口2422人，拆迁房屋140703平方米，征拆总费用约10.38亿元（费用已纳入专债和财政预算安排）。2022年，重点办将狠抓成达万铁路安居段征地拆迁工作，预计全年完成18公里征地拆迁。</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w:t>
      </w:r>
      <w:r>
        <w:rPr>
          <w:rFonts w:hint="default" w:ascii="仿宋_GB2312" w:eastAsia="仿宋_GB2312"/>
          <w:color w:val="auto"/>
          <w:sz w:val="32"/>
          <w:szCs w:val="32"/>
          <w:highlight w:val="none"/>
        </w:rPr>
        <w:t>根据中、省、市对铁路建设的新要求做好建成铁路运营中的安全稳定工作</w:t>
      </w:r>
      <w:r>
        <w:rPr>
          <w:rFonts w:hint="default" w:ascii="仿宋_GB2312" w:eastAsia="仿宋_GB2312"/>
          <w:color w:val="auto"/>
          <w:sz w:val="32"/>
          <w:szCs w:val="32"/>
          <w:highlight w:val="none"/>
          <w:lang w:eastAsia="zh-CN"/>
        </w:rPr>
        <w:t>，</w:t>
      </w:r>
      <w:r>
        <w:rPr>
          <w:rFonts w:hint="default" w:ascii="仿宋_GB2312" w:eastAsia="仿宋_GB2312"/>
          <w:color w:val="auto"/>
          <w:sz w:val="32"/>
          <w:szCs w:val="32"/>
          <w:highlight w:val="none"/>
          <w:lang w:val="en-US" w:eastAsia="zh-CN"/>
        </w:rPr>
        <w:t>做好日常、重大节日完全巡查</w:t>
      </w:r>
      <w:r>
        <w:rPr>
          <w:rFonts w:hint="default" w:ascii="仿宋_GB2312" w:eastAsia="仿宋_GB2312"/>
          <w:color w:val="auto"/>
          <w:sz w:val="32"/>
          <w:szCs w:val="32"/>
          <w:highlight w:val="none"/>
        </w:rPr>
        <w:t>;加强与省市铁建部门协调，协调推进绵遂内城际铁路建设</w:t>
      </w:r>
      <w:r>
        <w:rPr>
          <w:rFonts w:hint="default" w:ascii="仿宋_GB2312" w:eastAsia="仿宋_GB2312"/>
          <w:color w:val="auto"/>
          <w:sz w:val="32"/>
          <w:szCs w:val="32"/>
          <w:highlight w:val="none"/>
          <w:lang w:val="en-US" w:eastAsia="zh-CN"/>
        </w:rPr>
        <w:t>前期工作</w:t>
      </w:r>
      <w:r>
        <w:rPr>
          <w:rFonts w:hint="default"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6.</w:t>
      </w:r>
      <w:r>
        <w:rPr>
          <w:rFonts w:hint="default" w:ascii="仿宋_GB2312" w:eastAsia="仿宋_GB2312"/>
          <w:color w:val="auto"/>
          <w:sz w:val="32"/>
          <w:szCs w:val="32"/>
          <w:highlight w:val="none"/>
        </w:rPr>
        <w:t>继续坚持与川矿、相关部门、乡镇加强协调，以联席会常态机制，切实有效的推动川矿在安居区境内项目的生产。深入研究天然气就地转化措施，变资源为产业。扎实抓好天然气精深产业的发展，启动化工产业的建设，为“十四五”天然气产业发展开好头，起好步。</w:t>
      </w:r>
      <w:r>
        <w:rPr>
          <w:rFonts w:hint="default" w:ascii="仿宋_GB2312" w:eastAsia="仿宋_GB2312"/>
          <w:color w:val="auto"/>
          <w:sz w:val="32"/>
          <w:szCs w:val="32"/>
          <w:highlight w:val="none"/>
          <w:lang w:val="en-US" w:eastAsia="zh-CN"/>
        </w:rPr>
        <w:t>2022年预计全区新建井场9口，管线25公里，投产井场4口。</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spacing w:line="600" w:lineRule="exact"/>
        <w:ind w:firstLine="640"/>
        <w:rPr>
          <w:rFonts w:hint="eastAsia" w:ascii="仿宋_GB2312" w:eastAsia="仿宋_GB2312"/>
          <w:color w:val="auto"/>
          <w:sz w:val="32"/>
          <w:szCs w:val="32"/>
          <w:highlight w:val="none"/>
          <w:lang w:val="zh-CN"/>
        </w:rPr>
      </w:pPr>
      <w:r>
        <w:rPr>
          <w:rFonts w:hint="default" w:ascii="仿宋_GB2312" w:eastAsia="仿宋_GB2312"/>
          <w:color w:val="auto"/>
          <w:sz w:val="32"/>
          <w:szCs w:val="32"/>
          <w:highlight w:val="none"/>
          <w:lang w:val="en-US" w:eastAsia="zh-CN"/>
        </w:rPr>
        <w:t xml:space="preserve">按照预算绩效管理要求，本部门对 2022 </w:t>
      </w:r>
      <w:r>
        <w:rPr>
          <w:rFonts w:hint="eastAsia" w:ascii="仿宋_GB2312" w:eastAsia="仿宋_GB2312"/>
          <w:color w:val="auto"/>
          <w:sz w:val="32"/>
          <w:szCs w:val="32"/>
          <w:highlight w:val="none"/>
          <w:lang w:val="en-US" w:eastAsia="zh-CN"/>
        </w:rPr>
        <w:t xml:space="preserve">年整体支出开 展绩效自评，自评得分 </w:t>
      </w:r>
      <w:r>
        <w:rPr>
          <w:rFonts w:hint="default"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lang w:val="en-US" w:eastAsia="zh-CN"/>
        </w:rPr>
        <w:t>9分。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szCs w:val="32"/>
          <w:lang w:val="en-US" w:eastAsia="zh-CN"/>
        </w:rPr>
        <w:t>32133.64万元，其中：</w:t>
      </w:r>
      <w:r>
        <w:rPr>
          <w:rFonts w:hint="eastAsia" w:ascii="仿宋_GB2312" w:hAnsi="仿宋_GB2312" w:eastAsia="仿宋_GB2312" w:cs="仿宋_GB2312"/>
          <w:color w:val="000000"/>
          <w:sz w:val="32"/>
          <w:szCs w:val="32"/>
        </w:rPr>
        <w:t>一般公共预算财政拨款</w:t>
      </w:r>
      <w:r>
        <w:rPr>
          <w:rFonts w:hint="eastAsia" w:ascii="仿宋_GB2312" w:hAnsi="仿宋_GB2312" w:eastAsia="仿宋_GB2312" w:cs="仿宋_GB2312"/>
          <w:color w:val="000000"/>
          <w:sz w:val="32"/>
          <w:szCs w:val="32"/>
          <w:lang w:val="en-US" w:eastAsia="zh-CN"/>
        </w:rPr>
        <w:t>153.64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，政府性基金预算财政拨款收入</w:t>
      </w:r>
      <w:r>
        <w:rPr>
          <w:rFonts w:hint="eastAsia" w:ascii="仿宋_GB2312" w:hAnsi="仿宋_GB2312" w:eastAsia="仿宋_GB2312" w:cs="仿宋_GB2312"/>
          <w:color w:val="000000"/>
          <w:sz w:val="32"/>
          <w:szCs w:val="32"/>
          <w:lang w:val="en-US" w:eastAsia="zh-CN"/>
        </w:rPr>
        <w:t>31980万元</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spacing w:line="600" w:lineRule="exact"/>
        <w:ind w:firstLine="640" w:firstLineChars="200"/>
        <w:outlineLvl w:val="9"/>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32133.64</w:t>
      </w:r>
      <w:r>
        <w:rPr>
          <w:rFonts w:hint="eastAsia" w:ascii="仿宋_GB2312" w:hAnsi="仿宋_GB2312" w:eastAsia="仿宋_GB2312" w:cs="仿宋_GB2312"/>
          <w:color w:val="000000"/>
          <w:sz w:val="32"/>
          <w:szCs w:val="32"/>
        </w:rPr>
        <w:t>万元，</w:t>
      </w:r>
      <w:r>
        <w:rPr>
          <w:rFonts w:hint="eastAsia" w:ascii="仿宋_GB2312" w:hAnsi="仿宋" w:eastAsia="仿宋_GB2312" w:cs="Times New Roman"/>
          <w:sz w:val="32"/>
          <w:szCs w:val="32"/>
          <w:lang w:val="en-US" w:eastAsia="zh-CN"/>
        </w:rPr>
        <w:t>其中</w:t>
      </w:r>
      <w:r>
        <w:rPr>
          <w:rFonts w:hint="eastAsia" w:ascii="仿宋" w:hAnsi="仿宋" w:eastAsia="仿宋"/>
          <w:color w:val="auto"/>
          <w:sz w:val="32"/>
          <w:szCs w:val="32"/>
          <w:highlight w:val="none"/>
        </w:rPr>
        <w:t>基本支出</w:t>
      </w:r>
      <w:r>
        <w:rPr>
          <w:rFonts w:hint="eastAsia" w:ascii="仿宋" w:hAnsi="仿宋" w:eastAsia="仿宋"/>
          <w:color w:val="auto"/>
          <w:sz w:val="32"/>
          <w:szCs w:val="32"/>
          <w:highlight w:val="none"/>
          <w:lang w:val="en-US" w:eastAsia="zh-CN"/>
        </w:rPr>
        <w:t>99.31</w:t>
      </w:r>
      <w:r>
        <w:rPr>
          <w:rFonts w:hint="eastAsia" w:ascii="仿宋" w:hAnsi="仿宋" w:eastAsia="仿宋"/>
          <w:color w:val="auto"/>
          <w:sz w:val="32"/>
          <w:szCs w:val="32"/>
          <w:highlight w:val="none"/>
        </w:rPr>
        <w:t>万元，占</w:t>
      </w:r>
      <w:r>
        <w:rPr>
          <w:rFonts w:hint="eastAsia" w:ascii="仿宋_GB2312" w:hAnsi="仿宋" w:eastAsia="仿宋_GB2312" w:cs="Times New Roman"/>
          <w:sz w:val="32"/>
          <w:szCs w:val="32"/>
          <w:lang w:val="en-US" w:eastAsia="zh-CN"/>
        </w:rPr>
        <w:t>总支出</w:t>
      </w:r>
      <w:r>
        <w:rPr>
          <w:rFonts w:hint="eastAsia" w:ascii="仿宋" w:hAnsi="仿宋" w:eastAsia="仿宋"/>
          <w:color w:val="auto"/>
          <w:sz w:val="32"/>
          <w:szCs w:val="32"/>
          <w:highlight w:val="none"/>
          <w:lang w:val="en-US" w:eastAsia="zh-CN"/>
        </w:rPr>
        <w:t>0.31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32034.33</w:t>
      </w:r>
      <w:r>
        <w:rPr>
          <w:rFonts w:hint="eastAsia" w:ascii="仿宋" w:hAnsi="仿宋" w:eastAsia="仿宋"/>
          <w:color w:val="auto"/>
          <w:sz w:val="32"/>
          <w:szCs w:val="32"/>
          <w:highlight w:val="none"/>
        </w:rPr>
        <w:t>万元，占</w:t>
      </w:r>
      <w:r>
        <w:rPr>
          <w:rFonts w:hint="eastAsia" w:ascii="仿宋_GB2312" w:hAnsi="仿宋" w:eastAsia="仿宋_GB2312" w:cs="Times New Roman"/>
          <w:sz w:val="32"/>
          <w:szCs w:val="32"/>
          <w:lang w:val="en-US" w:eastAsia="zh-CN"/>
        </w:rPr>
        <w:t>总支出</w:t>
      </w:r>
      <w:r>
        <w:rPr>
          <w:rFonts w:hint="eastAsia" w:ascii="仿宋" w:hAnsi="仿宋" w:eastAsia="仿宋"/>
          <w:color w:val="auto"/>
          <w:sz w:val="32"/>
          <w:szCs w:val="32"/>
          <w:highlight w:val="none"/>
          <w:lang w:val="en-US" w:eastAsia="zh-CN"/>
        </w:rPr>
        <w:t>99.69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编制严格按照区预算编制方案科学合理编制本部门预算，提前做好情况摸底、数据收集、填报绩效目标、细化项目预算，根据定员和人员经费标准定额计算确定经费预算，从严控制相关经费，按照“零增长”的原则编制“三公经费”预算，压缩接待费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严格按照区预算编制方案科学合理编制本部门预算，提前做好情况摸底、数据收集、填报绩效目标、细化项目预算，根据日常公用经费定额计算确定经费预算，从严控制相关经费，按照“零增长”的原则编制“三公经费”预算，压缩接待费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科学编制项目支出，按照“谁申请资金，谁编制目标”的要求，编制部门预算项目绩效目标。按时完成预算编制报送工作。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部门整体绩效目标预算数与执行数一致。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按时将部门的预算、决算、绩效评价情况相关信息在安居区政务网公开上进行了公开。2022年严格按照支出绩效评价指标体系内容开展绩效管理工作，财务状况更加公开、透明。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lang w:val="zh-CN"/>
        </w:rPr>
      </w:pPr>
      <w:r>
        <w:rPr>
          <w:rFonts w:hint="eastAsia" w:ascii="仿宋" w:hAnsi="仿宋" w:eastAsia="仿宋" w:cs="仿宋_GB2312"/>
          <w:color w:val="000000"/>
          <w:sz w:val="32"/>
          <w:szCs w:val="32"/>
        </w:rPr>
        <w:t>按照预算绩效管理要求，本部门对</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s="仿宋_GB2312"/>
          <w:color w:val="000000"/>
          <w:sz w:val="32"/>
          <w:szCs w:val="32"/>
        </w:rPr>
        <w:t>年整体支出开展绩效自评</w:t>
      </w:r>
      <w:r>
        <w:rPr>
          <w:rFonts w:hint="eastAsia" w:ascii="仿宋" w:hAnsi="仿宋" w:eastAsia="仿宋" w:cs="仿宋_GB2312"/>
          <w:sz w:val="32"/>
          <w:szCs w:val="32"/>
        </w:rPr>
        <w:t>，自评得分</w:t>
      </w:r>
      <w:r>
        <w:rPr>
          <w:rFonts w:hint="eastAsia" w:ascii="仿宋" w:hAnsi="仿宋" w:eastAsia="仿宋" w:cs="仿宋_GB2312"/>
          <w:sz w:val="32"/>
          <w:szCs w:val="32"/>
          <w:lang w:val="en-US" w:eastAsia="zh-CN"/>
        </w:rPr>
        <w:t>89</w:t>
      </w:r>
      <w:r>
        <w:rPr>
          <w:rFonts w:hint="eastAsia" w:ascii="仿宋" w:hAnsi="仿宋" w:eastAsia="仿宋" w:cs="仿宋_GB2312"/>
          <w:sz w:val="32"/>
          <w:szCs w:val="32"/>
        </w:rPr>
        <w:t>分。</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详见附表</w:t>
      </w:r>
      <w:r>
        <w:rPr>
          <w:rFonts w:hint="eastAsia" w:ascii="仿宋" w:hAnsi="仿宋" w:eastAsia="仿宋"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pStyle w:val="6"/>
        <w:ind w:firstLine="640" w:firstLineChars="200"/>
        <w:rPr>
          <w:rFonts w:hint="eastAsia"/>
          <w:lang w:val="zh-CN"/>
        </w:rPr>
      </w:pPr>
      <w:r>
        <w:rPr>
          <w:rFonts w:hint="eastAsia" w:ascii="仿宋" w:hAnsi="仿宋" w:eastAsia="仿宋" w:cs="仿宋_GB2312"/>
          <w:color w:val="000000"/>
          <w:sz w:val="32"/>
          <w:szCs w:val="32"/>
        </w:rPr>
        <w:t>一是资金使用效益有待进一步提高。二是个别会计核算科目不精准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细化预算编制工作，认真做好预算的编制。进一步加强单位的预算管理意识，严格按照预算编制的相关制度和要求，进一步提高预算编制的科学性、合理性、严谨性和可控性。单位内部要深挖潜力，强化责任意识，细化工作措施，夯实管理基础，加强统筹协调，不断提高管理水平和能力，切实抓好部门预算和执行等管理工作，促进财政资金使用绩效的不断提高。</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ascii="仿宋" w:hAnsi="仿宋" w:eastAsia="仿宋" w:cs="仿宋_GB2312"/>
          <w:color w:val="000000"/>
          <w:sz w:val="32"/>
          <w:szCs w:val="32"/>
        </w:rPr>
      </w:pPr>
      <w:r>
        <w:rPr>
          <w:rFonts w:ascii="仿宋" w:hAnsi="仿宋" w:eastAsia="仿宋" w:cs="仿宋_GB2312"/>
          <w:color w:val="000000"/>
          <w:sz w:val="32"/>
          <w:szCs w:val="32"/>
        </w:rPr>
        <w:t>2</w:t>
      </w:r>
      <w:r>
        <w:rPr>
          <w:rFonts w:hint="eastAsia" w:ascii="仿宋" w:hAnsi="仿宋" w:eastAsia="仿宋" w:cs="仿宋_GB2312"/>
          <w:color w:val="000000"/>
          <w:sz w:val="32"/>
          <w:szCs w:val="32"/>
        </w:rPr>
        <w:t>、进一步强化责任意识、细化工作措施。单位要夯实管理基础、加强统筹协调、提升管理水平，切实抓好预算执行管理工作，加快预算支出进度，提高预算执行质量，确保全年的预算执行工作顺利完成。</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hAnsi="宋体" w:cs="宋体"/>
          <w:color w:val="auto"/>
          <w:kern w:val="0"/>
          <w:sz w:val="32"/>
          <w:szCs w:val="32"/>
          <w:highlight w:val="none"/>
          <w:shd w:val="clear" w:color="auto" w:fill="FFFFFF"/>
          <w:lang w:val="zh-CN"/>
        </w:rPr>
      </w:pPr>
      <w:r>
        <w:rPr>
          <w:rFonts w:ascii="仿宋" w:hAnsi="仿宋" w:eastAsia="仿宋" w:cs="仿宋_GB2312"/>
          <w:color w:val="000000"/>
          <w:sz w:val="32"/>
          <w:szCs w:val="32"/>
        </w:rPr>
        <w:t>3</w:t>
      </w:r>
      <w:r>
        <w:rPr>
          <w:rFonts w:hint="eastAsia" w:ascii="仿宋" w:hAnsi="仿宋" w:eastAsia="仿宋" w:cs="仿宋_GB2312"/>
          <w:color w:val="000000"/>
          <w:sz w:val="32"/>
          <w:szCs w:val="32"/>
        </w:rPr>
        <w:t>、严格按照财务会计制度的要求，进一步完善单位内部的会计控制体系，特别是在资金使用的规范方面，加强内控管理；进一步加强项目成本和资金的分析和控制，强化资金和资产管理，加强对项目的管控能力，强化审计监察和绩效考核工作。</w:t>
      </w: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6"/>
        <w:rPr>
          <w:rFonts w:hint="eastAsia" w:hAnsi="宋体" w:cs="宋体"/>
          <w:color w:val="auto"/>
          <w:kern w:val="0"/>
          <w:sz w:val="32"/>
          <w:szCs w:val="32"/>
          <w:highlight w:val="none"/>
          <w:shd w:val="clear" w:color="auto" w:fill="FFFFFF"/>
          <w:lang w:val="zh-CN"/>
        </w:rPr>
        <w:sectPr>
          <w:pgSz w:w="11906" w:h="16838"/>
          <w:pgMar w:top="1440" w:right="1800" w:bottom="1440" w:left="1800" w:header="851" w:footer="992" w:gutter="0"/>
          <w:pgNumType w:fmt="decimal"/>
          <w:cols w:space="425" w:num="1"/>
          <w:titlePg/>
          <w:docGrid w:type="lines" w:linePitch="312" w:charSpace="0"/>
        </w:sectPr>
      </w:pPr>
    </w:p>
    <w:p>
      <w:pPr>
        <w:jc w:val="center"/>
        <w:rPr>
          <w:rFonts w:hint="eastAsia"/>
        </w:rPr>
      </w:pPr>
      <w:r>
        <w:rPr>
          <w:rFonts w:hint="eastAsia" w:ascii="方正小标宋简体" w:hAnsi="方正小标宋简体" w:eastAsia="方正小标宋简体" w:cs="方正小标宋简体"/>
          <w:i w:val="0"/>
          <w:color w:val="000000"/>
          <w:kern w:val="0"/>
          <w:sz w:val="40"/>
          <w:szCs w:val="40"/>
          <w:u w:val="none"/>
          <w:lang w:val="en-US" w:eastAsia="zh-CN" w:bidi="ar"/>
        </w:rPr>
        <w:t>2022年区级部门整体支出绩效评价指标体系</w:t>
      </w:r>
    </w:p>
    <w:tbl>
      <w:tblPr>
        <w:tblStyle w:val="15"/>
        <w:tblW w:w="13409" w:type="dxa"/>
        <w:tblInd w:w="0" w:type="dxa"/>
        <w:shd w:val="clear" w:color="auto" w:fill="auto"/>
        <w:tblLayout w:type="autofit"/>
        <w:tblCellMar>
          <w:top w:w="0" w:type="dxa"/>
          <w:left w:w="0" w:type="dxa"/>
          <w:bottom w:w="0" w:type="dxa"/>
          <w:right w:w="0" w:type="dxa"/>
        </w:tblCellMar>
      </w:tblPr>
      <w:tblGrid>
        <w:gridCol w:w="733"/>
        <w:gridCol w:w="770"/>
        <w:gridCol w:w="790"/>
        <w:gridCol w:w="630"/>
        <w:gridCol w:w="2116"/>
        <w:gridCol w:w="5764"/>
        <w:gridCol w:w="1376"/>
        <w:gridCol w:w="1230"/>
      </w:tblGrid>
      <w:tr>
        <w:tblPrEx>
          <w:shd w:val="clear" w:color="auto" w:fill="auto"/>
          <w:tblCellMar>
            <w:top w:w="0" w:type="dxa"/>
            <w:left w:w="0" w:type="dxa"/>
            <w:bottom w:w="0" w:type="dxa"/>
            <w:right w:w="0" w:type="dxa"/>
          </w:tblCellMar>
        </w:tblPrEx>
        <w:trPr>
          <w:trHeight w:val="285" w:hRule="atLeast"/>
        </w:trPr>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576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137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7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425"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部门预算管理（80分）</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预算编制（30分）</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评价部门绩效目标是否要素完整、细化量化。</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42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评价部门绩效目标实际实现程度与预期目标的偏离度。</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以项目完成数量为核心，评价项目实际完成情况</w:t>
            </w:r>
            <w:bookmarkStart w:id="97" w:name="_GoBack"/>
            <w:bookmarkEnd w:id="97"/>
            <w:r>
              <w:rPr>
                <w:rFonts w:hint="eastAsia" w:ascii="宋体" w:hAnsi="宋体" w:eastAsia="宋体" w:cs="宋体"/>
                <w:i w:val="0"/>
                <w:color w:val="000000"/>
                <w:kern w:val="0"/>
                <w:sz w:val="24"/>
                <w:szCs w:val="24"/>
                <w:u w:val="none"/>
                <w:lang w:val="en-US" w:eastAsia="zh-CN" w:bidi="ar"/>
              </w:rPr>
              <w:t>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评价部门年初预算编制是否科学准确。</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1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预算执行（30分）</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2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动态调整</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42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完成结果（20分）</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评价部门预算项目年终预算执行情况。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部门预算项目12月预算执行进度达到100%的，得10分，未达100%的，按照实际进度量化计算得分。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根据审计监督、财政检查结果反映部门上一年度部门预算管理是否合规。</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依据评价年度审计监督、财政检查结果，出现部门预算管理方面违纪违规问题的，每个问题扣0.5分，直至扣完。</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绩效结果应用（10分）</w:t>
            </w:r>
          </w:p>
        </w:tc>
        <w:tc>
          <w:tcPr>
            <w:tcW w:w="7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信息公开（2分)</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按要求将相关绩效信息随同决算公开的，得2分，否则不得分。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1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整改反馈（8分）</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5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部门在规定时间内向财政部门反馈应用绩效结果报告的，得满分，否则不得分。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7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7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6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49" w:rightChars="166"/>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评价部门整体支出自评准确率。</w:t>
            </w:r>
          </w:p>
        </w:tc>
        <w:tc>
          <w:tcPr>
            <w:tcW w:w="57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6"/>
        <w:rPr>
          <w:rFonts w:hint="eastAsia" w:hAnsi="宋体" w:cs="宋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Ansi="宋体"/>
          <w:sz w:val="32"/>
          <w:szCs w:val="32"/>
        </w:rPr>
      </w:pPr>
      <w:r>
        <w:rPr>
          <w:rFonts w:hint="eastAsia" w:hAnsi="宋体"/>
          <w:sz w:val="32"/>
          <w:szCs w:val="32"/>
        </w:rPr>
        <w:t>（</w:t>
      </w:r>
      <w:r>
        <w:rPr>
          <w:rFonts w:hint="eastAsia" w:hAnsi="宋体"/>
          <w:sz w:val="32"/>
          <w:szCs w:val="32"/>
          <w:lang w:val="en-US" w:eastAsia="zh-CN"/>
        </w:rPr>
        <w:t>重点工程和督查经费</w:t>
      </w:r>
      <w:r>
        <w:rPr>
          <w:rFonts w:hint="eastAsia" w:hAnsi="宋体"/>
          <w:sz w:val="32"/>
          <w:szCs w:val="32"/>
        </w:rPr>
        <w:t>项目）</w:t>
      </w:r>
    </w:p>
    <w:p>
      <w:pPr>
        <w:tabs>
          <w:tab w:val="left" w:pos="3885"/>
        </w:tabs>
        <w:snapToGrid w:val="0"/>
        <w:spacing w:line="600" w:lineRule="exact"/>
        <w:ind w:firstLine="422" w:firstLineChars="200"/>
        <w:jc w:val="left"/>
        <w:rPr>
          <w:rFonts w:ascii="宋体" w:hAnsi="宋体"/>
          <w:b/>
          <w:szCs w:val="21"/>
        </w:rPr>
      </w:pPr>
    </w:p>
    <w:p>
      <w:pPr>
        <w:numPr>
          <w:ilvl w:val="0"/>
          <w:numId w:val="5"/>
        </w:numPr>
        <w:tabs>
          <w:tab w:val="left" w:pos="3885"/>
        </w:tabs>
        <w:snapToGrid w:val="0"/>
        <w:spacing w:line="600" w:lineRule="exact"/>
        <w:ind w:firstLine="640" w:firstLineChars="200"/>
        <w:jc w:val="left"/>
        <w:outlineLvl w:val="9"/>
        <w:rPr>
          <w:rFonts w:hint="eastAsia" w:ascii="黑体" w:hAnsi="宋体" w:eastAsia="黑体"/>
          <w:sz w:val="32"/>
          <w:szCs w:val="32"/>
        </w:rPr>
      </w:pPr>
      <w:r>
        <w:rPr>
          <w:rFonts w:hint="eastAsia" w:ascii="黑体" w:hAnsi="宋体" w:eastAsia="黑体"/>
          <w:sz w:val="32"/>
          <w:szCs w:val="32"/>
        </w:rPr>
        <w:t>基本情况</w:t>
      </w:r>
    </w:p>
    <w:p>
      <w:pPr>
        <w:tabs>
          <w:tab w:val="left" w:pos="3885"/>
        </w:tabs>
        <w:snapToGrid w:val="0"/>
        <w:spacing w:line="60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项目概况</w:t>
      </w:r>
    </w:p>
    <w:p>
      <w:pPr>
        <w:tabs>
          <w:tab w:val="left" w:pos="3885"/>
        </w:tabs>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年，安居区</w:t>
      </w:r>
      <w:r>
        <w:rPr>
          <w:rFonts w:hint="eastAsia" w:eastAsia="仿宋_GB2312" w:cs="Times New Roman"/>
          <w:sz w:val="32"/>
          <w:szCs w:val="32"/>
          <w:lang w:eastAsia="zh-CN"/>
        </w:rPr>
        <w:t>重点办有序推进</w:t>
      </w:r>
      <w:r>
        <w:rPr>
          <w:rFonts w:hint="default" w:ascii="Times New Roman" w:hAnsi="Times New Roman" w:eastAsia="仿宋_GB2312" w:cs="Times New Roman"/>
          <w:sz w:val="32"/>
          <w:szCs w:val="32"/>
        </w:rPr>
        <w:t>12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个重点工程建设项目，年度计划投资</w:t>
      </w:r>
      <w:r>
        <w:rPr>
          <w:rFonts w:hint="eastAsia" w:eastAsia="仿宋_GB2312" w:cs="Times New Roman"/>
          <w:sz w:val="32"/>
          <w:szCs w:val="32"/>
          <w:lang w:val="en-US" w:eastAsia="zh-CN"/>
        </w:rPr>
        <w:t>150</w:t>
      </w:r>
      <w:r>
        <w:rPr>
          <w:rFonts w:hint="default" w:ascii="Times New Roman" w:hAnsi="Times New Roman" w:eastAsia="仿宋_GB2312" w:cs="Times New Roman"/>
          <w:sz w:val="32"/>
          <w:szCs w:val="32"/>
        </w:rPr>
        <w:t>亿元。</w:t>
      </w:r>
    </w:p>
    <w:p>
      <w:pPr>
        <w:tabs>
          <w:tab w:val="left" w:pos="3885"/>
        </w:tabs>
        <w:snapToGrid w:val="0"/>
        <w:spacing w:line="60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项目绩效目标</w:t>
      </w:r>
    </w:p>
    <w:p>
      <w:pPr>
        <w:tabs>
          <w:tab w:val="left" w:pos="3885"/>
        </w:tabs>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完成年度投资1</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rPr>
        <w:t>亿元,新开工6</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个项目。</w:t>
      </w:r>
    </w:p>
    <w:p>
      <w:pPr>
        <w:tabs>
          <w:tab w:val="left" w:pos="3885"/>
        </w:tabs>
        <w:snapToGrid w:val="0"/>
        <w:spacing w:line="600" w:lineRule="exact"/>
        <w:ind w:firstLine="640" w:firstLineChars="200"/>
        <w:jc w:val="left"/>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资金投入使用情况</w:t>
      </w:r>
    </w:p>
    <w:p>
      <w:pPr>
        <w:tabs>
          <w:tab w:val="left" w:pos="3885"/>
        </w:tabs>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重点工程和督查经费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color w:val="auto"/>
          <w:sz w:val="32"/>
          <w:szCs w:val="32"/>
          <w:lang w:val="en-US" w:eastAsia="zh-CN"/>
        </w:rPr>
        <w:t>预算资金</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万元，资金来源为区级财政</w:t>
      </w:r>
      <w:r>
        <w:rPr>
          <w:rFonts w:hint="default" w:ascii="Times New Roman" w:hAnsi="Times New Roman" w:eastAsia="仿宋_GB2312" w:cs="Times New Roman"/>
          <w:sz w:val="32"/>
          <w:szCs w:val="32"/>
          <w:lang w:val="en-US" w:eastAsia="zh-CN"/>
        </w:rPr>
        <w:t>。资金全部用于</w:t>
      </w:r>
      <w:r>
        <w:rPr>
          <w:rFonts w:hint="default" w:ascii="Times New Roman" w:hAnsi="Times New Roman" w:eastAsia="仿宋_GB2312" w:cs="Times New Roman"/>
          <w:b w:val="0"/>
          <w:bCs w:val="0"/>
          <w:sz w:val="32"/>
          <w:szCs w:val="32"/>
          <w:lang w:val="en-US" w:eastAsia="zh-CN"/>
        </w:rPr>
        <w:t>全区重点工程推进工作</w:t>
      </w:r>
      <w:r>
        <w:rPr>
          <w:rFonts w:hint="default" w:ascii="Times New Roman" w:hAnsi="Times New Roman" w:eastAsia="仿宋_GB2312" w:cs="Times New Roman"/>
          <w:b w:val="0"/>
          <w:bCs w:val="0"/>
          <w:sz w:val="32"/>
          <w:szCs w:val="32"/>
          <w:lang w:eastAsia="zh-CN"/>
        </w:rPr>
        <w:t>，使用完成</w:t>
      </w:r>
      <w:r>
        <w:rPr>
          <w:rFonts w:hint="default" w:ascii="Times New Roman" w:hAnsi="Times New Roman" w:eastAsia="仿宋_GB2312" w:cs="Times New Roman"/>
          <w:sz w:val="32"/>
          <w:szCs w:val="32"/>
        </w:rPr>
        <w:t>符合资金管理办法</w:t>
      </w:r>
      <w:r>
        <w:rPr>
          <w:rFonts w:hint="default" w:ascii="Times New Roman" w:hAnsi="Times New Roman" w:eastAsia="仿宋_GB2312" w:cs="Times New Roman"/>
          <w:sz w:val="32"/>
          <w:szCs w:val="32"/>
          <w:lang w:eastAsia="zh-CN"/>
        </w:rPr>
        <w:t>。</w:t>
      </w:r>
    </w:p>
    <w:p>
      <w:pPr>
        <w:snapToGrid w:val="0"/>
        <w:spacing w:line="600" w:lineRule="exact"/>
        <w:ind w:firstLine="640" w:firstLineChars="200"/>
        <w:outlineLvl w:val="9"/>
        <w:rPr>
          <w:rFonts w:hint="eastAsia" w:ascii="宋体" w:hAnsi="宋体"/>
          <w:sz w:val="32"/>
          <w:szCs w:val="32"/>
        </w:rPr>
      </w:pPr>
      <w:r>
        <w:rPr>
          <w:rFonts w:hint="eastAsia" w:ascii="黑体" w:hAnsi="黑体" w:eastAsia="黑体" w:cs="黑体"/>
          <w:sz w:val="32"/>
          <w:szCs w:val="32"/>
        </w:rPr>
        <w:t>二、评价工作开展情况</w:t>
      </w:r>
    </w:p>
    <w:p>
      <w:pPr>
        <w:snapToGrid w:val="0"/>
        <w:spacing w:line="60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评价组织情况</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单位成立以主任为组长，分管领导为副组长，综合股、重点股股长为成员的评价领导小组，负责项目评价工作。</w:t>
      </w:r>
    </w:p>
    <w:p>
      <w:pPr>
        <w:snapToGrid w:val="0"/>
        <w:spacing w:line="60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、评价方法</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部门自评以评分办法实施。</w:t>
      </w:r>
      <w:r>
        <w:rPr>
          <w:rFonts w:hint="default" w:ascii="Times New Roman" w:hAnsi="Times New Roman" w:eastAsia="仿宋_GB2312" w:cs="Times New Roman"/>
          <w:sz w:val="32"/>
          <w:szCs w:val="32"/>
        </w:rPr>
        <w:t>评分方法归为六类：</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是否评分法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适用于合规性等正反判断指标，正向满分，反向0分。</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分级评分法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指标评分设置n级权重，指标得分按指标值所处区间的权重计算。</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比率分值法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对存在连续性比率的指标，按比率乘以指标分值计算得分。</w:t>
      </w:r>
      <w:r>
        <w:rPr>
          <w:rFonts w:hint="default" w:ascii="Times New Roman" w:hAnsi="Times New Roman" w:eastAsia="仿宋_GB2312" w:cs="Times New Roman"/>
          <w:sz w:val="32"/>
          <w:szCs w:val="32"/>
          <w:lang w:val="en-US" w:eastAsia="zh-CN"/>
        </w:rPr>
        <w:t>四是</w:t>
      </w:r>
      <w:r>
        <w:rPr>
          <w:rFonts w:hint="default" w:ascii="Times New Roman" w:hAnsi="Times New Roman" w:eastAsia="仿宋_GB2312" w:cs="Times New Roman"/>
          <w:sz w:val="32"/>
          <w:szCs w:val="32"/>
        </w:rPr>
        <w:t>缺（错）项扣分法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按照要求所具备的事项计算，全部具备得满分，缺少一项扣X分。</w:t>
      </w:r>
      <w:r>
        <w:rPr>
          <w:rFonts w:hint="default" w:ascii="Times New Roman" w:hAnsi="Times New Roman" w:eastAsia="仿宋_GB2312" w:cs="Times New Roman"/>
          <w:sz w:val="32"/>
          <w:szCs w:val="32"/>
          <w:lang w:val="en-US" w:eastAsia="zh-CN"/>
        </w:rPr>
        <w:t>五是</w:t>
      </w:r>
      <w:r>
        <w:rPr>
          <w:rFonts w:hint="default" w:ascii="Times New Roman" w:hAnsi="Times New Roman" w:eastAsia="仿宋_GB2312" w:cs="Times New Roman"/>
          <w:sz w:val="32"/>
          <w:szCs w:val="32"/>
        </w:rPr>
        <w:t>满意值赋分法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设置一个满意值，指标值达到满意值得满分，未达到不得分或扣分。</w:t>
      </w:r>
      <w:r>
        <w:rPr>
          <w:rFonts w:hint="default" w:ascii="Times New Roman" w:hAnsi="Times New Roman" w:eastAsia="仿宋_GB2312" w:cs="Times New Roman"/>
          <w:sz w:val="32"/>
          <w:szCs w:val="32"/>
          <w:lang w:val="en-US" w:eastAsia="zh-CN"/>
        </w:rPr>
        <w:t>六是</w:t>
      </w:r>
      <w:r>
        <w:rPr>
          <w:rFonts w:hint="default" w:ascii="Times New Roman" w:hAnsi="Times New Roman" w:eastAsia="仿宋_GB2312" w:cs="Times New Roman"/>
          <w:sz w:val="32"/>
          <w:szCs w:val="32"/>
        </w:rPr>
        <w:t>按数累加法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若有必要用于加分项指标。</w:t>
      </w:r>
    </w:p>
    <w:p>
      <w:pPr>
        <w:snapToGrid w:val="0"/>
        <w:spacing w:line="600" w:lineRule="exact"/>
        <w:ind w:firstLine="640" w:firstLineChars="200"/>
        <w:outlineLvl w:val="9"/>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综合评价结论（附评分表）</w:t>
      </w:r>
    </w:p>
    <w:p>
      <w:pPr>
        <w:pStyle w:val="6"/>
        <w:spacing w:before="145" w:line="228" w:lineRule="auto"/>
        <w:jc w:val="center"/>
      </w:pPr>
      <w:r>
        <w:rPr>
          <w:spacing w:val="4"/>
        </w:rPr>
        <w:t>项目支出绩效目标完成情况表</w:t>
      </w:r>
    </w:p>
    <w:p>
      <w:pPr>
        <w:pStyle w:val="6"/>
        <w:spacing w:before="197" w:line="228" w:lineRule="auto"/>
        <w:jc w:val="center"/>
      </w:pPr>
      <w:r>
        <w:rPr>
          <w:spacing w:val="-8"/>
        </w:rPr>
        <w:t>(2022</w:t>
      </w:r>
      <w:r>
        <w:rPr>
          <w:spacing w:val="-50"/>
        </w:rPr>
        <w:t xml:space="preserve"> </w:t>
      </w:r>
      <w:r>
        <w:rPr>
          <w:spacing w:val="-8"/>
        </w:rPr>
        <w:t>年度）</w:t>
      </w:r>
    </w:p>
    <w:tbl>
      <w:tblPr>
        <w:tblStyle w:val="37"/>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976"/>
        <w:gridCol w:w="1193"/>
        <w:gridCol w:w="1675"/>
        <w:gridCol w:w="1520"/>
        <w:gridCol w:w="1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18" w:type="pct"/>
            <w:gridSpan w:val="3"/>
            <w:vAlign w:val="top"/>
          </w:tcPr>
          <w:p>
            <w:pPr>
              <w:pStyle w:val="36"/>
              <w:spacing w:before="136" w:line="226" w:lineRule="auto"/>
              <w:ind w:left="1879"/>
              <w:rPr>
                <w:sz w:val="24"/>
                <w:szCs w:val="24"/>
              </w:rPr>
            </w:pPr>
            <w:r>
              <w:rPr>
                <w:spacing w:val="1"/>
                <w:sz w:val="24"/>
                <w:szCs w:val="24"/>
              </w:rPr>
              <w:t>项目名称</w:t>
            </w:r>
          </w:p>
        </w:tc>
        <w:tc>
          <w:tcPr>
            <w:tcW w:w="3081" w:type="pct"/>
            <w:gridSpan w:val="3"/>
            <w:vAlign w:val="top"/>
          </w:tcPr>
          <w:p>
            <w:pPr>
              <w:pStyle w:val="36"/>
              <w:spacing w:before="134" w:line="226" w:lineRule="auto"/>
              <w:ind w:left="955"/>
              <w:rPr>
                <w:sz w:val="24"/>
                <w:szCs w:val="24"/>
              </w:rPr>
            </w:pPr>
            <w:r>
              <w:rPr>
                <w:spacing w:val="1"/>
                <w:sz w:val="24"/>
                <w:szCs w:val="24"/>
              </w:rPr>
              <w:t>区级粮油储备规模经费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8" w:type="pct"/>
            <w:gridSpan w:val="3"/>
            <w:vAlign w:val="top"/>
          </w:tcPr>
          <w:p>
            <w:pPr>
              <w:pStyle w:val="36"/>
              <w:spacing w:before="133" w:line="226" w:lineRule="auto"/>
              <w:ind w:left="1881"/>
              <w:rPr>
                <w:sz w:val="24"/>
                <w:szCs w:val="24"/>
              </w:rPr>
            </w:pPr>
            <w:r>
              <w:rPr>
                <w:sz w:val="24"/>
                <w:szCs w:val="24"/>
              </w:rPr>
              <w:t>预算单位</w:t>
            </w:r>
          </w:p>
        </w:tc>
        <w:tc>
          <w:tcPr>
            <w:tcW w:w="3081" w:type="pct"/>
            <w:gridSpan w:val="3"/>
            <w:vAlign w:val="top"/>
          </w:tcPr>
          <w:p>
            <w:pPr>
              <w:pStyle w:val="36"/>
              <w:spacing w:before="132" w:line="228" w:lineRule="auto"/>
              <w:ind w:left="615"/>
              <w:rPr>
                <w:sz w:val="24"/>
                <w:szCs w:val="24"/>
              </w:rPr>
            </w:pPr>
            <w:r>
              <w:rPr>
                <w:spacing w:val="4"/>
                <w:sz w:val="24"/>
                <w:szCs w:val="24"/>
              </w:rPr>
              <w:t>遂宁市安居区发展和改革局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15" w:type="pct"/>
            <w:vMerge w:val="restart"/>
            <w:tcBorders>
              <w:bottom w:val="nil"/>
            </w:tcBorders>
            <w:vAlign w:val="center"/>
          </w:tcPr>
          <w:p>
            <w:pPr>
              <w:pStyle w:val="36"/>
              <w:spacing w:before="100" w:line="226" w:lineRule="auto"/>
              <w:jc w:val="center"/>
              <w:rPr>
                <w:sz w:val="24"/>
                <w:szCs w:val="24"/>
              </w:rPr>
            </w:pPr>
            <w:r>
              <w:rPr>
                <w:sz w:val="24"/>
                <w:szCs w:val="24"/>
              </w:rPr>
              <w:t>预算执行</w:t>
            </w:r>
            <w:r>
              <w:rPr>
                <w:spacing w:val="-1"/>
                <w:position w:val="19"/>
                <w:sz w:val="24"/>
                <w:szCs w:val="24"/>
              </w:rPr>
              <w:t>情况（万</w:t>
            </w:r>
            <w:r>
              <w:rPr>
                <w:spacing w:val="-9"/>
                <w:sz w:val="24"/>
                <w:szCs w:val="24"/>
              </w:rPr>
              <w:t>元）</w:t>
            </w:r>
          </w:p>
        </w:tc>
        <w:tc>
          <w:tcPr>
            <w:tcW w:w="1302" w:type="pct"/>
            <w:gridSpan w:val="2"/>
            <w:vAlign w:val="center"/>
          </w:tcPr>
          <w:p>
            <w:pPr>
              <w:pStyle w:val="36"/>
              <w:spacing w:before="101" w:line="227" w:lineRule="auto"/>
              <w:jc w:val="center"/>
              <w:rPr>
                <w:sz w:val="24"/>
                <w:szCs w:val="24"/>
              </w:rPr>
            </w:pPr>
            <w:r>
              <w:rPr>
                <w:spacing w:val="-1"/>
                <w:sz w:val="24"/>
                <w:szCs w:val="24"/>
              </w:rPr>
              <w:t>预算数：</w:t>
            </w:r>
          </w:p>
        </w:tc>
        <w:tc>
          <w:tcPr>
            <w:tcW w:w="1006" w:type="pct"/>
            <w:vAlign w:val="center"/>
          </w:tcPr>
          <w:p>
            <w:pPr>
              <w:pStyle w:val="36"/>
              <w:spacing w:line="231" w:lineRule="auto"/>
              <w:jc w:val="center"/>
              <w:rPr>
                <w:sz w:val="24"/>
                <w:szCs w:val="24"/>
              </w:rPr>
            </w:pPr>
            <w:r>
              <w:rPr>
                <w:rFonts w:hint="eastAsia"/>
                <w:spacing w:val="-4"/>
                <w:sz w:val="24"/>
                <w:szCs w:val="24"/>
                <w:lang w:val="en-US" w:eastAsia="zh-CN"/>
              </w:rPr>
              <w:t>20</w:t>
            </w:r>
            <w:r>
              <w:rPr>
                <w:spacing w:val="-4"/>
                <w:sz w:val="24"/>
                <w:szCs w:val="24"/>
              </w:rPr>
              <w:t>万元</w:t>
            </w:r>
          </w:p>
        </w:tc>
        <w:tc>
          <w:tcPr>
            <w:tcW w:w="912" w:type="pct"/>
            <w:vAlign w:val="center"/>
          </w:tcPr>
          <w:p>
            <w:pPr>
              <w:pStyle w:val="36"/>
              <w:spacing w:before="101" w:line="226" w:lineRule="auto"/>
              <w:jc w:val="center"/>
              <w:rPr>
                <w:sz w:val="24"/>
                <w:szCs w:val="24"/>
              </w:rPr>
            </w:pPr>
            <w:r>
              <w:rPr>
                <w:sz w:val="24"/>
                <w:szCs w:val="24"/>
              </w:rPr>
              <w:t>执行数：</w:t>
            </w:r>
          </w:p>
        </w:tc>
        <w:tc>
          <w:tcPr>
            <w:tcW w:w="1162" w:type="pct"/>
            <w:vAlign w:val="center"/>
          </w:tcPr>
          <w:p>
            <w:pPr>
              <w:pStyle w:val="36"/>
              <w:spacing w:line="231" w:lineRule="auto"/>
              <w:jc w:val="center"/>
              <w:rPr>
                <w:sz w:val="24"/>
                <w:szCs w:val="24"/>
              </w:rPr>
            </w:pPr>
            <w:r>
              <w:rPr>
                <w:rFonts w:hint="eastAsia"/>
                <w:spacing w:val="-4"/>
                <w:sz w:val="24"/>
                <w:szCs w:val="24"/>
                <w:lang w:val="en-US" w:eastAsia="zh-CN"/>
              </w:rPr>
              <w:t>20</w:t>
            </w:r>
            <w:r>
              <w:rPr>
                <w:spacing w:val="-4"/>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615" w:type="pct"/>
            <w:vMerge w:val="continue"/>
            <w:tcBorders>
              <w:top w:val="nil"/>
              <w:bottom w:val="nil"/>
            </w:tcBorders>
            <w:vAlign w:val="top"/>
          </w:tcPr>
          <w:p>
            <w:pPr>
              <w:rPr>
                <w:rFonts w:ascii="Arial"/>
                <w:sz w:val="18"/>
                <w:szCs w:val="21"/>
              </w:rPr>
            </w:pPr>
          </w:p>
        </w:tc>
        <w:tc>
          <w:tcPr>
            <w:tcW w:w="1302" w:type="pct"/>
            <w:gridSpan w:val="2"/>
            <w:vAlign w:val="center"/>
          </w:tcPr>
          <w:p>
            <w:pPr>
              <w:pStyle w:val="36"/>
              <w:spacing w:before="101" w:line="228" w:lineRule="auto"/>
              <w:jc w:val="center"/>
              <w:rPr>
                <w:sz w:val="24"/>
                <w:szCs w:val="24"/>
              </w:rPr>
            </w:pPr>
            <w:r>
              <w:rPr>
                <w:spacing w:val="2"/>
                <w:sz w:val="24"/>
                <w:szCs w:val="24"/>
              </w:rPr>
              <w:t>其中－财政拨款：</w:t>
            </w:r>
          </w:p>
        </w:tc>
        <w:tc>
          <w:tcPr>
            <w:tcW w:w="1006" w:type="pct"/>
            <w:vAlign w:val="center"/>
          </w:tcPr>
          <w:p>
            <w:pPr>
              <w:pStyle w:val="36"/>
              <w:spacing w:before="187" w:line="525" w:lineRule="exact"/>
              <w:ind w:left="229"/>
              <w:jc w:val="center"/>
              <w:rPr>
                <w:sz w:val="24"/>
                <w:szCs w:val="24"/>
              </w:rPr>
            </w:pPr>
            <w:r>
              <w:rPr>
                <w:rFonts w:hint="eastAsia"/>
                <w:spacing w:val="-4"/>
                <w:sz w:val="24"/>
                <w:szCs w:val="24"/>
                <w:lang w:val="en-US" w:eastAsia="zh-CN"/>
              </w:rPr>
              <w:t>20</w:t>
            </w:r>
            <w:r>
              <w:rPr>
                <w:spacing w:val="-4"/>
                <w:sz w:val="24"/>
                <w:szCs w:val="24"/>
              </w:rPr>
              <w:t>万元</w:t>
            </w:r>
          </w:p>
        </w:tc>
        <w:tc>
          <w:tcPr>
            <w:tcW w:w="912" w:type="pct"/>
            <w:vAlign w:val="center"/>
          </w:tcPr>
          <w:p>
            <w:pPr>
              <w:pStyle w:val="36"/>
              <w:spacing w:before="133" w:line="579" w:lineRule="exact"/>
              <w:ind w:left="220"/>
              <w:jc w:val="center"/>
              <w:rPr>
                <w:sz w:val="24"/>
                <w:szCs w:val="24"/>
              </w:rPr>
            </w:pPr>
            <w:r>
              <w:rPr>
                <w:position w:val="19"/>
                <w:sz w:val="24"/>
                <w:szCs w:val="24"/>
              </w:rPr>
              <w:t>其中－财</w:t>
            </w:r>
          </w:p>
          <w:p>
            <w:pPr>
              <w:pStyle w:val="36"/>
              <w:spacing w:line="228" w:lineRule="auto"/>
              <w:jc w:val="center"/>
              <w:rPr>
                <w:sz w:val="24"/>
                <w:szCs w:val="24"/>
              </w:rPr>
            </w:pPr>
            <w:r>
              <w:rPr>
                <w:spacing w:val="-1"/>
                <w:sz w:val="24"/>
                <w:szCs w:val="24"/>
              </w:rPr>
              <w:t>政拨款：</w:t>
            </w:r>
          </w:p>
        </w:tc>
        <w:tc>
          <w:tcPr>
            <w:tcW w:w="1162" w:type="pct"/>
            <w:vAlign w:val="center"/>
          </w:tcPr>
          <w:p>
            <w:pPr>
              <w:pStyle w:val="36"/>
              <w:spacing w:before="187" w:line="525" w:lineRule="exact"/>
              <w:ind w:left="229" w:leftChars="0"/>
              <w:jc w:val="center"/>
              <w:rPr>
                <w:sz w:val="24"/>
                <w:szCs w:val="24"/>
              </w:rPr>
            </w:pPr>
            <w:r>
              <w:rPr>
                <w:rFonts w:hint="eastAsia"/>
                <w:spacing w:val="-4"/>
                <w:sz w:val="24"/>
                <w:szCs w:val="24"/>
                <w:lang w:val="en-US" w:eastAsia="zh-CN"/>
              </w:rPr>
              <w:t>20</w:t>
            </w:r>
            <w:r>
              <w:rPr>
                <w:spacing w:val="-4"/>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15" w:type="pct"/>
            <w:vMerge w:val="continue"/>
            <w:tcBorders>
              <w:top w:val="nil"/>
            </w:tcBorders>
            <w:vAlign w:val="top"/>
          </w:tcPr>
          <w:p>
            <w:pPr>
              <w:rPr>
                <w:rFonts w:ascii="Arial"/>
                <w:sz w:val="18"/>
                <w:szCs w:val="21"/>
              </w:rPr>
            </w:pPr>
          </w:p>
        </w:tc>
        <w:tc>
          <w:tcPr>
            <w:tcW w:w="1302" w:type="pct"/>
            <w:gridSpan w:val="2"/>
            <w:vAlign w:val="center"/>
          </w:tcPr>
          <w:p>
            <w:pPr>
              <w:pStyle w:val="36"/>
              <w:spacing w:before="133" w:line="227" w:lineRule="auto"/>
              <w:ind w:left="889"/>
              <w:jc w:val="center"/>
              <w:rPr>
                <w:sz w:val="24"/>
                <w:szCs w:val="24"/>
              </w:rPr>
            </w:pPr>
            <w:r>
              <w:rPr>
                <w:sz w:val="24"/>
                <w:szCs w:val="24"/>
              </w:rPr>
              <w:t>其他资金：</w:t>
            </w:r>
          </w:p>
        </w:tc>
        <w:tc>
          <w:tcPr>
            <w:tcW w:w="1006" w:type="pct"/>
            <w:vAlign w:val="center"/>
          </w:tcPr>
          <w:p>
            <w:pPr>
              <w:pStyle w:val="36"/>
              <w:spacing w:before="188" w:line="184" w:lineRule="auto"/>
              <w:ind w:left="762"/>
              <w:jc w:val="center"/>
              <w:rPr>
                <w:sz w:val="24"/>
                <w:szCs w:val="24"/>
              </w:rPr>
            </w:pPr>
            <w:r>
              <w:rPr>
                <w:sz w:val="24"/>
                <w:szCs w:val="24"/>
              </w:rPr>
              <w:t>0</w:t>
            </w:r>
          </w:p>
        </w:tc>
        <w:tc>
          <w:tcPr>
            <w:tcW w:w="912" w:type="pct"/>
            <w:vAlign w:val="center"/>
          </w:tcPr>
          <w:p>
            <w:pPr>
              <w:pStyle w:val="36"/>
              <w:spacing w:before="133" w:line="227" w:lineRule="auto"/>
              <w:jc w:val="center"/>
              <w:rPr>
                <w:sz w:val="24"/>
                <w:szCs w:val="24"/>
              </w:rPr>
            </w:pPr>
            <w:r>
              <w:rPr>
                <w:spacing w:val="-14"/>
                <w:sz w:val="24"/>
                <w:szCs w:val="24"/>
              </w:rPr>
              <w:t>其他资金：</w:t>
            </w:r>
          </w:p>
        </w:tc>
        <w:tc>
          <w:tcPr>
            <w:tcW w:w="1162" w:type="pct"/>
            <w:vAlign w:val="center"/>
          </w:tcPr>
          <w:p>
            <w:pPr>
              <w:pStyle w:val="36"/>
              <w:spacing w:before="188" w:line="184" w:lineRule="auto"/>
              <w:ind w:left="763"/>
              <w:jc w:val="center"/>
              <w:rPr>
                <w:sz w:val="24"/>
                <w:szCs w:val="24"/>
              </w:rPr>
            </w:pPr>
            <w:r>
              <w:rPr>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15" w:type="pct"/>
            <w:vMerge w:val="restart"/>
            <w:tcBorders>
              <w:bottom w:val="nil"/>
            </w:tcBorders>
            <w:vAlign w:val="center"/>
          </w:tcPr>
          <w:p>
            <w:pPr>
              <w:pStyle w:val="36"/>
              <w:spacing w:before="100" w:line="581" w:lineRule="exact"/>
              <w:jc w:val="center"/>
              <w:rPr>
                <w:sz w:val="24"/>
                <w:szCs w:val="24"/>
              </w:rPr>
            </w:pPr>
            <w:r>
              <w:rPr>
                <w:spacing w:val="-1"/>
                <w:position w:val="19"/>
                <w:sz w:val="24"/>
                <w:szCs w:val="24"/>
              </w:rPr>
              <w:t>年度目标</w:t>
            </w:r>
            <w:r>
              <w:rPr>
                <w:spacing w:val="-1"/>
                <w:sz w:val="24"/>
                <w:szCs w:val="24"/>
              </w:rPr>
              <w:t>完成情况</w:t>
            </w:r>
          </w:p>
        </w:tc>
        <w:tc>
          <w:tcPr>
            <w:tcW w:w="2308" w:type="pct"/>
            <w:gridSpan w:val="3"/>
            <w:vAlign w:val="top"/>
          </w:tcPr>
          <w:p>
            <w:pPr>
              <w:pStyle w:val="36"/>
              <w:spacing w:before="134" w:line="228" w:lineRule="auto"/>
              <w:ind w:left="1877"/>
              <w:rPr>
                <w:sz w:val="24"/>
                <w:szCs w:val="24"/>
              </w:rPr>
            </w:pPr>
            <w:r>
              <w:rPr>
                <w:sz w:val="24"/>
                <w:szCs w:val="24"/>
              </w:rPr>
              <w:t>预期目标</w:t>
            </w:r>
          </w:p>
        </w:tc>
        <w:tc>
          <w:tcPr>
            <w:tcW w:w="2075" w:type="pct"/>
            <w:gridSpan w:val="2"/>
            <w:vAlign w:val="top"/>
          </w:tcPr>
          <w:p>
            <w:pPr>
              <w:pStyle w:val="36"/>
              <w:spacing w:before="134" w:line="228" w:lineRule="auto"/>
              <w:ind w:left="737"/>
              <w:rPr>
                <w:sz w:val="24"/>
                <w:szCs w:val="24"/>
              </w:rPr>
            </w:pPr>
            <w:r>
              <w:rPr>
                <w:spacing w:val="1"/>
                <w:sz w:val="24"/>
                <w:szCs w:val="24"/>
              </w:rPr>
              <w:t>实际完成目标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15" w:type="pct"/>
            <w:vMerge w:val="continue"/>
            <w:tcBorders>
              <w:top w:val="nil"/>
            </w:tcBorders>
            <w:vAlign w:val="top"/>
          </w:tcPr>
          <w:p>
            <w:pPr>
              <w:rPr>
                <w:rFonts w:ascii="Arial"/>
                <w:sz w:val="18"/>
                <w:szCs w:val="21"/>
              </w:rPr>
            </w:pPr>
          </w:p>
        </w:tc>
        <w:tc>
          <w:tcPr>
            <w:tcW w:w="2308" w:type="pct"/>
            <w:gridSpan w:val="3"/>
            <w:vAlign w:val="top"/>
          </w:tcPr>
          <w:p>
            <w:pPr>
              <w:pStyle w:val="36"/>
              <w:spacing w:before="1" w:line="225" w:lineRule="auto"/>
              <w:ind w:left="129"/>
              <w:jc w:val="center"/>
              <w:rPr>
                <w:rFonts w:hint="default" w:eastAsia="仿宋"/>
                <w:sz w:val="24"/>
                <w:szCs w:val="24"/>
                <w:lang w:val="en-US" w:eastAsia="zh-CN"/>
              </w:rPr>
            </w:pPr>
            <w:r>
              <w:rPr>
                <w:rFonts w:hint="eastAsia"/>
                <w:spacing w:val="3"/>
                <w:sz w:val="24"/>
                <w:szCs w:val="24"/>
                <w:lang w:eastAsia="zh-CN"/>
              </w:rPr>
              <w:t>有序推进</w:t>
            </w:r>
            <w:r>
              <w:rPr>
                <w:rFonts w:hint="eastAsia"/>
                <w:spacing w:val="3"/>
                <w:sz w:val="24"/>
                <w:szCs w:val="24"/>
                <w:lang w:val="en-US" w:eastAsia="zh-CN"/>
              </w:rPr>
              <w:t>2022年122个重点工程项目，年度计划投资150亿元，计划新开工61个项目。</w:t>
            </w:r>
          </w:p>
        </w:tc>
        <w:tc>
          <w:tcPr>
            <w:tcW w:w="2075" w:type="pct"/>
            <w:gridSpan w:val="2"/>
            <w:vAlign w:val="top"/>
          </w:tcPr>
          <w:p>
            <w:pPr>
              <w:pStyle w:val="36"/>
              <w:spacing w:before="1" w:line="225" w:lineRule="auto"/>
              <w:ind w:left="136"/>
              <w:jc w:val="center"/>
              <w:rPr>
                <w:sz w:val="24"/>
                <w:szCs w:val="24"/>
              </w:rPr>
            </w:pPr>
            <w:r>
              <w:rPr>
                <w:rFonts w:hint="eastAsia"/>
                <w:spacing w:val="3"/>
                <w:sz w:val="24"/>
                <w:szCs w:val="24"/>
                <w:lang w:eastAsia="zh-CN"/>
              </w:rPr>
              <w:t>有序推进</w:t>
            </w:r>
            <w:r>
              <w:rPr>
                <w:rFonts w:hint="eastAsia"/>
                <w:spacing w:val="3"/>
                <w:sz w:val="24"/>
                <w:szCs w:val="24"/>
                <w:lang w:val="en-US" w:eastAsia="zh-CN"/>
              </w:rPr>
              <w:t>2022年122个重点工程项目，年度计划投资150亿元，计划新开工61个项目。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615" w:type="pct"/>
            <w:vAlign w:val="top"/>
          </w:tcPr>
          <w:p>
            <w:pPr>
              <w:pStyle w:val="36"/>
              <w:spacing w:before="101" w:line="579" w:lineRule="exact"/>
              <w:rPr>
                <w:sz w:val="24"/>
                <w:szCs w:val="24"/>
              </w:rPr>
            </w:pPr>
            <w:r>
              <w:rPr>
                <w:position w:val="19"/>
                <w:sz w:val="24"/>
                <w:szCs w:val="24"/>
              </w:rPr>
              <w:t>绩效指标</w:t>
            </w:r>
            <w:r>
              <w:rPr>
                <w:spacing w:val="-1"/>
                <w:sz w:val="24"/>
                <w:szCs w:val="24"/>
              </w:rPr>
              <w:t>完成情况</w:t>
            </w:r>
          </w:p>
        </w:tc>
        <w:tc>
          <w:tcPr>
            <w:tcW w:w="585" w:type="pct"/>
            <w:vAlign w:val="top"/>
          </w:tcPr>
          <w:p>
            <w:pPr>
              <w:pStyle w:val="36"/>
              <w:spacing w:before="101" w:line="228" w:lineRule="auto"/>
              <w:rPr>
                <w:sz w:val="24"/>
                <w:szCs w:val="24"/>
              </w:rPr>
            </w:pPr>
            <w:r>
              <w:rPr>
                <w:sz w:val="24"/>
                <w:szCs w:val="24"/>
              </w:rPr>
              <w:t>一级指标</w:t>
            </w:r>
          </w:p>
        </w:tc>
        <w:tc>
          <w:tcPr>
            <w:tcW w:w="716" w:type="pct"/>
            <w:vAlign w:val="top"/>
          </w:tcPr>
          <w:p>
            <w:pPr>
              <w:pStyle w:val="36"/>
              <w:spacing w:before="101" w:line="228" w:lineRule="auto"/>
              <w:rPr>
                <w:sz w:val="24"/>
                <w:szCs w:val="24"/>
              </w:rPr>
            </w:pPr>
            <w:r>
              <w:rPr>
                <w:spacing w:val="-2"/>
                <w:sz w:val="24"/>
                <w:szCs w:val="24"/>
              </w:rPr>
              <w:t>二级指标</w:t>
            </w:r>
          </w:p>
        </w:tc>
        <w:tc>
          <w:tcPr>
            <w:tcW w:w="1006" w:type="pct"/>
            <w:vAlign w:val="top"/>
          </w:tcPr>
          <w:p>
            <w:pPr>
              <w:keepNext w:val="0"/>
              <w:keepLines w:val="0"/>
              <w:widowControl/>
              <w:suppressLineNumbers w:val="0"/>
              <w:jc w:val="left"/>
              <w:rPr>
                <w:rFonts w:ascii="仿宋" w:hAnsi="仿宋" w:eastAsia="仿宋" w:cs="仿宋"/>
                <w:spacing w:val="-2"/>
                <w:kern w:val="2"/>
                <w:sz w:val="24"/>
                <w:szCs w:val="24"/>
                <w:lang w:val="en-US" w:eastAsia="zh-CN" w:bidi="ar-SA"/>
              </w:rPr>
            </w:pPr>
            <w:r>
              <w:rPr>
                <w:rFonts w:ascii="仿宋" w:hAnsi="仿宋" w:eastAsia="仿宋" w:cs="仿宋"/>
                <w:spacing w:val="-2"/>
                <w:kern w:val="2"/>
                <w:sz w:val="24"/>
                <w:szCs w:val="24"/>
                <w:lang w:val="en-US" w:eastAsia="zh-CN" w:bidi="ar-SA"/>
              </w:rPr>
              <w:t>三级指标</w:t>
            </w:r>
          </w:p>
        </w:tc>
        <w:tc>
          <w:tcPr>
            <w:tcW w:w="912" w:type="pct"/>
            <w:vAlign w:val="center"/>
          </w:tcPr>
          <w:p>
            <w:pPr>
              <w:keepNext w:val="0"/>
              <w:keepLines w:val="0"/>
              <w:widowControl/>
              <w:suppressLineNumbers w:val="0"/>
              <w:jc w:val="center"/>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预期指标值(包含数字及文字描述)</w:t>
            </w:r>
          </w:p>
        </w:tc>
        <w:tc>
          <w:tcPr>
            <w:tcW w:w="1162" w:type="pct"/>
            <w:vAlign w:val="center"/>
          </w:tcPr>
          <w:p>
            <w:pPr>
              <w:keepNext w:val="0"/>
              <w:keepLines w:val="0"/>
              <w:widowControl/>
              <w:suppressLineNumbers w:val="0"/>
              <w:jc w:val="center"/>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实际完成指标值(包含数字及文字描述)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615" w:type="pct"/>
            <w:vMerge w:val="restart"/>
            <w:vAlign w:val="top"/>
          </w:tcPr>
          <w:p>
            <w:pPr>
              <w:rPr>
                <w:spacing w:val="-1"/>
                <w:sz w:val="18"/>
                <w:szCs w:val="21"/>
              </w:rPr>
            </w:pPr>
          </w:p>
        </w:tc>
        <w:tc>
          <w:tcPr>
            <w:tcW w:w="585" w:type="pct"/>
            <w:vMerge w:val="restart"/>
            <w:vAlign w:val="center"/>
          </w:tcPr>
          <w:p>
            <w:pPr>
              <w:pStyle w:val="36"/>
              <w:spacing w:before="101" w:line="228" w:lineRule="auto"/>
              <w:ind w:left="218" w:leftChars="0"/>
              <w:jc w:val="center"/>
              <w:rPr>
                <w:sz w:val="24"/>
                <w:szCs w:val="24"/>
              </w:rPr>
            </w:pPr>
            <w:r>
              <w:rPr>
                <w:sz w:val="24"/>
                <w:szCs w:val="24"/>
              </w:rPr>
              <w:t>产出指标</w:t>
            </w:r>
          </w:p>
        </w:tc>
        <w:tc>
          <w:tcPr>
            <w:tcW w:w="716" w:type="pct"/>
            <w:vAlign w:val="center"/>
          </w:tcPr>
          <w:p>
            <w:pPr>
              <w:pStyle w:val="36"/>
              <w:spacing w:before="101" w:line="228" w:lineRule="auto"/>
              <w:ind w:left="222" w:leftChars="0"/>
              <w:jc w:val="center"/>
              <w:rPr>
                <w:rFonts w:hint="eastAsia" w:eastAsia="仿宋"/>
                <w:spacing w:val="-2"/>
                <w:sz w:val="24"/>
                <w:szCs w:val="24"/>
                <w:lang w:eastAsia="zh-CN"/>
              </w:rPr>
            </w:pPr>
            <w:r>
              <w:rPr>
                <w:rFonts w:hint="eastAsia"/>
                <w:spacing w:val="-1"/>
                <w:sz w:val="24"/>
                <w:szCs w:val="24"/>
                <w:lang w:eastAsia="zh-CN"/>
              </w:rPr>
              <w:t>时效指标</w:t>
            </w:r>
          </w:p>
        </w:tc>
        <w:tc>
          <w:tcPr>
            <w:tcW w:w="1006" w:type="pct"/>
            <w:vAlign w:val="center"/>
          </w:tcPr>
          <w:p>
            <w:pPr>
              <w:spacing w:before="136" w:line="233" w:lineRule="auto"/>
              <w:ind w:left="236"/>
              <w:jc w:val="center"/>
              <w:rPr>
                <w:rFonts w:hint="eastAsia" w:eastAsia="宋体"/>
                <w:spacing w:val="-1"/>
                <w:sz w:val="18"/>
                <w:szCs w:val="21"/>
                <w:lang w:eastAsia="zh-CN"/>
              </w:rPr>
            </w:pPr>
            <w:r>
              <w:rPr>
                <w:rFonts w:hint="eastAsia" w:ascii="楷体" w:hAnsi="楷体" w:eastAsia="楷体" w:cs="楷体"/>
                <w:spacing w:val="-4"/>
                <w:sz w:val="24"/>
                <w:szCs w:val="24"/>
                <w:lang w:eastAsia="zh-CN"/>
              </w:rPr>
              <w:t>年度投资</w:t>
            </w:r>
          </w:p>
        </w:tc>
        <w:tc>
          <w:tcPr>
            <w:tcW w:w="912" w:type="pct"/>
            <w:vAlign w:val="center"/>
          </w:tcPr>
          <w:p>
            <w:pPr>
              <w:pStyle w:val="36"/>
              <w:spacing w:before="101" w:line="185" w:lineRule="auto"/>
              <w:ind w:left="625" w:leftChars="0"/>
              <w:jc w:val="center"/>
              <w:rPr>
                <w:rFonts w:hint="default" w:eastAsia="仿宋"/>
                <w:spacing w:val="-2"/>
                <w:sz w:val="24"/>
                <w:szCs w:val="24"/>
                <w:lang w:val="en-US" w:eastAsia="zh-CN"/>
              </w:rPr>
            </w:pPr>
            <w:r>
              <w:rPr>
                <w:rFonts w:hint="eastAsia"/>
                <w:spacing w:val="-8"/>
                <w:sz w:val="24"/>
                <w:szCs w:val="24"/>
                <w:lang w:val="en-US" w:eastAsia="zh-CN"/>
              </w:rPr>
              <w:t>12月</w:t>
            </w:r>
          </w:p>
        </w:tc>
        <w:tc>
          <w:tcPr>
            <w:tcW w:w="1936" w:type="dxa"/>
            <w:vAlign w:val="center"/>
          </w:tcPr>
          <w:p>
            <w:pPr>
              <w:pStyle w:val="36"/>
              <w:spacing w:before="101" w:line="185" w:lineRule="auto"/>
              <w:ind w:left="625" w:leftChars="0"/>
              <w:jc w:val="center"/>
              <w:rPr>
                <w:spacing w:val="-4"/>
                <w:sz w:val="24"/>
                <w:szCs w:val="24"/>
              </w:rPr>
            </w:pPr>
            <w:r>
              <w:rPr>
                <w:rFonts w:hint="eastAsia"/>
                <w:spacing w:val="-8"/>
                <w:sz w:val="24"/>
                <w:szCs w:val="24"/>
                <w:lang w:val="en-US" w:eastAsia="zh-CN"/>
              </w:rPr>
              <w:t>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15" w:type="pct"/>
            <w:vMerge w:val="continue"/>
            <w:vAlign w:val="top"/>
          </w:tcPr>
          <w:p>
            <w:pPr>
              <w:rPr>
                <w:spacing w:val="-1"/>
                <w:sz w:val="18"/>
                <w:szCs w:val="21"/>
              </w:rPr>
            </w:pPr>
          </w:p>
        </w:tc>
        <w:tc>
          <w:tcPr>
            <w:tcW w:w="585" w:type="pct"/>
            <w:vMerge w:val="continue"/>
            <w:vAlign w:val="center"/>
          </w:tcPr>
          <w:p>
            <w:pPr>
              <w:pStyle w:val="36"/>
              <w:spacing w:before="101" w:line="228" w:lineRule="auto"/>
              <w:ind w:left="218" w:leftChars="0"/>
              <w:jc w:val="center"/>
              <w:rPr>
                <w:sz w:val="24"/>
                <w:szCs w:val="24"/>
              </w:rPr>
            </w:pPr>
          </w:p>
        </w:tc>
        <w:tc>
          <w:tcPr>
            <w:tcW w:w="716" w:type="pct"/>
            <w:vAlign w:val="center"/>
          </w:tcPr>
          <w:p>
            <w:pPr>
              <w:pStyle w:val="36"/>
              <w:spacing w:before="101" w:line="228" w:lineRule="auto"/>
              <w:ind w:left="222" w:leftChars="0"/>
              <w:jc w:val="center"/>
              <w:rPr>
                <w:spacing w:val="-1"/>
                <w:sz w:val="24"/>
                <w:szCs w:val="24"/>
              </w:rPr>
            </w:pPr>
            <w:r>
              <w:rPr>
                <w:rFonts w:hint="eastAsia"/>
                <w:spacing w:val="-1"/>
                <w:sz w:val="24"/>
                <w:szCs w:val="24"/>
                <w:lang w:eastAsia="zh-CN"/>
              </w:rPr>
              <w:t>数量指标</w:t>
            </w:r>
          </w:p>
        </w:tc>
        <w:tc>
          <w:tcPr>
            <w:tcW w:w="1006" w:type="pct"/>
            <w:vAlign w:val="center"/>
          </w:tcPr>
          <w:p>
            <w:pPr>
              <w:spacing w:before="136" w:line="233" w:lineRule="auto"/>
              <w:ind w:left="236"/>
              <w:jc w:val="center"/>
              <w:rPr>
                <w:rFonts w:hint="eastAsia" w:ascii="楷体" w:hAnsi="楷体" w:eastAsia="楷体" w:cs="楷体"/>
                <w:spacing w:val="-5"/>
                <w:sz w:val="24"/>
                <w:szCs w:val="24"/>
                <w:lang w:eastAsia="zh-CN"/>
              </w:rPr>
            </w:pPr>
            <w:r>
              <w:rPr>
                <w:rFonts w:hint="eastAsia" w:ascii="楷体" w:hAnsi="楷体" w:eastAsia="楷体" w:cs="楷体"/>
                <w:spacing w:val="-4"/>
                <w:sz w:val="24"/>
                <w:szCs w:val="24"/>
                <w:lang w:eastAsia="zh-CN"/>
              </w:rPr>
              <w:t>计划竣工项目</w:t>
            </w:r>
          </w:p>
        </w:tc>
        <w:tc>
          <w:tcPr>
            <w:tcW w:w="912" w:type="pct"/>
            <w:vAlign w:val="center"/>
          </w:tcPr>
          <w:p>
            <w:pPr>
              <w:pStyle w:val="36"/>
              <w:spacing w:before="101" w:line="185" w:lineRule="auto"/>
              <w:ind w:left="625" w:leftChars="0"/>
              <w:jc w:val="center"/>
              <w:rPr>
                <w:rFonts w:hint="default" w:eastAsia="仿宋"/>
                <w:spacing w:val="-8"/>
                <w:sz w:val="24"/>
                <w:szCs w:val="24"/>
                <w:lang w:val="en-US" w:eastAsia="zh-CN"/>
              </w:rPr>
            </w:pPr>
            <w:r>
              <w:rPr>
                <w:rFonts w:hint="eastAsia"/>
                <w:spacing w:val="-8"/>
                <w:sz w:val="24"/>
                <w:szCs w:val="24"/>
                <w:lang w:val="en-US" w:eastAsia="zh-CN"/>
              </w:rPr>
              <w:t>20个</w:t>
            </w:r>
          </w:p>
        </w:tc>
        <w:tc>
          <w:tcPr>
            <w:tcW w:w="1936" w:type="dxa"/>
            <w:vAlign w:val="center"/>
          </w:tcPr>
          <w:p>
            <w:pPr>
              <w:pStyle w:val="36"/>
              <w:spacing w:before="101" w:line="185" w:lineRule="auto"/>
              <w:ind w:left="625" w:leftChars="0"/>
              <w:jc w:val="center"/>
              <w:rPr>
                <w:rFonts w:hint="default"/>
                <w:spacing w:val="-8"/>
                <w:sz w:val="24"/>
                <w:szCs w:val="24"/>
                <w:lang w:val="en-US"/>
              </w:rPr>
            </w:pPr>
            <w:r>
              <w:rPr>
                <w:rFonts w:hint="eastAsia"/>
                <w:spacing w:val="-8"/>
                <w:sz w:val="24"/>
                <w:szCs w:val="24"/>
                <w:lang w:val="en-US" w:eastAsia="zh-CN"/>
              </w:rPr>
              <w:t>20个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615" w:type="pct"/>
            <w:vMerge w:val="continue"/>
            <w:vAlign w:val="top"/>
          </w:tcPr>
          <w:p>
            <w:pPr>
              <w:rPr>
                <w:spacing w:val="-1"/>
                <w:sz w:val="18"/>
                <w:szCs w:val="21"/>
              </w:rPr>
            </w:pPr>
          </w:p>
        </w:tc>
        <w:tc>
          <w:tcPr>
            <w:tcW w:w="585" w:type="pct"/>
            <w:vMerge w:val="continue"/>
            <w:vAlign w:val="center"/>
          </w:tcPr>
          <w:p>
            <w:pPr>
              <w:pStyle w:val="36"/>
              <w:spacing w:before="101" w:line="228" w:lineRule="auto"/>
              <w:ind w:left="218" w:leftChars="0"/>
              <w:jc w:val="center"/>
              <w:rPr>
                <w:sz w:val="24"/>
                <w:szCs w:val="24"/>
              </w:rPr>
            </w:pPr>
          </w:p>
        </w:tc>
        <w:tc>
          <w:tcPr>
            <w:tcW w:w="1193" w:type="dxa"/>
            <w:vAlign w:val="center"/>
          </w:tcPr>
          <w:p>
            <w:pPr>
              <w:pStyle w:val="36"/>
              <w:spacing w:before="101" w:line="228" w:lineRule="auto"/>
              <w:ind w:left="222" w:leftChars="0"/>
              <w:jc w:val="center"/>
              <w:rPr>
                <w:rFonts w:hint="eastAsia"/>
                <w:spacing w:val="-1"/>
                <w:sz w:val="24"/>
                <w:szCs w:val="24"/>
                <w:lang w:eastAsia="zh-CN"/>
              </w:rPr>
            </w:pPr>
            <w:r>
              <w:rPr>
                <w:rFonts w:hint="eastAsia"/>
                <w:spacing w:val="-1"/>
                <w:sz w:val="24"/>
                <w:szCs w:val="24"/>
                <w:lang w:eastAsia="zh-CN"/>
              </w:rPr>
              <w:t>数量指标</w:t>
            </w:r>
          </w:p>
        </w:tc>
        <w:tc>
          <w:tcPr>
            <w:tcW w:w="1675" w:type="dxa"/>
            <w:vAlign w:val="center"/>
          </w:tcPr>
          <w:p>
            <w:pPr>
              <w:spacing w:before="136" w:line="233" w:lineRule="auto"/>
              <w:ind w:left="236" w:leftChars="0"/>
              <w:jc w:val="center"/>
              <w:rPr>
                <w:rFonts w:hint="eastAsia" w:ascii="楷体" w:hAnsi="楷体" w:eastAsia="楷体" w:cs="楷体"/>
                <w:spacing w:val="-4"/>
                <w:sz w:val="24"/>
                <w:szCs w:val="24"/>
                <w:lang w:eastAsia="zh-CN"/>
              </w:rPr>
            </w:pPr>
            <w:r>
              <w:rPr>
                <w:rFonts w:hint="eastAsia" w:ascii="楷体" w:hAnsi="楷体" w:eastAsia="楷体" w:cs="楷体"/>
                <w:spacing w:val="-4"/>
                <w:sz w:val="24"/>
                <w:szCs w:val="24"/>
                <w:lang w:eastAsia="zh-CN"/>
              </w:rPr>
              <w:t>计划新开项目</w:t>
            </w:r>
          </w:p>
        </w:tc>
        <w:tc>
          <w:tcPr>
            <w:tcW w:w="1520" w:type="dxa"/>
            <w:vAlign w:val="center"/>
          </w:tcPr>
          <w:p>
            <w:pPr>
              <w:pStyle w:val="36"/>
              <w:spacing w:before="101" w:line="185" w:lineRule="auto"/>
              <w:ind w:left="625" w:leftChars="0"/>
              <w:jc w:val="center"/>
              <w:rPr>
                <w:rFonts w:hint="eastAsia"/>
                <w:spacing w:val="-8"/>
                <w:sz w:val="24"/>
                <w:szCs w:val="24"/>
                <w:lang w:val="en-US" w:eastAsia="zh-CN"/>
              </w:rPr>
            </w:pPr>
            <w:r>
              <w:rPr>
                <w:rFonts w:hint="eastAsia"/>
                <w:spacing w:val="-8"/>
                <w:sz w:val="24"/>
                <w:szCs w:val="24"/>
                <w:lang w:val="en-US" w:eastAsia="zh-CN"/>
              </w:rPr>
              <w:t>61</w:t>
            </w:r>
          </w:p>
        </w:tc>
        <w:tc>
          <w:tcPr>
            <w:tcW w:w="1936" w:type="dxa"/>
            <w:vAlign w:val="center"/>
          </w:tcPr>
          <w:p>
            <w:pPr>
              <w:pStyle w:val="36"/>
              <w:spacing w:before="101" w:line="185" w:lineRule="auto"/>
              <w:ind w:left="627" w:leftChars="0"/>
              <w:jc w:val="center"/>
              <w:rPr>
                <w:rFonts w:hint="eastAsia"/>
                <w:spacing w:val="-8"/>
                <w:sz w:val="24"/>
                <w:szCs w:val="24"/>
                <w:lang w:val="en-US" w:eastAsia="zh-CN"/>
              </w:rPr>
            </w:pPr>
            <w:r>
              <w:rPr>
                <w:rFonts w:hint="eastAsia"/>
                <w:spacing w:val="-8"/>
                <w:sz w:val="24"/>
                <w:szCs w:val="24"/>
                <w:lang w:val="en-US" w:eastAsia="zh-CN"/>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15" w:type="pct"/>
            <w:vMerge w:val="continue"/>
            <w:vAlign w:val="top"/>
          </w:tcPr>
          <w:p>
            <w:pPr>
              <w:rPr>
                <w:spacing w:val="-1"/>
                <w:sz w:val="18"/>
                <w:szCs w:val="21"/>
              </w:rPr>
            </w:pPr>
          </w:p>
        </w:tc>
        <w:tc>
          <w:tcPr>
            <w:tcW w:w="585" w:type="pct"/>
            <w:vMerge w:val="continue"/>
            <w:vAlign w:val="center"/>
          </w:tcPr>
          <w:p>
            <w:pPr>
              <w:pStyle w:val="36"/>
              <w:spacing w:before="101" w:line="228" w:lineRule="auto"/>
              <w:ind w:left="218" w:leftChars="0"/>
              <w:jc w:val="center"/>
              <w:rPr>
                <w:sz w:val="24"/>
                <w:szCs w:val="24"/>
              </w:rPr>
            </w:pPr>
          </w:p>
        </w:tc>
        <w:tc>
          <w:tcPr>
            <w:tcW w:w="716" w:type="pct"/>
            <w:vAlign w:val="center"/>
          </w:tcPr>
          <w:p>
            <w:pPr>
              <w:pStyle w:val="36"/>
              <w:spacing w:before="101" w:line="228" w:lineRule="auto"/>
              <w:ind w:left="222" w:leftChars="0"/>
              <w:jc w:val="center"/>
              <w:rPr>
                <w:spacing w:val="-1"/>
                <w:sz w:val="24"/>
                <w:szCs w:val="24"/>
              </w:rPr>
            </w:pPr>
            <w:r>
              <w:rPr>
                <w:rFonts w:hint="eastAsia"/>
                <w:spacing w:val="-1"/>
                <w:sz w:val="24"/>
                <w:szCs w:val="24"/>
                <w:lang w:eastAsia="zh-CN"/>
              </w:rPr>
              <w:t>数量指标</w:t>
            </w:r>
          </w:p>
        </w:tc>
        <w:tc>
          <w:tcPr>
            <w:tcW w:w="1006" w:type="pct"/>
            <w:vAlign w:val="center"/>
          </w:tcPr>
          <w:p>
            <w:pPr>
              <w:spacing w:before="136" w:line="233" w:lineRule="auto"/>
              <w:ind w:left="236"/>
              <w:jc w:val="center"/>
              <w:rPr>
                <w:rFonts w:ascii="楷体" w:hAnsi="楷体" w:eastAsia="楷体" w:cs="楷体"/>
                <w:spacing w:val="-5"/>
                <w:sz w:val="24"/>
                <w:szCs w:val="24"/>
              </w:rPr>
            </w:pPr>
            <w:r>
              <w:rPr>
                <w:rFonts w:hint="eastAsia" w:ascii="楷体" w:hAnsi="楷体" w:eastAsia="楷体" w:cs="楷体"/>
                <w:spacing w:val="-4"/>
                <w:sz w:val="24"/>
                <w:szCs w:val="24"/>
                <w:lang w:eastAsia="zh-CN"/>
              </w:rPr>
              <w:t>年度投资</w:t>
            </w:r>
          </w:p>
        </w:tc>
        <w:tc>
          <w:tcPr>
            <w:tcW w:w="912" w:type="pct"/>
            <w:vAlign w:val="center"/>
          </w:tcPr>
          <w:p>
            <w:pPr>
              <w:pStyle w:val="36"/>
              <w:spacing w:before="101" w:line="185" w:lineRule="auto"/>
              <w:ind w:left="625" w:leftChars="0"/>
              <w:jc w:val="center"/>
              <w:rPr>
                <w:rFonts w:hint="default" w:eastAsia="仿宋"/>
                <w:spacing w:val="-8"/>
                <w:sz w:val="24"/>
                <w:szCs w:val="24"/>
                <w:lang w:val="en-US" w:eastAsia="zh-CN"/>
              </w:rPr>
            </w:pPr>
            <w:r>
              <w:rPr>
                <w:rFonts w:hint="eastAsia"/>
                <w:spacing w:val="-8"/>
                <w:sz w:val="24"/>
                <w:szCs w:val="24"/>
                <w:lang w:val="en-US" w:eastAsia="zh-CN"/>
              </w:rPr>
              <w:t>150亿元</w:t>
            </w:r>
          </w:p>
        </w:tc>
        <w:tc>
          <w:tcPr>
            <w:tcW w:w="1162" w:type="pct"/>
            <w:vAlign w:val="center"/>
          </w:tcPr>
          <w:p>
            <w:pPr>
              <w:pStyle w:val="36"/>
              <w:spacing w:before="101" w:line="185" w:lineRule="auto"/>
              <w:ind w:left="627" w:leftChars="0"/>
              <w:jc w:val="center"/>
              <w:rPr>
                <w:rFonts w:hint="default" w:eastAsia="仿宋"/>
                <w:spacing w:val="-8"/>
                <w:sz w:val="24"/>
                <w:szCs w:val="24"/>
                <w:lang w:val="en-US" w:eastAsia="zh-CN"/>
              </w:rPr>
            </w:pPr>
            <w:r>
              <w:rPr>
                <w:rFonts w:hint="eastAsia"/>
                <w:spacing w:val="-8"/>
                <w:sz w:val="24"/>
                <w:szCs w:val="24"/>
                <w:lang w:val="en-US" w:eastAsia="zh-CN"/>
              </w:rPr>
              <w:t>150亿元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615" w:type="pct"/>
            <w:vMerge w:val="continue"/>
            <w:vAlign w:val="top"/>
          </w:tcPr>
          <w:p>
            <w:pPr>
              <w:rPr>
                <w:spacing w:val="-1"/>
                <w:sz w:val="18"/>
                <w:szCs w:val="21"/>
              </w:rPr>
            </w:pPr>
          </w:p>
        </w:tc>
        <w:tc>
          <w:tcPr>
            <w:tcW w:w="585" w:type="pct"/>
            <w:vAlign w:val="center"/>
          </w:tcPr>
          <w:p>
            <w:pPr>
              <w:pStyle w:val="36"/>
              <w:spacing w:before="101" w:line="228" w:lineRule="auto"/>
              <w:ind w:left="220" w:leftChars="0"/>
              <w:jc w:val="center"/>
              <w:rPr>
                <w:rFonts w:hint="eastAsia" w:eastAsia="仿宋"/>
                <w:sz w:val="24"/>
                <w:szCs w:val="24"/>
                <w:lang w:eastAsia="zh-CN"/>
              </w:rPr>
            </w:pPr>
            <w:r>
              <w:rPr>
                <w:rFonts w:hint="eastAsia"/>
                <w:sz w:val="24"/>
                <w:szCs w:val="24"/>
                <w:lang w:eastAsia="zh-CN"/>
              </w:rPr>
              <w:t>满意度指标</w:t>
            </w:r>
          </w:p>
        </w:tc>
        <w:tc>
          <w:tcPr>
            <w:tcW w:w="716" w:type="pct"/>
            <w:vAlign w:val="center"/>
          </w:tcPr>
          <w:p>
            <w:pPr>
              <w:pStyle w:val="36"/>
              <w:spacing w:before="101" w:line="578" w:lineRule="exact"/>
              <w:ind w:left="215"/>
              <w:jc w:val="center"/>
              <w:rPr>
                <w:rFonts w:hint="eastAsia" w:eastAsia="仿宋"/>
                <w:spacing w:val="-2"/>
                <w:sz w:val="24"/>
                <w:szCs w:val="24"/>
                <w:lang w:eastAsia="zh-CN"/>
              </w:rPr>
            </w:pPr>
            <w:r>
              <w:rPr>
                <w:rFonts w:hint="eastAsia"/>
                <w:spacing w:val="1"/>
                <w:position w:val="19"/>
                <w:sz w:val="24"/>
                <w:szCs w:val="24"/>
                <w:lang w:eastAsia="zh-CN"/>
              </w:rPr>
              <w:t>服务对象满意度指标</w:t>
            </w:r>
          </w:p>
        </w:tc>
        <w:tc>
          <w:tcPr>
            <w:tcW w:w="1006" w:type="pct"/>
            <w:vAlign w:val="center"/>
          </w:tcPr>
          <w:p>
            <w:pPr>
              <w:pStyle w:val="36"/>
              <w:spacing w:before="136" w:line="344" w:lineRule="auto"/>
              <w:ind w:left="223" w:right="191" w:hanging="3"/>
              <w:jc w:val="center"/>
              <w:rPr>
                <w:rFonts w:hint="eastAsia" w:eastAsia="仿宋"/>
                <w:spacing w:val="-1"/>
                <w:sz w:val="24"/>
                <w:szCs w:val="24"/>
                <w:lang w:eastAsia="zh-CN"/>
              </w:rPr>
            </w:pPr>
            <w:r>
              <w:rPr>
                <w:rFonts w:hint="eastAsia"/>
                <w:sz w:val="24"/>
                <w:szCs w:val="24"/>
                <w:lang w:eastAsia="zh-CN"/>
              </w:rPr>
              <w:t>重点工程责任部门及企业满意度</w:t>
            </w:r>
          </w:p>
        </w:tc>
        <w:tc>
          <w:tcPr>
            <w:tcW w:w="912" w:type="pct"/>
            <w:vAlign w:val="center"/>
          </w:tcPr>
          <w:p>
            <w:pPr>
              <w:pStyle w:val="36"/>
              <w:spacing w:before="101" w:line="185" w:lineRule="auto"/>
              <w:ind w:left="625" w:leftChars="0"/>
              <w:jc w:val="center"/>
              <w:rPr>
                <w:rFonts w:hint="default" w:eastAsia="仿宋"/>
                <w:spacing w:val="-2"/>
                <w:sz w:val="24"/>
                <w:szCs w:val="24"/>
                <w:lang w:val="en-US" w:eastAsia="zh-CN"/>
              </w:rPr>
            </w:pPr>
            <w:r>
              <w:rPr>
                <w:rFonts w:hint="eastAsia"/>
                <w:spacing w:val="-2"/>
                <w:sz w:val="24"/>
                <w:szCs w:val="24"/>
                <w:lang w:eastAsia="zh-CN"/>
              </w:rPr>
              <w:t>≥</w:t>
            </w:r>
            <w:r>
              <w:rPr>
                <w:rFonts w:hint="eastAsia"/>
                <w:spacing w:val="-2"/>
                <w:sz w:val="24"/>
                <w:szCs w:val="24"/>
                <w:lang w:val="en-US" w:eastAsia="zh-CN"/>
              </w:rPr>
              <w:t>90%</w:t>
            </w:r>
          </w:p>
        </w:tc>
        <w:tc>
          <w:tcPr>
            <w:tcW w:w="1162" w:type="pct"/>
            <w:vAlign w:val="center"/>
          </w:tcPr>
          <w:p>
            <w:pPr>
              <w:pStyle w:val="36"/>
              <w:spacing w:before="101" w:line="185" w:lineRule="auto"/>
              <w:ind w:left="627" w:leftChars="0"/>
              <w:jc w:val="center"/>
              <w:rPr>
                <w:spacing w:val="-4"/>
                <w:sz w:val="24"/>
                <w:szCs w:val="24"/>
              </w:rPr>
            </w:pPr>
            <w:r>
              <w:rPr>
                <w:rFonts w:hint="eastAsia"/>
                <w:spacing w:val="-2"/>
                <w:sz w:val="24"/>
                <w:szCs w:val="24"/>
                <w:lang w:eastAsia="zh-CN"/>
              </w:rPr>
              <w:t>≥</w:t>
            </w:r>
            <w:r>
              <w:rPr>
                <w:rFonts w:hint="eastAsia"/>
                <w:spacing w:val="-2"/>
                <w:sz w:val="24"/>
                <w:szCs w:val="24"/>
                <w:lang w:val="en-US" w:eastAsia="zh-CN"/>
              </w:rPr>
              <w:t>90%</w:t>
            </w:r>
          </w:p>
        </w:tc>
      </w:tr>
    </w:tbl>
    <w:p>
      <w:pPr>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四、绩效评价分析</w:t>
      </w:r>
    </w:p>
    <w:p>
      <w:pPr>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9"/>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（一）项目决策情况</w:t>
      </w:r>
    </w:p>
    <w:p>
      <w:pPr>
        <w:adjustRightInd/>
        <w:spacing w:line="57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绩效评价指标体系由通用、共性、特性和个性4个层次，产业发展、民生保障、基础设施、行政运行4个大类组成。其中，通用和共性绩效指标因具横向可比的特征和属性，原则上不可更改。特性指标和个性指标由评价组根据项目预期目标、属性特点、功能用途等因素会同相关部门、专家和机构研究设定。</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重点工程和督查经费项目的决策依据，符合经济社会发展规划和部门年度工作计划，并根据实际情况制定了年度实施规划。决策过程符合申报条件，申报、批复程序符合相关管理办法。</w:t>
      </w:r>
    </w:p>
    <w:p>
      <w:pPr>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9"/>
        <w:rPr>
          <w:rFonts w:hint="eastAsia" w:ascii="楷体_GB2312" w:hAnsi="宋体" w:eastAsia="楷体_GB2312"/>
          <w:b/>
          <w:sz w:val="32"/>
          <w:szCs w:val="32"/>
        </w:rPr>
      </w:pPr>
      <w:r>
        <w:rPr>
          <w:rFonts w:hint="eastAsia" w:ascii="楷体_GB2312" w:hAnsi="宋体" w:eastAsia="楷体_GB2312"/>
          <w:b/>
          <w:sz w:val="32"/>
          <w:szCs w:val="32"/>
        </w:rPr>
        <w:t>（二）项目管理情况</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项目资金实行专项管理，财务管理制度健全，执行情况良好，积极配合审计部门组织检查，保证制度的有效实施，无违反财务管理、财经纪律情况发生。会计核算真实完整，项目资金支出和原定用途、预算批复用途相符，支出符合国家财经法规和财务管理制度规定;资金拨付程序规范，资产管理制度健全，定期对资金使用情况进行检查，严格确保项目质量;财务管理按规定执行，符合有关财务会计管理规定。随着财务制度的不断完善，资金使用率也不断提高。</w:t>
      </w:r>
    </w:p>
    <w:p>
      <w:pPr>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9"/>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（三）项目产出情况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SA"/>
        </w:rPr>
        <w:t>截止12月底，</w:t>
      </w:r>
      <w:r>
        <w:rPr>
          <w:rFonts w:hint="default" w:ascii="Times New Roman" w:hAnsi="Times New Roman" w:eastAsia="仿宋_GB2312" w:cs="Times New Roman"/>
          <w:color w:val="auto"/>
          <w:spacing w:val="-2"/>
          <w:sz w:val="32"/>
          <w:szCs w:val="32"/>
          <w:lang w:val="en-US" w:eastAsia="zh-CN"/>
        </w:rPr>
        <w:t>121项重点工程建设项目</w:t>
      </w:r>
      <w:r>
        <w:rPr>
          <w:rFonts w:hint="default" w:ascii="Times New Roman" w:hAnsi="Times New Roman" w:eastAsia="仿宋_GB2312" w:cs="Times New Roman"/>
          <w:color w:val="auto"/>
          <w:spacing w:val="-2"/>
          <w:sz w:val="32"/>
          <w:szCs w:val="32"/>
        </w:rPr>
        <w:t>累计完成投资</w:t>
      </w:r>
      <w:r>
        <w:rPr>
          <w:rFonts w:hint="default" w:ascii="Times New Roman" w:hAnsi="Times New Roman" w:eastAsia="方正仿宋简体" w:cs="Times New Roman"/>
          <w:b w:val="0"/>
          <w:bCs w:val="0"/>
          <w:color w:val="auto"/>
          <w:spacing w:val="0"/>
          <w:sz w:val="32"/>
          <w:szCs w:val="32"/>
          <w:lang w:val="en-US" w:eastAsia="zh-CN" w:bidi="ar"/>
        </w:rPr>
        <w:t>192.3</w:t>
      </w:r>
      <w:r>
        <w:rPr>
          <w:rFonts w:hint="default" w:ascii="Times New Roman" w:hAnsi="Times New Roman" w:eastAsia="仿宋_GB2312" w:cs="Times New Roman"/>
          <w:color w:val="auto"/>
          <w:spacing w:val="-2"/>
          <w:sz w:val="32"/>
          <w:szCs w:val="32"/>
        </w:rPr>
        <w:t>亿元，占年度投资计划的</w:t>
      </w:r>
      <w:r>
        <w:rPr>
          <w:rFonts w:hint="default" w:ascii="Times New Roman" w:hAnsi="Times New Roman" w:eastAsia="仿宋_GB2312" w:cs="Times New Roman"/>
          <w:color w:val="auto"/>
          <w:spacing w:val="-2"/>
          <w:sz w:val="32"/>
          <w:szCs w:val="32"/>
          <w:lang w:val="en-US" w:eastAsia="zh-CN"/>
        </w:rPr>
        <w:t>100</w:t>
      </w:r>
      <w:r>
        <w:rPr>
          <w:rFonts w:hint="default" w:ascii="Times New Roman" w:hAnsi="Times New Roman" w:eastAsia="方正仿宋简体" w:cs="Times New Roman"/>
          <w:b w:val="0"/>
          <w:bCs w:val="0"/>
          <w:color w:val="auto"/>
          <w:spacing w:val="0"/>
          <w:sz w:val="32"/>
          <w:szCs w:val="32"/>
          <w:lang w:val="en-US" w:eastAsia="zh-CN" w:bidi="ar"/>
        </w:rPr>
        <w:t>%</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全年</w:t>
      </w:r>
      <w:r>
        <w:rPr>
          <w:rFonts w:hint="default" w:ascii="Times New Roman" w:hAnsi="Times New Roman" w:eastAsia="仿宋_GB2312" w:cs="Times New Roman"/>
          <w:color w:val="auto"/>
          <w:spacing w:val="0"/>
          <w:kern w:val="0"/>
          <w:sz w:val="32"/>
          <w:szCs w:val="32"/>
          <w:highlight w:val="none"/>
        </w:rPr>
        <w:t>计划新开工</w:t>
      </w:r>
      <w:r>
        <w:rPr>
          <w:rFonts w:hint="default" w:ascii="Times New Roman" w:hAnsi="Times New Roman" w:eastAsia="仿宋_GB2312" w:cs="Times New Roman"/>
          <w:color w:val="auto"/>
          <w:spacing w:val="0"/>
          <w:kern w:val="0"/>
          <w:sz w:val="32"/>
          <w:szCs w:val="32"/>
          <w:highlight w:val="none"/>
          <w:lang w:eastAsia="zh-CN"/>
        </w:rPr>
        <w:t>项目</w:t>
      </w:r>
      <w:r>
        <w:rPr>
          <w:rFonts w:hint="default" w:ascii="Times New Roman" w:hAnsi="Times New Roman" w:eastAsia="仿宋_GB2312" w:cs="Times New Roman"/>
          <w:color w:val="auto"/>
          <w:spacing w:val="0"/>
          <w:kern w:val="0"/>
          <w:sz w:val="32"/>
          <w:szCs w:val="32"/>
          <w:highlight w:val="none"/>
          <w:lang w:val="en-US" w:eastAsia="zh-CN"/>
        </w:rPr>
        <w:t>78</w:t>
      </w:r>
      <w:r>
        <w:rPr>
          <w:rFonts w:hint="default" w:ascii="Times New Roman" w:hAnsi="Times New Roman" w:eastAsia="仿宋_GB2312" w:cs="Times New Roman"/>
          <w:color w:val="auto"/>
          <w:spacing w:val="0"/>
          <w:kern w:val="0"/>
          <w:sz w:val="32"/>
          <w:szCs w:val="32"/>
          <w:highlight w:val="none"/>
        </w:rPr>
        <w:t>个</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64</w:t>
      </w:r>
      <w:r>
        <w:rPr>
          <w:rFonts w:hint="default" w:ascii="Times New Roman" w:hAnsi="Times New Roman" w:eastAsia="仿宋_GB2312" w:cs="Times New Roman"/>
          <w:color w:val="auto"/>
          <w:spacing w:val="0"/>
          <w:kern w:val="0"/>
          <w:sz w:val="32"/>
          <w:szCs w:val="32"/>
          <w:highlight w:val="none"/>
        </w:rPr>
        <w:t>个</w:t>
      </w:r>
      <w:r>
        <w:rPr>
          <w:rFonts w:hint="default" w:ascii="Times New Roman" w:hAnsi="Times New Roman" w:eastAsia="仿宋_GB2312" w:cs="Times New Roman"/>
          <w:color w:val="auto"/>
          <w:spacing w:val="0"/>
          <w:kern w:val="0"/>
          <w:sz w:val="32"/>
          <w:szCs w:val="32"/>
          <w:highlight w:val="none"/>
          <w:lang w:eastAsia="zh-CN"/>
        </w:rPr>
        <w:t>项目</w:t>
      </w:r>
      <w:r>
        <w:rPr>
          <w:rFonts w:hint="default" w:ascii="Times New Roman" w:hAnsi="Times New Roman" w:eastAsia="仿宋_GB2312" w:cs="Times New Roman"/>
          <w:color w:val="auto"/>
          <w:spacing w:val="0"/>
          <w:kern w:val="0"/>
          <w:sz w:val="32"/>
          <w:szCs w:val="32"/>
          <w:highlight w:val="none"/>
        </w:rPr>
        <w:t>实际开工</w:t>
      </w:r>
      <w:r>
        <w:rPr>
          <w:rFonts w:hint="default" w:ascii="Times New Roman" w:hAnsi="Times New Roman" w:eastAsia="仿宋_GB2312" w:cs="Times New Roman"/>
          <w:color w:val="auto"/>
          <w:spacing w:val="0"/>
          <w:kern w:val="0"/>
          <w:sz w:val="32"/>
          <w:szCs w:val="32"/>
          <w:highlight w:val="none"/>
          <w:lang w:eastAsia="zh-CN"/>
        </w:rPr>
        <w:t>建设</w:t>
      </w:r>
      <w:r>
        <w:rPr>
          <w:rFonts w:hint="default" w:ascii="Times New Roman" w:hAnsi="Times New Roman" w:eastAsia="仿宋_GB2312" w:cs="Times New Roman"/>
          <w:color w:val="auto"/>
          <w:spacing w:val="0"/>
          <w:kern w:val="0"/>
          <w:sz w:val="32"/>
          <w:szCs w:val="32"/>
          <w:highlight w:val="none"/>
        </w:rPr>
        <w:t>，开工率</w:t>
      </w:r>
      <w:r>
        <w:rPr>
          <w:rFonts w:hint="default" w:ascii="Times New Roman" w:hAnsi="Times New Roman" w:eastAsia="方正仿宋简体" w:cs="Times New Roman"/>
          <w:b w:val="0"/>
          <w:bCs w:val="0"/>
          <w:color w:val="auto"/>
          <w:spacing w:val="0"/>
          <w:sz w:val="32"/>
          <w:szCs w:val="32"/>
          <w:lang w:val="en-US" w:eastAsia="zh-CN" w:bidi="ar"/>
        </w:rPr>
        <w:t>82.1%</w:t>
      </w:r>
      <w:r>
        <w:rPr>
          <w:rFonts w:hint="default" w:ascii="Times New Roman" w:hAnsi="Times New Roman" w:eastAsia="仿宋_GB2312" w:cs="Times New Roman"/>
          <w:color w:val="auto"/>
          <w:kern w:val="0"/>
          <w:sz w:val="32"/>
          <w:szCs w:val="32"/>
          <w:highlight w:val="none"/>
          <w:lang w:val="en-US" w:eastAsia="zh-CN"/>
        </w:rPr>
        <w:t>。</w:t>
      </w:r>
    </w:p>
    <w:p>
      <w:pPr>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9"/>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（四）项目效益情况</w:t>
      </w:r>
    </w:p>
    <w:p>
      <w:pPr>
        <w:keepNext w:val="0"/>
        <w:keepLines w:val="0"/>
        <w:pageBreakBefore w:val="0"/>
        <w:tabs>
          <w:tab w:val="left" w:pos="2100"/>
          <w:tab w:val="left" w:pos="792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color w:val="auto"/>
          <w:kern w:val="2"/>
          <w:sz w:val="32"/>
          <w:szCs w:val="32"/>
          <w:highlight w:val="none"/>
          <w:lang w:val="en-US" w:eastAsia="zh-CN" w:bidi="ar-SA"/>
        </w:rPr>
        <w:t>完成新开工项目</w:t>
      </w:r>
      <w:r>
        <w:rPr>
          <w:rFonts w:hint="eastAsia" w:ascii="Times New Roman" w:hAnsi="Times New Roman" w:eastAsia="仿宋_GB2312" w:cs="Times New Roman"/>
          <w:b w:val="0"/>
          <w:color w:val="auto"/>
          <w:kern w:val="2"/>
          <w:sz w:val="32"/>
          <w:szCs w:val="32"/>
          <w:highlight w:val="none"/>
          <w:lang w:val="en-US" w:eastAsia="zh-CN" w:bidi="ar-SA"/>
        </w:rPr>
        <w:t>64</w:t>
      </w:r>
      <w:r>
        <w:rPr>
          <w:rFonts w:hint="default" w:ascii="Times New Roman" w:hAnsi="Times New Roman" w:eastAsia="仿宋_GB2312" w:cs="Times New Roman"/>
          <w:b w:val="0"/>
          <w:color w:val="auto"/>
          <w:kern w:val="2"/>
          <w:sz w:val="32"/>
          <w:szCs w:val="32"/>
          <w:highlight w:val="none"/>
          <w:lang w:val="en-US" w:eastAsia="zh-CN" w:bidi="ar-SA"/>
        </w:rPr>
        <w:t>个、</w:t>
      </w:r>
      <w:r>
        <w:rPr>
          <w:rFonts w:hint="eastAsia" w:ascii="Times New Roman" w:hAnsi="Times New Roman" w:eastAsia="仿宋_GB2312" w:cs="Times New Roman"/>
          <w:b w:val="0"/>
          <w:color w:val="auto"/>
          <w:kern w:val="2"/>
          <w:sz w:val="32"/>
          <w:szCs w:val="32"/>
          <w:highlight w:val="none"/>
          <w:lang w:val="en-US" w:eastAsia="zh-CN" w:bidi="ar-SA"/>
        </w:rPr>
        <w:t>超计划完成</w:t>
      </w:r>
      <w:r>
        <w:rPr>
          <w:rFonts w:hint="default" w:ascii="Times New Roman" w:hAnsi="Times New Roman" w:eastAsia="仿宋_GB2312" w:cs="Times New Roman"/>
          <w:b w:val="0"/>
          <w:color w:val="auto"/>
          <w:kern w:val="2"/>
          <w:sz w:val="32"/>
          <w:szCs w:val="32"/>
          <w:highlight w:val="none"/>
          <w:lang w:val="en-US" w:eastAsia="zh-CN" w:bidi="ar-SA"/>
        </w:rPr>
        <w:t>竣工投产项目</w:t>
      </w:r>
      <w:r>
        <w:rPr>
          <w:rFonts w:hint="eastAsia" w:ascii="Times New Roman" w:hAnsi="Times New Roman" w:eastAsia="仿宋_GB2312" w:cs="Times New Roman"/>
          <w:b w:val="0"/>
          <w:color w:val="auto"/>
          <w:kern w:val="2"/>
          <w:sz w:val="32"/>
          <w:szCs w:val="32"/>
          <w:highlight w:val="none"/>
          <w:lang w:val="en-US" w:eastAsia="zh-CN" w:bidi="ar-SA"/>
        </w:rPr>
        <w:t>39</w:t>
      </w:r>
      <w:r>
        <w:rPr>
          <w:rFonts w:hint="default" w:ascii="Times New Roman" w:hAnsi="Times New Roman" w:eastAsia="仿宋_GB2312" w:cs="Times New Roman"/>
          <w:b w:val="0"/>
          <w:color w:val="auto"/>
          <w:kern w:val="2"/>
          <w:sz w:val="32"/>
          <w:szCs w:val="32"/>
          <w:highlight w:val="none"/>
          <w:lang w:val="en-US" w:eastAsia="zh-CN" w:bidi="ar-SA"/>
        </w:rPr>
        <w:t>个</w:t>
      </w:r>
      <w:r>
        <w:rPr>
          <w:rFonts w:hint="eastAsia" w:ascii="楷体_GB2312" w:hAnsi="楷体_GB2312" w:eastAsia="楷体_GB2312" w:cs="楷体_GB2312"/>
          <w:b w:val="0"/>
          <w:color w:val="auto"/>
          <w:kern w:val="2"/>
          <w:sz w:val="30"/>
          <w:szCs w:val="30"/>
          <w:highlight w:val="none"/>
          <w:lang w:val="en-US" w:eastAsia="zh-CN" w:bidi="ar-SA"/>
        </w:rPr>
        <w:t>（目标任务27个）</w:t>
      </w: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超计划完成</w:t>
      </w:r>
      <w:r>
        <w:rPr>
          <w:rFonts w:hint="default" w:ascii="Times New Roman" w:hAnsi="Times New Roman" w:eastAsia="仿宋_GB2312" w:cs="Times New Roman"/>
          <w:b w:val="0"/>
          <w:color w:val="auto"/>
          <w:kern w:val="2"/>
          <w:sz w:val="32"/>
          <w:szCs w:val="32"/>
          <w:highlight w:val="none"/>
          <w:lang w:val="en-US" w:eastAsia="zh-CN" w:bidi="ar-SA"/>
        </w:rPr>
        <w:t>年度投资</w:t>
      </w:r>
      <w:r>
        <w:rPr>
          <w:rFonts w:hint="default" w:ascii="Times New Roman" w:hAnsi="Times New Roman" w:eastAsia="方正仿宋简体" w:cs="Times New Roman"/>
          <w:b w:val="0"/>
          <w:bCs w:val="0"/>
          <w:color w:val="auto"/>
          <w:spacing w:val="0"/>
          <w:sz w:val="32"/>
          <w:szCs w:val="32"/>
          <w:lang w:val="en-US" w:eastAsia="zh-CN" w:bidi="ar"/>
        </w:rPr>
        <w:t>192.3</w:t>
      </w:r>
      <w:r>
        <w:rPr>
          <w:rFonts w:hint="default" w:ascii="Times New Roman" w:hAnsi="Times New Roman" w:eastAsia="仿宋_GB2312" w:cs="Times New Roman"/>
          <w:color w:val="auto"/>
          <w:spacing w:val="-2"/>
          <w:sz w:val="32"/>
          <w:szCs w:val="32"/>
        </w:rPr>
        <w:t>亿元</w:t>
      </w:r>
      <w:r>
        <w:rPr>
          <w:rFonts w:hint="eastAsia" w:ascii="楷体_GB2312" w:hAnsi="楷体_GB2312" w:eastAsia="楷体_GB2312" w:cs="楷体_GB2312"/>
          <w:b w:val="0"/>
          <w:color w:val="auto"/>
          <w:kern w:val="2"/>
          <w:sz w:val="30"/>
          <w:szCs w:val="30"/>
          <w:highlight w:val="none"/>
          <w:lang w:val="en-US" w:eastAsia="zh-CN" w:bidi="ar-SA"/>
        </w:rPr>
        <w:t>（目标任务达到160亿元）</w:t>
      </w: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ascii="仿宋_GB2312" w:hAnsi="仿宋_GB2312" w:eastAsia="仿宋_GB2312" w:cs="仿宋_GB2312"/>
          <w:b w:val="0"/>
          <w:bCs w:val="0"/>
          <w:sz w:val="32"/>
          <w:szCs w:val="32"/>
          <w:lang w:val="en-US" w:eastAsia="zh-CN"/>
        </w:rPr>
        <w:t>。</w:t>
      </w:r>
    </w:p>
    <w:p>
      <w:pPr>
        <w:snapToGrid w:val="0"/>
        <w:spacing w:line="600" w:lineRule="exact"/>
        <w:ind w:firstLine="640" w:firstLineChars="200"/>
        <w:outlineLvl w:val="9"/>
        <w:rPr>
          <w:rFonts w:hint="eastAsia" w:ascii="黑体" w:hAnsi="宋体" w:eastAsia="黑体"/>
          <w:sz w:val="32"/>
          <w:szCs w:val="32"/>
        </w:rPr>
      </w:pPr>
      <w:r>
        <w:rPr>
          <w:rFonts w:hint="eastAsia" w:ascii="黑体" w:hAnsi="宋体" w:eastAsia="黑体"/>
          <w:sz w:val="32"/>
          <w:szCs w:val="32"/>
        </w:rPr>
        <w:t>五、存在主要问题</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 w:hAnsi="仿宋" w:eastAsia="仿宋"/>
          <w:b/>
          <w:bCs/>
          <w:sz w:val="32"/>
          <w:szCs w:val="32"/>
        </w:rPr>
      </w:pPr>
      <w:r>
        <w:rPr>
          <w:rFonts w:hint="eastAsia" w:ascii="仿宋" w:hAnsi="仿宋" w:eastAsia="仿宋" w:cs="仿宋_GB2312"/>
          <w:sz w:val="32"/>
          <w:szCs w:val="32"/>
        </w:rPr>
        <w:t>部分重点工程推进缓慢。</w:t>
      </w:r>
    </w:p>
    <w:p>
      <w:pPr>
        <w:snapToGrid w:val="0"/>
        <w:spacing w:line="600" w:lineRule="exact"/>
        <w:ind w:firstLine="640" w:firstLineChars="200"/>
        <w:outlineLvl w:val="9"/>
        <w:rPr>
          <w:rFonts w:ascii="黑体" w:hAnsi="宋体" w:eastAsia="黑体"/>
          <w:sz w:val="32"/>
          <w:szCs w:val="32"/>
        </w:rPr>
      </w:pPr>
      <w:r>
        <w:rPr>
          <w:rFonts w:hint="eastAsia" w:ascii="黑体" w:hAnsi="宋体" w:eastAsia="黑体"/>
          <w:sz w:val="32"/>
          <w:szCs w:val="32"/>
        </w:rPr>
        <w:t>六、相关措施建议</w:t>
      </w:r>
    </w:p>
    <w:p>
      <w:pPr>
        <w:keepNext w:val="0"/>
        <w:keepLines w:val="0"/>
        <w:pageBreakBefore w:val="0"/>
        <w:widowControl/>
        <w:pBdr>
          <w:bottom w:val="single" w:color="FFFFFF" w:sz="4" w:space="31"/>
        </w:pBdr>
        <w:kinsoku/>
        <w:wordWrap/>
        <w:overflowPunct/>
        <w:topLinePunct w:val="0"/>
        <w:autoSpaceDE/>
        <w:autoSpaceDN/>
        <w:bidi w:val="0"/>
        <w:adjustRightInd w:val="0"/>
        <w:snapToGrid w:val="0"/>
        <w:spacing w:after="0" w:line="52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、坚持项目问题反馈、收集双向制度和定期汇报制度。每月</w:t>
      </w:r>
      <w:r>
        <w:rPr>
          <w:rFonts w:ascii="仿宋" w:hAnsi="仿宋" w:eastAsia="仿宋" w:cs="仿宋_GB2312"/>
          <w:sz w:val="32"/>
          <w:szCs w:val="32"/>
        </w:rPr>
        <w:t>15</w:t>
      </w:r>
      <w:r>
        <w:rPr>
          <w:rFonts w:hint="eastAsia" w:ascii="仿宋" w:hAnsi="仿宋" w:eastAsia="仿宋" w:cs="仿宋_GB2312"/>
          <w:sz w:val="32"/>
          <w:szCs w:val="32"/>
        </w:rPr>
        <w:t>日、</w:t>
      </w:r>
      <w:r>
        <w:rPr>
          <w:rFonts w:ascii="仿宋" w:hAnsi="仿宋" w:eastAsia="仿宋" w:cs="仿宋_GB2312"/>
          <w:sz w:val="32"/>
          <w:szCs w:val="32"/>
        </w:rPr>
        <w:t>30</w:t>
      </w:r>
      <w:r>
        <w:rPr>
          <w:rFonts w:hint="eastAsia" w:ascii="仿宋" w:hAnsi="仿宋" w:eastAsia="仿宋" w:cs="仿宋_GB2312"/>
          <w:sz w:val="32"/>
          <w:szCs w:val="32"/>
        </w:rPr>
        <w:t>日梳理重点工程项目建设形象进度、投资完成进度，在每月底形成督查通报并报送各项目联系县级领导及项目责任单位，确保项目建设信息畅通。</w:t>
      </w:r>
    </w:p>
    <w:p>
      <w:pPr>
        <w:keepNext w:val="0"/>
        <w:keepLines w:val="0"/>
        <w:pageBreakBefore w:val="0"/>
        <w:widowControl/>
        <w:pBdr>
          <w:bottom w:val="single" w:color="FFFFFF" w:sz="4" w:space="31"/>
        </w:pBdr>
        <w:kinsoku/>
        <w:wordWrap/>
        <w:overflowPunct/>
        <w:topLinePunct w:val="0"/>
        <w:autoSpaceDE/>
        <w:autoSpaceDN/>
        <w:bidi w:val="0"/>
        <w:adjustRightInd w:val="0"/>
        <w:snapToGrid w:val="0"/>
        <w:spacing w:after="0" w:line="52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坚持政府每月重点项目推进制度和区委每两月项目调度制度。每月制定一次项目调度会或专题会方案并报区委、区政府主要领导审定。形成合力，协调解决项目推进中存在的问题，确保了全区重点工程项目建设的顺利推进。</w:t>
      </w:r>
    </w:p>
    <w:p>
      <w:pPr>
        <w:keepNext w:val="0"/>
        <w:keepLines w:val="0"/>
        <w:pageBreakBefore w:val="0"/>
        <w:widowControl/>
        <w:pBdr>
          <w:bottom w:val="single" w:color="FFFFFF" w:sz="4" w:space="31"/>
        </w:pBdr>
        <w:kinsoku/>
        <w:wordWrap/>
        <w:overflowPunct/>
        <w:topLinePunct w:val="0"/>
        <w:autoSpaceDE/>
        <w:autoSpaceDN/>
        <w:bidi w:val="0"/>
        <w:adjustRightInd w:val="0"/>
        <w:snapToGrid w:val="0"/>
        <w:spacing w:after="0" w:line="52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、建立“点对点督办”和“面对面约谈”制度。对全区推进严重滞后项目，发放督办通知单，并将督办情况分送各项目联系县级领导。</w:t>
      </w:r>
    </w:p>
    <w:p>
      <w:pPr>
        <w:keepNext w:val="0"/>
        <w:keepLines w:val="0"/>
        <w:pageBreakBefore w:val="0"/>
        <w:widowControl/>
        <w:pBdr>
          <w:bottom w:val="single" w:color="FFFFFF" w:sz="4" w:space="31"/>
        </w:pBdr>
        <w:kinsoku/>
        <w:wordWrap/>
        <w:overflowPunct/>
        <w:topLinePunct w:val="0"/>
        <w:autoSpaceDE/>
        <w:autoSpaceDN/>
        <w:bidi w:val="0"/>
        <w:adjustRightInd w:val="0"/>
        <w:snapToGrid w:val="0"/>
        <w:spacing w:after="0" w:line="520" w:lineRule="exact"/>
        <w:ind w:firstLine="640" w:firstLineChars="200"/>
        <w:textAlignment w:val="auto"/>
        <w:rPr>
          <w:rStyle w:val="28"/>
          <w:rFonts w:ascii="黑体" w:hAnsi="黑体" w:eastAsia="黑体"/>
          <w:b w:val="0"/>
          <w:color w:val="auto"/>
          <w:highlight w:val="none"/>
        </w:rPr>
      </w:pPr>
      <w:r>
        <w:rPr>
          <w:rFonts w:ascii="仿宋" w:hAnsi="仿宋" w:eastAsia="仿宋" w:cs="仿宋_GB2312"/>
          <w:sz w:val="32"/>
          <w:szCs w:val="32"/>
        </w:rPr>
        <w:t>4</w:t>
      </w:r>
      <w:r>
        <w:rPr>
          <w:rFonts w:hint="eastAsia" w:ascii="仿宋" w:hAnsi="仿宋" w:eastAsia="仿宋" w:cs="仿宋_GB2312"/>
          <w:sz w:val="32"/>
          <w:szCs w:val="32"/>
        </w:rPr>
        <w:t>、建立“红黑榜”制度。每月选择推进突出、特别有力的</w:t>
      </w:r>
      <w:r>
        <w:rPr>
          <w:rFonts w:ascii="仿宋" w:hAnsi="仿宋" w:eastAsia="仿宋" w:cs="仿宋_GB2312"/>
          <w:sz w:val="32"/>
          <w:szCs w:val="32"/>
        </w:rPr>
        <w:t>10</w:t>
      </w:r>
      <w:r>
        <w:rPr>
          <w:rFonts w:hint="eastAsia" w:ascii="仿宋" w:hAnsi="仿宋" w:eastAsia="仿宋" w:cs="仿宋_GB2312"/>
          <w:sz w:val="32"/>
          <w:szCs w:val="32"/>
        </w:rPr>
        <w:t>个项目进入红榜，同时选择</w:t>
      </w:r>
      <w:r>
        <w:rPr>
          <w:rFonts w:ascii="仿宋" w:hAnsi="仿宋" w:eastAsia="仿宋" w:cs="仿宋_GB2312"/>
          <w:sz w:val="32"/>
          <w:szCs w:val="32"/>
        </w:rPr>
        <w:t>10</w:t>
      </w:r>
      <w:r>
        <w:rPr>
          <w:rFonts w:hint="eastAsia" w:ascii="仿宋" w:hAnsi="仿宋" w:eastAsia="仿宋" w:cs="仿宋_GB2312"/>
          <w:sz w:val="32"/>
          <w:szCs w:val="32"/>
        </w:rPr>
        <w:t>个推进缓慢、进度严重滞后的项目进入黑榜，在区政府和全区所有</w:t>
      </w:r>
      <w:r>
        <w:rPr>
          <w:rFonts w:ascii="仿宋" w:hAnsi="仿宋" w:eastAsia="仿宋" w:cs="仿宋_GB2312"/>
          <w:sz w:val="32"/>
          <w:szCs w:val="32"/>
        </w:rPr>
        <w:t>LED</w:t>
      </w:r>
      <w:r>
        <w:rPr>
          <w:rFonts w:hint="eastAsia" w:ascii="仿宋" w:hAnsi="仿宋" w:eastAsia="仿宋" w:cs="仿宋_GB2312"/>
          <w:sz w:val="32"/>
          <w:szCs w:val="32"/>
        </w:rPr>
        <w:t>电子屏进</w:t>
      </w:r>
      <w:r>
        <w:rPr>
          <w:rFonts w:hint="eastAsia" w:ascii="仿宋" w:hAnsi="仿宋" w:eastAsia="仿宋" w:cs="仿宋_GB2312"/>
          <w:color w:val="000000"/>
          <w:sz w:val="32"/>
          <w:szCs w:val="32"/>
        </w:rPr>
        <w:t>行公示，公示内容包括建设项目名称、责任单位和责任人等。</w:t>
      </w:r>
      <w:r>
        <w:rPr>
          <w:rStyle w:val="28"/>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66" w:name="_Toc15396618"/>
      <w:bookmarkStart w:id="67" w:name="_Toc3700"/>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65"/>
      <w:bookmarkEnd w:id="66"/>
      <w:bookmarkEnd w:id="67"/>
      <w:bookmarkStart w:id="68" w:name="_Toc15396619"/>
    </w:p>
    <w:p>
      <w:pPr>
        <w:numPr>
          <w:ilvl w:val="0"/>
          <w:numId w:val="6"/>
        </w:numPr>
        <w:spacing w:line="600" w:lineRule="exact"/>
        <w:ind w:firstLine="660" w:firstLineChars="150"/>
        <w:jc w:val="center"/>
        <w:outlineLvl w:val="0"/>
        <w:rPr>
          <w:rStyle w:val="28"/>
          <w:rFonts w:ascii="黑体" w:hAnsi="黑体" w:eastAsia="黑体"/>
          <w:b w:val="0"/>
          <w:color w:val="auto"/>
          <w:highlight w:val="none"/>
        </w:rPr>
      </w:pPr>
      <w:bookmarkStart w:id="69" w:name="_Toc15377225"/>
      <w:bookmarkStart w:id="70" w:name="_Toc15396613"/>
      <w:bookmarkStart w:id="71" w:name="_Toc3033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6"/>
        <w:spacing w:line="560" w:lineRule="exact"/>
        <w:ind w:firstLine="640" w:firstLineChars="200"/>
        <w:outlineLvl w:val="9"/>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6"/>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26"/>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26"/>
        <w:spacing w:line="560" w:lineRule="exact"/>
        <w:ind w:firstLine="640" w:firstLineChars="200"/>
        <w:outlineLvl w:val="9"/>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pPr>
        <w:pStyle w:val="26"/>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6"/>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6"/>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hint="eastAsia"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9.一般公共服务（201类）政府办公厅（03室）及相关机构事务（款）行政运行（01项）:指行政单位（包括实行公务员管理的事业单位）的基本支出。</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一般公共服务（201类）政府办公厅（室）及相关机构事务（03款）事业运行（50项）:指事业单位的基本支出 ，不包括行政单位（包括实行公务员管理的事业单位）后勤服务中心 、医务室等附属事业单位。</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一般公共服务（201类）政府办公厅（室）及相关机构事务（03款）其他政府办公厅（室）及相关机构事务支出（99项）:指除上述项目以外的其他政府办公厅（ 室）及相关机构事务支出。 </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10.社会保障和就业（208类）机关事业单位养老支出（05款）机关事业单位基本养老保险缴费支出（05项）:指机关事业单位实施养老保险制度由单位缴纳的基本养老保险费支出。</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社会保障和就业（208类）其它社会保障保障和就业支出（99款）其它社会保障保障和就业支出（01项）:指除上述项目以外其他用于社会保障和就业方面的支出</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11.卫生健康支出（210类）行政事业单位医疗（11款）行政单位医疗（01项）:指财政部门安排的行政单位（包括实行公务员管理的事业单位，下同）基本医疗保险缴费经费，未参加医疗保险行政单位的公费医疗经费，按国家规定享受离休人员、红军老战士待遇人员的医疗经费。</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卫生健康支出（210类）行政事业单位医疗（11款）事业单位医疗（02项）:指财政部门安排的事业单位基本医疗保险缴费经费，未参加医疗保险的事业单位的公费医疗经费，按国家规定享离休人员待遇的医疗经费。</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卫生健康支出（210类）行政事业单位医疗（11款）公务员医疗补助（03项）:指财政部门安排的公务员医疗补助经费。</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12.住房保障支出（221类）住房改革支出（02款）住房公积金（01项）: 指行政事业单位按人力资源和社会保障部 、财政部规定的基本工资和津贴补贴以及规定比例为职工缴纳的住房公积金。</w:t>
      </w:r>
    </w:p>
    <w:p>
      <w:pPr>
        <w:spacing w:line="600" w:lineRule="exact"/>
        <w:ind w:firstLine="640" w:firstLineChars="200"/>
        <w:rPr>
          <w:rFonts w:ascii="仿宋" w:hAnsi="仿宋" w:eastAsia="仿宋"/>
          <w:color w:val="000000"/>
          <w:sz w:val="32"/>
          <w:szCs w:val="32"/>
          <w:highlight w:val="yellow"/>
        </w:rPr>
      </w:pPr>
      <w:r>
        <w:rPr>
          <w:rFonts w:hint="eastAsia" w:ascii="仿宋" w:hAnsi="仿宋" w:eastAsia="仿宋" w:cs="仿宋"/>
          <w:color w:val="000000"/>
          <w:kern w:val="0"/>
          <w:sz w:val="32"/>
          <w:szCs w:val="32"/>
          <w:lang w:val="en-US" w:eastAsia="zh-CN" w:bidi="ar-SA"/>
        </w:rPr>
        <w:t>13.其他支出（229类）其他支出（99款）其他支出（01项）: 指除上述项目以外其他不能划分到具体功能科目中的支出项目。</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hint="eastAsia" w:hAnsi="仿宋"/>
          <w:sz w:val="32"/>
          <w:szCs w:val="32"/>
        </w:rPr>
      </w:pPr>
      <w:r>
        <w:rPr>
          <w:rFonts w:hAnsi="仿宋"/>
          <w:sz w:val="32"/>
          <w:szCs w:val="32"/>
        </w:rPr>
        <w:t>1</w:t>
      </w:r>
      <w:r>
        <w:rPr>
          <w:rFonts w:hint="eastAsia" w:hAnsi="仿宋"/>
          <w:sz w:val="32"/>
          <w:szCs w:val="32"/>
          <w:lang w:val="en-US" w:eastAsia="zh-CN"/>
        </w:rPr>
        <w:t>7</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outlineLvl w:val="9"/>
        <w:rPr>
          <w:rFonts w:ascii="宋体"/>
          <w:b/>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r>
        <w:rPr>
          <w:rFonts w:hint="eastAsia" w:ascii="仿宋" w:hAnsi="仿宋" w:eastAsia="仿宋" w:cs="仿宋"/>
          <w:color w:val="000000"/>
          <w:kern w:val="0"/>
          <w:sz w:val="32"/>
          <w:szCs w:val="32"/>
          <w:lang w:val="en-US" w:eastAsia="zh-CN" w:bidi="ar-SA"/>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auto"/>
          <w:sz w:val="44"/>
          <w:szCs w:val="44"/>
          <w:highlight w:val="none"/>
        </w:rPr>
        <w:br w:type="page"/>
      </w:r>
    </w:p>
    <w:p>
      <w:pPr>
        <w:pStyle w:val="4"/>
        <w:rPr>
          <w:rFonts w:ascii="仿宋" w:hAnsi="仿宋" w:eastAsia="仿宋"/>
          <w:color w:val="auto"/>
          <w:highlight w:val="none"/>
        </w:rPr>
      </w:pPr>
      <w:bookmarkStart w:id="72" w:name="_Toc24440"/>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68"/>
      <w:bookmarkEnd w:id="72"/>
    </w:p>
    <w:p>
      <w:pPr>
        <w:pStyle w:val="4"/>
        <w:rPr>
          <w:rFonts w:ascii="仿宋" w:hAnsi="仿宋" w:eastAsia="仿宋"/>
          <w:color w:val="auto"/>
          <w:highlight w:val="none"/>
        </w:rPr>
      </w:pPr>
      <w:bookmarkStart w:id="73" w:name="_Toc15396620"/>
      <w:bookmarkStart w:id="74" w:name="_Toc17845"/>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3"/>
      <w:bookmarkEnd w:id="74"/>
    </w:p>
    <w:p>
      <w:pPr>
        <w:pStyle w:val="4"/>
        <w:rPr>
          <w:rFonts w:ascii="仿宋" w:hAnsi="仿宋" w:eastAsia="仿宋"/>
          <w:color w:val="auto"/>
          <w:highlight w:val="none"/>
        </w:rPr>
      </w:pPr>
      <w:bookmarkStart w:id="75" w:name="_Toc15396621"/>
      <w:bookmarkStart w:id="76" w:name="_Toc25127"/>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75"/>
      <w:bookmarkEnd w:id="76"/>
    </w:p>
    <w:p>
      <w:pPr>
        <w:pStyle w:val="4"/>
        <w:rPr>
          <w:rFonts w:ascii="仿宋" w:hAnsi="仿宋" w:eastAsia="仿宋"/>
          <w:b w:val="0"/>
          <w:color w:val="auto"/>
          <w:highlight w:val="none"/>
        </w:rPr>
      </w:pPr>
      <w:bookmarkStart w:id="77" w:name="_Toc15396622"/>
      <w:bookmarkStart w:id="78" w:name="_Toc18244"/>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77"/>
      <w:bookmarkEnd w:id="78"/>
    </w:p>
    <w:p>
      <w:pPr>
        <w:pStyle w:val="4"/>
        <w:rPr>
          <w:rStyle w:val="29"/>
          <w:rFonts w:ascii="仿宋" w:hAnsi="仿宋" w:eastAsia="仿宋"/>
          <w:b w:val="0"/>
          <w:bCs w:val="0"/>
          <w:color w:val="auto"/>
          <w:highlight w:val="none"/>
        </w:rPr>
      </w:pPr>
      <w:bookmarkStart w:id="79" w:name="_Toc15396623"/>
      <w:bookmarkStart w:id="80" w:name="_Toc12481"/>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79"/>
      <w:bookmarkEnd w:id="80"/>
      <w:bookmarkStart w:id="81" w:name="_Toc15396624"/>
    </w:p>
    <w:p>
      <w:pPr>
        <w:pStyle w:val="4"/>
        <w:rPr>
          <w:rFonts w:ascii="仿宋" w:hAnsi="仿宋" w:eastAsia="仿宋"/>
          <w:color w:val="auto"/>
          <w:highlight w:val="none"/>
        </w:rPr>
      </w:pPr>
      <w:bookmarkStart w:id="82" w:name="_Toc4415"/>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1"/>
      <w:bookmarkEnd w:id="82"/>
    </w:p>
    <w:p>
      <w:pPr>
        <w:pStyle w:val="4"/>
        <w:rPr>
          <w:rFonts w:ascii="仿宋" w:hAnsi="仿宋" w:eastAsia="仿宋"/>
          <w:color w:val="auto"/>
          <w:highlight w:val="none"/>
        </w:rPr>
      </w:pPr>
      <w:bookmarkStart w:id="83" w:name="_Toc15396625"/>
      <w:bookmarkStart w:id="84" w:name="_Toc8849"/>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3"/>
      <w:bookmarkEnd w:id="84"/>
    </w:p>
    <w:p>
      <w:pPr>
        <w:pStyle w:val="4"/>
        <w:rPr>
          <w:rFonts w:ascii="仿宋" w:hAnsi="仿宋" w:eastAsia="仿宋"/>
          <w:color w:val="auto"/>
          <w:highlight w:val="none"/>
        </w:rPr>
      </w:pPr>
      <w:bookmarkStart w:id="85" w:name="_Toc15396626"/>
      <w:bookmarkStart w:id="86" w:name="_Toc31015"/>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85"/>
      <w:bookmarkEnd w:id="86"/>
    </w:p>
    <w:p>
      <w:pPr>
        <w:pStyle w:val="4"/>
        <w:rPr>
          <w:rFonts w:ascii="仿宋" w:hAnsi="仿宋" w:eastAsia="仿宋"/>
          <w:color w:val="auto"/>
          <w:highlight w:val="none"/>
        </w:rPr>
      </w:pPr>
      <w:bookmarkStart w:id="87" w:name="_Toc15396627"/>
      <w:bookmarkStart w:id="88" w:name="_Toc1150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87"/>
      <w:bookmarkEnd w:id="88"/>
    </w:p>
    <w:p>
      <w:pPr>
        <w:pStyle w:val="4"/>
        <w:rPr>
          <w:rFonts w:ascii="仿宋" w:hAnsi="仿宋" w:eastAsia="仿宋"/>
          <w:color w:val="auto"/>
          <w:highlight w:val="none"/>
        </w:rPr>
      </w:pPr>
      <w:bookmarkStart w:id="89" w:name="_Toc15396628"/>
      <w:bookmarkStart w:id="90" w:name="_Toc9564"/>
      <w:r>
        <w:rPr>
          <w:rStyle w:val="29"/>
          <w:rFonts w:hint="eastAsia" w:ascii="仿宋" w:hAnsi="仿宋" w:eastAsia="仿宋"/>
          <w:b w:val="0"/>
          <w:bCs w:val="0"/>
          <w:color w:val="auto"/>
          <w:highlight w:val="none"/>
        </w:rPr>
        <w:t>十、</w:t>
      </w:r>
      <w:bookmarkEnd w:id="89"/>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0"/>
    </w:p>
    <w:p>
      <w:pPr>
        <w:pStyle w:val="4"/>
        <w:rPr>
          <w:rFonts w:ascii="仿宋" w:hAnsi="仿宋" w:eastAsia="仿宋"/>
          <w:color w:val="auto"/>
          <w:highlight w:val="none"/>
        </w:rPr>
      </w:pPr>
      <w:bookmarkStart w:id="91" w:name="_Toc15396629"/>
      <w:bookmarkStart w:id="92" w:name="_Toc4459"/>
      <w:r>
        <w:rPr>
          <w:rStyle w:val="29"/>
          <w:rFonts w:hint="eastAsia" w:ascii="仿宋" w:hAnsi="仿宋" w:eastAsia="仿宋"/>
          <w:b w:val="0"/>
          <w:bCs w:val="0"/>
          <w:color w:val="auto"/>
          <w:highlight w:val="none"/>
        </w:rPr>
        <w:t>十一、</w:t>
      </w:r>
      <w:bookmarkEnd w:id="91"/>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92"/>
    </w:p>
    <w:p>
      <w:pPr>
        <w:pStyle w:val="4"/>
        <w:rPr>
          <w:rFonts w:ascii="仿宋" w:hAnsi="仿宋" w:eastAsia="仿宋"/>
          <w:color w:val="auto"/>
          <w:highlight w:val="none"/>
        </w:rPr>
      </w:pPr>
      <w:bookmarkStart w:id="93" w:name="_Toc15396630"/>
      <w:bookmarkStart w:id="94" w:name="_Toc23372"/>
      <w:r>
        <w:rPr>
          <w:rStyle w:val="29"/>
          <w:rFonts w:hint="eastAsia" w:ascii="仿宋" w:hAnsi="仿宋" w:eastAsia="仿宋"/>
          <w:b w:val="0"/>
          <w:bCs w:val="0"/>
          <w:color w:val="auto"/>
          <w:highlight w:val="none"/>
        </w:rPr>
        <w:t>十二、</w:t>
      </w:r>
      <w:bookmarkEnd w:id="93"/>
      <w:r>
        <w:rPr>
          <w:rStyle w:val="29"/>
          <w:rFonts w:hint="eastAsia" w:ascii="仿宋" w:hAnsi="仿宋" w:eastAsia="仿宋"/>
          <w:b w:val="0"/>
          <w:bCs w:val="0"/>
          <w:color w:val="auto"/>
          <w:highlight w:val="none"/>
          <w:lang w:eastAsia="zh-CN"/>
        </w:rPr>
        <w:t>国有资本经营预算财政拨款支出决算表</w:t>
      </w:r>
      <w:bookmarkEnd w:id="94"/>
    </w:p>
    <w:p>
      <w:pPr>
        <w:pStyle w:val="4"/>
        <w:rPr>
          <w:rFonts w:hint="eastAsia" w:eastAsia="仿宋"/>
          <w:color w:val="auto"/>
          <w:highlight w:val="none"/>
          <w:lang w:eastAsia="zh-CN"/>
        </w:rPr>
      </w:pPr>
      <w:bookmarkStart w:id="95" w:name="_Toc15396631"/>
      <w:bookmarkStart w:id="96" w:name="_Toc27051"/>
      <w:r>
        <w:rPr>
          <w:rStyle w:val="29"/>
          <w:rFonts w:hint="eastAsia" w:ascii="仿宋" w:hAnsi="仿宋" w:eastAsia="仿宋"/>
          <w:b w:val="0"/>
          <w:bCs w:val="0"/>
          <w:color w:val="auto"/>
          <w:highlight w:val="none"/>
        </w:rPr>
        <w:t>十三、</w:t>
      </w:r>
      <w:bookmarkEnd w:id="95"/>
      <w:r>
        <w:rPr>
          <w:rStyle w:val="29"/>
          <w:rFonts w:hint="eastAsia" w:ascii="仿宋" w:hAnsi="仿宋" w:eastAsia="仿宋"/>
          <w:b w:val="0"/>
          <w:bCs w:val="0"/>
          <w:color w:val="auto"/>
          <w:highlight w:val="none"/>
          <w:lang w:eastAsia="zh-CN"/>
        </w:rPr>
        <w:t>财政拨款“三公”经费支出决算表</w:t>
      </w:r>
      <w:bookmarkEnd w:id="96"/>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EAF9BF-132E-4433-A10E-7E5FF76D1A5C}"/>
  </w:font>
  <w:font w:name="黑体">
    <w:panose1 w:val="02010609060101010101"/>
    <w:charset w:val="86"/>
    <w:family w:val="auto"/>
    <w:pitch w:val="default"/>
    <w:sig w:usb0="800002BF" w:usb1="38CF7CFA" w:usb2="00000016" w:usb3="00000000" w:csb0="00040001" w:csb1="00000000"/>
    <w:embedRegular r:id="rId2" w:fontKey="{F45DA16B-6414-4966-9879-D41D83D70F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3" w:fontKey="{9509A967-6CDC-4376-8AFB-29871AEAF5DF}"/>
  </w:font>
  <w:font w:name="方正仿宋简体">
    <w:panose1 w:val="03000509000000000000"/>
    <w:charset w:val="86"/>
    <w:family w:val="auto"/>
    <w:pitch w:val="default"/>
    <w:sig w:usb0="00000001" w:usb1="080E0000" w:usb2="00000000" w:usb3="00000000" w:csb0="00040000" w:csb1="00000000"/>
    <w:embedRegular r:id="rId4" w:fontKey="{F3023546-FFB5-413A-B859-4786239713FC}"/>
  </w:font>
  <w:font w:name="仿宋_GB2312">
    <w:altName w:val="仿宋"/>
    <w:panose1 w:val="02010609030101010101"/>
    <w:charset w:val="86"/>
    <w:family w:val="modern"/>
    <w:pitch w:val="default"/>
    <w:sig w:usb0="00000000" w:usb1="00000000" w:usb2="00000000" w:usb3="00000000" w:csb0="00040000" w:csb1="00000000"/>
    <w:embedRegular r:id="rId5" w:fontKey="{D96E6528-50A0-47B7-8F5E-D0965D3C2488}"/>
  </w:font>
  <w:font w:name="仿宋">
    <w:panose1 w:val="02010609060101010101"/>
    <w:charset w:val="86"/>
    <w:family w:val="modern"/>
    <w:pitch w:val="default"/>
    <w:sig w:usb0="800002BF" w:usb1="38CF7CFA" w:usb2="00000016" w:usb3="00000000" w:csb0="00040001" w:csb1="00000000"/>
    <w:embedRegular r:id="rId6" w:fontKey="{7FAFD59A-EC81-4B71-BF57-778FEB0911D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7" w:fontKey="{4A791495-72D0-4250-9F22-EE5EB733394F}"/>
  </w:font>
  <w:font w:name="楷体_GB2312">
    <w:altName w:val="楷体"/>
    <w:panose1 w:val="02010609030101010101"/>
    <w:charset w:val="86"/>
    <w:family w:val="auto"/>
    <w:pitch w:val="default"/>
    <w:sig w:usb0="00000000" w:usb1="00000000" w:usb2="00000000" w:usb3="00000000" w:csb0="00040000" w:csb1="00000000"/>
    <w:embedRegular r:id="rId8" w:fontKey="{2C12CA59-0721-4D5B-8A4C-1BFF292A42E0}"/>
  </w:font>
  <w:font w:name="楷体">
    <w:panose1 w:val="02010609060101010101"/>
    <w:charset w:val="86"/>
    <w:family w:val="auto"/>
    <w:pitch w:val="default"/>
    <w:sig w:usb0="800002BF" w:usb1="38CF7CFA" w:usb2="00000016" w:usb3="00000000" w:csb0="00040001" w:csb1="00000000"/>
    <w:embedRegular r:id="rId9" w:fontKey="{AF789E1A-0692-42BC-A8BE-7F08E01C03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49BF3"/>
    <w:multiLevelType w:val="singleLevel"/>
    <w:tmpl w:val="A5749BF3"/>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064A595"/>
    <w:multiLevelType w:val="singleLevel"/>
    <w:tmpl w:val="3064A595"/>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450AAD"/>
    <w:rsid w:val="03D33559"/>
    <w:rsid w:val="066E0107"/>
    <w:rsid w:val="07996F6E"/>
    <w:rsid w:val="08333770"/>
    <w:rsid w:val="092A2965"/>
    <w:rsid w:val="0A2032A3"/>
    <w:rsid w:val="0F98263C"/>
    <w:rsid w:val="101860EC"/>
    <w:rsid w:val="10C055FF"/>
    <w:rsid w:val="118107EC"/>
    <w:rsid w:val="11FA4BAF"/>
    <w:rsid w:val="13D50BC4"/>
    <w:rsid w:val="16BB723D"/>
    <w:rsid w:val="1BE8440E"/>
    <w:rsid w:val="1D155CEE"/>
    <w:rsid w:val="1FF35744"/>
    <w:rsid w:val="23860B96"/>
    <w:rsid w:val="240371BF"/>
    <w:rsid w:val="28C822A0"/>
    <w:rsid w:val="29FD04D3"/>
    <w:rsid w:val="2AE01948"/>
    <w:rsid w:val="2B6E7D01"/>
    <w:rsid w:val="2C8A61B5"/>
    <w:rsid w:val="2DF04E50"/>
    <w:rsid w:val="2F040D46"/>
    <w:rsid w:val="31914D14"/>
    <w:rsid w:val="319F7F4E"/>
    <w:rsid w:val="3304709D"/>
    <w:rsid w:val="340214CD"/>
    <w:rsid w:val="36AA5135"/>
    <w:rsid w:val="376D39B2"/>
    <w:rsid w:val="37E16F03"/>
    <w:rsid w:val="38D469F0"/>
    <w:rsid w:val="3D98207C"/>
    <w:rsid w:val="3E78745D"/>
    <w:rsid w:val="44E268DA"/>
    <w:rsid w:val="45102FBE"/>
    <w:rsid w:val="48F9484F"/>
    <w:rsid w:val="4A627F82"/>
    <w:rsid w:val="4B0E749A"/>
    <w:rsid w:val="4B4F25DA"/>
    <w:rsid w:val="4BE068DB"/>
    <w:rsid w:val="4D577224"/>
    <w:rsid w:val="4EAB630A"/>
    <w:rsid w:val="4ECE2238"/>
    <w:rsid w:val="51EB54C7"/>
    <w:rsid w:val="53486019"/>
    <w:rsid w:val="537E6D0A"/>
    <w:rsid w:val="55287EB0"/>
    <w:rsid w:val="55D33E70"/>
    <w:rsid w:val="56F1138B"/>
    <w:rsid w:val="5AF92295"/>
    <w:rsid w:val="5C752EDA"/>
    <w:rsid w:val="5CB54F34"/>
    <w:rsid w:val="5CD71FC4"/>
    <w:rsid w:val="664803B2"/>
    <w:rsid w:val="6C4A05C8"/>
    <w:rsid w:val="6E7E3605"/>
    <w:rsid w:val="6FF5CC65"/>
    <w:rsid w:val="70911F05"/>
    <w:rsid w:val="715C0E4B"/>
    <w:rsid w:val="72734D90"/>
    <w:rsid w:val="73AD73D5"/>
    <w:rsid w:val="73B6EB34"/>
    <w:rsid w:val="744731E5"/>
    <w:rsid w:val="76E3355F"/>
    <w:rsid w:val="77584DCF"/>
    <w:rsid w:val="778769C8"/>
    <w:rsid w:val="784F25A9"/>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next w:val="1"/>
    <w:qFormat/>
    <w:uiPriority w:val="0"/>
    <w:pPr>
      <w:widowControl w:val="0"/>
      <w:spacing w:line="580" w:lineRule="exact"/>
      <w:ind w:firstLine="420" w:firstLineChars="200"/>
      <w:jc w:val="both"/>
    </w:pPr>
    <w:rPr>
      <w:rFonts w:ascii="Times New Roman" w:hAnsi="Times New Roman" w:eastAsia="方正仿宋简体" w:cs="Times New Roman"/>
      <w:kern w:val="2"/>
      <w:sz w:val="32"/>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UserStyle_0"/>
    <w:basedOn w:val="1"/>
    <w:next w:val="1"/>
    <w:qFormat/>
    <w:uiPriority w:val="0"/>
    <w:pPr>
      <w:spacing w:line="560" w:lineRule="exact"/>
      <w:ind w:firstLine="640" w:firstLineChars="200"/>
      <w:jc w:val="both"/>
      <w:textAlignment w:val="baseline"/>
    </w:pPr>
    <w:rPr>
      <w:rFonts w:ascii="Calibri" w:hAnsi="Calibri" w:eastAsia="方正仿宋简体"/>
      <w:kern w:val="2"/>
      <w:sz w:val="32"/>
      <w:szCs w:val="32"/>
      <w:lang w:val="en-US" w:eastAsia="zh-CN" w:bidi="ar-SA"/>
    </w:rPr>
  </w:style>
  <w:style w:type="paragraph" w:customStyle="1" w:styleId="36">
    <w:name w:val="Table Text"/>
    <w:basedOn w:val="1"/>
    <w:semiHidden/>
    <w:qFormat/>
    <w:uiPriority w:val="0"/>
    <w:rPr>
      <w:rFonts w:ascii="仿宋" w:hAnsi="仿宋" w:eastAsia="仿宋" w:cs="仿宋"/>
      <w:sz w:val="31"/>
      <w:szCs w:val="31"/>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30029.59</c:v>
                </c:pt>
                <c:pt idx="1">
                  <c:v>30029.59</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General</c:formatCode>
                <c:ptCount val="2"/>
                <c:pt idx="0">
                  <c:v>32133.64</c:v>
                </c:pt>
                <c:pt idx="1">
                  <c:v>32133.64</c:v>
                </c:pt>
              </c:numCache>
            </c:numRef>
          </c:val>
        </c:ser>
        <c:dLbls>
          <c:showLegendKey val="0"/>
          <c:showVal val="1"/>
          <c:showCatName val="0"/>
          <c:showSerName val="0"/>
          <c:showPercent val="0"/>
          <c:showBubbleSize val="0"/>
        </c:dLbls>
        <c:gapWidth val="150"/>
        <c:overlap val="0"/>
        <c:axId val="317604795"/>
        <c:axId val="896908812"/>
      </c:barChart>
      <c:catAx>
        <c:axId val="3176047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908812"/>
        <c:crosses val="autoZero"/>
        <c:auto val="1"/>
        <c:lblAlgn val="ctr"/>
        <c:lblOffset val="100"/>
        <c:noMultiLvlLbl val="0"/>
      </c:catAx>
      <c:valAx>
        <c:axId val="8969088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60479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[工作簿1]Sheet1!$B$1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一般公共预算财政拨款收入</c:v>
                </c:pt>
                <c:pt idx="1">
                  <c:v>政府性基金预算财政拨款收入</c:v>
                </c:pt>
              </c:strCache>
            </c:strRef>
          </c:cat>
          <c:val>
            <c:numRef>
              <c:f>[工作簿1]Sheet1!$B$2:$B$3</c:f>
              <c:numCache>
                <c:formatCode>General</c:formatCode>
                <c:ptCount val="2"/>
                <c:pt idx="0">
                  <c:v>153.64</c:v>
                </c:pt>
                <c:pt idx="1">
                  <c:v>31980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基本支出</c:v>
                </c:pt>
                <c:pt idx="1">
                  <c:v>项目支出</c:v>
                </c:pt>
              </c:strCache>
            </c:strRef>
          </c:cat>
          <c:val>
            <c:numRef>
              <c:f>[工作簿1]Sheet1!$B$2:$B$3</c:f>
              <c:numCache>
                <c:formatCode>General</c:formatCode>
                <c:ptCount val="2"/>
                <c:pt idx="0">
                  <c:v>153.64</c:v>
                </c:pt>
                <c:pt idx="1">
                  <c:v>31980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30029.59</c:v>
                </c:pt>
                <c:pt idx="1">
                  <c:v>30029.59</c:v>
                </c:pt>
              </c:numCache>
            </c:numRef>
          </c:val>
        </c:ser>
        <c:ser>
          <c:idx val="1"/>
          <c:order val="1"/>
          <c:tx>
            <c:strRef>
              <c:f>[工作簿1]Sheet1!$A$3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General</c:formatCode>
                <c:ptCount val="2"/>
                <c:pt idx="0">
                  <c:v>32133.64</c:v>
                </c:pt>
                <c:pt idx="1">
                  <c:v>32133.64</c:v>
                </c:pt>
              </c:numCache>
            </c:numRef>
          </c:val>
        </c:ser>
        <c:dLbls>
          <c:showLegendKey val="0"/>
          <c:showVal val="1"/>
          <c:showCatName val="0"/>
          <c:showSerName val="0"/>
          <c:showPercent val="0"/>
          <c:showBubbleSize val="0"/>
        </c:dLbls>
        <c:gapWidth val="150"/>
        <c:overlap val="0"/>
        <c:axId val="317604795"/>
        <c:axId val="896908812"/>
      </c:barChart>
      <c:catAx>
        <c:axId val="3176047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908812"/>
        <c:crosses val="autoZero"/>
        <c:auto val="1"/>
        <c:lblAlgn val="ctr"/>
        <c:lblOffset val="100"/>
        <c:noMultiLvlLbl val="0"/>
      </c:catAx>
      <c:valAx>
        <c:axId val="8969088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604795"/>
        <c:crosses val="autoZero"/>
        <c:crossBetween val="between"/>
      </c:valAx>
      <c:spPr>
        <a:noFill/>
        <a:ln>
          <a:noFill/>
        </a:ln>
        <a:effectLst/>
      </c:spPr>
    </c:plotArea>
    <c:legend>
      <c:legendPos val="r"/>
      <c:layout>
        <c:manualLayout>
          <c:xMode val="edge"/>
          <c:yMode val="edge"/>
          <c:x val="0.879444444444444"/>
          <c:y val="0.8513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一般公共预算财政拨款支出决算变动情况</c:v>
                </c:pt>
              </c:strCache>
            </c:strRef>
          </c:tx>
          <c:spPr>
            <a:solidFill>
              <a:schemeClr val="accent1"/>
            </a:solidFill>
            <a:ln>
              <a:noFill/>
            </a:ln>
            <a:effectLst/>
          </c:spPr>
          <c:invertIfNegative val="0"/>
          <c:dLbls>
            <c:delete val="1"/>
          </c:dLbls>
          <c:cat>
            <c:strRef>
              <c:f>[工作簿1]Sheet1!$A$2:$A$3</c:f>
              <c:strCache>
                <c:ptCount val="2"/>
                <c:pt idx="0">
                  <c:v>2021年</c:v>
                </c:pt>
                <c:pt idx="1">
                  <c:v>2022年</c:v>
                </c:pt>
              </c:strCache>
            </c:strRef>
          </c:cat>
          <c:val>
            <c:numRef>
              <c:f>[工作簿1]Sheet1!$B$2:$B$3</c:f>
              <c:numCache>
                <c:formatCode>General</c:formatCode>
                <c:ptCount val="2"/>
                <c:pt idx="0">
                  <c:v>469.59</c:v>
                </c:pt>
                <c:pt idx="1">
                  <c:v>153.64</c:v>
                </c:pt>
              </c:numCache>
            </c:numRef>
          </c:val>
        </c:ser>
        <c:dLbls>
          <c:showLegendKey val="0"/>
          <c:showVal val="1"/>
          <c:showCatName val="0"/>
          <c:showSerName val="0"/>
          <c:showPercent val="0"/>
          <c:showBubbleSize val="0"/>
        </c:dLbls>
        <c:gapWidth val="150"/>
        <c:overlap val="0"/>
        <c:axId val="884943597"/>
        <c:axId val="541958449"/>
      </c:barChart>
      <c:catAx>
        <c:axId val="884943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958449"/>
        <c:crosses val="autoZero"/>
        <c:auto val="1"/>
        <c:lblAlgn val="ctr"/>
        <c:lblOffset val="100"/>
        <c:noMultiLvlLbl val="0"/>
      </c:catAx>
      <c:valAx>
        <c:axId val="5419584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943597"/>
        <c:crosses val="autoZero"/>
        <c:crossBetween val="between"/>
      </c:valAx>
      <c:spPr>
        <a:noFill/>
        <a:ln>
          <a:noFill/>
        </a:ln>
        <a:effectLst/>
      </c:spPr>
    </c:plotArea>
    <c:legend>
      <c:legendPos val="r"/>
      <c:layout>
        <c:manualLayout>
          <c:xMode val="edge"/>
          <c:yMode val="edge"/>
          <c:x val="0.761388888888889"/>
          <c:y val="0.468518518518519"/>
          <c:w val="0.221944444444444"/>
          <c:h val="0.14050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[工作簿1]Sheet1!$D$17</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116666666666667"/>
                  <c:y val="0.004629629629629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291666666666667"/>
                  <c:y val="-0.023148148148148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722222222222222"/>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[工作簿1]Sheet1!$C$18:$C$22</c:f>
              <c:strCache>
                <c:ptCount val="5"/>
                <c:pt idx="0">
                  <c:v>一般公共服务支出</c:v>
                </c:pt>
                <c:pt idx="1">
                  <c:v>文化旅游体育与传媒支出</c:v>
                </c:pt>
                <c:pt idx="2">
                  <c:v>社会保障和就业支出</c:v>
                </c:pt>
                <c:pt idx="3">
                  <c:v>卫生健康支出</c:v>
                </c:pt>
                <c:pt idx="4">
                  <c:v>住房保障支出</c:v>
                </c:pt>
              </c:strCache>
            </c:strRef>
          </c:cat>
          <c:val>
            <c:numRef>
              <c:f>[工作簿1]Sheet1!$D$18:$D$22</c:f>
              <c:numCache>
                <c:formatCode>General</c:formatCode>
                <c:ptCount val="5"/>
                <c:pt idx="0">
                  <c:v>109.37</c:v>
                </c:pt>
                <c:pt idx="1">
                  <c:v>30.43</c:v>
                </c:pt>
                <c:pt idx="2">
                  <c:v>5.83</c:v>
                </c:pt>
                <c:pt idx="3">
                  <c:v>3.42</c:v>
                </c:pt>
                <c:pt idx="4">
                  <c:v>4.59</c:v>
                </c:pt>
              </c:numCache>
            </c:numRef>
          </c:val>
        </c:ser>
        <c:ser>
          <c:idx val="1"/>
          <c:order val="1"/>
          <c:tx>
            <c:strRef>
              <c:f>[工作簿1]Sheet1!$E$17</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[工作簿1]Sheet1!$C$18:$C$22</c:f>
              <c:strCache>
                <c:ptCount val="5"/>
                <c:pt idx="0">
                  <c:v>一般公共服务支出</c:v>
                </c:pt>
                <c:pt idx="1">
                  <c:v>文化旅游体育与传媒支出</c:v>
                </c:pt>
                <c:pt idx="2">
                  <c:v>社会保障和就业支出</c:v>
                </c:pt>
                <c:pt idx="3">
                  <c:v>卫生健康支出</c:v>
                </c:pt>
                <c:pt idx="4">
                  <c:v>住房保障支出</c:v>
                </c:pt>
              </c:strCache>
            </c:strRef>
          </c:cat>
          <c:val>
            <c:numRef>
              <c:f>[工作簿1]Sheet1!$E$18:$E$22</c:f>
              <c:numCache>
                <c:formatCode>0.00%</c:formatCode>
                <c:ptCount val="5"/>
                <c:pt idx="0">
                  <c:v>0.711858890913825</c:v>
                </c:pt>
                <c:pt idx="1">
                  <c:v>0.198060400937256</c:v>
                </c:pt>
                <c:pt idx="2">
                  <c:v>0.0379458474355637</c:v>
                </c:pt>
                <c:pt idx="3">
                  <c:v>0.0222598281697475</c:v>
                </c:pt>
                <c:pt idx="4">
                  <c:v>0.0298750325436084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[工作簿1]Sheet1!$B$27</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38888888888889"/>
                  <c:y val="0.0023148148148148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832739082461809"/>
                  <c:y val="0.0025636810745840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[工作簿1]Sheet1!$A$28:$A$30</c:f>
              <c:strCache>
                <c:ptCount val="3"/>
                <c:pt idx="0">
                  <c:v>因公出国（境）费</c:v>
                </c:pt>
                <c:pt idx="1">
                  <c:v>公务用车购置及运行维护费</c:v>
                </c:pt>
                <c:pt idx="2">
                  <c:v>公务接待费支出</c:v>
                </c:pt>
              </c:strCache>
            </c:strRef>
          </c:cat>
          <c:val>
            <c:numRef>
              <c:f>[工作簿1]Sheet1!$B$28:$B$30</c:f>
              <c:numCache>
                <c:formatCode>General</c:formatCode>
                <c:ptCount val="3"/>
                <c:pt idx="0">
                  <c:v>0</c:v>
                </c:pt>
                <c:pt idx="1">
                  <c:v>9.98</c:v>
                </c:pt>
                <c:pt idx="2">
                  <c:v>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目录"/>
    </customSectPr>
    <customSectPr>
      <sectNamePr val="第一部分 部门概况"/>
    </customSectPr>
    <customSectPr>
      <sectNamePr val="第二部分 2022年度部门决算情况说明"/>
    </customSectPr>
    <customSectPr>
      <sectNamePr val="第四部分 附件"/>
    </customSectPr>
    <customSectPr/>
    <customSectPr>
      <sectNamePr val="第三部分 名词解释"/>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11327</Words>
  <Characters>12160</Characters>
  <Lines>61</Lines>
  <Paragraphs>17</Paragraphs>
  <TotalTime>5</TotalTime>
  <ScaleCrop>false</ScaleCrop>
  <LinksUpToDate>false</LinksUpToDate>
  <CharactersWithSpaces>12732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2023-09-22T03:40:36Z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2FB573CA0E884645B10AF0ED1DD3D190_12</vt:lpwstr>
  </property>
</Properties>
</file>