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b/>
          <w:bCs/>
          <w:color w:val="000000"/>
          <w:sz w:val="72"/>
          <w:szCs w:val="72"/>
        </w:rPr>
      </w:pPr>
      <w:bookmarkStart w:id="1" w:name="_Toc15396597"/>
      <w:bookmarkStart w:id="2" w:name="_Toc7333"/>
      <w:bookmarkStart w:id="3" w:name="_Toc30347"/>
      <w:bookmarkStart w:id="4" w:name="_Toc14417"/>
      <w:bookmarkStart w:id="5" w:name="_Toc15396475"/>
      <w:bookmarkStart w:id="6" w:name="_Toc15378441"/>
      <w:bookmarkStart w:id="7" w:name="_Toc26596"/>
      <w:bookmarkStart w:id="8" w:name="_Toc21665"/>
      <w:bookmarkStart w:id="9" w:name="_Toc15377425"/>
      <w:bookmarkStart w:id="10" w:name="_Toc15377193"/>
      <w:r>
        <w:rPr>
          <w:rFonts w:hint="eastAsia" w:ascii="黑体" w:hAnsi="黑体" w:eastAsia="黑体"/>
          <w:b/>
          <w:bCs/>
          <w:color w:val="000000"/>
          <w:sz w:val="72"/>
          <w:szCs w:val="72"/>
          <w:lang w:eastAsia="zh-CN"/>
        </w:rPr>
        <w:t>2022</w:t>
      </w:r>
      <w:r>
        <w:rPr>
          <w:rFonts w:hint="eastAsia" w:ascii="黑体" w:hAnsi="黑体" w:eastAsia="黑体"/>
          <w:b/>
          <w:bCs/>
          <w:color w:val="000000"/>
          <w:sz w:val="72"/>
          <w:szCs w:val="72"/>
        </w:rPr>
        <w:t>年度</w:t>
      </w:r>
      <w:bookmarkEnd w:id="1"/>
      <w:bookmarkEnd w:id="2"/>
      <w:bookmarkEnd w:id="3"/>
      <w:bookmarkEnd w:id="4"/>
      <w:bookmarkEnd w:id="5"/>
      <w:bookmarkEnd w:id="6"/>
      <w:bookmarkEnd w:id="7"/>
      <w:bookmarkEnd w:id="8"/>
      <w:bookmarkEnd w:id="9"/>
      <w:bookmarkEnd w:id="10"/>
    </w:p>
    <w:p>
      <w:pPr>
        <w:spacing w:line="600" w:lineRule="exact"/>
        <w:jc w:val="center"/>
        <w:outlineLvl w:val="9"/>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1" w:name="_Toc15306268"/>
      <w:bookmarkStart w:id="12" w:name="_Toc15591"/>
      <w:bookmarkStart w:id="13" w:name="_Toc23831"/>
      <w:bookmarkStart w:id="14" w:name="_Toc26636"/>
      <w:bookmarkStart w:id="15" w:name="_Toc17041"/>
      <w:bookmarkStart w:id="16" w:name="_Toc15378442"/>
      <w:bookmarkStart w:id="17" w:name="_Toc15377194"/>
      <w:bookmarkStart w:id="18" w:name="_Toc13230"/>
      <w:bookmarkStart w:id="19" w:name="_Toc15396598"/>
      <w:bookmarkStart w:id="20" w:name="_Toc15377426"/>
      <w:bookmarkStart w:id="21" w:name="_Toc15396476"/>
      <w:r>
        <w:rPr>
          <w:rFonts w:hint="eastAsia" w:ascii="方正小标宋简体" w:hAnsi="宋体" w:eastAsia="方正小标宋简体"/>
          <w:color w:val="000000"/>
          <w:sz w:val="72"/>
          <w:szCs w:val="72"/>
        </w:rPr>
        <w:t>四川省遂宁市安居区现代农业产业园区管理委员会部门决算</w:t>
      </w:r>
      <w:bookmarkEnd w:id="11"/>
      <w:bookmarkEnd w:id="12"/>
      <w:bookmarkEnd w:id="13"/>
      <w:bookmarkEnd w:id="14"/>
      <w:bookmarkEnd w:id="15"/>
      <w:bookmarkEnd w:id="16"/>
      <w:bookmarkEnd w:id="17"/>
      <w:bookmarkEnd w:id="18"/>
      <w:bookmarkEnd w:id="19"/>
      <w:bookmarkEnd w:id="20"/>
      <w:bookmarkEnd w:id="21"/>
    </w:p>
    <w:p>
      <w:pPr>
        <w:pStyle w:val="3"/>
        <w:outlineLvl w:val="9"/>
        <w:rPr>
          <w:rFonts w:hint="eastAsia" w:ascii="黑体" w:hAnsi="黑体" w:eastAsia="黑体" w:cs="黑体"/>
          <w:color w:val="000000"/>
          <w:sz w:val="72"/>
          <w:szCs w:val="72"/>
        </w:rPr>
      </w:pPr>
    </w:p>
    <w:p>
      <w:pPr>
        <w:rPr>
          <w:rFonts w:hint="eastAsia" w:ascii="黑体" w:hAnsi="黑体" w:eastAsia="黑体" w:cs="黑体"/>
          <w:color w:val="000000"/>
          <w:sz w:val="72"/>
          <w:szCs w:val="72"/>
        </w:rPr>
      </w:pPr>
    </w:p>
    <w:p>
      <w:pPr>
        <w:rPr>
          <w:rFonts w:hint="eastAsia" w:ascii="黑体" w:hAnsi="黑体" w:eastAsia="黑体" w:cs="黑体"/>
          <w:color w:val="000000"/>
          <w:sz w:val="72"/>
          <w:szCs w:val="72"/>
        </w:rPr>
      </w:pPr>
    </w:p>
    <w:p>
      <w:pPr>
        <w:pStyle w:val="3"/>
        <w:outlineLvl w:val="0"/>
        <w:rPr>
          <w:rFonts w:hint="default" w:ascii="黑体" w:hAnsi="黑体" w:eastAsia="黑体" w:cs="Times New Roman"/>
          <w:b w:val="0"/>
          <w:bCs w:val="0"/>
          <w:color w:val="000000"/>
          <w:kern w:val="2"/>
          <w:sz w:val="48"/>
          <w:szCs w:val="48"/>
          <w:lang w:val="en-US" w:eastAsia="zh-CN" w:bidi="ar-SA"/>
        </w:rPr>
      </w:pPr>
      <w:r>
        <w:rPr>
          <w:rFonts w:hint="eastAsia" w:ascii="黑体" w:hAnsi="黑体" w:eastAsia="黑体" w:cs="黑体"/>
          <w:color w:val="000000"/>
          <w:sz w:val="72"/>
          <w:szCs w:val="72"/>
          <w:lang w:val="en-US" w:eastAsia="zh-CN"/>
        </w:rPr>
        <w:t xml:space="preserve">          </w:t>
      </w:r>
      <w:r>
        <w:rPr>
          <w:rFonts w:hint="eastAsia" w:ascii="黑体" w:hAnsi="黑体" w:eastAsia="黑体" w:cs="Times New Roman"/>
          <w:b w:val="0"/>
          <w:bCs w:val="0"/>
          <w:color w:val="000000"/>
          <w:kern w:val="2"/>
          <w:sz w:val="48"/>
          <w:szCs w:val="48"/>
          <w:lang w:val="en-US" w:eastAsia="zh-CN" w:bidi="ar-SA"/>
        </w:rPr>
        <w:t xml:space="preserve"> </w:t>
      </w:r>
      <w:bookmarkStart w:id="22" w:name="_Toc1020"/>
      <w:bookmarkStart w:id="23" w:name="_Toc15074"/>
      <w:bookmarkStart w:id="24" w:name="_Toc10625"/>
      <w:bookmarkStart w:id="25" w:name="_Toc10072"/>
      <w:r>
        <w:rPr>
          <w:rFonts w:hint="eastAsia" w:ascii="黑体" w:hAnsi="黑体" w:eastAsia="黑体" w:cs="Times New Roman"/>
          <w:b w:val="0"/>
          <w:bCs w:val="0"/>
          <w:color w:val="000000"/>
          <w:kern w:val="2"/>
          <w:sz w:val="48"/>
          <w:szCs w:val="48"/>
          <w:lang w:val="en-US" w:eastAsia="zh-CN" w:bidi="ar-SA"/>
        </w:rPr>
        <w:t>目录</w:t>
      </w:r>
      <w:bookmarkEnd w:id="22"/>
      <w:bookmarkEnd w:id="23"/>
      <w:bookmarkEnd w:id="24"/>
      <w:bookmarkEnd w:id="25"/>
    </w:p>
    <w:p>
      <w:pPr>
        <w:pStyle w:val="14"/>
        <w:rPr>
          <w:rFonts w:hint="eastAsia"/>
          <w:color w:val="auto"/>
          <w:highlight w:val="none"/>
        </w:rPr>
      </w:pPr>
      <w:r>
        <w:rPr>
          <w:rFonts w:hint="eastAsia"/>
          <w:color w:val="auto"/>
          <w:highlight w:val="none"/>
        </w:rPr>
        <w:t>公开时间：202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25 </w:t>
      </w:r>
      <w:r>
        <w:rPr>
          <w:rFonts w:hint="eastAsia"/>
          <w:color w:val="auto"/>
          <w:highlight w:val="none"/>
        </w:rPr>
        <w:t>日</w:t>
      </w:r>
    </w:p>
    <w:p/>
    <w:sdt>
      <w:sdtPr>
        <w:rPr>
          <w:rFonts w:ascii="宋体" w:hAnsi="宋体" w:eastAsia="宋体" w:cs="Times New Roman"/>
          <w:kern w:val="2"/>
          <w:sz w:val="21"/>
          <w:szCs w:val="24"/>
          <w:lang w:val="en-US" w:eastAsia="zh-CN" w:bidi="ar-SA"/>
        </w:rPr>
        <w:id w:val="14747528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41"/>
            <w:tabs>
              <w:tab w:val="right" w:leader="dot" w:pos="8306"/>
            </w:tabs>
          </w:pPr>
          <w:r>
            <w:fldChar w:fldCharType="begin"/>
          </w:r>
          <w:r>
            <w:instrText xml:space="preserve">TOC \o "1-2" \h \u </w:instrText>
          </w:r>
          <w:r>
            <w:fldChar w:fldCharType="separate"/>
          </w:r>
        </w:p>
        <w:p>
          <w:pPr>
            <w:pStyle w:val="40"/>
            <w:tabs>
              <w:tab w:val="right" w:leader="dot" w:pos="8306"/>
            </w:tabs>
            <w:rPr>
              <w:b/>
            </w:rPr>
          </w:pPr>
          <w:r>
            <w:rPr>
              <w:b/>
            </w:rPr>
            <w:fldChar w:fldCharType="begin"/>
          </w:r>
          <w:r>
            <w:rPr>
              <w:b/>
            </w:rPr>
            <w:instrText xml:space="preserve"> HYPERLINK \l _Toc8267 </w:instrText>
          </w:r>
          <w:r>
            <w:rPr>
              <w:b/>
            </w:rPr>
            <w:fldChar w:fldCharType="separate"/>
          </w:r>
          <w:r>
            <w:rPr>
              <w:rFonts w:hint="eastAsia" w:ascii="仿宋" w:hAnsi="仿宋" w:eastAsia="仿宋" w:cs="Times New Roman"/>
              <w:color w:val="auto"/>
              <w:kern w:val="2"/>
              <w:sz w:val="24"/>
              <w:szCs w:val="28"/>
              <w:highlight w:val="none"/>
              <w:lang w:val="en-US" w:eastAsia="zh-CN" w:bidi="ar-SA"/>
            </w:rPr>
            <w:t>第一部分 部门概况</w:t>
          </w:r>
          <w:r>
            <w:rPr>
              <w:rFonts w:hint="eastAsia" w:ascii="仿宋" w:hAnsi="仿宋" w:eastAsia="仿宋" w:cs="Times New Roman"/>
              <w:color w:val="auto"/>
              <w:kern w:val="2"/>
              <w:sz w:val="24"/>
              <w:szCs w:val="28"/>
              <w:highlight w:val="none"/>
              <w:lang w:val="en-US" w:eastAsia="zh-CN" w:bidi="ar-SA"/>
            </w:rPr>
            <w:tab/>
          </w:r>
          <w:r>
            <w:rPr>
              <w:b/>
            </w:rPr>
            <w:fldChar w:fldCharType="begin"/>
          </w:r>
          <w:r>
            <w:rPr>
              <w:b/>
            </w:rPr>
            <w:instrText xml:space="preserve"> PAGEREF _Toc8267 \h </w:instrText>
          </w:r>
          <w:r>
            <w:rPr>
              <w:b/>
            </w:rPr>
            <w:fldChar w:fldCharType="separate"/>
          </w:r>
          <w:r>
            <w:rPr>
              <w:b/>
            </w:rPr>
            <w:t>- 4 -</w:t>
          </w:r>
          <w:r>
            <w:rPr>
              <w:b/>
            </w:rPr>
            <w:fldChar w:fldCharType="end"/>
          </w:r>
          <w:r>
            <w:rPr>
              <w:b/>
            </w:rPr>
            <w:fldChar w:fldCharType="end"/>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_Toc27150 </w:instrText>
          </w:r>
          <w:r>
            <w:rPr>
              <w:rFonts w:hint="eastAsia"/>
              <w:color w:val="auto"/>
              <w:sz w:val="24"/>
              <w:highlight w:val="none"/>
            </w:rPr>
            <w:fldChar w:fldCharType="separate"/>
          </w: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_Toc27150 \h </w:instrText>
          </w:r>
          <w:r>
            <w:rPr>
              <w:rFonts w:hint="eastAsia"/>
              <w:color w:val="auto"/>
              <w:sz w:val="24"/>
              <w:highlight w:val="none"/>
            </w:rPr>
            <w:fldChar w:fldCharType="separate"/>
          </w:r>
          <w:r>
            <w:rPr>
              <w:rFonts w:hint="eastAsia"/>
              <w:color w:val="auto"/>
              <w:sz w:val="24"/>
              <w:highlight w:val="none"/>
            </w:rPr>
            <w:t>- 4 -</w:t>
          </w:r>
          <w:r>
            <w:rPr>
              <w:rFonts w:hint="eastAsia"/>
              <w:color w:val="auto"/>
              <w:sz w:val="24"/>
              <w:highlight w:val="none"/>
            </w:rPr>
            <w:fldChar w:fldCharType="end"/>
          </w:r>
          <w:r>
            <w:rPr>
              <w:rFonts w:hint="eastAsia"/>
              <w:color w:val="auto"/>
              <w:sz w:val="24"/>
              <w:highlight w:val="none"/>
            </w:rPr>
            <w:fldChar w:fldCharType="end"/>
          </w:r>
        </w:p>
        <w:p>
          <w:pPr>
            <w:pStyle w:val="15"/>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_Toc7584 </w:instrText>
          </w:r>
          <w:r>
            <w:rPr>
              <w:rFonts w:hint="eastAsia"/>
              <w:color w:val="auto"/>
              <w:sz w:val="24"/>
              <w:highlight w:val="none"/>
              <w:lang w:val="en-US" w:eastAsia="zh-CN"/>
            </w:rPr>
            <w:fldChar w:fldCharType="separate"/>
          </w:r>
          <w:r>
            <w:rPr>
              <w:rFonts w:hint="eastAsia"/>
              <w:color w:val="auto"/>
              <w:sz w:val="24"/>
              <w:highlight w:val="none"/>
              <w:lang w:val="en-US" w:eastAsia="zh-CN"/>
            </w:rPr>
            <w:t>二、机构设置</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_Toc7584 \h </w:instrText>
          </w:r>
          <w:r>
            <w:rPr>
              <w:rFonts w:hint="eastAsia"/>
              <w:color w:val="auto"/>
              <w:sz w:val="24"/>
              <w:highlight w:val="none"/>
              <w:lang w:val="en-US" w:eastAsia="zh-CN"/>
            </w:rPr>
            <w:fldChar w:fldCharType="separate"/>
          </w:r>
          <w:r>
            <w:rPr>
              <w:rFonts w:hint="eastAsia"/>
              <w:color w:val="auto"/>
              <w:sz w:val="24"/>
              <w:highlight w:val="none"/>
              <w:lang w:val="en-US" w:eastAsia="zh-CN"/>
            </w:rPr>
            <w:t>- 5 -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40"/>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_Toc7952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第二部分 2022年度部门决算情况说明</w:t>
          </w:r>
          <w:r>
            <w:rPr>
              <w:rFonts w:hint="eastAsia" w:ascii="仿宋" w:hAnsi="仿宋" w:eastAsia="仿宋" w:cs="Times New Roman"/>
              <w:color w:val="auto"/>
              <w:kern w:val="2"/>
              <w:sz w:val="24"/>
              <w:szCs w:val="28"/>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_Toc7952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- 6 -</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_Toc32665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一、 </w:t>
          </w:r>
          <w:r>
            <w:rPr>
              <w:rFonts w:hint="eastAsia"/>
              <w:color w:val="auto"/>
              <w:sz w:val="24"/>
              <w:highlight w:val="none"/>
              <w:lang w:val="en-US" w:eastAsia="zh-CN"/>
            </w:rPr>
            <w:t>收入支出决算总体情况说明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_Toc32665 \h </w:instrText>
          </w:r>
          <w:r>
            <w:rPr>
              <w:rFonts w:hint="eastAsia"/>
              <w:color w:val="auto"/>
              <w:sz w:val="24"/>
              <w:highlight w:val="none"/>
              <w:lang w:val="en-US" w:eastAsia="zh-CN"/>
            </w:rPr>
            <w:fldChar w:fldCharType="separate"/>
          </w:r>
          <w:r>
            <w:rPr>
              <w:rFonts w:hint="eastAsia"/>
              <w:color w:val="auto"/>
              <w:sz w:val="24"/>
              <w:highlight w:val="none"/>
              <w:lang w:val="en-US" w:eastAsia="zh-CN"/>
            </w:rPr>
            <w:t>- 6 -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_Toc1953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二、 </w:t>
          </w:r>
          <w:r>
            <w:rPr>
              <w:rFonts w:hint="eastAsia"/>
              <w:color w:val="auto"/>
              <w:sz w:val="24"/>
              <w:highlight w:val="none"/>
              <w:lang w:val="en-US" w:eastAsia="zh-CN"/>
            </w:rPr>
            <w:t>收入决算情况说明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_Toc1953 \h </w:instrText>
          </w:r>
          <w:r>
            <w:rPr>
              <w:rFonts w:hint="eastAsia"/>
              <w:color w:val="auto"/>
              <w:sz w:val="24"/>
              <w:highlight w:val="none"/>
              <w:lang w:val="en-US" w:eastAsia="zh-CN"/>
            </w:rPr>
            <w:fldChar w:fldCharType="separate"/>
          </w:r>
          <w:r>
            <w:rPr>
              <w:rFonts w:hint="eastAsia"/>
              <w:color w:val="auto"/>
              <w:sz w:val="24"/>
              <w:highlight w:val="none"/>
              <w:lang w:val="en-US" w:eastAsia="zh-CN"/>
            </w:rPr>
            <w:t>- 6 -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_Toc20189 </w:instrText>
          </w:r>
          <w:r>
            <w:rPr>
              <w:rFonts w:hint="eastAsia"/>
              <w:color w:val="auto"/>
              <w:sz w:val="24"/>
              <w:highlight w:val="none"/>
              <w:lang w:val="en-US" w:eastAsia="zh-CN"/>
            </w:rPr>
            <w:fldChar w:fldCharType="separate"/>
          </w:r>
          <w:r>
            <w:rPr>
              <w:rFonts w:hint="default"/>
              <w:color w:val="auto"/>
              <w:sz w:val="24"/>
              <w:highlight w:val="none"/>
              <w:lang w:val="en-US" w:eastAsia="zh-CN"/>
            </w:rPr>
            <w:t xml:space="preserve">三、 </w:t>
          </w:r>
          <w:r>
            <w:rPr>
              <w:rFonts w:hint="eastAsia"/>
              <w:color w:val="auto"/>
              <w:sz w:val="24"/>
              <w:highlight w:val="none"/>
              <w:lang w:val="en-US" w:eastAsia="zh-CN"/>
            </w:rPr>
            <w:t>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_Toc20189 \h </w:instrText>
          </w:r>
          <w:r>
            <w:rPr>
              <w:rFonts w:hint="eastAsia"/>
              <w:color w:val="auto"/>
              <w:sz w:val="24"/>
              <w:highlight w:val="none"/>
              <w:lang w:val="en-US" w:eastAsia="zh-CN"/>
            </w:rPr>
            <w:fldChar w:fldCharType="separate"/>
          </w:r>
          <w:r>
            <w:rPr>
              <w:rFonts w:hint="eastAsia"/>
              <w:color w:val="auto"/>
              <w:sz w:val="24"/>
              <w:highlight w:val="none"/>
              <w:lang w:val="en-US" w:eastAsia="zh-CN"/>
            </w:rPr>
            <w:t>- 7 -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_Toc21959 </w:instrText>
          </w:r>
          <w:r>
            <w:rPr>
              <w:rFonts w:hint="eastAsia"/>
              <w:color w:val="auto"/>
              <w:sz w:val="24"/>
              <w:highlight w:val="none"/>
              <w:lang w:val="en-US" w:eastAsia="zh-CN"/>
            </w:rPr>
            <w:fldChar w:fldCharType="separate"/>
          </w:r>
          <w:r>
            <w:rPr>
              <w:rFonts w:hint="eastAsia"/>
              <w:color w:val="auto"/>
              <w:sz w:val="24"/>
              <w:highlight w:val="none"/>
              <w:lang w:val="en-US" w:eastAsia="zh-CN"/>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_Toc21959 \h </w:instrText>
          </w:r>
          <w:r>
            <w:rPr>
              <w:rFonts w:hint="eastAsia"/>
              <w:color w:val="auto"/>
              <w:sz w:val="24"/>
              <w:highlight w:val="none"/>
              <w:lang w:val="en-US" w:eastAsia="zh-CN"/>
            </w:rPr>
            <w:fldChar w:fldCharType="separate"/>
          </w:r>
          <w:r>
            <w:rPr>
              <w:rFonts w:hint="eastAsia"/>
              <w:color w:val="auto"/>
              <w:sz w:val="24"/>
              <w:highlight w:val="none"/>
              <w:lang w:val="en-US" w:eastAsia="zh-CN"/>
            </w:rPr>
            <w:t>- 8 -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_Toc19034 </w:instrText>
          </w:r>
          <w:r>
            <w:rPr>
              <w:rFonts w:hint="eastAsia"/>
              <w:color w:val="auto"/>
              <w:sz w:val="24"/>
              <w:highlight w:val="none"/>
              <w:lang w:val="en-US" w:eastAsia="zh-CN"/>
            </w:rPr>
            <w:fldChar w:fldCharType="separate"/>
          </w:r>
          <w:r>
            <w:rPr>
              <w:rFonts w:hint="eastAsia"/>
              <w:color w:val="auto"/>
              <w:sz w:val="24"/>
              <w:highlight w:val="none"/>
              <w:lang w:val="en-US" w:eastAsia="zh-CN"/>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_Toc19034 \h </w:instrText>
          </w:r>
          <w:r>
            <w:rPr>
              <w:rFonts w:hint="eastAsia"/>
              <w:color w:val="auto"/>
              <w:sz w:val="24"/>
              <w:highlight w:val="none"/>
              <w:lang w:val="en-US" w:eastAsia="zh-CN"/>
            </w:rPr>
            <w:fldChar w:fldCharType="separate"/>
          </w:r>
          <w:r>
            <w:rPr>
              <w:rFonts w:hint="eastAsia"/>
              <w:color w:val="auto"/>
              <w:sz w:val="24"/>
              <w:highlight w:val="none"/>
              <w:lang w:val="en-US" w:eastAsia="zh-CN"/>
            </w:rPr>
            <w:t>- 9 -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_Toc6109 </w:instrText>
          </w:r>
          <w:r>
            <w:rPr>
              <w:rFonts w:hint="eastAsia"/>
              <w:color w:val="auto"/>
              <w:sz w:val="24"/>
              <w:highlight w:val="none"/>
              <w:lang w:val="en-US" w:eastAsia="zh-CN"/>
            </w:rPr>
            <w:fldChar w:fldCharType="separate"/>
          </w:r>
          <w:r>
            <w:rPr>
              <w:rFonts w:hint="eastAsia"/>
              <w:color w:val="auto"/>
              <w:sz w:val="24"/>
              <w:highlight w:val="none"/>
              <w:lang w:val="en-US" w:eastAsia="zh-CN"/>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_Toc6109 \h </w:instrText>
          </w:r>
          <w:r>
            <w:rPr>
              <w:rFonts w:hint="eastAsia"/>
              <w:color w:val="auto"/>
              <w:sz w:val="24"/>
              <w:highlight w:val="none"/>
              <w:lang w:val="en-US" w:eastAsia="zh-CN"/>
            </w:rPr>
            <w:fldChar w:fldCharType="separate"/>
          </w:r>
          <w:r>
            <w:rPr>
              <w:rFonts w:hint="eastAsia"/>
              <w:color w:val="auto"/>
              <w:sz w:val="24"/>
              <w:highlight w:val="none"/>
              <w:lang w:val="en-US" w:eastAsia="zh-CN"/>
            </w:rPr>
            <w:t>- 11 -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_Toc14117 </w:instrText>
          </w:r>
          <w:r>
            <w:rPr>
              <w:rFonts w:hint="eastAsia"/>
              <w:color w:val="auto"/>
              <w:sz w:val="24"/>
              <w:highlight w:val="none"/>
              <w:lang w:val="en-US" w:eastAsia="zh-CN"/>
            </w:rPr>
            <w:fldChar w:fldCharType="separate"/>
          </w:r>
          <w:r>
            <w:rPr>
              <w:rFonts w:hint="eastAsia"/>
              <w:color w:val="auto"/>
              <w:sz w:val="24"/>
              <w:highlight w:val="none"/>
              <w:lang w:val="en-US" w:eastAsia="zh-CN"/>
            </w:rPr>
            <w:t>七、“三公”经费财政拨款支出决算情况说明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_Toc14117 \h </w:instrText>
          </w:r>
          <w:r>
            <w:rPr>
              <w:rFonts w:hint="eastAsia"/>
              <w:color w:val="auto"/>
              <w:sz w:val="24"/>
              <w:highlight w:val="none"/>
              <w:lang w:val="en-US" w:eastAsia="zh-CN"/>
            </w:rPr>
            <w:fldChar w:fldCharType="separate"/>
          </w:r>
          <w:r>
            <w:rPr>
              <w:rFonts w:hint="eastAsia"/>
              <w:color w:val="auto"/>
              <w:sz w:val="24"/>
              <w:highlight w:val="none"/>
              <w:lang w:val="en-US" w:eastAsia="zh-CN"/>
            </w:rPr>
            <w:t>- 12 -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_Toc12504 </w:instrText>
          </w:r>
          <w:r>
            <w:rPr>
              <w:rFonts w:hint="eastAsia"/>
              <w:color w:val="auto"/>
              <w:sz w:val="24"/>
              <w:highlight w:val="none"/>
              <w:lang w:val="en-US" w:eastAsia="zh-CN"/>
            </w:rPr>
            <w:fldChar w:fldCharType="separate"/>
          </w:r>
          <w:r>
            <w:rPr>
              <w:rFonts w:hint="eastAsia"/>
              <w:color w:val="auto"/>
              <w:sz w:val="24"/>
              <w:highlight w:val="none"/>
              <w:lang w:val="en-US" w:eastAsia="zh-CN"/>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_Toc12504 \h </w:instrText>
          </w:r>
          <w:r>
            <w:rPr>
              <w:rFonts w:hint="eastAsia"/>
              <w:color w:val="auto"/>
              <w:sz w:val="24"/>
              <w:highlight w:val="none"/>
              <w:lang w:val="en-US" w:eastAsia="zh-CN"/>
            </w:rPr>
            <w:fldChar w:fldCharType="separate"/>
          </w:r>
          <w:r>
            <w:rPr>
              <w:rFonts w:hint="eastAsia"/>
              <w:color w:val="auto"/>
              <w:sz w:val="24"/>
              <w:highlight w:val="none"/>
              <w:lang w:val="en-US" w:eastAsia="zh-CN"/>
            </w:rPr>
            <w:t>- 13 -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_Toc6537 </w:instrText>
          </w:r>
          <w:r>
            <w:rPr>
              <w:rFonts w:hint="eastAsia"/>
              <w:color w:val="auto"/>
              <w:sz w:val="24"/>
              <w:highlight w:val="none"/>
              <w:lang w:val="en-US" w:eastAsia="zh-CN"/>
            </w:rPr>
            <w:fldChar w:fldCharType="separate"/>
          </w:r>
          <w:r>
            <w:rPr>
              <w:rFonts w:hint="eastAsia"/>
              <w:color w:val="auto"/>
              <w:sz w:val="24"/>
              <w:highlight w:val="none"/>
              <w:lang w:val="en-US" w:eastAsia="zh-CN"/>
            </w:rPr>
            <w:t>九、 国有资本经营预算支出决算情况说明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_Toc6537 \h </w:instrText>
          </w:r>
          <w:r>
            <w:rPr>
              <w:rFonts w:hint="eastAsia"/>
              <w:color w:val="auto"/>
              <w:sz w:val="24"/>
              <w:highlight w:val="none"/>
              <w:lang w:val="en-US" w:eastAsia="zh-CN"/>
            </w:rPr>
            <w:fldChar w:fldCharType="separate"/>
          </w:r>
          <w:r>
            <w:rPr>
              <w:rFonts w:hint="eastAsia"/>
              <w:color w:val="auto"/>
              <w:sz w:val="24"/>
              <w:highlight w:val="none"/>
              <w:lang w:val="en-US" w:eastAsia="zh-CN"/>
            </w:rPr>
            <w:t>- 13 -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_Toc2245 </w:instrText>
          </w:r>
          <w:r>
            <w:rPr>
              <w:rFonts w:hint="eastAsia"/>
              <w:color w:val="auto"/>
              <w:sz w:val="24"/>
              <w:highlight w:val="none"/>
              <w:lang w:val="en-US" w:eastAsia="zh-CN"/>
            </w:rPr>
            <w:fldChar w:fldCharType="separate"/>
          </w:r>
          <w:r>
            <w:rPr>
              <w:rFonts w:hint="eastAsia"/>
              <w:color w:val="auto"/>
              <w:sz w:val="24"/>
              <w:highlight w:val="none"/>
              <w:lang w:val="en-US" w:eastAsia="zh-CN"/>
            </w:rPr>
            <w:t>十、其他重要事项的情况说明</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_Toc2245 \h </w:instrText>
          </w:r>
          <w:r>
            <w:rPr>
              <w:rFonts w:hint="eastAsia"/>
              <w:color w:val="auto"/>
              <w:sz w:val="24"/>
              <w:highlight w:val="none"/>
              <w:lang w:val="en-US" w:eastAsia="zh-CN"/>
            </w:rPr>
            <w:fldChar w:fldCharType="separate"/>
          </w:r>
          <w:r>
            <w:rPr>
              <w:rFonts w:hint="eastAsia"/>
              <w:color w:val="auto"/>
              <w:sz w:val="24"/>
              <w:highlight w:val="none"/>
              <w:lang w:val="en-US" w:eastAsia="zh-CN"/>
            </w:rPr>
            <w:t>- 13 -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40"/>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_Toc32532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仿宋" w:hAnsi="仿宋" w:eastAsia="仿宋" w:cs="Times New Roman"/>
              <w:color w:val="auto"/>
              <w:kern w:val="2"/>
              <w:sz w:val="24"/>
              <w:szCs w:val="28"/>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_Toc32532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- 16 -</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40"/>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_Toc32659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第四部分 附件</w:t>
          </w:r>
          <w:r>
            <w:rPr>
              <w:rFonts w:hint="eastAsia" w:ascii="仿宋" w:hAnsi="仿宋" w:eastAsia="仿宋" w:cs="Times New Roman"/>
              <w:color w:val="auto"/>
              <w:kern w:val="2"/>
              <w:sz w:val="24"/>
              <w:szCs w:val="28"/>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_Toc32659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- 19 -</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40"/>
            <w:tabs>
              <w:tab w:val="right" w:leader="dot" w:pos="8306"/>
            </w:tabs>
            <w:rPr>
              <w:b/>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_Toc6940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仿宋" w:hAnsi="仿宋" w:eastAsia="仿宋" w:cs="Times New Roman"/>
              <w:color w:val="auto"/>
              <w:kern w:val="2"/>
              <w:sz w:val="24"/>
              <w:szCs w:val="28"/>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_Toc6940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- 39 -</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_Toc15050 </w:instrText>
          </w:r>
          <w:r>
            <w:rPr>
              <w:rFonts w:hint="eastAsia"/>
              <w:color w:val="auto"/>
              <w:sz w:val="24"/>
              <w:highlight w:val="none"/>
              <w:lang w:val="en-US" w:eastAsia="zh-CN"/>
            </w:rPr>
            <w:fldChar w:fldCharType="separate"/>
          </w:r>
          <w:r>
            <w:rPr>
              <w:rFonts w:hint="eastAsia"/>
              <w:color w:val="auto"/>
              <w:sz w:val="24"/>
              <w:highlight w:val="none"/>
              <w:lang w:val="en-US" w:eastAsia="zh-CN"/>
            </w:rPr>
            <w:t>一、收入支出决算总表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_Toc15050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_Toc17536 </w:instrText>
          </w:r>
          <w:r>
            <w:rPr>
              <w:rFonts w:hint="eastAsia"/>
              <w:color w:val="auto"/>
              <w:sz w:val="24"/>
              <w:highlight w:val="none"/>
              <w:lang w:val="en-US" w:eastAsia="zh-CN"/>
            </w:rPr>
            <w:fldChar w:fldCharType="separate"/>
          </w:r>
          <w:r>
            <w:rPr>
              <w:rFonts w:hint="eastAsia"/>
              <w:color w:val="auto"/>
              <w:sz w:val="24"/>
              <w:highlight w:val="none"/>
              <w:lang w:val="en-US" w:eastAsia="zh-CN"/>
            </w:rPr>
            <w:t>二、收入决算表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_Toc17536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_Toc11914 </w:instrText>
          </w:r>
          <w:r>
            <w:rPr>
              <w:rFonts w:hint="eastAsia"/>
              <w:color w:val="auto"/>
              <w:sz w:val="24"/>
              <w:highlight w:val="none"/>
              <w:lang w:val="en-US" w:eastAsia="zh-CN"/>
            </w:rPr>
            <w:fldChar w:fldCharType="separate"/>
          </w:r>
          <w:r>
            <w:rPr>
              <w:rFonts w:hint="eastAsia"/>
              <w:color w:val="auto"/>
              <w:sz w:val="24"/>
              <w:highlight w:val="none"/>
              <w:lang w:val="en-US" w:eastAsia="zh-CN"/>
            </w:rPr>
            <w:t>三、支出决算表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_Toc11914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_Toc22170 </w:instrText>
          </w:r>
          <w:r>
            <w:rPr>
              <w:rFonts w:hint="eastAsia"/>
              <w:color w:val="auto"/>
              <w:sz w:val="24"/>
              <w:highlight w:val="none"/>
              <w:lang w:val="en-US" w:eastAsia="zh-CN"/>
            </w:rPr>
            <w:fldChar w:fldCharType="separate"/>
          </w:r>
          <w:r>
            <w:rPr>
              <w:rFonts w:hint="eastAsia"/>
              <w:color w:val="auto"/>
              <w:sz w:val="24"/>
              <w:highlight w:val="none"/>
              <w:lang w:val="en-US" w:eastAsia="zh-CN"/>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_Toc22170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_Toc30928 </w:instrText>
          </w:r>
          <w:r>
            <w:rPr>
              <w:rFonts w:hint="eastAsia"/>
              <w:color w:val="auto"/>
              <w:sz w:val="24"/>
              <w:highlight w:val="none"/>
              <w:lang w:val="en-US" w:eastAsia="zh-CN"/>
            </w:rPr>
            <w:fldChar w:fldCharType="separate"/>
          </w:r>
          <w:r>
            <w:rPr>
              <w:rFonts w:hint="eastAsia"/>
              <w:color w:val="auto"/>
              <w:sz w:val="24"/>
              <w:highlight w:val="none"/>
              <w:lang w:val="en-US" w:eastAsia="zh-CN"/>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_Toc30928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_Toc7215 </w:instrText>
          </w:r>
          <w:r>
            <w:rPr>
              <w:rFonts w:hint="eastAsia"/>
              <w:color w:val="auto"/>
              <w:sz w:val="24"/>
              <w:highlight w:val="none"/>
              <w:lang w:val="en-US" w:eastAsia="zh-CN"/>
            </w:rPr>
            <w:fldChar w:fldCharType="separate"/>
          </w:r>
          <w:r>
            <w:rPr>
              <w:rFonts w:hint="eastAsia"/>
              <w:color w:val="auto"/>
              <w:sz w:val="24"/>
              <w:highlight w:val="none"/>
              <w:lang w:val="en-US" w:eastAsia="zh-CN"/>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_Toc7215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_Toc18556 </w:instrText>
          </w:r>
          <w:r>
            <w:rPr>
              <w:rFonts w:hint="eastAsia"/>
              <w:color w:val="auto"/>
              <w:sz w:val="24"/>
              <w:highlight w:val="none"/>
              <w:lang w:val="en-US" w:eastAsia="zh-CN"/>
            </w:rPr>
            <w:fldChar w:fldCharType="separate"/>
          </w:r>
          <w:r>
            <w:rPr>
              <w:rFonts w:hint="eastAsia"/>
              <w:color w:val="auto"/>
              <w:sz w:val="24"/>
              <w:highlight w:val="none"/>
              <w:lang w:val="en-US" w:eastAsia="zh-CN"/>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_Toc18556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_Toc8971 </w:instrText>
          </w:r>
          <w:r>
            <w:rPr>
              <w:rFonts w:hint="eastAsia"/>
              <w:color w:val="auto"/>
              <w:sz w:val="24"/>
              <w:highlight w:val="none"/>
              <w:lang w:val="en-US" w:eastAsia="zh-CN"/>
            </w:rPr>
            <w:fldChar w:fldCharType="separate"/>
          </w:r>
          <w:r>
            <w:rPr>
              <w:rFonts w:hint="eastAsia"/>
              <w:color w:val="auto"/>
              <w:sz w:val="24"/>
              <w:highlight w:val="none"/>
              <w:lang w:val="en-US" w:eastAsia="zh-CN"/>
            </w:rPr>
            <w:t>八、一般公共预算财政拨款基本支出决算表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_Toc8971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_Toc19692 </w:instrText>
          </w:r>
          <w:r>
            <w:rPr>
              <w:rFonts w:hint="eastAsia"/>
              <w:color w:val="auto"/>
              <w:sz w:val="24"/>
              <w:highlight w:val="none"/>
              <w:lang w:val="en-US" w:eastAsia="zh-CN"/>
            </w:rPr>
            <w:fldChar w:fldCharType="separate"/>
          </w:r>
          <w:r>
            <w:rPr>
              <w:rFonts w:hint="eastAsia"/>
              <w:color w:val="auto"/>
              <w:sz w:val="24"/>
              <w:highlight w:val="none"/>
              <w:lang w:val="en-US" w:eastAsia="zh-CN"/>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_Toc19692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_Toc23240 </w:instrText>
          </w:r>
          <w:r>
            <w:rPr>
              <w:rFonts w:hint="eastAsia"/>
              <w:color w:val="auto"/>
              <w:sz w:val="24"/>
              <w:highlight w:val="none"/>
              <w:lang w:val="en-US" w:eastAsia="zh-CN"/>
            </w:rPr>
            <w:fldChar w:fldCharType="separate"/>
          </w:r>
          <w:r>
            <w:rPr>
              <w:rFonts w:hint="eastAsia"/>
              <w:color w:val="auto"/>
              <w:sz w:val="24"/>
              <w:highlight w:val="none"/>
              <w:lang w:val="en-US" w:eastAsia="zh-CN"/>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_Toc23240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_Toc9768 </w:instrText>
          </w:r>
          <w:r>
            <w:rPr>
              <w:rFonts w:hint="eastAsia"/>
              <w:color w:val="auto"/>
              <w:sz w:val="24"/>
              <w:highlight w:val="none"/>
              <w:lang w:val="en-US" w:eastAsia="zh-CN"/>
            </w:rPr>
            <w:fldChar w:fldCharType="separate"/>
          </w:r>
          <w:r>
            <w:rPr>
              <w:rFonts w:hint="eastAsia"/>
              <w:color w:val="auto"/>
              <w:sz w:val="24"/>
              <w:highlight w:val="none"/>
              <w:lang w:val="en-US" w:eastAsia="zh-CN"/>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_Toc9768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_Toc24287 </w:instrText>
          </w:r>
          <w:r>
            <w:rPr>
              <w:rFonts w:hint="eastAsia"/>
              <w:color w:val="auto"/>
              <w:sz w:val="24"/>
              <w:highlight w:val="none"/>
              <w:lang w:val="en-US" w:eastAsia="zh-CN"/>
            </w:rPr>
            <w:fldChar w:fldCharType="separate"/>
          </w:r>
          <w:r>
            <w:rPr>
              <w:rFonts w:hint="eastAsia"/>
              <w:color w:val="auto"/>
              <w:sz w:val="24"/>
              <w:highlight w:val="none"/>
              <w:lang w:val="en-US" w:eastAsia="zh-CN"/>
            </w:rPr>
            <w:t>十二、国有资本经营预算财政拨款支出决算表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_Toc24287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pPr>
            <w:pStyle w:val="15"/>
            <w:adjustRightInd w:val="0"/>
            <w:snapToGrid w:val="0"/>
            <w:spacing w:line="440" w:lineRule="exact"/>
            <w:jc w:val="left"/>
          </w:pP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\l _Toc14115 </w:instrText>
          </w:r>
          <w:r>
            <w:rPr>
              <w:rFonts w:hint="eastAsia"/>
              <w:color w:val="auto"/>
              <w:sz w:val="24"/>
              <w:highlight w:val="none"/>
              <w:lang w:val="en-US" w:eastAsia="zh-CN"/>
            </w:rPr>
            <w:fldChar w:fldCharType="separate"/>
          </w:r>
          <w:r>
            <w:rPr>
              <w:rFonts w:hint="eastAsia"/>
              <w:color w:val="auto"/>
              <w:sz w:val="24"/>
              <w:highlight w:val="none"/>
              <w:lang w:val="en-US" w:eastAsia="zh-CN"/>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PAGEREF _Toc14115 \h </w:instrText>
          </w:r>
          <w:r>
            <w:rPr>
              <w:rFonts w:hint="eastAsia"/>
              <w:color w:val="auto"/>
              <w:sz w:val="24"/>
              <w:highlight w:val="none"/>
              <w:lang w:val="en-US" w:eastAsia="zh-CN"/>
            </w:rPr>
            <w:fldChar w:fldCharType="separate"/>
          </w:r>
          <w:r>
            <w:rPr>
              <w:rFonts w:hint="eastAsia"/>
              <w:color w:val="auto"/>
              <w:sz w:val="24"/>
              <w:highlight w:val="none"/>
              <w:lang w:val="en-US" w:eastAsia="zh-CN"/>
            </w:rPr>
            <w:t>- 39 -</w:t>
          </w:r>
          <w:r>
            <w:rPr>
              <w:rFonts w:hint="eastAsia"/>
              <w:color w:val="auto"/>
              <w:sz w:val="24"/>
              <w:highlight w:val="none"/>
              <w:lang w:val="en-US" w:eastAsia="zh-CN"/>
            </w:rPr>
            <w:fldChar w:fldCharType="end"/>
          </w:r>
          <w:r>
            <w:rPr>
              <w:rFonts w:hint="eastAsia"/>
              <w:color w:val="auto"/>
              <w:sz w:val="24"/>
              <w:highlight w:val="none"/>
              <w:lang w:val="en-US" w:eastAsia="zh-CN"/>
            </w:rPr>
            <w:fldChar w:fldCharType="end"/>
          </w:r>
        </w:p>
        <w:p>
          <w:r>
            <w:rPr>
              <w:b/>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33"/>
          <w:rFonts w:ascii="黑体" w:hAnsi="黑体" w:eastAsia="黑体"/>
          <w:b/>
          <w:bCs w:val="0"/>
        </w:rPr>
      </w:pPr>
      <w:bookmarkStart w:id="26" w:name="_Toc7815"/>
      <w:bookmarkStart w:id="27" w:name="_Toc8267"/>
      <w:r>
        <w:rPr>
          <w:rFonts w:hint="eastAsia" w:ascii="黑体" w:hAnsi="黑体" w:eastAsia="黑体"/>
          <w:b w:val="0"/>
        </w:rPr>
        <w:t xml:space="preserve">第一部分 </w:t>
      </w:r>
      <w:r>
        <w:rPr>
          <w:rStyle w:val="33"/>
          <w:rFonts w:hint="eastAsia" w:ascii="黑体" w:hAnsi="黑体" w:eastAsia="黑体"/>
          <w:b w:val="0"/>
          <w:bCs w:val="0"/>
        </w:rPr>
        <w:t>部门概况</w:t>
      </w:r>
      <w:bookmarkEnd w:id="26"/>
      <w:bookmarkEnd w:id="27"/>
    </w:p>
    <w:p>
      <w:pPr>
        <w:pStyle w:val="3"/>
        <w:ind w:firstLine="640" w:firstLineChars="200"/>
        <w:rPr>
          <w:rStyle w:val="34"/>
          <w:rFonts w:hint="eastAsia" w:ascii="仿宋" w:hAnsi="仿宋" w:eastAsia="黑体"/>
          <w:b w:val="0"/>
          <w:bCs w:val="0"/>
          <w:color w:val="auto"/>
          <w:highlight w:val="none"/>
          <w:lang w:eastAsia="zh-CN"/>
        </w:rPr>
      </w:pPr>
      <w:bookmarkStart w:id="28" w:name="_Toc15377197"/>
      <w:bookmarkStart w:id="29" w:name="_Toc15396600"/>
      <w:bookmarkStart w:id="30" w:name="_Toc25260"/>
      <w:bookmarkStart w:id="31" w:name="_Toc27150"/>
      <w:r>
        <w:rPr>
          <w:rFonts w:hint="eastAsia" w:ascii="黑体" w:hAnsi="黑体" w:eastAsia="黑体"/>
          <w:b w:val="0"/>
          <w:color w:val="000000"/>
        </w:rPr>
        <w:t>一、</w:t>
      </w:r>
      <w:bookmarkEnd w:id="28"/>
      <w:bookmarkEnd w:id="29"/>
      <w:bookmarkEnd w:id="30"/>
      <w:r>
        <w:rPr>
          <w:rFonts w:hint="eastAsia" w:ascii="黑体" w:hAnsi="黑体" w:eastAsia="黑体"/>
          <w:b w:val="0"/>
          <w:color w:val="auto"/>
          <w:highlight w:val="none"/>
          <w:lang w:eastAsia="zh-CN"/>
        </w:rPr>
        <w:t>部门职责</w:t>
      </w:r>
      <w:bookmarkEnd w:id="3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bookmarkStart w:id="32" w:name="_Toc15377199"/>
      <w:bookmarkStart w:id="33" w:name="_Toc15378446"/>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贯彻落实区委、区政府的重要决策和工作部署</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根据全区农业发展整体部署，编制农旅产业园园区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发展总体规划及各主体示范园区发展详细规划</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研究分析国、省政策，结合安居实际提出现代农业发展方向，试点、探索，做好全区现代农业产业发展示范</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协调督促园区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内产业发展项目编制、申报和实施园区基础设施建设，做好园区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内产业项目资源整合</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围绕园区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发展目标，引进建设投资业主，做好招商服务工作</w:t>
      </w:r>
      <w:r>
        <w:rPr>
          <w:rFonts w:hint="eastAsia" w:ascii="仿宋" w:hAnsi="仿宋" w:eastAsia="仿宋"/>
          <w:sz w:val="32"/>
          <w:szCs w:val="32"/>
          <w:lang w:eastAsia="zh-CN"/>
        </w:rPr>
        <w:t>。</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牵头做好园区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开发建设综合协调服务工作</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负责园区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内农产品品牌申报与创建</w:t>
      </w:r>
      <w:r>
        <w:rPr>
          <w:rFonts w:hint="eastAsia" w:ascii="仿宋" w:hAnsi="仿宋" w:eastAsia="仿宋"/>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负责园区</w:t>
      </w:r>
      <w:r>
        <w:rPr>
          <w:rFonts w:hint="eastAsia" w:ascii="仿宋" w:hAnsi="仿宋" w:eastAsia="仿宋"/>
          <w:sz w:val="32"/>
          <w:szCs w:val="32"/>
          <w:lang w:eastAsia="zh-CN"/>
        </w:rPr>
        <w:t>、</w:t>
      </w:r>
      <w:r>
        <w:rPr>
          <w:rFonts w:hint="eastAsia" w:ascii="仿宋" w:hAnsi="仿宋" w:eastAsia="仿宋"/>
          <w:sz w:val="32"/>
          <w:szCs w:val="32"/>
          <w:lang w:val="en-US" w:eastAsia="zh-CN"/>
        </w:rPr>
        <w:t>七彩明珠景区</w:t>
      </w:r>
      <w:r>
        <w:rPr>
          <w:rFonts w:hint="eastAsia" w:ascii="仿宋" w:hAnsi="仿宋" w:eastAsia="仿宋"/>
          <w:sz w:val="32"/>
          <w:szCs w:val="32"/>
        </w:rPr>
        <w:t>的日常管理和所属设施的维护工作</w:t>
      </w:r>
      <w:r>
        <w:rPr>
          <w:rFonts w:hint="eastAsia" w:ascii="仿宋" w:hAnsi="仿宋" w:eastAsia="仿宋"/>
          <w:sz w:val="32"/>
          <w:szCs w:val="32"/>
          <w:lang w:eastAsia="zh-CN"/>
        </w:rPr>
        <w:t>。</w:t>
      </w:r>
    </w:p>
    <w:bookmarkEnd w:id="32"/>
    <w:bookmarkEnd w:id="33"/>
    <w:p>
      <w:pPr>
        <w:pStyle w:val="3"/>
        <w:ind w:firstLine="640" w:firstLineChars="200"/>
        <w:rPr>
          <w:rFonts w:hint="eastAsia" w:ascii="黑体" w:hAnsi="黑体" w:eastAsia="黑体"/>
          <w:b w:val="0"/>
          <w:color w:val="000000"/>
        </w:rPr>
      </w:pPr>
      <w:bookmarkStart w:id="34" w:name="_Toc15377200"/>
      <w:bookmarkStart w:id="35" w:name="_Toc2653"/>
      <w:bookmarkStart w:id="36" w:name="_Toc7584"/>
      <w:bookmarkStart w:id="37" w:name="_Toc15396601"/>
      <w:r>
        <w:rPr>
          <w:rFonts w:hint="eastAsia" w:ascii="黑体" w:hAnsi="黑体" w:eastAsia="黑体"/>
          <w:b w:val="0"/>
          <w:color w:val="000000"/>
        </w:rPr>
        <w:t>二、机构设置</w:t>
      </w:r>
      <w:bookmarkEnd w:id="34"/>
      <w:bookmarkEnd w:id="35"/>
      <w:bookmarkEnd w:id="36"/>
      <w:bookmarkEnd w:id="37"/>
    </w:p>
    <w:p>
      <w:pPr>
        <w:pStyle w:val="3"/>
        <w:rPr>
          <w:rFonts w:hint="eastAsia" w:ascii="仿宋" w:hAnsi="仿宋" w:eastAsia="仿宋" w:cs="Times New Roman"/>
          <w:b w:val="0"/>
          <w:bCs w:val="0"/>
          <w:color w:val="auto"/>
          <w:kern w:val="2"/>
          <w:sz w:val="32"/>
          <w:szCs w:val="32"/>
          <w:highlight w:val="none"/>
          <w:lang w:val="en-US" w:eastAsia="zh-CN" w:bidi="ar-SA"/>
        </w:rPr>
      </w:pPr>
      <w:r>
        <w:rPr>
          <w:rFonts w:hint="eastAsia" w:ascii="仿宋_GB2312" w:hAnsi="仿宋" w:eastAsia="仿宋_GB2312"/>
          <w:sz w:val="32"/>
          <w:szCs w:val="32"/>
          <w:highlight w:val="none"/>
          <w:lang w:eastAsia="zh-CN"/>
        </w:rPr>
        <w:t>　　</w:t>
      </w:r>
      <w:bookmarkStart w:id="38" w:name="_Toc1095"/>
      <w:r>
        <w:rPr>
          <w:rFonts w:hint="eastAsia" w:ascii="仿宋" w:hAnsi="仿宋" w:eastAsia="仿宋" w:cs="Times New Roman"/>
          <w:b w:val="0"/>
          <w:bCs w:val="0"/>
          <w:color w:val="auto"/>
          <w:kern w:val="2"/>
          <w:sz w:val="32"/>
          <w:szCs w:val="32"/>
          <w:highlight w:val="none"/>
          <w:lang w:val="en-US" w:eastAsia="zh-CN" w:bidi="ar-SA"/>
        </w:rPr>
        <w:t>区现代农业产业园区下属二级单位1个，其中行政单位0个，参照公务员法管理的事业单位0个，其他事业单位1个。</w:t>
      </w:r>
      <w:bookmarkEnd w:id="38"/>
    </w:p>
    <w:p>
      <w:pPr>
        <w:pStyle w:val="3"/>
        <w:outlineLvl w:val="0"/>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　　</w:t>
      </w:r>
      <w:bookmarkStart w:id="39" w:name="_Toc28782"/>
      <w:r>
        <w:rPr>
          <w:rFonts w:hint="eastAsia" w:ascii="仿宋" w:hAnsi="仿宋" w:eastAsia="仿宋" w:cs="Times New Roman"/>
          <w:b w:val="0"/>
          <w:bCs w:val="0"/>
          <w:color w:val="auto"/>
          <w:kern w:val="2"/>
          <w:sz w:val="32"/>
          <w:szCs w:val="32"/>
          <w:highlight w:val="none"/>
          <w:lang w:val="en-US" w:eastAsia="zh-CN" w:bidi="ar-SA"/>
        </w:rPr>
        <w:t>纳入区现代农业产业园区2022年度部门决算编制范围的二级预算单位包括：无。</w:t>
      </w:r>
      <w:bookmarkEnd w:id="39"/>
    </w:p>
    <w:p>
      <w:pPr>
        <w:pStyle w:val="2"/>
        <w:ind w:right="440"/>
        <w:jc w:val="right"/>
        <w:rPr>
          <w:rFonts w:hint="eastAsia" w:ascii="黑体" w:hAnsi="黑体" w:eastAsia="黑体"/>
          <w:b w:val="0"/>
          <w:color w:val="auto"/>
        </w:rPr>
      </w:pPr>
      <w:bookmarkStart w:id="40" w:name="_Toc15396602"/>
      <w:bookmarkStart w:id="41" w:name="_Toc15377204"/>
      <w:bookmarkStart w:id="42" w:name="_Toc7952"/>
      <w:bookmarkStart w:id="43" w:name="_Toc26777"/>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rPr>
          <w:rFonts w:hint="eastAsia" w:ascii="黑体" w:hAnsi="黑体" w:eastAsia="黑体"/>
          <w:b w:val="0"/>
          <w:color w:val="auto"/>
        </w:rPr>
      </w:pPr>
    </w:p>
    <w:p>
      <w:pPr>
        <w:pStyle w:val="2"/>
        <w:ind w:right="440"/>
        <w:jc w:val="right"/>
      </w:pPr>
      <w:r>
        <w:rPr>
          <w:rFonts w:hint="eastAsia" w:ascii="黑体" w:hAnsi="黑体" w:eastAsia="黑体"/>
          <w:b w:val="0"/>
          <w:color w:val="auto"/>
        </w:rPr>
        <w:t>第二部分</w:t>
      </w:r>
      <w:r>
        <w:rPr>
          <w:rFonts w:hint="eastAsia" w:ascii="黑体" w:hAnsi="黑体" w:eastAsia="黑体"/>
          <w:color w:val="auto"/>
        </w:rPr>
        <w:t xml:space="preserve"> </w:t>
      </w:r>
      <w:r>
        <w:rPr>
          <w:rStyle w:val="33"/>
          <w:rFonts w:hint="eastAsia" w:ascii="黑体" w:hAnsi="黑体" w:eastAsia="黑体"/>
          <w:b w:val="0"/>
          <w:bCs w:val="0"/>
          <w:color w:val="auto"/>
          <w:lang w:eastAsia="zh-CN"/>
        </w:rPr>
        <w:t>2022</w:t>
      </w:r>
      <w:r>
        <w:rPr>
          <w:rStyle w:val="33"/>
          <w:rFonts w:hint="eastAsia" w:ascii="黑体" w:hAnsi="黑体" w:eastAsia="黑体"/>
          <w:b w:val="0"/>
          <w:bCs w:val="0"/>
        </w:rPr>
        <w:t>年度部门决算情况说明</w:t>
      </w:r>
      <w:bookmarkEnd w:id="40"/>
      <w:bookmarkEnd w:id="41"/>
      <w:bookmarkEnd w:id="42"/>
      <w:bookmarkEnd w:id="43"/>
    </w:p>
    <w:p>
      <w:pPr>
        <w:pStyle w:val="32"/>
        <w:numPr>
          <w:ilvl w:val="0"/>
          <w:numId w:val="2"/>
        </w:numPr>
        <w:spacing w:line="600" w:lineRule="exact"/>
        <w:ind w:firstLineChars="0"/>
        <w:outlineLvl w:val="1"/>
        <w:rPr>
          <w:rStyle w:val="34"/>
          <w:rFonts w:ascii="黑体" w:hAnsi="黑体" w:eastAsia="黑体"/>
          <w:b w:val="0"/>
        </w:rPr>
      </w:pPr>
      <w:bookmarkStart w:id="44" w:name="_Toc30955"/>
      <w:bookmarkStart w:id="45" w:name="_Toc32665"/>
      <w:bookmarkStart w:id="46" w:name="_Toc15377205"/>
      <w:bookmarkStart w:id="47" w:name="_Toc15396603"/>
      <w:r>
        <w:rPr>
          <w:rFonts w:hint="eastAsia" w:ascii="黑体" w:hAnsi="黑体" w:eastAsia="黑体"/>
          <w:color w:val="000000"/>
          <w:sz w:val="32"/>
          <w:szCs w:val="32"/>
        </w:rPr>
        <w:t>收</w:t>
      </w:r>
      <w:r>
        <w:rPr>
          <w:rStyle w:val="34"/>
          <w:rFonts w:hint="eastAsia" w:ascii="黑体" w:hAnsi="黑体" w:eastAsia="黑体"/>
          <w:b w:val="0"/>
        </w:rPr>
        <w:t>入支出决算总体情况说明</w:t>
      </w:r>
      <w:bookmarkEnd w:id="44"/>
      <w:bookmarkEnd w:id="45"/>
      <w:bookmarkEnd w:id="46"/>
      <w:bookmarkEnd w:id="47"/>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年度收、支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440.41</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年相比，</w:t>
      </w:r>
      <w:r>
        <w:rPr>
          <w:rFonts w:hint="eastAsia" w:ascii="仿宋" w:hAnsi="仿宋" w:eastAsia="仿宋"/>
          <w:color w:val="auto"/>
          <w:sz w:val="32"/>
          <w:szCs w:val="32"/>
          <w:highlight w:val="none"/>
        </w:rPr>
        <w:t>收、支总计</w:t>
      </w:r>
      <w:r>
        <w:rPr>
          <w:rFonts w:hint="eastAsia" w:ascii="仿宋" w:hAnsi="仿宋" w:eastAsia="仿宋"/>
          <w:color w:val="000000"/>
          <w:sz w:val="32"/>
          <w:szCs w:val="32"/>
          <w:lang w:eastAsia="zh-CN"/>
        </w:rPr>
        <w:t>各增加293.36</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lang w:eastAsia="zh-CN"/>
        </w:rPr>
        <w:t>，增加199.50%。</w:t>
      </w:r>
      <w:r>
        <w:rPr>
          <w:rFonts w:hint="eastAsia" w:ascii="仿宋" w:hAnsi="仿宋" w:eastAsia="仿宋"/>
          <w:color w:val="000000"/>
          <w:sz w:val="32"/>
          <w:szCs w:val="32"/>
        </w:rPr>
        <w:t>主要变动原因是</w:t>
      </w:r>
      <w:r>
        <w:rPr>
          <w:rFonts w:hint="eastAsia" w:ascii="仿宋" w:hAnsi="仿宋" w:eastAsia="仿宋"/>
          <w:sz w:val="32"/>
          <w:szCs w:val="32"/>
          <w:lang w:val="en-US" w:eastAsia="zh-CN"/>
        </w:rPr>
        <w:t>七彩明珠景区运行经费、其他巩固脱贫衔接乡村振兴支出通过我园区支付。</w:t>
      </w:r>
    </w:p>
    <w:p>
      <w:pPr>
        <w:pStyle w:val="17"/>
        <w:ind w:left="0" w:leftChars="0" w:firstLine="0" w:firstLineChars="0"/>
        <w:jc w:val="right"/>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单位：万元</w:t>
      </w:r>
    </w:p>
    <w:p>
      <w:pP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478155</wp:posOffset>
            </wp:positionH>
            <wp:positionV relativeFrom="paragraph">
              <wp:posOffset>245110</wp:posOffset>
            </wp:positionV>
            <wp:extent cx="4581525" cy="2466975"/>
            <wp:effectExtent l="4445" t="4445" r="5080" b="5080"/>
            <wp:wrapTight wrapText="bothSides">
              <wp:wrapPolygon>
                <wp:start x="-21" y="-39"/>
                <wp:lineTo x="-21" y="21478"/>
                <wp:lineTo x="21534" y="21478"/>
                <wp:lineTo x="21534" y="-39"/>
                <wp:lineTo x="-21"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hint="eastAsia" w:ascii="仿宋" w:hAnsi="仿宋" w:eastAsia="仿宋"/>
          <w:color w:val="000000" w:themeColor="text1"/>
          <w:sz w:val="32"/>
          <w:szCs w:val="32"/>
          <w14:textFill>
            <w14:solidFill>
              <w14:schemeClr w14:val="tx1"/>
            </w14:solidFill>
          </w14:textFill>
        </w:rPr>
      </w:pPr>
    </w:p>
    <w:p>
      <w:pPr>
        <w:rPr>
          <w:rFonts w:hint="eastAsia" w:ascii="仿宋" w:hAnsi="仿宋" w:eastAsia="仿宋"/>
          <w:color w:val="000000" w:themeColor="text1"/>
          <w:sz w:val="32"/>
          <w:szCs w:val="32"/>
          <w14:textFill>
            <w14:solidFill>
              <w14:schemeClr w14:val="tx1"/>
            </w14:solidFill>
          </w14:textFill>
        </w:rPr>
      </w:pPr>
    </w:p>
    <w:p>
      <w:pPr>
        <w:rPr>
          <w:rFonts w:hint="eastAsia" w:ascii="仿宋" w:hAnsi="仿宋" w:eastAsia="仿宋"/>
          <w:color w:val="000000" w:themeColor="text1"/>
          <w:sz w:val="32"/>
          <w:szCs w:val="32"/>
          <w14:textFill>
            <w14:solidFill>
              <w14:schemeClr w14:val="tx1"/>
            </w14:solidFill>
          </w14:textFill>
        </w:rPr>
      </w:pPr>
    </w:p>
    <w:p>
      <w:pPr>
        <w:jc w:val="center"/>
        <w:rPr>
          <w:rFonts w:hint="eastAsia" w:ascii="仿宋" w:hAnsi="仿宋" w:eastAsia="仿宋"/>
          <w:color w:val="000000" w:themeColor="text1"/>
          <w:sz w:val="32"/>
          <w:szCs w:val="32"/>
          <w14:textFill>
            <w14:solidFill>
              <w14:schemeClr w14:val="tx1"/>
            </w14:solidFill>
          </w14:textFill>
        </w:rPr>
      </w:pPr>
    </w:p>
    <w:p>
      <w:pPr>
        <w:jc w:val="center"/>
        <w:rPr>
          <w:rFonts w:hint="eastAsia" w:ascii="仿宋" w:hAnsi="仿宋" w:eastAsia="仿宋"/>
          <w:color w:val="000000" w:themeColor="text1"/>
          <w:sz w:val="32"/>
          <w:szCs w:val="32"/>
          <w14:textFill>
            <w14:solidFill>
              <w14:schemeClr w14:val="tx1"/>
            </w14:solidFill>
          </w14:textFill>
        </w:rPr>
      </w:pPr>
    </w:p>
    <w:p>
      <w:pPr>
        <w:jc w:val="center"/>
        <w:rPr>
          <w:rFonts w:hint="eastAsia" w:ascii="仿宋" w:hAnsi="仿宋" w:eastAsia="仿宋"/>
          <w:color w:val="000000" w:themeColor="text1"/>
          <w:sz w:val="32"/>
          <w:szCs w:val="32"/>
          <w14:textFill>
            <w14:solidFill>
              <w14:schemeClr w14:val="tx1"/>
            </w14:solidFill>
          </w14:textFill>
        </w:rPr>
      </w:pPr>
    </w:p>
    <w:p>
      <w:pPr>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jc w:val="left"/>
        <w:rPr>
          <w:rFonts w:ascii="仿宋_GB2312" w:eastAsia="仿宋_GB2312"/>
          <w:color w:val="000000"/>
          <w:sz w:val="32"/>
          <w:szCs w:val="32"/>
        </w:rPr>
      </w:pPr>
    </w:p>
    <w:p>
      <w:pPr>
        <w:pStyle w:val="32"/>
        <w:numPr>
          <w:ilvl w:val="0"/>
          <w:numId w:val="2"/>
        </w:numPr>
        <w:spacing w:line="600" w:lineRule="exact"/>
        <w:ind w:firstLineChars="0"/>
        <w:outlineLvl w:val="1"/>
        <w:rPr>
          <w:rStyle w:val="34"/>
          <w:rFonts w:ascii="黑体" w:hAnsi="黑体" w:eastAsia="黑体"/>
          <w:b w:val="0"/>
        </w:rPr>
      </w:pPr>
      <w:bookmarkStart w:id="48" w:name="_Toc15396604"/>
      <w:bookmarkStart w:id="49" w:name="_Toc9905"/>
      <w:bookmarkStart w:id="50" w:name="_Toc1953"/>
      <w:bookmarkStart w:id="51" w:name="_Toc15377206"/>
      <w:r>
        <w:rPr>
          <w:rFonts w:hint="eastAsia" w:ascii="黑体" w:hAnsi="黑体" w:eastAsia="黑体"/>
          <w:color w:val="000000"/>
          <w:sz w:val="32"/>
          <w:szCs w:val="32"/>
        </w:rPr>
        <w:t>收</w:t>
      </w:r>
      <w:r>
        <w:rPr>
          <w:rStyle w:val="34"/>
          <w:rFonts w:hint="eastAsia" w:ascii="黑体" w:hAnsi="黑体" w:eastAsia="黑体"/>
          <w:b w:val="0"/>
        </w:rPr>
        <w:t>入决算情况说明</w:t>
      </w:r>
      <w:bookmarkEnd w:id="48"/>
      <w:bookmarkEnd w:id="49"/>
      <w:bookmarkEnd w:id="50"/>
      <w:bookmarkEnd w:id="51"/>
    </w:p>
    <w:p>
      <w:pPr>
        <w:spacing w:line="600" w:lineRule="exact"/>
        <w:ind w:firstLine="640" w:firstLineChars="200"/>
        <w:outlineLvl w:val="1"/>
        <w:rPr>
          <w:rFonts w:ascii="仿宋" w:hAnsi="仿宋" w:eastAsia="仿宋"/>
          <w:color w:val="000000"/>
          <w:sz w:val="32"/>
          <w:szCs w:val="32"/>
        </w:rPr>
      </w:pPr>
      <w:bookmarkStart w:id="52" w:name="_Toc3185"/>
      <w:bookmarkStart w:id="53" w:name="_Toc7253"/>
      <w:bookmarkStart w:id="54" w:name="_Toc29026"/>
      <w:bookmarkStart w:id="55" w:name="_Toc9541"/>
      <w:bookmarkStart w:id="56" w:name="_Toc26064"/>
      <w:r>
        <w:rPr>
          <w:rFonts w:hint="eastAsia" w:ascii="仿宋" w:hAnsi="仿宋" w:eastAsia="仿宋"/>
          <w:color w:val="000000"/>
          <w:sz w:val="32"/>
          <w:szCs w:val="32"/>
          <w:lang w:eastAsia="zh-CN"/>
        </w:rPr>
        <w:t>2022</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440.41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180.41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40.96</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lang w:eastAsia="zh-CN"/>
        </w:rPr>
        <w:t>国有资本经营预算财政拨款收入260.00</w:t>
      </w:r>
      <w:r>
        <w:rPr>
          <w:rFonts w:hint="eastAsia" w:ascii="仿宋" w:hAnsi="仿宋" w:eastAsia="仿宋"/>
          <w:color w:val="auto"/>
          <w:sz w:val="32"/>
          <w:szCs w:val="32"/>
          <w:highlight w:val="none"/>
        </w:rPr>
        <w:t>万元，占59.04%</w:t>
      </w:r>
      <w:r>
        <w:rPr>
          <w:rFonts w:hint="eastAsia" w:ascii="仿宋" w:hAnsi="仿宋" w:eastAsia="仿宋"/>
          <w:color w:val="auto"/>
          <w:sz w:val="32"/>
          <w:szCs w:val="32"/>
          <w:highlight w:val="none"/>
          <w:lang w:eastAsia="zh-CN"/>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52"/>
      <w:bookmarkEnd w:id="53"/>
      <w:bookmarkEnd w:id="54"/>
      <w:bookmarkEnd w:id="55"/>
      <w:bookmarkEnd w:id="56"/>
    </w:p>
    <w:p>
      <w:pPr>
        <w:pStyle w:val="17"/>
        <w:ind w:left="0" w:leftChars="0" w:firstLine="0" w:firstLineChars="0"/>
        <w:jc w:val="both"/>
        <w:rPr>
          <w:rFonts w:hint="default" w:ascii="仿宋" w:hAnsi="仿宋" w:eastAsia="仿宋"/>
          <w:color w:val="000000" w:themeColor="text1"/>
          <w:sz w:val="32"/>
          <w:szCs w:val="32"/>
          <w:lang w:val="en-U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498475</wp:posOffset>
            </wp:positionH>
            <wp:positionV relativeFrom="paragraph">
              <wp:posOffset>278130</wp:posOffset>
            </wp:positionV>
            <wp:extent cx="4772025" cy="2752725"/>
            <wp:effectExtent l="4445" t="4445" r="508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7"/>
        <w:rPr>
          <w:rFonts w:hint="eastAsia" w:ascii="仿宋" w:hAnsi="仿宋" w:eastAsia="仿宋"/>
          <w:color w:val="000000" w:themeColor="text1"/>
          <w:sz w:val="32"/>
          <w:szCs w:val="32"/>
          <w14:textFill>
            <w14:solidFill>
              <w14:schemeClr w14:val="tx1"/>
            </w14:solidFill>
          </w14:textFill>
        </w:rPr>
      </w:pPr>
    </w:p>
    <w:p>
      <w:pPr>
        <w:pStyle w:val="17"/>
        <w:rPr>
          <w:rFonts w:hint="eastAsia" w:ascii="仿宋" w:hAnsi="仿宋" w:eastAsia="仿宋"/>
          <w:color w:val="000000" w:themeColor="text1"/>
          <w:sz w:val="32"/>
          <w:szCs w:val="32"/>
          <w14:textFill>
            <w14:solidFill>
              <w14:schemeClr w14:val="tx1"/>
            </w14:solidFill>
          </w14:textFill>
        </w:rPr>
      </w:pPr>
    </w:p>
    <w:p>
      <w:pPr>
        <w:pStyle w:val="17"/>
        <w:rPr>
          <w:rFonts w:hint="eastAsia" w:ascii="仿宋" w:hAnsi="仿宋" w:eastAsia="仿宋"/>
          <w:color w:val="000000" w:themeColor="text1"/>
          <w:sz w:val="32"/>
          <w:szCs w:val="32"/>
          <w14:textFill>
            <w14:solidFill>
              <w14:schemeClr w14:val="tx1"/>
            </w14:solidFill>
          </w14:textFill>
        </w:rPr>
      </w:pPr>
    </w:p>
    <w:p>
      <w:pPr>
        <w:pStyle w:val="17"/>
        <w:rPr>
          <w:rFonts w:hint="eastAsia" w:ascii="仿宋" w:hAnsi="仿宋" w:eastAsia="仿宋"/>
          <w:color w:val="000000" w:themeColor="text1"/>
          <w:sz w:val="32"/>
          <w:szCs w:val="32"/>
          <w14:textFill>
            <w14:solidFill>
              <w14:schemeClr w14:val="tx1"/>
            </w14:solidFill>
          </w14:textFill>
        </w:rPr>
      </w:pPr>
    </w:p>
    <w:p>
      <w:pPr>
        <w:pStyle w:val="17"/>
        <w:rPr>
          <w:rFonts w:hint="eastAsia" w:ascii="仿宋" w:hAnsi="仿宋" w:eastAsia="仿宋"/>
          <w:color w:val="000000" w:themeColor="text1"/>
          <w:sz w:val="32"/>
          <w:szCs w:val="32"/>
          <w14:textFill>
            <w14:solidFill>
              <w14:schemeClr w14:val="tx1"/>
            </w14:solidFill>
          </w14:textFill>
        </w:rPr>
      </w:pPr>
    </w:p>
    <w:p>
      <w:pPr>
        <w:pStyle w:val="17"/>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32"/>
        <w:numPr>
          <w:ilvl w:val="0"/>
          <w:numId w:val="2"/>
        </w:numPr>
        <w:spacing w:line="600" w:lineRule="exact"/>
        <w:ind w:firstLineChars="0"/>
        <w:outlineLvl w:val="1"/>
        <w:rPr>
          <w:rStyle w:val="34"/>
          <w:rFonts w:ascii="黑体" w:hAnsi="黑体" w:eastAsia="黑体"/>
          <w:b w:val="0"/>
        </w:rPr>
      </w:pPr>
      <w:bookmarkStart w:id="57" w:name="_Toc20189"/>
      <w:bookmarkStart w:id="58" w:name="_Toc7729"/>
      <w:bookmarkStart w:id="59" w:name="_Toc15377207"/>
      <w:bookmarkStart w:id="60" w:name="_Toc15396605"/>
      <w:r>
        <w:rPr>
          <w:rFonts w:hint="eastAsia" w:ascii="黑体" w:hAnsi="黑体" w:eastAsia="黑体"/>
          <w:color w:val="000000"/>
          <w:sz w:val="32"/>
          <w:szCs w:val="32"/>
        </w:rPr>
        <w:t>支</w:t>
      </w:r>
      <w:r>
        <w:rPr>
          <w:rStyle w:val="34"/>
          <w:rFonts w:hint="eastAsia" w:ascii="黑体" w:hAnsi="黑体" w:eastAsia="黑体"/>
          <w:b w:val="0"/>
        </w:rPr>
        <w:t>出决算情况说明</w:t>
      </w:r>
      <w:bookmarkEnd w:id="57"/>
      <w:bookmarkEnd w:id="58"/>
      <w:bookmarkEnd w:id="59"/>
      <w:bookmarkEnd w:id="60"/>
    </w:p>
    <w:p>
      <w:pPr>
        <w:spacing w:line="600" w:lineRule="exact"/>
        <w:ind w:firstLine="640" w:firstLineChars="200"/>
        <w:outlineLvl w:val="1"/>
        <w:rPr>
          <w:rFonts w:hint="eastAsia" w:ascii="仿宋" w:hAnsi="仿宋" w:eastAsia="仿宋"/>
          <w:color w:val="000000"/>
          <w:sz w:val="32"/>
          <w:szCs w:val="32"/>
        </w:rPr>
      </w:pPr>
      <w:bookmarkStart w:id="61" w:name="_Toc27116"/>
      <w:bookmarkStart w:id="62" w:name="_Toc21408"/>
      <w:bookmarkStart w:id="63" w:name="_Toc5521"/>
      <w:bookmarkStart w:id="64" w:name="_Toc17315"/>
      <w:bookmarkStart w:id="65" w:name="_Toc5524"/>
      <w:r>
        <w:rPr>
          <w:rFonts w:hint="eastAsia" w:ascii="仿宋" w:hAnsi="仿宋" w:eastAsia="仿宋"/>
          <w:color w:val="000000"/>
          <w:sz w:val="32"/>
          <w:szCs w:val="32"/>
          <w:lang w:eastAsia="zh-CN"/>
        </w:rPr>
        <w:t>2</w:t>
      </w:r>
      <w:r>
        <w:rPr>
          <w:rFonts w:hint="eastAsia" w:ascii="仿宋" w:hAnsi="仿宋" w:eastAsia="仿宋"/>
          <w:color w:val="auto"/>
          <w:sz w:val="32"/>
          <w:szCs w:val="32"/>
          <w:highlight w:val="none"/>
          <w:lang w:eastAsia="zh-CN"/>
        </w:rPr>
        <w:t>022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440.41</w:t>
      </w:r>
      <w:r>
        <w:rPr>
          <w:rFonts w:hint="eastAsia" w:ascii="仿宋" w:hAnsi="仿宋" w:eastAsia="仿宋"/>
          <w:color w:val="auto"/>
          <w:sz w:val="32"/>
          <w:szCs w:val="32"/>
          <w:highlight w:val="none"/>
        </w:rPr>
        <w:t>万元，其中：基本支出161.63万元，占36.70%</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项目支出278.78万元，占63.30%；上缴上级支出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bookmarkEnd w:id="61"/>
      <w:bookmarkEnd w:id="62"/>
      <w:bookmarkEnd w:id="63"/>
      <w:bookmarkEnd w:id="64"/>
      <w:bookmarkEnd w:id="65"/>
    </w:p>
    <w:p>
      <w:pPr>
        <w:pStyle w:val="17"/>
        <w:rPr>
          <w:rFonts w:hint="eastAsia" w:ascii="仿宋" w:hAnsi="仿宋" w:eastAsia="仿宋"/>
          <w:color w:val="000000"/>
          <w:sz w:val="32"/>
          <w:szCs w:val="32"/>
        </w:rPr>
      </w:pPr>
    </w:p>
    <w:p>
      <w:pPr>
        <w:pStyle w:val="17"/>
        <w:ind w:left="0" w:leftChars="0" w:firstLine="0" w:firstLineChars="0"/>
        <w:jc w:val="both"/>
        <w:rPr>
          <w:rFonts w:hint="eastAsia"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707390</wp:posOffset>
            </wp:positionH>
            <wp:positionV relativeFrom="paragraph">
              <wp:posOffset>17145</wp:posOffset>
            </wp:positionV>
            <wp:extent cx="4138930" cy="20897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7"/>
        <w:rPr>
          <w:rFonts w:hint="eastAsia" w:ascii="仿宋" w:hAnsi="仿宋" w:eastAsia="仿宋"/>
          <w:color w:val="000000"/>
          <w:sz w:val="32"/>
          <w:szCs w:val="32"/>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34"/>
          <w:rFonts w:ascii="黑体" w:hAnsi="黑体" w:eastAsia="黑体"/>
          <w:b w:val="0"/>
        </w:rPr>
      </w:pPr>
      <w:bookmarkStart w:id="66" w:name="_Toc15377208"/>
      <w:bookmarkStart w:id="67" w:name="_Toc2994"/>
      <w:bookmarkStart w:id="68" w:name="_Toc15396606"/>
      <w:bookmarkStart w:id="69" w:name="_Toc21959"/>
      <w:r>
        <w:rPr>
          <w:rFonts w:hint="eastAsia" w:ascii="黑体" w:hAnsi="黑体" w:eastAsia="黑体"/>
          <w:color w:val="000000"/>
          <w:sz w:val="32"/>
          <w:szCs w:val="32"/>
          <w:highlight w:val="none"/>
        </w:rPr>
        <w:t>四、财</w:t>
      </w:r>
      <w:r>
        <w:rPr>
          <w:rStyle w:val="34"/>
          <w:rFonts w:hint="eastAsia" w:ascii="黑体" w:hAnsi="黑体" w:eastAsia="黑体"/>
          <w:b w:val="0"/>
          <w:highlight w:val="none"/>
        </w:rPr>
        <w:t>政拨款</w:t>
      </w:r>
      <w:r>
        <w:rPr>
          <w:rStyle w:val="34"/>
          <w:rFonts w:hint="eastAsia" w:ascii="黑体" w:hAnsi="黑体" w:eastAsia="黑体"/>
          <w:b w:val="0"/>
        </w:rPr>
        <w:t>收入支出决算总体情况说明</w:t>
      </w:r>
      <w:bookmarkEnd w:id="66"/>
      <w:bookmarkEnd w:id="67"/>
      <w:bookmarkEnd w:id="68"/>
      <w:bookmarkEnd w:id="69"/>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年度</w:t>
      </w:r>
      <w:r>
        <w:rPr>
          <w:rFonts w:hint="eastAsia" w:ascii="仿宋" w:hAnsi="仿宋" w:eastAsia="仿宋"/>
          <w:color w:val="auto"/>
          <w:sz w:val="32"/>
          <w:szCs w:val="32"/>
          <w:highlight w:val="none"/>
        </w:rPr>
        <w:t>财政拨款</w:t>
      </w:r>
      <w:r>
        <w:rPr>
          <w:rFonts w:hint="eastAsia" w:ascii="仿宋" w:hAnsi="仿宋" w:eastAsia="仿宋"/>
          <w:color w:val="000000"/>
          <w:sz w:val="32"/>
          <w:szCs w:val="32"/>
        </w:rPr>
        <w:t>收、支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440.41</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年相比，</w:t>
      </w:r>
      <w:r>
        <w:rPr>
          <w:rFonts w:hint="eastAsia" w:ascii="仿宋" w:hAnsi="仿宋" w:eastAsia="仿宋"/>
          <w:color w:val="auto"/>
          <w:sz w:val="32"/>
          <w:szCs w:val="32"/>
          <w:highlight w:val="none"/>
        </w:rPr>
        <w:t>财政拨款收、支总计</w:t>
      </w:r>
      <w:r>
        <w:rPr>
          <w:rFonts w:hint="eastAsia" w:ascii="仿宋" w:hAnsi="仿宋" w:eastAsia="仿宋"/>
          <w:color w:val="000000"/>
          <w:sz w:val="32"/>
          <w:szCs w:val="32"/>
          <w:lang w:eastAsia="zh-CN"/>
        </w:rPr>
        <w:t>各增加293.36</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增加199.50%，</w:t>
      </w:r>
      <w:r>
        <w:rPr>
          <w:rFonts w:hint="eastAsia" w:ascii="仿宋" w:hAnsi="仿宋" w:eastAsia="仿宋"/>
          <w:color w:val="000000"/>
          <w:sz w:val="32"/>
          <w:szCs w:val="32"/>
        </w:rPr>
        <w:t>主要变动原因是</w:t>
      </w:r>
      <w:r>
        <w:rPr>
          <w:rFonts w:hint="eastAsia" w:ascii="仿宋" w:hAnsi="仿宋" w:eastAsia="仿宋"/>
          <w:sz w:val="32"/>
          <w:szCs w:val="32"/>
          <w:lang w:val="en-US" w:eastAsia="zh-CN"/>
        </w:rPr>
        <w:t>七彩明珠景区运行经费、其他巩固脱贫衔接乡村振兴支出通过我园区支付。</w:t>
      </w:r>
    </w:p>
    <w:p>
      <w:pPr>
        <w:pStyle w:val="17"/>
        <w:ind w:left="0" w:leftChars="0" w:firstLine="0" w:firstLineChars="0"/>
        <w:jc w:val="right"/>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单位：万元</w:t>
      </w:r>
    </w:p>
    <w:p>
      <w:pPr>
        <w:pStyle w:val="24"/>
        <w:rPr>
          <w:rFonts w:hint="eastAsia" w:ascii="仿宋" w:hAnsi="仿宋" w:eastAsia="仿宋"/>
          <w:b/>
          <w:color w:val="000000" w:themeColor="text1"/>
          <w:sz w:val="32"/>
          <w:szCs w:val="32"/>
          <w14:textFill>
            <w14:solidFill>
              <w14:schemeClr w14:val="tx1"/>
            </w14:solidFill>
          </w14:textFill>
        </w:rPr>
      </w:pPr>
    </w:p>
    <w:p>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593725</wp:posOffset>
            </wp:positionH>
            <wp:positionV relativeFrom="paragraph">
              <wp:posOffset>-272415</wp:posOffset>
            </wp:positionV>
            <wp:extent cx="4581525" cy="2466975"/>
            <wp:effectExtent l="4445" t="4445" r="5080" b="508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9"/>
        <w:rPr>
          <w:rFonts w:hint="eastAsia" w:ascii="黑体" w:hAnsi="黑体" w:eastAsia="黑体"/>
          <w:color w:val="000000"/>
          <w:sz w:val="32"/>
          <w:szCs w:val="32"/>
        </w:rPr>
      </w:pPr>
      <w:bookmarkStart w:id="70" w:name="_Toc15396607"/>
      <w:bookmarkStart w:id="71" w:name="_Toc15377209"/>
    </w:p>
    <w:p>
      <w:pPr>
        <w:spacing w:line="600" w:lineRule="exact"/>
        <w:ind w:firstLine="640" w:firstLineChars="200"/>
        <w:outlineLvl w:val="1"/>
        <w:rPr>
          <w:rStyle w:val="34"/>
          <w:rFonts w:ascii="黑体" w:hAnsi="黑体" w:eastAsia="黑体"/>
          <w:b w:val="0"/>
        </w:rPr>
      </w:pPr>
      <w:bookmarkStart w:id="72" w:name="_Toc19034"/>
      <w:bookmarkStart w:id="73" w:name="_Toc242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4"/>
          <w:rFonts w:hint="eastAsia" w:ascii="黑体" w:hAnsi="黑体" w:eastAsia="黑体"/>
          <w:b w:val="0"/>
        </w:rPr>
        <w:t>般公共预算财政拨款支出决算情况说明</w:t>
      </w:r>
      <w:bookmarkEnd w:id="70"/>
      <w:bookmarkEnd w:id="71"/>
      <w:bookmarkEnd w:id="72"/>
      <w:bookmarkEnd w:id="73"/>
    </w:p>
    <w:p>
      <w:pPr>
        <w:spacing w:line="600" w:lineRule="exact"/>
        <w:ind w:firstLine="643" w:firstLineChars="200"/>
        <w:outlineLvl w:val="2"/>
        <w:rPr>
          <w:rFonts w:ascii="仿宋" w:hAnsi="仿宋" w:eastAsia="仿宋"/>
          <w:b/>
          <w:color w:val="000000"/>
          <w:sz w:val="32"/>
          <w:szCs w:val="32"/>
        </w:rPr>
      </w:pPr>
      <w:bookmarkStart w:id="74" w:name="_Toc15377210"/>
      <w:r>
        <w:rPr>
          <w:rFonts w:hint="eastAsia" w:ascii="仿宋" w:hAnsi="仿宋" w:eastAsia="仿宋"/>
          <w:b/>
          <w:color w:val="000000"/>
          <w:sz w:val="32"/>
          <w:szCs w:val="32"/>
        </w:rPr>
        <w:t>（一）一般公共预算财政拨款支出决算总体情况</w:t>
      </w:r>
      <w:bookmarkEnd w:id="74"/>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180.41</w:t>
      </w:r>
      <w:r>
        <w:rPr>
          <w:rFonts w:hint="eastAsia" w:ascii="仿宋" w:hAnsi="仿宋" w:eastAsia="仿宋"/>
          <w:color w:val="000000"/>
          <w:sz w:val="32"/>
          <w:szCs w:val="32"/>
        </w:rPr>
        <w:t>万元，占本年支出合计的40.96%。与</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年相比，一般公共预算财政拨款支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33</w:t>
      </w:r>
      <w:r>
        <w:rPr>
          <w:rFonts w:hint="eastAsia" w:ascii="仿宋" w:hAnsi="仿宋" w:eastAsia="仿宋"/>
          <w:color w:val="000000"/>
          <w:sz w:val="32"/>
          <w:szCs w:val="32"/>
          <w:lang w:eastAsia="zh-CN"/>
        </w:rPr>
        <w:t>.36</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22.68</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人员变动。</w:t>
      </w:r>
    </w:p>
    <w:p>
      <w:pPr>
        <w:pStyle w:val="17"/>
        <w:ind w:left="0" w:leftChars="0" w:firstLine="0" w:firstLineChars="0"/>
        <w:jc w:val="right"/>
      </w:pPr>
      <w:r>
        <w:rPr>
          <w:rFonts w:hint="eastAsia" w:ascii="仿宋" w:hAnsi="仿宋" w:eastAsia="仿宋"/>
          <w:color w:val="000000" w:themeColor="text1"/>
          <w:sz w:val="32"/>
          <w:szCs w:val="32"/>
          <w:lang w:eastAsia="zh-CN"/>
          <w14:textFill>
            <w14:solidFill>
              <w14:schemeClr w14:val="tx1"/>
            </w14:solidFill>
          </w14:textFill>
        </w:rPr>
        <w:t>单位：万元</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626110</wp:posOffset>
            </wp:positionH>
            <wp:positionV relativeFrom="paragraph">
              <wp:posOffset>-36195</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7"/>
        <w:ind w:left="0" w:leftChars="0" w:firstLine="0" w:firstLineChars="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75" w:name="_Toc15377211"/>
      <w:r>
        <w:rPr>
          <w:rFonts w:hint="eastAsia" w:ascii="仿宋" w:hAnsi="仿宋" w:eastAsia="仿宋"/>
          <w:b/>
          <w:color w:val="000000"/>
          <w:sz w:val="32"/>
          <w:szCs w:val="32"/>
        </w:rPr>
        <w:t>（二）一般公共预算财政拨款支出决算结构情况</w:t>
      </w:r>
      <w:bookmarkEnd w:id="75"/>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eastAsia="zh-CN"/>
        </w:rPr>
        <w:t>180.41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10.80万元，占5.99%；</w:t>
      </w:r>
      <w:r>
        <w:rPr>
          <w:rFonts w:hint="eastAsia" w:ascii="仿宋" w:hAnsi="仿宋" w:eastAsia="仿宋"/>
          <w:b/>
          <w:bCs/>
          <w:color w:val="auto"/>
          <w:sz w:val="32"/>
          <w:szCs w:val="32"/>
          <w:highlight w:val="none"/>
        </w:rPr>
        <w:t>卫生健康支出5.35</w:t>
      </w:r>
      <w:r>
        <w:rPr>
          <w:rFonts w:hint="eastAsia" w:ascii="仿宋" w:hAnsi="仿宋" w:eastAsia="仿宋"/>
          <w:color w:val="auto"/>
          <w:sz w:val="32"/>
          <w:szCs w:val="32"/>
          <w:highlight w:val="none"/>
        </w:rPr>
        <w:t>万元，占2.97%；</w:t>
      </w:r>
      <w:r>
        <w:rPr>
          <w:rFonts w:hint="eastAsia" w:ascii="仿宋" w:hAnsi="仿宋" w:eastAsia="仿宋"/>
          <w:b/>
          <w:color w:val="auto"/>
          <w:sz w:val="32"/>
          <w:szCs w:val="32"/>
          <w:highlight w:val="none"/>
        </w:rPr>
        <w:t>农林水支出</w:t>
      </w:r>
      <w:r>
        <w:rPr>
          <w:rFonts w:hint="eastAsia" w:ascii="仿宋" w:hAnsi="仿宋" w:eastAsia="仿宋"/>
          <w:color w:val="auto"/>
          <w:sz w:val="32"/>
          <w:szCs w:val="32"/>
          <w:highlight w:val="none"/>
        </w:rPr>
        <w:t>152.19</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占5.99%</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12.07万元，占6.69%。</w:t>
      </w:r>
    </w:p>
    <w:p>
      <w:pPr>
        <w:pStyle w:val="17"/>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645795</wp:posOffset>
            </wp:positionH>
            <wp:positionV relativeFrom="paragraph">
              <wp:posOffset>294640</wp:posOffset>
            </wp:positionV>
            <wp:extent cx="4199255" cy="2214245"/>
            <wp:effectExtent l="4445" t="4445" r="6350" b="101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7"/>
        <w:rPr>
          <w:rFonts w:hint="default" w:ascii="仿宋" w:hAnsi="仿宋" w:eastAsia="仿宋"/>
          <w:color w:val="000000" w:themeColor="text1"/>
          <w:sz w:val="32"/>
          <w:szCs w:val="32"/>
          <w:lang w:val="en-US" w:eastAsia="zh-CN"/>
          <w14:textFill>
            <w14:solidFill>
              <w14:schemeClr w14:val="tx1"/>
            </w14:solidFill>
          </w14:textFill>
        </w:rPr>
      </w:pPr>
    </w:p>
    <w:p>
      <w:pPr>
        <w:pStyle w:val="17"/>
        <w:rPr>
          <w:rFonts w:hint="default" w:ascii="仿宋" w:hAnsi="仿宋" w:eastAsia="仿宋"/>
          <w:color w:val="000000" w:themeColor="text1"/>
          <w:sz w:val="32"/>
          <w:szCs w:val="32"/>
          <w:lang w:val="en-US" w:eastAsia="zh-CN"/>
          <w14:textFill>
            <w14:solidFill>
              <w14:schemeClr w14:val="tx1"/>
            </w14:solidFill>
          </w14:textFill>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76" w:name="_Toc15377212"/>
      <w:r>
        <w:rPr>
          <w:rFonts w:hint="eastAsia" w:ascii="仿宋" w:hAnsi="仿宋" w:eastAsia="仿宋"/>
          <w:b/>
          <w:color w:val="000000"/>
          <w:sz w:val="32"/>
          <w:szCs w:val="32"/>
        </w:rPr>
        <w:t>（三）一般公共预算财政拨款支出决算具体情况</w:t>
      </w:r>
      <w:bookmarkEnd w:id="76"/>
    </w:p>
    <w:p>
      <w:pPr>
        <w:spacing w:line="600" w:lineRule="exact"/>
        <w:ind w:firstLine="643" w:firstLineChars="200"/>
        <w:outlineLvl w:val="1"/>
        <w:rPr>
          <w:rFonts w:ascii="仿宋" w:hAnsi="仿宋" w:eastAsia="仿宋"/>
          <w:color w:val="FF0000"/>
          <w:sz w:val="32"/>
          <w:szCs w:val="32"/>
        </w:rPr>
      </w:pPr>
      <w:bookmarkStart w:id="77" w:name="_Toc15377444"/>
      <w:bookmarkStart w:id="78" w:name="_Toc13965"/>
      <w:bookmarkStart w:id="79" w:name="_Toc15377213"/>
      <w:bookmarkStart w:id="80" w:name="_Toc15378460"/>
      <w:r>
        <w:rPr>
          <w:rFonts w:hint="eastAsia" w:ascii="仿宋" w:hAnsi="仿宋" w:eastAsia="仿宋"/>
          <w:b/>
          <w:color w:val="000000" w:themeColor="text1"/>
          <w:sz w:val="32"/>
          <w:szCs w:val="32"/>
          <w:lang w:eastAsia="zh-CN"/>
          <w14:textFill>
            <w14:solidFill>
              <w14:schemeClr w14:val="tx1"/>
            </w14:solidFill>
          </w14:textFill>
        </w:rPr>
        <w:t>2022</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180.41万元</w:t>
      </w:r>
      <w:r>
        <w:rPr>
          <w:rFonts w:hint="eastAsia" w:ascii="仿宋" w:hAnsi="仿宋" w:eastAsia="仿宋"/>
          <w:color w:val="000000" w:themeColor="text1"/>
          <w:sz w:val="32"/>
          <w:szCs w:val="32"/>
          <w14:textFill>
            <w14:solidFill>
              <w14:schemeClr w14:val="tx1"/>
            </w14:solidFill>
          </w14:textFill>
        </w:rPr>
        <w:t>，</w:t>
      </w:r>
      <w:r>
        <w:rPr>
          <w:rStyle w:val="21"/>
          <w:rFonts w:hint="eastAsia" w:ascii="仿宋" w:hAnsi="仿宋" w:eastAsia="仿宋"/>
          <w:bCs/>
          <w:color w:val="000000" w:themeColor="text1"/>
          <w:sz w:val="32"/>
          <w:szCs w:val="32"/>
          <w14:textFill>
            <w14:solidFill>
              <w14:schemeClr w14:val="tx1"/>
            </w14:solidFill>
          </w14:textFill>
        </w:rPr>
        <w:t>完成</w:t>
      </w:r>
      <w:r>
        <w:rPr>
          <w:rStyle w:val="21"/>
          <w:rFonts w:hint="eastAsia" w:ascii="仿宋" w:hAnsi="仿宋" w:eastAsia="仿宋"/>
          <w:bCs/>
          <w:color w:val="000000"/>
          <w:sz w:val="32"/>
          <w:szCs w:val="32"/>
        </w:rPr>
        <w:t>预算</w:t>
      </w:r>
      <w:r>
        <w:rPr>
          <w:rStyle w:val="21"/>
          <w:rFonts w:hint="eastAsia" w:ascii="仿宋" w:hAnsi="仿宋" w:eastAsia="仿宋"/>
          <w:bCs/>
          <w:color w:val="000000"/>
          <w:sz w:val="32"/>
          <w:szCs w:val="32"/>
          <w:lang w:val="en-US" w:eastAsia="zh-CN"/>
        </w:rPr>
        <w:t>100</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。其中：</w:t>
      </w:r>
      <w:bookmarkEnd w:id="77"/>
      <w:bookmarkEnd w:id="78"/>
      <w:bookmarkEnd w:id="79"/>
      <w:bookmarkEnd w:id="80"/>
    </w:p>
    <w:p>
      <w:pPr>
        <w:numPr>
          <w:ilvl w:val="0"/>
          <w:numId w:val="0"/>
        </w:numPr>
        <w:spacing w:line="600" w:lineRule="exact"/>
        <w:ind w:firstLine="643" w:firstLineChars="200"/>
        <w:rPr>
          <w:rStyle w:val="21"/>
          <w:rFonts w:hint="eastAsia" w:ascii="仿宋" w:hAnsi="仿宋" w:eastAsia="仿宋" w:cs="Times New Roman"/>
          <w:b w:val="0"/>
          <w:bCs/>
          <w:color w:val="000000"/>
          <w:sz w:val="32"/>
          <w:szCs w:val="32"/>
          <w:highlight w:val="none"/>
          <w:lang w:val="en-US" w:eastAsia="zh-CN"/>
        </w:rPr>
      </w:pPr>
      <w:r>
        <w:rPr>
          <w:rStyle w:val="21"/>
          <w:rFonts w:hint="eastAsia" w:ascii="仿宋" w:hAnsi="仿宋" w:eastAsia="仿宋" w:cs="Times New Roman"/>
          <w:bCs/>
          <w:color w:val="000000"/>
          <w:sz w:val="32"/>
          <w:szCs w:val="32"/>
          <w:lang w:val="en-US" w:eastAsia="zh-CN"/>
        </w:rPr>
        <w:t xml:space="preserve">1.社会保障和就业支出（类）行政事业单位养老支出（款）  机关事业单位基本养老保险缴费支出（项）: </w:t>
      </w:r>
      <w:r>
        <w:rPr>
          <w:rStyle w:val="21"/>
          <w:rFonts w:hint="eastAsia" w:ascii="仿宋" w:hAnsi="仿宋" w:eastAsia="仿宋" w:cs="Times New Roman"/>
          <w:b w:val="0"/>
          <w:bCs/>
          <w:color w:val="000000"/>
          <w:sz w:val="32"/>
          <w:szCs w:val="32"/>
          <w:lang w:val="en-US" w:eastAsia="zh-CN"/>
        </w:rPr>
        <w:t>支出决算为10.61万元，完成预</w:t>
      </w:r>
      <w:r>
        <w:rPr>
          <w:rStyle w:val="21"/>
          <w:rFonts w:hint="eastAsia" w:ascii="仿宋" w:hAnsi="仿宋" w:eastAsia="仿宋" w:cs="Times New Roman"/>
          <w:b w:val="0"/>
          <w:bCs/>
          <w:color w:val="000000"/>
          <w:sz w:val="32"/>
          <w:szCs w:val="32"/>
          <w:highlight w:val="none"/>
          <w:lang w:val="en-US" w:eastAsia="zh-CN"/>
        </w:rPr>
        <w:t>算100%，</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r>
        <w:rPr>
          <w:rStyle w:val="21"/>
          <w:rFonts w:hint="eastAsia" w:ascii="仿宋" w:hAnsi="仿宋" w:eastAsia="仿宋"/>
          <w:b w:val="0"/>
          <w:bCs/>
          <w:color w:val="000000"/>
          <w:sz w:val="32"/>
          <w:szCs w:val="32"/>
          <w:highlight w:val="none"/>
          <w:lang w:eastAsia="zh-CN"/>
        </w:rPr>
        <w:t>。</w:t>
      </w:r>
    </w:p>
    <w:p>
      <w:pPr>
        <w:numPr>
          <w:ilvl w:val="0"/>
          <w:numId w:val="0"/>
        </w:numPr>
        <w:spacing w:line="600" w:lineRule="exact"/>
        <w:ind w:firstLine="643" w:firstLineChars="200"/>
        <w:rPr>
          <w:rFonts w:hint="default"/>
          <w:highlight w:val="none"/>
          <w:lang w:val="en-US" w:eastAsia="zh-CN"/>
        </w:rPr>
      </w:pPr>
      <w:r>
        <w:rPr>
          <w:rStyle w:val="21"/>
          <w:rFonts w:hint="eastAsia" w:ascii="仿宋" w:hAnsi="仿宋" w:eastAsia="仿宋" w:cs="Times New Roman"/>
          <w:bCs/>
          <w:color w:val="000000"/>
          <w:sz w:val="32"/>
          <w:szCs w:val="32"/>
          <w:highlight w:val="none"/>
          <w:lang w:val="en-US" w:eastAsia="zh-CN"/>
        </w:rPr>
        <w:t xml:space="preserve">2.社会保障和就业支出（类）其他社会保障和就业支出（款）  其他社会保障和就业支出（项）: </w:t>
      </w:r>
      <w:r>
        <w:rPr>
          <w:rStyle w:val="21"/>
          <w:rFonts w:hint="eastAsia" w:ascii="仿宋" w:hAnsi="仿宋" w:eastAsia="仿宋" w:cs="Times New Roman"/>
          <w:b w:val="0"/>
          <w:bCs/>
          <w:color w:val="000000"/>
          <w:sz w:val="32"/>
          <w:szCs w:val="32"/>
          <w:highlight w:val="none"/>
          <w:lang w:val="en-US" w:eastAsia="zh-CN"/>
        </w:rPr>
        <w:t>支出决算为0.19万元，完成预算100%，</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r>
        <w:rPr>
          <w:rStyle w:val="21"/>
          <w:rFonts w:hint="eastAsia" w:ascii="仿宋" w:hAnsi="仿宋" w:eastAsia="仿宋"/>
          <w:b w:val="0"/>
          <w:bCs/>
          <w:color w:val="000000"/>
          <w:sz w:val="32"/>
          <w:szCs w:val="32"/>
          <w:highlight w:val="none"/>
          <w:lang w:eastAsia="zh-CN"/>
        </w:rPr>
        <w:t>。</w:t>
      </w:r>
    </w:p>
    <w:p>
      <w:pPr>
        <w:numPr>
          <w:ilvl w:val="0"/>
          <w:numId w:val="0"/>
        </w:numPr>
        <w:spacing w:line="600" w:lineRule="exact"/>
        <w:ind w:firstLine="643" w:firstLineChars="200"/>
        <w:rPr>
          <w:rStyle w:val="21"/>
          <w:rFonts w:hint="eastAsia" w:ascii="仿宋" w:hAnsi="仿宋" w:eastAsia="仿宋" w:cs="Times New Roman"/>
          <w:b w:val="0"/>
          <w:bCs/>
          <w:color w:val="000000"/>
          <w:sz w:val="32"/>
          <w:szCs w:val="32"/>
          <w:highlight w:val="none"/>
          <w:lang w:val="en-US" w:eastAsia="zh-CN"/>
        </w:rPr>
      </w:pPr>
      <w:r>
        <w:rPr>
          <w:rStyle w:val="21"/>
          <w:rFonts w:hint="eastAsia" w:ascii="仿宋" w:hAnsi="仿宋" w:eastAsia="仿宋" w:cs="Times New Roman"/>
          <w:bCs/>
          <w:color w:val="000000"/>
          <w:sz w:val="32"/>
          <w:szCs w:val="32"/>
          <w:highlight w:val="none"/>
          <w:lang w:val="en-US" w:eastAsia="zh-CN"/>
        </w:rPr>
        <w:t>3.卫生健康支出（类）行政事业单位医疗（款）  行政单位医疗（项）</w:t>
      </w:r>
      <w:r>
        <w:rPr>
          <w:rStyle w:val="21"/>
          <w:rFonts w:ascii="仿宋" w:hAnsi="仿宋" w:eastAsia="仿宋"/>
          <w:bCs/>
          <w:color w:val="000000"/>
          <w:sz w:val="32"/>
          <w:szCs w:val="32"/>
          <w:highlight w:val="none"/>
        </w:rPr>
        <w:t>:</w:t>
      </w:r>
      <w:r>
        <w:rPr>
          <w:rStyle w:val="21"/>
          <w:rFonts w:hint="eastAsia" w:ascii="仿宋" w:hAnsi="仿宋" w:eastAsia="仿宋"/>
          <w:b w:val="0"/>
          <w:bCs/>
          <w:color w:val="000000"/>
          <w:sz w:val="32"/>
          <w:szCs w:val="32"/>
          <w:highlight w:val="none"/>
        </w:rPr>
        <w:t>支出决算为</w:t>
      </w:r>
      <w:r>
        <w:rPr>
          <w:rStyle w:val="21"/>
          <w:rFonts w:hint="eastAsia" w:ascii="仿宋" w:hAnsi="仿宋" w:eastAsia="仿宋"/>
          <w:b w:val="0"/>
          <w:bCs/>
          <w:sz w:val="32"/>
          <w:szCs w:val="32"/>
          <w:highlight w:val="none"/>
          <w:lang w:val="en-US" w:eastAsia="zh-CN"/>
        </w:rPr>
        <w:t>3.88万</w:t>
      </w:r>
      <w:r>
        <w:rPr>
          <w:rStyle w:val="21"/>
          <w:rFonts w:hint="eastAsia" w:ascii="仿宋" w:hAnsi="仿宋" w:eastAsia="仿宋"/>
          <w:b w:val="0"/>
          <w:bCs/>
          <w:color w:val="000000"/>
          <w:sz w:val="32"/>
          <w:szCs w:val="32"/>
          <w:highlight w:val="none"/>
        </w:rPr>
        <w:t>元，完成预算</w:t>
      </w:r>
      <w:r>
        <w:rPr>
          <w:rStyle w:val="21"/>
          <w:rFonts w:hint="eastAsia" w:ascii="仿宋" w:hAnsi="仿宋" w:eastAsia="仿宋"/>
          <w:b w:val="0"/>
          <w:bCs/>
          <w:color w:val="000000"/>
          <w:sz w:val="32"/>
          <w:szCs w:val="32"/>
          <w:highlight w:val="none"/>
          <w:lang w:val="en-US" w:eastAsia="zh-CN"/>
        </w:rPr>
        <w:t>100</w:t>
      </w:r>
      <w:r>
        <w:rPr>
          <w:rStyle w:val="21"/>
          <w:rFonts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r>
        <w:rPr>
          <w:rStyle w:val="21"/>
          <w:rFonts w:hint="eastAsia" w:ascii="仿宋" w:hAnsi="仿宋" w:eastAsia="仿宋"/>
          <w:b w:val="0"/>
          <w:bCs/>
          <w:color w:val="000000"/>
          <w:sz w:val="32"/>
          <w:szCs w:val="32"/>
          <w:highlight w:val="none"/>
          <w:lang w:eastAsia="zh-CN"/>
        </w:rPr>
        <w:t>。</w:t>
      </w:r>
    </w:p>
    <w:p>
      <w:pPr>
        <w:numPr>
          <w:ilvl w:val="0"/>
          <w:numId w:val="0"/>
        </w:numPr>
        <w:spacing w:line="60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cs="Times New Roman"/>
          <w:bCs/>
          <w:color w:val="000000"/>
          <w:sz w:val="32"/>
          <w:szCs w:val="32"/>
          <w:lang w:val="en-US" w:eastAsia="zh-CN"/>
        </w:rPr>
        <w:t>4.卫生健康支出（类）行政事业单位医疗（款）  事业单位医疗（项）:</w:t>
      </w:r>
      <w:r>
        <w:rPr>
          <w:rStyle w:val="21"/>
          <w:rFonts w:hint="eastAsia" w:ascii="仿宋" w:hAnsi="仿宋" w:eastAsia="仿宋" w:cs="Times New Roman"/>
          <w:b w:val="0"/>
          <w:bCs/>
          <w:color w:val="000000"/>
          <w:sz w:val="32"/>
          <w:szCs w:val="32"/>
          <w:lang w:val="en-US" w:eastAsia="zh-CN"/>
        </w:rPr>
        <w:t>支出决算为1.15万元，完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r>
        <w:rPr>
          <w:rStyle w:val="21"/>
          <w:rFonts w:hint="eastAsia" w:ascii="仿宋" w:hAnsi="仿宋" w:eastAsia="仿宋"/>
          <w:b w:val="0"/>
          <w:bCs/>
          <w:color w:val="000000"/>
          <w:sz w:val="32"/>
          <w:szCs w:val="32"/>
          <w:highlight w:val="none"/>
          <w:lang w:eastAsia="zh-CN"/>
        </w:rPr>
        <w:t>。</w:t>
      </w:r>
    </w:p>
    <w:p>
      <w:pPr>
        <w:numPr>
          <w:ilvl w:val="0"/>
          <w:numId w:val="0"/>
        </w:numPr>
        <w:spacing w:line="60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cs="Times New Roman"/>
          <w:bCs/>
          <w:color w:val="000000"/>
          <w:sz w:val="32"/>
          <w:szCs w:val="32"/>
          <w:lang w:val="en-US" w:eastAsia="zh-CN"/>
        </w:rPr>
        <w:t>5. 卫生健康支出（类）行政事业单位医疗（款）  公务员医疗补助（项）:</w:t>
      </w:r>
      <w:r>
        <w:rPr>
          <w:rStyle w:val="21"/>
          <w:rFonts w:hint="eastAsia" w:ascii="仿宋" w:hAnsi="仿宋" w:eastAsia="仿宋" w:cs="Times New Roman"/>
          <w:b w:val="0"/>
          <w:bCs/>
          <w:color w:val="000000"/>
          <w:sz w:val="32"/>
          <w:szCs w:val="32"/>
          <w:lang w:val="en-US" w:eastAsia="zh-CN"/>
        </w:rPr>
        <w:t>支出决算为0.32万元，完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p>
    <w:p>
      <w:pPr>
        <w:numPr>
          <w:ilvl w:val="0"/>
          <w:numId w:val="0"/>
        </w:numPr>
        <w:spacing w:line="60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cs="Times New Roman"/>
          <w:bCs/>
          <w:color w:val="000000"/>
          <w:sz w:val="32"/>
          <w:szCs w:val="32"/>
          <w:lang w:val="en-US" w:eastAsia="zh-CN"/>
        </w:rPr>
        <w:t>6.农林水支出（类）农业农村（款）  行政运行（项）:</w:t>
      </w:r>
      <w:r>
        <w:rPr>
          <w:rStyle w:val="21"/>
          <w:rFonts w:hint="eastAsia" w:ascii="仿宋" w:hAnsi="仿宋" w:eastAsia="仿宋" w:cs="Times New Roman"/>
          <w:b w:val="0"/>
          <w:bCs/>
          <w:color w:val="000000"/>
          <w:sz w:val="32"/>
          <w:szCs w:val="32"/>
          <w:lang w:val="en-US" w:eastAsia="zh-CN"/>
        </w:rPr>
        <w:t>支出决算为12.79万元，完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p>
    <w:p>
      <w:pPr>
        <w:numPr>
          <w:ilvl w:val="0"/>
          <w:numId w:val="0"/>
        </w:numPr>
        <w:spacing w:line="60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cs="Times New Roman"/>
          <w:bCs/>
          <w:color w:val="000000"/>
          <w:sz w:val="32"/>
          <w:szCs w:val="32"/>
          <w:lang w:val="en-US" w:eastAsia="zh-CN"/>
        </w:rPr>
        <w:t>7.农林水支出（类）农业农村（款）  其他农业农村支出（项）:</w:t>
      </w:r>
      <w:r>
        <w:rPr>
          <w:rStyle w:val="21"/>
          <w:rFonts w:hint="eastAsia" w:ascii="仿宋" w:hAnsi="仿宋" w:eastAsia="仿宋" w:cs="Times New Roman"/>
          <w:b w:val="0"/>
          <w:bCs/>
          <w:color w:val="000000"/>
          <w:sz w:val="32"/>
          <w:szCs w:val="32"/>
          <w:lang w:val="en-US" w:eastAsia="zh-CN"/>
        </w:rPr>
        <w:t>支出决算为120.62万元，完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p>
    <w:p>
      <w:pPr>
        <w:numPr>
          <w:ilvl w:val="0"/>
          <w:numId w:val="0"/>
        </w:numPr>
        <w:spacing w:line="600" w:lineRule="exact"/>
        <w:ind w:firstLine="643" w:firstLineChars="200"/>
        <w:rPr>
          <w:rStyle w:val="21"/>
          <w:rFonts w:hint="eastAsia" w:ascii="仿宋" w:hAnsi="仿宋" w:eastAsia="仿宋"/>
          <w:b w:val="0"/>
          <w:bCs/>
          <w:color w:val="000000"/>
          <w:sz w:val="32"/>
          <w:szCs w:val="32"/>
          <w:highlight w:val="none"/>
          <w:lang w:val="en-US" w:eastAsia="zh-CN"/>
        </w:rPr>
      </w:pPr>
      <w:r>
        <w:rPr>
          <w:rStyle w:val="21"/>
          <w:rFonts w:hint="eastAsia" w:ascii="仿宋" w:hAnsi="仿宋" w:eastAsia="仿宋" w:cs="Times New Roman"/>
          <w:bCs/>
          <w:color w:val="000000"/>
          <w:sz w:val="32"/>
          <w:szCs w:val="32"/>
          <w:lang w:val="en-US" w:eastAsia="zh-CN"/>
        </w:rPr>
        <w:t>8.农林水支出（类）巩固脱贫衔接乡村振兴（款）  其他巩固脱贫衔接乡村振兴支出（项）:</w:t>
      </w:r>
      <w:r>
        <w:rPr>
          <w:rStyle w:val="21"/>
          <w:rFonts w:hint="eastAsia" w:ascii="仿宋" w:hAnsi="仿宋" w:eastAsia="仿宋" w:cs="Times New Roman"/>
          <w:b w:val="0"/>
          <w:bCs/>
          <w:color w:val="000000"/>
          <w:sz w:val="32"/>
          <w:szCs w:val="32"/>
          <w:lang w:val="en-US" w:eastAsia="zh-CN"/>
        </w:rPr>
        <w:t>支出决算为18.78万元，完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p>
    <w:p>
      <w:pPr>
        <w:numPr>
          <w:ilvl w:val="0"/>
          <w:numId w:val="0"/>
        </w:numPr>
        <w:spacing w:line="240" w:lineRule="auto"/>
        <w:ind w:firstLine="643" w:firstLineChars="200"/>
        <w:rPr>
          <w:rFonts w:hint="eastAsia"/>
          <w:highlight w:val="none"/>
          <w:lang w:val="en-US" w:eastAsia="zh-CN"/>
        </w:rPr>
      </w:pPr>
      <w:r>
        <w:rPr>
          <w:rStyle w:val="21"/>
          <w:rFonts w:hint="eastAsia" w:ascii="仿宋" w:hAnsi="仿宋" w:eastAsia="仿宋" w:cs="Times New Roman"/>
          <w:bCs/>
          <w:color w:val="000000"/>
          <w:sz w:val="32"/>
          <w:szCs w:val="32"/>
          <w:lang w:val="en-US" w:eastAsia="zh-CN"/>
        </w:rPr>
        <w:t>9. 住房保障支出（类）住房改革支出（款）  住房公积金（项）：</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12.07</w:t>
      </w:r>
      <w:r>
        <w:rPr>
          <w:rStyle w:val="21"/>
          <w:rFonts w:hint="eastAsia" w:ascii="仿宋" w:hAnsi="仿宋" w:eastAsia="仿宋"/>
          <w:b w:val="0"/>
          <w:bCs/>
          <w:sz w:val="32"/>
          <w:szCs w:val="32"/>
        </w:rPr>
        <w:t>万元，</w:t>
      </w:r>
      <w:r>
        <w:rPr>
          <w:rStyle w:val="21"/>
          <w:rFonts w:hint="eastAsia" w:ascii="仿宋" w:hAnsi="仿宋" w:eastAsia="仿宋" w:cs="Times New Roman"/>
          <w:b w:val="0"/>
          <w:bCs/>
          <w:color w:val="000000"/>
          <w:sz w:val="32"/>
          <w:szCs w:val="32"/>
          <w:lang w:val="en-US" w:eastAsia="zh-CN"/>
        </w:rPr>
        <w:t>完</w:t>
      </w:r>
      <w:r>
        <w:rPr>
          <w:rStyle w:val="21"/>
          <w:rFonts w:hint="eastAsia" w:ascii="仿宋" w:hAnsi="仿宋" w:eastAsia="仿宋" w:cs="Times New Roman"/>
          <w:b w:val="0"/>
          <w:bCs/>
          <w:color w:val="000000"/>
          <w:sz w:val="32"/>
          <w:szCs w:val="32"/>
          <w:highlight w:val="none"/>
          <w:lang w:val="en-US" w:eastAsia="zh-CN"/>
        </w:rPr>
        <w:t>成预算100%</w:t>
      </w:r>
      <w:r>
        <w:rPr>
          <w:rStyle w:val="21"/>
          <w:rFonts w:hint="eastAsia" w:ascii="仿宋" w:hAnsi="仿宋" w:eastAsia="仿宋" w:cs="Times New Roman"/>
          <w:b w:val="0"/>
          <w:bCs/>
          <w:color w:val="000000"/>
          <w:sz w:val="32"/>
          <w:szCs w:val="32"/>
          <w:lang w:val="en-US" w:eastAsia="zh-CN"/>
        </w:rPr>
        <w:t>，</w:t>
      </w:r>
      <w:r>
        <w:rPr>
          <w:rStyle w:val="21"/>
          <w:rFonts w:hint="eastAsia" w:ascii="仿宋" w:hAnsi="仿宋" w:eastAsia="仿宋"/>
          <w:b w:val="0"/>
          <w:bCs/>
          <w:color w:val="000000"/>
          <w:sz w:val="32"/>
          <w:szCs w:val="32"/>
          <w:highlight w:val="none"/>
          <w:lang w:eastAsia="zh-CN"/>
        </w:rPr>
        <w:t>决算数</w:t>
      </w:r>
      <w:r>
        <w:rPr>
          <w:rStyle w:val="21"/>
          <w:rFonts w:hint="eastAsia" w:ascii="仿宋" w:hAnsi="仿宋" w:eastAsia="仿宋"/>
          <w:b w:val="0"/>
          <w:bCs/>
          <w:color w:val="000000"/>
          <w:sz w:val="32"/>
          <w:szCs w:val="32"/>
          <w:highlight w:val="none"/>
          <w:lang w:val="en-US" w:eastAsia="zh-CN"/>
        </w:rPr>
        <w:t>与</w:t>
      </w:r>
      <w:r>
        <w:rPr>
          <w:rStyle w:val="21"/>
          <w:rFonts w:hint="eastAsia" w:ascii="仿宋" w:hAnsi="仿宋" w:eastAsia="仿宋"/>
          <w:b w:val="0"/>
          <w:bCs/>
          <w:color w:val="000000"/>
          <w:sz w:val="32"/>
          <w:szCs w:val="32"/>
          <w:highlight w:val="none"/>
          <w:lang w:eastAsia="zh-CN"/>
        </w:rPr>
        <w:t>预算数</w:t>
      </w:r>
      <w:r>
        <w:rPr>
          <w:rStyle w:val="21"/>
          <w:rFonts w:hint="eastAsia" w:ascii="仿宋" w:hAnsi="仿宋" w:eastAsia="仿宋"/>
          <w:b w:val="0"/>
          <w:bCs/>
          <w:color w:val="000000"/>
          <w:sz w:val="32"/>
          <w:szCs w:val="32"/>
          <w:highlight w:val="none"/>
          <w:lang w:val="en-US" w:eastAsia="zh-CN"/>
        </w:rPr>
        <w:t>持平。</w:t>
      </w:r>
    </w:p>
    <w:p>
      <w:pPr>
        <w:spacing w:line="600" w:lineRule="exact"/>
        <w:rPr>
          <w:rFonts w:ascii="仿宋" w:hAnsi="仿宋" w:eastAsia="仿宋"/>
          <w:b/>
          <w:color w:val="000000" w:themeColor="text1"/>
          <w:sz w:val="32"/>
          <w:szCs w:val="32"/>
          <w14:textFill>
            <w14:solidFill>
              <w14:schemeClr w14:val="tx1"/>
            </w14:solidFill>
          </w14:textFill>
        </w:rPr>
      </w:pPr>
    </w:p>
    <w:p>
      <w:pPr>
        <w:tabs>
          <w:tab w:val="right" w:pos="8306"/>
        </w:tabs>
        <w:spacing w:line="600" w:lineRule="exact"/>
        <w:ind w:firstLine="640"/>
        <w:outlineLvl w:val="1"/>
        <w:rPr>
          <w:rStyle w:val="34"/>
        </w:rPr>
      </w:pPr>
      <w:bookmarkStart w:id="81" w:name="_Toc6109"/>
      <w:bookmarkStart w:id="82" w:name="_Toc15396608"/>
      <w:bookmarkStart w:id="83" w:name="_Toc19117"/>
      <w:bookmarkStart w:id="84"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4"/>
          <w:rFonts w:hint="eastAsia" w:ascii="黑体" w:hAnsi="黑体" w:eastAsia="黑体"/>
          <w:b w:val="0"/>
        </w:rPr>
        <w:t>般公共预算财政拨款基本支出决算情况说明</w:t>
      </w:r>
      <w:bookmarkEnd w:id="81"/>
      <w:bookmarkEnd w:id="82"/>
      <w:bookmarkEnd w:id="83"/>
      <w:bookmarkEnd w:id="84"/>
      <w:r>
        <w:rPr>
          <w:rStyle w:val="34"/>
          <w:rFonts w:ascii="黑体" w:hAnsi="黑体" w:eastAsia="黑体"/>
          <w:b w:val="0"/>
        </w:rPr>
        <w:tab/>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161.63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132.68</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万元，主要包括：基本工资、津贴补贴、奖金、绩效工资、机关事业单位基本养老保险缴费、职业年金缴费、其他社会保障缴费、其他工资福利支出、住房公积金等。</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28.95</w:t>
      </w:r>
      <w:r>
        <w:rPr>
          <w:rFonts w:hint="eastAsia" w:ascii="仿宋" w:hAnsi="仿宋" w:eastAsia="仿宋"/>
          <w:color w:val="000000"/>
          <w:sz w:val="32"/>
          <w:szCs w:val="32"/>
        </w:rPr>
        <w:t>万元，主要包括：办公费、水费、邮电费</w:t>
      </w:r>
      <w:r>
        <w:rPr>
          <w:rFonts w:hint="eastAsia" w:ascii="仿宋" w:hAnsi="仿宋" w:eastAsia="仿宋"/>
          <w:color w:val="000000"/>
          <w:sz w:val="32"/>
          <w:szCs w:val="32"/>
          <w:lang w:eastAsia="zh-CN"/>
        </w:rPr>
        <w:t>、</w:t>
      </w:r>
      <w:r>
        <w:rPr>
          <w:rFonts w:hint="eastAsia" w:ascii="仿宋" w:hAnsi="仿宋" w:eastAsia="仿宋"/>
          <w:color w:val="000000"/>
          <w:sz w:val="32"/>
          <w:szCs w:val="32"/>
        </w:rPr>
        <w:t>差旅费、劳务费、工会经费、福利费、其他交通费</w:t>
      </w:r>
      <w:r>
        <w:rPr>
          <w:rFonts w:hint="eastAsia" w:ascii="仿宋" w:hAnsi="仿宋" w:eastAsia="仿宋"/>
          <w:color w:val="000000"/>
          <w:sz w:val="32"/>
          <w:szCs w:val="32"/>
          <w:lang w:eastAsia="zh-CN"/>
        </w:rPr>
        <w:t>等。</w:t>
      </w:r>
    </w:p>
    <w:p>
      <w:pPr>
        <w:spacing w:line="600" w:lineRule="exact"/>
        <w:ind w:firstLine="640"/>
        <w:outlineLvl w:val="1"/>
        <w:rPr>
          <w:rFonts w:hint="eastAsia" w:ascii="黑体" w:eastAsia="黑体"/>
          <w:color w:val="000000"/>
          <w:sz w:val="32"/>
          <w:szCs w:val="32"/>
        </w:rPr>
      </w:pPr>
      <w:bookmarkStart w:id="85" w:name="_Toc20623"/>
      <w:bookmarkStart w:id="86" w:name="_Toc15396609"/>
      <w:bookmarkStart w:id="87" w:name="_Toc14117"/>
      <w:bookmarkStart w:id="88" w:name="_Toc15377215"/>
    </w:p>
    <w:p>
      <w:pPr>
        <w:spacing w:line="600" w:lineRule="exact"/>
        <w:ind w:firstLine="640"/>
        <w:outlineLvl w:val="1"/>
        <w:rPr>
          <w:rStyle w:val="34"/>
          <w:rFonts w:ascii="黑体" w:hAnsi="黑体" w:eastAsia="黑体"/>
          <w:b w:val="0"/>
        </w:rPr>
      </w:pPr>
      <w:r>
        <w:rPr>
          <w:rFonts w:hint="eastAsia" w:ascii="黑体" w:eastAsia="黑体"/>
          <w:color w:val="000000"/>
          <w:sz w:val="32"/>
          <w:szCs w:val="32"/>
        </w:rPr>
        <w:t>七、</w:t>
      </w:r>
      <w:r>
        <w:rPr>
          <w:rStyle w:val="34"/>
          <w:rFonts w:hint="eastAsia" w:ascii="黑体" w:hAnsi="黑体" w:eastAsia="黑体"/>
        </w:rPr>
        <w:t>“</w:t>
      </w:r>
      <w:r>
        <w:rPr>
          <w:rStyle w:val="34"/>
          <w:rFonts w:hint="eastAsia" w:ascii="黑体" w:hAnsi="黑体" w:eastAsia="黑体"/>
          <w:b w:val="0"/>
        </w:rPr>
        <w:t>三公”经费财政拨款支出决算情况说明</w:t>
      </w:r>
      <w:bookmarkEnd w:id="85"/>
      <w:bookmarkEnd w:id="86"/>
      <w:bookmarkEnd w:id="87"/>
      <w:bookmarkEnd w:id="88"/>
    </w:p>
    <w:p>
      <w:pPr>
        <w:spacing w:line="600" w:lineRule="exact"/>
        <w:ind w:firstLine="640"/>
        <w:outlineLvl w:val="2"/>
        <w:rPr>
          <w:rFonts w:ascii="仿宋" w:hAnsi="仿宋" w:eastAsia="仿宋"/>
          <w:b/>
          <w:color w:val="auto"/>
          <w:sz w:val="32"/>
          <w:szCs w:val="32"/>
          <w:highlight w:val="none"/>
        </w:rPr>
      </w:pPr>
      <w:bookmarkStart w:id="89" w:name="_Toc15377216"/>
      <w:bookmarkStart w:id="90" w:name="_Toc15377218"/>
      <w:bookmarkStart w:id="91" w:name="_Toc15396610"/>
      <w:r>
        <w:rPr>
          <w:rFonts w:hint="eastAsia" w:ascii="仿宋" w:hAnsi="仿宋" w:eastAsia="仿宋"/>
          <w:b/>
          <w:color w:val="auto"/>
          <w:sz w:val="32"/>
          <w:szCs w:val="32"/>
          <w:highlight w:val="none"/>
        </w:rPr>
        <w:t>（一）“三公”经费财政拨款支出决算总体情况说明</w:t>
      </w:r>
      <w:bookmarkEnd w:id="89"/>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/减少0万元，增长/下降0%。</w:t>
      </w:r>
    </w:p>
    <w:p>
      <w:pPr>
        <w:spacing w:line="600" w:lineRule="exact"/>
        <w:ind w:firstLine="640"/>
        <w:outlineLvl w:val="2"/>
        <w:rPr>
          <w:rFonts w:ascii="仿宋" w:hAnsi="仿宋" w:eastAsia="仿宋"/>
          <w:b/>
          <w:color w:val="auto"/>
          <w:sz w:val="32"/>
          <w:szCs w:val="32"/>
          <w:highlight w:val="none"/>
        </w:rPr>
      </w:pPr>
      <w:bookmarkStart w:id="92" w:name="_Toc15377217"/>
      <w:r>
        <w:rPr>
          <w:rFonts w:hint="eastAsia" w:ascii="仿宋" w:hAnsi="仿宋" w:eastAsia="仿宋"/>
          <w:b/>
          <w:color w:val="auto"/>
          <w:sz w:val="32"/>
          <w:szCs w:val="32"/>
          <w:highlight w:val="none"/>
        </w:rPr>
        <w:t>（二）“三公”经费财政拨款支出决算具体情况说明</w:t>
      </w:r>
      <w:bookmarkEnd w:id="9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2022年未安排因公出国出境。</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val="en-US" w:eastAsia="zh-CN"/>
        </w:rPr>
        <w:t>因公车改革，未安排公务用车购置及运行维护费。</w:t>
      </w:r>
    </w:p>
    <w:p>
      <w:pPr>
        <w:spacing w:line="600" w:lineRule="exact"/>
        <w:ind w:firstLine="640"/>
        <w:rPr>
          <w:rFonts w:ascii="黑体" w:eastAsia="黑体"/>
          <w:color w:val="000000"/>
          <w:sz w:val="32"/>
          <w:szCs w:val="32"/>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outlineLvl w:val="1"/>
        <w:rPr>
          <w:rFonts w:hint="eastAsia" w:ascii="黑体" w:eastAsia="黑体"/>
          <w:color w:val="000000"/>
          <w:sz w:val="32"/>
          <w:szCs w:val="32"/>
        </w:rPr>
      </w:pPr>
      <w:bookmarkStart w:id="93" w:name="_Toc14119"/>
      <w:bookmarkStart w:id="94" w:name="_Toc12504"/>
    </w:p>
    <w:p>
      <w:pPr>
        <w:spacing w:line="600" w:lineRule="exact"/>
        <w:ind w:firstLine="640"/>
        <w:outlineLvl w:val="1"/>
        <w:rPr>
          <w:rStyle w:val="34"/>
          <w:rFonts w:ascii="黑体" w:hAnsi="黑体" w:eastAsia="黑体"/>
        </w:rPr>
      </w:pPr>
      <w:r>
        <w:rPr>
          <w:rFonts w:hint="eastAsia" w:ascii="黑体" w:eastAsia="黑体"/>
          <w:color w:val="000000"/>
          <w:sz w:val="32"/>
          <w:szCs w:val="32"/>
        </w:rPr>
        <w:t>八、</w:t>
      </w:r>
      <w:r>
        <w:rPr>
          <w:rStyle w:val="34"/>
          <w:rFonts w:hint="eastAsia" w:ascii="黑体" w:hAnsi="黑体" w:eastAsia="黑体"/>
          <w:b w:val="0"/>
        </w:rPr>
        <w:t>政府性基金预算支出决算情况说明</w:t>
      </w:r>
      <w:bookmarkEnd w:id="90"/>
      <w:bookmarkEnd w:id="91"/>
      <w:bookmarkEnd w:id="93"/>
      <w:bookmarkEnd w:id="94"/>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34"/>
          <w:rFonts w:ascii="黑体" w:hAnsi="黑体" w:eastAsia="黑体"/>
          <w:b w:val="0"/>
        </w:rPr>
      </w:pPr>
      <w:bookmarkStart w:id="95" w:name="_Toc6537"/>
      <w:bookmarkStart w:id="96" w:name="_Toc22165"/>
      <w:bookmarkStart w:id="97" w:name="_Toc15377219"/>
      <w:bookmarkStart w:id="98" w:name="_Toc15396611"/>
      <w:r>
        <w:rPr>
          <w:rStyle w:val="34"/>
          <w:rFonts w:hint="eastAsia" w:ascii="黑体" w:hAnsi="黑体" w:eastAsia="黑体"/>
          <w:b w:val="0"/>
        </w:rPr>
        <w:t>国有资本经营预算支出决算情况说明</w:t>
      </w:r>
      <w:bookmarkEnd w:id="95"/>
      <w:bookmarkEnd w:id="96"/>
      <w:bookmarkEnd w:id="97"/>
      <w:bookmarkEnd w:id="9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260.00</w:t>
      </w:r>
      <w:r>
        <w:rPr>
          <w:rFonts w:hint="eastAsia" w:ascii="仿宋_GB2312" w:eastAsia="仿宋_GB2312"/>
          <w:color w:val="000000"/>
          <w:sz w:val="32"/>
          <w:szCs w:val="32"/>
        </w:rPr>
        <w:t>万元。</w:t>
      </w:r>
    </w:p>
    <w:p>
      <w:pPr>
        <w:spacing w:line="600" w:lineRule="exact"/>
        <w:outlineLvl w:val="1"/>
        <w:rPr>
          <w:rFonts w:hint="eastAsia" w:ascii="黑体" w:hAnsi="黑体" w:eastAsia="黑体"/>
          <w:color w:val="000000"/>
          <w:sz w:val="32"/>
          <w:szCs w:val="32"/>
        </w:rPr>
      </w:pPr>
      <w:bookmarkStart w:id="99" w:name="_Toc2780"/>
      <w:bookmarkStart w:id="100" w:name="_Toc15396612"/>
      <w:bookmarkStart w:id="101" w:name="_Toc15377221"/>
      <w:bookmarkStart w:id="102" w:name="_Toc2245"/>
    </w:p>
    <w:p>
      <w:pPr>
        <w:spacing w:line="600" w:lineRule="exact"/>
        <w:ind w:firstLine="640" w:firstLineChars="200"/>
        <w:outlineLvl w:val="1"/>
        <w:rPr>
          <w:rStyle w:val="34"/>
          <w:rFonts w:ascii="黑体" w:hAnsi="黑体" w:eastAsia="黑体"/>
        </w:rPr>
      </w:pPr>
      <w:r>
        <w:rPr>
          <w:rFonts w:hint="eastAsia" w:ascii="黑体" w:hAnsi="黑体" w:eastAsia="黑体"/>
          <w:color w:val="000000"/>
          <w:sz w:val="32"/>
          <w:szCs w:val="32"/>
        </w:rPr>
        <w:t>十</w:t>
      </w:r>
      <w:r>
        <w:rPr>
          <w:rStyle w:val="34"/>
          <w:rFonts w:hint="eastAsia" w:ascii="黑体" w:hAnsi="黑体" w:eastAsia="黑体"/>
        </w:rPr>
        <w:t>、</w:t>
      </w:r>
      <w:r>
        <w:rPr>
          <w:rStyle w:val="34"/>
          <w:rFonts w:hint="eastAsia" w:ascii="黑体" w:hAnsi="黑体" w:eastAsia="黑体"/>
          <w:b w:val="0"/>
        </w:rPr>
        <w:t>其他重要事项的情况说明</w:t>
      </w:r>
      <w:bookmarkEnd w:id="99"/>
      <w:bookmarkEnd w:id="100"/>
      <w:bookmarkEnd w:id="101"/>
      <w:bookmarkEnd w:id="102"/>
    </w:p>
    <w:p>
      <w:pPr>
        <w:spacing w:line="600" w:lineRule="exact"/>
        <w:ind w:firstLine="643" w:firstLineChars="200"/>
        <w:outlineLvl w:val="2"/>
        <w:rPr>
          <w:rFonts w:ascii="仿宋" w:hAnsi="仿宋" w:eastAsia="仿宋"/>
          <w:color w:val="000000"/>
          <w:sz w:val="32"/>
          <w:szCs w:val="32"/>
        </w:rPr>
      </w:pPr>
      <w:bookmarkStart w:id="103" w:name="_Toc15377222"/>
      <w:r>
        <w:rPr>
          <w:rFonts w:hint="eastAsia" w:ascii="仿宋" w:hAnsi="仿宋" w:eastAsia="仿宋"/>
          <w:b/>
          <w:color w:val="000000"/>
          <w:sz w:val="32"/>
          <w:szCs w:val="32"/>
        </w:rPr>
        <w:t>（一）机关运行经费支出情况</w:t>
      </w:r>
      <w:bookmarkEnd w:id="103"/>
    </w:p>
    <w:p>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区现代农业产业园区</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28.95</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增加12.84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增长79.70%，</w:t>
      </w:r>
      <w:r>
        <w:rPr>
          <w:rFonts w:hint="eastAsia" w:ascii="仿宋_GB2312" w:eastAsia="仿宋_GB2312"/>
          <w:color w:val="000000"/>
          <w:sz w:val="32"/>
          <w:szCs w:val="32"/>
        </w:rPr>
        <w:t>主要原因是</w:t>
      </w:r>
      <w:bookmarkStart w:id="104" w:name="_Toc15377223"/>
      <w:r>
        <w:rPr>
          <w:rFonts w:hint="eastAsia" w:ascii="仿宋_GB2312" w:eastAsia="仿宋_GB2312"/>
          <w:color w:val="000000"/>
          <w:sz w:val="32"/>
          <w:szCs w:val="32"/>
          <w:lang w:eastAsia="zh-CN"/>
        </w:rPr>
        <w:t>人员变动。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104"/>
    </w:p>
    <w:p>
      <w:pPr>
        <w:spacing w:line="600" w:lineRule="exact"/>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区现代农业产业园区</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15377224"/>
      <w:r>
        <w:rPr>
          <w:rFonts w:hint="eastAsia" w:ascii="仿宋" w:hAnsi="仿宋" w:eastAsia="仿宋"/>
          <w:b/>
          <w:color w:val="000000"/>
          <w:sz w:val="32"/>
          <w:szCs w:val="32"/>
        </w:rPr>
        <w:t>（三）国有资产占有使用情况</w:t>
      </w:r>
      <w:bookmarkEnd w:id="105"/>
    </w:p>
    <w:p>
      <w:pPr>
        <w:autoSpaceDE w:val="0"/>
        <w:autoSpaceDN w:val="0"/>
        <w:adjustRightInd w:val="0"/>
        <w:spacing w:line="600" w:lineRule="exact"/>
        <w:ind w:firstLine="640" w:firstLineChars="200"/>
        <w:jc w:val="left"/>
        <w:rPr>
          <w:rFonts w:ascii="仿宋" w:hAnsi="仿宋" w:eastAsia="仿宋"/>
          <w:b/>
          <w:color w:val="000000" w:themeColor="text1"/>
          <w:sz w:val="32"/>
          <w:szCs w:val="32"/>
          <w14:textFill>
            <w14:solidFill>
              <w14:schemeClr w14:val="tx1"/>
            </w14:solidFill>
          </w14:textFill>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区现代农业产业园区</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海龙凯歌园区建设奖补</w:t>
      </w:r>
      <w:r>
        <w:rPr>
          <w:rFonts w:hint="eastAsia" w:ascii="仿宋_GB2312" w:hAnsi="仿宋_GB2312" w:eastAsia="仿宋_GB2312" w:cs="仿宋_GB2312"/>
          <w:color w:val="auto"/>
          <w:sz w:val="32"/>
          <w:szCs w:val="32"/>
          <w:highlight w:val="none"/>
          <w:lang w:eastAsia="zh-CN"/>
        </w:rPr>
        <w:t>”“七彩明珠管理经费”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区现代农业产业园</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“七彩明珠管理经费”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“七彩明珠管理经费”项目</w:t>
      </w:r>
      <w:r>
        <w:rPr>
          <w:rFonts w:hint="eastAsia" w:ascii="仿宋_GB2312" w:hAnsi="仿宋_GB2312" w:eastAsia="仿宋_GB2312" w:cs="仿宋_GB2312"/>
          <w:color w:val="auto"/>
          <w:sz w:val="32"/>
          <w:szCs w:val="32"/>
          <w:highlight w:val="none"/>
        </w:rPr>
        <w:t>部门整体（含部门预算项目）绩效自评得分为</w:t>
      </w:r>
      <w:r>
        <w:rPr>
          <w:rFonts w:hint="eastAsia" w:ascii="Times New Roman" w:hAnsi="Times New Roman" w:eastAsia="方正仿宋简体" w:cs="方正仿宋简体"/>
          <w:sz w:val="32"/>
          <w:szCs w:val="32"/>
          <w:lang w:val="en-US" w:eastAsia="zh-CN"/>
        </w:rPr>
        <w:t>96.5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为使项目如期完成，结合园区实际情况，对“七彩明珠景区管理经费”项目按照园区党工委工作分工，将所有项目分解到相关班子成员，由分管领导具体负责项目实施及监督</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海龙凯歌园区建设奖补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95.8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为使项目如期完成，结合海龙凯歌实际情况，对“海龙凯歌园区建设奖补”专项目按照常理镇党委工作分工，将所有项目分解到相关班子成员，由分管领导具体负责项目实施及监督</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green"/>
        </w:rPr>
        <w:br w:type="page"/>
      </w:r>
    </w:p>
    <w:p>
      <w:pPr>
        <w:numPr>
          <w:ilvl w:val="0"/>
          <w:numId w:val="4"/>
        </w:numPr>
        <w:spacing w:line="600" w:lineRule="exact"/>
        <w:ind w:firstLine="660" w:firstLineChars="150"/>
        <w:jc w:val="center"/>
        <w:outlineLvl w:val="0"/>
        <w:rPr>
          <w:rStyle w:val="33"/>
          <w:rFonts w:ascii="黑体" w:hAnsi="黑体" w:eastAsia="黑体"/>
          <w:b w:val="0"/>
          <w:color w:val="auto"/>
          <w:highlight w:val="none"/>
        </w:rPr>
      </w:pPr>
      <w:bookmarkStart w:id="106" w:name="_Toc15396613"/>
      <w:bookmarkStart w:id="107" w:name="_Toc15377225"/>
      <w:bookmarkStart w:id="108" w:name="_Toc32532"/>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106"/>
      <w:bookmarkEnd w:id="107"/>
      <w:bookmarkEnd w:id="108"/>
    </w:p>
    <w:p>
      <w:pPr>
        <w:spacing w:line="600" w:lineRule="exact"/>
        <w:jc w:val="left"/>
        <w:rPr>
          <w:rFonts w:ascii="宋体"/>
          <w:b/>
          <w:color w:val="auto"/>
          <w:sz w:val="44"/>
          <w:szCs w:val="44"/>
          <w:highlight w:val="none"/>
        </w:rPr>
      </w:pPr>
    </w:p>
    <w:p>
      <w:pPr>
        <w:pStyle w:val="31"/>
        <w:spacing w:line="560" w:lineRule="exact"/>
        <w:ind w:firstLine="640" w:firstLineChars="200"/>
        <w:outlineLvl w:val="1"/>
        <w:rPr>
          <w:rFonts w:ascii="仿宋_GB2312" w:eastAsia="仿宋_GB2312"/>
          <w:color w:val="auto"/>
          <w:sz w:val="32"/>
          <w:szCs w:val="32"/>
          <w:highlight w:val="none"/>
        </w:rPr>
      </w:pPr>
      <w:bookmarkStart w:id="109" w:name="_Toc20559"/>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指单位从同级财政部门取得的财政预算资金。</w:t>
      </w:r>
      <w:bookmarkEnd w:id="109"/>
    </w:p>
    <w:p>
      <w:pPr>
        <w:shd w:val="clear"/>
        <w:spacing w:line="560" w:lineRule="exact"/>
        <w:ind w:firstLine="640" w:firstLineChars="200"/>
        <w:rPr>
          <w:rStyle w:val="21"/>
          <w:rFonts w:ascii="仿宋" w:hAnsi="仿宋" w:eastAsia="仿宋" w:cs="仿宋"/>
          <w:b w:val="0"/>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2.</w:t>
      </w:r>
      <w:r>
        <w:rPr>
          <w:rStyle w:val="21"/>
          <w:rFonts w:hint="eastAsia" w:ascii="仿宋" w:hAnsi="仿宋" w:eastAsia="仿宋" w:cs="仿宋"/>
          <w:b w:val="0"/>
          <w:color w:val="000000" w:themeColor="text1"/>
          <w:sz w:val="32"/>
          <w:szCs w:val="32"/>
          <w14:textFill>
            <w14:solidFill>
              <w14:schemeClr w14:val="tx1"/>
            </w14:solidFill>
          </w14:textFill>
        </w:rPr>
        <w:t>社会保障和就业（类）行政事业单位离退休（款）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机关事业单位基本养老保险缴费支出（项）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Style w:val="21"/>
          <w:rFonts w:hint="eastAsia" w:ascii="仿宋" w:hAnsi="仿宋" w:eastAsia="仿宋" w:cs="仿宋"/>
          <w:b w:val="0"/>
          <w:color w:val="000000" w:themeColor="text1"/>
          <w:sz w:val="32"/>
          <w:szCs w:val="32"/>
          <w14:textFill>
            <w14:solidFill>
              <w14:schemeClr w14:val="tx1"/>
            </w14:solidFill>
          </w14:textFill>
        </w:rPr>
        <w:t>指机关事业单位实施养老保险制度由单位缴纳的基本养老保险费的支出。</w:t>
      </w:r>
    </w:p>
    <w:p>
      <w:pPr>
        <w:numPr>
          <w:ilvl w:val="0"/>
          <w:numId w:val="0"/>
        </w:numPr>
        <w:shd w:val="clea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3.</w:t>
      </w:r>
      <w:r>
        <w:rPr>
          <w:rStyle w:val="21"/>
          <w:rFonts w:hint="eastAsia" w:ascii="仿宋" w:hAnsi="仿宋" w:eastAsia="仿宋" w:cs="仿宋"/>
          <w:b w:val="0"/>
          <w:color w:val="000000" w:themeColor="text1"/>
          <w:sz w:val="32"/>
          <w:szCs w:val="32"/>
          <w14:textFill>
            <w14:solidFill>
              <w14:schemeClr w14:val="tx1"/>
            </w14:solidFill>
          </w14:textFill>
        </w:rPr>
        <w:t>社会保障和就业（类）行政事业单位离退休（款）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机关事业单位职业年金缴费支出（项）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指机关事业实施养老保险制度由单位实际缴纳的职业年金的支出。</w:t>
      </w:r>
    </w:p>
    <w:p>
      <w:pPr>
        <w:shd w:val="clear"/>
        <w:spacing w:line="240" w:lineRule="auto"/>
        <w:ind w:firstLine="640" w:firstLineChars="200"/>
        <w:rPr>
          <w:rFonts w:ascii="仿宋" w:hAnsi="仿宋" w:eastAsia="仿宋" w:cs="仿宋"/>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4</w:t>
      </w:r>
      <w:r>
        <w:rPr>
          <w:rStyle w:val="21"/>
          <w:rFonts w:hint="eastAsia" w:ascii="仿宋" w:hAnsi="仿宋" w:eastAsia="仿宋" w:cs="仿宋"/>
          <w:b w:val="0"/>
          <w:color w:val="000000" w:themeColor="text1"/>
          <w:sz w:val="32"/>
          <w:szCs w:val="32"/>
          <w14:textFill>
            <w14:solidFill>
              <w14:schemeClr w14:val="tx1"/>
            </w14:solidFill>
          </w14:textFill>
        </w:rPr>
        <w:t>.</w:t>
      </w:r>
      <w:r>
        <w:rPr>
          <w:rStyle w:val="21"/>
          <w:rFonts w:hint="eastAsia" w:ascii="仿宋" w:hAnsi="仿宋" w:eastAsia="仿宋" w:cs="仿宋"/>
          <w:b w:val="0"/>
          <w:color w:val="000000" w:themeColor="text1"/>
          <w:sz w:val="32"/>
          <w:szCs w:val="32"/>
          <w:lang w:eastAsia="zh-CN"/>
          <w14:textFill>
            <w14:solidFill>
              <w14:schemeClr w14:val="tx1"/>
            </w14:solidFill>
          </w14:textFill>
        </w:rPr>
        <w:t>卫生健康</w:t>
      </w:r>
      <w:r>
        <w:rPr>
          <w:rStyle w:val="21"/>
          <w:rFonts w:hint="eastAsia" w:ascii="仿宋" w:hAnsi="仿宋" w:eastAsia="仿宋" w:cs="仿宋"/>
          <w:b w:val="0"/>
          <w:color w:val="000000" w:themeColor="text1"/>
          <w:sz w:val="32"/>
          <w:szCs w:val="32"/>
          <w14:textFill>
            <w14:solidFill>
              <w14:schemeClr w14:val="tx1"/>
            </w14:solidFill>
          </w14:textFill>
        </w:rPr>
        <w:t>（类）行政事业单位医疗（款）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行政单位医疗（项）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Style w:val="21"/>
          <w:rFonts w:hint="eastAsia" w:ascii="仿宋" w:hAnsi="仿宋" w:eastAsia="仿宋" w:cs="仿宋"/>
          <w:b w:val="0"/>
          <w:color w:val="000000" w:themeColor="text1"/>
          <w:sz w:val="32"/>
          <w:szCs w:val="32"/>
          <w14:textFill>
            <w14:solidFill>
              <w14:schemeClr w14:val="tx1"/>
            </w14:solidFill>
          </w14:textFill>
        </w:rPr>
        <w:t>指财政</w:t>
      </w:r>
      <w:r>
        <w:rPr>
          <w:rStyle w:val="21"/>
          <w:rFonts w:hint="eastAsia" w:ascii="仿宋" w:hAnsi="仿宋" w:eastAsia="仿宋" w:cs="仿宋"/>
          <w:b w:val="0"/>
          <w:color w:val="000000" w:themeColor="text1"/>
          <w:sz w:val="32"/>
          <w:szCs w:val="32"/>
          <w:lang w:eastAsia="zh-CN"/>
          <w14:textFill>
            <w14:solidFill>
              <w14:schemeClr w14:val="tx1"/>
            </w14:solidFill>
          </w14:textFill>
        </w:rPr>
        <w:t>单位</w:t>
      </w:r>
      <w:r>
        <w:rPr>
          <w:rStyle w:val="21"/>
          <w:rFonts w:hint="eastAsia" w:ascii="仿宋" w:hAnsi="仿宋" w:eastAsia="仿宋" w:cs="仿宋"/>
          <w:b w:val="0"/>
          <w:color w:val="000000" w:themeColor="text1"/>
          <w:sz w:val="32"/>
          <w:szCs w:val="32"/>
          <w14:textFill>
            <w14:solidFill>
              <w14:schemeClr w14:val="tx1"/>
            </w14:solidFill>
          </w14:textFill>
        </w:rPr>
        <w:t>集中安排的行政单位基本医疗保险缴费经费，未参加医疗保险的行政单位的公费医疗经费，按国家规定享受离休人员、红军老战士待遇人员的医疗经费。</w:t>
      </w:r>
    </w:p>
    <w:p>
      <w:pPr>
        <w:shd w:val="clea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5</w:t>
      </w:r>
      <w:r>
        <w:rPr>
          <w:rStyle w:val="21"/>
          <w:rFonts w:hint="eastAsia" w:ascii="仿宋" w:hAnsi="仿宋" w:eastAsia="仿宋" w:cs="仿宋"/>
          <w:b w:val="0"/>
          <w:color w:val="000000" w:themeColor="text1"/>
          <w:sz w:val="32"/>
          <w:szCs w:val="32"/>
          <w14:textFill>
            <w14:solidFill>
              <w14:schemeClr w14:val="tx1"/>
            </w14:solidFill>
          </w14:textFill>
        </w:rPr>
        <w:t>.</w:t>
      </w:r>
      <w:r>
        <w:rPr>
          <w:rStyle w:val="21"/>
          <w:rFonts w:hint="eastAsia" w:ascii="仿宋" w:hAnsi="仿宋" w:eastAsia="仿宋" w:cs="仿宋"/>
          <w:b w:val="0"/>
          <w:color w:val="000000" w:themeColor="text1"/>
          <w:sz w:val="32"/>
          <w:szCs w:val="32"/>
          <w:lang w:eastAsia="zh-CN"/>
          <w14:textFill>
            <w14:solidFill>
              <w14:schemeClr w14:val="tx1"/>
            </w14:solidFill>
          </w14:textFill>
        </w:rPr>
        <w:t>卫生健康</w:t>
      </w:r>
      <w:r>
        <w:rPr>
          <w:rStyle w:val="21"/>
          <w:rFonts w:hint="eastAsia" w:ascii="仿宋" w:hAnsi="仿宋" w:eastAsia="仿宋" w:cs="仿宋"/>
          <w:b w:val="0"/>
          <w:color w:val="000000" w:themeColor="text1"/>
          <w:sz w:val="32"/>
          <w:szCs w:val="32"/>
          <w14:textFill>
            <w14:solidFill>
              <w14:schemeClr w14:val="tx1"/>
            </w14:solidFill>
          </w14:textFill>
        </w:rPr>
        <w:t>（类）行政事业单位医疗（款）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事业单位医疗（项）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指财政</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集中安排的事业单位基本医疗保险缴费经费，未参加医疗保险的事业单位的公费医疗经费，按国家规定享受离休人员待遇的医疗经费。</w:t>
      </w:r>
    </w:p>
    <w:p>
      <w:pPr>
        <w:shd w:val="clear"/>
        <w:spacing w:line="240" w:lineRule="auto"/>
        <w:ind w:firstLine="640" w:firstLineChars="200"/>
        <w:rPr>
          <w:rFonts w:ascii="仿宋" w:hAnsi="仿宋" w:eastAsia="仿宋" w:cs="仿宋"/>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6</w:t>
      </w:r>
      <w:r>
        <w:rPr>
          <w:rStyle w:val="21"/>
          <w:rFonts w:hint="eastAsia" w:ascii="仿宋" w:hAnsi="仿宋" w:eastAsia="仿宋" w:cs="仿宋"/>
          <w:b w:val="0"/>
          <w:color w:val="000000" w:themeColor="text1"/>
          <w:sz w:val="32"/>
          <w:szCs w:val="32"/>
          <w14:textFill>
            <w14:solidFill>
              <w14:schemeClr w14:val="tx1"/>
            </w14:solidFill>
          </w14:textFill>
        </w:rPr>
        <w:t>.</w:t>
      </w:r>
      <w:r>
        <w:rPr>
          <w:rStyle w:val="21"/>
          <w:rFonts w:hint="eastAsia" w:ascii="仿宋" w:hAnsi="仿宋" w:eastAsia="仿宋" w:cs="仿宋"/>
          <w:b w:val="0"/>
          <w:color w:val="000000" w:themeColor="text1"/>
          <w:sz w:val="32"/>
          <w:szCs w:val="32"/>
          <w:lang w:eastAsia="zh-CN"/>
          <w14:textFill>
            <w14:solidFill>
              <w14:schemeClr w14:val="tx1"/>
            </w14:solidFill>
          </w14:textFill>
        </w:rPr>
        <w:t>卫生健康</w:t>
      </w:r>
      <w:r>
        <w:rPr>
          <w:rStyle w:val="21"/>
          <w:rFonts w:hint="eastAsia" w:ascii="仿宋" w:hAnsi="仿宋" w:eastAsia="仿宋" w:cs="仿宋"/>
          <w:b w:val="0"/>
          <w:color w:val="000000" w:themeColor="text1"/>
          <w:sz w:val="32"/>
          <w:szCs w:val="32"/>
          <w14:textFill>
            <w14:solidFill>
              <w14:schemeClr w14:val="tx1"/>
            </w14:solidFill>
          </w14:textFill>
        </w:rPr>
        <w:t>（类）行政事业单位医疗（款）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公务员医疗补助（项）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指财政</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集中安排的公务员医疗补助经费。</w:t>
      </w:r>
    </w:p>
    <w:p>
      <w:pPr>
        <w:shd w:val="clear"/>
        <w:spacing w:line="240" w:lineRule="auto"/>
        <w:ind w:firstLine="640" w:firstLineChars="200"/>
        <w:rPr>
          <w:rStyle w:val="21"/>
          <w:rFonts w:ascii="仿宋" w:hAnsi="仿宋" w:eastAsia="仿宋" w:cs="仿宋"/>
          <w:b w:val="0"/>
          <w:color w:val="000000" w:themeColor="text1"/>
          <w:sz w:val="32"/>
          <w:szCs w:val="32"/>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7</w:t>
      </w:r>
      <w:r>
        <w:rPr>
          <w:rStyle w:val="21"/>
          <w:rFonts w:hint="eastAsia" w:ascii="仿宋" w:hAnsi="仿宋" w:eastAsia="仿宋" w:cs="仿宋"/>
          <w:b w:val="0"/>
          <w:color w:val="000000" w:themeColor="text1"/>
          <w:sz w:val="32"/>
          <w:szCs w:val="32"/>
          <w14:textFill>
            <w14:solidFill>
              <w14:schemeClr w14:val="tx1"/>
            </w14:solidFill>
          </w14:textFill>
        </w:rPr>
        <w:t>.</w:t>
      </w:r>
      <w:r>
        <w:rPr>
          <w:rStyle w:val="21"/>
          <w:rFonts w:hint="eastAsia" w:ascii="仿宋" w:hAnsi="仿宋" w:eastAsia="仿宋" w:cs="仿宋"/>
          <w:b w:val="0"/>
          <w:color w:val="000000" w:themeColor="text1"/>
          <w:sz w:val="32"/>
          <w:szCs w:val="32"/>
          <w:lang w:eastAsia="zh-CN"/>
          <w14:textFill>
            <w14:solidFill>
              <w14:schemeClr w14:val="tx1"/>
            </w14:solidFill>
          </w14:textFill>
        </w:rPr>
        <w:t>卫生健康</w:t>
      </w:r>
      <w:r>
        <w:rPr>
          <w:rStyle w:val="21"/>
          <w:rFonts w:hint="eastAsia" w:ascii="仿宋" w:hAnsi="仿宋" w:eastAsia="仿宋" w:cs="仿宋"/>
          <w:b w:val="0"/>
          <w:color w:val="000000" w:themeColor="text1"/>
          <w:sz w:val="32"/>
          <w:szCs w:val="32"/>
          <w14:textFill>
            <w14:solidFill>
              <w14:schemeClr w14:val="tx1"/>
            </w14:solidFill>
          </w14:textFill>
        </w:rPr>
        <w:t>（类）财政对基本医疗保险基金的补助（款）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财政对城乡居民基本医疗保险基金的补助（项）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Style w:val="21"/>
          <w:rFonts w:hint="eastAsia" w:ascii="仿宋" w:hAnsi="仿宋" w:eastAsia="仿宋" w:cs="仿宋"/>
          <w:b w:val="0"/>
          <w:color w:val="000000" w:themeColor="text1"/>
          <w:sz w:val="32"/>
          <w:szCs w:val="32"/>
          <w14:textFill>
            <w14:solidFill>
              <w14:schemeClr w14:val="tx1"/>
            </w14:solidFill>
          </w14:textFill>
        </w:rPr>
        <w:t>指财政对已将新型农村合作医疗基金和城镇居民基本医疗保险整合为城乡居民基本医疗保险基金的补助支出。</w:t>
      </w:r>
    </w:p>
    <w:p>
      <w:pPr>
        <w:shd w:val="clear"/>
        <w:spacing w:line="240" w:lineRule="auto"/>
        <w:ind w:firstLine="640" w:firstLineChars="200"/>
        <w:rPr>
          <w:rStyle w:val="21"/>
          <w:rFonts w:hint="eastAsia" w:ascii="仿宋" w:hAnsi="仿宋" w:eastAsia="仿宋" w:cs="仿宋"/>
          <w:b w:val="0"/>
          <w:color w:val="000000" w:themeColor="text1"/>
          <w:sz w:val="32"/>
          <w:szCs w:val="32"/>
          <w:lang w:eastAsia="zh-CN"/>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8</w:t>
      </w:r>
      <w:r>
        <w:rPr>
          <w:rStyle w:val="21"/>
          <w:rFonts w:hint="eastAsia" w:ascii="仿宋" w:hAnsi="仿宋" w:eastAsia="仿宋" w:cs="仿宋"/>
          <w:b w:val="0"/>
          <w:color w:val="000000" w:themeColor="text1"/>
          <w:sz w:val="32"/>
          <w:szCs w:val="32"/>
          <w14:textFill>
            <w14:solidFill>
              <w14:schemeClr w14:val="tx1"/>
            </w14:solidFill>
          </w14:textFill>
        </w:rPr>
        <w:t>.</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农林水支出（类）农业农村（款）  行政运行（项）：指反映单位（包括实行公务员管理的事业单位）的基本支出。</w:t>
      </w:r>
    </w:p>
    <w:p>
      <w:pPr>
        <w:shd w:val="clear"/>
        <w:spacing w:line="240" w:lineRule="auto"/>
        <w:ind w:firstLine="640" w:firstLineChars="200"/>
        <w:rPr>
          <w:rStyle w:val="21"/>
          <w:rFonts w:hint="eastAsia" w:ascii="仿宋" w:hAnsi="仿宋" w:eastAsia="仿宋" w:cs="仿宋"/>
          <w:b w:val="0"/>
          <w:color w:val="000000" w:themeColor="text1"/>
          <w:sz w:val="32"/>
          <w:szCs w:val="32"/>
          <w:lang w:val="en-US" w:eastAsia="zh-CN"/>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9.农林水支出（类）农业农村（款）  其他农业农村支出（项）：支指反映上述项目以外其他用于巩固拓展脱贫攻坚成果同乡村振兴有效衔接方面的支出。</w:t>
      </w:r>
    </w:p>
    <w:p>
      <w:pPr>
        <w:shd w:val="clear"/>
        <w:spacing w:line="240" w:lineRule="auto"/>
        <w:ind w:firstLine="640" w:firstLineChars="200"/>
        <w:rPr>
          <w:rStyle w:val="21"/>
          <w:rFonts w:hint="eastAsia" w:ascii="仿宋" w:hAnsi="仿宋" w:eastAsia="仿宋" w:cs="仿宋"/>
          <w:b w:val="0"/>
          <w:color w:val="000000" w:themeColor="text1"/>
          <w:sz w:val="32"/>
          <w:szCs w:val="32"/>
          <w:lang w:val="en-US" w:eastAsia="zh-CN"/>
          <w14:textFill>
            <w14:solidFill>
              <w14:schemeClr w14:val="tx1"/>
            </w14:solidFill>
          </w14:textFill>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10.农林水支出（类）巩固脱贫衔接乡村振兴（款）  其他巩固脱贫衔接乡村振兴支出（项）：用于巩固拓展脱贫攻坚成果同乡村振兴有效衔接方面的支出。</w:t>
      </w:r>
    </w:p>
    <w:p>
      <w:pPr>
        <w:shd w:val="clear"/>
        <w:spacing w:line="560" w:lineRule="exact"/>
        <w:ind w:firstLine="640" w:firstLineChars="200"/>
        <w:rPr>
          <w:rFonts w:ascii="仿宋_GB2312" w:eastAsia="仿宋_GB2312"/>
          <w:color w:val="auto"/>
          <w:sz w:val="32"/>
          <w:szCs w:val="32"/>
          <w:highlight w:val="none"/>
        </w:rPr>
      </w:pPr>
      <w:r>
        <w:rPr>
          <w:rStyle w:val="21"/>
          <w:rFonts w:hint="eastAsia" w:ascii="仿宋" w:hAnsi="仿宋" w:eastAsia="仿宋" w:cs="仿宋"/>
          <w:b w:val="0"/>
          <w:color w:val="000000" w:themeColor="text1"/>
          <w:sz w:val="32"/>
          <w:szCs w:val="32"/>
          <w:lang w:val="en-US" w:eastAsia="zh-CN"/>
          <w14:textFill>
            <w14:solidFill>
              <w14:schemeClr w14:val="tx1"/>
            </w14:solidFill>
          </w14:textFill>
        </w:rPr>
        <w:t>11</w:t>
      </w:r>
      <w:r>
        <w:rPr>
          <w:rStyle w:val="21"/>
          <w:rFonts w:hint="eastAsia" w:ascii="仿宋" w:hAnsi="仿宋" w:eastAsia="仿宋" w:cs="仿宋"/>
          <w:b w:val="0"/>
          <w:color w:val="000000" w:themeColor="text1"/>
          <w:sz w:val="32"/>
          <w:szCs w:val="32"/>
          <w14:textFill>
            <w14:solidFill>
              <w14:schemeClr w14:val="tx1"/>
            </w14:solidFill>
          </w14:textFill>
        </w:rPr>
        <w:t>.住房保障（类）住房改革（款）</w:t>
      </w:r>
      <w:r>
        <w:rPr>
          <w:rStyle w:val="21"/>
          <w:rFonts w:hint="eastAsia" w:ascii="仿宋" w:hAnsi="仿宋" w:eastAsia="仿宋" w:cs="仿宋"/>
          <w:b w:val="0"/>
          <w:color w:val="000000" w:themeColor="text1"/>
          <w:sz w:val="32"/>
          <w:szCs w:val="32"/>
          <w:lang w:val="en-US" w:eastAsia="zh-CN"/>
          <w14:textFill>
            <w14:solidFill>
              <w14:schemeClr w14:val="tx1"/>
            </w14:solidFill>
          </w14:textFill>
        </w:rPr>
        <w:t xml:space="preserve">  </w:t>
      </w:r>
      <w:r>
        <w:rPr>
          <w:rStyle w:val="21"/>
          <w:rFonts w:hint="eastAsia" w:ascii="仿宋" w:hAnsi="仿宋" w:eastAsia="仿宋" w:cs="仿宋"/>
          <w:b w:val="0"/>
          <w:color w:val="000000" w:themeColor="text1"/>
          <w:sz w:val="32"/>
          <w:szCs w:val="32"/>
          <w14:textFill>
            <w14:solidFill>
              <w14:schemeClr w14:val="tx1"/>
            </w14:solidFill>
          </w14:textFill>
        </w:rPr>
        <w:t>住房公积金（项）</w:t>
      </w:r>
      <w:r>
        <w:rPr>
          <w:rStyle w:val="21"/>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指按照《住房公积金管理条例》的规定，由单位及其在职职工缴存的住房公积金。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3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3"/>
          <w:rFonts w:hint="eastAsia" w:ascii="黑体" w:hAnsi="黑体" w:eastAsia="黑体"/>
          <w:b w:val="0"/>
          <w:color w:val="auto"/>
          <w:highlight w:val="none"/>
          <w:lang w:eastAsia="zh-CN"/>
        </w:rPr>
      </w:pPr>
      <w:bookmarkStart w:id="110" w:name="_Toc15377226"/>
      <w:r>
        <w:rPr>
          <w:rFonts w:ascii="宋体"/>
          <w:b/>
          <w:color w:val="auto"/>
          <w:sz w:val="44"/>
          <w:szCs w:val="44"/>
          <w:highlight w:val="none"/>
        </w:rPr>
        <w:br w:type="page"/>
      </w:r>
      <w:bookmarkStart w:id="111" w:name="_Toc32659"/>
      <w:bookmarkStart w:id="112" w:name="_Toc15396614"/>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四部分 附件</w:t>
      </w:r>
      <w:bookmarkEnd w:id="111"/>
      <w:bookmarkEnd w:id="112"/>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13" w:name="_Toc2714"/>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13"/>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r>
        <w:rPr>
          <w:rFonts w:hint="eastAsia" w:ascii="宋体" w:hAnsi="宋体"/>
          <w:b/>
          <w:color w:val="auto"/>
          <w:sz w:val="32"/>
          <w:szCs w:val="32"/>
          <w:highlight w:val="none"/>
          <w:shd w:val="clear" w:color="auto" w:fill="FFFFFF"/>
          <w:lang w:val="en-US" w:eastAsia="zh-CN"/>
        </w:rPr>
        <w:t>2022区现代农业产业园区</w:t>
      </w:r>
      <w:r>
        <w:rPr>
          <w:rFonts w:hint="eastAsia" w:ascii="宋体" w:hAnsi="宋体" w:eastAsia="宋体"/>
          <w:b/>
          <w:color w:val="auto"/>
          <w:sz w:val="32"/>
          <w:szCs w:val="32"/>
          <w:highlight w:val="none"/>
          <w:shd w:val="clear" w:color="auto" w:fill="FFFFFF"/>
        </w:rPr>
        <w:t>部门整体绩效评价报告</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pStyle w:val="3"/>
        <w:pageBreakBefore w:val="0"/>
        <w:widowControl w:val="0"/>
        <w:kinsoku/>
        <w:wordWrap/>
        <w:overflowPunct/>
        <w:topLinePunct w:val="0"/>
        <w:bidi w:val="0"/>
        <w:snapToGrid w:val="0"/>
        <w:spacing w:line="240" w:lineRule="auto"/>
        <w:ind w:firstLine="640" w:firstLineChars="200"/>
        <w:textAlignment w:val="auto"/>
        <w:rPr>
          <w:rFonts w:hint="eastAsia" w:ascii="黑体" w:eastAsia="黑体"/>
          <w:b w:val="0"/>
          <w:color w:val="auto"/>
          <w:highlight w:val="none"/>
          <w:lang w:val="zh-CN" w:eastAsia="zh-CN"/>
        </w:rPr>
      </w:pPr>
      <w:bookmarkStart w:id="114" w:name="_Toc23039"/>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bookmarkEnd w:id="114"/>
    </w:p>
    <w:p>
      <w:pPr>
        <w:pageBreakBefore w:val="0"/>
        <w:widowControl w:val="0"/>
        <w:kinsoku/>
        <w:wordWrap/>
        <w:overflowPunct/>
        <w:topLinePunct w:val="0"/>
        <w:autoSpaceDE w:val="0"/>
        <w:autoSpaceDN w:val="0"/>
        <w:bidi w:val="0"/>
        <w:adjustRightInd w:val="0"/>
        <w:snapToGrid w:val="0"/>
        <w:spacing w:line="240" w:lineRule="auto"/>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（一）机构组成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遂宁市安居区现代农业产业园区管理委员会属行政机关，下属二级单位1个，其中行政单位0个，参照公务员法管理的事业单位0个，其他事业单位1个。</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（二）机构职能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1.贯彻落实区委、区政府的重要决策和工作部署。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2.根据全区农业发展整体部署，编制农旅产业园园区、七彩明珠景区发展总体规划及各主体示范园区发展详细规划。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3.研究分析国、省政策，结合安居实际提出现代农业发展方向，试点、探索，做好全区现代农业产业发展示范。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4.协调督促园区、七彩明珠景区内产业发展项目编制、申报和实施园区基础设施建设，做好园区、七彩明珠景区内产业项目资源整合。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5.围绕园区、七彩明珠景区发展目标，引进建设投资业主，做好招商服务工作。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6.牵头做好园区、七彩明珠景区开发建设综合协调服务工作。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7.负责园区、七彩明珠景区内农产品品牌申报与创建。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8.负责园区、七彩明珠景区的日常管理和所属设施的维护工作。</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（三）人员概况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仿宋_GB2312" w:hAnsi="仿宋_GB2312" w:eastAsia="仿宋_GB2312" w:cs="仿宋_GB2312"/>
          <w:color w:val="auto"/>
          <w:sz w:val="32"/>
          <w:szCs w:val="32"/>
          <w:highlight w:val="green"/>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遂宁市安居区现代农业产业园区管理委员会领导职数3名：党工委书记（由区委农办主任兼任）1名、党工委副书记兼管委会主任1名、管委会副主任2名兼管委会主任1名，副主任2名，非领导职数2名，下属事业单位遂宁市安居区现代农业产业园区招商服务中心。设置主任1名，事业干部3人。2022年末实有人数10人。</w:t>
      </w:r>
    </w:p>
    <w:p>
      <w:pPr>
        <w:pStyle w:val="3"/>
        <w:pageBreakBefore w:val="0"/>
        <w:widowControl w:val="0"/>
        <w:kinsoku/>
        <w:wordWrap/>
        <w:overflowPunct/>
        <w:topLinePunct w:val="0"/>
        <w:bidi w:val="0"/>
        <w:snapToGrid w:val="0"/>
        <w:spacing w:line="240" w:lineRule="auto"/>
        <w:ind w:firstLine="640" w:firstLineChars="200"/>
        <w:textAlignment w:val="auto"/>
        <w:rPr>
          <w:rFonts w:hint="eastAsia" w:ascii="黑体" w:eastAsia="黑体"/>
          <w:b w:val="0"/>
          <w:color w:val="auto"/>
          <w:highlight w:val="none"/>
          <w:lang w:val="en-US" w:eastAsia="zh-CN"/>
        </w:rPr>
      </w:pPr>
      <w:bookmarkStart w:id="115" w:name="_Toc10641"/>
      <w:r>
        <w:rPr>
          <w:rFonts w:hint="eastAsia" w:ascii="黑体" w:eastAsia="黑体"/>
          <w:b w:val="0"/>
          <w:color w:val="auto"/>
          <w:highlight w:val="none"/>
          <w:lang w:val="en-US" w:eastAsia="zh-CN"/>
        </w:rPr>
        <w:t>二、部门财政资金收支情况</w:t>
      </w:r>
      <w:bookmarkEnd w:id="115"/>
    </w:p>
    <w:p>
      <w:pPr>
        <w:pageBreakBefore w:val="0"/>
        <w:widowControl w:val="0"/>
        <w:kinsoku/>
        <w:wordWrap/>
        <w:overflowPunct/>
        <w:topLinePunct w:val="0"/>
        <w:autoSpaceDE w:val="0"/>
        <w:autoSpaceDN w:val="0"/>
        <w:bidi w:val="0"/>
        <w:adjustRightInd w:val="0"/>
        <w:snapToGrid w:val="0"/>
        <w:spacing w:line="240" w:lineRule="auto"/>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（一）部门财政资金收入情况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2022年度财政拨款收入总计440.41万元。与2021年相比，财政拨款收、支总计各增加293.36万元、增加199.50%。</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部门财政资金支出情况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2022年度财政拨款支出总计440.41万元。与2021年相比，财政拨款收、支总计各增加293.36万元、增加199.50%。</w:t>
      </w:r>
    </w:p>
    <w:p>
      <w:pPr>
        <w:pStyle w:val="3"/>
        <w:pageBreakBefore w:val="0"/>
        <w:widowControl w:val="0"/>
        <w:kinsoku/>
        <w:wordWrap/>
        <w:overflowPunct/>
        <w:topLinePunct w:val="0"/>
        <w:bidi w:val="0"/>
        <w:snapToGrid w:val="0"/>
        <w:spacing w:line="240" w:lineRule="auto"/>
        <w:ind w:firstLine="640" w:firstLineChars="200"/>
        <w:textAlignment w:val="auto"/>
        <w:rPr>
          <w:rFonts w:hint="eastAsia" w:ascii="黑体" w:eastAsia="黑体"/>
          <w:b w:val="0"/>
          <w:color w:val="auto"/>
          <w:highlight w:val="none"/>
          <w:lang w:val="en-US" w:eastAsia="zh-CN"/>
        </w:rPr>
      </w:pPr>
      <w:bookmarkStart w:id="116" w:name="_Toc5127"/>
      <w:r>
        <w:rPr>
          <w:rFonts w:hint="eastAsia" w:ascii="黑体" w:eastAsia="黑体"/>
          <w:b w:val="0"/>
          <w:color w:val="auto"/>
          <w:highlight w:val="none"/>
          <w:lang w:val="en-US" w:eastAsia="zh-CN"/>
        </w:rPr>
        <w:t>三、部门整体预算绩效管理情况</w:t>
      </w:r>
      <w:bookmarkEnd w:id="116"/>
    </w:p>
    <w:p>
      <w:pPr>
        <w:pageBreakBefore w:val="0"/>
        <w:widowControl w:val="0"/>
        <w:kinsoku/>
        <w:wordWrap/>
        <w:overflowPunct/>
        <w:topLinePunct w:val="0"/>
        <w:autoSpaceDE w:val="0"/>
        <w:autoSpaceDN w:val="0"/>
        <w:bidi w:val="0"/>
        <w:adjustRightInd w:val="0"/>
        <w:snapToGrid w:val="0"/>
        <w:spacing w:line="240" w:lineRule="auto"/>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hAnsi="Calibri" w:cs="仿宋"/>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人员类项目绩效分析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人员经费132.68万元，主要包括：基本工资、津贴补贴、奖金、绩效工资、机关事业单位基本养老保险缴费、职业年金缴费、其他社会保障缴费、其他工资福利支出、住房公积金等。完成预算100%，无</w:t>
      </w:r>
      <w:r>
        <w:rPr>
          <w:rFonts w:hint="eastAsia" w:ascii="仿宋_GB2312" w:hAnsi="仿宋_GB2312" w:eastAsia="仿宋_GB2312" w:cs="仿宋_GB2312"/>
          <w:color w:val="auto"/>
          <w:sz w:val="32"/>
          <w:szCs w:val="32"/>
          <w:highlight w:val="none"/>
          <w:shd w:val="clear" w:color="auto" w:fill="FFFFFF"/>
          <w:lang w:val="zh-CN" w:eastAsia="zh-CN"/>
        </w:rPr>
        <w:t>资金结余率和违规记录等情况。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运转类项目绩效分析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日常公用经费28.95万元，主要包括：办公费、水费、邮电费、差旅费、劳务费、工会经费、福利费、其他交通费等。完成预算100%，无</w:t>
      </w:r>
      <w:r>
        <w:rPr>
          <w:rFonts w:hint="eastAsia" w:ascii="仿宋_GB2312" w:hAnsi="仿宋_GB2312" w:eastAsia="仿宋_GB2312" w:cs="仿宋_GB2312"/>
          <w:color w:val="auto"/>
          <w:sz w:val="32"/>
          <w:szCs w:val="32"/>
          <w:highlight w:val="none"/>
          <w:shd w:val="clear" w:color="auto" w:fill="FFFFFF"/>
          <w:lang w:val="zh-CN" w:eastAsia="zh-CN"/>
        </w:rPr>
        <w:t>资金结余率和违规记录等情况。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特定目标类项目绩效分析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shd w:val="clear" w:color="auto" w:fill="FFFFFF"/>
          <w:lang w:val="zh-CN" w:eastAsia="zh-CN"/>
        </w:rPr>
      </w:pPr>
      <w:r>
        <w:rPr>
          <w:rFonts w:hint="eastAsia" w:ascii="仿宋_GB2312" w:hAnsi="仿宋_GB2312" w:eastAsia="仿宋_GB2312" w:cs="仿宋_GB2312"/>
          <w:color w:val="auto"/>
          <w:sz w:val="32"/>
          <w:szCs w:val="32"/>
          <w:highlight w:val="none"/>
          <w:shd w:val="clear" w:color="auto" w:fill="FFFFFF"/>
          <w:lang w:val="en-US" w:eastAsia="zh-CN"/>
        </w:rPr>
        <w:t>项目支出278.78万元，占63.30%。完成预算100%，无</w:t>
      </w:r>
      <w:r>
        <w:rPr>
          <w:rFonts w:hint="eastAsia" w:ascii="仿宋_GB2312" w:hAnsi="仿宋_GB2312" w:eastAsia="仿宋_GB2312" w:cs="仿宋_GB2312"/>
          <w:color w:val="auto"/>
          <w:sz w:val="32"/>
          <w:szCs w:val="32"/>
          <w:highlight w:val="none"/>
          <w:shd w:val="clear" w:color="auto" w:fill="FFFFFF"/>
          <w:lang w:val="zh-CN" w:eastAsia="zh-CN"/>
        </w:rPr>
        <w:t>资金结余率和违规记录等情况。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pStyle w:val="31"/>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预算管理执行中，对照绩效目标，对执行情况开展了绩效监控，对监控中发现的问题，及时采取有针对性的措施予以纠正，</w:t>
      </w:r>
      <w:r>
        <w:rPr>
          <w:rFonts w:hint="eastAsia" w:ascii="仿宋" w:hAnsi="仿宋" w:eastAsia="仿宋" w:cs="仿宋"/>
          <w:sz w:val="32"/>
          <w:szCs w:val="32"/>
          <w:highlight w:val="none"/>
          <w:lang w:val="en-US" w:eastAsia="zh-CN"/>
        </w:rPr>
        <w:t>完善执行进度，按要求开展部门整体支出绩效评价</w:t>
      </w:r>
      <w:r>
        <w:rPr>
          <w:rFonts w:hint="eastAsia" w:ascii="仿宋" w:hAnsi="仿宋" w:eastAsia="仿宋" w:cs="仿宋"/>
          <w:sz w:val="32"/>
          <w:szCs w:val="32"/>
          <w:highlight w:val="none"/>
          <w:lang w:eastAsia="zh-CN"/>
        </w:rPr>
        <w:t>及时公开绩效自评情况，及时整改存在的问题。</w:t>
      </w:r>
      <w:r>
        <w:rPr>
          <w:rFonts w:hint="eastAsia" w:ascii="仿宋" w:hAnsi="仿宋" w:eastAsia="仿宋" w:cs="仿宋"/>
          <w:sz w:val="32"/>
          <w:szCs w:val="32"/>
          <w:highlight w:val="none"/>
          <w:lang w:val="en-US" w:eastAsia="zh-CN"/>
        </w:rPr>
        <w:t>并将评价结果应用于预算及执行中。</w:t>
      </w:r>
    </w:p>
    <w:p>
      <w:pPr>
        <w:pStyle w:val="3"/>
        <w:pageBreakBefore w:val="0"/>
        <w:widowControl w:val="0"/>
        <w:kinsoku/>
        <w:wordWrap/>
        <w:overflowPunct/>
        <w:topLinePunct w:val="0"/>
        <w:bidi w:val="0"/>
        <w:snapToGrid w:val="0"/>
        <w:spacing w:line="240" w:lineRule="auto"/>
        <w:ind w:firstLine="640" w:firstLineChars="200"/>
        <w:textAlignment w:val="auto"/>
        <w:rPr>
          <w:rFonts w:hint="eastAsia" w:ascii="黑体" w:eastAsia="黑体"/>
          <w:b w:val="0"/>
          <w:color w:val="auto"/>
          <w:highlight w:val="none"/>
          <w:lang w:val="en-US" w:eastAsia="zh-CN"/>
        </w:rPr>
      </w:pPr>
      <w:bookmarkStart w:id="117" w:name="_Toc20950"/>
      <w:r>
        <w:rPr>
          <w:rFonts w:hint="eastAsia" w:ascii="黑体" w:eastAsia="黑体"/>
          <w:b w:val="0"/>
          <w:color w:val="auto"/>
          <w:highlight w:val="none"/>
          <w:lang w:val="en-US" w:eastAsia="zh-CN"/>
        </w:rPr>
        <w:t>四、评价结论及建议</w:t>
      </w:r>
      <w:bookmarkEnd w:id="117"/>
    </w:p>
    <w:p>
      <w:pPr>
        <w:pageBreakBefore w:val="0"/>
        <w:widowControl w:val="0"/>
        <w:kinsoku/>
        <w:wordWrap/>
        <w:overflowPunct/>
        <w:topLinePunct w:val="0"/>
        <w:autoSpaceDE w:val="0"/>
        <w:autoSpaceDN w:val="0"/>
        <w:bidi w:val="0"/>
        <w:adjustRightInd w:val="0"/>
        <w:snapToGrid w:val="0"/>
        <w:spacing w:line="240" w:lineRule="auto"/>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（一）评价结论</w:t>
      </w:r>
    </w:p>
    <w:p>
      <w:pPr>
        <w:pStyle w:val="7"/>
        <w:ind w:firstLine="640" w:firstLineChars="200"/>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总体上看，项目目标明确、资金到位率高、组织监管体系完善。我园区项目资金较好地实现了绩效目标，自评得分96.5分</w:t>
      </w:r>
    </w:p>
    <w:p>
      <w:pPr>
        <w:numPr>
          <w:ilvl w:val="0"/>
          <w:numId w:val="5"/>
        </w:numPr>
        <w:autoSpaceDE w:val="0"/>
        <w:autoSpaceDN w:val="0"/>
        <w:adjustRightInd w:val="0"/>
        <w:spacing w:line="600" w:lineRule="exact"/>
        <w:ind w:left="0" w:leftChars="0"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存在问题。</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专业业务水平有待进一步提高。由于绩效管理工作涉及面广，专业性强，对预算绩效管理业务不精，在评价过程中影响评价工作质量。</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（三）改进建议。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一是加强资金统筹管理，完善多部门联动机制，建立完善景区运营资金管理制度。二是建议增加景区运营资金投入，保障工作开展。</w:t>
      </w:r>
    </w:p>
    <w:p>
      <w:pPr>
        <w:pStyle w:val="7"/>
        <w:rPr>
          <w:rFonts w:hint="eastAsia"/>
          <w:lang w:val="zh-CN" w:eastAsia="zh-CN"/>
        </w:rPr>
      </w:pPr>
    </w:p>
    <w:p>
      <w:pPr>
        <w:autoSpaceDE w:val="0"/>
        <w:autoSpaceDN w:val="0"/>
        <w:adjustRightInd w:val="0"/>
        <w:spacing w:line="600" w:lineRule="exact"/>
        <w:ind w:firstLine="643" w:firstLineChars="200"/>
        <w:jc w:val="left"/>
        <w:outlineLvl w:val="9"/>
        <w:rPr>
          <w:rFonts w:hint="eastAsia" w:ascii="仿宋" w:hAnsi="仿宋" w:eastAsia="仿宋"/>
          <w:b/>
          <w:color w:val="auto"/>
          <w:sz w:val="32"/>
          <w:szCs w:val="32"/>
          <w:highlight w:val="none"/>
          <w:lang w:val="zh-CN" w:eastAsia="zh-CN"/>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green"/>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1.</w:t>
      </w:r>
      <w:r>
        <w:rPr>
          <w:rFonts w:hint="eastAsia" w:ascii="仿宋_GB2312" w:hAnsi="Calibri" w:eastAsia="仿宋_GB2312" w:cs="仿宋"/>
          <w:color w:val="auto"/>
          <w:kern w:val="0"/>
          <w:sz w:val="32"/>
          <w:szCs w:val="32"/>
          <w:highlight w:val="none"/>
          <w:lang w:val="zh-CN" w:eastAsia="zh-CN" w:bidi="ar-SA"/>
        </w:rPr>
        <w:t>部门整体支出绩效自评表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2.七彩明珠管理经费项目绩效目标自评表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3.海龙凯歌园区建设奖补项目绩效目标自评表</w:t>
      </w: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pStyle w:val="7"/>
        <w:rPr>
          <w:rFonts w:hint="eastAsia"/>
          <w:lang w:val="en-US" w:eastAsia="zh-CN"/>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sectPr>
          <w:footerReference r:id="rId5" w:type="first"/>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t>附表1：</w:t>
      </w:r>
    </w:p>
    <w:tbl>
      <w:tblPr>
        <w:tblStyle w:val="19"/>
        <w:tblW w:w="13763"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13"/>
        <w:gridCol w:w="675"/>
        <w:gridCol w:w="637"/>
        <w:gridCol w:w="2341"/>
        <w:gridCol w:w="7359"/>
        <w:gridCol w:w="800"/>
        <w:gridCol w:w="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763" w:type="dxa"/>
            <w:gridSpan w:val="8"/>
            <w:vAlign w:val="center"/>
          </w:tcPr>
          <w:p>
            <w:pPr>
              <w:keepNext w:val="0"/>
              <w:keepLines w:val="0"/>
              <w:widowControl/>
              <w:suppressLineNumbers w:val="0"/>
              <w:tabs>
                <w:tab w:val="left" w:pos="3485"/>
              </w:tabs>
              <w:jc w:val="center"/>
              <w:textAlignment w:val="center"/>
              <w:rPr>
                <w:rFonts w:hint="eastAsia" w:ascii="方正仿宋简体" w:hAnsi="方正仿宋简体" w:eastAsia="方正仿宋简体" w:cs="方正仿宋简体"/>
                <w:b w:val="0"/>
                <w:bCs w:val="0"/>
                <w:i w:val="0"/>
                <w:iCs w:val="0"/>
                <w:color w:val="000000"/>
                <w:kern w:val="0"/>
                <w:sz w:val="21"/>
                <w:szCs w:val="21"/>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2022年区现代农业产业园区部门整体支出绩效自评表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gridSpan w:val="3"/>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绩效指标</w:t>
            </w:r>
          </w:p>
        </w:tc>
        <w:tc>
          <w:tcPr>
            <w:tcW w:w="637" w:type="dxa"/>
            <w:vMerge w:val="restart"/>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指标分值</w:t>
            </w:r>
          </w:p>
        </w:tc>
        <w:tc>
          <w:tcPr>
            <w:tcW w:w="2341" w:type="dxa"/>
            <w:vMerge w:val="restart"/>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指标解释</w:t>
            </w:r>
          </w:p>
        </w:tc>
        <w:tc>
          <w:tcPr>
            <w:tcW w:w="7359" w:type="dxa"/>
            <w:vMerge w:val="restart"/>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计分标准</w:t>
            </w:r>
          </w:p>
        </w:tc>
        <w:tc>
          <w:tcPr>
            <w:tcW w:w="800" w:type="dxa"/>
            <w:vMerge w:val="restart"/>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自评</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得分</w:t>
            </w:r>
          </w:p>
        </w:tc>
        <w:tc>
          <w:tcPr>
            <w:tcW w:w="413" w:type="dxa"/>
            <w:vMerge w:val="restart"/>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一级</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指标</w:t>
            </w:r>
          </w:p>
        </w:tc>
        <w:tc>
          <w:tcPr>
            <w:tcW w:w="813" w:type="dxa"/>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二级</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指标</w:t>
            </w:r>
          </w:p>
        </w:tc>
        <w:tc>
          <w:tcPr>
            <w:tcW w:w="675" w:type="dxa"/>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三级</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t>指标</w:t>
            </w:r>
          </w:p>
        </w:tc>
        <w:tc>
          <w:tcPr>
            <w:tcW w:w="637" w:type="dxa"/>
            <w:vMerge w:val="continue"/>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p>
        </w:tc>
        <w:tc>
          <w:tcPr>
            <w:tcW w:w="2341" w:type="dxa"/>
            <w:vMerge w:val="continue"/>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p>
        </w:tc>
        <w:tc>
          <w:tcPr>
            <w:tcW w:w="7359" w:type="dxa"/>
            <w:vMerge w:val="continue"/>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p>
        </w:tc>
        <w:tc>
          <w:tcPr>
            <w:tcW w:w="800" w:type="dxa"/>
            <w:vMerge w:val="continue"/>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p>
        </w:tc>
        <w:tc>
          <w:tcPr>
            <w:tcW w:w="413" w:type="dxa"/>
            <w:vMerge w:val="continue"/>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kern w:val="0"/>
                <w:sz w:val="21"/>
                <w:szCs w:val="2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部门预算管理（80分）</w:t>
            </w:r>
          </w:p>
        </w:tc>
        <w:tc>
          <w:tcPr>
            <w:tcW w:w="81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预算编制（30分）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制定</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有项目绩效目标的部门（单位），根据项目绩效目标编制质量打分，无项目绩效目标的部门，根据部门整体支出绩效目标打分。</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实现</w:t>
            </w:r>
          </w:p>
        </w:tc>
        <w:tc>
          <w:tcPr>
            <w:tcW w:w="6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w:t>
            </w:r>
            <w:r>
              <w:rPr>
                <w:rFonts w:hint="eastAsia" w:ascii="宋体" w:hAnsi="宋体" w:cs="宋体"/>
                <w:i w:val="0"/>
                <w:iCs w:val="0"/>
                <w:color w:val="000000"/>
                <w:kern w:val="0"/>
                <w:sz w:val="18"/>
                <w:szCs w:val="18"/>
                <w:u w:val="none"/>
                <w:lang w:val="en-US" w:eastAsia="zh-CN" w:bidi="ar"/>
              </w:rPr>
              <w:t>与</w:t>
            </w:r>
            <w:r>
              <w:rPr>
                <w:rFonts w:hint="eastAsia" w:ascii="宋体" w:hAnsi="宋体" w:eastAsia="宋体" w:cs="宋体"/>
                <w:i w:val="0"/>
                <w:iCs w:val="0"/>
                <w:color w:val="000000"/>
                <w:kern w:val="0"/>
                <w:sz w:val="18"/>
                <w:szCs w:val="18"/>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编制</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准确</w:t>
            </w:r>
          </w:p>
        </w:tc>
        <w:tc>
          <w:tcPr>
            <w:tcW w:w="63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预算执行（30分）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动态</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调整</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3.当部门绩效监控调整取消额与结余注销额均为零时，得满分。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进度</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按其实际进度占目标进度的比重计算得分。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完成结果（20分）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违规</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记录</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绩效结果应用（10分）</w:t>
            </w:r>
          </w:p>
        </w:tc>
        <w:tc>
          <w:tcPr>
            <w:tcW w:w="8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信息公开（2分)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整改反馈（8分）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结果</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整改</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针对绩效管理过程中（包括绩效</w:t>
            </w:r>
            <w:bookmarkStart w:id="147" w:name="_GoBack"/>
            <w:bookmarkEnd w:id="147"/>
            <w:r>
              <w:rPr>
                <w:rFonts w:hint="eastAsia" w:ascii="宋体" w:hAnsi="宋体" w:eastAsia="宋体" w:cs="宋体"/>
                <w:i w:val="0"/>
                <w:iCs w:val="0"/>
                <w:color w:val="000000"/>
                <w:kern w:val="0"/>
                <w:sz w:val="18"/>
                <w:szCs w:val="18"/>
                <w:u w:val="none"/>
                <w:lang w:val="en-US" w:eastAsia="zh-CN" w:bidi="ar"/>
              </w:rPr>
              <w:t>目标核查、绩效监控核查和重点绩效评价）提出的问题进行整改，将绩效管理结果应用于完善政策、改进管理、预算挂钩等的，得4分。否则，酌情扣分。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应用</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反馈</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自评质量（10分）</w:t>
            </w:r>
          </w:p>
        </w:tc>
        <w:tc>
          <w:tcPr>
            <w:tcW w:w="8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自评质量（10分）</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准确</w:t>
            </w: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73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8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96.5</w:t>
            </w:r>
          </w:p>
        </w:tc>
        <w:tc>
          <w:tcPr>
            <w:tcW w:w="4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t>附表2：</w:t>
      </w:r>
    </w:p>
    <w:tbl>
      <w:tblPr>
        <w:tblStyle w:val="18"/>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842"/>
        <w:gridCol w:w="1646"/>
        <w:gridCol w:w="2055"/>
        <w:gridCol w:w="573"/>
        <w:gridCol w:w="1489"/>
        <w:gridCol w:w="575"/>
        <w:gridCol w:w="1224"/>
        <w:gridCol w:w="703"/>
        <w:gridCol w:w="573"/>
        <w:gridCol w:w="2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38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1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七彩明珠管理经费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遂宁市安居区现代农业产业园区管理委员会部门</w:t>
            </w:r>
          </w:p>
        </w:tc>
        <w:tc>
          <w:tcPr>
            <w:tcW w:w="122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维持景区基本运转，管理好景区安全，提高社会效益，维护景区正面形象。</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1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2022年七彩明珠景区</w:t>
            </w:r>
            <w:r>
              <w:rPr>
                <w:rFonts w:hint="eastAsia" w:ascii="宋体" w:hAnsi="宋体" w:eastAsia="宋体" w:cs="宋体"/>
                <w:i w:val="0"/>
                <w:iCs w:val="0"/>
                <w:color w:val="000000"/>
                <w:kern w:val="0"/>
                <w:sz w:val="18"/>
                <w:szCs w:val="18"/>
                <w:u w:val="none"/>
                <w:lang w:val="en-US" w:eastAsia="zh-CN" w:bidi="ar"/>
              </w:rPr>
              <w:t>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保七彩明珠景区4A级旅游景区牌子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维护景区良好生态环境</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r>
              <w:rPr>
                <w:rFonts w:ascii="宋体" w:hAnsi="宋体" w:eastAsia="宋体" w:cs="宋体"/>
                <w:i w:val="0"/>
                <w:iCs w:val="0"/>
                <w:color w:val="000000"/>
                <w:kern w:val="0"/>
                <w:sz w:val="18"/>
                <w:szCs w:val="18"/>
                <w:highlight w:val="none"/>
                <w:u w:val="none"/>
                <w:lang w:val="en-US" w:eastAsia="zh-CN" w:bidi="ar"/>
              </w:rPr>
              <w:t>评价</w:t>
            </w:r>
          </w:p>
          <w:p>
            <w:pPr>
              <w:keepNext w:val="0"/>
              <w:keepLines w:val="0"/>
              <w:widowControl/>
              <w:suppressLineNumbers w:val="0"/>
              <w:jc w:val="center"/>
              <w:textAlignment w:val="center"/>
              <w:rPr>
                <w:rFonts w:ascii="宋体" w:hAnsi="宋体" w:eastAsia="宋体" w:cs="宋体"/>
                <w:i w:val="0"/>
                <w:iCs w:val="0"/>
                <w:color w:val="000000"/>
                <w:sz w:val="18"/>
                <w:szCs w:val="18"/>
                <w:highlight w:val="green"/>
                <w:u w:val="none"/>
              </w:rPr>
            </w:pPr>
            <w:r>
              <w:rPr>
                <w:rFonts w:ascii="宋体" w:hAnsi="宋体" w:eastAsia="宋体" w:cs="宋体"/>
                <w:i w:val="0"/>
                <w:iCs w:val="0"/>
                <w:color w:val="000000"/>
                <w:kern w:val="0"/>
                <w:sz w:val="18"/>
                <w:szCs w:val="18"/>
                <w:highlight w:val="none"/>
                <w:u w:val="none"/>
                <w:lang w:val="en-US" w:eastAsia="zh-CN" w:bidi="ar"/>
              </w:rPr>
              <w:t>结论</w:t>
            </w:r>
          </w:p>
        </w:tc>
        <w:tc>
          <w:tcPr>
            <w:tcW w:w="130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green"/>
                <w:u w:val="none"/>
              </w:rPr>
            </w:pPr>
            <w:r>
              <w:rPr>
                <w:rFonts w:hint="eastAsia" w:ascii="宋体" w:hAnsi="宋体" w:eastAsia="宋体" w:cs="宋体"/>
                <w:i w:val="0"/>
                <w:iCs w:val="0"/>
                <w:color w:val="000000"/>
                <w:kern w:val="0"/>
                <w:sz w:val="18"/>
                <w:szCs w:val="18"/>
                <w:highlight w:val="none"/>
                <w:u w:val="none"/>
                <w:lang w:val="en-US" w:eastAsia="zh-CN" w:bidi="ar"/>
              </w:rPr>
              <w:t>总体上看，项目目标明确、资金到位率高、组织监管体系完善。我园区七彩明珠景区管理经费项目资金较好地实现了绩效目标，自评得分96.5分。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r>
              <w:rPr>
                <w:rFonts w:ascii="宋体" w:hAnsi="宋体" w:eastAsia="宋体" w:cs="宋体"/>
                <w:i w:val="0"/>
                <w:iCs w:val="0"/>
                <w:color w:val="000000"/>
                <w:kern w:val="0"/>
                <w:sz w:val="18"/>
                <w:szCs w:val="18"/>
                <w:highlight w:val="none"/>
                <w:u w:val="none"/>
                <w:lang w:val="en-US" w:eastAsia="zh-CN" w:bidi="ar"/>
              </w:rPr>
              <w:t>存在</w:t>
            </w:r>
          </w:p>
          <w:p>
            <w:pPr>
              <w:keepNext w:val="0"/>
              <w:keepLines w:val="0"/>
              <w:widowControl/>
              <w:suppressLineNumbers w:val="0"/>
              <w:jc w:val="center"/>
              <w:textAlignment w:val="center"/>
              <w:rPr>
                <w:rFonts w:ascii="宋体" w:hAnsi="宋体" w:eastAsia="宋体" w:cs="宋体"/>
                <w:i w:val="0"/>
                <w:iCs w:val="0"/>
                <w:color w:val="000000"/>
                <w:sz w:val="18"/>
                <w:szCs w:val="18"/>
                <w:highlight w:val="green"/>
                <w:u w:val="none"/>
              </w:rPr>
            </w:pPr>
            <w:r>
              <w:rPr>
                <w:rFonts w:ascii="宋体" w:hAnsi="宋体" w:eastAsia="宋体" w:cs="宋体"/>
                <w:i w:val="0"/>
                <w:iCs w:val="0"/>
                <w:color w:val="000000"/>
                <w:kern w:val="0"/>
                <w:sz w:val="18"/>
                <w:szCs w:val="18"/>
                <w:highlight w:val="none"/>
                <w:u w:val="none"/>
                <w:lang w:val="en-US" w:eastAsia="zh-CN" w:bidi="ar"/>
              </w:rPr>
              <w:t>问题</w:t>
            </w:r>
          </w:p>
        </w:tc>
        <w:tc>
          <w:tcPr>
            <w:tcW w:w="130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green"/>
                <w:u w:val="none"/>
              </w:rPr>
            </w:pPr>
            <w:r>
              <w:rPr>
                <w:rFonts w:hint="eastAsia" w:ascii="宋体" w:hAnsi="宋体" w:eastAsia="宋体" w:cs="宋体"/>
                <w:i w:val="0"/>
                <w:iCs w:val="0"/>
                <w:color w:val="000000"/>
                <w:kern w:val="0"/>
                <w:sz w:val="18"/>
                <w:szCs w:val="18"/>
                <w:highlight w:val="none"/>
                <w:u w:val="none"/>
                <w:lang w:val="en-US" w:eastAsia="zh-CN" w:bidi="ar"/>
              </w:rPr>
              <w:t>根据《中共遂宁市安居区委机构编制委员会关于明确区现代农业产业园区党工委（管委会）机构编制事项的通知》（遂安编委发〔2022〕1号）文件精神，将区现代农业产业园区党工委（管委会）负责的文化旅游相关职责，交由区文化广电旅游局负责，具体由内设机构文化旅游股承担。区现代农业产业园区党工委（管委会）不再负责文化旅游相关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ar"/>
              </w:rPr>
            </w:pPr>
            <w:r>
              <w:rPr>
                <w:rFonts w:ascii="宋体" w:hAnsi="宋体" w:eastAsia="宋体" w:cs="宋体"/>
                <w:i w:val="0"/>
                <w:iCs w:val="0"/>
                <w:color w:val="000000"/>
                <w:kern w:val="0"/>
                <w:sz w:val="18"/>
                <w:szCs w:val="18"/>
                <w:highlight w:val="none"/>
                <w:u w:val="none"/>
                <w:lang w:val="en-US" w:eastAsia="zh-CN" w:bidi="ar"/>
              </w:rPr>
              <w:t>改进</w:t>
            </w:r>
          </w:p>
          <w:p>
            <w:pPr>
              <w:keepNext w:val="0"/>
              <w:keepLines w:val="0"/>
              <w:widowControl/>
              <w:suppressLineNumbers w:val="0"/>
              <w:jc w:val="center"/>
              <w:textAlignment w:val="center"/>
              <w:rPr>
                <w:rFonts w:ascii="宋体" w:hAnsi="宋体" w:eastAsia="宋体" w:cs="宋体"/>
                <w:i w:val="0"/>
                <w:iCs w:val="0"/>
                <w:color w:val="000000"/>
                <w:sz w:val="18"/>
                <w:szCs w:val="18"/>
                <w:highlight w:val="green"/>
                <w:u w:val="none"/>
              </w:rPr>
            </w:pPr>
            <w:r>
              <w:rPr>
                <w:rFonts w:ascii="宋体" w:hAnsi="宋体" w:eastAsia="宋体" w:cs="宋体"/>
                <w:i w:val="0"/>
                <w:iCs w:val="0"/>
                <w:color w:val="000000"/>
                <w:kern w:val="0"/>
                <w:sz w:val="18"/>
                <w:szCs w:val="18"/>
                <w:highlight w:val="none"/>
                <w:u w:val="none"/>
                <w:lang w:val="en-US" w:eastAsia="zh-CN" w:bidi="ar"/>
              </w:rPr>
              <w:t>措施</w:t>
            </w:r>
          </w:p>
        </w:tc>
        <w:tc>
          <w:tcPr>
            <w:tcW w:w="130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green"/>
                <w:u w:val="none"/>
              </w:rPr>
            </w:pPr>
            <w:r>
              <w:rPr>
                <w:rFonts w:hint="eastAsia" w:ascii="宋体" w:hAnsi="宋体" w:eastAsia="宋体" w:cs="宋体"/>
                <w:i w:val="0"/>
                <w:iCs w:val="0"/>
                <w:color w:val="000000"/>
                <w:kern w:val="0"/>
                <w:sz w:val="18"/>
                <w:szCs w:val="18"/>
                <w:highlight w:val="none"/>
                <w:u w:val="none"/>
                <w:lang w:val="en-US" w:eastAsia="zh-CN" w:bidi="ar"/>
              </w:rPr>
              <w:t>一是加强资金统筹管理，完善多部门联动机制，建立完善景区运营资金管理制度。二是建议增加景区运营资金投入，保障工作开展。</w:t>
            </w: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b/>
          <w:bCs/>
          <w:i w:val="0"/>
          <w:iCs w:val="0"/>
          <w:color w:val="000000"/>
          <w:kern w:val="0"/>
          <w:sz w:val="30"/>
          <w:szCs w:val="30"/>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t>附表3：</w:t>
      </w: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海龙凯歌园区建设奖补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通过召开村民代表大会，从四川融巢装饰工程有限公司、四川华辰奕建筑装饰工程有限公司，四川永正世森工程有限公司比选出四川融巢装饰有限公司作为项目的中标单位，在施工过程中成立监督小组，专门监督施工事宜。通过严格的审查程序对该项目进行相关审查程序，经审查无异议。</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常理镇海龙村农文旅产业融合项目，对红色记忆展览室进行整体提升。红色记忆展览室提升、室外庭院升级改造、室内装饰升级改造。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总体上看，项目目标明确、资金到位率高、组织监管体系完善。常理镇海龙村农文旅产业融合监管等项目资金较好地实现了绩效目标，自评得分95.8分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常理镇海龙村农文旅产业融合项目红色记忆展览室的提升升级，是海龙村全面推动农文旅产业融合项目的桥头堡，建成后要注意宣传和后期维护。保证更有效的利用红色记忆展览室全面推动农文旅融合发展。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一是注意后期维护。二是利用红色记忆展览室举动相关的研学活动，扩大知名度。</w:t>
            </w:r>
          </w:p>
        </w:tc>
      </w:tr>
    </w:tbl>
    <w:p>
      <w:pPr>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br w:type="page"/>
      </w:r>
    </w:p>
    <w:p>
      <w:pPr>
        <w:pStyle w:val="7"/>
        <w:rPr>
          <w:rFonts w:hint="eastAsia"/>
          <w:lang w:val="en-US" w:eastAsia="zh-CN"/>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pPr>
    </w:p>
    <w:p>
      <w:pPr>
        <w:outlineLvl w:val="1"/>
        <w:rPr>
          <w:rFonts w:hint="eastAsia" w:eastAsia="仿宋_GB2312"/>
          <w:color w:val="auto"/>
          <w:sz w:val="32"/>
          <w:szCs w:val="32"/>
          <w:highlight w:val="none"/>
          <w:lang w:val="en-US" w:eastAsia="zh-CN"/>
        </w:rPr>
      </w:pPr>
      <w:bookmarkStart w:id="118" w:name="_Toc18117"/>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18"/>
    </w:p>
    <w:p>
      <w:pPr>
        <w:pStyle w:val="4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区现代农业产业园区2022年专项预算项目绩效自评报告</w:t>
      </w:r>
    </w:p>
    <w:p>
      <w:pPr>
        <w:pStyle w:val="4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w:t>
      </w:r>
      <w:r>
        <w:rPr>
          <w:rFonts w:hint="eastAsia" w:ascii="仿宋_GB2312" w:hAnsi="Calibri" w:eastAsia="仿宋_GB2312" w:cs="仿宋"/>
          <w:color w:val="auto"/>
          <w:kern w:val="0"/>
          <w:sz w:val="32"/>
          <w:szCs w:val="32"/>
          <w:highlight w:val="none"/>
          <w:lang w:val="en-US" w:eastAsia="zh-CN" w:bidi="ar-SA"/>
        </w:rPr>
        <w:t>七彩明珠管理经费</w:t>
      </w:r>
      <w:r>
        <w:rPr>
          <w:rFonts w:hint="eastAsia" w:ascii="方正小标宋简体" w:hAnsi="方正小标宋简体" w:eastAsia="方正小标宋简体" w:cs="方正小标宋简体"/>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七彩明珠景区管理经费项目主要是用于七彩明珠人员管理、设施设备日常管理维护。2022年我园区七彩明珠景区管理经费项目总投资260万元，财政按工作开展情况采取授权支付等方式进行支付。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（二）项目实施情况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七彩明珠景区管理经费项目严格按照区财政资金管理办法的要求进行项目开展和资金投入，根据维护进度对资金进行计划申请、划拨、使用，及时、规范对收支进行账务处理和会计核算。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（三）资金投入使用情况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1.项目资金申报及批复情况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七彩明珠景区管理经费项目2022年初预算260万元，预算批复260万元。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2.资金计划、到位及使用情况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该项目2022年年初预算金额为260万元。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该项目2022年申报金额为260万元，根据区财政局2022年财政预算，该项目实际下达金额为260万元。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2022年财政实际下拨260万元，项目实际支出为260万元，项目资金按照项目实施进度支付。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项目资金的实际支出260万元，资金主要用于七彩明珠人员管理、设施设备日常管理维护等费用，支付依据合规合法，资金支付与预算相符。也未发现截留、挤占、挪用等情况，资金使用安全有效。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（四）项目绩效目标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加强七彩明珠景区政策法规宣传，文化活动宣传，强化员工素质培训工作，提高景区管理水平，加强日常监管工作，加强惩治治理隐患，提高游客满意度。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二、评价工作开展情况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根据《遂宁市安居区财政局关于开展2022年部门、项目、政策支出绩效自评工作的通知》（遂安财监督</w:t>
      </w:r>
      <w:r>
        <w:rPr>
          <w:rFonts w:hint="eastAsia" w:ascii="Times New Roman" w:hAnsi="Times New Roman" w:eastAsia="仿宋_GB2312" w:cs="仿宋_GB2312"/>
          <w:sz w:val="32"/>
          <w:szCs w:val="32"/>
          <w:lang w:val="en-US" w:eastAsia="zh-CN"/>
        </w:rPr>
        <w:t>〔2022〕12号</w:t>
      </w:r>
      <w:r>
        <w:rPr>
          <w:rFonts w:hint="eastAsia" w:ascii="Times New Roman" w:hAnsi="Times New Roman" w:eastAsia="方正仿宋简体" w:cs="方正仿宋简体"/>
          <w:sz w:val="32"/>
          <w:szCs w:val="32"/>
          <w:lang w:val="en-US" w:eastAsia="zh-CN"/>
        </w:rPr>
        <w:t>）文件要求，我园区成立重点项目评价工作小组，按照2022年七彩明珠景区管理经费项目支出绩效评价指标体系，在项目点现场，通过询问、查阅资料等方式开展七彩明珠景区管理经费项目绩效评价工作，并按是否评分法、分级评分法、比率分值法、缺（错）项扣分法、满意值赋分法、按数累加法等评分方法如实进行自查评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三、综合评价结论（附评分表）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总体上看，项目目标明确、资金到位率高、组织监管体系完善。我园区七彩明珠景区管理经费项目资金较好地实现了绩效目标，自评得分96.5分。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四、绩效评价分析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（一）项目决策情况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经党工委研究决定，同意拨付2022年七彩明珠景区管理经费用于七彩明珠人员管理、设施设备日常管理维护。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（二）项目管理情况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为使项目如期完成，结合园区实际情况，对七彩明珠景区管理经费项目按照园区党工委工作分工，将所有项目分解到相关班子成员，由分管领导具体负责项目实施及监督。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（三）项目产出情况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产出指标完成情况如下：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时效指标：2022年1月-2022年12月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成本指标：2022年七彩明珠景区管理经费项目全年工作经费260万元。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数量指标：七彩明珠景区1个。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质量指标：运营良好。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楷体简体" w:cs="方正楷体简体"/>
          <w:sz w:val="32"/>
          <w:szCs w:val="32"/>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效益指标完成情况如下：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可持续影响指标：根据自评情况，项目实施对提高景区管理水平，加强日常监管工作，加强惩治治理隐患，提高游客满意度。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满意度指标：社会公众或服务对象对项目实施效果的满意成都达98%以上。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五、存在主要问题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根据《中共遂宁市安居区委机构编制委员会关于明确区现代农业产业园区党工委（管委会）机构编制事项的通知》（遂安编委发</w:t>
      </w:r>
      <w:r>
        <w:rPr>
          <w:rFonts w:hint="eastAsia" w:ascii="Times New Roman" w:hAnsi="Times New Roman" w:eastAsia="仿宋_GB2312" w:cs="仿宋_GB2312"/>
          <w:sz w:val="32"/>
          <w:szCs w:val="32"/>
          <w:lang w:val="en-US" w:eastAsia="zh-CN"/>
        </w:rPr>
        <w:t>〔2022〕1号</w:t>
      </w:r>
      <w:r>
        <w:rPr>
          <w:rFonts w:hint="eastAsia" w:ascii="Times New Roman" w:hAnsi="Times New Roman" w:eastAsia="方正仿宋简体" w:cs="方正仿宋简体"/>
          <w:sz w:val="32"/>
          <w:szCs w:val="32"/>
          <w:lang w:val="en-US" w:eastAsia="zh-CN"/>
        </w:rPr>
        <w:t>）文件精神，将区现代农业产业园区党工委（管委会）负责的文化旅游相关职责，交由区文化广电旅游局负责，具体由内设机构文化旅游股承担。区现代农业产业园区党工委（管委会）不再负责文化旅游相关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黑体简体" w:cs="方正黑体简体"/>
          <w:sz w:val="32"/>
          <w:szCs w:val="32"/>
          <w:lang w:val="en-US" w:eastAsia="zh-CN"/>
        </w:rPr>
        <w:t>六、相关措施建议</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Times New Roman" w:hAnsi="Times New Roman" w:eastAsia="方正仿宋简体" w:cs="方正仿宋简体"/>
          <w:b/>
          <w:bCs/>
          <w:sz w:val="32"/>
          <w:szCs w:val="32"/>
          <w:lang w:val="en-US" w:eastAsia="zh-CN"/>
        </w:rPr>
        <w:t>一是</w:t>
      </w:r>
      <w:r>
        <w:rPr>
          <w:rFonts w:hint="eastAsia" w:ascii="Times New Roman" w:hAnsi="Times New Roman" w:eastAsia="方正仿宋简体" w:cs="方正仿宋简体"/>
          <w:sz w:val="32"/>
          <w:szCs w:val="32"/>
          <w:lang w:val="en-US" w:eastAsia="zh-CN"/>
        </w:rPr>
        <w:t>加强资金统筹管理，完善多部门联动机制，建立完善景区运营资金管理制度。</w:t>
      </w:r>
      <w:r>
        <w:rPr>
          <w:rFonts w:hint="eastAsia" w:ascii="Times New Roman" w:hAnsi="Times New Roman" w:eastAsia="方正仿宋简体" w:cs="方正仿宋简体"/>
          <w:b/>
          <w:bCs/>
          <w:sz w:val="32"/>
          <w:szCs w:val="32"/>
          <w:lang w:val="en-US" w:eastAsia="zh-CN"/>
        </w:rPr>
        <w:t>二是</w:t>
      </w:r>
      <w:r>
        <w:rPr>
          <w:rFonts w:hint="eastAsia" w:ascii="Times New Roman" w:hAnsi="Times New Roman" w:eastAsia="方正仿宋简体" w:cs="方正仿宋简体"/>
          <w:sz w:val="32"/>
          <w:szCs w:val="32"/>
          <w:lang w:val="en-US" w:eastAsia="zh-CN"/>
        </w:rPr>
        <w:t>建议增加景区运营资金投入，保障工作开展</w:t>
      </w:r>
      <w:r>
        <w:rPr>
          <w:rFonts w:hint="eastAsia" w:ascii="仿宋_GB2312" w:hAnsi="Calibri" w:eastAsia="仿宋_GB2312" w:cs="仿宋"/>
          <w:color w:val="auto"/>
          <w:kern w:val="0"/>
          <w:sz w:val="32"/>
          <w:szCs w:val="32"/>
          <w:highlight w:val="none"/>
          <w:lang w:val="zh-CN" w:eastAsia="zh-CN" w:bidi="ar-SA"/>
        </w:rPr>
        <w:t>。</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附件：专项预算项目支出绩效自评表</w:t>
      </w: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pPr>
    </w:p>
    <w:tbl>
      <w:tblPr>
        <w:tblStyle w:val="18"/>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4"/>
        <w:gridCol w:w="1018"/>
        <w:gridCol w:w="1254"/>
        <w:gridCol w:w="396"/>
        <w:gridCol w:w="894"/>
        <w:gridCol w:w="396"/>
        <w:gridCol w:w="846"/>
        <w:gridCol w:w="486"/>
        <w:gridCol w:w="396"/>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zh-CN" w:eastAsia="zh-CN" w:bidi="ar"/>
              </w:rPr>
              <w:t>专项预算项目支出绩效自评表</w:t>
            </w:r>
            <w:r>
              <w:rPr>
                <w:rFonts w:hint="eastAsia" w:ascii="黑体" w:hAnsi="宋体" w:eastAsia="黑体" w:cs="黑体"/>
                <w:b/>
                <w:bCs/>
                <w:i w:val="0"/>
                <w:iCs w:val="0"/>
                <w:color w:val="000000"/>
                <w:kern w:val="0"/>
                <w:sz w:val="30"/>
                <w:szCs w:val="3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2022年七彩明珠景区</w:t>
            </w:r>
            <w:r>
              <w:rPr>
                <w:rFonts w:hint="eastAsia" w:ascii="宋体" w:hAnsi="宋体" w:cs="宋体"/>
                <w:i w:val="0"/>
                <w:iCs w:val="0"/>
                <w:color w:val="000000"/>
                <w:kern w:val="0"/>
                <w:sz w:val="18"/>
                <w:szCs w:val="18"/>
                <w:u w:val="none"/>
                <w:lang w:val="en-US" w:eastAsia="zh-CN" w:bidi="ar"/>
              </w:rPr>
              <w:t>管理</w:t>
            </w:r>
            <w:r>
              <w:rPr>
                <w:rFonts w:ascii="宋体" w:hAnsi="宋体" w:eastAsia="宋体" w:cs="宋体"/>
                <w:i w:val="0"/>
                <w:iCs w:val="0"/>
                <w:color w:val="000000"/>
                <w:kern w:val="0"/>
                <w:sz w:val="18"/>
                <w:szCs w:val="18"/>
                <w:u w:val="none"/>
                <w:lang w:val="en-US" w:eastAsia="zh-CN" w:bidi="ar"/>
              </w:rPr>
              <w:t>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遂宁市安居区现代农业产业园区管理委员会部门</w:t>
            </w:r>
          </w:p>
        </w:tc>
        <w:tc>
          <w:tcPr>
            <w:tcW w:w="7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维持景区基本运转，管理好景区安全，提高社会效益，维护景区正面形象。</w:t>
            </w:r>
          </w:p>
        </w:tc>
        <w:tc>
          <w:tcPr>
            <w:tcW w:w="3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2022年七彩明珠景区</w:t>
            </w:r>
            <w:r>
              <w:rPr>
                <w:rFonts w:hint="eastAsia" w:ascii="宋体" w:hAnsi="宋体" w:eastAsia="宋体" w:cs="宋体"/>
                <w:i w:val="0"/>
                <w:iCs w:val="0"/>
                <w:color w:val="000000"/>
                <w:kern w:val="0"/>
                <w:sz w:val="18"/>
                <w:szCs w:val="18"/>
                <w:u w:val="none"/>
                <w:lang w:val="en-US" w:eastAsia="zh-CN" w:bidi="ar"/>
              </w:rPr>
              <w:t>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保七彩明珠景区4A级旅游景区牌子</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维护景区良好生态环境</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2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总体上看，项目目标明确、资金到位率高、组织监管体系完善。我园区七彩明珠景区管理经费项目资金较好地实现了绩效目标，自评得分96.5分。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2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根据《中共遂宁市安居区委机构编制委员会关于明确区现代农业产业园区党工委（管委会）机构编制事项的通知》（遂安编委发〔2022〕1号）文件精神，将区现代农业产业园区党工委（管委会）负责的文化旅游相关职责，交由区文化广电旅游局负责，具体由内设机构文化旅游股承担。区现代农业产业园区党工委（管委会）不再负责文化旅游相关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2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一是加强资金统筹管理，完善多部门联动机制，建立完善景区运营资金管理制度。二是建议增加景区运营资金投入，保障工作开展。</w:t>
            </w:r>
          </w:p>
        </w:tc>
      </w:tr>
    </w:tbl>
    <w:p>
      <w:pP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br w:type="page"/>
      </w:r>
    </w:p>
    <w:p>
      <w:pPr>
        <w:pStyle w:val="4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区现代农业产业园区2022年专项预算项目绩效自评报告</w:t>
      </w:r>
    </w:p>
    <w:p>
      <w:pPr>
        <w:pStyle w:val="4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仿宋简体" w:hAnsi="方正仿宋简体" w:eastAsia="方正仿宋简体" w:cs="方正仿宋简体"/>
          <w:color w:val="auto"/>
          <w:kern w:val="2"/>
          <w:sz w:val="32"/>
          <w:szCs w:val="32"/>
          <w:highlight w:val="none"/>
          <w:lang w:val="en-US" w:eastAsia="zh-CN"/>
        </w:rPr>
        <w:t>（海龙凯歌园区建设奖补）</w:t>
      </w:r>
    </w:p>
    <w:p>
      <w:pPr>
        <w:pStyle w:val="4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green"/>
          <w:lang w:val="en-US" w:eastAsia="zh-CN"/>
        </w:rPr>
      </w:pPr>
    </w:p>
    <w:p>
      <w:pPr>
        <w:keepNext w:val="0"/>
        <w:keepLines w:val="0"/>
        <w:pageBreakBefore w:val="0"/>
        <w:numPr>
          <w:ilvl w:val="0"/>
          <w:numId w:val="0"/>
        </w:numPr>
        <w:tabs>
          <w:tab w:val="left" w:pos="3885"/>
        </w:tabs>
        <w:kinsoku/>
        <w:wordWrap/>
        <w:overflowPunct/>
        <w:topLinePunct w:val="0"/>
        <w:autoSpaceDE/>
        <w:autoSpaceDN/>
        <w:bidi w:val="0"/>
        <w:snapToGrid w:val="0"/>
        <w:spacing w:line="576" w:lineRule="exact"/>
        <w:ind w:left="0" w:leftChars="0" w:firstLine="640" w:firstLineChars="200"/>
        <w:jc w:val="left"/>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一、</w:t>
      </w:r>
      <w:r>
        <w:rPr>
          <w:rFonts w:hint="eastAsia" w:ascii="方正黑体简体" w:hAnsi="方正黑体简体" w:eastAsia="方正黑体简体" w:cs="方正黑体简体"/>
          <w:b w:val="0"/>
          <w:bCs w:val="0"/>
          <w:sz w:val="32"/>
          <w:szCs w:val="32"/>
        </w:rPr>
        <w:t>基本情况</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（一）项目概况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leftChars="0" w:right="0" w:firstLine="480"/>
        <w:textAlignment w:val="auto"/>
        <w:rPr>
          <w:rFonts w:hint="eastAsia" w:ascii="仿宋_GB2312" w:hAnsi="微软雅黑" w:eastAsia="仿宋_GB2312" w:cs="仿宋_GB2312"/>
          <w:i w:val="0"/>
          <w:iCs w:val="0"/>
          <w:caps w:val="0"/>
          <w:color w:val="000000"/>
          <w:spacing w:val="0"/>
          <w:sz w:val="31"/>
          <w:szCs w:val="31"/>
          <w:lang w:val="zh-CN" w:eastAsia="zh-CN"/>
        </w:rPr>
      </w:pPr>
      <w:r>
        <w:rPr>
          <w:rFonts w:hint="eastAsia" w:ascii="Times New Roman" w:hAnsi="Times New Roman" w:eastAsia="方正仿宋简体" w:cs="方正仿宋简体"/>
          <w:i w:val="0"/>
          <w:iCs w:val="0"/>
          <w:caps w:val="0"/>
          <w:color w:val="000000"/>
          <w:spacing w:val="0"/>
          <w:sz w:val="32"/>
          <w:szCs w:val="32"/>
          <w:lang w:val="en-US" w:eastAsia="zh-CN"/>
        </w:rPr>
        <w:t>为提升常理镇海龙村农文旅产业融合项目，对红色记忆展览室进行整体提升。红色记忆展览室提升、室外庭院升级改造、室内装饰升级改造。资金来源“2022年中省第二批及市级财政衔接推进乡村振兴补助资金”190000元（预计投资壹拾玖万元整），财政办按工作开展情况采取授权支付等方式进行支付。</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（二）项目实施情况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jc w:val="left"/>
        <w:textAlignment w:val="auto"/>
        <w:rPr>
          <w:rFonts w:hint="default"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常理镇海龙村农文旅产业融合项目严格按照区财政资金管理办法的要求进行项目开展和资金投入，根据工程进度对资金进行计划申请、划拨、使用，</w:t>
      </w:r>
      <w:r>
        <w:rPr>
          <w:rFonts w:hint="default" w:ascii="Times New Roman" w:hAnsi="Times New Roman" w:eastAsia="方正仿宋简体" w:cs="方正仿宋简体"/>
          <w:i w:val="0"/>
          <w:iCs w:val="0"/>
          <w:caps w:val="0"/>
          <w:color w:val="000000"/>
          <w:spacing w:val="0"/>
          <w:kern w:val="0"/>
          <w:sz w:val="32"/>
          <w:szCs w:val="32"/>
          <w:lang w:val="en-US" w:eastAsia="zh-CN" w:bidi="ar"/>
        </w:rPr>
        <w:t>及时、规范对收支进行账务处理和会计核算。</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（三）资金投入使用情况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3" w:firstLineChars="200"/>
        <w:jc w:val="left"/>
        <w:textAlignment w:val="auto"/>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t>1.项目资金申报及批复情况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textAlignment w:val="auto"/>
        <w:rPr>
          <w:rFonts w:hint="eastAsia" w:ascii="仿宋_GB2312" w:hAnsi="微软雅黑" w:eastAsia="仿宋_GB2312" w:cs="仿宋_GB2312"/>
          <w:i w:val="0"/>
          <w:iCs w:val="0"/>
          <w:caps w:val="0"/>
          <w:color w:val="000000"/>
          <w:spacing w:val="0"/>
          <w:sz w:val="31"/>
          <w:szCs w:val="31"/>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常理镇海龙村农文旅产业融合项目2022年初预算187837.94万元，预算批复187837.94元。</w:t>
      </w:r>
    </w:p>
    <w:p>
      <w:pPr>
        <w:keepNext w:val="0"/>
        <w:keepLines w:val="0"/>
        <w:pageBreakBefore w:val="0"/>
        <w:numPr>
          <w:ilvl w:val="0"/>
          <w:numId w:val="0"/>
        </w:numPr>
        <w:kinsoku/>
        <w:wordWrap/>
        <w:overflowPunct/>
        <w:topLinePunct w:val="0"/>
        <w:autoSpaceDE/>
        <w:autoSpaceDN/>
        <w:bidi w:val="0"/>
        <w:spacing w:line="576" w:lineRule="exact"/>
        <w:ind w:left="0" w:leftChars="0" w:firstLine="643" w:firstLineChars="200"/>
        <w:textAlignment w:val="auto"/>
        <w:rPr>
          <w:rFonts w:hint="eastAsia" w:ascii="仿宋_GB2312" w:hAnsi="仿宋_GB2312" w:cs="仿宋_GB2312"/>
          <w:b/>
          <w:bCs/>
          <w:szCs w:val="21"/>
          <w:lang w:val="en-US" w:eastAsia="zh-CN"/>
        </w:rPr>
      </w:pPr>
      <w:r>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t>2、资金计划、到位及使用情况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b/>
          <w:bCs/>
          <w:highlight w:val="none"/>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（1）资金计划</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textAlignment w:val="auto"/>
        <w:rPr>
          <w:rFonts w:hint="eastAsia" w:ascii="仿宋_GB2312" w:hAnsi="微软雅黑" w:eastAsia="仿宋_GB2312" w:cs="仿宋_GB2312"/>
          <w:i w:val="0"/>
          <w:iCs w:val="0"/>
          <w:caps w:val="0"/>
          <w:color w:val="000000"/>
          <w:spacing w:val="0"/>
          <w:sz w:val="31"/>
          <w:szCs w:val="31"/>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该项目完成后2022年拨付资金187837.94元。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（2）资金到位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textAlignment w:val="auto"/>
        <w:rPr>
          <w:rFonts w:hint="default" w:ascii="仿宋_GB2312" w:hAnsi="微软雅黑" w:eastAsia="仿宋_GB2312" w:cs="仿宋_GB2312"/>
          <w:i w:val="0"/>
          <w:iCs w:val="0"/>
          <w:caps w:val="0"/>
          <w:color w:val="000000"/>
          <w:spacing w:val="0"/>
          <w:sz w:val="31"/>
          <w:szCs w:val="31"/>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该项目2022年合同金额为3万元，总竣工结算定案金额是：187837.94元，在送审造价金额：199191.15元基础上审减造价金额是11353元。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textAlignment w:val="auto"/>
        <w:rPr>
          <w:rFonts w:hint="eastAsia" w:ascii="仿宋_GB2312" w:hAnsi="微软雅黑" w:eastAsia="仿宋_GB2312" w:cs="仿宋_GB2312"/>
          <w:i w:val="0"/>
          <w:iCs w:val="0"/>
          <w:caps w:val="0"/>
          <w:color w:val="000000"/>
          <w:spacing w:val="0"/>
          <w:sz w:val="31"/>
          <w:szCs w:val="31"/>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2022年财政实际下拨187837.94元，项目实际支出为187837.94元，项目资金按照项目实施进度支付。</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（3）资金使用</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项目资金的实际支出187837.94万元，资金主要用于房屋建筑加固、维修、外貌改造土建项目、房建改造安装项目。支付依据合规合法，资金支付与预算相符。也未发现截留、挤占、挪用等情况，资金使用安全有效。</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（四）项目绩效目标</w:t>
      </w:r>
    </w:p>
    <w:p>
      <w:pPr>
        <w:keepNext w:val="0"/>
        <w:keepLines w:val="0"/>
        <w:pageBreakBefore w:val="0"/>
        <w:numPr>
          <w:ilvl w:val="0"/>
          <w:numId w:val="0"/>
        </w:numPr>
        <w:tabs>
          <w:tab w:val="left" w:pos="3885"/>
        </w:tabs>
        <w:kinsoku/>
        <w:wordWrap/>
        <w:overflowPunct/>
        <w:topLinePunct w:val="0"/>
        <w:autoSpaceDE/>
        <w:autoSpaceDN/>
        <w:bidi w:val="0"/>
        <w:snapToGrid w:val="0"/>
        <w:spacing w:line="576" w:lineRule="exact"/>
        <w:ind w:left="0" w:leftChars="0" w:firstLine="640" w:firstLineChars="200"/>
        <w:jc w:val="left"/>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二、</w:t>
      </w:r>
      <w:r>
        <w:rPr>
          <w:rFonts w:hint="eastAsia" w:ascii="方正黑体简体" w:hAnsi="方正黑体简体" w:eastAsia="方正黑体简体" w:cs="方正黑体简体"/>
          <w:b w:val="0"/>
          <w:bCs w:val="0"/>
          <w:sz w:val="32"/>
          <w:szCs w:val="32"/>
        </w:rPr>
        <w:t>评价工作开展情况</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根据《遂宁市安居区财政局关于2022年部门、项目、政策支出绩效自评工作的通知》（遂安财监督〔2023〕12号）文件要求，常理镇成立重点</w:t>
      </w:r>
      <w:r>
        <w:rPr>
          <w:rFonts w:hint="eastAsia" w:ascii="Times New Roman" w:hAnsi="Times New Roman" w:eastAsia="方正仿宋简体" w:cs="方正仿宋简体"/>
          <w:i w:val="0"/>
          <w:iCs w:val="0"/>
          <w:caps w:val="0"/>
          <w:color w:val="000000"/>
          <w:spacing w:val="0"/>
          <w:kern w:val="0"/>
          <w:sz w:val="32"/>
          <w:szCs w:val="32"/>
          <w:lang w:val="zh-CN" w:eastAsia="zh-CN" w:bidi="ar"/>
        </w:rPr>
        <w:t>项目评价工作小组，按照202</w:t>
      </w:r>
      <w:r>
        <w:rPr>
          <w:rFonts w:hint="eastAsia" w:ascii="Times New Roman" w:hAnsi="Times New Roman" w:eastAsia="方正仿宋简体" w:cs="方正仿宋简体"/>
          <w:i w:val="0"/>
          <w:iCs w:val="0"/>
          <w:caps w:val="0"/>
          <w:color w:val="000000"/>
          <w:spacing w:val="0"/>
          <w:kern w:val="0"/>
          <w:sz w:val="32"/>
          <w:szCs w:val="32"/>
          <w:lang w:val="en-US" w:eastAsia="zh-CN" w:bidi="ar"/>
        </w:rPr>
        <w:t>2中省第二批及市级财政衔接推进乡村振兴补助资金管理办法，监管项目</w:t>
      </w:r>
      <w:r>
        <w:rPr>
          <w:rFonts w:hint="eastAsia" w:ascii="Times New Roman" w:hAnsi="Times New Roman" w:eastAsia="方正仿宋简体" w:cs="方正仿宋简体"/>
          <w:i w:val="0"/>
          <w:iCs w:val="0"/>
          <w:caps w:val="0"/>
          <w:color w:val="000000"/>
          <w:spacing w:val="0"/>
          <w:kern w:val="0"/>
          <w:sz w:val="32"/>
          <w:szCs w:val="32"/>
          <w:lang w:val="zh-CN" w:eastAsia="zh-CN" w:bidi="ar"/>
        </w:rPr>
        <w:t>支出绩效评价指标体系，</w:t>
      </w:r>
      <w:r>
        <w:rPr>
          <w:rFonts w:hint="eastAsia" w:ascii="Times New Roman" w:hAnsi="Times New Roman" w:eastAsia="方正仿宋简体" w:cs="方正仿宋简体"/>
          <w:i w:val="0"/>
          <w:iCs w:val="0"/>
          <w:caps w:val="0"/>
          <w:color w:val="000000"/>
          <w:spacing w:val="0"/>
          <w:kern w:val="0"/>
          <w:sz w:val="32"/>
          <w:szCs w:val="32"/>
          <w:lang w:val="en-US" w:eastAsia="zh-CN" w:bidi="ar"/>
        </w:rPr>
        <w:t>在项目点现场，通过询问、查阅资料等方式</w:t>
      </w:r>
      <w:r>
        <w:rPr>
          <w:rFonts w:hint="eastAsia" w:ascii="Times New Roman" w:hAnsi="Times New Roman" w:eastAsia="方正仿宋简体" w:cs="方正仿宋简体"/>
          <w:i w:val="0"/>
          <w:iCs w:val="0"/>
          <w:caps w:val="0"/>
          <w:color w:val="000000"/>
          <w:spacing w:val="0"/>
          <w:kern w:val="0"/>
          <w:sz w:val="32"/>
          <w:szCs w:val="32"/>
          <w:lang w:val="zh-CN" w:eastAsia="zh-CN" w:bidi="ar"/>
        </w:rPr>
        <w:t>开展</w:t>
      </w:r>
      <w:r>
        <w:rPr>
          <w:rFonts w:hint="eastAsia" w:ascii="Times New Roman" w:hAnsi="Times New Roman" w:eastAsia="方正仿宋简体" w:cs="方正仿宋简体"/>
          <w:i w:val="0"/>
          <w:iCs w:val="0"/>
          <w:caps w:val="0"/>
          <w:color w:val="000000"/>
          <w:spacing w:val="0"/>
          <w:kern w:val="0"/>
          <w:sz w:val="32"/>
          <w:szCs w:val="32"/>
          <w:lang w:val="en-US" w:eastAsia="zh-CN" w:bidi="ar"/>
        </w:rPr>
        <w:t>监管</w:t>
      </w:r>
      <w:r>
        <w:rPr>
          <w:rFonts w:hint="eastAsia" w:ascii="Times New Roman" w:hAnsi="Times New Roman" w:eastAsia="方正仿宋简体" w:cs="方正仿宋简体"/>
          <w:i w:val="0"/>
          <w:iCs w:val="0"/>
          <w:caps w:val="0"/>
          <w:color w:val="000000"/>
          <w:spacing w:val="0"/>
          <w:kern w:val="0"/>
          <w:sz w:val="32"/>
          <w:szCs w:val="32"/>
          <w:lang w:val="zh-CN" w:eastAsia="zh-CN" w:bidi="ar"/>
        </w:rPr>
        <w:t>项目绩效评价工作，并按是否评分法、分级评分法、比率分值法、缺（错）项扣分法、满意值赋分法、按数累加法等评分方法如实进行自查评分</w:t>
      </w:r>
      <w:r>
        <w:rPr>
          <w:rFonts w:hint="eastAsia" w:ascii="Times New Roman" w:hAnsi="Times New Roman" w:eastAsia="方正仿宋简体" w:cs="方正仿宋简体"/>
          <w:i w:val="0"/>
          <w:iCs w:val="0"/>
          <w:caps w:val="0"/>
          <w:color w:val="000000"/>
          <w:spacing w:val="0"/>
          <w:kern w:val="0"/>
          <w:sz w:val="32"/>
          <w:szCs w:val="32"/>
          <w:lang w:val="en-US" w:eastAsia="zh-CN" w:bidi="ar"/>
        </w:rPr>
        <w:t>。</w:t>
      </w:r>
    </w:p>
    <w:p>
      <w:pPr>
        <w:keepNext w:val="0"/>
        <w:keepLines w:val="0"/>
        <w:pageBreakBefore w:val="0"/>
        <w:numPr>
          <w:ilvl w:val="0"/>
          <w:numId w:val="0"/>
        </w:numPr>
        <w:tabs>
          <w:tab w:val="left" w:pos="3885"/>
        </w:tabs>
        <w:kinsoku/>
        <w:wordWrap/>
        <w:overflowPunct/>
        <w:topLinePunct w:val="0"/>
        <w:autoSpaceDE/>
        <w:autoSpaceDN/>
        <w:bidi w:val="0"/>
        <w:snapToGrid w:val="0"/>
        <w:spacing w:line="576" w:lineRule="exact"/>
        <w:ind w:left="0" w:leftChars="0" w:firstLine="640" w:firstLineChars="200"/>
        <w:jc w:val="left"/>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三、</w:t>
      </w:r>
      <w:r>
        <w:rPr>
          <w:rFonts w:hint="eastAsia" w:ascii="方正黑体简体" w:hAnsi="方正黑体简体" w:eastAsia="方正黑体简体" w:cs="方正黑体简体"/>
          <w:b w:val="0"/>
          <w:bCs w:val="0"/>
          <w:sz w:val="32"/>
          <w:szCs w:val="32"/>
        </w:rPr>
        <w:t>综合评价结论</w:t>
      </w:r>
      <w:r>
        <w:rPr>
          <w:rFonts w:hint="eastAsia" w:ascii="方正黑体简体" w:hAnsi="方正黑体简体" w:eastAsia="方正黑体简体" w:cs="方正黑体简体"/>
          <w:b w:val="0"/>
          <w:bCs w:val="0"/>
          <w:sz w:val="32"/>
          <w:szCs w:val="32"/>
          <w:lang w:eastAsia="zh-CN"/>
        </w:rPr>
        <w:t>（</w:t>
      </w:r>
      <w:r>
        <w:rPr>
          <w:rFonts w:hint="eastAsia" w:ascii="方正黑体简体" w:hAnsi="方正黑体简体" w:eastAsia="方正黑体简体" w:cs="方正黑体简体"/>
          <w:b w:val="0"/>
          <w:bCs w:val="0"/>
          <w:sz w:val="32"/>
          <w:szCs w:val="32"/>
          <w:lang w:val="en-US" w:eastAsia="zh-CN"/>
        </w:rPr>
        <w:t>附评分表</w:t>
      </w:r>
      <w:r>
        <w:rPr>
          <w:rFonts w:hint="eastAsia" w:ascii="方正黑体简体" w:hAnsi="方正黑体简体" w:eastAsia="方正黑体简体" w:cs="方正黑体简体"/>
          <w:b w:val="0"/>
          <w:bCs w:val="0"/>
          <w:sz w:val="32"/>
          <w:szCs w:val="32"/>
          <w:lang w:eastAsia="zh-CN"/>
        </w:rPr>
        <w:t>）</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仿宋_GB2312" w:hAnsi="宋体" w:cs="仿宋_GB2312"/>
          <w:i w:val="0"/>
          <w:iCs w:val="0"/>
          <w:caps w:val="0"/>
          <w:color w:val="000000"/>
          <w:spacing w:val="0"/>
          <w:sz w:val="32"/>
          <w:szCs w:val="32"/>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总体上看，项目目标明确、资金到位率高、组织监管体系完善。常理镇海龙村农文旅产业融合监管等项目资金较好地实现了绩效目标，自评得分95.8分。</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黑体" w:hAnsi="黑体" w:eastAsia="黑体" w:cs="黑体"/>
          <w:b w:val="0"/>
          <w:bCs w:val="0"/>
          <w:szCs w:val="21"/>
        </w:rPr>
      </w:pP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绩效评价分析</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（一）项目决策情况</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w:t>
      </w:r>
      <w:r>
        <w:rPr>
          <w:rFonts w:hint="eastAsia" w:ascii="方正楷体简体" w:hAnsi="方正楷体简体" w:eastAsia="方正楷体简体" w:cs="方正楷体简体"/>
          <w:b w:val="0"/>
          <w:bCs/>
          <w:sz w:val="32"/>
          <w:szCs w:val="32"/>
          <w:lang w:val="en-US" w:eastAsia="zh-CN"/>
        </w:rPr>
        <w:t>二</w:t>
      </w:r>
      <w:r>
        <w:rPr>
          <w:rFonts w:hint="eastAsia" w:ascii="方正楷体简体" w:hAnsi="方正楷体简体" w:eastAsia="方正楷体简体" w:cs="方正楷体简体"/>
          <w:b w:val="0"/>
          <w:bCs/>
          <w:sz w:val="32"/>
          <w:szCs w:val="32"/>
          <w:lang w:eastAsia="zh-CN"/>
        </w:rPr>
        <w:t>）项目管理情况</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default" w:ascii="仿宋_GB2312" w:hAnsi="宋体" w:cs="仿宋_GB2312"/>
          <w:i w:val="0"/>
          <w:iCs w:val="0"/>
          <w:caps w:val="0"/>
          <w:color w:val="000000"/>
          <w:spacing w:val="0"/>
          <w:sz w:val="32"/>
          <w:szCs w:val="32"/>
          <w:lang w:val="en-US" w:eastAsia="zh-CN"/>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通过召开村民代表大会，从四川融巢装饰工程有限公司、四川华辰奕建筑装饰工程有限公司，四川永正世森工程有限公司比选出四川融巢装饰有限公司作为项目的中标单位。</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eastAsia" w:ascii="楷体_GB2312" w:hAnsi="宋体" w:eastAsia="楷体_GB2312"/>
          <w:b/>
          <w:szCs w:val="21"/>
        </w:rPr>
      </w:pPr>
      <w:r>
        <w:rPr>
          <w:rFonts w:hint="eastAsia" w:ascii="方正楷体简体" w:hAnsi="方正楷体简体" w:eastAsia="方正楷体简体" w:cs="方正楷体简体"/>
          <w:b w:val="0"/>
          <w:bCs/>
          <w:sz w:val="32"/>
          <w:szCs w:val="32"/>
          <w:lang w:eastAsia="zh-CN"/>
        </w:rPr>
        <w:t>（</w:t>
      </w:r>
      <w:r>
        <w:rPr>
          <w:rFonts w:hint="eastAsia" w:ascii="方正楷体简体" w:hAnsi="方正楷体简体" w:eastAsia="方正楷体简体" w:cs="方正楷体简体"/>
          <w:b w:val="0"/>
          <w:bCs/>
          <w:sz w:val="32"/>
          <w:szCs w:val="32"/>
          <w:lang w:val="en-US" w:eastAsia="zh-CN"/>
        </w:rPr>
        <w:t>三</w:t>
      </w:r>
      <w:r>
        <w:rPr>
          <w:rFonts w:hint="eastAsia" w:ascii="方正楷体简体" w:hAnsi="方正楷体简体" w:eastAsia="方正楷体简体" w:cs="方正楷体简体"/>
          <w:b w:val="0"/>
          <w:bCs/>
          <w:sz w:val="32"/>
          <w:szCs w:val="32"/>
          <w:lang w:eastAsia="zh-CN"/>
        </w:rPr>
        <w:t>）项目产出情况</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产出指标完成情况如下：</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时效指标：2022年8月11日-2022年8月31日。</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default"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成本指标：常理镇海龙村农文旅产业融合项目，总竣工结算定案金额是187837.94元</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数量指标：红色记忆展览室提升、室外庭院升级改造、室内装饰升级改造</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default"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质量指标：危险道路、水域、林地等安全警示牌立牌覆盖率98%。</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w:t>
      </w:r>
      <w:r>
        <w:rPr>
          <w:rFonts w:hint="eastAsia" w:ascii="方正楷体简体" w:hAnsi="方正楷体简体" w:eastAsia="方正楷体简体" w:cs="方正楷体简体"/>
          <w:b w:val="0"/>
          <w:bCs/>
          <w:sz w:val="32"/>
          <w:szCs w:val="32"/>
          <w:lang w:val="en-US" w:eastAsia="zh-CN"/>
        </w:rPr>
        <w:t>四</w:t>
      </w:r>
      <w:r>
        <w:rPr>
          <w:rFonts w:hint="eastAsia" w:ascii="方正楷体简体" w:hAnsi="方正楷体简体" w:eastAsia="方正楷体简体" w:cs="方正楷体简体"/>
          <w:b w:val="0"/>
          <w:bCs/>
          <w:sz w:val="32"/>
          <w:szCs w:val="32"/>
          <w:lang w:eastAsia="zh-CN"/>
        </w:rPr>
        <w:t>）项目效益情况</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效益指标完成情况如下：</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可持续影响指标：根据自评情况，项目实施对外来游客、本地居民提升影响力。营造红色旅游氛围，打造红色文化品牌，</w:t>
      </w:r>
    </w:p>
    <w:p>
      <w:pPr>
        <w:keepNext w:val="0"/>
        <w:keepLines w:val="0"/>
        <w:pageBreakBefore w:val="0"/>
        <w:numPr>
          <w:ilvl w:val="0"/>
          <w:numId w:val="0"/>
        </w:numPr>
        <w:kinsoku/>
        <w:wordWrap/>
        <w:overflowPunct/>
        <w:topLinePunct w:val="0"/>
        <w:autoSpaceDE/>
        <w:autoSpaceDN/>
        <w:bidi w:val="0"/>
        <w:snapToGrid w:val="0"/>
        <w:spacing w:line="576" w:lineRule="exact"/>
        <w:ind w:left="0" w:leftChars="0" w:firstLine="640" w:firstLineChars="200"/>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满意度指标：社会公众或服务对象对项目实施效果的满意程度达97%以上。</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eastAsia" w:ascii="黑体" w:hAnsi="黑体" w:eastAsia="黑体" w:cs="黑体"/>
          <w:b w:val="0"/>
          <w:bCs w:val="0"/>
          <w:szCs w:val="21"/>
        </w:rPr>
      </w:pPr>
      <w:r>
        <w:rPr>
          <w:rFonts w:hint="eastAsia" w:ascii="方正黑体简体" w:hAnsi="方正黑体简体" w:eastAsia="方正黑体简体" w:cs="方正黑体简体"/>
          <w:b w:val="0"/>
          <w:bCs w:val="0"/>
          <w:sz w:val="32"/>
          <w:szCs w:val="32"/>
          <w:lang w:val="en-US" w:eastAsia="zh-CN"/>
        </w:rPr>
        <w:t>五、</w:t>
      </w:r>
      <w:r>
        <w:rPr>
          <w:rFonts w:hint="eastAsia" w:ascii="方正黑体简体" w:hAnsi="方正黑体简体" w:eastAsia="方正黑体简体" w:cs="方正黑体简体"/>
          <w:b w:val="0"/>
          <w:bCs w:val="0"/>
          <w:sz w:val="32"/>
          <w:szCs w:val="32"/>
        </w:rPr>
        <w:t>存在主要问题</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default" w:ascii="黑体" w:hAnsi="黑体" w:eastAsia="黑体" w:cs="黑体"/>
          <w:b w:val="0"/>
          <w:bCs w:val="0"/>
          <w:szCs w:val="21"/>
          <w:lang w:val="en-US"/>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常理镇海龙村农文旅产业融合项目红色记忆展览室的提升升级，是海龙村全面推动农文旅产业融合项目的桥头堡，建成后要注意宣传和后期维护。保证更有效的利用红色记忆展览室全面推动农文旅融合发展。</w:t>
      </w:r>
    </w:p>
    <w:p>
      <w:pPr>
        <w:keepNext w:val="0"/>
        <w:keepLines w:val="0"/>
        <w:pageBreakBefore w:val="0"/>
        <w:numPr>
          <w:ilvl w:val="0"/>
          <w:numId w:val="0"/>
        </w:numPr>
        <w:kinsoku/>
        <w:wordWrap/>
        <w:overflowPunct/>
        <w:topLinePunct w:val="0"/>
        <w:autoSpaceDE/>
        <w:autoSpaceDN/>
        <w:bidi w:val="0"/>
        <w:snapToGrid w:val="0"/>
        <w:spacing w:line="576" w:lineRule="exact"/>
        <w:ind w:left="632" w:leftChars="0"/>
        <w:textAlignment w:val="auto"/>
        <w:rPr>
          <w:rFonts w:hint="eastAsia" w:ascii="黑体" w:hAnsi="黑体" w:eastAsia="黑体" w:cs="黑体"/>
          <w:b w:val="0"/>
          <w:bCs w:val="0"/>
          <w:szCs w:val="21"/>
          <w:lang w:val="en-US" w:eastAsia="zh-CN"/>
        </w:rPr>
      </w:pPr>
      <w:r>
        <w:rPr>
          <w:rFonts w:hint="eastAsia" w:ascii="方正黑体简体" w:hAnsi="方正黑体简体" w:eastAsia="方正黑体简体" w:cs="方正黑体简体"/>
          <w:b w:val="0"/>
          <w:bCs w:val="0"/>
          <w:sz w:val="32"/>
          <w:szCs w:val="32"/>
          <w:lang w:eastAsia="zh-CN"/>
        </w:rPr>
        <w:t>六、</w:t>
      </w:r>
      <w:r>
        <w:rPr>
          <w:rFonts w:hint="eastAsia" w:ascii="方正黑体简体" w:hAnsi="方正黑体简体" w:eastAsia="方正黑体简体" w:cs="方正黑体简体"/>
          <w:b w:val="0"/>
          <w:bCs w:val="0"/>
          <w:sz w:val="32"/>
          <w:szCs w:val="32"/>
        </w:rPr>
        <w:t>相关措施建议</w:t>
      </w:r>
    </w:p>
    <w:p>
      <w:pPr>
        <w:keepNext w:val="0"/>
        <w:keepLines w:val="0"/>
        <w:pageBreakBefore w:val="0"/>
        <w:numPr>
          <w:ilvl w:val="0"/>
          <w:numId w:val="0"/>
        </w:numPr>
        <w:kinsoku/>
        <w:wordWrap/>
        <w:overflowPunct/>
        <w:topLinePunct w:val="0"/>
        <w:autoSpaceDE/>
        <w:autoSpaceDN/>
        <w:bidi w:val="0"/>
        <w:snapToGrid w:val="0"/>
        <w:spacing w:line="576" w:lineRule="exact"/>
        <w:ind w:firstLine="643" w:firstLineChars="200"/>
        <w:textAlignment w:val="auto"/>
        <w:rPr>
          <w:rFonts w:hint="eastAsia" w:ascii="Times New Roman" w:hAnsi="Times New Roman" w:eastAsia="方正仿宋简体" w:cs="方正仿宋简体"/>
          <w:i w:val="0"/>
          <w:iCs w:val="0"/>
          <w:caps w:val="0"/>
          <w:color w:val="000000"/>
          <w:spacing w:val="0"/>
          <w:kern w:val="0"/>
          <w:sz w:val="32"/>
          <w:szCs w:val="32"/>
          <w:lang w:val="zh-CN" w:eastAsia="zh-CN" w:bidi="ar"/>
        </w:rPr>
      </w:pPr>
      <w:r>
        <w:rPr>
          <w:rFonts w:hint="eastAsia" w:ascii="Times New Roman" w:hAnsi="Times New Roman" w:eastAsia="方正仿宋简体" w:cs="方正仿宋简体"/>
          <w:b/>
          <w:bCs/>
          <w:i w:val="0"/>
          <w:iCs w:val="0"/>
          <w:caps w:val="0"/>
          <w:color w:val="000000"/>
          <w:spacing w:val="0"/>
          <w:kern w:val="0"/>
          <w:sz w:val="32"/>
          <w:szCs w:val="32"/>
          <w:lang w:val="en-US" w:eastAsia="zh-CN" w:bidi="ar"/>
        </w:rPr>
        <w:t>一是</w:t>
      </w:r>
      <w:r>
        <w:rPr>
          <w:rFonts w:hint="eastAsia" w:ascii="Times New Roman" w:hAnsi="Times New Roman" w:eastAsia="方正仿宋简体" w:cs="方正仿宋简体"/>
          <w:i w:val="0"/>
          <w:iCs w:val="0"/>
          <w:caps w:val="0"/>
          <w:color w:val="000000"/>
          <w:spacing w:val="0"/>
          <w:kern w:val="0"/>
          <w:sz w:val="32"/>
          <w:szCs w:val="32"/>
          <w:lang w:val="en-US" w:eastAsia="zh-CN" w:bidi="ar"/>
        </w:rPr>
        <w:t>注意后期维护。</w:t>
      </w:r>
      <w:r>
        <w:rPr>
          <w:rFonts w:hint="eastAsia" w:ascii="Times New Roman" w:hAnsi="Times New Roman" w:eastAsia="方正仿宋简体" w:cs="方正仿宋简体"/>
          <w:b/>
          <w:bCs/>
          <w:i w:val="0"/>
          <w:iCs w:val="0"/>
          <w:caps w:val="0"/>
          <w:color w:val="000000"/>
          <w:spacing w:val="0"/>
          <w:kern w:val="0"/>
          <w:sz w:val="32"/>
          <w:szCs w:val="32"/>
          <w:lang w:val="en-US" w:eastAsia="zh-CN" w:bidi="ar"/>
        </w:rPr>
        <w:t>二是</w:t>
      </w:r>
      <w:r>
        <w:rPr>
          <w:rFonts w:hint="eastAsia" w:ascii="Times New Roman" w:hAnsi="Times New Roman" w:eastAsia="方正仿宋简体" w:cs="方正仿宋简体"/>
          <w:i w:val="0"/>
          <w:iCs w:val="0"/>
          <w:caps w:val="0"/>
          <w:color w:val="000000"/>
          <w:spacing w:val="0"/>
          <w:kern w:val="0"/>
          <w:sz w:val="32"/>
          <w:szCs w:val="32"/>
          <w:lang w:val="en-US" w:eastAsia="zh-CN" w:bidi="ar"/>
        </w:rPr>
        <w:t>利用红色记忆展览室举动相关的研学活动，扩大知名度</w:t>
      </w:r>
      <w:r>
        <w:rPr>
          <w:rFonts w:hint="eastAsia" w:ascii="Times New Roman" w:hAnsi="Times New Roman" w:eastAsia="方正仿宋简体" w:cs="方正仿宋简体"/>
          <w:i w:val="0"/>
          <w:iCs w:val="0"/>
          <w:caps w:val="0"/>
          <w:color w:val="000000"/>
          <w:spacing w:val="0"/>
          <w:kern w:val="0"/>
          <w:sz w:val="32"/>
          <w:szCs w:val="32"/>
          <w:lang w:val="zh-CN" w:eastAsia="zh-CN" w:bidi="ar"/>
        </w:rPr>
        <w:t>。</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附件：专项预算项目支出绩效自评表</w:t>
      </w:r>
    </w:p>
    <w:tbl>
      <w:tblPr>
        <w:tblStyle w:val="18"/>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029"/>
        <w:gridCol w:w="930"/>
        <w:gridCol w:w="1149"/>
        <w:gridCol w:w="474"/>
        <w:gridCol w:w="802"/>
        <w:gridCol w:w="475"/>
        <w:gridCol w:w="905"/>
        <w:gridCol w:w="581"/>
        <w:gridCol w:w="474"/>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zh-CN" w:eastAsia="zh-CN" w:bidi="ar"/>
              </w:rPr>
              <w:t>专项预算项目支出绩效自评表</w:t>
            </w:r>
            <w:r>
              <w:rPr>
                <w:rFonts w:hint="eastAsia" w:ascii="黑体" w:hAnsi="宋体" w:eastAsia="黑体" w:cs="黑体"/>
                <w:b/>
                <w:bCs/>
                <w:i w:val="0"/>
                <w:iCs w:val="0"/>
                <w:color w:val="000000"/>
                <w:kern w:val="0"/>
                <w:sz w:val="30"/>
                <w:szCs w:val="3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海龙凯歌园区建设奖补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遂宁市安居区现代农业产业园区管理委员会部门</w:t>
            </w:r>
          </w:p>
        </w:tc>
        <w:tc>
          <w:tcPr>
            <w:tcW w:w="9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遂宁市安居区现代农业产业园区管理委员会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通过召开村民代表大会，从四川融巢装饰工程有限公司、四川华辰奕建筑装饰工程有限公司，四川永正世森工程有限公司比选出四川融巢装饰有限公司作为项目的中标单位，在施工过程中成立监督小组，专门监督施工事宜。通过严格的审查程序对该项目进行相关审查程序，经审查无异议。</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常理镇海龙村农文旅产业融合项目，对红色记忆展览室进行整体提升。红色记忆展览室提升、室外庭院升级改造、室内装饰升级改造。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总体上看，项目目标明确、资金到位率高、组织监管体系完善。常理镇海龙村农文旅产业融合监管等项目资金较好地实现了绩效目标，自评得分95.8分。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常理镇海龙村农文旅产业融合项目红色记忆展览室的提升升级，是海龙村全面推动农文旅产业融合项目的桥头堡，建成后要注意宣传和后期维护。保证更有效的利用红色记忆展览室全面推动农文旅融合发展。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一是注意后期维护。二是利用红色记忆展览室举动相关的研学活动，扩大知名度。</w:t>
            </w:r>
          </w:p>
        </w:tc>
      </w:tr>
    </w:tbl>
    <w:p>
      <w:pPr>
        <w:widowControl/>
        <w:jc w:val="left"/>
        <w:rPr>
          <w:rStyle w:val="33"/>
          <w:rFonts w:ascii="黑体" w:hAnsi="黑体" w:eastAsia="黑体"/>
          <w:b w:val="0"/>
          <w:color w:val="auto"/>
          <w:highlight w:val="none"/>
        </w:rPr>
      </w:pPr>
      <w:r>
        <w:rPr>
          <w:rStyle w:val="33"/>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119" w:name="_Toc6940"/>
      <w:bookmarkStart w:id="120" w:name="_Toc15396618"/>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110"/>
      <w:bookmarkEnd w:id="119"/>
      <w:bookmarkEnd w:id="120"/>
      <w:bookmarkStart w:id="121" w:name="_Toc15396619"/>
    </w:p>
    <w:p>
      <w:pPr>
        <w:pStyle w:val="3"/>
        <w:rPr>
          <w:rFonts w:ascii="仿宋" w:hAnsi="仿宋" w:eastAsia="仿宋"/>
          <w:color w:val="auto"/>
          <w:highlight w:val="none"/>
        </w:rPr>
      </w:pPr>
      <w:bookmarkStart w:id="122" w:name="_Toc15050"/>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121"/>
      <w:bookmarkEnd w:id="122"/>
    </w:p>
    <w:p>
      <w:pPr>
        <w:pStyle w:val="3"/>
        <w:rPr>
          <w:rFonts w:ascii="仿宋" w:hAnsi="仿宋" w:eastAsia="仿宋"/>
          <w:color w:val="auto"/>
          <w:highlight w:val="none"/>
        </w:rPr>
      </w:pPr>
      <w:bookmarkStart w:id="123" w:name="_Toc17536"/>
      <w:bookmarkStart w:id="124"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123"/>
      <w:bookmarkEnd w:id="124"/>
    </w:p>
    <w:p>
      <w:pPr>
        <w:pStyle w:val="3"/>
        <w:rPr>
          <w:rFonts w:ascii="仿宋" w:hAnsi="仿宋" w:eastAsia="仿宋"/>
          <w:color w:val="auto"/>
          <w:highlight w:val="none"/>
        </w:rPr>
      </w:pPr>
      <w:bookmarkStart w:id="125" w:name="_Toc11914"/>
      <w:bookmarkStart w:id="126"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125"/>
      <w:bookmarkEnd w:id="126"/>
    </w:p>
    <w:p>
      <w:pPr>
        <w:pStyle w:val="3"/>
        <w:rPr>
          <w:rFonts w:ascii="仿宋" w:hAnsi="仿宋" w:eastAsia="仿宋"/>
          <w:b w:val="0"/>
          <w:color w:val="auto"/>
          <w:highlight w:val="none"/>
        </w:rPr>
      </w:pPr>
      <w:bookmarkStart w:id="127" w:name="_Toc22170"/>
      <w:bookmarkStart w:id="128" w:name="_Toc1539662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127"/>
      <w:bookmarkEnd w:id="128"/>
    </w:p>
    <w:p>
      <w:pPr>
        <w:pStyle w:val="3"/>
        <w:rPr>
          <w:rStyle w:val="34"/>
          <w:rFonts w:ascii="仿宋" w:hAnsi="仿宋" w:eastAsia="仿宋"/>
          <w:b w:val="0"/>
          <w:bCs w:val="0"/>
          <w:color w:val="auto"/>
          <w:highlight w:val="none"/>
        </w:rPr>
      </w:pPr>
      <w:bookmarkStart w:id="129" w:name="_Toc15396623"/>
      <w:bookmarkStart w:id="130" w:name="_Toc30928"/>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129"/>
      <w:bookmarkEnd w:id="130"/>
      <w:bookmarkStart w:id="131" w:name="_Toc15396624"/>
    </w:p>
    <w:p>
      <w:pPr>
        <w:pStyle w:val="3"/>
        <w:rPr>
          <w:rFonts w:ascii="仿宋" w:hAnsi="仿宋" w:eastAsia="仿宋"/>
          <w:color w:val="auto"/>
          <w:highlight w:val="none"/>
        </w:rPr>
      </w:pPr>
      <w:bookmarkStart w:id="132" w:name="_Toc7215"/>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131"/>
      <w:bookmarkEnd w:id="132"/>
    </w:p>
    <w:p>
      <w:pPr>
        <w:pStyle w:val="3"/>
        <w:rPr>
          <w:rFonts w:ascii="仿宋" w:hAnsi="仿宋" w:eastAsia="仿宋"/>
          <w:color w:val="auto"/>
          <w:highlight w:val="none"/>
        </w:rPr>
      </w:pPr>
      <w:bookmarkStart w:id="133" w:name="_Toc18556"/>
      <w:bookmarkStart w:id="134" w:name="_Toc15396625"/>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133"/>
      <w:bookmarkEnd w:id="134"/>
    </w:p>
    <w:p>
      <w:pPr>
        <w:pStyle w:val="3"/>
        <w:rPr>
          <w:rFonts w:ascii="仿宋" w:hAnsi="仿宋" w:eastAsia="仿宋"/>
          <w:color w:val="auto"/>
          <w:highlight w:val="none"/>
        </w:rPr>
      </w:pPr>
      <w:bookmarkStart w:id="135" w:name="_Toc8971"/>
      <w:bookmarkStart w:id="136"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135"/>
      <w:bookmarkEnd w:id="136"/>
    </w:p>
    <w:p>
      <w:pPr>
        <w:pStyle w:val="3"/>
        <w:rPr>
          <w:rFonts w:ascii="仿宋" w:hAnsi="仿宋" w:eastAsia="仿宋"/>
          <w:color w:val="auto"/>
          <w:highlight w:val="none"/>
        </w:rPr>
      </w:pPr>
      <w:bookmarkStart w:id="137" w:name="_Toc19692"/>
      <w:bookmarkStart w:id="138" w:name="_Toc15396627"/>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137"/>
      <w:bookmarkEnd w:id="138"/>
    </w:p>
    <w:p>
      <w:pPr>
        <w:pStyle w:val="3"/>
        <w:rPr>
          <w:rFonts w:ascii="仿宋" w:hAnsi="仿宋" w:eastAsia="仿宋"/>
          <w:color w:val="auto"/>
          <w:highlight w:val="none"/>
        </w:rPr>
      </w:pPr>
      <w:bookmarkStart w:id="139" w:name="_Toc15396628"/>
      <w:bookmarkStart w:id="140" w:name="_Toc23240"/>
      <w:r>
        <w:rPr>
          <w:rStyle w:val="34"/>
          <w:rFonts w:hint="eastAsia" w:ascii="仿宋" w:hAnsi="仿宋" w:eastAsia="仿宋"/>
          <w:b w:val="0"/>
          <w:bCs w:val="0"/>
          <w:color w:val="auto"/>
          <w:highlight w:val="none"/>
        </w:rPr>
        <w:t>十、</w:t>
      </w:r>
      <w:bookmarkEnd w:id="139"/>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140"/>
    </w:p>
    <w:p>
      <w:pPr>
        <w:pStyle w:val="3"/>
        <w:rPr>
          <w:rFonts w:ascii="仿宋" w:hAnsi="仿宋" w:eastAsia="仿宋"/>
          <w:color w:val="auto"/>
          <w:highlight w:val="none"/>
        </w:rPr>
      </w:pPr>
      <w:bookmarkStart w:id="141" w:name="_Toc15396629"/>
      <w:bookmarkStart w:id="142" w:name="_Toc9768"/>
      <w:r>
        <w:rPr>
          <w:rStyle w:val="34"/>
          <w:rFonts w:hint="eastAsia" w:ascii="仿宋" w:hAnsi="仿宋" w:eastAsia="仿宋"/>
          <w:b w:val="0"/>
          <w:bCs w:val="0"/>
          <w:color w:val="auto"/>
          <w:highlight w:val="none"/>
        </w:rPr>
        <w:t>十一、</w:t>
      </w:r>
      <w:bookmarkEnd w:id="141"/>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142"/>
    </w:p>
    <w:p>
      <w:pPr>
        <w:pStyle w:val="3"/>
        <w:rPr>
          <w:rFonts w:ascii="仿宋" w:hAnsi="仿宋" w:eastAsia="仿宋"/>
          <w:color w:val="auto"/>
          <w:highlight w:val="none"/>
        </w:rPr>
      </w:pPr>
      <w:bookmarkStart w:id="143" w:name="_Toc15396630"/>
      <w:bookmarkStart w:id="144" w:name="_Toc24287"/>
      <w:r>
        <w:rPr>
          <w:rStyle w:val="34"/>
          <w:rFonts w:hint="eastAsia" w:ascii="仿宋" w:hAnsi="仿宋" w:eastAsia="仿宋"/>
          <w:b w:val="0"/>
          <w:bCs w:val="0"/>
          <w:color w:val="auto"/>
          <w:highlight w:val="none"/>
        </w:rPr>
        <w:t>十二、</w:t>
      </w:r>
      <w:bookmarkEnd w:id="143"/>
      <w:r>
        <w:rPr>
          <w:rStyle w:val="34"/>
          <w:rFonts w:hint="eastAsia" w:ascii="仿宋" w:hAnsi="仿宋" w:eastAsia="仿宋"/>
          <w:b w:val="0"/>
          <w:bCs w:val="0"/>
          <w:color w:val="auto"/>
          <w:highlight w:val="none"/>
          <w:lang w:eastAsia="zh-CN"/>
        </w:rPr>
        <w:t>国有资本经营预算财政拨款支出决算表</w:t>
      </w:r>
      <w:bookmarkEnd w:id="144"/>
    </w:p>
    <w:p>
      <w:pPr>
        <w:pStyle w:val="3"/>
        <w:rPr>
          <w:rFonts w:hint="eastAsia" w:eastAsia="仿宋"/>
          <w:color w:val="auto"/>
          <w:highlight w:val="none"/>
          <w:lang w:eastAsia="zh-CN"/>
        </w:rPr>
      </w:pPr>
      <w:bookmarkStart w:id="145" w:name="_Toc15396631"/>
      <w:bookmarkStart w:id="146" w:name="_Toc14115"/>
      <w:r>
        <w:rPr>
          <w:rStyle w:val="34"/>
          <w:rFonts w:hint="eastAsia" w:ascii="仿宋" w:hAnsi="仿宋" w:eastAsia="仿宋"/>
          <w:b w:val="0"/>
          <w:bCs w:val="0"/>
          <w:color w:val="auto"/>
          <w:highlight w:val="none"/>
        </w:rPr>
        <w:t>十三、</w:t>
      </w:r>
      <w:bookmarkEnd w:id="145"/>
      <w:r>
        <w:rPr>
          <w:rStyle w:val="34"/>
          <w:rFonts w:hint="eastAsia" w:ascii="仿宋" w:hAnsi="仿宋" w:eastAsia="仿宋"/>
          <w:b w:val="0"/>
          <w:bCs w:val="0"/>
          <w:color w:val="auto"/>
          <w:highlight w:val="none"/>
          <w:lang w:eastAsia="zh-CN"/>
        </w:rPr>
        <w:t>财政拨款“三公”经费支出决算表</w:t>
      </w:r>
      <w:bookmarkEnd w:id="146"/>
    </w:p>
    <w:p>
      <w:pPr>
        <w:pStyle w:val="3"/>
        <w:outlineLvl w:val="9"/>
        <w:rPr>
          <w:rFonts w:hint="eastAsia" w:ascii="黑体" w:hAnsi="黑体" w:eastAsia="黑体" w:cs="黑体"/>
          <w:color w:val="000000" w:themeColor="text1"/>
          <w:lang w:eastAsia="zh-CN"/>
          <w14:textFill>
            <w14:solidFill>
              <w14:schemeClr w14:val="tx1"/>
            </w14:solidFill>
          </w14:textFill>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CC7E2D-CE02-47C2-AD2B-9AAF95C649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FB533FA-3B39-4F3E-87F5-B920580EB294}"/>
  </w:font>
  <w:font w:name="Cambria">
    <w:panose1 w:val="02040503050406030204"/>
    <w:charset w:val="00"/>
    <w:family w:val="roman"/>
    <w:pitch w:val="default"/>
    <w:sig w:usb0="E00002FF" w:usb1="400004FF" w:usb2="00000000" w:usb3="00000000" w:csb0="2000019F" w:csb1="00000000"/>
    <w:embedRegular r:id="rId3" w:fontKey="{8AFD30CA-9F0E-4EB9-B2FA-573C66EAD59D}"/>
  </w:font>
  <w:font w:name="仿宋_GB2312">
    <w:panose1 w:val="02010609030101010101"/>
    <w:charset w:val="86"/>
    <w:family w:val="modern"/>
    <w:pitch w:val="default"/>
    <w:sig w:usb0="00000001" w:usb1="080E0000" w:usb2="00000000" w:usb3="00000000" w:csb0="00040000" w:csb1="00000000"/>
    <w:embedRegular r:id="rId4" w:fontKey="{45A86D8C-D187-47F5-8056-FA8156F615C8}"/>
  </w:font>
  <w:font w:name="仿宋">
    <w:panose1 w:val="02010609060101010101"/>
    <w:charset w:val="86"/>
    <w:family w:val="auto"/>
    <w:pitch w:val="default"/>
    <w:sig w:usb0="800002BF" w:usb1="38CF7CFA" w:usb2="00000016" w:usb3="00000000" w:csb0="00040001" w:csb1="00000000"/>
    <w:embedRegular r:id="rId5" w:fontKey="{FF7ABDD6-5258-4004-B107-567089948103}"/>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embedRegular r:id="rId6" w:fontKey="{01D41935-01BA-47F2-837D-14477F5F2B13}"/>
  </w:font>
  <w:font w:name="方正小标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7" w:fontKey="{ED687528-1701-464D-AB6C-37ADFE60A98B}"/>
  </w:font>
  <w:font w:name="微软雅黑">
    <w:panose1 w:val="020B0503020204020204"/>
    <w:charset w:val="86"/>
    <w:family w:val="auto"/>
    <w:pitch w:val="default"/>
    <w:sig w:usb0="80000287" w:usb1="280F3C52" w:usb2="00000016" w:usb3="00000000" w:csb0="0004001F" w:csb1="00000000"/>
    <w:embedRegular r:id="rId8" w:fontKey="{AB9C8212-B6EF-4659-A00D-812B390646AB}"/>
  </w:font>
  <w:font w:name="方正楷体简体">
    <w:panose1 w:val="03000509000000000000"/>
    <w:charset w:val="86"/>
    <w:family w:val="auto"/>
    <w:pitch w:val="default"/>
    <w:sig w:usb0="00000001" w:usb1="080E0000" w:usb2="00000000" w:usb3="00000000" w:csb0="00040000" w:csb1="00000000"/>
    <w:embedRegular r:id="rId9" w:fontKey="{34009B1A-5C26-472B-A715-431E2EFCB78B}"/>
  </w:font>
  <w:font w:name="楷体_GB2312">
    <w:panose1 w:val="02010609030101010101"/>
    <w:charset w:val="86"/>
    <w:family w:val="modern"/>
    <w:pitch w:val="default"/>
    <w:sig w:usb0="00000001" w:usb1="080E0000" w:usb2="00000000" w:usb3="00000000" w:csb0="00040000" w:csb1="00000000"/>
    <w:embedRegular r:id="rId10" w:fontKey="{C924F470-23AF-4895-BBF8-6D076F7F71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2"/>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2"/>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24</w:t>
                        </w:r>
                        <w:r>
                          <w:rPr>
                            <w:rFonts w:hint="eastAsia" w:asciiTheme="majorEastAsia" w:hAnsiTheme="majorEastAsia" w:eastAsiaTheme="majorEastAsia" w:cstheme="majorEastAsia"/>
                            <w:sz w:val="28"/>
                            <w:szCs w:val="28"/>
                          </w:rPr>
                          <w:fldChar w:fldCharType="end"/>
                        </w:r>
                      </w:p>
                    </w:sdtContent>
                  </w:sdt>
                  <w:p>
                    <w:pPr>
                      <w:pStyle w:val="3"/>
                    </w:pP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5B2F6A2"/>
    <w:multiLevelType w:val="singleLevel"/>
    <w:tmpl w:val="F5B2F6A2"/>
    <w:lvl w:ilvl="0" w:tentative="0">
      <w:start w:val="2"/>
      <w:numFmt w:val="chineseCounting"/>
      <w:suff w:val="nothing"/>
      <w:lvlText w:val="（%1）"/>
      <w:lvlJc w:val="left"/>
      <w:rPr>
        <w:rFonts w:hint="eastAsia"/>
      </w:rPr>
    </w:lvl>
  </w:abstractNum>
  <w:abstractNum w:abstractNumId="3">
    <w:nsid w:val="11FE2459"/>
    <w:multiLevelType w:val="singleLevel"/>
    <w:tmpl w:val="11FE2459"/>
    <w:lvl w:ilvl="0" w:tentative="0">
      <w:start w:val="1"/>
      <w:numFmt w:val="decimal"/>
      <w:pStyle w:val="5"/>
      <w:lvlText w:val="%1."/>
      <w:lvlJc w:val="left"/>
      <w:pPr>
        <w:tabs>
          <w:tab w:val="left" w:pos="360"/>
        </w:tabs>
        <w:ind w:left="360" w:hanging="36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zBhNTM2ZWY1ZWZkYmQyMTIwYjlkZWViZjc2NzAifQ=="/>
    <w:docVar w:name="KSO_WPS_MARK_KEY" w:val="8f637ec4-dce5-4901-bde3-934fb62e56eb"/>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148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52D6"/>
    <w:rsid w:val="019F1377"/>
    <w:rsid w:val="01B151EA"/>
    <w:rsid w:val="022950E4"/>
    <w:rsid w:val="028F0B41"/>
    <w:rsid w:val="02A61263"/>
    <w:rsid w:val="02D96A96"/>
    <w:rsid w:val="02FA25DD"/>
    <w:rsid w:val="035F4ABA"/>
    <w:rsid w:val="036253D3"/>
    <w:rsid w:val="03C80227"/>
    <w:rsid w:val="03F62DA4"/>
    <w:rsid w:val="04762B88"/>
    <w:rsid w:val="04977149"/>
    <w:rsid w:val="05E3335F"/>
    <w:rsid w:val="06C45648"/>
    <w:rsid w:val="06E23AB3"/>
    <w:rsid w:val="07D3613C"/>
    <w:rsid w:val="084D10C2"/>
    <w:rsid w:val="086724C2"/>
    <w:rsid w:val="08A3773A"/>
    <w:rsid w:val="08E27D9B"/>
    <w:rsid w:val="09EC7303"/>
    <w:rsid w:val="09FE2E5A"/>
    <w:rsid w:val="0AA479FE"/>
    <w:rsid w:val="0ACF434F"/>
    <w:rsid w:val="0B0D00DC"/>
    <w:rsid w:val="0B1A381C"/>
    <w:rsid w:val="0B4E7B5E"/>
    <w:rsid w:val="0B901D30"/>
    <w:rsid w:val="0C6B4748"/>
    <w:rsid w:val="0CBB108C"/>
    <w:rsid w:val="0D020A0B"/>
    <w:rsid w:val="0D240982"/>
    <w:rsid w:val="0D466B4A"/>
    <w:rsid w:val="0DD84DFE"/>
    <w:rsid w:val="0DED5218"/>
    <w:rsid w:val="0DFC6ACA"/>
    <w:rsid w:val="0E611AA9"/>
    <w:rsid w:val="0E8E54E8"/>
    <w:rsid w:val="0EBD4AF3"/>
    <w:rsid w:val="0EFA1A95"/>
    <w:rsid w:val="0F02222A"/>
    <w:rsid w:val="0F474DFC"/>
    <w:rsid w:val="10993435"/>
    <w:rsid w:val="10B845AE"/>
    <w:rsid w:val="10C055FF"/>
    <w:rsid w:val="10F468BD"/>
    <w:rsid w:val="112E59F8"/>
    <w:rsid w:val="119109C1"/>
    <w:rsid w:val="121B673A"/>
    <w:rsid w:val="140A74DB"/>
    <w:rsid w:val="158B3295"/>
    <w:rsid w:val="16BB723D"/>
    <w:rsid w:val="16CB2E15"/>
    <w:rsid w:val="17317EC0"/>
    <w:rsid w:val="177F2471"/>
    <w:rsid w:val="17883DC6"/>
    <w:rsid w:val="190C4ED2"/>
    <w:rsid w:val="19454332"/>
    <w:rsid w:val="195E1765"/>
    <w:rsid w:val="19A53C1B"/>
    <w:rsid w:val="19CE48C8"/>
    <w:rsid w:val="19D13C3F"/>
    <w:rsid w:val="1B8825E9"/>
    <w:rsid w:val="1BA43C55"/>
    <w:rsid w:val="1BA451E4"/>
    <w:rsid w:val="1BA84E74"/>
    <w:rsid w:val="1BBB097F"/>
    <w:rsid w:val="1BC712F3"/>
    <w:rsid w:val="1CB05D8E"/>
    <w:rsid w:val="1D1D7B1E"/>
    <w:rsid w:val="1D322C47"/>
    <w:rsid w:val="1DA53E3E"/>
    <w:rsid w:val="1E0560D8"/>
    <w:rsid w:val="1F07237F"/>
    <w:rsid w:val="203902BE"/>
    <w:rsid w:val="211C31E6"/>
    <w:rsid w:val="211F23D8"/>
    <w:rsid w:val="21E24009"/>
    <w:rsid w:val="221943D6"/>
    <w:rsid w:val="223876EE"/>
    <w:rsid w:val="226256D9"/>
    <w:rsid w:val="23711FEF"/>
    <w:rsid w:val="23F033BD"/>
    <w:rsid w:val="23FA3D93"/>
    <w:rsid w:val="240371BF"/>
    <w:rsid w:val="245E07C6"/>
    <w:rsid w:val="24B74427"/>
    <w:rsid w:val="24C90335"/>
    <w:rsid w:val="2537068A"/>
    <w:rsid w:val="26187E9A"/>
    <w:rsid w:val="26274F05"/>
    <w:rsid w:val="28005224"/>
    <w:rsid w:val="28404440"/>
    <w:rsid w:val="285919D0"/>
    <w:rsid w:val="28AD3C1B"/>
    <w:rsid w:val="28CB5160"/>
    <w:rsid w:val="28DA4193"/>
    <w:rsid w:val="29AC5B2F"/>
    <w:rsid w:val="29FD04D3"/>
    <w:rsid w:val="2A7150F1"/>
    <w:rsid w:val="2A8F792B"/>
    <w:rsid w:val="2AE076CD"/>
    <w:rsid w:val="2AF732B8"/>
    <w:rsid w:val="2B732DA8"/>
    <w:rsid w:val="2BB62C95"/>
    <w:rsid w:val="2BDF6DB8"/>
    <w:rsid w:val="2C1D4AC2"/>
    <w:rsid w:val="2D1C5869"/>
    <w:rsid w:val="2D1E755B"/>
    <w:rsid w:val="2D297497"/>
    <w:rsid w:val="2D390F85"/>
    <w:rsid w:val="2D484228"/>
    <w:rsid w:val="2D825525"/>
    <w:rsid w:val="2D8E5C1E"/>
    <w:rsid w:val="2DF875D8"/>
    <w:rsid w:val="2E0A6248"/>
    <w:rsid w:val="2E2B5CFA"/>
    <w:rsid w:val="2E395E54"/>
    <w:rsid w:val="2E4C1114"/>
    <w:rsid w:val="2EC67693"/>
    <w:rsid w:val="2EE96234"/>
    <w:rsid w:val="2F3C1703"/>
    <w:rsid w:val="2F511653"/>
    <w:rsid w:val="2FE90DE1"/>
    <w:rsid w:val="31154A2B"/>
    <w:rsid w:val="312C4245"/>
    <w:rsid w:val="316D2048"/>
    <w:rsid w:val="319F7F4E"/>
    <w:rsid w:val="31C53C32"/>
    <w:rsid w:val="31D65E3F"/>
    <w:rsid w:val="330A6582"/>
    <w:rsid w:val="33613E2E"/>
    <w:rsid w:val="33A930DF"/>
    <w:rsid w:val="33D967B7"/>
    <w:rsid w:val="34534ABB"/>
    <w:rsid w:val="347E3905"/>
    <w:rsid w:val="34A606EB"/>
    <w:rsid w:val="353E495A"/>
    <w:rsid w:val="35B2271F"/>
    <w:rsid w:val="35CF24B4"/>
    <w:rsid w:val="36424520"/>
    <w:rsid w:val="36C22E36"/>
    <w:rsid w:val="372E4027"/>
    <w:rsid w:val="3790083E"/>
    <w:rsid w:val="37AC3221"/>
    <w:rsid w:val="37B502A5"/>
    <w:rsid w:val="3801292A"/>
    <w:rsid w:val="38312021"/>
    <w:rsid w:val="384944ED"/>
    <w:rsid w:val="38DA432B"/>
    <w:rsid w:val="38EF77E6"/>
    <w:rsid w:val="390B2690"/>
    <w:rsid w:val="3AFB24FA"/>
    <w:rsid w:val="3B03488A"/>
    <w:rsid w:val="3B602C1D"/>
    <w:rsid w:val="3B980A8D"/>
    <w:rsid w:val="3BA50630"/>
    <w:rsid w:val="3BDE27A0"/>
    <w:rsid w:val="3C4B4A7D"/>
    <w:rsid w:val="3C855D19"/>
    <w:rsid w:val="3DA413FF"/>
    <w:rsid w:val="3E481508"/>
    <w:rsid w:val="3EA71F35"/>
    <w:rsid w:val="3EF6776A"/>
    <w:rsid w:val="3F4A5777"/>
    <w:rsid w:val="3F4D7D0E"/>
    <w:rsid w:val="3FCF39EF"/>
    <w:rsid w:val="3FFB4CC3"/>
    <w:rsid w:val="40271B91"/>
    <w:rsid w:val="404448BC"/>
    <w:rsid w:val="40622D26"/>
    <w:rsid w:val="407A5EA6"/>
    <w:rsid w:val="407D0C1C"/>
    <w:rsid w:val="40BA692C"/>
    <w:rsid w:val="411D014C"/>
    <w:rsid w:val="412F4B54"/>
    <w:rsid w:val="41422527"/>
    <w:rsid w:val="41972DA6"/>
    <w:rsid w:val="41F12821"/>
    <w:rsid w:val="4202058A"/>
    <w:rsid w:val="42186000"/>
    <w:rsid w:val="43871FEA"/>
    <w:rsid w:val="43A044FF"/>
    <w:rsid w:val="43BC2E35"/>
    <w:rsid w:val="43D03DC3"/>
    <w:rsid w:val="43FD54AD"/>
    <w:rsid w:val="443F1DF1"/>
    <w:rsid w:val="45ED27B5"/>
    <w:rsid w:val="46625A61"/>
    <w:rsid w:val="468377A8"/>
    <w:rsid w:val="47AD489F"/>
    <w:rsid w:val="47C100FA"/>
    <w:rsid w:val="47CC3419"/>
    <w:rsid w:val="47E11A3C"/>
    <w:rsid w:val="47E81FD1"/>
    <w:rsid w:val="47FC782A"/>
    <w:rsid w:val="48CB47FE"/>
    <w:rsid w:val="49A34C6B"/>
    <w:rsid w:val="4A396B13"/>
    <w:rsid w:val="4AD54A8E"/>
    <w:rsid w:val="4B356A63"/>
    <w:rsid w:val="4B443F1E"/>
    <w:rsid w:val="4B455BDE"/>
    <w:rsid w:val="4C184CD8"/>
    <w:rsid w:val="4C720D38"/>
    <w:rsid w:val="4C8449BE"/>
    <w:rsid w:val="4CBB3BB1"/>
    <w:rsid w:val="4CF20E3C"/>
    <w:rsid w:val="4D006AC8"/>
    <w:rsid w:val="4E49535C"/>
    <w:rsid w:val="4E9E0CE1"/>
    <w:rsid w:val="4ECE2238"/>
    <w:rsid w:val="4ED07A2C"/>
    <w:rsid w:val="4F3B5F8D"/>
    <w:rsid w:val="50865005"/>
    <w:rsid w:val="50B268E2"/>
    <w:rsid w:val="515661FD"/>
    <w:rsid w:val="515E2F42"/>
    <w:rsid w:val="51A97F92"/>
    <w:rsid w:val="526D5DC3"/>
    <w:rsid w:val="53165C44"/>
    <w:rsid w:val="5354676C"/>
    <w:rsid w:val="539F20DD"/>
    <w:rsid w:val="549C661D"/>
    <w:rsid w:val="55B160F8"/>
    <w:rsid w:val="56764C4B"/>
    <w:rsid w:val="567A72D5"/>
    <w:rsid w:val="57440CB2"/>
    <w:rsid w:val="574627A7"/>
    <w:rsid w:val="581645EB"/>
    <w:rsid w:val="58FD7EAE"/>
    <w:rsid w:val="5931161C"/>
    <w:rsid w:val="59453108"/>
    <w:rsid w:val="59941FB8"/>
    <w:rsid w:val="59972159"/>
    <w:rsid w:val="5A792A1C"/>
    <w:rsid w:val="5B526B00"/>
    <w:rsid w:val="5BB13D1C"/>
    <w:rsid w:val="5C6A74BB"/>
    <w:rsid w:val="5CA407C8"/>
    <w:rsid w:val="5CC64C14"/>
    <w:rsid w:val="5D121AB7"/>
    <w:rsid w:val="5DC6470A"/>
    <w:rsid w:val="5DFC3322"/>
    <w:rsid w:val="5E706A3B"/>
    <w:rsid w:val="5E7F3237"/>
    <w:rsid w:val="5EEC30F7"/>
    <w:rsid w:val="5EFC4888"/>
    <w:rsid w:val="5FD71E0C"/>
    <w:rsid w:val="601912CC"/>
    <w:rsid w:val="601B0D3D"/>
    <w:rsid w:val="60367A55"/>
    <w:rsid w:val="60D3112D"/>
    <w:rsid w:val="619A0388"/>
    <w:rsid w:val="61BD4172"/>
    <w:rsid w:val="62CA25A7"/>
    <w:rsid w:val="63B84AF5"/>
    <w:rsid w:val="63CC7645"/>
    <w:rsid w:val="63DC07E4"/>
    <w:rsid w:val="63DD67AE"/>
    <w:rsid w:val="63E91153"/>
    <w:rsid w:val="64C855E6"/>
    <w:rsid w:val="65A03092"/>
    <w:rsid w:val="667E3DD4"/>
    <w:rsid w:val="66A82BFF"/>
    <w:rsid w:val="674160EB"/>
    <w:rsid w:val="68064690"/>
    <w:rsid w:val="681170E6"/>
    <w:rsid w:val="683530B2"/>
    <w:rsid w:val="68500EF3"/>
    <w:rsid w:val="686151C3"/>
    <w:rsid w:val="68692862"/>
    <w:rsid w:val="68A35D74"/>
    <w:rsid w:val="6903123F"/>
    <w:rsid w:val="692C1706"/>
    <w:rsid w:val="69704FDD"/>
    <w:rsid w:val="69A5272B"/>
    <w:rsid w:val="69D84ABF"/>
    <w:rsid w:val="69DA1D1F"/>
    <w:rsid w:val="69ED6546"/>
    <w:rsid w:val="6B686E01"/>
    <w:rsid w:val="6BD46244"/>
    <w:rsid w:val="6BFA3764"/>
    <w:rsid w:val="6C2627EB"/>
    <w:rsid w:val="6CA11395"/>
    <w:rsid w:val="6CE40709"/>
    <w:rsid w:val="6DF130DE"/>
    <w:rsid w:val="6DF93E34"/>
    <w:rsid w:val="6F153A6F"/>
    <w:rsid w:val="6F547DC8"/>
    <w:rsid w:val="6F5B0A99"/>
    <w:rsid w:val="6F935DF8"/>
    <w:rsid w:val="6FA230D1"/>
    <w:rsid w:val="6FB1178C"/>
    <w:rsid w:val="6FFB6495"/>
    <w:rsid w:val="70DE4F18"/>
    <w:rsid w:val="71192AAF"/>
    <w:rsid w:val="713003C1"/>
    <w:rsid w:val="71BC2B6B"/>
    <w:rsid w:val="722F0678"/>
    <w:rsid w:val="72734D90"/>
    <w:rsid w:val="727A67B3"/>
    <w:rsid w:val="73644352"/>
    <w:rsid w:val="73890592"/>
    <w:rsid w:val="73BD5AC2"/>
    <w:rsid w:val="73D9089C"/>
    <w:rsid w:val="73EF02C8"/>
    <w:rsid w:val="7426005E"/>
    <w:rsid w:val="7460720F"/>
    <w:rsid w:val="74B160E1"/>
    <w:rsid w:val="74DF3D82"/>
    <w:rsid w:val="74F51F35"/>
    <w:rsid w:val="75263125"/>
    <w:rsid w:val="756E14B8"/>
    <w:rsid w:val="758B243C"/>
    <w:rsid w:val="75B56FD1"/>
    <w:rsid w:val="76050AC1"/>
    <w:rsid w:val="778B7C41"/>
    <w:rsid w:val="77D73612"/>
    <w:rsid w:val="78482494"/>
    <w:rsid w:val="78762B5D"/>
    <w:rsid w:val="78DD0E2E"/>
    <w:rsid w:val="7A1F7224"/>
    <w:rsid w:val="7A347162"/>
    <w:rsid w:val="7B371A3C"/>
    <w:rsid w:val="7C7C599D"/>
    <w:rsid w:val="7C7E0232"/>
    <w:rsid w:val="7CBF0D91"/>
    <w:rsid w:val="7CC006A1"/>
    <w:rsid w:val="7DF067A6"/>
    <w:rsid w:val="7E3920BF"/>
    <w:rsid w:val="7E776B08"/>
    <w:rsid w:val="7F7736DB"/>
    <w:rsid w:val="7FB274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index 6"/>
    <w:next w:val="1"/>
    <w:qFormat/>
    <w:uiPriority w:val="0"/>
    <w:pPr>
      <w:widowControl w:val="0"/>
      <w:ind w:left="2100"/>
      <w:jc w:val="both"/>
    </w:pPr>
    <w:rPr>
      <w:rFonts w:ascii="Calibri" w:hAnsi="Calibri" w:eastAsia="宋体" w:cs="宋体"/>
      <w:kern w:val="2"/>
      <w:sz w:val="21"/>
      <w:szCs w:val="24"/>
      <w:lang w:val="en-US" w:eastAsia="zh-CN" w:bidi="ar-SA"/>
    </w:r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afterLines="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qFormat/>
    <w:uiPriority w:val="0"/>
    <w:pPr>
      <w:widowControl w:val="0"/>
      <w:jc w:val="both"/>
    </w:pPr>
    <w:rPr>
      <w:rFonts w:ascii="宋体" w:hAnsi="宋体" w:eastAsia="仿宋" w:cs="宋体"/>
      <w:kern w:val="0"/>
      <w:sz w:val="32"/>
      <w:szCs w:val="32"/>
      <w:lang w:val="en-US" w:eastAsia="zh-CN" w:bidi="ar-SA"/>
    </w:r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Emphasis"/>
    <w:basedOn w:val="20"/>
    <w:qFormat/>
    <w:uiPriority w:val="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 Char Char5"/>
    <w:basedOn w:val="20"/>
    <w:link w:val="3"/>
    <w:qFormat/>
    <w:locked/>
    <w:uiPriority w:val="9"/>
    <w:rPr>
      <w:rFonts w:ascii="Cambria" w:hAnsi="Cambria" w:eastAsia="宋体" w:cs="Times New Roman"/>
      <w:b/>
      <w:bCs/>
      <w:kern w:val="2"/>
      <w:sz w:val="32"/>
      <w:szCs w:val="32"/>
    </w:rPr>
  </w:style>
  <w:style w:type="paragraph" w:customStyle="1" w:styleId="40">
    <w:name w:val="WPSOffice手动目录 1"/>
    <w:qFormat/>
    <w:uiPriority w:val="0"/>
    <w:pPr>
      <w:ind w:leftChars="0"/>
    </w:pPr>
    <w:rPr>
      <w:rFonts w:ascii="Calibri" w:hAnsi="Calibri" w:eastAsia="宋体" w:cs="Times New Roman"/>
      <w:sz w:val="20"/>
      <w:szCs w:val="20"/>
    </w:rPr>
  </w:style>
  <w:style w:type="paragraph" w:customStyle="1" w:styleId="41">
    <w:name w:val="WPSOffice手动目录 2"/>
    <w:qFormat/>
    <w:uiPriority w:val="0"/>
    <w:pPr>
      <w:ind w:leftChars="200"/>
    </w:pPr>
    <w:rPr>
      <w:rFonts w:ascii="Calibri" w:hAnsi="Calibri" w:eastAsia="宋体" w:cs="Times New Roman"/>
      <w:sz w:val="20"/>
      <w:szCs w:val="20"/>
    </w:rPr>
  </w:style>
  <w:style w:type="character" w:customStyle="1" w:styleId="42">
    <w:name w:val=" Char Char6"/>
    <w:basedOn w:val="20"/>
    <w:link w:val="2"/>
    <w:qFormat/>
    <w:locked/>
    <w:uiPriority w:val="9"/>
    <w:rPr>
      <w:rFonts w:ascii="Times New Roman" w:hAnsi="Times New Roman" w:cs="Times New Roman"/>
      <w:b/>
      <w:bCs/>
      <w:kern w:val="44"/>
      <w:sz w:val="44"/>
      <w:szCs w:val="44"/>
    </w:rPr>
  </w:style>
  <w:style w:type="character" w:customStyle="1" w:styleId="43">
    <w:name w:val="font51"/>
    <w:basedOn w:val="20"/>
    <w:qFormat/>
    <w:uiPriority w:val="0"/>
    <w:rPr>
      <w:rFonts w:hint="eastAsia" w:ascii="宋体" w:hAnsi="宋体" w:eastAsia="宋体" w:cs="宋体"/>
      <w:b/>
      <w:bCs/>
      <w:color w:val="000000"/>
      <w:sz w:val="24"/>
      <w:szCs w:val="24"/>
      <w:u w:val="none"/>
    </w:rPr>
  </w:style>
  <w:style w:type="character" w:customStyle="1" w:styleId="44">
    <w:name w:val="font112"/>
    <w:basedOn w:val="20"/>
    <w:qFormat/>
    <w:uiPriority w:val="0"/>
    <w:rPr>
      <w:rFonts w:hint="eastAsia" w:ascii="宋体" w:hAnsi="宋体" w:eastAsia="宋体" w:cs="宋体"/>
      <w:color w:val="000000"/>
      <w:sz w:val="24"/>
      <w:szCs w:val="24"/>
      <w:u w:val="none"/>
    </w:rPr>
  </w:style>
  <w:style w:type="character" w:customStyle="1" w:styleId="45">
    <w:name w:val="font61"/>
    <w:basedOn w:val="20"/>
    <w:qFormat/>
    <w:uiPriority w:val="0"/>
    <w:rPr>
      <w:rFonts w:hint="eastAsia" w:ascii="宋体" w:hAnsi="宋体" w:eastAsia="宋体" w:cs="宋体"/>
      <w:b/>
      <w:bCs/>
      <w:color w:val="000000"/>
      <w:sz w:val="24"/>
      <w:szCs w:val="24"/>
      <w:u w:val="none"/>
    </w:rPr>
  </w:style>
  <w:style w:type="character" w:customStyle="1" w:styleId="46">
    <w:name w:val="font111"/>
    <w:basedOn w:val="20"/>
    <w:qFormat/>
    <w:uiPriority w:val="0"/>
    <w:rPr>
      <w:rFonts w:hint="eastAsia" w:ascii="宋体" w:hAnsi="宋体" w:eastAsia="宋体" w:cs="宋体"/>
      <w:color w:val="000000"/>
      <w:sz w:val="24"/>
      <w:szCs w:val="24"/>
      <w:u w:val="none"/>
    </w:rPr>
  </w:style>
  <w:style w:type="paragraph" w:customStyle="1" w:styleId="4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8">
    <w:name w:val="Body Text First Indent 2"/>
    <w:basedOn w:val="49"/>
    <w:qFormat/>
    <w:uiPriority w:val="0"/>
    <w:pPr>
      <w:ind w:firstLine="420" w:firstLineChars="200"/>
    </w:pPr>
  </w:style>
  <w:style w:type="paragraph" w:customStyle="1" w:styleId="49">
    <w:name w:val="Body Text Indent"/>
    <w:basedOn w:val="1"/>
    <w:qFormat/>
    <w:uiPriority w:val="0"/>
    <w:pPr>
      <w:ind w:left="420" w:leftChars="200"/>
    </w:pPr>
  </w:style>
  <w:style w:type="paragraph" w:customStyle="1" w:styleId="50">
    <w:name w:val="常用样式（方正仿宋简）"/>
    <w:basedOn w:val="1"/>
    <w:next w:val="1"/>
    <w:qFormat/>
    <w:uiPriority w:val="99"/>
    <w:pPr>
      <w:spacing w:line="560" w:lineRule="exact"/>
      <w:ind w:firstLine="640" w:firstLineChars="200"/>
    </w:pPr>
    <w:rPr>
      <w:rFonts w:eastAsia="方正仿宋简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c:formatCode>
                <c:ptCount val="4"/>
                <c:pt idx="0">
                  <c:v>440.41</c:v>
                </c:pt>
                <c:pt idx="1">
                  <c:v>440.41</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#,##0.00</c:formatCode>
                <c:ptCount val="4"/>
                <c:pt idx="0">
                  <c:v>147.05</c:v>
                </c:pt>
                <c:pt idx="1">
                  <c:v>147.05</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0.366998932812606</c:v>
                </c:pt>
                <c:pt idx="1">
                  <c:v>0.633001067187393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c:formatCode>
                <c:ptCount val="4"/>
                <c:pt idx="0">
                  <c:v>440.41</c:v>
                </c:pt>
                <c:pt idx="1">
                  <c:v>440.41</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147.05</c:v>
                </c:pt>
                <c:pt idx="1">
                  <c:v>147.05</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#,##0.00</c:formatCode>
                <c:ptCount val="4"/>
                <c:pt idx="0">
                  <c:v>180.41</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147.05</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137322905382453"/>
                  <c:y val="-0.001318763205041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61038847302686"/>
                  <c:y val="0.038514946045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社会保障和就业</c:v>
                </c:pt>
                <c:pt idx="2">
                  <c:v>卫生健康支出</c:v>
                </c:pt>
                <c:pt idx="3">
                  <c:v>农林水支出</c:v>
                </c:pt>
                <c:pt idx="4">
                  <c:v>住房保障支出</c:v>
                </c:pt>
              </c:strCache>
            </c:strRef>
          </c:cat>
          <c:val>
            <c:numRef>
              <c:f>Sheet1!$B$2:$B$6</c:f>
              <c:numCache>
                <c:formatCode>0.00%</c:formatCode>
                <c:ptCount val="5"/>
                <c:pt idx="0">
                  <c:v>0</c:v>
                </c:pt>
                <c:pt idx="1">
                  <c:v>0.0598636439221773</c:v>
                </c:pt>
                <c:pt idx="2">
                  <c:v>0.0669031650130259</c:v>
                </c:pt>
                <c:pt idx="3">
                  <c:v>0.843578515603348</c:v>
                </c:pt>
                <c:pt idx="4">
                  <c:v>0.061059745623504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12525</Words>
  <Characters>13513</Characters>
  <Lines>7</Lines>
  <Paragraphs>17</Paragraphs>
  <TotalTime>7</TotalTime>
  <ScaleCrop>false</ScaleCrop>
  <LinksUpToDate>false</LinksUpToDate>
  <CharactersWithSpaces>18907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User</cp:lastModifiedBy>
  <cp:lastPrinted>2023-08-22T01:35:00Z</cp:lastPrinted>
  <dcterms:modified xsi:type="dcterms:W3CDTF">2023-09-22T06:14:33Z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A71427F92EB24DF9B2053C301701A7AE</vt:lpwstr>
  </property>
</Properties>
</file>