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黑体" w:hAnsi="黑体" w:eastAsia="黑体" w:cs="黑体"/>
          <w:color w:val="auto"/>
          <w:sz w:val="32"/>
          <w:szCs w:val="32"/>
          <w:highlight w:val="none"/>
          <w:lang w:val="en-US" w:eastAsia="zh-CN"/>
        </w:rPr>
      </w:pPr>
      <w:bookmarkStart w:id="0" w:name="_Toc7336"/>
      <w:bookmarkStart w:id="1" w:name="_Toc15396597"/>
      <w:bookmarkStart w:id="2" w:name="_Toc15378441"/>
      <w:bookmarkStart w:id="3" w:name="_Toc15377193"/>
      <w:bookmarkStart w:id="4" w:name="_Toc15396475"/>
      <w:bookmarkStart w:id="5" w:name="_Toc15377425"/>
      <w:bookmarkStart w:id="6" w:name="_Toc15306267"/>
      <w:r>
        <w:rPr>
          <w:rFonts w:hint="eastAsia" w:ascii="黑体" w:hAnsi="黑体" w:eastAsia="黑体" w:cs="黑体"/>
          <w:color w:val="auto"/>
          <w:sz w:val="32"/>
          <w:szCs w:val="32"/>
          <w:highlight w:val="none"/>
          <w:lang w:val="en-US" w:eastAsia="zh-CN"/>
        </w:rPr>
        <w:t>附件1</w:t>
      </w:r>
      <w:bookmarkEnd w:id="0"/>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240" w:lineRule="auto"/>
        <w:jc w:val="center"/>
        <w:outlineLvl w:val="0"/>
        <w:rPr>
          <w:rFonts w:hint="eastAsia" w:ascii="方正小标宋简体" w:hAnsi="方正小标宋简体" w:eastAsia="方正小标宋简体" w:cs="方正小标宋简体"/>
          <w:color w:val="auto"/>
          <w:sz w:val="84"/>
          <w:szCs w:val="84"/>
          <w:highlight w:val="none"/>
        </w:rPr>
      </w:pPr>
      <w:bookmarkStart w:id="7" w:name="_Toc1556"/>
      <w:r>
        <w:rPr>
          <w:rFonts w:hint="eastAsia" w:ascii="方正小标宋简体" w:hAnsi="方正小标宋简体" w:eastAsia="方正小标宋简体" w:cs="方正小标宋简体"/>
          <w:color w:val="auto"/>
          <w:sz w:val="84"/>
          <w:szCs w:val="84"/>
          <w:highlight w:val="none"/>
        </w:rPr>
        <w:t>20</w:t>
      </w:r>
      <w:r>
        <w:rPr>
          <w:rFonts w:hint="eastAsia" w:ascii="方正小标宋简体" w:hAnsi="方正小标宋简体" w:eastAsia="方正小标宋简体" w:cs="方正小标宋简体"/>
          <w:color w:val="auto"/>
          <w:sz w:val="84"/>
          <w:szCs w:val="84"/>
          <w:highlight w:val="none"/>
          <w:lang w:val="en-US" w:eastAsia="zh-CN"/>
        </w:rPr>
        <w:t>22</w:t>
      </w:r>
      <w:r>
        <w:rPr>
          <w:rFonts w:hint="eastAsia" w:ascii="方正小标宋简体" w:hAnsi="方正小标宋简体" w:eastAsia="方正小标宋简体" w:cs="方正小标宋简体"/>
          <w:color w:val="auto"/>
          <w:sz w:val="84"/>
          <w:szCs w:val="84"/>
          <w:highlight w:val="none"/>
        </w:rPr>
        <w:t>年度</w:t>
      </w:r>
      <w:bookmarkEnd w:id="1"/>
      <w:bookmarkEnd w:id="2"/>
      <w:bookmarkEnd w:id="3"/>
      <w:bookmarkEnd w:id="4"/>
      <w:bookmarkEnd w:id="5"/>
      <w:bookmarkEnd w:id="7"/>
    </w:p>
    <w:bookmarkEnd w:id="6"/>
    <w:p>
      <w:pPr>
        <w:adjustRightInd w:val="0"/>
        <w:snapToGrid w:val="0"/>
        <w:spacing w:line="240" w:lineRule="auto"/>
        <w:jc w:val="center"/>
        <w:outlineLvl w:val="0"/>
        <w:rPr>
          <w:rFonts w:hint="eastAsia" w:ascii="方正小标宋简体" w:hAnsi="方正小标宋简体" w:eastAsia="方正小标宋简体" w:cs="方正小标宋简体"/>
          <w:color w:val="auto"/>
          <w:sz w:val="84"/>
          <w:szCs w:val="84"/>
          <w:highlight w:val="none"/>
        </w:rPr>
      </w:pPr>
      <w:bookmarkStart w:id="8" w:name="_Toc15306268"/>
      <w:bookmarkStart w:id="9" w:name="_Toc15378442"/>
      <w:bookmarkStart w:id="10" w:name="_Toc15396598"/>
      <w:bookmarkStart w:id="11" w:name="_Toc15377194"/>
      <w:bookmarkStart w:id="12" w:name="_Toc15396476"/>
      <w:bookmarkStart w:id="13" w:name="_Toc23788"/>
      <w:bookmarkStart w:id="14" w:name="_Toc15377426"/>
      <w:r>
        <w:rPr>
          <w:rFonts w:hint="eastAsia" w:ascii="方正小标宋简体" w:hAnsi="方正小标宋简体" w:eastAsia="方正小标宋简体" w:cs="方正小标宋简体"/>
          <w:color w:val="auto"/>
          <w:sz w:val="84"/>
          <w:szCs w:val="84"/>
          <w:highlight w:val="none"/>
        </w:rPr>
        <w:t>四川省遂宁市安居区归侨侨眷联合会</w:t>
      </w:r>
    </w:p>
    <w:p>
      <w:pPr>
        <w:adjustRightInd w:val="0"/>
        <w:snapToGrid w:val="0"/>
        <w:spacing w:line="240" w:lineRule="auto"/>
        <w:jc w:val="center"/>
        <w:outlineLvl w:val="0"/>
        <w:rPr>
          <w:rFonts w:hint="eastAsia" w:ascii="方正小标宋简体" w:hAnsi="方正小标宋简体" w:eastAsia="方正小标宋简体" w:cs="方正小标宋简体"/>
          <w:color w:val="auto"/>
          <w:sz w:val="84"/>
          <w:szCs w:val="84"/>
          <w:highlight w:val="none"/>
        </w:rPr>
      </w:pPr>
      <w:r>
        <w:rPr>
          <w:rFonts w:hint="eastAsia" w:ascii="方正小标宋简体" w:hAnsi="方正小标宋简体" w:eastAsia="方正小标宋简体" w:cs="方正小标宋简体"/>
          <w:color w:val="auto"/>
          <w:sz w:val="84"/>
          <w:szCs w:val="84"/>
          <w:highlight w:val="none"/>
        </w:rPr>
        <w:t>部门决算</w:t>
      </w:r>
      <w:bookmarkEnd w:id="8"/>
      <w:bookmarkEnd w:id="9"/>
      <w:bookmarkEnd w:id="10"/>
      <w:bookmarkEnd w:id="11"/>
      <w:bookmarkEnd w:id="12"/>
      <w:bookmarkEnd w:id="13"/>
      <w:bookmarkEnd w:id="14"/>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2"/>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rPr>
          <w:color w:val="auto"/>
          <w:sz w:val="24"/>
          <w:szCs w:val="24"/>
          <w:highlight w:val="none"/>
        </w:rPr>
      </w:pPr>
    </w:p>
    <w:sdt>
      <w:sdtPr>
        <w:rPr>
          <w:rFonts w:ascii="宋体" w:hAnsi="宋体" w:eastAsia="宋体" w:cs="Times New Roman"/>
          <w:kern w:val="2"/>
          <w:sz w:val="24"/>
          <w:szCs w:val="24"/>
          <w:lang w:val="en-US" w:eastAsia="zh-CN" w:bidi="ar-SA"/>
        </w:rPr>
        <w:id w:val="147468514"/>
        <w15:color w:val="DBDBDB"/>
        <w:docPartObj>
          <w:docPartGallery w:val="Table of Contents"/>
          <w:docPartUnique/>
        </w:docPartObj>
      </w:sdtPr>
      <w:sdtEndPr>
        <w:rPr>
          <w:rFonts w:ascii="宋体" w:hAnsi="宋体" w:eastAsia="宋体" w:cs="Times New Roman"/>
          <w:b/>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sz w:val="24"/>
              <w:szCs w:val="24"/>
            </w:rPr>
          </w:pPr>
        </w:p>
        <w:p>
          <w:pPr>
            <w:pStyle w:val="37"/>
            <w:tabs>
              <w:tab w:val="right" w:leader="dot" w:pos="8306"/>
            </w:tabs>
            <w:rPr>
              <w:b/>
              <w:sz w:val="24"/>
              <w:szCs w:val="24"/>
            </w:rPr>
          </w:pPr>
          <w:r>
            <w:rPr>
              <w:sz w:val="24"/>
              <w:szCs w:val="24"/>
            </w:rPr>
            <w:fldChar w:fldCharType="begin"/>
          </w:r>
          <w:r>
            <w:rPr>
              <w:sz w:val="24"/>
              <w:szCs w:val="24"/>
            </w:rPr>
            <w:instrText xml:space="preserve">TOC \o "1-2" \h \u </w:instrText>
          </w:r>
          <w:r>
            <w:rPr>
              <w:sz w:val="24"/>
              <w:szCs w:val="24"/>
            </w:rPr>
            <w:fldChar w:fldCharType="separate"/>
          </w:r>
          <w:r>
            <w:rPr>
              <w:b/>
              <w:sz w:val="24"/>
              <w:szCs w:val="24"/>
            </w:rPr>
            <w:fldChar w:fldCharType="begin"/>
          </w:r>
          <w:r>
            <w:rPr>
              <w:b/>
              <w:sz w:val="24"/>
              <w:szCs w:val="24"/>
            </w:rPr>
            <w:instrText xml:space="preserve"> HYPERLINK \l _Toc1556 </w:instrText>
          </w:r>
          <w:r>
            <w:rPr>
              <w:b/>
              <w:sz w:val="24"/>
              <w:szCs w:val="24"/>
            </w:rPr>
            <w:fldChar w:fldCharType="separate"/>
          </w:r>
          <w:r>
            <w:rPr>
              <w:b/>
              <w:sz w:val="24"/>
              <w:szCs w:val="24"/>
            </w:rPr>
            <w:fldChar w:fldCharType="end"/>
          </w:r>
          <w:r>
            <w:rPr>
              <w:b/>
              <w:sz w:val="24"/>
              <w:szCs w:val="24"/>
            </w:rPr>
            <w:fldChar w:fldCharType="begin"/>
          </w:r>
          <w:r>
            <w:rPr>
              <w:b/>
              <w:sz w:val="24"/>
              <w:szCs w:val="24"/>
            </w:rPr>
            <w:instrText xml:space="preserve"> HYPERLINK \l _Toc7984 </w:instrText>
          </w:r>
          <w:r>
            <w:rPr>
              <w:b/>
              <w:sz w:val="24"/>
              <w:szCs w:val="24"/>
            </w:rPr>
            <w:fldChar w:fldCharType="separate"/>
          </w:r>
          <w:r>
            <w:rPr>
              <w:rFonts w:hint="eastAsia" w:ascii="黑体" w:hAnsi="黑体" w:eastAsia="黑体"/>
              <w:b/>
              <w:sz w:val="24"/>
              <w:szCs w:val="24"/>
              <w:highlight w:val="none"/>
            </w:rPr>
            <w:t xml:space="preserve">第一部分 </w:t>
          </w:r>
          <w:r>
            <w:rPr>
              <w:rFonts w:hint="eastAsia" w:ascii="黑体" w:hAnsi="黑体" w:eastAsia="黑体"/>
              <w:b/>
              <w:bCs w:val="0"/>
              <w:sz w:val="24"/>
              <w:szCs w:val="24"/>
              <w:highlight w:val="none"/>
            </w:rPr>
            <w:t>部门概况</w:t>
          </w:r>
          <w:r>
            <w:rPr>
              <w:b/>
              <w:sz w:val="24"/>
              <w:szCs w:val="24"/>
            </w:rPr>
            <w:tab/>
          </w:r>
          <w:r>
            <w:rPr>
              <w:b/>
              <w:sz w:val="24"/>
              <w:szCs w:val="24"/>
            </w:rPr>
            <w:fldChar w:fldCharType="begin"/>
          </w:r>
          <w:r>
            <w:rPr>
              <w:b/>
              <w:sz w:val="24"/>
              <w:szCs w:val="24"/>
            </w:rPr>
            <w:instrText xml:space="preserve"> PAGEREF _Toc7984 \h </w:instrText>
          </w:r>
          <w:r>
            <w:rPr>
              <w:b/>
              <w:sz w:val="24"/>
              <w:szCs w:val="24"/>
            </w:rPr>
            <w:fldChar w:fldCharType="separate"/>
          </w:r>
          <w:r>
            <w:rPr>
              <w:b/>
              <w:sz w:val="24"/>
              <w:szCs w:val="24"/>
            </w:rPr>
            <w:t>4</w:t>
          </w:r>
          <w:r>
            <w:rPr>
              <w:b/>
              <w:sz w:val="24"/>
              <w:szCs w:val="24"/>
            </w:rPr>
            <w:fldChar w:fldCharType="end"/>
          </w:r>
          <w:r>
            <w:rPr>
              <w:b/>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_Toc25104 </w:instrText>
          </w:r>
          <w:r>
            <w:rPr>
              <w:sz w:val="24"/>
              <w:szCs w:val="24"/>
            </w:rPr>
            <w:fldChar w:fldCharType="separate"/>
          </w:r>
          <w:r>
            <w:rPr>
              <w:rFonts w:hint="eastAsia" w:ascii="黑体" w:hAnsi="黑体" w:eastAsia="黑体"/>
              <w:sz w:val="24"/>
              <w:szCs w:val="24"/>
              <w:lang w:eastAsia="zh-CN"/>
            </w:rPr>
            <w:t>一、</w:t>
          </w:r>
          <w:r>
            <w:rPr>
              <w:rFonts w:hint="eastAsia" w:ascii="黑体" w:hAnsi="黑体" w:eastAsia="黑体"/>
              <w:sz w:val="24"/>
              <w:szCs w:val="24"/>
              <w:highlight w:val="none"/>
              <w:lang w:eastAsia="zh-CN"/>
            </w:rPr>
            <w:t>部门职责</w:t>
          </w:r>
          <w:r>
            <w:rPr>
              <w:sz w:val="24"/>
              <w:szCs w:val="24"/>
            </w:rPr>
            <w:tab/>
          </w:r>
          <w:r>
            <w:rPr>
              <w:sz w:val="24"/>
              <w:szCs w:val="24"/>
            </w:rPr>
            <w:fldChar w:fldCharType="begin"/>
          </w:r>
          <w:r>
            <w:rPr>
              <w:sz w:val="24"/>
              <w:szCs w:val="24"/>
            </w:rPr>
            <w:instrText xml:space="preserve"> PAGEREF _Toc25104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_Toc7384 </w:instrText>
          </w:r>
          <w:r>
            <w:rPr>
              <w:sz w:val="24"/>
              <w:szCs w:val="24"/>
            </w:rPr>
            <w:fldChar w:fldCharType="separate"/>
          </w:r>
          <w:r>
            <w:rPr>
              <w:rFonts w:hint="eastAsia" w:ascii="黑体" w:eastAsia="黑体"/>
              <w:sz w:val="24"/>
              <w:szCs w:val="24"/>
              <w:highlight w:val="none"/>
            </w:rPr>
            <w:t>二、</w:t>
          </w:r>
          <w:r>
            <w:rPr>
              <w:rFonts w:hint="eastAsia" w:ascii="黑体" w:hAnsi="黑体" w:eastAsia="黑体"/>
              <w:sz w:val="24"/>
              <w:szCs w:val="24"/>
              <w:highlight w:val="none"/>
            </w:rPr>
            <w:t>机</w:t>
          </w:r>
          <w:r>
            <w:rPr>
              <w:rFonts w:hint="eastAsia" w:ascii="黑体" w:hAnsi="黑体" w:eastAsia="黑体"/>
              <w:bCs w:val="0"/>
              <w:sz w:val="24"/>
              <w:szCs w:val="24"/>
              <w:highlight w:val="none"/>
            </w:rPr>
            <w:t>构设置</w:t>
          </w:r>
          <w:r>
            <w:rPr>
              <w:sz w:val="24"/>
              <w:szCs w:val="24"/>
            </w:rPr>
            <w:tab/>
          </w:r>
          <w:r>
            <w:rPr>
              <w:sz w:val="24"/>
              <w:szCs w:val="24"/>
            </w:rPr>
            <w:fldChar w:fldCharType="begin"/>
          </w:r>
          <w:r>
            <w:rPr>
              <w:sz w:val="24"/>
              <w:szCs w:val="24"/>
            </w:rPr>
            <w:instrText xml:space="preserve"> PAGEREF _Toc7384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37"/>
            <w:tabs>
              <w:tab w:val="right" w:leader="dot" w:pos="8306"/>
            </w:tabs>
            <w:rPr>
              <w:b/>
              <w:sz w:val="24"/>
              <w:szCs w:val="24"/>
            </w:rPr>
          </w:pPr>
          <w:r>
            <w:rPr>
              <w:b/>
              <w:sz w:val="24"/>
              <w:szCs w:val="24"/>
            </w:rPr>
            <w:fldChar w:fldCharType="begin"/>
          </w:r>
          <w:r>
            <w:rPr>
              <w:b/>
              <w:sz w:val="24"/>
              <w:szCs w:val="24"/>
            </w:rPr>
            <w:instrText xml:space="preserve"> HYPERLINK \l _Toc16632 </w:instrText>
          </w:r>
          <w:r>
            <w:rPr>
              <w:b/>
              <w:sz w:val="24"/>
              <w:szCs w:val="24"/>
            </w:rPr>
            <w:fldChar w:fldCharType="separate"/>
          </w:r>
          <w:r>
            <w:rPr>
              <w:rFonts w:hint="eastAsia" w:ascii="黑体" w:hAnsi="黑体" w:eastAsia="黑体"/>
              <w:b/>
              <w:bCs/>
              <w:sz w:val="24"/>
              <w:szCs w:val="24"/>
              <w:highlight w:val="none"/>
            </w:rPr>
            <w:t xml:space="preserve">第二部分 </w:t>
          </w:r>
          <w:r>
            <w:rPr>
              <w:rFonts w:hint="eastAsia" w:ascii="黑体" w:hAnsi="黑体" w:eastAsia="黑体"/>
              <w:b/>
              <w:bCs/>
              <w:sz w:val="24"/>
              <w:szCs w:val="24"/>
              <w:highlight w:val="none"/>
              <w:lang w:val="en-US" w:eastAsia="zh-CN"/>
            </w:rPr>
            <w:t>2022年度</w:t>
          </w:r>
          <w:r>
            <w:rPr>
              <w:rFonts w:hint="eastAsia" w:ascii="黑体" w:hAnsi="黑体" w:eastAsia="黑体"/>
              <w:b/>
              <w:bCs/>
              <w:sz w:val="24"/>
              <w:szCs w:val="24"/>
              <w:highlight w:val="none"/>
            </w:rPr>
            <w:t>部门决算情况说明</w:t>
          </w:r>
          <w:r>
            <w:rPr>
              <w:b/>
              <w:sz w:val="24"/>
              <w:szCs w:val="24"/>
            </w:rPr>
            <w:tab/>
          </w:r>
          <w:r>
            <w:rPr>
              <w:b/>
              <w:sz w:val="24"/>
              <w:szCs w:val="24"/>
            </w:rPr>
            <w:fldChar w:fldCharType="begin"/>
          </w:r>
          <w:r>
            <w:rPr>
              <w:b/>
              <w:sz w:val="24"/>
              <w:szCs w:val="24"/>
            </w:rPr>
            <w:instrText xml:space="preserve"> PAGEREF _Toc16632 \h </w:instrText>
          </w:r>
          <w:r>
            <w:rPr>
              <w:b/>
              <w:sz w:val="24"/>
              <w:szCs w:val="24"/>
            </w:rPr>
            <w:fldChar w:fldCharType="separate"/>
          </w:r>
          <w:r>
            <w:rPr>
              <w:b/>
              <w:sz w:val="24"/>
              <w:szCs w:val="24"/>
            </w:rPr>
            <w:t>5</w:t>
          </w:r>
          <w:r>
            <w:rPr>
              <w:b/>
              <w:sz w:val="24"/>
              <w:szCs w:val="24"/>
            </w:rPr>
            <w:fldChar w:fldCharType="end"/>
          </w:r>
          <w:r>
            <w:rPr>
              <w:b/>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_Toc31518 </w:instrText>
          </w:r>
          <w:r>
            <w:rPr>
              <w:sz w:val="24"/>
              <w:szCs w:val="24"/>
            </w:rPr>
            <w:fldChar w:fldCharType="separate"/>
          </w:r>
          <w:r>
            <w:rPr>
              <w:rFonts w:hint="default" w:ascii="黑体" w:hAnsi="黑体" w:eastAsia="黑体"/>
              <w:sz w:val="24"/>
              <w:szCs w:val="24"/>
            </w:rPr>
            <w:t xml:space="preserve">一、 </w:t>
          </w:r>
          <w:r>
            <w:rPr>
              <w:rFonts w:hint="eastAsia" w:ascii="黑体" w:hAnsi="黑体" w:eastAsia="黑体"/>
              <w:sz w:val="24"/>
              <w:szCs w:val="24"/>
              <w:highlight w:val="none"/>
            </w:rPr>
            <w:t>收入支出决算总体情况说明</w:t>
          </w:r>
          <w:r>
            <w:rPr>
              <w:sz w:val="24"/>
              <w:szCs w:val="24"/>
            </w:rPr>
            <w:tab/>
          </w:r>
          <w:r>
            <w:rPr>
              <w:sz w:val="24"/>
              <w:szCs w:val="24"/>
            </w:rPr>
            <w:fldChar w:fldCharType="begin"/>
          </w:r>
          <w:r>
            <w:rPr>
              <w:sz w:val="24"/>
              <w:szCs w:val="24"/>
            </w:rPr>
            <w:instrText xml:space="preserve"> PAGEREF _Toc31518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_Toc11591 </w:instrText>
          </w:r>
          <w:r>
            <w:rPr>
              <w:sz w:val="24"/>
              <w:szCs w:val="24"/>
            </w:rPr>
            <w:fldChar w:fldCharType="separate"/>
          </w:r>
          <w:r>
            <w:rPr>
              <w:rFonts w:hint="default" w:ascii="黑体" w:hAnsi="黑体" w:eastAsia="黑体"/>
              <w:sz w:val="24"/>
              <w:szCs w:val="24"/>
            </w:rPr>
            <w:t xml:space="preserve">二、 </w:t>
          </w:r>
          <w:r>
            <w:rPr>
              <w:rFonts w:hint="eastAsia" w:ascii="黑体" w:hAnsi="黑体" w:eastAsia="黑体"/>
              <w:sz w:val="24"/>
              <w:szCs w:val="24"/>
              <w:highlight w:val="none"/>
            </w:rPr>
            <w:t>收入决算情况说明</w:t>
          </w:r>
          <w:r>
            <w:rPr>
              <w:sz w:val="24"/>
              <w:szCs w:val="24"/>
            </w:rPr>
            <w:tab/>
          </w:r>
          <w:r>
            <w:rPr>
              <w:sz w:val="24"/>
              <w:szCs w:val="24"/>
            </w:rPr>
            <w:fldChar w:fldCharType="begin"/>
          </w:r>
          <w:r>
            <w:rPr>
              <w:sz w:val="24"/>
              <w:szCs w:val="24"/>
            </w:rPr>
            <w:instrText xml:space="preserve"> PAGEREF _Toc11591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_Toc10179 </w:instrText>
          </w:r>
          <w:r>
            <w:rPr>
              <w:sz w:val="24"/>
              <w:szCs w:val="24"/>
            </w:rPr>
            <w:fldChar w:fldCharType="separate"/>
          </w:r>
          <w:r>
            <w:rPr>
              <w:rFonts w:hint="default" w:ascii="黑体" w:hAnsi="黑体" w:eastAsia="黑体"/>
              <w:sz w:val="24"/>
              <w:szCs w:val="24"/>
            </w:rPr>
            <w:t xml:space="preserve">三、 </w:t>
          </w:r>
          <w:r>
            <w:rPr>
              <w:rFonts w:hint="eastAsia" w:ascii="黑体" w:hAnsi="黑体" w:eastAsia="黑体"/>
              <w:sz w:val="24"/>
              <w:szCs w:val="24"/>
              <w:highlight w:val="none"/>
            </w:rPr>
            <w:t>支出决算情况说明</w:t>
          </w:r>
          <w:r>
            <w:rPr>
              <w:sz w:val="24"/>
              <w:szCs w:val="24"/>
            </w:rPr>
            <w:tab/>
          </w:r>
          <w:r>
            <w:rPr>
              <w:sz w:val="24"/>
              <w:szCs w:val="24"/>
            </w:rPr>
            <w:fldChar w:fldCharType="begin"/>
          </w:r>
          <w:r>
            <w:rPr>
              <w:sz w:val="24"/>
              <w:szCs w:val="24"/>
            </w:rPr>
            <w:instrText xml:space="preserve"> PAGEREF _Toc10179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_Toc2085 </w:instrText>
          </w:r>
          <w:r>
            <w:rPr>
              <w:sz w:val="24"/>
              <w:szCs w:val="24"/>
            </w:rPr>
            <w:fldChar w:fldCharType="separate"/>
          </w:r>
          <w:r>
            <w:rPr>
              <w:rFonts w:hint="eastAsia" w:ascii="黑体" w:hAnsi="黑体" w:eastAsia="黑体"/>
              <w:sz w:val="24"/>
              <w:szCs w:val="24"/>
              <w:highlight w:val="none"/>
            </w:rPr>
            <w:t>四、财政拨款收入支出决算总体情况说明</w:t>
          </w:r>
          <w:r>
            <w:rPr>
              <w:sz w:val="24"/>
              <w:szCs w:val="24"/>
            </w:rPr>
            <w:tab/>
          </w:r>
          <w:r>
            <w:rPr>
              <w:sz w:val="24"/>
              <w:szCs w:val="24"/>
            </w:rPr>
            <w:fldChar w:fldCharType="begin"/>
          </w:r>
          <w:r>
            <w:rPr>
              <w:sz w:val="24"/>
              <w:szCs w:val="24"/>
            </w:rPr>
            <w:instrText xml:space="preserve"> PAGEREF _Toc2085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_Toc152 </w:instrText>
          </w:r>
          <w:r>
            <w:rPr>
              <w:sz w:val="24"/>
              <w:szCs w:val="24"/>
            </w:rPr>
            <w:fldChar w:fldCharType="separate"/>
          </w:r>
          <w:r>
            <w:rPr>
              <w:rFonts w:hint="eastAsia" w:ascii="黑体" w:hAnsi="黑体" w:eastAsia="黑体"/>
              <w:sz w:val="24"/>
              <w:szCs w:val="24"/>
              <w:highlight w:val="none"/>
            </w:rPr>
            <w:t>五、一般公共预算财政拨款支出决算情况说明</w:t>
          </w:r>
          <w:r>
            <w:rPr>
              <w:sz w:val="24"/>
              <w:szCs w:val="24"/>
            </w:rPr>
            <w:tab/>
          </w:r>
          <w:r>
            <w:rPr>
              <w:sz w:val="24"/>
              <w:szCs w:val="24"/>
            </w:rPr>
            <w:fldChar w:fldCharType="begin"/>
          </w:r>
          <w:r>
            <w:rPr>
              <w:sz w:val="24"/>
              <w:szCs w:val="24"/>
            </w:rPr>
            <w:instrText xml:space="preserve"> PAGEREF _Toc152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_Toc23098 </w:instrText>
          </w:r>
          <w:r>
            <w:rPr>
              <w:sz w:val="24"/>
              <w:szCs w:val="24"/>
            </w:rPr>
            <w:fldChar w:fldCharType="separate"/>
          </w:r>
          <w:r>
            <w:rPr>
              <w:rFonts w:hint="eastAsia" w:ascii="黑体" w:eastAsia="黑体"/>
              <w:sz w:val="24"/>
              <w:szCs w:val="24"/>
              <w:highlight w:val="none"/>
            </w:rPr>
            <w:t>六、</w:t>
          </w:r>
          <w:r>
            <w:rPr>
              <w:rFonts w:hint="eastAsia" w:ascii="黑体" w:hAnsi="黑体" w:eastAsia="黑体"/>
              <w:sz w:val="24"/>
              <w:szCs w:val="24"/>
              <w:highlight w:val="none"/>
            </w:rPr>
            <w:t>一般公共预算财政拨款基本支出决算情况说明</w:t>
          </w:r>
          <w:r>
            <w:rPr>
              <w:sz w:val="24"/>
              <w:szCs w:val="24"/>
            </w:rPr>
            <w:tab/>
          </w:r>
          <w:r>
            <w:rPr>
              <w:sz w:val="24"/>
              <w:szCs w:val="24"/>
            </w:rPr>
            <w:fldChar w:fldCharType="begin"/>
          </w:r>
          <w:r>
            <w:rPr>
              <w:sz w:val="24"/>
              <w:szCs w:val="24"/>
            </w:rPr>
            <w:instrText xml:space="preserve"> PAGEREF _Toc23098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_Toc3671 </w:instrText>
          </w:r>
          <w:r>
            <w:rPr>
              <w:sz w:val="24"/>
              <w:szCs w:val="24"/>
            </w:rPr>
            <w:fldChar w:fldCharType="separate"/>
          </w:r>
          <w:r>
            <w:rPr>
              <w:rFonts w:hint="eastAsia" w:ascii="黑体" w:eastAsia="黑体"/>
              <w:sz w:val="24"/>
              <w:szCs w:val="24"/>
              <w:highlight w:val="none"/>
            </w:rPr>
            <w:t>七、</w:t>
          </w:r>
          <w:r>
            <w:rPr>
              <w:rFonts w:hint="eastAsia" w:ascii="黑体" w:hAnsi="黑体" w:eastAsia="黑体"/>
              <w:sz w:val="24"/>
              <w:szCs w:val="24"/>
              <w:highlight w:val="none"/>
            </w:rPr>
            <w:t>财政拨款“三公”经费支出决算情况说明</w:t>
          </w:r>
          <w:r>
            <w:rPr>
              <w:sz w:val="24"/>
              <w:szCs w:val="24"/>
            </w:rPr>
            <w:tab/>
          </w:r>
          <w:r>
            <w:rPr>
              <w:sz w:val="24"/>
              <w:szCs w:val="24"/>
            </w:rPr>
            <w:fldChar w:fldCharType="begin"/>
          </w:r>
          <w:r>
            <w:rPr>
              <w:sz w:val="24"/>
              <w:szCs w:val="24"/>
            </w:rPr>
            <w:instrText xml:space="preserve"> PAGEREF _Toc3671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_Toc20775 </w:instrText>
          </w:r>
          <w:r>
            <w:rPr>
              <w:sz w:val="24"/>
              <w:szCs w:val="24"/>
            </w:rPr>
            <w:fldChar w:fldCharType="separate"/>
          </w:r>
          <w:r>
            <w:rPr>
              <w:rFonts w:hint="eastAsia" w:ascii="黑体" w:eastAsia="黑体"/>
              <w:sz w:val="24"/>
              <w:szCs w:val="24"/>
              <w:highlight w:val="none"/>
            </w:rPr>
            <w:t>八、</w:t>
          </w:r>
          <w:r>
            <w:rPr>
              <w:rFonts w:hint="eastAsia" w:ascii="黑体" w:hAnsi="黑体" w:eastAsia="黑体"/>
              <w:sz w:val="24"/>
              <w:szCs w:val="24"/>
              <w:highlight w:val="none"/>
            </w:rPr>
            <w:t>政府性基金预算支出决算情况说明</w:t>
          </w:r>
          <w:r>
            <w:rPr>
              <w:sz w:val="24"/>
              <w:szCs w:val="24"/>
            </w:rPr>
            <w:tab/>
          </w:r>
          <w:r>
            <w:rPr>
              <w:sz w:val="24"/>
              <w:szCs w:val="24"/>
            </w:rPr>
            <w:fldChar w:fldCharType="begin"/>
          </w:r>
          <w:r>
            <w:rPr>
              <w:sz w:val="24"/>
              <w:szCs w:val="24"/>
            </w:rPr>
            <w:instrText xml:space="preserve"> PAGEREF _Toc20775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_Toc17583 </w:instrText>
          </w:r>
          <w:r>
            <w:rPr>
              <w:sz w:val="24"/>
              <w:szCs w:val="24"/>
            </w:rPr>
            <w:fldChar w:fldCharType="separate"/>
          </w:r>
          <w:r>
            <w:rPr>
              <w:rFonts w:hint="eastAsia" w:ascii="黑体" w:hAnsi="黑体" w:eastAsia="黑体"/>
              <w:sz w:val="24"/>
              <w:szCs w:val="24"/>
            </w:rPr>
            <w:t xml:space="preserve">九、 </w:t>
          </w:r>
          <w:r>
            <w:rPr>
              <w:rFonts w:hint="eastAsia" w:ascii="黑体" w:hAnsi="黑体" w:eastAsia="黑体"/>
              <w:sz w:val="24"/>
              <w:szCs w:val="24"/>
              <w:highlight w:val="none"/>
            </w:rPr>
            <w:t>国有资本经营预算支出决算情况说明</w:t>
          </w:r>
          <w:r>
            <w:rPr>
              <w:sz w:val="24"/>
              <w:szCs w:val="24"/>
            </w:rPr>
            <w:tab/>
          </w:r>
          <w:r>
            <w:rPr>
              <w:sz w:val="24"/>
              <w:szCs w:val="24"/>
            </w:rPr>
            <w:fldChar w:fldCharType="begin"/>
          </w:r>
          <w:r>
            <w:rPr>
              <w:sz w:val="24"/>
              <w:szCs w:val="24"/>
            </w:rPr>
            <w:instrText xml:space="preserve"> PAGEREF _Toc17583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_Toc27100 </w:instrText>
          </w:r>
          <w:r>
            <w:rPr>
              <w:sz w:val="24"/>
              <w:szCs w:val="24"/>
            </w:rPr>
            <w:fldChar w:fldCharType="separate"/>
          </w:r>
          <w:r>
            <w:rPr>
              <w:rFonts w:hint="eastAsia" w:ascii="黑体" w:hAnsi="黑体" w:eastAsia="黑体"/>
              <w:sz w:val="24"/>
              <w:szCs w:val="24"/>
            </w:rPr>
            <w:t xml:space="preserve">十、 </w:t>
          </w:r>
          <w:r>
            <w:rPr>
              <w:rFonts w:hint="eastAsia" w:ascii="黑体" w:hAnsi="黑体" w:eastAsia="黑体"/>
              <w:sz w:val="24"/>
              <w:szCs w:val="24"/>
              <w:highlight w:val="none"/>
            </w:rPr>
            <w:t>其他重要事项的情况说明</w:t>
          </w:r>
          <w:r>
            <w:rPr>
              <w:sz w:val="24"/>
              <w:szCs w:val="24"/>
            </w:rPr>
            <w:tab/>
          </w:r>
          <w:r>
            <w:rPr>
              <w:sz w:val="24"/>
              <w:szCs w:val="24"/>
            </w:rPr>
            <w:fldChar w:fldCharType="begin"/>
          </w:r>
          <w:r>
            <w:rPr>
              <w:sz w:val="24"/>
              <w:szCs w:val="24"/>
            </w:rPr>
            <w:instrText xml:space="preserve"> PAGEREF _Toc27100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37"/>
            <w:tabs>
              <w:tab w:val="right" w:leader="dot" w:pos="8306"/>
            </w:tabs>
            <w:rPr>
              <w:b/>
              <w:sz w:val="24"/>
              <w:szCs w:val="24"/>
            </w:rPr>
          </w:pPr>
          <w:r>
            <w:rPr>
              <w:b/>
              <w:sz w:val="24"/>
              <w:szCs w:val="24"/>
            </w:rPr>
            <w:fldChar w:fldCharType="begin"/>
          </w:r>
          <w:r>
            <w:rPr>
              <w:b/>
              <w:sz w:val="24"/>
              <w:szCs w:val="24"/>
            </w:rPr>
            <w:instrText xml:space="preserve"> HYPERLINK \l _Toc8183 </w:instrText>
          </w:r>
          <w:r>
            <w:rPr>
              <w:b/>
              <w:sz w:val="24"/>
              <w:szCs w:val="24"/>
            </w:rPr>
            <w:fldChar w:fldCharType="separate"/>
          </w:r>
          <w:r>
            <w:rPr>
              <w:rFonts w:hint="eastAsia" w:ascii="黑体" w:hAnsi="黑体" w:eastAsia="黑体"/>
              <w:b/>
              <w:sz w:val="24"/>
              <w:szCs w:val="24"/>
            </w:rPr>
            <w:t xml:space="preserve">第三部分 </w:t>
          </w:r>
          <w:r>
            <w:rPr>
              <w:rFonts w:hint="eastAsia" w:ascii="黑体" w:hAnsi="黑体" w:eastAsia="黑体"/>
              <w:b/>
              <w:sz w:val="24"/>
              <w:szCs w:val="24"/>
              <w:highlight w:val="none"/>
            </w:rPr>
            <w:t>名词解释</w:t>
          </w:r>
          <w:r>
            <w:rPr>
              <w:b/>
              <w:sz w:val="24"/>
              <w:szCs w:val="24"/>
            </w:rPr>
            <w:tab/>
          </w:r>
          <w:r>
            <w:rPr>
              <w:b/>
              <w:sz w:val="24"/>
              <w:szCs w:val="24"/>
            </w:rPr>
            <w:fldChar w:fldCharType="begin"/>
          </w:r>
          <w:r>
            <w:rPr>
              <w:b/>
              <w:sz w:val="24"/>
              <w:szCs w:val="24"/>
            </w:rPr>
            <w:instrText xml:space="preserve"> PAGEREF _Toc8183 \h </w:instrText>
          </w:r>
          <w:r>
            <w:rPr>
              <w:b/>
              <w:sz w:val="24"/>
              <w:szCs w:val="24"/>
            </w:rPr>
            <w:fldChar w:fldCharType="separate"/>
          </w:r>
          <w:r>
            <w:rPr>
              <w:b/>
              <w:sz w:val="24"/>
              <w:szCs w:val="24"/>
            </w:rPr>
            <w:t>14</w:t>
          </w:r>
          <w:r>
            <w:rPr>
              <w:b/>
              <w:sz w:val="24"/>
              <w:szCs w:val="24"/>
            </w:rPr>
            <w:fldChar w:fldCharType="end"/>
          </w:r>
          <w:r>
            <w:rPr>
              <w:b/>
              <w:sz w:val="24"/>
              <w:szCs w:val="24"/>
            </w:rPr>
            <w:fldChar w:fldCharType="end"/>
          </w:r>
        </w:p>
        <w:p>
          <w:pPr>
            <w:pStyle w:val="37"/>
            <w:tabs>
              <w:tab w:val="right" w:leader="dot" w:pos="8306"/>
            </w:tabs>
            <w:rPr>
              <w:b/>
              <w:sz w:val="24"/>
              <w:szCs w:val="24"/>
            </w:rPr>
          </w:pPr>
          <w:r>
            <w:rPr>
              <w:b/>
              <w:sz w:val="24"/>
              <w:szCs w:val="24"/>
            </w:rPr>
            <w:fldChar w:fldCharType="begin"/>
          </w:r>
          <w:r>
            <w:rPr>
              <w:b/>
              <w:sz w:val="24"/>
              <w:szCs w:val="24"/>
            </w:rPr>
            <w:instrText xml:space="preserve"> HYPERLINK \l _Toc24046 </w:instrText>
          </w:r>
          <w:r>
            <w:rPr>
              <w:b/>
              <w:sz w:val="24"/>
              <w:szCs w:val="24"/>
            </w:rPr>
            <w:fldChar w:fldCharType="separate"/>
          </w:r>
          <w:r>
            <w:rPr>
              <w:rFonts w:hint="eastAsia" w:ascii="黑体" w:hAnsi="黑体" w:eastAsia="黑体"/>
              <w:b/>
              <w:sz w:val="24"/>
              <w:szCs w:val="24"/>
              <w:highlight w:val="none"/>
            </w:rPr>
            <w:t>第四部分 附件</w:t>
          </w:r>
          <w:r>
            <w:rPr>
              <w:b/>
              <w:sz w:val="24"/>
              <w:szCs w:val="24"/>
            </w:rPr>
            <w:tab/>
          </w:r>
          <w:r>
            <w:rPr>
              <w:b/>
              <w:sz w:val="24"/>
              <w:szCs w:val="24"/>
            </w:rPr>
            <w:fldChar w:fldCharType="begin"/>
          </w:r>
          <w:r>
            <w:rPr>
              <w:b/>
              <w:sz w:val="24"/>
              <w:szCs w:val="24"/>
            </w:rPr>
            <w:instrText xml:space="preserve"> PAGEREF _Toc24046 \h </w:instrText>
          </w:r>
          <w:r>
            <w:rPr>
              <w:b/>
              <w:sz w:val="24"/>
              <w:szCs w:val="24"/>
            </w:rPr>
            <w:fldChar w:fldCharType="separate"/>
          </w:r>
          <w:r>
            <w:rPr>
              <w:b/>
              <w:sz w:val="24"/>
              <w:szCs w:val="24"/>
            </w:rPr>
            <w:t>17</w:t>
          </w:r>
          <w:r>
            <w:rPr>
              <w:b/>
              <w:sz w:val="24"/>
              <w:szCs w:val="24"/>
            </w:rPr>
            <w:fldChar w:fldCharType="end"/>
          </w:r>
          <w:r>
            <w:rPr>
              <w:b/>
              <w:sz w:val="24"/>
              <w:szCs w:val="24"/>
            </w:rPr>
            <w:fldChar w:fldCharType="end"/>
          </w:r>
        </w:p>
        <w:p>
          <w:pPr>
            <w:pStyle w:val="37"/>
            <w:tabs>
              <w:tab w:val="right" w:leader="dot" w:pos="8306"/>
            </w:tabs>
            <w:rPr>
              <w:b/>
              <w:sz w:val="24"/>
              <w:szCs w:val="24"/>
            </w:rPr>
          </w:pPr>
          <w:r>
            <w:rPr>
              <w:b/>
              <w:sz w:val="24"/>
              <w:szCs w:val="24"/>
            </w:rPr>
            <w:fldChar w:fldCharType="begin"/>
          </w:r>
          <w:r>
            <w:rPr>
              <w:b/>
              <w:sz w:val="24"/>
              <w:szCs w:val="24"/>
            </w:rPr>
            <w:instrText xml:space="preserve"> HYPERLINK \l _Toc29235 </w:instrText>
          </w:r>
          <w:r>
            <w:rPr>
              <w:b/>
              <w:sz w:val="24"/>
              <w:szCs w:val="24"/>
            </w:rPr>
            <w:fldChar w:fldCharType="separate"/>
          </w:r>
          <w:r>
            <w:rPr>
              <w:rFonts w:hint="eastAsia" w:ascii="黑体" w:hAnsi="黑体" w:eastAsia="黑体"/>
              <w:b/>
              <w:sz w:val="24"/>
              <w:szCs w:val="24"/>
              <w:highlight w:val="none"/>
            </w:rPr>
            <w:t>第五部分 附表</w:t>
          </w:r>
          <w:r>
            <w:rPr>
              <w:b/>
              <w:sz w:val="24"/>
              <w:szCs w:val="24"/>
            </w:rPr>
            <w:tab/>
          </w:r>
          <w:r>
            <w:rPr>
              <w:b/>
              <w:sz w:val="24"/>
              <w:szCs w:val="24"/>
            </w:rPr>
            <w:fldChar w:fldCharType="begin"/>
          </w:r>
          <w:r>
            <w:rPr>
              <w:b/>
              <w:sz w:val="24"/>
              <w:szCs w:val="24"/>
            </w:rPr>
            <w:instrText xml:space="preserve"> PAGEREF _Toc29235 \h </w:instrText>
          </w:r>
          <w:r>
            <w:rPr>
              <w:b/>
              <w:sz w:val="24"/>
              <w:szCs w:val="24"/>
            </w:rPr>
            <w:fldChar w:fldCharType="separate"/>
          </w:r>
          <w:r>
            <w:rPr>
              <w:b/>
              <w:sz w:val="24"/>
              <w:szCs w:val="24"/>
            </w:rPr>
            <w:t>31</w:t>
          </w:r>
          <w:r>
            <w:rPr>
              <w:b/>
              <w:sz w:val="24"/>
              <w:szCs w:val="24"/>
            </w:rPr>
            <w:fldChar w:fldCharType="end"/>
          </w:r>
          <w:r>
            <w:rPr>
              <w:b/>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_Toc19090 </w:instrText>
          </w:r>
          <w:r>
            <w:rPr>
              <w:sz w:val="24"/>
              <w:szCs w:val="24"/>
            </w:rPr>
            <w:fldChar w:fldCharType="separate"/>
          </w:r>
          <w:r>
            <w:rPr>
              <w:rFonts w:hint="eastAsia" w:ascii="仿宋" w:hAnsi="仿宋" w:eastAsia="仿宋"/>
              <w:sz w:val="24"/>
              <w:szCs w:val="24"/>
              <w:highlight w:val="none"/>
            </w:rPr>
            <w:t>一、收</w:t>
          </w:r>
          <w:r>
            <w:rPr>
              <w:rFonts w:hint="eastAsia" w:ascii="仿宋" w:hAnsi="仿宋" w:eastAsia="仿宋"/>
              <w:bCs w:val="0"/>
              <w:sz w:val="24"/>
              <w:szCs w:val="24"/>
              <w:highlight w:val="none"/>
            </w:rPr>
            <w:t>入支出决算总表</w:t>
          </w:r>
          <w:r>
            <w:rPr>
              <w:sz w:val="24"/>
              <w:szCs w:val="24"/>
            </w:rPr>
            <w:tab/>
          </w:r>
          <w:r>
            <w:rPr>
              <w:sz w:val="24"/>
              <w:szCs w:val="24"/>
            </w:rPr>
            <w:fldChar w:fldCharType="begin"/>
          </w:r>
          <w:r>
            <w:rPr>
              <w:sz w:val="24"/>
              <w:szCs w:val="24"/>
            </w:rPr>
            <w:instrText xml:space="preserve"> PAGEREF _Toc19090 \h </w:instrText>
          </w:r>
          <w:r>
            <w:rPr>
              <w:sz w:val="24"/>
              <w:szCs w:val="24"/>
            </w:rPr>
            <w:fldChar w:fldCharType="separate"/>
          </w:r>
          <w:r>
            <w:rPr>
              <w:sz w:val="24"/>
              <w:szCs w:val="24"/>
            </w:rPr>
            <w:t>32</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_Toc18933 </w:instrText>
          </w:r>
          <w:r>
            <w:rPr>
              <w:sz w:val="24"/>
              <w:szCs w:val="24"/>
            </w:rPr>
            <w:fldChar w:fldCharType="separate"/>
          </w:r>
          <w:r>
            <w:rPr>
              <w:rFonts w:hint="eastAsia" w:ascii="仿宋" w:hAnsi="仿宋" w:eastAsia="仿宋"/>
              <w:sz w:val="24"/>
              <w:szCs w:val="24"/>
              <w:highlight w:val="none"/>
            </w:rPr>
            <w:t>二、收</w:t>
          </w:r>
          <w:r>
            <w:rPr>
              <w:rFonts w:hint="eastAsia" w:ascii="仿宋" w:hAnsi="仿宋" w:eastAsia="仿宋"/>
              <w:bCs w:val="0"/>
              <w:sz w:val="24"/>
              <w:szCs w:val="24"/>
              <w:highlight w:val="none"/>
            </w:rPr>
            <w:t>入决算表</w:t>
          </w:r>
          <w:r>
            <w:rPr>
              <w:sz w:val="24"/>
              <w:szCs w:val="24"/>
            </w:rPr>
            <w:tab/>
          </w:r>
          <w:r>
            <w:rPr>
              <w:sz w:val="24"/>
              <w:szCs w:val="24"/>
            </w:rPr>
            <w:fldChar w:fldCharType="begin"/>
          </w:r>
          <w:r>
            <w:rPr>
              <w:sz w:val="24"/>
              <w:szCs w:val="24"/>
            </w:rPr>
            <w:instrText xml:space="preserve"> PAGEREF _Toc18933 \h </w:instrText>
          </w:r>
          <w:r>
            <w:rPr>
              <w:sz w:val="24"/>
              <w:szCs w:val="24"/>
            </w:rPr>
            <w:fldChar w:fldCharType="separate"/>
          </w:r>
          <w:r>
            <w:rPr>
              <w:sz w:val="24"/>
              <w:szCs w:val="24"/>
            </w:rPr>
            <w:t>32</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_Toc25592 </w:instrText>
          </w:r>
          <w:r>
            <w:rPr>
              <w:sz w:val="24"/>
              <w:szCs w:val="24"/>
            </w:rPr>
            <w:fldChar w:fldCharType="separate"/>
          </w:r>
          <w:r>
            <w:rPr>
              <w:rFonts w:hint="eastAsia" w:ascii="仿宋" w:hAnsi="仿宋" w:eastAsia="仿宋"/>
              <w:bCs w:val="0"/>
              <w:sz w:val="24"/>
              <w:szCs w:val="24"/>
              <w:highlight w:val="none"/>
            </w:rPr>
            <w:t>三、</w:t>
          </w:r>
          <w:r>
            <w:rPr>
              <w:rFonts w:hint="eastAsia" w:ascii="仿宋" w:hAnsi="仿宋" w:eastAsia="仿宋"/>
              <w:sz w:val="24"/>
              <w:szCs w:val="24"/>
              <w:highlight w:val="none"/>
            </w:rPr>
            <w:t>支</w:t>
          </w:r>
          <w:r>
            <w:rPr>
              <w:rFonts w:hint="eastAsia" w:ascii="仿宋" w:hAnsi="仿宋" w:eastAsia="仿宋"/>
              <w:bCs w:val="0"/>
              <w:sz w:val="24"/>
              <w:szCs w:val="24"/>
              <w:highlight w:val="none"/>
            </w:rPr>
            <w:t>出决算表</w:t>
          </w:r>
          <w:r>
            <w:rPr>
              <w:sz w:val="24"/>
              <w:szCs w:val="24"/>
            </w:rPr>
            <w:tab/>
          </w:r>
          <w:r>
            <w:rPr>
              <w:sz w:val="24"/>
              <w:szCs w:val="24"/>
            </w:rPr>
            <w:fldChar w:fldCharType="begin"/>
          </w:r>
          <w:r>
            <w:rPr>
              <w:sz w:val="24"/>
              <w:szCs w:val="24"/>
            </w:rPr>
            <w:instrText xml:space="preserve"> PAGEREF _Toc25592 \h </w:instrText>
          </w:r>
          <w:r>
            <w:rPr>
              <w:sz w:val="24"/>
              <w:szCs w:val="24"/>
            </w:rPr>
            <w:fldChar w:fldCharType="separate"/>
          </w:r>
          <w:r>
            <w:rPr>
              <w:sz w:val="24"/>
              <w:szCs w:val="24"/>
            </w:rPr>
            <w:t>32</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_Toc30807 </w:instrText>
          </w:r>
          <w:r>
            <w:rPr>
              <w:sz w:val="24"/>
              <w:szCs w:val="24"/>
            </w:rPr>
            <w:fldChar w:fldCharType="separate"/>
          </w:r>
          <w:r>
            <w:rPr>
              <w:rFonts w:hint="eastAsia" w:ascii="仿宋" w:hAnsi="仿宋" w:eastAsia="仿宋"/>
              <w:bCs w:val="0"/>
              <w:sz w:val="24"/>
              <w:szCs w:val="24"/>
              <w:highlight w:val="none"/>
            </w:rPr>
            <w:t>四、</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政拨款收入支出决算总表</w:t>
          </w:r>
          <w:r>
            <w:rPr>
              <w:sz w:val="24"/>
              <w:szCs w:val="24"/>
            </w:rPr>
            <w:tab/>
          </w:r>
          <w:r>
            <w:rPr>
              <w:sz w:val="24"/>
              <w:szCs w:val="24"/>
            </w:rPr>
            <w:fldChar w:fldCharType="begin"/>
          </w:r>
          <w:r>
            <w:rPr>
              <w:sz w:val="24"/>
              <w:szCs w:val="24"/>
            </w:rPr>
            <w:instrText xml:space="preserve"> PAGEREF _Toc30807 \h </w:instrText>
          </w:r>
          <w:r>
            <w:rPr>
              <w:sz w:val="24"/>
              <w:szCs w:val="24"/>
            </w:rPr>
            <w:fldChar w:fldCharType="separate"/>
          </w:r>
          <w:r>
            <w:rPr>
              <w:sz w:val="24"/>
              <w:szCs w:val="24"/>
            </w:rPr>
            <w:t>32</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_Toc21304 </w:instrText>
          </w:r>
          <w:r>
            <w:rPr>
              <w:sz w:val="24"/>
              <w:szCs w:val="24"/>
            </w:rPr>
            <w:fldChar w:fldCharType="separate"/>
          </w:r>
          <w:r>
            <w:rPr>
              <w:rFonts w:hint="eastAsia" w:ascii="仿宋" w:hAnsi="仿宋" w:eastAsia="仿宋"/>
              <w:bCs w:val="0"/>
              <w:sz w:val="24"/>
              <w:szCs w:val="24"/>
              <w:highlight w:val="none"/>
            </w:rPr>
            <w:t>五、</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政拨款支出决算明细表</w:t>
          </w:r>
          <w:r>
            <w:rPr>
              <w:sz w:val="24"/>
              <w:szCs w:val="24"/>
            </w:rPr>
            <w:tab/>
          </w:r>
          <w:r>
            <w:rPr>
              <w:sz w:val="24"/>
              <w:szCs w:val="24"/>
            </w:rPr>
            <w:fldChar w:fldCharType="begin"/>
          </w:r>
          <w:r>
            <w:rPr>
              <w:sz w:val="24"/>
              <w:szCs w:val="24"/>
            </w:rPr>
            <w:instrText xml:space="preserve"> PAGEREF _Toc21304 \h </w:instrText>
          </w:r>
          <w:r>
            <w:rPr>
              <w:sz w:val="24"/>
              <w:szCs w:val="24"/>
            </w:rPr>
            <w:fldChar w:fldCharType="separate"/>
          </w:r>
          <w:r>
            <w:rPr>
              <w:sz w:val="24"/>
              <w:szCs w:val="24"/>
            </w:rPr>
            <w:t>32</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_Toc32010 </w:instrText>
          </w:r>
          <w:r>
            <w:rPr>
              <w:sz w:val="24"/>
              <w:szCs w:val="24"/>
            </w:rPr>
            <w:fldChar w:fldCharType="separate"/>
          </w:r>
          <w:r>
            <w:rPr>
              <w:rFonts w:hint="eastAsia" w:ascii="仿宋" w:hAnsi="仿宋" w:eastAsia="仿宋"/>
              <w:bCs w:val="0"/>
              <w:sz w:val="24"/>
              <w:szCs w:val="24"/>
              <w:highlight w:val="none"/>
            </w:rPr>
            <w:t>六、</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般公共预算财政拨款支出决算表</w:t>
          </w:r>
          <w:r>
            <w:rPr>
              <w:sz w:val="24"/>
              <w:szCs w:val="24"/>
            </w:rPr>
            <w:tab/>
          </w:r>
          <w:r>
            <w:rPr>
              <w:sz w:val="24"/>
              <w:szCs w:val="24"/>
            </w:rPr>
            <w:fldChar w:fldCharType="begin"/>
          </w:r>
          <w:r>
            <w:rPr>
              <w:sz w:val="24"/>
              <w:szCs w:val="24"/>
            </w:rPr>
            <w:instrText xml:space="preserve"> PAGEREF _Toc32010 \h </w:instrText>
          </w:r>
          <w:r>
            <w:rPr>
              <w:sz w:val="24"/>
              <w:szCs w:val="24"/>
            </w:rPr>
            <w:fldChar w:fldCharType="separate"/>
          </w:r>
          <w:r>
            <w:rPr>
              <w:sz w:val="24"/>
              <w:szCs w:val="24"/>
            </w:rPr>
            <w:t>32</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_Toc2273 </w:instrText>
          </w:r>
          <w:r>
            <w:rPr>
              <w:sz w:val="24"/>
              <w:szCs w:val="24"/>
            </w:rPr>
            <w:fldChar w:fldCharType="separate"/>
          </w:r>
          <w:r>
            <w:rPr>
              <w:rFonts w:hint="eastAsia" w:ascii="仿宋" w:hAnsi="仿宋" w:eastAsia="仿宋"/>
              <w:bCs w:val="0"/>
              <w:sz w:val="24"/>
              <w:szCs w:val="24"/>
              <w:highlight w:val="none"/>
            </w:rPr>
            <w:t>七、</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般公共预算财政拨款支出决算明细表</w:t>
          </w:r>
          <w:r>
            <w:rPr>
              <w:sz w:val="24"/>
              <w:szCs w:val="24"/>
            </w:rPr>
            <w:tab/>
          </w:r>
          <w:r>
            <w:rPr>
              <w:sz w:val="24"/>
              <w:szCs w:val="24"/>
            </w:rPr>
            <w:fldChar w:fldCharType="begin"/>
          </w:r>
          <w:r>
            <w:rPr>
              <w:sz w:val="24"/>
              <w:szCs w:val="24"/>
            </w:rPr>
            <w:instrText xml:space="preserve"> PAGEREF _Toc2273 \h </w:instrText>
          </w:r>
          <w:r>
            <w:rPr>
              <w:sz w:val="24"/>
              <w:szCs w:val="24"/>
            </w:rPr>
            <w:fldChar w:fldCharType="separate"/>
          </w:r>
          <w:r>
            <w:rPr>
              <w:sz w:val="24"/>
              <w:szCs w:val="24"/>
            </w:rPr>
            <w:t>32</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_Toc24423 </w:instrText>
          </w:r>
          <w:r>
            <w:rPr>
              <w:sz w:val="24"/>
              <w:szCs w:val="24"/>
            </w:rPr>
            <w:fldChar w:fldCharType="separate"/>
          </w:r>
          <w:r>
            <w:rPr>
              <w:rFonts w:hint="eastAsia" w:ascii="仿宋" w:hAnsi="仿宋" w:eastAsia="仿宋"/>
              <w:bCs w:val="0"/>
              <w:sz w:val="24"/>
              <w:szCs w:val="24"/>
              <w:highlight w:val="none"/>
            </w:rPr>
            <w:t>八、</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般公共预算财政拨款基本支出决算表</w:t>
          </w:r>
          <w:r>
            <w:rPr>
              <w:sz w:val="24"/>
              <w:szCs w:val="24"/>
            </w:rPr>
            <w:tab/>
          </w:r>
          <w:r>
            <w:rPr>
              <w:sz w:val="24"/>
              <w:szCs w:val="24"/>
            </w:rPr>
            <w:fldChar w:fldCharType="begin"/>
          </w:r>
          <w:r>
            <w:rPr>
              <w:sz w:val="24"/>
              <w:szCs w:val="24"/>
            </w:rPr>
            <w:instrText xml:space="preserve"> PAGEREF _Toc24423 \h </w:instrText>
          </w:r>
          <w:r>
            <w:rPr>
              <w:sz w:val="24"/>
              <w:szCs w:val="24"/>
            </w:rPr>
            <w:fldChar w:fldCharType="separate"/>
          </w:r>
          <w:r>
            <w:rPr>
              <w:sz w:val="24"/>
              <w:szCs w:val="24"/>
            </w:rPr>
            <w:t>32</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_Toc27623 </w:instrText>
          </w:r>
          <w:r>
            <w:rPr>
              <w:sz w:val="24"/>
              <w:szCs w:val="24"/>
            </w:rPr>
            <w:fldChar w:fldCharType="separate"/>
          </w:r>
          <w:r>
            <w:rPr>
              <w:rFonts w:hint="eastAsia" w:ascii="仿宋" w:hAnsi="仿宋" w:eastAsia="仿宋"/>
              <w:bCs w:val="0"/>
              <w:sz w:val="24"/>
              <w:szCs w:val="24"/>
              <w:highlight w:val="none"/>
            </w:rPr>
            <w:t>九、</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般公共预算财政拨款项目支出决算表</w:t>
          </w:r>
          <w:r>
            <w:rPr>
              <w:sz w:val="24"/>
              <w:szCs w:val="24"/>
            </w:rPr>
            <w:tab/>
          </w:r>
          <w:r>
            <w:rPr>
              <w:sz w:val="24"/>
              <w:szCs w:val="24"/>
            </w:rPr>
            <w:fldChar w:fldCharType="begin"/>
          </w:r>
          <w:r>
            <w:rPr>
              <w:sz w:val="24"/>
              <w:szCs w:val="24"/>
            </w:rPr>
            <w:instrText xml:space="preserve"> PAGEREF _Toc27623 \h </w:instrText>
          </w:r>
          <w:r>
            <w:rPr>
              <w:sz w:val="24"/>
              <w:szCs w:val="24"/>
            </w:rPr>
            <w:fldChar w:fldCharType="separate"/>
          </w:r>
          <w:r>
            <w:rPr>
              <w:sz w:val="24"/>
              <w:szCs w:val="24"/>
            </w:rPr>
            <w:t>32</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_Toc23456 </w:instrText>
          </w:r>
          <w:r>
            <w:rPr>
              <w:sz w:val="24"/>
              <w:szCs w:val="24"/>
            </w:rPr>
            <w:fldChar w:fldCharType="separate"/>
          </w:r>
          <w:r>
            <w:rPr>
              <w:rFonts w:hint="eastAsia" w:ascii="仿宋" w:hAnsi="仿宋" w:eastAsia="仿宋"/>
              <w:bCs w:val="0"/>
              <w:sz w:val="24"/>
              <w:szCs w:val="24"/>
              <w:highlight w:val="none"/>
            </w:rPr>
            <w:t>十、</w:t>
          </w:r>
          <w:r>
            <w:rPr>
              <w:rFonts w:hint="eastAsia" w:ascii="仿宋" w:hAnsi="仿宋" w:eastAsia="仿宋"/>
              <w:sz w:val="24"/>
              <w:szCs w:val="24"/>
              <w:highlight w:val="none"/>
            </w:rPr>
            <w:t>政</w:t>
          </w:r>
          <w:r>
            <w:rPr>
              <w:rFonts w:hint="eastAsia" w:ascii="仿宋" w:hAnsi="仿宋" w:eastAsia="仿宋"/>
              <w:bCs w:val="0"/>
              <w:sz w:val="24"/>
              <w:szCs w:val="24"/>
              <w:highlight w:val="none"/>
            </w:rPr>
            <w:t>府性基金预算财政拨款收入支出决算表</w:t>
          </w:r>
          <w:r>
            <w:rPr>
              <w:sz w:val="24"/>
              <w:szCs w:val="24"/>
            </w:rPr>
            <w:tab/>
          </w:r>
          <w:r>
            <w:rPr>
              <w:sz w:val="24"/>
              <w:szCs w:val="24"/>
            </w:rPr>
            <w:fldChar w:fldCharType="begin"/>
          </w:r>
          <w:r>
            <w:rPr>
              <w:sz w:val="24"/>
              <w:szCs w:val="24"/>
            </w:rPr>
            <w:instrText xml:space="preserve"> PAGEREF _Toc23456 \h </w:instrText>
          </w:r>
          <w:r>
            <w:rPr>
              <w:sz w:val="24"/>
              <w:szCs w:val="24"/>
            </w:rPr>
            <w:fldChar w:fldCharType="separate"/>
          </w:r>
          <w:r>
            <w:rPr>
              <w:sz w:val="24"/>
              <w:szCs w:val="24"/>
            </w:rPr>
            <w:t>32</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_Toc15484 </w:instrText>
          </w:r>
          <w:r>
            <w:rPr>
              <w:sz w:val="24"/>
              <w:szCs w:val="24"/>
            </w:rPr>
            <w:fldChar w:fldCharType="separate"/>
          </w:r>
          <w:r>
            <w:rPr>
              <w:rFonts w:hint="eastAsia" w:ascii="仿宋" w:hAnsi="仿宋" w:eastAsia="仿宋"/>
              <w:bCs w:val="0"/>
              <w:sz w:val="24"/>
              <w:szCs w:val="24"/>
              <w:highlight w:val="none"/>
            </w:rPr>
            <w:t>十一、</w:t>
          </w:r>
          <w:r>
            <w:rPr>
              <w:rFonts w:hint="eastAsia" w:ascii="仿宋" w:hAnsi="仿宋" w:eastAsia="仿宋"/>
              <w:sz w:val="24"/>
              <w:szCs w:val="24"/>
              <w:highlight w:val="none"/>
            </w:rPr>
            <w:t>国</w:t>
          </w:r>
          <w:r>
            <w:rPr>
              <w:rFonts w:hint="eastAsia" w:ascii="仿宋" w:hAnsi="仿宋" w:eastAsia="仿宋"/>
              <w:bCs w:val="0"/>
              <w:sz w:val="24"/>
              <w:szCs w:val="24"/>
              <w:highlight w:val="none"/>
            </w:rPr>
            <w:t>有资本经营预算</w:t>
          </w:r>
          <w:r>
            <w:rPr>
              <w:rFonts w:hint="eastAsia" w:ascii="仿宋" w:hAnsi="仿宋" w:eastAsia="仿宋"/>
              <w:bCs w:val="0"/>
              <w:sz w:val="24"/>
              <w:szCs w:val="24"/>
              <w:highlight w:val="none"/>
              <w:lang w:eastAsia="zh-CN"/>
            </w:rPr>
            <w:t>财政拨款收入</w:t>
          </w:r>
          <w:r>
            <w:rPr>
              <w:rFonts w:hint="eastAsia" w:ascii="仿宋" w:hAnsi="仿宋" w:eastAsia="仿宋"/>
              <w:bCs w:val="0"/>
              <w:sz w:val="24"/>
              <w:szCs w:val="24"/>
              <w:highlight w:val="none"/>
            </w:rPr>
            <w:t>支出决算表</w:t>
          </w:r>
          <w:r>
            <w:rPr>
              <w:sz w:val="24"/>
              <w:szCs w:val="24"/>
            </w:rPr>
            <w:tab/>
          </w:r>
          <w:r>
            <w:rPr>
              <w:sz w:val="24"/>
              <w:szCs w:val="24"/>
            </w:rPr>
            <w:fldChar w:fldCharType="begin"/>
          </w:r>
          <w:r>
            <w:rPr>
              <w:sz w:val="24"/>
              <w:szCs w:val="24"/>
            </w:rPr>
            <w:instrText xml:space="preserve"> PAGEREF _Toc15484 \h </w:instrText>
          </w:r>
          <w:r>
            <w:rPr>
              <w:sz w:val="24"/>
              <w:szCs w:val="24"/>
            </w:rPr>
            <w:fldChar w:fldCharType="separate"/>
          </w:r>
          <w:r>
            <w:rPr>
              <w:sz w:val="24"/>
              <w:szCs w:val="24"/>
            </w:rPr>
            <w:t>32</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_Toc31424 </w:instrText>
          </w:r>
          <w:r>
            <w:rPr>
              <w:sz w:val="24"/>
              <w:szCs w:val="24"/>
            </w:rPr>
            <w:fldChar w:fldCharType="separate"/>
          </w:r>
          <w:r>
            <w:rPr>
              <w:rFonts w:hint="eastAsia" w:ascii="仿宋" w:hAnsi="仿宋" w:eastAsia="仿宋"/>
              <w:bCs w:val="0"/>
              <w:sz w:val="24"/>
              <w:szCs w:val="24"/>
              <w:highlight w:val="none"/>
            </w:rPr>
            <w:t>十二、</w:t>
          </w:r>
          <w:r>
            <w:rPr>
              <w:rFonts w:hint="eastAsia" w:ascii="仿宋" w:hAnsi="仿宋" w:eastAsia="仿宋"/>
              <w:bCs w:val="0"/>
              <w:sz w:val="24"/>
              <w:szCs w:val="24"/>
              <w:highlight w:val="none"/>
              <w:lang w:eastAsia="zh-CN"/>
            </w:rPr>
            <w:t>国有资本经营预算财政拨款支出决算表</w:t>
          </w:r>
          <w:r>
            <w:rPr>
              <w:sz w:val="24"/>
              <w:szCs w:val="24"/>
            </w:rPr>
            <w:tab/>
          </w:r>
          <w:r>
            <w:rPr>
              <w:sz w:val="24"/>
              <w:szCs w:val="24"/>
            </w:rPr>
            <w:fldChar w:fldCharType="begin"/>
          </w:r>
          <w:r>
            <w:rPr>
              <w:sz w:val="24"/>
              <w:szCs w:val="24"/>
            </w:rPr>
            <w:instrText xml:space="preserve"> PAGEREF _Toc31424 \h </w:instrText>
          </w:r>
          <w:r>
            <w:rPr>
              <w:sz w:val="24"/>
              <w:szCs w:val="24"/>
            </w:rPr>
            <w:fldChar w:fldCharType="separate"/>
          </w:r>
          <w:r>
            <w:rPr>
              <w:sz w:val="24"/>
              <w:szCs w:val="24"/>
            </w:rPr>
            <w:t>32</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_Toc2711 </w:instrText>
          </w:r>
          <w:r>
            <w:rPr>
              <w:sz w:val="24"/>
              <w:szCs w:val="24"/>
            </w:rPr>
            <w:fldChar w:fldCharType="separate"/>
          </w:r>
          <w:r>
            <w:rPr>
              <w:rFonts w:hint="eastAsia" w:ascii="仿宋" w:hAnsi="仿宋" w:eastAsia="仿宋"/>
              <w:bCs w:val="0"/>
              <w:sz w:val="24"/>
              <w:szCs w:val="24"/>
              <w:highlight w:val="none"/>
            </w:rPr>
            <w:t>十三、</w:t>
          </w:r>
          <w:r>
            <w:rPr>
              <w:rFonts w:hint="eastAsia" w:ascii="仿宋" w:hAnsi="仿宋" w:eastAsia="仿宋"/>
              <w:bCs w:val="0"/>
              <w:sz w:val="24"/>
              <w:szCs w:val="24"/>
              <w:highlight w:val="none"/>
              <w:lang w:eastAsia="zh-CN"/>
            </w:rPr>
            <w:t>财政拨款“三公”经费支出决算表</w:t>
          </w:r>
          <w:r>
            <w:rPr>
              <w:sz w:val="24"/>
              <w:szCs w:val="24"/>
            </w:rPr>
            <w:tab/>
          </w:r>
          <w:r>
            <w:rPr>
              <w:sz w:val="24"/>
              <w:szCs w:val="24"/>
            </w:rPr>
            <w:fldChar w:fldCharType="begin"/>
          </w:r>
          <w:r>
            <w:rPr>
              <w:sz w:val="24"/>
              <w:szCs w:val="24"/>
            </w:rPr>
            <w:instrText xml:space="preserve"> PAGEREF _Toc2711 \h </w:instrText>
          </w:r>
          <w:r>
            <w:rPr>
              <w:sz w:val="24"/>
              <w:szCs w:val="24"/>
            </w:rPr>
            <w:fldChar w:fldCharType="separate"/>
          </w:r>
          <w:r>
            <w:rPr>
              <w:sz w:val="24"/>
              <w:szCs w:val="24"/>
            </w:rPr>
            <w:t>32</w:t>
          </w:r>
          <w:r>
            <w:rPr>
              <w:sz w:val="24"/>
              <w:szCs w:val="24"/>
            </w:rPr>
            <w:fldChar w:fldCharType="end"/>
          </w:r>
          <w:r>
            <w:rPr>
              <w:sz w:val="24"/>
              <w:szCs w:val="24"/>
            </w:rPr>
            <w:fldChar w:fldCharType="end"/>
          </w:r>
        </w:p>
        <w:p>
          <w:r>
            <w:rPr>
              <w:b/>
              <w:sz w:val="24"/>
              <w:szCs w:val="24"/>
            </w:rPr>
            <w:fldChar w:fldCharType="end"/>
          </w:r>
        </w:p>
      </w:sdtContent>
    </w:sdt>
    <w:p>
      <w:pPr>
        <w:pStyle w:val="3"/>
        <w:jc w:val="center"/>
        <w:rPr>
          <w:rFonts w:hint="eastAsia" w:ascii="黑体" w:hAnsi="黑体" w:eastAsia="黑体"/>
          <w:b w:val="0"/>
          <w:color w:val="auto"/>
          <w:highlight w:val="none"/>
        </w:rPr>
      </w:pPr>
      <w:bookmarkStart w:id="15" w:name="_Toc15396599"/>
      <w:bookmarkStart w:id="16" w:name="_Toc7984"/>
      <w:bookmarkStart w:id="17" w:name="_Toc15377196"/>
    </w:p>
    <w:p>
      <w:pPr>
        <w:rPr>
          <w:rFonts w:hint="eastAsia" w:ascii="黑体" w:hAnsi="黑体" w:eastAsia="黑体"/>
          <w:b w:val="0"/>
          <w:color w:val="auto"/>
          <w:highlight w:val="none"/>
        </w:rPr>
      </w:pPr>
    </w:p>
    <w:p>
      <w:pPr>
        <w:pStyle w:val="20"/>
        <w:rPr>
          <w:rFonts w:hint="eastAsia" w:ascii="黑体" w:hAnsi="黑体" w:eastAsia="黑体"/>
          <w:b w:val="0"/>
          <w:color w:val="auto"/>
          <w:highlight w:val="none"/>
        </w:rPr>
      </w:pPr>
    </w:p>
    <w:p>
      <w:pPr>
        <w:pStyle w:val="21"/>
        <w:rPr>
          <w:rFonts w:hint="eastAsia"/>
        </w:rPr>
      </w:pPr>
    </w:p>
    <w:p>
      <w:pPr>
        <w:pStyle w:val="3"/>
        <w:jc w:val="center"/>
        <w:rPr>
          <w:rFonts w:hint="eastAsia" w:ascii="黑体" w:hAnsi="黑体" w:eastAsia="黑体"/>
          <w:b w:val="0"/>
          <w:color w:val="auto"/>
          <w:highlight w:val="none"/>
        </w:rPr>
      </w:pPr>
    </w:p>
    <w:p>
      <w:pPr>
        <w:rPr>
          <w:rFonts w:hint="eastAsia" w:ascii="黑体" w:hAnsi="黑体" w:eastAsia="黑体"/>
          <w:b w:val="0"/>
          <w:color w:val="auto"/>
          <w:highlight w:val="none"/>
        </w:rPr>
      </w:pPr>
    </w:p>
    <w:p>
      <w:pPr>
        <w:pStyle w:val="20"/>
        <w:rPr>
          <w:rFonts w:hint="eastAsia"/>
        </w:rPr>
      </w:pPr>
    </w:p>
    <w:p>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Style w:val="30"/>
          <w:rFonts w:hint="eastAsia" w:ascii="黑体" w:hAnsi="黑体" w:eastAsia="黑体"/>
          <w:b w:val="0"/>
          <w:bCs w:val="0"/>
          <w:color w:val="auto"/>
          <w:highlight w:val="none"/>
        </w:rPr>
        <w:t>部门概况</w:t>
      </w:r>
      <w:bookmarkEnd w:id="15"/>
      <w:bookmarkEnd w:id="16"/>
      <w:bookmarkEnd w:id="17"/>
    </w:p>
    <w:p>
      <w:pPr>
        <w:pStyle w:val="4"/>
        <w:keepNext/>
        <w:keepLines/>
        <w:pageBreakBefore w:val="0"/>
        <w:widowControl w:val="0"/>
        <w:numPr>
          <w:ilvl w:val="0"/>
          <w:numId w:val="1"/>
        </w:numPr>
        <w:kinsoku/>
        <w:wordWrap/>
        <w:overflowPunct/>
        <w:topLinePunct w:val="0"/>
        <w:autoSpaceDE/>
        <w:autoSpaceDN/>
        <w:bidi w:val="0"/>
        <w:adjustRightInd/>
        <w:snapToGrid/>
        <w:spacing w:line="600" w:lineRule="exact"/>
        <w:ind w:left="629" w:leftChars="0" w:firstLineChars="0"/>
        <w:textAlignment w:val="auto"/>
        <w:rPr>
          <w:rFonts w:hint="eastAsia" w:ascii="黑体" w:hAnsi="黑体" w:eastAsia="黑体"/>
          <w:b w:val="0"/>
          <w:color w:val="auto"/>
          <w:highlight w:val="none"/>
          <w:lang w:eastAsia="zh-CN"/>
        </w:rPr>
      </w:pPr>
      <w:bookmarkStart w:id="18" w:name="_Toc25104"/>
      <w:r>
        <w:rPr>
          <w:rFonts w:hint="eastAsia" w:ascii="黑体" w:hAnsi="黑体" w:eastAsia="黑体"/>
          <w:b w:val="0"/>
          <w:color w:val="auto"/>
          <w:highlight w:val="none"/>
          <w:lang w:eastAsia="zh-CN"/>
        </w:rPr>
        <w:t>部门职责</w:t>
      </w:r>
      <w:bookmarkEnd w:id="18"/>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bookmarkStart w:id="19" w:name="_Toc7384"/>
      <w:bookmarkStart w:id="20" w:name="_Toc15396601"/>
      <w:bookmarkStart w:id="21" w:name="_Toc15377200"/>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eastAsia="zh-Hans"/>
        </w:rPr>
        <w:t>负责引导和组织归侨、侨眷努力学习马克思列宁主义、毛泽东思想、邓小平理论</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eastAsia="zh-Hans"/>
        </w:rPr>
        <w:t>三个代表</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eastAsia="zh-Hans"/>
        </w:rPr>
        <w:t>重要思想</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eastAsia="zh-Hans"/>
        </w:rPr>
        <w:t>科学发展观</w:t>
      </w:r>
      <w:r>
        <w:rPr>
          <w:rFonts w:hint="eastAsia" w:ascii="仿宋_GB2312" w:hAnsi="仿宋_GB2312" w:eastAsia="仿宋_GB2312" w:cs="仿宋_GB2312"/>
          <w:color w:val="000000"/>
          <w:sz w:val="32"/>
          <w:szCs w:val="32"/>
          <w:shd w:val="clear" w:color="auto" w:fill="FFFFFF"/>
          <w:lang w:val="en-US" w:eastAsia="zh-CN"/>
        </w:rPr>
        <w:t>和习近平新时代中国特色社会主义思想</w:t>
      </w:r>
      <w:r>
        <w:rPr>
          <w:rFonts w:hint="eastAsia" w:ascii="仿宋_GB2312" w:hAnsi="仿宋_GB2312" w:eastAsia="仿宋_GB2312" w:cs="仿宋_GB2312"/>
          <w:color w:val="000000"/>
          <w:sz w:val="32"/>
          <w:szCs w:val="32"/>
          <w:shd w:val="clear" w:color="auto" w:fill="FFFFFF"/>
          <w:lang w:eastAsia="zh-Hans"/>
        </w:rPr>
        <w:t>，坚持解放思想、实事求是、与时俱进，做好归侨、侨眷的思想政治工作，团结和带领他们为全面建设</w:t>
      </w:r>
      <w:r>
        <w:rPr>
          <w:rFonts w:hint="eastAsia" w:ascii="仿宋_GB2312" w:hAnsi="仿宋_GB2312" w:eastAsia="仿宋_GB2312" w:cs="仿宋_GB2312"/>
          <w:color w:val="000000"/>
          <w:sz w:val="32"/>
          <w:szCs w:val="32"/>
          <w:shd w:val="clear" w:color="auto" w:fill="FFFFFF"/>
          <w:lang w:val="en-US" w:eastAsia="zh-CN"/>
        </w:rPr>
        <w:t>社会主义现代化国家贡献力量</w:t>
      </w:r>
      <w:r>
        <w:rPr>
          <w:rFonts w:hint="eastAsia" w:ascii="仿宋_GB2312" w:hAnsi="仿宋_GB2312" w:eastAsia="仿宋_GB2312" w:cs="仿宋_GB2312"/>
          <w:color w:val="000000"/>
          <w:sz w:val="32"/>
          <w:szCs w:val="32"/>
          <w:shd w:val="clear" w:color="auto" w:fill="FFFFFF"/>
          <w:lang w:eastAsia="zh-Hans"/>
        </w:rPr>
        <w:t>。　　</w:t>
      </w:r>
      <w:r>
        <w:rPr>
          <w:rFonts w:hint="eastAsia" w:ascii="仿宋_GB2312" w:hAnsi="仿宋_GB2312" w:eastAsia="仿宋_GB2312" w:cs="仿宋_GB2312"/>
          <w:color w:val="000000"/>
          <w:sz w:val="32"/>
          <w:szCs w:val="32"/>
          <w:shd w:val="clear" w:color="auto" w:fill="FFFFFF"/>
          <w:lang w:val="en-US" w:eastAsia="zh-CN"/>
        </w:rPr>
        <w:t xml:space="preserve">   </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eastAsia="zh-Hans"/>
        </w:rPr>
      </w:pPr>
      <w:r>
        <w:rPr>
          <w:rFonts w:hint="eastAsia"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lang w:eastAsia="zh-Hans"/>
        </w:rPr>
        <w:t>参与国家政治、经济、文化和社会事务活动，参与社会管理和公共服务，反映归侨、侨眷和海外侨胞的意见和要求;参与政治协商，发挥民主监督作用;参与协商和推荐人民代表大会归侨、侨眷代表人选，提名政治协商会议的归侨、侨眷委员人选</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eastAsia="zh-Hans"/>
        </w:rPr>
        <w:t>负责为归侨、侨眷举办企事业和海外侨胞投资、科技交流提供服务。</w:t>
      </w:r>
      <w:r>
        <w:rPr>
          <w:rFonts w:hint="eastAsia" w:ascii="仿宋_GB2312" w:hAnsi="仿宋_GB2312" w:eastAsia="仿宋_GB2312" w:cs="仿宋_GB2312"/>
          <w:color w:val="000000"/>
          <w:sz w:val="32"/>
          <w:szCs w:val="32"/>
          <w:shd w:val="clear" w:color="auto" w:fill="FFFFFF"/>
          <w:lang w:eastAsia="zh-Hans"/>
        </w:rPr>
        <w:br w:type="textWrapping"/>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3.</w:t>
      </w:r>
      <w:r>
        <w:rPr>
          <w:rFonts w:hint="eastAsia" w:ascii="仿宋_GB2312" w:hAnsi="仿宋_GB2312" w:eastAsia="仿宋_GB2312" w:cs="仿宋_GB2312"/>
          <w:color w:val="000000"/>
          <w:sz w:val="32"/>
          <w:szCs w:val="32"/>
          <w:shd w:val="clear" w:color="auto" w:fill="FFFFFF"/>
          <w:lang w:eastAsia="zh-Hans"/>
        </w:rPr>
        <w:t>引导和鼓励归侨、侨眷弘扬以爱国主义为核心的民族精神，维护各族人民大团结，积极开展群众性社会主义精神文明创建活动，不断提高思想道德素质和科学文化素质，做有理想、有道德、有文化、有纪律的公民。</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lang w:eastAsia="zh-Hans"/>
        </w:rPr>
        <w:t>负责支持归侨、侨眷和海外侨胞开展有关文化学术交流等工作。</w:t>
      </w:r>
    </w:p>
    <w:p>
      <w:pPr>
        <w:pStyle w:val="4"/>
        <w:ind w:firstLine="640" w:firstLineChars="200"/>
        <w:rPr>
          <w:rStyle w:val="31"/>
          <w:b w:val="0"/>
          <w:bCs w:val="0"/>
          <w:color w:val="auto"/>
          <w:highlight w:val="none"/>
        </w:rPr>
      </w:pPr>
      <w:r>
        <w:rPr>
          <w:rFonts w:hint="eastAsia" w:ascii="黑体" w:eastAsia="黑体"/>
          <w:b w:val="0"/>
          <w:color w:val="auto"/>
          <w:highlight w:val="none"/>
        </w:rPr>
        <w:t>二、</w:t>
      </w:r>
      <w:r>
        <w:rPr>
          <w:rFonts w:hint="eastAsia" w:ascii="黑体" w:hAnsi="黑体" w:eastAsia="黑体"/>
          <w:b w:val="0"/>
          <w:color w:val="auto"/>
          <w:highlight w:val="none"/>
        </w:rPr>
        <w:t>机</w:t>
      </w:r>
      <w:r>
        <w:rPr>
          <w:rStyle w:val="31"/>
          <w:rFonts w:hint="eastAsia" w:ascii="黑体" w:hAnsi="黑体" w:eastAsia="黑体"/>
          <w:b w:val="0"/>
          <w:bCs w:val="0"/>
          <w:color w:val="auto"/>
          <w:highlight w:val="none"/>
        </w:rPr>
        <w:t>构设置</w:t>
      </w:r>
      <w:bookmarkEnd w:id="19"/>
      <w:bookmarkEnd w:id="20"/>
      <w:bookmarkEnd w:id="21"/>
    </w:p>
    <w:p>
      <w:pPr>
        <w:ind w:firstLine="640" w:firstLineChars="200"/>
      </w:pPr>
      <w:r>
        <w:rPr>
          <w:rFonts w:hint="eastAsia" w:ascii="仿宋_GB2312" w:hAnsi="仿宋_GB2312" w:eastAsia="仿宋_GB2312" w:cs="仿宋_GB2312"/>
          <w:bCs/>
          <w:color w:val="000000"/>
          <w:sz w:val="32"/>
          <w:szCs w:val="32"/>
          <w:lang w:eastAsia="zh-CN"/>
        </w:rPr>
        <w:t>区侨联</w:t>
      </w:r>
      <w:r>
        <w:rPr>
          <w:rFonts w:hint="eastAsia" w:ascii="仿宋_GB2312" w:hAnsi="仿宋_GB2312" w:eastAsia="仿宋_GB2312" w:cs="仿宋_GB2312"/>
          <w:bCs/>
          <w:color w:val="000000"/>
          <w:sz w:val="32"/>
          <w:szCs w:val="32"/>
        </w:rPr>
        <w:t>下属二级</w:t>
      </w:r>
      <w:r>
        <w:rPr>
          <w:rFonts w:hint="eastAsia" w:ascii="仿宋_GB2312" w:hAnsi="仿宋_GB2312" w:eastAsia="仿宋_GB2312" w:cs="仿宋_GB2312"/>
          <w:bCs/>
          <w:color w:val="000000"/>
          <w:sz w:val="32"/>
          <w:szCs w:val="32"/>
          <w:lang w:eastAsia="zh-CN"/>
        </w:rPr>
        <w:t>预算</w:t>
      </w:r>
      <w:r>
        <w:rPr>
          <w:rFonts w:hint="eastAsia" w:ascii="仿宋_GB2312" w:hAnsi="仿宋_GB2312" w:eastAsia="仿宋_GB2312" w:cs="仿宋_GB2312"/>
          <w:bCs/>
          <w:color w:val="000000"/>
          <w:sz w:val="32"/>
          <w:szCs w:val="32"/>
        </w:rPr>
        <w:t>单位</w:t>
      </w:r>
      <w:r>
        <w:rPr>
          <w:rFonts w:hint="eastAsia" w:ascii="仿宋_GB2312" w:hAnsi="仿宋_GB2312" w:eastAsia="仿宋_GB2312" w:cs="仿宋_GB2312"/>
          <w:bCs/>
          <w:color w:val="000000"/>
          <w:sz w:val="32"/>
          <w:szCs w:val="32"/>
          <w:lang w:val="en-US" w:eastAsia="zh-CN"/>
        </w:rPr>
        <w:t>0</w:t>
      </w:r>
      <w:r>
        <w:rPr>
          <w:rFonts w:hint="eastAsia" w:ascii="仿宋_GB2312" w:hAnsi="仿宋_GB2312" w:eastAsia="仿宋_GB2312" w:cs="仿宋_GB2312"/>
          <w:bCs/>
          <w:color w:val="000000"/>
          <w:sz w:val="32"/>
          <w:szCs w:val="32"/>
        </w:rPr>
        <w:t>个，其中行政单位</w:t>
      </w:r>
      <w:r>
        <w:rPr>
          <w:rFonts w:hint="eastAsia" w:ascii="仿宋_GB2312" w:hAnsi="仿宋_GB2312" w:eastAsia="仿宋_GB2312" w:cs="仿宋_GB2312"/>
          <w:bCs/>
          <w:color w:val="000000"/>
          <w:sz w:val="32"/>
          <w:szCs w:val="32"/>
          <w:lang w:val="en-US" w:eastAsia="zh-CN"/>
        </w:rPr>
        <w:t>0</w:t>
      </w:r>
      <w:r>
        <w:rPr>
          <w:rFonts w:hint="eastAsia" w:ascii="仿宋_GB2312" w:hAnsi="仿宋_GB2312" w:eastAsia="仿宋_GB2312" w:cs="仿宋_GB2312"/>
          <w:bCs/>
          <w:color w:val="000000"/>
          <w:sz w:val="32"/>
          <w:szCs w:val="32"/>
        </w:rPr>
        <w:t>个，参照公务员法管理的事业单位</w:t>
      </w:r>
      <w:r>
        <w:rPr>
          <w:rFonts w:hint="eastAsia" w:ascii="仿宋_GB2312" w:hAnsi="仿宋_GB2312" w:eastAsia="仿宋_GB2312" w:cs="仿宋_GB2312"/>
          <w:bCs/>
          <w:color w:val="000000"/>
          <w:sz w:val="32"/>
          <w:szCs w:val="32"/>
          <w:lang w:val="en-US" w:eastAsia="zh-CN"/>
        </w:rPr>
        <w:t>0</w:t>
      </w:r>
      <w:r>
        <w:rPr>
          <w:rFonts w:hint="eastAsia" w:ascii="仿宋_GB2312" w:hAnsi="仿宋_GB2312" w:eastAsia="仿宋_GB2312" w:cs="仿宋_GB2312"/>
          <w:bCs/>
          <w:color w:val="000000"/>
          <w:sz w:val="32"/>
          <w:szCs w:val="32"/>
        </w:rPr>
        <w:t>个，其他事业单位</w:t>
      </w:r>
      <w:r>
        <w:rPr>
          <w:rFonts w:hint="eastAsia" w:ascii="仿宋_GB2312" w:hAnsi="仿宋_GB2312" w:eastAsia="仿宋_GB2312" w:cs="仿宋_GB2312"/>
          <w:bCs/>
          <w:color w:val="000000"/>
          <w:sz w:val="32"/>
          <w:szCs w:val="32"/>
          <w:lang w:val="en-US" w:eastAsia="zh-CN"/>
        </w:rPr>
        <w:t>0个</w:t>
      </w:r>
      <w:r>
        <w:rPr>
          <w:rFonts w:hint="eastAsia" w:ascii="仿宋_GB2312" w:hAnsi="仿宋_GB2312" w:eastAsia="仿宋_GB2312" w:cs="仿宋_GB2312"/>
          <w:bCs/>
          <w:color w:val="000000"/>
          <w:sz w:val="32"/>
          <w:szCs w:val="32"/>
        </w:rPr>
        <w:t>。</w:t>
      </w:r>
    </w:p>
    <w:p>
      <w:pPr>
        <w:pStyle w:val="3"/>
        <w:ind w:right="440"/>
        <w:jc w:val="center"/>
        <w:rPr>
          <w:rStyle w:val="30"/>
          <w:rFonts w:ascii="黑体" w:hAnsi="黑体" w:eastAsia="黑体"/>
          <w:b w:val="0"/>
          <w:bCs/>
          <w:color w:val="auto"/>
          <w:highlight w:val="none"/>
        </w:rPr>
      </w:pPr>
      <w:bookmarkStart w:id="22" w:name="_Toc15396602"/>
      <w:bookmarkStart w:id="23" w:name="_Toc15377204"/>
      <w:bookmarkStart w:id="24" w:name="_Toc1663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30"/>
          <w:rFonts w:hint="eastAsia" w:ascii="黑体" w:hAnsi="黑体" w:eastAsia="黑体"/>
          <w:b w:val="0"/>
          <w:bCs/>
          <w:color w:val="auto"/>
          <w:highlight w:val="none"/>
        </w:rPr>
        <w:t>部门决算情况说明</w:t>
      </w:r>
      <w:bookmarkEnd w:id="22"/>
      <w:bookmarkEnd w:id="23"/>
      <w:bookmarkEnd w:id="24"/>
    </w:p>
    <w:p>
      <w:pPr>
        <w:rPr>
          <w:color w:val="auto"/>
          <w:highlight w:val="none"/>
        </w:rPr>
      </w:pPr>
    </w:p>
    <w:p>
      <w:pPr>
        <w:pStyle w:val="29"/>
        <w:numPr>
          <w:ilvl w:val="0"/>
          <w:numId w:val="2"/>
        </w:numPr>
        <w:spacing w:line="600" w:lineRule="exact"/>
        <w:ind w:firstLineChars="0"/>
        <w:outlineLvl w:val="1"/>
        <w:rPr>
          <w:rStyle w:val="31"/>
          <w:rFonts w:ascii="黑体" w:hAnsi="黑体" w:eastAsia="黑体"/>
          <w:b w:val="0"/>
          <w:color w:val="auto"/>
          <w:highlight w:val="none"/>
        </w:rPr>
      </w:pPr>
      <w:bookmarkStart w:id="25" w:name="_Toc31518"/>
      <w:bookmarkStart w:id="26" w:name="_Toc15396603"/>
      <w:bookmarkStart w:id="27" w:name="_Toc15377205"/>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入支出决算总体情况说明</w:t>
      </w:r>
      <w:bookmarkEnd w:id="25"/>
      <w:bookmarkEnd w:id="26"/>
      <w:bookmarkEnd w:id="27"/>
    </w:p>
    <w:p>
      <w:pPr>
        <w:snapToGrid w:val="0"/>
        <w:spacing w:line="576" w:lineRule="exact"/>
        <w:ind w:firstLine="640" w:firstLineChars="200"/>
        <w:rPr>
          <w:rFonts w:hint="eastAsia" w:ascii="仿宋_GB2312" w:hAnsi="仿宋_GB2312" w:eastAsia="仿宋_GB2312" w:cs="仿宋_GB2312"/>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年度收入总计32.00万元、支出总计32.00万元。与202</w:t>
      </w:r>
      <w:r>
        <w:rPr>
          <w:rFonts w:hint="eastAsia" w:ascii="仿宋" w:hAnsi="仿宋" w:eastAsia="仿宋"/>
          <w:sz w:val="32"/>
          <w:szCs w:val="32"/>
          <w:lang w:val="en-US" w:eastAsia="zh-CN"/>
        </w:rPr>
        <w:t>1</w:t>
      </w:r>
      <w:r>
        <w:rPr>
          <w:rFonts w:hint="eastAsia" w:ascii="仿宋" w:hAnsi="仿宋" w:eastAsia="仿宋"/>
          <w:sz w:val="32"/>
          <w:szCs w:val="32"/>
        </w:rPr>
        <w:t>年相比，收入总计</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1.06</w:t>
      </w:r>
      <w:r>
        <w:rPr>
          <w:rFonts w:hint="eastAsia" w:ascii="仿宋" w:hAnsi="仿宋" w:eastAsia="仿宋"/>
          <w:sz w:val="32"/>
          <w:szCs w:val="32"/>
        </w:rPr>
        <w:t>万元，</w:t>
      </w:r>
      <w:r>
        <w:rPr>
          <w:rFonts w:hint="eastAsia" w:ascii="仿宋" w:hAnsi="仿宋" w:eastAsia="仿宋"/>
          <w:color w:val="auto"/>
          <w:sz w:val="32"/>
          <w:szCs w:val="32"/>
          <w:highlight w:val="none"/>
        </w:rPr>
        <w:t>增长</w:t>
      </w:r>
      <w:r>
        <w:rPr>
          <w:rFonts w:hint="eastAsia" w:ascii="仿宋" w:hAnsi="仿宋" w:eastAsia="仿宋"/>
          <w:color w:val="auto"/>
          <w:sz w:val="32"/>
          <w:szCs w:val="32"/>
          <w:highlight w:val="none"/>
          <w:lang w:val="en-US" w:eastAsia="zh-CN"/>
        </w:rPr>
        <w:t>3.43</w:t>
      </w:r>
      <w:r>
        <w:rPr>
          <w:rFonts w:hint="eastAsia" w:ascii="仿宋" w:hAnsi="仿宋" w:eastAsia="仿宋"/>
          <w:sz w:val="32"/>
          <w:szCs w:val="32"/>
        </w:rPr>
        <w:t>%；支出总计</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1.06</w:t>
      </w:r>
      <w:r>
        <w:rPr>
          <w:rFonts w:hint="eastAsia" w:ascii="仿宋" w:hAnsi="仿宋" w:eastAsia="仿宋"/>
          <w:sz w:val="32"/>
          <w:szCs w:val="32"/>
        </w:rPr>
        <w:t>万元，</w:t>
      </w:r>
      <w:r>
        <w:rPr>
          <w:rFonts w:hint="eastAsia" w:ascii="仿宋" w:hAnsi="仿宋" w:eastAsia="仿宋"/>
          <w:color w:val="auto"/>
          <w:sz w:val="32"/>
          <w:szCs w:val="32"/>
          <w:highlight w:val="none"/>
        </w:rPr>
        <w:t>增长</w:t>
      </w:r>
      <w:r>
        <w:rPr>
          <w:rFonts w:hint="eastAsia" w:ascii="仿宋" w:hAnsi="仿宋" w:eastAsia="仿宋"/>
          <w:color w:val="auto"/>
          <w:sz w:val="32"/>
          <w:szCs w:val="32"/>
          <w:highlight w:val="none"/>
          <w:lang w:val="en-US" w:eastAsia="zh-CN"/>
        </w:rPr>
        <w:t>3.43</w:t>
      </w:r>
      <w:r>
        <w:rPr>
          <w:rFonts w:hint="eastAsia" w:ascii="仿宋" w:hAnsi="仿宋" w:eastAsia="仿宋"/>
          <w:sz w:val="32"/>
          <w:szCs w:val="32"/>
        </w:rPr>
        <w:t>%。</w:t>
      </w:r>
      <w:r>
        <w:rPr>
          <w:rFonts w:hint="eastAsia" w:ascii="仿宋_GB2312" w:hAnsi="仿宋_GB2312" w:eastAsia="仿宋_GB2312" w:cs="仿宋_GB2312"/>
          <w:sz w:val="32"/>
          <w:szCs w:val="32"/>
        </w:rPr>
        <w:t>主要原因系本年度</w:t>
      </w:r>
      <w:r>
        <w:rPr>
          <w:rFonts w:hint="eastAsia" w:ascii="仿宋_GB2312" w:hAnsi="仿宋_GB2312" w:eastAsia="仿宋_GB2312" w:cs="仿宋_GB2312"/>
          <w:sz w:val="32"/>
          <w:szCs w:val="32"/>
          <w:lang w:eastAsia="zh-CN"/>
        </w:rPr>
        <w:t>专项项目增加</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b/>
          <w:bCs/>
          <w:sz w:val="32"/>
          <w:szCs w:val="32"/>
          <w:lang w:eastAsia="zh-CN"/>
        </w:rPr>
      </w:pPr>
      <w:r>
        <w:drawing>
          <wp:inline distT="0" distB="0" distL="0" distR="0">
            <wp:extent cx="5274310" cy="3076575"/>
            <wp:effectExtent l="19050" t="0" r="2159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9"/>
        <w:numPr>
          <w:ilvl w:val="0"/>
          <w:numId w:val="2"/>
        </w:numPr>
        <w:spacing w:line="600" w:lineRule="exact"/>
        <w:ind w:firstLineChars="0"/>
        <w:outlineLvl w:val="1"/>
        <w:rPr>
          <w:rStyle w:val="31"/>
          <w:rFonts w:ascii="黑体" w:hAnsi="黑体" w:eastAsia="黑体"/>
          <w:b w:val="0"/>
          <w:color w:val="auto"/>
          <w:highlight w:val="none"/>
        </w:rPr>
      </w:pPr>
      <w:bookmarkStart w:id="28" w:name="_Toc15396604"/>
      <w:bookmarkStart w:id="29" w:name="_Toc15377206"/>
      <w:bookmarkStart w:id="30" w:name="_Toc11591"/>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入决算情况说明</w:t>
      </w:r>
      <w:bookmarkEnd w:id="28"/>
      <w:bookmarkEnd w:id="29"/>
      <w:bookmarkEnd w:id="30"/>
    </w:p>
    <w:p>
      <w:pPr>
        <w:spacing w:line="600" w:lineRule="exact"/>
        <w:ind w:firstLine="640" w:firstLineChars="200"/>
        <w:outlineLvl w:val="1"/>
        <w:rPr>
          <w:rFonts w:ascii="仿宋" w:hAnsi="仿宋" w:eastAsia="仿宋"/>
          <w:sz w:val="32"/>
          <w:szCs w:val="32"/>
        </w:rPr>
      </w:pPr>
      <w:bookmarkStart w:id="31" w:name="_Toc14446"/>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bookmarkStart w:id="32" w:name="_Toc3723"/>
      <w:r>
        <w:rPr>
          <w:rFonts w:hint="eastAsia" w:ascii="仿宋" w:hAnsi="仿宋" w:eastAsia="仿宋"/>
          <w:sz w:val="32"/>
          <w:szCs w:val="32"/>
        </w:rPr>
        <w:t>年本年收入合计32.00万元，其中：一般公共预算财政拨款收入32.00万元，占100</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bookmarkEnd w:id="31"/>
      <w:bookmarkEnd w:id="32"/>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ascii="仿宋" w:hAnsi="仿宋" w:eastAsia="仿宋"/>
          <w:color w:val="auto"/>
          <w:sz w:val="32"/>
          <w:szCs w:val="32"/>
          <w:highlight w:val="none"/>
        </w:rPr>
      </w:pPr>
      <w:r>
        <w:drawing>
          <wp:inline distT="0" distB="0" distL="0" distR="0">
            <wp:extent cx="5274310" cy="3076575"/>
            <wp:effectExtent l="19050" t="0" r="2159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pStyle w:val="29"/>
        <w:numPr>
          <w:ilvl w:val="0"/>
          <w:numId w:val="2"/>
        </w:numPr>
        <w:spacing w:line="600" w:lineRule="exact"/>
        <w:ind w:firstLineChars="0"/>
        <w:outlineLvl w:val="1"/>
        <w:rPr>
          <w:rStyle w:val="31"/>
          <w:rFonts w:ascii="黑体" w:hAnsi="黑体" w:eastAsia="黑体"/>
          <w:b w:val="0"/>
          <w:color w:val="auto"/>
          <w:highlight w:val="none"/>
        </w:rPr>
      </w:pPr>
      <w:bookmarkStart w:id="33" w:name="_Toc15377207"/>
      <w:bookmarkStart w:id="34" w:name="_Toc10179"/>
      <w:bookmarkStart w:id="35" w:name="_Toc15396605"/>
      <w:r>
        <w:rPr>
          <w:rFonts w:hint="eastAsia" w:ascii="黑体" w:hAnsi="黑体" w:eastAsia="黑体"/>
          <w:color w:val="auto"/>
          <w:sz w:val="32"/>
          <w:szCs w:val="32"/>
          <w:highlight w:val="none"/>
        </w:rPr>
        <w:t>支</w:t>
      </w:r>
      <w:r>
        <w:rPr>
          <w:rStyle w:val="31"/>
          <w:rFonts w:hint="eastAsia" w:ascii="黑体" w:hAnsi="黑体" w:eastAsia="黑体"/>
          <w:b w:val="0"/>
          <w:color w:val="auto"/>
          <w:highlight w:val="none"/>
        </w:rPr>
        <w:t>出决算情况说明</w:t>
      </w:r>
      <w:bookmarkEnd w:id="33"/>
      <w:bookmarkEnd w:id="34"/>
      <w:bookmarkEnd w:id="35"/>
    </w:p>
    <w:p>
      <w:pPr>
        <w:spacing w:line="600" w:lineRule="exact"/>
        <w:ind w:firstLine="640" w:firstLineChars="200"/>
        <w:outlineLvl w:val="1"/>
        <w:rPr>
          <w:rFonts w:ascii="仿宋" w:hAnsi="仿宋" w:eastAsia="仿宋"/>
          <w:sz w:val="32"/>
          <w:szCs w:val="32"/>
        </w:rPr>
      </w:pPr>
      <w:bookmarkStart w:id="36" w:name="_Toc162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bookmarkStart w:id="37" w:name="_Toc7146"/>
      <w:r>
        <w:rPr>
          <w:rFonts w:hint="eastAsia" w:ascii="仿宋" w:hAnsi="仿宋" w:eastAsia="仿宋"/>
          <w:sz w:val="32"/>
          <w:szCs w:val="32"/>
        </w:rPr>
        <w:t>年本年支出合计32.00万元，其中：基本支出22.36万元，占</w:t>
      </w:r>
      <w:r>
        <w:rPr>
          <w:rFonts w:hint="eastAsia" w:ascii="仿宋" w:hAnsi="仿宋" w:eastAsia="仿宋"/>
          <w:sz w:val="32"/>
          <w:szCs w:val="32"/>
          <w:lang w:val="en-US" w:eastAsia="zh-CN"/>
        </w:rPr>
        <w:t>69.86</w:t>
      </w:r>
      <w:r>
        <w:rPr>
          <w:rFonts w:ascii="仿宋" w:hAnsi="仿宋" w:eastAsia="仿宋"/>
          <w:sz w:val="32"/>
          <w:szCs w:val="32"/>
        </w:rPr>
        <w:t>%</w:t>
      </w:r>
      <w:r>
        <w:rPr>
          <w:rFonts w:hint="eastAsia" w:ascii="仿宋" w:hAnsi="仿宋" w:eastAsia="仿宋"/>
          <w:sz w:val="32"/>
          <w:szCs w:val="32"/>
        </w:rPr>
        <w:t>；项目支出9.64万元，占</w:t>
      </w:r>
      <w:r>
        <w:rPr>
          <w:rFonts w:hint="eastAsia" w:ascii="仿宋" w:hAnsi="仿宋" w:eastAsia="仿宋"/>
          <w:sz w:val="32"/>
          <w:szCs w:val="32"/>
          <w:lang w:val="en-US" w:eastAsia="zh-CN"/>
        </w:rPr>
        <w:t>30.14</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bookmarkEnd w:id="36"/>
      <w:bookmarkEnd w:id="37"/>
    </w:p>
    <w:p>
      <w:pPr>
        <w:pStyle w:val="6"/>
      </w:pPr>
      <w:r>
        <w:drawing>
          <wp:inline distT="0" distB="0" distL="0" distR="0">
            <wp:extent cx="5274310" cy="3076575"/>
            <wp:effectExtent l="5080" t="4445" r="16510"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outlineLvl w:val="1"/>
        <w:rPr>
          <w:rStyle w:val="31"/>
          <w:rFonts w:ascii="黑体" w:hAnsi="黑体" w:eastAsia="黑体"/>
          <w:b w:val="0"/>
          <w:color w:val="auto"/>
          <w:highlight w:val="none"/>
        </w:rPr>
      </w:pPr>
      <w:bookmarkStart w:id="38" w:name="_Toc2085"/>
      <w:bookmarkStart w:id="39" w:name="_Toc15396606"/>
      <w:bookmarkStart w:id="40" w:name="_Toc15377208"/>
      <w:r>
        <w:rPr>
          <w:rFonts w:hint="eastAsia" w:ascii="黑体" w:hAnsi="黑体" w:eastAsia="黑体"/>
          <w:color w:val="auto"/>
          <w:sz w:val="32"/>
          <w:szCs w:val="32"/>
          <w:highlight w:val="none"/>
        </w:rPr>
        <w:t>四、财</w:t>
      </w:r>
      <w:r>
        <w:rPr>
          <w:rStyle w:val="31"/>
          <w:rFonts w:hint="eastAsia" w:ascii="黑体" w:hAnsi="黑体" w:eastAsia="黑体"/>
          <w:b w:val="0"/>
          <w:color w:val="auto"/>
          <w:highlight w:val="none"/>
        </w:rPr>
        <w:t>政拨款收入支出决算总体情况说明</w:t>
      </w:r>
      <w:bookmarkEnd w:id="38"/>
      <w:bookmarkEnd w:id="39"/>
      <w:bookmarkEnd w:id="40"/>
    </w:p>
    <w:p>
      <w:pPr>
        <w:snapToGrid w:val="0"/>
        <w:spacing w:line="576" w:lineRule="exact"/>
        <w:ind w:firstLine="640" w:firstLineChars="200"/>
        <w:rPr>
          <w:rFonts w:hint="eastAsia" w:ascii="仿宋_GB2312" w:hAnsi="仿宋_GB2312" w:eastAsia="仿宋_GB2312" w:cs="仿宋_GB2312"/>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w:t>
      </w:r>
      <w:r>
        <w:rPr>
          <w:rFonts w:hint="eastAsia" w:ascii="仿宋" w:hAnsi="仿宋" w:eastAsia="仿宋"/>
          <w:color w:val="auto"/>
          <w:sz w:val="32"/>
          <w:szCs w:val="32"/>
          <w:highlight w:val="none"/>
        </w:rPr>
        <w:t>财政拨款</w:t>
      </w:r>
      <w:r>
        <w:rPr>
          <w:rFonts w:hint="eastAsia" w:ascii="仿宋" w:hAnsi="仿宋" w:eastAsia="仿宋"/>
          <w:sz w:val="32"/>
          <w:szCs w:val="32"/>
        </w:rPr>
        <w:t>收入总计32.00万元、</w:t>
      </w:r>
      <w:r>
        <w:rPr>
          <w:rFonts w:hint="eastAsia" w:ascii="仿宋" w:hAnsi="仿宋" w:eastAsia="仿宋"/>
          <w:color w:val="auto"/>
          <w:sz w:val="32"/>
          <w:szCs w:val="32"/>
          <w:highlight w:val="none"/>
        </w:rPr>
        <w:t>财政拨款</w:t>
      </w:r>
      <w:r>
        <w:rPr>
          <w:rFonts w:hint="eastAsia" w:ascii="仿宋" w:hAnsi="仿宋" w:eastAsia="仿宋"/>
          <w:sz w:val="32"/>
          <w:szCs w:val="32"/>
        </w:rPr>
        <w:t>支出总计32.00万元。与202</w:t>
      </w:r>
      <w:r>
        <w:rPr>
          <w:rFonts w:hint="eastAsia" w:ascii="仿宋" w:hAnsi="仿宋" w:eastAsia="仿宋"/>
          <w:sz w:val="32"/>
          <w:szCs w:val="32"/>
          <w:lang w:val="en-US" w:eastAsia="zh-CN"/>
        </w:rPr>
        <w:t>1</w:t>
      </w:r>
      <w:r>
        <w:rPr>
          <w:rFonts w:hint="eastAsia" w:ascii="仿宋" w:hAnsi="仿宋" w:eastAsia="仿宋"/>
          <w:sz w:val="32"/>
          <w:szCs w:val="32"/>
        </w:rPr>
        <w:t>年相比，</w:t>
      </w:r>
      <w:r>
        <w:rPr>
          <w:rFonts w:hint="eastAsia" w:ascii="仿宋" w:hAnsi="仿宋" w:eastAsia="仿宋"/>
          <w:color w:val="auto"/>
          <w:sz w:val="32"/>
          <w:szCs w:val="32"/>
          <w:highlight w:val="none"/>
        </w:rPr>
        <w:t>财政拨款</w:t>
      </w:r>
      <w:r>
        <w:rPr>
          <w:rFonts w:hint="eastAsia" w:ascii="仿宋" w:hAnsi="仿宋" w:eastAsia="仿宋"/>
          <w:sz w:val="32"/>
          <w:szCs w:val="32"/>
        </w:rPr>
        <w:t>收入总计</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1.06</w:t>
      </w:r>
      <w:r>
        <w:rPr>
          <w:rFonts w:hint="eastAsia" w:ascii="仿宋" w:hAnsi="仿宋" w:eastAsia="仿宋"/>
          <w:sz w:val="32"/>
          <w:szCs w:val="32"/>
        </w:rPr>
        <w:t>万元，</w:t>
      </w:r>
      <w:r>
        <w:rPr>
          <w:rFonts w:hint="eastAsia" w:ascii="仿宋" w:hAnsi="仿宋" w:eastAsia="仿宋"/>
          <w:color w:val="auto"/>
          <w:sz w:val="32"/>
          <w:szCs w:val="32"/>
          <w:highlight w:val="none"/>
        </w:rPr>
        <w:t>增长</w:t>
      </w:r>
      <w:r>
        <w:rPr>
          <w:rFonts w:hint="eastAsia" w:ascii="仿宋" w:hAnsi="仿宋" w:eastAsia="仿宋"/>
          <w:color w:val="auto"/>
          <w:sz w:val="32"/>
          <w:szCs w:val="32"/>
          <w:highlight w:val="none"/>
          <w:lang w:val="en-US" w:eastAsia="zh-CN"/>
        </w:rPr>
        <w:t>3.43</w:t>
      </w:r>
      <w:r>
        <w:rPr>
          <w:rFonts w:hint="eastAsia" w:ascii="仿宋" w:hAnsi="仿宋" w:eastAsia="仿宋"/>
          <w:sz w:val="32"/>
          <w:szCs w:val="32"/>
        </w:rPr>
        <w:t>%；</w:t>
      </w:r>
      <w:r>
        <w:rPr>
          <w:rFonts w:hint="eastAsia" w:ascii="仿宋" w:hAnsi="仿宋" w:eastAsia="仿宋"/>
          <w:color w:val="auto"/>
          <w:sz w:val="32"/>
          <w:szCs w:val="32"/>
          <w:highlight w:val="none"/>
        </w:rPr>
        <w:t>财政拨款</w:t>
      </w:r>
      <w:r>
        <w:rPr>
          <w:rFonts w:hint="eastAsia" w:ascii="仿宋" w:hAnsi="仿宋" w:eastAsia="仿宋"/>
          <w:sz w:val="32"/>
          <w:szCs w:val="32"/>
        </w:rPr>
        <w:t>支出总计</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1.06</w:t>
      </w:r>
      <w:r>
        <w:rPr>
          <w:rFonts w:hint="eastAsia" w:ascii="仿宋" w:hAnsi="仿宋" w:eastAsia="仿宋"/>
          <w:sz w:val="32"/>
          <w:szCs w:val="32"/>
        </w:rPr>
        <w:t>万元，</w:t>
      </w:r>
      <w:r>
        <w:rPr>
          <w:rFonts w:hint="eastAsia" w:ascii="仿宋" w:hAnsi="仿宋" w:eastAsia="仿宋"/>
          <w:color w:val="auto"/>
          <w:sz w:val="32"/>
          <w:szCs w:val="32"/>
          <w:highlight w:val="none"/>
        </w:rPr>
        <w:t>增长</w:t>
      </w:r>
      <w:r>
        <w:rPr>
          <w:rFonts w:hint="eastAsia" w:ascii="仿宋" w:hAnsi="仿宋" w:eastAsia="仿宋"/>
          <w:color w:val="auto"/>
          <w:sz w:val="32"/>
          <w:szCs w:val="32"/>
          <w:highlight w:val="none"/>
          <w:lang w:val="en-US" w:eastAsia="zh-CN"/>
        </w:rPr>
        <w:t>3.43</w:t>
      </w:r>
      <w:r>
        <w:rPr>
          <w:rFonts w:hint="eastAsia" w:ascii="仿宋" w:hAnsi="仿宋" w:eastAsia="仿宋"/>
          <w:sz w:val="32"/>
          <w:szCs w:val="32"/>
        </w:rPr>
        <w:t>%。</w:t>
      </w:r>
      <w:r>
        <w:rPr>
          <w:rFonts w:hint="eastAsia" w:ascii="仿宋_GB2312" w:hAnsi="仿宋_GB2312" w:eastAsia="仿宋_GB2312" w:cs="仿宋_GB2312"/>
          <w:sz w:val="32"/>
          <w:szCs w:val="32"/>
        </w:rPr>
        <w:t>主要原因系本年度</w:t>
      </w:r>
      <w:r>
        <w:rPr>
          <w:rFonts w:hint="eastAsia" w:ascii="仿宋_GB2312" w:hAnsi="仿宋_GB2312" w:eastAsia="仿宋_GB2312" w:cs="仿宋_GB2312"/>
          <w:sz w:val="32"/>
          <w:szCs w:val="32"/>
          <w:lang w:eastAsia="zh-CN"/>
        </w:rPr>
        <w:t>专项项目增加</w:t>
      </w:r>
      <w:r>
        <w:rPr>
          <w:rFonts w:hint="eastAsia" w:ascii="仿宋_GB2312" w:hAnsi="仿宋_GB2312" w:eastAsia="仿宋_GB2312" w:cs="仿宋_GB2312"/>
          <w:sz w:val="32"/>
          <w:szCs w:val="32"/>
        </w:rPr>
        <w:t>。</w:t>
      </w:r>
    </w:p>
    <w:p>
      <w:pPr>
        <w:snapToGrid w:val="0"/>
        <w:spacing w:line="576"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olor w:val="auto"/>
          <w:sz w:val="32"/>
          <w:szCs w:val="32"/>
          <w:highlight w:val="none"/>
        </w:rPr>
      </w:pPr>
      <w:r>
        <w:drawing>
          <wp:inline distT="0" distB="0" distL="0" distR="0">
            <wp:extent cx="5274310" cy="3076575"/>
            <wp:effectExtent l="5080" t="4445" r="16510" b="5080"/>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firstLineChars="200"/>
        <w:outlineLvl w:val="1"/>
        <w:rPr>
          <w:rStyle w:val="31"/>
          <w:rFonts w:ascii="黑体" w:hAnsi="黑体" w:eastAsia="黑体"/>
          <w:b w:val="0"/>
          <w:color w:val="auto"/>
          <w:highlight w:val="none"/>
        </w:rPr>
      </w:pPr>
      <w:bookmarkStart w:id="41" w:name="_Toc15377209"/>
      <w:bookmarkStart w:id="42" w:name="_Toc152"/>
      <w:bookmarkStart w:id="43"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般公共预算财政拨款支出决算情况说明</w:t>
      </w:r>
      <w:bookmarkEnd w:id="41"/>
      <w:bookmarkEnd w:id="42"/>
      <w:bookmarkEnd w:id="43"/>
    </w:p>
    <w:p>
      <w:pPr>
        <w:spacing w:line="600" w:lineRule="exact"/>
        <w:ind w:firstLine="643" w:firstLineChars="200"/>
        <w:outlineLvl w:val="2"/>
        <w:rPr>
          <w:rFonts w:ascii="仿宋" w:hAnsi="仿宋" w:eastAsia="仿宋"/>
          <w:b/>
          <w:color w:val="auto"/>
          <w:sz w:val="32"/>
          <w:szCs w:val="32"/>
          <w:highlight w:val="none"/>
        </w:rPr>
      </w:pPr>
      <w:bookmarkStart w:id="44" w:name="_Toc15377210"/>
      <w:r>
        <w:rPr>
          <w:rFonts w:hint="eastAsia" w:ascii="仿宋" w:hAnsi="仿宋" w:eastAsia="仿宋"/>
          <w:b/>
          <w:color w:val="auto"/>
          <w:sz w:val="32"/>
          <w:szCs w:val="32"/>
          <w:highlight w:val="none"/>
        </w:rPr>
        <w:t>（一）一般公共预算财政拨款支出决算总体情况</w:t>
      </w:r>
      <w:bookmarkEnd w:id="44"/>
    </w:p>
    <w:p>
      <w:pPr>
        <w:snapToGrid w:val="0"/>
        <w:spacing w:line="576" w:lineRule="exact"/>
        <w:ind w:firstLine="640" w:firstLineChars="200"/>
        <w:rPr>
          <w:rFonts w:hint="eastAsia" w:ascii="仿宋_GB2312" w:hAnsi="仿宋_GB2312" w:eastAsia="仿宋_GB2312" w:cs="仿宋_GB2312"/>
          <w:sz w:val="32"/>
          <w:szCs w:val="32"/>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sz w:val="32"/>
          <w:szCs w:val="32"/>
        </w:rPr>
        <w:t>年一般公共预算财政拨款支出32.00万元，占本年支出合计的100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年相比，一般公共预算财政拨款支出总计</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1.06</w:t>
      </w:r>
      <w:r>
        <w:rPr>
          <w:rFonts w:hint="eastAsia" w:ascii="仿宋" w:hAnsi="仿宋" w:eastAsia="仿宋"/>
          <w:sz w:val="32"/>
          <w:szCs w:val="32"/>
        </w:rPr>
        <w:t>万元，</w:t>
      </w:r>
      <w:r>
        <w:rPr>
          <w:rFonts w:hint="eastAsia" w:ascii="仿宋" w:hAnsi="仿宋" w:eastAsia="仿宋"/>
          <w:color w:val="auto"/>
          <w:sz w:val="32"/>
          <w:szCs w:val="32"/>
          <w:highlight w:val="none"/>
        </w:rPr>
        <w:t>增长</w:t>
      </w:r>
      <w:r>
        <w:rPr>
          <w:rFonts w:hint="eastAsia" w:ascii="仿宋" w:hAnsi="仿宋" w:eastAsia="仿宋"/>
          <w:color w:val="auto"/>
          <w:sz w:val="32"/>
          <w:szCs w:val="32"/>
          <w:highlight w:val="none"/>
          <w:lang w:val="en-US" w:eastAsia="zh-CN"/>
        </w:rPr>
        <w:t>3.43</w:t>
      </w:r>
      <w:r>
        <w:rPr>
          <w:rFonts w:hint="eastAsia" w:ascii="仿宋" w:hAnsi="仿宋" w:eastAsia="仿宋"/>
          <w:sz w:val="32"/>
          <w:szCs w:val="32"/>
        </w:rPr>
        <w:t>%。主要变动原因</w:t>
      </w:r>
      <w:r>
        <w:rPr>
          <w:rFonts w:hint="eastAsia" w:ascii="仿宋_GB2312" w:hAnsi="仿宋_GB2312" w:eastAsia="仿宋_GB2312" w:cs="仿宋_GB2312"/>
          <w:sz w:val="32"/>
          <w:szCs w:val="32"/>
        </w:rPr>
        <w:t>系本年度</w:t>
      </w:r>
      <w:r>
        <w:rPr>
          <w:rFonts w:hint="eastAsia" w:ascii="仿宋_GB2312" w:hAnsi="仿宋_GB2312" w:eastAsia="仿宋_GB2312" w:cs="仿宋_GB2312"/>
          <w:sz w:val="32"/>
          <w:szCs w:val="32"/>
          <w:lang w:eastAsia="zh-CN"/>
        </w:rPr>
        <w:t>专项项目增加</w:t>
      </w:r>
      <w:r>
        <w:rPr>
          <w:rFonts w:hint="eastAsia" w:ascii="仿宋_GB2312" w:hAnsi="仿宋_GB2312" w:eastAsia="仿宋_GB2312" w:cs="仿宋_GB2312"/>
          <w:sz w:val="32"/>
          <w:szCs w:val="32"/>
        </w:rPr>
        <w:t>。</w:t>
      </w:r>
    </w:p>
    <w:p>
      <w:pPr>
        <w:spacing w:line="600" w:lineRule="exact"/>
        <w:ind w:firstLine="640" w:firstLineChars="200"/>
        <w:rPr>
          <w:rFonts w:ascii="仿宋" w:hAnsi="仿宋" w:eastAsia="仿宋"/>
          <w:sz w:val="32"/>
          <w:szCs w:val="32"/>
        </w:rPr>
      </w:pPr>
    </w:p>
    <w:p>
      <w:pPr>
        <w:pStyle w:val="6"/>
        <w:keepNext w:val="0"/>
        <w:keepLines w:val="0"/>
        <w:pageBreakBefore w:val="0"/>
        <w:widowControl w:val="0"/>
        <w:kinsoku/>
        <w:wordWrap/>
        <w:overflowPunct/>
        <w:topLinePunct w:val="0"/>
        <w:autoSpaceDE/>
        <w:autoSpaceDN/>
        <w:bidi w:val="0"/>
        <w:adjustRightInd/>
        <w:snapToGrid/>
        <w:textAlignment w:val="auto"/>
        <w:rPr>
          <w:rFonts w:ascii="仿宋" w:hAnsi="仿宋" w:eastAsia="仿宋"/>
          <w:color w:val="auto"/>
          <w:sz w:val="32"/>
          <w:szCs w:val="32"/>
          <w:highlight w:val="none"/>
        </w:rPr>
      </w:pPr>
      <w:r>
        <w:drawing>
          <wp:inline distT="0" distB="0" distL="0" distR="0">
            <wp:extent cx="5274310" cy="3076575"/>
            <wp:effectExtent l="5080" t="4445" r="16510" b="508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both"/>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3" w:firstLineChars="200"/>
        <w:outlineLvl w:val="2"/>
        <w:rPr>
          <w:rFonts w:ascii="仿宋" w:hAnsi="仿宋" w:eastAsia="仿宋"/>
          <w:b/>
          <w:color w:val="auto"/>
          <w:sz w:val="32"/>
          <w:szCs w:val="32"/>
          <w:highlight w:val="none"/>
        </w:rPr>
      </w:pPr>
      <w:bookmarkStart w:id="45" w:name="_Toc15377211"/>
      <w:r>
        <w:rPr>
          <w:rFonts w:hint="eastAsia" w:ascii="仿宋" w:hAnsi="仿宋" w:eastAsia="仿宋"/>
          <w:b/>
          <w:color w:val="auto"/>
          <w:sz w:val="32"/>
          <w:szCs w:val="32"/>
          <w:highlight w:val="none"/>
        </w:rPr>
        <w:t>（二）一般公共预算财政拨款支出决算结构情况</w:t>
      </w:r>
      <w:bookmarkEnd w:id="45"/>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32.00</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27.88</w:t>
      </w:r>
      <w:r>
        <w:rPr>
          <w:rFonts w:hint="eastAsia" w:ascii="仿宋" w:hAnsi="仿宋" w:eastAsia="仿宋"/>
          <w:sz w:val="32"/>
          <w:szCs w:val="32"/>
        </w:rPr>
        <w:t>万元，占</w:t>
      </w:r>
      <w:r>
        <w:rPr>
          <w:rFonts w:hint="eastAsia" w:ascii="仿宋" w:hAnsi="仿宋" w:eastAsia="仿宋"/>
          <w:sz w:val="32"/>
          <w:szCs w:val="32"/>
          <w:lang w:val="en-US" w:eastAsia="zh-CN"/>
        </w:rPr>
        <w:t>87.13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1.13万元，</w:t>
      </w:r>
      <w:r>
        <w:rPr>
          <w:rFonts w:hint="eastAsia" w:ascii="仿宋" w:hAnsi="仿宋" w:eastAsia="仿宋"/>
          <w:sz w:val="32"/>
          <w:szCs w:val="32"/>
          <w:lang w:val="en-US" w:eastAsia="zh-CN"/>
        </w:rPr>
        <w:t>3.53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0.51万元，占</w:t>
      </w:r>
      <w:r>
        <w:rPr>
          <w:rFonts w:hint="eastAsia" w:ascii="仿宋" w:hAnsi="仿宋" w:eastAsia="仿宋"/>
          <w:sz w:val="32"/>
          <w:szCs w:val="32"/>
          <w:lang w:val="en-US" w:eastAsia="zh-CN"/>
        </w:rPr>
        <w:t>1.59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住房保障支出</w:t>
      </w:r>
      <w:r>
        <w:rPr>
          <w:rFonts w:hint="eastAsia" w:ascii="仿宋" w:hAnsi="仿宋" w:eastAsia="仿宋"/>
          <w:sz w:val="32"/>
          <w:szCs w:val="32"/>
        </w:rPr>
        <w:t>2.48万元，占</w:t>
      </w:r>
      <w:r>
        <w:rPr>
          <w:rFonts w:hint="eastAsia" w:ascii="仿宋" w:hAnsi="仿宋" w:eastAsia="仿宋"/>
          <w:sz w:val="32"/>
          <w:szCs w:val="32"/>
          <w:lang w:val="en-US" w:eastAsia="zh-CN"/>
        </w:rPr>
        <w:t>7.75</w:t>
      </w:r>
      <w:r>
        <w:rPr>
          <w:rFonts w:ascii="仿宋" w:hAnsi="仿宋" w:eastAsia="仿宋"/>
          <w:sz w:val="32"/>
          <w:szCs w:val="32"/>
        </w:rPr>
        <w:t>%</w:t>
      </w:r>
      <w:r>
        <w:rPr>
          <w:rFonts w:hint="eastAsia" w:ascii="仿宋" w:hAnsi="仿宋" w:eastAsia="仿宋"/>
          <w:sz w:val="32"/>
          <w:szCs w:val="32"/>
        </w:rPr>
        <w:t>。</w:t>
      </w:r>
    </w:p>
    <w:p>
      <w:pPr>
        <w:pStyle w:val="6"/>
        <w:rPr>
          <w:rFonts w:hint="eastAsia" w:eastAsia="仿宋_GB2312"/>
          <w:lang w:eastAsia="zh-CN"/>
        </w:rPr>
      </w:pPr>
      <w:r>
        <w:rPr>
          <w:rFonts w:hint="eastAsia" w:eastAsia="仿宋_GB2312"/>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rPr>
          <w:rFonts w:hint="eastAsia" w:ascii="仿宋" w:hAnsi="仿宋" w:eastAsia="仿宋"/>
          <w:b/>
          <w:color w:val="auto"/>
          <w:sz w:val="32"/>
          <w:szCs w:val="32"/>
          <w:highlight w:val="none"/>
        </w:rPr>
      </w:pPr>
      <w:r>
        <w:rPr>
          <w:rFonts w:hint="eastAsia" w:ascii="仿宋" w:hAnsi="仿宋" w:eastAsia="仿宋"/>
          <w:color w:val="auto"/>
          <w:sz w:val="32"/>
          <w:szCs w:val="32"/>
          <w:highlight w:val="none"/>
        </w:rPr>
        <w:t>（图6：一般公共预算财政拨款支出决算结构）（饼状图）</w:t>
      </w:r>
      <w:bookmarkStart w:id="46" w:name="_Toc15377212"/>
    </w:p>
    <w:p>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46"/>
    </w:p>
    <w:p>
      <w:pPr>
        <w:spacing w:line="600" w:lineRule="exact"/>
        <w:ind w:firstLine="643" w:firstLineChars="200"/>
        <w:outlineLvl w:val="2"/>
        <w:rPr>
          <w:rFonts w:ascii="仿宋" w:hAnsi="仿宋" w:eastAsia="仿宋"/>
          <w:color w:val="auto"/>
          <w:sz w:val="32"/>
          <w:szCs w:val="32"/>
          <w:highlight w:val="none"/>
        </w:rPr>
      </w:pPr>
      <w:bookmarkStart w:id="47" w:name="_Toc15378460"/>
      <w:bookmarkStart w:id="48" w:name="_Toc15377444"/>
      <w:bookmarkStart w:id="49"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般公共预算支出决算数为32.00</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47"/>
      <w:bookmarkEnd w:id="48"/>
      <w:bookmarkEnd w:id="49"/>
    </w:p>
    <w:p>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1.</w:t>
      </w:r>
      <w:r>
        <w:rPr>
          <w:rStyle w:val="17"/>
          <w:rFonts w:hint="eastAsia" w:ascii="仿宋" w:hAnsi="仿宋" w:eastAsia="仿宋"/>
          <w:bCs/>
          <w:sz w:val="32"/>
          <w:szCs w:val="32"/>
        </w:rPr>
        <w:t>一般公共服务（类）群众团体事务（款）事业运行（项）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color w:val="auto"/>
          <w:sz w:val="32"/>
          <w:szCs w:val="32"/>
          <w:highlight w:val="none"/>
        </w:rPr>
        <w:t>支出决算为18.24万元，完成预算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rPr>
        <w:t>2</w:t>
      </w:r>
      <w:r>
        <w:rPr>
          <w:rStyle w:val="17"/>
          <w:rFonts w:ascii="仿宋" w:hAnsi="仿宋" w:eastAsia="仿宋"/>
          <w:bCs/>
          <w:sz w:val="32"/>
          <w:szCs w:val="32"/>
        </w:rPr>
        <w:t>.</w:t>
      </w:r>
      <w:r>
        <w:rPr>
          <w:rStyle w:val="17"/>
          <w:rFonts w:hint="eastAsia" w:ascii="仿宋" w:hAnsi="仿宋" w:eastAsia="仿宋"/>
          <w:bCs/>
          <w:sz w:val="32"/>
          <w:szCs w:val="32"/>
        </w:rPr>
        <w:t>一般公共服务（类）群众团体事务（款）其他群众团体事务支出（项）</w:t>
      </w:r>
      <w:r>
        <w:rPr>
          <w:rStyle w:val="17"/>
          <w:rFonts w:ascii="仿宋" w:hAnsi="仿宋" w:eastAsia="仿宋"/>
          <w:bCs/>
          <w:sz w:val="32"/>
          <w:szCs w:val="32"/>
        </w:rPr>
        <w:t>:</w:t>
      </w:r>
      <w:r>
        <w:rPr>
          <w:rStyle w:val="17"/>
          <w:rFonts w:hint="eastAsia" w:ascii="仿宋" w:hAnsi="仿宋" w:eastAsia="仿宋"/>
          <w:b w:val="0"/>
          <w:bCs/>
          <w:sz w:val="32"/>
          <w:szCs w:val="32"/>
        </w:rPr>
        <w:t>支出决算为9.64万元，完成预算100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lang w:val="en-US" w:eastAsia="zh-CN"/>
        </w:rPr>
        <w:t>3</w:t>
      </w:r>
      <w:r>
        <w:rPr>
          <w:rStyle w:val="17"/>
          <w:rFonts w:ascii="仿宋" w:hAnsi="仿宋" w:eastAsia="仿宋"/>
          <w:bCs/>
          <w:sz w:val="32"/>
          <w:szCs w:val="32"/>
        </w:rPr>
        <w:t>.</w:t>
      </w:r>
      <w:r>
        <w:rPr>
          <w:rStyle w:val="17"/>
          <w:rFonts w:hint="eastAsia" w:ascii="仿宋" w:hAnsi="仿宋" w:eastAsia="仿宋"/>
          <w:bCs/>
          <w:sz w:val="32"/>
          <w:szCs w:val="32"/>
        </w:rPr>
        <w:t>社会保障和就业（类）行政事业单位养老支出（款）机关事业单位基本养老保险缴费支出（项）</w:t>
      </w:r>
      <w:r>
        <w:rPr>
          <w:rStyle w:val="17"/>
          <w:rFonts w:ascii="仿宋" w:hAnsi="仿宋" w:eastAsia="仿宋"/>
          <w:bCs/>
          <w:sz w:val="32"/>
          <w:szCs w:val="32"/>
        </w:rPr>
        <w:t>:</w:t>
      </w:r>
      <w:r>
        <w:rPr>
          <w:rStyle w:val="17"/>
          <w:rFonts w:hint="eastAsia" w:ascii="仿宋" w:hAnsi="仿宋" w:eastAsia="仿宋"/>
          <w:b w:val="0"/>
          <w:bCs/>
          <w:sz w:val="32"/>
          <w:szCs w:val="32"/>
        </w:rPr>
        <w:t>支出决算为1.05万元，完成预算100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lang w:val="en-US" w:eastAsia="zh-CN"/>
        </w:rPr>
        <w:t>4</w:t>
      </w:r>
      <w:r>
        <w:rPr>
          <w:rStyle w:val="17"/>
          <w:rFonts w:ascii="仿宋" w:hAnsi="仿宋" w:eastAsia="仿宋"/>
          <w:bCs/>
          <w:sz w:val="32"/>
          <w:szCs w:val="32"/>
        </w:rPr>
        <w:t>.</w:t>
      </w:r>
      <w:r>
        <w:rPr>
          <w:rStyle w:val="17"/>
          <w:rFonts w:hint="eastAsia" w:ascii="仿宋" w:hAnsi="仿宋" w:eastAsia="仿宋"/>
          <w:bCs/>
          <w:sz w:val="32"/>
          <w:szCs w:val="32"/>
        </w:rPr>
        <w:t>社会保障和就业（类）其他社会保障和就业支出（款）其他社会保障和就业支出（项）</w:t>
      </w:r>
      <w:r>
        <w:rPr>
          <w:rStyle w:val="17"/>
          <w:rFonts w:ascii="仿宋" w:hAnsi="仿宋" w:eastAsia="仿宋"/>
          <w:bCs/>
          <w:sz w:val="32"/>
          <w:szCs w:val="32"/>
        </w:rPr>
        <w:t>:</w:t>
      </w:r>
      <w:r>
        <w:rPr>
          <w:rStyle w:val="17"/>
          <w:rFonts w:hint="eastAsia" w:ascii="仿宋" w:hAnsi="仿宋" w:eastAsia="仿宋"/>
          <w:b w:val="0"/>
          <w:bCs/>
          <w:sz w:val="32"/>
          <w:szCs w:val="32"/>
        </w:rPr>
        <w:t>支出决算为0.08万元，完成预算100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5</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（类）行政事业单位医疗（款）</w:t>
      </w:r>
      <w:r>
        <w:rPr>
          <w:rStyle w:val="17"/>
          <w:rFonts w:hint="eastAsia" w:ascii="仿宋" w:hAnsi="仿宋" w:eastAsia="仿宋"/>
          <w:bCs/>
          <w:sz w:val="32"/>
          <w:szCs w:val="32"/>
          <w:lang w:eastAsia="zh-CN"/>
        </w:rPr>
        <w:t>事业</w:t>
      </w:r>
      <w:r>
        <w:rPr>
          <w:rStyle w:val="17"/>
          <w:rFonts w:hint="eastAsia" w:ascii="仿宋" w:hAnsi="仿宋" w:eastAsia="仿宋"/>
          <w:bCs/>
          <w:sz w:val="32"/>
          <w:szCs w:val="32"/>
        </w:rPr>
        <w:t>单位医疗（项）</w:t>
      </w:r>
      <w:r>
        <w:rPr>
          <w:rStyle w:val="17"/>
          <w:rFonts w:ascii="仿宋" w:hAnsi="仿宋" w:eastAsia="仿宋"/>
          <w:bCs/>
          <w:sz w:val="32"/>
          <w:szCs w:val="32"/>
        </w:rPr>
        <w:t>:</w:t>
      </w:r>
      <w:r>
        <w:rPr>
          <w:rStyle w:val="17"/>
          <w:rFonts w:hint="eastAsia" w:ascii="仿宋" w:hAnsi="仿宋" w:eastAsia="仿宋"/>
          <w:b w:val="0"/>
          <w:bCs/>
          <w:sz w:val="32"/>
          <w:szCs w:val="32"/>
        </w:rPr>
        <w:t>支出决算为0.51万元，完成预算100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6</w:t>
      </w:r>
      <w:r>
        <w:rPr>
          <w:rStyle w:val="17"/>
          <w:rFonts w:ascii="仿宋" w:hAnsi="仿宋" w:eastAsia="仿宋"/>
          <w:bCs/>
          <w:sz w:val="32"/>
          <w:szCs w:val="32"/>
        </w:rPr>
        <w:t>.</w:t>
      </w:r>
      <w:r>
        <w:rPr>
          <w:rFonts w:hint="eastAsia"/>
        </w:rPr>
        <w:t xml:space="preserve"> </w:t>
      </w:r>
      <w:r>
        <w:rPr>
          <w:rFonts w:hint="eastAsia" w:ascii="仿宋" w:hAnsi="仿宋" w:eastAsia="仿宋"/>
          <w:b/>
          <w:bCs/>
          <w:sz w:val="32"/>
          <w:szCs w:val="32"/>
        </w:rPr>
        <w:t>住房保障支出</w:t>
      </w:r>
      <w:r>
        <w:rPr>
          <w:rStyle w:val="17"/>
          <w:rFonts w:hint="eastAsia" w:ascii="仿宋" w:hAnsi="仿宋" w:eastAsia="仿宋"/>
          <w:bCs/>
          <w:sz w:val="32"/>
          <w:szCs w:val="32"/>
        </w:rPr>
        <w:t>（类）住房改革支出（款）住房公积金（项）</w:t>
      </w:r>
      <w:r>
        <w:rPr>
          <w:rStyle w:val="17"/>
          <w:rFonts w:ascii="仿宋" w:hAnsi="仿宋" w:eastAsia="仿宋"/>
          <w:bCs/>
          <w:sz w:val="32"/>
          <w:szCs w:val="32"/>
        </w:rPr>
        <w:t>:</w:t>
      </w:r>
      <w:r>
        <w:rPr>
          <w:rStyle w:val="17"/>
          <w:rFonts w:hint="eastAsia" w:ascii="仿宋" w:hAnsi="仿宋" w:eastAsia="仿宋"/>
          <w:b w:val="0"/>
          <w:bCs/>
          <w:sz w:val="32"/>
          <w:szCs w:val="32"/>
        </w:rPr>
        <w:t>支出决算为4.41万元，完成预算100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tabs>
          <w:tab w:val="right" w:pos="8306"/>
        </w:tabs>
        <w:spacing w:line="600" w:lineRule="exact"/>
        <w:ind w:firstLine="640"/>
        <w:outlineLvl w:val="1"/>
        <w:rPr>
          <w:rStyle w:val="31"/>
          <w:color w:val="auto"/>
          <w:highlight w:val="none"/>
        </w:rPr>
      </w:pPr>
      <w:bookmarkStart w:id="50" w:name="_Toc15377214"/>
      <w:bookmarkStart w:id="51" w:name="_Toc23098"/>
      <w:bookmarkStart w:id="52"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般公共预算财政拨款基本支出决算情况说明</w:t>
      </w:r>
      <w:bookmarkEnd w:id="50"/>
      <w:bookmarkEnd w:id="51"/>
      <w:bookmarkEnd w:id="52"/>
      <w:r>
        <w:rPr>
          <w:rStyle w:val="31"/>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年一般公共预算财政拨款基本支出22.36万元，其中：</w:t>
      </w:r>
    </w:p>
    <w:p>
      <w:pPr>
        <w:spacing w:line="60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人员经费20.24万元，主要包括：基本工资、津贴补贴</w:t>
      </w:r>
    </w:p>
    <w:p>
      <w:pPr>
        <w:spacing w:line="600" w:lineRule="exac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绩效工资、机关事业单位基本养老保险缴费、职工基本医疗保险缴费</w:t>
      </w:r>
      <w:r>
        <w:rPr>
          <w:rFonts w:hint="eastAsia" w:ascii="仿宋" w:hAnsi="仿宋" w:eastAsia="仿宋"/>
          <w:color w:val="auto"/>
          <w:sz w:val="32"/>
          <w:szCs w:val="32"/>
          <w:highlight w:val="none"/>
          <w:lang w:eastAsia="zh-CN"/>
        </w:rPr>
        <w:t>、其他社会保障缴费、</w:t>
      </w:r>
      <w:r>
        <w:rPr>
          <w:rFonts w:hint="eastAsia" w:ascii="仿宋" w:hAnsi="仿宋" w:eastAsia="仿宋"/>
          <w:color w:val="auto"/>
          <w:sz w:val="32"/>
          <w:szCs w:val="32"/>
          <w:highlight w:val="none"/>
        </w:rPr>
        <w:t>住房公积金等。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公用经费2.12万元，主要包括：办公费、邮电费</w:t>
      </w:r>
      <w:r>
        <w:rPr>
          <w:rFonts w:hint="eastAsia" w:ascii="仿宋" w:hAnsi="仿宋" w:eastAsia="仿宋"/>
          <w:color w:val="auto"/>
          <w:sz w:val="32"/>
          <w:szCs w:val="32"/>
          <w:highlight w:val="none"/>
          <w:lang w:eastAsia="zh-CN"/>
        </w:rPr>
        <w:t>、差旅费、</w:t>
      </w:r>
      <w:r>
        <w:rPr>
          <w:rFonts w:hint="eastAsia" w:ascii="仿宋" w:hAnsi="仿宋" w:eastAsia="仿宋"/>
          <w:color w:val="auto"/>
          <w:sz w:val="32"/>
          <w:szCs w:val="32"/>
          <w:highlight w:val="none"/>
        </w:rPr>
        <w:t>福利费等。</w:t>
      </w:r>
    </w:p>
    <w:p>
      <w:pPr>
        <w:spacing w:line="600" w:lineRule="exact"/>
        <w:ind w:firstLine="640"/>
        <w:outlineLvl w:val="1"/>
        <w:rPr>
          <w:rStyle w:val="31"/>
          <w:rFonts w:ascii="黑体" w:hAnsi="黑体" w:eastAsia="黑体"/>
          <w:b w:val="0"/>
          <w:color w:val="auto"/>
          <w:highlight w:val="none"/>
        </w:rPr>
      </w:pPr>
      <w:bookmarkStart w:id="53" w:name="_Toc15396609"/>
      <w:bookmarkStart w:id="54" w:name="_Toc15377215"/>
      <w:bookmarkStart w:id="55" w:name="_Toc3671"/>
      <w:r>
        <w:rPr>
          <w:rFonts w:hint="eastAsia" w:ascii="黑体" w:eastAsia="黑体"/>
          <w:color w:val="auto"/>
          <w:sz w:val="32"/>
          <w:szCs w:val="32"/>
          <w:highlight w:val="none"/>
        </w:rPr>
        <w:t>七、</w:t>
      </w:r>
      <w:r>
        <w:rPr>
          <w:rStyle w:val="31"/>
          <w:rFonts w:hint="eastAsia" w:ascii="黑体" w:hAnsi="黑体" w:eastAsia="黑体"/>
          <w:b w:val="0"/>
          <w:color w:val="auto"/>
          <w:highlight w:val="none"/>
        </w:rPr>
        <w:t>财政拨款</w:t>
      </w:r>
      <w:r>
        <w:rPr>
          <w:rStyle w:val="31"/>
          <w:rFonts w:hint="eastAsia" w:ascii="黑体" w:hAnsi="黑体" w:eastAsia="黑体"/>
          <w:color w:val="auto"/>
          <w:highlight w:val="none"/>
        </w:rPr>
        <w:t>“</w:t>
      </w:r>
      <w:r>
        <w:rPr>
          <w:rStyle w:val="31"/>
          <w:rFonts w:hint="eastAsia" w:ascii="黑体" w:hAnsi="黑体" w:eastAsia="黑体"/>
          <w:b w:val="0"/>
          <w:color w:val="auto"/>
          <w:highlight w:val="none"/>
        </w:rPr>
        <w:t>三公”经费支出决算情况说明</w:t>
      </w:r>
      <w:bookmarkEnd w:id="53"/>
      <w:bookmarkEnd w:id="54"/>
      <w:bookmarkEnd w:id="55"/>
    </w:p>
    <w:p>
      <w:pPr>
        <w:spacing w:line="600" w:lineRule="exact"/>
        <w:ind w:firstLine="640"/>
        <w:outlineLvl w:val="2"/>
        <w:rPr>
          <w:rFonts w:ascii="仿宋" w:hAnsi="仿宋" w:eastAsia="仿宋"/>
          <w:b/>
          <w:color w:val="auto"/>
          <w:sz w:val="32"/>
          <w:szCs w:val="32"/>
          <w:highlight w:val="none"/>
        </w:rPr>
      </w:pPr>
      <w:bookmarkStart w:id="56" w:name="_Toc15377216"/>
      <w:r>
        <w:rPr>
          <w:rFonts w:hint="eastAsia" w:ascii="仿宋" w:hAnsi="仿宋" w:eastAsia="仿宋"/>
          <w:b/>
          <w:color w:val="auto"/>
          <w:sz w:val="32"/>
          <w:szCs w:val="32"/>
          <w:highlight w:val="none"/>
        </w:rPr>
        <w:t>（一）“三公”经费财政拨款支出决算总体情况说明</w:t>
      </w:r>
      <w:bookmarkEnd w:id="5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年“三公”经费财政拨款支出决算为0万元，完成预算</w:t>
      </w:r>
      <w:r>
        <w:rPr>
          <w:rFonts w:hint="eastAsia" w:ascii="仿宋" w:hAnsi="仿宋" w:eastAsia="仿宋"/>
          <w:sz w:val="32"/>
          <w:szCs w:val="32"/>
          <w:lang w:val="en-US" w:eastAsia="zh-CN"/>
        </w:rPr>
        <w:t>100.00</w:t>
      </w:r>
      <w:r>
        <w:rPr>
          <w:rFonts w:ascii="仿宋" w:hAnsi="仿宋" w:eastAsia="仿宋"/>
          <w:sz w:val="32"/>
          <w:szCs w:val="32"/>
        </w:rPr>
        <w:t>%</w:t>
      </w:r>
      <w:r>
        <w:rPr>
          <w:rFonts w:hint="eastAsia" w:ascii="仿宋" w:hAnsi="仿宋" w:eastAsia="仿宋"/>
          <w:sz w:val="32"/>
          <w:szCs w:val="32"/>
        </w:rPr>
        <w:t>，决算数</w:t>
      </w:r>
      <w:r>
        <w:rPr>
          <w:rFonts w:hint="eastAsia" w:ascii="仿宋" w:hAnsi="仿宋" w:eastAsia="仿宋"/>
          <w:sz w:val="32"/>
          <w:szCs w:val="32"/>
          <w:lang w:eastAsia="zh-CN"/>
        </w:rPr>
        <w:t>等</w:t>
      </w:r>
      <w:r>
        <w:rPr>
          <w:rFonts w:hint="eastAsia" w:ascii="仿宋" w:hAnsi="仿宋" w:eastAsia="仿宋"/>
          <w:sz w:val="32"/>
          <w:szCs w:val="32"/>
        </w:rPr>
        <w:t>于预算数。</w:t>
      </w:r>
    </w:p>
    <w:p>
      <w:pPr>
        <w:spacing w:line="600" w:lineRule="exact"/>
        <w:ind w:firstLine="640"/>
        <w:outlineLvl w:val="2"/>
        <w:rPr>
          <w:rFonts w:ascii="仿宋" w:hAnsi="仿宋" w:eastAsia="仿宋"/>
          <w:b/>
          <w:color w:val="auto"/>
          <w:sz w:val="32"/>
          <w:szCs w:val="32"/>
          <w:highlight w:val="none"/>
        </w:rPr>
      </w:pPr>
      <w:bookmarkStart w:id="57" w:name="_Toc15377217"/>
      <w:r>
        <w:rPr>
          <w:rFonts w:hint="eastAsia" w:ascii="仿宋" w:hAnsi="仿宋" w:eastAsia="仿宋"/>
          <w:b/>
          <w:color w:val="auto"/>
          <w:sz w:val="32"/>
          <w:szCs w:val="32"/>
          <w:highlight w:val="none"/>
        </w:rPr>
        <w:t>（二）“三公”经费财政拨款支出决算具体情况说明</w:t>
      </w:r>
      <w:bookmarkEnd w:id="57"/>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_GB2312" w:eastAsia="仿宋_GB2312"/>
          <w:sz w:val="32"/>
          <w:szCs w:val="32"/>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sz w:val="32"/>
          <w:szCs w:val="32"/>
        </w:rPr>
        <w:t>与202</w:t>
      </w:r>
      <w:r>
        <w:rPr>
          <w:rFonts w:hint="eastAsia" w:ascii="仿宋_GB2312" w:eastAsia="仿宋_GB2312"/>
          <w:sz w:val="32"/>
          <w:szCs w:val="32"/>
          <w:lang w:val="en-US" w:eastAsia="zh-CN"/>
        </w:rPr>
        <w:t>1</w:t>
      </w:r>
      <w:r>
        <w:rPr>
          <w:rFonts w:hint="eastAsia" w:ascii="仿宋_GB2312" w:eastAsia="仿宋_GB2312"/>
          <w:sz w:val="32"/>
          <w:szCs w:val="32"/>
        </w:rPr>
        <w:t>年持平</w:t>
      </w:r>
      <w:r>
        <w:rPr>
          <w:rFonts w:hint="eastAsia" w:ascii="仿宋_GB2312" w:eastAsia="仿宋_GB2312"/>
          <w:color w:val="auto"/>
          <w:sz w:val="32"/>
          <w:szCs w:val="32"/>
          <w:highlight w:val="none"/>
        </w:rPr>
        <w:t>，增降</w:t>
      </w:r>
      <w:r>
        <w:rPr>
          <w:rFonts w:hint="eastAsia" w:ascii="仿宋_GB2312" w:eastAsia="仿宋_GB2312"/>
          <w:color w:val="auto"/>
          <w:sz w:val="32"/>
          <w:szCs w:val="32"/>
          <w:highlight w:val="none"/>
          <w:lang w:eastAsia="zh-CN"/>
        </w:rPr>
        <w:t>变动</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_GB2312" w:eastAsia="仿宋_GB2312"/>
          <w:sz w:val="32"/>
          <w:szCs w:val="32"/>
        </w:rPr>
        <w:t>主要原因是我单位未安排因公出国（境）。</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7"/>
          <w:rFonts w:hint="eastAsia" w:ascii="仿宋" w:hAnsi="仿宋" w:eastAsia="仿宋"/>
          <w:b w:val="0"/>
          <w:bCs/>
          <w:sz w:val="32"/>
          <w:szCs w:val="32"/>
        </w:rPr>
        <w:t>完成预算0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公务用车购置及运行维护费支出决算与202</w:t>
      </w:r>
      <w:r>
        <w:rPr>
          <w:rFonts w:hint="eastAsia" w:ascii="仿宋_GB2312" w:eastAsia="仿宋_GB2312"/>
          <w:sz w:val="32"/>
          <w:szCs w:val="32"/>
          <w:lang w:val="en-US" w:eastAsia="zh-CN"/>
        </w:rPr>
        <w:t>1</w:t>
      </w:r>
      <w:r>
        <w:rPr>
          <w:rFonts w:hint="eastAsia" w:ascii="仿宋_GB2312" w:eastAsia="仿宋_GB2312"/>
          <w:sz w:val="32"/>
          <w:szCs w:val="32"/>
        </w:rPr>
        <w:t>年持平。主要原因是我单位无公务用车。</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w:t>
      </w:r>
      <w:r>
        <w:rPr>
          <w:rFonts w:hint="eastAsia" w:ascii="仿宋_GB2312" w:eastAsia="仿宋_GB2312"/>
          <w:sz w:val="32"/>
          <w:szCs w:val="32"/>
        </w:rPr>
        <w:t>与202</w:t>
      </w:r>
      <w:r>
        <w:rPr>
          <w:rFonts w:hint="eastAsia" w:ascii="仿宋_GB2312" w:eastAsia="仿宋_GB2312"/>
          <w:sz w:val="32"/>
          <w:szCs w:val="32"/>
          <w:lang w:val="en-US" w:eastAsia="zh-CN"/>
        </w:rPr>
        <w:t>1</w:t>
      </w:r>
      <w:r>
        <w:rPr>
          <w:rFonts w:hint="eastAsia" w:ascii="仿宋_GB2312" w:eastAsia="仿宋_GB2312"/>
          <w:sz w:val="32"/>
          <w:szCs w:val="32"/>
        </w:rPr>
        <w:t>年持平</w:t>
      </w:r>
      <w:r>
        <w:rPr>
          <w:rFonts w:hint="eastAsia" w:ascii="仿宋_GB2312" w:eastAsia="仿宋_GB2312"/>
          <w:color w:val="auto"/>
          <w:sz w:val="32"/>
          <w:szCs w:val="32"/>
          <w:highlight w:val="none"/>
        </w:rPr>
        <w:t>。</w:t>
      </w:r>
      <w:r>
        <w:rPr>
          <w:rFonts w:hint="eastAsia" w:ascii="仿宋_GB2312" w:eastAsia="仿宋_GB2312"/>
          <w:sz w:val="32"/>
          <w:szCs w:val="32"/>
        </w:rPr>
        <w:t>主要原因是单位</w:t>
      </w:r>
      <w:r>
        <w:rPr>
          <w:rFonts w:hint="eastAsia" w:ascii="仿宋_GB2312" w:eastAsia="仿宋_GB2312"/>
          <w:sz w:val="32"/>
          <w:szCs w:val="32"/>
          <w:lang w:eastAsia="zh-CN"/>
        </w:rPr>
        <w:t>未安排公务接待事项</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1"/>
        <w:rPr>
          <w:rStyle w:val="31"/>
          <w:rFonts w:ascii="黑体" w:hAnsi="黑体" w:eastAsia="黑体"/>
          <w:color w:val="auto"/>
          <w:highlight w:val="none"/>
        </w:rPr>
      </w:pPr>
      <w:bookmarkStart w:id="58" w:name="_Toc15377218"/>
      <w:bookmarkStart w:id="59" w:name="_Toc15396610"/>
      <w:bookmarkStart w:id="60" w:name="_Toc20775"/>
      <w:r>
        <w:rPr>
          <w:rFonts w:hint="eastAsia" w:ascii="黑体" w:eastAsia="黑体"/>
          <w:color w:val="auto"/>
          <w:sz w:val="32"/>
          <w:szCs w:val="32"/>
          <w:highlight w:val="none"/>
        </w:rPr>
        <w:t>八、</w:t>
      </w:r>
      <w:r>
        <w:rPr>
          <w:rStyle w:val="31"/>
          <w:rFonts w:hint="eastAsia" w:ascii="黑体" w:hAnsi="黑体" w:eastAsia="黑体"/>
          <w:b w:val="0"/>
          <w:color w:val="auto"/>
          <w:highlight w:val="none"/>
        </w:rPr>
        <w:t>政府性基金预算支出决算情况说明</w:t>
      </w:r>
      <w:bookmarkEnd w:id="58"/>
      <w:bookmarkEnd w:id="59"/>
      <w:bookmarkEnd w:id="60"/>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31"/>
          <w:rFonts w:ascii="黑体" w:hAnsi="黑体" w:eastAsia="黑体"/>
          <w:b w:val="0"/>
          <w:color w:val="auto"/>
          <w:highlight w:val="none"/>
        </w:rPr>
      </w:pPr>
      <w:bookmarkStart w:id="61" w:name="_Toc15377219"/>
      <w:bookmarkStart w:id="62" w:name="_Toc15396611"/>
      <w:bookmarkStart w:id="63" w:name="_Toc17583"/>
      <w:r>
        <w:rPr>
          <w:rStyle w:val="31"/>
          <w:rFonts w:hint="eastAsia" w:ascii="黑体" w:hAnsi="黑体" w:eastAsia="黑体"/>
          <w:b w:val="0"/>
          <w:color w:val="auto"/>
          <w:highlight w:val="none"/>
        </w:rPr>
        <w:t>国有资本经营预算支出决算情况说明</w:t>
      </w:r>
      <w:bookmarkEnd w:id="61"/>
      <w:bookmarkEnd w:id="62"/>
      <w:bookmarkEnd w:id="6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31"/>
          <w:rFonts w:hint="eastAsia" w:ascii="黑体" w:hAnsi="黑体" w:eastAsia="黑体"/>
          <w:b w:val="0"/>
          <w:color w:val="auto"/>
          <w:highlight w:val="none"/>
        </w:rPr>
      </w:pPr>
      <w:bookmarkStart w:id="64" w:name="_Toc27100"/>
      <w:bookmarkStart w:id="65" w:name="_Toc15377221"/>
      <w:bookmarkStart w:id="66" w:name="_Toc15396612"/>
      <w:r>
        <w:rPr>
          <w:rStyle w:val="31"/>
          <w:rFonts w:hint="eastAsia" w:ascii="黑体" w:hAnsi="黑体" w:eastAsia="黑体"/>
          <w:b w:val="0"/>
          <w:color w:val="auto"/>
          <w:highlight w:val="none"/>
        </w:rPr>
        <w:t>其他重要事项的情况说明</w:t>
      </w:r>
      <w:bookmarkEnd w:id="64"/>
      <w:bookmarkEnd w:id="65"/>
      <w:bookmarkEnd w:id="66"/>
    </w:p>
    <w:p>
      <w:pPr>
        <w:spacing w:line="600" w:lineRule="exact"/>
        <w:ind w:firstLine="643" w:firstLineChars="200"/>
        <w:outlineLvl w:val="2"/>
        <w:rPr>
          <w:rFonts w:ascii="仿宋" w:hAnsi="仿宋" w:eastAsia="仿宋"/>
          <w:color w:val="auto"/>
          <w:sz w:val="32"/>
          <w:szCs w:val="32"/>
          <w:highlight w:val="none"/>
        </w:rPr>
      </w:pPr>
      <w:bookmarkStart w:id="67" w:name="_Toc15377222"/>
      <w:r>
        <w:rPr>
          <w:rFonts w:hint="eastAsia" w:ascii="仿宋" w:hAnsi="仿宋" w:eastAsia="仿宋"/>
          <w:b/>
          <w:color w:val="auto"/>
          <w:sz w:val="32"/>
          <w:szCs w:val="32"/>
          <w:highlight w:val="none"/>
        </w:rPr>
        <w:t>（一）机关运行经费支出情况</w:t>
      </w:r>
      <w:bookmarkEnd w:id="67"/>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区侨联</w:t>
      </w:r>
      <w:r>
        <w:rPr>
          <w:rFonts w:hint="eastAsia" w:ascii="仿宋_GB2312" w:eastAsia="仿宋_GB2312"/>
          <w:color w:val="auto"/>
          <w:sz w:val="32"/>
          <w:szCs w:val="32"/>
          <w:highlight w:val="none"/>
        </w:rPr>
        <w:t>机关运行经费支出2.12万元，比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0.05</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降低</w:t>
      </w:r>
      <w:r>
        <w:rPr>
          <w:rFonts w:hint="eastAsia" w:ascii="仿宋_GB2312" w:eastAsia="仿宋_GB2312"/>
          <w:color w:val="auto"/>
          <w:sz w:val="32"/>
          <w:szCs w:val="32"/>
          <w:highlight w:val="none"/>
          <w:lang w:val="en-US" w:eastAsia="zh-CN"/>
        </w:rPr>
        <w:t>2.30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我单位厉行勤俭节约。</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8" w:name="_Toc15377223"/>
      <w:r>
        <w:rPr>
          <w:rFonts w:hint="eastAsia" w:ascii="仿宋" w:hAnsi="仿宋" w:eastAsia="仿宋"/>
          <w:b/>
          <w:color w:val="auto"/>
          <w:sz w:val="32"/>
          <w:szCs w:val="32"/>
          <w:highlight w:val="none"/>
        </w:rPr>
        <w:t>（二）政府采购支出情况</w:t>
      </w:r>
      <w:bookmarkEnd w:id="68"/>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区侨联</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9" w:name="_Toc15377224"/>
      <w:r>
        <w:rPr>
          <w:rFonts w:hint="eastAsia" w:ascii="仿宋" w:hAnsi="仿宋" w:eastAsia="仿宋"/>
          <w:b/>
          <w:color w:val="auto"/>
          <w:sz w:val="32"/>
          <w:szCs w:val="32"/>
          <w:highlight w:val="none"/>
        </w:rPr>
        <w:t>（三）国有资产占有使用情况</w:t>
      </w:r>
      <w:bookmarkEnd w:id="69"/>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区侨联</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年度预算编制阶段，组织对侨联联络联谊项目经费开展了预算事前绩效评估，对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eastAsia="zh-CN"/>
        </w:rPr>
        <w:t>区侨联</w:t>
      </w:r>
      <w:r>
        <w:rPr>
          <w:rFonts w:hint="eastAsia" w:ascii="仿宋_GB2312" w:hAnsi="仿宋_GB2312" w:eastAsia="仿宋_GB2312" w:cs="仿宋_GB2312"/>
          <w:color w:val="auto"/>
          <w:sz w:val="32"/>
          <w:szCs w:val="32"/>
          <w:highlight w:val="none"/>
        </w:rPr>
        <w:t>部门整体（含部门预算项目）绩效自评报告、侨联联络联谊专项预算项目绩效自评报告，其中，</w:t>
      </w:r>
      <w:r>
        <w:rPr>
          <w:rFonts w:hint="eastAsia" w:ascii="仿宋_GB2312" w:hAnsi="仿宋_GB2312" w:eastAsia="仿宋_GB2312" w:cs="仿宋_GB2312"/>
          <w:color w:val="auto"/>
          <w:sz w:val="32"/>
          <w:szCs w:val="32"/>
          <w:highlight w:val="none"/>
          <w:lang w:eastAsia="zh-CN"/>
        </w:rPr>
        <w:t>区侨联</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96</w:t>
      </w:r>
      <w:r>
        <w:rPr>
          <w:rFonts w:hint="eastAsia" w:ascii="仿宋_GB2312" w:hAnsi="仿宋_GB2312" w:eastAsia="仿宋_GB2312" w:cs="仿宋_GB2312"/>
          <w:color w:val="auto"/>
          <w:sz w:val="32"/>
          <w:szCs w:val="32"/>
          <w:highlight w:val="none"/>
        </w:rPr>
        <w:t>分，绩效自评综述：总体来说，2022年度部门预算具有明确的用途和目标，我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预算执行、综合管理、整体绩效方面，都按相关规定严格执行，并合理安排支出,使财政资金发辉最大的效益。制定了较为细致的执行计划，资金到位及时并严格按照财政有关规定专款专用，保障项目顺利开展时效，并取得了较为满意的社会效益；</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侨联联络联谊预算项目绩效自评</w:t>
      </w:r>
      <w:r>
        <w:rPr>
          <w:rFonts w:hint="eastAsia" w:ascii="仿宋_GB2312" w:hAnsi="仿宋_GB2312" w:eastAsia="仿宋_GB2312" w:cs="仿宋_GB2312"/>
          <w:color w:val="auto"/>
          <w:sz w:val="32"/>
          <w:szCs w:val="32"/>
          <w:highlight w:val="none"/>
          <w:lang w:eastAsia="zh-CN"/>
        </w:rPr>
        <w:t>综合</w:t>
      </w:r>
      <w:r>
        <w:rPr>
          <w:rFonts w:hint="eastAsia" w:ascii="仿宋_GB2312" w:hAnsi="仿宋_GB2312" w:eastAsia="仿宋_GB2312" w:cs="仿宋_GB2312"/>
          <w:color w:val="auto"/>
          <w:sz w:val="32"/>
          <w:szCs w:val="32"/>
          <w:highlight w:val="none"/>
        </w:rPr>
        <w:t>得分为</w:t>
      </w:r>
      <w:r>
        <w:rPr>
          <w:rFonts w:hint="eastAsia" w:ascii="仿宋_GB2312" w:hAnsi="仿宋_GB2312"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绩效自评综述：项目整体执行情况良好，符合上级决策部署，资金分配及使用合规合法，取得较好的社会效益。</w:t>
      </w: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19"/>
        <w:rPr>
          <w:rFonts w:hint="eastAsia"/>
        </w:rPr>
      </w:pPr>
    </w:p>
    <w:p>
      <w:pPr>
        <w:pStyle w:val="19"/>
      </w:pPr>
    </w:p>
    <w:p>
      <w:pPr>
        <w:numPr>
          <w:ilvl w:val="0"/>
          <w:numId w:val="4"/>
        </w:numPr>
        <w:spacing w:line="600" w:lineRule="exact"/>
        <w:ind w:firstLine="660" w:firstLineChars="150"/>
        <w:jc w:val="center"/>
        <w:outlineLvl w:val="0"/>
        <w:rPr>
          <w:rStyle w:val="30"/>
          <w:rFonts w:ascii="黑体" w:hAnsi="黑体" w:eastAsia="黑体"/>
          <w:b w:val="0"/>
          <w:color w:val="auto"/>
          <w:highlight w:val="none"/>
        </w:rPr>
      </w:pPr>
      <w:bookmarkStart w:id="70" w:name="_Toc15396613"/>
      <w:bookmarkStart w:id="71" w:name="_Toc8183"/>
      <w:bookmarkStart w:id="72" w:name="_Toc15377225"/>
      <w:r>
        <w:rPr>
          <w:rFonts w:hint="eastAsia" w:ascii="黑体" w:hAnsi="黑体" w:eastAsia="黑体"/>
          <w:color w:val="auto"/>
          <w:sz w:val="44"/>
          <w:szCs w:val="44"/>
          <w:highlight w:val="none"/>
        </w:rPr>
        <w:t>名</w:t>
      </w:r>
      <w:r>
        <w:rPr>
          <w:rStyle w:val="30"/>
          <w:rFonts w:hint="eastAsia" w:ascii="黑体" w:hAnsi="黑体" w:eastAsia="黑体"/>
          <w:b w:val="0"/>
          <w:color w:val="auto"/>
          <w:highlight w:val="none"/>
        </w:rPr>
        <w:t>词解释</w:t>
      </w:r>
      <w:bookmarkEnd w:id="70"/>
      <w:bookmarkEnd w:id="71"/>
      <w:bookmarkEnd w:id="72"/>
    </w:p>
    <w:p>
      <w:pPr>
        <w:spacing w:line="600" w:lineRule="exact"/>
        <w:jc w:val="left"/>
        <w:rPr>
          <w:rFonts w:ascii="宋体"/>
          <w:b/>
          <w:color w:val="auto"/>
          <w:sz w:val="44"/>
          <w:szCs w:val="44"/>
          <w:highlight w:val="none"/>
        </w:rPr>
      </w:pPr>
    </w:p>
    <w:p>
      <w:pPr>
        <w:pStyle w:val="1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1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1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1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pPr>
        <w:pStyle w:val="1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1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1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1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hint="eastAsia" w:ascii="仿宋_GB2312" w:eastAsia="仿宋_GB2312"/>
          <w:color w:val="000000"/>
          <w:sz w:val="32"/>
          <w:szCs w:val="32"/>
          <w:highlight w:val="none"/>
          <w:lang w:eastAsia="zh-CN"/>
        </w:rPr>
      </w:pPr>
      <w:bookmarkStart w:id="73" w:name="_Toc15377226"/>
      <w:r>
        <w:rPr>
          <w:rFonts w:hint="eastAsia" w:ascii="仿宋_GB2312" w:eastAsia="仿宋_GB2312"/>
          <w:color w:val="000000"/>
          <w:sz w:val="32"/>
          <w:szCs w:val="32"/>
          <w:highlight w:val="none"/>
          <w:lang w:val="en-US" w:eastAsia="zh-CN"/>
        </w:rPr>
        <w:t>9.</w:t>
      </w:r>
      <w:r>
        <w:rPr>
          <w:rFonts w:hint="eastAsia" w:ascii="仿宋_GB2312" w:eastAsia="仿宋_GB2312"/>
          <w:color w:val="000000"/>
          <w:sz w:val="32"/>
          <w:szCs w:val="32"/>
          <w:highlight w:val="none"/>
        </w:rPr>
        <w:t xml:space="preserve">一般公共服务（类）群众团体事务（款）事业运行（项）: </w:t>
      </w:r>
      <w:r>
        <w:rPr>
          <w:rFonts w:hint="eastAsia" w:ascii="仿宋_GB2312" w:eastAsia="仿宋_GB2312"/>
          <w:color w:val="000000"/>
          <w:sz w:val="32"/>
          <w:szCs w:val="32"/>
          <w:highlight w:val="none"/>
          <w:lang w:eastAsia="zh-CN"/>
        </w:rPr>
        <w:t>反映事业单位的基本支出，不包括行政单位（包括实行公务员管理的事业单位）后勤服务中心、医务室等附属事业单位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lang w:val="en-US" w:eastAsia="zh-CN"/>
        </w:rPr>
        <w:t>10</w:t>
      </w:r>
      <w:r>
        <w:rPr>
          <w:rFonts w:ascii="仿宋_GB2312" w:eastAsia="仿宋_GB2312"/>
          <w:color w:val="000000"/>
          <w:sz w:val="32"/>
          <w:szCs w:val="32"/>
          <w:highlight w:val="none"/>
        </w:rPr>
        <w:t>.</w:t>
      </w:r>
      <w:r>
        <w:rPr>
          <w:rFonts w:hint="eastAsia" w:ascii="仿宋_GB2312" w:eastAsia="仿宋_GB2312"/>
          <w:color w:val="000000"/>
          <w:sz w:val="32"/>
          <w:szCs w:val="32"/>
          <w:highlight w:val="none"/>
        </w:rPr>
        <w:t>一般公共服务（类）群众团体事务（款）其他群众团体事务</w:t>
      </w:r>
      <w:r>
        <w:rPr>
          <w:rFonts w:hint="eastAsia" w:ascii="仿宋_GB2312" w:hAnsi="Times New Roman" w:eastAsia="仿宋_GB2312" w:cs="Times New Roman"/>
          <w:color w:val="000000"/>
          <w:sz w:val="32"/>
          <w:szCs w:val="32"/>
          <w:highlight w:val="none"/>
          <w:lang w:eastAsia="zh-CN"/>
        </w:rPr>
        <w:t>支出</w:t>
      </w:r>
      <w:r>
        <w:rPr>
          <w:rFonts w:hint="eastAsia" w:ascii="仿宋_GB2312" w:eastAsia="仿宋_GB2312"/>
          <w:color w:val="000000"/>
          <w:sz w:val="32"/>
          <w:szCs w:val="32"/>
          <w:highlight w:val="none"/>
        </w:rPr>
        <w:t>（项）:</w:t>
      </w:r>
      <w:r>
        <w:rPr>
          <w:rFonts w:ascii="仿宋_GB2312" w:eastAsia="仿宋_GB2312"/>
          <w:color w:val="000000"/>
          <w:sz w:val="32"/>
          <w:szCs w:val="32"/>
          <w:highlight w:val="none"/>
        </w:rPr>
        <w:t xml:space="preserve"> </w:t>
      </w:r>
      <w:r>
        <w:rPr>
          <w:rFonts w:hint="eastAsia" w:ascii="仿宋_GB2312" w:eastAsia="仿宋_GB2312"/>
          <w:color w:val="000000"/>
          <w:sz w:val="32"/>
          <w:szCs w:val="32"/>
          <w:highlight w:val="none"/>
          <w:lang w:eastAsia="zh-CN"/>
        </w:rPr>
        <w:t>反映除上述项目以外其他用于群众团体事务方面的支出。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lang w:eastAsia="zh-CN"/>
        </w:rPr>
        <w:t>1</w:t>
      </w:r>
      <w:r>
        <w:rPr>
          <w:rFonts w:hint="eastAsia" w:ascii="仿宋_GB2312" w:hAnsi="Times New Roman" w:eastAsia="仿宋_GB2312" w:cs="Times New Roman"/>
          <w:color w:val="000000"/>
          <w:sz w:val="32"/>
          <w:szCs w:val="32"/>
          <w:highlight w:val="none"/>
          <w:lang w:val="en-US" w:eastAsia="zh-CN"/>
        </w:rPr>
        <w:t>1</w:t>
      </w:r>
      <w:r>
        <w:rPr>
          <w:rFonts w:hint="eastAsia" w:ascii="仿宋_GB2312" w:hAnsi="Times New Roman" w:eastAsia="仿宋_GB2312" w:cs="Times New Roman"/>
          <w:color w:val="000000"/>
          <w:sz w:val="32"/>
          <w:szCs w:val="32"/>
          <w:highlight w:val="none"/>
          <w:lang w:eastAsia="zh-CN"/>
        </w:rPr>
        <w:t>.社会保障和就业（类）行政事业单位养老支出（款）  机关事业单位基本养老保险缴费支出（项）: 指机关事业单位实施养老保险制度由单位缴纳的基本养老保险费支出。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lang w:eastAsia="zh-CN"/>
        </w:rPr>
        <w:t>1</w:t>
      </w:r>
      <w:r>
        <w:rPr>
          <w:rFonts w:hint="eastAsia" w:ascii="仿宋_GB2312" w:hAnsi="Times New Roman" w:eastAsia="仿宋_GB2312" w:cs="Times New Roman"/>
          <w:color w:val="000000"/>
          <w:sz w:val="32"/>
          <w:szCs w:val="32"/>
          <w:highlight w:val="none"/>
          <w:lang w:val="en-US" w:eastAsia="zh-CN"/>
        </w:rPr>
        <w:t>2</w:t>
      </w:r>
      <w:r>
        <w:rPr>
          <w:rFonts w:hint="eastAsia" w:ascii="仿宋_GB2312" w:hAnsi="Times New Roman" w:eastAsia="仿宋_GB2312" w:cs="Times New Roman"/>
          <w:color w:val="000000"/>
          <w:sz w:val="32"/>
          <w:szCs w:val="32"/>
          <w:highlight w:val="none"/>
          <w:lang w:eastAsia="zh-CN"/>
        </w:rPr>
        <w:t>.社会保障和就业（类）其他社会保障和就业支出（款）其他社会保障和就业支出（项）: 指其他用于社会保障和就业方面的支出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lang w:eastAsia="zh-CN"/>
        </w:rPr>
        <w:t>1</w:t>
      </w:r>
      <w:r>
        <w:rPr>
          <w:rFonts w:hint="eastAsia" w:ascii="仿宋_GB2312" w:hAnsi="Times New Roman" w:eastAsia="仿宋_GB2312" w:cs="Times New Roman"/>
          <w:color w:val="000000"/>
          <w:sz w:val="32"/>
          <w:szCs w:val="32"/>
          <w:highlight w:val="none"/>
          <w:lang w:val="en-US" w:eastAsia="zh-CN"/>
        </w:rPr>
        <w:t>3</w:t>
      </w:r>
      <w:r>
        <w:rPr>
          <w:rFonts w:hint="eastAsia" w:ascii="仿宋_GB2312" w:hAnsi="Times New Roman" w:eastAsia="仿宋_GB2312" w:cs="Times New Roman"/>
          <w:color w:val="000000"/>
          <w:sz w:val="32"/>
          <w:szCs w:val="32"/>
          <w:highlight w:val="none"/>
          <w:lang w:eastAsia="zh-CN"/>
        </w:rPr>
        <w:t>.卫生健康支出（类）行政事业单位医疗（款）行政单位医疗（项）: 指行政事业单位医疗方面的支出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lang w:eastAsia="zh-CN"/>
        </w:rPr>
        <w:t>1</w:t>
      </w:r>
      <w:r>
        <w:rPr>
          <w:rFonts w:hint="eastAsia" w:ascii="仿宋_GB2312" w:hAnsi="Times New Roman" w:eastAsia="仿宋_GB2312" w:cs="Times New Roman"/>
          <w:color w:val="000000"/>
          <w:sz w:val="32"/>
          <w:szCs w:val="32"/>
          <w:highlight w:val="none"/>
          <w:lang w:val="en-US" w:eastAsia="zh-CN"/>
        </w:rPr>
        <w:t>4</w:t>
      </w:r>
      <w:r>
        <w:rPr>
          <w:rFonts w:hint="eastAsia" w:ascii="仿宋_GB2312" w:hAnsi="Times New Roman" w:eastAsia="仿宋_GB2312" w:cs="Times New Roman"/>
          <w:color w:val="000000"/>
          <w:sz w:val="32"/>
          <w:szCs w:val="32"/>
          <w:highlight w:val="none"/>
          <w:lang w:eastAsia="zh-CN"/>
        </w:rPr>
        <w:t>.卫生健康支出（类）行政事业单位医疗（款）公务员医疗补助（项）: 指财政部门安排的公务员医疗补助经费。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lang w:eastAsia="zh-CN"/>
        </w:rPr>
        <w:t>1</w:t>
      </w:r>
      <w:r>
        <w:rPr>
          <w:rFonts w:hint="eastAsia" w:ascii="仿宋_GB2312" w:hAnsi="Times New Roman" w:eastAsia="仿宋_GB2312" w:cs="Times New Roman"/>
          <w:color w:val="000000"/>
          <w:sz w:val="32"/>
          <w:szCs w:val="32"/>
          <w:highlight w:val="none"/>
          <w:lang w:val="en-US" w:eastAsia="zh-CN"/>
        </w:rPr>
        <w:t>5</w:t>
      </w:r>
      <w:r>
        <w:rPr>
          <w:rFonts w:hint="eastAsia" w:ascii="仿宋_GB2312" w:hAnsi="Times New Roman" w:eastAsia="仿宋_GB2312" w:cs="Times New Roman"/>
          <w:color w:val="000000"/>
          <w:sz w:val="32"/>
          <w:szCs w:val="32"/>
          <w:highlight w:val="none"/>
          <w:lang w:eastAsia="zh-CN"/>
        </w:rPr>
        <w:t>.住房保障支出（类）住房改革支出（款）住房公积金（项）：指行政事业单位按人力资源和社会保障部、财政部规定的基本工资和津贴补贴以及规定比例为职工缴纳的住房公积金。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lang w:eastAsia="zh-CN"/>
        </w:rPr>
        <w:t>1</w:t>
      </w:r>
      <w:r>
        <w:rPr>
          <w:rFonts w:hint="eastAsia" w:ascii="仿宋_GB2312" w:hAnsi="Times New Roman" w:eastAsia="仿宋_GB2312" w:cs="Times New Roman"/>
          <w:color w:val="000000"/>
          <w:sz w:val="32"/>
          <w:szCs w:val="32"/>
          <w:highlight w:val="none"/>
          <w:lang w:val="en-US" w:eastAsia="zh-CN"/>
        </w:rPr>
        <w:t>6</w:t>
      </w:r>
      <w:r>
        <w:rPr>
          <w:rFonts w:hint="eastAsia" w:ascii="仿宋_GB2312" w:hAnsi="Times New Roman" w:eastAsia="仿宋_GB2312" w:cs="Times New Roman"/>
          <w:color w:val="000000"/>
          <w:sz w:val="32"/>
          <w:szCs w:val="32"/>
          <w:highlight w:val="none"/>
          <w:lang w:eastAsia="zh-CN"/>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lang w:eastAsia="zh-CN"/>
        </w:rPr>
        <w:t>1</w:t>
      </w:r>
      <w:r>
        <w:rPr>
          <w:rFonts w:hint="eastAsia" w:ascii="仿宋_GB2312" w:hAnsi="Times New Roman" w:eastAsia="仿宋_GB2312" w:cs="Times New Roman"/>
          <w:color w:val="000000"/>
          <w:sz w:val="32"/>
          <w:szCs w:val="32"/>
          <w:highlight w:val="none"/>
          <w:lang w:val="en-US" w:eastAsia="zh-CN"/>
        </w:rPr>
        <w:t>7</w:t>
      </w:r>
      <w:r>
        <w:rPr>
          <w:rFonts w:hint="eastAsia" w:ascii="仿宋_GB2312" w:hAnsi="Times New Roman" w:eastAsia="仿宋_GB2312" w:cs="Times New Roman"/>
          <w:color w:val="000000"/>
          <w:sz w:val="32"/>
          <w:szCs w:val="32"/>
          <w:highlight w:val="none"/>
          <w:lang w:eastAsia="zh-CN"/>
        </w:rPr>
        <w:t xml:space="preserve">.项目支出：指在基本支出之外为完成特定行政任务和事业发展目标所发生的支出。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lang w:val="en-US" w:eastAsia="zh-CN"/>
        </w:rPr>
        <w:t>18</w:t>
      </w:r>
      <w:r>
        <w:rPr>
          <w:rFonts w:hint="eastAsia" w:ascii="仿宋_GB2312" w:hAnsi="Times New Roman" w:eastAsia="仿宋_GB2312" w:cs="Times New Roman"/>
          <w:color w:val="000000"/>
          <w:sz w:val="32"/>
          <w:szCs w:val="32"/>
          <w:highlight w:val="none"/>
          <w:lang w:eastAsia="zh-CN"/>
        </w:rPr>
        <w:t>.经营支出：指事业单位在专业业务活动及其辅助活动之外开展非独立核算经营活动发生的支出。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lang w:val="en-US" w:eastAsia="zh-CN"/>
        </w:rPr>
        <w:t>19</w:t>
      </w:r>
      <w:r>
        <w:rPr>
          <w:rFonts w:hint="eastAsia" w:ascii="仿宋_GB2312" w:hAnsi="Times New Roman" w:eastAsia="仿宋_GB2312" w:cs="Times New Roman"/>
          <w:color w:val="000000"/>
          <w:sz w:val="32"/>
          <w:szCs w:val="32"/>
          <w:highlight w:val="none"/>
          <w:lang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lang w:eastAsia="zh-CN"/>
        </w:rPr>
        <w:t>2</w:t>
      </w:r>
      <w:r>
        <w:rPr>
          <w:rFonts w:hint="eastAsia" w:ascii="仿宋_GB2312" w:hAnsi="Times New Roman" w:eastAsia="仿宋_GB2312" w:cs="Times New Roman"/>
          <w:color w:val="000000"/>
          <w:sz w:val="32"/>
          <w:szCs w:val="32"/>
          <w:highlight w:val="none"/>
          <w:lang w:val="en-US" w:eastAsia="zh-CN"/>
        </w:rPr>
        <w:t>0</w:t>
      </w:r>
      <w:r>
        <w:rPr>
          <w:rFonts w:hint="eastAsia" w:ascii="仿宋_GB2312" w:hAnsi="Times New Roman" w:eastAsia="仿宋_GB2312" w:cs="Times New Roman"/>
          <w:color w:val="000000"/>
          <w:sz w:val="32"/>
          <w:szCs w:val="32"/>
          <w:highlight w:val="none"/>
          <w:lang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0"/>
          <w:rFonts w:hint="eastAsia" w:ascii="黑体" w:hAnsi="黑体" w:eastAsia="黑体"/>
          <w:b w:val="0"/>
          <w:color w:val="auto"/>
          <w:highlight w:val="none"/>
          <w:lang w:eastAsia="zh-CN"/>
        </w:rPr>
      </w:pPr>
      <w:r>
        <w:rPr>
          <w:rFonts w:ascii="宋体"/>
          <w:b/>
          <w:color w:val="auto"/>
          <w:sz w:val="44"/>
          <w:szCs w:val="44"/>
          <w:highlight w:val="none"/>
        </w:rPr>
        <w:br w:type="page"/>
      </w:r>
      <w:bookmarkStart w:id="74" w:name="_Toc15396614"/>
      <w:bookmarkStart w:id="75" w:name="_Toc24046"/>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四部分 附件</w:t>
      </w:r>
      <w:bookmarkEnd w:id="74"/>
      <w:bookmarkEnd w:id="75"/>
    </w:p>
    <w:p>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bookmarkStart w:id="76" w:name="_Toc20386"/>
      <w:r>
        <w:rPr>
          <w:rFonts w:hint="eastAsia" w:ascii="黑体" w:hAnsi="黑体" w:eastAsia="黑体" w:cs="黑体"/>
          <w:color w:val="auto"/>
          <w:sz w:val="32"/>
          <w:szCs w:val="32"/>
          <w:highlight w:val="none"/>
        </w:rPr>
        <w:t>附件</w:t>
      </w:r>
      <w:bookmarkEnd w:id="76"/>
    </w:p>
    <w:p>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202</w:t>
      </w:r>
      <w:r>
        <w:rPr>
          <w:rFonts w:hint="eastAsia" w:ascii="方正小标宋简体" w:hAnsi="宋体" w:eastAsia="方正小标宋简体"/>
          <w:kern w:val="0"/>
          <w:sz w:val="40"/>
          <w:szCs w:val="44"/>
          <w:lang w:val="en-US" w:eastAsia="zh-CN"/>
        </w:rPr>
        <w:t>2</w:t>
      </w:r>
      <w:r>
        <w:rPr>
          <w:rFonts w:hint="eastAsia" w:ascii="方正小标宋简体" w:hAnsi="宋体" w:eastAsia="方正小标宋简体"/>
          <w:kern w:val="0"/>
          <w:sz w:val="40"/>
          <w:szCs w:val="44"/>
        </w:rPr>
        <w:t>年</w:t>
      </w:r>
      <w:r>
        <w:rPr>
          <w:rFonts w:hint="eastAsia" w:ascii="方正小标宋简体" w:hAnsi="宋体" w:eastAsia="方正小标宋简体"/>
          <w:kern w:val="0"/>
          <w:sz w:val="40"/>
          <w:szCs w:val="44"/>
          <w:lang w:eastAsia="zh-CN"/>
        </w:rPr>
        <w:t>区侨联</w:t>
      </w:r>
      <w:r>
        <w:rPr>
          <w:rFonts w:hint="eastAsia" w:ascii="方正小标宋简体" w:hAnsi="宋体" w:eastAsia="方正小标宋简体"/>
          <w:kern w:val="0"/>
          <w:sz w:val="40"/>
          <w:szCs w:val="44"/>
        </w:rPr>
        <w:t>部门整体绩效评价报告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部门（单位）基本情况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2" w:firstLineChars="15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（一）机构组成。</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遂宁市安居区归侨侨眷联合会下属二级预算单位0个，其中行政单位0个，参照公务员法管理的事业单位0个，其他事业单位0个。</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482" w:firstLineChars="15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（二）机构职能</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rPr>
        <w:t>1.</w:t>
      </w:r>
      <w:r>
        <w:rPr>
          <w:rFonts w:hint="eastAsia" w:ascii="仿宋_GB2312" w:hAnsi="仿宋_GB2312" w:eastAsia="仿宋_GB2312" w:cs="仿宋_GB2312"/>
          <w:color w:val="000000"/>
          <w:sz w:val="32"/>
          <w:szCs w:val="32"/>
          <w:shd w:val="clear" w:color="auto" w:fill="FFFFFF"/>
          <w:lang w:eastAsia="zh-Hans"/>
        </w:rPr>
        <w:t>负责引导和组织归侨、侨眷努力学习马克思列宁主义、毛泽东思想、邓小平理论</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eastAsia="zh-Hans"/>
        </w:rPr>
        <w:t>三个代表</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eastAsia="zh-Hans"/>
        </w:rPr>
        <w:t>重要思想</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eastAsia="zh-Hans"/>
        </w:rPr>
        <w:t>科学发展观</w:t>
      </w:r>
      <w:r>
        <w:rPr>
          <w:rFonts w:hint="eastAsia" w:ascii="仿宋_GB2312" w:hAnsi="仿宋_GB2312" w:eastAsia="仿宋_GB2312" w:cs="仿宋_GB2312"/>
          <w:color w:val="000000"/>
          <w:sz w:val="32"/>
          <w:szCs w:val="32"/>
          <w:shd w:val="clear" w:color="auto" w:fill="FFFFFF"/>
          <w:lang w:val="en-US" w:eastAsia="zh-CN"/>
        </w:rPr>
        <w:t>和习近平新时代中国特色社会主义思想</w:t>
      </w:r>
      <w:r>
        <w:rPr>
          <w:rFonts w:hint="eastAsia" w:ascii="仿宋_GB2312" w:hAnsi="仿宋_GB2312" w:eastAsia="仿宋_GB2312" w:cs="仿宋_GB2312"/>
          <w:color w:val="000000"/>
          <w:sz w:val="32"/>
          <w:szCs w:val="32"/>
          <w:shd w:val="clear" w:color="auto" w:fill="FFFFFF"/>
          <w:lang w:eastAsia="zh-Hans"/>
        </w:rPr>
        <w:t>，坚持解放思想、实事求是、与时俱进，做好归侨、侨眷的思想政治工作，团结和带领他们为全面建设</w:t>
      </w:r>
      <w:r>
        <w:rPr>
          <w:rFonts w:hint="eastAsia" w:ascii="仿宋_GB2312" w:hAnsi="仿宋_GB2312" w:eastAsia="仿宋_GB2312" w:cs="仿宋_GB2312"/>
          <w:color w:val="000000"/>
          <w:sz w:val="32"/>
          <w:szCs w:val="32"/>
          <w:shd w:val="clear" w:color="auto" w:fill="FFFFFF"/>
          <w:lang w:val="en-US" w:eastAsia="zh-CN"/>
        </w:rPr>
        <w:t>社会主义现代化国家贡献力量</w:t>
      </w:r>
      <w:r>
        <w:rPr>
          <w:rFonts w:hint="eastAsia" w:ascii="仿宋_GB2312" w:hAnsi="仿宋_GB2312" w:eastAsia="仿宋_GB2312" w:cs="仿宋_GB2312"/>
          <w:color w:val="000000"/>
          <w:sz w:val="32"/>
          <w:szCs w:val="32"/>
          <w:shd w:val="clear" w:color="auto" w:fill="FFFFFF"/>
          <w:lang w:eastAsia="zh-Hans"/>
        </w:rPr>
        <w:t>。　　</w:t>
      </w:r>
      <w:r>
        <w:rPr>
          <w:rFonts w:hint="eastAsia" w:ascii="仿宋_GB2312" w:hAnsi="仿宋_GB2312" w:eastAsia="仿宋_GB2312" w:cs="仿宋_GB2312"/>
          <w:color w:val="000000"/>
          <w:sz w:val="32"/>
          <w:szCs w:val="32"/>
          <w:shd w:val="clear" w:color="auto" w:fill="FFFFFF"/>
          <w:lang w:val="en-US" w:eastAsia="zh-CN"/>
        </w:rPr>
        <w:t xml:space="preserve">   </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eastAsia="zh-Hans"/>
        </w:rPr>
      </w:pPr>
      <w:r>
        <w:rPr>
          <w:rFonts w:hint="eastAsia"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lang w:eastAsia="zh-Hans"/>
        </w:rPr>
        <w:t>参与国家政治、经济、文化和社会事务活动，参与社会管理和公共服务，反映归侨、侨眷和海外侨胞的意见和要求;参与政治协商，发挥民主监督作用;参与协商和推荐人民代表大会归侨、侨眷代表人选，提名政治协商会议的归侨、侨眷委员人选</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eastAsia="zh-Hans"/>
        </w:rPr>
        <w:t>负责为归侨、侨眷举办企事业和海外侨胞投资、科技交流提供服务。</w:t>
      </w:r>
      <w:r>
        <w:rPr>
          <w:rFonts w:hint="eastAsia" w:ascii="仿宋_GB2312" w:hAnsi="仿宋_GB2312" w:eastAsia="仿宋_GB2312" w:cs="仿宋_GB2312"/>
          <w:color w:val="000000"/>
          <w:sz w:val="32"/>
          <w:szCs w:val="32"/>
          <w:shd w:val="clear" w:color="auto" w:fill="FFFFFF"/>
          <w:lang w:eastAsia="zh-Hans"/>
        </w:rPr>
        <w:br w:type="textWrapping"/>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3.</w:t>
      </w:r>
      <w:r>
        <w:rPr>
          <w:rFonts w:hint="eastAsia" w:ascii="仿宋_GB2312" w:hAnsi="仿宋_GB2312" w:eastAsia="仿宋_GB2312" w:cs="仿宋_GB2312"/>
          <w:color w:val="000000"/>
          <w:sz w:val="32"/>
          <w:szCs w:val="32"/>
          <w:shd w:val="clear" w:color="auto" w:fill="FFFFFF"/>
          <w:lang w:eastAsia="zh-Hans"/>
        </w:rPr>
        <w:t>引导和鼓励归侨、侨眷弘扬以爱国主义为核心的民族精神，维护各族人民大团结，积极开展群众性社会主义精神文明创建活动，不断提高思想道德素质和科学文化素质，做有理想、有道德、有文化、有纪律的公民。</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lang w:eastAsia="zh-Hans"/>
        </w:rPr>
        <w:t>负责支持归侨、侨眷和海外侨胞开展有关文化学术交流等工作。</w:t>
      </w:r>
    </w:p>
    <w:p>
      <w:pPr>
        <w:pStyle w:val="19"/>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_GB2312" w:eastAsia="仿宋_GB2312"/>
          <w:color w:val="auto"/>
          <w:sz w:val="32"/>
          <w:szCs w:val="32"/>
          <w:lang w:val="en-US" w:eastAsia="zh-CN"/>
        </w:rPr>
      </w:pPr>
      <w:r>
        <w:rPr>
          <w:rFonts w:hint="eastAsia" w:ascii="仿宋" w:hAnsi="仿宋" w:eastAsia="仿宋"/>
          <w:b/>
          <w:color w:val="auto"/>
          <w:sz w:val="32"/>
          <w:szCs w:val="32"/>
          <w:highlight w:val="none"/>
          <w:lang w:val="zh-CN" w:eastAsia="zh-CN"/>
        </w:rPr>
        <w:t>（三）人员概况</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zh-CN"/>
        </w:rPr>
        <w:t>区</w:t>
      </w:r>
      <w:r>
        <w:rPr>
          <w:rFonts w:hint="eastAsia" w:ascii="仿宋_GB2312" w:hAnsi="仿宋_GB2312" w:eastAsia="仿宋_GB2312" w:cs="仿宋_GB2312"/>
          <w:color w:val="000000"/>
          <w:sz w:val="32"/>
          <w:szCs w:val="32"/>
          <w:shd w:val="clear" w:color="auto" w:fill="FFFFFF"/>
          <w:lang w:val="en-US" w:eastAsia="zh-CN"/>
        </w:rPr>
        <w:t>侨联</w:t>
      </w:r>
      <w:r>
        <w:rPr>
          <w:rFonts w:hint="eastAsia" w:ascii="仿宋_GB2312" w:hAnsi="仿宋_GB2312" w:eastAsia="仿宋_GB2312" w:cs="仿宋_GB2312"/>
          <w:color w:val="000000"/>
          <w:sz w:val="32"/>
          <w:szCs w:val="32"/>
          <w:shd w:val="clear" w:color="auto" w:fill="FFFFFF"/>
          <w:lang w:val="zh-CN"/>
        </w:rPr>
        <w:t>人员编制</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lang w:val="zh-CN"/>
        </w:rPr>
        <w:t>名，事业人员编制数</w:t>
      </w:r>
      <w:r>
        <w:rPr>
          <w:rFonts w:hint="eastAsia" w:ascii="仿宋_GB2312" w:hAnsi="仿宋_GB2312" w:eastAsia="仿宋_GB2312" w:cs="仿宋_GB2312"/>
          <w:color w:val="000000"/>
          <w:sz w:val="32"/>
          <w:szCs w:val="32"/>
          <w:shd w:val="clear" w:color="auto" w:fill="FFFFFF"/>
        </w:rPr>
        <w:t>3</w:t>
      </w:r>
      <w:r>
        <w:rPr>
          <w:rFonts w:hint="eastAsia" w:ascii="仿宋_GB2312" w:hAnsi="仿宋_GB2312" w:eastAsia="仿宋_GB2312" w:cs="仿宋_GB2312"/>
          <w:color w:val="000000"/>
          <w:sz w:val="32"/>
          <w:szCs w:val="32"/>
          <w:shd w:val="clear" w:color="auto" w:fill="FFFFFF"/>
          <w:lang w:val="zh-CN"/>
        </w:rPr>
        <w:t>名，截止2</w:t>
      </w:r>
      <w:r>
        <w:rPr>
          <w:rFonts w:hint="eastAsia" w:ascii="仿宋_GB2312" w:hAnsi="仿宋_GB2312" w:eastAsia="仿宋_GB2312" w:cs="仿宋_GB2312"/>
          <w:color w:val="000000"/>
          <w:sz w:val="32"/>
          <w:szCs w:val="32"/>
          <w:shd w:val="clear" w:color="auto" w:fill="FFFFFF"/>
          <w:lang w:val="en-US" w:eastAsia="zh-CN"/>
        </w:rPr>
        <w:t>022</w:t>
      </w:r>
      <w:r>
        <w:rPr>
          <w:rFonts w:hint="eastAsia" w:ascii="仿宋_GB2312" w:hAnsi="仿宋_GB2312" w:eastAsia="仿宋_GB2312" w:cs="仿宋_GB2312"/>
          <w:color w:val="000000"/>
          <w:sz w:val="32"/>
          <w:szCs w:val="32"/>
          <w:shd w:val="clear" w:color="auto" w:fill="FFFFFF"/>
          <w:lang w:val="zh-CN"/>
        </w:rPr>
        <w:t>年12月末，实有人数为：事业人员</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lang w:val="zh-CN"/>
        </w:rPr>
        <w:t>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部门财政</w:t>
      </w:r>
      <w:r>
        <w:rPr>
          <w:rFonts w:hint="eastAsia" w:ascii="黑体" w:hAnsi="宋体" w:eastAsia="黑体" w:cs="宋体"/>
          <w:color w:val="auto"/>
          <w:kern w:val="0"/>
          <w:sz w:val="32"/>
          <w:szCs w:val="32"/>
          <w:highlight w:val="none"/>
          <w:shd w:val="clear" w:color="auto" w:fill="FFFFFF"/>
        </w:rPr>
        <w:t>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（一）部门财政资金收入情况。</w:t>
      </w:r>
    </w:p>
    <w:p>
      <w:pPr>
        <w:snapToGrid w:val="0"/>
        <w:spacing w:line="576" w:lineRule="exact"/>
        <w:ind w:firstLine="640" w:firstLineChars="200"/>
        <w:rPr>
          <w:rFonts w:hint="eastAsia" w:ascii="仿宋_GB2312" w:hAnsi="仿宋_GB2312" w:eastAsia="仿宋_GB2312" w:cs="仿宋_GB2312"/>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财政资金</w:t>
      </w:r>
      <w:r>
        <w:rPr>
          <w:rFonts w:hint="eastAsia" w:ascii="仿宋" w:hAnsi="仿宋" w:eastAsia="仿宋"/>
          <w:sz w:val="32"/>
          <w:szCs w:val="32"/>
        </w:rPr>
        <w:t>收入总计32.00万元。与202</w:t>
      </w:r>
      <w:r>
        <w:rPr>
          <w:rFonts w:hint="eastAsia" w:ascii="仿宋" w:hAnsi="仿宋" w:eastAsia="仿宋"/>
          <w:sz w:val="32"/>
          <w:szCs w:val="32"/>
          <w:lang w:val="en-US" w:eastAsia="zh-CN"/>
        </w:rPr>
        <w:t>1</w:t>
      </w:r>
      <w:r>
        <w:rPr>
          <w:rFonts w:hint="eastAsia" w:ascii="仿宋" w:hAnsi="仿宋" w:eastAsia="仿宋"/>
          <w:sz w:val="32"/>
          <w:szCs w:val="32"/>
        </w:rPr>
        <w:t>年相比，</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财政资金</w:t>
      </w:r>
      <w:r>
        <w:rPr>
          <w:rFonts w:hint="eastAsia" w:ascii="仿宋" w:hAnsi="仿宋" w:eastAsia="仿宋"/>
          <w:sz w:val="32"/>
          <w:szCs w:val="32"/>
        </w:rPr>
        <w:t>收入总计</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1.06</w:t>
      </w:r>
      <w:r>
        <w:rPr>
          <w:rFonts w:hint="eastAsia" w:ascii="仿宋" w:hAnsi="仿宋" w:eastAsia="仿宋"/>
          <w:sz w:val="32"/>
          <w:szCs w:val="32"/>
        </w:rPr>
        <w:t>万元，</w:t>
      </w:r>
      <w:r>
        <w:rPr>
          <w:rFonts w:hint="eastAsia" w:ascii="仿宋" w:hAnsi="仿宋" w:eastAsia="仿宋"/>
          <w:color w:val="auto"/>
          <w:sz w:val="32"/>
          <w:szCs w:val="32"/>
          <w:highlight w:val="none"/>
        </w:rPr>
        <w:t>增长</w:t>
      </w:r>
      <w:r>
        <w:rPr>
          <w:rFonts w:hint="eastAsia" w:ascii="仿宋" w:hAnsi="仿宋" w:eastAsia="仿宋"/>
          <w:color w:val="auto"/>
          <w:sz w:val="32"/>
          <w:szCs w:val="32"/>
          <w:highlight w:val="none"/>
          <w:lang w:val="en-US" w:eastAsia="zh-CN"/>
        </w:rPr>
        <w:t>3.43</w:t>
      </w:r>
      <w:r>
        <w:rPr>
          <w:rFonts w:hint="eastAsia" w:ascii="仿宋" w:hAnsi="仿宋" w:eastAsia="仿宋"/>
          <w:sz w:val="32"/>
          <w:szCs w:val="32"/>
        </w:rPr>
        <w:t>%。</w:t>
      </w:r>
      <w:r>
        <w:rPr>
          <w:rFonts w:hint="eastAsia" w:ascii="仿宋_GB2312" w:hAnsi="仿宋_GB2312" w:eastAsia="仿宋_GB2312" w:cs="仿宋_GB2312"/>
          <w:sz w:val="32"/>
          <w:szCs w:val="32"/>
        </w:rPr>
        <w:t>主要原因系本年度</w:t>
      </w:r>
      <w:r>
        <w:rPr>
          <w:rFonts w:hint="eastAsia" w:ascii="仿宋_GB2312" w:hAnsi="仿宋_GB2312" w:eastAsia="仿宋_GB2312" w:cs="仿宋_GB2312"/>
          <w:sz w:val="32"/>
          <w:szCs w:val="32"/>
          <w:lang w:eastAsia="zh-CN"/>
        </w:rPr>
        <w:t>专项项目增加</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（二）</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部门财政资金支出情况。</w:t>
      </w:r>
    </w:p>
    <w:p>
      <w:pPr>
        <w:snapToGrid w:val="0"/>
        <w:spacing w:line="576" w:lineRule="exact"/>
        <w:ind w:firstLine="640" w:firstLineChars="200"/>
        <w:rPr>
          <w:rFonts w:hint="eastAsia" w:ascii="仿宋_GB2312" w:hAnsi="仿宋_GB2312" w:eastAsia="仿宋_GB2312" w:cs="仿宋_GB2312"/>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财政资金</w:t>
      </w:r>
      <w:r>
        <w:rPr>
          <w:rFonts w:hint="eastAsia" w:ascii="仿宋" w:hAnsi="仿宋" w:eastAsia="仿宋"/>
          <w:sz w:val="32"/>
          <w:szCs w:val="32"/>
        </w:rPr>
        <w:t>支出总计32.00万元。与202</w:t>
      </w:r>
      <w:r>
        <w:rPr>
          <w:rFonts w:hint="eastAsia" w:ascii="仿宋" w:hAnsi="仿宋" w:eastAsia="仿宋"/>
          <w:sz w:val="32"/>
          <w:szCs w:val="32"/>
          <w:lang w:val="en-US" w:eastAsia="zh-CN"/>
        </w:rPr>
        <w:t>1</w:t>
      </w:r>
      <w:r>
        <w:rPr>
          <w:rFonts w:hint="eastAsia" w:ascii="仿宋" w:hAnsi="仿宋" w:eastAsia="仿宋"/>
          <w:sz w:val="32"/>
          <w:szCs w:val="32"/>
        </w:rPr>
        <w:t>年相比</w:t>
      </w:r>
      <w:r>
        <w:rPr>
          <w:rFonts w:hint="eastAsia" w:ascii="仿宋" w:hAnsi="仿宋" w:eastAsia="仿宋"/>
          <w:sz w:val="32"/>
          <w:szCs w:val="32"/>
          <w:lang w:eastAsia="zh-CN"/>
        </w:rPr>
        <w:t>，</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财政资金</w:t>
      </w:r>
      <w:r>
        <w:rPr>
          <w:rFonts w:hint="eastAsia" w:ascii="仿宋" w:hAnsi="仿宋" w:eastAsia="仿宋"/>
          <w:sz w:val="32"/>
          <w:szCs w:val="32"/>
        </w:rPr>
        <w:t>支出总计</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1.06</w:t>
      </w:r>
      <w:r>
        <w:rPr>
          <w:rFonts w:hint="eastAsia" w:ascii="仿宋" w:hAnsi="仿宋" w:eastAsia="仿宋"/>
          <w:sz w:val="32"/>
          <w:szCs w:val="32"/>
        </w:rPr>
        <w:t>万元，</w:t>
      </w:r>
      <w:r>
        <w:rPr>
          <w:rFonts w:hint="eastAsia" w:ascii="仿宋" w:hAnsi="仿宋" w:eastAsia="仿宋"/>
          <w:color w:val="auto"/>
          <w:sz w:val="32"/>
          <w:szCs w:val="32"/>
          <w:highlight w:val="none"/>
        </w:rPr>
        <w:t>增长</w:t>
      </w:r>
      <w:r>
        <w:rPr>
          <w:rFonts w:hint="eastAsia" w:ascii="仿宋" w:hAnsi="仿宋" w:eastAsia="仿宋"/>
          <w:color w:val="auto"/>
          <w:sz w:val="32"/>
          <w:szCs w:val="32"/>
          <w:highlight w:val="none"/>
          <w:lang w:val="en-US" w:eastAsia="zh-CN"/>
        </w:rPr>
        <w:t>3.43</w:t>
      </w:r>
      <w:r>
        <w:rPr>
          <w:rFonts w:hint="eastAsia" w:ascii="仿宋" w:hAnsi="仿宋" w:eastAsia="仿宋"/>
          <w:sz w:val="32"/>
          <w:szCs w:val="32"/>
        </w:rPr>
        <w:t>%。</w:t>
      </w:r>
      <w:r>
        <w:rPr>
          <w:rFonts w:hint="eastAsia" w:ascii="仿宋_GB2312" w:hAnsi="仿宋_GB2312" w:eastAsia="仿宋_GB2312" w:cs="仿宋_GB2312"/>
          <w:sz w:val="32"/>
          <w:szCs w:val="32"/>
        </w:rPr>
        <w:t>主要原因系本年度</w:t>
      </w:r>
      <w:r>
        <w:rPr>
          <w:rFonts w:hint="eastAsia" w:ascii="仿宋_GB2312" w:hAnsi="仿宋_GB2312" w:eastAsia="仿宋_GB2312" w:cs="仿宋_GB2312"/>
          <w:sz w:val="32"/>
          <w:szCs w:val="32"/>
          <w:lang w:eastAsia="zh-CN"/>
        </w:rPr>
        <w:t>专项项目增加</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三、部门整体预算绩效管理情况</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（一）部门预算项目绩效管理。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本年度人员类支出20.24万元，完成预算100%，足额保障率100%、按时发放率100%，均达到年初</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绩效目标设定。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本年度运转类支出2.12万元，完成预算100%，足额保障率100%、按时发放率100%，均达到年初</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绩效目标设定。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color w:val="000000"/>
          <w:spacing w:val="0"/>
          <w:w w:val="100"/>
          <w:position w:val="0"/>
          <w:sz w:val="30"/>
          <w:szCs w:val="30"/>
          <w:lang w:val="en-US" w:eastAsia="zh-CN"/>
        </w:rPr>
        <w:t>2022年</w:t>
      </w:r>
      <w:r>
        <w:rPr>
          <w:rFonts w:hint="eastAsia" w:ascii="仿宋_GB2312" w:hAnsi="仿宋_GB2312" w:eastAsia="仿宋_GB2312" w:cs="仿宋_GB2312"/>
          <w:b w:val="0"/>
          <w:bCs w:val="0"/>
          <w:snapToGrid/>
          <w:kern w:val="2"/>
          <w:sz w:val="32"/>
          <w:szCs w:val="32"/>
          <w:lang w:val="en-US" w:eastAsia="zh-CN" w:bidi="ar-SA"/>
        </w:rPr>
        <w:t>项目支出</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9.64</w:t>
      </w:r>
      <w:r>
        <w:rPr>
          <w:rFonts w:hint="eastAsia" w:ascii="仿宋_GB2312" w:hAnsi="仿宋_GB2312" w:eastAsia="仿宋_GB2312" w:cs="仿宋_GB2312"/>
          <w:b w:val="0"/>
          <w:bCs w:val="0"/>
          <w:snapToGrid/>
          <w:kern w:val="2"/>
          <w:sz w:val="32"/>
          <w:szCs w:val="32"/>
          <w:lang w:val="en-US" w:eastAsia="zh-CN" w:bidi="ar-SA"/>
        </w:rPr>
        <w:t>万元，专项经费支付率100%，</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足额保障率100%</w:t>
      </w:r>
      <w:r>
        <w:rPr>
          <w:rFonts w:hint="eastAsia" w:ascii="仿宋_GB2312" w:hAnsi="仿宋_GB2312" w:eastAsia="仿宋_GB2312" w:cs="仿宋_GB2312"/>
          <w:b w:val="0"/>
          <w:bCs w:val="0"/>
          <w:snapToGrid/>
          <w:kern w:val="2"/>
          <w:sz w:val="32"/>
          <w:szCs w:val="32"/>
          <w:lang w:val="en-US" w:eastAsia="zh-CN" w:bidi="ar-SA"/>
        </w:rPr>
        <w:t>。项目整体执行情况良好，符合上级决策部署，资金分配及使用合规合法，取得较好的社会效益。</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（二）结果应用情况。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本部门按要求对20</w:t>
      </w:r>
      <w:r>
        <w:rPr>
          <w:rFonts w:hint="eastAsia" w:ascii="仿宋_GB2312" w:hAnsi="仿宋_GB2312" w:eastAsia="仿宋_GB2312" w:cs="仿宋_GB2312"/>
          <w:color w:val="000000"/>
          <w:sz w:val="32"/>
          <w:szCs w:val="32"/>
          <w:shd w:val="clear" w:color="auto" w:fill="FFFFFF"/>
          <w:lang w:val="en-US" w:eastAsia="zh-CN"/>
        </w:rPr>
        <w:t>22</w:t>
      </w:r>
      <w:r>
        <w:rPr>
          <w:rFonts w:hint="eastAsia" w:ascii="仿宋_GB2312" w:hAnsi="仿宋_GB2312" w:eastAsia="仿宋_GB2312" w:cs="仿宋_GB2312"/>
          <w:color w:val="000000"/>
          <w:sz w:val="32"/>
          <w:szCs w:val="32"/>
          <w:shd w:val="clear" w:color="auto" w:fill="FFFFFF"/>
        </w:rPr>
        <w:t>年部门整体支出开展绩效自评，从评价情况来看我</w:t>
      </w:r>
      <w:r>
        <w:rPr>
          <w:rFonts w:hint="eastAsia" w:ascii="仿宋_GB2312" w:hAnsi="仿宋_GB2312" w:eastAsia="仿宋_GB2312" w:cs="仿宋_GB2312"/>
          <w:color w:val="000000"/>
          <w:sz w:val="32"/>
          <w:szCs w:val="32"/>
          <w:shd w:val="clear" w:color="auto" w:fill="FFFFFF"/>
          <w:lang w:val="en-US" w:eastAsia="zh-CN"/>
        </w:rPr>
        <w:t>单位</w:t>
      </w:r>
      <w:r>
        <w:rPr>
          <w:rFonts w:hint="eastAsia" w:ascii="仿宋_GB2312" w:hAnsi="仿宋_GB2312" w:eastAsia="仿宋_GB2312" w:cs="仿宋_GB2312"/>
          <w:color w:val="000000"/>
          <w:sz w:val="32"/>
          <w:szCs w:val="32"/>
          <w:shd w:val="clear" w:color="auto" w:fill="FFFFFF"/>
        </w:rPr>
        <w:t>严格按照年初预算进行部门整体支出。在支出过程中，能严格遵守各项规章制度，“三公经费”等明显下降。</w:t>
      </w:r>
      <w:r>
        <w:rPr>
          <w:rFonts w:hint="eastAsia" w:ascii="仿宋_GB2312" w:hAnsi="仿宋_GB2312" w:eastAsia="仿宋_GB2312" w:cs="仿宋_GB2312"/>
          <w:color w:val="000000"/>
          <w:sz w:val="32"/>
          <w:szCs w:val="32"/>
          <w:shd w:val="clear" w:color="auto" w:fill="FFFFFF"/>
          <w:lang w:val="zh-CN"/>
        </w:rPr>
        <w:t>资产管理规范，内控制度严格，能依法接受财政监督。能加强财政支出管理、增强资金绩效理念、合理配置公共资源、优化财政支出结构、强化资金管理水平、提高资金使用效益。</w:t>
      </w:r>
      <w:r>
        <w:rPr>
          <w:rFonts w:hint="eastAsia" w:ascii="仿宋_GB2312" w:hAnsi="仿宋_GB2312" w:eastAsia="仿宋_GB2312" w:cs="仿宋_GB2312"/>
          <w:color w:val="000000"/>
          <w:sz w:val="32"/>
          <w:szCs w:val="32"/>
          <w:shd w:val="clear" w:color="auto" w:fill="FFFFFF"/>
        </w:rPr>
        <w:t>满足绩效管理的项目进行了绩效评价，严格组织实施，并加强了监督。尤其是在专项经费支出上，严格专款专用，按项目实施计划的进度情况进行资金拨付，无截留、挪用等现象。实行了先有预算、后有执行、“用钱必问效、无效必问责”的常态。从评价总体情况来看项目资金的使用、完成、效益、满意度等方面达到年初绩效目标指标，能综合反映项目预期完成的数量、成本、时效、质量，预期达到的社会效益、服务对象满意度、可持续影响等。</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仿宋_GB2312" w:hAnsi="仿宋_GB2312" w:eastAsia="仿宋_GB2312" w:cs="仿宋_GB2312"/>
          <w:color w:val="000000"/>
          <w:sz w:val="32"/>
          <w:szCs w:val="32"/>
          <w:shd w:val="clear" w:color="auto" w:fill="FFFFFF"/>
        </w:rPr>
        <w:t>按照预算绩效管理要求，本部门对20</w:t>
      </w:r>
      <w:r>
        <w:rPr>
          <w:rFonts w:hint="eastAsia" w:ascii="仿宋_GB2312" w:hAnsi="仿宋_GB2312" w:eastAsia="仿宋_GB2312" w:cs="仿宋_GB2312"/>
          <w:color w:val="000000"/>
          <w:sz w:val="32"/>
          <w:szCs w:val="32"/>
          <w:shd w:val="clear" w:color="auto" w:fill="FFFFFF"/>
          <w:lang w:val="en-US" w:eastAsia="zh-CN"/>
        </w:rPr>
        <w:t>22</w:t>
      </w:r>
      <w:r>
        <w:rPr>
          <w:rFonts w:hint="eastAsia" w:ascii="仿宋_GB2312" w:hAnsi="仿宋_GB2312" w:eastAsia="仿宋_GB2312" w:cs="仿宋_GB2312"/>
          <w:color w:val="000000"/>
          <w:sz w:val="32"/>
          <w:szCs w:val="32"/>
          <w:shd w:val="clear" w:color="auto" w:fill="FFFFFF"/>
        </w:rPr>
        <w:t>年整体支出开展绩效自评,单位预算编制及时，预算执行规范，资金综合管理制度健全，</w:t>
      </w:r>
      <w:r>
        <w:rPr>
          <w:rFonts w:hint="eastAsia" w:ascii="仿宋_GB2312" w:hAnsi="仿宋_GB2312" w:eastAsia="仿宋_GB2312" w:cs="仿宋_GB2312"/>
          <w:color w:val="000000"/>
          <w:sz w:val="32"/>
          <w:szCs w:val="32"/>
          <w:shd w:val="clear" w:color="auto" w:fill="FFFFFF"/>
          <w:lang w:val="en-US" w:eastAsia="zh-CN"/>
        </w:rPr>
        <w:t>得分96分，</w:t>
      </w:r>
      <w:r>
        <w:rPr>
          <w:rFonts w:hint="eastAsia" w:ascii="仿宋_GB2312" w:hAnsi="仿宋_GB2312" w:eastAsia="仿宋_GB2312" w:cs="仿宋_GB2312"/>
          <w:color w:val="000000"/>
          <w:sz w:val="32"/>
          <w:szCs w:val="32"/>
          <w:shd w:val="clear" w:color="auto" w:fill="FFFFFF"/>
        </w:rPr>
        <w:t>整体效益较好。</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存在问题。</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评价内容不完善，缺乏科学、完善的项目支出绩效评价，不能很好的为单位决策提供参考；缺乏专业评价人员，</w:t>
      </w:r>
      <w:r>
        <w:rPr>
          <w:rFonts w:hint="eastAsia" w:ascii="仿宋_GB2312" w:hAnsi="仿宋_GB2312" w:eastAsia="仿宋_GB2312" w:cs="仿宋_GB2312"/>
          <w:color w:val="000000"/>
          <w:sz w:val="32"/>
          <w:szCs w:val="32"/>
          <w:shd w:val="clear" w:color="auto" w:fill="FFFFFF"/>
        </w:rPr>
        <w:t>绩效评价</w:t>
      </w:r>
      <w:r>
        <w:rPr>
          <w:rFonts w:hint="eastAsia" w:ascii="仿宋_GB2312" w:hAnsi="仿宋_GB2312" w:eastAsia="仿宋_GB2312" w:cs="仿宋_GB2312"/>
          <w:color w:val="000000"/>
          <w:sz w:val="32"/>
          <w:szCs w:val="32"/>
          <w:shd w:val="clear" w:color="auto" w:fill="FFFFFF"/>
          <w:lang w:eastAsia="zh-CN"/>
        </w:rPr>
        <w:t>工作质效不明显。</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改进建议。</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是细化预决算编制工作，认真做好预决算的编制。进一步加强单位内部机构各股室的预算管理意识，严格按照预决算编制的相关制度和要求进行预决算编制；全面编制预算项目，优先保障固定性的、相对刚性的费用支出项目，尽量压缩变动性的、有控制空间的费用项目，进一步提高预算编制的科学性、严谨性和可控性。二是加强财务管理，严格财务审核。加强单位财务管理，健全单位财务管理制度体系，规范单位财务行为。在费用报账支付时，按照预算规定的费用项目和用途进行资金使用审核、列报支付、财务核算，杜绝超支现象的发生。三是加强单位内部控制制度建设，抓好“三公”经费控制。进一步健全和完善统战部机关内部控制制度，规范各类审批制度、采购制度、使用管理制度、资产处置和报废审批制度、岗位职责制度等，加强单位内部管理工作，避免造成单位出现廉政风险或发生重大责任事故。严格控制“三公”经费的规模和比例，把关“三公”经费支出的审核、审批，杜绝挪用和挤占其他预算资金行为。四是对相关人员加强培训，特别是针对《预算法》、《</w:t>
      </w:r>
      <w:r>
        <w:rPr>
          <w:rFonts w:hint="eastAsia" w:ascii="仿宋_GB2312" w:hAnsi="仿宋_GB2312" w:eastAsia="仿宋_GB2312" w:cs="仿宋_GB2312"/>
          <w:color w:val="000000"/>
          <w:sz w:val="32"/>
          <w:szCs w:val="32"/>
          <w:shd w:val="clear" w:color="auto" w:fill="FFFFFF"/>
          <w:lang w:eastAsia="zh-CN"/>
        </w:rPr>
        <w:t>政府</w:t>
      </w:r>
      <w:r>
        <w:rPr>
          <w:rFonts w:hint="eastAsia" w:ascii="仿宋_GB2312" w:hAnsi="仿宋_GB2312" w:eastAsia="仿宋_GB2312" w:cs="仿宋_GB2312"/>
          <w:color w:val="000000"/>
          <w:sz w:val="32"/>
          <w:szCs w:val="32"/>
          <w:shd w:val="clear" w:color="auto" w:fill="FFFFFF"/>
        </w:rPr>
        <w:t>会计制度》等学习培训，规范部门预算收支核算，切实提高部门预算收支管理水平。</w:t>
      </w:r>
    </w:p>
    <w:p>
      <w:pPr>
        <w:pStyle w:val="6"/>
        <w:rPr>
          <w:rFonts w:hint="eastAsia" w:hAnsi="宋体" w:cs="宋体"/>
          <w:color w:val="auto"/>
          <w:kern w:val="0"/>
          <w:sz w:val="32"/>
          <w:szCs w:val="32"/>
          <w:highlight w:val="none"/>
          <w:shd w:val="clear" w:color="auto" w:fill="FFFFFF"/>
          <w:lang w:val="zh-CN"/>
        </w:rPr>
      </w:pPr>
    </w:p>
    <w:p>
      <w:pPr>
        <w:widowControl/>
        <w:adjustRightInd w:val="0"/>
        <w:snapToGrid w:val="0"/>
        <w:spacing w:line="62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附表：</w:t>
      </w:r>
      <w:r>
        <w:rPr>
          <w:rFonts w:hint="eastAsia" w:ascii="仿宋_GB2312" w:hAnsi="Calibri" w:eastAsia="仿宋_GB2312" w:cs="仿宋"/>
          <w:color w:val="auto"/>
          <w:kern w:val="0"/>
          <w:sz w:val="32"/>
          <w:szCs w:val="32"/>
          <w:highlight w:val="none"/>
          <w:lang w:val="en-US" w:eastAsia="zh-CN" w:bidi="ar-SA"/>
        </w:rPr>
        <w:t xml:space="preserve">1. </w:t>
      </w:r>
      <w:r>
        <w:rPr>
          <w:rFonts w:hint="eastAsia" w:ascii="仿宋_GB2312" w:hAnsi="Calibri" w:eastAsia="仿宋_GB2312" w:cs="仿宋"/>
          <w:color w:val="auto"/>
          <w:kern w:val="0"/>
          <w:sz w:val="32"/>
          <w:szCs w:val="32"/>
          <w:highlight w:val="none"/>
          <w:lang w:val="zh-CN" w:eastAsia="zh-CN" w:bidi="ar-SA"/>
        </w:rPr>
        <w:t>部门整体支出绩效自评表</w:t>
      </w:r>
    </w:p>
    <w:p>
      <w:pPr>
        <w:widowControl/>
        <w:numPr>
          <w:ilvl w:val="0"/>
          <w:numId w:val="7"/>
        </w:numPr>
        <w:adjustRightInd w:val="0"/>
        <w:snapToGrid w:val="0"/>
        <w:spacing w:line="580" w:lineRule="exact"/>
        <w:contextualSpacing/>
        <w:jc w:val="left"/>
        <w:rPr>
          <w:rFonts w:hint="eastAsia" w:hAnsi="宋体" w:cs="宋体"/>
          <w:color w:val="auto"/>
          <w:kern w:val="0"/>
          <w:sz w:val="32"/>
          <w:szCs w:val="32"/>
          <w:highlight w:val="none"/>
          <w:shd w:val="clear" w:color="auto" w:fill="FFFFFF"/>
          <w:lang w:val="zh-CN"/>
        </w:rPr>
      </w:pPr>
      <w:r>
        <w:rPr>
          <w:rFonts w:hint="eastAsia" w:ascii="仿宋_GB2312" w:hAnsi="Calibri" w:eastAsia="仿宋_GB2312" w:cs="仿宋"/>
          <w:color w:val="auto"/>
          <w:kern w:val="0"/>
          <w:sz w:val="32"/>
          <w:szCs w:val="32"/>
          <w:highlight w:val="none"/>
          <w:lang w:val="en-US" w:eastAsia="zh-CN" w:bidi="ar-SA"/>
        </w:rPr>
        <w:t>侨联联络联谊项目绩效目标自评报告</w:t>
      </w:r>
    </w:p>
    <w:p>
      <w:pPr>
        <w:pStyle w:val="6"/>
        <w:rPr>
          <w:rFonts w:hint="eastAsia" w:hAnsi="宋体" w:cs="宋体"/>
          <w:color w:val="auto"/>
          <w:kern w:val="0"/>
          <w:sz w:val="32"/>
          <w:szCs w:val="32"/>
          <w:highlight w:val="none"/>
          <w:shd w:val="clear" w:color="auto" w:fill="FFFFFF"/>
          <w:lang w:val="zh-CN"/>
        </w:rPr>
      </w:pPr>
    </w:p>
    <w:tbl>
      <w:tblPr>
        <w:tblStyle w:val="15"/>
        <w:tblW w:w="11220" w:type="dxa"/>
        <w:tblInd w:w="-1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8"/>
        <w:gridCol w:w="1144"/>
        <w:gridCol w:w="842"/>
        <w:gridCol w:w="552"/>
        <w:gridCol w:w="1598"/>
        <w:gridCol w:w="3655"/>
        <w:gridCol w:w="962"/>
        <w:gridCol w:w="1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1220" w:type="dxa"/>
            <w:gridSpan w:val="8"/>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28"/>
                <w:szCs w:val="28"/>
                <w:u w:val="none"/>
                <w:lang w:val="en-US" w:eastAsia="zh-CN" w:bidi="ar"/>
              </w:rPr>
              <w:t>区侨联2022年度部门整体支出绩效自评表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3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指标分值</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365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计分标准</w:t>
            </w:r>
          </w:p>
        </w:tc>
        <w:tc>
          <w:tcPr>
            <w:tcW w:w="96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自评得分</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65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9" w:hRule="atLeast"/>
        </w:trPr>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部门预算管理（80分）</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预算编制（30分）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目标制定</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评价部门绩效目标是否要素完整、细化量化。</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1.绩效目标编制要素完整的，得5分，否则酌情扣分。                                                       2.绩效指标细化量化的，得5分，否则酌情扣分。                  有项目绩效目标的部门（单位），根据项目绩效目标编制质量打分，无项目绩效目标的部门，根据部门整体支出绩效目标打分。                                                                    </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9"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目标实现</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评价部门绩效目标实际实现程度与预期目标的偏离度。</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以项目完成数量为核心，评价项目实际完成情况与</w:t>
            </w:r>
            <w:bookmarkStart w:id="105" w:name="_GoBack"/>
            <w:bookmarkEnd w:id="105"/>
            <w:r>
              <w:rPr>
                <w:rFonts w:hint="eastAsia" w:ascii="宋体" w:hAnsi="宋体" w:eastAsia="宋体" w:cs="宋体"/>
                <w:i w:val="0"/>
                <w:iCs w:val="0"/>
                <w:color w:val="000000"/>
                <w:kern w:val="0"/>
                <w:sz w:val="18"/>
                <w:szCs w:val="18"/>
                <w:u w:val="none"/>
                <w:lang w:val="en-US" w:eastAsia="zh-CN" w:bidi="ar"/>
              </w:rPr>
              <w:t>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编制准确</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评价部门年初预算编制是否科学准确。</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指标得分=（1-（10×部门全年预算调剂金额/年初部门预算数））*指标分值。其中：若部门全年预算调剂金额/年初部门预算数&gt;0.1，此项得0分。</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2"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预算执行（30分）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支出控制</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部门公用经费及非定额公用支出控制情况。</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3"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动态调整</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评价部门开展绩效运行监控后，将绩效监控结果应用到预算调整的情况。</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                                                             </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2"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执行进度</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评价部门在6、9、11月的预算执行情况。</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部门预算执行进度在6、9、11月应达到序时进度的80%、90%、90%，即实际支出进度分别达到40%、67.5%、82.5%。                                                     6、9、11月部门预算执行进度达到量化指标的分别得3、4、3分，未达到目标进度的按其实际进度占目标进度的比重计算得分。                                             </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完成结果（20分）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评价部门预算项目年终预算执行情况。</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部门预算项目12月预算执行进度达到100%的，得10分，未达100%的，按照实际进度量化计算得分。</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违规记录</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根据审计监督、财政检查结果反映部门上一年度部门预算管理是否合规。</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依据评价年度审计监督、财政检查结果，出现部门预算管理方面违纪违规问题的，每个问题扣0.5分，直至扣完。</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绩效结果应用（10分）</w:t>
            </w:r>
          </w:p>
        </w:tc>
        <w:tc>
          <w:tcPr>
            <w:tcW w:w="114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信息公开（2分)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自评公开</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评价部门是否按要求将部门整体绩效自评情况和自行组织的评价情况向社会公开。</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按要求将相关绩效信息随同决算公开的，得2分，否则不得分。</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4"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整改反馈（8分）</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结果整改</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评价部门根据绩效管理结果整改问题、完善政策、改进管理的情况。</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针对绩效管理过程中（包括绩效目标核查、绩效监控核查和重点绩效评价）提出的问题进行整改，将绩效管理结果应用于完善政策、改进管理、预算挂钩等的，得4分。否则，酌情扣分。</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应用反馈</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评价部门按要求及时向财政部门反馈结果应用情况。</w:t>
            </w:r>
          </w:p>
        </w:tc>
        <w:tc>
          <w:tcPr>
            <w:tcW w:w="3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部门在规定时间内向财政部门反馈应用绩效结果报告的，得满分，否则不得分。</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自评质量（10分）</w:t>
            </w:r>
          </w:p>
        </w:tc>
        <w:tc>
          <w:tcPr>
            <w:tcW w:w="114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自评质量（10分）</w:t>
            </w:r>
          </w:p>
        </w:tc>
        <w:tc>
          <w:tcPr>
            <w:tcW w:w="84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自评准确</w:t>
            </w:r>
          </w:p>
        </w:tc>
        <w:tc>
          <w:tcPr>
            <w:tcW w:w="55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9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评价部门整体支出自评准确率。</w:t>
            </w:r>
          </w:p>
        </w:tc>
        <w:tc>
          <w:tcPr>
            <w:tcW w:w="36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部门整体支出自评得分与评价组抽查得分差异在5%以内的，不扣分；在5%-10%之间的，扣4分，在10%-20%的，扣8分，在20%以上的，扣10分。（部门在自评时，此项指标无需打分，部门自评满分为90分）</w:t>
            </w:r>
          </w:p>
        </w:tc>
        <w:tc>
          <w:tcPr>
            <w:tcW w:w="96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39" w:type="dxa"/>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tbl>
      <w:tblPr>
        <w:tblStyle w:val="15"/>
        <w:tblW w:w="11240" w:type="dxa"/>
        <w:tblInd w:w="-1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7"/>
        <w:gridCol w:w="1617"/>
        <w:gridCol w:w="1393"/>
        <w:gridCol w:w="1448"/>
        <w:gridCol w:w="399"/>
        <w:gridCol w:w="1068"/>
        <w:gridCol w:w="584"/>
        <w:gridCol w:w="853"/>
        <w:gridCol w:w="490"/>
        <w:gridCol w:w="399"/>
        <w:gridCol w:w="16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12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2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51090422T000000386854-侨联联络联谊项目经费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29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遂宁市安居区归侨侨眷联合会部门</w:t>
            </w:r>
          </w:p>
        </w:tc>
        <w:tc>
          <w:tcPr>
            <w:tcW w:w="853"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遂宁市安居区归侨侨眷联合会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开展全区侨情普查调研，建立健全归侨侨眷各类档案，做到底数清、情况明；积极争取省级、市级侨联项目落地安居，助推地方经济发展。</w:t>
            </w:r>
          </w:p>
        </w:tc>
        <w:tc>
          <w:tcPr>
            <w:tcW w:w="34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完成书院沟社区“侨胞之家”建设，完善阵地的服务功能，组织侨界群众在“侨胞之家”开展侨法宣传、书法展示等活动，真正将“侨胞之家”打造成了侨界群众的活动中心、展示中心和服务中心。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用于组织侨眷、归国留学生、留学生家长等开展各项联络联谊工作。该项目立项通过审议批准后，纳入年初本级预算，项目开展后，单位在预算一体化系统中申请使用资金并向财政局归口股室递交项目专项资金申请表提交申请，国库等业务股室审核通过后，指标下达到本单位，根据实际用款情况，据实报销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9.64</w:t>
            </w: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9.64</w:t>
            </w: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开展归侨侨眷侨情普查、调研</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频率（频道）次</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25</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建立归侨侨眷档案</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宗</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侨联活动之家阵地建设</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3" w:hRule="atLeast"/>
        </w:trPr>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开展全区侨情普查调研，建立健全归侨侨眷各类档案，做到底数清、情况明；积极争取省级、市级侨联项目落地安居，助推地方经济发展。</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93</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86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2022年目标任务基本完成，经评价，项目支出绩效自评综合得分为 98分，评价等级为“优秀”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 w:hRule="atLeast"/>
        </w:trPr>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侨联人员较少，部分活动未按年初计划开展，相关经费支出不及时。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完善侨联工作人员匹配，加强侨联类项目的培训。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 w:hRule="atLeast"/>
        </w:trPr>
        <w:tc>
          <w:tcPr>
            <w:tcW w:w="61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pStyle w:val="6"/>
        <w:rPr>
          <w:rFonts w:hint="eastAsia" w:eastAsia="仿宋_GB2312"/>
          <w:color w:val="auto"/>
          <w:sz w:val="32"/>
          <w:szCs w:val="32"/>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eastAsia" w:ascii="方正小标宋简体" w:hAnsi="方正小标宋简体" w:eastAsia="方正小标宋简体" w:cs="方正小标宋简体"/>
          <w:color w:val="auto"/>
          <w:kern w:val="2"/>
          <w:sz w:val="32"/>
          <w:szCs w:val="32"/>
          <w:highlight w:val="none"/>
          <w:lang w:val="en-US" w:eastAsia="zh-CN"/>
        </w:rPr>
        <w:t>2022年专项预算项目绩效自评报告</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黑体" w:hAnsi="黑体" w:eastAsia="黑体" w:cs="黑体"/>
          <w:color w:val="auto"/>
          <w:kern w:val="2"/>
          <w:sz w:val="30"/>
          <w:szCs w:val="30"/>
          <w:highlight w:val="none"/>
          <w:lang w:val="en-US" w:eastAsia="zh-CN"/>
        </w:rPr>
      </w:pPr>
      <w:r>
        <w:rPr>
          <w:rFonts w:hint="eastAsia" w:ascii="黑体" w:hAnsi="黑体" w:eastAsia="黑体" w:cs="黑体"/>
          <w:color w:val="auto"/>
          <w:kern w:val="2"/>
          <w:sz w:val="30"/>
          <w:szCs w:val="30"/>
          <w:highlight w:val="none"/>
          <w:lang w:val="en-US" w:eastAsia="zh-CN"/>
        </w:rPr>
        <w:t>（侨联联络联谊项目经费）</w:t>
      </w:r>
    </w:p>
    <w:p>
      <w:pPr>
        <w:pStyle w:val="36"/>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说明项目主管部门（单位）在该项目管理中的职能。</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eastAsia="zh-Hans"/>
        </w:rPr>
        <w:t>负责引导和组织归侨、侨眷努力学习马克思列宁主义、毛泽东思想、邓小平理论</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eastAsia="zh-Hans"/>
        </w:rPr>
        <w:t>三个代表</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eastAsia="zh-Hans"/>
        </w:rPr>
        <w:t>重要思想</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eastAsia="zh-Hans"/>
        </w:rPr>
        <w:t>科学发展观</w:t>
      </w:r>
      <w:r>
        <w:rPr>
          <w:rFonts w:hint="eastAsia" w:ascii="仿宋_GB2312" w:hAnsi="仿宋_GB2312" w:eastAsia="仿宋_GB2312" w:cs="仿宋_GB2312"/>
          <w:color w:val="000000"/>
          <w:sz w:val="32"/>
          <w:szCs w:val="32"/>
          <w:shd w:val="clear" w:color="auto" w:fill="FFFFFF"/>
          <w:lang w:val="en-US" w:eastAsia="zh-CN"/>
        </w:rPr>
        <w:t>和习近平新时代中国特色社会主义思想</w:t>
      </w:r>
      <w:r>
        <w:rPr>
          <w:rFonts w:hint="eastAsia" w:ascii="仿宋_GB2312" w:hAnsi="仿宋_GB2312" w:eastAsia="仿宋_GB2312" w:cs="仿宋_GB2312"/>
          <w:color w:val="000000"/>
          <w:sz w:val="32"/>
          <w:szCs w:val="32"/>
          <w:shd w:val="clear" w:color="auto" w:fill="FFFFFF"/>
          <w:lang w:eastAsia="zh-Hans"/>
        </w:rPr>
        <w:t>，坚持解放思想、实事求是、与时俱进，做好归侨、侨眷的思想政治工作，团结和带领他们为全面建设</w:t>
      </w:r>
      <w:r>
        <w:rPr>
          <w:rFonts w:hint="eastAsia" w:ascii="仿宋_GB2312" w:hAnsi="仿宋_GB2312" w:eastAsia="仿宋_GB2312" w:cs="仿宋_GB2312"/>
          <w:color w:val="000000"/>
          <w:sz w:val="32"/>
          <w:szCs w:val="32"/>
          <w:shd w:val="clear" w:color="auto" w:fill="FFFFFF"/>
          <w:lang w:val="en-US" w:eastAsia="zh-CN"/>
        </w:rPr>
        <w:t>社会主义现代化国家贡献力量</w:t>
      </w:r>
      <w:r>
        <w:rPr>
          <w:rFonts w:hint="eastAsia" w:ascii="仿宋_GB2312" w:hAnsi="仿宋_GB2312" w:eastAsia="仿宋_GB2312" w:cs="仿宋_GB2312"/>
          <w:color w:val="000000"/>
          <w:sz w:val="32"/>
          <w:szCs w:val="32"/>
          <w:shd w:val="clear" w:color="auto" w:fill="FFFFFF"/>
          <w:lang w:eastAsia="zh-Hans"/>
        </w:rPr>
        <w:t>。　　</w:t>
      </w:r>
      <w:r>
        <w:rPr>
          <w:rFonts w:hint="eastAsia" w:ascii="仿宋_GB2312" w:hAnsi="仿宋_GB2312" w:eastAsia="仿宋_GB2312" w:cs="仿宋_GB2312"/>
          <w:color w:val="000000"/>
          <w:sz w:val="32"/>
          <w:szCs w:val="32"/>
          <w:shd w:val="clear" w:color="auto" w:fill="FFFFFF"/>
          <w:lang w:val="en-US" w:eastAsia="zh-CN"/>
        </w:rPr>
        <w:t xml:space="preserve">   </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eastAsia="zh-Hans"/>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eastAsia="zh-Hans"/>
        </w:rPr>
        <w:t>参与国家政治、经济、文化和社会事务活动，参与社会管理和公共服务，反映归侨、侨眷和海外侨胞的意见和要求;参与政治协商，发挥民主监督作用;参与协商和推荐人民代表大会归侨、侨眷代表人选，提名政治协商会议的归侨、侨眷委员人选</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eastAsia="zh-Hans"/>
        </w:rPr>
        <w:t>负责为归侨、侨眷举办企事业和海外侨胞投资、科技交流提供服务。</w:t>
      </w:r>
      <w:r>
        <w:rPr>
          <w:rFonts w:hint="eastAsia" w:ascii="仿宋_GB2312" w:hAnsi="仿宋_GB2312" w:eastAsia="仿宋_GB2312" w:cs="仿宋_GB2312"/>
          <w:color w:val="000000"/>
          <w:sz w:val="32"/>
          <w:szCs w:val="32"/>
          <w:shd w:val="clear" w:color="auto" w:fill="FFFFFF"/>
          <w:lang w:eastAsia="zh-Hans"/>
        </w:rPr>
        <w:br w:type="textWrapping"/>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eastAsia="zh-Hans"/>
        </w:rPr>
        <w:t>引导和鼓励归侨、侨眷弘扬以爱国主义为核心的民族精神，维护各族人民大团结，积极开展群众性社会主义精神文明创建活动，不断提高思想道德素质和科学文化素质，做有理想、有道德、有文化、有纪律的公民。</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eastAsia="zh-Hans"/>
        </w:rPr>
        <w:t>负责支持归侨、侨眷和海外侨胞开展有关文化学术交流等工作。</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rPr>
        <w:t>项目立项、资金申报的依据。</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中国侨联</w:t>
      </w:r>
      <w:r>
        <w:rPr>
          <w:rFonts w:hint="eastAsia" w:ascii="仿宋_GB2312" w:hAnsi="仿宋_GB2312" w:eastAsia="仿宋_GB2312" w:cs="仿宋_GB2312"/>
          <w:color w:val="000000"/>
          <w:sz w:val="32"/>
          <w:szCs w:val="32"/>
          <w:shd w:val="clear" w:color="auto" w:fill="FFFFFF"/>
        </w:rPr>
        <w:t>《关于新时代加强基层侨联建设的指导意见》</w:t>
      </w:r>
      <w:r>
        <w:rPr>
          <w:rFonts w:hint="eastAsia" w:ascii="仿宋_GB2312" w:hAnsi="仿宋_GB2312" w:eastAsia="仿宋_GB2312" w:cs="仿宋_GB2312"/>
          <w:color w:val="000000"/>
          <w:sz w:val="32"/>
          <w:szCs w:val="32"/>
          <w:shd w:val="clear" w:color="auto" w:fill="FFFFFF"/>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3.</w:t>
      </w:r>
      <w:r>
        <w:rPr>
          <w:rFonts w:hint="eastAsia" w:ascii="仿宋_GB2312" w:hAnsi="仿宋_GB2312" w:eastAsia="仿宋_GB2312" w:cs="仿宋_GB2312"/>
          <w:color w:val="auto"/>
          <w:kern w:val="0"/>
          <w:sz w:val="32"/>
          <w:szCs w:val="32"/>
          <w:highlight w:val="none"/>
          <w:u w:val="none"/>
          <w:shd w:val="clear" w:color="auto" w:fill="FFFFFF"/>
          <w:lang w:val="zh-CN"/>
        </w:rPr>
        <w:t>资金</w:t>
      </w:r>
      <w:r>
        <w:rPr>
          <w:rFonts w:hint="eastAsia" w:ascii="仿宋_GB2312" w:hAnsi="仿宋_GB2312" w:eastAsia="仿宋_GB2312" w:cs="仿宋_GB2312"/>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color w:val="auto"/>
          <w:kern w:val="0"/>
          <w:sz w:val="32"/>
          <w:szCs w:val="32"/>
          <w:highlight w:val="none"/>
          <w:u w:val="none"/>
          <w:shd w:val="clear" w:color="auto" w:fill="FFFFFF"/>
          <w:lang w:val="zh-CN"/>
        </w:rPr>
        <w:t>管理办法制定情况，资金支持具体项目的条件、范围与支持方式概况。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项目经费主要用于</w:t>
      </w:r>
      <w:r>
        <w:rPr>
          <w:rFonts w:hint="eastAsia" w:ascii="仿宋_GB2312" w:hAnsi="仿宋_GB2312" w:eastAsia="仿宋_GB2312" w:cs="仿宋_GB2312"/>
          <w:color w:val="000000"/>
          <w:sz w:val="32"/>
          <w:szCs w:val="32"/>
          <w:shd w:val="clear" w:color="auto" w:fill="FFFFFF"/>
          <w:lang w:val="en-US" w:eastAsia="zh-CN"/>
        </w:rPr>
        <w:t>组织侨眷、归国留学生、留学生家长等开展各项联络联谊工作</w:t>
      </w:r>
      <w:r>
        <w:rPr>
          <w:rFonts w:hint="eastAsia" w:ascii="仿宋_GB2312" w:hAnsi="仿宋_GB2312" w:eastAsia="仿宋_GB2312" w:cs="仿宋_GB2312"/>
          <w:color w:val="auto"/>
          <w:kern w:val="0"/>
          <w:sz w:val="32"/>
          <w:szCs w:val="32"/>
          <w:highlight w:val="none"/>
          <w:u w:val="none"/>
          <w:shd w:val="clear" w:color="auto" w:fill="FFFFFF"/>
          <w:lang w:val="zh-CN"/>
        </w:rPr>
        <w:t>。专项经费严格按照专款专用原则，及时通知有关单位提供合法票据，完善报账手续，严格票据审核，规范报账程序，确保资金使用的及时性、规范性，同时财政部门对资金支付严格审核，确保资金使用安全。根据国家财经法规和单位财务管理制度的相关规定以及有关项目资金管理办法的规定支出，做到了资金使用的安全性、规范性，保证资金使用无截留、挤占、挪用、虚列支出等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4.</w:t>
      </w:r>
      <w:r>
        <w:rPr>
          <w:rFonts w:hint="eastAsia" w:ascii="仿宋_GB2312" w:hAnsi="仿宋_GB2312" w:eastAsia="仿宋_GB2312" w:cs="仿宋_GB2312"/>
          <w:color w:val="auto"/>
          <w:kern w:val="0"/>
          <w:sz w:val="32"/>
          <w:szCs w:val="32"/>
          <w:highlight w:val="none"/>
          <w:u w:val="none"/>
          <w:shd w:val="clear" w:color="auto" w:fill="FFFFFF"/>
          <w:lang w:val="zh-CN"/>
        </w:rPr>
        <w:t>资金分配的原则及考虑因素。</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根据各项联络联谊工作</w:t>
      </w:r>
      <w:r>
        <w:rPr>
          <w:rFonts w:hint="eastAsia" w:ascii="仿宋_GB2312" w:hAnsi="仿宋_GB2312" w:eastAsia="仿宋_GB2312" w:cs="仿宋_GB2312"/>
          <w:color w:val="000000"/>
          <w:sz w:val="32"/>
          <w:szCs w:val="32"/>
          <w:shd w:val="clear" w:color="auto" w:fill="FFFFFF"/>
        </w:rPr>
        <w:t>据实报销</w:t>
      </w:r>
      <w:r>
        <w:rPr>
          <w:rFonts w:hint="eastAsia" w:ascii="仿宋_GB2312" w:hAnsi="仿宋_GB2312" w:eastAsia="仿宋_GB2312" w:cs="仿宋_GB2312"/>
          <w:color w:val="000000"/>
          <w:sz w:val="32"/>
          <w:szCs w:val="32"/>
          <w:shd w:val="clear" w:color="auto" w:fill="FFFFFF"/>
          <w:lang w:eastAsia="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1．项目主要内容。</w:t>
      </w:r>
    </w:p>
    <w:p>
      <w:pPr>
        <w:adjustRightInd w:val="0"/>
        <w:snapToGrid w:val="0"/>
        <w:spacing w:line="600" w:lineRule="exact"/>
        <w:ind w:firstLine="480" w:firstLineChars="15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val="en-US" w:eastAsia="zh-CN"/>
        </w:rPr>
        <w:t>项目经费主要</w:t>
      </w:r>
      <w:r>
        <w:rPr>
          <w:rFonts w:hint="eastAsia" w:ascii="仿宋_GB2312" w:hAnsi="仿宋_GB2312" w:eastAsia="仿宋_GB2312" w:cs="仿宋_GB2312"/>
          <w:color w:val="000000"/>
          <w:sz w:val="32"/>
          <w:szCs w:val="32"/>
          <w:shd w:val="clear" w:color="auto" w:fill="FFFFFF"/>
        </w:rPr>
        <w:t>用于</w:t>
      </w:r>
      <w:r>
        <w:rPr>
          <w:rFonts w:hint="eastAsia" w:ascii="仿宋_GB2312" w:hAnsi="仿宋_GB2312" w:eastAsia="仿宋_GB2312" w:cs="仿宋_GB2312"/>
          <w:color w:val="000000"/>
          <w:sz w:val="32"/>
          <w:szCs w:val="32"/>
          <w:shd w:val="clear" w:color="auto" w:fill="FFFFFF"/>
          <w:lang w:val="en-US" w:eastAsia="zh-CN"/>
        </w:rPr>
        <w:t>组织侨眷、归国留学生、留学生家长等开展各项联络联谊工作</w:t>
      </w:r>
      <w:r>
        <w:rPr>
          <w:rFonts w:hint="eastAsia" w:ascii="仿宋_GB2312" w:hAnsi="宋体" w:eastAsia="仿宋_GB2312"/>
          <w:color w:val="auto"/>
          <w:sz w:val="32"/>
          <w:szCs w:val="32"/>
          <w:lang w:eastAsia="zh-CN"/>
        </w:rPr>
        <w:t>。</w:t>
      </w:r>
    </w:p>
    <w:p>
      <w:pPr>
        <w:keepNext w:val="0"/>
        <w:keepLines w:val="0"/>
        <w:pageBreakBefore w:val="0"/>
        <w:widowControl/>
        <w:numPr>
          <w:ilvl w:val="0"/>
          <w:numId w:val="8"/>
        </w:numPr>
        <w:kinsoku/>
        <w:wordWrap/>
        <w:overflowPunct/>
        <w:topLinePunct w:val="0"/>
        <w:autoSpaceDE/>
        <w:autoSpaceDN/>
        <w:bidi w:val="0"/>
        <w:adjustRightInd w:val="0"/>
        <w:snapToGrid w:val="0"/>
        <w:spacing w:line="578" w:lineRule="exact"/>
        <w:ind w:left="-10" w:leftChars="0" w:firstLine="640" w:firstLineChars="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项目应实现的具体绩效目标，</w:t>
      </w:r>
      <w:r>
        <w:rPr>
          <w:rFonts w:hint="eastAsia" w:ascii="仿宋_GB2312" w:hAnsi="仿宋_GB2312" w:eastAsia="仿宋_GB2312" w:cs="仿宋_GB2312"/>
          <w:color w:val="auto"/>
          <w:kern w:val="0"/>
          <w:sz w:val="32"/>
          <w:szCs w:val="32"/>
          <w:highlight w:val="none"/>
          <w:u w:val="none"/>
          <w:shd w:val="clear" w:color="auto" w:fill="FFFFFF"/>
          <w:lang w:val="en-US" w:eastAsia="zh-CN"/>
        </w:rPr>
        <w:t>包括但不限于</w:t>
      </w:r>
      <w:r>
        <w:rPr>
          <w:rFonts w:hint="eastAsia" w:ascii="仿宋_GB2312" w:hAnsi="仿宋_GB2312" w:cs="仿宋_GB2312"/>
          <w:color w:val="auto"/>
          <w:kern w:val="0"/>
          <w:sz w:val="32"/>
          <w:szCs w:val="32"/>
          <w:highlight w:val="none"/>
          <w:u w:val="none"/>
          <w:shd w:val="clear" w:color="auto" w:fill="FFFFFF"/>
          <w:lang w:val="en-US" w:eastAsia="zh-CN"/>
        </w:rPr>
        <w:t>：绩效</w:t>
      </w:r>
      <w:r>
        <w:rPr>
          <w:rFonts w:hint="eastAsia" w:ascii="仿宋_GB2312" w:hAnsi="仿宋_GB2312" w:eastAsia="仿宋_GB2312" w:cs="仿宋_GB2312"/>
          <w:color w:val="auto"/>
          <w:kern w:val="0"/>
          <w:sz w:val="32"/>
          <w:szCs w:val="32"/>
          <w:highlight w:val="none"/>
          <w:u w:val="none"/>
          <w:shd w:val="clear" w:color="auto" w:fill="FFFFFF"/>
          <w:lang w:val="zh-CN"/>
        </w:rPr>
        <w:t>目标的量化细化情况</w:t>
      </w:r>
      <w:r>
        <w:rPr>
          <w:rFonts w:hint="eastAsia" w:ascii="仿宋_GB2312" w:hAnsi="仿宋_GB2312" w:cs="仿宋_GB2312"/>
          <w:color w:val="auto"/>
          <w:kern w:val="0"/>
          <w:sz w:val="32"/>
          <w:szCs w:val="32"/>
          <w:highlight w:val="none"/>
          <w:u w:val="none"/>
          <w:shd w:val="clear" w:color="auto" w:fill="FFFFFF"/>
          <w:lang w:val="zh-CN"/>
        </w:rPr>
        <w:t>、</w:t>
      </w:r>
      <w:r>
        <w:rPr>
          <w:rFonts w:hint="eastAsia" w:ascii="仿宋_GB2312" w:hAnsi="仿宋_GB2312" w:eastAsia="仿宋_GB2312" w:cs="仿宋_GB2312"/>
          <w:color w:val="auto"/>
          <w:kern w:val="0"/>
          <w:sz w:val="32"/>
          <w:szCs w:val="32"/>
          <w:highlight w:val="none"/>
          <w:u w:val="none"/>
          <w:shd w:val="clear" w:color="auto" w:fill="FFFFFF"/>
          <w:lang w:val="zh-CN"/>
        </w:rPr>
        <w:t>项目实施进度计划等。</w:t>
      </w:r>
    </w:p>
    <w:p>
      <w:pPr>
        <w:adjustRightInd w:val="0"/>
        <w:snapToGrid w:val="0"/>
        <w:spacing w:line="600" w:lineRule="exact"/>
        <w:ind w:firstLine="480" w:firstLineChars="1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（1）数量指标：</w:t>
      </w:r>
      <w:r>
        <w:rPr>
          <w:rFonts w:hint="eastAsia" w:ascii="仿宋_GB2312" w:hAnsi="宋体" w:eastAsia="仿宋_GB2312"/>
          <w:color w:val="auto"/>
          <w:sz w:val="32"/>
          <w:szCs w:val="32"/>
          <w:highlight w:val="none"/>
          <w:lang w:val="en-US" w:eastAsia="zh-CN"/>
        </w:rPr>
        <w:t>开展归侨侨眷侨情普查、调研不低于20次、建立归侨侨眷档案不少于30份</w:t>
      </w:r>
      <w:r>
        <w:rPr>
          <w:rFonts w:hint="default" w:ascii="Times New Roman" w:hAnsi="Times New Roman" w:eastAsia="仿宋_GB2312" w:cs="Times New Roman"/>
          <w:sz w:val="32"/>
          <w:szCs w:val="32"/>
          <w:highlight w:val="none"/>
          <w:lang w:val="en-US" w:eastAsia="zh-CN"/>
        </w:rPr>
        <w:t>。</w:t>
      </w:r>
    </w:p>
    <w:p>
      <w:pPr>
        <w:adjustRightInd w:val="0"/>
        <w:snapToGrid w:val="0"/>
        <w:spacing w:line="600" w:lineRule="exact"/>
        <w:ind w:firstLine="480" w:firstLineChars="150"/>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olor w:val="auto"/>
          <w:sz w:val="32"/>
          <w:szCs w:val="32"/>
          <w:highlight w:val="none"/>
        </w:rPr>
        <w:t>（2）</w:t>
      </w:r>
      <w:r>
        <w:rPr>
          <w:rFonts w:hint="eastAsia" w:ascii="仿宋_GB2312" w:hAnsi="宋体" w:eastAsia="仿宋_GB2312"/>
          <w:color w:val="auto"/>
          <w:sz w:val="32"/>
          <w:szCs w:val="32"/>
          <w:highlight w:val="none"/>
          <w:lang w:eastAsia="zh-CN"/>
        </w:rPr>
        <w:t>经济效益</w:t>
      </w:r>
      <w:r>
        <w:rPr>
          <w:rFonts w:hint="eastAsia" w:ascii="仿宋_GB2312" w:hAnsi="宋体" w:eastAsia="仿宋_GB2312"/>
          <w:color w:val="auto"/>
          <w:sz w:val="32"/>
          <w:szCs w:val="32"/>
          <w:highlight w:val="none"/>
        </w:rPr>
        <w:t>指标：</w:t>
      </w:r>
      <w:r>
        <w:rPr>
          <w:rFonts w:hint="eastAsia" w:ascii="仿宋_GB2312" w:hAnsi="宋体" w:eastAsia="仿宋_GB2312" w:cs="Times New Roman"/>
          <w:color w:val="auto"/>
          <w:sz w:val="32"/>
          <w:szCs w:val="32"/>
          <w:highlight w:val="none"/>
          <w:lang w:val="en-US" w:eastAsia="zh-CN"/>
        </w:rPr>
        <w:t>积极争取省级、市级侨联项目落地安居，助推地方经济发展</w:t>
      </w:r>
      <w:r>
        <w:rPr>
          <w:rFonts w:hint="default" w:ascii="仿宋_GB2312" w:hAnsi="宋体" w:eastAsia="仿宋_GB2312" w:cs="Times New Roman"/>
          <w:color w:val="auto"/>
          <w:sz w:val="32"/>
          <w:szCs w:val="32"/>
          <w:highlight w:val="none"/>
          <w:lang w:val="en-US" w:eastAsia="zh-CN"/>
        </w:rPr>
        <w:t>。</w:t>
      </w:r>
    </w:p>
    <w:p>
      <w:pPr>
        <w:adjustRightInd w:val="0"/>
        <w:snapToGrid w:val="0"/>
        <w:spacing w:line="600" w:lineRule="exact"/>
        <w:ind w:firstLine="480" w:firstLineChars="150"/>
        <w:rPr>
          <w:rFonts w:hint="eastAsia" w:ascii="仿宋_GB2312" w:hAnsi="宋体" w:eastAsia="仿宋_GB2312" w:cs="Times New Roman"/>
          <w:color w:val="auto"/>
          <w:sz w:val="32"/>
          <w:szCs w:val="32"/>
          <w:highlight w:val="none"/>
        </w:rPr>
      </w:pPr>
      <w:r>
        <w:rPr>
          <w:rFonts w:hint="eastAsia" w:ascii="仿宋_GB2312" w:hAnsi="宋体" w:eastAsia="仿宋_GB2312" w:cs="Times New Roman"/>
          <w:color w:val="auto"/>
          <w:sz w:val="32"/>
          <w:szCs w:val="32"/>
          <w:highlight w:val="none"/>
        </w:rPr>
        <w:t>（3）满意度指标：</w:t>
      </w:r>
      <w:r>
        <w:rPr>
          <w:rFonts w:hint="eastAsia" w:ascii="仿宋_GB2312" w:hAnsi="宋体" w:eastAsia="仿宋_GB2312" w:cs="Times New Roman"/>
          <w:color w:val="auto"/>
          <w:sz w:val="32"/>
          <w:szCs w:val="32"/>
          <w:highlight w:val="none"/>
          <w:lang w:eastAsia="zh-CN"/>
        </w:rPr>
        <w:t>服务对象</w:t>
      </w:r>
      <w:r>
        <w:rPr>
          <w:rFonts w:hint="eastAsia" w:ascii="仿宋_GB2312" w:hAnsi="宋体" w:eastAsia="仿宋_GB2312" w:cs="Times New Roman"/>
          <w:color w:val="auto"/>
          <w:sz w:val="32"/>
          <w:szCs w:val="32"/>
          <w:highlight w:val="none"/>
        </w:rPr>
        <w:t>满意度得到不断提升。</w:t>
      </w:r>
    </w:p>
    <w:p>
      <w:pPr>
        <w:adjustRightInd w:val="0"/>
        <w:snapToGrid w:val="0"/>
        <w:spacing w:line="600" w:lineRule="exact"/>
        <w:ind w:firstLine="480" w:firstLineChars="150"/>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lang w:val="en-US" w:eastAsia="zh-CN"/>
        </w:rPr>
        <w:t>4</w:t>
      </w: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32"/>
          <w:szCs w:val="32"/>
          <w:highlight w:val="none"/>
          <w:lang w:val="en-US" w:eastAsia="zh-CN"/>
        </w:rPr>
        <w:t>社会效益指标：开展全区侨情普查调研，建立健全归侨侨眷各类档案，做到底数清、情况明。。</w:t>
      </w:r>
    </w:p>
    <w:p>
      <w:pPr>
        <w:adjustRightInd w:val="0"/>
        <w:snapToGrid w:val="0"/>
        <w:spacing w:line="600" w:lineRule="exact"/>
        <w:ind w:firstLine="480" w:firstLineChars="15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3</w:t>
      </w:r>
      <w:r>
        <w:rPr>
          <w:rFonts w:hint="eastAsia" w:ascii="仿宋_GB2312" w:hAnsi="宋体" w:eastAsia="仿宋_GB2312" w:cs="Times New Roman"/>
          <w:color w:val="auto"/>
          <w:sz w:val="32"/>
          <w:szCs w:val="32"/>
          <w:highlight w:val="none"/>
          <w:lang w:val="en-US" w:eastAsia="zh-CN"/>
        </w:rPr>
        <w:t>.</w:t>
      </w:r>
      <w:r>
        <w:rPr>
          <w:rFonts w:hint="eastAsia" w:ascii="仿宋_GB2312" w:hAnsi="宋体" w:eastAsia="仿宋_GB2312" w:cs="Times New Roman"/>
          <w:color w:val="auto"/>
          <w:sz w:val="32"/>
          <w:szCs w:val="32"/>
          <w:highlight w:val="none"/>
          <w:lang w:val="zh-CN"/>
        </w:rPr>
        <w:t>分析评价申报内容是否与实际相符，申报目标是否合理可行。</w:t>
      </w:r>
    </w:p>
    <w:p>
      <w:pPr>
        <w:adjustRightInd w:val="0"/>
        <w:snapToGrid w:val="0"/>
        <w:spacing w:line="600" w:lineRule="exact"/>
        <w:ind w:firstLine="480" w:firstLineChars="150"/>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zh-CN" w:eastAsia="zh-CN"/>
        </w:rPr>
        <w:t>项目申报内容与具体实施内容相符、申报目标合理可行。项目实施进度如期完成，计划实现的具体绩效目标达到100%，项目实施进度计划达到100%。</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rPr>
        <w:t>该</w:t>
      </w:r>
      <w:r>
        <w:rPr>
          <w:rFonts w:hint="eastAsia" w:ascii="仿宋_GB2312" w:hAnsi="仿宋_GB2312" w:eastAsia="仿宋_GB2312" w:cs="仿宋_GB2312"/>
          <w:color w:val="000000"/>
          <w:sz w:val="32"/>
          <w:szCs w:val="32"/>
          <w:shd w:val="clear" w:color="auto" w:fill="FFFFFF"/>
          <w:lang w:val="zh-CN"/>
        </w:rPr>
        <w:t>项目绩效自评采用自评方式，成立项目自评小组，结合评价内容，做到有计划，有安排，扎实开展本次自评工作。按照上级下达的项目支出绩效评价指标体系，自评小组针对申报内容、实施情况、资金兑现、财务管理、社会效益等做出自我评价，做好自评工作。</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pStyle w:val="2"/>
        <w:keepNext w:val="0"/>
        <w:keepLines w:val="0"/>
        <w:pageBreakBefore w:val="0"/>
        <w:kinsoku/>
        <w:wordWrap/>
        <w:overflowPunct/>
        <w:topLinePunct w:val="0"/>
        <w:autoSpaceDE/>
        <w:autoSpaceDN/>
        <w:bidi w:val="0"/>
        <w:spacing w:beforeAutospacing="0" w:afterAutospacing="0" w:line="560" w:lineRule="exact"/>
        <w:ind w:firstLine="64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 w:hAnsi="仿宋" w:eastAsia="仿宋" w:cs="FangSong_GB2312"/>
          <w:szCs w:val="32"/>
        </w:rPr>
        <w:t>该</w:t>
      </w:r>
      <w:r>
        <w:rPr>
          <w:rFonts w:hint="eastAsia" w:ascii="仿宋_GB2312" w:hAnsi="仿宋_GB2312" w:eastAsia="仿宋_GB2312" w:cs="仿宋_GB2312"/>
          <w:color w:val="000000"/>
          <w:kern w:val="2"/>
          <w:sz w:val="32"/>
          <w:szCs w:val="32"/>
          <w:shd w:val="clear" w:color="auto" w:fill="FFFFFF"/>
          <w:lang w:val="en-US" w:eastAsia="zh-CN" w:bidi="ar-SA"/>
        </w:rPr>
        <w:t>项目立项通过审议批准后，纳入年初本级预算，项目开展后，单位在</w:t>
      </w:r>
      <w:r>
        <w:rPr>
          <w:rFonts w:hint="eastAsia" w:ascii="仿宋_GB2312" w:hAnsi="仿宋_GB2312" w:eastAsia="仿宋_GB2312" w:cs="仿宋_GB2312"/>
          <w:color w:val="000000"/>
          <w:kern w:val="2"/>
          <w:sz w:val="32"/>
          <w:szCs w:val="32"/>
          <w:shd w:val="clear" w:color="auto" w:fill="FFFFFF"/>
          <w:lang w:val="zh-CN" w:eastAsia="zh-CN" w:bidi="ar-SA"/>
        </w:rPr>
        <w:t>预算一体化系统中</w:t>
      </w:r>
      <w:r>
        <w:rPr>
          <w:rFonts w:hint="eastAsia" w:ascii="仿宋_GB2312" w:hAnsi="仿宋_GB2312" w:eastAsia="仿宋_GB2312" w:cs="仿宋_GB2312"/>
          <w:color w:val="000000"/>
          <w:kern w:val="2"/>
          <w:sz w:val="32"/>
          <w:szCs w:val="32"/>
          <w:shd w:val="clear" w:color="auto" w:fill="FFFFFF"/>
          <w:lang w:val="en-US" w:eastAsia="zh-CN" w:bidi="ar-SA"/>
        </w:rPr>
        <w:t>申请使用资金并向财政局归口股室递交项目专项资金申请表提交申请，国库等业务股室审核通过后，指标下达到本单位，根据实际用款情况，据实报销资金。</w:t>
      </w:r>
    </w:p>
    <w:p>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1.</w:t>
      </w:r>
      <w:r>
        <w:rPr>
          <w:rFonts w:hint="eastAsia" w:ascii="仿宋_GB2312" w:hAnsi="仿宋_GB2312" w:eastAsia="仿宋_GB2312" w:cs="仿宋_GB2312"/>
          <w:color w:val="auto"/>
          <w:kern w:val="0"/>
          <w:sz w:val="32"/>
          <w:szCs w:val="32"/>
          <w:highlight w:val="none"/>
          <w:u w:val="none"/>
          <w:shd w:val="clear" w:color="auto" w:fill="FFFFFF"/>
          <w:lang w:val="zh-CN"/>
        </w:rPr>
        <w:t>资金计划。</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侨联工作经费项目资金于年初预算，由区财政局统一批复，预算金额10.00万元，预算批复9.64万元。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630" w:leftChars="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rPr>
        <w:t>资金到位。</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侨联工作经费项目资金预算批复9.64万，拨付到位9.64万元，到位率100.00%。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630" w:leftChars="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3.</w:t>
      </w:r>
      <w:r>
        <w:rPr>
          <w:rFonts w:hint="eastAsia" w:ascii="仿宋_GB2312" w:hAnsi="仿宋_GB2312" w:eastAsia="仿宋_GB2312" w:cs="仿宋_GB2312"/>
          <w:color w:val="auto"/>
          <w:kern w:val="0"/>
          <w:sz w:val="32"/>
          <w:szCs w:val="32"/>
          <w:highlight w:val="none"/>
          <w:u w:val="none"/>
          <w:shd w:val="clear" w:color="auto" w:fill="FFFFFF"/>
          <w:lang w:val="zh-CN"/>
        </w:rPr>
        <w:t>资金使用。</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宋体" w:eastAsia="仿宋_GB2312"/>
          <w:color w:val="auto"/>
          <w:sz w:val="32"/>
          <w:szCs w:val="32"/>
          <w:lang w:val="en-US" w:eastAsia="zh-CN"/>
        </w:rPr>
        <w:t>项目经费主要用于</w:t>
      </w:r>
      <w:r>
        <w:rPr>
          <w:rFonts w:hint="eastAsia" w:ascii="仿宋_GB2312" w:hAnsi="仿宋_GB2312" w:eastAsia="仿宋_GB2312" w:cs="仿宋_GB2312"/>
          <w:color w:val="000000"/>
          <w:sz w:val="32"/>
          <w:szCs w:val="32"/>
          <w:shd w:val="clear" w:color="auto" w:fill="FFFFFF"/>
          <w:lang w:val="en-US" w:eastAsia="zh-CN"/>
        </w:rPr>
        <w:t>侨联</w:t>
      </w:r>
      <w:r>
        <w:rPr>
          <w:rFonts w:hint="eastAsia" w:ascii="仿宋_GB2312" w:hAnsi="仿宋_GB2312" w:eastAsia="仿宋_GB2312" w:cs="仿宋_GB2312"/>
          <w:color w:val="000000"/>
          <w:sz w:val="32"/>
          <w:szCs w:val="32"/>
          <w:shd w:val="clear" w:color="auto" w:fill="FFFFFF"/>
        </w:rPr>
        <w:t>开展</w:t>
      </w:r>
      <w:r>
        <w:rPr>
          <w:rFonts w:hint="eastAsia" w:ascii="仿宋_GB2312" w:hAnsi="仿宋_GB2312" w:eastAsia="仿宋_GB2312" w:cs="仿宋_GB2312"/>
          <w:color w:val="000000"/>
          <w:sz w:val="32"/>
          <w:szCs w:val="32"/>
          <w:shd w:val="clear" w:color="auto" w:fill="FFFFFF"/>
          <w:lang w:val="en-US" w:eastAsia="zh-CN"/>
        </w:rPr>
        <w:t>联络联谊活动、各类学习交流座谈会等。</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color w:val="auto"/>
          <w:sz w:val="32"/>
          <w:szCs w:val="32"/>
          <w:highlight w:val="none"/>
          <w:u w:val="none"/>
        </w:rPr>
      </w:pPr>
      <w:r>
        <w:rPr>
          <w:rFonts w:hint="eastAsia" w:ascii="仿宋_GB2312" w:hAnsi="宋体" w:eastAsia="仿宋_GB2312"/>
          <w:sz w:val="32"/>
          <w:szCs w:val="32"/>
        </w:rPr>
        <w:t>专项经费严格按照专款专用原则，及时通知有关</w:t>
      </w:r>
      <w:r>
        <w:rPr>
          <w:rFonts w:hint="eastAsia" w:ascii="仿宋_GB2312" w:hAnsi="宋体" w:eastAsia="仿宋_GB2312"/>
          <w:sz w:val="32"/>
          <w:szCs w:val="32"/>
          <w:lang w:eastAsia="zh-CN"/>
        </w:rPr>
        <w:t>单位</w:t>
      </w:r>
      <w:r>
        <w:rPr>
          <w:rFonts w:hint="eastAsia" w:ascii="仿宋_GB2312" w:hAnsi="宋体" w:eastAsia="仿宋_GB2312"/>
          <w:sz w:val="32"/>
          <w:szCs w:val="32"/>
        </w:rPr>
        <w:t>提供合法票据，完善报账手续，严格票据审核，规范报账程，同时财政部门对资金支付严格审核，确保资金使用安全。根据国家财经法规和单位财务管理制度的相关规定以及有关项目资金管理办法的规定支出，做到了资金使用的安全性、规范性</w:t>
      </w:r>
      <w:r>
        <w:rPr>
          <w:rFonts w:hint="eastAsia" w:ascii="仿宋_GB2312" w:hAnsi="宋体" w:eastAsia="仿宋_GB2312"/>
          <w:sz w:val="32"/>
          <w:szCs w:val="32"/>
          <w:lang w:eastAsia="zh-CN"/>
        </w:rPr>
        <w:t>。待费用报销结束后会计人员</w:t>
      </w:r>
      <w:r>
        <w:rPr>
          <w:rFonts w:hint="eastAsia" w:ascii="仿宋" w:hAnsi="仿宋" w:eastAsia="仿宋" w:cs="FangSong_GB2312"/>
          <w:sz w:val="32"/>
          <w:szCs w:val="32"/>
          <w:lang w:val="zh-CN"/>
        </w:rPr>
        <w:t>严格按照财务管理制度及时进行账务处理，会计核算规范，无遗漏、错记等情况。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结合项目组织实施管理办法，重点围绕以下内容进行分析评价，并对自评中发现的问题分析说明。</w:t>
      </w:r>
    </w:p>
    <w:p>
      <w:pPr>
        <w:keepNext w:val="0"/>
        <w:keepLines w:val="0"/>
        <w:pageBreakBefore w:val="0"/>
        <w:numPr>
          <w:ilvl w:val="0"/>
          <w:numId w:val="9"/>
        </w:numPr>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项目组织架构及实施流程。</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val="zh-CN" w:eastAsia="zh-CN"/>
        </w:rPr>
      </w:pPr>
      <w:r>
        <w:rPr>
          <w:rFonts w:hint="eastAsia" w:ascii="仿宋_GB2312" w:hAnsi="仿宋_GB2312" w:eastAsia="仿宋_GB2312" w:cs="仿宋_GB2312"/>
          <w:color w:val="000000"/>
          <w:sz w:val="32"/>
          <w:szCs w:val="32"/>
          <w:shd w:val="clear" w:color="auto" w:fill="FFFFFF"/>
          <w:lang w:val="zh-CN" w:eastAsia="zh-CN"/>
        </w:rPr>
        <w:t>本项目采取区</w:t>
      </w:r>
      <w:r>
        <w:rPr>
          <w:rFonts w:hint="eastAsia" w:ascii="仿宋_GB2312" w:hAnsi="仿宋_GB2312" w:eastAsia="仿宋_GB2312" w:cs="仿宋_GB2312"/>
          <w:color w:val="000000"/>
          <w:sz w:val="32"/>
          <w:szCs w:val="32"/>
          <w:shd w:val="clear" w:color="auto" w:fill="FFFFFF"/>
          <w:lang w:val="en-US" w:eastAsia="zh-CN"/>
        </w:rPr>
        <w:t>侨联</w:t>
      </w:r>
      <w:r>
        <w:rPr>
          <w:rFonts w:hint="eastAsia" w:ascii="仿宋_GB2312" w:hAnsi="仿宋_GB2312" w:eastAsia="仿宋_GB2312" w:cs="仿宋_GB2312"/>
          <w:color w:val="000000"/>
          <w:sz w:val="32"/>
          <w:szCs w:val="32"/>
          <w:shd w:val="clear" w:color="auto" w:fill="FFFFFF"/>
          <w:lang w:val="zh-CN" w:eastAsia="zh-CN"/>
        </w:rPr>
        <w:t>预算资金，并全程监管。资金下达后</w:t>
      </w:r>
      <w:r>
        <w:rPr>
          <w:rFonts w:hint="eastAsia" w:ascii="仿宋_GB2312" w:hAnsi="仿宋_GB2312" w:eastAsia="仿宋_GB2312" w:cs="仿宋_GB2312"/>
          <w:color w:val="000000"/>
          <w:sz w:val="32"/>
          <w:szCs w:val="32"/>
          <w:shd w:val="clear" w:color="auto" w:fill="FFFFFF"/>
          <w:lang w:val="en-US" w:eastAsia="zh-CN"/>
        </w:rPr>
        <w:t>侨联</w:t>
      </w:r>
      <w:r>
        <w:rPr>
          <w:rFonts w:hint="eastAsia" w:ascii="仿宋_GB2312" w:hAnsi="仿宋_GB2312" w:eastAsia="仿宋_GB2312" w:cs="仿宋_GB2312"/>
          <w:color w:val="000000"/>
          <w:sz w:val="32"/>
          <w:szCs w:val="32"/>
          <w:shd w:val="clear" w:color="auto" w:fill="FFFFFF"/>
          <w:lang w:val="zh-CN" w:eastAsia="zh-CN"/>
        </w:rPr>
        <w:t>按规定使用。</w:t>
      </w:r>
    </w:p>
    <w:p>
      <w:pPr>
        <w:keepNext w:val="0"/>
        <w:keepLines w:val="0"/>
        <w:pageBreakBefore w:val="0"/>
        <w:numPr>
          <w:ilvl w:val="0"/>
          <w:numId w:val="9"/>
        </w:numPr>
        <w:kinsoku/>
        <w:wordWrap/>
        <w:overflowPunct/>
        <w:topLinePunct w:val="0"/>
        <w:autoSpaceDE/>
        <w:autoSpaceDN/>
        <w:bidi w:val="0"/>
        <w:adjustRightInd w:val="0"/>
        <w:snapToGrid w:val="0"/>
        <w:spacing w:line="578" w:lineRule="exact"/>
        <w:ind w:left="0" w:leftChars="0" w:firstLine="720" w:firstLineChars="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项目管理情况。</w:t>
      </w:r>
    </w:p>
    <w:p>
      <w:pPr>
        <w:pStyle w:val="2"/>
        <w:keepNext w:val="0"/>
        <w:keepLines w:val="0"/>
        <w:pageBreakBefore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项目严格按照区级有关规定执行，由侨联按</w:t>
      </w:r>
      <w:r>
        <w:rPr>
          <w:rFonts w:hint="eastAsia" w:ascii="仿宋_GB2312" w:hAnsi="仿宋_GB2312" w:eastAsia="仿宋_GB2312" w:cs="仿宋_GB2312"/>
          <w:color w:val="000000"/>
          <w:kern w:val="2"/>
          <w:sz w:val="32"/>
          <w:szCs w:val="32"/>
          <w:shd w:val="clear" w:color="auto" w:fill="FFFFFF"/>
          <w:lang w:val="zh-CN" w:eastAsia="zh-CN" w:bidi="ar-SA"/>
        </w:rPr>
        <w:t>照项目资金管理办法实行专款专用。</w:t>
      </w:r>
    </w:p>
    <w:p>
      <w:pPr>
        <w:keepNext w:val="0"/>
        <w:keepLines w:val="0"/>
        <w:pageBreakBefore w:val="0"/>
        <w:numPr>
          <w:ilvl w:val="0"/>
          <w:numId w:val="9"/>
        </w:numPr>
        <w:kinsoku/>
        <w:wordWrap/>
        <w:overflowPunct/>
        <w:topLinePunct w:val="0"/>
        <w:autoSpaceDE/>
        <w:autoSpaceDN/>
        <w:bidi w:val="0"/>
        <w:adjustRightInd w:val="0"/>
        <w:snapToGrid w:val="0"/>
        <w:spacing w:line="578" w:lineRule="exact"/>
        <w:ind w:left="0" w:leftChars="0" w:firstLine="720" w:firstLineChars="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项目监管情况。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项目由区侨联监管，严格按照相关财经纪律执行。</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eastAsia="楷体_GB2312"/>
          <w:b w:val="0"/>
          <w:bCs w:val="0"/>
          <w:sz w:val="32"/>
          <w:szCs w:val="32"/>
          <w:shd w:val="clear" w:color="auto" w:fill="FFFFFF"/>
          <w:lang w:val="en-US" w:eastAsia="zh-CN"/>
        </w:rPr>
        <w:t>1.</w:t>
      </w:r>
      <w:r>
        <w:rPr>
          <w:rFonts w:hint="eastAsia" w:ascii="Times New Roman" w:hAnsi="Times New Roman" w:eastAsia="仿宋_GB2312" w:cs="Times New Roman"/>
          <w:b w:val="0"/>
          <w:bCs w:val="0"/>
          <w:sz w:val="32"/>
          <w:szCs w:val="32"/>
          <w:lang w:val="en-US" w:eastAsia="zh-CN"/>
        </w:rPr>
        <w:t>深</w:t>
      </w:r>
      <w:r>
        <w:rPr>
          <w:rFonts w:hint="eastAsia" w:ascii="Times New Roman" w:hAnsi="Times New Roman" w:eastAsia="仿宋_GB2312" w:cs="Times New Roman"/>
          <w:sz w:val="32"/>
          <w:szCs w:val="32"/>
          <w:lang w:val="en-US" w:eastAsia="zh-CN"/>
        </w:rPr>
        <w:t>入开展大学习、大宣传、大调研活动，组织侨界人士召开专题学习会，谈学习、谈思想。组织侨界人士参加安居区统一战线“传承红色基因.凝聚奋进力量”红色主题展活动，承办全市侨联系统“侨界人士走进‘海龙凯歌’”主题活动，向侨界人士全面展示安居深入挖掘沼气文化资源，就地应用沼气等低碳绿色清洁能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eastAsia="楷体_GB2312"/>
          <w:b/>
          <w:bCs/>
          <w:sz w:val="32"/>
          <w:szCs w:val="32"/>
          <w:shd w:val="clear" w:color="auto" w:fill="FFFFFF"/>
          <w:lang w:val="en-US" w:eastAsia="zh-CN"/>
        </w:rPr>
      </w:pPr>
      <w:r>
        <w:rPr>
          <w:rFonts w:hint="eastAsia" w:ascii="Times New Roman" w:hAnsi="Times New Roman" w:eastAsia="楷体_GB2312" w:cs="Times New Roman"/>
          <w:b w:val="0"/>
          <w:bCs w:val="0"/>
          <w:sz w:val="32"/>
          <w:szCs w:val="32"/>
          <w:shd w:val="clear" w:color="auto" w:fill="FFFFFF"/>
          <w:lang w:val="en-US" w:eastAsia="zh-CN"/>
        </w:rPr>
        <w:t>2.深入</w:t>
      </w:r>
      <w:r>
        <w:rPr>
          <w:rFonts w:hint="eastAsia" w:ascii="Times New Roman" w:hAnsi="Times New Roman" w:eastAsia="仿宋_GB2312" w:cs="Times New Roman"/>
          <w:b w:val="0"/>
          <w:bCs w:val="0"/>
          <w:sz w:val="32"/>
          <w:szCs w:val="32"/>
          <w:lang w:val="en-US" w:eastAsia="zh-CN"/>
        </w:rPr>
        <w:t>参与乡村振兴工作，鼓励支持侨界人士陈原积极投身全市重点乡村振兴项目“海龙凯歌”，全面参与“海龙凯歌”农旅园区运营管理。充分发挥侨联桥梁纽带作用，积极参与招商引资工作，邀请中国欧盟商会副主席、西南分会主席马晓利赴安居考察，全面</w:t>
      </w:r>
      <w:r>
        <w:rPr>
          <w:rFonts w:hint="default" w:ascii="Times New Roman" w:hAnsi="Times New Roman" w:eastAsia="仿宋_GB2312" w:cs="Times New Roman"/>
          <w:sz w:val="32"/>
          <w:szCs w:val="32"/>
          <w:lang w:val="en-US" w:eastAsia="zh-CN"/>
        </w:rPr>
        <w:t>介绍安居经济社会发展情况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投资环境，努力为安居引进、发展侨资企业作出新的贡献</w:t>
      </w:r>
      <w:r>
        <w:rPr>
          <w:rFonts w:hint="eastAsia" w:ascii="Times New Roman" w:hAnsi="Times New Roman" w:eastAsia="仿宋_GB2312" w:cs="Times New Roman"/>
          <w:sz w:val="32"/>
          <w:szCs w:val="32"/>
          <w:lang w:val="en-US" w:eastAsia="zh-CN"/>
        </w:rPr>
        <w:t>。参加“苏州、遂宁2022年线上视频会”详细介绍安居区经济社会发展情况，深入交流侨联工作经验。深入开展侨情普查</w:t>
      </w:r>
      <w:r>
        <w:rPr>
          <w:rFonts w:hint="eastAsia" w:ascii="Times New Roman" w:hAnsi="Times New Roman" w:eastAsia="仿宋_GB2312" w:cs="Times New Roman"/>
          <w:b w:val="0"/>
          <w:bCs w:val="0"/>
          <w:sz w:val="32"/>
          <w:szCs w:val="32"/>
          <w:lang w:val="en-US" w:eastAsia="zh-CN"/>
        </w:rPr>
        <w:t>，做好重点人士的材料收集、整理、归档，加强与新移民、出国人员与其亲属的联系，完善侨情资料库。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b w:val="0"/>
          <w:bCs w:val="0"/>
          <w:sz w:val="32"/>
          <w:szCs w:val="32"/>
          <w:shd w:val="clear" w:color="auto" w:fill="FFFFFF"/>
          <w:lang w:val="en-US" w:eastAsia="zh-CN"/>
        </w:rPr>
        <w:t>3.始</w:t>
      </w:r>
      <w:r>
        <w:rPr>
          <w:rFonts w:hint="eastAsia" w:ascii="Times New Roman" w:hAnsi="Times New Roman" w:eastAsia="仿宋_GB2312" w:cs="Times New Roman"/>
          <w:sz w:val="32"/>
          <w:szCs w:val="32"/>
          <w:lang w:val="en-US" w:eastAsia="zh-CN"/>
        </w:rPr>
        <w:t>终把为侨服务作为侨联工作的出发点和落脚点，针对国内外疫情发展情况，通过电话、微信、上门走访侨眷等方式多方面了解海外华人华侨留学生的情况。持续开展“送温暖”活动，在2022年春节、端午节、中秋节前夕，走访慰问重点侨界人士和部分困难侨眷，送去慰问金、棉被棉衣等慰问品，共计7000元。完成书院沟社区“侨胞之家”建设，</w:t>
      </w:r>
      <w:r>
        <w:rPr>
          <w:rFonts w:hint="default" w:ascii="Times New Roman" w:hAnsi="Times New Roman" w:eastAsia="仿宋_GB2312" w:cs="Times New Roman"/>
          <w:b w:val="0"/>
          <w:bCs w:val="0"/>
          <w:color w:val="000000"/>
          <w:sz w:val="32"/>
          <w:szCs w:val="32"/>
          <w:lang w:val="en-US" w:eastAsia="zh-CN"/>
        </w:rPr>
        <w:t>完善阵地的服务功能</w:t>
      </w:r>
      <w:r>
        <w:rPr>
          <w:rFonts w:hint="eastAsia" w:ascii="Times New Roman" w:hAnsi="Times New Roman" w:eastAsia="仿宋_GB2312" w:cs="Times New Roman"/>
          <w:b w:val="0"/>
          <w:bCs w:val="0"/>
          <w:color w:val="000000"/>
          <w:sz w:val="32"/>
          <w:szCs w:val="32"/>
          <w:lang w:val="en-US" w:eastAsia="zh-CN"/>
        </w:rPr>
        <w:t>，组织侨界群众在“侨胞之家”开展侨法宣传、书法展示等活动，真正</w:t>
      </w:r>
      <w:r>
        <w:rPr>
          <w:rFonts w:hint="default" w:ascii="Times New Roman" w:hAnsi="Times New Roman" w:eastAsia="仿宋_GB2312" w:cs="Times New Roman"/>
          <w:b w:val="0"/>
          <w:bCs w:val="0"/>
          <w:color w:val="000000"/>
          <w:sz w:val="32"/>
          <w:szCs w:val="32"/>
          <w:lang w:val="en-US" w:eastAsia="zh-CN"/>
        </w:rPr>
        <w:t>将“侨胞之家”打造成</w:t>
      </w:r>
      <w:r>
        <w:rPr>
          <w:rFonts w:hint="eastAsia" w:ascii="Times New Roman" w:hAnsi="Times New Roman" w:eastAsia="仿宋_GB2312" w:cs="Times New Roman"/>
          <w:b w:val="0"/>
          <w:bCs w:val="0"/>
          <w:color w:val="000000"/>
          <w:sz w:val="32"/>
          <w:szCs w:val="32"/>
          <w:lang w:val="en-US" w:eastAsia="zh-CN"/>
        </w:rPr>
        <w:t>了</w:t>
      </w:r>
      <w:r>
        <w:rPr>
          <w:rFonts w:hint="default" w:ascii="Times New Roman" w:hAnsi="Times New Roman" w:eastAsia="仿宋_GB2312" w:cs="Times New Roman"/>
          <w:b w:val="0"/>
          <w:bCs w:val="0"/>
          <w:color w:val="000000"/>
          <w:sz w:val="32"/>
          <w:szCs w:val="32"/>
          <w:lang w:val="en-US" w:eastAsia="zh-CN"/>
        </w:rPr>
        <w:t>侨界群众的活动中心、展示中心和服务中心</w:t>
      </w:r>
      <w:r>
        <w:rPr>
          <w:rFonts w:hint="eastAsia" w:ascii="Times New Roman" w:hAnsi="Times New Roman" w:eastAsia="仿宋_GB2312" w:cs="Times New Roman"/>
          <w:b w:val="0"/>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b w:val="0"/>
          <w:bCs w:val="0"/>
          <w:color w:val="000000"/>
          <w:sz w:val="32"/>
          <w:szCs w:val="32"/>
          <w:lang w:val="en-US" w:eastAsia="zh-CN"/>
        </w:rPr>
      </w:pPr>
      <w:r>
        <w:rPr>
          <w:rFonts w:hint="eastAsia" w:eastAsia="楷体_GB2312"/>
          <w:b w:val="0"/>
          <w:bCs w:val="0"/>
          <w:sz w:val="32"/>
          <w:szCs w:val="32"/>
          <w:shd w:val="clear" w:color="auto" w:fill="FFFFFF"/>
          <w:lang w:val="en-US" w:eastAsia="zh-CN"/>
        </w:rPr>
        <w:t>4.</w:t>
      </w:r>
      <w:r>
        <w:rPr>
          <w:rFonts w:hint="default" w:ascii="Times New Roman" w:hAnsi="Times New Roman" w:eastAsia="仿宋_GB2312" w:cs="Times New Roman"/>
          <w:b w:val="0"/>
          <w:bCs w:val="0"/>
          <w:sz w:val="32"/>
          <w:szCs w:val="32"/>
          <w:lang w:val="en-US" w:eastAsia="zh-CN"/>
        </w:rPr>
        <w:t>推荐侨界</w:t>
      </w:r>
      <w:r>
        <w:rPr>
          <w:rFonts w:hint="eastAsia" w:ascii="Times New Roman" w:hAnsi="Times New Roman" w:eastAsia="仿宋_GB2312" w:cs="Times New Roman"/>
          <w:b w:val="0"/>
          <w:bCs w:val="0"/>
          <w:sz w:val="32"/>
          <w:szCs w:val="32"/>
          <w:lang w:val="en-US" w:eastAsia="zh-CN"/>
        </w:rPr>
        <w:t>人大代表、政协委员</w:t>
      </w:r>
      <w:r>
        <w:rPr>
          <w:rFonts w:hint="default" w:ascii="Times New Roman" w:hAnsi="Times New Roman" w:eastAsia="仿宋_GB2312" w:cs="Times New Roman"/>
          <w:b w:val="0"/>
          <w:bCs w:val="0"/>
          <w:sz w:val="32"/>
          <w:szCs w:val="32"/>
          <w:lang w:val="en-US" w:eastAsia="zh-CN"/>
        </w:rPr>
        <w:t>参加各类培训班</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val="en-US" w:eastAsia="zh-CN"/>
        </w:rPr>
        <w:t>次，不断提升参政议政、咨政建言能力</w:t>
      </w:r>
      <w:r>
        <w:rPr>
          <w:rFonts w:hint="eastAsia" w:ascii="Times New Roman" w:hAnsi="Times New Roman" w:eastAsia="仿宋_GB2312" w:cs="Times New Roman"/>
          <w:b w:val="0"/>
          <w:bCs w:val="0"/>
          <w:color w:val="000000"/>
          <w:sz w:val="32"/>
          <w:szCs w:val="32"/>
          <w:lang w:val="en-US" w:eastAsia="zh-CN"/>
        </w:rPr>
        <w:t>。2022年，全区侨界人大代表、政协委员围绕党委政府关心、侨界关注的热点、难点问题，深入调查研究，积极建言献策，在市及区本级“两会”期间提交建议、提案共7份，充分履行参政议政职能。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b/>
          <w:bCs/>
          <w:sz w:val="32"/>
          <w:szCs w:val="32"/>
        </w:rPr>
      </w:pPr>
      <w:r>
        <w:rPr>
          <w:rFonts w:hint="eastAsia" w:eastAsia="楷体_GB2312"/>
          <w:b w:val="0"/>
          <w:bCs w:val="0"/>
          <w:sz w:val="32"/>
          <w:szCs w:val="32"/>
          <w:shd w:val="clear" w:color="auto" w:fill="FFFFFF"/>
          <w:lang w:val="en-US" w:eastAsia="zh-CN"/>
        </w:rPr>
        <w:t>5.</w:t>
      </w:r>
      <w:r>
        <w:rPr>
          <w:rFonts w:hint="eastAsia" w:ascii="Times New Roman" w:hAnsi="Times New Roman" w:eastAsia="仿宋_GB2312" w:cs="Times New Roman"/>
          <w:b w:val="0"/>
          <w:bCs w:val="0"/>
          <w:sz w:val="32"/>
          <w:szCs w:val="32"/>
          <w:lang w:val="en-US" w:eastAsia="zh-CN"/>
        </w:rPr>
        <w:t>邀请市侨联法顾委成员赴安居为侨眷、归国留学生和留学生家长开展回国投资、资金流动、回国就业等涉侨法律知识宣传宣讲</w:t>
      </w:r>
      <w:r>
        <w:rPr>
          <w:rFonts w:hint="default" w:ascii="Times New Roman" w:hAnsi="Times New Roman" w:eastAsia="仿宋_GB2312" w:cs="Times New Roman"/>
          <w:b w:val="0"/>
          <w:bCs w:val="0"/>
          <w:sz w:val="32"/>
          <w:szCs w:val="32"/>
          <w:lang w:val="en-US" w:eastAsia="zh-CN"/>
        </w:rPr>
        <w:t>。会同区</w:t>
      </w:r>
      <w:r>
        <w:rPr>
          <w:rFonts w:hint="eastAsia" w:ascii="Times New Roman" w:hAnsi="Times New Roman" w:eastAsia="仿宋_GB2312" w:cs="Times New Roman"/>
          <w:b w:val="0"/>
          <w:bCs w:val="0"/>
          <w:sz w:val="32"/>
          <w:szCs w:val="32"/>
          <w:lang w:val="en-US" w:eastAsia="zh-CN"/>
        </w:rPr>
        <w:t>侨台办</w:t>
      </w:r>
      <w:r>
        <w:rPr>
          <w:rFonts w:hint="default" w:ascii="Times New Roman" w:hAnsi="Times New Roman" w:eastAsia="仿宋_GB2312" w:cs="Times New Roman"/>
          <w:b w:val="0"/>
          <w:bCs w:val="0"/>
          <w:sz w:val="32"/>
          <w:szCs w:val="32"/>
          <w:lang w:val="en-US" w:eastAsia="zh-CN"/>
        </w:rPr>
        <w:t>有计划的开展年度侨法宣传，</w:t>
      </w:r>
      <w:r>
        <w:rPr>
          <w:rFonts w:hint="eastAsia" w:ascii="Times New Roman" w:hAnsi="Times New Roman" w:eastAsia="仿宋_GB2312" w:cs="Times New Roman"/>
          <w:b w:val="0"/>
          <w:bCs w:val="0"/>
          <w:sz w:val="32"/>
          <w:szCs w:val="32"/>
          <w:lang w:val="en-US" w:eastAsia="zh-CN"/>
        </w:rPr>
        <w:t>利用标语、“侨胞之家”宣传栏、发放宣传资料、宣传手册等形式，共发放各种涉侨法律法规宣传资料、手册3000余份。</w:t>
      </w:r>
      <w:r>
        <w:rPr>
          <w:rFonts w:hint="default" w:ascii="Times New Roman" w:hAnsi="Times New Roman" w:eastAsia="仿宋_GB2312" w:cs="Times New Roman"/>
          <w:b w:val="0"/>
          <w:bCs w:val="0"/>
          <w:sz w:val="32"/>
          <w:szCs w:val="32"/>
          <w:lang w:val="en-US" w:eastAsia="zh-CN"/>
        </w:rPr>
        <w:t>建立上门服务制度</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组织</w:t>
      </w:r>
      <w:r>
        <w:rPr>
          <w:rFonts w:hint="eastAsia" w:ascii="Times New Roman" w:hAnsi="Times New Roman" w:eastAsia="仿宋_GB2312" w:cs="Times New Roman"/>
          <w:b w:val="0"/>
          <w:bCs w:val="0"/>
          <w:sz w:val="32"/>
          <w:szCs w:val="32"/>
          <w:lang w:val="en-US" w:eastAsia="zh-CN"/>
        </w:rPr>
        <w:t>侨联委员</w:t>
      </w:r>
      <w:r>
        <w:rPr>
          <w:rFonts w:hint="default" w:ascii="Times New Roman" w:hAnsi="Times New Roman" w:eastAsia="仿宋_GB2312" w:cs="Times New Roman"/>
          <w:b w:val="0"/>
          <w:bCs w:val="0"/>
          <w:sz w:val="32"/>
          <w:szCs w:val="32"/>
          <w:lang w:val="en-US" w:eastAsia="zh-CN"/>
        </w:rPr>
        <w:t>对一些特殊对象实行上门零距离服务，为一些困难侨眷、老侨眷和</w:t>
      </w:r>
      <w:r>
        <w:rPr>
          <w:rFonts w:hint="eastAsia" w:ascii="Times New Roman" w:hAnsi="Times New Roman" w:eastAsia="仿宋_GB2312" w:cs="Times New Roman"/>
          <w:b w:val="0"/>
          <w:bCs w:val="0"/>
          <w:sz w:val="32"/>
          <w:szCs w:val="32"/>
          <w:lang w:val="en-US" w:eastAsia="zh-CN"/>
        </w:rPr>
        <w:t>留学生家长</w:t>
      </w:r>
      <w:r>
        <w:rPr>
          <w:rFonts w:hint="default" w:ascii="Times New Roman" w:hAnsi="Times New Roman" w:eastAsia="仿宋_GB2312" w:cs="Times New Roman"/>
          <w:b w:val="0"/>
          <w:bCs w:val="0"/>
          <w:sz w:val="32"/>
          <w:szCs w:val="32"/>
          <w:lang w:val="en-US" w:eastAsia="zh-CN"/>
        </w:rPr>
        <w:t>开展送侨法维权到户活动</w:t>
      </w:r>
      <w:r>
        <w:rPr>
          <w:rFonts w:hint="default" w:ascii="Times New Roman" w:hAnsi="Times New Roman" w:eastAsia="仿宋_GB2312" w:cs="Times New Roman"/>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w:t>
      </w:r>
      <w:r>
        <w:rPr>
          <w:rFonts w:hint="eastAsia" w:ascii="Times New Roman" w:hAnsi="Times New Roman" w:eastAsia="仿宋_GB2312" w:cs="Times New Roman"/>
          <w:sz w:val="32"/>
          <w:szCs w:val="32"/>
          <w:lang w:val="en-US" w:eastAsia="zh-CN"/>
        </w:rPr>
        <w:t>持续讲</w:t>
      </w:r>
      <w:r>
        <w:rPr>
          <w:rFonts w:hint="default" w:ascii="Times New Roman" w:hAnsi="Times New Roman" w:eastAsia="仿宋_GB2312" w:cs="Times New Roman"/>
          <w:sz w:val="32"/>
          <w:szCs w:val="32"/>
        </w:rPr>
        <w:t>引导广大</w:t>
      </w:r>
      <w:r>
        <w:rPr>
          <w:rFonts w:hint="default" w:ascii="Times New Roman" w:hAnsi="Times New Roman" w:eastAsia="仿宋_GB2312" w:cs="Times New Roman"/>
          <w:sz w:val="32"/>
          <w:szCs w:val="32"/>
          <w:lang w:val="en-US" w:eastAsia="zh-CN"/>
        </w:rPr>
        <w:t>侨界</w:t>
      </w:r>
      <w:r>
        <w:rPr>
          <w:rFonts w:hint="default" w:ascii="Times New Roman" w:hAnsi="Times New Roman" w:eastAsia="仿宋_GB2312" w:cs="Times New Roman"/>
          <w:sz w:val="32"/>
          <w:szCs w:val="32"/>
        </w:rPr>
        <w:t>群众</w:t>
      </w:r>
      <w:r>
        <w:rPr>
          <w:rFonts w:hint="eastAsia" w:ascii="Times New Roman" w:hAnsi="Times New Roman" w:eastAsia="仿宋_GB2312" w:cs="Times New Roman"/>
          <w:sz w:val="32"/>
          <w:szCs w:val="32"/>
          <w:lang w:val="en-US" w:eastAsia="zh-CN"/>
        </w:rPr>
        <w:t>对中国共产党和中国特色社会主义的政治认同、思想认同、理论认同、情感认同</w:t>
      </w:r>
      <w:r>
        <w:rPr>
          <w:rFonts w:hint="eastAsia" w:ascii="仿宋_GB2312" w:hAnsi="仿宋_GB2312" w:eastAsia="仿宋_GB2312" w:cs="仿宋_GB2312"/>
          <w:color w:val="000000"/>
          <w:sz w:val="32"/>
          <w:szCs w:val="32"/>
          <w:shd w:val="clear" w:color="auto" w:fill="FFFFFF"/>
          <w:lang w:val="en-US" w:eastAsia="zh-CN"/>
        </w:rPr>
        <w:t>。</w:t>
      </w:r>
    </w:p>
    <w:p>
      <w:pPr>
        <w:pStyle w:val="2"/>
        <w:rPr>
          <w:rFonts w:hint="eastAsia"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color w:val="000000"/>
          <w:sz w:val="32"/>
          <w:szCs w:val="32"/>
          <w:shd w:val="clear" w:color="auto" w:fill="FFFFFF"/>
          <w:lang w:val="en-US" w:eastAsia="zh-CN"/>
        </w:rPr>
        <w:t>2.不断完善</w:t>
      </w:r>
      <w:r>
        <w:rPr>
          <w:rFonts w:hint="eastAsia" w:ascii="Times New Roman" w:hAnsi="Times New Roman" w:eastAsia="仿宋_GB2312" w:cs="Times New Roman"/>
          <w:b w:val="0"/>
          <w:bCs w:val="0"/>
          <w:sz w:val="32"/>
          <w:szCs w:val="32"/>
          <w:lang w:val="en-US" w:eastAsia="zh-CN"/>
        </w:rPr>
        <w:t>侨情资料、数据更加真实、准确、全面，为开展海外联谊和招商引资、招贤引智夯实基础。</w:t>
      </w:r>
    </w:p>
    <w:p>
      <w:pPr>
        <w:pStyle w:val="2"/>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w:t>
      </w:r>
      <w:r>
        <w:rPr>
          <w:rFonts w:hint="eastAsia" w:ascii="Times New Roman" w:hAnsi="Times New Roman" w:eastAsia="仿宋_GB2312" w:cs="Times New Roman"/>
          <w:b w:val="0"/>
          <w:bCs w:val="0"/>
          <w:color w:val="000000"/>
          <w:sz w:val="32"/>
          <w:szCs w:val="32"/>
          <w:lang w:val="en-US" w:eastAsia="zh-CN"/>
        </w:rPr>
        <w:t>引导和协助侨界人大代表、政协委员参政议政、建言献策，充分履行参政议政职能。</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adjustRightInd w:val="0"/>
        <w:snapToGrid w:val="0"/>
        <w:spacing w:line="600" w:lineRule="exact"/>
        <w:ind w:firstLine="720"/>
        <w:rPr>
          <w:rFonts w:hint="eastAsia" w:ascii="仿宋_GB2312" w:hAnsi="宋体" w:eastAsia="仿宋_GB2312"/>
          <w:color w:val="auto"/>
          <w:sz w:val="32"/>
          <w:szCs w:val="32"/>
          <w:highlight w:val="none"/>
          <w:lang w:val="zh-CN"/>
        </w:rPr>
      </w:pPr>
      <w:r>
        <w:rPr>
          <w:rFonts w:hint="eastAsia" w:ascii="仿宋_GB2312" w:hAnsi="宋体" w:eastAsia="仿宋_GB2312"/>
          <w:color w:val="auto"/>
          <w:sz w:val="32"/>
          <w:szCs w:val="32"/>
          <w:highlight w:val="none"/>
          <w:lang w:val="zh-CN"/>
        </w:rPr>
        <w:t>根据项目实施情况，对照绩效评价评分标准，对项目的各项指标进行评价打分，</w:t>
      </w:r>
      <w:r>
        <w:rPr>
          <w:rFonts w:hint="eastAsia" w:ascii="仿宋_GB2312" w:hAnsi="宋体" w:eastAsia="仿宋_GB2312"/>
          <w:color w:val="auto"/>
          <w:sz w:val="32"/>
          <w:szCs w:val="32"/>
          <w:highlight w:val="none"/>
          <w:lang w:val="zh-CN" w:eastAsia="zh-CN"/>
        </w:rPr>
        <w:t>2022</w:t>
      </w:r>
      <w:r>
        <w:rPr>
          <w:rFonts w:hint="eastAsia" w:ascii="仿宋_GB2312" w:hAnsi="宋体" w:eastAsia="仿宋_GB2312"/>
          <w:color w:val="auto"/>
          <w:sz w:val="32"/>
          <w:szCs w:val="32"/>
          <w:highlight w:val="none"/>
          <w:lang w:val="zh-CN"/>
        </w:rPr>
        <w:t xml:space="preserve">年目标任务基本完成，经评价，项目支出绩效自评综合得分为 </w:t>
      </w:r>
      <w:r>
        <w:rPr>
          <w:rFonts w:hint="eastAsia" w:ascii="仿宋_GB2312" w:hAnsi="宋体" w:eastAsia="仿宋_GB2312"/>
          <w:color w:val="auto"/>
          <w:sz w:val="32"/>
          <w:szCs w:val="32"/>
          <w:highlight w:val="none"/>
          <w:lang w:val="en-US" w:eastAsia="zh-CN"/>
        </w:rPr>
        <w:t>98</w:t>
      </w:r>
      <w:r>
        <w:rPr>
          <w:rFonts w:hint="eastAsia" w:ascii="仿宋_GB2312" w:hAnsi="宋体" w:eastAsia="仿宋_GB2312"/>
          <w:color w:val="auto"/>
          <w:sz w:val="32"/>
          <w:szCs w:val="32"/>
          <w:highlight w:val="none"/>
          <w:lang w:val="zh-CN"/>
        </w:rPr>
        <w:t>分，评价等级为“优秀”。</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侨联人员较少，部分活动未按年初计划开展，相关经费支出不及时。</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完善侨联工作人员匹配，加强侨联类项目的培训。</w:t>
      </w:r>
    </w:p>
    <w:p>
      <w:pPr>
        <w:pStyle w:val="2"/>
        <w:rPr>
          <w:rStyle w:val="30"/>
          <w:rFonts w:ascii="黑体" w:hAnsi="黑体" w:eastAsia="黑体"/>
          <w:b w:val="0"/>
          <w:color w:val="auto"/>
          <w:highlight w:val="none"/>
        </w:rPr>
      </w:pPr>
    </w:p>
    <w:p>
      <w:pPr>
        <w:pStyle w:val="2"/>
        <w:rPr>
          <w:rStyle w:val="30"/>
          <w:rFonts w:ascii="黑体" w:hAnsi="黑体" w:eastAsia="黑体"/>
          <w:b w:val="0"/>
          <w:color w:val="auto"/>
          <w:highlight w:val="none"/>
        </w:rPr>
      </w:pPr>
    </w:p>
    <w:p>
      <w:pPr>
        <w:pStyle w:val="2"/>
        <w:rPr>
          <w:rStyle w:val="30"/>
          <w:rFonts w:ascii="黑体" w:hAnsi="黑体" w:eastAsia="黑体"/>
          <w:b w:val="0"/>
          <w:color w:val="auto"/>
          <w:highlight w:val="none"/>
        </w:rPr>
      </w:pPr>
    </w:p>
    <w:p>
      <w:pPr>
        <w:pStyle w:val="2"/>
        <w:rPr>
          <w:rStyle w:val="30"/>
          <w:rFonts w:ascii="黑体" w:hAnsi="黑体" w:eastAsia="黑体"/>
          <w:b w:val="0"/>
          <w:color w:val="auto"/>
          <w:highlight w:val="none"/>
        </w:rPr>
      </w:pPr>
    </w:p>
    <w:p>
      <w:pPr>
        <w:pStyle w:val="2"/>
        <w:rPr>
          <w:rStyle w:val="30"/>
          <w:rFonts w:ascii="黑体" w:hAnsi="黑体" w:eastAsia="黑体"/>
          <w:b w:val="0"/>
          <w:color w:val="auto"/>
          <w:highlight w:val="none"/>
        </w:rPr>
      </w:pPr>
    </w:p>
    <w:p>
      <w:pPr>
        <w:pStyle w:val="2"/>
        <w:rPr>
          <w:rStyle w:val="30"/>
          <w:rFonts w:ascii="黑体" w:hAnsi="黑体" w:eastAsia="黑体"/>
          <w:b w:val="0"/>
          <w:color w:val="auto"/>
          <w:highlight w:val="none"/>
        </w:rPr>
      </w:pPr>
    </w:p>
    <w:p>
      <w:pPr>
        <w:pStyle w:val="2"/>
        <w:rPr>
          <w:rStyle w:val="30"/>
          <w:rFonts w:ascii="黑体" w:hAnsi="黑体" w:eastAsia="黑体"/>
          <w:b w:val="0"/>
          <w:color w:val="auto"/>
          <w:highlight w:val="none"/>
        </w:rPr>
      </w:pPr>
    </w:p>
    <w:p>
      <w:pPr>
        <w:pStyle w:val="2"/>
        <w:rPr>
          <w:rStyle w:val="30"/>
          <w:rFonts w:ascii="黑体" w:hAnsi="黑体" w:eastAsia="黑体"/>
          <w:b w:val="0"/>
          <w:color w:val="auto"/>
          <w:highlight w:val="none"/>
        </w:rPr>
      </w:pPr>
    </w:p>
    <w:p>
      <w:pPr>
        <w:pStyle w:val="2"/>
        <w:rPr>
          <w:rStyle w:val="30"/>
          <w:rFonts w:ascii="黑体" w:hAnsi="黑体" w:eastAsia="黑体"/>
          <w:b w:val="0"/>
          <w:color w:val="auto"/>
          <w:highlight w:val="none"/>
        </w:rPr>
      </w:pPr>
    </w:p>
    <w:p>
      <w:pPr>
        <w:pStyle w:val="2"/>
        <w:rPr>
          <w:rStyle w:val="30"/>
          <w:rFonts w:ascii="黑体" w:hAnsi="黑体" w:eastAsia="黑体"/>
          <w:b w:val="0"/>
          <w:color w:val="auto"/>
          <w:highlight w:val="none"/>
        </w:rPr>
      </w:pPr>
    </w:p>
    <w:p>
      <w:pPr>
        <w:pStyle w:val="2"/>
        <w:rPr>
          <w:rStyle w:val="30"/>
          <w:rFonts w:ascii="黑体" w:hAnsi="黑体" w:eastAsia="黑体"/>
          <w:b w:val="0"/>
          <w:color w:val="auto"/>
          <w:highlight w:val="none"/>
        </w:rPr>
      </w:pPr>
    </w:p>
    <w:p>
      <w:pPr>
        <w:pStyle w:val="2"/>
        <w:rPr>
          <w:rStyle w:val="30"/>
          <w:rFonts w:ascii="黑体" w:hAnsi="黑体" w:eastAsia="黑体"/>
          <w:b w:val="0"/>
          <w:color w:val="auto"/>
          <w:highlight w:val="none"/>
        </w:rPr>
      </w:pPr>
    </w:p>
    <w:p>
      <w:pPr>
        <w:spacing w:line="600" w:lineRule="exact"/>
        <w:jc w:val="center"/>
        <w:outlineLvl w:val="0"/>
        <w:rPr>
          <w:rFonts w:hint="eastAsia" w:ascii="仿宋" w:hAnsi="仿宋" w:eastAsia="仿宋"/>
          <w:b w:val="0"/>
          <w:color w:val="auto"/>
          <w:highlight w:val="none"/>
        </w:rPr>
      </w:pPr>
      <w:bookmarkStart w:id="77" w:name="_Toc29235"/>
      <w:bookmarkStart w:id="78" w:name="_Toc15396618"/>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五部分 附表</w:t>
      </w:r>
      <w:bookmarkEnd w:id="73"/>
      <w:bookmarkEnd w:id="77"/>
      <w:bookmarkEnd w:id="78"/>
      <w:bookmarkStart w:id="79" w:name="_Toc15396619"/>
    </w:p>
    <w:p>
      <w:pPr>
        <w:pStyle w:val="4"/>
        <w:rPr>
          <w:rFonts w:ascii="仿宋" w:hAnsi="仿宋" w:eastAsia="仿宋"/>
          <w:color w:val="auto"/>
          <w:highlight w:val="none"/>
        </w:rPr>
      </w:pPr>
      <w:bookmarkStart w:id="80" w:name="_Toc19090"/>
      <w:r>
        <w:rPr>
          <w:rFonts w:hint="eastAsia" w:ascii="仿宋" w:hAnsi="仿宋" w:eastAsia="仿宋"/>
          <w:b w:val="0"/>
          <w:color w:val="auto"/>
          <w:highlight w:val="none"/>
        </w:rPr>
        <w:t>一、收</w:t>
      </w:r>
      <w:r>
        <w:rPr>
          <w:rStyle w:val="31"/>
          <w:rFonts w:hint="eastAsia" w:ascii="仿宋" w:hAnsi="仿宋" w:eastAsia="仿宋"/>
          <w:b w:val="0"/>
          <w:bCs w:val="0"/>
          <w:color w:val="auto"/>
          <w:highlight w:val="none"/>
        </w:rPr>
        <w:t>入支出决算总表</w:t>
      </w:r>
      <w:bookmarkEnd w:id="79"/>
      <w:bookmarkEnd w:id="80"/>
    </w:p>
    <w:p>
      <w:pPr>
        <w:pStyle w:val="4"/>
        <w:rPr>
          <w:rFonts w:ascii="仿宋" w:hAnsi="仿宋" w:eastAsia="仿宋"/>
          <w:color w:val="auto"/>
          <w:highlight w:val="none"/>
        </w:rPr>
      </w:pPr>
      <w:bookmarkStart w:id="81" w:name="_Toc18933"/>
      <w:bookmarkStart w:id="82" w:name="_Toc15396620"/>
      <w:r>
        <w:rPr>
          <w:rFonts w:hint="eastAsia" w:ascii="仿宋" w:hAnsi="仿宋" w:eastAsia="仿宋"/>
          <w:b w:val="0"/>
          <w:color w:val="auto"/>
          <w:highlight w:val="none"/>
        </w:rPr>
        <w:t>二、收</w:t>
      </w:r>
      <w:r>
        <w:rPr>
          <w:rStyle w:val="31"/>
          <w:rFonts w:hint="eastAsia" w:ascii="仿宋" w:hAnsi="仿宋" w:eastAsia="仿宋"/>
          <w:b w:val="0"/>
          <w:bCs w:val="0"/>
          <w:color w:val="auto"/>
          <w:highlight w:val="none"/>
        </w:rPr>
        <w:t>入决算表</w:t>
      </w:r>
      <w:bookmarkEnd w:id="81"/>
      <w:bookmarkEnd w:id="82"/>
    </w:p>
    <w:p>
      <w:pPr>
        <w:pStyle w:val="4"/>
        <w:rPr>
          <w:rFonts w:ascii="仿宋" w:hAnsi="仿宋" w:eastAsia="仿宋"/>
          <w:color w:val="auto"/>
          <w:highlight w:val="none"/>
        </w:rPr>
      </w:pPr>
      <w:bookmarkStart w:id="83" w:name="_Toc15396621"/>
      <w:bookmarkStart w:id="84" w:name="_Toc25592"/>
      <w:r>
        <w:rPr>
          <w:rStyle w:val="3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1"/>
          <w:rFonts w:hint="eastAsia" w:ascii="仿宋" w:hAnsi="仿宋" w:eastAsia="仿宋"/>
          <w:b w:val="0"/>
          <w:bCs w:val="0"/>
          <w:color w:val="auto"/>
          <w:highlight w:val="none"/>
        </w:rPr>
        <w:t>出决算表</w:t>
      </w:r>
      <w:bookmarkEnd w:id="83"/>
      <w:bookmarkEnd w:id="84"/>
    </w:p>
    <w:p>
      <w:pPr>
        <w:pStyle w:val="4"/>
        <w:rPr>
          <w:rFonts w:ascii="仿宋" w:hAnsi="仿宋" w:eastAsia="仿宋"/>
          <w:b w:val="0"/>
          <w:color w:val="auto"/>
          <w:highlight w:val="none"/>
        </w:rPr>
      </w:pPr>
      <w:bookmarkStart w:id="85" w:name="_Toc15396622"/>
      <w:bookmarkStart w:id="86" w:name="_Toc30807"/>
      <w:r>
        <w:rPr>
          <w:rStyle w:val="3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政拨款收入支出决算总表</w:t>
      </w:r>
      <w:bookmarkEnd w:id="85"/>
      <w:bookmarkEnd w:id="86"/>
    </w:p>
    <w:p>
      <w:pPr>
        <w:pStyle w:val="4"/>
        <w:rPr>
          <w:rStyle w:val="31"/>
          <w:rFonts w:ascii="仿宋" w:hAnsi="仿宋" w:eastAsia="仿宋"/>
          <w:b w:val="0"/>
          <w:bCs w:val="0"/>
          <w:color w:val="auto"/>
          <w:highlight w:val="none"/>
        </w:rPr>
      </w:pPr>
      <w:bookmarkStart w:id="87" w:name="_Toc15396623"/>
      <w:bookmarkStart w:id="88" w:name="_Toc21304"/>
      <w:r>
        <w:rPr>
          <w:rStyle w:val="3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政拨款支出决算明细表</w:t>
      </w:r>
      <w:bookmarkEnd w:id="87"/>
      <w:bookmarkEnd w:id="88"/>
      <w:bookmarkStart w:id="89" w:name="_Toc15396624"/>
    </w:p>
    <w:p>
      <w:pPr>
        <w:pStyle w:val="4"/>
        <w:rPr>
          <w:rFonts w:ascii="仿宋" w:hAnsi="仿宋" w:eastAsia="仿宋"/>
          <w:color w:val="auto"/>
          <w:highlight w:val="none"/>
        </w:rPr>
      </w:pPr>
      <w:bookmarkStart w:id="90" w:name="_Toc32010"/>
      <w:r>
        <w:rPr>
          <w:rStyle w:val="3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般公共预算财政拨款支出决算表</w:t>
      </w:r>
      <w:bookmarkEnd w:id="89"/>
      <w:bookmarkEnd w:id="90"/>
    </w:p>
    <w:p>
      <w:pPr>
        <w:pStyle w:val="4"/>
        <w:rPr>
          <w:rFonts w:ascii="仿宋" w:hAnsi="仿宋" w:eastAsia="仿宋"/>
          <w:color w:val="auto"/>
          <w:highlight w:val="none"/>
        </w:rPr>
      </w:pPr>
      <w:bookmarkStart w:id="91" w:name="_Toc15396625"/>
      <w:bookmarkStart w:id="92" w:name="_Toc2273"/>
      <w:r>
        <w:rPr>
          <w:rStyle w:val="3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般公共预算财政拨款支出决算明细表</w:t>
      </w:r>
      <w:bookmarkEnd w:id="91"/>
      <w:bookmarkEnd w:id="92"/>
    </w:p>
    <w:p>
      <w:pPr>
        <w:pStyle w:val="4"/>
        <w:rPr>
          <w:rFonts w:ascii="仿宋" w:hAnsi="仿宋" w:eastAsia="仿宋"/>
          <w:color w:val="auto"/>
          <w:highlight w:val="none"/>
        </w:rPr>
      </w:pPr>
      <w:bookmarkStart w:id="93" w:name="_Toc15396626"/>
      <w:bookmarkStart w:id="94" w:name="_Toc24423"/>
      <w:r>
        <w:rPr>
          <w:rStyle w:val="3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般公共预算财政拨款基本支出决算表</w:t>
      </w:r>
      <w:bookmarkEnd w:id="93"/>
      <w:bookmarkEnd w:id="94"/>
    </w:p>
    <w:p>
      <w:pPr>
        <w:pStyle w:val="4"/>
        <w:rPr>
          <w:rFonts w:ascii="仿宋" w:hAnsi="仿宋" w:eastAsia="仿宋"/>
          <w:color w:val="auto"/>
          <w:highlight w:val="none"/>
        </w:rPr>
      </w:pPr>
      <w:bookmarkStart w:id="95" w:name="_Toc15396627"/>
      <w:bookmarkStart w:id="96" w:name="_Toc27623"/>
      <w:r>
        <w:rPr>
          <w:rStyle w:val="3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般公共预算财政拨款项目支出决算表</w:t>
      </w:r>
      <w:bookmarkEnd w:id="95"/>
      <w:bookmarkEnd w:id="96"/>
    </w:p>
    <w:p>
      <w:pPr>
        <w:pStyle w:val="4"/>
        <w:rPr>
          <w:rFonts w:ascii="仿宋" w:hAnsi="仿宋" w:eastAsia="仿宋"/>
          <w:color w:val="auto"/>
          <w:highlight w:val="none"/>
        </w:rPr>
      </w:pPr>
      <w:bookmarkStart w:id="97" w:name="_Toc15396628"/>
      <w:bookmarkStart w:id="98" w:name="_Toc23456"/>
      <w:r>
        <w:rPr>
          <w:rStyle w:val="31"/>
          <w:rFonts w:hint="eastAsia" w:ascii="仿宋" w:hAnsi="仿宋" w:eastAsia="仿宋"/>
          <w:b w:val="0"/>
          <w:bCs w:val="0"/>
          <w:color w:val="auto"/>
          <w:highlight w:val="none"/>
        </w:rPr>
        <w:t>十、</w:t>
      </w:r>
      <w:bookmarkEnd w:id="97"/>
      <w:r>
        <w:rPr>
          <w:rFonts w:hint="eastAsia" w:ascii="仿宋" w:hAnsi="仿宋" w:eastAsia="仿宋"/>
          <w:b w:val="0"/>
          <w:color w:val="auto"/>
          <w:highlight w:val="none"/>
        </w:rPr>
        <w:t>政</w:t>
      </w:r>
      <w:r>
        <w:rPr>
          <w:rStyle w:val="31"/>
          <w:rFonts w:hint="eastAsia" w:ascii="仿宋" w:hAnsi="仿宋" w:eastAsia="仿宋"/>
          <w:b w:val="0"/>
          <w:bCs w:val="0"/>
          <w:color w:val="auto"/>
          <w:highlight w:val="none"/>
        </w:rPr>
        <w:t>府性基金预算财政拨款收入支出决算表</w:t>
      </w:r>
      <w:bookmarkEnd w:id="98"/>
    </w:p>
    <w:p>
      <w:pPr>
        <w:pStyle w:val="4"/>
        <w:rPr>
          <w:rFonts w:ascii="仿宋" w:hAnsi="仿宋" w:eastAsia="仿宋"/>
          <w:color w:val="auto"/>
          <w:highlight w:val="none"/>
        </w:rPr>
      </w:pPr>
      <w:bookmarkStart w:id="99" w:name="_Toc15396629"/>
      <w:bookmarkStart w:id="100" w:name="_Toc15484"/>
      <w:r>
        <w:rPr>
          <w:rStyle w:val="31"/>
          <w:rFonts w:hint="eastAsia" w:ascii="仿宋" w:hAnsi="仿宋" w:eastAsia="仿宋"/>
          <w:b w:val="0"/>
          <w:bCs w:val="0"/>
          <w:color w:val="auto"/>
          <w:highlight w:val="none"/>
        </w:rPr>
        <w:t>十一、</w:t>
      </w:r>
      <w:bookmarkEnd w:id="99"/>
      <w:r>
        <w:rPr>
          <w:rFonts w:hint="eastAsia" w:ascii="仿宋" w:hAnsi="仿宋" w:eastAsia="仿宋"/>
          <w:b w:val="0"/>
          <w:color w:val="auto"/>
          <w:highlight w:val="none"/>
        </w:rPr>
        <w:t>国</w:t>
      </w:r>
      <w:r>
        <w:rPr>
          <w:rStyle w:val="31"/>
          <w:rFonts w:hint="eastAsia" w:ascii="仿宋" w:hAnsi="仿宋" w:eastAsia="仿宋"/>
          <w:b w:val="0"/>
          <w:bCs w:val="0"/>
          <w:color w:val="auto"/>
          <w:highlight w:val="none"/>
        </w:rPr>
        <w:t>有资本经营预算</w:t>
      </w:r>
      <w:r>
        <w:rPr>
          <w:rStyle w:val="31"/>
          <w:rFonts w:hint="eastAsia" w:ascii="仿宋" w:hAnsi="仿宋" w:eastAsia="仿宋"/>
          <w:b w:val="0"/>
          <w:bCs w:val="0"/>
          <w:color w:val="auto"/>
          <w:highlight w:val="none"/>
          <w:lang w:eastAsia="zh-CN"/>
        </w:rPr>
        <w:t>财政拨款收入</w:t>
      </w:r>
      <w:r>
        <w:rPr>
          <w:rStyle w:val="31"/>
          <w:rFonts w:hint="eastAsia" w:ascii="仿宋" w:hAnsi="仿宋" w:eastAsia="仿宋"/>
          <w:b w:val="0"/>
          <w:bCs w:val="0"/>
          <w:color w:val="auto"/>
          <w:highlight w:val="none"/>
        </w:rPr>
        <w:t>支出决算表</w:t>
      </w:r>
      <w:bookmarkEnd w:id="100"/>
    </w:p>
    <w:p>
      <w:pPr>
        <w:pStyle w:val="4"/>
        <w:rPr>
          <w:rFonts w:ascii="仿宋" w:hAnsi="仿宋" w:eastAsia="仿宋"/>
          <w:color w:val="auto"/>
          <w:highlight w:val="none"/>
        </w:rPr>
      </w:pPr>
      <w:bookmarkStart w:id="101" w:name="_Toc15396630"/>
      <w:bookmarkStart w:id="102" w:name="_Toc31424"/>
      <w:r>
        <w:rPr>
          <w:rStyle w:val="31"/>
          <w:rFonts w:hint="eastAsia" w:ascii="仿宋" w:hAnsi="仿宋" w:eastAsia="仿宋"/>
          <w:b w:val="0"/>
          <w:bCs w:val="0"/>
          <w:color w:val="auto"/>
          <w:highlight w:val="none"/>
        </w:rPr>
        <w:t>十二、</w:t>
      </w:r>
      <w:bookmarkEnd w:id="101"/>
      <w:r>
        <w:rPr>
          <w:rStyle w:val="31"/>
          <w:rFonts w:hint="eastAsia" w:ascii="仿宋" w:hAnsi="仿宋" w:eastAsia="仿宋"/>
          <w:b w:val="0"/>
          <w:bCs w:val="0"/>
          <w:color w:val="auto"/>
          <w:highlight w:val="none"/>
          <w:lang w:eastAsia="zh-CN"/>
        </w:rPr>
        <w:t>国有资本经营预算财政拨款支出决算表</w:t>
      </w:r>
      <w:bookmarkEnd w:id="102"/>
    </w:p>
    <w:p>
      <w:pPr>
        <w:pStyle w:val="4"/>
        <w:rPr>
          <w:rFonts w:hint="eastAsia" w:eastAsia="仿宋"/>
          <w:color w:val="auto"/>
          <w:highlight w:val="none"/>
          <w:lang w:eastAsia="zh-CN"/>
        </w:rPr>
      </w:pPr>
      <w:bookmarkStart w:id="103" w:name="_Toc15396631"/>
      <w:bookmarkStart w:id="104" w:name="_Toc2711"/>
      <w:r>
        <w:rPr>
          <w:rStyle w:val="31"/>
          <w:rFonts w:hint="eastAsia" w:ascii="仿宋" w:hAnsi="仿宋" w:eastAsia="仿宋"/>
          <w:b w:val="0"/>
          <w:bCs w:val="0"/>
          <w:color w:val="auto"/>
          <w:highlight w:val="none"/>
        </w:rPr>
        <w:t>十三、</w:t>
      </w:r>
      <w:bookmarkEnd w:id="103"/>
      <w:r>
        <w:rPr>
          <w:rStyle w:val="31"/>
          <w:rFonts w:hint="eastAsia" w:ascii="仿宋" w:hAnsi="仿宋" w:eastAsia="仿宋"/>
          <w:b w:val="0"/>
          <w:bCs w:val="0"/>
          <w:color w:val="auto"/>
          <w:highlight w:val="none"/>
          <w:lang w:eastAsia="zh-CN"/>
        </w:rPr>
        <w:t>财政拨款“三公”经费支出决算表</w:t>
      </w:r>
      <w:bookmarkEnd w:id="104"/>
    </w:p>
    <w:sectPr>
      <w:headerReference r:id="rId3" w:type="default"/>
      <w:footerReference r:id="rId4" w:type="default"/>
      <w:pgSz w:w="11906" w:h="16838"/>
      <w:pgMar w:top="1440" w:right="1800" w:bottom="1440" w:left="1800" w:header="851" w:footer="992" w:gutter="0"/>
      <w:pgNumType w:start="1"/>
      <w:cols w:space="0" w:num="1"/>
      <w:titlePg/>
      <w:rtlGutter w:val="0"/>
      <w:docGrid w:type="line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FangSong_GB2312">
    <w:altName w:val="仿宋_GB2312"/>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3FF66E"/>
    <w:multiLevelType w:val="singleLevel"/>
    <w:tmpl w:val="CC3FF66E"/>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1FC177C"/>
    <w:multiLevelType w:val="singleLevel"/>
    <w:tmpl w:val="F1FC177C"/>
    <w:lvl w:ilvl="0" w:tentative="0">
      <w:start w:val="2"/>
      <w:numFmt w:val="chineseCounting"/>
      <w:suff w:val="nothing"/>
      <w:lvlText w:val="（%1）"/>
      <w:lvlJc w:val="left"/>
      <w:rPr>
        <w:rFonts w:hint="eastAsia"/>
      </w:rPr>
    </w:lvl>
  </w:abstractNum>
  <w:abstractNum w:abstractNumId="4">
    <w:nsid w:val="FFF674BC"/>
    <w:multiLevelType w:val="singleLevel"/>
    <w:tmpl w:val="FFF674BC"/>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5F55604B"/>
    <w:multiLevelType w:val="singleLevel"/>
    <w:tmpl w:val="5F55604B"/>
    <w:lvl w:ilvl="0" w:tentative="0">
      <w:start w:val="1"/>
      <w:numFmt w:val="chineseCounting"/>
      <w:suff w:val="nothing"/>
      <w:lvlText w:val="%1、"/>
      <w:lvlJc w:val="left"/>
      <w:pPr>
        <w:ind w:left="630"/>
      </w:pPr>
      <w:rPr>
        <w:rFonts w:hint="eastAsia"/>
      </w:rPr>
    </w:lvl>
  </w:abstractNum>
  <w:abstractNum w:abstractNumId="7">
    <w:nsid w:val="66A9069C"/>
    <w:multiLevelType w:val="singleLevel"/>
    <w:tmpl w:val="66A9069C"/>
    <w:lvl w:ilvl="0" w:tentative="0">
      <w:start w:val="2"/>
      <w:numFmt w:val="decimal"/>
      <w:suff w:val="nothing"/>
      <w:lvlText w:val="%1．"/>
      <w:lvlJc w:val="left"/>
      <w:pPr>
        <w:ind w:left="-10"/>
      </w:pPr>
    </w:lvl>
  </w:abstractNum>
  <w:abstractNum w:abstractNumId="8">
    <w:nsid w:val="674F1A9D"/>
    <w:multiLevelType w:val="singleLevel"/>
    <w:tmpl w:val="674F1A9D"/>
    <w:lvl w:ilvl="0" w:tentative="0">
      <w:start w:val="2"/>
      <w:numFmt w:val="decimal"/>
      <w:lvlText w:val="%1."/>
      <w:lvlJc w:val="left"/>
      <w:pPr>
        <w:tabs>
          <w:tab w:val="left" w:pos="312"/>
        </w:tabs>
        <w:ind w:left="1577" w:firstLine="0"/>
      </w:pPr>
    </w:lvl>
  </w:abstractNum>
  <w:num w:numId="1">
    <w:abstractNumId w:val="6"/>
  </w:num>
  <w:num w:numId="2">
    <w:abstractNumId w:val="5"/>
  </w:num>
  <w:num w:numId="3">
    <w:abstractNumId w:val="1"/>
  </w:num>
  <w:num w:numId="4">
    <w:abstractNumId w:val="2"/>
  </w:num>
  <w:num w:numId="5">
    <w:abstractNumId w:val="4"/>
  </w:num>
  <w:num w:numId="6">
    <w:abstractNumId w:val="3"/>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jYzgyOTA1YzcyY2YxZmEzNjM3MTliODZiNjgzMz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4E31"/>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A7B3C"/>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6EAC"/>
    <w:rsid w:val="00F602DF"/>
    <w:rsid w:val="00F754A1"/>
    <w:rsid w:val="00F81FD9"/>
    <w:rsid w:val="00F841AA"/>
    <w:rsid w:val="00F84A94"/>
    <w:rsid w:val="00F87E96"/>
    <w:rsid w:val="00FA23E8"/>
    <w:rsid w:val="00FD3CC1"/>
    <w:rsid w:val="00FF1E02"/>
    <w:rsid w:val="00FF30B4"/>
    <w:rsid w:val="015975B8"/>
    <w:rsid w:val="02143E91"/>
    <w:rsid w:val="025D6B3C"/>
    <w:rsid w:val="025F2F43"/>
    <w:rsid w:val="033B65DB"/>
    <w:rsid w:val="04134A25"/>
    <w:rsid w:val="066E0107"/>
    <w:rsid w:val="07996F6E"/>
    <w:rsid w:val="07F36E06"/>
    <w:rsid w:val="08ED4435"/>
    <w:rsid w:val="092D3D00"/>
    <w:rsid w:val="09504C40"/>
    <w:rsid w:val="098F0DC8"/>
    <w:rsid w:val="09EF6C13"/>
    <w:rsid w:val="09F27555"/>
    <w:rsid w:val="0A2032A3"/>
    <w:rsid w:val="0B40741D"/>
    <w:rsid w:val="0B875E19"/>
    <w:rsid w:val="0BCB2D68"/>
    <w:rsid w:val="0C500F42"/>
    <w:rsid w:val="0EBE0909"/>
    <w:rsid w:val="0F5A3AF1"/>
    <w:rsid w:val="0F98263C"/>
    <w:rsid w:val="101860EC"/>
    <w:rsid w:val="109D1E52"/>
    <w:rsid w:val="10C055FF"/>
    <w:rsid w:val="118107EC"/>
    <w:rsid w:val="118C521F"/>
    <w:rsid w:val="11B91CA6"/>
    <w:rsid w:val="11C70F52"/>
    <w:rsid w:val="1272711A"/>
    <w:rsid w:val="138B13AC"/>
    <w:rsid w:val="13D50BC4"/>
    <w:rsid w:val="140E7DA1"/>
    <w:rsid w:val="166C1E48"/>
    <w:rsid w:val="16BB723D"/>
    <w:rsid w:val="17916B44"/>
    <w:rsid w:val="17A24910"/>
    <w:rsid w:val="17DD08CF"/>
    <w:rsid w:val="18E016C7"/>
    <w:rsid w:val="199C4094"/>
    <w:rsid w:val="19BF4ABE"/>
    <w:rsid w:val="1A0C111B"/>
    <w:rsid w:val="1A501A20"/>
    <w:rsid w:val="1AF922EF"/>
    <w:rsid w:val="1BBE57A9"/>
    <w:rsid w:val="1BE8440E"/>
    <w:rsid w:val="1D155CEE"/>
    <w:rsid w:val="1DA03292"/>
    <w:rsid w:val="1EDC2B19"/>
    <w:rsid w:val="1FF35744"/>
    <w:rsid w:val="21202648"/>
    <w:rsid w:val="220E18F1"/>
    <w:rsid w:val="22287AB9"/>
    <w:rsid w:val="225F7AE2"/>
    <w:rsid w:val="227E28A0"/>
    <w:rsid w:val="22D50CEF"/>
    <w:rsid w:val="2309375D"/>
    <w:rsid w:val="23860B96"/>
    <w:rsid w:val="23E26D02"/>
    <w:rsid w:val="240371BF"/>
    <w:rsid w:val="244C4B15"/>
    <w:rsid w:val="24C42EA1"/>
    <w:rsid w:val="25430540"/>
    <w:rsid w:val="26A00015"/>
    <w:rsid w:val="26D7149B"/>
    <w:rsid w:val="27491BC5"/>
    <w:rsid w:val="29D07A83"/>
    <w:rsid w:val="29FD04D3"/>
    <w:rsid w:val="2B45344D"/>
    <w:rsid w:val="2C2954B6"/>
    <w:rsid w:val="2C562185"/>
    <w:rsid w:val="2C8A61B5"/>
    <w:rsid w:val="2DF04E50"/>
    <w:rsid w:val="2EF6068D"/>
    <w:rsid w:val="2F040D46"/>
    <w:rsid w:val="2F3C6C0E"/>
    <w:rsid w:val="30041F65"/>
    <w:rsid w:val="311824E1"/>
    <w:rsid w:val="318E3F4C"/>
    <w:rsid w:val="319F7F4E"/>
    <w:rsid w:val="31A640C3"/>
    <w:rsid w:val="31ED6DE4"/>
    <w:rsid w:val="3304709D"/>
    <w:rsid w:val="330B4D8F"/>
    <w:rsid w:val="34812D4E"/>
    <w:rsid w:val="358D2A71"/>
    <w:rsid w:val="35F35808"/>
    <w:rsid w:val="362B78BB"/>
    <w:rsid w:val="36AA5135"/>
    <w:rsid w:val="376D39B2"/>
    <w:rsid w:val="378377EC"/>
    <w:rsid w:val="37E16F03"/>
    <w:rsid w:val="387364B8"/>
    <w:rsid w:val="38D469F0"/>
    <w:rsid w:val="38D67AE9"/>
    <w:rsid w:val="3905229D"/>
    <w:rsid w:val="3A026D93"/>
    <w:rsid w:val="3A5A645D"/>
    <w:rsid w:val="3ACA0437"/>
    <w:rsid w:val="3AE54500"/>
    <w:rsid w:val="3BD47604"/>
    <w:rsid w:val="3C640470"/>
    <w:rsid w:val="3D3040F6"/>
    <w:rsid w:val="3D407030"/>
    <w:rsid w:val="3D566864"/>
    <w:rsid w:val="3D98207C"/>
    <w:rsid w:val="3E561D3D"/>
    <w:rsid w:val="3E78745D"/>
    <w:rsid w:val="3F327370"/>
    <w:rsid w:val="3F327625"/>
    <w:rsid w:val="3FBB681C"/>
    <w:rsid w:val="40C91060"/>
    <w:rsid w:val="425B5919"/>
    <w:rsid w:val="44D9796A"/>
    <w:rsid w:val="44E268DA"/>
    <w:rsid w:val="453D30B5"/>
    <w:rsid w:val="456C3CD1"/>
    <w:rsid w:val="4576648B"/>
    <w:rsid w:val="465777BA"/>
    <w:rsid w:val="47C74AC5"/>
    <w:rsid w:val="48FB0684"/>
    <w:rsid w:val="492754C1"/>
    <w:rsid w:val="4A627F82"/>
    <w:rsid w:val="4AC94638"/>
    <w:rsid w:val="4AE3788D"/>
    <w:rsid w:val="4B0E749A"/>
    <w:rsid w:val="4B4F25DA"/>
    <w:rsid w:val="4BE068DB"/>
    <w:rsid w:val="4CA759EA"/>
    <w:rsid w:val="4D577224"/>
    <w:rsid w:val="4D7004D4"/>
    <w:rsid w:val="4DCF5EC2"/>
    <w:rsid w:val="4E0B301C"/>
    <w:rsid w:val="4EAB630A"/>
    <w:rsid w:val="4ECE2238"/>
    <w:rsid w:val="4F8F29D1"/>
    <w:rsid w:val="4F9F59C7"/>
    <w:rsid w:val="4FF10EF6"/>
    <w:rsid w:val="4FF800F0"/>
    <w:rsid w:val="4FFB32E7"/>
    <w:rsid w:val="505F0FDC"/>
    <w:rsid w:val="51925C37"/>
    <w:rsid w:val="51F60495"/>
    <w:rsid w:val="528D087E"/>
    <w:rsid w:val="530775AB"/>
    <w:rsid w:val="537E6D0A"/>
    <w:rsid w:val="546208AA"/>
    <w:rsid w:val="55124120"/>
    <w:rsid w:val="552D54C7"/>
    <w:rsid w:val="55CD58BC"/>
    <w:rsid w:val="59653642"/>
    <w:rsid w:val="59F635E0"/>
    <w:rsid w:val="5A5D25B5"/>
    <w:rsid w:val="5AF92295"/>
    <w:rsid w:val="5B5137E3"/>
    <w:rsid w:val="5BEF23E4"/>
    <w:rsid w:val="5CD5046F"/>
    <w:rsid w:val="5CD71FC4"/>
    <w:rsid w:val="5E24223C"/>
    <w:rsid w:val="5EA86D84"/>
    <w:rsid w:val="5EE74938"/>
    <w:rsid w:val="5F442315"/>
    <w:rsid w:val="605131CD"/>
    <w:rsid w:val="62B81B10"/>
    <w:rsid w:val="62BA2105"/>
    <w:rsid w:val="62D122C5"/>
    <w:rsid w:val="62E14B91"/>
    <w:rsid w:val="62E95123"/>
    <w:rsid w:val="62FB2672"/>
    <w:rsid w:val="63E2343A"/>
    <w:rsid w:val="64676E2E"/>
    <w:rsid w:val="65B500B8"/>
    <w:rsid w:val="65D26EC1"/>
    <w:rsid w:val="661324B7"/>
    <w:rsid w:val="66E231F3"/>
    <w:rsid w:val="67130C17"/>
    <w:rsid w:val="67EB2A83"/>
    <w:rsid w:val="6907551F"/>
    <w:rsid w:val="69763658"/>
    <w:rsid w:val="69AA184D"/>
    <w:rsid w:val="6B7F7288"/>
    <w:rsid w:val="6C212504"/>
    <w:rsid w:val="6C4A05C8"/>
    <w:rsid w:val="6CCE7137"/>
    <w:rsid w:val="6D2521D7"/>
    <w:rsid w:val="6D313AA8"/>
    <w:rsid w:val="6D8C7F00"/>
    <w:rsid w:val="6E16667A"/>
    <w:rsid w:val="6E7E3605"/>
    <w:rsid w:val="6F873C60"/>
    <w:rsid w:val="6FF5CC65"/>
    <w:rsid w:val="70B90D82"/>
    <w:rsid w:val="70E45E64"/>
    <w:rsid w:val="715C0E4B"/>
    <w:rsid w:val="71725649"/>
    <w:rsid w:val="717A3BFF"/>
    <w:rsid w:val="71CB239B"/>
    <w:rsid w:val="721E54AF"/>
    <w:rsid w:val="72734D90"/>
    <w:rsid w:val="73002AFD"/>
    <w:rsid w:val="730F2F44"/>
    <w:rsid w:val="73AD73D5"/>
    <w:rsid w:val="73B6EB34"/>
    <w:rsid w:val="744731E5"/>
    <w:rsid w:val="74B825D9"/>
    <w:rsid w:val="75330BC7"/>
    <w:rsid w:val="75937B7D"/>
    <w:rsid w:val="76120CE8"/>
    <w:rsid w:val="762F50EB"/>
    <w:rsid w:val="76E3355F"/>
    <w:rsid w:val="76F16155"/>
    <w:rsid w:val="778769C8"/>
    <w:rsid w:val="78604DF1"/>
    <w:rsid w:val="79387337"/>
    <w:rsid w:val="79EE5BA4"/>
    <w:rsid w:val="7A356C54"/>
    <w:rsid w:val="7A894339"/>
    <w:rsid w:val="7AC878BC"/>
    <w:rsid w:val="7B212B22"/>
    <w:rsid w:val="7B42766E"/>
    <w:rsid w:val="7B7B71D7"/>
    <w:rsid w:val="7C133047"/>
    <w:rsid w:val="7C8A1FFB"/>
    <w:rsid w:val="7CB842D6"/>
    <w:rsid w:val="7E6D04DE"/>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1"/>
    <w:qFormat/>
    <w:uiPriority w:val="99"/>
    <w:pPr>
      <w:spacing w:line="580" w:lineRule="exact"/>
      <w:ind w:firstLine="420" w:firstLineChars="200"/>
    </w:pPr>
    <w:rPr>
      <w:rFonts w:eastAsia="方正仿宋简体"/>
      <w:sz w:val="32"/>
    </w:rPr>
  </w:style>
  <w:style w:type="paragraph" w:styleId="6">
    <w:name w:val="Body Text"/>
    <w:basedOn w:val="1"/>
    <w:link w:val="28"/>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Default"/>
    <w:next w:val="11"/>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0">
    <w:name w:val="章标题"/>
    <w:basedOn w:val="1"/>
    <w:next w:val="1"/>
    <w:qFormat/>
    <w:uiPriority w:val="99"/>
    <w:pPr>
      <w:widowControl/>
      <w:spacing w:before="158" w:after="153" w:line="323" w:lineRule="atLeast"/>
      <w:ind w:right="-120"/>
      <w:jc w:val="center"/>
      <w:textAlignment w:val="baseline"/>
    </w:pPr>
    <w:rPr>
      <w:rFonts w:ascii="Times New Roman" w:hAnsi="Times New Roman" w:eastAsia="宋体"/>
      <w:color w:val="FF0000"/>
      <w:sz w:val="18"/>
    </w:rPr>
  </w:style>
  <w:style w:type="paragraph" w:customStyle="1" w:styleId="21">
    <w:name w:val="节标题"/>
    <w:basedOn w:val="1"/>
    <w:next w:val="1"/>
    <w:qFormat/>
    <w:uiPriority w:val="99"/>
    <w:pPr>
      <w:widowControl/>
      <w:spacing w:line="289" w:lineRule="atLeast"/>
      <w:jc w:val="center"/>
      <w:textAlignment w:val="baseline"/>
    </w:pPr>
    <w:rPr>
      <w:color w:val="000000"/>
      <w:sz w:val="28"/>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6"/>
    <w:semiHidden/>
    <w:qFormat/>
    <w:uiPriority w:val="99"/>
    <w:rPr>
      <w:rFonts w:ascii="Times New Roman" w:hAnsi="Times New Roman"/>
      <w:sz w:val="18"/>
      <w:szCs w:val="18"/>
    </w:rPr>
  </w:style>
  <w:style w:type="character" w:customStyle="1" w:styleId="24">
    <w:name w:val="页眉 Char"/>
    <w:link w:val="11"/>
    <w:semiHidden/>
    <w:qFormat/>
    <w:locked/>
    <w:uiPriority w:val="99"/>
    <w:rPr>
      <w:sz w:val="18"/>
    </w:rPr>
  </w:style>
  <w:style w:type="character" w:customStyle="1" w:styleId="25">
    <w:name w:val="Footer Char"/>
    <w:basedOn w:val="16"/>
    <w:semiHidden/>
    <w:qFormat/>
    <w:uiPriority w:val="99"/>
    <w:rPr>
      <w:rFonts w:ascii="Times New Roman" w:hAnsi="Times New Roman"/>
      <w:sz w:val="18"/>
      <w:szCs w:val="18"/>
    </w:rPr>
  </w:style>
  <w:style w:type="character" w:customStyle="1" w:styleId="26">
    <w:name w:val="页脚 Char"/>
    <w:link w:val="10"/>
    <w:qFormat/>
    <w:locked/>
    <w:uiPriority w:val="99"/>
    <w:rPr>
      <w:sz w:val="18"/>
    </w:rPr>
  </w:style>
  <w:style w:type="character" w:customStyle="1" w:styleId="27">
    <w:name w:val="Body Text Char"/>
    <w:basedOn w:val="16"/>
    <w:semiHidden/>
    <w:qFormat/>
    <w:uiPriority w:val="99"/>
    <w:rPr>
      <w:rFonts w:ascii="Times New Roman" w:hAnsi="Times New Roman"/>
      <w:szCs w:val="24"/>
    </w:rPr>
  </w:style>
  <w:style w:type="character" w:customStyle="1" w:styleId="28">
    <w:name w:val="正文文本 Char"/>
    <w:link w:val="6"/>
    <w:qFormat/>
    <w:locked/>
    <w:uiPriority w:val="99"/>
    <w:rPr>
      <w:rFonts w:ascii="仿宋_GB2312" w:hAnsi="Times New Roman" w:eastAsia="仿宋_GB2312"/>
      <w:sz w:val="24"/>
    </w:rPr>
  </w:style>
  <w:style w:type="paragraph" w:styleId="29">
    <w:name w:val="List Paragraph"/>
    <w:basedOn w:val="1"/>
    <w:qFormat/>
    <w:uiPriority w:val="34"/>
    <w:pPr>
      <w:ind w:firstLine="420" w:firstLineChars="200"/>
    </w:pPr>
  </w:style>
  <w:style w:type="character" w:customStyle="1" w:styleId="30">
    <w:name w:val="标题 1 Char"/>
    <w:basedOn w:val="16"/>
    <w:link w:val="3"/>
    <w:qFormat/>
    <w:uiPriority w:val="9"/>
    <w:rPr>
      <w:rFonts w:ascii="Times New Roman" w:hAnsi="Times New Roman"/>
      <w:b/>
      <w:bCs/>
      <w:kern w:val="44"/>
      <w:sz w:val="44"/>
      <w:szCs w:val="44"/>
    </w:rPr>
  </w:style>
  <w:style w:type="character" w:customStyle="1" w:styleId="31">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6"/>
    <w:link w:val="9"/>
    <w:semiHidden/>
    <w:qFormat/>
    <w:uiPriority w:val="99"/>
    <w:rPr>
      <w:rFonts w:ascii="Times New Roman" w:hAnsi="Times New Roman"/>
      <w:kern w:val="2"/>
      <w:sz w:val="18"/>
      <w:szCs w:val="18"/>
    </w:rPr>
  </w:style>
  <w:style w:type="character" w:customStyle="1" w:styleId="34">
    <w:name w:val="标题 3 Char"/>
    <w:basedOn w:val="16"/>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收入（万元）</c:v>
                </c:pt>
                <c:pt idx="1">
                  <c:v>支出（万元）</c:v>
                </c:pt>
              </c:strCache>
            </c:strRef>
          </c:cat>
          <c:val>
            <c:numRef>
              <c:f>Sheet1!$B$2:$B$3</c:f>
              <c:numCache>
                <c:formatCode>General</c:formatCode>
                <c:ptCount val="2"/>
                <c:pt idx="0">
                  <c:v>30.94</c:v>
                </c:pt>
                <c:pt idx="1">
                  <c:v>30.94</c:v>
                </c:pt>
              </c:numCache>
            </c:numRef>
          </c:val>
        </c:ser>
        <c:ser>
          <c:idx val="1"/>
          <c:order val="1"/>
          <c:tx>
            <c:strRef>
              <c:f>Sheet1!$C$1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收入（万元）</c:v>
                </c:pt>
                <c:pt idx="1">
                  <c:v>支出（万元）</c:v>
                </c:pt>
              </c:strCache>
            </c:strRef>
          </c:cat>
          <c:val>
            <c:numRef>
              <c:f>Sheet1!$C$2:$C$3</c:f>
              <c:numCache>
                <c:formatCode>General</c:formatCode>
                <c:ptCount val="2"/>
                <c:pt idx="0">
                  <c:v>32</c:v>
                </c:pt>
                <c:pt idx="1">
                  <c:v>32</c:v>
                </c:pt>
              </c:numCache>
            </c:numRef>
          </c:val>
        </c:ser>
        <c:dLbls>
          <c:showLegendKey val="0"/>
          <c:showVal val="0"/>
          <c:showCatName val="0"/>
          <c:showSerName val="0"/>
          <c:showPercent val="0"/>
          <c:showBubbleSize val="0"/>
        </c:dLbls>
        <c:gapWidth val="150"/>
        <c:axId val="153620480"/>
        <c:axId val="153622016"/>
      </c:barChart>
      <c:catAx>
        <c:axId val="15362048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3622016"/>
        <c:crosses val="autoZero"/>
        <c:auto val="1"/>
        <c:lblAlgn val="ctr"/>
        <c:lblOffset val="100"/>
        <c:noMultiLvlLbl val="0"/>
      </c:catAx>
      <c:valAx>
        <c:axId val="1536220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362048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收入占比（%）</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a:solidFill>
                          <a:schemeClr val="accent6">
                            <a:lumMod val="75000"/>
                          </a:schemeClr>
                        </a:solidFill>
                      </a:rPr>
                      <a:t>100</a:t>
                    </a:r>
                    <a:endParaRPr>
                      <a:solidFill>
                        <a:schemeClr val="accent6">
                          <a:lumMod val="75000"/>
                        </a:schemeClr>
                      </a:solidFill>
                    </a:endParaRP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Sheet1!$A$2:$A$10</c:f>
              <c:strCache>
                <c:ptCount val="9"/>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Sheet1!$B$2:$B$10</c:f>
              <c:numCache>
                <c:formatCode>General</c:formatCode>
                <c:ptCount val="9"/>
                <c:pt idx="0">
                  <c:v>100</c:v>
                </c:pt>
                <c:pt idx="1">
                  <c:v>0</c:v>
                </c:pt>
                <c:pt idx="2">
                  <c:v>0</c:v>
                </c:pt>
                <c:pt idx="3">
                  <c:v>0</c:v>
                </c:pt>
                <c:pt idx="4">
                  <c:v>0</c:v>
                </c:pt>
                <c:pt idx="5">
                  <c:v>0</c:v>
                </c:pt>
                <c:pt idx="6">
                  <c:v>0</c:v>
                </c:pt>
                <c:pt idx="7">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支出占比（%）</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基本支出</c:v>
                </c:pt>
                <c:pt idx="1">
                  <c:v>项目支出</c:v>
                </c:pt>
                <c:pt idx="2">
                  <c:v>上缴上级支出</c:v>
                </c:pt>
                <c:pt idx="3">
                  <c:v>对附属单位补助支出</c:v>
                </c:pt>
              </c:strCache>
            </c:strRef>
          </c:cat>
          <c:val>
            <c:numRef>
              <c:f>Sheet1!$B$2:$B$5</c:f>
              <c:numCache>
                <c:formatCode>General</c:formatCode>
                <c:ptCount val="4"/>
                <c:pt idx="0">
                  <c:v>69.86</c:v>
                </c:pt>
                <c:pt idx="1">
                  <c:v>30.14</c:v>
                </c:pt>
                <c:pt idx="2">
                  <c:v>0</c:v>
                </c:pt>
                <c:pt idx="3">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财政拨款收入（万元）</c:v>
                </c:pt>
                <c:pt idx="1">
                  <c:v>财政拨款支出（万元）</c:v>
                </c:pt>
              </c:strCache>
            </c:strRef>
          </c:cat>
          <c:val>
            <c:numRef>
              <c:f>Sheet1!$B$2:$B$3</c:f>
              <c:numCache>
                <c:formatCode>General</c:formatCode>
                <c:ptCount val="2"/>
                <c:pt idx="0">
                  <c:v>30.94</c:v>
                </c:pt>
                <c:pt idx="1">
                  <c:v>30.94</c:v>
                </c:pt>
              </c:numCache>
            </c:numRef>
          </c:val>
        </c:ser>
        <c:ser>
          <c:idx val="1"/>
          <c:order val="1"/>
          <c:tx>
            <c:strRef>
              <c:f>Sheet1!$C$1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财政拨款收入（万元）</c:v>
                </c:pt>
                <c:pt idx="1">
                  <c:v>财政拨款支出（万元）</c:v>
                </c:pt>
              </c:strCache>
            </c:strRef>
          </c:cat>
          <c:val>
            <c:numRef>
              <c:f>Sheet1!$C$2:$C$3</c:f>
              <c:numCache>
                <c:formatCode>General</c:formatCode>
                <c:ptCount val="2"/>
                <c:pt idx="0">
                  <c:v>32</c:v>
                </c:pt>
                <c:pt idx="1">
                  <c:v>32</c:v>
                </c:pt>
              </c:numCache>
            </c:numRef>
          </c:val>
        </c:ser>
        <c:dLbls>
          <c:showLegendKey val="0"/>
          <c:showVal val="0"/>
          <c:showCatName val="0"/>
          <c:showSerName val="0"/>
          <c:showPercent val="0"/>
          <c:showBubbleSize val="0"/>
        </c:dLbls>
        <c:gapWidth val="150"/>
        <c:axId val="157402624"/>
        <c:axId val="157404160"/>
      </c:barChart>
      <c:catAx>
        <c:axId val="1574026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404160"/>
        <c:crosses val="autoZero"/>
        <c:auto val="1"/>
        <c:lblAlgn val="ctr"/>
        <c:lblOffset val="100"/>
        <c:noMultiLvlLbl val="0"/>
      </c:catAx>
      <c:valAx>
        <c:axId val="1574041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40262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c:f>
              <c:strCache>
                <c:ptCount val="1"/>
                <c:pt idx="0">
                  <c:v>一般公共预算财政拨款支出（万元）</c:v>
                </c:pt>
              </c:strCache>
            </c:strRef>
          </c:cat>
          <c:val>
            <c:numRef>
              <c:f>Sheet1!$B$2</c:f>
              <c:numCache>
                <c:formatCode>General</c:formatCode>
                <c:ptCount val="1"/>
                <c:pt idx="0">
                  <c:v>30.94</c:v>
                </c:pt>
              </c:numCache>
            </c:numRef>
          </c:val>
        </c:ser>
        <c:ser>
          <c:idx val="1"/>
          <c:order val="1"/>
          <c:tx>
            <c:strRef>
              <c:f>Sheet1!$C$1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c:f>
              <c:strCache>
                <c:ptCount val="1"/>
                <c:pt idx="0">
                  <c:v>一般公共预算财政拨款支出（万元）</c:v>
                </c:pt>
              </c:strCache>
            </c:strRef>
          </c:cat>
          <c:val>
            <c:numRef>
              <c:f>Sheet1!$C$2</c:f>
              <c:numCache>
                <c:formatCode>General</c:formatCode>
                <c:ptCount val="1"/>
                <c:pt idx="0">
                  <c:v>32</c:v>
                </c:pt>
              </c:numCache>
            </c:numRef>
          </c:val>
        </c:ser>
        <c:dLbls>
          <c:showLegendKey val="0"/>
          <c:showVal val="0"/>
          <c:showCatName val="0"/>
          <c:showSerName val="0"/>
          <c:showPercent val="0"/>
          <c:showBubbleSize val="0"/>
        </c:dLbls>
        <c:gapWidth val="150"/>
        <c:axId val="157426048"/>
        <c:axId val="157427584"/>
      </c:barChart>
      <c:catAx>
        <c:axId val="15742604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427584"/>
        <c:crosses val="autoZero"/>
        <c:auto val="1"/>
        <c:lblAlgn val="ctr"/>
        <c:lblOffset val="100"/>
        <c:noMultiLvlLbl val="0"/>
      </c:catAx>
      <c:valAx>
        <c:axId val="1574275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42604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一般公共预算财政拨款支出占比（%）</c:v>
                </c:pt>
              </c:strCache>
            </c:strRef>
          </c:tx>
          <c:spPr/>
          <c:explosion val="0"/>
          <c:dPt>
            <c:idx val="0"/>
            <c:bubble3D val="0"/>
            <c:spPr>
              <a:solidFill>
                <a:schemeClr val="accent1"/>
              </a:solidFill>
              <a:ln w="25400">
                <a:solidFill>
                  <a:schemeClr val="lt1"/>
                </a:solidFill>
              </a:ln>
              <a:effectLst/>
            </c:spPr>
          </c:dPt>
          <c:dPt>
            <c:idx val="1"/>
            <c:bubble3D val="0"/>
            <c:spPr>
              <a:solidFill>
                <a:schemeClr val="accent2"/>
              </a:solidFill>
              <a:ln w="25400">
                <a:solidFill>
                  <a:schemeClr val="lt1"/>
                </a:solidFill>
              </a:ln>
              <a:effectLst/>
            </c:spPr>
          </c:dPt>
          <c:dPt>
            <c:idx val="2"/>
            <c:bubble3D val="0"/>
            <c:spPr>
              <a:solidFill>
                <a:schemeClr val="accent3"/>
              </a:solidFill>
              <a:ln w="25400">
                <a:solidFill>
                  <a:schemeClr val="lt1"/>
                </a:solidFill>
              </a:ln>
              <a:effectLst/>
            </c:spPr>
          </c:dPt>
          <c:dPt>
            <c:idx val="3"/>
            <c:bubble3D val="0"/>
            <c:spPr>
              <a:solidFill>
                <a:schemeClr val="accent4"/>
              </a:solidFill>
              <a:ln w="25400">
                <a:solidFill>
                  <a:schemeClr val="lt1"/>
                </a:solidFill>
              </a:ln>
              <a:effectLst/>
            </c:spPr>
          </c:dPt>
          <c:dPt>
            <c:idx val="4"/>
            <c:bubble3D val="0"/>
            <c:spPr>
              <a:solidFill>
                <a:schemeClr val="accent5"/>
              </a:solidFill>
              <a:ln w="25400">
                <a:solidFill>
                  <a:schemeClr val="lt1"/>
                </a:solidFill>
              </a:ln>
              <a:effectLst/>
            </c:spPr>
          </c:dPt>
          <c:dPt>
            <c:idx val="5"/>
            <c:bubble3D val="0"/>
            <c:spPr>
              <a:solidFill>
                <a:schemeClr val="accent6"/>
              </a:solidFill>
              <a:ln w="25400">
                <a:solidFill>
                  <a:schemeClr val="lt1"/>
                </a:solidFill>
              </a:ln>
              <a:effectLst/>
            </c:spPr>
          </c:dPt>
          <c:dPt>
            <c:idx val="6"/>
            <c:bubble3D val="0"/>
            <c:spPr>
              <a:solidFill>
                <a:schemeClr val="accent1">
                  <a:lumMod val="60000"/>
                </a:schemeClr>
              </a:solidFill>
              <a:ln w="2540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Sheet1!$B$2:$B$8</c:f>
              <c:numCache>
                <c:formatCode>General</c:formatCode>
                <c:ptCount val="7"/>
                <c:pt idx="0">
                  <c:v>87.13</c:v>
                </c:pt>
                <c:pt idx="4">
                  <c:v>3.53</c:v>
                </c:pt>
                <c:pt idx="5">
                  <c:v>1.59</c:v>
                </c:pt>
                <c:pt idx="6">
                  <c:v>7.75</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12464</Words>
  <Characters>13238</Characters>
  <Lines>61</Lines>
  <Paragraphs>17</Paragraphs>
  <TotalTime>20</TotalTime>
  <ScaleCrop>false</ScaleCrop>
  <LinksUpToDate>false</LinksUpToDate>
  <CharactersWithSpaces>14016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 </cp:lastModifiedBy>
  <cp:lastPrinted>2023-07-31T02:35:00Z</cp:lastPrinted>
  <dcterms:modified xsi:type="dcterms:W3CDTF">2023-09-25T06:27:16Z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38C4F841A50B4F5B943F92500F8DA3E4</vt:lpwstr>
  </property>
</Properties>
</file>