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sz w:val="72"/>
          <w:szCs w:val="72"/>
        </w:rPr>
      </w:pPr>
      <w:bookmarkStart w:id="0" w:name="_Toc15378441"/>
      <w:bookmarkStart w:id="1" w:name="_Toc15396597"/>
      <w:bookmarkStart w:id="2" w:name="_Toc15377425"/>
      <w:bookmarkStart w:id="3" w:name="_Toc15396475"/>
      <w:bookmarkStart w:id="4" w:name="_Toc15377193"/>
      <w:bookmarkStart w:id="5" w:name="_Toc15306267"/>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43818184"/>
      <w:bookmarkStart w:id="7" w:name="_Toc143546601"/>
      <w:bookmarkStart w:id="8" w:name="_Toc9534"/>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bookmarkEnd w:id="6"/>
      <w:bookmarkEnd w:id="7"/>
      <w:bookmarkEnd w:id="8"/>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9" w:name="_Toc15378442"/>
      <w:bookmarkStart w:id="10" w:name="_Toc143818185"/>
      <w:bookmarkStart w:id="11" w:name="_Toc15396476"/>
      <w:bookmarkStart w:id="12" w:name="_Toc15377194"/>
      <w:bookmarkStart w:id="13" w:name="_Toc115"/>
      <w:bookmarkStart w:id="14" w:name="_Toc15396598"/>
      <w:bookmarkStart w:id="15" w:name="_Toc15377426"/>
      <w:bookmarkStart w:id="16" w:name="_Toc143546602"/>
      <w:r>
        <w:rPr>
          <w:rFonts w:hint="eastAsia" w:ascii="方正小标宋简体" w:hAnsi="方正小标宋简体" w:eastAsia="方正小标宋简体" w:cs="方正小标宋简体"/>
          <w:sz w:val="72"/>
          <w:szCs w:val="72"/>
        </w:rPr>
        <w:t>四川省</w:t>
      </w:r>
      <w:bookmarkEnd w:id="5"/>
      <w:bookmarkStart w:id="17" w:name="_Toc24296"/>
      <w:bookmarkStart w:id="18" w:name="_Toc15306268"/>
      <w:r>
        <w:rPr>
          <w:rFonts w:hint="eastAsia" w:ascii="方正小标宋简体" w:hAnsi="宋体" w:eastAsia="方正小标宋简体"/>
          <w:color w:val="000000"/>
          <w:sz w:val="72"/>
          <w:szCs w:val="72"/>
        </w:rPr>
        <w:t>遂宁市安居区</w:t>
      </w:r>
      <w:bookmarkEnd w:id="17"/>
      <w:r>
        <w:rPr>
          <w:rFonts w:hint="eastAsia" w:ascii="方正小标宋简体" w:hAnsi="宋体" w:eastAsia="方正小标宋简体"/>
          <w:color w:val="000000"/>
          <w:sz w:val="72"/>
          <w:szCs w:val="72"/>
        </w:rPr>
        <w:t>机关事务服务中</w:t>
      </w:r>
      <w:bookmarkStart w:id="259" w:name="_GoBack"/>
      <w:bookmarkEnd w:id="259"/>
      <w:r>
        <w:rPr>
          <w:rFonts w:hint="eastAsia" w:ascii="方正小标宋简体" w:hAnsi="宋体" w:eastAsia="方正小标宋简体"/>
          <w:color w:val="000000"/>
          <w:sz w:val="72"/>
          <w:szCs w:val="72"/>
        </w:rPr>
        <w:t>心</w:t>
      </w:r>
      <w:r>
        <w:rPr>
          <w:rFonts w:hint="eastAsia" w:ascii="方正小标宋简体" w:hAnsi="方正小标宋简体" w:eastAsia="方正小标宋简体" w:cs="方正小标宋简体"/>
          <w:sz w:val="72"/>
          <w:szCs w:val="72"/>
        </w:rPr>
        <w:t>部门决算</w:t>
      </w:r>
      <w:bookmarkEnd w:id="9"/>
      <w:bookmarkEnd w:id="10"/>
      <w:bookmarkEnd w:id="11"/>
      <w:bookmarkEnd w:id="12"/>
      <w:bookmarkEnd w:id="13"/>
      <w:bookmarkEnd w:id="14"/>
      <w:bookmarkEnd w:id="15"/>
      <w:bookmarkEnd w:id="16"/>
      <w:bookmarkEnd w:id="18"/>
    </w:p>
    <w:p>
      <w:pPr>
        <w:pStyle w:val="14"/>
        <w:adjustRightInd w:val="0"/>
        <w:snapToGrid w:val="0"/>
        <w:spacing w:line="440" w:lineRule="exact"/>
        <w:jc w:val="left"/>
        <w:rPr>
          <w:rFonts w:asciiTheme="minorEastAsia" w:hAnsiTheme="minorEastAsia" w:eastAsiaTheme="minorEastAsia" w:cstheme="minorEastAsia"/>
          <w:sz w:val="24"/>
        </w:rPr>
      </w:pPr>
      <w:r>
        <w:rPr>
          <w:rFonts w:ascii="方正小标宋简体" w:hAnsi="宋体" w:eastAsia="方正小标宋简体"/>
          <w:sz w:val="36"/>
          <w:szCs w:val="36"/>
        </w:rPr>
        <w:br w:type="page"/>
      </w:r>
    </w:p>
    <w:sdt>
      <w:sdtPr>
        <w:rPr>
          <w:rFonts w:ascii="宋体" w:hAnsi="宋体" w:eastAsia="宋体" w:cs="Times New Roman"/>
          <w:kern w:val="2"/>
          <w:sz w:val="21"/>
          <w:szCs w:val="24"/>
          <w:lang w:val="en-US" w:eastAsia="zh-CN" w:bidi="ar-SA"/>
        </w:rPr>
        <w:id w:val="147476373"/>
        <w15:color w:val="DBDBDB"/>
        <w:docPartObj>
          <w:docPartGallery w:val="Table of Contents"/>
          <w:docPartUnique/>
        </w:docPartObj>
      </w:sdtPr>
      <w:sdtEndPr>
        <w:rPr>
          <w:rFonts w:ascii="黑体" w:hAnsi="黑体" w:eastAsia="黑体" w:cs="Times New Roman"/>
          <w:b/>
          <w:kern w:val="2"/>
          <w:sz w:val="21"/>
          <w:szCs w:val="44"/>
          <w:lang w:val="en-US" w:eastAsia="zh-CN" w:bidi="ar-SA"/>
        </w:rPr>
      </w:sdtEndPr>
      <w:sdtContent>
        <w:p>
          <w:pPr>
            <w:spacing w:before="0" w:beforeLines="0" w:after="0" w:afterLines="0" w:line="240" w:lineRule="auto"/>
            <w:ind w:left="0" w:leftChars="0" w:right="0" w:rightChars="0" w:firstLine="0" w:firstLineChars="0"/>
            <w:jc w:val="center"/>
          </w:pPr>
          <w:bookmarkStart w:id="19" w:name="_Toc15396599"/>
          <w:bookmarkStart w:id="20" w:name="_Toc15377196"/>
          <w:r>
            <w:rPr>
              <w:rFonts w:ascii="宋体" w:hAnsi="宋体" w:eastAsia="宋体"/>
              <w:sz w:val="21"/>
            </w:rPr>
            <w:t>目录</w:t>
          </w:r>
        </w:p>
        <w:p>
          <w:pPr>
            <w:pStyle w:val="36"/>
            <w:tabs>
              <w:tab w:val="right" w:leader="dot" w:pos="8306"/>
            </w:tabs>
            <w:rPr>
              <w:b/>
            </w:rPr>
          </w:pPr>
          <w:r>
            <w:rPr>
              <w:rFonts w:ascii="黑体" w:hAnsi="黑体" w:eastAsia="黑体"/>
              <w:sz w:val="44"/>
              <w:szCs w:val="44"/>
            </w:rPr>
            <w:fldChar w:fldCharType="begin"/>
          </w:r>
          <w:r>
            <w:rPr>
              <w:rFonts w:ascii="黑体" w:hAnsi="黑体" w:eastAsia="黑体"/>
              <w:sz w:val="44"/>
              <w:szCs w:val="44"/>
            </w:rPr>
            <w:instrText xml:space="preserve">TOC \o "1-2" \h \u </w:instrText>
          </w:r>
          <w:r>
            <w:rPr>
              <w:rFonts w:ascii="黑体" w:hAnsi="黑体" w:eastAsia="黑体"/>
              <w:sz w:val="44"/>
              <w:szCs w:val="44"/>
            </w:rPr>
            <w:fldChar w:fldCharType="separate"/>
          </w:r>
        </w:p>
        <w:p>
          <w:pPr>
            <w:pStyle w:val="36"/>
            <w:tabs>
              <w:tab w:val="right" w:leader="dot" w:pos="8306"/>
            </w:tabs>
            <w:rPr>
              <w:b/>
            </w:rPr>
          </w:pPr>
          <w:r>
            <w:rPr>
              <w:rFonts w:ascii="黑体" w:hAnsi="黑体" w:eastAsia="黑体"/>
              <w:b/>
              <w:szCs w:val="44"/>
            </w:rPr>
            <w:fldChar w:fldCharType="begin"/>
          </w:r>
          <w:r>
            <w:rPr>
              <w:rFonts w:ascii="黑体" w:hAnsi="黑体" w:eastAsia="黑体"/>
              <w:b/>
              <w:szCs w:val="44"/>
            </w:rPr>
            <w:instrText xml:space="preserve"> HYPERLINK \l _Toc23286 </w:instrText>
          </w:r>
          <w:r>
            <w:rPr>
              <w:rFonts w:ascii="黑体" w:hAnsi="黑体" w:eastAsia="黑体"/>
              <w:b/>
              <w:szCs w:val="44"/>
            </w:rPr>
            <w:fldChar w:fldCharType="separate"/>
          </w:r>
          <w:r>
            <w:rPr>
              <w:rFonts w:hint="eastAsia" w:ascii="黑体" w:hAnsi="黑体" w:eastAsia="黑体"/>
              <w:b/>
              <w:szCs w:val="44"/>
            </w:rPr>
            <w:t xml:space="preserve">第一部分 </w:t>
          </w:r>
          <w:r>
            <w:rPr>
              <w:rFonts w:hint="eastAsia" w:ascii="黑体" w:hAnsi="黑体" w:eastAsia="黑体"/>
              <w:b/>
            </w:rPr>
            <w:t>部门概况</w:t>
          </w:r>
          <w:r>
            <w:rPr>
              <w:b/>
            </w:rPr>
            <w:tab/>
          </w:r>
          <w:r>
            <w:rPr>
              <w:b/>
            </w:rPr>
            <w:fldChar w:fldCharType="begin"/>
          </w:r>
          <w:r>
            <w:rPr>
              <w:b/>
            </w:rPr>
            <w:instrText xml:space="preserve"> PAGEREF _Toc23286 \h </w:instrText>
          </w:r>
          <w:r>
            <w:rPr>
              <w:b/>
            </w:rPr>
            <w:fldChar w:fldCharType="separate"/>
          </w:r>
          <w:r>
            <w:rPr>
              <w:b/>
            </w:rPr>
            <w:t>3</w:t>
          </w:r>
          <w:r>
            <w:rPr>
              <w:b/>
            </w:rPr>
            <w:fldChar w:fldCharType="end"/>
          </w:r>
          <w:r>
            <w:rPr>
              <w:rFonts w:ascii="黑体" w:hAnsi="黑体" w:eastAsia="黑体"/>
              <w:b/>
              <w:szCs w:val="44"/>
            </w:rPr>
            <w:fldChar w:fldCharType="end"/>
          </w:r>
        </w:p>
        <w:p>
          <w:pPr>
            <w:pStyle w:val="37"/>
            <w:tabs>
              <w:tab w:val="right" w:leader="dot" w:pos="8306"/>
            </w:tabs>
          </w:pPr>
          <w:r>
            <w:rPr>
              <w:rFonts w:ascii="黑体" w:hAnsi="黑体" w:eastAsia="黑体"/>
              <w:szCs w:val="44"/>
            </w:rPr>
            <w:fldChar w:fldCharType="begin"/>
          </w:r>
          <w:r>
            <w:rPr>
              <w:rFonts w:ascii="黑体" w:hAnsi="黑体" w:eastAsia="黑体"/>
              <w:szCs w:val="44"/>
            </w:rPr>
            <w:instrText xml:space="preserve"> HYPERLINK \l _Toc31228 </w:instrText>
          </w:r>
          <w:r>
            <w:rPr>
              <w:rFonts w:ascii="黑体" w:hAnsi="黑体" w:eastAsia="黑体"/>
              <w:szCs w:val="44"/>
            </w:rPr>
            <w:fldChar w:fldCharType="separate"/>
          </w:r>
          <w:r>
            <w:rPr>
              <w:rFonts w:hint="eastAsia" w:ascii="黑体" w:hAnsi="黑体" w:eastAsia="黑体" w:cs="仿宋"/>
              <w:bCs/>
              <w:szCs w:val="32"/>
            </w:rPr>
            <w:t>一.部门职责</w:t>
          </w:r>
          <w:r>
            <w:tab/>
          </w:r>
          <w:r>
            <w:fldChar w:fldCharType="begin"/>
          </w:r>
          <w:r>
            <w:instrText xml:space="preserve"> PAGEREF _Toc31228 \h </w:instrText>
          </w:r>
          <w:r>
            <w:fldChar w:fldCharType="separate"/>
          </w:r>
          <w:r>
            <w:t>3</w:t>
          </w:r>
          <w:r>
            <w:fldChar w:fldCharType="end"/>
          </w:r>
          <w:r>
            <w:rPr>
              <w:rFonts w:ascii="黑体" w:hAnsi="黑体" w:eastAsia="黑体"/>
              <w:szCs w:val="44"/>
            </w:rPr>
            <w:fldChar w:fldCharType="end"/>
          </w:r>
        </w:p>
        <w:p>
          <w:pPr>
            <w:pStyle w:val="37"/>
            <w:tabs>
              <w:tab w:val="right" w:leader="dot" w:pos="8306"/>
            </w:tabs>
          </w:pPr>
          <w:r>
            <w:rPr>
              <w:rFonts w:ascii="黑体" w:hAnsi="黑体" w:eastAsia="黑体"/>
              <w:szCs w:val="44"/>
            </w:rPr>
            <w:fldChar w:fldCharType="begin"/>
          </w:r>
          <w:r>
            <w:rPr>
              <w:rFonts w:ascii="黑体" w:hAnsi="黑体" w:eastAsia="黑体"/>
              <w:szCs w:val="44"/>
            </w:rPr>
            <w:instrText xml:space="preserve"> HYPERLINK \l _Toc30826 </w:instrText>
          </w:r>
          <w:r>
            <w:rPr>
              <w:rFonts w:ascii="黑体" w:hAnsi="黑体" w:eastAsia="黑体"/>
              <w:szCs w:val="44"/>
            </w:rPr>
            <w:fldChar w:fldCharType="separate"/>
          </w:r>
          <w:r>
            <w:rPr>
              <w:rFonts w:hint="eastAsia" w:ascii="黑体" w:eastAsia="黑体"/>
            </w:rPr>
            <w:t>二、</w:t>
          </w:r>
          <w:r>
            <w:rPr>
              <w:rFonts w:hint="eastAsia" w:ascii="黑体" w:hAnsi="黑体" w:eastAsia="黑体"/>
            </w:rPr>
            <w:t>机</w:t>
          </w:r>
          <w:r>
            <w:rPr>
              <w:rFonts w:hint="eastAsia" w:ascii="黑体" w:hAnsi="黑体" w:eastAsia="黑体"/>
              <w:bCs w:val="0"/>
            </w:rPr>
            <w:t>构设置</w:t>
          </w:r>
          <w:r>
            <w:tab/>
          </w:r>
          <w:r>
            <w:fldChar w:fldCharType="begin"/>
          </w:r>
          <w:r>
            <w:instrText xml:space="preserve"> PAGEREF _Toc30826 \h </w:instrText>
          </w:r>
          <w:r>
            <w:fldChar w:fldCharType="separate"/>
          </w:r>
          <w:r>
            <w:t>4</w:t>
          </w:r>
          <w:r>
            <w:fldChar w:fldCharType="end"/>
          </w:r>
          <w:r>
            <w:rPr>
              <w:rFonts w:ascii="黑体" w:hAnsi="黑体" w:eastAsia="黑体"/>
              <w:szCs w:val="44"/>
            </w:rPr>
            <w:fldChar w:fldCharType="end"/>
          </w:r>
        </w:p>
        <w:p>
          <w:pPr>
            <w:pStyle w:val="36"/>
            <w:tabs>
              <w:tab w:val="right" w:leader="dot" w:pos="8306"/>
            </w:tabs>
            <w:rPr>
              <w:b/>
            </w:rPr>
          </w:pPr>
          <w:r>
            <w:rPr>
              <w:rFonts w:ascii="黑体" w:hAnsi="黑体" w:eastAsia="黑体"/>
              <w:b/>
              <w:szCs w:val="44"/>
            </w:rPr>
            <w:fldChar w:fldCharType="begin"/>
          </w:r>
          <w:r>
            <w:rPr>
              <w:rFonts w:ascii="黑体" w:hAnsi="黑体" w:eastAsia="黑体"/>
              <w:b/>
              <w:szCs w:val="44"/>
            </w:rPr>
            <w:instrText xml:space="preserve"> HYPERLINK \l _Toc29967 </w:instrText>
          </w:r>
          <w:r>
            <w:rPr>
              <w:rFonts w:ascii="黑体" w:hAnsi="黑体" w:eastAsia="黑体"/>
              <w:b/>
              <w:szCs w:val="44"/>
            </w:rPr>
            <w:fldChar w:fldCharType="separate"/>
          </w:r>
          <w:r>
            <w:rPr>
              <w:rFonts w:hint="eastAsia" w:ascii="黑体" w:hAnsi="黑体" w:eastAsia="黑体"/>
              <w:b/>
              <w:szCs w:val="44"/>
            </w:rPr>
            <w:t>第二部分 2022年度</w:t>
          </w:r>
          <w:r>
            <w:rPr>
              <w:rFonts w:hint="eastAsia" w:ascii="黑体" w:hAnsi="黑体" w:eastAsia="黑体"/>
              <w:b/>
            </w:rPr>
            <w:t>部门决算情况说明</w:t>
          </w:r>
          <w:r>
            <w:rPr>
              <w:b/>
            </w:rPr>
            <w:tab/>
          </w:r>
          <w:r>
            <w:rPr>
              <w:b/>
            </w:rPr>
            <w:fldChar w:fldCharType="begin"/>
          </w:r>
          <w:r>
            <w:rPr>
              <w:b/>
            </w:rPr>
            <w:instrText xml:space="preserve"> PAGEREF _Toc29967 \h </w:instrText>
          </w:r>
          <w:r>
            <w:rPr>
              <w:b/>
            </w:rPr>
            <w:fldChar w:fldCharType="separate"/>
          </w:r>
          <w:r>
            <w:rPr>
              <w:b/>
            </w:rPr>
            <w:t>5</w:t>
          </w:r>
          <w:r>
            <w:rPr>
              <w:b/>
            </w:rPr>
            <w:fldChar w:fldCharType="end"/>
          </w:r>
          <w:r>
            <w:rPr>
              <w:rFonts w:ascii="黑体" w:hAnsi="黑体" w:eastAsia="黑体"/>
              <w:b/>
              <w:szCs w:val="44"/>
            </w:rPr>
            <w:fldChar w:fldCharType="end"/>
          </w:r>
        </w:p>
        <w:p>
          <w:pPr>
            <w:pStyle w:val="37"/>
            <w:tabs>
              <w:tab w:val="right" w:leader="dot" w:pos="8306"/>
            </w:tabs>
          </w:pPr>
          <w:r>
            <w:rPr>
              <w:rFonts w:ascii="黑体" w:hAnsi="黑体" w:eastAsia="黑体"/>
              <w:szCs w:val="44"/>
            </w:rPr>
            <w:fldChar w:fldCharType="begin"/>
          </w:r>
          <w:r>
            <w:rPr>
              <w:rFonts w:ascii="黑体" w:hAnsi="黑体" w:eastAsia="黑体"/>
              <w:szCs w:val="44"/>
            </w:rPr>
            <w:instrText xml:space="preserve"> HYPERLINK \l _Toc14335 </w:instrText>
          </w:r>
          <w:r>
            <w:rPr>
              <w:rFonts w:ascii="黑体" w:hAnsi="黑体" w:eastAsia="黑体"/>
              <w:szCs w:val="44"/>
            </w:rPr>
            <w:fldChar w:fldCharType="separate"/>
          </w:r>
          <w:r>
            <w:rPr>
              <w:rFonts w:hint="eastAsia" w:ascii="黑体" w:hAnsi="黑体" w:eastAsia="黑体"/>
              <w:szCs w:val="32"/>
              <w:lang w:val="en-US" w:eastAsia="zh-CN"/>
            </w:rPr>
            <w:t>一、</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_Toc14335 \h </w:instrText>
          </w:r>
          <w:r>
            <w:fldChar w:fldCharType="separate"/>
          </w:r>
          <w:r>
            <w:t>5</w:t>
          </w:r>
          <w:r>
            <w:fldChar w:fldCharType="end"/>
          </w:r>
          <w:r>
            <w:rPr>
              <w:rFonts w:ascii="黑体" w:hAnsi="黑体" w:eastAsia="黑体"/>
              <w:szCs w:val="44"/>
            </w:rPr>
            <w:fldChar w:fldCharType="end"/>
          </w:r>
        </w:p>
        <w:p>
          <w:pPr>
            <w:pStyle w:val="37"/>
            <w:tabs>
              <w:tab w:val="right" w:leader="dot" w:pos="8306"/>
            </w:tabs>
          </w:pPr>
          <w:r>
            <w:rPr>
              <w:rFonts w:ascii="黑体" w:hAnsi="黑体" w:eastAsia="黑体"/>
              <w:szCs w:val="44"/>
            </w:rPr>
            <w:fldChar w:fldCharType="begin"/>
          </w:r>
          <w:r>
            <w:rPr>
              <w:rFonts w:ascii="黑体" w:hAnsi="黑体" w:eastAsia="黑体"/>
              <w:szCs w:val="44"/>
            </w:rPr>
            <w:instrText xml:space="preserve"> HYPERLINK \l _Toc8834 </w:instrText>
          </w:r>
          <w:r>
            <w:rPr>
              <w:rFonts w:ascii="黑体" w:hAnsi="黑体" w:eastAsia="黑体"/>
              <w:szCs w:val="44"/>
            </w:rPr>
            <w:fldChar w:fldCharType="separate"/>
          </w:r>
          <w:r>
            <w:rPr>
              <w:rFonts w:hint="eastAsia" w:ascii="黑体" w:hAnsi="黑体" w:eastAsia="黑体"/>
              <w:szCs w:val="32"/>
              <w:lang w:val="en-US" w:eastAsia="zh-CN"/>
            </w:rPr>
            <w:t>二、</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_Toc8834 \h </w:instrText>
          </w:r>
          <w:r>
            <w:fldChar w:fldCharType="separate"/>
          </w:r>
          <w:r>
            <w:t>5</w:t>
          </w:r>
          <w:r>
            <w:fldChar w:fldCharType="end"/>
          </w:r>
          <w:r>
            <w:rPr>
              <w:rFonts w:ascii="黑体" w:hAnsi="黑体" w:eastAsia="黑体"/>
              <w:szCs w:val="44"/>
            </w:rPr>
            <w:fldChar w:fldCharType="end"/>
          </w:r>
        </w:p>
        <w:p>
          <w:pPr>
            <w:pStyle w:val="37"/>
            <w:tabs>
              <w:tab w:val="right" w:leader="dot" w:pos="8306"/>
            </w:tabs>
          </w:pPr>
          <w:r>
            <w:rPr>
              <w:rFonts w:ascii="黑体" w:hAnsi="黑体" w:eastAsia="黑体"/>
              <w:szCs w:val="44"/>
            </w:rPr>
            <w:fldChar w:fldCharType="begin"/>
          </w:r>
          <w:r>
            <w:rPr>
              <w:rFonts w:ascii="黑体" w:hAnsi="黑体" w:eastAsia="黑体"/>
              <w:szCs w:val="44"/>
            </w:rPr>
            <w:instrText xml:space="preserve"> HYPERLINK \l _Toc12797 </w:instrText>
          </w:r>
          <w:r>
            <w:rPr>
              <w:rFonts w:ascii="黑体" w:hAnsi="黑体" w:eastAsia="黑体"/>
              <w:szCs w:val="44"/>
            </w:rPr>
            <w:fldChar w:fldCharType="separate"/>
          </w:r>
          <w:r>
            <w:rPr>
              <w:rFonts w:hint="eastAsia" w:ascii="黑体" w:hAnsi="黑体" w:eastAsia="黑体"/>
              <w:lang w:val="en-US" w:eastAsia="zh-CN"/>
            </w:rPr>
            <w:t>三、</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_Toc12797 \h </w:instrText>
          </w:r>
          <w:r>
            <w:fldChar w:fldCharType="separate"/>
          </w:r>
          <w:r>
            <w:t>6</w:t>
          </w:r>
          <w:r>
            <w:fldChar w:fldCharType="end"/>
          </w:r>
          <w:r>
            <w:rPr>
              <w:rFonts w:ascii="黑体" w:hAnsi="黑体" w:eastAsia="黑体"/>
              <w:szCs w:val="44"/>
            </w:rPr>
            <w:fldChar w:fldCharType="end"/>
          </w:r>
        </w:p>
        <w:p>
          <w:pPr>
            <w:pStyle w:val="37"/>
            <w:tabs>
              <w:tab w:val="right" w:leader="dot" w:pos="8306"/>
            </w:tabs>
            <w:rPr>
              <w:rFonts w:hint="default" w:ascii="黑体" w:hAnsi="黑体" w:eastAsia="黑体"/>
              <w:szCs w:val="44"/>
              <w:lang w:val="en-US" w:eastAsia="zh-CN"/>
            </w:rPr>
          </w:pPr>
          <w:r>
            <w:rPr>
              <w:rFonts w:hint="eastAsia" w:ascii="黑体" w:hAnsi="黑体" w:eastAsia="黑体"/>
              <w:szCs w:val="44"/>
              <w:lang w:eastAsia="zh-CN"/>
            </w:rPr>
            <w:t>四、</w:t>
          </w:r>
          <w:r>
            <w:rPr>
              <w:rFonts w:hint="eastAsia" w:ascii="黑体" w:hAnsi="黑体" w:eastAsia="黑体"/>
              <w:szCs w:val="32"/>
            </w:rPr>
            <w:t>财</w:t>
          </w:r>
          <w:r>
            <w:rPr>
              <w:rFonts w:hint="eastAsia" w:ascii="黑体" w:hAnsi="黑体" w:eastAsia="黑体"/>
            </w:rPr>
            <w:t>政拨款收入支出决算总体情况说明</w:t>
          </w:r>
          <w:r>
            <w:rPr>
              <w:rFonts w:hint="eastAsia" w:ascii="黑体" w:hAnsi="黑体" w:eastAsia="黑体"/>
              <w:lang w:val="en-US" w:eastAsia="zh-CN"/>
            </w:rPr>
            <w:t>..........................................7</w:t>
          </w:r>
        </w:p>
        <w:p>
          <w:pPr>
            <w:pStyle w:val="37"/>
            <w:tabs>
              <w:tab w:val="right" w:leader="dot" w:pos="8306"/>
            </w:tabs>
          </w:pPr>
          <w:r>
            <w:rPr>
              <w:rFonts w:ascii="黑体" w:hAnsi="黑体" w:eastAsia="黑体"/>
              <w:szCs w:val="44"/>
            </w:rPr>
            <w:fldChar w:fldCharType="begin"/>
          </w:r>
          <w:r>
            <w:rPr>
              <w:rFonts w:ascii="黑体" w:hAnsi="黑体" w:eastAsia="黑体"/>
              <w:szCs w:val="44"/>
            </w:rPr>
            <w:instrText xml:space="preserve"> HYPERLINK \l _Toc10661 </w:instrText>
          </w:r>
          <w:r>
            <w:rPr>
              <w:rFonts w:ascii="黑体" w:hAnsi="黑体" w:eastAsia="黑体"/>
              <w:szCs w:val="44"/>
            </w:rP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_Toc10661 \h </w:instrText>
          </w:r>
          <w:r>
            <w:fldChar w:fldCharType="separate"/>
          </w:r>
          <w:r>
            <w:t>8</w:t>
          </w:r>
          <w:r>
            <w:fldChar w:fldCharType="end"/>
          </w:r>
          <w:r>
            <w:rPr>
              <w:rFonts w:ascii="黑体" w:hAnsi="黑体" w:eastAsia="黑体"/>
              <w:szCs w:val="44"/>
            </w:rPr>
            <w:fldChar w:fldCharType="end"/>
          </w:r>
        </w:p>
        <w:p>
          <w:pPr>
            <w:pStyle w:val="37"/>
            <w:tabs>
              <w:tab w:val="right" w:leader="dot" w:pos="8306"/>
            </w:tabs>
          </w:pPr>
          <w:r>
            <w:rPr>
              <w:rFonts w:ascii="黑体" w:hAnsi="黑体" w:eastAsia="黑体"/>
              <w:szCs w:val="44"/>
            </w:rPr>
            <w:fldChar w:fldCharType="begin"/>
          </w:r>
          <w:r>
            <w:rPr>
              <w:rFonts w:ascii="黑体" w:hAnsi="黑体" w:eastAsia="黑体"/>
              <w:szCs w:val="44"/>
            </w:rPr>
            <w:instrText xml:space="preserve"> HYPERLINK \l _Toc1085 </w:instrText>
          </w:r>
          <w:r>
            <w:rPr>
              <w:rFonts w:ascii="黑体" w:hAnsi="黑体" w:eastAsia="黑体"/>
              <w:szCs w:val="44"/>
            </w:rP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_Toc1085 \h </w:instrText>
          </w:r>
          <w:r>
            <w:fldChar w:fldCharType="separate"/>
          </w:r>
          <w:r>
            <w:t>11</w:t>
          </w:r>
          <w:r>
            <w:fldChar w:fldCharType="end"/>
          </w:r>
          <w:r>
            <w:rPr>
              <w:rFonts w:ascii="黑体" w:hAnsi="黑体" w:eastAsia="黑体"/>
              <w:szCs w:val="44"/>
            </w:rPr>
            <w:fldChar w:fldCharType="end"/>
          </w:r>
        </w:p>
        <w:p>
          <w:pPr>
            <w:pStyle w:val="37"/>
            <w:tabs>
              <w:tab w:val="right" w:leader="dot" w:pos="8306"/>
            </w:tabs>
          </w:pPr>
          <w:r>
            <w:rPr>
              <w:rFonts w:ascii="黑体" w:hAnsi="黑体" w:eastAsia="黑体"/>
              <w:szCs w:val="44"/>
            </w:rPr>
            <w:fldChar w:fldCharType="begin"/>
          </w:r>
          <w:r>
            <w:rPr>
              <w:rFonts w:ascii="黑体" w:hAnsi="黑体" w:eastAsia="黑体"/>
              <w:szCs w:val="44"/>
            </w:rPr>
            <w:instrText xml:space="preserve"> HYPERLINK \l _Toc2276 </w:instrText>
          </w:r>
          <w:r>
            <w:rPr>
              <w:rFonts w:ascii="黑体" w:hAnsi="黑体" w:eastAsia="黑体"/>
              <w:szCs w:val="44"/>
            </w:rP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_Toc2276 \h </w:instrText>
          </w:r>
          <w:r>
            <w:fldChar w:fldCharType="separate"/>
          </w:r>
          <w:r>
            <w:t>11</w:t>
          </w:r>
          <w:r>
            <w:fldChar w:fldCharType="end"/>
          </w:r>
          <w:r>
            <w:rPr>
              <w:rFonts w:ascii="黑体" w:hAnsi="黑体" w:eastAsia="黑体"/>
              <w:szCs w:val="44"/>
            </w:rPr>
            <w:fldChar w:fldCharType="end"/>
          </w:r>
        </w:p>
        <w:p>
          <w:pPr>
            <w:pStyle w:val="37"/>
            <w:tabs>
              <w:tab w:val="right" w:leader="dot" w:pos="8306"/>
            </w:tabs>
          </w:pPr>
          <w:r>
            <w:rPr>
              <w:rFonts w:ascii="黑体" w:hAnsi="黑体" w:eastAsia="黑体"/>
              <w:szCs w:val="44"/>
            </w:rPr>
            <w:fldChar w:fldCharType="begin"/>
          </w:r>
          <w:r>
            <w:rPr>
              <w:rFonts w:ascii="黑体" w:hAnsi="黑体" w:eastAsia="黑体"/>
              <w:szCs w:val="44"/>
            </w:rPr>
            <w:instrText xml:space="preserve"> HYPERLINK \l _Toc4365 </w:instrText>
          </w:r>
          <w:r>
            <w:rPr>
              <w:rFonts w:ascii="黑体" w:hAnsi="黑体" w:eastAsia="黑体"/>
              <w:szCs w:val="44"/>
            </w:rP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_Toc4365 \h </w:instrText>
          </w:r>
          <w:r>
            <w:fldChar w:fldCharType="separate"/>
          </w:r>
          <w:r>
            <w:t>13</w:t>
          </w:r>
          <w:r>
            <w:fldChar w:fldCharType="end"/>
          </w:r>
          <w:r>
            <w:rPr>
              <w:rFonts w:ascii="黑体" w:hAnsi="黑体" w:eastAsia="黑体"/>
              <w:szCs w:val="44"/>
            </w:rPr>
            <w:fldChar w:fldCharType="end"/>
          </w:r>
        </w:p>
        <w:p>
          <w:pPr>
            <w:pStyle w:val="37"/>
            <w:tabs>
              <w:tab w:val="right" w:leader="dot" w:pos="8306"/>
            </w:tabs>
          </w:pPr>
          <w:r>
            <w:rPr>
              <w:rFonts w:ascii="黑体" w:hAnsi="黑体" w:eastAsia="黑体"/>
              <w:szCs w:val="44"/>
            </w:rPr>
            <w:fldChar w:fldCharType="begin"/>
          </w:r>
          <w:r>
            <w:rPr>
              <w:rFonts w:ascii="黑体" w:hAnsi="黑体" w:eastAsia="黑体"/>
              <w:szCs w:val="44"/>
            </w:rPr>
            <w:instrText xml:space="preserve"> HYPERLINK \l _Toc27237 </w:instrText>
          </w:r>
          <w:r>
            <w:rPr>
              <w:rFonts w:ascii="黑体" w:hAnsi="黑体" w:eastAsia="黑体"/>
              <w:szCs w:val="44"/>
            </w:rPr>
            <w:fldChar w:fldCharType="separate"/>
          </w:r>
          <w:r>
            <w:rPr>
              <w:rFonts w:hint="eastAsia" w:ascii="黑体" w:hAnsi="黑体" w:eastAsia="黑体"/>
            </w:rPr>
            <w:t>九、 国有资本经营预算支出决算情况说明</w:t>
          </w:r>
          <w:r>
            <w:tab/>
          </w:r>
          <w:r>
            <w:fldChar w:fldCharType="begin"/>
          </w:r>
          <w:r>
            <w:instrText xml:space="preserve"> PAGEREF _Toc27237 \h </w:instrText>
          </w:r>
          <w:r>
            <w:fldChar w:fldCharType="separate"/>
          </w:r>
          <w:r>
            <w:t>13</w:t>
          </w:r>
          <w:r>
            <w:fldChar w:fldCharType="end"/>
          </w:r>
          <w:r>
            <w:rPr>
              <w:rFonts w:ascii="黑体" w:hAnsi="黑体" w:eastAsia="黑体"/>
              <w:szCs w:val="44"/>
            </w:rPr>
            <w:fldChar w:fldCharType="end"/>
          </w:r>
        </w:p>
        <w:p>
          <w:pPr>
            <w:pStyle w:val="37"/>
            <w:tabs>
              <w:tab w:val="right" w:leader="dot" w:pos="8306"/>
            </w:tabs>
          </w:pPr>
          <w:r>
            <w:rPr>
              <w:rFonts w:ascii="黑体" w:hAnsi="黑体" w:eastAsia="黑体"/>
              <w:szCs w:val="44"/>
            </w:rPr>
            <w:fldChar w:fldCharType="begin"/>
          </w:r>
          <w:r>
            <w:rPr>
              <w:rFonts w:ascii="黑体" w:hAnsi="黑体" w:eastAsia="黑体"/>
              <w:szCs w:val="44"/>
            </w:rPr>
            <w:instrText xml:space="preserve"> HYPERLINK \l _Toc11351 </w:instrText>
          </w:r>
          <w:r>
            <w:rPr>
              <w:rFonts w:ascii="黑体" w:hAnsi="黑体" w:eastAsia="黑体"/>
              <w:szCs w:val="44"/>
            </w:rPr>
            <w:fldChar w:fldCharType="separate"/>
          </w:r>
          <w:r>
            <w:rPr>
              <w:rFonts w:hint="eastAsia" w:ascii="黑体" w:hAnsi="黑体" w:eastAsia="黑体"/>
            </w:rPr>
            <w:t>十、 其他重要事项的情况说明</w:t>
          </w:r>
          <w:r>
            <w:tab/>
          </w:r>
          <w:r>
            <w:fldChar w:fldCharType="begin"/>
          </w:r>
          <w:r>
            <w:instrText xml:space="preserve"> PAGEREF _Toc11351 \h </w:instrText>
          </w:r>
          <w:r>
            <w:fldChar w:fldCharType="separate"/>
          </w:r>
          <w:r>
            <w:t>13</w:t>
          </w:r>
          <w:r>
            <w:fldChar w:fldCharType="end"/>
          </w:r>
          <w:r>
            <w:rPr>
              <w:rFonts w:ascii="黑体" w:hAnsi="黑体" w:eastAsia="黑体"/>
              <w:szCs w:val="44"/>
            </w:rPr>
            <w:fldChar w:fldCharType="end"/>
          </w:r>
        </w:p>
        <w:p>
          <w:pPr>
            <w:pStyle w:val="36"/>
            <w:tabs>
              <w:tab w:val="right" w:leader="dot" w:pos="8306"/>
            </w:tabs>
            <w:rPr>
              <w:b/>
            </w:rPr>
          </w:pPr>
          <w:r>
            <w:rPr>
              <w:rFonts w:ascii="黑体" w:hAnsi="黑体" w:eastAsia="黑体"/>
              <w:b/>
              <w:szCs w:val="44"/>
            </w:rPr>
            <w:fldChar w:fldCharType="begin"/>
          </w:r>
          <w:r>
            <w:rPr>
              <w:rFonts w:ascii="黑体" w:hAnsi="黑体" w:eastAsia="黑体"/>
              <w:b/>
              <w:szCs w:val="44"/>
            </w:rPr>
            <w:instrText xml:space="preserve"> HYPERLINK \l _Toc21060 </w:instrText>
          </w:r>
          <w:r>
            <w:rPr>
              <w:rFonts w:ascii="黑体" w:hAnsi="黑体" w:eastAsia="黑体"/>
              <w:b/>
              <w:szCs w:val="44"/>
            </w:rPr>
            <w:fldChar w:fldCharType="separate"/>
          </w:r>
          <w:r>
            <w:rPr>
              <w:rFonts w:hint="eastAsia" w:ascii="黑体" w:hAnsi="黑体" w:eastAsia="黑体"/>
              <w:b/>
            </w:rPr>
            <w:t xml:space="preserve">第三部分 </w:t>
          </w:r>
          <w:r>
            <w:rPr>
              <w:rFonts w:hint="eastAsia" w:ascii="黑体" w:hAnsi="黑体" w:eastAsia="黑体"/>
              <w:b/>
              <w:szCs w:val="44"/>
            </w:rPr>
            <w:t>名</w:t>
          </w:r>
          <w:r>
            <w:rPr>
              <w:rFonts w:hint="eastAsia" w:ascii="黑体" w:hAnsi="黑体" w:eastAsia="黑体"/>
              <w:b/>
            </w:rPr>
            <w:t>词解释</w:t>
          </w:r>
          <w:r>
            <w:rPr>
              <w:b/>
            </w:rPr>
            <w:tab/>
          </w:r>
          <w:r>
            <w:rPr>
              <w:b/>
            </w:rPr>
            <w:fldChar w:fldCharType="begin"/>
          </w:r>
          <w:r>
            <w:rPr>
              <w:b/>
            </w:rPr>
            <w:instrText xml:space="preserve"> PAGEREF _Toc21060 \h </w:instrText>
          </w:r>
          <w:r>
            <w:rPr>
              <w:b/>
            </w:rPr>
            <w:fldChar w:fldCharType="separate"/>
          </w:r>
          <w:r>
            <w:rPr>
              <w:b/>
            </w:rPr>
            <w:t>15</w:t>
          </w:r>
          <w:r>
            <w:rPr>
              <w:b/>
            </w:rPr>
            <w:fldChar w:fldCharType="end"/>
          </w:r>
          <w:r>
            <w:rPr>
              <w:rFonts w:ascii="黑体" w:hAnsi="黑体" w:eastAsia="黑体"/>
              <w:b/>
              <w:szCs w:val="44"/>
            </w:rPr>
            <w:fldChar w:fldCharType="end"/>
          </w:r>
        </w:p>
        <w:p>
          <w:pPr>
            <w:pStyle w:val="36"/>
            <w:tabs>
              <w:tab w:val="right" w:leader="dot" w:pos="8306"/>
            </w:tabs>
            <w:rPr>
              <w:b/>
            </w:rPr>
          </w:pPr>
          <w:r>
            <w:rPr>
              <w:rFonts w:ascii="黑体" w:hAnsi="黑体" w:eastAsia="黑体"/>
              <w:b/>
              <w:szCs w:val="44"/>
            </w:rPr>
            <w:fldChar w:fldCharType="begin"/>
          </w:r>
          <w:r>
            <w:rPr>
              <w:rFonts w:ascii="黑体" w:hAnsi="黑体" w:eastAsia="黑体"/>
              <w:b/>
              <w:szCs w:val="44"/>
            </w:rPr>
            <w:instrText xml:space="preserve"> HYPERLINK \l _Toc20164 </w:instrText>
          </w:r>
          <w:r>
            <w:rPr>
              <w:rFonts w:ascii="黑体" w:hAnsi="黑体" w:eastAsia="黑体"/>
              <w:b/>
              <w:szCs w:val="44"/>
            </w:rPr>
            <w:fldChar w:fldCharType="separate"/>
          </w:r>
          <w:r>
            <w:rPr>
              <w:rFonts w:hint="eastAsia" w:ascii="黑体" w:hAnsi="黑体" w:eastAsia="黑体"/>
              <w:b/>
              <w:szCs w:val="44"/>
            </w:rPr>
            <w:t>第</w:t>
          </w:r>
          <w:r>
            <w:rPr>
              <w:rFonts w:hint="eastAsia" w:ascii="黑体" w:hAnsi="黑体" w:eastAsia="黑体"/>
              <w:b/>
            </w:rPr>
            <w:t>四部分 附件</w:t>
          </w:r>
          <w:r>
            <w:rPr>
              <w:b/>
            </w:rPr>
            <w:tab/>
          </w:r>
          <w:r>
            <w:rPr>
              <w:b/>
            </w:rPr>
            <w:fldChar w:fldCharType="begin"/>
          </w:r>
          <w:r>
            <w:rPr>
              <w:b/>
            </w:rPr>
            <w:instrText xml:space="preserve"> PAGEREF _Toc20164 \h </w:instrText>
          </w:r>
          <w:r>
            <w:rPr>
              <w:b/>
            </w:rPr>
            <w:fldChar w:fldCharType="separate"/>
          </w:r>
          <w:r>
            <w:rPr>
              <w:b/>
            </w:rPr>
            <w:t>18</w:t>
          </w:r>
          <w:r>
            <w:rPr>
              <w:b/>
            </w:rPr>
            <w:fldChar w:fldCharType="end"/>
          </w:r>
          <w:r>
            <w:rPr>
              <w:rFonts w:ascii="黑体" w:hAnsi="黑体" w:eastAsia="黑体"/>
              <w:b/>
              <w:szCs w:val="44"/>
            </w:rPr>
            <w:fldChar w:fldCharType="end"/>
          </w:r>
        </w:p>
        <w:p>
          <w:pPr>
            <w:pStyle w:val="37"/>
            <w:tabs>
              <w:tab w:val="right" w:leader="dot" w:pos="8306"/>
            </w:tabs>
          </w:pPr>
          <w:r>
            <w:rPr>
              <w:rFonts w:ascii="黑体" w:hAnsi="黑体" w:eastAsia="黑体"/>
              <w:szCs w:val="44"/>
            </w:rPr>
            <w:fldChar w:fldCharType="begin"/>
          </w:r>
          <w:r>
            <w:rPr>
              <w:rFonts w:ascii="黑体" w:hAnsi="黑体" w:eastAsia="黑体"/>
              <w:szCs w:val="44"/>
            </w:rPr>
            <w:instrText xml:space="preserve"> HYPERLINK \l _Toc31902 </w:instrText>
          </w:r>
          <w:r>
            <w:rPr>
              <w:rFonts w:ascii="黑体" w:hAnsi="黑体" w:eastAsia="黑体"/>
              <w:szCs w:val="44"/>
            </w:rPr>
            <w:fldChar w:fldCharType="separate"/>
          </w:r>
          <w:r>
            <w:rPr>
              <w:rFonts w:hint="eastAsia" w:ascii="黑体" w:hAnsi="黑体" w:eastAsia="黑体" w:cs="黑体"/>
              <w:szCs w:val="32"/>
            </w:rPr>
            <w:t>附件1</w:t>
          </w:r>
          <w:r>
            <w:tab/>
          </w:r>
          <w:r>
            <w:fldChar w:fldCharType="begin"/>
          </w:r>
          <w:r>
            <w:instrText xml:space="preserve"> PAGEREF _Toc31902 \h </w:instrText>
          </w:r>
          <w:r>
            <w:fldChar w:fldCharType="separate"/>
          </w:r>
          <w:r>
            <w:t>18</w:t>
          </w:r>
          <w:r>
            <w:fldChar w:fldCharType="end"/>
          </w:r>
          <w:r>
            <w:rPr>
              <w:rFonts w:ascii="黑体" w:hAnsi="黑体" w:eastAsia="黑体"/>
              <w:szCs w:val="44"/>
            </w:rPr>
            <w:fldChar w:fldCharType="end"/>
          </w:r>
        </w:p>
        <w:p>
          <w:pPr>
            <w:pStyle w:val="37"/>
            <w:tabs>
              <w:tab w:val="right" w:leader="dot" w:pos="8306"/>
            </w:tabs>
            <w:ind w:left="0" w:leftChars="0" w:firstLine="400" w:firstLineChars="200"/>
          </w:pPr>
          <w:r>
            <w:rPr>
              <w:rFonts w:ascii="黑体" w:hAnsi="黑体" w:eastAsia="黑体"/>
              <w:szCs w:val="44"/>
            </w:rPr>
            <w:fldChar w:fldCharType="begin"/>
          </w:r>
          <w:r>
            <w:rPr>
              <w:rFonts w:ascii="黑体" w:hAnsi="黑体" w:eastAsia="黑体"/>
              <w:szCs w:val="44"/>
            </w:rPr>
            <w:instrText xml:space="preserve"> HYPERLINK \l _Toc1602 </w:instrText>
          </w:r>
          <w:r>
            <w:rPr>
              <w:rFonts w:ascii="黑体" w:hAnsi="黑体" w:eastAsia="黑体"/>
              <w:szCs w:val="44"/>
            </w:rPr>
            <w:fldChar w:fldCharType="separate"/>
          </w:r>
          <w:r>
            <w:rPr>
              <w:rFonts w:hint="eastAsia" w:ascii="黑体" w:hAnsi="黑体" w:eastAsia="黑体" w:cs="黑体"/>
              <w:szCs w:val="32"/>
              <w:shd w:val="clear" w:color="auto" w:fill="FFFFFF"/>
              <w:lang w:val="zh-CN"/>
            </w:rPr>
            <w:t>附件</w:t>
          </w:r>
          <w:r>
            <w:rPr>
              <w:rFonts w:hint="eastAsia" w:ascii="黑体" w:hAnsi="黑体" w:eastAsia="黑体" w:cs="黑体"/>
              <w:szCs w:val="32"/>
              <w:shd w:val="clear" w:color="auto" w:fill="FFFFFF"/>
            </w:rPr>
            <w:t>2</w:t>
          </w:r>
          <w:r>
            <w:tab/>
          </w:r>
          <w:r>
            <w:fldChar w:fldCharType="begin"/>
          </w:r>
          <w:r>
            <w:instrText xml:space="preserve"> PAGEREF _Toc1602 \h </w:instrText>
          </w:r>
          <w:r>
            <w:fldChar w:fldCharType="separate"/>
          </w:r>
          <w:r>
            <w:t>34</w:t>
          </w:r>
          <w:r>
            <w:fldChar w:fldCharType="end"/>
          </w:r>
          <w:r>
            <w:rPr>
              <w:rFonts w:ascii="黑体" w:hAnsi="黑体" w:eastAsia="黑体"/>
              <w:szCs w:val="44"/>
            </w:rPr>
            <w:fldChar w:fldCharType="end"/>
          </w:r>
        </w:p>
        <w:p>
          <w:pPr>
            <w:pStyle w:val="36"/>
            <w:tabs>
              <w:tab w:val="right" w:leader="dot" w:pos="8306"/>
            </w:tabs>
            <w:rPr>
              <w:b/>
            </w:rPr>
          </w:pPr>
          <w:r>
            <w:rPr>
              <w:rFonts w:ascii="黑体" w:hAnsi="黑体" w:eastAsia="黑体"/>
              <w:b/>
              <w:szCs w:val="44"/>
            </w:rPr>
            <w:fldChar w:fldCharType="begin"/>
          </w:r>
          <w:r>
            <w:rPr>
              <w:rFonts w:ascii="黑体" w:hAnsi="黑体" w:eastAsia="黑体"/>
              <w:b/>
              <w:szCs w:val="44"/>
            </w:rPr>
            <w:instrText xml:space="preserve"> HYPERLINK \l _Toc4103 </w:instrText>
          </w:r>
          <w:r>
            <w:rPr>
              <w:rFonts w:ascii="黑体" w:hAnsi="黑体" w:eastAsia="黑体"/>
              <w:b/>
              <w:szCs w:val="44"/>
            </w:rPr>
            <w:fldChar w:fldCharType="separate"/>
          </w:r>
          <w:r>
            <w:rPr>
              <w:rFonts w:hint="eastAsia" w:ascii="黑体" w:hAnsi="黑体" w:eastAsia="黑体"/>
              <w:b/>
              <w:szCs w:val="44"/>
            </w:rPr>
            <w:t>第</w:t>
          </w:r>
          <w:r>
            <w:rPr>
              <w:rFonts w:hint="eastAsia" w:ascii="黑体" w:hAnsi="黑体" w:eastAsia="黑体"/>
              <w:b/>
            </w:rPr>
            <w:t>五部分 附表</w:t>
          </w:r>
          <w:r>
            <w:rPr>
              <w:b/>
            </w:rPr>
            <w:tab/>
          </w:r>
          <w:r>
            <w:rPr>
              <w:b/>
            </w:rPr>
            <w:fldChar w:fldCharType="begin"/>
          </w:r>
          <w:r>
            <w:rPr>
              <w:b/>
            </w:rPr>
            <w:instrText xml:space="preserve"> PAGEREF _Toc4103 \h </w:instrText>
          </w:r>
          <w:r>
            <w:rPr>
              <w:b/>
            </w:rPr>
            <w:fldChar w:fldCharType="separate"/>
          </w:r>
          <w:r>
            <w:rPr>
              <w:b/>
            </w:rPr>
            <w:t>53</w:t>
          </w:r>
          <w:r>
            <w:rPr>
              <w:b/>
            </w:rPr>
            <w:fldChar w:fldCharType="end"/>
          </w:r>
          <w:r>
            <w:rPr>
              <w:rFonts w:ascii="黑体" w:hAnsi="黑体" w:eastAsia="黑体"/>
              <w:b/>
              <w:szCs w:val="44"/>
            </w:rPr>
            <w:fldChar w:fldCharType="end"/>
          </w:r>
        </w:p>
        <w:p>
          <w:pPr>
            <w:pStyle w:val="37"/>
            <w:tabs>
              <w:tab w:val="right" w:leader="dot" w:pos="8306"/>
            </w:tabs>
          </w:pPr>
          <w:r>
            <w:rPr>
              <w:rFonts w:ascii="黑体" w:hAnsi="黑体" w:eastAsia="黑体"/>
              <w:szCs w:val="44"/>
            </w:rPr>
            <w:fldChar w:fldCharType="begin"/>
          </w:r>
          <w:r>
            <w:rPr>
              <w:rFonts w:ascii="黑体" w:hAnsi="黑体" w:eastAsia="黑体"/>
              <w:szCs w:val="44"/>
            </w:rPr>
            <w:instrText xml:space="preserve"> HYPERLINK \l _Toc1153 </w:instrText>
          </w:r>
          <w:r>
            <w:rPr>
              <w:rFonts w:ascii="黑体" w:hAnsi="黑体" w:eastAsia="黑体"/>
              <w:szCs w:val="44"/>
            </w:rP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_Toc1153 \h </w:instrText>
          </w:r>
          <w:r>
            <w:fldChar w:fldCharType="separate"/>
          </w:r>
          <w:r>
            <w:t>53</w:t>
          </w:r>
          <w:r>
            <w:fldChar w:fldCharType="end"/>
          </w:r>
          <w:r>
            <w:rPr>
              <w:rFonts w:ascii="黑体" w:hAnsi="黑体" w:eastAsia="黑体"/>
              <w:szCs w:val="44"/>
            </w:rPr>
            <w:fldChar w:fldCharType="end"/>
          </w:r>
        </w:p>
        <w:p>
          <w:pPr>
            <w:pStyle w:val="37"/>
            <w:tabs>
              <w:tab w:val="right" w:leader="dot" w:pos="8306"/>
            </w:tabs>
          </w:pPr>
          <w:r>
            <w:rPr>
              <w:rFonts w:ascii="黑体" w:hAnsi="黑体" w:eastAsia="黑体"/>
              <w:szCs w:val="44"/>
            </w:rPr>
            <w:fldChar w:fldCharType="begin"/>
          </w:r>
          <w:r>
            <w:rPr>
              <w:rFonts w:ascii="黑体" w:hAnsi="黑体" w:eastAsia="黑体"/>
              <w:szCs w:val="44"/>
            </w:rPr>
            <w:instrText xml:space="preserve"> HYPERLINK \l _Toc5908 </w:instrText>
          </w:r>
          <w:r>
            <w:rPr>
              <w:rFonts w:ascii="黑体" w:hAnsi="黑体" w:eastAsia="黑体"/>
              <w:szCs w:val="44"/>
            </w:rP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_Toc5908 \h </w:instrText>
          </w:r>
          <w:r>
            <w:fldChar w:fldCharType="separate"/>
          </w:r>
          <w:r>
            <w:t>53</w:t>
          </w:r>
          <w:r>
            <w:fldChar w:fldCharType="end"/>
          </w:r>
          <w:r>
            <w:rPr>
              <w:rFonts w:ascii="黑体" w:hAnsi="黑体" w:eastAsia="黑体"/>
              <w:szCs w:val="44"/>
            </w:rPr>
            <w:fldChar w:fldCharType="end"/>
          </w:r>
        </w:p>
        <w:p>
          <w:pPr>
            <w:pStyle w:val="37"/>
            <w:tabs>
              <w:tab w:val="right" w:leader="dot" w:pos="8306"/>
            </w:tabs>
          </w:pPr>
          <w:r>
            <w:rPr>
              <w:rFonts w:ascii="黑体" w:hAnsi="黑体" w:eastAsia="黑体"/>
              <w:szCs w:val="44"/>
            </w:rPr>
            <w:fldChar w:fldCharType="begin"/>
          </w:r>
          <w:r>
            <w:rPr>
              <w:rFonts w:ascii="黑体" w:hAnsi="黑体" w:eastAsia="黑体"/>
              <w:szCs w:val="44"/>
            </w:rPr>
            <w:instrText xml:space="preserve"> HYPERLINK \l _Toc11334 </w:instrText>
          </w:r>
          <w:r>
            <w:rPr>
              <w:rFonts w:ascii="黑体" w:hAnsi="黑体" w:eastAsia="黑体"/>
              <w:szCs w:val="44"/>
            </w:rP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_Toc11334 \h </w:instrText>
          </w:r>
          <w:r>
            <w:fldChar w:fldCharType="separate"/>
          </w:r>
          <w:r>
            <w:t>53</w:t>
          </w:r>
          <w:r>
            <w:fldChar w:fldCharType="end"/>
          </w:r>
          <w:r>
            <w:rPr>
              <w:rFonts w:ascii="黑体" w:hAnsi="黑体" w:eastAsia="黑体"/>
              <w:szCs w:val="44"/>
            </w:rPr>
            <w:fldChar w:fldCharType="end"/>
          </w:r>
        </w:p>
        <w:p>
          <w:pPr>
            <w:pStyle w:val="37"/>
            <w:tabs>
              <w:tab w:val="right" w:leader="dot" w:pos="8306"/>
            </w:tabs>
          </w:pPr>
          <w:r>
            <w:rPr>
              <w:rFonts w:ascii="黑体" w:hAnsi="黑体" w:eastAsia="黑体"/>
              <w:szCs w:val="44"/>
            </w:rPr>
            <w:fldChar w:fldCharType="begin"/>
          </w:r>
          <w:r>
            <w:rPr>
              <w:rFonts w:ascii="黑体" w:hAnsi="黑体" w:eastAsia="黑体"/>
              <w:szCs w:val="44"/>
            </w:rPr>
            <w:instrText xml:space="preserve"> HYPERLINK \l _Toc28454 </w:instrText>
          </w:r>
          <w:r>
            <w:rPr>
              <w:rFonts w:ascii="黑体" w:hAnsi="黑体" w:eastAsia="黑体"/>
              <w:szCs w:val="44"/>
            </w:rP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_Toc28454 \h </w:instrText>
          </w:r>
          <w:r>
            <w:fldChar w:fldCharType="separate"/>
          </w:r>
          <w:r>
            <w:t>53</w:t>
          </w:r>
          <w:r>
            <w:fldChar w:fldCharType="end"/>
          </w:r>
          <w:r>
            <w:rPr>
              <w:rFonts w:ascii="黑体" w:hAnsi="黑体" w:eastAsia="黑体"/>
              <w:szCs w:val="44"/>
            </w:rPr>
            <w:fldChar w:fldCharType="end"/>
          </w:r>
        </w:p>
        <w:p>
          <w:pPr>
            <w:pStyle w:val="37"/>
            <w:tabs>
              <w:tab w:val="right" w:leader="dot" w:pos="8306"/>
            </w:tabs>
          </w:pPr>
          <w:r>
            <w:rPr>
              <w:rFonts w:ascii="黑体" w:hAnsi="黑体" w:eastAsia="黑体"/>
              <w:szCs w:val="44"/>
            </w:rPr>
            <w:fldChar w:fldCharType="begin"/>
          </w:r>
          <w:r>
            <w:rPr>
              <w:rFonts w:ascii="黑体" w:hAnsi="黑体" w:eastAsia="黑体"/>
              <w:szCs w:val="44"/>
            </w:rPr>
            <w:instrText xml:space="preserve"> HYPERLINK \l _Toc9106 </w:instrText>
          </w:r>
          <w:r>
            <w:rPr>
              <w:rFonts w:ascii="黑体" w:hAnsi="黑体" w:eastAsia="黑体"/>
              <w:szCs w:val="44"/>
            </w:rP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_Toc9106 \h </w:instrText>
          </w:r>
          <w:r>
            <w:fldChar w:fldCharType="separate"/>
          </w:r>
          <w:r>
            <w:t>53</w:t>
          </w:r>
          <w:r>
            <w:fldChar w:fldCharType="end"/>
          </w:r>
          <w:r>
            <w:rPr>
              <w:rFonts w:ascii="黑体" w:hAnsi="黑体" w:eastAsia="黑体"/>
              <w:szCs w:val="44"/>
            </w:rPr>
            <w:fldChar w:fldCharType="end"/>
          </w:r>
        </w:p>
        <w:p>
          <w:pPr>
            <w:pStyle w:val="37"/>
            <w:tabs>
              <w:tab w:val="right" w:leader="dot" w:pos="8306"/>
            </w:tabs>
          </w:pPr>
          <w:r>
            <w:rPr>
              <w:rFonts w:ascii="黑体" w:hAnsi="黑体" w:eastAsia="黑体"/>
              <w:szCs w:val="44"/>
            </w:rPr>
            <w:fldChar w:fldCharType="begin"/>
          </w:r>
          <w:r>
            <w:rPr>
              <w:rFonts w:ascii="黑体" w:hAnsi="黑体" w:eastAsia="黑体"/>
              <w:szCs w:val="44"/>
            </w:rPr>
            <w:instrText xml:space="preserve"> HYPERLINK \l _Toc16854 </w:instrText>
          </w:r>
          <w:r>
            <w:rPr>
              <w:rFonts w:ascii="黑体" w:hAnsi="黑体" w:eastAsia="黑体"/>
              <w:szCs w:val="44"/>
            </w:rP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_Toc16854 \h </w:instrText>
          </w:r>
          <w:r>
            <w:fldChar w:fldCharType="separate"/>
          </w:r>
          <w:r>
            <w:t>53</w:t>
          </w:r>
          <w:r>
            <w:fldChar w:fldCharType="end"/>
          </w:r>
          <w:r>
            <w:rPr>
              <w:rFonts w:ascii="黑体" w:hAnsi="黑体" w:eastAsia="黑体"/>
              <w:szCs w:val="44"/>
            </w:rPr>
            <w:fldChar w:fldCharType="end"/>
          </w:r>
        </w:p>
        <w:p>
          <w:pPr>
            <w:pStyle w:val="37"/>
            <w:tabs>
              <w:tab w:val="right" w:leader="dot" w:pos="8306"/>
            </w:tabs>
          </w:pPr>
          <w:r>
            <w:rPr>
              <w:rFonts w:ascii="黑体" w:hAnsi="黑体" w:eastAsia="黑体"/>
              <w:szCs w:val="44"/>
            </w:rPr>
            <w:fldChar w:fldCharType="begin"/>
          </w:r>
          <w:r>
            <w:rPr>
              <w:rFonts w:ascii="黑体" w:hAnsi="黑体" w:eastAsia="黑体"/>
              <w:szCs w:val="44"/>
            </w:rPr>
            <w:instrText xml:space="preserve"> HYPERLINK \l _Toc23647 </w:instrText>
          </w:r>
          <w:r>
            <w:rPr>
              <w:rFonts w:ascii="黑体" w:hAnsi="黑体" w:eastAsia="黑体"/>
              <w:szCs w:val="44"/>
            </w:rP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_Toc23647 \h </w:instrText>
          </w:r>
          <w:r>
            <w:fldChar w:fldCharType="separate"/>
          </w:r>
          <w:r>
            <w:t>53</w:t>
          </w:r>
          <w:r>
            <w:fldChar w:fldCharType="end"/>
          </w:r>
          <w:r>
            <w:rPr>
              <w:rFonts w:ascii="黑体" w:hAnsi="黑体" w:eastAsia="黑体"/>
              <w:szCs w:val="44"/>
            </w:rPr>
            <w:fldChar w:fldCharType="end"/>
          </w:r>
        </w:p>
        <w:p>
          <w:pPr>
            <w:pStyle w:val="37"/>
            <w:tabs>
              <w:tab w:val="right" w:leader="dot" w:pos="8306"/>
            </w:tabs>
          </w:pPr>
          <w:r>
            <w:rPr>
              <w:rFonts w:ascii="黑体" w:hAnsi="黑体" w:eastAsia="黑体"/>
              <w:szCs w:val="44"/>
            </w:rPr>
            <w:fldChar w:fldCharType="begin"/>
          </w:r>
          <w:r>
            <w:rPr>
              <w:rFonts w:ascii="黑体" w:hAnsi="黑体" w:eastAsia="黑体"/>
              <w:szCs w:val="44"/>
            </w:rPr>
            <w:instrText xml:space="preserve"> HYPERLINK \l _Toc29943 </w:instrText>
          </w:r>
          <w:r>
            <w:rPr>
              <w:rFonts w:ascii="黑体" w:hAnsi="黑体" w:eastAsia="黑体"/>
              <w:szCs w:val="44"/>
            </w:rP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_Toc29943 \h </w:instrText>
          </w:r>
          <w:r>
            <w:fldChar w:fldCharType="separate"/>
          </w:r>
          <w:r>
            <w:t>53</w:t>
          </w:r>
          <w:r>
            <w:fldChar w:fldCharType="end"/>
          </w:r>
          <w:r>
            <w:rPr>
              <w:rFonts w:ascii="黑体" w:hAnsi="黑体" w:eastAsia="黑体"/>
              <w:szCs w:val="44"/>
            </w:rPr>
            <w:fldChar w:fldCharType="end"/>
          </w:r>
        </w:p>
        <w:p>
          <w:pPr>
            <w:pStyle w:val="37"/>
            <w:tabs>
              <w:tab w:val="right" w:leader="dot" w:pos="8306"/>
            </w:tabs>
          </w:pPr>
          <w:r>
            <w:rPr>
              <w:rFonts w:ascii="黑体" w:hAnsi="黑体" w:eastAsia="黑体"/>
              <w:szCs w:val="44"/>
            </w:rPr>
            <w:fldChar w:fldCharType="begin"/>
          </w:r>
          <w:r>
            <w:rPr>
              <w:rFonts w:ascii="黑体" w:hAnsi="黑体" w:eastAsia="黑体"/>
              <w:szCs w:val="44"/>
            </w:rPr>
            <w:instrText xml:space="preserve"> HYPERLINK \l _Toc23044 </w:instrText>
          </w:r>
          <w:r>
            <w:rPr>
              <w:rFonts w:ascii="黑体" w:hAnsi="黑体" w:eastAsia="黑体"/>
              <w:szCs w:val="44"/>
            </w:rP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_Toc23044 \h </w:instrText>
          </w:r>
          <w:r>
            <w:fldChar w:fldCharType="separate"/>
          </w:r>
          <w:r>
            <w:t>53</w:t>
          </w:r>
          <w:r>
            <w:fldChar w:fldCharType="end"/>
          </w:r>
          <w:r>
            <w:rPr>
              <w:rFonts w:ascii="黑体" w:hAnsi="黑体" w:eastAsia="黑体"/>
              <w:szCs w:val="44"/>
            </w:rPr>
            <w:fldChar w:fldCharType="end"/>
          </w:r>
        </w:p>
        <w:p>
          <w:pPr>
            <w:pStyle w:val="37"/>
            <w:tabs>
              <w:tab w:val="right" w:leader="dot" w:pos="8306"/>
            </w:tabs>
          </w:pPr>
          <w:r>
            <w:rPr>
              <w:rFonts w:ascii="黑体" w:hAnsi="黑体" w:eastAsia="黑体"/>
              <w:szCs w:val="44"/>
            </w:rPr>
            <w:fldChar w:fldCharType="begin"/>
          </w:r>
          <w:r>
            <w:rPr>
              <w:rFonts w:ascii="黑体" w:hAnsi="黑体" w:eastAsia="黑体"/>
              <w:szCs w:val="44"/>
            </w:rPr>
            <w:instrText xml:space="preserve"> HYPERLINK \l _Toc10249 </w:instrText>
          </w:r>
          <w:r>
            <w:rPr>
              <w:rFonts w:ascii="黑体" w:hAnsi="黑体" w:eastAsia="黑体"/>
              <w:szCs w:val="44"/>
            </w:rP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_Toc10249 \h </w:instrText>
          </w:r>
          <w:r>
            <w:fldChar w:fldCharType="separate"/>
          </w:r>
          <w:r>
            <w:t>53</w:t>
          </w:r>
          <w:r>
            <w:fldChar w:fldCharType="end"/>
          </w:r>
          <w:r>
            <w:rPr>
              <w:rFonts w:ascii="黑体" w:hAnsi="黑体" w:eastAsia="黑体"/>
              <w:szCs w:val="44"/>
            </w:rPr>
            <w:fldChar w:fldCharType="end"/>
          </w:r>
        </w:p>
        <w:p>
          <w:pPr>
            <w:pStyle w:val="37"/>
            <w:tabs>
              <w:tab w:val="right" w:leader="dot" w:pos="8306"/>
            </w:tabs>
          </w:pPr>
          <w:r>
            <w:rPr>
              <w:rFonts w:ascii="黑体" w:hAnsi="黑体" w:eastAsia="黑体"/>
              <w:szCs w:val="44"/>
            </w:rPr>
            <w:fldChar w:fldCharType="begin"/>
          </w:r>
          <w:r>
            <w:rPr>
              <w:rFonts w:ascii="黑体" w:hAnsi="黑体" w:eastAsia="黑体"/>
              <w:szCs w:val="44"/>
            </w:rPr>
            <w:instrText xml:space="preserve"> HYPERLINK \l _Toc26983 </w:instrText>
          </w:r>
          <w:r>
            <w:rPr>
              <w:rFonts w:ascii="黑体" w:hAnsi="黑体" w:eastAsia="黑体"/>
              <w:szCs w:val="44"/>
            </w:rP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fldChar w:fldCharType="begin"/>
          </w:r>
          <w:r>
            <w:instrText xml:space="preserve"> PAGEREF _Toc26983 \h </w:instrText>
          </w:r>
          <w:r>
            <w:fldChar w:fldCharType="separate"/>
          </w:r>
          <w:r>
            <w:t>53</w:t>
          </w:r>
          <w:r>
            <w:fldChar w:fldCharType="end"/>
          </w:r>
          <w:r>
            <w:rPr>
              <w:rFonts w:ascii="黑体" w:hAnsi="黑体" w:eastAsia="黑体"/>
              <w:szCs w:val="44"/>
            </w:rPr>
            <w:fldChar w:fldCharType="end"/>
          </w:r>
        </w:p>
        <w:p>
          <w:pPr>
            <w:pStyle w:val="37"/>
            <w:tabs>
              <w:tab w:val="right" w:leader="dot" w:pos="8306"/>
            </w:tabs>
          </w:pPr>
          <w:r>
            <w:rPr>
              <w:rFonts w:ascii="黑体" w:hAnsi="黑体" w:eastAsia="黑体"/>
              <w:szCs w:val="44"/>
            </w:rPr>
            <w:fldChar w:fldCharType="begin"/>
          </w:r>
          <w:r>
            <w:rPr>
              <w:rFonts w:ascii="黑体" w:hAnsi="黑体" w:eastAsia="黑体"/>
              <w:szCs w:val="44"/>
            </w:rPr>
            <w:instrText xml:space="preserve"> HYPERLINK \l _Toc31291 </w:instrText>
          </w:r>
          <w:r>
            <w:rPr>
              <w:rFonts w:ascii="黑体" w:hAnsi="黑体" w:eastAsia="黑体"/>
              <w:szCs w:val="44"/>
            </w:rPr>
            <w:fldChar w:fldCharType="separate"/>
          </w:r>
          <w:r>
            <w:rPr>
              <w:rFonts w:hint="eastAsia" w:ascii="仿宋" w:hAnsi="仿宋" w:eastAsia="仿宋"/>
              <w:bCs w:val="0"/>
            </w:rPr>
            <w:t>十二、国有资本经营预算财政拨款支出决算表</w:t>
          </w:r>
          <w:r>
            <w:tab/>
          </w:r>
          <w:r>
            <w:fldChar w:fldCharType="begin"/>
          </w:r>
          <w:r>
            <w:instrText xml:space="preserve"> PAGEREF _Toc31291 \h </w:instrText>
          </w:r>
          <w:r>
            <w:fldChar w:fldCharType="separate"/>
          </w:r>
          <w:r>
            <w:t>53</w:t>
          </w:r>
          <w:r>
            <w:fldChar w:fldCharType="end"/>
          </w:r>
          <w:r>
            <w:rPr>
              <w:rFonts w:ascii="黑体" w:hAnsi="黑体" w:eastAsia="黑体"/>
              <w:szCs w:val="44"/>
            </w:rPr>
            <w:fldChar w:fldCharType="end"/>
          </w:r>
        </w:p>
        <w:p>
          <w:pPr>
            <w:pStyle w:val="37"/>
            <w:tabs>
              <w:tab w:val="right" w:leader="dot" w:pos="8306"/>
            </w:tabs>
          </w:pPr>
          <w:r>
            <w:rPr>
              <w:rFonts w:ascii="黑体" w:hAnsi="黑体" w:eastAsia="黑体"/>
              <w:szCs w:val="44"/>
            </w:rPr>
            <w:fldChar w:fldCharType="begin"/>
          </w:r>
          <w:r>
            <w:rPr>
              <w:rFonts w:ascii="黑体" w:hAnsi="黑体" w:eastAsia="黑体"/>
              <w:szCs w:val="44"/>
            </w:rPr>
            <w:instrText xml:space="preserve"> HYPERLINK \l _Toc874 </w:instrText>
          </w:r>
          <w:r>
            <w:rPr>
              <w:rFonts w:ascii="黑体" w:hAnsi="黑体" w:eastAsia="黑体"/>
              <w:szCs w:val="44"/>
            </w:rPr>
            <w:fldChar w:fldCharType="separate"/>
          </w:r>
          <w:r>
            <w:rPr>
              <w:rFonts w:hint="eastAsia" w:ascii="仿宋" w:hAnsi="仿宋" w:eastAsia="仿宋"/>
              <w:bCs w:val="0"/>
            </w:rPr>
            <w:t>十三、财政拨款“三公”经费支出决算表</w:t>
          </w:r>
          <w:r>
            <w:tab/>
          </w:r>
          <w:r>
            <w:fldChar w:fldCharType="begin"/>
          </w:r>
          <w:r>
            <w:instrText xml:space="preserve"> PAGEREF _Toc874 \h </w:instrText>
          </w:r>
          <w:r>
            <w:fldChar w:fldCharType="separate"/>
          </w:r>
          <w:r>
            <w:t>53</w:t>
          </w:r>
          <w:r>
            <w:fldChar w:fldCharType="end"/>
          </w:r>
          <w:r>
            <w:rPr>
              <w:rFonts w:ascii="黑体" w:hAnsi="黑体" w:eastAsia="黑体"/>
              <w:szCs w:val="44"/>
            </w:rPr>
            <w:fldChar w:fldCharType="end"/>
          </w:r>
        </w:p>
        <w:p>
          <w:pPr>
            <w:jc w:val="center"/>
            <w:rPr>
              <w:rFonts w:ascii="黑体" w:hAnsi="黑体" w:eastAsia="黑体"/>
              <w:sz w:val="44"/>
              <w:szCs w:val="44"/>
            </w:rPr>
          </w:pPr>
          <w:r>
            <w:rPr>
              <w:rFonts w:ascii="黑体" w:hAnsi="黑体" w:eastAsia="黑体"/>
              <w:b/>
              <w:szCs w:val="44"/>
            </w:rPr>
            <w:fldChar w:fldCharType="end"/>
          </w:r>
        </w:p>
      </w:sdtContent>
    </w:sdt>
    <w:p>
      <w:pPr>
        <w:jc w:val="center"/>
        <w:rPr>
          <w:rFonts w:ascii="黑体" w:hAnsi="黑体" w:eastAsia="黑体"/>
          <w:sz w:val="44"/>
          <w:szCs w:val="44"/>
        </w:rPr>
      </w:pPr>
    </w:p>
    <w:p>
      <w:pPr>
        <w:rPr>
          <w:rFonts w:hint="eastAsia" w:ascii="黑体" w:hAnsi="黑体" w:eastAsia="黑体"/>
          <w:sz w:val="44"/>
          <w:szCs w:val="44"/>
        </w:rPr>
      </w:pPr>
      <w:r>
        <w:rPr>
          <w:rFonts w:hint="eastAsia" w:ascii="黑体" w:hAnsi="黑体" w:eastAsia="黑体"/>
          <w:sz w:val="44"/>
          <w:szCs w:val="44"/>
        </w:rPr>
        <w:br w:type="page"/>
      </w:r>
    </w:p>
    <w:p>
      <w:pPr>
        <w:jc w:val="center"/>
        <w:outlineLvl w:val="0"/>
        <w:rPr>
          <w:rStyle w:val="28"/>
          <w:rFonts w:ascii="黑体" w:hAnsi="黑体" w:eastAsia="黑体"/>
        </w:rPr>
      </w:pPr>
      <w:bookmarkStart w:id="21" w:name="_Toc23286"/>
      <w:r>
        <w:rPr>
          <w:rFonts w:hint="eastAsia" w:ascii="黑体" w:hAnsi="黑体" w:eastAsia="黑体"/>
          <w:sz w:val="44"/>
          <w:szCs w:val="44"/>
        </w:rPr>
        <w:t xml:space="preserve">第一部分 </w:t>
      </w:r>
      <w:r>
        <w:rPr>
          <w:rStyle w:val="28"/>
          <w:rFonts w:hint="eastAsia" w:ascii="黑体" w:hAnsi="黑体" w:eastAsia="黑体"/>
        </w:rPr>
        <w:t>部门概况</w:t>
      </w:r>
      <w:bookmarkEnd w:id="19"/>
      <w:bookmarkEnd w:id="20"/>
      <w:bookmarkEnd w:id="21"/>
    </w:p>
    <w:p>
      <w:pPr>
        <w:rPr>
          <w:rFonts w:ascii="仿宋" w:hAnsi="仿宋" w:eastAsia="仿宋" w:cs="仿宋"/>
          <w:b/>
          <w:bCs/>
        </w:rPr>
      </w:pPr>
    </w:p>
    <w:p>
      <w:pPr>
        <w:pageBreakBefore w:val="0"/>
        <w:kinsoku/>
        <w:wordWrap/>
        <w:overflowPunct/>
        <w:topLinePunct w:val="0"/>
        <w:autoSpaceDE/>
        <w:autoSpaceDN/>
        <w:bidi w:val="0"/>
        <w:adjustRightInd/>
        <w:snapToGrid/>
        <w:spacing w:line="560" w:lineRule="exact"/>
        <w:ind w:left="0" w:firstLine="643" w:firstLineChars="200"/>
        <w:textAlignment w:val="auto"/>
        <w:outlineLvl w:val="1"/>
        <w:rPr>
          <w:rFonts w:hint="eastAsia" w:ascii="黑体" w:hAnsi="黑体" w:eastAsia="黑体" w:cs="仿宋"/>
          <w:b/>
          <w:bCs/>
          <w:sz w:val="32"/>
          <w:szCs w:val="32"/>
        </w:rPr>
      </w:pPr>
      <w:bookmarkStart w:id="22" w:name="_Toc31228"/>
      <w:r>
        <w:rPr>
          <w:rFonts w:hint="eastAsia" w:ascii="黑体" w:hAnsi="黑体" w:eastAsia="黑体" w:cs="仿宋"/>
          <w:b/>
          <w:bCs/>
          <w:sz w:val="32"/>
          <w:szCs w:val="32"/>
        </w:rPr>
        <w:t>一.部门职责</w:t>
      </w:r>
      <w:bookmarkEnd w:id="22"/>
    </w:p>
    <w:p>
      <w:pPr>
        <w:pageBreakBefore w:val="0"/>
        <w:kinsoku/>
        <w:wordWrap/>
        <w:overflowPunct/>
        <w:topLinePunct w:val="0"/>
        <w:autoSpaceDE/>
        <w:autoSpaceDN/>
        <w:bidi w:val="0"/>
        <w:adjustRightInd/>
        <w:snapToGrid/>
        <w:spacing w:line="560" w:lineRule="exact"/>
        <w:ind w:left="0" w:firstLine="643" w:firstLineChars="200"/>
        <w:textAlignment w:val="auto"/>
        <w:rPr>
          <w:rFonts w:ascii="仿宋" w:hAnsi="仿宋" w:eastAsia="仿宋" w:cs="仿宋"/>
          <w:sz w:val="32"/>
          <w:szCs w:val="32"/>
        </w:rPr>
      </w:pPr>
      <w:r>
        <w:rPr>
          <w:rFonts w:hint="eastAsia" w:ascii="仿宋" w:hAnsi="仿宋" w:eastAsia="仿宋" w:cs="仿宋"/>
          <w:b/>
          <w:bCs/>
          <w:sz w:val="32"/>
          <w:szCs w:val="32"/>
        </w:rPr>
        <w:t>1.</w:t>
      </w:r>
      <w:r>
        <w:rPr>
          <w:rFonts w:hint="eastAsia" w:ascii="仿宋" w:hAnsi="仿宋" w:eastAsia="仿宋" w:cs="仿宋"/>
          <w:sz w:val="32"/>
          <w:szCs w:val="32"/>
        </w:rPr>
        <w:t>贯彻执行国家、省、市有关机关事务工作的方针政策、法规、规章。</w:t>
      </w:r>
    </w:p>
    <w:p>
      <w:pPr>
        <w:pageBreakBefore w:val="0"/>
        <w:kinsoku/>
        <w:wordWrap/>
        <w:overflowPunct/>
        <w:topLinePunct w:val="0"/>
        <w:autoSpaceDE/>
        <w:autoSpaceDN/>
        <w:bidi w:val="0"/>
        <w:adjustRightInd/>
        <w:snapToGrid/>
        <w:spacing w:line="560" w:lineRule="exact"/>
        <w:ind w:left="0" w:firstLine="643" w:firstLineChars="200"/>
        <w:textAlignment w:val="auto"/>
        <w:rPr>
          <w:rFonts w:ascii="仿宋" w:hAnsi="仿宋" w:eastAsia="仿宋" w:cs="仿宋"/>
          <w:sz w:val="32"/>
          <w:szCs w:val="32"/>
        </w:rPr>
      </w:pPr>
      <w:r>
        <w:rPr>
          <w:rFonts w:hint="eastAsia" w:ascii="仿宋" w:hAnsi="仿宋" w:eastAsia="仿宋" w:cs="仿宋"/>
          <w:b/>
          <w:bCs/>
          <w:sz w:val="32"/>
          <w:szCs w:val="32"/>
        </w:rPr>
        <w:t>2.</w:t>
      </w:r>
      <w:r>
        <w:rPr>
          <w:rFonts w:hint="eastAsia" w:ascii="仿宋" w:hAnsi="仿宋" w:eastAsia="仿宋" w:cs="仿宋"/>
          <w:sz w:val="32"/>
          <w:szCs w:val="32"/>
        </w:rPr>
        <w:t>参与拟订全区机关事务工作的规划和规章制度并协助组织实施。</w:t>
      </w:r>
    </w:p>
    <w:p>
      <w:pPr>
        <w:pageBreakBefore w:val="0"/>
        <w:kinsoku/>
        <w:wordWrap/>
        <w:overflowPunct/>
        <w:topLinePunct w:val="0"/>
        <w:autoSpaceDE/>
        <w:autoSpaceDN/>
        <w:bidi w:val="0"/>
        <w:adjustRightInd/>
        <w:snapToGrid/>
        <w:spacing w:line="560" w:lineRule="exact"/>
        <w:ind w:left="0" w:firstLine="643" w:firstLineChars="200"/>
        <w:textAlignment w:val="auto"/>
        <w:rPr>
          <w:rFonts w:ascii="仿宋" w:hAnsi="仿宋" w:eastAsia="仿宋" w:cs="仿宋"/>
          <w:sz w:val="32"/>
          <w:szCs w:val="32"/>
        </w:rPr>
      </w:pPr>
      <w:r>
        <w:rPr>
          <w:rFonts w:hint="eastAsia" w:ascii="仿宋" w:hAnsi="仿宋" w:eastAsia="仿宋" w:cs="仿宋"/>
          <w:b/>
          <w:bCs/>
          <w:sz w:val="32"/>
          <w:szCs w:val="32"/>
        </w:rPr>
        <w:t>3.</w:t>
      </w:r>
      <w:r>
        <w:rPr>
          <w:rFonts w:hint="eastAsia" w:ascii="仿宋" w:hAnsi="仿宋" w:eastAsia="仿宋" w:cs="仿宋"/>
          <w:sz w:val="32"/>
          <w:szCs w:val="32"/>
        </w:rPr>
        <w:t>参与拟订全区行政事业单位办公用房管理实施细则并协助组织实施，协助区政府办公室落实全区行政事业单位办公用房管理相关服务工作。</w:t>
      </w:r>
    </w:p>
    <w:p>
      <w:pPr>
        <w:pageBreakBefore w:val="0"/>
        <w:kinsoku/>
        <w:wordWrap/>
        <w:overflowPunct/>
        <w:topLinePunct w:val="0"/>
        <w:autoSpaceDE/>
        <w:autoSpaceDN/>
        <w:bidi w:val="0"/>
        <w:adjustRightInd/>
        <w:snapToGrid/>
        <w:spacing w:line="560" w:lineRule="exact"/>
        <w:ind w:left="0" w:firstLine="643" w:firstLineChars="200"/>
        <w:textAlignment w:val="auto"/>
        <w:rPr>
          <w:rFonts w:ascii="仿宋" w:hAnsi="仿宋" w:eastAsia="仿宋" w:cs="仿宋"/>
          <w:sz w:val="32"/>
          <w:szCs w:val="32"/>
        </w:rPr>
      </w:pPr>
      <w:r>
        <w:rPr>
          <w:rFonts w:hint="eastAsia" w:ascii="仿宋" w:hAnsi="仿宋" w:eastAsia="仿宋" w:cs="仿宋"/>
          <w:b/>
          <w:bCs/>
          <w:sz w:val="32"/>
          <w:szCs w:val="32"/>
        </w:rPr>
        <w:t>4.</w:t>
      </w:r>
      <w:r>
        <w:rPr>
          <w:rFonts w:hint="eastAsia" w:ascii="仿宋" w:hAnsi="仿宋" w:eastAsia="仿宋" w:cs="仿宋"/>
          <w:sz w:val="32"/>
          <w:szCs w:val="32"/>
        </w:rPr>
        <w:t>参与拟订全区行政事业单位车辆管理办法并协助组织实施，协助区政府办公室落实全区行政事业单位公务用车管理相关服务工作。</w:t>
      </w:r>
    </w:p>
    <w:p>
      <w:pPr>
        <w:pageBreakBefore w:val="0"/>
        <w:kinsoku/>
        <w:wordWrap/>
        <w:overflowPunct/>
        <w:topLinePunct w:val="0"/>
        <w:autoSpaceDE/>
        <w:autoSpaceDN/>
        <w:bidi w:val="0"/>
        <w:adjustRightInd/>
        <w:snapToGrid/>
        <w:spacing w:line="560" w:lineRule="exact"/>
        <w:ind w:left="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5.</w:t>
      </w:r>
      <w:r>
        <w:rPr>
          <w:rFonts w:hint="eastAsia" w:ascii="仿宋" w:hAnsi="仿宋" w:eastAsia="仿宋" w:cs="仿宋"/>
          <w:sz w:val="32"/>
          <w:szCs w:val="32"/>
        </w:rPr>
        <w:t>参与拟订全区公共机构节能规划、改造计划、规章制度并协助组织实施；协助区政府办公室推进、指导、协调、监督全区公共机构节能相关服务工作。</w:t>
      </w:r>
      <w:bookmarkStart w:id="23" w:name="_Toc143818186"/>
    </w:p>
    <w:p>
      <w:pPr>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负责集中办公区公共区域、共用设施（含给排水、电力系统、通讯网络、消防、电梯等）和和谐广场、柔刚商务中心的运行管理工作、维修改造、卫生保洁、绿化美化、机关秩序维护和安全保卫等相关服务工作。</w:t>
      </w:r>
      <w:bookmarkEnd w:id="23"/>
      <w:bookmarkStart w:id="24" w:name="_Toc143818187"/>
      <w:bookmarkStart w:id="25" w:name="_Toc15377200"/>
      <w:bookmarkStart w:id="26" w:name="_Toc15396601"/>
    </w:p>
    <w:p>
      <w:pPr>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7.参与拟订全区公务接待管理办法及规章制度；负责区委、区政府大型会务服务工作，统筹指导全区公务服务工作。</w:t>
      </w:r>
      <w:bookmarkEnd w:id="24"/>
      <w:bookmarkStart w:id="27" w:name="_Toc143818188"/>
    </w:p>
    <w:p>
      <w:pPr>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8.负责政府机关食堂运营并推进后勤服务市场化建设等工作；指导全区行政事业单位后勤服务工作。</w:t>
      </w:r>
      <w:bookmarkEnd w:id="27"/>
      <w:bookmarkStart w:id="28" w:name="_Toc143818189"/>
    </w:p>
    <w:p>
      <w:pPr>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9.负责职责范围内的安全生产、职业健康、应急管理、精神文明建设和生态环境保护等工作。</w:t>
      </w:r>
      <w:bookmarkEnd w:id="28"/>
    </w:p>
    <w:p>
      <w:pPr>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bookmarkStart w:id="29" w:name="_Toc143818190"/>
      <w:r>
        <w:rPr>
          <w:rFonts w:hint="eastAsia" w:ascii="仿宋" w:hAnsi="仿宋" w:eastAsia="仿宋" w:cs="仿宋"/>
          <w:sz w:val="32"/>
          <w:szCs w:val="32"/>
        </w:rPr>
        <w:t>10.完成区委、区政府交办的其他任务。</w:t>
      </w:r>
      <w:bookmarkEnd w:id="29"/>
    </w:p>
    <w:p>
      <w:pPr>
        <w:pStyle w:val="5"/>
        <w:pageBreakBefore w:val="0"/>
        <w:kinsoku/>
        <w:wordWrap/>
        <w:overflowPunct/>
        <w:topLinePunct w:val="0"/>
        <w:autoSpaceDE/>
        <w:autoSpaceDN/>
        <w:bidi w:val="0"/>
        <w:adjustRightInd/>
        <w:snapToGrid/>
        <w:spacing w:before="0" w:after="0" w:line="560" w:lineRule="exact"/>
        <w:ind w:left="0" w:firstLine="640" w:firstLineChars="200"/>
        <w:textAlignment w:val="auto"/>
        <w:rPr>
          <w:rStyle w:val="29"/>
          <w:b w:val="0"/>
          <w:bCs w:val="0"/>
        </w:rPr>
      </w:pPr>
      <w:bookmarkStart w:id="30" w:name="_Toc30826"/>
      <w:r>
        <w:rPr>
          <w:rFonts w:hint="eastAsia" w:ascii="黑体" w:eastAsia="黑体"/>
          <w:b w:val="0"/>
        </w:rPr>
        <w:t>二、</w:t>
      </w:r>
      <w:r>
        <w:rPr>
          <w:rFonts w:hint="eastAsia" w:ascii="黑体" w:hAnsi="黑体" w:eastAsia="黑体"/>
          <w:b w:val="0"/>
        </w:rPr>
        <w:t>机</w:t>
      </w:r>
      <w:r>
        <w:rPr>
          <w:rStyle w:val="29"/>
          <w:rFonts w:hint="eastAsia" w:ascii="黑体" w:hAnsi="黑体" w:eastAsia="黑体"/>
          <w:b w:val="0"/>
          <w:bCs w:val="0"/>
        </w:rPr>
        <w:t>构设置</w:t>
      </w:r>
      <w:bookmarkEnd w:id="25"/>
      <w:bookmarkEnd w:id="26"/>
      <w:bookmarkEnd w:id="30"/>
    </w:p>
    <w:p>
      <w:pPr>
        <w:pageBreakBefore w:val="0"/>
        <w:kinsoku/>
        <w:wordWrap/>
        <w:overflowPunct/>
        <w:topLinePunct w:val="0"/>
        <w:autoSpaceDE/>
        <w:autoSpaceDN/>
        <w:bidi w:val="0"/>
        <w:adjustRightInd/>
        <w:snapToGrid/>
        <w:spacing w:line="560" w:lineRule="exact"/>
        <w:ind w:left="0" w:firstLine="640" w:firstLineChars="200"/>
        <w:textAlignment w:val="auto"/>
        <w:rPr>
          <w:rFonts w:ascii="仿宋" w:hAnsi="仿宋" w:eastAsia="仿宋"/>
          <w:sz w:val="32"/>
          <w:szCs w:val="32"/>
        </w:rPr>
      </w:pPr>
      <w:r>
        <w:rPr>
          <w:rFonts w:hint="eastAsia" w:ascii="仿宋" w:hAnsi="仿宋" w:eastAsia="仿宋" w:cs="仿宋"/>
          <w:sz w:val="32"/>
          <w:szCs w:val="32"/>
        </w:rPr>
        <w:t>机关事务服务中心</w:t>
      </w:r>
      <w:r>
        <w:rPr>
          <w:rFonts w:hint="eastAsia" w:ascii="仿宋" w:hAnsi="仿宋" w:eastAsia="仿宋"/>
          <w:sz w:val="32"/>
          <w:szCs w:val="32"/>
        </w:rPr>
        <w:t>下属二级预算单位0个，其中行政单位0个，参照公务员法管理的事业单位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个，其他事业单位0个。</w:t>
      </w:r>
    </w:p>
    <w:p>
      <w:pPr>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ascii="仿宋" w:hAnsi="仿宋" w:eastAsia="仿宋"/>
          <w:sz w:val="32"/>
          <w:szCs w:val="32"/>
        </w:rPr>
      </w:pPr>
    </w:p>
    <w:p>
      <w:pPr>
        <w:pageBreakBefore w:val="0"/>
        <w:widowControl/>
        <w:kinsoku/>
        <w:wordWrap/>
        <w:overflowPunct/>
        <w:topLinePunct w:val="0"/>
        <w:autoSpaceDE/>
        <w:autoSpaceDN/>
        <w:bidi w:val="0"/>
        <w:adjustRightInd/>
        <w:snapToGrid/>
        <w:spacing w:line="560" w:lineRule="exact"/>
        <w:jc w:val="center"/>
        <w:textAlignment w:val="auto"/>
        <w:outlineLvl w:val="0"/>
        <w:rPr>
          <w:rStyle w:val="28"/>
          <w:rFonts w:ascii="仿宋" w:hAnsi="仿宋" w:eastAsia="仿宋"/>
          <w:b w:val="0"/>
          <w:bCs w:val="0"/>
          <w:kern w:val="0"/>
          <w:sz w:val="32"/>
          <w:szCs w:val="32"/>
        </w:rPr>
      </w:pPr>
      <w:r>
        <w:rPr>
          <w:rFonts w:ascii="仿宋" w:hAnsi="仿宋" w:eastAsia="仿宋"/>
          <w:sz w:val="32"/>
          <w:szCs w:val="32"/>
        </w:rPr>
        <w:br w:type="page"/>
      </w:r>
      <w:bookmarkStart w:id="31" w:name="_Toc29967"/>
      <w:bookmarkStart w:id="32" w:name="_Toc15377204"/>
      <w:bookmarkStart w:id="33" w:name="_Toc15396602"/>
      <w:r>
        <w:rPr>
          <w:rFonts w:hint="eastAsia" w:ascii="黑体" w:hAnsi="黑体" w:eastAsia="黑体"/>
          <w:sz w:val="44"/>
          <w:szCs w:val="44"/>
        </w:rPr>
        <w:t>第二部分 2022年度</w:t>
      </w:r>
      <w:r>
        <w:rPr>
          <w:rStyle w:val="28"/>
          <w:rFonts w:hint="eastAsia" w:ascii="黑体" w:hAnsi="黑体" w:eastAsia="黑体"/>
        </w:rPr>
        <w:t>部门决算情况说明</w:t>
      </w:r>
      <w:bookmarkEnd w:id="31"/>
      <w:bookmarkEnd w:id="32"/>
      <w:bookmarkEnd w:id="33"/>
    </w:p>
    <w:p>
      <w:pPr>
        <w:pageBreakBefore w:val="0"/>
        <w:kinsoku/>
        <w:wordWrap/>
        <w:overflowPunct/>
        <w:topLinePunct w:val="0"/>
        <w:autoSpaceDE/>
        <w:autoSpaceDN/>
        <w:bidi w:val="0"/>
        <w:adjustRightInd/>
        <w:snapToGrid/>
        <w:spacing w:line="560" w:lineRule="exact"/>
        <w:ind w:left="0" w:firstLine="420" w:firstLineChars="200"/>
        <w:textAlignment w:val="auto"/>
      </w:pPr>
    </w:p>
    <w:p>
      <w:pPr>
        <w:pStyle w:val="27"/>
        <w:pageBreakBefore w:val="0"/>
        <w:numPr>
          <w:ilvl w:val="0"/>
          <w:numId w:val="0"/>
        </w:numPr>
        <w:kinsoku/>
        <w:wordWrap/>
        <w:overflowPunct/>
        <w:topLinePunct w:val="0"/>
        <w:autoSpaceDE/>
        <w:autoSpaceDN/>
        <w:bidi w:val="0"/>
        <w:adjustRightInd/>
        <w:snapToGrid/>
        <w:spacing w:line="560" w:lineRule="exact"/>
        <w:ind w:leftChars="200" w:firstLine="320" w:firstLineChars="100"/>
        <w:textAlignment w:val="auto"/>
        <w:outlineLvl w:val="1"/>
        <w:rPr>
          <w:rStyle w:val="29"/>
          <w:rFonts w:ascii="黑体" w:hAnsi="黑体" w:eastAsia="黑体"/>
          <w:b w:val="0"/>
        </w:rPr>
      </w:pPr>
      <w:bookmarkStart w:id="34" w:name="_Toc14335"/>
      <w:bookmarkStart w:id="35" w:name="_Toc15396603"/>
      <w:bookmarkStart w:id="36" w:name="_Toc15377205"/>
      <w:r>
        <w:rPr>
          <w:rFonts w:hint="eastAsia" w:ascii="黑体" w:hAnsi="黑体" w:eastAsia="黑体"/>
          <w:sz w:val="32"/>
          <w:szCs w:val="32"/>
          <w:lang w:val="en-US" w:eastAsia="zh-CN"/>
        </w:rPr>
        <w:t>一、</w:t>
      </w:r>
      <w:r>
        <w:rPr>
          <w:rFonts w:hint="eastAsia" w:ascii="黑体" w:hAnsi="黑体" w:eastAsia="黑体"/>
          <w:sz w:val="32"/>
          <w:szCs w:val="32"/>
        </w:rPr>
        <w:t>收</w:t>
      </w:r>
      <w:r>
        <w:rPr>
          <w:rStyle w:val="29"/>
          <w:rFonts w:hint="eastAsia" w:ascii="黑体" w:hAnsi="黑体" w:eastAsia="黑体"/>
          <w:b w:val="0"/>
        </w:rPr>
        <w:t>入支出决算总体情况说明</w:t>
      </w:r>
      <w:bookmarkEnd w:id="34"/>
      <w:bookmarkEnd w:id="35"/>
      <w:bookmarkEnd w:id="36"/>
    </w:p>
    <w:p>
      <w:pPr>
        <w:pageBreakBefore w:val="0"/>
        <w:kinsoku/>
        <w:wordWrap/>
        <w:overflowPunct/>
        <w:topLinePunct w:val="0"/>
        <w:autoSpaceDE/>
        <w:autoSpaceDN/>
        <w:bidi w:val="0"/>
        <w:adjustRightInd/>
        <w:snapToGrid/>
        <w:spacing w:line="560" w:lineRule="exact"/>
        <w:ind w:left="0" w:firstLine="640" w:firstLineChars="200"/>
        <w:textAlignment w:val="auto"/>
        <w:rPr>
          <w:rFonts w:ascii="仿宋" w:hAnsi="仿宋" w:eastAsia="仿宋"/>
          <w:sz w:val="32"/>
          <w:szCs w:val="32"/>
        </w:rPr>
      </w:pPr>
      <w:r>
        <w:rPr>
          <w:rFonts w:hint="eastAsia" w:ascii="仿宋" w:hAnsi="仿宋" w:eastAsia="仿宋"/>
          <w:sz w:val="32"/>
          <w:szCs w:val="32"/>
        </w:rPr>
        <w:t>2022年度收、支总计1618.12万元。与2021年相比，收、支总计各增加241.59万元，增长17.55</w:t>
      </w:r>
      <w:r>
        <w:rPr>
          <w:rFonts w:ascii="仿宋" w:hAnsi="仿宋" w:eastAsia="仿宋"/>
          <w:sz w:val="32"/>
          <w:szCs w:val="32"/>
        </w:rPr>
        <w:t>%</w:t>
      </w:r>
      <w:r>
        <w:rPr>
          <w:rFonts w:hint="eastAsia" w:ascii="仿宋" w:hAnsi="仿宋" w:eastAsia="仿宋"/>
          <w:sz w:val="32"/>
          <w:szCs w:val="32"/>
        </w:rPr>
        <w:t>。主要变动原因是为了保障全区办公人员日常办公正常运行导致开支比上年有所增加。</w:t>
      </w:r>
    </w:p>
    <w:p>
      <w:pPr>
        <w:pageBreakBefore w:val="0"/>
        <w:kinsoku/>
        <w:wordWrap/>
        <w:overflowPunct/>
        <w:topLinePunct w:val="0"/>
        <w:autoSpaceDE/>
        <w:autoSpaceDN/>
        <w:bidi w:val="0"/>
        <w:adjustRightInd/>
        <w:snapToGrid/>
        <w:spacing w:line="560" w:lineRule="exact"/>
        <w:ind w:left="0" w:firstLine="640" w:firstLineChars="200"/>
        <w:textAlignment w:val="auto"/>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spacing w:line="600" w:lineRule="exact"/>
        <w:ind w:firstLine="640" w:firstLineChars="200"/>
        <w:jc w:val="left"/>
        <w:rPr>
          <w:rFonts w:ascii="仿宋_GB2312" w:eastAsia="仿宋_GB2312"/>
          <w:sz w:val="32"/>
          <w:szCs w:val="32"/>
        </w:rPr>
      </w:pPr>
    </w:p>
    <w:p>
      <w:pPr>
        <w:pStyle w:val="2"/>
        <w:ind w:left="420"/>
        <w:rPr>
          <w:rFonts w:eastAsia="仿宋_GB2312"/>
          <w:sz w:val="32"/>
        </w:rPr>
      </w:pPr>
      <w:r>
        <w:rPr>
          <w:rFonts w:hint="eastAsia"/>
        </w:rPr>
        <w:drawing>
          <wp:inline distT="0" distB="0" distL="114300" distR="114300">
            <wp:extent cx="4699000" cy="3666490"/>
            <wp:effectExtent l="5080" t="4445" r="20320" b="571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7"/>
        <w:numPr>
          <w:ilvl w:val="0"/>
          <w:numId w:val="0"/>
        </w:numPr>
        <w:spacing w:line="600" w:lineRule="exact"/>
        <w:ind w:left="640" w:leftChars="0"/>
        <w:outlineLvl w:val="1"/>
        <w:rPr>
          <w:rStyle w:val="29"/>
          <w:rFonts w:ascii="黑体" w:hAnsi="黑体" w:eastAsia="黑体"/>
          <w:b w:val="0"/>
        </w:rPr>
      </w:pPr>
      <w:bookmarkStart w:id="37" w:name="_Toc15396604"/>
      <w:bookmarkStart w:id="38" w:name="_Toc15377206"/>
      <w:bookmarkStart w:id="39" w:name="_Toc8834"/>
      <w:r>
        <w:rPr>
          <w:rFonts w:hint="eastAsia" w:ascii="黑体" w:hAnsi="黑体" w:eastAsia="黑体"/>
          <w:sz w:val="32"/>
          <w:szCs w:val="32"/>
          <w:lang w:val="en-US" w:eastAsia="zh-CN"/>
        </w:rPr>
        <w:t>二、</w:t>
      </w:r>
      <w:r>
        <w:rPr>
          <w:rFonts w:hint="eastAsia" w:ascii="黑体" w:hAnsi="黑体" w:eastAsia="黑体"/>
          <w:sz w:val="32"/>
          <w:szCs w:val="32"/>
        </w:rPr>
        <w:t>收</w:t>
      </w:r>
      <w:r>
        <w:rPr>
          <w:rStyle w:val="29"/>
          <w:rFonts w:hint="eastAsia" w:ascii="黑体" w:hAnsi="黑体" w:eastAsia="黑体"/>
          <w:b w:val="0"/>
        </w:rPr>
        <w:t>入决算情况说明</w:t>
      </w:r>
      <w:bookmarkEnd w:id="37"/>
      <w:bookmarkEnd w:id="38"/>
      <w:bookmarkEnd w:id="39"/>
    </w:p>
    <w:p>
      <w:pPr>
        <w:spacing w:line="600" w:lineRule="exact"/>
        <w:ind w:firstLine="640" w:firstLineChars="200"/>
        <w:outlineLvl w:val="1"/>
        <w:rPr>
          <w:rFonts w:ascii="仿宋" w:hAnsi="仿宋" w:eastAsia="仿宋"/>
          <w:sz w:val="32"/>
          <w:szCs w:val="32"/>
        </w:rPr>
      </w:pPr>
      <w:bookmarkStart w:id="40" w:name="_Toc143818194"/>
      <w:bookmarkStart w:id="41" w:name="_Toc28462"/>
      <w:bookmarkStart w:id="42" w:name="_Toc143546609"/>
      <w:r>
        <w:rPr>
          <w:rFonts w:ascii="仿宋" w:hAnsi="仿宋" w:eastAsia="仿宋"/>
          <w:sz w:val="32"/>
          <w:szCs w:val="32"/>
        </w:rPr>
        <w:t>20</w:t>
      </w:r>
      <w:r>
        <w:rPr>
          <w:rFonts w:hint="eastAsia" w:ascii="仿宋" w:hAnsi="仿宋" w:eastAsia="仿宋"/>
          <w:sz w:val="32"/>
          <w:szCs w:val="32"/>
        </w:rPr>
        <w:t>22年本年收入合计1618.12万元，其中：一般公共预算财政拨款收入1316.85万元，占81.38</w:t>
      </w:r>
      <w:r>
        <w:rPr>
          <w:rFonts w:ascii="仿宋" w:hAnsi="仿宋" w:eastAsia="仿宋"/>
          <w:sz w:val="32"/>
          <w:szCs w:val="32"/>
        </w:rPr>
        <w:t>%</w:t>
      </w:r>
      <w:r>
        <w:rPr>
          <w:rFonts w:hint="eastAsia" w:ascii="仿宋" w:hAnsi="仿宋" w:eastAsia="仿宋"/>
          <w:sz w:val="32"/>
          <w:szCs w:val="32"/>
        </w:rPr>
        <w:t>；政府性基金预算财政拨款收入101.27万元，占6.26</w:t>
      </w:r>
      <w:r>
        <w:rPr>
          <w:rFonts w:ascii="仿宋" w:hAnsi="仿宋" w:eastAsia="仿宋"/>
          <w:sz w:val="32"/>
          <w:szCs w:val="32"/>
        </w:rPr>
        <w:t>%</w:t>
      </w:r>
      <w:r>
        <w:rPr>
          <w:rFonts w:hint="eastAsia" w:ascii="仿宋" w:hAnsi="仿宋" w:eastAsia="仿宋"/>
          <w:sz w:val="32"/>
          <w:szCs w:val="32"/>
        </w:rPr>
        <w:t>；国有资本经营预算财政拨款收入200万元，占12.36</w:t>
      </w:r>
      <w:r>
        <w:rPr>
          <w:rFonts w:ascii="仿宋" w:hAnsi="仿宋" w:eastAsia="仿宋"/>
          <w:sz w:val="32"/>
          <w:szCs w:val="32"/>
        </w:rPr>
        <w:t>%</w:t>
      </w:r>
      <w:r>
        <w:rPr>
          <w:rFonts w:hint="eastAsia" w:ascii="仿宋" w:hAnsi="仿宋" w:eastAsia="仿宋"/>
          <w:sz w:val="32"/>
          <w:szCs w:val="32"/>
        </w:rPr>
        <w:t>。</w:t>
      </w:r>
      <w:bookmarkEnd w:id="40"/>
      <w:bookmarkEnd w:id="41"/>
      <w:bookmarkEnd w:id="42"/>
    </w:p>
    <w:p>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pPr>
        <w:spacing w:line="600" w:lineRule="exact"/>
        <w:ind w:firstLine="640" w:firstLineChars="200"/>
        <w:rPr>
          <w:rStyle w:val="29"/>
          <w:rFonts w:ascii="黑体" w:hAnsi="黑体" w:eastAsia="黑体"/>
          <w:b w:val="0"/>
        </w:rPr>
      </w:pPr>
      <w:r>
        <w:rPr>
          <w:rStyle w:val="29"/>
          <w:rFonts w:hint="eastAsia" w:ascii="黑体" w:hAnsi="黑体" w:eastAsia="黑体"/>
          <w:b w:val="0"/>
        </w:rPr>
        <w:drawing>
          <wp:anchor distT="0" distB="0" distL="114300" distR="114300" simplePos="0" relativeHeight="251660288" behindDoc="0" locked="0" layoutInCell="1" allowOverlap="1">
            <wp:simplePos x="0" y="0"/>
            <wp:positionH relativeFrom="column">
              <wp:posOffset>147955</wp:posOffset>
            </wp:positionH>
            <wp:positionV relativeFrom="paragraph">
              <wp:posOffset>366395</wp:posOffset>
            </wp:positionV>
            <wp:extent cx="5080000" cy="4502150"/>
            <wp:effectExtent l="5080" t="4445" r="20320" b="8255"/>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bookmarkStart w:id="43" w:name="_Toc12797"/>
      <w:bookmarkStart w:id="44" w:name="_Toc15396605"/>
      <w:bookmarkStart w:id="45" w:name="_Toc15377207"/>
      <w:r>
        <w:rPr>
          <w:rStyle w:val="29"/>
          <w:rFonts w:hint="eastAsia" w:ascii="黑体" w:hAnsi="黑体" w:eastAsia="黑体"/>
          <w:b w:val="0"/>
          <w:lang w:val="en-US" w:eastAsia="zh-CN"/>
        </w:rPr>
        <w:t>三、</w:t>
      </w:r>
      <w:bookmarkEnd w:id="43"/>
      <w:r>
        <w:rPr>
          <w:rFonts w:hint="eastAsia" w:ascii="黑体" w:hAnsi="黑体" w:eastAsia="黑体"/>
          <w:sz w:val="32"/>
          <w:szCs w:val="32"/>
        </w:rPr>
        <w:t>支</w:t>
      </w:r>
      <w:r>
        <w:rPr>
          <w:rStyle w:val="29"/>
          <w:rFonts w:hint="eastAsia" w:ascii="黑体" w:hAnsi="黑体" w:eastAsia="黑体"/>
          <w:b w:val="0"/>
        </w:rPr>
        <w:t>出决算情况说明</w:t>
      </w:r>
      <w:bookmarkEnd w:id="44"/>
      <w:bookmarkEnd w:id="45"/>
    </w:p>
    <w:p>
      <w:pPr>
        <w:spacing w:line="600" w:lineRule="exact"/>
        <w:ind w:firstLine="640" w:firstLineChars="200"/>
        <w:outlineLvl w:val="1"/>
        <w:rPr>
          <w:rFonts w:ascii="仿宋" w:hAnsi="仿宋" w:eastAsia="仿宋"/>
          <w:sz w:val="32"/>
          <w:szCs w:val="32"/>
          <w:shd w:val="pct10" w:color="auto" w:fill="FFFFFF"/>
        </w:rPr>
      </w:pPr>
      <w:bookmarkStart w:id="46" w:name="_Toc143546611"/>
      <w:bookmarkStart w:id="47" w:name="_Toc143818196"/>
      <w:bookmarkStart w:id="48" w:name="_Toc18122"/>
      <w:r>
        <w:rPr>
          <w:rFonts w:ascii="仿宋" w:hAnsi="仿宋" w:eastAsia="仿宋"/>
          <w:sz w:val="32"/>
          <w:szCs w:val="32"/>
        </w:rPr>
        <w:t>20</w:t>
      </w:r>
      <w:r>
        <w:rPr>
          <w:rFonts w:hint="eastAsia" w:ascii="仿宋" w:hAnsi="仿宋" w:eastAsia="仿宋"/>
          <w:sz w:val="32"/>
          <w:szCs w:val="32"/>
        </w:rPr>
        <w:t>22年本年支出合计1618.12万元，其中：基本支出417.1万元，占25.7</w:t>
      </w:r>
      <w:r>
        <w:rPr>
          <w:rFonts w:hint="eastAsia" w:ascii="仿宋" w:hAnsi="仿宋" w:eastAsia="仿宋"/>
          <w:sz w:val="32"/>
          <w:szCs w:val="32"/>
          <w:lang w:val="en-US" w:eastAsia="zh-CN"/>
        </w:rPr>
        <w:t>8</w:t>
      </w:r>
      <w:r>
        <w:rPr>
          <w:rFonts w:ascii="仿宋" w:hAnsi="仿宋" w:eastAsia="仿宋"/>
          <w:sz w:val="32"/>
          <w:szCs w:val="32"/>
        </w:rPr>
        <w:t>%</w:t>
      </w:r>
      <w:r>
        <w:rPr>
          <w:rFonts w:hint="eastAsia" w:ascii="仿宋" w:hAnsi="仿宋" w:eastAsia="仿宋"/>
          <w:sz w:val="32"/>
          <w:szCs w:val="32"/>
        </w:rPr>
        <w:t>；项目支出1201.02万元，占</w:t>
      </w:r>
      <w:r>
        <w:rPr>
          <w:rFonts w:hint="eastAsia" w:ascii="仿宋" w:hAnsi="仿宋" w:eastAsia="仿宋"/>
          <w:sz w:val="32"/>
          <w:szCs w:val="32"/>
          <w:lang w:val="en-US" w:eastAsia="zh-CN"/>
        </w:rPr>
        <w:t>74.22</w:t>
      </w:r>
      <w:r>
        <w:rPr>
          <w:rFonts w:ascii="仿宋" w:hAnsi="仿宋" w:eastAsia="仿宋"/>
          <w:sz w:val="32"/>
          <w:szCs w:val="32"/>
        </w:rPr>
        <w:t>%</w:t>
      </w:r>
      <w:r>
        <w:rPr>
          <w:rFonts w:hint="eastAsia" w:ascii="仿宋" w:hAnsi="仿宋" w:eastAsia="仿宋"/>
          <w:sz w:val="32"/>
          <w:szCs w:val="32"/>
        </w:rPr>
        <w:t>。</w:t>
      </w:r>
      <w:bookmarkEnd w:id="46"/>
      <w:bookmarkEnd w:id="47"/>
      <w:bookmarkEnd w:id="48"/>
    </w:p>
    <w:p>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rPr>
          <w:rStyle w:val="29"/>
          <w:rFonts w:ascii="黑体" w:hAnsi="黑体" w:eastAsia="黑体"/>
          <w:b w:val="0"/>
        </w:rPr>
      </w:pPr>
      <w:r>
        <w:rPr>
          <w:rFonts w:hint="eastAsia" w:ascii="仿宋_GB2312" w:eastAsia="仿宋_GB2312"/>
          <w:color w:val="FF0000"/>
          <w:sz w:val="32"/>
          <w:szCs w:val="32"/>
        </w:rPr>
        <w:drawing>
          <wp:anchor distT="0" distB="0" distL="114300" distR="114300" simplePos="0" relativeHeight="251661312" behindDoc="0" locked="0" layoutInCell="1" allowOverlap="1">
            <wp:simplePos x="0" y="0"/>
            <wp:positionH relativeFrom="column">
              <wp:posOffset>-33655</wp:posOffset>
            </wp:positionH>
            <wp:positionV relativeFrom="paragraph">
              <wp:posOffset>47625</wp:posOffset>
            </wp:positionV>
            <wp:extent cx="5080000" cy="3810000"/>
            <wp:effectExtent l="4445" t="4445" r="20955" b="14605"/>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bookmarkStart w:id="49" w:name="_Toc15377208"/>
      <w:bookmarkStart w:id="50" w:name="_Toc15396606"/>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49"/>
      <w:bookmarkEnd w:id="50"/>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22年财政拨款收、支总计1618.12万元。与</w:t>
      </w:r>
      <w:r>
        <w:rPr>
          <w:rFonts w:ascii="仿宋" w:hAnsi="仿宋" w:eastAsia="仿宋"/>
          <w:sz w:val="32"/>
          <w:szCs w:val="32"/>
        </w:rPr>
        <w:t>20</w:t>
      </w:r>
      <w:r>
        <w:rPr>
          <w:rFonts w:hint="eastAsia" w:ascii="仿宋" w:hAnsi="仿宋" w:eastAsia="仿宋"/>
          <w:sz w:val="32"/>
          <w:szCs w:val="32"/>
        </w:rPr>
        <w:t>21年相比，财政拨款收、支总计各增加249.</w:t>
      </w:r>
      <w:r>
        <w:rPr>
          <w:rFonts w:ascii="仿宋" w:hAnsi="仿宋" w:eastAsia="仿宋"/>
          <w:sz w:val="32"/>
          <w:szCs w:val="32"/>
        </w:rPr>
        <w:t>59</w:t>
      </w:r>
      <w:r>
        <w:rPr>
          <w:rFonts w:hint="eastAsia" w:ascii="仿宋" w:hAnsi="仿宋" w:eastAsia="仿宋"/>
          <w:sz w:val="32"/>
          <w:szCs w:val="32"/>
        </w:rPr>
        <w:t>万元，增长18.2</w:t>
      </w:r>
      <w:r>
        <w:rPr>
          <w:rFonts w:ascii="仿宋" w:hAnsi="仿宋" w:eastAsia="仿宋"/>
          <w:sz w:val="32"/>
          <w:szCs w:val="32"/>
        </w:rPr>
        <w:t>4%</w:t>
      </w:r>
      <w:r>
        <w:rPr>
          <w:rFonts w:hint="eastAsia" w:ascii="仿宋" w:hAnsi="仿宋" w:eastAsia="仿宋"/>
          <w:sz w:val="32"/>
          <w:szCs w:val="32"/>
        </w:rPr>
        <w:t>。主要变动原因是为了保障全区办公人员日常办公正常运行导致开支比上年有所增加。</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rPr>
          <w:rFonts w:ascii="仿宋" w:hAnsi="仿宋" w:eastAsia="仿宋"/>
          <w:b/>
          <w:sz w:val="32"/>
          <w:szCs w:val="32"/>
        </w:rPr>
      </w:pPr>
    </w:p>
    <w:p>
      <w:pPr>
        <w:pStyle w:val="2"/>
        <w:ind w:left="420" w:firstLine="643"/>
        <w:rPr>
          <w:rFonts w:ascii="仿宋" w:hAnsi="仿宋" w:eastAsia="仿宋"/>
          <w:b/>
          <w:sz w:val="32"/>
        </w:rPr>
      </w:pPr>
    </w:p>
    <w:p>
      <w:pPr>
        <w:pStyle w:val="2"/>
        <w:ind w:left="420"/>
        <w:rPr>
          <w:rFonts w:ascii="仿宋" w:hAnsi="仿宋" w:eastAsia="仿宋"/>
          <w:b/>
          <w:sz w:val="32"/>
        </w:rPr>
      </w:pPr>
      <w:r>
        <w:rPr>
          <w:rFonts w:hint="eastAsia"/>
        </w:rPr>
        <w:drawing>
          <wp:inline distT="0" distB="0" distL="114300" distR="114300">
            <wp:extent cx="4495800" cy="3533775"/>
            <wp:effectExtent l="4445" t="4445" r="14605" b="508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outlineLvl w:val="1"/>
        <w:rPr>
          <w:rStyle w:val="29"/>
          <w:rFonts w:ascii="黑体" w:hAnsi="黑体" w:eastAsia="黑体"/>
          <w:b w:val="0"/>
        </w:rPr>
      </w:pPr>
      <w:bookmarkStart w:id="51" w:name="_Toc15377209"/>
      <w:bookmarkStart w:id="52" w:name="_Toc15396607"/>
      <w:bookmarkStart w:id="53" w:name="_Toc10661"/>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51"/>
      <w:bookmarkEnd w:id="52"/>
      <w:bookmarkEnd w:id="53"/>
    </w:p>
    <w:p>
      <w:pPr>
        <w:spacing w:line="600" w:lineRule="exact"/>
        <w:ind w:firstLine="643" w:firstLineChars="200"/>
        <w:outlineLvl w:val="2"/>
        <w:rPr>
          <w:rFonts w:ascii="仿宋" w:hAnsi="仿宋" w:eastAsia="仿宋"/>
          <w:b/>
          <w:sz w:val="32"/>
          <w:szCs w:val="32"/>
        </w:rPr>
      </w:pPr>
      <w:bookmarkStart w:id="54" w:name="_Toc143546614"/>
      <w:bookmarkStart w:id="55" w:name="_Toc143818199"/>
      <w:bookmarkStart w:id="56" w:name="_Toc15377210"/>
      <w:r>
        <w:rPr>
          <w:rFonts w:hint="eastAsia" w:ascii="仿宋" w:hAnsi="仿宋" w:eastAsia="仿宋"/>
          <w:b/>
          <w:sz w:val="32"/>
          <w:szCs w:val="32"/>
        </w:rPr>
        <w:t>（一）一般公共预算财政拨款支出决算总体情况</w:t>
      </w:r>
      <w:bookmarkEnd w:id="54"/>
      <w:bookmarkEnd w:id="55"/>
      <w:bookmarkEnd w:id="56"/>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22年一般公共预算财政拨款支出1316.85万元，占本年支出合计的81.38</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21年相比，一般公共预算财政拨款支出减少51.68万元，下降3.78</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cs="仿宋"/>
          <w:color w:val="000000"/>
          <w:sz w:val="32"/>
          <w:szCs w:val="32"/>
        </w:rPr>
        <w:t>单位</w:t>
      </w:r>
      <w:r>
        <w:rPr>
          <w:rFonts w:hint="eastAsia" w:ascii="仿宋" w:hAnsi="仿宋" w:eastAsia="仿宋" w:cs="仿宋"/>
          <w:color w:val="000000"/>
          <w:sz w:val="32"/>
          <w:szCs w:val="32"/>
          <w:lang w:eastAsia="zh-CN"/>
        </w:rPr>
        <w:t>厉行节约</w:t>
      </w:r>
      <w:r>
        <w:rPr>
          <w:rFonts w:hint="eastAsia" w:ascii="仿宋" w:hAnsi="仿宋" w:eastAsia="仿宋" w:cs="仿宋"/>
          <w:color w:val="000000"/>
          <w:sz w:val="32"/>
          <w:szCs w:val="32"/>
        </w:rPr>
        <w:t>，缩减开支。</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0" w:firstLineChars="200"/>
        <w:rPr>
          <w:rFonts w:ascii="仿宋" w:hAnsi="仿宋" w:eastAsia="仿宋"/>
          <w:sz w:val="32"/>
          <w:szCs w:val="32"/>
        </w:rPr>
      </w:pPr>
    </w:p>
    <w:p>
      <w:pPr>
        <w:pStyle w:val="2"/>
        <w:ind w:left="420" w:firstLine="640"/>
        <w:rPr>
          <w:rFonts w:ascii="仿宋" w:hAnsi="仿宋" w:eastAsia="仿宋"/>
          <w:sz w:val="32"/>
        </w:rPr>
      </w:pPr>
    </w:p>
    <w:p>
      <w:pPr>
        <w:pStyle w:val="2"/>
        <w:ind w:left="420" w:firstLine="640"/>
        <w:rPr>
          <w:rFonts w:ascii="仿宋" w:hAnsi="仿宋" w:eastAsia="仿宋"/>
          <w:sz w:val="32"/>
        </w:rPr>
      </w:pPr>
    </w:p>
    <w:p>
      <w:pPr>
        <w:pStyle w:val="2"/>
        <w:ind w:left="420" w:firstLine="640"/>
        <w:rPr>
          <w:rFonts w:ascii="仿宋" w:hAnsi="仿宋" w:eastAsia="仿宋"/>
          <w:sz w:val="32"/>
        </w:rPr>
      </w:pPr>
    </w:p>
    <w:p>
      <w:pPr>
        <w:pStyle w:val="2"/>
        <w:ind w:left="420" w:firstLine="640"/>
        <w:rPr>
          <w:rFonts w:ascii="仿宋" w:hAnsi="仿宋" w:eastAsia="仿宋"/>
          <w:sz w:val="32"/>
        </w:rPr>
      </w:pPr>
    </w:p>
    <w:p>
      <w:pPr>
        <w:pStyle w:val="2"/>
        <w:ind w:left="420" w:firstLine="643"/>
        <w:rPr>
          <w:rFonts w:ascii="仿宋" w:hAnsi="仿宋" w:eastAsia="仿宋"/>
          <w:b/>
          <w:sz w:val="32"/>
        </w:rPr>
      </w:pPr>
      <w:bookmarkStart w:id="57" w:name="_Toc15377211"/>
    </w:p>
    <w:p>
      <w:pPr>
        <w:pStyle w:val="2"/>
        <w:ind w:left="420" w:firstLine="640"/>
        <w:rPr>
          <w:rFonts w:ascii="仿宋" w:hAnsi="仿宋" w:eastAsia="仿宋"/>
          <w:b/>
          <w:sz w:val="32"/>
        </w:rPr>
      </w:pPr>
      <w:r>
        <w:rPr>
          <w:rFonts w:hint="eastAsia" w:ascii="仿宋" w:hAnsi="仿宋" w:eastAsia="仿宋"/>
          <w:color w:val="000000" w:themeColor="text1"/>
          <w:sz w:val="32"/>
          <w14:textFill>
            <w14:solidFill>
              <w14:schemeClr w14:val="tx1"/>
            </w14:solidFill>
          </w14:textFill>
        </w:rPr>
        <w:drawing>
          <wp:anchor distT="0" distB="0" distL="114300" distR="114300" simplePos="0" relativeHeight="251662336" behindDoc="0" locked="0" layoutInCell="1" allowOverlap="1">
            <wp:simplePos x="0" y="0"/>
            <wp:positionH relativeFrom="column">
              <wp:posOffset>337820</wp:posOffset>
            </wp:positionH>
            <wp:positionV relativeFrom="paragraph">
              <wp:posOffset>118110</wp:posOffset>
            </wp:positionV>
            <wp:extent cx="5080000" cy="3810000"/>
            <wp:effectExtent l="4445" t="4445" r="20955" b="14605"/>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3" w:firstLineChars="200"/>
        <w:outlineLvl w:val="2"/>
        <w:rPr>
          <w:rFonts w:ascii="仿宋" w:hAnsi="仿宋" w:eastAsia="仿宋"/>
          <w:b/>
          <w:sz w:val="32"/>
          <w:szCs w:val="32"/>
        </w:rPr>
      </w:pPr>
      <w:bookmarkStart w:id="58" w:name="_Toc143818200"/>
      <w:bookmarkStart w:id="59" w:name="_Toc143546615"/>
      <w:r>
        <w:rPr>
          <w:rFonts w:hint="eastAsia" w:ascii="仿宋" w:hAnsi="仿宋" w:eastAsia="仿宋"/>
          <w:b/>
          <w:sz w:val="32"/>
          <w:szCs w:val="32"/>
        </w:rPr>
        <w:t>（二）一般公共预算财政拨款支出决算结构情况</w:t>
      </w:r>
      <w:bookmarkEnd w:id="57"/>
      <w:bookmarkEnd w:id="58"/>
      <w:bookmarkEnd w:id="5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22年一般公共预算财政拨款支出1316.85万元，主要用于以下方面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rPr>
        <w:t>1295.10万元，占98.35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7.67万元，占0.58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4.33万元，占0.33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rPr>
        <w:t>9.75万元，占0.74</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pStyle w:val="2"/>
        <w:ind w:left="420" w:firstLine="640"/>
        <w:rPr>
          <w:rFonts w:ascii="仿宋" w:hAnsi="仿宋" w:eastAsia="仿宋"/>
          <w:sz w:val="32"/>
        </w:rPr>
      </w:pPr>
    </w:p>
    <w:p>
      <w:pPr>
        <w:pStyle w:val="2"/>
        <w:ind w:left="420" w:firstLine="640"/>
        <w:rPr>
          <w:rFonts w:ascii="仿宋" w:hAnsi="仿宋" w:eastAsia="仿宋"/>
          <w:sz w:val="32"/>
        </w:rPr>
      </w:pPr>
    </w:p>
    <w:p>
      <w:pPr>
        <w:pStyle w:val="2"/>
        <w:ind w:left="420" w:firstLine="640"/>
        <w:rPr>
          <w:rFonts w:ascii="仿宋" w:hAnsi="仿宋" w:eastAsia="仿宋"/>
          <w:sz w:val="32"/>
        </w:rPr>
      </w:pPr>
    </w:p>
    <w:p>
      <w:pPr>
        <w:pStyle w:val="2"/>
        <w:ind w:left="420" w:firstLine="640"/>
        <w:rPr>
          <w:rFonts w:ascii="仿宋" w:hAnsi="仿宋" w:eastAsia="仿宋"/>
          <w:color w:val="000000"/>
          <w:sz w:val="32"/>
        </w:rPr>
      </w:pPr>
      <w:r>
        <w:rPr>
          <w:rFonts w:hint="eastAsia" w:ascii="仿宋" w:hAnsi="仿宋" w:eastAsia="仿宋"/>
          <w:color w:val="000000"/>
          <w:sz w:val="32"/>
        </w:rPr>
        <w:drawing>
          <wp:anchor distT="0" distB="0" distL="114300" distR="114300" simplePos="0" relativeHeight="251663360" behindDoc="0" locked="0" layoutInCell="1" allowOverlap="1">
            <wp:simplePos x="0" y="0"/>
            <wp:positionH relativeFrom="column">
              <wp:posOffset>223520</wp:posOffset>
            </wp:positionH>
            <wp:positionV relativeFrom="paragraph">
              <wp:posOffset>471170</wp:posOffset>
            </wp:positionV>
            <wp:extent cx="5080000" cy="4243705"/>
            <wp:effectExtent l="0" t="0" r="6350" b="4445"/>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ind w:firstLine="643" w:firstLineChars="200"/>
        <w:outlineLvl w:val="2"/>
        <w:rPr>
          <w:rFonts w:ascii="仿宋" w:hAnsi="仿宋" w:eastAsia="仿宋"/>
          <w:b/>
          <w:sz w:val="32"/>
          <w:szCs w:val="32"/>
        </w:rPr>
      </w:pPr>
      <w:bookmarkStart w:id="60" w:name="_Toc143546616"/>
      <w:bookmarkStart w:id="61" w:name="_Toc15377212"/>
      <w:bookmarkStart w:id="62" w:name="_Toc143818201"/>
      <w:r>
        <w:rPr>
          <w:rFonts w:hint="eastAsia" w:ascii="仿宋" w:hAnsi="仿宋" w:eastAsia="仿宋"/>
          <w:b/>
          <w:sz w:val="32"/>
          <w:szCs w:val="32"/>
        </w:rPr>
        <w:t>（三）一般公共预算财政拨款支出决算具体情况</w:t>
      </w:r>
      <w:bookmarkEnd w:id="60"/>
      <w:bookmarkEnd w:id="61"/>
      <w:bookmarkEnd w:id="62"/>
    </w:p>
    <w:p>
      <w:pPr>
        <w:spacing w:line="600" w:lineRule="exact"/>
        <w:ind w:firstLine="643" w:firstLineChars="200"/>
        <w:outlineLvl w:val="1"/>
        <w:rPr>
          <w:rFonts w:ascii="仿宋" w:hAnsi="仿宋" w:eastAsia="仿宋"/>
          <w:sz w:val="32"/>
          <w:szCs w:val="32"/>
        </w:rPr>
      </w:pPr>
      <w:bookmarkStart w:id="63" w:name="_Toc12922"/>
      <w:bookmarkStart w:id="64" w:name="_Toc15378460"/>
      <w:bookmarkStart w:id="65" w:name="_Toc143546617"/>
      <w:bookmarkStart w:id="66" w:name="_Toc143818202"/>
      <w:bookmarkStart w:id="67" w:name="_Toc15377444"/>
      <w:bookmarkStart w:id="68" w:name="_Toc15377213"/>
      <w:r>
        <w:rPr>
          <w:rFonts w:hint="eastAsia" w:ascii="仿宋" w:hAnsi="仿宋" w:eastAsia="仿宋"/>
          <w:b/>
          <w:sz w:val="32"/>
          <w:szCs w:val="32"/>
        </w:rPr>
        <w:t>2022年一般公共预算支出决算数为1316.85</w:t>
      </w:r>
      <w:r>
        <w:rPr>
          <w:rFonts w:hint="eastAsia" w:ascii="仿宋" w:hAnsi="仿宋" w:eastAsia="仿宋"/>
          <w:sz w:val="32"/>
          <w:szCs w:val="32"/>
        </w:rPr>
        <w:t>，</w:t>
      </w:r>
      <w:r>
        <w:rPr>
          <w:rStyle w:val="17"/>
          <w:rFonts w:hint="eastAsia" w:ascii="仿宋" w:hAnsi="仿宋" w:eastAsia="仿宋"/>
          <w:bCs/>
          <w:sz w:val="32"/>
          <w:szCs w:val="32"/>
        </w:rPr>
        <w:t>完成预算100</w:t>
      </w:r>
      <w:r>
        <w:rPr>
          <w:rStyle w:val="17"/>
          <w:rFonts w:ascii="仿宋" w:hAnsi="仿宋" w:eastAsia="仿宋"/>
          <w:bCs/>
          <w:sz w:val="32"/>
          <w:szCs w:val="32"/>
        </w:rPr>
        <w:t>%</w:t>
      </w:r>
      <w:r>
        <w:rPr>
          <w:rStyle w:val="17"/>
          <w:rFonts w:hint="eastAsia" w:ascii="仿宋" w:hAnsi="仿宋" w:eastAsia="仿宋"/>
          <w:bCs/>
          <w:sz w:val="32"/>
          <w:szCs w:val="32"/>
        </w:rPr>
        <w:t>。其中：</w:t>
      </w:r>
      <w:bookmarkEnd w:id="63"/>
      <w:bookmarkEnd w:id="64"/>
      <w:bookmarkEnd w:id="65"/>
      <w:bookmarkEnd w:id="66"/>
      <w:bookmarkEnd w:id="67"/>
      <w:bookmarkEnd w:id="68"/>
    </w:p>
    <w:p>
      <w:pPr>
        <w:spacing w:line="600" w:lineRule="exact"/>
        <w:ind w:firstLine="643" w:firstLineChars="200"/>
        <w:rPr>
          <w:rFonts w:ascii="仿宋" w:hAnsi="仿宋" w:eastAsia="仿宋"/>
          <w:b/>
          <w:sz w:val="32"/>
          <w:szCs w:val="32"/>
        </w:rPr>
      </w:pPr>
      <w:r>
        <w:rPr>
          <w:rStyle w:val="17"/>
          <w:rFonts w:ascii="仿宋" w:hAnsi="仿宋" w:eastAsia="仿宋"/>
          <w:bCs/>
          <w:sz w:val="32"/>
          <w:szCs w:val="32"/>
        </w:rPr>
        <w:t>1.</w:t>
      </w:r>
      <w:r>
        <w:rPr>
          <w:rStyle w:val="17"/>
          <w:rFonts w:hint="eastAsia" w:ascii="仿宋" w:hAnsi="仿宋" w:eastAsia="仿宋"/>
          <w:bCs/>
          <w:sz w:val="32"/>
          <w:szCs w:val="32"/>
        </w:rPr>
        <w:t>一般公共服务201（类）03（款）50（项）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支出决算为395.35万元，完成预算100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，决算数与预算数持平。</w:t>
      </w:r>
    </w:p>
    <w:p>
      <w:pPr>
        <w:spacing w:line="600" w:lineRule="exact"/>
        <w:ind w:firstLine="643" w:firstLineChars="200"/>
        <w:rPr>
          <w:rFonts w:ascii="仿宋" w:hAnsi="仿宋" w:eastAsia="仿宋"/>
          <w:b/>
          <w:sz w:val="32"/>
          <w:szCs w:val="32"/>
        </w:rPr>
      </w:pPr>
      <w:r>
        <w:rPr>
          <w:rStyle w:val="17"/>
          <w:rFonts w:ascii="仿宋" w:hAnsi="仿宋" w:eastAsia="仿宋"/>
          <w:bCs/>
          <w:sz w:val="32"/>
          <w:szCs w:val="32"/>
        </w:rPr>
        <w:t>2.</w:t>
      </w:r>
      <w:r>
        <w:rPr>
          <w:rStyle w:val="17"/>
          <w:rFonts w:hint="eastAsia" w:ascii="仿宋" w:hAnsi="仿宋" w:eastAsia="仿宋"/>
          <w:bCs/>
          <w:sz w:val="32"/>
          <w:szCs w:val="32"/>
        </w:rPr>
        <w:t>一般公共服务201（类）03（款）99（项）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支出决算为899.75万元，完成预算100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，决算数与预算数持平。</w:t>
      </w:r>
    </w:p>
    <w:p>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rPr>
        <w:t>3</w:t>
      </w:r>
      <w:r>
        <w:rPr>
          <w:rStyle w:val="17"/>
          <w:rFonts w:ascii="仿宋" w:hAnsi="仿宋" w:eastAsia="仿宋"/>
          <w:bCs/>
          <w:sz w:val="32"/>
          <w:szCs w:val="32"/>
        </w:rPr>
        <w:t>.</w:t>
      </w:r>
      <w:r>
        <w:rPr>
          <w:rStyle w:val="17"/>
          <w:rFonts w:hint="eastAsia" w:ascii="仿宋" w:hAnsi="仿宋" w:eastAsia="仿宋"/>
          <w:bCs/>
          <w:sz w:val="32"/>
          <w:szCs w:val="32"/>
        </w:rPr>
        <w:t>社会保障和就业208（类）05（款）05（项）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支出决算为7.33万元，完成预算100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，决算数与预算数持平。</w:t>
      </w:r>
    </w:p>
    <w:p>
      <w:pPr>
        <w:spacing w:line="600" w:lineRule="exact"/>
        <w:ind w:firstLine="643" w:firstLineChars="200"/>
      </w:pPr>
      <w:r>
        <w:rPr>
          <w:rStyle w:val="17"/>
          <w:rFonts w:hint="eastAsia" w:ascii="仿宋" w:hAnsi="仿宋" w:eastAsia="仿宋"/>
          <w:bCs/>
          <w:sz w:val="32"/>
          <w:szCs w:val="32"/>
        </w:rPr>
        <w:t>4.社会保障和就业208（类）99（款99（项）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支出决算为0.37万元，完成预算100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，决算数与预算数持平。</w:t>
      </w:r>
    </w:p>
    <w:p>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rPr>
        <w:t>5</w:t>
      </w:r>
      <w:r>
        <w:rPr>
          <w:rStyle w:val="17"/>
          <w:rFonts w:ascii="仿宋" w:hAnsi="仿宋" w:eastAsia="仿宋"/>
          <w:bCs/>
          <w:sz w:val="32"/>
          <w:szCs w:val="32"/>
        </w:rPr>
        <w:t>.</w:t>
      </w:r>
      <w:r>
        <w:rPr>
          <w:rFonts w:hint="eastAsia" w:ascii="仿宋" w:hAnsi="仿宋" w:eastAsia="仿宋"/>
          <w:b/>
          <w:bCs/>
          <w:sz w:val="32"/>
          <w:szCs w:val="32"/>
        </w:rPr>
        <w:t>卫生健康210</w:t>
      </w:r>
      <w:r>
        <w:rPr>
          <w:rStyle w:val="17"/>
          <w:rFonts w:hint="eastAsia" w:ascii="仿宋" w:hAnsi="仿宋" w:eastAsia="仿宋"/>
          <w:bCs/>
          <w:sz w:val="32"/>
          <w:szCs w:val="32"/>
        </w:rPr>
        <w:t>（类）11（款）02（项）</w:t>
      </w:r>
      <w:r>
        <w:rPr>
          <w:rStyle w:val="17"/>
          <w:rFonts w:ascii="仿宋" w:hAnsi="仿宋" w:eastAsia="仿宋"/>
          <w:bCs/>
          <w:sz w:val="32"/>
          <w:szCs w:val="32"/>
        </w:rPr>
        <w:t>:</w:t>
      </w:r>
      <w:r>
        <w:rPr>
          <w:rStyle w:val="17"/>
          <w:rFonts w:hint="eastAsia" w:ascii="仿宋" w:hAnsi="仿宋" w:eastAsia="仿宋"/>
          <w:b w:val="0"/>
          <w:bCs/>
          <w:sz w:val="32"/>
          <w:szCs w:val="32"/>
        </w:rPr>
        <w:t>支出决算为4.33万元，完成预算100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，决算数与预算数持平。</w:t>
      </w:r>
    </w:p>
    <w:p>
      <w:pPr>
        <w:spacing w:line="600" w:lineRule="exact"/>
        <w:ind w:firstLine="640" w:firstLineChars="200"/>
        <w:rPr>
          <w:rFonts w:ascii="仿宋" w:hAnsi="仿宋" w:eastAsia="仿宋"/>
          <w:b/>
          <w:sz w:val="32"/>
          <w:szCs w:val="32"/>
        </w:rPr>
      </w:pPr>
      <w:r>
        <w:rPr>
          <w:rFonts w:hint="eastAsia" w:ascii="仿宋" w:hAnsi="仿宋" w:eastAsia="仿宋"/>
          <w:sz w:val="32"/>
          <w:szCs w:val="32"/>
        </w:rPr>
        <w:t xml:space="preserve">6 </w:t>
      </w:r>
      <w:r>
        <w:rPr>
          <w:rStyle w:val="17"/>
          <w:rFonts w:hint="eastAsia" w:ascii="仿宋" w:hAnsi="仿宋" w:eastAsia="仿宋"/>
          <w:color w:val="000000"/>
          <w:sz w:val="32"/>
          <w:szCs w:val="32"/>
        </w:rPr>
        <w:t>住房保障221</w:t>
      </w:r>
      <w:r>
        <w:rPr>
          <w:rStyle w:val="17"/>
          <w:rFonts w:hint="eastAsia" w:ascii="仿宋" w:hAnsi="仿宋" w:eastAsia="仿宋"/>
          <w:bCs/>
          <w:color w:val="000000"/>
          <w:sz w:val="32"/>
          <w:szCs w:val="32"/>
        </w:rPr>
        <w:t>（类）02（款）01（项）：</w:t>
      </w:r>
      <w:r>
        <w:rPr>
          <w:rStyle w:val="17"/>
          <w:rFonts w:hint="eastAsia" w:ascii="仿宋" w:hAnsi="仿宋" w:eastAsia="仿宋"/>
          <w:b w:val="0"/>
          <w:bCs/>
          <w:color w:val="000000"/>
          <w:sz w:val="32"/>
          <w:szCs w:val="32"/>
        </w:rPr>
        <w:t>支出决算为9.75万元，完成预算100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r>
        <w:rPr>
          <w:rStyle w:val="17"/>
          <w:rFonts w:hint="eastAsia" w:ascii="仿宋" w:hAnsi="仿宋" w:eastAsia="仿宋"/>
          <w:b w:val="0"/>
          <w:bCs/>
          <w:sz w:val="32"/>
          <w:szCs w:val="32"/>
        </w:rPr>
        <w:t>决算数与预算数持平</w:t>
      </w:r>
      <w:r>
        <w:rPr>
          <w:rStyle w:val="17"/>
          <w:rFonts w:hint="eastAsia" w:ascii="仿宋" w:hAnsi="仿宋" w:eastAsia="仿宋"/>
          <w:b w:val="0"/>
          <w:bCs/>
          <w:color w:val="000000"/>
          <w:sz w:val="32"/>
          <w:szCs w:val="32"/>
        </w:rPr>
        <w:t>。</w:t>
      </w:r>
    </w:p>
    <w:p>
      <w:pPr>
        <w:tabs>
          <w:tab w:val="right" w:pos="8306"/>
        </w:tabs>
        <w:spacing w:line="600" w:lineRule="exact"/>
        <w:ind w:firstLine="640"/>
        <w:outlineLvl w:val="1"/>
        <w:rPr>
          <w:rStyle w:val="29"/>
        </w:rPr>
      </w:pPr>
      <w:bookmarkStart w:id="69" w:name="_Toc15396608"/>
      <w:bookmarkStart w:id="70" w:name="_Toc15377214"/>
      <w:bookmarkStart w:id="71" w:name="_Toc1085"/>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69"/>
      <w:bookmarkEnd w:id="70"/>
      <w:bookmarkEnd w:id="71"/>
      <w:r>
        <w:rPr>
          <w:rStyle w:val="29"/>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22年一般公共预算财政拨款基本支出417.1万元，其中：</w:t>
      </w:r>
    </w:p>
    <w:p>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人员经费122.21万元，主要包括：基本工资、津贴补贴、职工基本医疗保险缴费、绩效工资、机关事业单位基本养老保险缴费、其他社会保障缴费、住房公积金、。</w:t>
      </w:r>
    </w:p>
    <w:p>
      <w:pPr>
        <w:spacing w:line="600" w:lineRule="exact"/>
        <w:ind w:firstLine="645"/>
        <w:rPr>
          <w:rFonts w:ascii="仿宋" w:hAnsi="仿宋" w:eastAsia="仿宋"/>
          <w:b/>
          <w:sz w:val="32"/>
          <w:szCs w:val="32"/>
        </w:rPr>
      </w:pPr>
      <w:r>
        <w:rPr>
          <w:rFonts w:hint="eastAsia" w:ascii="仿宋" w:hAnsi="仿宋" w:eastAsia="仿宋"/>
          <w:sz w:val="32"/>
          <w:szCs w:val="32"/>
        </w:rPr>
        <w:t>　　公用经费294.89万元，主要包括：办公费、邮电费、差旅费、工会经费、福利费、公务用车运行维护费、其他商品和服务支出等。</w:t>
      </w:r>
    </w:p>
    <w:p>
      <w:pPr>
        <w:spacing w:line="600" w:lineRule="exact"/>
        <w:ind w:firstLine="640"/>
        <w:outlineLvl w:val="1"/>
        <w:rPr>
          <w:rStyle w:val="29"/>
          <w:rFonts w:ascii="黑体" w:hAnsi="黑体" w:eastAsia="黑体"/>
          <w:b w:val="0"/>
        </w:rPr>
      </w:pPr>
      <w:bookmarkStart w:id="72" w:name="_Toc15396609"/>
      <w:bookmarkStart w:id="73" w:name="_Toc15377215"/>
      <w:bookmarkStart w:id="74" w:name="_Toc2276"/>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72"/>
      <w:bookmarkEnd w:id="73"/>
      <w:bookmarkEnd w:id="74"/>
    </w:p>
    <w:p>
      <w:pPr>
        <w:spacing w:line="600" w:lineRule="exact"/>
        <w:ind w:firstLine="640"/>
        <w:outlineLvl w:val="2"/>
        <w:rPr>
          <w:rFonts w:ascii="仿宋" w:hAnsi="仿宋" w:eastAsia="仿宋"/>
          <w:b/>
          <w:sz w:val="32"/>
          <w:szCs w:val="32"/>
        </w:rPr>
      </w:pPr>
      <w:bookmarkStart w:id="75" w:name="_Toc143818205"/>
      <w:bookmarkStart w:id="76" w:name="_Toc15377216"/>
      <w:bookmarkStart w:id="77" w:name="_Toc143546620"/>
      <w:r>
        <w:rPr>
          <w:rFonts w:hint="eastAsia" w:ascii="仿宋" w:hAnsi="仿宋" w:eastAsia="仿宋"/>
          <w:b/>
          <w:sz w:val="32"/>
          <w:szCs w:val="32"/>
        </w:rPr>
        <w:t>（一）“三公”经费财政拨款支出决算总体情况说明</w:t>
      </w:r>
      <w:bookmarkEnd w:id="75"/>
      <w:bookmarkEnd w:id="76"/>
      <w:bookmarkEnd w:id="77"/>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22年“三公”经费财政拨款支出决算为390.28万元，完成预算100</w:t>
      </w:r>
      <w:r>
        <w:rPr>
          <w:rFonts w:ascii="仿宋" w:hAnsi="仿宋" w:eastAsia="仿宋"/>
          <w:sz w:val="32"/>
          <w:szCs w:val="32"/>
        </w:rPr>
        <w:t>%</w:t>
      </w:r>
      <w:r>
        <w:rPr>
          <w:rFonts w:hint="eastAsia" w:ascii="仿宋" w:hAnsi="仿宋" w:eastAsia="仿宋"/>
          <w:sz w:val="32"/>
          <w:szCs w:val="32"/>
        </w:rPr>
        <w:t>，较上年增加58.1万元，增长17.49%。主要原因是为了保障全区公务用车正常运行，</w:t>
      </w:r>
      <w:r>
        <w:rPr>
          <w:rFonts w:hint="eastAsia" w:ascii="仿宋" w:hAnsi="仿宋" w:eastAsia="仿宋"/>
          <w:sz w:val="32"/>
          <w:szCs w:val="32"/>
          <w:lang w:val="en-US" w:eastAsia="zh-CN"/>
        </w:rPr>
        <w:t>编制内更新购置公务用车，</w:t>
      </w:r>
      <w:r>
        <w:rPr>
          <w:rFonts w:hint="eastAsia" w:ascii="仿宋" w:hAnsi="仿宋" w:eastAsia="仿宋"/>
          <w:sz w:val="32"/>
          <w:szCs w:val="32"/>
        </w:rPr>
        <w:t>导致开支比上年有所增加。</w:t>
      </w:r>
    </w:p>
    <w:p>
      <w:pPr>
        <w:spacing w:line="600" w:lineRule="exact"/>
        <w:ind w:firstLine="640"/>
        <w:outlineLvl w:val="2"/>
        <w:rPr>
          <w:rFonts w:ascii="仿宋" w:hAnsi="仿宋" w:eastAsia="仿宋"/>
          <w:b/>
          <w:sz w:val="32"/>
          <w:szCs w:val="32"/>
        </w:rPr>
      </w:pPr>
      <w:bookmarkStart w:id="78" w:name="_Toc15377217"/>
      <w:bookmarkStart w:id="79" w:name="_Toc143546621"/>
      <w:bookmarkStart w:id="80" w:name="_Toc143818206"/>
      <w:r>
        <w:rPr>
          <w:rFonts w:hint="eastAsia" w:ascii="仿宋" w:hAnsi="仿宋" w:eastAsia="仿宋"/>
          <w:b/>
          <w:sz w:val="32"/>
          <w:szCs w:val="32"/>
        </w:rPr>
        <w:t>（二）“三公”经费财政拨款支出决算具体情况说明</w:t>
      </w:r>
      <w:bookmarkEnd w:id="78"/>
      <w:bookmarkEnd w:id="79"/>
      <w:bookmarkEnd w:id="80"/>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；公务用车购置及运行维护费支出决算390.28万元，占100</w:t>
      </w:r>
      <w:r>
        <w:rPr>
          <w:rFonts w:ascii="仿宋" w:hAnsi="仿宋" w:eastAsia="仿宋"/>
          <w:sz w:val="32"/>
          <w:szCs w:val="32"/>
        </w:rPr>
        <w:t>%</w:t>
      </w:r>
      <w:r>
        <w:rPr>
          <w:rFonts w:hint="eastAsia" w:ascii="仿宋" w:hAnsi="仿宋" w:eastAsia="仿宋"/>
          <w:sz w:val="32"/>
          <w:szCs w:val="32"/>
        </w:rPr>
        <w:t>；公务接待费支出决算0万元，占0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pStyle w:val="2"/>
        <w:ind w:left="420" w:firstLine="640"/>
        <w:rPr>
          <w:rFonts w:ascii="仿宋" w:hAnsi="仿宋" w:eastAsia="仿宋"/>
          <w:sz w:val="32"/>
        </w:rPr>
      </w:pPr>
      <w:r>
        <w:rPr>
          <w:rFonts w:hint="eastAsia" w:ascii="仿宋" w:hAnsi="仿宋" w:eastAsia="仿宋"/>
          <w:color w:val="000000"/>
          <w:sz w:val="32"/>
        </w:rPr>
        <w:drawing>
          <wp:anchor distT="0" distB="0" distL="114300" distR="114300" simplePos="0" relativeHeight="251664384" behindDoc="0" locked="0" layoutInCell="1" allowOverlap="1">
            <wp:simplePos x="0" y="0"/>
            <wp:positionH relativeFrom="column">
              <wp:posOffset>223520</wp:posOffset>
            </wp:positionH>
            <wp:positionV relativeFrom="paragraph">
              <wp:posOffset>190500</wp:posOffset>
            </wp:positionV>
            <wp:extent cx="5080000" cy="4030345"/>
            <wp:effectExtent l="4445" t="4445" r="20955" b="22860"/>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pStyle w:val="7"/>
        <w:keepNext w:val="0"/>
        <w:keepLines w:val="0"/>
        <w:pageBreakBefore w:val="0"/>
        <w:numPr>
          <w:ilvl w:val="0"/>
          <w:numId w:val="0"/>
        </w:numPr>
        <w:kinsoku/>
        <w:wordWrap/>
        <w:overflowPunct/>
        <w:topLinePunct w:val="0"/>
        <w:bidi w:val="0"/>
        <w:snapToGrid/>
        <w:spacing w:line="560" w:lineRule="exact"/>
        <w:ind w:firstLine="643" w:firstLineChars="200"/>
        <w:textAlignment w:val="auto"/>
        <w:rPr>
          <w:rFonts w:ascii="仿宋" w:hAnsi="仿宋" w:eastAsia="仿宋"/>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 w:hAnsi="仿宋" w:eastAsia="仿宋"/>
          <w:sz w:val="32"/>
          <w:szCs w:val="32"/>
        </w:rPr>
        <w:t>0万元，</w:t>
      </w:r>
      <w:r>
        <w:rPr>
          <w:rStyle w:val="17"/>
          <w:rFonts w:hint="eastAsia" w:ascii="仿宋" w:hAnsi="仿宋" w:eastAsia="仿宋"/>
          <w:b w:val="0"/>
          <w:bCs/>
          <w:sz w:val="32"/>
          <w:szCs w:val="32"/>
        </w:rPr>
        <w:t>完成预算0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 w:hAnsi="仿宋" w:eastAsia="仿宋"/>
          <w:sz w:val="32"/>
          <w:szCs w:val="32"/>
        </w:rPr>
        <w:t>全年安排因公出国（境）团组0次，出国（境）0人。因公出国（境）支出决算与</w:t>
      </w:r>
      <w:r>
        <w:rPr>
          <w:rFonts w:ascii="仿宋" w:hAnsi="仿宋" w:eastAsia="仿宋"/>
          <w:sz w:val="32"/>
          <w:szCs w:val="32"/>
        </w:rPr>
        <w:t>20</w:t>
      </w:r>
      <w:r>
        <w:rPr>
          <w:rFonts w:hint="eastAsia" w:ascii="仿宋" w:hAnsi="仿宋" w:eastAsia="仿宋"/>
          <w:sz w:val="32"/>
          <w:szCs w:val="32"/>
        </w:rPr>
        <w:t>20年</w:t>
      </w:r>
      <w:r>
        <w:rPr>
          <w:rFonts w:hint="eastAsia" w:ascii="仿宋" w:hAnsi="仿宋" w:eastAsia="仿宋"/>
          <w:color w:val="000000"/>
          <w:sz w:val="32"/>
          <w:szCs w:val="32"/>
        </w:rPr>
        <w:t>持平</w:t>
      </w:r>
      <w:r>
        <w:rPr>
          <w:rFonts w:hint="eastAsia" w:ascii="仿宋" w:hAnsi="仿宋" w:eastAsia="仿宋"/>
          <w:sz w:val="32"/>
          <w:szCs w:val="32"/>
        </w:rPr>
        <w:t>。</w:t>
      </w:r>
    </w:p>
    <w:p>
      <w:pPr>
        <w:keepNext w:val="0"/>
        <w:keepLines w:val="0"/>
        <w:pageBreakBefore w:val="0"/>
        <w:kinsoku/>
        <w:wordWrap/>
        <w:overflowPunct/>
        <w:topLinePunct w:val="0"/>
        <w:bidi w:val="0"/>
        <w:snapToGrid/>
        <w:spacing w:line="560" w:lineRule="exact"/>
        <w:ind w:firstLine="643" w:firstLineChars="200"/>
        <w:textAlignment w:val="auto"/>
        <w:rPr>
          <w:rFonts w:ascii="仿宋" w:hAnsi="仿宋" w:eastAsia="仿宋"/>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 w:hAnsi="仿宋" w:eastAsia="仿宋"/>
          <w:sz w:val="32"/>
          <w:szCs w:val="32"/>
        </w:rPr>
        <w:t>390.28万元,</w:t>
      </w:r>
      <w:r>
        <w:rPr>
          <w:rStyle w:val="17"/>
          <w:rFonts w:hint="eastAsia" w:ascii="仿宋" w:hAnsi="仿宋" w:eastAsia="仿宋"/>
          <w:b w:val="0"/>
          <w:bCs/>
          <w:sz w:val="32"/>
          <w:szCs w:val="32"/>
        </w:rPr>
        <w:t>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 w:hAnsi="仿宋" w:eastAsia="仿宋"/>
          <w:sz w:val="32"/>
          <w:szCs w:val="32"/>
        </w:rPr>
        <w:t>公务用车购置及运行维护费支出决算比</w:t>
      </w:r>
      <w:r>
        <w:rPr>
          <w:rFonts w:ascii="仿宋" w:hAnsi="仿宋" w:eastAsia="仿宋"/>
          <w:sz w:val="32"/>
          <w:szCs w:val="32"/>
        </w:rPr>
        <w:t>20</w:t>
      </w:r>
      <w:r>
        <w:rPr>
          <w:rFonts w:hint="eastAsia" w:ascii="仿宋" w:hAnsi="仿宋" w:eastAsia="仿宋"/>
          <w:sz w:val="32"/>
          <w:szCs w:val="32"/>
        </w:rPr>
        <w:t>21年增加58.1万元，增长17.49</w:t>
      </w:r>
      <w:r>
        <w:rPr>
          <w:rFonts w:ascii="仿宋" w:hAnsi="仿宋" w:eastAsia="仿宋"/>
          <w:sz w:val="32"/>
          <w:szCs w:val="32"/>
        </w:rPr>
        <w:t>%</w:t>
      </w:r>
      <w:r>
        <w:rPr>
          <w:rFonts w:hint="eastAsia" w:ascii="仿宋" w:hAnsi="仿宋" w:eastAsia="仿宋"/>
          <w:sz w:val="32"/>
          <w:szCs w:val="32"/>
        </w:rPr>
        <w:t>。主要原因是为了保障全区公务用车正常运行购入一批公务用车。</w:t>
      </w:r>
    </w:p>
    <w:p>
      <w:pPr>
        <w:keepNext w:val="0"/>
        <w:keepLines w:val="0"/>
        <w:pageBreakBefore w:val="0"/>
        <w:kinsoku/>
        <w:wordWrap/>
        <w:overflowPunct/>
        <w:topLinePunct w:val="0"/>
        <w:bidi w:val="0"/>
        <w:snapToGrid/>
        <w:spacing w:line="560" w:lineRule="exact"/>
        <w:ind w:firstLine="640" w:firstLineChars="200"/>
        <w:textAlignment w:val="auto"/>
        <w:rPr>
          <w:rFonts w:ascii="仿宋" w:hAnsi="仿宋" w:eastAsia="仿宋"/>
          <w:b/>
          <w:sz w:val="32"/>
          <w:szCs w:val="32"/>
        </w:rPr>
      </w:pPr>
      <w:r>
        <w:rPr>
          <w:rFonts w:hint="eastAsia" w:ascii="仿宋" w:hAnsi="仿宋" w:eastAsia="仿宋"/>
          <w:sz w:val="32"/>
          <w:szCs w:val="32"/>
        </w:rPr>
        <w:t>其中</w:t>
      </w:r>
      <w:r>
        <w:rPr>
          <w:rFonts w:hint="eastAsia" w:ascii="仿宋_GB2312" w:eastAsia="仿宋_GB2312"/>
          <w:sz w:val="32"/>
          <w:szCs w:val="32"/>
        </w:rPr>
        <w:t>：</w:t>
      </w:r>
      <w:r>
        <w:rPr>
          <w:rFonts w:hint="eastAsia" w:ascii="仿宋_GB2312" w:eastAsia="仿宋_GB2312"/>
          <w:b/>
          <w:sz w:val="32"/>
          <w:szCs w:val="32"/>
        </w:rPr>
        <w:t>公务用车购置支出</w:t>
      </w:r>
      <w:r>
        <w:rPr>
          <w:rFonts w:hint="eastAsia" w:ascii="仿宋" w:hAnsi="仿宋" w:eastAsia="仿宋"/>
          <w:sz w:val="32"/>
          <w:szCs w:val="32"/>
        </w:rPr>
        <w:t>99.48万元。全年按规定更新购置公务用车6辆，其中：</w:t>
      </w:r>
      <w:r>
        <w:rPr>
          <w:rFonts w:hint="eastAsia" w:ascii="仿宋" w:hAnsi="仿宋" w:eastAsia="仿宋"/>
          <w:sz w:val="32"/>
          <w:szCs w:val="32"/>
          <w:lang w:val="en-US" w:eastAsia="zh-CN"/>
        </w:rPr>
        <w:t>新能源</w:t>
      </w:r>
      <w:r>
        <w:rPr>
          <w:rFonts w:hint="eastAsia" w:ascii="仿宋" w:hAnsi="仿宋" w:eastAsia="仿宋"/>
          <w:sz w:val="32"/>
          <w:szCs w:val="32"/>
        </w:rPr>
        <w:t>轿车6辆、金额99.48万元，主要用于保障全区公务用车正常运行。截至</w:t>
      </w:r>
      <w:r>
        <w:rPr>
          <w:rFonts w:ascii="仿宋" w:hAnsi="仿宋" w:eastAsia="仿宋"/>
          <w:sz w:val="32"/>
          <w:szCs w:val="32"/>
        </w:rPr>
        <w:t>20</w:t>
      </w:r>
      <w:r>
        <w:rPr>
          <w:rFonts w:hint="eastAsia" w:ascii="仿宋" w:hAnsi="仿宋" w:eastAsia="仿宋"/>
          <w:sz w:val="32"/>
          <w:szCs w:val="32"/>
        </w:rPr>
        <w:t>22年</w:t>
      </w:r>
      <w:r>
        <w:rPr>
          <w:rFonts w:ascii="仿宋" w:hAnsi="仿宋" w:eastAsia="仿宋"/>
          <w:sz w:val="32"/>
          <w:szCs w:val="32"/>
        </w:rPr>
        <w:t>12</w:t>
      </w:r>
      <w:r>
        <w:rPr>
          <w:rFonts w:hint="eastAsia" w:ascii="仿宋" w:hAnsi="仿宋" w:eastAsia="仿宋"/>
          <w:sz w:val="32"/>
          <w:szCs w:val="32"/>
        </w:rPr>
        <w:t>月底，单位共有公务用车</w:t>
      </w:r>
      <w:r>
        <w:rPr>
          <w:rFonts w:hint="eastAsia" w:ascii="仿宋" w:hAnsi="仿宋" w:eastAsia="仿宋"/>
          <w:sz w:val="32"/>
          <w:szCs w:val="32"/>
          <w:lang w:val="en-US" w:eastAsia="zh-CN"/>
        </w:rPr>
        <w:t>72</w:t>
      </w:r>
      <w:r>
        <w:rPr>
          <w:rFonts w:hint="eastAsia" w:ascii="仿宋" w:hAnsi="仿宋" w:eastAsia="仿宋"/>
          <w:sz w:val="32"/>
          <w:szCs w:val="32"/>
        </w:rPr>
        <w:t>辆，其中：轿车3</w:t>
      </w:r>
      <w:r>
        <w:rPr>
          <w:rFonts w:hint="eastAsia" w:ascii="仿宋" w:hAnsi="仿宋" w:eastAsia="仿宋"/>
          <w:sz w:val="32"/>
          <w:szCs w:val="32"/>
          <w:lang w:val="en-US" w:eastAsia="zh-CN"/>
        </w:rPr>
        <w:t>6</w:t>
      </w:r>
      <w:r>
        <w:rPr>
          <w:rFonts w:hint="eastAsia" w:ascii="仿宋" w:hAnsi="仿宋" w:eastAsia="仿宋"/>
          <w:sz w:val="32"/>
          <w:szCs w:val="32"/>
        </w:rPr>
        <w:t>辆、越野车34辆、载客汽车</w:t>
      </w:r>
      <w:r>
        <w:rPr>
          <w:rFonts w:hint="eastAsia" w:ascii="仿宋" w:hAnsi="仿宋" w:eastAsia="仿宋"/>
          <w:sz w:val="32"/>
          <w:szCs w:val="32"/>
          <w:lang w:val="en-US" w:eastAsia="zh-CN"/>
        </w:rPr>
        <w:t>2</w:t>
      </w:r>
      <w:r>
        <w:rPr>
          <w:rFonts w:hint="eastAsia" w:ascii="仿宋" w:hAnsi="仿宋" w:eastAsia="仿宋"/>
          <w:sz w:val="32"/>
          <w:szCs w:val="32"/>
        </w:rPr>
        <w:t>辆。</w:t>
      </w:r>
    </w:p>
    <w:p>
      <w:pPr>
        <w:keepNext w:val="0"/>
        <w:keepLines w:val="0"/>
        <w:pageBreakBefore w:val="0"/>
        <w:kinsoku/>
        <w:wordWrap/>
        <w:overflowPunct/>
        <w:topLinePunct w:val="0"/>
        <w:bidi w:val="0"/>
        <w:snapToGrid/>
        <w:spacing w:line="560" w:lineRule="exact"/>
        <w:ind w:firstLine="643" w:firstLineChars="200"/>
        <w:textAlignment w:val="auto"/>
        <w:rPr>
          <w:rFonts w:ascii="仿宋" w:hAnsi="仿宋" w:eastAsia="仿宋" w:cs="仿宋"/>
          <w:color w:val="000000"/>
          <w:sz w:val="32"/>
          <w:szCs w:val="32"/>
        </w:rPr>
      </w:pPr>
      <w:r>
        <w:rPr>
          <w:rFonts w:hint="eastAsia" w:ascii="仿宋_GB2312" w:eastAsia="仿宋_GB2312"/>
          <w:b/>
          <w:sz w:val="32"/>
          <w:szCs w:val="32"/>
        </w:rPr>
        <w:t>公务用车运行维护费支出</w:t>
      </w:r>
      <w:r>
        <w:rPr>
          <w:rFonts w:hint="eastAsia" w:ascii="仿宋" w:hAnsi="仿宋" w:eastAsia="仿宋"/>
          <w:sz w:val="32"/>
          <w:szCs w:val="32"/>
        </w:rPr>
        <w:t>290.80万元。主要用于</w:t>
      </w:r>
      <w:r>
        <w:rPr>
          <w:rFonts w:hint="eastAsia" w:ascii="仿宋" w:hAnsi="仿宋" w:eastAsia="仿宋" w:cs="仿宋"/>
          <w:color w:val="000000"/>
          <w:sz w:val="32"/>
          <w:szCs w:val="32"/>
        </w:rPr>
        <w:t>应急保障、机关运行等所需的公务用车燃料费、维修费、过路过桥费、保险费等支出。</w:t>
      </w:r>
    </w:p>
    <w:p>
      <w:pPr>
        <w:keepNext w:val="0"/>
        <w:keepLines w:val="0"/>
        <w:pageBreakBefore w:val="0"/>
        <w:kinsoku/>
        <w:wordWrap/>
        <w:overflowPunct/>
        <w:topLinePunct w:val="0"/>
        <w:bidi w:val="0"/>
        <w:snapToGrid/>
        <w:spacing w:line="560" w:lineRule="exact"/>
        <w:ind w:firstLine="643" w:firstLineChars="200"/>
        <w:textAlignment w:val="auto"/>
        <w:rPr>
          <w:rFonts w:ascii="仿宋" w:hAnsi="仿宋" w:eastAsia="仿宋"/>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0万元，</w:t>
      </w:r>
      <w:r>
        <w:rPr>
          <w:rStyle w:val="17"/>
          <w:rFonts w:hint="eastAsia" w:ascii="仿宋" w:hAnsi="仿宋" w:eastAsia="仿宋"/>
          <w:b w:val="0"/>
          <w:bCs/>
          <w:sz w:val="32"/>
          <w:szCs w:val="32"/>
        </w:rPr>
        <w:t>完成预算0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 w:hAnsi="仿宋" w:eastAsia="仿宋"/>
          <w:sz w:val="32"/>
          <w:szCs w:val="32"/>
        </w:rPr>
        <w:t>公务接待费支出决算与2021年持平。</w:t>
      </w:r>
    </w:p>
    <w:p>
      <w:pPr>
        <w:keepNext w:val="0"/>
        <w:keepLines w:val="0"/>
        <w:pageBreakBefore w:val="0"/>
        <w:kinsoku/>
        <w:wordWrap/>
        <w:overflowPunct/>
        <w:topLinePunct w:val="0"/>
        <w:bidi w:val="0"/>
        <w:snapToGrid/>
        <w:spacing w:line="560" w:lineRule="exact"/>
        <w:ind w:firstLine="643" w:firstLineChars="200"/>
        <w:textAlignment w:val="auto"/>
        <w:rPr>
          <w:rFonts w:ascii="仿宋" w:hAnsi="仿宋" w:eastAsia="仿宋"/>
          <w:sz w:val="32"/>
          <w:szCs w:val="32"/>
        </w:rPr>
      </w:pPr>
      <w:r>
        <w:rPr>
          <w:rFonts w:hint="eastAsia" w:ascii="仿宋" w:hAnsi="仿宋" w:eastAsia="仿宋"/>
          <w:b/>
          <w:sz w:val="32"/>
          <w:szCs w:val="32"/>
        </w:rPr>
        <w:t>国内公务接待支出</w:t>
      </w:r>
      <w:r>
        <w:rPr>
          <w:rFonts w:hint="eastAsia" w:ascii="仿宋" w:hAnsi="仿宋" w:eastAsia="仿宋"/>
          <w:sz w:val="32"/>
          <w:szCs w:val="32"/>
        </w:rPr>
        <w:t>0万元。</w:t>
      </w:r>
    </w:p>
    <w:p>
      <w:pPr>
        <w:keepNext w:val="0"/>
        <w:keepLines w:val="0"/>
        <w:pageBreakBefore w:val="0"/>
        <w:kinsoku/>
        <w:wordWrap/>
        <w:overflowPunct/>
        <w:topLinePunct w:val="0"/>
        <w:bidi w:val="0"/>
        <w:snapToGrid/>
        <w:spacing w:line="560" w:lineRule="exact"/>
        <w:ind w:firstLine="643" w:firstLineChars="200"/>
        <w:textAlignment w:val="auto"/>
        <w:rPr>
          <w:rFonts w:ascii="仿宋" w:hAnsi="仿宋" w:eastAsia="仿宋"/>
          <w:sz w:val="32"/>
          <w:szCs w:val="32"/>
        </w:rPr>
      </w:pPr>
      <w:r>
        <w:rPr>
          <w:rFonts w:hint="eastAsia" w:ascii="仿宋" w:hAnsi="仿宋" w:eastAsia="仿宋"/>
          <w:b/>
          <w:sz w:val="32"/>
          <w:szCs w:val="32"/>
        </w:rPr>
        <w:t>外事接待支出</w:t>
      </w:r>
      <w:r>
        <w:rPr>
          <w:rFonts w:hint="eastAsia" w:ascii="仿宋" w:hAnsi="仿宋" w:eastAsia="仿宋"/>
          <w:sz w:val="32"/>
          <w:szCs w:val="32"/>
        </w:rPr>
        <w:t>0万元。</w:t>
      </w:r>
      <w:bookmarkStart w:id="81" w:name="_Toc15377218"/>
      <w:bookmarkStart w:id="82" w:name="_Toc15396610"/>
    </w:p>
    <w:p>
      <w:pPr>
        <w:keepNext w:val="0"/>
        <w:keepLines w:val="0"/>
        <w:pageBreakBefore w:val="0"/>
        <w:kinsoku/>
        <w:wordWrap/>
        <w:overflowPunct/>
        <w:topLinePunct w:val="0"/>
        <w:bidi w:val="0"/>
        <w:snapToGrid/>
        <w:spacing w:line="560" w:lineRule="exact"/>
        <w:ind w:firstLine="640" w:firstLineChars="200"/>
        <w:textAlignment w:val="auto"/>
        <w:outlineLvl w:val="1"/>
        <w:rPr>
          <w:rStyle w:val="29"/>
          <w:rFonts w:ascii="黑体" w:hAnsi="黑体" w:eastAsia="黑体"/>
        </w:rPr>
      </w:pPr>
      <w:bookmarkStart w:id="83" w:name="_Toc4365"/>
      <w:r>
        <w:rPr>
          <w:rFonts w:hint="eastAsia" w:ascii="黑体" w:eastAsia="黑体"/>
          <w:sz w:val="32"/>
          <w:szCs w:val="32"/>
        </w:rPr>
        <w:t>八、</w:t>
      </w:r>
      <w:r>
        <w:rPr>
          <w:rStyle w:val="29"/>
          <w:rFonts w:hint="eastAsia" w:ascii="黑体" w:hAnsi="黑体" w:eastAsia="黑体"/>
          <w:b w:val="0"/>
        </w:rPr>
        <w:t>政府性基金预算支出决算情况说明</w:t>
      </w:r>
      <w:bookmarkEnd w:id="81"/>
      <w:bookmarkEnd w:id="82"/>
      <w:bookmarkEnd w:id="83"/>
    </w:p>
    <w:p>
      <w:pPr>
        <w:keepNext w:val="0"/>
        <w:keepLines w:val="0"/>
        <w:pageBreakBefore w:val="0"/>
        <w:kinsoku/>
        <w:wordWrap/>
        <w:overflowPunct/>
        <w:topLinePunct w:val="0"/>
        <w:bidi w:val="0"/>
        <w:snapToGrid/>
        <w:spacing w:line="560" w:lineRule="exact"/>
        <w:ind w:firstLine="640" w:firstLineChars="200"/>
        <w:textAlignment w:val="auto"/>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22年政府性基金预算财政拨款支出101.27万元。</w:t>
      </w:r>
    </w:p>
    <w:p>
      <w:pPr>
        <w:keepNext w:val="0"/>
        <w:keepLines w:val="0"/>
        <w:pageBreakBefore w:val="0"/>
        <w:numPr>
          <w:ilvl w:val="0"/>
          <w:numId w:val="2"/>
        </w:numPr>
        <w:kinsoku/>
        <w:wordWrap/>
        <w:overflowPunct/>
        <w:topLinePunct w:val="0"/>
        <w:bidi w:val="0"/>
        <w:snapToGrid/>
        <w:spacing w:line="560" w:lineRule="exact"/>
        <w:ind w:firstLine="640" w:firstLineChars="200"/>
        <w:textAlignment w:val="auto"/>
        <w:outlineLvl w:val="1"/>
        <w:rPr>
          <w:rStyle w:val="29"/>
          <w:rFonts w:ascii="黑体" w:hAnsi="黑体" w:eastAsia="黑体"/>
          <w:b w:val="0"/>
        </w:rPr>
      </w:pPr>
      <w:bookmarkStart w:id="84" w:name="_Toc15396611"/>
      <w:bookmarkStart w:id="85" w:name="_Toc15377219"/>
      <w:bookmarkStart w:id="86" w:name="_Toc27237"/>
      <w:r>
        <w:rPr>
          <w:rStyle w:val="29"/>
          <w:rFonts w:hint="eastAsia" w:ascii="黑体" w:hAnsi="黑体" w:eastAsia="黑体"/>
          <w:b w:val="0"/>
        </w:rPr>
        <w:t>国有资本经营预算支出决算情况说明</w:t>
      </w:r>
      <w:bookmarkEnd w:id="84"/>
      <w:bookmarkEnd w:id="85"/>
      <w:bookmarkEnd w:id="86"/>
    </w:p>
    <w:p>
      <w:pPr>
        <w:keepNext w:val="0"/>
        <w:keepLines w:val="0"/>
        <w:pageBreakBefore w:val="0"/>
        <w:kinsoku/>
        <w:wordWrap/>
        <w:overflowPunct/>
        <w:topLinePunct w:val="0"/>
        <w:bidi w:val="0"/>
        <w:snapToGrid/>
        <w:spacing w:line="560" w:lineRule="exact"/>
        <w:ind w:firstLine="640" w:firstLineChars="200"/>
        <w:textAlignment w:val="auto"/>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22年国有资本经营预算财政拨款支出200万元。</w:t>
      </w:r>
    </w:p>
    <w:p>
      <w:pPr>
        <w:keepNext w:val="0"/>
        <w:keepLines w:val="0"/>
        <w:pageBreakBefore w:val="0"/>
        <w:numPr>
          <w:ilvl w:val="0"/>
          <w:numId w:val="2"/>
        </w:numPr>
        <w:kinsoku/>
        <w:wordWrap/>
        <w:overflowPunct/>
        <w:topLinePunct w:val="0"/>
        <w:bidi w:val="0"/>
        <w:snapToGrid/>
        <w:spacing w:line="560" w:lineRule="exact"/>
        <w:ind w:firstLine="640" w:firstLineChars="200"/>
        <w:textAlignment w:val="auto"/>
        <w:outlineLvl w:val="1"/>
        <w:rPr>
          <w:rStyle w:val="29"/>
          <w:rFonts w:ascii="黑体" w:hAnsi="黑体" w:eastAsia="黑体"/>
          <w:b w:val="0"/>
        </w:rPr>
      </w:pPr>
      <w:bookmarkStart w:id="87" w:name="_Toc15377221"/>
      <w:bookmarkStart w:id="88" w:name="_Toc15396612"/>
      <w:bookmarkStart w:id="89" w:name="_Toc11351"/>
      <w:r>
        <w:rPr>
          <w:rStyle w:val="29"/>
          <w:rFonts w:hint="eastAsia" w:ascii="黑体" w:hAnsi="黑体" w:eastAsia="黑体"/>
          <w:b w:val="0"/>
        </w:rPr>
        <w:t>其他重要事项的情况说明</w:t>
      </w:r>
      <w:bookmarkEnd w:id="87"/>
      <w:bookmarkEnd w:id="88"/>
      <w:bookmarkEnd w:id="89"/>
    </w:p>
    <w:p>
      <w:pPr>
        <w:keepNext w:val="0"/>
        <w:keepLines w:val="0"/>
        <w:pageBreakBefore w:val="0"/>
        <w:kinsoku/>
        <w:wordWrap/>
        <w:overflowPunct/>
        <w:topLinePunct w:val="0"/>
        <w:bidi w:val="0"/>
        <w:snapToGrid/>
        <w:spacing w:line="560" w:lineRule="exact"/>
        <w:ind w:firstLine="643" w:firstLineChars="200"/>
        <w:textAlignment w:val="auto"/>
        <w:outlineLvl w:val="2"/>
        <w:rPr>
          <w:rFonts w:ascii="仿宋" w:hAnsi="仿宋" w:eastAsia="仿宋"/>
          <w:sz w:val="32"/>
          <w:szCs w:val="32"/>
        </w:rPr>
      </w:pPr>
      <w:bookmarkStart w:id="90" w:name="_Toc143546625"/>
      <w:bookmarkStart w:id="91" w:name="_Toc15377222"/>
      <w:bookmarkStart w:id="92" w:name="_Toc143818210"/>
      <w:r>
        <w:rPr>
          <w:rFonts w:hint="eastAsia" w:ascii="仿宋" w:hAnsi="仿宋" w:eastAsia="仿宋"/>
          <w:b/>
          <w:sz w:val="32"/>
          <w:szCs w:val="32"/>
        </w:rPr>
        <w:t>（一）机关运行经费支出情况</w:t>
      </w:r>
      <w:bookmarkEnd w:id="90"/>
      <w:bookmarkEnd w:id="91"/>
      <w:bookmarkEnd w:id="92"/>
    </w:p>
    <w:p>
      <w:pPr>
        <w:keepNext w:val="0"/>
        <w:keepLines w:val="0"/>
        <w:pageBreakBefore w:val="0"/>
        <w:kinsoku/>
        <w:wordWrap/>
        <w:overflowPunct/>
        <w:topLinePunct w:val="0"/>
        <w:bidi w:val="0"/>
        <w:snapToGrid/>
        <w:spacing w:line="560" w:lineRule="exact"/>
        <w:ind w:firstLine="640" w:firstLineChars="200"/>
        <w:textAlignment w:val="auto"/>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w:t>
      </w:r>
      <w:r>
        <w:rPr>
          <w:rFonts w:hint="eastAsia" w:ascii="仿宋" w:hAnsi="仿宋" w:eastAsia="仿宋"/>
          <w:color w:val="000000"/>
          <w:sz w:val="32"/>
          <w:szCs w:val="32"/>
        </w:rPr>
        <w:t>机关事务服务中心</w:t>
      </w:r>
      <w:r>
        <w:rPr>
          <w:rFonts w:hint="eastAsia" w:ascii="仿宋" w:hAnsi="仿宋" w:eastAsia="仿宋"/>
          <w:sz w:val="32"/>
          <w:szCs w:val="32"/>
        </w:rPr>
        <w:t>机关运行经费支出294.89万元，比</w:t>
      </w:r>
      <w:r>
        <w:rPr>
          <w:rFonts w:ascii="仿宋" w:hAnsi="仿宋" w:eastAsia="仿宋"/>
          <w:sz w:val="32"/>
          <w:szCs w:val="32"/>
        </w:rPr>
        <w:t>20</w:t>
      </w:r>
      <w:r>
        <w:rPr>
          <w:rFonts w:hint="eastAsia" w:ascii="仿宋" w:hAnsi="仿宋" w:eastAsia="仿宋"/>
          <w:sz w:val="32"/>
          <w:szCs w:val="32"/>
        </w:rPr>
        <w:t>21年增加8.24万元，增长2.87</w:t>
      </w:r>
      <w:r>
        <w:rPr>
          <w:rFonts w:ascii="仿宋" w:hAnsi="仿宋" w:eastAsia="仿宋"/>
          <w:sz w:val="32"/>
          <w:szCs w:val="32"/>
        </w:rPr>
        <w:t>%</w:t>
      </w:r>
      <w:r>
        <w:rPr>
          <w:rFonts w:hint="eastAsia" w:ascii="仿宋" w:hAnsi="仿宋" w:eastAsia="仿宋"/>
          <w:sz w:val="32"/>
          <w:szCs w:val="32"/>
        </w:rPr>
        <w:t>。主要原因是为了保障</w:t>
      </w:r>
      <w:r>
        <w:rPr>
          <w:rFonts w:hint="eastAsia" w:ascii="仿宋" w:hAnsi="仿宋" w:eastAsia="仿宋"/>
          <w:sz w:val="32"/>
          <w:szCs w:val="32"/>
          <w:lang w:val="en-US" w:eastAsia="zh-CN"/>
        </w:rPr>
        <w:t>集中办公区正常运行，维修维护费用增加</w:t>
      </w:r>
      <w:r>
        <w:rPr>
          <w:rFonts w:hint="eastAsia" w:ascii="仿宋" w:hAnsi="仿宋" w:eastAsia="仿宋"/>
          <w:sz w:val="32"/>
          <w:szCs w:val="32"/>
        </w:rPr>
        <w:t>。</w:t>
      </w:r>
    </w:p>
    <w:p>
      <w:pPr>
        <w:keepNext w:val="0"/>
        <w:keepLines w:val="0"/>
        <w:pageBreakBefore w:val="0"/>
        <w:kinsoku/>
        <w:wordWrap/>
        <w:overflowPunct/>
        <w:topLinePunct w:val="0"/>
        <w:autoSpaceDE w:val="0"/>
        <w:autoSpaceDN w:val="0"/>
        <w:bidi w:val="0"/>
        <w:adjustRightInd w:val="0"/>
        <w:snapToGrid/>
        <w:spacing w:line="560" w:lineRule="exact"/>
        <w:ind w:firstLine="643" w:firstLineChars="200"/>
        <w:jc w:val="left"/>
        <w:textAlignment w:val="auto"/>
        <w:outlineLvl w:val="2"/>
        <w:rPr>
          <w:rFonts w:ascii="仿宋" w:hAnsi="仿宋" w:eastAsia="仿宋"/>
          <w:b/>
          <w:sz w:val="32"/>
          <w:szCs w:val="32"/>
        </w:rPr>
      </w:pPr>
      <w:bookmarkStart w:id="93" w:name="_Toc143818211"/>
      <w:bookmarkStart w:id="94" w:name="_Toc15377223"/>
      <w:bookmarkStart w:id="95" w:name="_Toc143546626"/>
      <w:r>
        <w:rPr>
          <w:rFonts w:hint="eastAsia" w:ascii="仿宋" w:hAnsi="仿宋" w:eastAsia="仿宋"/>
          <w:b/>
          <w:sz w:val="32"/>
          <w:szCs w:val="32"/>
        </w:rPr>
        <w:t>（二）政府采购支出情况</w:t>
      </w:r>
      <w:bookmarkEnd w:id="93"/>
      <w:bookmarkEnd w:id="94"/>
      <w:bookmarkEnd w:id="95"/>
    </w:p>
    <w:p>
      <w:pPr>
        <w:keepNext w:val="0"/>
        <w:keepLines w:val="0"/>
        <w:pageBreakBefore w:val="0"/>
        <w:kinsoku/>
        <w:wordWrap/>
        <w:overflowPunct/>
        <w:topLinePunct w:val="0"/>
        <w:bidi w:val="0"/>
        <w:snapToGrid/>
        <w:spacing w:line="560" w:lineRule="exact"/>
        <w:ind w:firstLine="640" w:firstLineChars="200"/>
        <w:textAlignment w:val="auto"/>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w:t>
      </w:r>
      <w:r>
        <w:rPr>
          <w:rFonts w:hint="eastAsia" w:ascii="仿宋" w:hAnsi="仿宋" w:eastAsia="仿宋"/>
          <w:color w:val="000000"/>
          <w:sz w:val="32"/>
          <w:szCs w:val="32"/>
        </w:rPr>
        <w:t>机关事务服务中心</w:t>
      </w:r>
      <w:r>
        <w:rPr>
          <w:rFonts w:hint="eastAsia" w:ascii="仿宋" w:hAnsi="仿宋" w:eastAsia="仿宋"/>
          <w:sz w:val="32"/>
          <w:szCs w:val="32"/>
        </w:rPr>
        <w:t>政府采购支出总额99.48万元，其中：政府采购货物支出99.48万元、政府采购工程支出0万元、政府采购服务支出0万元。主要用于</w:t>
      </w:r>
      <w:r>
        <w:rPr>
          <w:rFonts w:hint="eastAsia" w:ascii="仿宋" w:hAnsi="仿宋" w:eastAsia="仿宋"/>
          <w:sz w:val="32"/>
          <w:szCs w:val="32"/>
          <w:lang w:val="en-US" w:eastAsia="zh-CN"/>
        </w:rPr>
        <w:t>新购新能源公务用车，</w:t>
      </w:r>
      <w:r>
        <w:rPr>
          <w:rFonts w:hint="eastAsia" w:ascii="仿宋" w:hAnsi="仿宋" w:eastAsia="仿宋"/>
          <w:sz w:val="32"/>
          <w:szCs w:val="32"/>
        </w:rPr>
        <w:t>保障全区公务用车正常运行。</w:t>
      </w:r>
    </w:p>
    <w:p>
      <w:pPr>
        <w:keepNext w:val="0"/>
        <w:keepLines w:val="0"/>
        <w:pageBreakBefore w:val="0"/>
        <w:kinsoku/>
        <w:wordWrap/>
        <w:overflowPunct/>
        <w:topLinePunct w:val="0"/>
        <w:autoSpaceDE w:val="0"/>
        <w:autoSpaceDN w:val="0"/>
        <w:bidi w:val="0"/>
        <w:adjustRightInd w:val="0"/>
        <w:snapToGrid/>
        <w:spacing w:line="560" w:lineRule="exact"/>
        <w:ind w:firstLine="643" w:firstLineChars="200"/>
        <w:jc w:val="left"/>
        <w:textAlignment w:val="auto"/>
        <w:outlineLvl w:val="2"/>
        <w:rPr>
          <w:rFonts w:ascii="仿宋" w:hAnsi="仿宋" w:eastAsia="仿宋"/>
          <w:b/>
          <w:sz w:val="32"/>
          <w:szCs w:val="32"/>
        </w:rPr>
      </w:pPr>
      <w:bookmarkStart w:id="96" w:name="_Toc15377224"/>
      <w:bookmarkStart w:id="97" w:name="_Toc143546627"/>
      <w:bookmarkStart w:id="98" w:name="_Toc143818212"/>
      <w:r>
        <w:rPr>
          <w:rFonts w:hint="eastAsia" w:ascii="仿宋" w:hAnsi="仿宋" w:eastAsia="仿宋"/>
          <w:b/>
          <w:sz w:val="32"/>
          <w:szCs w:val="32"/>
        </w:rPr>
        <w:t>（三）国有资产占有使用情况</w:t>
      </w:r>
      <w:bookmarkEnd w:id="96"/>
      <w:bookmarkEnd w:id="97"/>
      <w:bookmarkEnd w:id="98"/>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截至</w:t>
      </w:r>
      <w:r>
        <w:rPr>
          <w:rFonts w:ascii="仿宋" w:hAnsi="仿宋" w:eastAsia="仿宋"/>
          <w:sz w:val="32"/>
          <w:szCs w:val="32"/>
        </w:rPr>
        <w:t>20</w:t>
      </w:r>
      <w:r>
        <w:rPr>
          <w:rFonts w:hint="eastAsia" w:ascii="仿宋" w:hAnsi="仿宋" w:eastAsia="仿宋"/>
          <w:sz w:val="32"/>
          <w:szCs w:val="32"/>
        </w:rPr>
        <w:t>22年</w:t>
      </w:r>
      <w:r>
        <w:rPr>
          <w:rFonts w:ascii="仿宋" w:hAnsi="仿宋" w:eastAsia="仿宋"/>
          <w:sz w:val="32"/>
          <w:szCs w:val="32"/>
        </w:rPr>
        <w:t>12</w:t>
      </w:r>
      <w:r>
        <w:rPr>
          <w:rFonts w:hint="eastAsia" w:ascii="仿宋" w:hAnsi="仿宋" w:eastAsia="仿宋"/>
          <w:sz w:val="32"/>
          <w:szCs w:val="32"/>
        </w:rPr>
        <w:t>月</w:t>
      </w:r>
      <w:r>
        <w:rPr>
          <w:rFonts w:ascii="仿宋" w:hAnsi="仿宋" w:eastAsia="仿宋"/>
          <w:sz w:val="32"/>
          <w:szCs w:val="32"/>
        </w:rPr>
        <w:t>31</w:t>
      </w:r>
      <w:r>
        <w:rPr>
          <w:rFonts w:hint="eastAsia" w:ascii="仿宋" w:hAnsi="仿宋" w:eastAsia="仿宋"/>
          <w:sz w:val="32"/>
          <w:szCs w:val="32"/>
        </w:rPr>
        <w:t>日，</w:t>
      </w:r>
      <w:r>
        <w:rPr>
          <w:rFonts w:hint="eastAsia" w:ascii="仿宋" w:hAnsi="仿宋" w:eastAsia="仿宋"/>
          <w:color w:val="000000"/>
          <w:sz w:val="32"/>
          <w:szCs w:val="32"/>
        </w:rPr>
        <w:t>机关事务服务中心</w:t>
      </w:r>
      <w:r>
        <w:rPr>
          <w:rFonts w:hint="eastAsia" w:ascii="仿宋" w:hAnsi="仿宋" w:eastAsia="仿宋"/>
          <w:sz w:val="32"/>
          <w:szCs w:val="32"/>
        </w:rPr>
        <w:t>共有车辆</w:t>
      </w:r>
      <w:r>
        <w:rPr>
          <w:rFonts w:hint="eastAsia" w:ascii="仿宋" w:hAnsi="仿宋" w:eastAsia="仿宋"/>
          <w:sz w:val="32"/>
          <w:szCs w:val="32"/>
          <w:lang w:val="en-US" w:eastAsia="zh-CN"/>
        </w:rPr>
        <w:t>72</w:t>
      </w:r>
      <w:r>
        <w:rPr>
          <w:rFonts w:hint="eastAsia" w:ascii="仿宋" w:hAnsi="仿宋" w:eastAsia="仿宋"/>
          <w:sz w:val="32"/>
          <w:szCs w:val="32"/>
        </w:rPr>
        <w:t>，其中：主要领导干部用车0辆、机要通信用车0辆、应急保障用车7</w:t>
      </w:r>
      <w:r>
        <w:rPr>
          <w:rFonts w:hint="eastAsia" w:ascii="仿宋" w:hAnsi="仿宋" w:eastAsia="仿宋"/>
          <w:sz w:val="32"/>
          <w:szCs w:val="32"/>
          <w:lang w:val="en-US" w:eastAsia="zh-CN"/>
        </w:rPr>
        <w:t>2</w:t>
      </w:r>
      <w:r>
        <w:rPr>
          <w:rFonts w:hint="eastAsia" w:ascii="仿宋" w:hAnsi="仿宋" w:eastAsia="仿宋"/>
          <w:sz w:val="32"/>
          <w:szCs w:val="32"/>
        </w:rPr>
        <w:t>辆、其他用车0辆。单价</w:t>
      </w:r>
      <w:r>
        <w:rPr>
          <w:rFonts w:ascii="仿宋" w:hAnsi="仿宋" w:eastAsia="仿宋"/>
          <w:sz w:val="32"/>
          <w:szCs w:val="32"/>
        </w:rPr>
        <w:t>100</w:t>
      </w:r>
      <w:r>
        <w:rPr>
          <w:rFonts w:hint="eastAsia" w:ascii="仿宋" w:hAnsi="仿宋" w:eastAsia="仿宋"/>
          <w:sz w:val="32"/>
          <w:szCs w:val="32"/>
        </w:rPr>
        <w:t>万元以上专用设备0台（套）。</w:t>
      </w:r>
    </w:p>
    <w:p>
      <w:pPr>
        <w:keepNext w:val="0"/>
        <w:keepLines w:val="0"/>
        <w:pageBreakBefore w:val="0"/>
        <w:kinsoku/>
        <w:wordWrap/>
        <w:overflowPunct/>
        <w:topLinePunct w:val="0"/>
        <w:autoSpaceDE w:val="0"/>
        <w:autoSpaceDN w:val="0"/>
        <w:bidi w:val="0"/>
        <w:adjustRightInd w:val="0"/>
        <w:snapToGrid/>
        <w:spacing w:line="560" w:lineRule="exact"/>
        <w:ind w:firstLine="643" w:firstLineChars="200"/>
        <w:jc w:val="left"/>
        <w:textAlignment w:val="auto"/>
        <w:outlineLvl w:val="2"/>
        <w:rPr>
          <w:rFonts w:ascii="仿宋" w:hAnsi="仿宋" w:eastAsia="仿宋"/>
          <w:b/>
          <w:sz w:val="32"/>
          <w:szCs w:val="32"/>
        </w:rPr>
      </w:pPr>
      <w:bookmarkStart w:id="99" w:name="_Toc143818213"/>
      <w:bookmarkStart w:id="100" w:name="_Toc143546628"/>
      <w:r>
        <w:rPr>
          <w:rFonts w:hint="eastAsia" w:ascii="仿宋" w:hAnsi="仿宋" w:eastAsia="仿宋"/>
          <w:b/>
          <w:sz w:val="32"/>
          <w:szCs w:val="32"/>
        </w:rPr>
        <w:t>（四）预算绩效管理情况</w:t>
      </w:r>
      <w:bookmarkEnd w:id="99"/>
      <w:bookmarkEnd w:id="100"/>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 w:hAnsi="仿宋" w:eastAsia="仿宋" w:cs="仿宋_GB2312"/>
          <w:sz w:val="32"/>
          <w:szCs w:val="32"/>
        </w:rPr>
      </w:pPr>
      <w:r>
        <w:rPr>
          <w:rFonts w:hint="eastAsia" w:ascii="仿宋" w:hAnsi="仿宋" w:eastAsia="仿宋" w:cs="仿宋_GB2312"/>
          <w:sz w:val="32"/>
          <w:szCs w:val="32"/>
        </w:rPr>
        <w:t>根据预算绩效管理要求，本部门在2022年度预算编制阶段，组织对公务用车运行平台、柔刚写字楼和商务中心运行费、公务用车购置、公共机构节能、公务服务经费等5个项目开展了预算事前绩效评估，对5个项目编制了绩效目标，预算执行过程中，选取5个项目开展绩效监控。</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 w:hAnsi="仿宋" w:eastAsia="仿宋"/>
          <w:b/>
          <w:sz w:val="32"/>
          <w:szCs w:val="32"/>
        </w:rPr>
      </w:pPr>
      <w:r>
        <w:rPr>
          <w:rFonts w:hint="eastAsia" w:ascii="仿宋" w:hAnsi="仿宋" w:eastAsia="仿宋" w:cs="仿宋_GB2312"/>
          <w:sz w:val="32"/>
          <w:szCs w:val="32"/>
        </w:rPr>
        <w:t>组织对2022年度一般公共预算、政府性基金预算、国有资本经营预算、社会保险基金预算以及资本资产、债券资金等全面开展绩效自评，形成</w:t>
      </w:r>
      <w:r>
        <w:rPr>
          <w:rFonts w:hint="eastAsia" w:ascii="仿宋" w:hAnsi="仿宋" w:eastAsia="仿宋"/>
          <w:color w:val="000000"/>
          <w:sz w:val="32"/>
          <w:szCs w:val="32"/>
        </w:rPr>
        <w:t>机关事务服务中心</w:t>
      </w:r>
      <w:r>
        <w:rPr>
          <w:rFonts w:hint="eastAsia" w:ascii="仿宋" w:hAnsi="仿宋" w:eastAsia="仿宋" w:cs="仿宋_GB2312"/>
          <w:sz w:val="32"/>
          <w:szCs w:val="32"/>
        </w:rPr>
        <w:t>部门整体（含部门预算项目）绩效自评报告、公务用车运行平台、柔刚写字楼和商务中心运行费、公务用车购置、公共机构节能、公务服务经费等专项预算项目绩效自评报告，其中，</w:t>
      </w:r>
      <w:r>
        <w:rPr>
          <w:rFonts w:hint="eastAsia" w:ascii="仿宋" w:hAnsi="仿宋" w:eastAsia="仿宋"/>
          <w:sz w:val="32"/>
          <w:szCs w:val="32"/>
        </w:rPr>
        <w:t>机关事务服务中心</w:t>
      </w:r>
      <w:r>
        <w:rPr>
          <w:rFonts w:hint="eastAsia" w:ascii="仿宋" w:hAnsi="仿宋" w:eastAsia="仿宋" w:cs="仿宋_GB2312"/>
          <w:sz w:val="32"/>
          <w:szCs w:val="32"/>
        </w:rPr>
        <w:t>部门整体（含部门预算项目）绩效自评得分为</w:t>
      </w:r>
      <w:r>
        <w:rPr>
          <w:rFonts w:ascii="仿宋" w:hAnsi="仿宋" w:eastAsia="仿宋" w:cs="仿宋_GB2312"/>
          <w:sz w:val="32"/>
          <w:szCs w:val="32"/>
        </w:rPr>
        <w:t>100</w:t>
      </w:r>
      <w:r>
        <w:rPr>
          <w:rFonts w:hint="eastAsia" w:ascii="仿宋" w:hAnsi="仿宋" w:eastAsia="仿宋" w:cs="仿宋_GB2312"/>
          <w:sz w:val="32"/>
          <w:szCs w:val="32"/>
        </w:rPr>
        <w:t>分</w:t>
      </w:r>
      <w:r>
        <w:rPr>
          <w:rFonts w:hint="eastAsia" w:ascii="仿宋" w:hAnsi="仿宋" w:eastAsia="仿宋" w:cs="仿宋_GB2312"/>
          <w:sz w:val="32"/>
          <w:szCs w:val="32"/>
          <w:lang w:eastAsia="zh-CN"/>
        </w:rPr>
        <w:t>。</w:t>
      </w:r>
      <w:r>
        <w:rPr>
          <w:rFonts w:ascii="仿宋" w:hAnsi="仿宋" w:eastAsia="仿宋"/>
          <w:b/>
          <w:sz w:val="32"/>
          <w:szCs w:val="32"/>
        </w:rPr>
        <w:br w:type="page"/>
      </w:r>
    </w:p>
    <w:p>
      <w:pPr>
        <w:numPr>
          <w:ilvl w:val="0"/>
          <w:numId w:val="3"/>
        </w:numPr>
        <w:spacing w:line="600" w:lineRule="exact"/>
        <w:ind w:firstLine="660" w:firstLineChars="150"/>
        <w:jc w:val="center"/>
        <w:outlineLvl w:val="0"/>
        <w:rPr>
          <w:rStyle w:val="28"/>
          <w:rFonts w:ascii="黑体" w:hAnsi="黑体" w:eastAsia="黑体"/>
          <w:b w:val="0"/>
        </w:rPr>
      </w:pPr>
      <w:bookmarkStart w:id="101" w:name="_Toc15396613"/>
      <w:bookmarkStart w:id="102" w:name="_Toc15377225"/>
      <w:bookmarkStart w:id="103" w:name="_Toc21060"/>
      <w:r>
        <w:rPr>
          <w:rFonts w:hint="eastAsia" w:ascii="黑体" w:hAnsi="黑体" w:eastAsia="黑体"/>
          <w:sz w:val="44"/>
          <w:szCs w:val="44"/>
        </w:rPr>
        <w:t>名</w:t>
      </w:r>
      <w:r>
        <w:rPr>
          <w:rStyle w:val="28"/>
          <w:rFonts w:hint="eastAsia" w:ascii="黑体" w:hAnsi="黑体" w:eastAsia="黑体"/>
          <w:b w:val="0"/>
        </w:rPr>
        <w:t>词解释</w:t>
      </w:r>
      <w:bookmarkEnd w:id="101"/>
      <w:bookmarkEnd w:id="102"/>
      <w:bookmarkEnd w:id="103"/>
    </w:p>
    <w:p>
      <w:pPr>
        <w:spacing w:line="600" w:lineRule="exact"/>
        <w:jc w:val="left"/>
        <w:rPr>
          <w:rFonts w:ascii="宋体"/>
          <w:b/>
          <w:sz w:val="44"/>
          <w:szCs w:val="44"/>
        </w:rPr>
      </w:pPr>
    </w:p>
    <w:p>
      <w:pPr>
        <w:pStyle w:val="26"/>
        <w:spacing w:line="560" w:lineRule="exact"/>
        <w:ind w:firstLine="640" w:firstLineChars="200"/>
        <w:outlineLvl w:val="1"/>
        <w:rPr>
          <w:rFonts w:hAnsi="仿宋"/>
          <w:color w:val="auto"/>
          <w:sz w:val="32"/>
          <w:szCs w:val="32"/>
        </w:rPr>
      </w:pPr>
      <w:bookmarkStart w:id="104" w:name="_Toc23586"/>
      <w:r>
        <w:rPr>
          <w:rFonts w:hAnsi="仿宋"/>
          <w:color w:val="auto"/>
          <w:sz w:val="32"/>
          <w:szCs w:val="32"/>
        </w:rPr>
        <w:t>1.</w:t>
      </w:r>
      <w:r>
        <w:rPr>
          <w:rFonts w:hint="eastAsia" w:hAnsi="仿宋"/>
          <w:color w:val="auto"/>
          <w:sz w:val="32"/>
          <w:szCs w:val="32"/>
        </w:rPr>
        <w:t>财政拨款收入：指单位从同级财政部门取得的财政预算资金。</w:t>
      </w:r>
      <w:bookmarkEnd w:id="104"/>
    </w:p>
    <w:p>
      <w:pPr>
        <w:pStyle w:val="26"/>
        <w:spacing w:line="560" w:lineRule="exact"/>
        <w:ind w:firstLine="640" w:firstLineChars="200"/>
        <w:rPr>
          <w:rFonts w:hAnsi="仿宋"/>
          <w:color w:val="auto"/>
          <w:sz w:val="32"/>
          <w:szCs w:val="32"/>
        </w:rPr>
      </w:pPr>
      <w:r>
        <w:rPr>
          <w:rFonts w:hAnsi="仿宋"/>
          <w:color w:val="auto"/>
          <w:sz w:val="32"/>
          <w:szCs w:val="32"/>
        </w:rPr>
        <w:t>2.</w:t>
      </w:r>
      <w:r>
        <w:rPr>
          <w:rFonts w:hint="eastAsia" w:hAnsi="仿宋"/>
          <w:color w:val="auto"/>
          <w:sz w:val="32"/>
          <w:szCs w:val="32"/>
        </w:rPr>
        <w:t>事业收入：指事业单位开展专业业务活动及辅助活动取得的收入。如…（二级预算单位事业收入情况）等。</w:t>
      </w:r>
    </w:p>
    <w:p>
      <w:pPr>
        <w:pStyle w:val="26"/>
        <w:spacing w:line="560" w:lineRule="exact"/>
        <w:ind w:firstLine="640" w:firstLineChars="200"/>
        <w:rPr>
          <w:rFonts w:hAnsi="仿宋"/>
          <w:color w:val="auto"/>
          <w:sz w:val="32"/>
          <w:szCs w:val="32"/>
        </w:rPr>
      </w:pPr>
      <w:r>
        <w:rPr>
          <w:rFonts w:hAnsi="仿宋"/>
          <w:color w:val="auto"/>
          <w:sz w:val="32"/>
          <w:szCs w:val="32"/>
        </w:rPr>
        <w:t>3.</w:t>
      </w:r>
      <w:r>
        <w:rPr>
          <w:rFonts w:hint="eastAsia" w:hAnsi="仿宋"/>
          <w:color w:val="auto"/>
          <w:sz w:val="32"/>
          <w:szCs w:val="32"/>
        </w:rPr>
        <w:t>经营收入：指事业单位在专业业务活动及其辅助活动之外开展非独立核算经营活动取得的收入。如…（二级预算单位经营收入情况）等。</w:t>
      </w:r>
    </w:p>
    <w:p>
      <w:pPr>
        <w:pStyle w:val="26"/>
        <w:spacing w:line="560" w:lineRule="exact"/>
        <w:ind w:firstLine="640" w:firstLineChars="200"/>
        <w:rPr>
          <w:rFonts w:hAnsi="仿宋"/>
          <w:color w:val="auto"/>
          <w:sz w:val="32"/>
          <w:szCs w:val="32"/>
        </w:rPr>
      </w:pPr>
      <w:r>
        <w:rPr>
          <w:rFonts w:hAnsi="仿宋"/>
          <w:color w:val="auto"/>
          <w:sz w:val="32"/>
          <w:szCs w:val="32"/>
        </w:rPr>
        <w:t>4.</w:t>
      </w:r>
      <w:r>
        <w:rPr>
          <w:rFonts w:hint="eastAsia" w:hAnsi="仿宋"/>
          <w:color w:val="auto"/>
          <w:sz w:val="32"/>
          <w:szCs w:val="32"/>
        </w:rPr>
        <w:t>其他收入：指单位取得的除上述收入以外的各项收入。主要是…（收入类型）等。</w:t>
      </w:r>
      <w:r>
        <w:rPr>
          <w:rFonts w:hAnsi="仿宋"/>
          <w:color w:val="auto"/>
          <w:sz w:val="32"/>
          <w:szCs w:val="32"/>
        </w:rPr>
        <w:t xml:space="preserve"> </w:t>
      </w:r>
    </w:p>
    <w:p>
      <w:pPr>
        <w:pStyle w:val="26"/>
        <w:spacing w:line="560" w:lineRule="exact"/>
        <w:ind w:firstLine="640" w:firstLineChars="200"/>
        <w:rPr>
          <w:rFonts w:hAnsi="仿宋"/>
          <w:color w:val="auto"/>
          <w:sz w:val="32"/>
          <w:szCs w:val="32"/>
        </w:rPr>
      </w:pPr>
      <w:r>
        <w:rPr>
          <w:rFonts w:hAnsi="仿宋"/>
          <w:color w:val="auto"/>
          <w:sz w:val="32"/>
          <w:szCs w:val="32"/>
        </w:rPr>
        <w:t>5.</w:t>
      </w:r>
      <w:r>
        <w:rPr>
          <w:rFonts w:hint="eastAsia" w:hAnsi="仿宋"/>
          <w:color w:val="auto"/>
          <w:sz w:val="32"/>
          <w:szCs w:val="32"/>
        </w:rPr>
        <w:t>使用非财政拨款结余：指事业单位使用以前年度积累的非财政拨款结余弥补当年收支差额的金额。</w:t>
      </w:r>
      <w:r>
        <w:rPr>
          <w:rFonts w:hAnsi="仿宋"/>
          <w:color w:val="auto"/>
          <w:sz w:val="32"/>
          <w:szCs w:val="32"/>
        </w:rPr>
        <w:t xml:space="preserve"> </w:t>
      </w:r>
    </w:p>
    <w:p>
      <w:pPr>
        <w:pStyle w:val="26"/>
        <w:spacing w:line="560" w:lineRule="exact"/>
        <w:ind w:firstLine="640" w:firstLineChars="200"/>
        <w:rPr>
          <w:rFonts w:hAnsi="仿宋"/>
          <w:color w:val="auto"/>
          <w:sz w:val="32"/>
          <w:szCs w:val="32"/>
        </w:rPr>
      </w:pPr>
      <w:r>
        <w:rPr>
          <w:rFonts w:hAnsi="仿宋"/>
          <w:color w:val="auto"/>
          <w:sz w:val="32"/>
          <w:szCs w:val="32"/>
        </w:rPr>
        <w:t>6.</w:t>
      </w:r>
      <w:r>
        <w:rPr>
          <w:rFonts w:hint="eastAsia" w:hAnsi="仿宋"/>
          <w:color w:val="auto"/>
          <w:sz w:val="32"/>
          <w:szCs w:val="32"/>
        </w:rPr>
        <w:t>年初结转和结余：指以前年度尚未完成、结转到本年按有关规定继续使用的资金。</w:t>
      </w:r>
      <w:r>
        <w:rPr>
          <w:rFonts w:hAnsi="仿宋"/>
          <w:color w:val="auto"/>
          <w:sz w:val="32"/>
          <w:szCs w:val="32"/>
        </w:rPr>
        <w:t xml:space="preserve"> </w:t>
      </w:r>
    </w:p>
    <w:p>
      <w:pPr>
        <w:pStyle w:val="26"/>
        <w:spacing w:line="560" w:lineRule="exact"/>
        <w:ind w:firstLine="640" w:firstLineChars="200"/>
        <w:rPr>
          <w:rFonts w:hAnsi="仿宋"/>
          <w:color w:val="auto"/>
          <w:sz w:val="32"/>
          <w:szCs w:val="32"/>
        </w:rPr>
      </w:pPr>
      <w:r>
        <w:rPr>
          <w:rFonts w:hAnsi="仿宋"/>
          <w:color w:val="auto"/>
          <w:sz w:val="32"/>
          <w:szCs w:val="32"/>
        </w:rPr>
        <w:t>7.</w:t>
      </w:r>
      <w:r>
        <w:rPr>
          <w:rFonts w:hint="eastAsia" w:hAnsi="仿宋"/>
          <w:color w:val="auto"/>
          <w:sz w:val="32"/>
          <w:szCs w:val="32"/>
        </w:rPr>
        <w:t>结余分配：指事业单位按照会计制度规定缴纳的所得税、提取的专用结余以及转入非财政拨款结余的金额等。</w:t>
      </w:r>
    </w:p>
    <w:p>
      <w:pPr>
        <w:pStyle w:val="26"/>
        <w:spacing w:line="560" w:lineRule="exact"/>
        <w:ind w:firstLine="640" w:firstLineChars="200"/>
        <w:rPr>
          <w:rFonts w:hAnsi="仿宋"/>
          <w:color w:val="auto"/>
          <w:sz w:val="32"/>
          <w:szCs w:val="32"/>
        </w:rPr>
      </w:pPr>
      <w:r>
        <w:rPr>
          <w:rFonts w:hAnsi="仿宋"/>
          <w:color w:val="auto"/>
          <w:sz w:val="32"/>
          <w:szCs w:val="32"/>
        </w:rPr>
        <w:t>8</w:t>
      </w:r>
      <w:r>
        <w:rPr>
          <w:rFonts w:hint="eastAsia" w:hAnsi="仿宋"/>
          <w:color w:val="auto"/>
          <w:sz w:val="32"/>
          <w:szCs w:val="32"/>
        </w:rPr>
        <w:t>.年末结转和结余：指单位按有关规定结转到下年或以后年度继续使用的资金。</w:t>
      </w:r>
    </w:p>
    <w:p>
      <w:pPr>
        <w:ind w:firstLine="640" w:firstLineChars="200"/>
        <w:rPr>
          <w:rFonts w:ascii="仿宋" w:hAnsi="仿宋" w:eastAsia="仿宋"/>
          <w:sz w:val="32"/>
          <w:szCs w:val="32"/>
        </w:rPr>
      </w:pPr>
      <w:r>
        <w:rPr>
          <w:rFonts w:hint="eastAsia" w:ascii="仿宋" w:hAnsi="仿宋" w:eastAsia="仿宋" w:cs="仿宋_GB2312"/>
          <w:sz w:val="32"/>
          <w:szCs w:val="32"/>
        </w:rPr>
        <w:t>9.</w:t>
      </w:r>
      <w:r>
        <w:rPr>
          <w:rFonts w:hint="eastAsia" w:ascii="仿宋" w:hAnsi="仿宋" w:eastAsia="仿宋" w:cs="仿宋"/>
          <w:color w:val="000000"/>
          <w:sz w:val="32"/>
          <w:szCs w:val="32"/>
        </w:rPr>
        <w:t>一般公共服务201（类）03（款）50（项）：指事业单位的基本支出，不包括行政单位（包括实行公务员管理的事业单位）后勤服务中心、医务室等附属事业单位</w:t>
      </w:r>
      <w:r>
        <w:rPr>
          <w:rFonts w:hint="eastAsia" w:ascii="仿宋" w:hAnsi="仿宋" w:eastAsia="仿宋"/>
          <w:sz w:val="32"/>
          <w:szCs w:val="32"/>
        </w:rPr>
        <w:t>。</w:t>
      </w:r>
    </w:p>
    <w:p>
      <w:pPr>
        <w:pStyle w:val="7"/>
        <w:numPr>
          <w:ilvl w:val="0"/>
          <w:numId w:val="0"/>
        </w:numPr>
        <w:ind w:firstLine="640" w:firstLineChars="200"/>
        <w:rPr>
          <w:rFonts w:ascii="仿宋" w:hAnsi="仿宋" w:eastAsia="仿宋"/>
        </w:rPr>
      </w:pPr>
      <w:r>
        <w:rPr>
          <w:rFonts w:hint="eastAsia" w:ascii="仿宋" w:hAnsi="仿宋" w:eastAsia="仿宋" w:cs="仿宋"/>
          <w:color w:val="000000"/>
          <w:sz w:val="32"/>
          <w:szCs w:val="32"/>
        </w:rPr>
        <w:t>10.一般公共服务201（类）03（款）99（项）：指除了行政运行、一般行政管理事务、机关服务、专项服务、专项业务及机关事务管理、政务公开审批经、信访事务、参事事务、事业运行以外的其他政府办公厅（室）及相关机构事务支出</w:t>
      </w:r>
    </w:p>
    <w:p>
      <w:pPr>
        <w:ind w:firstLine="640" w:firstLineChars="200"/>
        <w:rPr>
          <w:rFonts w:ascii="仿宋" w:hAnsi="仿宋" w:eastAsia="仿宋"/>
        </w:rPr>
      </w:pPr>
      <w:r>
        <w:rPr>
          <w:rFonts w:ascii="仿宋" w:hAnsi="仿宋" w:eastAsia="仿宋"/>
          <w:sz w:val="32"/>
          <w:szCs w:val="32"/>
        </w:rPr>
        <w:t>1</w:t>
      </w:r>
      <w:r>
        <w:rPr>
          <w:rFonts w:hint="eastAsia" w:ascii="仿宋" w:hAnsi="仿宋" w:eastAsia="仿宋"/>
          <w:sz w:val="32"/>
          <w:szCs w:val="32"/>
        </w:rPr>
        <w:t>1</w:t>
      </w:r>
      <w:r>
        <w:rPr>
          <w:rFonts w:hint="eastAsia" w:ascii="仿宋" w:hAnsi="仿宋" w:eastAsia="仿宋" w:cs="仿宋"/>
          <w:color w:val="000000"/>
          <w:sz w:val="32"/>
          <w:szCs w:val="32"/>
        </w:rPr>
        <w:t>.社会保障和就业208（类）05（款）05（项）：指机关事业单位实施养老保险制度由单位缴纳的基本养老保险费支出</w:t>
      </w:r>
      <w:r>
        <w:rPr>
          <w:rFonts w:hint="eastAsia" w:ascii="仿宋" w:hAnsi="仿宋" w:eastAsia="仿宋" w:cs="仿宋_GB2312"/>
          <w:color w:val="000000"/>
          <w:sz w:val="32"/>
          <w:szCs w:val="32"/>
        </w:rPr>
        <w:t>。</w:t>
      </w:r>
    </w:p>
    <w:p>
      <w:pPr>
        <w:ind w:firstLine="640" w:firstLineChars="200"/>
        <w:rPr>
          <w:rFonts w:ascii="仿宋" w:hAnsi="仿宋" w:eastAsia="仿宋"/>
          <w:sz w:val="32"/>
          <w:szCs w:val="32"/>
        </w:rPr>
      </w:pPr>
      <w:r>
        <w:rPr>
          <w:rFonts w:hint="eastAsia" w:ascii="仿宋" w:hAnsi="仿宋" w:eastAsia="仿宋" w:cs="仿宋_GB2312"/>
          <w:color w:val="000000"/>
          <w:sz w:val="32"/>
          <w:szCs w:val="32"/>
        </w:rPr>
        <w:t>12.社会保障和就业支出208（类）99（款）99（项）：</w:t>
      </w:r>
      <w:r>
        <w:rPr>
          <w:rStyle w:val="17"/>
          <w:rFonts w:hint="eastAsia" w:ascii="仿宋" w:hAnsi="仿宋" w:eastAsia="仿宋" w:cs="仿宋_GB2312"/>
          <w:b w:val="0"/>
          <w:color w:val="000000"/>
          <w:sz w:val="32"/>
          <w:szCs w:val="32"/>
        </w:rPr>
        <w:t>指除上述项目以外其他用于社会保障和就业方面的支出。</w:t>
      </w:r>
    </w:p>
    <w:p>
      <w:pPr>
        <w:ind w:firstLine="640" w:firstLineChars="200"/>
        <w:rPr>
          <w:rFonts w:ascii="仿宋" w:hAnsi="仿宋" w:eastAsia="仿宋"/>
          <w:sz w:val="32"/>
          <w:szCs w:val="32"/>
        </w:rPr>
      </w:pPr>
      <w:r>
        <w:rPr>
          <w:rFonts w:hint="eastAsia" w:ascii="仿宋" w:hAnsi="仿宋" w:eastAsia="仿宋"/>
          <w:sz w:val="32"/>
          <w:szCs w:val="32"/>
        </w:rPr>
        <w:t>13</w:t>
      </w:r>
      <w:r>
        <w:rPr>
          <w:rFonts w:ascii="仿宋" w:hAnsi="仿宋" w:eastAsia="仿宋"/>
          <w:sz w:val="32"/>
          <w:szCs w:val="32"/>
        </w:rPr>
        <w:t>.</w:t>
      </w:r>
      <w:r>
        <w:rPr>
          <w:rFonts w:hint="eastAsia" w:ascii="仿宋" w:hAnsi="仿宋" w:eastAsia="仿宋" w:cs="仿宋_GB2312"/>
          <w:color w:val="000000"/>
          <w:sz w:val="32"/>
          <w:szCs w:val="32"/>
        </w:rPr>
        <w:t>卫生健康支出210（类）11（款）02（项）：指财政部门安排的事业单位基本医疗保险缴费经费，未参加医疗保险的事业单位的公费医疗经费，按国家规定享受离休人员待遇的医疗经费。</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4</w:t>
      </w:r>
      <w:r>
        <w:rPr>
          <w:rFonts w:ascii="仿宋" w:hAnsi="仿宋" w:eastAsia="仿宋"/>
          <w:sz w:val="32"/>
          <w:szCs w:val="32"/>
        </w:rPr>
        <w:t>.</w:t>
      </w:r>
      <w:r>
        <w:rPr>
          <w:rFonts w:hint="eastAsia" w:ascii="仿宋" w:hAnsi="仿宋" w:eastAsia="仿宋"/>
          <w:sz w:val="32"/>
          <w:szCs w:val="32"/>
        </w:rPr>
        <w:t>城乡社区212（类）08（款）99（项）：指土地出让收入用于其他方面的支出。不包括市县级政府当年按规定用土地出让收入向中央和省级政府缴纳的新增建设用地土地有偿使用费的支出。</w:t>
      </w:r>
    </w:p>
    <w:p>
      <w:pPr>
        <w:ind w:firstLine="640" w:firstLineChars="200"/>
        <w:rPr>
          <w:rFonts w:ascii="仿宋" w:hAnsi="仿宋" w:eastAsia="仿宋"/>
          <w:sz w:val="32"/>
          <w:szCs w:val="32"/>
        </w:rPr>
      </w:pPr>
      <w:r>
        <w:rPr>
          <w:rFonts w:hint="eastAsia" w:ascii="仿宋" w:hAnsi="仿宋" w:eastAsia="仿宋"/>
          <w:sz w:val="32"/>
          <w:szCs w:val="32"/>
        </w:rPr>
        <w:t>15</w:t>
      </w:r>
      <w:r>
        <w:rPr>
          <w:rFonts w:ascii="仿宋" w:hAnsi="仿宋" w:eastAsia="仿宋"/>
          <w:sz w:val="32"/>
          <w:szCs w:val="32"/>
        </w:rPr>
        <w:t>.</w:t>
      </w:r>
      <w:r>
        <w:rPr>
          <w:rFonts w:hint="eastAsia" w:ascii="仿宋" w:hAnsi="仿宋" w:eastAsia="仿宋"/>
          <w:sz w:val="32"/>
          <w:szCs w:val="32"/>
        </w:rPr>
        <w:t>国有资本经营223（类）03（款）01（项）：指国有资本经营预算收入安排的用于国有企业政策性补助方面的支出。</w:t>
      </w:r>
    </w:p>
    <w:p>
      <w:pPr>
        <w:ind w:firstLine="640" w:firstLineChars="200"/>
        <w:rPr>
          <w:rFonts w:ascii="仿宋" w:hAnsi="仿宋" w:eastAsia="仿宋"/>
          <w:sz w:val="32"/>
          <w:szCs w:val="32"/>
        </w:rPr>
      </w:pPr>
      <w:r>
        <w:rPr>
          <w:rFonts w:hint="eastAsia" w:ascii="仿宋" w:hAnsi="仿宋" w:eastAsia="仿宋"/>
          <w:sz w:val="32"/>
          <w:szCs w:val="32"/>
        </w:rPr>
        <w:t>16</w:t>
      </w:r>
      <w:r>
        <w:rPr>
          <w:rFonts w:ascii="仿宋" w:hAnsi="仿宋" w:eastAsia="仿宋"/>
          <w:sz w:val="32"/>
          <w:szCs w:val="32"/>
        </w:rPr>
        <w:t>.</w:t>
      </w:r>
      <w:r>
        <w:rPr>
          <w:rFonts w:hint="eastAsia" w:ascii="仿宋" w:hAnsi="仿宋" w:eastAsia="仿宋" w:cs="仿宋_GB2312"/>
          <w:color w:val="000000"/>
          <w:sz w:val="32"/>
          <w:szCs w:val="32"/>
        </w:rPr>
        <w:t>住房保障支出221（类）02（款）01（项）：指行政事业单位按人力资源和社会保障部、财政部规定的基本工资和津贴补贴以及规定比例为职工缴纳的住房公积金。</w:t>
      </w:r>
    </w:p>
    <w:p>
      <w:pPr>
        <w:ind w:firstLine="640" w:firstLineChars="200"/>
        <w:rPr>
          <w:rFonts w:ascii="仿宋" w:hAnsi="仿宋" w:eastAsia="仿宋"/>
          <w:sz w:val="32"/>
          <w:szCs w:val="32"/>
        </w:rPr>
      </w:pPr>
      <w:r>
        <w:rPr>
          <w:rFonts w:hint="eastAsia" w:ascii="仿宋" w:hAnsi="仿宋" w:eastAsia="仿宋"/>
          <w:sz w:val="32"/>
          <w:szCs w:val="32"/>
        </w:rPr>
        <w:t>17</w:t>
      </w:r>
      <w:r>
        <w:rPr>
          <w:rFonts w:ascii="仿宋" w:hAnsi="仿宋" w:eastAsia="仿宋"/>
          <w:sz w:val="32"/>
          <w:szCs w:val="32"/>
        </w:rPr>
        <w:t>.</w:t>
      </w:r>
      <w:r>
        <w:rPr>
          <w:rFonts w:hint="eastAsia" w:ascii="仿宋" w:hAnsi="仿宋" w:eastAsia="仿宋"/>
          <w:sz w:val="32"/>
          <w:szCs w:val="32"/>
        </w:rPr>
        <w:t>基本支出：指为保障机构正常运转、完成日常工作任务而发生的人员支出和公用支出。</w:t>
      </w:r>
    </w:p>
    <w:p>
      <w:pPr>
        <w:ind w:firstLine="640" w:firstLineChars="200"/>
        <w:rPr>
          <w:rFonts w:ascii="仿宋" w:hAnsi="仿宋" w:eastAsia="仿宋"/>
          <w:sz w:val="32"/>
          <w:szCs w:val="32"/>
        </w:rPr>
      </w:pPr>
      <w:r>
        <w:rPr>
          <w:rFonts w:hint="eastAsia" w:ascii="仿宋" w:hAnsi="仿宋" w:eastAsia="仿宋"/>
          <w:sz w:val="32"/>
          <w:szCs w:val="32"/>
        </w:rPr>
        <w:t>18</w:t>
      </w:r>
      <w:r>
        <w:rPr>
          <w:rFonts w:ascii="仿宋" w:hAnsi="仿宋" w:eastAsia="仿宋"/>
          <w:sz w:val="32"/>
          <w:szCs w:val="32"/>
        </w:rPr>
        <w:t>.</w:t>
      </w:r>
      <w:r>
        <w:rPr>
          <w:rFonts w:hint="eastAsia" w:ascii="仿宋" w:hAnsi="仿宋" w:eastAsia="仿宋"/>
          <w:sz w:val="32"/>
          <w:szCs w:val="32"/>
        </w:rPr>
        <w:t>项目支出：指在基本支出之外为完成特定行政任务和事业发展目标所发生的支出。</w:t>
      </w:r>
      <w:r>
        <w:rPr>
          <w:rFonts w:ascii="仿宋" w:hAnsi="仿宋" w:eastAsia="仿宋"/>
          <w:sz w:val="32"/>
          <w:szCs w:val="32"/>
        </w:rPr>
        <w:t xml:space="preserve"> </w:t>
      </w:r>
    </w:p>
    <w:p>
      <w:pPr>
        <w:ind w:firstLine="640" w:firstLineChars="200"/>
        <w:rPr>
          <w:rFonts w:ascii="仿宋" w:hAnsi="仿宋" w:eastAsia="仿宋"/>
          <w:sz w:val="32"/>
          <w:szCs w:val="32"/>
        </w:rPr>
      </w:pPr>
      <w:r>
        <w:rPr>
          <w:rFonts w:hint="eastAsia" w:ascii="仿宋" w:hAnsi="仿宋" w:eastAsia="仿宋"/>
          <w:sz w:val="32"/>
          <w:szCs w:val="32"/>
        </w:rPr>
        <w:t>16</w:t>
      </w:r>
      <w:r>
        <w:rPr>
          <w:rFonts w:ascii="仿宋" w:hAnsi="仿宋" w:eastAsia="仿宋"/>
          <w:sz w:val="32"/>
          <w:szCs w:val="32"/>
        </w:rPr>
        <w:t>.</w:t>
      </w:r>
      <w:r>
        <w:rPr>
          <w:rFonts w:hint="eastAsia" w:ascii="仿宋" w:hAnsi="仿宋" w:eastAsia="仿宋"/>
          <w:sz w:val="32"/>
          <w:szCs w:val="32"/>
        </w:rPr>
        <w:t>经营支出：指事业单位在专业业务活动及其辅助活动之外开展非独立核算经营活动发生的支出。</w:t>
      </w:r>
    </w:p>
    <w:p>
      <w:pPr>
        <w:pStyle w:val="26"/>
        <w:spacing w:line="560" w:lineRule="exact"/>
        <w:ind w:firstLine="640" w:firstLineChars="200"/>
        <w:rPr>
          <w:rFonts w:hAnsi="仿宋"/>
          <w:color w:val="auto"/>
          <w:sz w:val="32"/>
          <w:szCs w:val="32"/>
        </w:rPr>
      </w:pPr>
      <w:r>
        <w:rPr>
          <w:rFonts w:hint="eastAsia" w:hAnsi="仿宋"/>
          <w:color w:val="auto"/>
          <w:sz w:val="32"/>
          <w:szCs w:val="32"/>
        </w:rPr>
        <w:t>20</w:t>
      </w:r>
      <w:r>
        <w:rPr>
          <w:rFonts w:hAnsi="仿宋"/>
          <w:color w:val="auto"/>
          <w:sz w:val="32"/>
          <w:szCs w:val="32"/>
        </w:rPr>
        <w:t>.</w:t>
      </w:r>
      <w:r>
        <w:rPr>
          <w:rFonts w:hint="eastAsia" w:hAnsi="仿宋"/>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hAnsi="仿宋" w:cs="黑体"/>
          <w:color w:val="auto"/>
          <w:sz w:val="32"/>
          <w:szCs w:val="32"/>
        </w:rPr>
      </w:pPr>
      <w:r>
        <w:rPr>
          <w:rFonts w:hint="eastAsia" w:hAnsi="仿宋"/>
          <w:color w:val="auto"/>
          <w:sz w:val="32"/>
          <w:szCs w:val="32"/>
        </w:rPr>
        <w:t>21</w:t>
      </w:r>
      <w:r>
        <w:rPr>
          <w:rFonts w:hAnsi="仿宋"/>
          <w:color w:val="auto"/>
          <w:sz w:val="32"/>
          <w:szCs w:val="32"/>
        </w:rPr>
        <w:t>.</w:t>
      </w:r>
      <w:r>
        <w:rPr>
          <w:rFonts w:hint="eastAsia" w:hAnsi="仿宋"/>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9"/>
        <w:rPr>
          <w:rFonts w:ascii="宋体"/>
          <w:b/>
          <w:sz w:val="44"/>
          <w:szCs w:val="44"/>
        </w:rPr>
      </w:pPr>
      <w:bookmarkStart w:id="105" w:name="_Toc15377226"/>
    </w:p>
    <w:p>
      <w:pPr>
        <w:spacing w:line="600" w:lineRule="exact"/>
        <w:jc w:val="center"/>
        <w:outlineLvl w:val="9"/>
        <w:rPr>
          <w:rFonts w:ascii="宋体"/>
          <w:b/>
          <w:sz w:val="44"/>
          <w:szCs w:val="44"/>
        </w:rPr>
      </w:pPr>
    </w:p>
    <w:p>
      <w:pPr>
        <w:spacing w:line="600" w:lineRule="exact"/>
        <w:jc w:val="center"/>
        <w:outlineLvl w:val="9"/>
        <w:rPr>
          <w:rFonts w:ascii="宋体"/>
          <w:b/>
          <w:sz w:val="44"/>
          <w:szCs w:val="44"/>
        </w:rPr>
      </w:pPr>
    </w:p>
    <w:p>
      <w:pPr>
        <w:spacing w:line="600" w:lineRule="exact"/>
        <w:jc w:val="center"/>
        <w:outlineLvl w:val="0"/>
        <w:rPr>
          <w:rStyle w:val="28"/>
          <w:rFonts w:ascii="黑体" w:hAnsi="黑体" w:eastAsia="黑体"/>
          <w:b w:val="0"/>
        </w:rPr>
      </w:pPr>
      <w:bookmarkStart w:id="106" w:name="_Toc15396614"/>
      <w:bookmarkStart w:id="107" w:name="_Toc20164"/>
      <w:r>
        <w:rPr>
          <w:rFonts w:hint="eastAsia" w:ascii="黑体" w:hAnsi="黑体" w:eastAsia="黑体"/>
          <w:sz w:val="44"/>
          <w:szCs w:val="44"/>
        </w:rPr>
        <w:t>第</w:t>
      </w:r>
      <w:r>
        <w:rPr>
          <w:rStyle w:val="28"/>
          <w:rFonts w:hint="eastAsia" w:ascii="黑体" w:hAnsi="黑体" w:eastAsia="黑体"/>
          <w:b w:val="0"/>
        </w:rPr>
        <w:t>四部分 附件</w:t>
      </w:r>
      <w:bookmarkEnd w:id="106"/>
      <w:bookmarkEnd w:id="107"/>
    </w:p>
    <w:p>
      <w:pPr>
        <w:spacing w:line="572" w:lineRule="exact"/>
        <w:jc w:val="left"/>
        <w:outlineLvl w:val="1"/>
        <w:rPr>
          <w:rFonts w:ascii="方正小标宋简体" w:hAnsi="方正小标宋简体" w:eastAsia="黑体" w:cs="方正小标宋简体"/>
          <w:sz w:val="44"/>
          <w:szCs w:val="44"/>
        </w:rPr>
      </w:pPr>
      <w:bookmarkStart w:id="108" w:name="_Toc31902"/>
      <w:r>
        <w:rPr>
          <w:rFonts w:hint="eastAsia" w:ascii="黑体" w:hAnsi="黑体" w:eastAsia="黑体" w:cs="黑体"/>
          <w:sz w:val="32"/>
          <w:szCs w:val="32"/>
        </w:rPr>
        <w:t>附件1</w:t>
      </w:r>
      <w:bookmarkEnd w:id="108"/>
    </w:p>
    <w:p>
      <w:pPr>
        <w:widowControl/>
        <w:spacing w:line="560" w:lineRule="exact"/>
        <w:contextualSpacing/>
        <w:jc w:val="center"/>
        <w:rPr>
          <w:rFonts w:hint="eastAsia" w:ascii="方正小标宋简体" w:hAnsi="方正小标宋简体" w:eastAsia="方正小标宋简体" w:cs="方正小标宋简体"/>
          <w:b w:val="0"/>
          <w:bCs/>
          <w:sz w:val="44"/>
          <w:szCs w:val="44"/>
          <w:shd w:val="clear" w:color="auto" w:fill="FFFFFF"/>
        </w:rPr>
      </w:pPr>
      <w:r>
        <w:rPr>
          <w:rFonts w:hint="eastAsia" w:ascii="方正小标宋简体" w:hAnsi="方正小标宋简体" w:eastAsia="方正小标宋简体" w:cs="方正小标宋简体"/>
          <w:b w:val="0"/>
          <w:bCs/>
          <w:sz w:val="44"/>
          <w:szCs w:val="44"/>
          <w:shd w:val="clear" w:color="auto" w:fill="FFFFFF"/>
        </w:rPr>
        <w:t>2022年部门整体绩效评价报告</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p>
    <w:p>
      <w:pPr>
        <w:pStyle w:val="5"/>
        <w:pageBreakBefore w:val="0"/>
        <w:kinsoku/>
        <w:wordWrap/>
        <w:overflowPunct/>
        <w:topLinePunct w:val="0"/>
        <w:bidi w:val="0"/>
        <w:spacing w:before="0" w:after="0" w:line="560" w:lineRule="exact"/>
        <w:ind w:left="0" w:leftChars="0" w:firstLine="640" w:firstLineChars="200"/>
        <w:textAlignment w:val="auto"/>
        <w:rPr>
          <w:rFonts w:ascii="黑体" w:eastAsia="黑体"/>
          <w:b w:val="0"/>
          <w:lang w:val="zh-CN"/>
        </w:rPr>
      </w:pPr>
      <w:bookmarkStart w:id="109" w:name="_Toc143818217"/>
      <w:bookmarkStart w:id="110" w:name="_Toc143546632"/>
      <w:bookmarkStart w:id="111" w:name="_Toc32385"/>
      <w:r>
        <w:rPr>
          <w:rFonts w:hint="eastAsia" w:ascii="黑体" w:eastAsia="黑体"/>
          <w:b w:val="0"/>
        </w:rPr>
        <w:t>一、</w:t>
      </w:r>
      <w:r>
        <w:rPr>
          <w:rFonts w:hint="eastAsia" w:ascii="黑体" w:eastAsia="黑体"/>
          <w:b w:val="0"/>
          <w:lang w:val="zh-CN"/>
        </w:rPr>
        <w:t>部门（单位）概况</w:t>
      </w:r>
      <w:bookmarkEnd w:id="109"/>
      <w:bookmarkEnd w:id="110"/>
      <w:bookmarkEnd w:id="111"/>
    </w:p>
    <w:p>
      <w:pPr>
        <w:pageBreakBefore w:val="0"/>
        <w:kinsoku/>
        <w:wordWrap/>
        <w:overflowPunct/>
        <w:topLinePunct w:val="0"/>
        <w:autoSpaceDE w:val="0"/>
        <w:autoSpaceDN w:val="0"/>
        <w:bidi w:val="0"/>
        <w:adjustRightInd w:val="0"/>
        <w:spacing w:line="560" w:lineRule="exact"/>
        <w:ind w:left="0" w:leftChars="0" w:firstLine="643" w:firstLineChars="200"/>
        <w:jc w:val="left"/>
        <w:textAlignment w:val="auto"/>
        <w:outlineLvl w:val="2"/>
        <w:rPr>
          <w:rFonts w:ascii="仿宋" w:hAnsi="仿宋" w:eastAsia="仿宋"/>
          <w:b/>
          <w:sz w:val="32"/>
          <w:szCs w:val="32"/>
          <w:lang w:val="zh-CN"/>
        </w:rPr>
      </w:pPr>
      <w:bookmarkStart w:id="112" w:name="_Toc143546633"/>
      <w:bookmarkStart w:id="113" w:name="_Toc143818218"/>
      <w:r>
        <w:rPr>
          <w:rFonts w:hint="eastAsia" w:ascii="仿宋" w:hAnsi="仿宋" w:eastAsia="仿宋"/>
          <w:b/>
          <w:sz w:val="32"/>
          <w:szCs w:val="32"/>
          <w:lang w:val="zh-CN"/>
        </w:rPr>
        <w:t>（一）机构组成。</w:t>
      </w:r>
      <w:bookmarkEnd w:id="112"/>
      <w:bookmarkEnd w:id="113"/>
    </w:p>
    <w:p>
      <w:pPr>
        <w:pStyle w:val="2"/>
        <w:pageBreakBefore w:val="0"/>
        <w:kinsoku/>
        <w:wordWrap/>
        <w:overflowPunct/>
        <w:topLinePunct w:val="0"/>
        <w:bidi w:val="0"/>
        <w:spacing w:after="0" w:line="560" w:lineRule="exact"/>
        <w:ind w:left="0" w:leftChars="0" w:firstLine="640" w:firstLineChars="200"/>
        <w:textAlignment w:val="auto"/>
        <w:rPr>
          <w:rFonts w:ascii="仿宋" w:hAnsi="仿宋" w:eastAsia="仿宋"/>
          <w:b/>
          <w:sz w:val="32"/>
          <w:lang w:val="zh-CN"/>
        </w:rPr>
      </w:pPr>
      <w:r>
        <w:rPr>
          <w:rFonts w:hint="eastAsia" w:ascii="仿宋" w:hAnsi="仿宋" w:eastAsia="仿宋" w:cs="仿宋"/>
          <w:sz w:val="32"/>
        </w:rPr>
        <w:t>遂宁市安居区机关事务管理中心成立于2007年，2013年9月机构更名为“遂宁市安居区机关事务管理局”，2021年11月9日机构更名为“遂宁市安居区机关事务服务中心”，核定事业编制8名,为归口区政府办公室管理的正科级公益一类事业单位</w:t>
      </w:r>
    </w:p>
    <w:p>
      <w:pPr>
        <w:pageBreakBefore w:val="0"/>
        <w:numPr>
          <w:ilvl w:val="0"/>
          <w:numId w:val="4"/>
        </w:numPr>
        <w:kinsoku/>
        <w:wordWrap/>
        <w:overflowPunct/>
        <w:topLinePunct w:val="0"/>
        <w:autoSpaceDE w:val="0"/>
        <w:autoSpaceDN w:val="0"/>
        <w:bidi w:val="0"/>
        <w:adjustRightInd w:val="0"/>
        <w:spacing w:line="560" w:lineRule="exact"/>
        <w:ind w:left="0" w:leftChars="0" w:firstLine="643" w:firstLineChars="200"/>
        <w:jc w:val="left"/>
        <w:textAlignment w:val="auto"/>
        <w:outlineLvl w:val="2"/>
        <w:rPr>
          <w:rFonts w:ascii="仿宋" w:hAnsi="仿宋" w:eastAsia="仿宋"/>
          <w:b/>
          <w:sz w:val="32"/>
          <w:szCs w:val="32"/>
          <w:lang w:val="zh-CN"/>
        </w:rPr>
      </w:pPr>
      <w:bookmarkStart w:id="114" w:name="_Toc143818219"/>
      <w:bookmarkStart w:id="115" w:name="_Toc143546634"/>
      <w:r>
        <w:rPr>
          <w:rFonts w:hint="eastAsia" w:ascii="仿宋" w:hAnsi="仿宋" w:eastAsia="仿宋"/>
          <w:b/>
          <w:sz w:val="32"/>
          <w:szCs w:val="32"/>
          <w:lang w:val="zh-CN"/>
        </w:rPr>
        <w:t>机构职能。</w:t>
      </w:r>
      <w:bookmarkEnd w:id="114"/>
      <w:bookmarkEnd w:id="115"/>
    </w:p>
    <w:p>
      <w:pPr>
        <w:pStyle w:val="2"/>
        <w:pageBreakBefore w:val="0"/>
        <w:kinsoku/>
        <w:wordWrap/>
        <w:overflowPunct/>
        <w:topLinePunct w:val="0"/>
        <w:bidi w:val="0"/>
        <w:spacing w:after="0" w:line="560" w:lineRule="exact"/>
        <w:ind w:left="0" w:leftChars="0" w:firstLine="640" w:firstLineChars="200"/>
        <w:textAlignment w:val="auto"/>
        <w:rPr>
          <w:lang w:val="zh-CN"/>
        </w:rPr>
      </w:pPr>
      <w:r>
        <w:rPr>
          <w:rFonts w:hint="eastAsia" w:ascii="仿宋" w:hAnsi="仿宋" w:eastAsia="仿宋" w:cs="仿宋"/>
          <w:sz w:val="32"/>
        </w:rPr>
        <w:t>机关事务服务中心负责政府机关食堂运营推进后勤服务市场化建设等工作，指导全区行政事业单位后勤服务工作;负责集中办公区管理服务工作;协助区政府办公室抓好全区公共机构节能、行政事业单位公务用车管理及办公用房管理工作；负责区委、区政府大型会务服务，统筹指导全区公务服务（机改时将原接待办大部分职能划转到我中心）；完成区委、区政府交办的其他任务。</w:t>
      </w:r>
    </w:p>
    <w:p>
      <w:pPr>
        <w:pageBreakBefore w:val="0"/>
        <w:numPr>
          <w:ilvl w:val="0"/>
          <w:numId w:val="4"/>
        </w:numPr>
        <w:kinsoku/>
        <w:wordWrap/>
        <w:overflowPunct/>
        <w:topLinePunct w:val="0"/>
        <w:autoSpaceDE w:val="0"/>
        <w:autoSpaceDN w:val="0"/>
        <w:bidi w:val="0"/>
        <w:adjustRightInd w:val="0"/>
        <w:spacing w:line="560" w:lineRule="exact"/>
        <w:ind w:left="0" w:leftChars="0" w:firstLine="643" w:firstLineChars="200"/>
        <w:jc w:val="left"/>
        <w:textAlignment w:val="auto"/>
        <w:outlineLvl w:val="2"/>
        <w:rPr>
          <w:rFonts w:ascii="仿宋" w:hAnsi="仿宋" w:eastAsia="仿宋"/>
          <w:b/>
          <w:sz w:val="32"/>
          <w:szCs w:val="32"/>
          <w:lang w:val="zh-CN"/>
        </w:rPr>
      </w:pPr>
      <w:bookmarkStart w:id="116" w:name="_Toc143818220"/>
      <w:bookmarkStart w:id="117" w:name="_Toc143546635"/>
      <w:r>
        <w:rPr>
          <w:rFonts w:hint="eastAsia" w:ascii="仿宋" w:hAnsi="仿宋" w:eastAsia="仿宋"/>
          <w:b/>
          <w:sz w:val="32"/>
          <w:szCs w:val="32"/>
          <w:lang w:val="zh-CN"/>
        </w:rPr>
        <w:t>人员概况。</w:t>
      </w:r>
      <w:bookmarkEnd w:id="116"/>
      <w:bookmarkEnd w:id="117"/>
    </w:p>
    <w:p>
      <w:pPr>
        <w:pStyle w:val="2"/>
        <w:pageBreakBefore w:val="0"/>
        <w:kinsoku/>
        <w:wordWrap/>
        <w:overflowPunct/>
        <w:topLinePunct w:val="0"/>
        <w:bidi w:val="0"/>
        <w:spacing w:after="0" w:line="560" w:lineRule="exact"/>
        <w:ind w:left="0" w:leftChars="0" w:firstLine="640" w:firstLineChars="200"/>
        <w:textAlignment w:val="auto"/>
        <w:rPr>
          <w:lang w:val="zh-CN"/>
        </w:rPr>
      </w:pPr>
      <w:r>
        <w:rPr>
          <w:rFonts w:hint="eastAsia" w:ascii="仿宋" w:hAnsi="仿宋" w:eastAsia="仿宋" w:cs="仿宋"/>
          <w:sz w:val="32"/>
        </w:rPr>
        <w:t>截止2021年12月30日，区机关事务服务中心实有人员7人，其中：事业在编人员7人。</w:t>
      </w:r>
    </w:p>
    <w:p>
      <w:pPr>
        <w:pStyle w:val="5"/>
        <w:pageBreakBefore w:val="0"/>
        <w:kinsoku/>
        <w:wordWrap/>
        <w:overflowPunct/>
        <w:topLinePunct w:val="0"/>
        <w:bidi w:val="0"/>
        <w:spacing w:before="0" w:after="0" w:line="560" w:lineRule="exact"/>
        <w:ind w:left="0" w:leftChars="0" w:firstLine="640" w:firstLineChars="200"/>
        <w:textAlignment w:val="auto"/>
        <w:rPr>
          <w:rFonts w:ascii="黑体" w:eastAsia="黑体"/>
          <w:b w:val="0"/>
        </w:rPr>
      </w:pPr>
      <w:bookmarkStart w:id="118" w:name="_Toc143818221"/>
      <w:bookmarkStart w:id="119" w:name="_Toc143546636"/>
      <w:bookmarkStart w:id="120" w:name="_Toc16500"/>
      <w:r>
        <w:rPr>
          <w:rFonts w:hint="eastAsia" w:ascii="黑体" w:eastAsia="黑体"/>
          <w:b w:val="0"/>
        </w:rPr>
        <w:t>二、部门财政资金收支情况</w:t>
      </w:r>
      <w:bookmarkEnd w:id="118"/>
      <w:bookmarkEnd w:id="119"/>
      <w:bookmarkEnd w:id="120"/>
    </w:p>
    <w:p>
      <w:pPr>
        <w:pageBreakBefore w:val="0"/>
        <w:kinsoku/>
        <w:wordWrap/>
        <w:overflowPunct/>
        <w:topLinePunct w:val="0"/>
        <w:autoSpaceDE w:val="0"/>
        <w:autoSpaceDN w:val="0"/>
        <w:bidi w:val="0"/>
        <w:adjustRightInd w:val="0"/>
        <w:spacing w:line="560" w:lineRule="exact"/>
        <w:ind w:left="0" w:leftChars="0" w:firstLine="643" w:firstLineChars="200"/>
        <w:jc w:val="left"/>
        <w:textAlignment w:val="auto"/>
        <w:outlineLvl w:val="2"/>
        <w:rPr>
          <w:rFonts w:ascii="仿宋" w:hAnsi="仿宋" w:eastAsia="仿宋"/>
          <w:b/>
          <w:sz w:val="32"/>
          <w:szCs w:val="32"/>
          <w:lang w:val="zh-CN"/>
        </w:rPr>
      </w:pPr>
      <w:bookmarkStart w:id="121" w:name="_Toc143818222"/>
      <w:bookmarkStart w:id="122" w:name="_Toc143546637"/>
      <w:r>
        <w:rPr>
          <w:rFonts w:hint="eastAsia" w:ascii="仿宋" w:hAnsi="仿宋" w:eastAsia="仿宋"/>
          <w:b/>
          <w:sz w:val="32"/>
          <w:szCs w:val="32"/>
          <w:lang w:val="zh-CN"/>
        </w:rPr>
        <w:t>（一）部门财政资金收入情况。</w:t>
      </w:r>
      <w:bookmarkEnd w:id="121"/>
      <w:bookmarkEnd w:id="122"/>
    </w:p>
    <w:p>
      <w:pPr>
        <w:pStyle w:val="7"/>
        <w:pageBreakBefore w:val="0"/>
        <w:numPr>
          <w:ilvl w:val="0"/>
          <w:numId w:val="0"/>
        </w:numPr>
        <w:kinsoku/>
        <w:wordWrap/>
        <w:overflowPunct/>
        <w:topLinePunct w:val="0"/>
        <w:bidi w:val="0"/>
        <w:spacing w:line="560" w:lineRule="exact"/>
        <w:ind w:left="0" w:leftChars="0" w:firstLine="640" w:firstLineChars="200"/>
        <w:textAlignment w:val="auto"/>
        <w:rPr>
          <w:rFonts w:ascii="仿宋" w:hAnsi="仿宋" w:eastAsia="仿宋"/>
          <w:lang w:val="zh-CN"/>
        </w:rPr>
      </w:pPr>
      <w:r>
        <w:rPr>
          <w:rFonts w:hint="eastAsia" w:ascii="仿宋" w:hAnsi="仿宋" w:eastAsia="仿宋" w:cs="仿宋"/>
          <w:sz w:val="32"/>
          <w:szCs w:val="32"/>
        </w:rPr>
        <w:t>2022年收入合计1618.12万元,较2021年1368.53万元增加了249.59万元，主要原因是</w:t>
      </w:r>
      <w:r>
        <w:rPr>
          <w:rFonts w:hint="eastAsia" w:ascii="仿宋" w:hAnsi="仿宋" w:eastAsia="仿宋"/>
          <w:sz w:val="32"/>
          <w:szCs w:val="32"/>
        </w:rPr>
        <w:t>为了保障全区办公人员日常办公</w:t>
      </w:r>
      <w:r>
        <w:rPr>
          <w:rFonts w:hint="eastAsia" w:ascii="仿宋" w:hAnsi="仿宋" w:eastAsia="仿宋"/>
          <w:sz w:val="32"/>
          <w:szCs w:val="32"/>
          <w:lang w:eastAsia="zh-CN"/>
        </w:rPr>
        <w:t>、</w:t>
      </w:r>
      <w:r>
        <w:rPr>
          <w:rFonts w:hint="eastAsia" w:ascii="仿宋" w:hAnsi="仿宋" w:eastAsia="仿宋"/>
          <w:sz w:val="32"/>
          <w:szCs w:val="32"/>
          <w:lang w:val="en-US" w:eastAsia="zh-CN"/>
        </w:rPr>
        <w:t>保障公务出行及集中办公区</w:t>
      </w:r>
      <w:r>
        <w:rPr>
          <w:rFonts w:hint="eastAsia" w:ascii="仿宋" w:hAnsi="仿宋" w:eastAsia="仿宋"/>
          <w:sz w:val="32"/>
          <w:szCs w:val="32"/>
        </w:rPr>
        <w:t>正常运行导致开支比上年有所增加</w:t>
      </w:r>
      <w:r>
        <w:rPr>
          <w:rFonts w:hint="eastAsia" w:ascii="仿宋" w:hAnsi="仿宋" w:eastAsia="仿宋" w:cs="仿宋"/>
          <w:sz w:val="32"/>
          <w:szCs w:val="32"/>
        </w:rPr>
        <w:t>。</w:t>
      </w:r>
    </w:p>
    <w:p>
      <w:pPr>
        <w:pageBreakBefore w:val="0"/>
        <w:numPr>
          <w:ilvl w:val="0"/>
          <w:numId w:val="5"/>
        </w:numPr>
        <w:kinsoku/>
        <w:wordWrap/>
        <w:overflowPunct/>
        <w:topLinePunct w:val="0"/>
        <w:autoSpaceDE w:val="0"/>
        <w:autoSpaceDN w:val="0"/>
        <w:bidi w:val="0"/>
        <w:adjustRightInd w:val="0"/>
        <w:spacing w:line="560" w:lineRule="exact"/>
        <w:ind w:left="0" w:leftChars="0" w:firstLine="643" w:firstLineChars="200"/>
        <w:jc w:val="left"/>
        <w:textAlignment w:val="auto"/>
        <w:outlineLvl w:val="2"/>
        <w:rPr>
          <w:rFonts w:ascii="仿宋" w:hAnsi="仿宋" w:eastAsia="仿宋"/>
          <w:b/>
          <w:sz w:val="32"/>
          <w:szCs w:val="32"/>
          <w:lang w:val="zh-CN"/>
        </w:rPr>
      </w:pPr>
      <w:bookmarkStart w:id="123" w:name="_Toc143818223"/>
      <w:bookmarkStart w:id="124" w:name="_Toc143546638"/>
      <w:r>
        <w:rPr>
          <w:rFonts w:hint="eastAsia" w:ascii="仿宋" w:hAnsi="仿宋" w:eastAsia="仿宋"/>
          <w:b/>
          <w:sz w:val="32"/>
          <w:szCs w:val="32"/>
          <w:lang w:val="zh-CN"/>
        </w:rPr>
        <w:t>部门财政资金支出情况。</w:t>
      </w:r>
      <w:bookmarkEnd w:id="123"/>
      <w:bookmarkEnd w:id="124"/>
    </w:p>
    <w:p>
      <w:pPr>
        <w:pStyle w:val="2"/>
        <w:pageBreakBefore w:val="0"/>
        <w:kinsoku/>
        <w:wordWrap/>
        <w:overflowPunct/>
        <w:topLinePunct w:val="0"/>
        <w:bidi w:val="0"/>
        <w:spacing w:after="0" w:line="560" w:lineRule="exact"/>
        <w:ind w:left="0" w:leftChars="0" w:firstLine="640" w:firstLineChars="200"/>
        <w:textAlignment w:val="auto"/>
        <w:rPr>
          <w:rFonts w:ascii="仿宋" w:hAnsi="仿宋" w:eastAsia="仿宋"/>
          <w:lang w:val="zh-CN"/>
        </w:rPr>
      </w:pPr>
      <w:r>
        <w:rPr>
          <w:rFonts w:hint="eastAsia" w:ascii="仿宋" w:hAnsi="仿宋" w:eastAsia="仿宋" w:cs="仿宋"/>
          <w:sz w:val="32"/>
        </w:rPr>
        <w:t>2022年支出合计1618.12万元，较2021年1368.53万元增加了249.59万元，</w:t>
      </w:r>
      <w:r>
        <w:rPr>
          <w:rFonts w:hint="eastAsia" w:ascii="仿宋" w:hAnsi="仿宋" w:eastAsia="仿宋" w:cs="仿宋"/>
          <w:sz w:val="32"/>
          <w:szCs w:val="32"/>
        </w:rPr>
        <w:t>主要原因是</w:t>
      </w:r>
      <w:r>
        <w:rPr>
          <w:rFonts w:hint="eastAsia" w:ascii="仿宋" w:hAnsi="仿宋" w:eastAsia="仿宋"/>
          <w:sz w:val="32"/>
          <w:szCs w:val="32"/>
        </w:rPr>
        <w:t>为了保障全区办公人员日常办公</w:t>
      </w:r>
      <w:r>
        <w:rPr>
          <w:rFonts w:hint="eastAsia" w:ascii="仿宋" w:hAnsi="仿宋" w:eastAsia="仿宋"/>
          <w:sz w:val="32"/>
          <w:szCs w:val="32"/>
          <w:lang w:eastAsia="zh-CN"/>
        </w:rPr>
        <w:t>、</w:t>
      </w:r>
      <w:r>
        <w:rPr>
          <w:rFonts w:hint="eastAsia" w:ascii="仿宋" w:hAnsi="仿宋" w:eastAsia="仿宋"/>
          <w:sz w:val="32"/>
          <w:szCs w:val="32"/>
          <w:lang w:val="en-US" w:eastAsia="zh-CN"/>
        </w:rPr>
        <w:t>保障公务出行及集中办公区</w:t>
      </w:r>
      <w:r>
        <w:rPr>
          <w:rFonts w:hint="eastAsia" w:ascii="仿宋" w:hAnsi="仿宋" w:eastAsia="仿宋"/>
          <w:sz w:val="32"/>
          <w:szCs w:val="32"/>
        </w:rPr>
        <w:t>正常运行导致开支比上年有所增加</w:t>
      </w:r>
      <w:r>
        <w:rPr>
          <w:rFonts w:hint="eastAsia" w:ascii="仿宋" w:hAnsi="仿宋" w:eastAsia="仿宋" w:cs="仿宋"/>
          <w:sz w:val="32"/>
          <w:szCs w:val="32"/>
        </w:rPr>
        <w:t>。</w:t>
      </w:r>
    </w:p>
    <w:p>
      <w:pPr>
        <w:pStyle w:val="5"/>
        <w:pageBreakBefore w:val="0"/>
        <w:kinsoku/>
        <w:wordWrap/>
        <w:overflowPunct/>
        <w:topLinePunct w:val="0"/>
        <w:bidi w:val="0"/>
        <w:spacing w:before="0" w:after="0" w:line="560" w:lineRule="exact"/>
        <w:ind w:left="0" w:leftChars="0" w:firstLine="640" w:firstLineChars="200"/>
        <w:textAlignment w:val="auto"/>
        <w:rPr>
          <w:rFonts w:ascii="黑体" w:eastAsia="黑体"/>
          <w:b w:val="0"/>
        </w:rPr>
      </w:pPr>
      <w:bookmarkStart w:id="125" w:name="_Toc143546639"/>
      <w:bookmarkStart w:id="126" w:name="_Toc143818224"/>
      <w:bookmarkStart w:id="127" w:name="_Toc9723"/>
      <w:r>
        <w:rPr>
          <w:rFonts w:hint="eastAsia" w:ascii="黑体" w:eastAsia="黑体"/>
          <w:b w:val="0"/>
        </w:rPr>
        <w:t>三、部门整体预算绩效管理情况</w:t>
      </w:r>
      <w:bookmarkEnd w:id="125"/>
      <w:bookmarkEnd w:id="126"/>
      <w:bookmarkEnd w:id="127"/>
    </w:p>
    <w:p>
      <w:pPr>
        <w:pageBreakBefore w:val="0"/>
        <w:kinsoku/>
        <w:wordWrap/>
        <w:overflowPunct/>
        <w:topLinePunct w:val="0"/>
        <w:autoSpaceDE w:val="0"/>
        <w:autoSpaceDN w:val="0"/>
        <w:bidi w:val="0"/>
        <w:adjustRightInd w:val="0"/>
        <w:spacing w:line="560" w:lineRule="exact"/>
        <w:ind w:left="0" w:leftChars="0" w:firstLine="643" w:firstLineChars="200"/>
        <w:jc w:val="left"/>
        <w:textAlignment w:val="auto"/>
        <w:outlineLvl w:val="2"/>
        <w:rPr>
          <w:rFonts w:ascii="仿宋" w:hAnsi="仿宋" w:eastAsia="仿宋"/>
          <w:b/>
          <w:sz w:val="32"/>
          <w:szCs w:val="32"/>
          <w:lang w:val="zh-CN"/>
        </w:rPr>
      </w:pPr>
      <w:bookmarkStart w:id="128" w:name="_Toc143546640"/>
      <w:bookmarkStart w:id="129" w:name="_Toc143818225"/>
      <w:r>
        <w:rPr>
          <w:rFonts w:hint="eastAsia" w:ascii="仿宋" w:hAnsi="仿宋" w:eastAsia="仿宋"/>
          <w:b/>
          <w:sz w:val="32"/>
          <w:szCs w:val="32"/>
          <w:lang w:val="zh-CN"/>
        </w:rPr>
        <w:t>（一）部门预算项目绩效管理。</w:t>
      </w:r>
      <w:bookmarkEnd w:id="128"/>
      <w:bookmarkEnd w:id="129"/>
    </w:p>
    <w:p>
      <w:pPr>
        <w:pageBreakBefore w:val="0"/>
        <w:widowControl/>
        <w:kinsoku/>
        <w:wordWrap/>
        <w:overflowPunct/>
        <w:topLinePunct w:val="0"/>
        <w:bidi w:val="0"/>
        <w:adjustRightInd w:val="0"/>
        <w:snapToGrid w:val="0"/>
        <w:spacing w:line="560" w:lineRule="exact"/>
        <w:ind w:left="0" w:leftChars="0" w:firstLine="640" w:firstLineChars="200"/>
        <w:contextualSpacing/>
        <w:jc w:val="left"/>
        <w:textAlignment w:val="auto"/>
        <w:rPr>
          <w:rFonts w:ascii="仿宋_GB2312" w:hAnsi="Calibri" w:eastAsia="仿宋_GB2312" w:cs="仿宋"/>
          <w:kern w:val="0"/>
          <w:sz w:val="32"/>
          <w:szCs w:val="32"/>
          <w:lang w:val="zh-CN"/>
        </w:rPr>
      </w:pPr>
      <w:r>
        <w:rPr>
          <w:rFonts w:hint="eastAsia" w:ascii="仿宋" w:hAnsi="仿宋" w:eastAsia="仿宋" w:cs="仿宋_GB2312"/>
          <w:sz w:val="32"/>
          <w:szCs w:val="32"/>
        </w:rPr>
        <w:t>严格按照财政部门预算编制通知和有关要求，按时完成2022年预算编制工作，并按时提交部门预算草案和编制说明。按规定编制预算，预算编制全面、科学。</w:t>
      </w:r>
      <w:r>
        <w:rPr>
          <w:rFonts w:hint="eastAsia" w:ascii="仿宋" w:hAnsi="仿宋" w:eastAsia="仿宋" w:cs="仿宋"/>
          <w:sz w:val="32"/>
          <w:szCs w:val="32"/>
        </w:rPr>
        <w:t>为进一步加强财务管理，规范公务支付业务，减少现金支付结算，提高支付透明度，强化资金安全，制定了《</w:t>
      </w:r>
      <w:r>
        <w:rPr>
          <w:rFonts w:hint="eastAsia" w:ascii="仿宋" w:hAnsi="仿宋" w:eastAsia="仿宋" w:cs="仿宋"/>
          <w:sz w:val="32"/>
          <w:szCs w:val="32"/>
          <w:lang w:val="en-US" w:eastAsia="zh-CN"/>
        </w:rPr>
        <w:t>财务管理制度</w:t>
      </w:r>
      <w:r>
        <w:rPr>
          <w:rFonts w:hint="eastAsia" w:ascii="仿宋" w:hAnsi="仿宋" w:eastAsia="仿宋" w:cs="仿宋"/>
          <w:sz w:val="32"/>
          <w:szCs w:val="32"/>
        </w:rPr>
        <w:t>》</w:t>
      </w:r>
      <w:r>
        <w:rPr>
          <w:rFonts w:hint="eastAsia" w:ascii="仿宋" w:hAnsi="仿宋" w:eastAsia="仿宋" w:cs="仿宋"/>
          <w:sz w:val="32"/>
          <w:szCs w:val="32"/>
          <w:lang w:val="en-US" w:eastAsia="zh-CN"/>
        </w:rPr>
        <w:t>等</w:t>
      </w:r>
      <w:r>
        <w:rPr>
          <w:rFonts w:hint="eastAsia" w:ascii="仿宋" w:hAnsi="仿宋" w:eastAsia="仿宋" w:cs="仿宋"/>
          <w:sz w:val="32"/>
          <w:szCs w:val="32"/>
        </w:rPr>
        <w:t>内部控制制度，包括：预算管理、采购管理、结算管理、资产管理、财务机构、财务监督等管理事项。</w:t>
      </w:r>
    </w:p>
    <w:p>
      <w:pPr>
        <w:pageBreakBefore w:val="0"/>
        <w:kinsoku/>
        <w:wordWrap/>
        <w:overflowPunct/>
        <w:topLinePunct w:val="0"/>
        <w:autoSpaceDE w:val="0"/>
        <w:autoSpaceDN w:val="0"/>
        <w:bidi w:val="0"/>
        <w:adjustRightInd w:val="0"/>
        <w:spacing w:line="560" w:lineRule="exact"/>
        <w:ind w:left="0" w:leftChars="0" w:firstLine="643" w:firstLineChars="200"/>
        <w:jc w:val="left"/>
        <w:textAlignment w:val="auto"/>
        <w:outlineLvl w:val="2"/>
        <w:rPr>
          <w:rFonts w:ascii="仿宋" w:hAnsi="仿宋" w:eastAsia="仿宋"/>
          <w:b/>
          <w:sz w:val="32"/>
          <w:szCs w:val="32"/>
          <w:lang w:val="zh-CN"/>
        </w:rPr>
      </w:pPr>
      <w:bookmarkStart w:id="130" w:name="_Toc143546641"/>
      <w:bookmarkStart w:id="131" w:name="_Toc143818226"/>
      <w:r>
        <w:rPr>
          <w:rFonts w:hint="eastAsia" w:ascii="仿宋" w:hAnsi="仿宋" w:eastAsia="仿宋"/>
          <w:b/>
          <w:sz w:val="32"/>
          <w:szCs w:val="32"/>
          <w:lang w:val="zh-CN"/>
        </w:rPr>
        <w:t>（二）结果应用情况。</w:t>
      </w:r>
      <w:bookmarkEnd w:id="130"/>
      <w:bookmarkEnd w:id="131"/>
    </w:p>
    <w:p>
      <w:pPr>
        <w:pageBreakBefore w:val="0"/>
        <w:widowControl/>
        <w:kinsoku/>
        <w:wordWrap/>
        <w:overflowPunct/>
        <w:topLinePunct w:val="0"/>
        <w:bidi w:val="0"/>
        <w:adjustRightInd w:val="0"/>
        <w:snapToGrid w:val="0"/>
        <w:spacing w:line="560" w:lineRule="exact"/>
        <w:ind w:left="0" w:leftChars="0" w:firstLine="640" w:firstLineChars="200"/>
        <w:contextualSpacing/>
        <w:jc w:val="left"/>
        <w:textAlignment w:val="auto"/>
        <w:rPr>
          <w:rFonts w:ascii="仿宋_GB2312" w:hAnsi="Calibri" w:eastAsia="仿宋_GB2312" w:cs="仿宋"/>
          <w:kern w:val="0"/>
          <w:sz w:val="32"/>
          <w:szCs w:val="32"/>
          <w:lang w:val="zh-CN"/>
        </w:rPr>
      </w:pPr>
      <w:r>
        <w:rPr>
          <w:rFonts w:hint="eastAsia" w:ascii="仿宋" w:hAnsi="仿宋" w:eastAsia="仿宋" w:cs="仿宋"/>
          <w:sz w:val="32"/>
          <w:szCs w:val="32"/>
          <w:lang w:val="zh-CN"/>
        </w:rPr>
        <w:t>在今后编制预算时，</w:t>
      </w:r>
      <w:r>
        <w:rPr>
          <w:rFonts w:hint="eastAsia" w:ascii="仿宋" w:hAnsi="仿宋" w:eastAsia="仿宋" w:cs="仿宋"/>
          <w:sz w:val="32"/>
          <w:szCs w:val="32"/>
        </w:rPr>
        <w:t>根据信息公开</w:t>
      </w:r>
      <w:r>
        <w:rPr>
          <w:rFonts w:hint="eastAsia" w:ascii="仿宋" w:hAnsi="仿宋" w:eastAsia="仿宋" w:cs="仿宋"/>
          <w:sz w:val="32"/>
          <w:szCs w:val="32"/>
          <w:lang w:val="zh-CN"/>
        </w:rPr>
        <w:t>按要求将</w:t>
      </w:r>
      <w:r>
        <w:rPr>
          <w:rFonts w:hint="eastAsia" w:ascii="仿宋" w:hAnsi="仿宋" w:eastAsia="仿宋" w:cs="仿宋"/>
          <w:sz w:val="32"/>
          <w:szCs w:val="32"/>
        </w:rPr>
        <w:t>我单位</w:t>
      </w:r>
      <w:r>
        <w:rPr>
          <w:rFonts w:hint="eastAsia" w:ascii="仿宋" w:hAnsi="仿宋" w:eastAsia="仿宋" w:cs="仿宋"/>
          <w:sz w:val="32"/>
          <w:szCs w:val="32"/>
          <w:lang w:val="zh-CN"/>
        </w:rPr>
        <w:t>整体绩效自评情况和</w:t>
      </w:r>
      <w:r>
        <w:rPr>
          <w:rFonts w:hint="eastAsia" w:ascii="仿宋" w:hAnsi="仿宋" w:eastAsia="仿宋" w:cs="仿宋"/>
          <w:sz w:val="32"/>
          <w:szCs w:val="32"/>
        </w:rPr>
        <w:t>自</w:t>
      </w:r>
      <w:r>
        <w:rPr>
          <w:rFonts w:hint="eastAsia" w:ascii="仿宋" w:hAnsi="仿宋" w:eastAsia="仿宋" w:cs="仿宋"/>
          <w:sz w:val="32"/>
          <w:szCs w:val="32"/>
          <w:lang w:val="zh-CN"/>
        </w:rPr>
        <w:t>行组织的评价情况向社会公开；根据整改</w:t>
      </w:r>
      <w:r>
        <w:rPr>
          <w:rFonts w:hint="eastAsia" w:ascii="仿宋" w:hAnsi="仿宋" w:eastAsia="仿宋" w:cs="仿宋"/>
          <w:sz w:val="32"/>
          <w:szCs w:val="32"/>
        </w:rPr>
        <w:t>反馈</w:t>
      </w:r>
      <w:r>
        <w:rPr>
          <w:rFonts w:hint="eastAsia" w:ascii="仿宋" w:hAnsi="仿宋" w:eastAsia="仿宋" w:cs="仿宋"/>
          <w:sz w:val="32"/>
          <w:szCs w:val="32"/>
          <w:lang w:val="zh-CN"/>
        </w:rPr>
        <w:t>问题、完善政策、改进管理的情况</w:t>
      </w:r>
      <w:r>
        <w:rPr>
          <w:rFonts w:hint="eastAsia" w:ascii="仿宋" w:hAnsi="仿宋" w:eastAsia="仿宋" w:cs="仿宋"/>
          <w:sz w:val="32"/>
          <w:szCs w:val="32"/>
        </w:rPr>
        <w:t>并及时向财政部门反馈结果应用情况</w:t>
      </w:r>
      <w:r>
        <w:rPr>
          <w:rFonts w:hint="eastAsia" w:ascii="仿宋" w:hAnsi="仿宋" w:eastAsia="仿宋" w:cs="仿宋"/>
          <w:sz w:val="32"/>
          <w:szCs w:val="32"/>
          <w:lang w:val="zh-CN"/>
        </w:rPr>
        <w:t>；将绩效自评价结果作为改进预算管理和安排以后年度预算的重要依据</w:t>
      </w:r>
      <w:r>
        <w:rPr>
          <w:rFonts w:hint="eastAsia" w:ascii="仿宋_GB2312" w:hAnsi="Calibri" w:eastAsia="仿宋_GB2312" w:cs="仿宋"/>
          <w:kern w:val="0"/>
          <w:sz w:val="32"/>
          <w:szCs w:val="32"/>
          <w:lang w:val="zh-CN"/>
        </w:rPr>
        <w:t>。</w:t>
      </w:r>
    </w:p>
    <w:p>
      <w:pPr>
        <w:pStyle w:val="5"/>
        <w:pageBreakBefore w:val="0"/>
        <w:kinsoku/>
        <w:wordWrap/>
        <w:overflowPunct/>
        <w:topLinePunct w:val="0"/>
        <w:bidi w:val="0"/>
        <w:spacing w:before="0" w:after="0" w:line="560" w:lineRule="exact"/>
        <w:ind w:left="0" w:leftChars="0" w:firstLine="640" w:firstLineChars="200"/>
        <w:textAlignment w:val="auto"/>
        <w:rPr>
          <w:rFonts w:ascii="黑体" w:eastAsia="黑体"/>
          <w:b w:val="0"/>
        </w:rPr>
      </w:pPr>
      <w:bookmarkStart w:id="132" w:name="_Toc143546642"/>
      <w:bookmarkStart w:id="133" w:name="_Toc143818227"/>
      <w:bookmarkStart w:id="134" w:name="_Toc11446"/>
      <w:r>
        <w:rPr>
          <w:rFonts w:hint="eastAsia" w:ascii="黑体" w:eastAsia="黑体"/>
          <w:b w:val="0"/>
        </w:rPr>
        <w:t>四、评价结论及建议</w:t>
      </w:r>
      <w:bookmarkEnd w:id="132"/>
      <w:bookmarkEnd w:id="133"/>
      <w:bookmarkEnd w:id="134"/>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3" w:firstLineChars="200"/>
        <w:jc w:val="left"/>
        <w:textAlignment w:val="auto"/>
        <w:outlineLvl w:val="2"/>
        <w:rPr>
          <w:rFonts w:ascii="仿宋" w:hAnsi="仿宋" w:eastAsia="仿宋"/>
          <w:b/>
          <w:sz w:val="32"/>
          <w:szCs w:val="32"/>
          <w:lang w:val="zh-CN"/>
        </w:rPr>
      </w:pPr>
      <w:bookmarkStart w:id="135" w:name="_Toc143546643"/>
      <w:bookmarkStart w:id="136" w:name="_Toc143818228"/>
      <w:r>
        <w:rPr>
          <w:rFonts w:hint="eastAsia" w:ascii="仿宋" w:hAnsi="仿宋" w:eastAsia="仿宋"/>
          <w:b/>
          <w:sz w:val="32"/>
          <w:szCs w:val="32"/>
          <w:lang w:val="zh-CN"/>
        </w:rPr>
        <w:t>（一）评价结论。</w:t>
      </w:r>
      <w:bookmarkEnd w:id="135"/>
      <w:bookmarkEnd w:id="136"/>
    </w:p>
    <w:p>
      <w:pPr>
        <w:pStyle w:val="7"/>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textAlignment w:val="auto"/>
        <w:rPr>
          <w:lang w:val="zh-CN"/>
        </w:rPr>
      </w:pPr>
      <w:r>
        <w:rPr>
          <w:rFonts w:hint="eastAsia" w:ascii="仿宋" w:hAnsi="仿宋" w:eastAsia="仿宋" w:cs="仿宋"/>
          <w:sz w:val="32"/>
          <w:szCs w:val="32"/>
        </w:rPr>
        <w:t>一是科学地做好年度项目经费预算。根据上年度项目经费使用情况和项目执行情况，科学、合理地做好下一年度的项目安排和经费预算，确保各项目经费落实到位，项目有序执行</w:t>
      </w:r>
      <w:r>
        <w:rPr>
          <w:rFonts w:hint="eastAsia" w:ascii="仿宋" w:hAnsi="仿宋" w:eastAsia="仿宋" w:cs="仿宋"/>
          <w:sz w:val="32"/>
          <w:szCs w:val="32"/>
          <w:lang w:eastAsia="zh-CN"/>
        </w:rPr>
        <w:t>。</w:t>
      </w:r>
      <w:r>
        <w:rPr>
          <w:rFonts w:hint="eastAsia" w:ascii="仿宋" w:hAnsi="仿宋" w:eastAsia="仿宋" w:cs="仿宋"/>
          <w:sz w:val="32"/>
          <w:szCs w:val="32"/>
        </w:rPr>
        <w:t>二是加强组织领导，</w:t>
      </w:r>
      <w:r>
        <w:rPr>
          <w:rFonts w:hint="eastAsia" w:ascii="仿宋" w:hAnsi="仿宋" w:eastAsia="仿宋" w:cs="仿宋"/>
          <w:sz w:val="32"/>
          <w:szCs w:val="32"/>
          <w:lang w:val="en-US" w:eastAsia="zh-CN"/>
        </w:rPr>
        <w:t>我中心将</w:t>
      </w:r>
      <w:r>
        <w:rPr>
          <w:rFonts w:hint="eastAsia" w:ascii="仿宋" w:hAnsi="仿宋" w:eastAsia="仿宋" w:cs="仿宋"/>
          <w:sz w:val="32"/>
          <w:szCs w:val="32"/>
        </w:rPr>
        <w:t>合理制定项目执行计划</w:t>
      </w:r>
      <w:r>
        <w:rPr>
          <w:rFonts w:hint="eastAsia" w:ascii="仿宋" w:hAnsi="仿宋" w:eastAsia="仿宋" w:cs="仿宋"/>
          <w:sz w:val="32"/>
          <w:szCs w:val="32"/>
          <w:lang w:eastAsia="zh-CN"/>
        </w:rPr>
        <w:t>，</w:t>
      </w:r>
      <w:r>
        <w:rPr>
          <w:rFonts w:hint="eastAsia" w:ascii="仿宋" w:hAnsi="仿宋" w:eastAsia="仿宋" w:cs="仿宋"/>
          <w:sz w:val="32"/>
          <w:szCs w:val="32"/>
        </w:rPr>
        <w:t>有序开展</w:t>
      </w:r>
      <w:r>
        <w:rPr>
          <w:rFonts w:hint="eastAsia" w:ascii="仿宋" w:hAnsi="仿宋" w:eastAsia="仿宋" w:cs="仿宋"/>
          <w:sz w:val="32"/>
          <w:szCs w:val="32"/>
          <w:lang w:val="en-US" w:eastAsia="zh-CN"/>
        </w:rPr>
        <w:t>实施项目</w:t>
      </w:r>
      <w:r>
        <w:rPr>
          <w:rFonts w:hint="eastAsia" w:ascii="仿宋" w:hAnsi="仿宋" w:eastAsia="仿宋" w:cs="仿宋"/>
          <w:sz w:val="32"/>
          <w:szCs w:val="32"/>
          <w:lang w:eastAsia="zh-CN"/>
        </w:rPr>
        <w:t>。</w:t>
      </w:r>
      <w:r>
        <w:rPr>
          <w:rFonts w:hint="eastAsia" w:ascii="仿宋" w:hAnsi="仿宋" w:eastAsia="仿宋" w:cs="仿宋"/>
          <w:sz w:val="32"/>
          <w:szCs w:val="32"/>
        </w:rPr>
        <w:t>三是强化绩效评价，做好项目相关资料收集。注重收集项目相关资料，做好项目绩效评价工作。</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Chars="0" w:firstLine="643" w:firstLineChars="200"/>
        <w:jc w:val="left"/>
        <w:textAlignment w:val="auto"/>
        <w:outlineLvl w:val="2"/>
        <w:rPr>
          <w:rFonts w:ascii="仿宋" w:hAnsi="仿宋" w:eastAsia="仿宋"/>
          <w:b/>
          <w:sz w:val="32"/>
          <w:szCs w:val="32"/>
          <w:lang w:val="zh-CN"/>
        </w:rPr>
      </w:pPr>
      <w:bookmarkStart w:id="137" w:name="_Toc143546644"/>
      <w:bookmarkStart w:id="138" w:name="_Toc143818229"/>
      <w:r>
        <w:rPr>
          <w:rFonts w:hint="eastAsia" w:ascii="仿宋" w:hAnsi="仿宋" w:eastAsia="仿宋"/>
          <w:b/>
          <w:sz w:val="32"/>
          <w:szCs w:val="32"/>
          <w:lang w:val="zh-CN"/>
        </w:rPr>
        <w:t>（</w:t>
      </w:r>
      <w:r>
        <w:rPr>
          <w:rFonts w:hint="eastAsia" w:ascii="仿宋" w:hAnsi="仿宋" w:eastAsia="仿宋"/>
          <w:b/>
          <w:sz w:val="32"/>
          <w:szCs w:val="32"/>
          <w:lang w:val="en-US" w:eastAsia="zh-CN"/>
        </w:rPr>
        <w:t>二</w:t>
      </w:r>
      <w:r>
        <w:rPr>
          <w:rFonts w:hint="eastAsia" w:ascii="仿宋" w:hAnsi="仿宋" w:eastAsia="仿宋"/>
          <w:b/>
          <w:sz w:val="32"/>
          <w:szCs w:val="32"/>
          <w:lang w:val="zh-CN"/>
        </w:rPr>
        <w:t>）存在问题。</w:t>
      </w:r>
      <w:bookmarkEnd w:id="137"/>
      <w:bookmarkEnd w:id="138"/>
    </w:p>
    <w:p>
      <w:pPr>
        <w:pStyle w:val="7"/>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textAlignment w:val="auto"/>
        <w:rPr>
          <w:rFonts w:ascii="仿宋" w:hAnsi="仿宋" w:eastAsia="仿宋" w:cs="仿宋"/>
          <w:sz w:val="32"/>
          <w:szCs w:val="32"/>
          <w:lang w:val="zh-CN"/>
        </w:rPr>
      </w:pPr>
      <w:r>
        <w:rPr>
          <w:rFonts w:hint="eastAsia" w:ascii="仿宋" w:hAnsi="仿宋" w:eastAsia="仿宋" w:cs="仿宋"/>
          <w:sz w:val="32"/>
          <w:szCs w:val="32"/>
        </w:rPr>
        <w:t>部门整体支出绩效目标需进一步细化。业务类支出未能根据部门职能及当年度工作规划等进行细化，不利于部门整体支出绩效评价工作的开展。</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3" w:firstLineChars="200"/>
        <w:jc w:val="left"/>
        <w:textAlignment w:val="auto"/>
        <w:outlineLvl w:val="2"/>
        <w:rPr>
          <w:rFonts w:ascii="仿宋" w:hAnsi="仿宋" w:eastAsia="仿宋"/>
          <w:b/>
          <w:sz w:val="32"/>
          <w:szCs w:val="32"/>
          <w:lang w:val="zh-CN"/>
        </w:rPr>
      </w:pPr>
      <w:bookmarkStart w:id="139" w:name="_Toc143818230"/>
      <w:bookmarkStart w:id="140" w:name="_Toc143546645"/>
      <w:r>
        <w:rPr>
          <w:rFonts w:hint="eastAsia" w:ascii="仿宋" w:hAnsi="仿宋" w:eastAsia="仿宋"/>
          <w:b/>
          <w:sz w:val="32"/>
          <w:szCs w:val="32"/>
          <w:lang w:val="zh-CN"/>
        </w:rPr>
        <w:t>（三）改进建议。</w:t>
      </w:r>
      <w:bookmarkEnd w:id="139"/>
      <w:bookmarkEnd w:id="140"/>
    </w:p>
    <w:p>
      <w:pPr>
        <w:pageBreakBefore w:val="0"/>
        <w:kinsoku/>
        <w:wordWrap/>
        <w:overflowPunct/>
        <w:topLinePunct w:val="0"/>
        <w:autoSpaceDE w:val="0"/>
        <w:autoSpaceDN w:val="0"/>
        <w:bidi w:val="0"/>
        <w:adjustRightInd w:val="0"/>
        <w:spacing w:line="560" w:lineRule="exact"/>
        <w:ind w:left="0" w:leftChars="0" w:firstLine="640" w:firstLineChars="200"/>
        <w:jc w:val="left"/>
        <w:textAlignment w:val="auto"/>
        <w:outlineLvl w:val="2"/>
        <w:rPr>
          <w:rFonts w:ascii="仿宋" w:hAnsi="仿宋" w:eastAsia="仿宋"/>
          <w:b/>
          <w:sz w:val="32"/>
          <w:szCs w:val="32"/>
          <w:lang w:val="zh-CN"/>
        </w:rPr>
      </w:pPr>
      <w:bookmarkStart w:id="141" w:name="_Toc143818231"/>
      <w:bookmarkStart w:id="142" w:name="_Toc143546646"/>
      <w:r>
        <w:rPr>
          <w:rFonts w:hint="eastAsia" w:ascii="仿宋" w:hAnsi="仿宋" w:eastAsia="仿宋"/>
          <w:sz w:val="32"/>
          <w:szCs w:val="32"/>
        </w:rPr>
        <w:t>下一步，区机关事务服务中心将</w:t>
      </w:r>
      <w:r>
        <w:rPr>
          <w:rFonts w:ascii="仿宋" w:hAnsi="仿宋" w:eastAsia="仿宋"/>
          <w:sz w:val="32"/>
          <w:szCs w:val="32"/>
        </w:rPr>
        <w:t>细化预算编制工作，认真做好预算的编制。进一步加强内部机构的预算管理意识，严格按照预算编制的相关制度和要求，本着“勤俭节约、保障运转”的原则进行预算的编制；编制范围尽可能的全面、不漏项，进一步提高预算编制的科学性、合理性、严谨性和可控性。在日常预算管理过程中，进一步加强预算支出的审核、跟踪及预算执行情况分析。</w:t>
      </w:r>
      <w:bookmarkEnd w:id="141"/>
      <w:bookmarkEnd w:id="142"/>
    </w:p>
    <w:p>
      <w:pPr>
        <w:rPr>
          <w:rFonts w:hint="eastAsia"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br w:type="page"/>
      </w:r>
    </w:p>
    <w:p>
      <w:pPr>
        <w:widowControl/>
        <w:adjustRightInd w:val="0"/>
        <w:snapToGrid w:val="0"/>
        <w:spacing w:line="620" w:lineRule="exact"/>
        <w:contextualSpacing/>
        <w:jc w:val="left"/>
        <w:rPr>
          <w:rFonts w:hint="eastAsia"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附表：</w:t>
      </w:r>
    </w:p>
    <w:p>
      <w:pPr>
        <w:widowControl/>
        <w:adjustRightInd w:val="0"/>
        <w:snapToGrid w:val="0"/>
        <w:spacing w:line="620" w:lineRule="exact"/>
        <w:ind w:firstLine="720" w:firstLineChars="200"/>
        <w:contextualSpacing/>
        <w:jc w:val="left"/>
        <w:rPr>
          <w:rFonts w:ascii="仿宋" w:hAnsi="仿宋" w:eastAsia="仿宋" w:cs="仿宋"/>
          <w:kern w:val="0"/>
          <w:sz w:val="36"/>
          <w:szCs w:val="36"/>
          <w:lang w:val="zh-CN"/>
        </w:rPr>
      </w:pPr>
      <w:r>
        <w:rPr>
          <w:rFonts w:hint="eastAsia" w:ascii="仿宋" w:hAnsi="仿宋" w:eastAsia="仿宋" w:cs="仿宋"/>
          <w:kern w:val="0"/>
          <w:sz w:val="36"/>
          <w:szCs w:val="36"/>
        </w:rPr>
        <w:t xml:space="preserve">1. </w:t>
      </w:r>
      <w:r>
        <w:rPr>
          <w:rFonts w:hint="eastAsia" w:ascii="仿宋" w:hAnsi="仿宋" w:eastAsia="仿宋" w:cs="仿宋"/>
          <w:kern w:val="0"/>
          <w:sz w:val="36"/>
          <w:szCs w:val="36"/>
          <w:lang w:val="zh-CN"/>
        </w:rPr>
        <w:t>部门整体支出绩效自评表</w:t>
      </w:r>
    </w:p>
    <w:tbl>
      <w:tblPr>
        <w:tblStyle w:val="15"/>
        <w:tblW w:w="10206" w:type="dxa"/>
        <w:jc w:val="center"/>
        <w:tblLayout w:type="autofit"/>
        <w:tblCellMar>
          <w:top w:w="0" w:type="dxa"/>
          <w:left w:w="108" w:type="dxa"/>
          <w:bottom w:w="0" w:type="dxa"/>
          <w:right w:w="108" w:type="dxa"/>
        </w:tblCellMar>
      </w:tblPr>
      <w:tblGrid>
        <w:gridCol w:w="846"/>
        <w:gridCol w:w="847"/>
        <w:gridCol w:w="906"/>
        <w:gridCol w:w="705"/>
        <w:gridCol w:w="2295"/>
        <w:gridCol w:w="2736"/>
        <w:gridCol w:w="997"/>
        <w:gridCol w:w="874"/>
      </w:tblGrid>
      <w:tr>
        <w:tblPrEx>
          <w:tblCellMar>
            <w:top w:w="0" w:type="dxa"/>
            <w:left w:w="108" w:type="dxa"/>
            <w:bottom w:w="0" w:type="dxa"/>
            <w:right w:w="108" w:type="dxa"/>
          </w:tblCellMar>
        </w:tblPrEx>
        <w:trPr>
          <w:trHeight w:val="690" w:hRule="atLeast"/>
          <w:jc w:val="center"/>
        </w:trPr>
        <w:tc>
          <w:tcPr>
            <w:tcW w:w="20840" w:type="dxa"/>
            <w:gridSpan w:val="8"/>
            <w:tcBorders>
              <w:top w:val="nil"/>
              <w:left w:val="nil"/>
              <w:bottom w:val="single" w:color="auto" w:sz="4" w:space="0"/>
              <w:right w:val="nil"/>
            </w:tcBorders>
            <w:shd w:val="clear" w:color="auto" w:fill="auto"/>
            <w:vAlign w:val="center"/>
          </w:tcPr>
          <w:p>
            <w:pPr>
              <w:widowControl/>
              <w:jc w:val="center"/>
              <w:rPr>
                <w:rFonts w:ascii="仿宋" w:hAnsi="仿宋" w:eastAsia="仿宋" w:cs="宋体"/>
                <w:kern w:val="0"/>
                <w:sz w:val="36"/>
                <w:szCs w:val="36"/>
              </w:rPr>
            </w:pPr>
            <w:r>
              <w:rPr>
                <w:rFonts w:hint="eastAsia" w:ascii="仿宋" w:hAnsi="仿宋" w:eastAsia="仿宋" w:cs="宋体"/>
                <w:kern w:val="0"/>
                <w:sz w:val="36"/>
                <w:szCs w:val="36"/>
              </w:rPr>
              <w:t>2022年区级部门整体支出绩效评价指标体系</w:t>
            </w:r>
          </w:p>
        </w:tc>
      </w:tr>
      <w:tr>
        <w:tblPrEx>
          <w:tblCellMar>
            <w:top w:w="0" w:type="dxa"/>
            <w:left w:w="108" w:type="dxa"/>
            <w:bottom w:w="0" w:type="dxa"/>
            <w:right w:w="108" w:type="dxa"/>
          </w:tblCellMar>
        </w:tblPrEx>
        <w:trPr>
          <w:trHeight w:val="690" w:hRule="atLeast"/>
          <w:jc w:val="center"/>
        </w:trPr>
        <w:tc>
          <w:tcPr>
            <w:tcW w:w="41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绩效指标</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指标分值</w:t>
            </w:r>
          </w:p>
        </w:tc>
        <w:tc>
          <w:tcPr>
            <w:tcW w:w="56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指标解释</w:t>
            </w:r>
          </w:p>
        </w:tc>
        <w:tc>
          <w:tcPr>
            <w:tcW w:w="5980" w:type="dxa"/>
            <w:vMerge w:val="restart"/>
            <w:tcBorders>
              <w:top w:val="nil"/>
              <w:left w:val="nil"/>
              <w:bottom w:val="single" w:color="000000" w:sz="4" w:space="0"/>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计分标准</w:t>
            </w:r>
          </w:p>
        </w:tc>
        <w:tc>
          <w:tcPr>
            <w:tcW w:w="21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自评得分</w:t>
            </w:r>
          </w:p>
        </w:tc>
        <w:tc>
          <w:tcPr>
            <w:tcW w:w="1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备注</w:t>
            </w:r>
          </w:p>
        </w:tc>
      </w:tr>
      <w:tr>
        <w:tblPrEx>
          <w:tblCellMar>
            <w:top w:w="0" w:type="dxa"/>
            <w:left w:w="108" w:type="dxa"/>
            <w:bottom w:w="0" w:type="dxa"/>
            <w:right w:w="108" w:type="dxa"/>
          </w:tblCellMar>
        </w:tblPrEx>
        <w:trPr>
          <w:trHeight w:val="345" w:hRule="atLeast"/>
          <w:jc w:val="center"/>
        </w:trPr>
        <w:tc>
          <w:tcPr>
            <w:tcW w:w="11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一级指标</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二级指标</w:t>
            </w: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三级指标</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5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5980" w:type="dxa"/>
            <w:vMerge w:val="continue"/>
            <w:tcBorders>
              <w:top w:val="nil"/>
              <w:left w:val="nil"/>
              <w:bottom w:val="single" w:color="000000" w:sz="4" w:space="0"/>
              <w:right w:val="single" w:color="auto" w:sz="4" w:space="0"/>
            </w:tcBorders>
            <w:vAlign w:val="center"/>
          </w:tcPr>
          <w:p>
            <w:pPr>
              <w:widowControl/>
              <w:jc w:val="left"/>
              <w:rPr>
                <w:rFonts w:ascii="宋体" w:hAnsi="宋体" w:cs="宋体"/>
                <w:b/>
                <w:bCs/>
                <w:kern w:val="0"/>
                <w:sz w:val="24"/>
              </w:rPr>
            </w:pPr>
          </w:p>
        </w:tc>
        <w:tc>
          <w:tcPr>
            <w:tcW w:w="2120" w:type="dxa"/>
            <w:vMerge w:val="continue"/>
            <w:tcBorders>
              <w:top w:val="nil"/>
              <w:left w:val="nil"/>
              <w:bottom w:val="single" w:color="000000" w:sz="4" w:space="0"/>
              <w:right w:val="single" w:color="auto" w:sz="4" w:space="0"/>
            </w:tcBorders>
            <w:vAlign w:val="center"/>
          </w:tcPr>
          <w:p>
            <w:pPr>
              <w:widowControl/>
              <w:jc w:val="left"/>
              <w:rPr>
                <w:rFonts w:ascii="宋体" w:hAnsi="宋体" w:cs="宋体"/>
                <w:b/>
                <w:bCs/>
                <w:kern w:val="0"/>
                <w:sz w:val="24"/>
              </w:rPr>
            </w:pPr>
          </w:p>
        </w:tc>
        <w:tc>
          <w:tcPr>
            <w:tcW w:w="1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r>
      <w:tr>
        <w:tblPrEx>
          <w:tblCellMar>
            <w:top w:w="0" w:type="dxa"/>
            <w:left w:w="108" w:type="dxa"/>
            <w:bottom w:w="0" w:type="dxa"/>
            <w:right w:w="108" w:type="dxa"/>
          </w:tblCellMar>
        </w:tblPrEx>
        <w:trPr>
          <w:trHeight w:val="1845" w:hRule="atLeast"/>
          <w:jc w:val="center"/>
        </w:trPr>
        <w:tc>
          <w:tcPr>
            <w:tcW w:w="11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部门预算管理（80分）</w:t>
            </w:r>
          </w:p>
        </w:tc>
        <w:tc>
          <w:tcPr>
            <w:tcW w:w="11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预算编制（30分）</w:t>
            </w: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目标制定</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10</w:t>
            </w:r>
          </w:p>
        </w:tc>
        <w:tc>
          <w:tcPr>
            <w:tcW w:w="562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评价部门绩效目标是否要素完整、细化量化。</w:t>
            </w:r>
          </w:p>
        </w:tc>
        <w:tc>
          <w:tcPr>
            <w:tcW w:w="598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 xml:space="preserve">1.绩效目标编制要素完整的，得5分，否则酌情扣分。                                                       2.绩效指标细化量化的，得5分，否则酌情扣分。                  有项目绩效目标的部门（单位），根据项目绩效目标编制质量打分，无项目绩效目标的部门，根据部门整体支出绩效目标打分。                                                                    </w:t>
            </w:r>
          </w:p>
        </w:tc>
        <w:tc>
          <w:tcPr>
            <w:tcW w:w="2120"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cs="宋体"/>
                <w:kern w:val="0"/>
                <w:sz w:val="24"/>
              </w:rPr>
            </w:pPr>
            <w:r>
              <w:rPr>
                <w:rFonts w:hint="eastAsia" w:ascii="宋体" w:hAnsi="宋体" w:cs="宋体"/>
                <w:kern w:val="0"/>
                <w:sz w:val="24"/>
              </w:rPr>
              <w:t>10</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05" w:hRule="atLeast"/>
          <w:jc w:val="center"/>
        </w:trPr>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目标实现</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10</w:t>
            </w:r>
          </w:p>
        </w:tc>
        <w:tc>
          <w:tcPr>
            <w:tcW w:w="562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评价部门绩效目标实际实现程度与预期目标的偏离度。</w:t>
            </w:r>
          </w:p>
        </w:tc>
        <w:tc>
          <w:tcPr>
            <w:tcW w:w="598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以项目完成数量为核心，评价项目实际完成情况</w:t>
            </w:r>
            <w:r>
              <w:rPr>
                <w:rFonts w:hint="eastAsia" w:ascii="宋体" w:hAnsi="宋体" w:cs="宋体"/>
                <w:color w:val="000000"/>
                <w:kern w:val="0"/>
                <w:sz w:val="24"/>
                <w:lang w:eastAsia="zh-CN"/>
              </w:rPr>
              <w:t>与</w:t>
            </w:r>
            <w:r>
              <w:rPr>
                <w:rFonts w:hint="eastAsia" w:ascii="宋体" w:hAnsi="宋体" w:cs="宋体"/>
                <w:color w:val="000000"/>
                <w:kern w:val="0"/>
                <w:sz w:val="24"/>
              </w:rPr>
              <w:t>预期绩效目标偏离度，单个数量指标实际完成未达到预期指标或超过预期指标30%以上的，均不计分。该项指标得分=达到预期值的数量指标个数/全部数量指标个数（即评价选取的项目绩效目标包含的所有数量指标）</w:t>
            </w:r>
          </w:p>
        </w:tc>
        <w:tc>
          <w:tcPr>
            <w:tcW w:w="2120"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cs="宋体"/>
                <w:color w:val="000000"/>
                <w:kern w:val="0"/>
                <w:sz w:val="24"/>
              </w:rPr>
            </w:pPr>
            <w:r>
              <w:rPr>
                <w:rFonts w:hint="eastAsia" w:ascii="宋体" w:hAnsi="宋体" w:cs="宋体"/>
                <w:color w:val="000000"/>
                <w:kern w:val="0"/>
                <w:sz w:val="24"/>
              </w:rPr>
              <w:t>10</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100" w:hRule="atLeast"/>
          <w:jc w:val="center"/>
        </w:trPr>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编制准确</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10</w:t>
            </w:r>
          </w:p>
        </w:tc>
        <w:tc>
          <w:tcPr>
            <w:tcW w:w="562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评价部门年初预算编制是否科学准确。</w:t>
            </w:r>
          </w:p>
        </w:tc>
        <w:tc>
          <w:tcPr>
            <w:tcW w:w="598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指标得分=（1-（10×部门全年预算调剂金额/年初部门预算数））*指标分值。其中：若部门全年预算调剂金额/年初部门预算数&gt;0.1，此项得0分。</w:t>
            </w:r>
          </w:p>
        </w:tc>
        <w:tc>
          <w:tcPr>
            <w:tcW w:w="2120"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cs="宋体"/>
                <w:kern w:val="0"/>
                <w:sz w:val="24"/>
              </w:rPr>
            </w:pPr>
            <w:r>
              <w:rPr>
                <w:rFonts w:hint="eastAsia" w:ascii="宋体" w:hAnsi="宋体" w:cs="宋体"/>
                <w:kern w:val="0"/>
                <w:sz w:val="24"/>
              </w:rPr>
              <w:t>10</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058" w:hRule="atLeast"/>
          <w:jc w:val="center"/>
        </w:trPr>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1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xml:space="preserve">                                                                             预算执行（30分）</w:t>
            </w: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支出控制</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10</w:t>
            </w:r>
          </w:p>
        </w:tc>
        <w:tc>
          <w:tcPr>
            <w:tcW w:w="562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部门公用经费及非定额公用支出控制情况。</w:t>
            </w:r>
          </w:p>
        </w:tc>
        <w:tc>
          <w:tcPr>
            <w:tcW w:w="598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计算部门日常公用经费、项目支出中“办公费、印刷费、水费、电费、物业管理费”等科目年初预算数与决算数偏差程度                                                              预决算偏差程度在10%以内的，得10分。偏差度在10%-20%之间的，得5分，偏差度超过20%的，不得分。</w:t>
            </w:r>
          </w:p>
        </w:tc>
        <w:tc>
          <w:tcPr>
            <w:tcW w:w="2120"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cs="宋体"/>
                <w:kern w:val="0"/>
                <w:sz w:val="24"/>
              </w:rPr>
            </w:pPr>
            <w:r>
              <w:rPr>
                <w:rFonts w:hint="eastAsia" w:ascii="宋体" w:hAnsi="宋体" w:cs="宋体"/>
                <w:kern w:val="0"/>
                <w:sz w:val="24"/>
              </w:rPr>
              <w:t>10</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120" w:hRule="atLeast"/>
          <w:jc w:val="center"/>
        </w:trPr>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1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动态调整</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10</w:t>
            </w:r>
          </w:p>
        </w:tc>
        <w:tc>
          <w:tcPr>
            <w:tcW w:w="562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评价部门开展绩效运行监控后，将绩效监控结果应用到预算调整的情况。</w:t>
            </w:r>
          </w:p>
        </w:tc>
        <w:tc>
          <w:tcPr>
            <w:tcW w:w="598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 xml:space="preserve">1.当部门绩效监控调整取消额和结余注销额均不为零时，指标得分=部门项目支出绩效监控调整取消额÷(部门绩效监控调整取消额+预算结余注销额）*10                                                  2.当部门绩效监控调整取消额为零，结余注销额不为零时，指标得分=（1-10*结余注销额/年度预算总额）*10，结余注销额超过部门年度预算总额10%的，指标不得分。                  3.当部门绩效监控调整取消额与结余注销额均为零时，得满分。                                                             </w:t>
            </w:r>
          </w:p>
        </w:tc>
        <w:tc>
          <w:tcPr>
            <w:tcW w:w="2120"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cs="宋体"/>
                <w:kern w:val="0"/>
                <w:sz w:val="24"/>
              </w:rPr>
            </w:pPr>
            <w:r>
              <w:rPr>
                <w:rFonts w:hint="eastAsia" w:ascii="宋体" w:hAnsi="宋体" w:cs="宋体"/>
                <w:kern w:val="0"/>
                <w:sz w:val="24"/>
              </w:rPr>
              <w:t>10</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010" w:hRule="atLeast"/>
          <w:jc w:val="center"/>
        </w:trPr>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1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执行进度</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10</w:t>
            </w:r>
          </w:p>
        </w:tc>
        <w:tc>
          <w:tcPr>
            <w:tcW w:w="562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评价部门在6、9、11月的预算执行情况。</w:t>
            </w:r>
          </w:p>
        </w:tc>
        <w:tc>
          <w:tcPr>
            <w:tcW w:w="598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部门预算执行进度在6、9、11月应达到序时进度的80%、90%、90%，即实际支出进度分别达到40%、67.5%、82.5%。                                                     6、9、11月部门预算执行进度达到量化指标的分别得3、4、3分，未达到目标进度</w:t>
            </w:r>
            <w:r>
              <w:rPr>
                <w:rFonts w:hint="eastAsia" w:ascii="宋体" w:hAnsi="宋体" w:cs="宋体"/>
                <w:kern w:val="0"/>
                <w:sz w:val="24"/>
                <w:lang w:eastAsia="zh-CN"/>
              </w:rPr>
              <w:t>的</w:t>
            </w:r>
            <w:r>
              <w:rPr>
                <w:rFonts w:hint="eastAsia" w:ascii="宋体" w:hAnsi="宋体" w:cs="宋体"/>
                <w:kern w:val="0"/>
                <w:sz w:val="24"/>
              </w:rPr>
              <w:t xml:space="preserve">按其实际进度占目标进度的比重计算得分。                                             </w:t>
            </w:r>
          </w:p>
        </w:tc>
        <w:tc>
          <w:tcPr>
            <w:tcW w:w="2120"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cs="宋体"/>
                <w:kern w:val="0"/>
                <w:sz w:val="24"/>
              </w:rPr>
            </w:pPr>
            <w:r>
              <w:rPr>
                <w:rFonts w:hint="eastAsia" w:ascii="宋体" w:hAnsi="宋体" w:cs="宋体"/>
                <w:kern w:val="0"/>
                <w:sz w:val="24"/>
              </w:rPr>
              <w:t>10</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080" w:hRule="atLeast"/>
          <w:jc w:val="center"/>
        </w:trPr>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1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完成结果（20分）</w:t>
            </w: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预算完成</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10</w:t>
            </w:r>
          </w:p>
        </w:tc>
        <w:tc>
          <w:tcPr>
            <w:tcW w:w="562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评价部门预算项目年终预算执行情况。</w:t>
            </w:r>
          </w:p>
        </w:tc>
        <w:tc>
          <w:tcPr>
            <w:tcW w:w="598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部门预算项目12月预算执行进度达到100%的，得10分，未达100%的，按照实际进度量化计算得分。</w:t>
            </w:r>
          </w:p>
        </w:tc>
        <w:tc>
          <w:tcPr>
            <w:tcW w:w="2120"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cs="宋体"/>
                <w:kern w:val="0"/>
                <w:sz w:val="24"/>
              </w:rPr>
            </w:pPr>
            <w:r>
              <w:rPr>
                <w:rFonts w:hint="eastAsia" w:ascii="宋体" w:hAnsi="宋体" w:cs="宋体"/>
                <w:kern w:val="0"/>
                <w:sz w:val="24"/>
              </w:rPr>
              <w:t>10</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080" w:hRule="atLeast"/>
          <w:jc w:val="center"/>
        </w:trPr>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违规记录</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10</w:t>
            </w:r>
          </w:p>
        </w:tc>
        <w:tc>
          <w:tcPr>
            <w:tcW w:w="562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根据审计监督、财政检查结果反映部门上一年度部门预算管理是否合规。</w:t>
            </w:r>
          </w:p>
        </w:tc>
        <w:tc>
          <w:tcPr>
            <w:tcW w:w="598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依据评价年度审计监督、财政检查结果，出现部门预算管理方面违纪违规问题的，每个问题扣0.5分，直至扣完。</w:t>
            </w:r>
          </w:p>
        </w:tc>
        <w:tc>
          <w:tcPr>
            <w:tcW w:w="2120"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cs="宋体"/>
                <w:kern w:val="0"/>
                <w:sz w:val="24"/>
              </w:rPr>
            </w:pPr>
            <w:r>
              <w:rPr>
                <w:rFonts w:hint="eastAsia" w:ascii="宋体" w:hAnsi="宋体" w:cs="宋体"/>
                <w:kern w:val="0"/>
                <w:sz w:val="24"/>
              </w:rPr>
              <w:t>10</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740" w:hRule="atLeast"/>
          <w:jc w:val="center"/>
        </w:trPr>
        <w:tc>
          <w:tcPr>
            <w:tcW w:w="11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绩效结果应用（10分）</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信息公开（2分)</w:t>
            </w: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自评公开</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2</w:t>
            </w:r>
          </w:p>
        </w:tc>
        <w:tc>
          <w:tcPr>
            <w:tcW w:w="562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评价部门是否按要求将部门整体绩效自评情况和自行组织的评价情况向社会公开。</w:t>
            </w:r>
          </w:p>
        </w:tc>
        <w:tc>
          <w:tcPr>
            <w:tcW w:w="598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按要求将相关绩效信息随同决算公开的，得2分，否则不得分。</w:t>
            </w:r>
          </w:p>
        </w:tc>
        <w:tc>
          <w:tcPr>
            <w:tcW w:w="2120"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cs="宋体"/>
                <w:kern w:val="0"/>
                <w:sz w:val="24"/>
              </w:rPr>
            </w:pPr>
            <w:r>
              <w:rPr>
                <w:rFonts w:hint="eastAsia" w:ascii="宋体" w:hAnsi="宋体" w:cs="宋体"/>
                <w:kern w:val="0"/>
                <w:sz w:val="24"/>
              </w:rPr>
              <w:t>2</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740" w:hRule="atLeast"/>
          <w:jc w:val="center"/>
        </w:trPr>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1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整改反馈（8分）</w:t>
            </w: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结果整改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4</w:t>
            </w:r>
          </w:p>
        </w:tc>
        <w:tc>
          <w:tcPr>
            <w:tcW w:w="562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评价部门根据绩效管理结果整改问题、完善政策、改进管理的情况。</w:t>
            </w:r>
          </w:p>
        </w:tc>
        <w:tc>
          <w:tcPr>
            <w:tcW w:w="598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针对绩效管理过程中（包括绩效目标核查、绩效监控核查和重点绩效评价）提出的问题进行整改，将绩效管理结果应用于完善政策、改进管理、预算挂钩等的，得4分。否则，酌情扣分。</w:t>
            </w:r>
          </w:p>
        </w:tc>
        <w:tc>
          <w:tcPr>
            <w:tcW w:w="2120"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cs="宋体"/>
                <w:kern w:val="0"/>
                <w:sz w:val="24"/>
              </w:rPr>
            </w:pPr>
            <w:r>
              <w:rPr>
                <w:rFonts w:hint="eastAsia" w:ascii="宋体" w:hAnsi="宋体" w:cs="宋体"/>
                <w:kern w:val="0"/>
                <w:sz w:val="24"/>
              </w:rPr>
              <w:t>4</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320" w:hRule="atLeast"/>
          <w:jc w:val="center"/>
        </w:trPr>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1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应用反馈</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4</w:t>
            </w:r>
          </w:p>
        </w:tc>
        <w:tc>
          <w:tcPr>
            <w:tcW w:w="562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评价部门按要求及时向财政部门反馈结果应用情况。</w:t>
            </w:r>
          </w:p>
        </w:tc>
        <w:tc>
          <w:tcPr>
            <w:tcW w:w="598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部门在规定时间内向财政部门反馈应用绩效结果报告的，得满分，否则不得分。</w:t>
            </w:r>
          </w:p>
        </w:tc>
        <w:tc>
          <w:tcPr>
            <w:tcW w:w="2120"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cs="宋体"/>
                <w:kern w:val="0"/>
                <w:sz w:val="24"/>
              </w:rPr>
            </w:pPr>
            <w:r>
              <w:rPr>
                <w:rFonts w:hint="eastAsia" w:ascii="宋体" w:hAnsi="宋体" w:cs="宋体"/>
                <w:kern w:val="0"/>
                <w:sz w:val="24"/>
              </w:rPr>
              <w:t>4</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245" w:hRule="atLeast"/>
          <w:jc w:val="center"/>
        </w:trPr>
        <w:tc>
          <w:tcPr>
            <w:tcW w:w="11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自评质量（10分）</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自评质量（10分）</w:t>
            </w:r>
          </w:p>
        </w:tc>
        <w:tc>
          <w:tcPr>
            <w:tcW w:w="18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自评准确</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10</w:t>
            </w:r>
          </w:p>
        </w:tc>
        <w:tc>
          <w:tcPr>
            <w:tcW w:w="562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评价部门整体支出自评准确率。</w:t>
            </w:r>
          </w:p>
        </w:tc>
        <w:tc>
          <w:tcPr>
            <w:tcW w:w="598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部门整体支出自评得分与评价组抽查得分差异在5%以内的，不扣分；在5%-10%之间的，扣4分，在10%-20%的，扣8分，在20%以上的，扣10分。（部门在自评时，此项指标无需打分，部门自评满分为90分）</w:t>
            </w:r>
          </w:p>
        </w:tc>
        <w:tc>
          <w:tcPr>
            <w:tcW w:w="2120"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cs="宋体"/>
                <w:kern w:val="0"/>
                <w:sz w:val="24"/>
              </w:rPr>
            </w:pPr>
            <w:r>
              <w:rPr>
                <w:rFonts w:hint="eastAsia" w:ascii="宋体" w:hAnsi="宋体" w:cs="宋体"/>
                <w:kern w:val="0"/>
                <w:sz w:val="24"/>
              </w:rPr>
              <w:t>10</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　</w:t>
            </w:r>
          </w:p>
        </w:tc>
      </w:tr>
    </w:tbl>
    <w:p>
      <w:pPr>
        <w:pStyle w:val="2"/>
        <w:ind w:left="0" w:leftChars="0" w:firstLine="0" w:firstLineChars="0"/>
        <w:rPr>
          <w:rFonts w:hint="eastAsia"/>
          <w:lang w:val="zh-CN"/>
        </w:rPr>
      </w:pPr>
    </w:p>
    <w:p>
      <w:pPr>
        <w:rPr>
          <w:rFonts w:ascii="仿宋" w:hAnsi="仿宋" w:eastAsia="仿宋" w:cs="仿宋"/>
          <w:kern w:val="0"/>
          <w:sz w:val="36"/>
          <w:szCs w:val="36"/>
        </w:rPr>
      </w:pPr>
      <w:r>
        <w:rPr>
          <w:rFonts w:hint="eastAsia" w:ascii="仿宋" w:hAnsi="仿宋" w:eastAsia="仿宋" w:cs="宋体"/>
          <w:kern w:val="0"/>
          <w:sz w:val="36"/>
          <w:szCs w:val="36"/>
        </w:rPr>
        <w:br w:type="page"/>
      </w:r>
    </w:p>
    <w:p>
      <w:pPr>
        <w:widowControl/>
        <w:numPr>
          <w:ilvl w:val="0"/>
          <w:numId w:val="6"/>
        </w:numPr>
        <w:adjustRightInd w:val="0"/>
        <w:snapToGrid w:val="0"/>
        <w:spacing w:line="580" w:lineRule="exact"/>
        <w:contextualSpacing/>
        <w:jc w:val="left"/>
        <w:rPr>
          <w:rFonts w:ascii="仿宋" w:hAnsi="仿宋" w:eastAsia="仿宋" w:cs="仿宋"/>
          <w:kern w:val="0"/>
          <w:sz w:val="36"/>
          <w:szCs w:val="36"/>
        </w:rPr>
      </w:pPr>
      <w:r>
        <w:rPr>
          <w:rFonts w:hint="eastAsia" w:ascii="仿宋" w:hAnsi="仿宋" w:eastAsia="仿宋" w:cs="宋体"/>
          <w:kern w:val="0"/>
          <w:sz w:val="36"/>
          <w:szCs w:val="36"/>
        </w:rPr>
        <w:t>公务服务经费</w:t>
      </w:r>
      <w:r>
        <w:rPr>
          <w:rFonts w:hint="eastAsia" w:ascii="仿宋" w:hAnsi="仿宋" w:eastAsia="仿宋" w:cs="仿宋"/>
          <w:kern w:val="0"/>
          <w:sz w:val="36"/>
          <w:szCs w:val="36"/>
        </w:rPr>
        <w:t>项目绩效目标自评表</w:t>
      </w:r>
    </w:p>
    <w:tbl>
      <w:tblPr>
        <w:tblStyle w:val="15"/>
        <w:tblW w:w="10206" w:type="dxa"/>
        <w:jc w:val="center"/>
        <w:tblLayout w:type="autofit"/>
        <w:tblCellMar>
          <w:top w:w="0" w:type="dxa"/>
          <w:left w:w="108" w:type="dxa"/>
          <w:bottom w:w="0" w:type="dxa"/>
          <w:right w:w="108" w:type="dxa"/>
        </w:tblCellMar>
      </w:tblPr>
      <w:tblGrid>
        <w:gridCol w:w="602"/>
        <w:gridCol w:w="1322"/>
        <w:gridCol w:w="1254"/>
        <w:gridCol w:w="1514"/>
        <w:gridCol w:w="434"/>
        <w:gridCol w:w="1133"/>
        <w:gridCol w:w="434"/>
        <w:gridCol w:w="925"/>
        <w:gridCol w:w="486"/>
        <w:gridCol w:w="398"/>
        <w:gridCol w:w="1704"/>
      </w:tblGrid>
      <w:tr>
        <w:tblPrEx>
          <w:tblCellMar>
            <w:top w:w="0" w:type="dxa"/>
            <w:left w:w="108" w:type="dxa"/>
            <w:bottom w:w="0" w:type="dxa"/>
            <w:right w:w="108" w:type="dxa"/>
          </w:tblCellMar>
        </w:tblPrEx>
        <w:trPr>
          <w:trHeight w:val="903" w:hRule="atLeast"/>
          <w:jc w:val="center"/>
        </w:trPr>
        <w:tc>
          <w:tcPr>
            <w:tcW w:w="126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jc w:val="center"/>
        </w:trPr>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项目名称</w:t>
            </w:r>
          </w:p>
        </w:tc>
        <w:tc>
          <w:tcPr>
            <w:tcW w:w="1022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51090422T000000393739-公务服务经费</w:t>
            </w:r>
          </w:p>
        </w:tc>
      </w:tr>
      <w:tr>
        <w:tblPrEx>
          <w:tblCellMar>
            <w:top w:w="0" w:type="dxa"/>
            <w:left w:w="108" w:type="dxa"/>
            <w:bottom w:w="0" w:type="dxa"/>
            <w:right w:w="108" w:type="dxa"/>
          </w:tblCellMar>
        </w:tblPrEx>
        <w:trPr>
          <w:trHeight w:val="513" w:hRule="atLeast"/>
          <w:jc w:val="center"/>
        </w:trPr>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主管部门</w:t>
            </w:r>
          </w:p>
        </w:tc>
        <w:tc>
          <w:tcPr>
            <w:tcW w:w="608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遂宁市安居区机关事务服务中心部门</w:t>
            </w:r>
          </w:p>
        </w:tc>
        <w:tc>
          <w:tcPr>
            <w:tcW w:w="980" w:type="dxa"/>
            <w:tcBorders>
              <w:top w:val="nil"/>
              <w:left w:val="nil"/>
              <w:bottom w:val="nil"/>
              <w:right w:val="nil"/>
            </w:tcBorders>
            <w:shd w:val="clear" w:color="auto" w:fill="auto"/>
            <w:vAlign w:val="center"/>
          </w:tcPr>
          <w:p>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实施单位 （盖章）</w:t>
            </w:r>
          </w:p>
        </w:tc>
        <w:tc>
          <w:tcPr>
            <w:tcW w:w="3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遂宁市安居区机关事务服务中心</w:t>
            </w:r>
          </w:p>
        </w:tc>
      </w:tr>
      <w:tr>
        <w:tblPrEx>
          <w:tblCellMar>
            <w:top w:w="0" w:type="dxa"/>
            <w:left w:w="108" w:type="dxa"/>
            <w:bottom w:w="0" w:type="dxa"/>
            <w:right w:w="108" w:type="dxa"/>
          </w:tblCellMar>
        </w:tblPrEx>
        <w:trPr>
          <w:trHeight w:val="285" w:hRule="atLeast"/>
          <w:jc w:val="center"/>
        </w:trPr>
        <w:tc>
          <w:tcPr>
            <w:tcW w:w="6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项目基本情况</w:t>
            </w:r>
          </w:p>
        </w:tc>
        <w:tc>
          <w:tcPr>
            <w:tcW w:w="18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608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项目年度目标</w:t>
            </w:r>
          </w:p>
        </w:tc>
        <w:tc>
          <w:tcPr>
            <w:tcW w:w="414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年度目标完成情况</w:t>
            </w:r>
          </w:p>
        </w:tc>
      </w:tr>
      <w:tr>
        <w:tblPrEx>
          <w:tblCellMar>
            <w:top w:w="0" w:type="dxa"/>
            <w:left w:w="108" w:type="dxa"/>
            <w:bottom w:w="0" w:type="dxa"/>
            <w:right w:w="108" w:type="dxa"/>
          </w:tblCellMar>
        </w:tblPrEx>
        <w:trPr>
          <w:trHeight w:val="708" w:hRule="atLeast"/>
          <w:jc w:val="center"/>
        </w:trPr>
        <w:tc>
          <w:tcPr>
            <w:tcW w:w="6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4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08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做好全区干部职工早中晚餐服务工作，做好区级公务接待工作以及招商引资接待工作</w:t>
            </w:r>
          </w:p>
        </w:tc>
        <w:tc>
          <w:tcPr>
            <w:tcW w:w="414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对照年度目标，说明相关任务目标的完成情况（100字以内）</w:t>
            </w:r>
          </w:p>
        </w:tc>
      </w:tr>
      <w:tr>
        <w:tblPrEx>
          <w:tblCellMar>
            <w:top w:w="0" w:type="dxa"/>
            <w:left w:w="108" w:type="dxa"/>
            <w:bottom w:w="0" w:type="dxa"/>
            <w:right w:w="108" w:type="dxa"/>
          </w:tblCellMar>
        </w:tblPrEx>
        <w:trPr>
          <w:trHeight w:val="693" w:hRule="atLeast"/>
          <w:jc w:val="center"/>
        </w:trPr>
        <w:tc>
          <w:tcPr>
            <w:tcW w:w="6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4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022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jc w:val="center"/>
        </w:trPr>
        <w:tc>
          <w:tcPr>
            <w:tcW w:w="6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8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6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年初预算</w:t>
            </w:r>
          </w:p>
        </w:tc>
        <w:tc>
          <w:tcPr>
            <w:tcW w:w="20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调整后预算数</w:t>
            </w:r>
          </w:p>
        </w:tc>
        <w:tc>
          <w:tcPr>
            <w:tcW w:w="24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预算执行数</w:t>
            </w:r>
          </w:p>
        </w:tc>
        <w:tc>
          <w:tcPr>
            <w:tcW w:w="9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87" w:hRule="atLeast"/>
          <w:jc w:val="center"/>
        </w:trPr>
        <w:tc>
          <w:tcPr>
            <w:tcW w:w="6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总额</w:t>
            </w:r>
          </w:p>
        </w:tc>
        <w:tc>
          <w:tcPr>
            <w:tcW w:w="16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380.00</w:t>
            </w:r>
          </w:p>
        </w:tc>
        <w:tc>
          <w:tcPr>
            <w:tcW w:w="20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357.19</w:t>
            </w:r>
          </w:p>
        </w:tc>
        <w:tc>
          <w:tcPr>
            <w:tcW w:w="24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357.19</w:t>
            </w:r>
          </w:p>
        </w:tc>
        <w:tc>
          <w:tcPr>
            <w:tcW w:w="9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23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黑体" w:hAnsi="黑体" w:eastAsia="黑体" w:cs="宋体"/>
                <w:i/>
                <w:iCs/>
                <w:color w:val="000000"/>
                <w:kern w:val="0"/>
                <w:sz w:val="18"/>
                <w:szCs w:val="18"/>
              </w:rPr>
            </w:pPr>
            <w:r>
              <w:rPr>
                <w:rFonts w:hint="eastAsia" w:ascii="黑体" w:hAnsi="黑体" w:eastAsia="黑体" w:cs="宋体"/>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trHeight w:val="432" w:hRule="atLeast"/>
          <w:jc w:val="center"/>
        </w:trPr>
        <w:tc>
          <w:tcPr>
            <w:tcW w:w="6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其中：财政资金</w:t>
            </w:r>
          </w:p>
        </w:tc>
        <w:tc>
          <w:tcPr>
            <w:tcW w:w="16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380.00</w:t>
            </w:r>
          </w:p>
        </w:tc>
        <w:tc>
          <w:tcPr>
            <w:tcW w:w="20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357.19</w:t>
            </w:r>
          </w:p>
        </w:tc>
        <w:tc>
          <w:tcPr>
            <w:tcW w:w="24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357.19</w:t>
            </w:r>
          </w:p>
        </w:tc>
        <w:tc>
          <w:tcPr>
            <w:tcW w:w="9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eastAsia="黑体" w:cs="宋体"/>
                <w:i/>
                <w:iCs/>
                <w:color w:val="000000"/>
                <w:kern w:val="0"/>
                <w:sz w:val="18"/>
                <w:szCs w:val="18"/>
              </w:rPr>
            </w:pPr>
          </w:p>
        </w:tc>
      </w:tr>
      <w:tr>
        <w:tblPrEx>
          <w:tblCellMar>
            <w:top w:w="0" w:type="dxa"/>
            <w:left w:w="108" w:type="dxa"/>
            <w:bottom w:w="0" w:type="dxa"/>
            <w:right w:w="108" w:type="dxa"/>
          </w:tblCellMar>
        </w:tblPrEx>
        <w:trPr>
          <w:trHeight w:val="447" w:hRule="atLeast"/>
          <w:jc w:val="center"/>
        </w:trPr>
        <w:tc>
          <w:tcPr>
            <w:tcW w:w="6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6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0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4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eastAsia="黑体" w:cs="宋体"/>
                <w:i/>
                <w:iCs/>
                <w:color w:val="000000"/>
                <w:kern w:val="0"/>
                <w:sz w:val="18"/>
                <w:szCs w:val="18"/>
              </w:rPr>
            </w:pPr>
          </w:p>
        </w:tc>
      </w:tr>
      <w:tr>
        <w:tblPrEx>
          <w:tblCellMar>
            <w:top w:w="0" w:type="dxa"/>
            <w:left w:w="108" w:type="dxa"/>
            <w:bottom w:w="0" w:type="dxa"/>
            <w:right w:w="108" w:type="dxa"/>
          </w:tblCellMar>
        </w:tblPrEx>
        <w:trPr>
          <w:trHeight w:val="402" w:hRule="atLeast"/>
          <w:jc w:val="center"/>
        </w:trPr>
        <w:tc>
          <w:tcPr>
            <w:tcW w:w="6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单位资金</w:t>
            </w:r>
          </w:p>
        </w:tc>
        <w:tc>
          <w:tcPr>
            <w:tcW w:w="16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0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4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eastAsia="黑体" w:cs="宋体"/>
                <w:i/>
                <w:iCs/>
                <w:color w:val="000000"/>
                <w:kern w:val="0"/>
                <w:sz w:val="18"/>
                <w:szCs w:val="18"/>
              </w:rPr>
            </w:pPr>
          </w:p>
        </w:tc>
      </w:tr>
      <w:tr>
        <w:tblPrEx>
          <w:tblCellMar>
            <w:top w:w="0" w:type="dxa"/>
            <w:left w:w="108" w:type="dxa"/>
            <w:bottom w:w="0" w:type="dxa"/>
            <w:right w:w="108" w:type="dxa"/>
          </w:tblCellMar>
        </w:tblPrEx>
        <w:trPr>
          <w:trHeight w:val="378" w:hRule="atLeast"/>
          <w:jc w:val="center"/>
        </w:trPr>
        <w:tc>
          <w:tcPr>
            <w:tcW w:w="6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其他资金</w:t>
            </w:r>
          </w:p>
        </w:tc>
        <w:tc>
          <w:tcPr>
            <w:tcW w:w="16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4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eastAsia="黑体" w:cs="宋体"/>
                <w:i/>
                <w:iCs/>
                <w:color w:val="000000"/>
                <w:kern w:val="0"/>
                <w:sz w:val="18"/>
                <w:szCs w:val="18"/>
              </w:rPr>
            </w:pPr>
          </w:p>
        </w:tc>
      </w:tr>
      <w:tr>
        <w:tblPrEx>
          <w:tblCellMar>
            <w:top w:w="0" w:type="dxa"/>
            <w:left w:w="108" w:type="dxa"/>
            <w:bottom w:w="0" w:type="dxa"/>
            <w:right w:w="108" w:type="dxa"/>
          </w:tblCellMar>
        </w:tblPrEx>
        <w:trPr>
          <w:trHeight w:val="453" w:hRule="atLeast"/>
          <w:jc w:val="center"/>
        </w:trPr>
        <w:tc>
          <w:tcPr>
            <w:tcW w:w="6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绩效指标（90分）</w:t>
            </w:r>
          </w:p>
        </w:tc>
        <w:tc>
          <w:tcPr>
            <w:tcW w:w="18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一级指标</w:t>
            </w:r>
          </w:p>
        </w:tc>
        <w:tc>
          <w:tcPr>
            <w:tcW w:w="16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二级指标</w:t>
            </w:r>
          </w:p>
        </w:tc>
        <w:tc>
          <w:tcPr>
            <w:tcW w:w="20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三级指标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指标性质</w:t>
            </w:r>
          </w:p>
        </w:tc>
        <w:tc>
          <w:tcPr>
            <w:tcW w:w="152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指标值</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度量单位</w:t>
            </w:r>
          </w:p>
        </w:tc>
        <w:tc>
          <w:tcPr>
            <w:tcW w:w="9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完成值</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9" w:hRule="atLeast"/>
          <w:jc w:val="center"/>
        </w:trPr>
        <w:tc>
          <w:tcPr>
            <w:tcW w:w="6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产出指标</w:t>
            </w:r>
          </w:p>
        </w:tc>
        <w:tc>
          <w:tcPr>
            <w:tcW w:w="16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数量指标</w:t>
            </w:r>
          </w:p>
        </w:tc>
        <w:tc>
          <w:tcPr>
            <w:tcW w:w="20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就餐人数</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52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人数</w:t>
            </w:r>
          </w:p>
        </w:tc>
        <w:tc>
          <w:tcPr>
            <w:tcW w:w="9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9" w:hRule="atLeast"/>
          <w:jc w:val="center"/>
        </w:trPr>
        <w:tc>
          <w:tcPr>
            <w:tcW w:w="6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4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6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质量指标</w:t>
            </w:r>
          </w:p>
        </w:tc>
        <w:tc>
          <w:tcPr>
            <w:tcW w:w="20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就餐情况</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152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好坏</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9" w:hRule="atLeast"/>
          <w:jc w:val="center"/>
        </w:trPr>
        <w:tc>
          <w:tcPr>
            <w:tcW w:w="6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4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6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时效指标</w:t>
            </w:r>
          </w:p>
        </w:tc>
        <w:tc>
          <w:tcPr>
            <w:tcW w:w="20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服务时间</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52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w:t>
            </w:r>
          </w:p>
        </w:tc>
        <w:tc>
          <w:tcPr>
            <w:tcW w:w="9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9" w:hRule="atLeast"/>
          <w:jc w:val="center"/>
        </w:trPr>
        <w:tc>
          <w:tcPr>
            <w:tcW w:w="6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4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6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0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接待</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52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w:t>
            </w:r>
          </w:p>
        </w:tc>
        <w:tc>
          <w:tcPr>
            <w:tcW w:w="9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9" w:hRule="atLeast"/>
          <w:jc w:val="center"/>
        </w:trPr>
        <w:tc>
          <w:tcPr>
            <w:tcW w:w="6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效益指标</w:t>
            </w:r>
          </w:p>
        </w:tc>
        <w:tc>
          <w:tcPr>
            <w:tcW w:w="16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经济效益指标</w:t>
            </w:r>
          </w:p>
        </w:tc>
        <w:tc>
          <w:tcPr>
            <w:tcW w:w="20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统一就餐</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152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优良中低差</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9" w:hRule="atLeast"/>
          <w:jc w:val="center"/>
        </w:trPr>
        <w:tc>
          <w:tcPr>
            <w:tcW w:w="6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4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6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可持续影响指标</w:t>
            </w:r>
          </w:p>
        </w:tc>
        <w:tc>
          <w:tcPr>
            <w:tcW w:w="20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食堂运行情况</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152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优良中低差</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453" w:hRule="atLeast"/>
          <w:jc w:val="center"/>
        </w:trPr>
        <w:tc>
          <w:tcPr>
            <w:tcW w:w="6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满意度指标</w:t>
            </w:r>
          </w:p>
        </w:tc>
        <w:tc>
          <w:tcPr>
            <w:tcW w:w="16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20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机关工作人员满意度</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52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jc w:val="center"/>
        </w:trPr>
        <w:tc>
          <w:tcPr>
            <w:tcW w:w="95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合计</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40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3" w:hRule="atLeast"/>
          <w:jc w:val="center"/>
        </w:trPr>
        <w:tc>
          <w:tcPr>
            <w:tcW w:w="6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评价结论</w:t>
            </w:r>
          </w:p>
        </w:tc>
        <w:tc>
          <w:tcPr>
            <w:tcW w:w="1206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2022年度项目经费预算具有明确的用途和目标，制定了较为细致的执行计划，资金到位及时并严格按照财政有关规定专款专用。预算决策、管理、执行过程逐渐规范，能较好地满足工作需要，保障项目顺利开展时效，并取得了较为满意的社会效益。</w:t>
            </w:r>
          </w:p>
        </w:tc>
      </w:tr>
      <w:tr>
        <w:tblPrEx>
          <w:tblCellMar>
            <w:top w:w="0" w:type="dxa"/>
            <w:left w:w="108" w:type="dxa"/>
            <w:bottom w:w="0" w:type="dxa"/>
            <w:right w:w="108" w:type="dxa"/>
          </w:tblCellMar>
        </w:tblPrEx>
        <w:trPr>
          <w:trHeight w:val="573" w:hRule="atLeast"/>
          <w:jc w:val="center"/>
        </w:trPr>
        <w:tc>
          <w:tcPr>
            <w:tcW w:w="6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存在问题</w:t>
            </w:r>
          </w:p>
        </w:tc>
        <w:tc>
          <w:tcPr>
            <w:tcW w:w="1206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预算编制精确度有待进一步提高，对各类资金的管理还存在不完善的问题，制度建设不完善。</w:t>
            </w:r>
          </w:p>
        </w:tc>
      </w:tr>
      <w:tr>
        <w:tblPrEx>
          <w:tblCellMar>
            <w:top w:w="0" w:type="dxa"/>
            <w:left w:w="108" w:type="dxa"/>
            <w:bottom w:w="0" w:type="dxa"/>
            <w:right w:w="108" w:type="dxa"/>
          </w:tblCellMar>
        </w:tblPrEx>
        <w:trPr>
          <w:trHeight w:val="633" w:hRule="atLeast"/>
          <w:jc w:val="center"/>
        </w:trPr>
        <w:tc>
          <w:tcPr>
            <w:tcW w:w="6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改进措施</w:t>
            </w:r>
          </w:p>
        </w:tc>
        <w:tc>
          <w:tcPr>
            <w:tcW w:w="1206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优化预算编制，加强预算执行。合理安排预算支出计划，优化资金支出结构，强化资金统筹和绩效管理，确保工作有效开展。</w:t>
            </w:r>
          </w:p>
        </w:tc>
      </w:tr>
      <w:tr>
        <w:tblPrEx>
          <w:tblCellMar>
            <w:top w:w="0" w:type="dxa"/>
            <w:left w:w="108" w:type="dxa"/>
            <w:bottom w:w="0" w:type="dxa"/>
            <w:right w:w="108" w:type="dxa"/>
          </w:tblCellMar>
        </w:tblPrEx>
        <w:trPr>
          <w:trHeight w:val="285" w:hRule="atLeast"/>
          <w:jc w:val="center"/>
        </w:trPr>
        <w:tc>
          <w:tcPr>
            <w:tcW w:w="65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项目负责人：</w:t>
            </w:r>
          </w:p>
        </w:tc>
        <w:tc>
          <w:tcPr>
            <w:tcW w:w="612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财务负责人：</w:t>
            </w:r>
          </w:p>
        </w:tc>
      </w:tr>
    </w:tbl>
    <w:p>
      <w:pPr>
        <w:pStyle w:val="2"/>
        <w:ind w:left="420"/>
      </w:pPr>
    </w:p>
    <w:p>
      <w:pPr>
        <w:pStyle w:val="2"/>
        <w:ind w:left="420"/>
      </w:pPr>
    </w:p>
    <w:p>
      <w:pPr>
        <w:pStyle w:val="2"/>
        <w:ind w:left="420"/>
      </w:pPr>
    </w:p>
    <w:p>
      <w:pPr>
        <w:pStyle w:val="2"/>
        <w:ind w:left="420"/>
        <w:rPr>
          <w:rFonts w:hint="eastAsia"/>
        </w:rPr>
      </w:pPr>
    </w:p>
    <w:p>
      <w:pPr>
        <w:widowControl/>
        <w:tabs>
          <w:tab w:val="left" w:pos="312"/>
        </w:tabs>
        <w:adjustRightInd w:val="0"/>
        <w:snapToGrid w:val="0"/>
        <w:spacing w:line="580" w:lineRule="exact"/>
        <w:contextualSpacing/>
        <w:rPr>
          <w:rFonts w:ascii="仿宋_GB2312" w:hAnsi="Calibri" w:eastAsia="仿宋_GB2312" w:cs="仿宋"/>
          <w:color w:val="FF0000"/>
          <w:kern w:val="0"/>
          <w:sz w:val="32"/>
          <w:szCs w:val="32"/>
        </w:rPr>
      </w:pPr>
    </w:p>
    <w:p>
      <w:pPr>
        <w:rPr>
          <w:rFonts w:ascii="仿宋" w:hAnsi="仿宋" w:eastAsia="仿宋" w:cs="仿宋"/>
          <w:kern w:val="0"/>
          <w:sz w:val="36"/>
          <w:szCs w:val="36"/>
        </w:rPr>
      </w:pPr>
      <w:r>
        <w:rPr>
          <w:rFonts w:ascii="仿宋" w:hAnsi="仿宋" w:eastAsia="仿宋" w:cs="仿宋"/>
          <w:kern w:val="0"/>
          <w:sz w:val="36"/>
          <w:szCs w:val="36"/>
        </w:rPr>
        <w:br w:type="page"/>
      </w:r>
    </w:p>
    <w:p>
      <w:pPr>
        <w:widowControl/>
        <w:tabs>
          <w:tab w:val="left" w:pos="312"/>
        </w:tabs>
        <w:adjustRightInd w:val="0"/>
        <w:snapToGrid w:val="0"/>
        <w:spacing w:line="580" w:lineRule="exact"/>
        <w:ind w:firstLine="720" w:firstLineChars="200"/>
        <w:contextualSpacing/>
        <w:rPr>
          <w:rFonts w:ascii="仿宋" w:hAnsi="仿宋" w:eastAsia="仿宋" w:cs="仿宋"/>
          <w:kern w:val="0"/>
          <w:sz w:val="36"/>
          <w:szCs w:val="36"/>
        </w:rPr>
      </w:pPr>
      <w:r>
        <w:rPr>
          <w:rFonts w:ascii="仿宋" w:hAnsi="仿宋" w:eastAsia="仿宋" w:cs="仿宋"/>
          <w:kern w:val="0"/>
          <w:sz w:val="36"/>
          <w:szCs w:val="36"/>
        </w:rPr>
        <w:t>3</w:t>
      </w:r>
      <w:r>
        <w:rPr>
          <w:rFonts w:hint="eastAsia" w:ascii="仿宋" w:hAnsi="仿宋" w:eastAsia="仿宋" w:cs="仿宋"/>
          <w:kern w:val="0"/>
          <w:sz w:val="36"/>
          <w:szCs w:val="36"/>
        </w:rPr>
        <w:t>.</w:t>
      </w:r>
      <w:r>
        <w:rPr>
          <w:rFonts w:hint="eastAsia" w:ascii="仿宋" w:hAnsi="仿宋" w:eastAsia="仿宋" w:cs="宋体"/>
          <w:kern w:val="0"/>
          <w:sz w:val="36"/>
          <w:szCs w:val="36"/>
        </w:rPr>
        <w:t xml:space="preserve"> 公务用车运行平台</w:t>
      </w:r>
      <w:r>
        <w:rPr>
          <w:rFonts w:hint="eastAsia" w:ascii="仿宋" w:hAnsi="仿宋" w:eastAsia="仿宋" w:cs="仿宋"/>
          <w:kern w:val="0"/>
          <w:sz w:val="36"/>
          <w:szCs w:val="36"/>
        </w:rPr>
        <w:t>项目绩效目标自评表</w:t>
      </w:r>
    </w:p>
    <w:tbl>
      <w:tblPr>
        <w:tblStyle w:val="15"/>
        <w:tblW w:w="8505" w:type="dxa"/>
        <w:jc w:val="center"/>
        <w:tblLayout w:type="autofit"/>
        <w:tblCellMar>
          <w:top w:w="0" w:type="dxa"/>
          <w:left w:w="108" w:type="dxa"/>
          <w:bottom w:w="0" w:type="dxa"/>
          <w:right w:w="108" w:type="dxa"/>
        </w:tblCellMar>
      </w:tblPr>
      <w:tblGrid>
        <w:gridCol w:w="592"/>
        <w:gridCol w:w="1040"/>
        <w:gridCol w:w="952"/>
        <w:gridCol w:w="1114"/>
        <w:gridCol w:w="420"/>
        <w:gridCol w:w="809"/>
        <w:gridCol w:w="420"/>
        <w:gridCol w:w="895"/>
        <w:gridCol w:w="486"/>
        <w:gridCol w:w="397"/>
        <w:gridCol w:w="1380"/>
      </w:tblGrid>
      <w:tr>
        <w:tblPrEx>
          <w:tblCellMar>
            <w:top w:w="0" w:type="dxa"/>
            <w:left w:w="108" w:type="dxa"/>
            <w:bottom w:w="0" w:type="dxa"/>
            <w:right w:w="108" w:type="dxa"/>
          </w:tblCellMar>
        </w:tblPrEx>
        <w:trPr>
          <w:trHeight w:val="903" w:hRule="atLeast"/>
          <w:jc w:val="center"/>
        </w:trPr>
        <w:tc>
          <w:tcPr>
            <w:tcW w:w="126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jc w:val="center"/>
        </w:trPr>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项目名称</w:t>
            </w:r>
          </w:p>
        </w:tc>
        <w:tc>
          <w:tcPr>
            <w:tcW w:w="1022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51090422T000000394283-公务用车运行平台</w:t>
            </w:r>
          </w:p>
        </w:tc>
      </w:tr>
      <w:tr>
        <w:tblPrEx>
          <w:tblCellMar>
            <w:top w:w="0" w:type="dxa"/>
            <w:left w:w="108" w:type="dxa"/>
            <w:bottom w:w="0" w:type="dxa"/>
            <w:right w:w="108" w:type="dxa"/>
          </w:tblCellMar>
        </w:tblPrEx>
        <w:trPr>
          <w:trHeight w:val="513" w:hRule="atLeast"/>
          <w:jc w:val="center"/>
        </w:trPr>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主管部门</w:t>
            </w:r>
          </w:p>
        </w:tc>
        <w:tc>
          <w:tcPr>
            <w:tcW w:w="608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遂宁市安居区机关事务服务中心部门</w:t>
            </w:r>
          </w:p>
        </w:tc>
        <w:tc>
          <w:tcPr>
            <w:tcW w:w="980" w:type="dxa"/>
            <w:tcBorders>
              <w:top w:val="nil"/>
              <w:left w:val="nil"/>
              <w:bottom w:val="nil"/>
              <w:right w:val="nil"/>
            </w:tcBorders>
            <w:shd w:val="clear" w:color="auto" w:fill="auto"/>
            <w:vAlign w:val="center"/>
          </w:tcPr>
          <w:p>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实施单位 （盖章）</w:t>
            </w:r>
          </w:p>
        </w:tc>
        <w:tc>
          <w:tcPr>
            <w:tcW w:w="3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遂宁市安居区机关事务服务中心</w:t>
            </w:r>
          </w:p>
        </w:tc>
      </w:tr>
      <w:tr>
        <w:tblPrEx>
          <w:tblCellMar>
            <w:top w:w="0" w:type="dxa"/>
            <w:left w:w="108" w:type="dxa"/>
            <w:bottom w:w="0" w:type="dxa"/>
            <w:right w:w="108" w:type="dxa"/>
          </w:tblCellMar>
        </w:tblPrEx>
        <w:trPr>
          <w:trHeight w:val="285" w:hRule="atLeast"/>
          <w:jc w:val="center"/>
        </w:trPr>
        <w:tc>
          <w:tcPr>
            <w:tcW w:w="6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项目基本情况</w:t>
            </w:r>
          </w:p>
        </w:tc>
        <w:tc>
          <w:tcPr>
            <w:tcW w:w="18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608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项目年度目标</w:t>
            </w:r>
          </w:p>
        </w:tc>
        <w:tc>
          <w:tcPr>
            <w:tcW w:w="414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年度目标完成情况</w:t>
            </w:r>
          </w:p>
        </w:tc>
      </w:tr>
      <w:tr>
        <w:tblPrEx>
          <w:tblCellMar>
            <w:top w:w="0" w:type="dxa"/>
            <w:left w:w="108" w:type="dxa"/>
            <w:bottom w:w="0" w:type="dxa"/>
            <w:right w:w="108" w:type="dxa"/>
          </w:tblCellMar>
        </w:tblPrEx>
        <w:trPr>
          <w:trHeight w:val="708" w:hRule="atLeast"/>
          <w:jc w:val="center"/>
        </w:trPr>
        <w:tc>
          <w:tcPr>
            <w:tcW w:w="6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4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08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完成党政机关公务用车的监督、管理。</w:t>
            </w:r>
          </w:p>
        </w:tc>
        <w:tc>
          <w:tcPr>
            <w:tcW w:w="414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对照年度目标，说明相关任务目标的完成情况（100字以内）</w:t>
            </w:r>
          </w:p>
        </w:tc>
      </w:tr>
      <w:tr>
        <w:tblPrEx>
          <w:tblCellMar>
            <w:top w:w="0" w:type="dxa"/>
            <w:left w:w="108" w:type="dxa"/>
            <w:bottom w:w="0" w:type="dxa"/>
            <w:right w:w="108" w:type="dxa"/>
          </w:tblCellMar>
        </w:tblPrEx>
        <w:trPr>
          <w:trHeight w:val="693" w:hRule="atLeast"/>
          <w:jc w:val="center"/>
        </w:trPr>
        <w:tc>
          <w:tcPr>
            <w:tcW w:w="6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4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022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jc w:val="center"/>
        </w:trPr>
        <w:tc>
          <w:tcPr>
            <w:tcW w:w="6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8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6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年初预算</w:t>
            </w:r>
          </w:p>
        </w:tc>
        <w:tc>
          <w:tcPr>
            <w:tcW w:w="20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调整后预算数</w:t>
            </w:r>
          </w:p>
        </w:tc>
        <w:tc>
          <w:tcPr>
            <w:tcW w:w="24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预算执行数</w:t>
            </w:r>
          </w:p>
        </w:tc>
        <w:tc>
          <w:tcPr>
            <w:tcW w:w="9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87" w:hRule="atLeast"/>
          <w:jc w:val="center"/>
        </w:trPr>
        <w:tc>
          <w:tcPr>
            <w:tcW w:w="6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总额</w:t>
            </w:r>
          </w:p>
        </w:tc>
        <w:tc>
          <w:tcPr>
            <w:tcW w:w="16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5.70</w:t>
            </w:r>
          </w:p>
        </w:tc>
        <w:tc>
          <w:tcPr>
            <w:tcW w:w="20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5.29</w:t>
            </w:r>
          </w:p>
        </w:tc>
        <w:tc>
          <w:tcPr>
            <w:tcW w:w="24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5.29</w:t>
            </w:r>
          </w:p>
        </w:tc>
        <w:tc>
          <w:tcPr>
            <w:tcW w:w="9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23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黑体" w:hAnsi="黑体" w:eastAsia="黑体" w:cs="宋体"/>
                <w:i/>
                <w:iCs/>
                <w:color w:val="000000"/>
                <w:kern w:val="0"/>
                <w:sz w:val="18"/>
                <w:szCs w:val="18"/>
              </w:rPr>
            </w:pPr>
            <w:r>
              <w:rPr>
                <w:rFonts w:hint="eastAsia" w:ascii="黑体" w:hAnsi="黑体" w:eastAsia="黑体" w:cs="宋体"/>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trHeight w:val="432" w:hRule="atLeast"/>
          <w:jc w:val="center"/>
        </w:trPr>
        <w:tc>
          <w:tcPr>
            <w:tcW w:w="6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其中：财政资金</w:t>
            </w:r>
          </w:p>
        </w:tc>
        <w:tc>
          <w:tcPr>
            <w:tcW w:w="16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5.70</w:t>
            </w:r>
          </w:p>
        </w:tc>
        <w:tc>
          <w:tcPr>
            <w:tcW w:w="20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5.29</w:t>
            </w:r>
          </w:p>
        </w:tc>
        <w:tc>
          <w:tcPr>
            <w:tcW w:w="24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5.29</w:t>
            </w:r>
          </w:p>
        </w:tc>
        <w:tc>
          <w:tcPr>
            <w:tcW w:w="9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eastAsia="黑体" w:cs="宋体"/>
                <w:i/>
                <w:iCs/>
                <w:color w:val="000000"/>
                <w:kern w:val="0"/>
                <w:sz w:val="18"/>
                <w:szCs w:val="18"/>
              </w:rPr>
            </w:pPr>
          </w:p>
        </w:tc>
      </w:tr>
      <w:tr>
        <w:tblPrEx>
          <w:tblCellMar>
            <w:top w:w="0" w:type="dxa"/>
            <w:left w:w="108" w:type="dxa"/>
            <w:bottom w:w="0" w:type="dxa"/>
            <w:right w:w="108" w:type="dxa"/>
          </w:tblCellMar>
        </w:tblPrEx>
        <w:trPr>
          <w:trHeight w:val="447" w:hRule="atLeast"/>
          <w:jc w:val="center"/>
        </w:trPr>
        <w:tc>
          <w:tcPr>
            <w:tcW w:w="6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6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0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4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eastAsia="黑体" w:cs="宋体"/>
                <w:i/>
                <w:iCs/>
                <w:color w:val="000000"/>
                <w:kern w:val="0"/>
                <w:sz w:val="18"/>
                <w:szCs w:val="18"/>
              </w:rPr>
            </w:pPr>
          </w:p>
        </w:tc>
      </w:tr>
      <w:tr>
        <w:tblPrEx>
          <w:tblCellMar>
            <w:top w:w="0" w:type="dxa"/>
            <w:left w:w="108" w:type="dxa"/>
            <w:bottom w:w="0" w:type="dxa"/>
            <w:right w:w="108" w:type="dxa"/>
          </w:tblCellMar>
        </w:tblPrEx>
        <w:trPr>
          <w:trHeight w:val="402" w:hRule="atLeast"/>
          <w:jc w:val="center"/>
        </w:trPr>
        <w:tc>
          <w:tcPr>
            <w:tcW w:w="6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单位资金</w:t>
            </w:r>
          </w:p>
        </w:tc>
        <w:tc>
          <w:tcPr>
            <w:tcW w:w="16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0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4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eastAsia="黑体" w:cs="宋体"/>
                <w:i/>
                <w:iCs/>
                <w:color w:val="000000"/>
                <w:kern w:val="0"/>
                <w:sz w:val="18"/>
                <w:szCs w:val="18"/>
              </w:rPr>
            </w:pPr>
          </w:p>
        </w:tc>
      </w:tr>
      <w:tr>
        <w:tblPrEx>
          <w:tblCellMar>
            <w:top w:w="0" w:type="dxa"/>
            <w:left w:w="108" w:type="dxa"/>
            <w:bottom w:w="0" w:type="dxa"/>
            <w:right w:w="108" w:type="dxa"/>
          </w:tblCellMar>
        </w:tblPrEx>
        <w:trPr>
          <w:trHeight w:val="378" w:hRule="atLeast"/>
          <w:jc w:val="center"/>
        </w:trPr>
        <w:tc>
          <w:tcPr>
            <w:tcW w:w="6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其他资金</w:t>
            </w:r>
          </w:p>
        </w:tc>
        <w:tc>
          <w:tcPr>
            <w:tcW w:w="16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4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eastAsia="黑体" w:cs="宋体"/>
                <w:i/>
                <w:iCs/>
                <w:color w:val="000000"/>
                <w:kern w:val="0"/>
                <w:sz w:val="18"/>
                <w:szCs w:val="18"/>
              </w:rPr>
            </w:pPr>
          </w:p>
        </w:tc>
      </w:tr>
      <w:tr>
        <w:tblPrEx>
          <w:tblCellMar>
            <w:top w:w="0" w:type="dxa"/>
            <w:left w:w="108" w:type="dxa"/>
            <w:bottom w:w="0" w:type="dxa"/>
            <w:right w:w="108" w:type="dxa"/>
          </w:tblCellMar>
        </w:tblPrEx>
        <w:trPr>
          <w:trHeight w:val="453" w:hRule="atLeast"/>
          <w:jc w:val="center"/>
        </w:trPr>
        <w:tc>
          <w:tcPr>
            <w:tcW w:w="6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绩效指标（90分）</w:t>
            </w:r>
          </w:p>
        </w:tc>
        <w:tc>
          <w:tcPr>
            <w:tcW w:w="18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一级指标</w:t>
            </w:r>
          </w:p>
        </w:tc>
        <w:tc>
          <w:tcPr>
            <w:tcW w:w="16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二级指标</w:t>
            </w:r>
          </w:p>
        </w:tc>
        <w:tc>
          <w:tcPr>
            <w:tcW w:w="20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三级指标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指标性质</w:t>
            </w:r>
          </w:p>
        </w:tc>
        <w:tc>
          <w:tcPr>
            <w:tcW w:w="152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指标值</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度量单位</w:t>
            </w:r>
          </w:p>
        </w:tc>
        <w:tc>
          <w:tcPr>
            <w:tcW w:w="9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完成值</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453" w:hRule="atLeast"/>
          <w:jc w:val="center"/>
        </w:trPr>
        <w:tc>
          <w:tcPr>
            <w:tcW w:w="6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产出指标</w:t>
            </w:r>
          </w:p>
        </w:tc>
        <w:tc>
          <w:tcPr>
            <w:tcW w:w="16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数量指标</w:t>
            </w:r>
          </w:p>
        </w:tc>
        <w:tc>
          <w:tcPr>
            <w:tcW w:w="20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区内保留公务用车调配管理</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52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72</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辆</w:t>
            </w:r>
          </w:p>
        </w:tc>
        <w:tc>
          <w:tcPr>
            <w:tcW w:w="9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9" w:hRule="atLeast"/>
          <w:jc w:val="center"/>
        </w:trPr>
        <w:tc>
          <w:tcPr>
            <w:tcW w:w="6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4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6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时效指标</w:t>
            </w:r>
          </w:p>
        </w:tc>
        <w:tc>
          <w:tcPr>
            <w:tcW w:w="20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项目完成时间节点</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52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w:t>
            </w:r>
          </w:p>
        </w:tc>
        <w:tc>
          <w:tcPr>
            <w:tcW w:w="9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9" w:hRule="atLeast"/>
          <w:jc w:val="center"/>
        </w:trPr>
        <w:tc>
          <w:tcPr>
            <w:tcW w:w="6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效益指标</w:t>
            </w:r>
          </w:p>
        </w:tc>
        <w:tc>
          <w:tcPr>
            <w:tcW w:w="16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可持续影响指标</w:t>
            </w:r>
          </w:p>
        </w:tc>
        <w:tc>
          <w:tcPr>
            <w:tcW w:w="20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落实公车改革</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152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优良中低差</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453" w:hRule="atLeast"/>
          <w:jc w:val="center"/>
        </w:trPr>
        <w:tc>
          <w:tcPr>
            <w:tcW w:w="6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满意度指标</w:t>
            </w:r>
          </w:p>
        </w:tc>
        <w:tc>
          <w:tcPr>
            <w:tcW w:w="16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20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服务对象满意度</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52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jc w:val="center"/>
        </w:trPr>
        <w:tc>
          <w:tcPr>
            <w:tcW w:w="95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合计</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40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3" w:hRule="atLeast"/>
          <w:jc w:val="center"/>
        </w:trPr>
        <w:tc>
          <w:tcPr>
            <w:tcW w:w="6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评价结论</w:t>
            </w:r>
          </w:p>
        </w:tc>
        <w:tc>
          <w:tcPr>
            <w:tcW w:w="1206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公务用车运行平台经费项目绩效总体评价良好。</w:t>
            </w:r>
          </w:p>
        </w:tc>
      </w:tr>
      <w:tr>
        <w:tblPrEx>
          <w:tblCellMar>
            <w:top w:w="0" w:type="dxa"/>
            <w:left w:w="108" w:type="dxa"/>
            <w:bottom w:w="0" w:type="dxa"/>
            <w:right w:w="108" w:type="dxa"/>
          </w:tblCellMar>
        </w:tblPrEx>
        <w:trPr>
          <w:trHeight w:val="573" w:hRule="atLeast"/>
          <w:jc w:val="center"/>
        </w:trPr>
        <w:tc>
          <w:tcPr>
            <w:tcW w:w="6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存在问题</w:t>
            </w:r>
          </w:p>
        </w:tc>
        <w:tc>
          <w:tcPr>
            <w:tcW w:w="1206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33" w:hRule="atLeast"/>
          <w:jc w:val="center"/>
        </w:trPr>
        <w:tc>
          <w:tcPr>
            <w:tcW w:w="6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改进措施</w:t>
            </w:r>
          </w:p>
        </w:tc>
        <w:tc>
          <w:tcPr>
            <w:tcW w:w="1206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优化预算编制，加强预算执行。合理安排预算支出计划，优化资金支出结构，强化资金统筹和绩效管理，确保工作有效开展。</w:t>
            </w:r>
          </w:p>
        </w:tc>
      </w:tr>
      <w:tr>
        <w:tblPrEx>
          <w:tblCellMar>
            <w:top w:w="0" w:type="dxa"/>
            <w:left w:w="108" w:type="dxa"/>
            <w:bottom w:w="0" w:type="dxa"/>
            <w:right w:w="108" w:type="dxa"/>
          </w:tblCellMar>
        </w:tblPrEx>
        <w:trPr>
          <w:trHeight w:val="285" w:hRule="atLeast"/>
          <w:jc w:val="center"/>
        </w:trPr>
        <w:tc>
          <w:tcPr>
            <w:tcW w:w="65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项目负责人：</w:t>
            </w:r>
          </w:p>
        </w:tc>
        <w:tc>
          <w:tcPr>
            <w:tcW w:w="612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财务负责人：</w:t>
            </w:r>
          </w:p>
        </w:tc>
      </w:tr>
    </w:tbl>
    <w:p>
      <w:pPr>
        <w:widowControl/>
        <w:tabs>
          <w:tab w:val="left" w:pos="312"/>
        </w:tabs>
        <w:adjustRightInd w:val="0"/>
        <w:snapToGrid w:val="0"/>
        <w:spacing w:line="580" w:lineRule="exact"/>
        <w:ind w:left="1577"/>
        <w:contextualSpacing/>
        <w:jc w:val="left"/>
        <w:rPr>
          <w:rFonts w:hint="eastAsia" w:ascii="仿宋_GB2312" w:hAnsi="Calibri" w:eastAsia="仿宋_GB2312" w:cs="仿宋"/>
          <w:kern w:val="0"/>
          <w:sz w:val="32"/>
          <w:szCs w:val="32"/>
        </w:rPr>
      </w:pPr>
    </w:p>
    <w:p>
      <w:pPr>
        <w:pStyle w:val="2"/>
        <w:spacing w:line="560" w:lineRule="exact"/>
        <w:ind w:left="0" w:leftChars="0" w:firstLine="0" w:firstLineChars="0"/>
        <w:rPr>
          <w:sz w:val="32"/>
          <w:lang w:val="zh-CN"/>
        </w:rPr>
      </w:pPr>
    </w:p>
    <w:p>
      <w:pPr>
        <w:rPr>
          <w:rFonts w:hint="eastAsia" w:ascii="仿宋" w:hAnsi="仿宋" w:eastAsia="仿宋" w:cs="宋体"/>
          <w:kern w:val="0"/>
          <w:sz w:val="36"/>
          <w:szCs w:val="36"/>
        </w:rPr>
      </w:pPr>
      <w:r>
        <w:rPr>
          <w:rFonts w:hint="eastAsia" w:ascii="仿宋" w:hAnsi="仿宋" w:eastAsia="仿宋" w:cs="宋体"/>
          <w:kern w:val="0"/>
          <w:sz w:val="36"/>
          <w:szCs w:val="36"/>
        </w:rPr>
        <w:br w:type="page"/>
      </w:r>
    </w:p>
    <w:p>
      <w:pPr>
        <w:widowControl/>
        <w:tabs>
          <w:tab w:val="left" w:pos="312"/>
        </w:tabs>
        <w:adjustRightInd w:val="0"/>
        <w:snapToGrid w:val="0"/>
        <w:spacing w:line="580" w:lineRule="exact"/>
        <w:ind w:firstLine="720" w:firstLineChars="200"/>
        <w:contextualSpacing/>
        <w:rPr>
          <w:rFonts w:hint="eastAsia" w:ascii="仿宋" w:hAnsi="仿宋" w:eastAsia="仿宋" w:cs="仿宋"/>
          <w:kern w:val="0"/>
          <w:sz w:val="36"/>
          <w:szCs w:val="36"/>
        </w:rPr>
      </w:pPr>
      <w:r>
        <w:rPr>
          <w:rFonts w:hint="eastAsia" w:ascii="仿宋" w:hAnsi="仿宋" w:eastAsia="仿宋" w:cs="宋体"/>
          <w:kern w:val="0"/>
          <w:sz w:val="36"/>
          <w:szCs w:val="36"/>
        </w:rPr>
        <w:t>4.</w:t>
      </w:r>
      <w:r>
        <w:rPr>
          <w:rFonts w:hint="eastAsia" w:ascii="仿宋" w:hAnsi="仿宋" w:eastAsia="仿宋" w:cs="宋体"/>
          <w:color w:val="000000"/>
          <w:kern w:val="0"/>
          <w:sz w:val="36"/>
          <w:szCs w:val="36"/>
        </w:rPr>
        <w:t xml:space="preserve"> 公务用车购置</w:t>
      </w:r>
      <w:r>
        <w:rPr>
          <w:rFonts w:hint="eastAsia" w:ascii="仿宋" w:hAnsi="仿宋" w:eastAsia="仿宋" w:cs="仿宋"/>
          <w:kern w:val="0"/>
          <w:sz w:val="36"/>
          <w:szCs w:val="36"/>
        </w:rPr>
        <w:t>项目绩效目标自评表</w:t>
      </w:r>
    </w:p>
    <w:tbl>
      <w:tblPr>
        <w:tblStyle w:val="15"/>
        <w:tblW w:w="8505" w:type="dxa"/>
        <w:jc w:val="center"/>
        <w:tblLayout w:type="autofit"/>
        <w:tblCellMar>
          <w:top w:w="0" w:type="dxa"/>
          <w:left w:w="108" w:type="dxa"/>
          <w:bottom w:w="0" w:type="dxa"/>
          <w:right w:w="108" w:type="dxa"/>
        </w:tblCellMar>
      </w:tblPr>
      <w:tblGrid>
        <w:gridCol w:w="590"/>
        <w:gridCol w:w="982"/>
        <w:gridCol w:w="1027"/>
        <w:gridCol w:w="1169"/>
        <w:gridCol w:w="417"/>
        <w:gridCol w:w="879"/>
        <w:gridCol w:w="417"/>
        <w:gridCol w:w="828"/>
        <w:gridCol w:w="486"/>
        <w:gridCol w:w="397"/>
        <w:gridCol w:w="1313"/>
      </w:tblGrid>
      <w:tr>
        <w:tblPrEx>
          <w:tblCellMar>
            <w:top w:w="0" w:type="dxa"/>
            <w:left w:w="108" w:type="dxa"/>
            <w:bottom w:w="0" w:type="dxa"/>
            <w:right w:w="108" w:type="dxa"/>
          </w:tblCellMar>
        </w:tblPrEx>
        <w:trPr>
          <w:trHeight w:val="903" w:hRule="atLeast"/>
          <w:jc w:val="center"/>
        </w:trPr>
        <w:tc>
          <w:tcPr>
            <w:tcW w:w="126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部门预算项目支出绩效自评表（2022年度）+A347:K368</w:t>
            </w:r>
          </w:p>
        </w:tc>
      </w:tr>
      <w:tr>
        <w:tblPrEx>
          <w:tblCellMar>
            <w:top w:w="0" w:type="dxa"/>
            <w:left w:w="108" w:type="dxa"/>
            <w:bottom w:w="0" w:type="dxa"/>
            <w:right w:w="108" w:type="dxa"/>
          </w:tblCellMar>
        </w:tblPrEx>
        <w:trPr>
          <w:trHeight w:val="285" w:hRule="atLeast"/>
          <w:jc w:val="center"/>
        </w:trPr>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项目名称</w:t>
            </w:r>
          </w:p>
        </w:tc>
        <w:tc>
          <w:tcPr>
            <w:tcW w:w="1022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51090422T000000394351-公务用车购置</w:t>
            </w:r>
          </w:p>
        </w:tc>
      </w:tr>
      <w:tr>
        <w:tblPrEx>
          <w:tblCellMar>
            <w:top w:w="0" w:type="dxa"/>
            <w:left w:w="108" w:type="dxa"/>
            <w:bottom w:w="0" w:type="dxa"/>
            <w:right w:w="108" w:type="dxa"/>
          </w:tblCellMar>
        </w:tblPrEx>
        <w:trPr>
          <w:trHeight w:val="513" w:hRule="atLeast"/>
          <w:jc w:val="center"/>
        </w:trPr>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主管部门</w:t>
            </w:r>
          </w:p>
        </w:tc>
        <w:tc>
          <w:tcPr>
            <w:tcW w:w="608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遂宁市安居区机关事务服务中心部门</w:t>
            </w:r>
          </w:p>
        </w:tc>
        <w:tc>
          <w:tcPr>
            <w:tcW w:w="980" w:type="dxa"/>
            <w:tcBorders>
              <w:top w:val="nil"/>
              <w:left w:val="nil"/>
              <w:bottom w:val="nil"/>
              <w:right w:val="nil"/>
            </w:tcBorders>
            <w:shd w:val="clear" w:color="auto" w:fill="auto"/>
            <w:vAlign w:val="center"/>
          </w:tcPr>
          <w:p>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实施单位 （盖章）</w:t>
            </w:r>
          </w:p>
        </w:tc>
        <w:tc>
          <w:tcPr>
            <w:tcW w:w="3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遂宁市安居区机关事务服务中心</w:t>
            </w:r>
          </w:p>
        </w:tc>
      </w:tr>
      <w:tr>
        <w:tblPrEx>
          <w:tblCellMar>
            <w:top w:w="0" w:type="dxa"/>
            <w:left w:w="108" w:type="dxa"/>
            <w:bottom w:w="0" w:type="dxa"/>
            <w:right w:w="108" w:type="dxa"/>
          </w:tblCellMar>
        </w:tblPrEx>
        <w:trPr>
          <w:trHeight w:val="285" w:hRule="atLeast"/>
          <w:jc w:val="center"/>
        </w:trPr>
        <w:tc>
          <w:tcPr>
            <w:tcW w:w="6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项目基本情况</w:t>
            </w:r>
          </w:p>
        </w:tc>
        <w:tc>
          <w:tcPr>
            <w:tcW w:w="18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608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项目年度目标</w:t>
            </w:r>
          </w:p>
        </w:tc>
        <w:tc>
          <w:tcPr>
            <w:tcW w:w="414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年度目标完成情况</w:t>
            </w:r>
          </w:p>
        </w:tc>
      </w:tr>
      <w:tr>
        <w:tblPrEx>
          <w:tblCellMar>
            <w:top w:w="0" w:type="dxa"/>
            <w:left w:w="108" w:type="dxa"/>
            <w:bottom w:w="0" w:type="dxa"/>
            <w:right w:w="108" w:type="dxa"/>
          </w:tblCellMar>
        </w:tblPrEx>
        <w:trPr>
          <w:trHeight w:val="708" w:hRule="atLeast"/>
          <w:jc w:val="center"/>
        </w:trPr>
        <w:tc>
          <w:tcPr>
            <w:tcW w:w="6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4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08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保障党政机关领导公务日常运行。</w:t>
            </w:r>
          </w:p>
        </w:tc>
        <w:tc>
          <w:tcPr>
            <w:tcW w:w="414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对照年度目标，说明相关任务目标的完成情况（100字以内）</w:t>
            </w:r>
          </w:p>
        </w:tc>
      </w:tr>
      <w:tr>
        <w:tblPrEx>
          <w:tblCellMar>
            <w:top w:w="0" w:type="dxa"/>
            <w:left w:w="108" w:type="dxa"/>
            <w:bottom w:w="0" w:type="dxa"/>
            <w:right w:w="108" w:type="dxa"/>
          </w:tblCellMar>
        </w:tblPrEx>
        <w:trPr>
          <w:trHeight w:val="693" w:hRule="atLeast"/>
          <w:jc w:val="center"/>
        </w:trPr>
        <w:tc>
          <w:tcPr>
            <w:tcW w:w="6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4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022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jc w:val="center"/>
        </w:trPr>
        <w:tc>
          <w:tcPr>
            <w:tcW w:w="6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8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6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年初预算</w:t>
            </w:r>
          </w:p>
        </w:tc>
        <w:tc>
          <w:tcPr>
            <w:tcW w:w="20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调整后预算数</w:t>
            </w:r>
          </w:p>
        </w:tc>
        <w:tc>
          <w:tcPr>
            <w:tcW w:w="24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预算执行数</w:t>
            </w:r>
          </w:p>
        </w:tc>
        <w:tc>
          <w:tcPr>
            <w:tcW w:w="9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87" w:hRule="atLeast"/>
          <w:jc w:val="center"/>
        </w:trPr>
        <w:tc>
          <w:tcPr>
            <w:tcW w:w="6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总额</w:t>
            </w:r>
          </w:p>
        </w:tc>
        <w:tc>
          <w:tcPr>
            <w:tcW w:w="16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144.00</w:t>
            </w:r>
          </w:p>
        </w:tc>
        <w:tc>
          <w:tcPr>
            <w:tcW w:w="20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144.00</w:t>
            </w:r>
          </w:p>
        </w:tc>
        <w:tc>
          <w:tcPr>
            <w:tcW w:w="24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99.48</w:t>
            </w:r>
          </w:p>
        </w:tc>
        <w:tc>
          <w:tcPr>
            <w:tcW w:w="9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69.08%</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23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黑体" w:hAnsi="黑体" w:eastAsia="黑体" w:cs="宋体"/>
                <w:i/>
                <w:iCs/>
                <w:color w:val="000000"/>
                <w:kern w:val="0"/>
                <w:sz w:val="18"/>
                <w:szCs w:val="18"/>
              </w:rPr>
            </w:pPr>
            <w:r>
              <w:rPr>
                <w:rFonts w:hint="eastAsia" w:ascii="黑体" w:hAnsi="黑体" w:eastAsia="黑体" w:cs="宋体"/>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trHeight w:val="432" w:hRule="atLeast"/>
          <w:jc w:val="center"/>
        </w:trPr>
        <w:tc>
          <w:tcPr>
            <w:tcW w:w="6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其中：财政资金</w:t>
            </w:r>
          </w:p>
        </w:tc>
        <w:tc>
          <w:tcPr>
            <w:tcW w:w="16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144.00</w:t>
            </w:r>
          </w:p>
        </w:tc>
        <w:tc>
          <w:tcPr>
            <w:tcW w:w="20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144.00</w:t>
            </w:r>
          </w:p>
        </w:tc>
        <w:tc>
          <w:tcPr>
            <w:tcW w:w="24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99.48</w:t>
            </w:r>
          </w:p>
        </w:tc>
        <w:tc>
          <w:tcPr>
            <w:tcW w:w="9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69.08%</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eastAsia="黑体" w:cs="宋体"/>
                <w:i/>
                <w:iCs/>
                <w:color w:val="000000"/>
                <w:kern w:val="0"/>
                <w:sz w:val="18"/>
                <w:szCs w:val="18"/>
              </w:rPr>
            </w:pPr>
          </w:p>
        </w:tc>
      </w:tr>
      <w:tr>
        <w:tblPrEx>
          <w:tblCellMar>
            <w:top w:w="0" w:type="dxa"/>
            <w:left w:w="108" w:type="dxa"/>
            <w:bottom w:w="0" w:type="dxa"/>
            <w:right w:w="108" w:type="dxa"/>
          </w:tblCellMar>
        </w:tblPrEx>
        <w:trPr>
          <w:trHeight w:val="447" w:hRule="atLeast"/>
          <w:jc w:val="center"/>
        </w:trPr>
        <w:tc>
          <w:tcPr>
            <w:tcW w:w="6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6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0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4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eastAsia="黑体" w:cs="宋体"/>
                <w:i/>
                <w:iCs/>
                <w:color w:val="000000"/>
                <w:kern w:val="0"/>
                <w:sz w:val="18"/>
                <w:szCs w:val="18"/>
              </w:rPr>
            </w:pPr>
          </w:p>
        </w:tc>
      </w:tr>
      <w:tr>
        <w:tblPrEx>
          <w:tblCellMar>
            <w:top w:w="0" w:type="dxa"/>
            <w:left w:w="108" w:type="dxa"/>
            <w:bottom w:w="0" w:type="dxa"/>
            <w:right w:w="108" w:type="dxa"/>
          </w:tblCellMar>
        </w:tblPrEx>
        <w:trPr>
          <w:trHeight w:val="402" w:hRule="atLeast"/>
          <w:jc w:val="center"/>
        </w:trPr>
        <w:tc>
          <w:tcPr>
            <w:tcW w:w="6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单位资金</w:t>
            </w:r>
          </w:p>
        </w:tc>
        <w:tc>
          <w:tcPr>
            <w:tcW w:w="16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0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4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eastAsia="黑体" w:cs="宋体"/>
                <w:i/>
                <w:iCs/>
                <w:color w:val="000000"/>
                <w:kern w:val="0"/>
                <w:sz w:val="18"/>
                <w:szCs w:val="18"/>
              </w:rPr>
            </w:pPr>
          </w:p>
        </w:tc>
      </w:tr>
      <w:tr>
        <w:tblPrEx>
          <w:tblCellMar>
            <w:top w:w="0" w:type="dxa"/>
            <w:left w:w="108" w:type="dxa"/>
            <w:bottom w:w="0" w:type="dxa"/>
            <w:right w:w="108" w:type="dxa"/>
          </w:tblCellMar>
        </w:tblPrEx>
        <w:trPr>
          <w:trHeight w:val="378" w:hRule="atLeast"/>
          <w:jc w:val="center"/>
        </w:trPr>
        <w:tc>
          <w:tcPr>
            <w:tcW w:w="6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其他资金</w:t>
            </w:r>
          </w:p>
        </w:tc>
        <w:tc>
          <w:tcPr>
            <w:tcW w:w="16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4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eastAsia="黑体" w:cs="宋体"/>
                <w:i/>
                <w:iCs/>
                <w:color w:val="000000"/>
                <w:kern w:val="0"/>
                <w:sz w:val="18"/>
                <w:szCs w:val="18"/>
              </w:rPr>
            </w:pPr>
          </w:p>
        </w:tc>
      </w:tr>
      <w:tr>
        <w:tblPrEx>
          <w:tblCellMar>
            <w:top w:w="0" w:type="dxa"/>
            <w:left w:w="108" w:type="dxa"/>
            <w:bottom w:w="0" w:type="dxa"/>
            <w:right w:w="108" w:type="dxa"/>
          </w:tblCellMar>
        </w:tblPrEx>
        <w:trPr>
          <w:trHeight w:val="453" w:hRule="atLeast"/>
          <w:jc w:val="center"/>
        </w:trPr>
        <w:tc>
          <w:tcPr>
            <w:tcW w:w="6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绩效指标（90分）</w:t>
            </w:r>
          </w:p>
        </w:tc>
        <w:tc>
          <w:tcPr>
            <w:tcW w:w="18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一级指标</w:t>
            </w:r>
          </w:p>
        </w:tc>
        <w:tc>
          <w:tcPr>
            <w:tcW w:w="16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二级指标</w:t>
            </w:r>
          </w:p>
        </w:tc>
        <w:tc>
          <w:tcPr>
            <w:tcW w:w="20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三级指标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指标性质</w:t>
            </w:r>
          </w:p>
        </w:tc>
        <w:tc>
          <w:tcPr>
            <w:tcW w:w="152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指标值</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度量单位</w:t>
            </w:r>
          </w:p>
        </w:tc>
        <w:tc>
          <w:tcPr>
            <w:tcW w:w="9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完成值</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9" w:hRule="atLeast"/>
          <w:jc w:val="center"/>
        </w:trPr>
        <w:tc>
          <w:tcPr>
            <w:tcW w:w="6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产出指标</w:t>
            </w:r>
          </w:p>
        </w:tc>
        <w:tc>
          <w:tcPr>
            <w:tcW w:w="16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数量指标</w:t>
            </w:r>
          </w:p>
        </w:tc>
        <w:tc>
          <w:tcPr>
            <w:tcW w:w="20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购置公务用车9辆</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52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9" w:hRule="atLeast"/>
          <w:jc w:val="center"/>
        </w:trPr>
        <w:tc>
          <w:tcPr>
            <w:tcW w:w="6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4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6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质量指标</w:t>
            </w:r>
          </w:p>
        </w:tc>
        <w:tc>
          <w:tcPr>
            <w:tcW w:w="20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公务用车运行</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152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优良中低差</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9" w:hRule="atLeast"/>
          <w:jc w:val="center"/>
        </w:trPr>
        <w:tc>
          <w:tcPr>
            <w:tcW w:w="6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4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6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时效指标</w:t>
            </w:r>
          </w:p>
        </w:tc>
        <w:tc>
          <w:tcPr>
            <w:tcW w:w="20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项目完成时间节点</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52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2022</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w:t>
            </w:r>
          </w:p>
        </w:tc>
        <w:tc>
          <w:tcPr>
            <w:tcW w:w="9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453" w:hRule="atLeast"/>
          <w:jc w:val="center"/>
        </w:trPr>
        <w:tc>
          <w:tcPr>
            <w:tcW w:w="6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满意度指标</w:t>
            </w:r>
          </w:p>
        </w:tc>
        <w:tc>
          <w:tcPr>
            <w:tcW w:w="16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20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52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jc w:val="center"/>
        </w:trPr>
        <w:tc>
          <w:tcPr>
            <w:tcW w:w="95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合计</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40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3" w:hRule="atLeast"/>
          <w:jc w:val="center"/>
        </w:trPr>
        <w:tc>
          <w:tcPr>
            <w:tcW w:w="6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评价结论</w:t>
            </w:r>
          </w:p>
        </w:tc>
        <w:tc>
          <w:tcPr>
            <w:tcW w:w="1206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2022年度项目经费预算具有明确的用途和目标，制定了较为细致的执行计划，资金到位及时并严格按照财政有关规定专款专用。预算决策、管理、执行过程逐渐规范，能较好地满足工作需要，保障项目顺利开展时效，并取得了较为满意的社会效益。</w:t>
            </w:r>
          </w:p>
        </w:tc>
      </w:tr>
      <w:tr>
        <w:tblPrEx>
          <w:tblCellMar>
            <w:top w:w="0" w:type="dxa"/>
            <w:left w:w="108" w:type="dxa"/>
            <w:bottom w:w="0" w:type="dxa"/>
            <w:right w:w="108" w:type="dxa"/>
          </w:tblCellMar>
        </w:tblPrEx>
        <w:trPr>
          <w:trHeight w:val="573" w:hRule="atLeast"/>
          <w:jc w:val="center"/>
        </w:trPr>
        <w:tc>
          <w:tcPr>
            <w:tcW w:w="6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存在问题</w:t>
            </w:r>
          </w:p>
        </w:tc>
        <w:tc>
          <w:tcPr>
            <w:tcW w:w="1206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xml:space="preserve">预算编制精确度有待进一步提高，对各类资金的管理还存在不完善的问题，制度建设不完善。 </w:t>
            </w:r>
          </w:p>
        </w:tc>
      </w:tr>
    </w:tbl>
    <w:p>
      <w:pPr>
        <w:pStyle w:val="8"/>
        <w:spacing w:before="93"/>
        <w:rPr>
          <w:rFonts w:hAnsi="宋体" w:cs="宋体"/>
          <w:sz w:val="32"/>
          <w:szCs w:val="32"/>
          <w:shd w:val="clear" w:color="auto" w:fill="FFFFFF"/>
          <w:lang w:val="zh-CN"/>
        </w:rPr>
      </w:pPr>
    </w:p>
    <w:p>
      <w:pPr>
        <w:rPr>
          <w:rFonts w:ascii="仿宋" w:hAnsi="仿宋" w:eastAsia="仿宋" w:cs="宋体"/>
          <w:color w:val="000000"/>
          <w:sz w:val="36"/>
          <w:szCs w:val="36"/>
        </w:rPr>
      </w:pPr>
      <w:r>
        <w:rPr>
          <w:rFonts w:ascii="仿宋" w:hAnsi="仿宋" w:eastAsia="仿宋" w:cs="宋体"/>
          <w:color w:val="000000"/>
          <w:sz w:val="36"/>
          <w:szCs w:val="36"/>
        </w:rPr>
        <w:br w:type="page"/>
      </w:r>
    </w:p>
    <w:p>
      <w:pPr>
        <w:pStyle w:val="8"/>
        <w:spacing w:before="93"/>
        <w:ind w:firstLine="1440" w:firstLineChars="400"/>
        <w:rPr>
          <w:rFonts w:hAnsi="宋体" w:cs="宋体"/>
          <w:sz w:val="32"/>
          <w:szCs w:val="32"/>
          <w:shd w:val="clear" w:color="auto" w:fill="FFFFFF"/>
          <w:lang w:val="zh-CN"/>
        </w:rPr>
      </w:pPr>
      <w:r>
        <w:rPr>
          <w:rFonts w:ascii="仿宋" w:hAnsi="仿宋" w:eastAsia="仿宋" w:cs="宋体"/>
          <w:color w:val="000000"/>
          <w:sz w:val="36"/>
          <w:szCs w:val="36"/>
        </w:rPr>
        <w:t>5</w:t>
      </w:r>
      <w:r>
        <w:rPr>
          <w:rFonts w:hint="eastAsia" w:ascii="仿宋" w:hAnsi="仿宋" w:eastAsia="仿宋" w:cs="宋体"/>
          <w:color w:val="000000"/>
          <w:sz w:val="36"/>
          <w:szCs w:val="36"/>
        </w:rPr>
        <w:t>.公务用车购置</w:t>
      </w:r>
      <w:r>
        <w:rPr>
          <w:rFonts w:hint="eastAsia" w:ascii="仿宋" w:hAnsi="仿宋" w:eastAsia="仿宋" w:cs="仿宋"/>
          <w:sz w:val="36"/>
          <w:szCs w:val="36"/>
        </w:rPr>
        <w:t>项目绩效目标自评表</w:t>
      </w:r>
    </w:p>
    <w:tbl>
      <w:tblPr>
        <w:tblStyle w:val="15"/>
        <w:tblW w:w="8505" w:type="dxa"/>
        <w:jc w:val="center"/>
        <w:tblLayout w:type="autofit"/>
        <w:tblCellMar>
          <w:top w:w="0" w:type="dxa"/>
          <w:left w:w="108" w:type="dxa"/>
          <w:bottom w:w="0" w:type="dxa"/>
          <w:right w:w="108" w:type="dxa"/>
        </w:tblCellMar>
      </w:tblPr>
      <w:tblGrid>
        <w:gridCol w:w="589"/>
        <w:gridCol w:w="969"/>
        <w:gridCol w:w="1019"/>
        <w:gridCol w:w="1156"/>
        <w:gridCol w:w="416"/>
        <w:gridCol w:w="870"/>
        <w:gridCol w:w="416"/>
        <w:gridCol w:w="888"/>
        <w:gridCol w:w="486"/>
        <w:gridCol w:w="397"/>
        <w:gridCol w:w="1299"/>
      </w:tblGrid>
      <w:tr>
        <w:tblPrEx>
          <w:tblCellMar>
            <w:top w:w="0" w:type="dxa"/>
            <w:left w:w="108" w:type="dxa"/>
            <w:bottom w:w="0" w:type="dxa"/>
            <w:right w:w="108" w:type="dxa"/>
          </w:tblCellMar>
        </w:tblPrEx>
        <w:trPr>
          <w:trHeight w:val="903" w:hRule="atLeast"/>
          <w:jc w:val="center"/>
        </w:trPr>
        <w:tc>
          <w:tcPr>
            <w:tcW w:w="126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jc w:val="center"/>
        </w:trPr>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项目名称</w:t>
            </w:r>
          </w:p>
        </w:tc>
        <w:tc>
          <w:tcPr>
            <w:tcW w:w="1022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51090422T000000393850-柔刚写字楼和商务中心运行费</w:t>
            </w:r>
          </w:p>
        </w:tc>
      </w:tr>
      <w:tr>
        <w:tblPrEx>
          <w:tblCellMar>
            <w:top w:w="0" w:type="dxa"/>
            <w:left w:w="108" w:type="dxa"/>
            <w:bottom w:w="0" w:type="dxa"/>
            <w:right w:w="108" w:type="dxa"/>
          </w:tblCellMar>
        </w:tblPrEx>
        <w:trPr>
          <w:trHeight w:val="513" w:hRule="atLeast"/>
          <w:jc w:val="center"/>
        </w:trPr>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主管部门</w:t>
            </w:r>
          </w:p>
        </w:tc>
        <w:tc>
          <w:tcPr>
            <w:tcW w:w="608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遂宁市安居区机关事务服务中心部门</w:t>
            </w:r>
          </w:p>
        </w:tc>
        <w:tc>
          <w:tcPr>
            <w:tcW w:w="980" w:type="dxa"/>
            <w:tcBorders>
              <w:top w:val="nil"/>
              <w:left w:val="nil"/>
              <w:bottom w:val="nil"/>
              <w:right w:val="nil"/>
            </w:tcBorders>
            <w:shd w:val="clear" w:color="auto" w:fill="auto"/>
            <w:vAlign w:val="center"/>
          </w:tcPr>
          <w:p>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实施单位 （盖章）</w:t>
            </w:r>
          </w:p>
        </w:tc>
        <w:tc>
          <w:tcPr>
            <w:tcW w:w="3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遂宁市安居区机关事务服务中心</w:t>
            </w:r>
          </w:p>
        </w:tc>
      </w:tr>
      <w:tr>
        <w:tblPrEx>
          <w:tblCellMar>
            <w:top w:w="0" w:type="dxa"/>
            <w:left w:w="108" w:type="dxa"/>
            <w:bottom w:w="0" w:type="dxa"/>
            <w:right w:w="108" w:type="dxa"/>
          </w:tblCellMar>
        </w:tblPrEx>
        <w:trPr>
          <w:trHeight w:val="285" w:hRule="atLeast"/>
          <w:jc w:val="center"/>
        </w:trPr>
        <w:tc>
          <w:tcPr>
            <w:tcW w:w="6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项目基本情况</w:t>
            </w:r>
          </w:p>
        </w:tc>
        <w:tc>
          <w:tcPr>
            <w:tcW w:w="18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608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项目年度目标</w:t>
            </w:r>
          </w:p>
        </w:tc>
        <w:tc>
          <w:tcPr>
            <w:tcW w:w="414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年度目标完成情况</w:t>
            </w:r>
          </w:p>
        </w:tc>
      </w:tr>
      <w:tr>
        <w:tblPrEx>
          <w:tblCellMar>
            <w:top w:w="0" w:type="dxa"/>
            <w:left w:w="108" w:type="dxa"/>
            <w:bottom w:w="0" w:type="dxa"/>
            <w:right w:w="108" w:type="dxa"/>
          </w:tblCellMar>
        </w:tblPrEx>
        <w:trPr>
          <w:trHeight w:val="708" w:hRule="atLeast"/>
          <w:jc w:val="center"/>
        </w:trPr>
        <w:tc>
          <w:tcPr>
            <w:tcW w:w="6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4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08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做好柔刚写字楼及商务中心的日常维护工作，保障两栋大楼的正常运行</w:t>
            </w:r>
          </w:p>
        </w:tc>
        <w:tc>
          <w:tcPr>
            <w:tcW w:w="414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对照年度目标，说明相关任务目标的完成情况（100字以内）</w:t>
            </w:r>
          </w:p>
        </w:tc>
      </w:tr>
      <w:tr>
        <w:tblPrEx>
          <w:tblCellMar>
            <w:top w:w="0" w:type="dxa"/>
            <w:left w:w="108" w:type="dxa"/>
            <w:bottom w:w="0" w:type="dxa"/>
            <w:right w:w="108" w:type="dxa"/>
          </w:tblCellMar>
        </w:tblPrEx>
        <w:trPr>
          <w:trHeight w:val="693" w:hRule="atLeast"/>
          <w:jc w:val="center"/>
        </w:trPr>
        <w:tc>
          <w:tcPr>
            <w:tcW w:w="6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4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022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jc w:val="center"/>
        </w:trPr>
        <w:tc>
          <w:tcPr>
            <w:tcW w:w="6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8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6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年初预算</w:t>
            </w:r>
          </w:p>
        </w:tc>
        <w:tc>
          <w:tcPr>
            <w:tcW w:w="20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调整后预算数</w:t>
            </w:r>
          </w:p>
        </w:tc>
        <w:tc>
          <w:tcPr>
            <w:tcW w:w="24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预算执行数</w:t>
            </w:r>
          </w:p>
        </w:tc>
        <w:tc>
          <w:tcPr>
            <w:tcW w:w="9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87" w:hRule="atLeast"/>
          <w:jc w:val="center"/>
        </w:trPr>
        <w:tc>
          <w:tcPr>
            <w:tcW w:w="6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总额</w:t>
            </w:r>
          </w:p>
        </w:tc>
        <w:tc>
          <w:tcPr>
            <w:tcW w:w="16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200.00</w:t>
            </w:r>
          </w:p>
        </w:tc>
        <w:tc>
          <w:tcPr>
            <w:tcW w:w="20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197.52</w:t>
            </w:r>
          </w:p>
        </w:tc>
        <w:tc>
          <w:tcPr>
            <w:tcW w:w="24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197.52</w:t>
            </w:r>
          </w:p>
        </w:tc>
        <w:tc>
          <w:tcPr>
            <w:tcW w:w="9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23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黑体" w:hAnsi="黑体" w:eastAsia="黑体" w:cs="宋体"/>
                <w:i/>
                <w:iCs/>
                <w:color w:val="000000"/>
                <w:kern w:val="0"/>
                <w:sz w:val="18"/>
                <w:szCs w:val="18"/>
              </w:rPr>
            </w:pPr>
            <w:r>
              <w:rPr>
                <w:rFonts w:hint="eastAsia" w:ascii="黑体" w:hAnsi="黑体" w:eastAsia="黑体" w:cs="宋体"/>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trHeight w:val="432" w:hRule="atLeast"/>
          <w:jc w:val="center"/>
        </w:trPr>
        <w:tc>
          <w:tcPr>
            <w:tcW w:w="6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其中：财政资金</w:t>
            </w:r>
          </w:p>
        </w:tc>
        <w:tc>
          <w:tcPr>
            <w:tcW w:w="16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200.00</w:t>
            </w:r>
          </w:p>
        </w:tc>
        <w:tc>
          <w:tcPr>
            <w:tcW w:w="20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197.52</w:t>
            </w:r>
          </w:p>
        </w:tc>
        <w:tc>
          <w:tcPr>
            <w:tcW w:w="24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197.52</w:t>
            </w:r>
          </w:p>
        </w:tc>
        <w:tc>
          <w:tcPr>
            <w:tcW w:w="9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eastAsia="黑体" w:cs="宋体"/>
                <w:i/>
                <w:iCs/>
                <w:color w:val="000000"/>
                <w:kern w:val="0"/>
                <w:sz w:val="18"/>
                <w:szCs w:val="18"/>
              </w:rPr>
            </w:pPr>
          </w:p>
        </w:tc>
      </w:tr>
      <w:tr>
        <w:tblPrEx>
          <w:tblCellMar>
            <w:top w:w="0" w:type="dxa"/>
            <w:left w:w="108" w:type="dxa"/>
            <w:bottom w:w="0" w:type="dxa"/>
            <w:right w:w="108" w:type="dxa"/>
          </w:tblCellMar>
        </w:tblPrEx>
        <w:trPr>
          <w:trHeight w:val="447" w:hRule="atLeast"/>
          <w:jc w:val="center"/>
        </w:trPr>
        <w:tc>
          <w:tcPr>
            <w:tcW w:w="6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6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0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4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eastAsia="黑体" w:cs="宋体"/>
                <w:i/>
                <w:iCs/>
                <w:color w:val="000000"/>
                <w:kern w:val="0"/>
                <w:sz w:val="18"/>
                <w:szCs w:val="18"/>
              </w:rPr>
            </w:pPr>
          </w:p>
        </w:tc>
      </w:tr>
      <w:tr>
        <w:tblPrEx>
          <w:tblCellMar>
            <w:top w:w="0" w:type="dxa"/>
            <w:left w:w="108" w:type="dxa"/>
            <w:bottom w:w="0" w:type="dxa"/>
            <w:right w:w="108" w:type="dxa"/>
          </w:tblCellMar>
        </w:tblPrEx>
        <w:trPr>
          <w:trHeight w:val="402" w:hRule="atLeast"/>
          <w:jc w:val="center"/>
        </w:trPr>
        <w:tc>
          <w:tcPr>
            <w:tcW w:w="6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单位资金</w:t>
            </w:r>
          </w:p>
        </w:tc>
        <w:tc>
          <w:tcPr>
            <w:tcW w:w="16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0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4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eastAsia="黑体" w:cs="宋体"/>
                <w:i/>
                <w:iCs/>
                <w:color w:val="000000"/>
                <w:kern w:val="0"/>
                <w:sz w:val="18"/>
                <w:szCs w:val="18"/>
              </w:rPr>
            </w:pPr>
          </w:p>
        </w:tc>
      </w:tr>
      <w:tr>
        <w:tblPrEx>
          <w:tblCellMar>
            <w:top w:w="0" w:type="dxa"/>
            <w:left w:w="108" w:type="dxa"/>
            <w:bottom w:w="0" w:type="dxa"/>
            <w:right w:w="108" w:type="dxa"/>
          </w:tblCellMar>
        </w:tblPrEx>
        <w:trPr>
          <w:trHeight w:val="378" w:hRule="atLeast"/>
          <w:jc w:val="center"/>
        </w:trPr>
        <w:tc>
          <w:tcPr>
            <w:tcW w:w="6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其他资金</w:t>
            </w:r>
          </w:p>
        </w:tc>
        <w:tc>
          <w:tcPr>
            <w:tcW w:w="16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4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eastAsia="黑体" w:cs="宋体"/>
                <w:i/>
                <w:iCs/>
                <w:color w:val="000000"/>
                <w:kern w:val="0"/>
                <w:sz w:val="18"/>
                <w:szCs w:val="18"/>
              </w:rPr>
            </w:pPr>
          </w:p>
        </w:tc>
      </w:tr>
      <w:tr>
        <w:tblPrEx>
          <w:tblCellMar>
            <w:top w:w="0" w:type="dxa"/>
            <w:left w:w="108" w:type="dxa"/>
            <w:bottom w:w="0" w:type="dxa"/>
            <w:right w:w="108" w:type="dxa"/>
          </w:tblCellMar>
        </w:tblPrEx>
        <w:trPr>
          <w:trHeight w:val="453" w:hRule="atLeast"/>
          <w:jc w:val="center"/>
        </w:trPr>
        <w:tc>
          <w:tcPr>
            <w:tcW w:w="6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绩效指标（90分）</w:t>
            </w:r>
          </w:p>
        </w:tc>
        <w:tc>
          <w:tcPr>
            <w:tcW w:w="18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一级指标</w:t>
            </w:r>
          </w:p>
        </w:tc>
        <w:tc>
          <w:tcPr>
            <w:tcW w:w="16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二级指标</w:t>
            </w:r>
          </w:p>
        </w:tc>
        <w:tc>
          <w:tcPr>
            <w:tcW w:w="20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三级指标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指标性质</w:t>
            </w:r>
          </w:p>
        </w:tc>
        <w:tc>
          <w:tcPr>
            <w:tcW w:w="152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指标值</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度量单位</w:t>
            </w:r>
          </w:p>
        </w:tc>
        <w:tc>
          <w:tcPr>
            <w:tcW w:w="9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完成值</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453" w:hRule="atLeast"/>
          <w:jc w:val="center"/>
        </w:trPr>
        <w:tc>
          <w:tcPr>
            <w:tcW w:w="6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产出指标</w:t>
            </w:r>
          </w:p>
        </w:tc>
        <w:tc>
          <w:tcPr>
            <w:tcW w:w="16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数量指标</w:t>
            </w:r>
          </w:p>
        </w:tc>
        <w:tc>
          <w:tcPr>
            <w:tcW w:w="20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柔刚写字楼及外围</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52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3700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平方米</w:t>
            </w:r>
          </w:p>
        </w:tc>
        <w:tc>
          <w:tcPr>
            <w:tcW w:w="9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453" w:hRule="atLeast"/>
          <w:jc w:val="center"/>
        </w:trPr>
        <w:tc>
          <w:tcPr>
            <w:tcW w:w="6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4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6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0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柔刚商务中心</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52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7000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平方米</w:t>
            </w:r>
          </w:p>
        </w:tc>
        <w:tc>
          <w:tcPr>
            <w:tcW w:w="9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9" w:hRule="atLeast"/>
          <w:jc w:val="center"/>
        </w:trPr>
        <w:tc>
          <w:tcPr>
            <w:tcW w:w="6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4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6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质量指标</w:t>
            </w:r>
          </w:p>
        </w:tc>
        <w:tc>
          <w:tcPr>
            <w:tcW w:w="20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维护情况</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152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好坏</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9" w:hRule="atLeast"/>
          <w:jc w:val="center"/>
        </w:trPr>
        <w:tc>
          <w:tcPr>
            <w:tcW w:w="6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4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6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时效指标</w:t>
            </w:r>
          </w:p>
        </w:tc>
        <w:tc>
          <w:tcPr>
            <w:tcW w:w="20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服务时间</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52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w:t>
            </w:r>
          </w:p>
        </w:tc>
        <w:tc>
          <w:tcPr>
            <w:tcW w:w="9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9" w:hRule="atLeast"/>
          <w:jc w:val="center"/>
        </w:trPr>
        <w:tc>
          <w:tcPr>
            <w:tcW w:w="6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效益指标</w:t>
            </w:r>
          </w:p>
        </w:tc>
        <w:tc>
          <w:tcPr>
            <w:tcW w:w="16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社会效益指标</w:t>
            </w:r>
          </w:p>
        </w:tc>
        <w:tc>
          <w:tcPr>
            <w:tcW w:w="20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机关工作人员后勤保障</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152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优良中低差</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453" w:hRule="atLeast"/>
          <w:jc w:val="center"/>
        </w:trPr>
        <w:tc>
          <w:tcPr>
            <w:tcW w:w="6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满意度指标</w:t>
            </w:r>
          </w:p>
        </w:tc>
        <w:tc>
          <w:tcPr>
            <w:tcW w:w="16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20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机关工作人员满意度</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52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jc w:val="center"/>
        </w:trPr>
        <w:tc>
          <w:tcPr>
            <w:tcW w:w="95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合计</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40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3" w:hRule="atLeast"/>
          <w:jc w:val="center"/>
        </w:trPr>
        <w:tc>
          <w:tcPr>
            <w:tcW w:w="6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评价结论</w:t>
            </w:r>
          </w:p>
        </w:tc>
        <w:tc>
          <w:tcPr>
            <w:tcW w:w="1206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2022年度项目经费预算具有明确的用途和目标，制定了较为细致的执行计划，资金到位及时并严格按照财政有关规定专款专用。预算决策、管理、执行过程逐渐规范，能较好地满足工作需要，保障项目顺利开展时效，并取得了较为满意的社会效益。</w:t>
            </w:r>
          </w:p>
        </w:tc>
      </w:tr>
      <w:tr>
        <w:tblPrEx>
          <w:tblCellMar>
            <w:top w:w="0" w:type="dxa"/>
            <w:left w:w="108" w:type="dxa"/>
            <w:bottom w:w="0" w:type="dxa"/>
            <w:right w:w="108" w:type="dxa"/>
          </w:tblCellMar>
        </w:tblPrEx>
        <w:trPr>
          <w:trHeight w:val="573" w:hRule="atLeast"/>
          <w:jc w:val="center"/>
        </w:trPr>
        <w:tc>
          <w:tcPr>
            <w:tcW w:w="6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存在问题</w:t>
            </w:r>
          </w:p>
        </w:tc>
        <w:tc>
          <w:tcPr>
            <w:tcW w:w="1206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预算编制精确度有待进一步提高，对各类资金的管理还存在不完善的问题，制度建设不完善。</w:t>
            </w:r>
          </w:p>
        </w:tc>
      </w:tr>
      <w:tr>
        <w:tblPrEx>
          <w:tblCellMar>
            <w:top w:w="0" w:type="dxa"/>
            <w:left w:w="108" w:type="dxa"/>
            <w:bottom w:w="0" w:type="dxa"/>
            <w:right w:w="108" w:type="dxa"/>
          </w:tblCellMar>
        </w:tblPrEx>
        <w:trPr>
          <w:trHeight w:val="633" w:hRule="atLeast"/>
          <w:jc w:val="center"/>
        </w:trPr>
        <w:tc>
          <w:tcPr>
            <w:tcW w:w="6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改进措施</w:t>
            </w:r>
          </w:p>
        </w:tc>
        <w:tc>
          <w:tcPr>
            <w:tcW w:w="1206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优化预算编制，加强预算执行。合理安排预算支出计划，优化资金支出结构，强化资金统筹和绩效管理，确保工作有效开展。</w:t>
            </w:r>
          </w:p>
        </w:tc>
      </w:tr>
      <w:tr>
        <w:tblPrEx>
          <w:tblCellMar>
            <w:top w:w="0" w:type="dxa"/>
            <w:left w:w="108" w:type="dxa"/>
            <w:bottom w:w="0" w:type="dxa"/>
            <w:right w:w="108" w:type="dxa"/>
          </w:tblCellMar>
        </w:tblPrEx>
        <w:trPr>
          <w:trHeight w:val="285" w:hRule="atLeast"/>
          <w:jc w:val="center"/>
        </w:trPr>
        <w:tc>
          <w:tcPr>
            <w:tcW w:w="65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项目负责人：</w:t>
            </w:r>
          </w:p>
        </w:tc>
        <w:tc>
          <w:tcPr>
            <w:tcW w:w="612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财务负责人：</w:t>
            </w:r>
          </w:p>
        </w:tc>
      </w:tr>
    </w:tbl>
    <w:p>
      <w:pPr>
        <w:pStyle w:val="8"/>
        <w:spacing w:before="93"/>
        <w:rPr>
          <w:rFonts w:hAnsi="宋体" w:cs="宋体"/>
          <w:sz w:val="32"/>
          <w:szCs w:val="32"/>
          <w:shd w:val="clear" w:color="auto" w:fill="FFFFFF"/>
          <w:lang w:val="zh-CN"/>
        </w:rPr>
      </w:pPr>
    </w:p>
    <w:p>
      <w:pPr>
        <w:rPr>
          <w:rFonts w:ascii="仿宋" w:hAnsi="仿宋" w:eastAsia="仿宋" w:cs="宋体"/>
          <w:color w:val="000000"/>
          <w:sz w:val="36"/>
          <w:szCs w:val="36"/>
        </w:rPr>
      </w:pPr>
      <w:r>
        <w:rPr>
          <w:rFonts w:ascii="仿宋" w:hAnsi="仿宋" w:eastAsia="仿宋" w:cs="宋体"/>
          <w:color w:val="000000"/>
          <w:sz w:val="36"/>
          <w:szCs w:val="36"/>
        </w:rPr>
        <w:br w:type="page"/>
      </w:r>
    </w:p>
    <w:p>
      <w:pPr>
        <w:pStyle w:val="8"/>
        <w:spacing w:before="93"/>
        <w:ind w:firstLine="1440" w:firstLineChars="400"/>
        <w:rPr>
          <w:rFonts w:hint="eastAsia" w:ascii="仿宋" w:hAnsi="仿宋" w:eastAsia="仿宋" w:cs="宋体"/>
          <w:sz w:val="36"/>
          <w:szCs w:val="36"/>
          <w:shd w:val="clear" w:color="auto" w:fill="FFFFFF"/>
          <w:lang w:val="zh-CN"/>
        </w:rPr>
      </w:pPr>
      <w:r>
        <w:rPr>
          <w:rFonts w:ascii="仿宋" w:hAnsi="仿宋" w:eastAsia="仿宋" w:cs="宋体"/>
          <w:color w:val="000000"/>
          <w:sz w:val="36"/>
          <w:szCs w:val="36"/>
        </w:rPr>
        <w:t>6</w:t>
      </w:r>
      <w:r>
        <w:rPr>
          <w:rFonts w:hint="eastAsia" w:ascii="仿宋" w:hAnsi="仿宋" w:eastAsia="仿宋" w:cs="宋体"/>
          <w:color w:val="000000"/>
          <w:sz w:val="36"/>
          <w:szCs w:val="36"/>
        </w:rPr>
        <w:t>.</w:t>
      </w:r>
      <w:r>
        <w:rPr>
          <w:rFonts w:hint="eastAsia" w:ascii="宋体" w:hAnsi="宋体" w:cs="宋体"/>
          <w:color w:val="000000"/>
          <w:sz w:val="18"/>
          <w:szCs w:val="18"/>
        </w:rPr>
        <w:t xml:space="preserve"> </w:t>
      </w:r>
      <w:r>
        <w:rPr>
          <w:rFonts w:hint="eastAsia" w:ascii="仿宋" w:hAnsi="仿宋" w:eastAsia="仿宋" w:cs="宋体"/>
          <w:color w:val="000000"/>
          <w:sz w:val="36"/>
          <w:szCs w:val="36"/>
        </w:rPr>
        <w:t>公共机构节能</w:t>
      </w:r>
      <w:r>
        <w:rPr>
          <w:rFonts w:hint="eastAsia" w:ascii="仿宋" w:hAnsi="仿宋" w:eastAsia="仿宋" w:cs="仿宋"/>
          <w:sz w:val="36"/>
          <w:szCs w:val="36"/>
        </w:rPr>
        <w:t>项目绩效目标自评表</w:t>
      </w:r>
    </w:p>
    <w:tbl>
      <w:tblPr>
        <w:tblStyle w:val="15"/>
        <w:tblW w:w="8505" w:type="dxa"/>
        <w:jc w:val="center"/>
        <w:tblLayout w:type="autofit"/>
        <w:tblCellMar>
          <w:top w:w="0" w:type="dxa"/>
          <w:left w:w="108" w:type="dxa"/>
          <w:bottom w:w="0" w:type="dxa"/>
          <w:right w:w="108" w:type="dxa"/>
        </w:tblCellMar>
      </w:tblPr>
      <w:tblGrid>
        <w:gridCol w:w="588"/>
        <w:gridCol w:w="952"/>
        <w:gridCol w:w="944"/>
        <w:gridCol w:w="1011"/>
        <w:gridCol w:w="414"/>
        <w:gridCol w:w="793"/>
        <w:gridCol w:w="756"/>
        <w:gridCol w:w="885"/>
        <w:gridCol w:w="486"/>
        <w:gridCol w:w="397"/>
        <w:gridCol w:w="1279"/>
      </w:tblGrid>
      <w:tr>
        <w:tblPrEx>
          <w:tblCellMar>
            <w:top w:w="0" w:type="dxa"/>
            <w:left w:w="108" w:type="dxa"/>
            <w:bottom w:w="0" w:type="dxa"/>
            <w:right w:w="108" w:type="dxa"/>
          </w:tblCellMar>
        </w:tblPrEx>
        <w:trPr>
          <w:trHeight w:val="903" w:hRule="atLeast"/>
          <w:jc w:val="center"/>
        </w:trPr>
        <w:tc>
          <w:tcPr>
            <w:tcW w:w="126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jc w:val="center"/>
        </w:trPr>
        <w:tc>
          <w:tcPr>
            <w:tcW w:w="24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项目名称</w:t>
            </w:r>
          </w:p>
        </w:tc>
        <w:tc>
          <w:tcPr>
            <w:tcW w:w="1024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51090422T000000394402-公共机构节能</w:t>
            </w:r>
          </w:p>
        </w:tc>
      </w:tr>
      <w:tr>
        <w:tblPrEx>
          <w:tblCellMar>
            <w:top w:w="0" w:type="dxa"/>
            <w:left w:w="108" w:type="dxa"/>
            <w:bottom w:w="0" w:type="dxa"/>
            <w:right w:w="108" w:type="dxa"/>
          </w:tblCellMar>
        </w:tblPrEx>
        <w:trPr>
          <w:trHeight w:val="513" w:hRule="atLeast"/>
          <w:jc w:val="center"/>
        </w:trPr>
        <w:tc>
          <w:tcPr>
            <w:tcW w:w="24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主管部门</w:t>
            </w:r>
          </w:p>
        </w:tc>
        <w:tc>
          <w:tcPr>
            <w:tcW w:w="613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遂宁市安居区机关事务服务中心部门</w:t>
            </w:r>
          </w:p>
        </w:tc>
        <w:tc>
          <w:tcPr>
            <w:tcW w:w="976" w:type="dxa"/>
            <w:tcBorders>
              <w:top w:val="nil"/>
              <w:left w:val="nil"/>
              <w:bottom w:val="nil"/>
              <w:right w:val="nil"/>
            </w:tcBorders>
            <w:shd w:val="clear" w:color="auto" w:fill="auto"/>
            <w:vAlign w:val="center"/>
          </w:tcPr>
          <w:p>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实施单位 （盖章）</w:t>
            </w:r>
          </w:p>
        </w:tc>
        <w:tc>
          <w:tcPr>
            <w:tcW w:w="31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遂宁市安居区机关事务服务中心</w:t>
            </w:r>
          </w:p>
        </w:tc>
      </w:tr>
      <w:tr>
        <w:tblPrEx>
          <w:tblCellMar>
            <w:top w:w="0" w:type="dxa"/>
            <w:left w:w="108" w:type="dxa"/>
            <w:bottom w:w="0" w:type="dxa"/>
            <w:right w:w="108" w:type="dxa"/>
          </w:tblCellMar>
        </w:tblPrEx>
        <w:trPr>
          <w:trHeight w:val="285" w:hRule="atLeast"/>
          <w:jc w:val="center"/>
        </w:trPr>
        <w:tc>
          <w:tcPr>
            <w:tcW w:w="61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项目基本情况</w:t>
            </w:r>
          </w:p>
        </w:tc>
        <w:tc>
          <w:tcPr>
            <w:tcW w:w="182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613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项目年度目标</w:t>
            </w:r>
          </w:p>
        </w:tc>
        <w:tc>
          <w:tcPr>
            <w:tcW w:w="4109"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年度目标完成情况</w:t>
            </w:r>
          </w:p>
        </w:tc>
      </w:tr>
      <w:tr>
        <w:tblPrEx>
          <w:tblCellMar>
            <w:top w:w="0" w:type="dxa"/>
            <w:left w:w="108" w:type="dxa"/>
            <w:bottom w:w="0" w:type="dxa"/>
            <w:right w:w="108" w:type="dxa"/>
          </w:tblCellMar>
        </w:tblPrEx>
        <w:trPr>
          <w:trHeight w:val="708" w:hRule="atLeast"/>
          <w:jc w:val="center"/>
        </w:trPr>
        <w:tc>
          <w:tcPr>
            <w:tcW w:w="61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2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13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eastAsia="zh-CN"/>
              </w:rPr>
            </w:pPr>
          </w:p>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完成2022年公共机构能耗平台点位建设，完成3000平方机油建筑节能改造，做好公共机构节能宣传</w:t>
            </w:r>
          </w:p>
        </w:tc>
        <w:tc>
          <w:tcPr>
            <w:tcW w:w="4109"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对照年度目标，说明相关任务目标的完成情况（100字以内）</w:t>
            </w:r>
          </w:p>
        </w:tc>
      </w:tr>
      <w:tr>
        <w:tblPrEx>
          <w:tblCellMar>
            <w:top w:w="0" w:type="dxa"/>
            <w:left w:w="108" w:type="dxa"/>
            <w:bottom w:w="0" w:type="dxa"/>
            <w:right w:w="108" w:type="dxa"/>
          </w:tblCellMar>
        </w:tblPrEx>
        <w:trPr>
          <w:trHeight w:val="693" w:hRule="atLeast"/>
          <w:jc w:val="center"/>
        </w:trPr>
        <w:tc>
          <w:tcPr>
            <w:tcW w:w="61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21"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024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jc w:val="center"/>
        </w:trPr>
        <w:tc>
          <w:tcPr>
            <w:tcW w:w="61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82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58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年初预算</w:t>
            </w:r>
          </w:p>
        </w:tc>
        <w:tc>
          <w:tcPr>
            <w:tcW w:w="201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调整后预算数</w:t>
            </w:r>
          </w:p>
        </w:tc>
        <w:tc>
          <w:tcPr>
            <w:tcW w:w="253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预算执行数</w:t>
            </w:r>
          </w:p>
        </w:tc>
        <w:tc>
          <w:tcPr>
            <w:tcW w:w="9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预算执行率</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39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227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87" w:hRule="atLeast"/>
          <w:jc w:val="center"/>
        </w:trPr>
        <w:tc>
          <w:tcPr>
            <w:tcW w:w="61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2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总额</w:t>
            </w:r>
          </w:p>
        </w:tc>
        <w:tc>
          <w:tcPr>
            <w:tcW w:w="158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w:t>
            </w:r>
          </w:p>
        </w:tc>
        <w:tc>
          <w:tcPr>
            <w:tcW w:w="201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7.50</w:t>
            </w:r>
          </w:p>
        </w:tc>
        <w:tc>
          <w:tcPr>
            <w:tcW w:w="253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7.50</w:t>
            </w:r>
          </w:p>
        </w:tc>
        <w:tc>
          <w:tcPr>
            <w:tcW w:w="9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39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227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黑体" w:hAnsi="黑体" w:eastAsia="黑体" w:cs="宋体"/>
                <w:i/>
                <w:iCs/>
                <w:color w:val="000000"/>
                <w:kern w:val="0"/>
                <w:sz w:val="18"/>
                <w:szCs w:val="18"/>
              </w:rPr>
            </w:pPr>
            <w:r>
              <w:rPr>
                <w:rFonts w:hint="eastAsia" w:ascii="黑体" w:hAnsi="黑体" w:eastAsia="黑体" w:cs="宋体"/>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trHeight w:val="432" w:hRule="atLeast"/>
          <w:jc w:val="center"/>
        </w:trPr>
        <w:tc>
          <w:tcPr>
            <w:tcW w:w="61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2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其中：财政资金</w:t>
            </w:r>
          </w:p>
        </w:tc>
        <w:tc>
          <w:tcPr>
            <w:tcW w:w="158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w:t>
            </w:r>
          </w:p>
        </w:tc>
        <w:tc>
          <w:tcPr>
            <w:tcW w:w="201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7.50</w:t>
            </w:r>
          </w:p>
        </w:tc>
        <w:tc>
          <w:tcPr>
            <w:tcW w:w="253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7.50</w:t>
            </w:r>
          </w:p>
        </w:tc>
        <w:tc>
          <w:tcPr>
            <w:tcW w:w="9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39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2278" w:type="dxa"/>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eastAsia="黑体" w:cs="宋体"/>
                <w:i/>
                <w:iCs/>
                <w:color w:val="000000"/>
                <w:kern w:val="0"/>
                <w:sz w:val="18"/>
                <w:szCs w:val="18"/>
              </w:rPr>
            </w:pPr>
          </w:p>
        </w:tc>
      </w:tr>
      <w:tr>
        <w:tblPrEx>
          <w:tblCellMar>
            <w:top w:w="0" w:type="dxa"/>
            <w:left w:w="108" w:type="dxa"/>
            <w:bottom w:w="0" w:type="dxa"/>
            <w:right w:w="108" w:type="dxa"/>
          </w:tblCellMar>
        </w:tblPrEx>
        <w:trPr>
          <w:trHeight w:val="447" w:hRule="atLeast"/>
          <w:jc w:val="center"/>
        </w:trPr>
        <w:tc>
          <w:tcPr>
            <w:tcW w:w="61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2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58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01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53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39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2278" w:type="dxa"/>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eastAsia="黑体" w:cs="宋体"/>
                <w:i/>
                <w:iCs/>
                <w:color w:val="000000"/>
                <w:kern w:val="0"/>
                <w:sz w:val="18"/>
                <w:szCs w:val="18"/>
              </w:rPr>
            </w:pPr>
          </w:p>
        </w:tc>
      </w:tr>
      <w:tr>
        <w:tblPrEx>
          <w:tblCellMar>
            <w:top w:w="0" w:type="dxa"/>
            <w:left w:w="108" w:type="dxa"/>
            <w:bottom w:w="0" w:type="dxa"/>
            <w:right w:w="108" w:type="dxa"/>
          </w:tblCellMar>
        </w:tblPrEx>
        <w:trPr>
          <w:trHeight w:val="402" w:hRule="atLeast"/>
          <w:jc w:val="center"/>
        </w:trPr>
        <w:tc>
          <w:tcPr>
            <w:tcW w:w="61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2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单位资金</w:t>
            </w:r>
          </w:p>
        </w:tc>
        <w:tc>
          <w:tcPr>
            <w:tcW w:w="158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01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53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39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2278" w:type="dxa"/>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eastAsia="黑体" w:cs="宋体"/>
                <w:i/>
                <w:iCs/>
                <w:color w:val="000000"/>
                <w:kern w:val="0"/>
                <w:sz w:val="18"/>
                <w:szCs w:val="18"/>
              </w:rPr>
            </w:pPr>
          </w:p>
        </w:tc>
      </w:tr>
      <w:tr>
        <w:tblPrEx>
          <w:tblCellMar>
            <w:top w:w="0" w:type="dxa"/>
            <w:left w:w="108" w:type="dxa"/>
            <w:bottom w:w="0" w:type="dxa"/>
            <w:right w:w="108" w:type="dxa"/>
          </w:tblCellMar>
        </w:tblPrEx>
        <w:trPr>
          <w:trHeight w:val="378" w:hRule="atLeast"/>
          <w:jc w:val="center"/>
        </w:trPr>
        <w:tc>
          <w:tcPr>
            <w:tcW w:w="61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2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其他资金</w:t>
            </w:r>
          </w:p>
        </w:tc>
        <w:tc>
          <w:tcPr>
            <w:tcW w:w="158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1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53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39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2278" w:type="dxa"/>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eastAsia="黑体" w:cs="宋体"/>
                <w:i/>
                <w:iCs/>
                <w:color w:val="000000"/>
                <w:kern w:val="0"/>
                <w:sz w:val="18"/>
                <w:szCs w:val="18"/>
              </w:rPr>
            </w:pPr>
          </w:p>
        </w:tc>
      </w:tr>
      <w:tr>
        <w:tblPrEx>
          <w:tblCellMar>
            <w:top w:w="0" w:type="dxa"/>
            <w:left w:w="108" w:type="dxa"/>
            <w:bottom w:w="0" w:type="dxa"/>
            <w:right w:w="108" w:type="dxa"/>
          </w:tblCellMar>
        </w:tblPrEx>
        <w:trPr>
          <w:trHeight w:val="453" w:hRule="atLeast"/>
          <w:jc w:val="center"/>
        </w:trPr>
        <w:tc>
          <w:tcPr>
            <w:tcW w:w="61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绩效指标（90分）</w:t>
            </w:r>
          </w:p>
        </w:tc>
        <w:tc>
          <w:tcPr>
            <w:tcW w:w="182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一级指标</w:t>
            </w:r>
          </w:p>
        </w:tc>
        <w:tc>
          <w:tcPr>
            <w:tcW w:w="158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二级指标</w:t>
            </w:r>
          </w:p>
        </w:tc>
        <w:tc>
          <w:tcPr>
            <w:tcW w:w="201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三级指标</w:t>
            </w:r>
          </w:p>
        </w:tc>
        <w:tc>
          <w:tcPr>
            <w:tcW w:w="45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指标性质</w:t>
            </w:r>
          </w:p>
        </w:tc>
        <w:tc>
          <w:tcPr>
            <w:tcW w:w="1504"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指标值</w:t>
            </w:r>
          </w:p>
        </w:tc>
        <w:tc>
          <w:tcPr>
            <w:tcW w:w="57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度量单位</w:t>
            </w:r>
          </w:p>
        </w:tc>
        <w:tc>
          <w:tcPr>
            <w:tcW w:w="9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完成值</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39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227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1131" w:hRule="atLeast"/>
          <w:jc w:val="center"/>
        </w:trPr>
        <w:tc>
          <w:tcPr>
            <w:tcW w:w="61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2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产出指标</w:t>
            </w:r>
          </w:p>
        </w:tc>
        <w:tc>
          <w:tcPr>
            <w:tcW w:w="158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数量指标</w:t>
            </w:r>
          </w:p>
        </w:tc>
        <w:tc>
          <w:tcPr>
            <w:tcW w:w="201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监测平台布点</w:t>
            </w:r>
          </w:p>
        </w:tc>
        <w:tc>
          <w:tcPr>
            <w:tcW w:w="45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504"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40</w:t>
            </w:r>
          </w:p>
        </w:tc>
        <w:tc>
          <w:tcPr>
            <w:tcW w:w="57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个（台、套、件、辆）</w:t>
            </w:r>
          </w:p>
        </w:tc>
        <w:tc>
          <w:tcPr>
            <w:tcW w:w="9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w:t>
            </w:r>
          </w:p>
        </w:tc>
        <w:tc>
          <w:tcPr>
            <w:tcW w:w="39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227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1131" w:hRule="atLeast"/>
          <w:jc w:val="center"/>
        </w:trPr>
        <w:tc>
          <w:tcPr>
            <w:tcW w:w="61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2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8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质量指标</w:t>
            </w:r>
          </w:p>
        </w:tc>
        <w:tc>
          <w:tcPr>
            <w:tcW w:w="201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节能宣传及节电节水器具</w:t>
            </w:r>
          </w:p>
        </w:tc>
        <w:tc>
          <w:tcPr>
            <w:tcW w:w="45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504"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280</w:t>
            </w:r>
          </w:p>
        </w:tc>
        <w:tc>
          <w:tcPr>
            <w:tcW w:w="57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个（台、套、件、辆）</w:t>
            </w:r>
          </w:p>
        </w:tc>
        <w:tc>
          <w:tcPr>
            <w:tcW w:w="9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w:t>
            </w:r>
          </w:p>
        </w:tc>
        <w:tc>
          <w:tcPr>
            <w:tcW w:w="39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227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453" w:hRule="atLeast"/>
          <w:jc w:val="center"/>
        </w:trPr>
        <w:tc>
          <w:tcPr>
            <w:tcW w:w="61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2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效益指标</w:t>
            </w:r>
          </w:p>
        </w:tc>
        <w:tc>
          <w:tcPr>
            <w:tcW w:w="158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社会效益指标</w:t>
            </w:r>
          </w:p>
        </w:tc>
        <w:tc>
          <w:tcPr>
            <w:tcW w:w="201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全面监控公共机构单位水、电、气等能耗数据。</w:t>
            </w:r>
          </w:p>
        </w:tc>
        <w:tc>
          <w:tcPr>
            <w:tcW w:w="45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1504"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优良中低差</w:t>
            </w:r>
          </w:p>
        </w:tc>
        <w:tc>
          <w:tcPr>
            <w:tcW w:w="57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15</w:t>
            </w:r>
          </w:p>
        </w:tc>
        <w:tc>
          <w:tcPr>
            <w:tcW w:w="39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227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453" w:hRule="atLeast"/>
          <w:jc w:val="center"/>
        </w:trPr>
        <w:tc>
          <w:tcPr>
            <w:tcW w:w="61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2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8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可持续影响指标</w:t>
            </w:r>
          </w:p>
        </w:tc>
        <w:tc>
          <w:tcPr>
            <w:tcW w:w="201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全面监控公共机构单位水、电、气等能耗数据。</w:t>
            </w:r>
          </w:p>
        </w:tc>
        <w:tc>
          <w:tcPr>
            <w:tcW w:w="45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1504"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优良中低差</w:t>
            </w:r>
          </w:p>
        </w:tc>
        <w:tc>
          <w:tcPr>
            <w:tcW w:w="57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15</w:t>
            </w:r>
          </w:p>
        </w:tc>
        <w:tc>
          <w:tcPr>
            <w:tcW w:w="39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227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453" w:hRule="atLeast"/>
          <w:jc w:val="center"/>
        </w:trPr>
        <w:tc>
          <w:tcPr>
            <w:tcW w:w="61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2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满意度指标</w:t>
            </w:r>
          </w:p>
        </w:tc>
        <w:tc>
          <w:tcPr>
            <w:tcW w:w="158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201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服务对象满意度</w:t>
            </w:r>
          </w:p>
        </w:tc>
        <w:tc>
          <w:tcPr>
            <w:tcW w:w="45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504"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90</w:t>
            </w:r>
          </w:p>
        </w:tc>
        <w:tc>
          <w:tcPr>
            <w:tcW w:w="57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w:t>
            </w:r>
          </w:p>
        </w:tc>
        <w:tc>
          <w:tcPr>
            <w:tcW w:w="39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227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jc w:val="center"/>
        </w:trPr>
        <w:tc>
          <w:tcPr>
            <w:tcW w:w="95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合计</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397"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22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3" w:hRule="atLeast"/>
          <w:jc w:val="center"/>
        </w:trPr>
        <w:tc>
          <w:tcPr>
            <w:tcW w:w="61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评价结论</w:t>
            </w:r>
          </w:p>
        </w:tc>
        <w:tc>
          <w:tcPr>
            <w:tcW w:w="12064"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2022年度项目经费预算具有明确的用途和目标，制定了较为细致的执行计划，资金到位及时并严格按照财政有关规定专款专用。预算决策、管理、执行过程逐渐规范，能较好地满足工作需要，保障项目顺利开展时效，并取得了较为满意的社会效益。</w:t>
            </w:r>
          </w:p>
        </w:tc>
      </w:tr>
      <w:tr>
        <w:tblPrEx>
          <w:tblCellMar>
            <w:top w:w="0" w:type="dxa"/>
            <w:left w:w="108" w:type="dxa"/>
            <w:bottom w:w="0" w:type="dxa"/>
            <w:right w:w="108" w:type="dxa"/>
          </w:tblCellMar>
        </w:tblPrEx>
        <w:trPr>
          <w:trHeight w:val="573" w:hRule="atLeast"/>
          <w:jc w:val="center"/>
        </w:trPr>
        <w:tc>
          <w:tcPr>
            <w:tcW w:w="61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存在问题</w:t>
            </w:r>
          </w:p>
        </w:tc>
        <w:tc>
          <w:tcPr>
            <w:tcW w:w="12064"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预算编制精确度有待进一步提高，对各类资金的管理还存在不完善的问题，制度建设不完善。</w:t>
            </w:r>
          </w:p>
        </w:tc>
      </w:tr>
      <w:tr>
        <w:tblPrEx>
          <w:tblCellMar>
            <w:top w:w="0" w:type="dxa"/>
            <w:left w:w="108" w:type="dxa"/>
            <w:bottom w:w="0" w:type="dxa"/>
            <w:right w:w="108" w:type="dxa"/>
          </w:tblCellMar>
        </w:tblPrEx>
        <w:trPr>
          <w:trHeight w:val="633" w:hRule="atLeast"/>
          <w:jc w:val="center"/>
        </w:trPr>
        <w:tc>
          <w:tcPr>
            <w:tcW w:w="61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改进措施</w:t>
            </w:r>
          </w:p>
        </w:tc>
        <w:tc>
          <w:tcPr>
            <w:tcW w:w="12064"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优化预算编制，加强预算执行。合理安排预算支出计划，优化资金支出结构，强化资金统筹和绩效管理，确保工作有效开展。</w:t>
            </w:r>
          </w:p>
        </w:tc>
      </w:tr>
      <w:tr>
        <w:tblPrEx>
          <w:tblCellMar>
            <w:top w:w="0" w:type="dxa"/>
            <w:left w:w="108" w:type="dxa"/>
            <w:bottom w:w="0" w:type="dxa"/>
            <w:right w:w="108" w:type="dxa"/>
          </w:tblCellMar>
        </w:tblPrEx>
        <w:trPr>
          <w:trHeight w:val="285" w:hRule="atLeast"/>
          <w:jc w:val="center"/>
        </w:trPr>
        <w:tc>
          <w:tcPr>
            <w:tcW w:w="64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项目负责人：</w:t>
            </w:r>
          </w:p>
        </w:tc>
        <w:tc>
          <w:tcPr>
            <w:tcW w:w="6183"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财务负责人：</w:t>
            </w:r>
          </w:p>
        </w:tc>
      </w:tr>
    </w:tbl>
    <w:p>
      <w:pPr>
        <w:pStyle w:val="8"/>
        <w:spacing w:before="93"/>
        <w:rPr>
          <w:rFonts w:hint="eastAsia" w:hAnsi="宋体" w:cs="宋体"/>
          <w:sz w:val="32"/>
          <w:szCs w:val="32"/>
          <w:shd w:val="clear" w:color="auto" w:fill="FFFFFF"/>
          <w:lang w:val="zh-CN"/>
        </w:rPr>
      </w:pPr>
    </w:p>
    <w:p>
      <w:pPr>
        <w:rPr>
          <w:rFonts w:hint="eastAsia" w:hAnsi="宋体" w:cs="宋体"/>
          <w:sz w:val="32"/>
          <w:szCs w:val="32"/>
          <w:shd w:val="clear" w:color="auto" w:fill="FFFFFF"/>
          <w:lang w:val="zh-CN"/>
        </w:rPr>
      </w:pPr>
      <w:r>
        <w:rPr>
          <w:rFonts w:hint="eastAsia" w:hAnsi="宋体" w:cs="宋体"/>
          <w:sz w:val="32"/>
          <w:szCs w:val="32"/>
          <w:shd w:val="clear" w:color="auto" w:fill="FFFFFF"/>
          <w:lang w:val="zh-CN"/>
        </w:rPr>
        <w:br w:type="page"/>
      </w:r>
    </w:p>
    <w:p>
      <w:pPr>
        <w:pStyle w:val="8"/>
        <w:spacing w:before="93"/>
        <w:outlineLvl w:val="1"/>
        <w:rPr>
          <w:rFonts w:hint="eastAsia" w:ascii="黑体" w:hAnsi="黑体" w:eastAsia="黑体" w:cs="黑体"/>
          <w:sz w:val="32"/>
          <w:szCs w:val="32"/>
        </w:rPr>
      </w:pPr>
      <w:bookmarkStart w:id="143" w:name="_Toc1602"/>
      <w:r>
        <w:rPr>
          <w:rFonts w:hint="eastAsia" w:ascii="黑体" w:hAnsi="黑体" w:eastAsia="黑体" w:cs="黑体"/>
          <w:sz w:val="32"/>
          <w:szCs w:val="32"/>
          <w:shd w:val="clear" w:color="auto" w:fill="FFFFFF"/>
          <w:lang w:val="zh-CN"/>
        </w:rPr>
        <w:t>附件</w:t>
      </w:r>
      <w:r>
        <w:rPr>
          <w:rFonts w:hint="eastAsia" w:ascii="黑体" w:hAnsi="黑体" w:eastAsia="黑体" w:cs="黑体"/>
          <w:sz w:val="32"/>
          <w:szCs w:val="32"/>
          <w:shd w:val="clear" w:color="auto" w:fill="FFFFFF"/>
        </w:rPr>
        <w:t>2</w:t>
      </w:r>
      <w:bookmarkEnd w:id="143"/>
    </w:p>
    <w:p>
      <w:pPr>
        <w:pStyle w:val="34"/>
        <w:spacing w:line="578" w:lineRule="exact"/>
        <w:jc w:val="center"/>
        <w:rPr>
          <w:rFonts w:ascii="宋体" w:hAnsi="宋体"/>
          <w:color w:val="auto"/>
          <w:kern w:val="2"/>
          <w:sz w:val="32"/>
          <w:szCs w:val="32"/>
        </w:rPr>
      </w:pPr>
      <w:r>
        <w:rPr>
          <w:rFonts w:hint="eastAsia" w:ascii="方正小标宋简体" w:hAnsi="方正小标宋简体" w:eastAsia="方正小标宋简体" w:cs="方正小标宋简体"/>
          <w:b w:val="0"/>
          <w:bCs w:val="0"/>
          <w:color w:val="auto"/>
          <w:kern w:val="2"/>
          <w:sz w:val="44"/>
          <w:szCs w:val="44"/>
          <w:lang w:val="en-US"/>
        </w:rPr>
        <w:t>2022年专项预算项目绩效自评报告</w:t>
      </w:r>
    </w:p>
    <w:p>
      <w:pPr>
        <w:pStyle w:val="5"/>
        <w:pageBreakBefore w:val="0"/>
        <w:kinsoku/>
        <w:wordWrap/>
        <w:overflowPunct/>
        <w:topLinePunct w:val="0"/>
        <w:autoSpaceDE/>
        <w:autoSpaceDN/>
        <w:bidi w:val="0"/>
        <w:spacing w:before="0" w:after="0" w:line="560" w:lineRule="exact"/>
        <w:ind w:left="0" w:leftChars="0" w:firstLine="640" w:firstLineChars="200"/>
        <w:textAlignment w:val="auto"/>
        <w:outlineLvl w:val="9"/>
        <w:rPr>
          <w:rFonts w:hint="eastAsia" w:ascii="黑体" w:eastAsia="黑体"/>
          <w:b w:val="0"/>
          <w:lang w:val="zh-CN"/>
        </w:rPr>
      </w:pPr>
      <w:bookmarkStart w:id="144" w:name="_Toc143546647"/>
      <w:bookmarkStart w:id="145" w:name="_Toc143818232"/>
    </w:p>
    <w:p>
      <w:pPr>
        <w:pStyle w:val="5"/>
        <w:pageBreakBefore w:val="0"/>
        <w:kinsoku/>
        <w:wordWrap/>
        <w:overflowPunct/>
        <w:topLinePunct w:val="0"/>
        <w:autoSpaceDE/>
        <w:autoSpaceDN/>
        <w:bidi w:val="0"/>
        <w:spacing w:before="0" w:after="0" w:line="560" w:lineRule="exact"/>
        <w:ind w:left="0" w:leftChars="0" w:firstLine="640" w:firstLineChars="200"/>
        <w:textAlignment w:val="auto"/>
        <w:rPr>
          <w:rFonts w:ascii="黑体" w:eastAsia="黑体"/>
          <w:b w:val="0"/>
          <w:lang w:val="zh-CN"/>
        </w:rPr>
      </w:pPr>
      <w:bookmarkStart w:id="146" w:name="_Toc13657"/>
      <w:r>
        <w:rPr>
          <w:rFonts w:hint="eastAsia" w:ascii="黑体" w:eastAsia="黑体"/>
          <w:b w:val="0"/>
          <w:lang w:val="zh-CN"/>
        </w:rPr>
        <w:t>一、项目概况</w:t>
      </w:r>
      <w:bookmarkEnd w:id="144"/>
      <w:bookmarkEnd w:id="145"/>
      <w:bookmarkEnd w:id="146"/>
    </w:p>
    <w:p>
      <w:pPr>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_GB2312" w:hAnsi="Calibri" w:eastAsia="仿宋_GB2312" w:cs="仿宋"/>
          <w:kern w:val="0"/>
          <w:sz w:val="32"/>
          <w:szCs w:val="32"/>
          <w:lang w:val="zh-CN"/>
        </w:rPr>
      </w:pPr>
      <w:r>
        <w:rPr>
          <w:rFonts w:hint="eastAsia" w:ascii="仿宋" w:hAnsi="仿宋" w:eastAsia="仿宋"/>
          <w:b/>
          <w:sz w:val="32"/>
          <w:szCs w:val="32"/>
          <w:lang w:val="zh-CN"/>
        </w:rPr>
        <w:t>（一）项目基本情况。</w:t>
      </w:r>
    </w:p>
    <w:p>
      <w:pPr>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ascii="仿宋" w:hAnsi="仿宋" w:eastAsia="仿宋" w:cs="仿宋"/>
          <w:kern w:val="0"/>
          <w:sz w:val="32"/>
          <w:szCs w:val="32"/>
          <w:lang w:val="zh-CN"/>
        </w:rPr>
      </w:pPr>
      <w:r>
        <w:rPr>
          <w:rFonts w:hint="eastAsia" w:ascii="仿宋" w:hAnsi="仿宋" w:eastAsia="仿宋" w:cs="仿宋"/>
          <w:kern w:val="0"/>
          <w:sz w:val="32"/>
          <w:szCs w:val="32"/>
          <w:lang w:val="zh-CN"/>
        </w:rPr>
        <w:t xml:space="preserve">1. </w:t>
      </w:r>
      <w:r>
        <w:rPr>
          <w:rFonts w:hint="eastAsia" w:ascii="仿宋" w:hAnsi="仿宋" w:eastAsia="仿宋" w:cs="仿宋_GB2312"/>
          <w:sz w:val="32"/>
          <w:szCs w:val="32"/>
        </w:rPr>
        <w:t>公务用车运行平台经费年初预算5.</w:t>
      </w:r>
      <w:r>
        <w:rPr>
          <w:rFonts w:hint="eastAsia" w:ascii="仿宋" w:hAnsi="仿宋" w:eastAsia="仿宋" w:cs="仿宋_GB2312"/>
          <w:sz w:val="32"/>
          <w:szCs w:val="32"/>
          <w:lang w:val="en-US" w:eastAsia="zh-CN"/>
        </w:rPr>
        <w:t>7</w:t>
      </w:r>
      <w:r>
        <w:rPr>
          <w:rFonts w:hint="eastAsia" w:ascii="仿宋" w:hAnsi="仿宋" w:eastAsia="仿宋" w:cs="仿宋_GB2312"/>
          <w:sz w:val="32"/>
          <w:szCs w:val="32"/>
        </w:rPr>
        <w:t>万，主要用于机关公务用车的监督、管理等方面的工作</w:t>
      </w:r>
      <w:r>
        <w:rPr>
          <w:rFonts w:hint="eastAsia" w:ascii="仿宋" w:hAnsi="仿宋" w:eastAsia="仿宋" w:cs="仿宋"/>
          <w:kern w:val="0"/>
          <w:sz w:val="32"/>
          <w:szCs w:val="32"/>
          <w:lang w:val="zh-CN"/>
        </w:rPr>
        <w:t>。</w:t>
      </w:r>
    </w:p>
    <w:p>
      <w:pPr>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zh-CN"/>
        </w:rPr>
        <w:t>2. 项目立项、资金申报的依据。区内保留公务用车调配管理72辆。</w:t>
      </w:r>
    </w:p>
    <w:p>
      <w:pPr>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ascii="仿宋" w:hAnsi="仿宋" w:eastAsia="仿宋" w:cs="仿宋"/>
          <w:kern w:val="0"/>
          <w:sz w:val="32"/>
          <w:szCs w:val="32"/>
          <w:lang w:val="zh-CN"/>
        </w:rPr>
      </w:pPr>
      <w:r>
        <w:rPr>
          <w:rFonts w:hint="eastAsia" w:ascii="仿宋" w:hAnsi="仿宋" w:eastAsia="仿宋" w:cs="仿宋"/>
          <w:kern w:val="0"/>
          <w:sz w:val="32"/>
          <w:szCs w:val="32"/>
          <w:lang w:val="zh-CN"/>
        </w:rPr>
        <w:t>3. 资金管理办法制定情况，资金支持具体项目的条件、范围与支持方式概况。</w:t>
      </w:r>
    </w:p>
    <w:p>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ascii="仿宋" w:hAnsi="仿宋" w:eastAsia="仿宋"/>
          <w:lang w:val="zh-CN"/>
        </w:rPr>
      </w:pPr>
      <w:r>
        <w:rPr>
          <w:rFonts w:hint="eastAsia" w:ascii="仿宋" w:hAnsi="仿宋" w:eastAsia="仿宋"/>
          <w:sz w:val="32"/>
          <w:szCs w:val="32"/>
        </w:rPr>
        <w:t>该项目资金严格按照机关事务服务中心相关财务制度管理，资金主要用于</w:t>
      </w:r>
      <w:r>
        <w:rPr>
          <w:rFonts w:hint="eastAsia" w:ascii="仿宋" w:hAnsi="仿宋" w:eastAsia="仿宋" w:cs="仿宋_GB2312"/>
          <w:sz w:val="32"/>
          <w:szCs w:val="32"/>
        </w:rPr>
        <w:t>机关公务用车的监督、管理等方面的工作。</w:t>
      </w:r>
    </w:p>
    <w:p>
      <w:pPr>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仿宋" w:hAnsi="仿宋" w:eastAsia="仿宋" w:cs="仿宋"/>
          <w:kern w:val="0"/>
          <w:sz w:val="32"/>
          <w:szCs w:val="32"/>
          <w:lang w:val="zh-CN"/>
        </w:rPr>
      </w:pPr>
      <w:r>
        <w:rPr>
          <w:rFonts w:hint="eastAsia" w:ascii="仿宋" w:hAnsi="仿宋" w:eastAsia="仿宋" w:cs="仿宋"/>
          <w:kern w:val="0"/>
          <w:sz w:val="32"/>
          <w:szCs w:val="32"/>
        </w:rPr>
        <w:t>4.</w:t>
      </w:r>
      <w:r>
        <w:rPr>
          <w:rFonts w:hint="eastAsia" w:ascii="仿宋" w:hAnsi="仿宋" w:eastAsia="仿宋" w:cs="仿宋"/>
          <w:kern w:val="0"/>
          <w:sz w:val="32"/>
          <w:szCs w:val="32"/>
          <w:lang w:val="zh-CN"/>
        </w:rPr>
        <w:t>资金分配的原则及考虑因素。</w:t>
      </w:r>
    </w:p>
    <w:p>
      <w:pPr>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ascii="仿宋" w:hAnsi="仿宋" w:eastAsia="仿宋"/>
          <w:lang w:val="zh-CN"/>
        </w:rPr>
      </w:pPr>
      <w:r>
        <w:rPr>
          <w:rFonts w:hint="eastAsia" w:ascii="仿宋" w:hAnsi="仿宋" w:eastAsia="仿宋"/>
          <w:sz w:val="32"/>
          <w:szCs w:val="32"/>
        </w:rPr>
        <w:t>该项目资金根据机关事务服务中心实际支出情况按需支取。</w:t>
      </w:r>
    </w:p>
    <w:p>
      <w:pPr>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_GB2312" w:hAnsi="Calibri" w:eastAsia="仿宋_GB2312" w:cs="仿宋"/>
          <w:kern w:val="0"/>
          <w:sz w:val="32"/>
          <w:szCs w:val="32"/>
          <w:lang w:val="zh-CN"/>
        </w:rPr>
      </w:pPr>
      <w:r>
        <w:rPr>
          <w:rFonts w:hint="eastAsia" w:ascii="仿宋" w:hAnsi="仿宋" w:eastAsia="仿宋"/>
          <w:b/>
          <w:sz w:val="32"/>
          <w:szCs w:val="32"/>
          <w:lang w:val="zh-CN"/>
        </w:rPr>
        <w:t>（二）项目绩效目标。</w:t>
      </w:r>
    </w:p>
    <w:p>
      <w:pPr>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ascii="仿宋_GB2312" w:hAnsi="仿宋_GB2312" w:eastAsia="仿宋_GB2312" w:cs="仿宋_GB2312"/>
          <w:kern w:val="0"/>
          <w:sz w:val="32"/>
          <w:szCs w:val="32"/>
        </w:rPr>
      </w:pPr>
      <w:r>
        <w:rPr>
          <w:rFonts w:hint="eastAsia" w:ascii="仿宋" w:hAnsi="仿宋" w:eastAsia="仿宋" w:cs="仿宋"/>
          <w:kern w:val="0"/>
          <w:sz w:val="32"/>
          <w:szCs w:val="32"/>
          <w:lang w:val="zh-CN"/>
        </w:rPr>
        <w:t>完成党政机关公务用车的监督、管理。区内保留公务用车调配管理72辆，</w:t>
      </w:r>
      <w:r>
        <w:rPr>
          <w:rFonts w:hint="eastAsia" w:ascii="仿宋" w:hAnsi="仿宋" w:eastAsia="仿宋" w:cs="仿宋"/>
          <w:kern w:val="0"/>
          <w:sz w:val="32"/>
          <w:szCs w:val="32"/>
        </w:rPr>
        <w:t>确保服务对象满意度</w:t>
      </w:r>
      <w:r>
        <w:rPr>
          <w:rFonts w:ascii="仿宋" w:hAnsi="仿宋" w:eastAsia="仿宋" w:cs="Arial"/>
          <w:kern w:val="0"/>
          <w:sz w:val="32"/>
          <w:szCs w:val="32"/>
        </w:rPr>
        <w:t>≥</w:t>
      </w:r>
      <w:r>
        <w:rPr>
          <w:rFonts w:hint="eastAsia" w:ascii="仿宋" w:hAnsi="仿宋" w:eastAsia="仿宋" w:cs="仿宋_GB2312"/>
          <w:kern w:val="0"/>
          <w:sz w:val="32"/>
          <w:szCs w:val="32"/>
        </w:rPr>
        <w:t>90。</w:t>
      </w:r>
      <w:r>
        <w:rPr>
          <w:rFonts w:hint="eastAsia" w:ascii="仿宋" w:hAnsi="仿宋" w:eastAsia="仿宋" w:cs="仿宋"/>
          <w:sz w:val="32"/>
          <w:szCs w:val="32"/>
        </w:rPr>
        <w:t>2022年申报的内容与实际相符，申报目标合理可行。</w:t>
      </w:r>
    </w:p>
    <w:p>
      <w:pPr>
        <w:pageBreakBefore w:val="0"/>
        <w:widowControl/>
        <w:numPr>
          <w:ilvl w:val="0"/>
          <w:numId w:val="5"/>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 w:hAnsi="仿宋" w:eastAsia="仿宋"/>
          <w:b/>
          <w:sz w:val="32"/>
          <w:szCs w:val="32"/>
          <w:lang w:val="zh-CN"/>
        </w:rPr>
      </w:pPr>
      <w:r>
        <w:rPr>
          <w:rFonts w:hint="eastAsia" w:ascii="仿宋" w:hAnsi="仿宋" w:eastAsia="仿宋"/>
          <w:b/>
          <w:sz w:val="32"/>
          <w:szCs w:val="32"/>
          <w:lang w:val="zh-CN"/>
        </w:rPr>
        <w:t>项目自评步骤及方法。</w:t>
      </w:r>
    </w:p>
    <w:p>
      <w:pPr>
        <w:pStyle w:val="2"/>
        <w:pageBreakBefore w:val="0"/>
        <w:kinsoku/>
        <w:wordWrap/>
        <w:overflowPunct/>
        <w:topLinePunct w:val="0"/>
        <w:autoSpaceDE/>
        <w:autoSpaceDN/>
        <w:bidi w:val="0"/>
        <w:spacing w:after="0" w:line="560" w:lineRule="exact"/>
        <w:ind w:left="0" w:leftChars="0" w:firstLine="640" w:firstLineChars="200"/>
        <w:textAlignment w:val="auto"/>
        <w:rPr>
          <w:rFonts w:ascii="仿宋" w:hAnsi="仿宋" w:eastAsia="仿宋"/>
          <w:lang w:val="zh-CN"/>
        </w:rPr>
      </w:pPr>
      <w:r>
        <w:rPr>
          <w:rFonts w:hint="eastAsia" w:ascii="仿宋" w:hAnsi="仿宋" w:eastAsia="仿宋"/>
          <w:sz w:val="32"/>
        </w:rPr>
        <w:t>该</w:t>
      </w:r>
      <w:r>
        <w:rPr>
          <w:rFonts w:hint="eastAsia" w:ascii="仿宋" w:hAnsi="仿宋" w:eastAsia="仿宋"/>
          <w:sz w:val="32"/>
          <w:lang w:val="zh-CN"/>
        </w:rPr>
        <w:t>项目绩效自评采用自评方式，成立项目自评小组，结合评价内容，做到有计划，有安排，扎实开展本次自评工作。按照上级下达的项目支出绩效评价指标体系，自评小组针对申报内容、实施情况、资金兑现、财务管理、社会效益等作出自我评价，做好自评工作。</w:t>
      </w:r>
    </w:p>
    <w:p>
      <w:pPr>
        <w:pStyle w:val="5"/>
        <w:pageBreakBefore w:val="0"/>
        <w:kinsoku/>
        <w:wordWrap/>
        <w:overflowPunct/>
        <w:topLinePunct w:val="0"/>
        <w:autoSpaceDE/>
        <w:autoSpaceDN/>
        <w:bidi w:val="0"/>
        <w:spacing w:before="0" w:after="0" w:line="560" w:lineRule="exact"/>
        <w:ind w:left="0" w:leftChars="0" w:firstLine="640" w:firstLineChars="200"/>
        <w:textAlignment w:val="auto"/>
        <w:rPr>
          <w:rFonts w:ascii="黑体" w:eastAsia="黑体"/>
          <w:b w:val="0"/>
          <w:lang w:val="zh-CN"/>
        </w:rPr>
      </w:pPr>
      <w:bookmarkStart w:id="147" w:name="_Toc143546648"/>
      <w:bookmarkStart w:id="148" w:name="_Toc143818233"/>
      <w:bookmarkStart w:id="149" w:name="_Toc9747"/>
      <w:r>
        <w:rPr>
          <w:rFonts w:hint="eastAsia" w:ascii="黑体" w:eastAsia="黑体"/>
          <w:b w:val="0"/>
          <w:lang w:val="zh-CN"/>
        </w:rPr>
        <w:t>二、项目资金申报及使用情况</w:t>
      </w:r>
      <w:bookmarkEnd w:id="147"/>
      <w:bookmarkEnd w:id="148"/>
      <w:bookmarkEnd w:id="149"/>
    </w:p>
    <w:p>
      <w:pPr>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_GB2312" w:hAnsi="Calibri" w:eastAsia="仿宋_GB2312" w:cs="仿宋"/>
          <w:kern w:val="0"/>
          <w:sz w:val="32"/>
          <w:szCs w:val="32"/>
          <w:lang w:val="zh-CN"/>
        </w:rPr>
      </w:pPr>
      <w:r>
        <w:rPr>
          <w:rFonts w:hint="eastAsia" w:ascii="仿宋" w:hAnsi="仿宋" w:eastAsia="仿宋"/>
          <w:b/>
          <w:sz w:val="32"/>
          <w:szCs w:val="32"/>
          <w:lang w:val="zh-CN"/>
        </w:rPr>
        <w:t>（一）项目资金申报及批复情况。</w:t>
      </w:r>
    </w:p>
    <w:p>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ascii="仿宋" w:hAnsi="仿宋" w:eastAsia="仿宋"/>
          <w:sz w:val="32"/>
          <w:szCs w:val="32"/>
          <w:lang w:val="zh-CN"/>
        </w:rPr>
      </w:pPr>
      <w:r>
        <w:rPr>
          <w:rFonts w:hint="eastAsia" w:ascii="仿宋" w:hAnsi="仿宋" w:eastAsia="仿宋" w:cs="仿宋_GB2312"/>
          <w:sz w:val="32"/>
          <w:szCs w:val="32"/>
        </w:rPr>
        <w:t>公务用车运行平台经费</w:t>
      </w:r>
      <w:r>
        <w:rPr>
          <w:rFonts w:hint="eastAsia" w:ascii="仿宋" w:hAnsi="仿宋" w:eastAsia="仿宋"/>
          <w:sz w:val="32"/>
          <w:szCs w:val="32"/>
          <w:lang w:val="zh-CN"/>
        </w:rPr>
        <w:t>项目资金申报</w:t>
      </w:r>
      <w:r>
        <w:rPr>
          <w:rFonts w:hint="eastAsia" w:ascii="仿宋" w:hAnsi="仿宋" w:eastAsia="仿宋"/>
          <w:sz w:val="32"/>
          <w:szCs w:val="32"/>
        </w:rPr>
        <w:t>5.7万</w:t>
      </w:r>
      <w:r>
        <w:rPr>
          <w:rFonts w:hint="eastAsia" w:ascii="仿宋" w:hAnsi="仿宋" w:eastAsia="仿宋"/>
          <w:sz w:val="32"/>
          <w:szCs w:val="32"/>
          <w:lang w:val="zh-CN"/>
        </w:rPr>
        <w:t>，批复</w:t>
      </w:r>
      <w:r>
        <w:rPr>
          <w:rFonts w:hint="eastAsia" w:ascii="仿宋" w:hAnsi="仿宋" w:eastAsia="仿宋"/>
          <w:sz w:val="32"/>
          <w:szCs w:val="32"/>
        </w:rPr>
        <w:t>5.7万</w:t>
      </w:r>
      <w:r>
        <w:rPr>
          <w:rFonts w:hint="eastAsia" w:ascii="仿宋" w:hAnsi="仿宋" w:eastAsia="仿宋"/>
          <w:sz w:val="32"/>
          <w:szCs w:val="32"/>
          <w:lang w:val="zh-CN"/>
        </w:rPr>
        <w:t>。</w:t>
      </w:r>
    </w:p>
    <w:p>
      <w:pPr>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 w:hAnsi="仿宋" w:eastAsia="仿宋"/>
          <w:b/>
          <w:sz w:val="32"/>
          <w:szCs w:val="32"/>
          <w:lang w:val="zh-CN"/>
        </w:rPr>
      </w:pPr>
      <w:r>
        <w:rPr>
          <w:rFonts w:hint="eastAsia" w:ascii="仿宋" w:hAnsi="仿宋" w:eastAsia="仿宋"/>
          <w:b/>
          <w:sz w:val="32"/>
          <w:szCs w:val="32"/>
          <w:lang w:val="zh-CN"/>
        </w:rPr>
        <w:t>（二）资金计划、到位及使用情况（可用表格形式反映）。</w:t>
      </w:r>
    </w:p>
    <w:p>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ascii="仿宋" w:hAnsi="仿宋" w:eastAsia="仿宋"/>
          <w:sz w:val="32"/>
          <w:szCs w:val="32"/>
          <w:lang w:val="zh-CN"/>
        </w:rPr>
      </w:pPr>
      <w:r>
        <w:rPr>
          <w:rFonts w:hint="eastAsia" w:ascii="楷体_GB2312" w:hAnsi="宋体" w:eastAsia="楷体_GB2312"/>
          <w:sz w:val="32"/>
          <w:szCs w:val="32"/>
          <w:lang w:val="zh-CN"/>
        </w:rPr>
        <w:t>1．资金计划。</w:t>
      </w:r>
      <w:r>
        <w:rPr>
          <w:rFonts w:hint="eastAsia" w:ascii="仿宋" w:hAnsi="仿宋" w:eastAsia="仿宋" w:cs="仿宋_GB2312"/>
          <w:sz w:val="32"/>
          <w:szCs w:val="32"/>
        </w:rPr>
        <w:t>该项目资金计划5.7万元</w:t>
      </w:r>
      <w:r>
        <w:rPr>
          <w:rFonts w:hint="eastAsia" w:ascii="仿宋" w:hAnsi="仿宋" w:eastAsia="仿宋"/>
          <w:sz w:val="32"/>
          <w:szCs w:val="32"/>
          <w:lang w:val="zh-CN"/>
        </w:rPr>
        <w:t>。</w:t>
      </w:r>
    </w:p>
    <w:p>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ascii="仿宋" w:hAnsi="仿宋" w:eastAsia="仿宋"/>
          <w:sz w:val="32"/>
          <w:szCs w:val="32"/>
          <w:lang w:val="zh-CN"/>
        </w:rPr>
      </w:pPr>
      <w:r>
        <w:rPr>
          <w:rFonts w:hint="eastAsia" w:ascii="楷体_GB2312" w:hAnsi="宋体" w:eastAsia="楷体_GB2312"/>
          <w:sz w:val="32"/>
          <w:szCs w:val="32"/>
          <w:lang w:val="zh-CN"/>
        </w:rPr>
        <w:t>2．资金到位。</w:t>
      </w:r>
      <w:r>
        <w:rPr>
          <w:rFonts w:hint="eastAsia" w:ascii="仿宋" w:hAnsi="仿宋" w:eastAsia="仿宋" w:cs="仿宋_GB2312"/>
          <w:sz w:val="32"/>
          <w:szCs w:val="32"/>
        </w:rPr>
        <w:t>该项目资金截止评价时点实际到位5.7万元</w:t>
      </w:r>
    </w:p>
    <w:p>
      <w:pPr>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ascii="仿宋" w:hAnsi="仿宋" w:eastAsia="仿宋" w:cs="仿宋"/>
          <w:kern w:val="0"/>
          <w:sz w:val="32"/>
          <w:szCs w:val="32"/>
          <w:lang w:val="zh-CN"/>
        </w:rPr>
      </w:pPr>
      <w:r>
        <w:rPr>
          <w:rFonts w:hint="eastAsia" w:ascii="楷体_GB2312" w:hAnsi="宋体" w:eastAsia="楷体_GB2312"/>
          <w:sz w:val="32"/>
          <w:szCs w:val="32"/>
          <w:lang w:val="zh-CN"/>
        </w:rPr>
        <w:t>3．资金使用。</w:t>
      </w:r>
      <w:r>
        <w:rPr>
          <w:rFonts w:hint="eastAsia" w:ascii="仿宋" w:hAnsi="仿宋" w:eastAsia="仿宋" w:cs="仿宋_GB2312"/>
          <w:sz w:val="32"/>
          <w:szCs w:val="32"/>
        </w:rPr>
        <w:t>截止评价时点项目资金的实际支出5.29万元，主要是用于机关公务用车的监督、管理等方面的工作，其中其他商品和服务支出5.29万元。</w:t>
      </w:r>
    </w:p>
    <w:p>
      <w:pPr>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 w:hAnsi="仿宋" w:eastAsia="仿宋"/>
          <w:b/>
          <w:sz w:val="32"/>
          <w:szCs w:val="32"/>
          <w:lang w:val="zh-CN"/>
        </w:rPr>
      </w:pPr>
      <w:r>
        <w:rPr>
          <w:rFonts w:hint="eastAsia" w:ascii="仿宋" w:hAnsi="仿宋" w:eastAsia="仿宋"/>
          <w:b/>
          <w:sz w:val="32"/>
          <w:szCs w:val="32"/>
          <w:lang w:val="zh-CN"/>
        </w:rPr>
        <w:t>（三）项目财务管理情况。</w:t>
      </w:r>
    </w:p>
    <w:p>
      <w:pPr>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ascii="仿宋" w:hAnsi="仿宋" w:eastAsia="仿宋" w:cs="仿宋"/>
          <w:kern w:val="0"/>
          <w:sz w:val="32"/>
          <w:szCs w:val="32"/>
          <w:lang w:val="zh-CN"/>
        </w:rPr>
      </w:pPr>
      <w:r>
        <w:rPr>
          <w:rFonts w:hint="eastAsia" w:ascii="仿宋" w:hAnsi="仿宋" w:eastAsia="仿宋" w:cs="仿宋_GB2312"/>
          <w:sz w:val="32"/>
          <w:szCs w:val="32"/>
        </w:rPr>
        <w:t>该项目财务管理制度实行政府财务会计制度，建立了单位内控制度，严格按照相关的制度进行会计核算及账务处理，对照项目资金管理办法，该项目严格执行财务管理制度、财务处理较及时、会计核算规范</w:t>
      </w:r>
      <w:r>
        <w:rPr>
          <w:rFonts w:hint="eastAsia" w:ascii="仿宋" w:hAnsi="仿宋" w:eastAsia="仿宋"/>
          <w:sz w:val="32"/>
          <w:szCs w:val="32"/>
          <w:lang w:val="zh-CN"/>
        </w:rPr>
        <w:t>。</w:t>
      </w:r>
    </w:p>
    <w:p>
      <w:pPr>
        <w:pStyle w:val="5"/>
        <w:pageBreakBefore w:val="0"/>
        <w:kinsoku/>
        <w:wordWrap/>
        <w:overflowPunct/>
        <w:topLinePunct w:val="0"/>
        <w:autoSpaceDE/>
        <w:autoSpaceDN/>
        <w:bidi w:val="0"/>
        <w:spacing w:before="0" w:after="0" w:line="560" w:lineRule="exact"/>
        <w:ind w:left="0" w:leftChars="0" w:firstLine="640" w:firstLineChars="200"/>
        <w:textAlignment w:val="auto"/>
        <w:rPr>
          <w:rFonts w:ascii="黑体" w:eastAsia="黑体"/>
          <w:b w:val="0"/>
          <w:lang w:val="zh-CN"/>
        </w:rPr>
      </w:pPr>
      <w:bookmarkStart w:id="150" w:name="_Toc143818234"/>
      <w:bookmarkStart w:id="151" w:name="_Toc143546649"/>
      <w:bookmarkStart w:id="152" w:name="_Toc1620"/>
      <w:r>
        <w:rPr>
          <w:rFonts w:hint="eastAsia" w:ascii="黑体" w:eastAsia="黑体"/>
          <w:b w:val="0"/>
          <w:lang w:val="zh-CN"/>
        </w:rPr>
        <w:t>三、项目实施及管理情况</w:t>
      </w:r>
      <w:bookmarkEnd w:id="150"/>
      <w:bookmarkEnd w:id="151"/>
      <w:bookmarkEnd w:id="152"/>
    </w:p>
    <w:p>
      <w:pPr>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ascii="仿宋" w:hAnsi="仿宋" w:eastAsia="仿宋" w:cs="仿宋"/>
          <w:kern w:val="0"/>
          <w:sz w:val="32"/>
          <w:szCs w:val="32"/>
          <w:lang w:val="zh-CN"/>
        </w:rPr>
      </w:pPr>
      <w:r>
        <w:rPr>
          <w:rFonts w:hint="eastAsia" w:ascii="仿宋" w:hAnsi="仿宋" w:eastAsia="仿宋" w:cs="仿宋"/>
          <w:kern w:val="0"/>
          <w:sz w:val="32"/>
          <w:szCs w:val="32"/>
          <w:lang w:val="zh-CN"/>
        </w:rPr>
        <w:t>结合项目组织实施管理办法，重点围绕以下内容进行分析评价，并对自评中发现的问题分析说明。</w:t>
      </w:r>
    </w:p>
    <w:p>
      <w:pPr>
        <w:pageBreakBefore w:val="0"/>
        <w:widowControl/>
        <w:numPr>
          <w:ilvl w:val="0"/>
          <w:numId w:val="7"/>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 w:hAnsi="仿宋" w:eastAsia="仿宋"/>
          <w:b/>
          <w:sz w:val="32"/>
          <w:szCs w:val="32"/>
          <w:lang w:val="zh-CN"/>
        </w:rPr>
      </w:pPr>
      <w:r>
        <w:rPr>
          <w:rFonts w:hint="eastAsia" w:ascii="仿宋" w:hAnsi="仿宋" w:eastAsia="仿宋"/>
          <w:b/>
          <w:sz w:val="32"/>
          <w:szCs w:val="32"/>
          <w:lang w:val="zh-CN"/>
        </w:rPr>
        <w:t>项目组织架构及实施流程。</w:t>
      </w:r>
    </w:p>
    <w:p>
      <w:pPr>
        <w:pStyle w:val="2"/>
        <w:pageBreakBefore w:val="0"/>
        <w:kinsoku/>
        <w:wordWrap/>
        <w:overflowPunct/>
        <w:topLinePunct w:val="0"/>
        <w:autoSpaceDE/>
        <w:autoSpaceDN/>
        <w:bidi w:val="0"/>
        <w:spacing w:after="0" w:line="560" w:lineRule="exact"/>
        <w:ind w:left="0" w:leftChars="0" w:firstLine="640" w:firstLineChars="200"/>
        <w:textAlignment w:val="auto"/>
        <w:rPr>
          <w:rFonts w:ascii="仿宋" w:hAnsi="仿宋" w:eastAsia="仿宋"/>
          <w:lang w:val="zh-CN"/>
        </w:rPr>
      </w:pPr>
      <w:r>
        <w:rPr>
          <w:rFonts w:hint="eastAsia" w:ascii="仿宋" w:hAnsi="仿宋" w:eastAsia="仿宋" w:cs="仿宋_GB2312"/>
          <w:sz w:val="32"/>
        </w:rPr>
        <w:t>公务用车运行平台经费</w:t>
      </w:r>
      <w:r>
        <w:rPr>
          <w:rFonts w:hint="eastAsia" w:ascii="仿宋" w:hAnsi="仿宋" w:eastAsia="仿宋"/>
          <w:sz w:val="32"/>
        </w:rPr>
        <w:t>严格按照专款专用原则，及时通知有关单位提供合法票据，完善报账手续，严格票据审核，规范报账程序，确保资金使用的及时性、规范性，同时财政部门对资金支付严格审核，确保资金使用安全。</w:t>
      </w:r>
    </w:p>
    <w:p>
      <w:pPr>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 w:hAnsi="仿宋" w:eastAsia="仿宋" w:cs="仿宋"/>
          <w:kern w:val="0"/>
          <w:sz w:val="32"/>
          <w:szCs w:val="32"/>
          <w:lang w:val="zh-CN"/>
        </w:rPr>
      </w:pPr>
      <w:r>
        <w:rPr>
          <w:rFonts w:hint="eastAsia" w:ascii="仿宋" w:hAnsi="仿宋" w:eastAsia="仿宋"/>
          <w:b/>
          <w:sz w:val="32"/>
          <w:szCs w:val="32"/>
          <w:lang w:val="zh-CN"/>
        </w:rPr>
        <w:t>（二）项目管理情况。</w:t>
      </w:r>
      <w:r>
        <w:rPr>
          <w:rFonts w:hint="eastAsia" w:ascii="仿宋" w:hAnsi="仿宋" w:eastAsia="仿宋"/>
          <w:sz w:val="32"/>
          <w:szCs w:val="32"/>
        </w:rPr>
        <w:t>项目严格按照区级有关规定执行，严格</w:t>
      </w:r>
      <w:r>
        <w:rPr>
          <w:rFonts w:hint="eastAsia" w:ascii="仿宋" w:hAnsi="仿宋" w:eastAsia="仿宋" w:cs="仿宋_GB2312"/>
          <w:sz w:val="32"/>
          <w:szCs w:val="32"/>
        </w:rPr>
        <w:t>用于机关公务用车的监督、管理等方面的工作</w:t>
      </w:r>
      <w:r>
        <w:rPr>
          <w:rFonts w:hint="eastAsia" w:ascii="仿宋" w:hAnsi="仿宋" w:eastAsia="仿宋"/>
          <w:sz w:val="32"/>
          <w:szCs w:val="32"/>
        </w:rPr>
        <w:t>支出，</w:t>
      </w:r>
      <w:r>
        <w:rPr>
          <w:rFonts w:ascii="仿宋" w:hAnsi="仿宋" w:eastAsia="仿宋"/>
          <w:sz w:val="32"/>
          <w:szCs w:val="32"/>
          <w:lang w:val="zh-CN"/>
        </w:rPr>
        <w:t>资金专款专用</w:t>
      </w:r>
      <w:r>
        <w:rPr>
          <w:rFonts w:hint="eastAsia" w:ascii="仿宋" w:hAnsi="仿宋" w:eastAsia="仿宋"/>
          <w:sz w:val="32"/>
          <w:szCs w:val="32"/>
          <w:lang w:val="zh-CN"/>
        </w:rPr>
        <w:t>。</w:t>
      </w:r>
    </w:p>
    <w:p>
      <w:pPr>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_GB2312" w:hAnsi="Calibri" w:eastAsia="仿宋_GB2312" w:cs="仿宋"/>
          <w:kern w:val="0"/>
          <w:sz w:val="32"/>
          <w:szCs w:val="32"/>
          <w:lang w:val="zh-CN"/>
        </w:rPr>
      </w:pPr>
      <w:r>
        <w:rPr>
          <w:rFonts w:hint="eastAsia" w:ascii="仿宋" w:hAnsi="仿宋" w:eastAsia="仿宋"/>
          <w:b/>
          <w:sz w:val="32"/>
          <w:szCs w:val="32"/>
          <w:lang w:val="zh-CN"/>
        </w:rPr>
        <w:t>（三）项目监管情况。</w:t>
      </w:r>
      <w:r>
        <w:rPr>
          <w:rFonts w:hint="eastAsia" w:ascii="仿宋" w:hAnsi="仿宋" w:eastAsia="仿宋" w:cs="仿宋_GB2312"/>
          <w:sz w:val="32"/>
          <w:szCs w:val="32"/>
        </w:rPr>
        <w:t>项目由机关事务服务中心监管，并严格按照相关财经纪律执行。</w:t>
      </w:r>
    </w:p>
    <w:p>
      <w:pPr>
        <w:pStyle w:val="5"/>
        <w:pageBreakBefore w:val="0"/>
        <w:kinsoku/>
        <w:wordWrap/>
        <w:overflowPunct/>
        <w:topLinePunct w:val="0"/>
        <w:autoSpaceDE/>
        <w:autoSpaceDN/>
        <w:bidi w:val="0"/>
        <w:spacing w:before="0" w:after="0" w:line="560" w:lineRule="exact"/>
        <w:ind w:left="0" w:leftChars="0" w:firstLine="640" w:firstLineChars="200"/>
        <w:textAlignment w:val="auto"/>
        <w:rPr>
          <w:rFonts w:ascii="黑体" w:eastAsia="黑体"/>
          <w:b w:val="0"/>
          <w:lang w:val="zh-CN"/>
        </w:rPr>
      </w:pPr>
      <w:bookmarkStart w:id="153" w:name="_Toc143546650"/>
      <w:bookmarkStart w:id="154" w:name="_Toc143818235"/>
      <w:bookmarkStart w:id="155" w:name="_Toc2293"/>
      <w:r>
        <w:rPr>
          <w:rFonts w:hint="eastAsia" w:ascii="黑体" w:eastAsia="黑体"/>
          <w:b w:val="0"/>
          <w:lang w:val="zh-CN"/>
        </w:rPr>
        <w:t>四、项目绩效情况</w:t>
      </w:r>
      <w:bookmarkEnd w:id="153"/>
      <w:bookmarkEnd w:id="154"/>
      <w:bookmarkEnd w:id="155"/>
      <w:r>
        <w:rPr>
          <w:rFonts w:hint="eastAsia" w:ascii="黑体" w:eastAsia="黑体"/>
          <w:b w:val="0"/>
          <w:lang w:val="zh-CN"/>
        </w:rPr>
        <w:tab/>
      </w:r>
    </w:p>
    <w:p>
      <w:pPr>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 w:hAnsi="仿宋" w:eastAsia="仿宋"/>
          <w:b/>
          <w:sz w:val="32"/>
          <w:szCs w:val="32"/>
          <w:lang w:val="zh-CN"/>
        </w:rPr>
      </w:pPr>
      <w:r>
        <w:rPr>
          <w:rFonts w:hint="eastAsia" w:ascii="仿宋" w:hAnsi="仿宋" w:eastAsia="仿宋"/>
          <w:b/>
          <w:sz w:val="32"/>
          <w:szCs w:val="32"/>
          <w:lang w:val="zh-CN"/>
        </w:rPr>
        <w:t>（一）项目完成情况。</w:t>
      </w:r>
    </w:p>
    <w:p>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ascii="仿宋" w:hAnsi="仿宋" w:eastAsia="仿宋"/>
          <w:b/>
          <w:sz w:val="32"/>
          <w:szCs w:val="32"/>
          <w:lang w:val="zh-CN"/>
        </w:rPr>
      </w:pPr>
      <w:r>
        <w:rPr>
          <w:rFonts w:hint="eastAsia" w:ascii="仿宋" w:hAnsi="仿宋" w:eastAsia="仿宋" w:cs="仿宋_GB2312"/>
          <w:sz w:val="32"/>
          <w:szCs w:val="32"/>
        </w:rPr>
        <w:t>区内保留公务用车调配管理，满意度≥90%</w:t>
      </w:r>
      <w:r>
        <w:rPr>
          <w:rFonts w:hint="eastAsia" w:ascii="仿宋" w:hAnsi="仿宋" w:eastAsia="仿宋"/>
          <w:sz w:val="32"/>
          <w:szCs w:val="32"/>
          <w:lang w:val="zh-CN"/>
        </w:rPr>
        <w:t>。</w:t>
      </w:r>
    </w:p>
    <w:p>
      <w:pPr>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_GB2312" w:hAnsi="Calibri" w:eastAsia="仿宋_GB2312" w:cs="仿宋"/>
          <w:kern w:val="0"/>
          <w:sz w:val="32"/>
          <w:szCs w:val="32"/>
          <w:lang w:val="zh-CN"/>
        </w:rPr>
      </w:pPr>
      <w:r>
        <w:rPr>
          <w:rFonts w:hint="eastAsia" w:ascii="仿宋" w:hAnsi="仿宋" w:eastAsia="仿宋"/>
          <w:b/>
          <w:sz w:val="32"/>
          <w:szCs w:val="32"/>
          <w:lang w:val="zh-CN"/>
        </w:rPr>
        <w:t>（二）项目效益情况。</w:t>
      </w:r>
    </w:p>
    <w:p>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ascii="仿宋" w:hAnsi="仿宋" w:eastAsia="仿宋" w:cs="仿宋"/>
          <w:kern w:val="0"/>
          <w:sz w:val="32"/>
          <w:szCs w:val="32"/>
          <w:lang w:val="zh-CN"/>
        </w:rPr>
      </w:pPr>
      <w:r>
        <w:rPr>
          <w:rFonts w:hint="eastAsia" w:ascii="仿宋" w:hAnsi="仿宋" w:eastAsia="仿宋" w:cs="仿宋_GB2312"/>
          <w:sz w:val="32"/>
          <w:szCs w:val="32"/>
        </w:rPr>
        <w:t>区内保留公务用车调配管理，满意度≥90%</w:t>
      </w:r>
      <w:r>
        <w:rPr>
          <w:rFonts w:hint="eastAsia" w:ascii="仿宋" w:hAnsi="仿宋" w:eastAsia="仿宋"/>
          <w:sz w:val="32"/>
          <w:szCs w:val="32"/>
          <w:lang w:val="zh-CN"/>
        </w:rPr>
        <w:t>。</w:t>
      </w:r>
    </w:p>
    <w:p>
      <w:pPr>
        <w:pStyle w:val="5"/>
        <w:pageBreakBefore w:val="0"/>
        <w:kinsoku/>
        <w:wordWrap/>
        <w:overflowPunct/>
        <w:topLinePunct w:val="0"/>
        <w:autoSpaceDE/>
        <w:autoSpaceDN/>
        <w:bidi w:val="0"/>
        <w:spacing w:before="0" w:after="0" w:line="560" w:lineRule="exact"/>
        <w:ind w:left="0" w:leftChars="0" w:firstLine="640" w:firstLineChars="200"/>
        <w:textAlignment w:val="auto"/>
        <w:rPr>
          <w:rFonts w:ascii="黑体" w:eastAsia="黑体"/>
          <w:b w:val="0"/>
          <w:lang w:val="zh-CN"/>
        </w:rPr>
      </w:pPr>
      <w:bookmarkStart w:id="156" w:name="_Toc143818236"/>
      <w:bookmarkStart w:id="157" w:name="_Toc143546651"/>
      <w:bookmarkStart w:id="158" w:name="_Toc9944"/>
      <w:r>
        <w:rPr>
          <w:rFonts w:hint="eastAsia" w:ascii="黑体" w:eastAsia="黑体"/>
          <w:b w:val="0"/>
          <w:lang w:val="zh-CN"/>
        </w:rPr>
        <w:t>五、评价结论及建议</w:t>
      </w:r>
      <w:bookmarkEnd w:id="156"/>
      <w:bookmarkEnd w:id="157"/>
      <w:bookmarkEnd w:id="158"/>
    </w:p>
    <w:p>
      <w:pPr>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 w:hAnsi="仿宋" w:eastAsia="仿宋"/>
          <w:b/>
          <w:sz w:val="32"/>
          <w:szCs w:val="32"/>
          <w:lang w:val="zh-CN"/>
        </w:rPr>
      </w:pPr>
      <w:r>
        <w:rPr>
          <w:rFonts w:hint="eastAsia" w:ascii="仿宋" w:hAnsi="仿宋" w:eastAsia="仿宋"/>
          <w:b/>
          <w:sz w:val="32"/>
          <w:szCs w:val="32"/>
          <w:lang w:val="zh-CN"/>
        </w:rPr>
        <w:t>（一）评价结论。</w:t>
      </w:r>
    </w:p>
    <w:p>
      <w:pPr>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ascii="仿宋" w:hAnsi="仿宋" w:eastAsia="仿宋" w:cs="仿宋"/>
          <w:kern w:val="0"/>
          <w:sz w:val="32"/>
          <w:szCs w:val="32"/>
          <w:lang w:val="zh-CN"/>
        </w:rPr>
      </w:pPr>
      <w:r>
        <w:rPr>
          <w:rFonts w:hint="eastAsia" w:ascii="仿宋" w:hAnsi="仿宋" w:eastAsia="仿宋" w:cs="仿宋_GB2312"/>
          <w:sz w:val="32"/>
          <w:szCs w:val="32"/>
        </w:rPr>
        <w:t>公务用车运行平台经费</w:t>
      </w:r>
      <w:r>
        <w:rPr>
          <w:rFonts w:hint="eastAsia" w:ascii="仿宋" w:hAnsi="仿宋" w:eastAsia="仿宋"/>
          <w:sz w:val="32"/>
          <w:szCs w:val="32"/>
          <w:lang w:val="zh-CN"/>
        </w:rPr>
        <w:t>项目绩效总体评价良好。</w:t>
      </w:r>
    </w:p>
    <w:p>
      <w:pPr>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 w:hAnsi="仿宋" w:eastAsia="仿宋"/>
          <w:b/>
          <w:sz w:val="32"/>
          <w:szCs w:val="32"/>
          <w:lang w:val="zh-CN"/>
        </w:rPr>
      </w:pPr>
      <w:r>
        <w:rPr>
          <w:rFonts w:hint="eastAsia" w:ascii="仿宋" w:hAnsi="仿宋" w:eastAsia="仿宋"/>
          <w:b/>
          <w:sz w:val="32"/>
          <w:szCs w:val="32"/>
          <w:lang w:val="zh-CN"/>
        </w:rPr>
        <w:t>（二）存在的问题。</w:t>
      </w:r>
    </w:p>
    <w:p>
      <w:pPr>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ascii="仿宋" w:hAnsi="仿宋" w:eastAsia="仿宋" w:cs="仿宋"/>
          <w:kern w:val="0"/>
          <w:sz w:val="32"/>
          <w:szCs w:val="32"/>
          <w:lang w:val="zh-CN"/>
        </w:rPr>
      </w:pPr>
      <w:r>
        <w:rPr>
          <w:rFonts w:hint="eastAsia" w:ascii="仿宋" w:hAnsi="仿宋" w:eastAsia="仿宋"/>
          <w:sz w:val="32"/>
          <w:szCs w:val="32"/>
          <w:lang w:val="zh-CN"/>
        </w:rPr>
        <w:t>无</w:t>
      </w:r>
      <w:r>
        <w:rPr>
          <w:rFonts w:hint="eastAsia" w:ascii="仿宋" w:hAnsi="仿宋" w:eastAsia="仿宋" w:cs="仿宋"/>
          <w:kern w:val="0"/>
          <w:sz w:val="32"/>
          <w:szCs w:val="32"/>
          <w:lang w:val="zh-CN"/>
        </w:rPr>
        <w:tab/>
      </w:r>
    </w:p>
    <w:p>
      <w:pPr>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 w:hAnsi="仿宋" w:eastAsia="仿宋"/>
          <w:b/>
          <w:sz w:val="32"/>
          <w:szCs w:val="32"/>
          <w:lang w:val="zh-CN"/>
        </w:rPr>
      </w:pPr>
      <w:r>
        <w:rPr>
          <w:rFonts w:hint="eastAsia" w:ascii="仿宋" w:hAnsi="仿宋" w:eastAsia="仿宋"/>
          <w:b/>
          <w:sz w:val="32"/>
          <w:szCs w:val="32"/>
          <w:lang w:val="zh-CN"/>
        </w:rPr>
        <w:t>（三）相关建议。</w:t>
      </w:r>
    </w:p>
    <w:p>
      <w:pPr>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仿宋_GB2312" w:hAnsi="Calibri" w:eastAsia="仿宋_GB2312" w:cs="仿宋"/>
          <w:kern w:val="0"/>
          <w:sz w:val="32"/>
          <w:szCs w:val="32"/>
          <w:lang w:val="zh-CN"/>
        </w:rPr>
      </w:pPr>
      <w:r>
        <w:rPr>
          <w:rFonts w:hint="eastAsia" w:ascii="仿宋" w:hAnsi="仿宋" w:eastAsia="仿宋" w:cs="仿宋"/>
          <w:sz w:val="32"/>
          <w:szCs w:val="32"/>
        </w:rPr>
        <w:t>优化预算编制，加强预算执行。合理安排预算支出计划，优化资金支出结构，强化资金统筹和绩效管理，确保工作有效开展</w:t>
      </w:r>
      <w:r>
        <w:rPr>
          <w:rFonts w:hint="eastAsia" w:ascii="仿宋_GB2312" w:hAnsi="Calibri" w:eastAsia="仿宋_GB2312" w:cs="仿宋"/>
          <w:kern w:val="0"/>
          <w:sz w:val="32"/>
          <w:szCs w:val="32"/>
          <w:lang w:val="zh-CN"/>
        </w:rPr>
        <w:t>。</w:t>
      </w:r>
    </w:p>
    <w:p>
      <w:pPr>
        <w:pStyle w:val="2"/>
        <w:pageBreakBefore w:val="0"/>
        <w:kinsoku/>
        <w:wordWrap/>
        <w:overflowPunct/>
        <w:topLinePunct w:val="0"/>
        <w:autoSpaceDE/>
        <w:autoSpaceDN/>
        <w:bidi w:val="0"/>
        <w:spacing w:after="0" w:line="560" w:lineRule="exact"/>
        <w:ind w:left="0" w:leftChars="0" w:firstLine="640" w:firstLineChars="200"/>
        <w:textAlignment w:val="auto"/>
        <w:rPr>
          <w:rFonts w:hAnsi="Calibri" w:eastAsia="仿宋_GB2312" w:cs="仿宋"/>
          <w:kern w:val="0"/>
          <w:sz w:val="32"/>
        </w:rPr>
      </w:pPr>
    </w:p>
    <w:p>
      <w:pPr>
        <w:rPr>
          <w:rFonts w:hint="eastAsia"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br w:type="page"/>
      </w:r>
    </w:p>
    <w:p>
      <w:pPr>
        <w:pStyle w:val="34"/>
        <w:pageBreakBefore w:val="0"/>
        <w:kinsoku/>
        <w:wordWrap/>
        <w:overflowPunct/>
        <w:topLinePunct w:val="0"/>
        <w:autoSpaceDE/>
        <w:autoSpaceDN/>
        <w:bidi w:val="0"/>
        <w:spacing w:line="560" w:lineRule="exact"/>
        <w:ind w:left="0" w:leftChars="0" w:firstLine="880" w:firstLineChars="200"/>
        <w:jc w:val="center"/>
        <w:textAlignment w:val="auto"/>
        <w:rPr>
          <w:rFonts w:ascii="宋体" w:hAnsi="宋体"/>
          <w:color w:val="auto"/>
          <w:kern w:val="2"/>
          <w:sz w:val="32"/>
          <w:szCs w:val="32"/>
        </w:rPr>
      </w:pPr>
      <w:r>
        <w:rPr>
          <w:rFonts w:hint="eastAsia" w:ascii="方正小标宋简体" w:hAnsi="方正小标宋简体" w:eastAsia="方正小标宋简体" w:cs="方正小标宋简体"/>
          <w:color w:val="auto"/>
          <w:kern w:val="2"/>
          <w:sz w:val="44"/>
          <w:szCs w:val="44"/>
          <w:lang w:val="en-US"/>
        </w:rPr>
        <w:t>2022年专项预算项目绩效自评报告</w:t>
      </w:r>
    </w:p>
    <w:p>
      <w:pPr>
        <w:pStyle w:val="5"/>
        <w:pageBreakBefore w:val="0"/>
        <w:kinsoku/>
        <w:wordWrap/>
        <w:overflowPunct/>
        <w:topLinePunct w:val="0"/>
        <w:autoSpaceDE/>
        <w:autoSpaceDN/>
        <w:bidi w:val="0"/>
        <w:spacing w:before="0" w:after="0" w:line="560" w:lineRule="exact"/>
        <w:ind w:left="0" w:leftChars="0" w:firstLine="640" w:firstLineChars="200"/>
        <w:textAlignment w:val="auto"/>
        <w:outlineLvl w:val="9"/>
        <w:rPr>
          <w:rFonts w:hint="eastAsia" w:ascii="黑体" w:eastAsia="黑体"/>
          <w:b w:val="0"/>
          <w:lang w:val="zh-CN"/>
        </w:rPr>
      </w:pPr>
      <w:bookmarkStart w:id="159" w:name="_Toc143818237"/>
      <w:bookmarkStart w:id="160" w:name="_Toc143546652"/>
    </w:p>
    <w:p>
      <w:pPr>
        <w:pStyle w:val="5"/>
        <w:pageBreakBefore w:val="0"/>
        <w:kinsoku/>
        <w:wordWrap/>
        <w:overflowPunct/>
        <w:topLinePunct w:val="0"/>
        <w:autoSpaceDE/>
        <w:autoSpaceDN/>
        <w:bidi w:val="0"/>
        <w:spacing w:before="0" w:after="0" w:line="560" w:lineRule="exact"/>
        <w:ind w:left="0" w:leftChars="0" w:firstLine="640" w:firstLineChars="200"/>
        <w:textAlignment w:val="auto"/>
        <w:rPr>
          <w:rFonts w:ascii="黑体" w:eastAsia="黑体"/>
          <w:b w:val="0"/>
          <w:lang w:val="zh-CN"/>
        </w:rPr>
      </w:pPr>
      <w:bookmarkStart w:id="161" w:name="_Toc27661"/>
      <w:r>
        <w:rPr>
          <w:rFonts w:hint="eastAsia" w:ascii="黑体" w:eastAsia="黑体"/>
          <w:b w:val="0"/>
          <w:lang w:val="zh-CN"/>
        </w:rPr>
        <w:t>一、项目概况</w:t>
      </w:r>
      <w:bookmarkEnd w:id="159"/>
      <w:bookmarkEnd w:id="160"/>
      <w:bookmarkEnd w:id="161"/>
    </w:p>
    <w:p>
      <w:pPr>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_GB2312" w:hAnsi="Calibri" w:eastAsia="仿宋_GB2312" w:cs="仿宋"/>
          <w:kern w:val="0"/>
          <w:sz w:val="32"/>
          <w:szCs w:val="32"/>
          <w:lang w:val="zh-CN"/>
        </w:rPr>
      </w:pPr>
      <w:r>
        <w:rPr>
          <w:rFonts w:hint="eastAsia" w:ascii="仿宋" w:hAnsi="仿宋" w:eastAsia="仿宋"/>
          <w:b/>
          <w:sz w:val="32"/>
          <w:szCs w:val="32"/>
          <w:lang w:val="zh-CN"/>
        </w:rPr>
        <w:t>（一）项目基本情况。</w:t>
      </w:r>
    </w:p>
    <w:p>
      <w:pPr>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 xml:space="preserve">1. </w:t>
      </w:r>
      <w:r>
        <w:rPr>
          <w:rFonts w:hint="eastAsia" w:ascii="仿宋" w:hAnsi="仿宋" w:eastAsia="仿宋" w:cs="仿宋"/>
          <w:sz w:val="32"/>
          <w:szCs w:val="32"/>
        </w:rPr>
        <w:t>柔刚写字楼和商务中心运行费</w:t>
      </w:r>
      <w:r>
        <w:rPr>
          <w:rFonts w:hint="eastAsia" w:ascii="仿宋" w:hAnsi="仿宋" w:eastAsia="仿宋" w:cs="仿宋_GB2312"/>
          <w:sz w:val="32"/>
          <w:szCs w:val="32"/>
        </w:rPr>
        <w:t>主要用于</w:t>
      </w:r>
      <w:r>
        <w:rPr>
          <w:rFonts w:hint="eastAsia" w:ascii="仿宋" w:hAnsi="仿宋" w:eastAsia="仿宋" w:cs="仿宋"/>
          <w:kern w:val="0"/>
          <w:sz w:val="32"/>
          <w:szCs w:val="32"/>
        </w:rPr>
        <w:t>柔刚写字楼及商务中心的日常维护工作，保障两栋大楼的正常运行。</w:t>
      </w:r>
    </w:p>
    <w:p>
      <w:pPr>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ascii="仿宋" w:hAnsi="仿宋" w:eastAsia="仿宋" w:cs="仿宋"/>
          <w:kern w:val="0"/>
          <w:sz w:val="32"/>
          <w:szCs w:val="32"/>
          <w:lang w:val="zh-CN"/>
        </w:rPr>
      </w:pPr>
      <w:r>
        <w:rPr>
          <w:rFonts w:hint="eastAsia" w:ascii="仿宋" w:hAnsi="仿宋" w:eastAsia="仿宋" w:cs="仿宋"/>
          <w:kern w:val="0"/>
          <w:sz w:val="32"/>
          <w:szCs w:val="32"/>
          <w:lang w:val="zh-CN"/>
        </w:rPr>
        <w:t>2. 项目立项、资金申报的依据。</w:t>
      </w:r>
      <w:r>
        <w:rPr>
          <w:rFonts w:hint="eastAsia" w:ascii="仿宋" w:hAnsi="仿宋" w:eastAsia="仿宋" w:cs="仿宋"/>
          <w:kern w:val="0"/>
          <w:sz w:val="32"/>
          <w:szCs w:val="32"/>
          <w:lang w:val="en-US" w:eastAsia="zh-CN"/>
        </w:rPr>
        <w:t>区机关事务服务中心负责集中办公区运行维护，需做好安全、办公区维修维护等相关工作</w:t>
      </w:r>
      <w:r>
        <w:rPr>
          <w:rFonts w:hint="eastAsia" w:ascii="仿宋" w:hAnsi="仿宋" w:eastAsia="仿宋" w:cs="仿宋"/>
          <w:kern w:val="0"/>
          <w:sz w:val="32"/>
          <w:szCs w:val="32"/>
          <w:lang w:val="zh-CN"/>
        </w:rPr>
        <w:t>。</w:t>
      </w:r>
    </w:p>
    <w:p>
      <w:pPr>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ascii="仿宋" w:hAnsi="仿宋" w:eastAsia="仿宋" w:cs="仿宋"/>
          <w:kern w:val="0"/>
          <w:sz w:val="32"/>
          <w:szCs w:val="32"/>
          <w:lang w:val="zh-CN"/>
        </w:rPr>
      </w:pPr>
      <w:r>
        <w:rPr>
          <w:rFonts w:hint="eastAsia" w:ascii="仿宋" w:hAnsi="仿宋" w:eastAsia="仿宋" w:cs="仿宋"/>
          <w:kern w:val="0"/>
          <w:sz w:val="32"/>
          <w:szCs w:val="32"/>
          <w:lang w:val="zh-CN"/>
        </w:rPr>
        <w:t>3. 资金管理办法制定情况，资金支持具体项目的条件、范围与支持方式概况。</w:t>
      </w:r>
    </w:p>
    <w:p>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ascii="仿宋" w:hAnsi="仿宋" w:eastAsia="仿宋"/>
          <w:lang w:val="zh-CN"/>
        </w:rPr>
      </w:pPr>
      <w:r>
        <w:rPr>
          <w:rFonts w:hint="eastAsia" w:ascii="仿宋" w:hAnsi="仿宋" w:eastAsia="仿宋"/>
          <w:sz w:val="32"/>
          <w:szCs w:val="32"/>
        </w:rPr>
        <w:t>该项目资金严格按照机关事务服务中心相关财务制度管理，资金主要用于</w:t>
      </w:r>
      <w:r>
        <w:rPr>
          <w:rFonts w:hint="eastAsia" w:ascii="仿宋" w:hAnsi="仿宋" w:eastAsia="仿宋" w:cs="仿宋"/>
          <w:kern w:val="0"/>
          <w:sz w:val="32"/>
          <w:szCs w:val="32"/>
        </w:rPr>
        <w:t>柔刚写字楼及商务中心的日常维护工作，保障两栋大楼的正常运行</w:t>
      </w:r>
      <w:r>
        <w:rPr>
          <w:rFonts w:hint="eastAsia" w:ascii="仿宋" w:hAnsi="仿宋" w:eastAsia="仿宋" w:cs="仿宋_GB2312"/>
          <w:sz w:val="32"/>
          <w:szCs w:val="32"/>
        </w:rPr>
        <w:t>等方面的工作。</w:t>
      </w:r>
    </w:p>
    <w:p>
      <w:pPr>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ascii="仿宋" w:hAnsi="仿宋" w:eastAsia="仿宋" w:cs="仿宋"/>
          <w:kern w:val="0"/>
          <w:sz w:val="32"/>
          <w:szCs w:val="32"/>
          <w:lang w:val="zh-CN"/>
        </w:rPr>
      </w:pPr>
      <w:r>
        <w:rPr>
          <w:rFonts w:hint="eastAsia" w:ascii="仿宋" w:hAnsi="仿宋" w:eastAsia="仿宋" w:cs="仿宋"/>
          <w:kern w:val="0"/>
          <w:sz w:val="32"/>
          <w:szCs w:val="32"/>
        </w:rPr>
        <w:t>4.</w:t>
      </w:r>
      <w:r>
        <w:rPr>
          <w:rFonts w:hint="eastAsia" w:ascii="仿宋" w:hAnsi="仿宋" w:eastAsia="仿宋" w:cs="仿宋"/>
          <w:kern w:val="0"/>
          <w:sz w:val="32"/>
          <w:szCs w:val="32"/>
          <w:lang w:val="zh-CN"/>
        </w:rPr>
        <w:t>资金分配的原则及考虑因素。</w:t>
      </w:r>
    </w:p>
    <w:p>
      <w:pPr>
        <w:pStyle w:val="7"/>
        <w:pageBreakBefore w:val="0"/>
        <w:numPr>
          <w:ilvl w:val="0"/>
          <w:numId w:val="0"/>
        </w:numPr>
        <w:kinsoku/>
        <w:wordWrap/>
        <w:overflowPunct/>
        <w:topLinePunct w:val="0"/>
        <w:autoSpaceDE/>
        <w:autoSpaceDN/>
        <w:bidi w:val="0"/>
        <w:spacing w:line="560" w:lineRule="exact"/>
        <w:ind w:left="0" w:leftChars="0" w:firstLine="640" w:firstLineChars="200"/>
        <w:textAlignment w:val="auto"/>
        <w:rPr>
          <w:rFonts w:ascii="仿宋" w:hAnsi="仿宋" w:eastAsia="仿宋"/>
          <w:lang w:val="zh-CN"/>
        </w:rPr>
      </w:pPr>
      <w:r>
        <w:rPr>
          <w:rFonts w:hint="eastAsia" w:ascii="仿宋" w:hAnsi="仿宋" w:eastAsia="仿宋"/>
          <w:sz w:val="32"/>
          <w:szCs w:val="32"/>
        </w:rPr>
        <w:t>该项目资金根据机关事务服务中心实际支出情况按需支取。</w:t>
      </w:r>
    </w:p>
    <w:p>
      <w:pPr>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_GB2312" w:hAnsi="Calibri" w:eastAsia="仿宋_GB2312" w:cs="仿宋"/>
          <w:kern w:val="0"/>
          <w:sz w:val="32"/>
          <w:szCs w:val="32"/>
          <w:lang w:val="zh-CN"/>
        </w:rPr>
      </w:pPr>
      <w:r>
        <w:rPr>
          <w:rFonts w:hint="eastAsia" w:ascii="仿宋" w:hAnsi="仿宋" w:eastAsia="仿宋"/>
          <w:b/>
          <w:sz w:val="32"/>
          <w:szCs w:val="32"/>
          <w:lang w:val="zh-CN"/>
        </w:rPr>
        <w:t>（二）项目绩效目标。</w:t>
      </w:r>
    </w:p>
    <w:p>
      <w:pPr>
        <w:pageBreakBefore w:val="0"/>
        <w:widowControl/>
        <w:kinsoku/>
        <w:wordWrap/>
        <w:overflowPunct/>
        <w:topLinePunct w:val="0"/>
        <w:autoSpaceDE/>
        <w:autoSpaceDN/>
        <w:bidi w:val="0"/>
        <w:spacing w:line="560" w:lineRule="exact"/>
        <w:ind w:left="0" w:leftChars="0" w:firstLine="640" w:firstLineChars="200"/>
        <w:jc w:val="left"/>
        <w:textAlignment w:val="auto"/>
        <w:rPr>
          <w:rFonts w:ascii="仿宋" w:hAnsi="仿宋" w:eastAsia="仿宋" w:cs="宋体"/>
          <w:color w:val="000000"/>
          <w:kern w:val="0"/>
          <w:sz w:val="32"/>
          <w:szCs w:val="32"/>
        </w:rPr>
      </w:pPr>
      <w:r>
        <w:rPr>
          <w:rFonts w:hint="eastAsia" w:ascii="仿宋" w:hAnsi="仿宋" w:eastAsia="仿宋" w:cs="仿宋_GB2312"/>
          <w:sz w:val="32"/>
          <w:szCs w:val="32"/>
        </w:rPr>
        <w:t>做好</w:t>
      </w:r>
      <w:r>
        <w:rPr>
          <w:rFonts w:hint="eastAsia" w:ascii="仿宋" w:hAnsi="仿宋" w:eastAsia="仿宋" w:cs="宋体"/>
          <w:color w:val="000000"/>
          <w:kern w:val="0"/>
          <w:sz w:val="32"/>
          <w:szCs w:val="32"/>
        </w:rPr>
        <w:t>柔刚商务中心7</w:t>
      </w:r>
      <w:r>
        <w:rPr>
          <w:rFonts w:ascii="仿宋" w:hAnsi="仿宋" w:eastAsia="仿宋" w:cs="宋体"/>
          <w:color w:val="000000"/>
          <w:kern w:val="0"/>
          <w:sz w:val="32"/>
          <w:szCs w:val="32"/>
        </w:rPr>
        <w:t>000</w:t>
      </w:r>
      <w:r>
        <w:rPr>
          <w:rFonts w:hint="eastAsia" w:ascii="仿宋" w:hAnsi="仿宋" w:eastAsia="仿宋" w:cs="宋体"/>
          <w:color w:val="000000"/>
          <w:kern w:val="0"/>
          <w:sz w:val="32"/>
          <w:szCs w:val="32"/>
        </w:rPr>
        <w:t>平方米和柔刚写字楼及外围3</w:t>
      </w:r>
      <w:r>
        <w:rPr>
          <w:rFonts w:ascii="仿宋" w:hAnsi="仿宋" w:eastAsia="仿宋" w:cs="宋体"/>
          <w:color w:val="000000"/>
          <w:kern w:val="0"/>
          <w:sz w:val="32"/>
          <w:szCs w:val="32"/>
        </w:rPr>
        <w:t>700</w:t>
      </w:r>
      <w:r>
        <w:rPr>
          <w:rFonts w:hint="eastAsia" w:ascii="仿宋" w:hAnsi="仿宋" w:eastAsia="仿宋" w:cs="宋体"/>
          <w:color w:val="000000"/>
          <w:kern w:val="0"/>
          <w:sz w:val="32"/>
          <w:szCs w:val="32"/>
        </w:rPr>
        <w:t>平方米日常维护，保障两栋大楼的正常运行。</w:t>
      </w:r>
      <w:r>
        <w:rPr>
          <w:rFonts w:hint="eastAsia" w:ascii="仿宋" w:hAnsi="仿宋" w:eastAsia="仿宋" w:cs="仿宋"/>
          <w:kern w:val="0"/>
          <w:sz w:val="32"/>
          <w:szCs w:val="32"/>
        </w:rPr>
        <w:t>让机关工作人员有良好的工作环境</w:t>
      </w:r>
      <w:r>
        <w:rPr>
          <w:rFonts w:hint="eastAsia" w:ascii="仿宋" w:hAnsi="仿宋" w:eastAsia="仿宋" w:cs="仿宋_GB2312"/>
          <w:sz w:val="32"/>
          <w:szCs w:val="32"/>
        </w:rPr>
        <w:t>，机关工作人员满意度≥9</w:t>
      </w:r>
      <w:r>
        <w:rPr>
          <w:rFonts w:ascii="仿宋" w:hAnsi="仿宋" w:eastAsia="仿宋" w:cs="仿宋_GB2312"/>
          <w:sz w:val="32"/>
          <w:szCs w:val="32"/>
        </w:rPr>
        <w:t>0</w:t>
      </w:r>
      <w:r>
        <w:rPr>
          <w:rFonts w:hint="eastAsia" w:ascii="仿宋" w:hAnsi="仿宋" w:eastAsia="仿宋" w:cs="仿宋_GB2312"/>
          <w:sz w:val="32"/>
          <w:szCs w:val="32"/>
        </w:rPr>
        <w:t>%。</w:t>
      </w:r>
      <w:r>
        <w:rPr>
          <w:rFonts w:hint="eastAsia" w:ascii="仿宋" w:hAnsi="仿宋" w:eastAsia="仿宋" w:cs="仿宋"/>
          <w:sz w:val="32"/>
          <w:szCs w:val="32"/>
        </w:rPr>
        <w:t>2022年申报的内容与实际相符，申报目标合理可行。</w:t>
      </w:r>
    </w:p>
    <w:p>
      <w:pPr>
        <w:pageBreakBefore w:val="0"/>
        <w:widowControl/>
        <w:numPr>
          <w:ilvl w:val="0"/>
          <w:numId w:val="0"/>
        </w:numPr>
        <w:kinsoku/>
        <w:wordWrap/>
        <w:overflowPunct/>
        <w:topLinePunct w:val="0"/>
        <w:autoSpaceDE/>
        <w:autoSpaceDN/>
        <w:bidi w:val="0"/>
        <w:adjustRightInd w:val="0"/>
        <w:snapToGrid w:val="0"/>
        <w:spacing w:line="560" w:lineRule="exact"/>
        <w:ind w:leftChars="200"/>
        <w:contextualSpacing/>
        <w:jc w:val="left"/>
        <w:textAlignment w:val="auto"/>
        <w:rPr>
          <w:rFonts w:ascii="仿宋" w:hAnsi="仿宋" w:eastAsia="仿宋"/>
          <w:b/>
          <w:sz w:val="32"/>
          <w:szCs w:val="32"/>
          <w:lang w:val="zh-CN"/>
        </w:rPr>
      </w:pPr>
      <w:r>
        <w:rPr>
          <w:rFonts w:hint="eastAsia" w:ascii="仿宋" w:hAnsi="仿宋" w:eastAsia="仿宋"/>
          <w:b/>
          <w:sz w:val="32"/>
          <w:szCs w:val="32"/>
          <w:lang w:val="zh-CN"/>
        </w:rPr>
        <w:t>（</w:t>
      </w:r>
      <w:r>
        <w:rPr>
          <w:rFonts w:hint="eastAsia" w:ascii="仿宋" w:hAnsi="仿宋" w:eastAsia="仿宋"/>
          <w:b/>
          <w:sz w:val="32"/>
          <w:szCs w:val="32"/>
          <w:lang w:val="en-US" w:eastAsia="zh-CN"/>
        </w:rPr>
        <w:t>三</w:t>
      </w:r>
      <w:r>
        <w:rPr>
          <w:rFonts w:hint="eastAsia" w:ascii="仿宋" w:hAnsi="仿宋" w:eastAsia="仿宋"/>
          <w:b/>
          <w:sz w:val="32"/>
          <w:szCs w:val="32"/>
          <w:lang w:val="zh-CN"/>
        </w:rPr>
        <w:t>）项目自评步骤及方法。</w:t>
      </w:r>
    </w:p>
    <w:p>
      <w:pPr>
        <w:pStyle w:val="2"/>
        <w:pageBreakBefore w:val="0"/>
        <w:kinsoku/>
        <w:wordWrap/>
        <w:overflowPunct/>
        <w:topLinePunct w:val="0"/>
        <w:autoSpaceDE/>
        <w:autoSpaceDN/>
        <w:bidi w:val="0"/>
        <w:spacing w:after="0" w:line="560" w:lineRule="exact"/>
        <w:ind w:left="0" w:leftChars="0" w:firstLine="640" w:firstLineChars="200"/>
        <w:textAlignment w:val="auto"/>
        <w:rPr>
          <w:rFonts w:ascii="仿宋" w:hAnsi="仿宋" w:eastAsia="仿宋"/>
          <w:lang w:val="zh-CN"/>
        </w:rPr>
      </w:pPr>
      <w:r>
        <w:rPr>
          <w:rFonts w:hint="eastAsia" w:ascii="仿宋" w:hAnsi="仿宋" w:eastAsia="仿宋"/>
          <w:sz w:val="32"/>
        </w:rPr>
        <w:t>该</w:t>
      </w:r>
      <w:r>
        <w:rPr>
          <w:rFonts w:hint="eastAsia" w:ascii="仿宋" w:hAnsi="仿宋" w:eastAsia="仿宋"/>
          <w:sz w:val="32"/>
          <w:lang w:val="zh-CN"/>
        </w:rPr>
        <w:t>项目绩效自评采用自评方式，成立项目自评小组，结合评价内容，做到有计划，有安排，扎实开展本次自评工作。按照上级下达的项目支出绩效评价指标体系，自评小组针对申报内容、实施情况、资金兑现、财务管理、社会效益等作出自我评价，做好自评工作。</w:t>
      </w:r>
    </w:p>
    <w:p>
      <w:pPr>
        <w:pStyle w:val="5"/>
        <w:pageBreakBefore w:val="0"/>
        <w:kinsoku/>
        <w:wordWrap/>
        <w:overflowPunct/>
        <w:topLinePunct w:val="0"/>
        <w:autoSpaceDE/>
        <w:autoSpaceDN/>
        <w:bidi w:val="0"/>
        <w:spacing w:before="0" w:after="0" w:line="560" w:lineRule="exact"/>
        <w:ind w:left="0" w:leftChars="0" w:firstLine="640" w:firstLineChars="200"/>
        <w:textAlignment w:val="auto"/>
        <w:rPr>
          <w:rFonts w:ascii="黑体" w:eastAsia="黑体"/>
          <w:b w:val="0"/>
          <w:lang w:val="zh-CN"/>
        </w:rPr>
      </w:pPr>
      <w:bookmarkStart w:id="162" w:name="_Toc143546653"/>
      <w:bookmarkStart w:id="163" w:name="_Toc143818238"/>
      <w:bookmarkStart w:id="164" w:name="_Toc20293"/>
      <w:r>
        <w:rPr>
          <w:rFonts w:hint="eastAsia" w:ascii="黑体" w:eastAsia="黑体"/>
          <w:b w:val="0"/>
          <w:lang w:val="zh-CN"/>
        </w:rPr>
        <w:t>二、项目资金申报及使用情况</w:t>
      </w:r>
      <w:bookmarkEnd w:id="162"/>
      <w:bookmarkEnd w:id="163"/>
      <w:bookmarkEnd w:id="164"/>
    </w:p>
    <w:p>
      <w:pPr>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_GB2312" w:hAnsi="Calibri" w:eastAsia="仿宋_GB2312" w:cs="仿宋"/>
          <w:kern w:val="0"/>
          <w:sz w:val="32"/>
          <w:szCs w:val="32"/>
          <w:lang w:val="zh-CN"/>
        </w:rPr>
      </w:pPr>
      <w:r>
        <w:rPr>
          <w:rFonts w:hint="eastAsia" w:ascii="仿宋" w:hAnsi="仿宋" w:eastAsia="仿宋"/>
          <w:b/>
          <w:sz w:val="32"/>
          <w:szCs w:val="32"/>
          <w:lang w:val="zh-CN"/>
        </w:rPr>
        <w:t>（一）项目资金申报及批复情况。</w:t>
      </w:r>
    </w:p>
    <w:p>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ascii="仿宋" w:hAnsi="仿宋" w:eastAsia="仿宋"/>
          <w:sz w:val="32"/>
          <w:szCs w:val="32"/>
          <w:lang w:val="zh-CN"/>
        </w:rPr>
      </w:pPr>
      <w:r>
        <w:rPr>
          <w:rFonts w:hint="eastAsia" w:ascii="仿宋" w:hAnsi="仿宋" w:eastAsia="仿宋" w:cs="仿宋"/>
          <w:sz w:val="32"/>
          <w:szCs w:val="32"/>
        </w:rPr>
        <w:t>柔刚写字楼和商务中心运行费</w:t>
      </w:r>
      <w:r>
        <w:rPr>
          <w:rFonts w:hint="eastAsia" w:ascii="仿宋" w:hAnsi="仿宋" w:eastAsia="仿宋"/>
          <w:sz w:val="32"/>
          <w:szCs w:val="32"/>
          <w:lang w:val="zh-CN"/>
        </w:rPr>
        <w:t>项目资金申报</w:t>
      </w:r>
      <w:r>
        <w:rPr>
          <w:rFonts w:ascii="仿宋" w:hAnsi="仿宋" w:eastAsia="仿宋"/>
          <w:sz w:val="32"/>
          <w:szCs w:val="32"/>
        </w:rPr>
        <w:t>200</w:t>
      </w:r>
      <w:r>
        <w:rPr>
          <w:rFonts w:hint="eastAsia" w:ascii="仿宋" w:hAnsi="仿宋" w:eastAsia="仿宋"/>
          <w:sz w:val="32"/>
          <w:szCs w:val="32"/>
        </w:rPr>
        <w:t>万</w:t>
      </w:r>
      <w:r>
        <w:rPr>
          <w:rFonts w:hint="eastAsia" w:ascii="仿宋" w:hAnsi="仿宋" w:eastAsia="仿宋"/>
          <w:sz w:val="32"/>
          <w:szCs w:val="32"/>
          <w:lang w:val="zh-CN"/>
        </w:rPr>
        <w:t>，批复</w:t>
      </w:r>
      <w:r>
        <w:rPr>
          <w:rFonts w:ascii="仿宋" w:hAnsi="仿宋" w:eastAsia="仿宋"/>
          <w:sz w:val="32"/>
          <w:szCs w:val="32"/>
        </w:rPr>
        <w:t>200</w:t>
      </w:r>
      <w:r>
        <w:rPr>
          <w:rFonts w:hint="eastAsia" w:ascii="仿宋" w:hAnsi="仿宋" w:eastAsia="仿宋"/>
          <w:sz w:val="32"/>
          <w:szCs w:val="32"/>
        </w:rPr>
        <w:t>万</w:t>
      </w:r>
      <w:r>
        <w:rPr>
          <w:rFonts w:hint="eastAsia" w:ascii="仿宋" w:hAnsi="仿宋" w:eastAsia="仿宋"/>
          <w:sz w:val="32"/>
          <w:szCs w:val="32"/>
          <w:lang w:val="zh-CN"/>
        </w:rPr>
        <w:t>。</w:t>
      </w:r>
    </w:p>
    <w:p>
      <w:pPr>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 w:hAnsi="仿宋" w:eastAsia="仿宋"/>
          <w:b/>
          <w:sz w:val="32"/>
          <w:szCs w:val="32"/>
          <w:lang w:val="zh-CN"/>
        </w:rPr>
      </w:pPr>
      <w:r>
        <w:rPr>
          <w:rFonts w:hint="eastAsia" w:ascii="仿宋" w:hAnsi="仿宋" w:eastAsia="仿宋"/>
          <w:b/>
          <w:sz w:val="32"/>
          <w:szCs w:val="32"/>
          <w:lang w:val="zh-CN"/>
        </w:rPr>
        <w:t>（二）资金计划、到位及使用情况（可用表格形式反映）。</w:t>
      </w:r>
    </w:p>
    <w:p>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ascii="仿宋" w:hAnsi="仿宋" w:eastAsia="仿宋"/>
          <w:sz w:val="32"/>
          <w:szCs w:val="32"/>
          <w:lang w:val="zh-CN"/>
        </w:rPr>
      </w:pPr>
      <w:r>
        <w:rPr>
          <w:rFonts w:hint="eastAsia" w:ascii="仿宋" w:hAnsi="仿宋" w:eastAsia="仿宋"/>
          <w:sz w:val="32"/>
          <w:szCs w:val="32"/>
          <w:lang w:val="zh-CN"/>
        </w:rPr>
        <w:t>1．资金计划。</w:t>
      </w:r>
      <w:r>
        <w:rPr>
          <w:rFonts w:hint="eastAsia" w:ascii="仿宋" w:hAnsi="仿宋" w:eastAsia="仿宋" w:cs="仿宋_GB2312"/>
          <w:sz w:val="32"/>
          <w:szCs w:val="32"/>
        </w:rPr>
        <w:t>该项目资金计划</w:t>
      </w:r>
      <w:r>
        <w:rPr>
          <w:rFonts w:ascii="仿宋" w:hAnsi="仿宋" w:eastAsia="仿宋" w:cs="仿宋_GB2312"/>
          <w:sz w:val="32"/>
          <w:szCs w:val="32"/>
        </w:rPr>
        <w:t>200</w:t>
      </w:r>
      <w:r>
        <w:rPr>
          <w:rFonts w:hint="eastAsia" w:ascii="仿宋" w:hAnsi="仿宋" w:eastAsia="仿宋" w:cs="仿宋_GB2312"/>
          <w:sz w:val="32"/>
          <w:szCs w:val="32"/>
        </w:rPr>
        <w:t>万元</w:t>
      </w:r>
      <w:r>
        <w:rPr>
          <w:rFonts w:hint="eastAsia" w:ascii="仿宋" w:hAnsi="仿宋" w:eastAsia="仿宋"/>
          <w:sz w:val="32"/>
          <w:szCs w:val="32"/>
          <w:lang w:val="zh-CN"/>
        </w:rPr>
        <w:t>。</w:t>
      </w:r>
    </w:p>
    <w:p>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ascii="仿宋" w:hAnsi="仿宋" w:eastAsia="仿宋"/>
          <w:sz w:val="32"/>
          <w:szCs w:val="32"/>
          <w:lang w:val="zh-CN"/>
        </w:rPr>
      </w:pPr>
      <w:r>
        <w:rPr>
          <w:rFonts w:hint="eastAsia" w:ascii="仿宋" w:hAnsi="仿宋" w:eastAsia="仿宋"/>
          <w:sz w:val="32"/>
          <w:szCs w:val="32"/>
          <w:lang w:val="zh-CN"/>
        </w:rPr>
        <w:t>2．资金到位。</w:t>
      </w:r>
      <w:r>
        <w:rPr>
          <w:rFonts w:hint="eastAsia" w:ascii="仿宋" w:hAnsi="仿宋" w:eastAsia="仿宋" w:cs="仿宋_GB2312"/>
          <w:sz w:val="32"/>
          <w:szCs w:val="32"/>
        </w:rPr>
        <w:t>该项目资金截止评价时点实际到位</w:t>
      </w:r>
      <w:r>
        <w:rPr>
          <w:rFonts w:ascii="仿宋" w:hAnsi="仿宋" w:eastAsia="仿宋" w:cs="仿宋_GB2312"/>
          <w:sz w:val="32"/>
          <w:szCs w:val="32"/>
        </w:rPr>
        <w:t>200</w:t>
      </w:r>
      <w:r>
        <w:rPr>
          <w:rFonts w:hint="eastAsia" w:ascii="仿宋" w:hAnsi="仿宋" w:eastAsia="仿宋" w:cs="仿宋_GB2312"/>
          <w:sz w:val="32"/>
          <w:szCs w:val="32"/>
        </w:rPr>
        <w:t>万元</w:t>
      </w:r>
    </w:p>
    <w:p>
      <w:pPr>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ascii="仿宋" w:hAnsi="仿宋" w:eastAsia="仿宋" w:cs="仿宋"/>
          <w:kern w:val="0"/>
          <w:sz w:val="32"/>
          <w:szCs w:val="32"/>
          <w:lang w:val="zh-CN"/>
        </w:rPr>
      </w:pPr>
      <w:r>
        <w:rPr>
          <w:rFonts w:hint="eastAsia" w:ascii="仿宋" w:hAnsi="仿宋" w:eastAsia="仿宋"/>
          <w:sz w:val="32"/>
          <w:szCs w:val="32"/>
          <w:lang w:val="zh-CN"/>
        </w:rPr>
        <w:t>3．资金使用。</w:t>
      </w:r>
      <w:r>
        <w:rPr>
          <w:rFonts w:hint="eastAsia" w:ascii="仿宋" w:hAnsi="仿宋" w:eastAsia="仿宋" w:cs="仿宋_GB2312"/>
          <w:sz w:val="32"/>
          <w:szCs w:val="32"/>
        </w:rPr>
        <w:t>截止评价时点项目资金的实际支出</w:t>
      </w:r>
      <w:r>
        <w:rPr>
          <w:rFonts w:ascii="仿宋" w:hAnsi="仿宋" w:eastAsia="仿宋" w:cs="仿宋_GB2312"/>
          <w:sz w:val="32"/>
          <w:szCs w:val="32"/>
        </w:rPr>
        <w:t>197.52</w:t>
      </w:r>
      <w:r>
        <w:rPr>
          <w:rFonts w:hint="eastAsia" w:ascii="仿宋" w:hAnsi="仿宋" w:eastAsia="仿宋" w:cs="仿宋_GB2312"/>
          <w:sz w:val="32"/>
          <w:szCs w:val="32"/>
        </w:rPr>
        <w:t>万元，主要是用于</w:t>
      </w:r>
      <w:r>
        <w:rPr>
          <w:rFonts w:hint="eastAsia" w:ascii="仿宋" w:hAnsi="仿宋" w:eastAsia="仿宋" w:cs="仿宋"/>
          <w:kern w:val="0"/>
          <w:sz w:val="32"/>
          <w:szCs w:val="32"/>
        </w:rPr>
        <w:t>柔刚写字楼及商务中心的日常维护工作，保障两栋大楼的正常运行</w:t>
      </w:r>
      <w:r>
        <w:rPr>
          <w:rFonts w:hint="eastAsia" w:ascii="仿宋" w:hAnsi="仿宋" w:eastAsia="仿宋" w:cs="仿宋_GB2312"/>
          <w:sz w:val="32"/>
          <w:szCs w:val="32"/>
        </w:rPr>
        <w:t>等方面的工作，其中</w:t>
      </w:r>
      <w:r>
        <w:rPr>
          <w:rFonts w:hint="eastAsia" w:ascii="仿宋" w:hAnsi="仿宋" w:eastAsia="仿宋" w:cs="仿宋_GB2312"/>
          <w:sz w:val="32"/>
          <w:szCs w:val="32"/>
          <w:lang w:eastAsia="zh-CN"/>
        </w:rPr>
        <w:t>：</w:t>
      </w:r>
      <w:r>
        <w:rPr>
          <w:rFonts w:hint="eastAsia" w:ascii="仿宋" w:hAnsi="仿宋" w:eastAsia="仿宋" w:cs="仿宋_GB2312"/>
          <w:sz w:val="32"/>
          <w:szCs w:val="32"/>
        </w:rPr>
        <w:t>办公费</w:t>
      </w:r>
      <w:r>
        <w:rPr>
          <w:rFonts w:ascii="仿宋" w:hAnsi="仿宋" w:eastAsia="仿宋" w:cs="仿宋_GB2312"/>
          <w:sz w:val="32"/>
          <w:szCs w:val="32"/>
        </w:rPr>
        <w:t>16</w:t>
      </w:r>
      <w:r>
        <w:rPr>
          <w:rFonts w:hint="eastAsia" w:ascii="仿宋" w:hAnsi="仿宋" w:eastAsia="仿宋" w:cs="仿宋_GB2312"/>
          <w:sz w:val="32"/>
          <w:szCs w:val="32"/>
        </w:rPr>
        <w:t>.</w:t>
      </w:r>
      <w:r>
        <w:rPr>
          <w:rFonts w:ascii="仿宋" w:hAnsi="仿宋" w:eastAsia="仿宋" w:cs="仿宋_GB2312"/>
          <w:sz w:val="32"/>
          <w:szCs w:val="32"/>
        </w:rPr>
        <w:t>11</w:t>
      </w:r>
      <w:r>
        <w:rPr>
          <w:rFonts w:hint="eastAsia" w:ascii="仿宋" w:hAnsi="仿宋" w:eastAsia="仿宋" w:cs="仿宋_GB2312"/>
          <w:sz w:val="32"/>
          <w:szCs w:val="32"/>
        </w:rPr>
        <w:t>万元，邮电费1.</w:t>
      </w:r>
      <w:r>
        <w:rPr>
          <w:rFonts w:ascii="仿宋" w:hAnsi="仿宋" w:eastAsia="仿宋" w:cs="仿宋_GB2312"/>
          <w:sz w:val="32"/>
          <w:szCs w:val="32"/>
        </w:rPr>
        <w:t>55</w:t>
      </w:r>
      <w:r>
        <w:rPr>
          <w:rFonts w:hint="eastAsia" w:ascii="仿宋" w:hAnsi="仿宋" w:eastAsia="仿宋" w:cs="仿宋_GB2312"/>
          <w:sz w:val="32"/>
          <w:szCs w:val="32"/>
        </w:rPr>
        <w:t>万元。</w:t>
      </w:r>
    </w:p>
    <w:p>
      <w:pPr>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 w:hAnsi="仿宋" w:eastAsia="仿宋"/>
          <w:b/>
          <w:sz w:val="32"/>
          <w:szCs w:val="32"/>
          <w:lang w:val="zh-CN"/>
        </w:rPr>
      </w:pPr>
      <w:r>
        <w:rPr>
          <w:rFonts w:hint="eastAsia" w:ascii="仿宋" w:hAnsi="仿宋" w:eastAsia="仿宋"/>
          <w:b/>
          <w:sz w:val="32"/>
          <w:szCs w:val="32"/>
          <w:lang w:val="zh-CN"/>
        </w:rPr>
        <w:t>（三）项目财务管理情况。</w:t>
      </w:r>
    </w:p>
    <w:p>
      <w:pPr>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ascii="仿宋" w:hAnsi="仿宋" w:eastAsia="仿宋" w:cs="仿宋"/>
          <w:kern w:val="0"/>
          <w:sz w:val="32"/>
          <w:szCs w:val="32"/>
          <w:lang w:val="zh-CN"/>
        </w:rPr>
      </w:pPr>
      <w:r>
        <w:rPr>
          <w:rFonts w:hint="eastAsia" w:ascii="仿宋" w:hAnsi="仿宋" w:eastAsia="仿宋" w:cs="仿宋_GB2312"/>
          <w:sz w:val="32"/>
          <w:szCs w:val="32"/>
        </w:rPr>
        <w:t>该项目财务管理制度实行政府财务会计制度，建立了单位内控制度，严格按照相关的制度进行会计核算及账务处理，对照项目资金管理办法，该项目严格执行财务管理制度、财务处理较及时、会计核算规范</w:t>
      </w:r>
      <w:r>
        <w:rPr>
          <w:rFonts w:hint="eastAsia" w:ascii="仿宋" w:hAnsi="仿宋" w:eastAsia="仿宋"/>
          <w:sz w:val="32"/>
          <w:szCs w:val="32"/>
          <w:lang w:val="zh-CN"/>
        </w:rPr>
        <w:t>。</w:t>
      </w:r>
    </w:p>
    <w:p>
      <w:pPr>
        <w:pStyle w:val="5"/>
        <w:pageBreakBefore w:val="0"/>
        <w:kinsoku/>
        <w:wordWrap/>
        <w:overflowPunct/>
        <w:topLinePunct w:val="0"/>
        <w:autoSpaceDE/>
        <w:autoSpaceDN/>
        <w:bidi w:val="0"/>
        <w:spacing w:before="0" w:after="0" w:line="560" w:lineRule="exact"/>
        <w:ind w:left="0" w:leftChars="0" w:firstLine="640" w:firstLineChars="200"/>
        <w:textAlignment w:val="auto"/>
        <w:rPr>
          <w:rFonts w:ascii="仿宋" w:hAnsi="仿宋" w:eastAsia="仿宋"/>
          <w:b w:val="0"/>
          <w:lang w:val="zh-CN"/>
        </w:rPr>
      </w:pPr>
      <w:bookmarkStart w:id="165" w:name="_Toc143546654"/>
      <w:bookmarkStart w:id="166" w:name="_Toc143818239"/>
      <w:bookmarkStart w:id="167" w:name="_Toc7876"/>
      <w:r>
        <w:rPr>
          <w:rFonts w:hint="eastAsia" w:ascii="仿宋" w:hAnsi="仿宋" w:eastAsia="仿宋"/>
          <w:b w:val="0"/>
          <w:lang w:val="zh-CN"/>
        </w:rPr>
        <w:t>三、项目实施及管理情况</w:t>
      </w:r>
      <w:bookmarkEnd w:id="165"/>
      <w:bookmarkEnd w:id="166"/>
      <w:bookmarkEnd w:id="167"/>
    </w:p>
    <w:p>
      <w:pPr>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ascii="仿宋" w:hAnsi="仿宋" w:eastAsia="仿宋" w:cs="仿宋"/>
          <w:kern w:val="0"/>
          <w:sz w:val="32"/>
          <w:szCs w:val="32"/>
          <w:lang w:val="zh-CN"/>
        </w:rPr>
      </w:pPr>
      <w:r>
        <w:rPr>
          <w:rFonts w:hint="eastAsia" w:ascii="仿宋" w:hAnsi="仿宋" w:eastAsia="仿宋" w:cs="仿宋"/>
          <w:kern w:val="0"/>
          <w:sz w:val="32"/>
          <w:szCs w:val="32"/>
          <w:lang w:val="zh-CN"/>
        </w:rPr>
        <w:t>结合项目组织实施管理办法，重点围绕以下内容进行分析评价，并对自评中发现的问题分析说明。</w:t>
      </w:r>
    </w:p>
    <w:p>
      <w:pPr>
        <w:pageBreakBefore w:val="0"/>
        <w:widowControl/>
        <w:numPr>
          <w:ilvl w:val="0"/>
          <w:numId w:val="7"/>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 w:hAnsi="仿宋" w:eastAsia="仿宋"/>
          <w:b/>
          <w:sz w:val="32"/>
          <w:szCs w:val="32"/>
          <w:lang w:val="zh-CN"/>
        </w:rPr>
      </w:pPr>
      <w:r>
        <w:rPr>
          <w:rFonts w:hint="eastAsia" w:ascii="仿宋" w:hAnsi="仿宋" w:eastAsia="仿宋"/>
          <w:b/>
          <w:sz w:val="32"/>
          <w:szCs w:val="32"/>
          <w:lang w:val="zh-CN"/>
        </w:rPr>
        <w:t>项目组织架构及实施流程。</w:t>
      </w:r>
    </w:p>
    <w:p>
      <w:pPr>
        <w:pStyle w:val="2"/>
        <w:pageBreakBefore w:val="0"/>
        <w:kinsoku/>
        <w:wordWrap/>
        <w:overflowPunct/>
        <w:topLinePunct w:val="0"/>
        <w:autoSpaceDE/>
        <w:autoSpaceDN/>
        <w:bidi w:val="0"/>
        <w:spacing w:after="0" w:line="560" w:lineRule="exact"/>
        <w:ind w:left="0" w:leftChars="0" w:firstLine="640" w:firstLineChars="200"/>
        <w:textAlignment w:val="auto"/>
        <w:rPr>
          <w:rFonts w:ascii="仿宋" w:hAnsi="仿宋" w:eastAsia="仿宋"/>
          <w:lang w:val="zh-CN"/>
        </w:rPr>
      </w:pPr>
      <w:r>
        <w:rPr>
          <w:rFonts w:hint="eastAsia" w:ascii="仿宋" w:hAnsi="仿宋" w:eastAsia="仿宋" w:cs="仿宋"/>
          <w:sz w:val="32"/>
        </w:rPr>
        <w:t>柔刚写字楼和商务中心运行费</w:t>
      </w:r>
      <w:r>
        <w:rPr>
          <w:rFonts w:hint="eastAsia" w:ascii="仿宋" w:hAnsi="仿宋" w:eastAsia="仿宋"/>
          <w:sz w:val="32"/>
        </w:rPr>
        <w:t>严格按照专款专用原则，及时通知有关单位提供合法票据，完善报账手续，严格票据审核，规范报账程序，确保资金使用的及时性、规范性，同时财政部门对资金支付严格审核，确保资金使用安全。</w:t>
      </w:r>
    </w:p>
    <w:p>
      <w:pPr>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 w:hAnsi="仿宋" w:eastAsia="仿宋" w:cs="仿宋"/>
          <w:kern w:val="0"/>
          <w:sz w:val="32"/>
          <w:szCs w:val="32"/>
          <w:lang w:val="zh-CN"/>
        </w:rPr>
      </w:pPr>
      <w:r>
        <w:rPr>
          <w:rFonts w:hint="eastAsia" w:ascii="仿宋" w:hAnsi="仿宋" w:eastAsia="仿宋"/>
          <w:b/>
          <w:sz w:val="32"/>
          <w:szCs w:val="32"/>
          <w:lang w:val="zh-CN"/>
        </w:rPr>
        <w:t>（二）项目管理情况。</w:t>
      </w:r>
      <w:r>
        <w:rPr>
          <w:rFonts w:hint="eastAsia" w:ascii="仿宋" w:hAnsi="仿宋" w:eastAsia="仿宋"/>
          <w:sz w:val="32"/>
          <w:szCs w:val="32"/>
        </w:rPr>
        <w:t>项目严格按照区级有关规定执行，严格</w:t>
      </w:r>
      <w:r>
        <w:rPr>
          <w:rFonts w:hint="eastAsia" w:ascii="仿宋" w:hAnsi="仿宋" w:eastAsia="仿宋" w:cs="仿宋_GB2312"/>
          <w:sz w:val="32"/>
          <w:szCs w:val="32"/>
        </w:rPr>
        <w:t>用于</w:t>
      </w:r>
      <w:r>
        <w:rPr>
          <w:rFonts w:hint="eastAsia" w:ascii="仿宋" w:hAnsi="仿宋" w:eastAsia="仿宋" w:cs="仿宋"/>
          <w:kern w:val="0"/>
          <w:sz w:val="32"/>
          <w:szCs w:val="32"/>
        </w:rPr>
        <w:t>柔刚写字楼及商务中心的日常维护工作，保障两栋大楼的正常运行</w:t>
      </w:r>
      <w:r>
        <w:rPr>
          <w:rFonts w:hint="eastAsia" w:ascii="仿宋" w:hAnsi="仿宋" w:eastAsia="仿宋" w:cs="仿宋_GB2312"/>
          <w:sz w:val="32"/>
          <w:szCs w:val="32"/>
        </w:rPr>
        <w:t>等方面的工作</w:t>
      </w:r>
      <w:r>
        <w:rPr>
          <w:rFonts w:hint="eastAsia" w:ascii="仿宋" w:hAnsi="仿宋" w:eastAsia="仿宋"/>
          <w:sz w:val="32"/>
          <w:szCs w:val="32"/>
        </w:rPr>
        <w:t>支出，</w:t>
      </w:r>
      <w:r>
        <w:rPr>
          <w:rFonts w:ascii="仿宋" w:hAnsi="仿宋" w:eastAsia="仿宋"/>
          <w:sz w:val="32"/>
          <w:szCs w:val="32"/>
          <w:lang w:val="zh-CN"/>
        </w:rPr>
        <w:t>资金专款专用</w:t>
      </w:r>
      <w:r>
        <w:rPr>
          <w:rFonts w:hint="eastAsia" w:ascii="仿宋" w:hAnsi="仿宋" w:eastAsia="仿宋"/>
          <w:sz w:val="32"/>
          <w:szCs w:val="32"/>
          <w:lang w:val="zh-CN"/>
        </w:rPr>
        <w:t>。</w:t>
      </w:r>
    </w:p>
    <w:p>
      <w:pPr>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_GB2312" w:hAnsi="Calibri" w:eastAsia="仿宋_GB2312" w:cs="仿宋"/>
          <w:kern w:val="0"/>
          <w:sz w:val="32"/>
          <w:szCs w:val="32"/>
          <w:lang w:val="zh-CN"/>
        </w:rPr>
      </w:pPr>
      <w:r>
        <w:rPr>
          <w:rFonts w:hint="eastAsia" w:ascii="仿宋" w:hAnsi="仿宋" w:eastAsia="仿宋"/>
          <w:b/>
          <w:sz w:val="32"/>
          <w:szCs w:val="32"/>
          <w:lang w:val="zh-CN"/>
        </w:rPr>
        <w:t>（三）项目监管情况。</w:t>
      </w:r>
      <w:r>
        <w:rPr>
          <w:rFonts w:hint="eastAsia" w:ascii="仿宋" w:hAnsi="仿宋" w:eastAsia="仿宋" w:cs="仿宋_GB2312"/>
          <w:sz w:val="32"/>
          <w:szCs w:val="32"/>
        </w:rPr>
        <w:t>项目由机关事务服务中心监管，并严格按照相关财经纪律执行。</w:t>
      </w:r>
    </w:p>
    <w:p>
      <w:pPr>
        <w:pStyle w:val="5"/>
        <w:pageBreakBefore w:val="0"/>
        <w:kinsoku/>
        <w:wordWrap/>
        <w:overflowPunct/>
        <w:topLinePunct w:val="0"/>
        <w:autoSpaceDE/>
        <w:autoSpaceDN/>
        <w:bidi w:val="0"/>
        <w:spacing w:before="0" w:after="0" w:line="560" w:lineRule="exact"/>
        <w:ind w:left="0" w:leftChars="0" w:firstLine="640" w:firstLineChars="200"/>
        <w:textAlignment w:val="auto"/>
        <w:rPr>
          <w:rFonts w:ascii="黑体" w:eastAsia="黑体"/>
          <w:b w:val="0"/>
          <w:lang w:val="zh-CN"/>
        </w:rPr>
      </w:pPr>
      <w:bookmarkStart w:id="168" w:name="_Toc143546655"/>
      <w:bookmarkStart w:id="169" w:name="_Toc143818240"/>
      <w:bookmarkStart w:id="170" w:name="_Toc20421"/>
      <w:r>
        <w:rPr>
          <w:rFonts w:hint="eastAsia" w:ascii="黑体" w:eastAsia="黑体"/>
          <w:b w:val="0"/>
          <w:lang w:val="zh-CN"/>
        </w:rPr>
        <w:t>四、项目绩效情况</w:t>
      </w:r>
      <w:bookmarkEnd w:id="168"/>
      <w:bookmarkEnd w:id="169"/>
      <w:bookmarkEnd w:id="170"/>
      <w:r>
        <w:rPr>
          <w:rFonts w:hint="eastAsia" w:ascii="黑体" w:eastAsia="黑体"/>
          <w:b w:val="0"/>
          <w:lang w:val="zh-CN"/>
        </w:rPr>
        <w:tab/>
      </w:r>
    </w:p>
    <w:p>
      <w:pPr>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 w:hAnsi="仿宋" w:eastAsia="仿宋"/>
          <w:b/>
          <w:sz w:val="32"/>
          <w:szCs w:val="32"/>
          <w:lang w:val="zh-CN"/>
        </w:rPr>
      </w:pPr>
      <w:r>
        <w:rPr>
          <w:rFonts w:hint="eastAsia" w:ascii="仿宋" w:hAnsi="仿宋" w:eastAsia="仿宋"/>
          <w:b/>
          <w:sz w:val="32"/>
          <w:szCs w:val="32"/>
          <w:lang w:val="zh-CN"/>
        </w:rPr>
        <w:t>（一）项目完成情况。</w:t>
      </w:r>
    </w:p>
    <w:p>
      <w:pPr>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ascii="仿宋" w:hAnsi="仿宋" w:eastAsia="仿宋" w:cs="仿宋"/>
          <w:kern w:val="0"/>
          <w:sz w:val="32"/>
          <w:szCs w:val="32"/>
        </w:rPr>
      </w:pPr>
      <w:r>
        <w:rPr>
          <w:rFonts w:hint="eastAsia" w:ascii="仿宋" w:hAnsi="仿宋" w:eastAsia="仿宋" w:cs="仿宋"/>
          <w:bCs/>
          <w:sz w:val="32"/>
          <w:szCs w:val="32"/>
        </w:rPr>
        <w:t>对</w:t>
      </w:r>
      <w:r>
        <w:rPr>
          <w:rFonts w:hint="eastAsia" w:ascii="仿宋" w:hAnsi="仿宋" w:eastAsia="仿宋" w:cs="仿宋"/>
          <w:sz w:val="32"/>
          <w:szCs w:val="32"/>
        </w:rPr>
        <w:t>柔刚写字楼和商务中心</w:t>
      </w:r>
      <w:r>
        <w:rPr>
          <w:rFonts w:hint="eastAsia" w:ascii="仿宋" w:hAnsi="仿宋" w:eastAsia="仿宋" w:cs="仿宋"/>
          <w:kern w:val="0"/>
          <w:sz w:val="32"/>
          <w:szCs w:val="32"/>
        </w:rPr>
        <w:t>约</w:t>
      </w:r>
      <w:r>
        <w:rPr>
          <w:rFonts w:ascii="仿宋" w:hAnsi="仿宋" w:eastAsia="仿宋" w:cs="仿宋"/>
          <w:kern w:val="0"/>
          <w:sz w:val="32"/>
          <w:szCs w:val="32"/>
        </w:rPr>
        <w:t>1070</w:t>
      </w:r>
      <w:r>
        <w:rPr>
          <w:rFonts w:hint="eastAsia" w:ascii="仿宋" w:hAnsi="仿宋" w:eastAsia="仿宋" w:cs="仿宋"/>
          <w:kern w:val="0"/>
          <w:sz w:val="32"/>
          <w:szCs w:val="32"/>
        </w:rPr>
        <w:t>0多平方的维护，</w:t>
      </w:r>
      <w:r>
        <w:rPr>
          <w:rFonts w:hint="eastAsia" w:ascii="仿宋" w:hAnsi="仿宋" w:eastAsia="仿宋" w:cs="仿宋"/>
          <w:sz w:val="32"/>
          <w:szCs w:val="32"/>
        </w:rPr>
        <w:t>保障大楼正常运行。</w:t>
      </w:r>
      <w:r>
        <w:rPr>
          <w:rFonts w:hint="eastAsia" w:ascii="仿宋" w:hAnsi="仿宋" w:eastAsia="仿宋" w:cs="仿宋"/>
          <w:kern w:val="0"/>
          <w:sz w:val="32"/>
          <w:szCs w:val="32"/>
        </w:rPr>
        <w:t>做好后勤保障工作，让机关工作人员有良好的工作环境，机关人员满意度≥90%。</w:t>
      </w:r>
    </w:p>
    <w:p>
      <w:pPr>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_GB2312" w:hAnsi="Calibri" w:eastAsia="仿宋_GB2312" w:cs="仿宋"/>
          <w:kern w:val="0"/>
          <w:sz w:val="32"/>
          <w:szCs w:val="32"/>
          <w:lang w:val="zh-CN"/>
        </w:rPr>
      </w:pPr>
      <w:r>
        <w:rPr>
          <w:rFonts w:hint="eastAsia" w:ascii="仿宋" w:hAnsi="仿宋" w:eastAsia="仿宋"/>
          <w:b/>
          <w:sz w:val="32"/>
          <w:szCs w:val="32"/>
          <w:lang w:val="zh-CN"/>
        </w:rPr>
        <w:t>（二）项目效益情况。</w:t>
      </w:r>
    </w:p>
    <w:p>
      <w:pPr>
        <w:pStyle w:val="5"/>
        <w:pageBreakBefore w:val="0"/>
        <w:kinsoku/>
        <w:wordWrap/>
        <w:overflowPunct/>
        <w:topLinePunct w:val="0"/>
        <w:autoSpaceDE/>
        <w:autoSpaceDN/>
        <w:bidi w:val="0"/>
        <w:spacing w:before="0" w:after="0" w:line="560" w:lineRule="exact"/>
        <w:ind w:left="0" w:leftChars="0" w:firstLine="640" w:firstLineChars="200"/>
        <w:textAlignment w:val="auto"/>
        <w:rPr>
          <w:rFonts w:ascii="仿宋_GB2312" w:hAnsi="仿宋_GB2312" w:eastAsia="仿宋_GB2312" w:cs="仿宋_GB2312"/>
          <w:b w:val="0"/>
          <w:bCs w:val="0"/>
        </w:rPr>
      </w:pPr>
      <w:bookmarkStart w:id="171" w:name="_Toc143546656"/>
      <w:bookmarkStart w:id="172" w:name="_Toc143818241"/>
      <w:bookmarkStart w:id="173" w:name="_Toc32118"/>
      <w:r>
        <w:rPr>
          <w:rFonts w:hint="eastAsia" w:ascii="仿宋" w:hAnsi="仿宋" w:eastAsia="仿宋" w:cs="仿宋"/>
          <w:b w:val="0"/>
          <w:bCs w:val="0"/>
        </w:rPr>
        <w:t>做好</w:t>
      </w:r>
      <w:r>
        <w:rPr>
          <w:rFonts w:hint="eastAsia" w:ascii="仿宋" w:hAnsi="仿宋" w:eastAsia="仿宋" w:cs="仿宋"/>
          <w:b w:val="0"/>
          <w:bCs w:val="0"/>
          <w:kern w:val="0"/>
        </w:rPr>
        <w:t>约</w:t>
      </w:r>
      <w:r>
        <w:rPr>
          <w:rFonts w:ascii="仿宋" w:hAnsi="仿宋" w:eastAsia="仿宋" w:cs="仿宋"/>
          <w:b w:val="0"/>
          <w:bCs w:val="0"/>
          <w:kern w:val="0"/>
        </w:rPr>
        <w:t>10700</w:t>
      </w:r>
      <w:r>
        <w:rPr>
          <w:rFonts w:hint="eastAsia" w:ascii="仿宋" w:hAnsi="仿宋" w:eastAsia="仿宋" w:cs="仿宋"/>
          <w:b w:val="0"/>
          <w:bCs w:val="0"/>
          <w:kern w:val="0"/>
        </w:rPr>
        <w:t>多平方工作区域的</w:t>
      </w:r>
      <w:r>
        <w:rPr>
          <w:rFonts w:hint="eastAsia" w:ascii="仿宋" w:hAnsi="仿宋" w:eastAsia="仿宋" w:cs="仿宋"/>
          <w:b w:val="0"/>
          <w:bCs w:val="0"/>
        </w:rPr>
        <w:t>日常维护工作，保障大楼正常运行</w:t>
      </w:r>
      <w:r>
        <w:rPr>
          <w:rFonts w:hint="eastAsia" w:ascii="仿宋" w:hAnsi="仿宋" w:eastAsia="仿宋" w:cs="仿宋"/>
          <w:b w:val="0"/>
          <w:bCs w:val="0"/>
          <w:kern w:val="0"/>
        </w:rPr>
        <w:t>，节约能源，减少浪费</w:t>
      </w:r>
      <w:r>
        <w:rPr>
          <w:rFonts w:hint="eastAsia" w:ascii="仿宋_GB2312" w:hAnsi="仿宋_GB2312" w:eastAsia="仿宋_GB2312" w:cs="仿宋_GB2312"/>
          <w:b w:val="0"/>
          <w:bCs w:val="0"/>
        </w:rPr>
        <w:t>。</w:t>
      </w:r>
      <w:bookmarkEnd w:id="171"/>
      <w:bookmarkEnd w:id="172"/>
      <w:bookmarkEnd w:id="173"/>
    </w:p>
    <w:p>
      <w:pPr>
        <w:pStyle w:val="5"/>
        <w:pageBreakBefore w:val="0"/>
        <w:kinsoku/>
        <w:wordWrap/>
        <w:overflowPunct/>
        <w:topLinePunct w:val="0"/>
        <w:autoSpaceDE/>
        <w:autoSpaceDN/>
        <w:bidi w:val="0"/>
        <w:spacing w:before="0" w:after="0" w:line="560" w:lineRule="exact"/>
        <w:ind w:left="0" w:leftChars="0" w:firstLine="640" w:firstLineChars="200"/>
        <w:textAlignment w:val="auto"/>
        <w:rPr>
          <w:rFonts w:ascii="黑体" w:eastAsia="黑体"/>
          <w:b w:val="0"/>
          <w:lang w:val="zh-CN"/>
        </w:rPr>
      </w:pPr>
      <w:bookmarkStart w:id="174" w:name="_Toc143818242"/>
      <w:bookmarkStart w:id="175" w:name="_Toc143546657"/>
      <w:bookmarkStart w:id="176" w:name="_Toc5298"/>
      <w:r>
        <w:rPr>
          <w:rFonts w:hint="eastAsia" w:ascii="黑体" w:eastAsia="黑体"/>
          <w:b w:val="0"/>
          <w:lang w:val="zh-CN"/>
        </w:rPr>
        <w:t>五、评价结论及建议</w:t>
      </w:r>
      <w:bookmarkEnd w:id="174"/>
      <w:bookmarkEnd w:id="175"/>
      <w:bookmarkEnd w:id="176"/>
    </w:p>
    <w:p>
      <w:pPr>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 w:hAnsi="仿宋" w:eastAsia="仿宋"/>
          <w:b/>
          <w:sz w:val="32"/>
          <w:szCs w:val="32"/>
          <w:lang w:val="zh-CN"/>
        </w:rPr>
      </w:pPr>
      <w:r>
        <w:rPr>
          <w:rFonts w:hint="eastAsia" w:ascii="仿宋" w:hAnsi="仿宋" w:eastAsia="仿宋"/>
          <w:b/>
          <w:sz w:val="32"/>
          <w:szCs w:val="32"/>
          <w:lang w:val="zh-CN"/>
        </w:rPr>
        <w:t>（一）评价结论。</w:t>
      </w:r>
    </w:p>
    <w:p>
      <w:pPr>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ascii="仿宋_GB2312" w:hAnsi="Calibri" w:eastAsia="仿宋_GB2312" w:cs="仿宋"/>
          <w:kern w:val="0"/>
          <w:sz w:val="32"/>
          <w:szCs w:val="32"/>
          <w:lang w:val="zh-CN"/>
        </w:rPr>
      </w:pPr>
      <w:r>
        <w:rPr>
          <w:rFonts w:hint="eastAsia" w:ascii="仿宋" w:hAnsi="仿宋" w:eastAsia="仿宋" w:cs="仿宋"/>
          <w:sz w:val="32"/>
          <w:szCs w:val="32"/>
        </w:rPr>
        <w:t>202</w:t>
      </w:r>
      <w:r>
        <w:rPr>
          <w:rFonts w:ascii="仿宋" w:hAnsi="仿宋" w:eastAsia="仿宋" w:cs="仿宋"/>
          <w:sz w:val="32"/>
          <w:szCs w:val="32"/>
        </w:rPr>
        <w:t>2</w:t>
      </w:r>
      <w:r>
        <w:rPr>
          <w:rFonts w:hint="eastAsia" w:ascii="仿宋" w:hAnsi="仿宋" w:eastAsia="仿宋" w:cs="仿宋"/>
          <w:sz w:val="32"/>
          <w:szCs w:val="32"/>
        </w:rPr>
        <w:t>年度项目经费预算具有明确的用途和目标，制定了较为细致的执行计划，资金到位及时并严格按照财政有关规定专款专用。预算决策、管理、执行过程逐渐规范，能较好地满足工作需要，保障项目顺利开展时效，并取得了较为满意的社会效益</w:t>
      </w:r>
      <w:r>
        <w:rPr>
          <w:rFonts w:hint="eastAsia" w:ascii="仿宋_GB2312" w:hAnsi="宋体" w:eastAsia="仿宋_GB2312"/>
          <w:sz w:val="32"/>
          <w:szCs w:val="32"/>
          <w:lang w:val="zh-CN"/>
        </w:rPr>
        <w:t>。</w:t>
      </w:r>
    </w:p>
    <w:p>
      <w:pPr>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 w:hAnsi="仿宋" w:eastAsia="仿宋"/>
          <w:b/>
          <w:sz w:val="32"/>
          <w:szCs w:val="32"/>
          <w:lang w:val="zh-CN"/>
        </w:rPr>
      </w:pPr>
      <w:r>
        <w:rPr>
          <w:rFonts w:hint="eastAsia" w:ascii="仿宋" w:hAnsi="仿宋" w:eastAsia="仿宋"/>
          <w:b/>
          <w:sz w:val="32"/>
          <w:szCs w:val="32"/>
          <w:lang w:val="zh-CN"/>
        </w:rPr>
        <w:t>（二）存在的问题。</w:t>
      </w:r>
    </w:p>
    <w:p>
      <w:pPr>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ascii="仿宋_GB2312" w:hAnsi="Calibri" w:eastAsia="仿宋_GB2312" w:cs="仿宋"/>
          <w:kern w:val="0"/>
          <w:sz w:val="32"/>
          <w:szCs w:val="32"/>
          <w:lang w:val="zh-CN"/>
        </w:rPr>
      </w:pPr>
      <w:r>
        <w:rPr>
          <w:rFonts w:hint="eastAsia" w:ascii="仿宋" w:hAnsi="仿宋" w:eastAsia="仿宋" w:cs="仿宋"/>
          <w:sz w:val="32"/>
          <w:szCs w:val="32"/>
        </w:rPr>
        <w:t>预算编制精确度有待进一步提高，对各类资金的管理还存在不完善的问题，制度建设不完善。</w:t>
      </w:r>
      <w:r>
        <w:rPr>
          <w:rFonts w:hint="eastAsia" w:ascii="仿宋_GB2312" w:hAnsi="Calibri" w:eastAsia="仿宋_GB2312" w:cs="仿宋"/>
          <w:kern w:val="0"/>
          <w:sz w:val="32"/>
          <w:szCs w:val="32"/>
          <w:lang w:val="zh-CN"/>
        </w:rPr>
        <w:tab/>
      </w:r>
    </w:p>
    <w:p>
      <w:pPr>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 w:hAnsi="仿宋" w:eastAsia="仿宋"/>
          <w:b/>
          <w:sz w:val="32"/>
          <w:szCs w:val="32"/>
          <w:lang w:val="zh-CN"/>
        </w:rPr>
      </w:pPr>
      <w:r>
        <w:rPr>
          <w:rFonts w:hint="eastAsia" w:ascii="仿宋" w:hAnsi="仿宋" w:eastAsia="仿宋"/>
          <w:b/>
          <w:sz w:val="32"/>
          <w:szCs w:val="32"/>
          <w:lang w:val="zh-CN"/>
        </w:rPr>
        <w:t>（三）相关建议。</w:t>
      </w:r>
    </w:p>
    <w:p>
      <w:pPr>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仿宋_GB2312" w:hAnsi="Calibri" w:eastAsia="仿宋_GB2312" w:cs="仿宋"/>
          <w:kern w:val="0"/>
          <w:sz w:val="32"/>
          <w:szCs w:val="32"/>
          <w:lang w:val="zh-CN"/>
        </w:rPr>
      </w:pPr>
      <w:r>
        <w:rPr>
          <w:rFonts w:hint="eastAsia" w:ascii="仿宋" w:hAnsi="仿宋" w:eastAsia="仿宋" w:cs="仿宋"/>
          <w:sz w:val="32"/>
          <w:szCs w:val="32"/>
        </w:rPr>
        <w:t>优化预算编制，加强预算执行。合理安排预算支出计划，优化资金支出结构，强化资金统筹和绩效管理，确保工作有效开展</w:t>
      </w:r>
      <w:r>
        <w:rPr>
          <w:rFonts w:hint="eastAsia" w:ascii="仿宋_GB2312" w:hAnsi="Calibri" w:eastAsia="仿宋_GB2312" w:cs="仿宋"/>
          <w:kern w:val="0"/>
          <w:sz w:val="32"/>
          <w:szCs w:val="32"/>
          <w:lang w:val="zh-CN"/>
        </w:rPr>
        <w:t>。</w:t>
      </w:r>
    </w:p>
    <w:p>
      <w:pPr>
        <w:pStyle w:val="2"/>
        <w:pageBreakBefore w:val="0"/>
        <w:kinsoku/>
        <w:wordWrap/>
        <w:overflowPunct/>
        <w:topLinePunct w:val="0"/>
        <w:autoSpaceDE/>
        <w:autoSpaceDN/>
        <w:bidi w:val="0"/>
        <w:spacing w:after="0" w:line="560" w:lineRule="exact"/>
        <w:ind w:left="0" w:leftChars="0" w:firstLine="640" w:firstLineChars="200"/>
        <w:textAlignment w:val="auto"/>
        <w:rPr>
          <w:rFonts w:hAnsi="Calibri" w:eastAsia="仿宋_GB2312" w:cs="仿宋"/>
          <w:kern w:val="0"/>
          <w:sz w:val="32"/>
        </w:rPr>
      </w:pPr>
    </w:p>
    <w:p>
      <w:pPr>
        <w:rPr>
          <w:rFonts w:hint="eastAsia"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br w:type="page"/>
      </w:r>
    </w:p>
    <w:p>
      <w:pPr>
        <w:pStyle w:val="34"/>
        <w:pageBreakBefore w:val="0"/>
        <w:kinsoku/>
        <w:wordWrap/>
        <w:overflowPunct/>
        <w:topLinePunct w:val="0"/>
        <w:autoSpaceDE/>
        <w:autoSpaceDN/>
        <w:bidi w:val="0"/>
        <w:spacing w:line="560" w:lineRule="exact"/>
        <w:ind w:left="0" w:leftChars="0" w:firstLine="880" w:firstLineChars="200"/>
        <w:jc w:val="center"/>
        <w:textAlignment w:val="auto"/>
        <w:rPr>
          <w:rFonts w:ascii="宋体" w:hAnsi="宋体"/>
          <w:color w:val="auto"/>
          <w:kern w:val="2"/>
          <w:sz w:val="32"/>
          <w:szCs w:val="32"/>
        </w:rPr>
      </w:pPr>
      <w:r>
        <w:rPr>
          <w:rFonts w:hint="eastAsia" w:ascii="方正小标宋简体" w:hAnsi="方正小标宋简体" w:eastAsia="方正小标宋简体" w:cs="方正小标宋简体"/>
          <w:color w:val="auto"/>
          <w:kern w:val="2"/>
          <w:sz w:val="44"/>
          <w:szCs w:val="44"/>
          <w:lang w:val="en-US"/>
        </w:rPr>
        <w:t>2022年专项预算项目绩效自评报告</w:t>
      </w:r>
    </w:p>
    <w:p>
      <w:pPr>
        <w:pStyle w:val="5"/>
        <w:pageBreakBefore w:val="0"/>
        <w:kinsoku/>
        <w:wordWrap/>
        <w:overflowPunct/>
        <w:topLinePunct w:val="0"/>
        <w:autoSpaceDE/>
        <w:autoSpaceDN/>
        <w:bidi w:val="0"/>
        <w:spacing w:before="0" w:after="0" w:line="560" w:lineRule="exact"/>
        <w:ind w:left="0" w:leftChars="0" w:firstLine="640" w:firstLineChars="200"/>
        <w:textAlignment w:val="auto"/>
        <w:outlineLvl w:val="9"/>
        <w:rPr>
          <w:rFonts w:hint="eastAsia" w:ascii="黑体" w:eastAsia="黑体"/>
          <w:b w:val="0"/>
          <w:lang w:val="zh-CN"/>
        </w:rPr>
      </w:pPr>
      <w:bookmarkStart w:id="177" w:name="_Toc143546658"/>
      <w:bookmarkStart w:id="178" w:name="_Toc143818243"/>
    </w:p>
    <w:p>
      <w:pPr>
        <w:pStyle w:val="5"/>
        <w:pageBreakBefore w:val="0"/>
        <w:kinsoku/>
        <w:wordWrap/>
        <w:overflowPunct/>
        <w:topLinePunct w:val="0"/>
        <w:autoSpaceDE/>
        <w:autoSpaceDN/>
        <w:bidi w:val="0"/>
        <w:spacing w:before="0" w:after="0" w:line="560" w:lineRule="exact"/>
        <w:ind w:left="0" w:leftChars="0" w:firstLine="640" w:firstLineChars="200"/>
        <w:textAlignment w:val="auto"/>
        <w:rPr>
          <w:rFonts w:ascii="黑体" w:eastAsia="黑体"/>
          <w:b w:val="0"/>
          <w:lang w:val="zh-CN"/>
        </w:rPr>
      </w:pPr>
      <w:bookmarkStart w:id="179" w:name="_Toc1732"/>
      <w:r>
        <w:rPr>
          <w:rFonts w:hint="eastAsia" w:ascii="黑体" w:eastAsia="黑体"/>
          <w:b w:val="0"/>
          <w:lang w:val="zh-CN"/>
        </w:rPr>
        <w:t>一、项目概况</w:t>
      </w:r>
      <w:bookmarkEnd w:id="177"/>
      <w:bookmarkEnd w:id="178"/>
      <w:bookmarkEnd w:id="179"/>
    </w:p>
    <w:p>
      <w:pPr>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 w:hAnsi="仿宋" w:eastAsia="仿宋" w:cs="仿宋"/>
          <w:kern w:val="0"/>
          <w:sz w:val="32"/>
          <w:szCs w:val="32"/>
          <w:lang w:val="zh-CN"/>
        </w:rPr>
      </w:pPr>
      <w:r>
        <w:rPr>
          <w:rFonts w:hint="eastAsia" w:ascii="仿宋" w:hAnsi="仿宋" w:eastAsia="仿宋"/>
          <w:b/>
          <w:sz w:val="32"/>
          <w:szCs w:val="32"/>
          <w:lang w:val="zh-CN"/>
        </w:rPr>
        <w:t>（一）项目基本情况。</w:t>
      </w:r>
    </w:p>
    <w:p>
      <w:pPr>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ascii="仿宋" w:hAnsi="仿宋" w:eastAsia="仿宋" w:cs="仿宋"/>
          <w:kern w:val="0"/>
          <w:sz w:val="32"/>
          <w:szCs w:val="32"/>
          <w:lang w:val="zh-CN"/>
        </w:rPr>
      </w:pPr>
      <w:r>
        <w:rPr>
          <w:rFonts w:hint="eastAsia" w:ascii="仿宋" w:hAnsi="仿宋" w:eastAsia="仿宋" w:cs="仿宋"/>
          <w:kern w:val="0"/>
          <w:sz w:val="32"/>
          <w:szCs w:val="32"/>
          <w:lang w:val="zh-CN"/>
        </w:rPr>
        <w:t xml:space="preserve">1. </w:t>
      </w:r>
      <w:r>
        <w:rPr>
          <w:rFonts w:hint="eastAsia" w:ascii="仿宋" w:hAnsi="仿宋" w:eastAsia="仿宋" w:cs="仿宋"/>
          <w:sz w:val="32"/>
          <w:szCs w:val="32"/>
        </w:rPr>
        <w:t>公务用车购置</w:t>
      </w:r>
      <w:r>
        <w:rPr>
          <w:rFonts w:hint="eastAsia" w:ascii="仿宋" w:hAnsi="仿宋" w:eastAsia="仿宋" w:cs="仿宋_GB2312"/>
          <w:sz w:val="32"/>
          <w:szCs w:val="32"/>
        </w:rPr>
        <w:t>主要用于</w:t>
      </w:r>
      <w:r>
        <w:rPr>
          <w:rFonts w:hint="eastAsia" w:ascii="仿宋" w:hAnsi="仿宋" w:eastAsia="仿宋" w:cs="仿宋"/>
          <w:sz w:val="32"/>
          <w:szCs w:val="32"/>
        </w:rPr>
        <w:t>公务用车购置，保障机关及下属单位公务用车等工作开展</w:t>
      </w:r>
      <w:r>
        <w:rPr>
          <w:rFonts w:hint="eastAsia" w:ascii="仿宋" w:hAnsi="仿宋" w:eastAsia="仿宋" w:cs="仿宋_GB2312"/>
          <w:sz w:val="32"/>
          <w:szCs w:val="32"/>
        </w:rPr>
        <w:t>。</w:t>
      </w:r>
    </w:p>
    <w:p>
      <w:pPr>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ascii="仿宋" w:hAnsi="仿宋" w:eastAsia="仿宋" w:cs="仿宋"/>
          <w:kern w:val="0"/>
          <w:sz w:val="32"/>
          <w:szCs w:val="32"/>
          <w:lang w:val="zh-CN"/>
        </w:rPr>
      </w:pPr>
      <w:r>
        <w:rPr>
          <w:rFonts w:hint="eastAsia" w:ascii="仿宋" w:hAnsi="仿宋" w:eastAsia="仿宋" w:cs="仿宋"/>
          <w:kern w:val="0"/>
          <w:sz w:val="32"/>
          <w:szCs w:val="32"/>
          <w:lang w:val="zh-CN"/>
        </w:rPr>
        <w:t>2. 项目立项、资金申报的依据。</w:t>
      </w:r>
      <w:r>
        <w:rPr>
          <w:rFonts w:hint="eastAsia" w:ascii="仿宋" w:hAnsi="仿宋" w:eastAsia="仿宋" w:cs="仿宋"/>
          <w:kern w:val="0"/>
          <w:sz w:val="32"/>
          <w:szCs w:val="32"/>
          <w:lang w:val="en-US" w:eastAsia="zh-CN"/>
        </w:rPr>
        <w:t>区机关事务服务中心负责全区公务用车监督管理，负责一般公务用车运行管理，保障党政机关公务出行，计划购置一般公务用车8辆。</w:t>
      </w:r>
    </w:p>
    <w:p>
      <w:pPr>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ascii="仿宋" w:hAnsi="仿宋" w:eastAsia="仿宋" w:cs="仿宋"/>
          <w:kern w:val="0"/>
          <w:sz w:val="32"/>
          <w:szCs w:val="32"/>
          <w:lang w:val="zh-CN"/>
        </w:rPr>
      </w:pPr>
      <w:r>
        <w:rPr>
          <w:rFonts w:hint="eastAsia" w:ascii="仿宋" w:hAnsi="仿宋" w:eastAsia="仿宋" w:cs="仿宋"/>
          <w:kern w:val="0"/>
          <w:sz w:val="32"/>
          <w:szCs w:val="32"/>
          <w:lang w:val="zh-CN"/>
        </w:rPr>
        <w:t>3. 资金管理办法制定情况，资金支持具体项目的条件、范围与支持方式概况。</w:t>
      </w:r>
    </w:p>
    <w:p>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ascii="仿宋" w:hAnsi="仿宋" w:eastAsia="仿宋"/>
          <w:lang w:val="zh-CN"/>
        </w:rPr>
      </w:pPr>
      <w:r>
        <w:rPr>
          <w:rFonts w:hint="eastAsia" w:ascii="仿宋" w:hAnsi="仿宋" w:eastAsia="仿宋"/>
          <w:sz w:val="32"/>
          <w:szCs w:val="32"/>
        </w:rPr>
        <w:t>该项目资金严格按照机关事务服务中心相关财务制度管理，资金主要用于</w:t>
      </w:r>
      <w:r>
        <w:rPr>
          <w:rFonts w:hint="eastAsia" w:ascii="仿宋" w:hAnsi="仿宋" w:eastAsia="仿宋" w:cs="仿宋"/>
          <w:sz w:val="32"/>
          <w:szCs w:val="32"/>
        </w:rPr>
        <w:t>公务用车购置，保障机关及下属单位公务用车</w:t>
      </w:r>
      <w:r>
        <w:rPr>
          <w:rFonts w:hint="eastAsia" w:ascii="仿宋" w:hAnsi="仿宋" w:eastAsia="仿宋" w:cs="仿宋_GB2312"/>
          <w:sz w:val="32"/>
          <w:szCs w:val="32"/>
        </w:rPr>
        <w:t>等方面的工作。</w:t>
      </w:r>
    </w:p>
    <w:p>
      <w:pPr>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ascii="仿宋" w:hAnsi="仿宋" w:eastAsia="仿宋" w:cs="仿宋"/>
          <w:kern w:val="0"/>
          <w:sz w:val="32"/>
          <w:szCs w:val="32"/>
          <w:lang w:val="zh-CN"/>
        </w:rPr>
      </w:pPr>
      <w:r>
        <w:rPr>
          <w:rFonts w:hint="eastAsia" w:ascii="仿宋" w:hAnsi="仿宋" w:eastAsia="仿宋" w:cs="仿宋"/>
          <w:kern w:val="0"/>
          <w:sz w:val="32"/>
          <w:szCs w:val="32"/>
        </w:rPr>
        <w:t>4.</w:t>
      </w:r>
      <w:r>
        <w:rPr>
          <w:rFonts w:hint="eastAsia" w:ascii="仿宋" w:hAnsi="仿宋" w:eastAsia="仿宋" w:cs="仿宋"/>
          <w:kern w:val="0"/>
          <w:sz w:val="32"/>
          <w:szCs w:val="32"/>
          <w:lang w:val="zh-CN"/>
        </w:rPr>
        <w:t>资金分配的原则及考虑因素。</w:t>
      </w:r>
    </w:p>
    <w:p>
      <w:pPr>
        <w:pStyle w:val="7"/>
        <w:pageBreakBefore w:val="0"/>
        <w:numPr>
          <w:ilvl w:val="0"/>
          <w:numId w:val="0"/>
        </w:numPr>
        <w:kinsoku/>
        <w:wordWrap/>
        <w:overflowPunct/>
        <w:topLinePunct w:val="0"/>
        <w:autoSpaceDE/>
        <w:autoSpaceDN/>
        <w:bidi w:val="0"/>
        <w:spacing w:line="560" w:lineRule="exact"/>
        <w:ind w:left="0" w:leftChars="0" w:firstLine="640" w:firstLineChars="200"/>
        <w:textAlignment w:val="auto"/>
        <w:rPr>
          <w:rFonts w:ascii="仿宋" w:hAnsi="仿宋" w:eastAsia="仿宋"/>
          <w:lang w:val="zh-CN"/>
        </w:rPr>
      </w:pPr>
      <w:r>
        <w:rPr>
          <w:rFonts w:hint="eastAsia" w:ascii="仿宋" w:hAnsi="仿宋" w:eastAsia="仿宋"/>
          <w:sz w:val="32"/>
          <w:szCs w:val="32"/>
        </w:rPr>
        <w:t>该项目资金根据机关事务服务中心实际支出情况按需支取。</w:t>
      </w:r>
    </w:p>
    <w:p>
      <w:pPr>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_GB2312" w:hAnsi="Calibri" w:eastAsia="仿宋_GB2312" w:cs="仿宋"/>
          <w:kern w:val="0"/>
          <w:sz w:val="32"/>
          <w:szCs w:val="32"/>
          <w:lang w:val="zh-CN"/>
        </w:rPr>
      </w:pPr>
      <w:r>
        <w:rPr>
          <w:rFonts w:hint="eastAsia" w:ascii="仿宋" w:hAnsi="仿宋" w:eastAsia="仿宋"/>
          <w:b/>
          <w:sz w:val="32"/>
          <w:szCs w:val="32"/>
          <w:lang w:val="zh-CN"/>
        </w:rPr>
        <w:t>（二）项目绩效目标。</w:t>
      </w:r>
    </w:p>
    <w:p>
      <w:pPr>
        <w:pageBreakBefore w:val="0"/>
        <w:widowControl/>
        <w:kinsoku/>
        <w:wordWrap/>
        <w:overflowPunct/>
        <w:topLinePunct w:val="0"/>
        <w:autoSpaceDE/>
        <w:autoSpaceDN/>
        <w:bidi w:val="0"/>
        <w:spacing w:line="560" w:lineRule="exact"/>
        <w:ind w:left="0" w:leftChars="0" w:firstLine="640" w:firstLineChars="200"/>
        <w:jc w:val="left"/>
        <w:textAlignment w:val="auto"/>
        <w:rPr>
          <w:rFonts w:ascii="仿宋" w:hAnsi="仿宋" w:eastAsia="仿宋" w:cs="宋体"/>
          <w:color w:val="000000"/>
          <w:kern w:val="0"/>
          <w:sz w:val="32"/>
          <w:szCs w:val="32"/>
        </w:rPr>
      </w:pPr>
      <w:r>
        <w:rPr>
          <w:rFonts w:hint="eastAsia" w:ascii="仿宋" w:hAnsi="仿宋" w:eastAsia="仿宋" w:cs="仿宋"/>
          <w:sz w:val="32"/>
          <w:szCs w:val="32"/>
        </w:rPr>
        <w:t>保障机关及下属单位公务用车等工作开展</w:t>
      </w:r>
      <w:r>
        <w:rPr>
          <w:rFonts w:hint="eastAsia" w:ascii="仿宋" w:hAnsi="仿宋" w:eastAsia="仿宋" w:cs="仿宋_GB2312"/>
          <w:sz w:val="32"/>
          <w:szCs w:val="32"/>
        </w:rPr>
        <w:t>，服务对象满意度≥9</w:t>
      </w:r>
      <w:r>
        <w:rPr>
          <w:rFonts w:ascii="仿宋" w:hAnsi="仿宋" w:eastAsia="仿宋" w:cs="仿宋_GB2312"/>
          <w:sz w:val="32"/>
          <w:szCs w:val="32"/>
        </w:rPr>
        <w:t>0</w:t>
      </w:r>
      <w:r>
        <w:rPr>
          <w:rFonts w:hint="eastAsia" w:ascii="仿宋" w:hAnsi="仿宋" w:eastAsia="仿宋" w:cs="仿宋_GB2312"/>
          <w:sz w:val="32"/>
          <w:szCs w:val="32"/>
        </w:rPr>
        <w:t>%。</w:t>
      </w:r>
      <w:r>
        <w:rPr>
          <w:rFonts w:hint="eastAsia" w:ascii="仿宋" w:hAnsi="仿宋" w:eastAsia="仿宋" w:cs="仿宋"/>
          <w:sz w:val="32"/>
          <w:szCs w:val="32"/>
        </w:rPr>
        <w:t>2022年申报的内容与实际相符，申报目标合理可行。</w:t>
      </w:r>
    </w:p>
    <w:p>
      <w:pPr>
        <w:pageBreakBefore w:val="0"/>
        <w:widowControl/>
        <w:numPr>
          <w:ilvl w:val="0"/>
          <w:numId w:val="0"/>
        </w:numPr>
        <w:kinsoku/>
        <w:wordWrap/>
        <w:overflowPunct/>
        <w:topLinePunct w:val="0"/>
        <w:autoSpaceDE/>
        <w:autoSpaceDN/>
        <w:bidi w:val="0"/>
        <w:adjustRightInd w:val="0"/>
        <w:snapToGrid w:val="0"/>
        <w:spacing w:line="560" w:lineRule="exact"/>
        <w:ind w:leftChars="200"/>
        <w:contextualSpacing/>
        <w:jc w:val="left"/>
        <w:textAlignment w:val="auto"/>
        <w:rPr>
          <w:rFonts w:ascii="仿宋" w:hAnsi="仿宋" w:eastAsia="仿宋"/>
          <w:b/>
          <w:sz w:val="32"/>
          <w:szCs w:val="32"/>
          <w:lang w:val="zh-CN"/>
        </w:rPr>
      </w:pPr>
      <w:r>
        <w:rPr>
          <w:rFonts w:hint="eastAsia" w:ascii="仿宋" w:hAnsi="仿宋" w:eastAsia="仿宋"/>
          <w:b/>
          <w:sz w:val="32"/>
          <w:szCs w:val="32"/>
          <w:lang w:val="zh-CN"/>
        </w:rPr>
        <w:t>（</w:t>
      </w:r>
      <w:r>
        <w:rPr>
          <w:rFonts w:hint="eastAsia" w:ascii="仿宋" w:hAnsi="仿宋" w:eastAsia="仿宋"/>
          <w:b/>
          <w:sz w:val="32"/>
          <w:szCs w:val="32"/>
          <w:lang w:val="en-US" w:eastAsia="zh-CN"/>
        </w:rPr>
        <w:t>三</w:t>
      </w:r>
      <w:r>
        <w:rPr>
          <w:rFonts w:hint="eastAsia" w:ascii="仿宋" w:hAnsi="仿宋" w:eastAsia="仿宋"/>
          <w:b/>
          <w:sz w:val="32"/>
          <w:szCs w:val="32"/>
          <w:lang w:val="zh-CN"/>
        </w:rPr>
        <w:t>）项目自评步骤及方法。</w:t>
      </w:r>
    </w:p>
    <w:p>
      <w:pPr>
        <w:pStyle w:val="2"/>
        <w:pageBreakBefore w:val="0"/>
        <w:kinsoku/>
        <w:wordWrap/>
        <w:overflowPunct/>
        <w:topLinePunct w:val="0"/>
        <w:autoSpaceDE/>
        <w:autoSpaceDN/>
        <w:bidi w:val="0"/>
        <w:spacing w:after="0" w:line="560" w:lineRule="exact"/>
        <w:ind w:left="0" w:leftChars="0" w:firstLine="640" w:firstLineChars="200"/>
        <w:textAlignment w:val="auto"/>
        <w:rPr>
          <w:rFonts w:ascii="仿宋" w:hAnsi="仿宋" w:eastAsia="仿宋"/>
          <w:lang w:val="zh-CN"/>
        </w:rPr>
      </w:pPr>
      <w:r>
        <w:rPr>
          <w:rFonts w:hint="eastAsia" w:ascii="仿宋" w:hAnsi="仿宋" w:eastAsia="仿宋"/>
          <w:sz w:val="32"/>
        </w:rPr>
        <w:t>该</w:t>
      </w:r>
      <w:r>
        <w:rPr>
          <w:rFonts w:hint="eastAsia" w:ascii="仿宋" w:hAnsi="仿宋" w:eastAsia="仿宋"/>
          <w:sz w:val="32"/>
          <w:lang w:val="zh-CN"/>
        </w:rPr>
        <w:t>项目绩效自评采用自评方式，成立项目自评小组，结合评价内容，做到有计划，有安排，扎实开展本次自评工作。按照上级下达的项目支出绩效评价指标体系，自评小组针对申报内容、实施情况、资金兑现、财务管理、社会效益等作出自我评价，做好自评工作。</w:t>
      </w:r>
    </w:p>
    <w:p>
      <w:pPr>
        <w:pStyle w:val="5"/>
        <w:pageBreakBefore w:val="0"/>
        <w:kinsoku/>
        <w:wordWrap/>
        <w:overflowPunct/>
        <w:topLinePunct w:val="0"/>
        <w:autoSpaceDE/>
        <w:autoSpaceDN/>
        <w:bidi w:val="0"/>
        <w:spacing w:before="0" w:after="0" w:line="560" w:lineRule="exact"/>
        <w:ind w:left="0" w:leftChars="0" w:firstLine="640" w:firstLineChars="200"/>
        <w:textAlignment w:val="auto"/>
        <w:rPr>
          <w:rFonts w:ascii="黑体" w:eastAsia="黑体"/>
          <w:b w:val="0"/>
          <w:lang w:val="zh-CN"/>
        </w:rPr>
      </w:pPr>
      <w:bookmarkStart w:id="180" w:name="_Toc143818244"/>
      <w:bookmarkStart w:id="181" w:name="_Toc143546659"/>
      <w:bookmarkStart w:id="182" w:name="_Toc32558"/>
      <w:r>
        <w:rPr>
          <w:rFonts w:hint="eastAsia" w:ascii="黑体" w:eastAsia="黑体"/>
          <w:b w:val="0"/>
          <w:lang w:val="zh-CN"/>
        </w:rPr>
        <w:t>二、项目资金申报及使用情况</w:t>
      </w:r>
      <w:bookmarkEnd w:id="180"/>
      <w:bookmarkEnd w:id="181"/>
      <w:bookmarkEnd w:id="182"/>
    </w:p>
    <w:p>
      <w:pPr>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_GB2312" w:hAnsi="Calibri" w:eastAsia="仿宋_GB2312" w:cs="仿宋"/>
          <w:kern w:val="0"/>
          <w:sz w:val="32"/>
          <w:szCs w:val="32"/>
          <w:lang w:val="zh-CN"/>
        </w:rPr>
      </w:pPr>
      <w:r>
        <w:rPr>
          <w:rFonts w:hint="eastAsia" w:ascii="仿宋" w:hAnsi="仿宋" w:eastAsia="仿宋"/>
          <w:b/>
          <w:sz w:val="32"/>
          <w:szCs w:val="32"/>
          <w:lang w:val="zh-CN"/>
        </w:rPr>
        <w:t>（一）项目资金申报及批复情况。</w:t>
      </w:r>
    </w:p>
    <w:p>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ascii="仿宋" w:hAnsi="仿宋" w:eastAsia="仿宋"/>
          <w:sz w:val="32"/>
          <w:szCs w:val="32"/>
          <w:lang w:val="zh-CN"/>
        </w:rPr>
      </w:pPr>
      <w:r>
        <w:rPr>
          <w:rFonts w:hint="eastAsia" w:ascii="仿宋" w:hAnsi="仿宋" w:eastAsia="仿宋" w:cs="仿宋"/>
          <w:sz w:val="32"/>
          <w:szCs w:val="32"/>
        </w:rPr>
        <w:t>公务用车购置</w:t>
      </w:r>
      <w:r>
        <w:rPr>
          <w:rFonts w:hint="eastAsia" w:ascii="仿宋" w:hAnsi="仿宋" w:eastAsia="仿宋"/>
          <w:sz w:val="32"/>
          <w:szCs w:val="32"/>
          <w:lang w:val="zh-CN"/>
        </w:rPr>
        <w:t>项目资金申报</w:t>
      </w:r>
      <w:r>
        <w:rPr>
          <w:rFonts w:ascii="仿宋" w:hAnsi="仿宋" w:eastAsia="仿宋"/>
          <w:sz w:val="32"/>
          <w:szCs w:val="32"/>
        </w:rPr>
        <w:t>144</w:t>
      </w:r>
      <w:r>
        <w:rPr>
          <w:rFonts w:hint="eastAsia" w:ascii="仿宋" w:hAnsi="仿宋" w:eastAsia="仿宋"/>
          <w:sz w:val="32"/>
          <w:szCs w:val="32"/>
        </w:rPr>
        <w:t>万</w:t>
      </w:r>
      <w:r>
        <w:rPr>
          <w:rFonts w:hint="eastAsia" w:ascii="仿宋" w:hAnsi="仿宋" w:eastAsia="仿宋"/>
          <w:sz w:val="32"/>
          <w:szCs w:val="32"/>
          <w:lang w:val="zh-CN"/>
        </w:rPr>
        <w:t>，批复</w:t>
      </w:r>
      <w:r>
        <w:rPr>
          <w:rFonts w:ascii="仿宋" w:hAnsi="仿宋" w:eastAsia="仿宋"/>
          <w:sz w:val="32"/>
          <w:szCs w:val="32"/>
        </w:rPr>
        <w:t>144</w:t>
      </w:r>
      <w:r>
        <w:rPr>
          <w:rFonts w:hint="eastAsia" w:ascii="仿宋" w:hAnsi="仿宋" w:eastAsia="仿宋"/>
          <w:sz w:val="32"/>
          <w:szCs w:val="32"/>
        </w:rPr>
        <w:t>万</w:t>
      </w:r>
      <w:r>
        <w:rPr>
          <w:rFonts w:hint="eastAsia" w:ascii="仿宋" w:hAnsi="仿宋" w:eastAsia="仿宋"/>
          <w:sz w:val="32"/>
          <w:szCs w:val="32"/>
          <w:lang w:val="zh-CN"/>
        </w:rPr>
        <w:t>。</w:t>
      </w:r>
    </w:p>
    <w:p>
      <w:pPr>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 w:hAnsi="仿宋" w:eastAsia="仿宋"/>
          <w:b/>
          <w:sz w:val="32"/>
          <w:szCs w:val="32"/>
          <w:lang w:val="zh-CN"/>
        </w:rPr>
      </w:pPr>
      <w:r>
        <w:rPr>
          <w:rFonts w:hint="eastAsia" w:ascii="仿宋" w:hAnsi="仿宋" w:eastAsia="仿宋"/>
          <w:b/>
          <w:sz w:val="32"/>
          <w:szCs w:val="32"/>
          <w:lang w:val="zh-CN"/>
        </w:rPr>
        <w:t>（二）资金计划、到位及使用情况（可用表格形式反映）。</w:t>
      </w:r>
    </w:p>
    <w:p>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ascii="仿宋" w:hAnsi="仿宋" w:eastAsia="仿宋"/>
          <w:sz w:val="32"/>
          <w:szCs w:val="32"/>
          <w:lang w:val="zh-CN"/>
        </w:rPr>
      </w:pPr>
      <w:r>
        <w:rPr>
          <w:rFonts w:hint="eastAsia" w:ascii="楷体_GB2312" w:hAnsi="宋体" w:eastAsia="楷体_GB2312"/>
          <w:sz w:val="32"/>
          <w:szCs w:val="32"/>
          <w:lang w:val="zh-CN"/>
        </w:rPr>
        <w:t>1．资金计划。</w:t>
      </w:r>
      <w:r>
        <w:rPr>
          <w:rFonts w:hint="eastAsia" w:ascii="仿宋" w:hAnsi="仿宋" w:eastAsia="仿宋" w:cs="仿宋_GB2312"/>
          <w:sz w:val="32"/>
          <w:szCs w:val="32"/>
        </w:rPr>
        <w:t>该项目资金计划</w:t>
      </w:r>
      <w:r>
        <w:rPr>
          <w:rFonts w:ascii="仿宋" w:hAnsi="仿宋" w:eastAsia="仿宋" w:cs="仿宋_GB2312"/>
          <w:sz w:val="32"/>
          <w:szCs w:val="32"/>
        </w:rPr>
        <w:t>144</w:t>
      </w:r>
      <w:r>
        <w:rPr>
          <w:rFonts w:hint="eastAsia" w:ascii="仿宋" w:hAnsi="仿宋" w:eastAsia="仿宋" w:cs="仿宋_GB2312"/>
          <w:sz w:val="32"/>
          <w:szCs w:val="32"/>
        </w:rPr>
        <w:t>万元</w:t>
      </w:r>
      <w:r>
        <w:rPr>
          <w:rFonts w:hint="eastAsia" w:ascii="仿宋" w:hAnsi="仿宋" w:eastAsia="仿宋"/>
          <w:sz w:val="32"/>
          <w:szCs w:val="32"/>
          <w:lang w:val="zh-CN"/>
        </w:rPr>
        <w:t>。</w:t>
      </w:r>
    </w:p>
    <w:p>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ascii="仿宋" w:hAnsi="仿宋" w:eastAsia="仿宋"/>
          <w:sz w:val="32"/>
          <w:szCs w:val="32"/>
          <w:lang w:val="zh-CN"/>
        </w:rPr>
      </w:pPr>
      <w:r>
        <w:rPr>
          <w:rFonts w:hint="eastAsia" w:ascii="楷体_GB2312" w:hAnsi="宋体" w:eastAsia="楷体_GB2312"/>
          <w:sz w:val="32"/>
          <w:szCs w:val="32"/>
          <w:lang w:val="zh-CN"/>
        </w:rPr>
        <w:t>2．资金到位。</w:t>
      </w:r>
      <w:r>
        <w:rPr>
          <w:rFonts w:hint="eastAsia" w:ascii="仿宋" w:hAnsi="仿宋" w:eastAsia="仿宋" w:cs="仿宋_GB2312"/>
          <w:sz w:val="32"/>
          <w:szCs w:val="32"/>
        </w:rPr>
        <w:t>该项目资金截止评价时点实际到位</w:t>
      </w:r>
      <w:r>
        <w:rPr>
          <w:rFonts w:ascii="仿宋" w:hAnsi="仿宋" w:eastAsia="仿宋" w:cs="仿宋_GB2312"/>
          <w:sz w:val="32"/>
          <w:szCs w:val="32"/>
        </w:rPr>
        <w:t>144</w:t>
      </w:r>
      <w:r>
        <w:rPr>
          <w:rFonts w:hint="eastAsia" w:ascii="仿宋" w:hAnsi="仿宋" w:eastAsia="仿宋" w:cs="仿宋_GB2312"/>
          <w:sz w:val="32"/>
          <w:szCs w:val="32"/>
        </w:rPr>
        <w:t>万元</w:t>
      </w:r>
    </w:p>
    <w:p>
      <w:pPr>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ascii="仿宋" w:hAnsi="仿宋" w:eastAsia="仿宋" w:cs="仿宋"/>
          <w:kern w:val="0"/>
          <w:sz w:val="32"/>
          <w:szCs w:val="32"/>
          <w:lang w:val="zh-CN"/>
        </w:rPr>
      </w:pPr>
      <w:r>
        <w:rPr>
          <w:rFonts w:hint="eastAsia" w:ascii="楷体_GB2312" w:hAnsi="宋体" w:eastAsia="楷体_GB2312"/>
          <w:sz w:val="32"/>
          <w:szCs w:val="32"/>
          <w:lang w:val="zh-CN"/>
        </w:rPr>
        <w:t>3．资金使用。</w:t>
      </w:r>
      <w:r>
        <w:rPr>
          <w:rFonts w:hint="eastAsia" w:ascii="仿宋" w:hAnsi="仿宋" w:eastAsia="仿宋" w:cs="仿宋_GB2312"/>
          <w:sz w:val="32"/>
          <w:szCs w:val="32"/>
        </w:rPr>
        <w:t>截止评价时点项目资金的实际支出</w:t>
      </w:r>
      <w:r>
        <w:rPr>
          <w:rFonts w:ascii="仿宋" w:hAnsi="仿宋" w:eastAsia="仿宋" w:cs="仿宋_GB2312"/>
          <w:sz w:val="32"/>
          <w:szCs w:val="32"/>
        </w:rPr>
        <w:t>99</w:t>
      </w:r>
      <w:r>
        <w:rPr>
          <w:rFonts w:hint="eastAsia" w:ascii="仿宋" w:hAnsi="仿宋" w:eastAsia="仿宋" w:cs="仿宋_GB2312"/>
          <w:sz w:val="32"/>
          <w:szCs w:val="32"/>
        </w:rPr>
        <w:t>.</w:t>
      </w:r>
      <w:r>
        <w:rPr>
          <w:rFonts w:ascii="仿宋" w:hAnsi="仿宋" w:eastAsia="仿宋" w:cs="仿宋_GB2312"/>
          <w:sz w:val="32"/>
          <w:szCs w:val="32"/>
        </w:rPr>
        <w:t>48</w:t>
      </w:r>
      <w:r>
        <w:rPr>
          <w:rFonts w:hint="eastAsia" w:ascii="仿宋" w:hAnsi="仿宋" w:eastAsia="仿宋" w:cs="仿宋_GB2312"/>
          <w:sz w:val="32"/>
          <w:szCs w:val="32"/>
        </w:rPr>
        <w:t>万元，主要是用于</w:t>
      </w:r>
      <w:r>
        <w:rPr>
          <w:rFonts w:hint="eastAsia" w:ascii="仿宋" w:hAnsi="仿宋" w:eastAsia="仿宋" w:cs="仿宋"/>
          <w:sz w:val="32"/>
          <w:szCs w:val="32"/>
        </w:rPr>
        <w:t>公务用车购置，保障机关及下属单位公务用车</w:t>
      </w:r>
      <w:r>
        <w:rPr>
          <w:rFonts w:hint="eastAsia" w:ascii="仿宋" w:hAnsi="仿宋" w:eastAsia="仿宋" w:cs="仿宋_GB2312"/>
          <w:sz w:val="32"/>
          <w:szCs w:val="32"/>
        </w:rPr>
        <w:t>等方面的工作，其中</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更新购置一般</w:t>
      </w:r>
      <w:r>
        <w:rPr>
          <w:rFonts w:hint="eastAsia" w:ascii="仿宋" w:hAnsi="仿宋" w:eastAsia="仿宋" w:cs="仿宋_GB2312"/>
          <w:sz w:val="32"/>
          <w:szCs w:val="32"/>
        </w:rPr>
        <w:t>公务用车</w:t>
      </w:r>
      <w:r>
        <w:rPr>
          <w:rFonts w:hint="eastAsia" w:ascii="仿宋" w:hAnsi="仿宋" w:eastAsia="仿宋" w:cs="仿宋_GB2312"/>
          <w:sz w:val="32"/>
          <w:szCs w:val="32"/>
          <w:lang w:val="en-US" w:eastAsia="zh-CN"/>
        </w:rPr>
        <w:t>6辆共计</w:t>
      </w:r>
      <w:r>
        <w:rPr>
          <w:rFonts w:hint="eastAsia" w:ascii="仿宋" w:hAnsi="仿宋" w:eastAsia="仿宋" w:cs="仿宋_GB2312"/>
          <w:sz w:val="32"/>
          <w:szCs w:val="32"/>
        </w:rPr>
        <w:t>9</w:t>
      </w:r>
      <w:r>
        <w:rPr>
          <w:rFonts w:ascii="仿宋" w:hAnsi="仿宋" w:eastAsia="仿宋" w:cs="仿宋_GB2312"/>
          <w:sz w:val="32"/>
          <w:szCs w:val="32"/>
        </w:rPr>
        <w:t>9</w:t>
      </w:r>
      <w:r>
        <w:rPr>
          <w:rFonts w:hint="eastAsia" w:ascii="仿宋" w:hAnsi="仿宋" w:eastAsia="仿宋" w:cs="仿宋_GB2312"/>
          <w:sz w:val="32"/>
          <w:szCs w:val="32"/>
        </w:rPr>
        <w:t>.</w:t>
      </w:r>
      <w:r>
        <w:rPr>
          <w:rFonts w:ascii="仿宋" w:hAnsi="仿宋" w:eastAsia="仿宋" w:cs="仿宋_GB2312"/>
          <w:sz w:val="32"/>
          <w:szCs w:val="32"/>
        </w:rPr>
        <w:t>48</w:t>
      </w:r>
      <w:r>
        <w:rPr>
          <w:rFonts w:hint="eastAsia" w:ascii="仿宋" w:hAnsi="仿宋" w:eastAsia="仿宋" w:cs="仿宋_GB2312"/>
          <w:sz w:val="32"/>
          <w:szCs w:val="32"/>
        </w:rPr>
        <w:t>万元。</w:t>
      </w:r>
    </w:p>
    <w:p>
      <w:pPr>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 w:hAnsi="仿宋" w:eastAsia="仿宋"/>
          <w:b/>
          <w:sz w:val="32"/>
          <w:szCs w:val="32"/>
          <w:lang w:val="zh-CN"/>
        </w:rPr>
      </w:pPr>
      <w:r>
        <w:rPr>
          <w:rFonts w:hint="eastAsia" w:ascii="仿宋" w:hAnsi="仿宋" w:eastAsia="仿宋"/>
          <w:b/>
          <w:sz w:val="32"/>
          <w:szCs w:val="32"/>
          <w:lang w:val="zh-CN"/>
        </w:rPr>
        <w:t>（三）项目财务管理情况。</w:t>
      </w:r>
    </w:p>
    <w:p>
      <w:pPr>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ascii="仿宋" w:hAnsi="仿宋" w:eastAsia="仿宋" w:cs="仿宋"/>
          <w:kern w:val="0"/>
          <w:sz w:val="32"/>
          <w:szCs w:val="32"/>
          <w:lang w:val="zh-CN"/>
        </w:rPr>
      </w:pPr>
      <w:r>
        <w:rPr>
          <w:rFonts w:hint="eastAsia" w:ascii="仿宋" w:hAnsi="仿宋" w:eastAsia="仿宋" w:cs="仿宋_GB2312"/>
          <w:sz w:val="32"/>
          <w:szCs w:val="32"/>
        </w:rPr>
        <w:t>该项目财务管理制度实行政府财务会计制度，建立了单位内控制度，严格按照相关的制度进行会计核算及账务处理，对照项目资金管理办法，该项目严格执行财务管理制度、财务处理较及时、会计核算规范</w:t>
      </w:r>
      <w:r>
        <w:rPr>
          <w:rFonts w:hint="eastAsia" w:ascii="仿宋" w:hAnsi="仿宋" w:eastAsia="仿宋"/>
          <w:sz w:val="32"/>
          <w:szCs w:val="32"/>
          <w:lang w:val="zh-CN"/>
        </w:rPr>
        <w:t>。</w:t>
      </w:r>
    </w:p>
    <w:p>
      <w:pPr>
        <w:pStyle w:val="5"/>
        <w:pageBreakBefore w:val="0"/>
        <w:kinsoku/>
        <w:wordWrap/>
        <w:overflowPunct/>
        <w:topLinePunct w:val="0"/>
        <w:autoSpaceDE/>
        <w:autoSpaceDN/>
        <w:bidi w:val="0"/>
        <w:spacing w:before="0" w:after="0" w:line="560" w:lineRule="exact"/>
        <w:ind w:left="0" w:leftChars="0" w:firstLine="640" w:firstLineChars="200"/>
        <w:textAlignment w:val="auto"/>
        <w:rPr>
          <w:rFonts w:ascii="仿宋" w:hAnsi="仿宋" w:eastAsia="仿宋"/>
          <w:b w:val="0"/>
          <w:lang w:val="zh-CN"/>
        </w:rPr>
      </w:pPr>
      <w:bookmarkStart w:id="183" w:name="_Toc143546660"/>
      <w:bookmarkStart w:id="184" w:name="_Toc143818245"/>
      <w:bookmarkStart w:id="185" w:name="_Toc2108"/>
      <w:r>
        <w:rPr>
          <w:rFonts w:hint="eastAsia" w:ascii="仿宋" w:hAnsi="仿宋" w:eastAsia="仿宋"/>
          <w:b w:val="0"/>
          <w:lang w:val="zh-CN"/>
        </w:rPr>
        <w:t>三、项目实施及管理情况</w:t>
      </w:r>
      <w:bookmarkEnd w:id="183"/>
      <w:bookmarkEnd w:id="184"/>
      <w:bookmarkEnd w:id="185"/>
    </w:p>
    <w:p>
      <w:pPr>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结合项目组织实施管理办法，重点围绕以下内容进行分析评价，并对自评中发现的问题分析说明。</w:t>
      </w:r>
    </w:p>
    <w:p>
      <w:pPr>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ascii="仿宋" w:hAnsi="仿宋" w:eastAsia="仿宋"/>
          <w:b/>
          <w:sz w:val="32"/>
          <w:szCs w:val="32"/>
          <w:lang w:val="zh-CN"/>
        </w:rPr>
      </w:pPr>
      <w:r>
        <w:rPr>
          <w:rFonts w:hint="eastAsia" w:ascii="仿宋" w:hAnsi="仿宋" w:eastAsia="仿宋" w:cs="仿宋"/>
          <w:kern w:val="0"/>
          <w:sz w:val="32"/>
          <w:szCs w:val="32"/>
          <w:lang w:val="zh-CN"/>
        </w:rPr>
        <w:t>（</w:t>
      </w:r>
      <w:r>
        <w:rPr>
          <w:rFonts w:hint="eastAsia" w:ascii="仿宋" w:hAnsi="仿宋" w:eastAsia="仿宋" w:cs="仿宋"/>
          <w:kern w:val="0"/>
          <w:sz w:val="32"/>
          <w:szCs w:val="32"/>
          <w:lang w:val="en-US" w:eastAsia="zh-CN"/>
        </w:rPr>
        <w:t>一</w:t>
      </w:r>
      <w:r>
        <w:rPr>
          <w:rFonts w:hint="eastAsia" w:ascii="仿宋" w:hAnsi="仿宋" w:eastAsia="仿宋" w:cs="仿宋"/>
          <w:kern w:val="0"/>
          <w:sz w:val="32"/>
          <w:szCs w:val="32"/>
          <w:lang w:val="zh-CN"/>
        </w:rPr>
        <w:t>）</w:t>
      </w:r>
      <w:r>
        <w:rPr>
          <w:rFonts w:hint="eastAsia" w:ascii="仿宋" w:hAnsi="仿宋" w:eastAsia="仿宋"/>
          <w:b/>
          <w:sz w:val="32"/>
          <w:szCs w:val="32"/>
          <w:lang w:val="zh-CN"/>
        </w:rPr>
        <w:t>项目组织架构及实施流程。</w:t>
      </w:r>
    </w:p>
    <w:p>
      <w:pPr>
        <w:pStyle w:val="2"/>
        <w:pageBreakBefore w:val="0"/>
        <w:kinsoku/>
        <w:wordWrap/>
        <w:overflowPunct/>
        <w:topLinePunct w:val="0"/>
        <w:autoSpaceDE/>
        <w:autoSpaceDN/>
        <w:bidi w:val="0"/>
        <w:spacing w:after="0" w:line="560" w:lineRule="exact"/>
        <w:ind w:left="0" w:leftChars="0" w:firstLine="640" w:firstLineChars="200"/>
        <w:textAlignment w:val="auto"/>
        <w:rPr>
          <w:rFonts w:ascii="仿宋" w:hAnsi="仿宋" w:eastAsia="仿宋"/>
          <w:lang w:val="zh-CN"/>
        </w:rPr>
      </w:pPr>
      <w:r>
        <w:rPr>
          <w:rFonts w:hint="eastAsia" w:ascii="仿宋" w:hAnsi="仿宋" w:eastAsia="仿宋" w:cs="仿宋"/>
          <w:sz w:val="32"/>
        </w:rPr>
        <w:t>公务用车购置</w:t>
      </w:r>
      <w:r>
        <w:rPr>
          <w:rFonts w:hint="eastAsia" w:ascii="仿宋" w:hAnsi="仿宋" w:eastAsia="仿宋"/>
          <w:sz w:val="32"/>
        </w:rPr>
        <w:t>严格按照专款专用原则，</w:t>
      </w:r>
      <w:r>
        <w:rPr>
          <w:rFonts w:hint="eastAsia" w:ascii="仿宋" w:hAnsi="仿宋" w:eastAsia="仿宋"/>
          <w:sz w:val="32"/>
          <w:lang w:val="en-US" w:eastAsia="zh-CN"/>
        </w:rPr>
        <w:t>严格按照公务用车购置程序采购车辆，并</w:t>
      </w:r>
      <w:r>
        <w:rPr>
          <w:rFonts w:hint="eastAsia" w:ascii="仿宋" w:hAnsi="仿宋" w:eastAsia="仿宋"/>
          <w:sz w:val="32"/>
        </w:rPr>
        <w:t>及时通知</w:t>
      </w:r>
      <w:r>
        <w:rPr>
          <w:rFonts w:hint="eastAsia" w:ascii="仿宋" w:hAnsi="仿宋" w:eastAsia="仿宋"/>
          <w:sz w:val="32"/>
          <w:lang w:val="en-US" w:eastAsia="zh-CN"/>
        </w:rPr>
        <w:t>供应商</w:t>
      </w:r>
      <w:r>
        <w:rPr>
          <w:rFonts w:hint="eastAsia" w:ascii="仿宋" w:hAnsi="仿宋" w:eastAsia="仿宋"/>
          <w:sz w:val="32"/>
        </w:rPr>
        <w:t>提供合法票据，完善报账手续，严格票据审核，规范报账程序，确保资金使用的及时性、规范性，同时财政部门对资金支付严格审核，确保资金使用安全。</w:t>
      </w:r>
    </w:p>
    <w:p>
      <w:pPr>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 w:hAnsi="仿宋" w:eastAsia="仿宋" w:cs="仿宋"/>
          <w:kern w:val="0"/>
          <w:sz w:val="32"/>
          <w:szCs w:val="32"/>
          <w:lang w:val="zh-CN"/>
        </w:rPr>
      </w:pPr>
      <w:r>
        <w:rPr>
          <w:rFonts w:hint="eastAsia" w:ascii="仿宋" w:hAnsi="仿宋" w:eastAsia="仿宋"/>
          <w:b/>
          <w:sz w:val="32"/>
          <w:szCs w:val="32"/>
          <w:lang w:val="zh-CN"/>
        </w:rPr>
        <w:t>（二）项目管理情况。</w:t>
      </w:r>
      <w:r>
        <w:rPr>
          <w:rFonts w:hint="eastAsia" w:ascii="仿宋" w:hAnsi="仿宋" w:eastAsia="仿宋"/>
          <w:sz w:val="32"/>
          <w:szCs w:val="32"/>
        </w:rPr>
        <w:t>项目严格按照区级有关规定执行，严格</w:t>
      </w:r>
      <w:r>
        <w:rPr>
          <w:rFonts w:hint="eastAsia" w:ascii="仿宋" w:hAnsi="仿宋" w:eastAsia="仿宋" w:cs="仿宋_GB2312"/>
          <w:sz w:val="32"/>
          <w:szCs w:val="32"/>
        </w:rPr>
        <w:t>用于</w:t>
      </w:r>
      <w:r>
        <w:rPr>
          <w:rFonts w:hint="eastAsia" w:ascii="仿宋" w:hAnsi="仿宋" w:eastAsia="仿宋" w:cs="仿宋"/>
          <w:sz w:val="32"/>
          <w:szCs w:val="32"/>
        </w:rPr>
        <w:t>公务用车购置，保障机关及下属单位公务用车</w:t>
      </w:r>
      <w:r>
        <w:rPr>
          <w:rFonts w:hint="eastAsia" w:ascii="仿宋" w:hAnsi="仿宋" w:eastAsia="仿宋" w:cs="仿宋_GB2312"/>
          <w:sz w:val="32"/>
          <w:szCs w:val="32"/>
        </w:rPr>
        <w:t>等方面的工作</w:t>
      </w:r>
      <w:r>
        <w:rPr>
          <w:rFonts w:hint="eastAsia" w:ascii="仿宋" w:hAnsi="仿宋" w:eastAsia="仿宋"/>
          <w:sz w:val="32"/>
          <w:szCs w:val="32"/>
        </w:rPr>
        <w:t>支出，</w:t>
      </w:r>
      <w:r>
        <w:rPr>
          <w:rFonts w:ascii="仿宋" w:hAnsi="仿宋" w:eastAsia="仿宋"/>
          <w:sz w:val="32"/>
          <w:szCs w:val="32"/>
          <w:lang w:val="zh-CN"/>
        </w:rPr>
        <w:t>资金专款专用</w:t>
      </w:r>
      <w:r>
        <w:rPr>
          <w:rFonts w:hint="eastAsia" w:ascii="仿宋" w:hAnsi="仿宋" w:eastAsia="仿宋"/>
          <w:sz w:val="32"/>
          <w:szCs w:val="32"/>
          <w:lang w:val="zh-CN"/>
        </w:rPr>
        <w:t>。</w:t>
      </w:r>
    </w:p>
    <w:p>
      <w:pPr>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_GB2312" w:hAnsi="Calibri" w:eastAsia="仿宋_GB2312" w:cs="仿宋"/>
          <w:kern w:val="0"/>
          <w:sz w:val="32"/>
          <w:szCs w:val="32"/>
          <w:lang w:val="zh-CN"/>
        </w:rPr>
      </w:pPr>
      <w:r>
        <w:rPr>
          <w:rFonts w:hint="eastAsia" w:ascii="仿宋" w:hAnsi="仿宋" w:eastAsia="仿宋"/>
          <w:b/>
          <w:sz w:val="32"/>
          <w:szCs w:val="32"/>
          <w:lang w:val="zh-CN"/>
        </w:rPr>
        <w:t>（三）项目监管情况。</w:t>
      </w:r>
      <w:r>
        <w:rPr>
          <w:rFonts w:hint="eastAsia" w:ascii="仿宋" w:hAnsi="仿宋" w:eastAsia="仿宋" w:cs="仿宋_GB2312"/>
          <w:sz w:val="32"/>
          <w:szCs w:val="32"/>
        </w:rPr>
        <w:t>项目由机关事务服务中心监管，并严格按照相关财经纪律执行。</w:t>
      </w:r>
    </w:p>
    <w:p>
      <w:pPr>
        <w:pStyle w:val="5"/>
        <w:pageBreakBefore w:val="0"/>
        <w:kinsoku/>
        <w:wordWrap/>
        <w:overflowPunct/>
        <w:topLinePunct w:val="0"/>
        <w:autoSpaceDE/>
        <w:autoSpaceDN/>
        <w:bidi w:val="0"/>
        <w:spacing w:before="0" w:after="0" w:line="560" w:lineRule="exact"/>
        <w:ind w:left="0" w:leftChars="0" w:firstLine="640" w:firstLineChars="200"/>
        <w:textAlignment w:val="auto"/>
        <w:rPr>
          <w:rFonts w:ascii="黑体" w:eastAsia="黑体"/>
          <w:b w:val="0"/>
          <w:lang w:val="zh-CN"/>
        </w:rPr>
      </w:pPr>
      <w:bookmarkStart w:id="186" w:name="_Toc143818246"/>
      <w:bookmarkStart w:id="187" w:name="_Toc143546661"/>
      <w:bookmarkStart w:id="188" w:name="_Toc15266"/>
      <w:r>
        <w:rPr>
          <w:rFonts w:hint="eastAsia" w:ascii="黑体" w:eastAsia="黑体"/>
          <w:b w:val="0"/>
          <w:lang w:val="zh-CN"/>
        </w:rPr>
        <w:t>四、项目绩效情况</w:t>
      </w:r>
      <w:bookmarkEnd w:id="186"/>
      <w:bookmarkEnd w:id="187"/>
      <w:bookmarkEnd w:id="188"/>
      <w:r>
        <w:rPr>
          <w:rFonts w:hint="eastAsia" w:ascii="黑体" w:eastAsia="黑体"/>
          <w:b w:val="0"/>
          <w:lang w:val="zh-CN"/>
        </w:rPr>
        <w:tab/>
      </w:r>
    </w:p>
    <w:p>
      <w:pPr>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 w:hAnsi="仿宋" w:eastAsia="仿宋"/>
          <w:b/>
          <w:sz w:val="32"/>
          <w:szCs w:val="32"/>
          <w:lang w:val="zh-CN"/>
        </w:rPr>
      </w:pPr>
      <w:r>
        <w:rPr>
          <w:rFonts w:hint="eastAsia" w:ascii="仿宋" w:hAnsi="仿宋" w:eastAsia="仿宋"/>
          <w:b/>
          <w:sz w:val="32"/>
          <w:szCs w:val="32"/>
          <w:lang w:val="zh-CN"/>
        </w:rPr>
        <w:t>（一）项目完成情况。</w:t>
      </w:r>
    </w:p>
    <w:p>
      <w:pPr>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ascii="仿宋" w:hAnsi="仿宋" w:eastAsia="仿宋" w:cs="仿宋"/>
          <w:kern w:val="0"/>
          <w:sz w:val="32"/>
          <w:szCs w:val="32"/>
        </w:rPr>
      </w:pPr>
      <w:r>
        <w:rPr>
          <w:rFonts w:hint="eastAsia" w:ascii="仿宋" w:hAnsi="仿宋" w:eastAsia="仿宋" w:cs="仿宋"/>
          <w:sz w:val="32"/>
          <w:szCs w:val="32"/>
        </w:rPr>
        <w:t>保障机关及下属单位公务用车，完成购置公务用车</w:t>
      </w:r>
      <w:r>
        <w:rPr>
          <w:rFonts w:ascii="仿宋" w:hAnsi="仿宋" w:eastAsia="仿宋" w:cs="仿宋"/>
          <w:sz w:val="32"/>
          <w:szCs w:val="32"/>
        </w:rPr>
        <w:t>6</w:t>
      </w:r>
      <w:r>
        <w:rPr>
          <w:rFonts w:hint="eastAsia" w:ascii="仿宋" w:hAnsi="仿宋" w:eastAsia="仿宋" w:cs="仿宋"/>
          <w:sz w:val="32"/>
          <w:szCs w:val="32"/>
        </w:rPr>
        <w:t>辆，</w:t>
      </w:r>
      <w:r>
        <w:rPr>
          <w:rFonts w:hint="eastAsia" w:ascii="仿宋" w:hAnsi="仿宋" w:eastAsia="仿宋" w:cs="仿宋"/>
          <w:kern w:val="0"/>
          <w:sz w:val="32"/>
          <w:szCs w:val="32"/>
        </w:rPr>
        <w:t>机关人员满意度≥90%。</w:t>
      </w:r>
    </w:p>
    <w:p>
      <w:pPr>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_GB2312" w:hAnsi="Calibri" w:eastAsia="仿宋_GB2312" w:cs="仿宋"/>
          <w:kern w:val="0"/>
          <w:sz w:val="32"/>
          <w:szCs w:val="32"/>
          <w:lang w:val="zh-CN"/>
        </w:rPr>
      </w:pPr>
      <w:r>
        <w:rPr>
          <w:rFonts w:hint="eastAsia" w:ascii="仿宋" w:hAnsi="仿宋" w:eastAsia="仿宋"/>
          <w:b/>
          <w:sz w:val="32"/>
          <w:szCs w:val="32"/>
          <w:lang w:val="zh-CN"/>
        </w:rPr>
        <w:t>（二）项目效益情况。</w:t>
      </w:r>
    </w:p>
    <w:p>
      <w:pPr>
        <w:pStyle w:val="5"/>
        <w:pageBreakBefore w:val="0"/>
        <w:kinsoku/>
        <w:wordWrap/>
        <w:overflowPunct/>
        <w:topLinePunct w:val="0"/>
        <w:autoSpaceDE/>
        <w:autoSpaceDN/>
        <w:bidi w:val="0"/>
        <w:spacing w:before="0" w:after="0" w:line="560" w:lineRule="exact"/>
        <w:ind w:left="0" w:leftChars="0" w:firstLine="640" w:firstLineChars="200"/>
        <w:textAlignment w:val="auto"/>
        <w:rPr>
          <w:rFonts w:ascii="仿宋" w:hAnsi="仿宋" w:eastAsia="仿宋" w:cs="仿宋"/>
          <w:b w:val="0"/>
          <w:bCs w:val="0"/>
        </w:rPr>
      </w:pPr>
      <w:bookmarkStart w:id="189" w:name="_Toc143546662"/>
      <w:bookmarkStart w:id="190" w:name="_Toc143818247"/>
      <w:bookmarkStart w:id="191" w:name="_Toc1392"/>
      <w:r>
        <w:rPr>
          <w:rFonts w:hint="eastAsia" w:ascii="仿宋" w:hAnsi="仿宋" w:eastAsia="仿宋" w:cs="仿宋"/>
          <w:b w:val="0"/>
          <w:bCs w:val="0"/>
        </w:rPr>
        <w:t>保障机关及下属单位公务用车等工作开展。</w:t>
      </w:r>
      <w:bookmarkEnd w:id="189"/>
      <w:bookmarkEnd w:id="190"/>
      <w:bookmarkEnd w:id="191"/>
    </w:p>
    <w:p>
      <w:pPr>
        <w:pStyle w:val="5"/>
        <w:pageBreakBefore w:val="0"/>
        <w:kinsoku/>
        <w:wordWrap/>
        <w:overflowPunct/>
        <w:topLinePunct w:val="0"/>
        <w:autoSpaceDE/>
        <w:autoSpaceDN/>
        <w:bidi w:val="0"/>
        <w:spacing w:before="0" w:after="0" w:line="560" w:lineRule="exact"/>
        <w:ind w:left="0" w:leftChars="0" w:firstLine="640" w:firstLineChars="200"/>
        <w:textAlignment w:val="auto"/>
        <w:rPr>
          <w:rFonts w:ascii="黑体" w:eastAsia="黑体"/>
          <w:b w:val="0"/>
          <w:lang w:val="zh-CN"/>
        </w:rPr>
      </w:pPr>
      <w:bookmarkStart w:id="192" w:name="_Toc143546663"/>
      <w:bookmarkStart w:id="193" w:name="_Toc143818248"/>
      <w:bookmarkStart w:id="194" w:name="_Toc19702"/>
      <w:r>
        <w:rPr>
          <w:rFonts w:hint="eastAsia" w:ascii="黑体" w:eastAsia="黑体"/>
          <w:b w:val="0"/>
          <w:lang w:val="zh-CN"/>
        </w:rPr>
        <w:t>五、评价结论及建议</w:t>
      </w:r>
      <w:bookmarkEnd w:id="192"/>
      <w:bookmarkEnd w:id="193"/>
      <w:bookmarkEnd w:id="194"/>
    </w:p>
    <w:p>
      <w:pPr>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 w:hAnsi="仿宋" w:eastAsia="仿宋"/>
          <w:b/>
          <w:sz w:val="32"/>
          <w:szCs w:val="32"/>
          <w:lang w:val="zh-CN"/>
        </w:rPr>
      </w:pPr>
      <w:r>
        <w:rPr>
          <w:rFonts w:hint="eastAsia" w:ascii="仿宋" w:hAnsi="仿宋" w:eastAsia="仿宋"/>
          <w:b/>
          <w:sz w:val="32"/>
          <w:szCs w:val="32"/>
          <w:lang w:val="zh-CN"/>
        </w:rPr>
        <w:t>（一）评价结论。</w:t>
      </w:r>
    </w:p>
    <w:p>
      <w:pPr>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ascii="仿宋_GB2312" w:hAnsi="Calibri" w:eastAsia="仿宋_GB2312" w:cs="仿宋"/>
          <w:kern w:val="0"/>
          <w:sz w:val="32"/>
          <w:szCs w:val="32"/>
          <w:lang w:val="zh-CN"/>
        </w:rPr>
      </w:pPr>
      <w:r>
        <w:rPr>
          <w:rFonts w:hint="eastAsia" w:ascii="仿宋" w:hAnsi="仿宋" w:eastAsia="仿宋" w:cs="仿宋"/>
          <w:sz w:val="32"/>
          <w:szCs w:val="32"/>
        </w:rPr>
        <w:t>202</w:t>
      </w:r>
      <w:r>
        <w:rPr>
          <w:rFonts w:ascii="仿宋" w:hAnsi="仿宋" w:eastAsia="仿宋" w:cs="仿宋"/>
          <w:sz w:val="32"/>
          <w:szCs w:val="32"/>
        </w:rPr>
        <w:t>2</w:t>
      </w:r>
      <w:r>
        <w:rPr>
          <w:rFonts w:hint="eastAsia" w:ascii="仿宋" w:hAnsi="仿宋" w:eastAsia="仿宋" w:cs="仿宋"/>
          <w:sz w:val="32"/>
          <w:szCs w:val="32"/>
        </w:rPr>
        <w:t>年度项目经费预算具有明确的用途和目标，制定了较为细致的执行计划，资金到位及时并严格按照财政有关规定专款专用。预算决策、管理、执行过程逐渐规范，能较好地满足工作需要，保障项目顺利开展时效，并取得了较为满意的社会效益</w:t>
      </w:r>
      <w:r>
        <w:rPr>
          <w:rFonts w:hint="eastAsia" w:ascii="仿宋_GB2312" w:hAnsi="宋体" w:eastAsia="仿宋_GB2312"/>
          <w:sz w:val="32"/>
          <w:szCs w:val="32"/>
          <w:lang w:val="zh-CN"/>
        </w:rPr>
        <w:t>。</w:t>
      </w:r>
    </w:p>
    <w:p>
      <w:pPr>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 w:hAnsi="仿宋" w:eastAsia="仿宋"/>
          <w:b/>
          <w:sz w:val="32"/>
          <w:szCs w:val="32"/>
          <w:lang w:val="zh-CN"/>
        </w:rPr>
      </w:pPr>
      <w:r>
        <w:rPr>
          <w:rFonts w:hint="eastAsia" w:ascii="仿宋" w:hAnsi="仿宋" w:eastAsia="仿宋"/>
          <w:b/>
          <w:sz w:val="32"/>
          <w:szCs w:val="32"/>
          <w:lang w:val="zh-CN"/>
        </w:rPr>
        <w:t>（二）存在的问题。</w:t>
      </w:r>
    </w:p>
    <w:p>
      <w:pPr>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ascii="仿宋_GB2312" w:hAnsi="Calibri" w:eastAsia="仿宋_GB2312" w:cs="仿宋"/>
          <w:kern w:val="0"/>
          <w:sz w:val="32"/>
          <w:szCs w:val="32"/>
          <w:lang w:val="zh-CN"/>
        </w:rPr>
      </w:pPr>
      <w:r>
        <w:rPr>
          <w:rFonts w:hint="eastAsia" w:ascii="仿宋" w:hAnsi="仿宋" w:eastAsia="仿宋" w:cs="仿宋"/>
          <w:sz w:val="32"/>
          <w:szCs w:val="32"/>
        </w:rPr>
        <w:t>预算编制精确度有待进一步提高，对各类资金的管理还存在不完善的问题，制度建设不完善。</w:t>
      </w:r>
      <w:r>
        <w:rPr>
          <w:rFonts w:hint="eastAsia" w:ascii="仿宋_GB2312" w:hAnsi="Calibri" w:eastAsia="仿宋_GB2312" w:cs="仿宋"/>
          <w:kern w:val="0"/>
          <w:sz w:val="32"/>
          <w:szCs w:val="32"/>
          <w:lang w:val="zh-CN"/>
        </w:rPr>
        <w:tab/>
      </w:r>
    </w:p>
    <w:p>
      <w:pPr>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 w:hAnsi="仿宋" w:eastAsia="仿宋"/>
          <w:b/>
          <w:sz w:val="32"/>
          <w:szCs w:val="32"/>
          <w:lang w:val="zh-CN"/>
        </w:rPr>
      </w:pPr>
      <w:r>
        <w:rPr>
          <w:rFonts w:hint="eastAsia" w:ascii="仿宋" w:hAnsi="仿宋" w:eastAsia="仿宋"/>
          <w:b/>
          <w:sz w:val="32"/>
          <w:szCs w:val="32"/>
          <w:lang w:val="zh-CN"/>
        </w:rPr>
        <w:t>（三）相关建议。</w:t>
      </w:r>
    </w:p>
    <w:p>
      <w:pPr>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仿宋_GB2312" w:hAnsi="Calibri" w:eastAsia="仿宋_GB2312" w:cs="仿宋"/>
          <w:kern w:val="0"/>
          <w:sz w:val="32"/>
          <w:szCs w:val="32"/>
          <w:lang w:val="zh-CN"/>
        </w:rPr>
      </w:pPr>
      <w:r>
        <w:rPr>
          <w:rFonts w:hint="eastAsia" w:ascii="仿宋" w:hAnsi="仿宋" w:eastAsia="仿宋" w:cs="仿宋"/>
          <w:sz w:val="32"/>
          <w:szCs w:val="32"/>
        </w:rPr>
        <w:t>优化预算编制，加强预算执行。合理安排预算支出计划，优化资金支出结构，强化资金统筹和绩效管理，确保工作有效开展</w:t>
      </w:r>
      <w:r>
        <w:rPr>
          <w:rFonts w:hint="eastAsia" w:ascii="仿宋_GB2312" w:hAnsi="Calibri" w:eastAsia="仿宋_GB2312" w:cs="仿宋"/>
          <w:kern w:val="0"/>
          <w:sz w:val="32"/>
          <w:szCs w:val="32"/>
          <w:lang w:val="zh-CN"/>
        </w:rPr>
        <w:t>。</w:t>
      </w:r>
    </w:p>
    <w:p>
      <w:pPr>
        <w:pStyle w:val="34"/>
        <w:pageBreakBefore w:val="0"/>
        <w:kinsoku/>
        <w:wordWrap/>
        <w:overflowPunct/>
        <w:topLinePunct w:val="0"/>
        <w:autoSpaceDE/>
        <w:autoSpaceDN/>
        <w:bidi w:val="0"/>
        <w:spacing w:line="560" w:lineRule="exact"/>
        <w:ind w:left="0" w:leftChars="0" w:firstLine="640" w:firstLineChars="200"/>
        <w:jc w:val="center"/>
        <w:textAlignment w:val="auto"/>
        <w:rPr>
          <w:rFonts w:ascii="方正小标宋简体" w:hAnsi="方正小标宋简体" w:eastAsia="方正小标宋简体" w:cs="方正小标宋简体"/>
          <w:color w:val="auto"/>
          <w:kern w:val="2"/>
          <w:sz w:val="32"/>
          <w:szCs w:val="32"/>
          <w:lang w:val="en-US"/>
        </w:rPr>
      </w:pPr>
    </w:p>
    <w:p>
      <w:pPr>
        <w:rPr>
          <w:rFonts w:hint="eastAsia"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br w:type="page"/>
      </w:r>
    </w:p>
    <w:p>
      <w:pPr>
        <w:pStyle w:val="34"/>
        <w:pageBreakBefore w:val="0"/>
        <w:kinsoku/>
        <w:wordWrap/>
        <w:overflowPunct/>
        <w:topLinePunct w:val="0"/>
        <w:autoSpaceDE/>
        <w:autoSpaceDN/>
        <w:bidi w:val="0"/>
        <w:spacing w:line="560" w:lineRule="exact"/>
        <w:ind w:left="0" w:leftChars="0" w:firstLine="880" w:firstLineChars="200"/>
        <w:jc w:val="center"/>
        <w:textAlignment w:val="auto"/>
        <w:rPr>
          <w:rFonts w:ascii="宋体" w:hAnsi="宋体"/>
          <w:color w:val="auto"/>
          <w:kern w:val="2"/>
          <w:sz w:val="32"/>
          <w:szCs w:val="32"/>
        </w:rPr>
      </w:pPr>
      <w:r>
        <w:rPr>
          <w:rFonts w:hint="eastAsia" w:ascii="方正小标宋简体" w:hAnsi="方正小标宋简体" w:eastAsia="方正小标宋简体" w:cs="方正小标宋简体"/>
          <w:color w:val="auto"/>
          <w:kern w:val="2"/>
          <w:sz w:val="44"/>
          <w:szCs w:val="44"/>
          <w:lang w:val="en-US"/>
        </w:rPr>
        <w:t>2022年专项预算项目绩效自评报告</w:t>
      </w:r>
    </w:p>
    <w:p>
      <w:pPr>
        <w:pStyle w:val="5"/>
        <w:pageBreakBefore w:val="0"/>
        <w:kinsoku/>
        <w:wordWrap/>
        <w:overflowPunct/>
        <w:topLinePunct w:val="0"/>
        <w:autoSpaceDE/>
        <w:autoSpaceDN/>
        <w:bidi w:val="0"/>
        <w:spacing w:before="0" w:after="0" w:line="560" w:lineRule="exact"/>
        <w:ind w:left="0" w:leftChars="0" w:firstLine="640" w:firstLineChars="200"/>
        <w:textAlignment w:val="auto"/>
        <w:outlineLvl w:val="9"/>
        <w:rPr>
          <w:rFonts w:hint="eastAsia" w:ascii="黑体" w:eastAsia="黑体"/>
          <w:b w:val="0"/>
          <w:lang w:val="zh-CN"/>
        </w:rPr>
      </w:pPr>
      <w:bookmarkStart w:id="195" w:name="_Toc143818249"/>
      <w:bookmarkStart w:id="196" w:name="_Toc143546664"/>
    </w:p>
    <w:p>
      <w:pPr>
        <w:pStyle w:val="5"/>
        <w:pageBreakBefore w:val="0"/>
        <w:kinsoku/>
        <w:wordWrap/>
        <w:overflowPunct/>
        <w:topLinePunct w:val="0"/>
        <w:autoSpaceDE/>
        <w:autoSpaceDN/>
        <w:bidi w:val="0"/>
        <w:spacing w:before="0" w:after="0" w:line="560" w:lineRule="exact"/>
        <w:ind w:left="0" w:leftChars="0" w:firstLine="640" w:firstLineChars="200"/>
        <w:textAlignment w:val="auto"/>
        <w:rPr>
          <w:rFonts w:ascii="黑体" w:eastAsia="黑体"/>
          <w:b w:val="0"/>
          <w:lang w:val="zh-CN"/>
        </w:rPr>
      </w:pPr>
      <w:bookmarkStart w:id="197" w:name="_Toc21696"/>
      <w:r>
        <w:rPr>
          <w:rFonts w:hint="eastAsia" w:ascii="黑体" w:eastAsia="黑体"/>
          <w:b w:val="0"/>
          <w:lang w:val="zh-CN"/>
        </w:rPr>
        <w:t>一、项目概况</w:t>
      </w:r>
      <w:bookmarkEnd w:id="195"/>
      <w:bookmarkEnd w:id="196"/>
      <w:bookmarkEnd w:id="197"/>
    </w:p>
    <w:p>
      <w:pPr>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_GB2312" w:hAnsi="Calibri" w:eastAsia="仿宋_GB2312" w:cs="仿宋"/>
          <w:kern w:val="0"/>
          <w:sz w:val="32"/>
          <w:szCs w:val="32"/>
          <w:lang w:val="zh-CN"/>
        </w:rPr>
      </w:pPr>
      <w:r>
        <w:rPr>
          <w:rFonts w:hint="eastAsia" w:ascii="仿宋" w:hAnsi="仿宋" w:eastAsia="仿宋"/>
          <w:b/>
          <w:sz w:val="32"/>
          <w:szCs w:val="32"/>
          <w:lang w:val="zh-CN"/>
        </w:rPr>
        <w:t>（一）项目基本情况。</w:t>
      </w:r>
    </w:p>
    <w:p>
      <w:pPr>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 xml:space="preserve">1. </w:t>
      </w:r>
      <w:r>
        <w:rPr>
          <w:rFonts w:hint="eastAsia" w:ascii="仿宋" w:hAnsi="仿宋" w:eastAsia="仿宋" w:cs="仿宋"/>
          <w:sz w:val="32"/>
          <w:szCs w:val="32"/>
        </w:rPr>
        <w:t>公共机构节能</w:t>
      </w:r>
      <w:r>
        <w:rPr>
          <w:rFonts w:hint="eastAsia" w:ascii="仿宋" w:hAnsi="仿宋" w:eastAsia="仿宋" w:cs="仿宋_GB2312"/>
          <w:sz w:val="32"/>
          <w:szCs w:val="32"/>
        </w:rPr>
        <w:t>主要用于</w:t>
      </w:r>
      <w:r>
        <w:rPr>
          <w:rFonts w:hint="eastAsia" w:ascii="仿宋" w:hAnsi="仿宋" w:eastAsia="仿宋" w:cs="仿宋"/>
          <w:sz w:val="32"/>
          <w:szCs w:val="32"/>
        </w:rPr>
        <w:t>完成2022年公共机构能耗平台点位建设，完成3000平方机油建筑节能改造，做好公共机构节能宣传</w:t>
      </w:r>
      <w:r>
        <w:rPr>
          <w:rFonts w:hint="eastAsia" w:ascii="仿宋_GB2312" w:hAnsi="仿宋_GB2312" w:eastAsia="仿宋_GB2312" w:cs="仿宋_GB2312"/>
          <w:sz w:val="32"/>
          <w:szCs w:val="32"/>
        </w:rPr>
        <w:t>。</w:t>
      </w:r>
    </w:p>
    <w:p>
      <w:pPr>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ascii="仿宋" w:hAnsi="仿宋" w:eastAsia="仿宋" w:cs="仿宋"/>
          <w:kern w:val="0"/>
          <w:sz w:val="32"/>
          <w:szCs w:val="32"/>
          <w:lang w:val="zh-CN"/>
        </w:rPr>
      </w:pPr>
      <w:r>
        <w:rPr>
          <w:rFonts w:hint="eastAsia" w:ascii="仿宋" w:hAnsi="仿宋" w:eastAsia="仿宋" w:cs="仿宋"/>
          <w:kern w:val="0"/>
          <w:sz w:val="32"/>
          <w:szCs w:val="32"/>
          <w:lang w:val="zh-CN"/>
        </w:rPr>
        <w:t>2. 项目立项、资金申报的依据。按市上下达任务需完成40个单位安装能耗数据采集设备，全区范围内宣传；购买节能灯200个，节水水龙头80个，完成3000平方</w:t>
      </w:r>
      <w:r>
        <w:rPr>
          <w:rFonts w:hint="eastAsia" w:ascii="仿宋" w:hAnsi="仿宋" w:eastAsia="仿宋" w:cs="仿宋"/>
          <w:kern w:val="0"/>
          <w:sz w:val="32"/>
          <w:szCs w:val="32"/>
          <w:lang w:val="en-US" w:eastAsia="zh-CN"/>
        </w:rPr>
        <w:t>既有</w:t>
      </w:r>
      <w:r>
        <w:rPr>
          <w:rFonts w:hint="eastAsia" w:ascii="仿宋" w:hAnsi="仿宋" w:eastAsia="仿宋" w:cs="仿宋"/>
          <w:kern w:val="0"/>
          <w:sz w:val="32"/>
          <w:szCs w:val="32"/>
          <w:lang w:val="zh-CN"/>
        </w:rPr>
        <w:t>建筑节能改造</w:t>
      </w:r>
      <w:r>
        <w:rPr>
          <w:rFonts w:hint="eastAsia" w:ascii="仿宋" w:hAnsi="仿宋" w:eastAsia="仿宋" w:cs="仿宋"/>
          <w:kern w:val="0"/>
          <w:sz w:val="32"/>
          <w:szCs w:val="32"/>
          <w:lang w:val="en-US" w:eastAsia="zh-CN"/>
        </w:rPr>
        <w:t>等</w:t>
      </w:r>
      <w:r>
        <w:rPr>
          <w:rFonts w:hint="eastAsia" w:ascii="仿宋" w:hAnsi="仿宋" w:eastAsia="仿宋" w:cs="仿宋"/>
          <w:kern w:val="0"/>
          <w:sz w:val="32"/>
          <w:szCs w:val="32"/>
          <w:lang w:val="zh-CN"/>
        </w:rPr>
        <w:t>。</w:t>
      </w:r>
    </w:p>
    <w:p>
      <w:pPr>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ascii="仿宋" w:hAnsi="仿宋" w:eastAsia="仿宋" w:cs="仿宋"/>
          <w:kern w:val="0"/>
          <w:sz w:val="32"/>
          <w:szCs w:val="32"/>
          <w:lang w:val="zh-CN"/>
        </w:rPr>
      </w:pPr>
      <w:r>
        <w:rPr>
          <w:rFonts w:hint="eastAsia" w:ascii="仿宋" w:hAnsi="仿宋" w:eastAsia="仿宋" w:cs="仿宋"/>
          <w:kern w:val="0"/>
          <w:sz w:val="32"/>
          <w:szCs w:val="32"/>
          <w:lang w:val="zh-CN"/>
        </w:rPr>
        <w:t>3. 资金管理办法制定情况，资金支持具体项目的条件、范围与支持方式概况。</w:t>
      </w:r>
    </w:p>
    <w:p>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ascii="仿宋" w:hAnsi="仿宋" w:eastAsia="仿宋"/>
          <w:lang w:val="zh-CN"/>
        </w:rPr>
      </w:pPr>
      <w:r>
        <w:rPr>
          <w:rFonts w:hint="eastAsia" w:ascii="仿宋" w:hAnsi="仿宋" w:eastAsia="仿宋"/>
          <w:sz w:val="32"/>
          <w:szCs w:val="32"/>
        </w:rPr>
        <w:t>该项目资金严格按照机关事务服务中心相关财务制度管理，资金主要用于</w:t>
      </w:r>
      <w:r>
        <w:rPr>
          <w:rFonts w:hint="eastAsia" w:ascii="仿宋" w:hAnsi="仿宋" w:eastAsia="仿宋" w:cs="仿宋"/>
          <w:sz w:val="32"/>
          <w:szCs w:val="32"/>
        </w:rPr>
        <w:t>完成202</w:t>
      </w:r>
      <w:r>
        <w:rPr>
          <w:rFonts w:ascii="仿宋" w:hAnsi="仿宋" w:eastAsia="仿宋" w:cs="仿宋"/>
          <w:sz w:val="32"/>
          <w:szCs w:val="32"/>
        </w:rPr>
        <w:t>2</w:t>
      </w:r>
      <w:r>
        <w:rPr>
          <w:rFonts w:hint="eastAsia" w:ascii="仿宋" w:hAnsi="仿宋" w:eastAsia="仿宋" w:cs="仿宋"/>
          <w:sz w:val="32"/>
          <w:szCs w:val="32"/>
        </w:rPr>
        <w:t>年公共机构能耗平台点位建设，完成3000平方</w:t>
      </w:r>
      <w:r>
        <w:rPr>
          <w:rFonts w:hint="eastAsia" w:ascii="仿宋" w:hAnsi="仿宋" w:eastAsia="仿宋" w:cs="仿宋"/>
          <w:sz w:val="32"/>
          <w:szCs w:val="32"/>
          <w:lang w:val="en-US" w:eastAsia="zh-CN"/>
        </w:rPr>
        <w:t>既有</w:t>
      </w:r>
      <w:r>
        <w:rPr>
          <w:rFonts w:hint="eastAsia" w:ascii="仿宋" w:hAnsi="仿宋" w:eastAsia="仿宋" w:cs="仿宋"/>
          <w:sz w:val="32"/>
          <w:szCs w:val="32"/>
        </w:rPr>
        <w:t>建筑节能改造，做好公共机构节能宣传</w:t>
      </w:r>
      <w:r>
        <w:rPr>
          <w:rFonts w:hint="eastAsia" w:ascii="仿宋" w:hAnsi="仿宋" w:eastAsia="仿宋" w:cs="仿宋_GB2312"/>
          <w:sz w:val="32"/>
          <w:szCs w:val="32"/>
        </w:rPr>
        <w:t>等方面的工作。</w:t>
      </w:r>
    </w:p>
    <w:p>
      <w:pPr>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ascii="仿宋" w:hAnsi="仿宋" w:eastAsia="仿宋" w:cs="仿宋"/>
          <w:kern w:val="0"/>
          <w:sz w:val="32"/>
          <w:szCs w:val="32"/>
          <w:lang w:val="zh-CN"/>
        </w:rPr>
      </w:pPr>
      <w:r>
        <w:rPr>
          <w:rFonts w:hint="eastAsia" w:ascii="仿宋" w:hAnsi="仿宋" w:eastAsia="仿宋" w:cs="仿宋"/>
          <w:kern w:val="0"/>
          <w:sz w:val="32"/>
          <w:szCs w:val="32"/>
        </w:rPr>
        <w:t>4.</w:t>
      </w:r>
      <w:r>
        <w:rPr>
          <w:rFonts w:hint="eastAsia" w:ascii="仿宋" w:hAnsi="仿宋" w:eastAsia="仿宋" w:cs="仿宋"/>
          <w:kern w:val="0"/>
          <w:sz w:val="32"/>
          <w:szCs w:val="32"/>
          <w:lang w:val="zh-CN"/>
        </w:rPr>
        <w:t>资金分配的原则及考虑因素。</w:t>
      </w:r>
    </w:p>
    <w:p>
      <w:pPr>
        <w:pStyle w:val="7"/>
        <w:pageBreakBefore w:val="0"/>
        <w:numPr>
          <w:ilvl w:val="0"/>
          <w:numId w:val="0"/>
        </w:numPr>
        <w:kinsoku/>
        <w:wordWrap/>
        <w:overflowPunct/>
        <w:topLinePunct w:val="0"/>
        <w:autoSpaceDE/>
        <w:autoSpaceDN/>
        <w:bidi w:val="0"/>
        <w:spacing w:line="560" w:lineRule="exact"/>
        <w:ind w:left="0" w:leftChars="0" w:firstLine="640" w:firstLineChars="200"/>
        <w:textAlignment w:val="auto"/>
        <w:rPr>
          <w:lang w:val="zh-CN"/>
        </w:rPr>
      </w:pPr>
      <w:r>
        <w:rPr>
          <w:rFonts w:hint="eastAsia" w:ascii="仿宋" w:hAnsi="仿宋" w:eastAsia="仿宋"/>
          <w:sz w:val="32"/>
          <w:szCs w:val="32"/>
        </w:rPr>
        <w:t>该项目资金根据机关事务服务中心实际支出情况按需支取。</w:t>
      </w:r>
    </w:p>
    <w:p>
      <w:pPr>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_GB2312" w:hAnsi="Calibri" w:eastAsia="仿宋_GB2312" w:cs="仿宋"/>
          <w:kern w:val="0"/>
          <w:sz w:val="32"/>
          <w:szCs w:val="32"/>
          <w:lang w:val="zh-CN"/>
        </w:rPr>
      </w:pPr>
      <w:r>
        <w:rPr>
          <w:rFonts w:hint="eastAsia" w:ascii="仿宋" w:hAnsi="仿宋" w:eastAsia="仿宋"/>
          <w:b/>
          <w:sz w:val="32"/>
          <w:szCs w:val="32"/>
          <w:lang w:val="zh-CN"/>
        </w:rPr>
        <w:t>（二）项目绩效目标。</w:t>
      </w:r>
    </w:p>
    <w:p>
      <w:pPr>
        <w:pageBreakBefore w:val="0"/>
        <w:widowControl/>
        <w:kinsoku/>
        <w:wordWrap/>
        <w:overflowPunct/>
        <w:topLinePunct w:val="0"/>
        <w:autoSpaceDE/>
        <w:autoSpaceDN/>
        <w:bidi w:val="0"/>
        <w:spacing w:line="560" w:lineRule="exact"/>
        <w:ind w:left="0" w:leftChars="0" w:firstLine="640" w:firstLineChars="200"/>
        <w:jc w:val="left"/>
        <w:textAlignment w:val="auto"/>
        <w:rPr>
          <w:rFonts w:ascii="仿宋" w:hAnsi="仿宋" w:eastAsia="仿宋" w:cs="宋体"/>
          <w:color w:val="000000"/>
          <w:kern w:val="0"/>
          <w:sz w:val="32"/>
          <w:szCs w:val="32"/>
        </w:rPr>
      </w:pPr>
      <w:r>
        <w:rPr>
          <w:rFonts w:hint="eastAsia" w:ascii="仿宋" w:hAnsi="仿宋" w:eastAsia="仿宋" w:cs="仿宋"/>
          <w:sz w:val="32"/>
          <w:szCs w:val="32"/>
        </w:rPr>
        <w:t>完成2022年公共机构能耗平台点位建设4</w:t>
      </w:r>
      <w:r>
        <w:rPr>
          <w:rFonts w:ascii="仿宋" w:hAnsi="仿宋" w:eastAsia="仿宋" w:cs="仿宋"/>
          <w:sz w:val="32"/>
          <w:szCs w:val="32"/>
        </w:rPr>
        <w:t>0</w:t>
      </w:r>
      <w:r>
        <w:rPr>
          <w:rFonts w:hint="eastAsia" w:ascii="仿宋" w:hAnsi="仿宋" w:eastAsia="仿宋" w:cs="仿宋"/>
          <w:sz w:val="32"/>
          <w:szCs w:val="32"/>
        </w:rPr>
        <w:t>个，做好公共机构节能宣传，</w:t>
      </w:r>
      <w:r>
        <w:rPr>
          <w:rFonts w:hint="eastAsia" w:ascii="仿宋" w:hAnsi="仿宋" w:eastAsia="仿宋" w:cs="仿宋_GB2312"/>
          <w:sz w:val="32"/>
          <w:szCs w:val="32"/>
        </w:rPr>
        <w:t>服务对象满意度≥9</w:t>
      </w:r>
      <w:r>
        <w:rPr>
          <w:rFonts w:ascii="仿宋" w:hAnsi="仿宋" w:eastAsia="仿宋" w:cs="仿宋_GB2312"/>
          <w:sz w:val="32"/>
          <w:szCs w:val="32"/>
        </w:rPr>
        <w:t>0</w:t>
      </w:r>
      <w:r>
        <w:rPr>
          <w:rFonts w:hint="eastAsia" w:ascii="仿宋" w:hAnsi="仿宋" w:eastAsia="仿宋" w:cs="仿宋_GB2312"/>
          <w:sz w:val="32"/>
          <w:szCs w:val="32"/>
        </w:rPr>
        <w:t>%。</w:t>
      </w:r>
      <w:r>
        <w:rPr>
          <w:rFonts w:hint="eastAsia" w:ascii="仿宋" w:hAnsi="仿宋" w:eastAsia="仿宋" w:cs="仿宋"/>
          <w:sz w:val="32"/>
          <w:szCs w:val="32"/>
        </w:rPr>
        <w:t>2022年申报的内容与实际相符，申报目标合理可行。</w:t>
      </w:r>
    </w:p>
    <w:p>
      <w:pPr>
        <w:pageBreakBefore w:val="0"/>
        <w:widowControl/>
        <w:numPr>
          <w:ilvl w:val="0"/>
          <w:numId w:val="0"/>
        </w:numPr>
        <w:kinsoku/>
        <w:wordWrap/>
        <w:overflowPunct/>
        <w:topLinePunct w:val="0"/>
        <w:autoSpaceDE/>
        <w:autoSpaceDN/>
        <w:bidi w:val="0"/>
        <w:adjustRightInd w:val="0"/>
        <w:snapToGrid w:val="0"/>
        <w:spacing w:line="560" w:lineRule="exact"/>
        <w:ind w:leftChars="200"/>
        <w:contextualSpacing/>
        <w:jc w:val="left"/>
        <w:textAlignment w:val="auto"/>
        <w:rPr>
          <w:rFonts w:ascii="仿宋" w:hAnsi="仿宋" w:eastAsia="仿宋"/>
          <w:b/>
          <w:sz w:val="32"/>
          <w:szCs w:val="32"/>
          <w:lang w:val="zh-CN"/>
        </w:rPr>
      </w:pPr>
      <w:r>
        <w:rPr>
          <w:rFonts w:hint="eastAsia" w:ascii="仿宋" w:hAnsi="仿宋" w:eastAsia="仿宋"/>
          <w:b/>
          <w:sz w:val="32"/>
          <w:szCs w:val="32"/>
          <w:lang w:val="zh-CN"/>
        </w:rPr>
        <w:t>（</w:t>
      </w:r>
      <w:r>
        <w:rPr>
          <w:rFonts w:hint="eastAsia" w:ascii="仿宋" w:hAnsi="仿宋" w:eastAsia="仿宋"/>
          <w:b/>
          <w:sz w:val="32"/>
          <w:szCs w:val="32"/>
          <w:lang w:val="en-US" w:eastAsia="zh-CN"/>
        </w:rPr>
        <w:t>三</w:t>
      </w:r>
      <w:r>
        <w:rPr>
          <w:rFonts w:hint="eastAsia" w:ascii="仿宋" w:hAnsi="仿宋" w:eastAsia="仿宋"/>
          <w:b/>
          <w:sz w:val="32"/>
          <w:szCs w:val="32"/>
          <w:lang w:val="zh-CN"/>
        </w:rPr>
        <w:t>）项目自评步骤及方法。</w:t>
      </w:r>
    </w:p>
    <w:p>
      <w:pPr>
        <w:pStyle w:val="2"/>
        <w:pageBreakBefore w:val="0"/>
        <w:kinsoku/>
        <w:wordWrap/>
        <w:overflowPunct/>
        <w:topLinePunct w:val="0"/>
        <w:autoSpaceDE/>
        <w:autoSpaceDN/>
        <w:bidi w:val="0"/>
        <w:spacing w:after="0" w:line="560" w:lineRule="exact"/>
        <w:ind w:left="0" w:leftChars="0" w:firstLine="640" w:firstLineChars="200"/>
        <w:textAlignment w:val="auto"/>
        <w:rPr>
          <w:rFonts w:ascii="仿宋" w:hAnsi="仿宋" w:eastAsia="仿宋"/>
          <w:lang w:val="zh-CN"/>
        </w:rPr>
      </w:pPr>
      <w:r>
        <w:rPr>
          <w:rFonts w:hint="eastAsia" w:ascii="仿宋" w:hAnsi="仿宋" w:eastAsia="仿宋"/>
          <w:sz w:val="32"/>
        </w:rPr>
        <w:t>该</w:t>
      </w:r>
      <w:r>
        <w:rPr>
          <w:rFonts w:hint="eastAsia" w:ascii="仿宋" w:hAnsi="仿宋" w:eastAsia="仿宋"/>
          <w:sz w:val="32"/>
          <w:lang w:val="zh-CN"/>
        </w:rPr>
        <w:t>项目绩效自评采用自评方式，成立项目自评小组，结合评价内容，做到有计划，有安排，扎实开展本次自评工作。按照上级下达的项目支出绩效评价指标体系，自评小组针对申报内容、实施情况、资金兑现、财务管理、社会效益等作出自我评价，做好自评工作。</w:t>
      </w:r>
    </w:p>
    <w:p>
      <w:pPr>
        <w:pStyle w:val="5"/>
        <w:pageBreakBefore w:val="0"/>
        <w:kinsoku/>
        <w:wordWrap/>
        <w:overflowPunct/>
        <w:topLinePunct w:val="0"/>
        <w:autoSpaceDE/>
        <w:autoSpaceDN/>
        <w:bidi w:val="0"/>
        <w:spacing w:before="0" w:after="0" w:line="560" w:lineRule="exact"/>
        <w:ind w:left="0" w:leftChars="0" w:firstLine="640" w:firstLineChars="200"/>
        <w:textAlignment w:val="auto"/>
        <w:rPr>
          <w:rFonts w:ascii="黑体" w:eastAsia="黑体"/>
          <w:b w:val="0"/>
          <w:lang w:val="zh-CN"/>
        </w:rPr>
      </w:pPr>
      <w:bookmarkStart w:id="198" w:name="_Toc143546665"/>
      <w:bookmarkStart w:id="199" w:name="_Toc143818250"/>
      <w:bookmarkStart w:id="200" w:name="_Toc31424"/>
      <w:r>
        <w:rPr>
          <w:rFonts w:hint="eastAsia" w:ascii="黑体" w:eastAsia="黑体"/>
          <w:b w:val="0"/>
          <w:lang w:val="zh-CN"/>
        </w:rPr>
        <w:t>二、项目资金申报及使用情况</w:t>
      </w:r>
      <w:bookmarkEnd w:id="198"/>
      <w:bookmarkEnd w:id="199"/>
      <w:bookmarkEnd w:id="200"/>
    </w:p>
    <w:p>
      <w:pPr>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_GB2312" w:hAnsi="Calibri" w:eastAsia="仿宋_GB2312" w:cs="仿宋"/>
          <w:kern w:val="0"/>
          <w:sz w:val="32"/>
          <w:szCs w:val="32"/>
          <w:lang w:val="zh-CN"/>
        </w:rPr>
      </w:pPr>
      <w:r>
        <w:rPr>
          <w:rFonts w:hint="eastAsia" w:ascii="仿宋" w:hAnsi="仿宋" w:eastAsia="仿宋"/>
          <w:b/>
          <w:sz w:val="32"/>
          <w:szCs w:val="32"/>
          <w:lang w:val="zh-CN"/>
        </w:rPr>
        <w:t>（一）项目资金申报及批复情况。</w:t>
      </w:r>
    </w:p>
    <w:p>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ascii="仿宋" w:hAnsi="仿宋" w:eastAsia="仿宋"/>
          <w:sz w:val="32"/>
          <w:szCs w:val="32"/>
          <w:lang w:val="zh-CN"/>
        </w:rPr>
      </w:pPr>
      <w:r>
        <w:rPr>
          <w:rFonts w:hint="eastAsia" w:ascii="仿宋" w:hAnsi="仿宋" w:eastAsia="仿宋" w:cs="仿宋"/>
          <w:sz w:val="32"/>
          <w:szCs w:val="32"/>
        </w:rPr>
        <w:t>公共机构节能</w:t>
      </w:r>
      <w:r>
        <w:rPr>
          <w:rFonts w:hint="eastAsia" w:ascii="仿宋" w:hAnsi="仿宋" w:eastAsia="仿宋"/>
          <w:sz w:val="32"/>
          <w:szCs w:val="32"/>
          <w:lang w:val="zh-CN"/>
        </w:rPr>
        <w:t>项目资金申报</w:t>
      </w:r>
      <w:r>
        <w:rPr>
          <w:rFonts w:ascii="仿宋" w:hAnsi="仿宋" w:eastAsia="仿宋"/>
          <w:sz w:val="32"/>
          <w:szCs w:val="32"/>
        </w:rPr>
        <w:t>10</w:t>
      </w:r>
      <w:r>
        <w:rPr>
          <w:rFonts w:hint="eastAsia" w:ascii="仿宋" w:hAnsi="仿宋" w:eastAsia="仿宋"/>
          <w:sz w:val="32"/>
          <w:szCs w:val="32"/>
        </w:rPr>
        <w:t>万</w:t>
      </w:r>
      <w:r>
        <w:rPr>
          <w:rFonts w:hint="eastAsia" w:ascii="仿宋" w:hAnsi="仿宋" w:eastAsia="仿宋"/>
          <w:sz w:val="32"/>
          <w:szCs w:val="32"/>
          <w:lang w:val="zh-CN"/>
        </w:rPr>
        <w:t>，批复</w:t>
      </w:r>
      <w:r>
        <w:rPr>
          <w:rFonts w:ascii="仿宋" w:hAnsi="仿宋" w:eastAsia="仿宋"/>
          <w:sz w:val="32"/>
          <w:szCs w:val="32"/>
        </w:rPr>
        <w:t>10</w:t>
      </w:r>
      <w:r>
        <w:rPr>
          <w:rFonts w:hint="eastAsia" w:ascii="仿宋" w:hAnsi="仿宋" w:eastAsia="仿宋"/>
          <w:sz w:val="32"/>
          <w:szCs w:val="32"/>
        </w:rPr>
        <w:t>万</w:t>
      </w:r>
      <w:r>
        <w:rPr>
          <w:rFonts w:hint="eastAsia" w:ascii="仿宋" w:hAnsi="仿宋" w:eastAsia="仿宋"/>
          <w:sz w:val="32"/>
          <w:szCs w:val="32"/>
          <w:lang w:val="zh-CN"/>
        </w:rPr>
        <w:t>。</w:t>
      </w:r>
    </w:p>
    <w:p>
      <w:pPr>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 w:hAnsi="仿宋" w:eastAsia="仿宋"/>
          <w:b/>
          <w:sz w:val="32"/>
          <w:szCs w:val="32"/>
          <w:lang w:val="zh-CN"/>
        </w:rPr>
      </w:pPr>
      <w:r>
        <w:rPr>
          <w:rFonts w:hint="eastAsia" w:ascii="仿宋" w:hAnsi="仿宋" w:eastAsia="仿宋"/>
          <w:b/>
          <w:sz w:val="32"/>
          <w:szCs w:val="32"/>
          <w:lang w:val="zh-CN"/>
        </w:rPr>
        <w:t>（二）资金计划、到位及使用情况（可用表格形式反映）。</w:t>
      </w:r>
    </w:p>
    <w:p>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ascii="仿宋" w:hAnsi="仿宋" w:eastAsia="仿宋"/>
          <w:sz w:val="32"/>
          <w:szCs w:val="32"/>
          <w:lang w:val="zh-CN"/>
        </w:rPr>
      </w:pPr>
      <w:r>
        <w:rPr>
          <w:rFonts w:hint="eastAsia" w:ascii="楷体_GB2312" w:hAnsi="宋体" w:eastAsia="楷体_GB2312"/>
          <w:sz w:val="32"/>
          <w:szCs w:val="32"/>
          <w:lang w:val="zh-CN"/>
        </w:rPr>
        <w:t>1．资金计划。</w:t>
      </w:r>
      <w:r>
        <w:rPr>
          <w:rFonts w:hint="eastAsia" w:ascii="仿宋" w:hAnsi="仿宋" w:eastAsia="仿宋" w:cs="仿宋_GB2312"/>
          <w:sz w:val="32"/>
          <w:szCs w:val="32"/>
        </w:rPr>
        <w:t>该项目资金计划</w:t>
      </w:r>
      <w:r>
        <w:rPr>
          <w:rFonts w:ascii="仿宋" w:hAnsi="仿宋" w:eastAsia="仿宋" w:cs="仿宋_GB2312"/>
          <w:sz w:val="32"/>
          <w:szCs w:val="32"/>
        </w:rPr>
        <w:t>10</w:t>
      </w:r>
      <w:r>
        <w:rPr>
          <w:rFonts w:hint="eastAsia" w:ascii="仿宋" w:hAnsi="仿宋" w:eastAsia="仿宋" w:cs="仿宋_GB2312"/>
          <w:sz w:val="32"/>
          <w:szCs w:val="32"/>
        </w:rPr>
        <w:t>万元</w:t>
      </w:r>
      <w:r>
        <w:rPr>
          <w:rFonts w:hint="eastAsia" w:ascii="仿宋" w:hAnsi="仿宋" w:eastAsia="仿宋"/>
          <w:sz w:val="32"/>
          <w:szCs w:val="32"/>
          <w:lang w:val="zh-CN"/>
        </w:rPr>
        <w:t>。</w:t>
      </w:r>
    </w:p>
    <w:p>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ascii="仿宋" w:hAnsi="仿宋" w:eastAsia="仿宋"/>
          <w:sz w:val="32"/>
          <w:szCs w:val="32"/>
          <w:lang w:val="zh-CN"/>
        </w:rPr>
      </w:pPr>
      <w:r>
        <w:rPr>
          <w:rFonts w:hint="eastAsia" w:ascii="楷体_GB2312" w:hAnsi="宋体" w:eastAsia="楷体_GB2312"/>
          <w:sz w:val="32"/>
          <w:szCs w:val="32"/>
          <w:lang w:val="zh-CN"/>
        </w:rPr>
        <w:t>2．资金到位。</w:t>
      </w:r>
      <w:r>
        <w:rPr>
          <w:rFonts w:hint="eastAsia" w:ascii="仿宋" w:hAnsi="仿宋" w:eastAsia="仿宋" w:cs="仿宋_GB2312"/>
          <w:sz w:val="32"/>
          <w:szCs w:val="32"/>
        </w:rPr>
        <w:t>该项目资金截止评价时点实际到位</w:t>
      </w:r>
      <w:r>
        <w:rPr>
          <w:rFonts w:ascii="仿宋" w:hAnsi="仿宋" w:eastAsia="仿宋" w:cs="仿宋_GB2312"/>
          <w:sz w:val="32"/>
          <w:szCs w:val="32"/>
        </w:rPr>
        <w:t>10</w:t>
      </w:r>
      <w:r>
        <w:rPr>
          <w:rFonts w:hint="eastAsia" w:ascii="仿宋" w:hAnsi="仿宋" w:eastAsia="仿宋" w:cs="仿宋_GB2312"/>
          <w:sz w:val="32"/>
          <w:szCs w:val="32"/>
        </w:rPr>
        <w:t>万元</w:t>
      </w:r>
    </w:p>
    <w:p>
      <w:pPr>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ascii="仿宋" w:hAnsi="仿宋" w:eastAsia="仿宋" w:cs="仿宋"/>
          <w:kern w:val="0"/>
          <w:sz w:val="32"/>
          <w:szCs w:val="32"/>
          <w:lang w:val="zh-CN"/>
        </w:rPr>
      </w:pPr>
      <w:r>
        <w:rPr>
          <w:rFonts w:hint="eastAsia" w:ascii="楷体_GB2312" w:hAnsi="宋体" w:eastAsia="楷体_GB2312"/>
          <w:sz w:val="32"/>
          <w:szCs w:val="32"/>
          <w:lang w:val="zh-CN"/>
        </w:rPr>
        <w:t>3．资金使用。</w:t>
      </w:r>
      <w:r>
        <w:rPr>
          <w:rFonts w:hint="eastAsia" w:ascii="仿宋" w:hAnsi="仿宋" w:eastAsia="仿宋" w:cs="仿宋_GB2312"/>
          <w:sz w:val="32"/>
          <w:szCs w:val="32"/>
        </w:rPr>
        <w:t>截止评价时点项目资金的实际支出</w:t>
      </w:r>
      <w:r>
        <w:rPr>
          <w:rFonts w:ascii="仿宋" w:hAnsi="仿宋" w:eastAsia="仿宋" w:cs="仿宋_GB2312"/>
          <w:sz w:val="32"/>
          <w:szCs w:val="32"/>
        </w:rPr>
        <w:t>7</w:t>
      </w:r>
      <w:r>
        <w:rPr>
          <w:rFonts w:hint="eastAsia" w:ascii="仿宋" w:hAnsi="仿宋" w:eastAsia="仿宋" w:cs="仿宋_GB2312"/>
          <w:sz w:val="32"/>
          <w:szCs w:val="32"/>
        </w:rPr>
        <w:t>.</w:t>
      </w:r>
      <w:r>
        <w:rPr>
          <w:rFonts w:ascii="仿宋" w:hAnsi="仿宋" w:eastAsia="仿宋" w:cs="仿宋_GB2312"/>
          <w:sz w:val="32"/>
          <w:szCs w:val="32"/>
        </w:rPr>
        <w:t>5</w:t>
      </w:r>
      <w:r>
        <w:rPr>
          <w:rFonts w:hint="eastAsia" w:ascii="仿宋" w:hAnsi="仿宋" w:eastAsia="仿宋" w:cs="仿宋_GB2312"/>
          <w:sz w:val="32"/>
          <w:szCs w:val="32"/>
        </w:rPr>
        <w:t>万元，主要是用于</w:t>
      </w:r>
      <w:r>
        <w:rPr>
          <w:rFonts w:hint="eastAsia" w:ascii="仿宋" w:hAnsi="仿宋" w:eastAsia="仿宋" w:cs="仿宋"/>
          <w:sz w:val="32"/>
          <w:szCs w:val="32"/>
        </w:rPr>
        <w:t>完成202</w:t>
      </w:r>
      <w:r>
        <w:rPr>
          <w:rFonts w:ascii="仿宋" w:hAnsi="仿宋" w:eastAsia="仿宋" w:cs="仿宋"/>
          <w:sz w:val="32"/>
          <w:szCs w:val="32"/>
        </w:rPr>
        <w:t>2</w:t>
      </w:r>
      <w:r>
        <w:rPr>
          <w:rFonts w:hint="eastAsia" w:ascii="仿宋" w:hAnsi="仿宋" w:eastAsia="仿宋" w:cs="仿宋"/>
          <w:sz w:val="32"/>
          <w:szCs w:val="32"/>
        </w:rPr>
        <w:t>年公共机构能耗平台点位建设，完成3000平方</w:t>
      </w:r>
      <w:r>
        <w:rPr>
          <w:rFonts w:hint="eastAsia" w:ascii="仿宋" w:hAnsi="仿宋" w:eastAsia="仿宋" w:cs="仿宋"/>
          <w:sz w:val="32"/>
          <w:szCs w:val="32"/>
          <w:lang w:val="en-US" w:eastAsia="zh-CN"/>
        </w:rPr>
        <w:t>既有</w:t>
      </w:r>
      <w:r>
        <w:rPr>
          <w:rFonts w:hint="eastAsia" w:ascii="仿宋" w:hAnsi="仿宋" w:eastAsia="仿宋" w:cs="仿宋"/>
          <w:sz w:val="32"/>
          <w:szCs w:val="32"/>
        </w:rPr>
        <w:t>建筑节能改造，做好公共机构节能宣传</w:t>
      </w:r>
      <w:r>
        <w:rPr>
          <w:rFonts w:hint="eastAsia" w:ascii="仿宋" w:hAnsi="仿宋" w:eastAsia="仿宋" w:cs="仿宋_GB2312"/>
          <w:sz w:val="32"/>
          <w:szCs w:val="32"/>
        </w:rPr>
        <w:t>等方面的工作，其中委托业务费</w:t>
      </w:r>
      <w:r>
        <w:rPr>
          <w:rFonts w:ascii="仿宋" w:hAnsi="仿宋" w:eastAsia="仿宋" w:cs="仿宋_GB2312"/>
          <w:sz w:val="32"/>
          <w:szCs w:val="32"/>
        </w:rPr>
        <w:t>3</w:t>
      </w:r>
      <w:r>
        <w:rPr>
          <w:rFonts w:hint="eastAsia" w:ascii="仿宋" w:hAnsi="仿宋" w:eastAsia="仿宋" w:cs="仿宋_GB2312"/>
          <w:sz w:val="32"/>
          <w:szCs w:val="32"/>
        </w:rPr>
        <w:t>.</w:t>
      </w:r>
      <w:r>
        <w:rPr>
          <w:rFonts w:ascii="仿宋" w:hAnsi="仿宋" w:eastAsia="仿宋" w:cs="仿宋_GB2312"/>
          <w:sz w:val="32"/>
          <w:szCs w:val="32"/>
        </w:rPr>
        <w:t>75</w:t>
      </w:r>
      <w:r>
        <w:rPr>
          <w:rFonts w:hint="eastAsia" w:ascii="仿宋" w:hAnsi="仿宋" w:eastAsia="仿宋" w:cs="仿宋_GB2312"/>
          <w:sz w:val="32"/>
          <w:szCs w:val="32"/>
        </w:rPr>
        <w:t>万元，其他商品和服务支出3.</w:t>
      </w:r>
      <w:r>
        <w:rPr>
          <w:rFonts w:ascii="仿宋" w:hAnsi="仿宋" w:eastAsia="仿宋" w:cs="仿宋_GB2312"/>
          <w:sz w:val="32"/>
          <w:szCs w:val="32"/>
        </w:rPr>
        <w:t>75</w:t>
      </w:r>
      <w:r>
        <w:rPr>
          <w:rFonts w:hint="eastAsia" w:ascii="仿宋" w:hAnsi="仿宋" w:eastAsia="仿宋" w:cs="仿宋_GB2312"/>
          <w:sz w:val="32"/>
          <w:szCs w:val="32"/>
        </w:rPr>
        <w:t>万元。</w:t>
      </w:r>
    </w:p>
    <w:p>
      <w:pPr>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 w:hAnsi="仿宋" w:eastAsia="仿宋"/>
          <w:b/>
          <w:sz w:val="32"/>
          <w:szCs w:val="32"/>
          <w:lang w:val="zh-CN"/>
        </w:rPr>
      </w:pPr>
      <w:r>
        <w:rPr>
          <w:rFonts w:hint="eastAsia" w:ascii="仿宋" w:hAnsi="仿宋" w:eastAsia="仿宋"/>
          <w:b/>
          <w:sz w:val="32"/>
          <w:szCs w:val="32"/>
          <w:lang w:val="zh-CN"/>
        </w:rPr>
        <w:t>（三）项目财务管理情况。</w:t>
      </w:r>
    </w:p>
    <w:p>
      <w:pPr>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ascii="仿宋" w:hAnsi="仿宋" w:eastAsia="仿宋" w:cs="仿宋"/>
          <w:kern w:val="0"/>
          <w:sz w:val="32"/>
          <w:szCs w:val="32"/>
          <w:lang w:val="zh-CN"/>
        </w:rPr>
      </w:pPr>
      <w:r>
        <w:rPr>
          <w:rFonts w:hint="eastAsia" w:ascii="仿宋" w:hAnsi="仿宋" w:eastAsia="仿宋" w:cs="仿宋_GB2312"/>
          <w:sz w:val="32"/>
          <w:szCs w:val="32"/>
        </w:rPr>
        <w:t>该项目财务管理制度实行政府财务会计制度，建立了单位内控制度，严格按照相关的制度进行会计核算及账务处理，对照项目资金管理办法，该项目严格执行财务管理制度、财务处理较及时、会计核算规范</w:t>
      </w:r>
      <w:r>
        <w:rPr>
          <w:rFonts w:hint="eastAsia" w:ascii="仿宋" w:hAnsi="仿宋" w:eastAsia="仿宋"/>
          <w:sz w:val="32"/>
          <w:szCs w:val="32"/>
          <w:lang w:val="zh-CN"/>
        </w:rPr>
        <w:t>。</w:t>
      </w:r>
    </w:p>
    <w:p>
      <w:pPr>
        <w:pStyle w:val="5"/>
        <w:pageBreakBefore w:val="0"/>
        <w:kinsoku/>
        <w:wordWrap/>
        <w:overflowPunct/>
        <w:topLinePunct w:val="0"/>
        <w:autoSpaceDE/>
        <w:autoSpaceDN/>
        <w:bidi w:val="0"/>
        <w:spacing w:before="0" w:after="0" w:line="560" w:lineRule="exact"/>
        <w:ind w:left="0" w:leftChars="0" w:firstLine="640" w:firstLineChars="200"/>
        <w:textAlignment w:val="auto"/>
        <w:rPr>
          <w:rFonts w:ascii="黑体" w:eastAsia="黑体"/>
          <w:b w:val="0"/>
          <w:lang w:val="zh-CN"/>
        </w:rPr>
      </w:pPr>
      <w:bookmarkStart w:id="201" w:name="_Toc143546666"/>
      <w:bookmarkStart w:id="202" w:name="_Toc143818251"/>
      <w:bookmarkStart w:id="203" w:name="_Toc1879"/>
      <w:r>
        <w:rPr>
          <w:rFonts w:hint="eastAsia" w:ascii="黑体" w:eastAsia="黑体"/>
          <w:b w:val="0"/>
          <w:lang w:val="zh-CN"/>
        </w:rPr>
        <w:t>三、项目实施及管理情况</w:t>
      </w:r>
      <w:bookmarkEnd w:id="201"/>
      <w:bookmarkEnd w:id="202"/>
      <w:bookmarkEnd w:id="203"/>
    </w:p>
    <w:p>
      <w:pPr>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ascii="仿宋" w:hAnsi="仿宋" w:eastAsia="仿宋" w:cs="仿宋"/>
          <w:kern w:val="0"/>
          <w:sz w:val="32"/>
          <w:szCs w:val="32"/>
          <w:lang w:val="zh-CN"/>
        </w:rPr>
      </w:pPr>
      <w:r>
        <w:rPr>
          <w:rFonts w:hint="eastAsia" w:ascii="仿宋" w:hAnsi="仿宋" w:eastAsia="仿宋" w:cs="仿宋"/>
          <w:kern w:val="0"/>
          <w:sz w:val="32"/>
          <w:szCs w:val="32"/>
          <w:lang w:val="zh-CN"/>
        </w:rPr>
        <w:t>结合项目组织实施管理办法，重点围绕以下内容进行分析评价，并对自评中发现的问题分析说明。</w:t>
      </w:r>
    </w:p>
    <w:p>
      <w:pPr>
        <w:pageBreakBefore w:val="0"/>
        <w:widowControl/>
        <w:numPr>
          <w:ilvl w:val="0"/>
          <w:numId w:val="0"/>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 w:hAnsi="仿宋" w:eastAsia="仿宋"/>
          <w:b/>
          <w:sz w:val="32"/>
          <w:szCs w:val="32"/>
          <w:lang w:val="zh-CN"/>
        </w:rPr>
      </w:pPr>
      <w:r>
        <w:rPr>
          <w:rFonts w:hint="eastAsia" w:ascii="仿宋" w:hAnsi="仿宋" w:eastAsia="仿宋"/>
          <w:b/>
          <w:sz w:val="32"/>
          <w:szCs w:val="32"/>
          <w:lang w:val="zh-CN"/>
        </w:rPr>
        <w:t>（</w:t>
      </w:r>
      <w:r>
        <w:rPr>
          <w:rFonts w:hint="eastAsia" w:ascii="仿宋" w:hAnsi="仿宋" w:eastAsia="仿宋"/>
          <w:b/>
          <w:sz w:val="32"/>
          <w:szCs w:val="32"/>
          <w:lang w:val="en-US" w:eastAsia="zh-CN"/>
        </w:rPr>
        <w:t>一</w:t>
      </w:r>
      <w:r>
        <w:rPr>
          <w:rFonts w:hint="eastAsia" w:ascii="仿宋" w:hAnsi="仿宋" w:eastAsia="仿宋"/>
          <w:b/>
          <w:sz w:val="32"/>
          <w:szCs w:val="32"/>
          <w:lang w:val="zh-CN"/>
        </w:rPr>
        <w:t>）项目组织架构及实施流程。</w:t>
      </w:r>
    </w:p>
    <w:p>
      <w:pPr>
        <w:pStyle w:val="2"/>
        <w:pageBreakBefore w:val="0"/>
        <w:kinsoku/>
        <w:wordWrap/>
        <w:overflowPunct/>
        <w:topLinePunct w:val="0"/>
        <w:autoSpaceDE/>
        <w:autoSpaceDN/>
        <w:bidi w:val="0"/>
        <w:spacing w:after="0" w:line="560" w:lineRule="exact"/>
        <w:ind w:left="0" w:leftChars="0" w:firstLine="640" w:firstLineChars="200"/>
        <w:textAlignment w:val="auto"/>
        <w:rPr>
          <w:rFonts w:ascii="仿宋" w:hAnsi="仿宋" w:eastAsia="仿宋"/>
          <w:lang w:val="zh-CN"/>
        </w:rPr>
      </w:pPr>
      <w:r>
        <w:rPr>
          <w:rFonts w:hint="eastAsia" w:ascii="仿宋" w:hAnsi="仿宋" w:eastAsia="仿宋" w:cs="仿宋"/>
          <w:sz w:val="32"/>
        </w:rPr>
        <w:t>公共机构节能</w:t>
      </w:r>
      <w:r>
        <w:rPr>
          <w:rFonts w:hint="eastAsia" w:ascii="仿宋" w:hAnsi="仿宋" w:eastAsia="仿宋"/>
          <w:sz w:val="32"/>
        </w:rPr>
        <w:t>严格按照专款专用原则，及时通知有关单位提供合法票据，完善报账手续，严格票据审核，规范报账程序，确保资金使用的及时性、规范性，同时财政部门对资金支付严格审核，确保资金使用安全。</w:t>
      </w:r>
    </w:p>
    <w:p>
      <w:pPr>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_GB2312" w:hAnsi="Calibri" w:eastAsia="仿宋_GB2312" w:cs="仿宋"/>
          <w:kern w:val="0"/>
          <w:sz w:val="32"/>
          <w:szCs w:val="32"/>
          <w:lang w:val="zh-CN"/>
        </w:rPr>
      </w:pPr>
      <w:r>
        <w:rPr>
          <w:rFonts w:hint="eastAsia" w:ascii="仿宋" w:hAnsi="仿宋" w:eastAsia="仿宋"/>
          <w:b/>
          <w:sz w:val="32"/>
          <w:szCs w:val="32"/>
          <w:lang w:val="zh-CN"/>
        </w:rPr>
        <w:t>（二）项目管理情况。</w:t>
      </w:r>
      <w:r>
        <w:rPr>
          <w:rFonts w:hint="eastAsia" w:ascii="仿宋" w:hAnsi="仿宋" w:eastAsia="仿宋"/>
          <w:sz w:val="32"/>
          <w:szCs w:val="32"/>
        </w:rPr>
        <w:t>项目严格按照区级有关规定执行，严格</w:t>
      </w:r>
      <w:r>
        <w:rPr>
          <w:rFonts w:hint="eastAsia" w:ascii="仿宋" w:hAnsi="仿宋" w:eastAsia="仿宋" w:cs="仿宋_GB2312"/>
          <w:sz w:val="32"/>
          <w:szCs w:val="32"/>
        </w:rPr>
        <w:t>用于</w:t>
      </w:r>
      <w:r>
        <w:rPr>
          <w:rFonts w:hint="eastAsia" w:ascii="仿宋" w:hAnsi="仿宋" w:eastAsia="仿宋" w:cs="仿宋"/>
          <w:sz w:val="32"/>
          <w:szCs w:val="32"/>
        </w:rPr>
        <w:t>完成202</w:t>
      </w:r>
      <w:r>
        <w:rPr>
          <w:rFonts w:ascii="仿宋" w:hAnsi="仿宋" w:eastAsia="仿宋" w:cs="仿宋"/>
          <w:sz w:val="32"/>
          <w:szCs w:val="32"/>
        </w:rPr>
        <w:t>2</w:t>
      </w:r>
      <w:r>
        <w:rPr>
          <w:rFonts w:hint="eastAsia" w:ascii="仿宋" w:hAnsi="仿宋" w:eastAsia="仿宋" w:cs="仿宋"/>
          <w:sz w:val="32"/>
          <w:szCs w:val="32"/>
        </w:rPr>
        <w:t>年公共机构能耗平台点位建设，完成3000平方</w:t>
      </w:r>
      <w:r>
        <w:rPr>
          <w:rFonts w:hint="eastAsia" w:ascii="仿宋" w:hAnsi="仿宋" w:eastAsia="仿宋" w:cs="仿宋"/>
          <w:sz w:val="32"/>
          <w:szCs w:val="32"/>
          <w:lang w:val="en-US" w:eastAsia="zh-CN"/>
        </w:rPr>
        <w:t>既有</w:t>
      </w:r>
      <w:r>
        <w:rPr>
          <w:rFonts w:hint="eastAsia" w:ascii="仿宋" w:hAnsi="仿宋" w:eastAsia="仿宋" w:cs="仿宋"/>
          <w:sz w:val="32"/>
          <w:szCs w:val="32"/>
        </w:rPr>
        <w:t>建筑节能改造，做好公共机构节能宣传</w:t>
      </w:r>
      <w:r>
        <w:rPr>
          <w:rFonts w:hint="eastAsia" w:ascii="仿宋" w:hAnsi="仿宋" w:eastAsia="仿宋" w:cs="仿宋_GB2312"/>
          <w:sz w:val="32"/>
          <w:szCs w:val="32"/>
        </w:rPr>
        <w:t>等方面的工作</w:t>
      </w:r>
      <w:r>
        <w:rPr>
          <w:rFonts w:hint="eastAsia" w:ascii="仿宋" w:hAnsi="仿宋" w:eastAsia="仿宋"/>
          <w:sz w:val="32"/>
          <w:szCs w:val="32"/>
        </w:rPr>
        <w:t>支出，</w:t>
      </w:r>
      <w:r>
        <w:rPr>
          <w:rFonts w:ascii="仿宋" w:hAnsi="仿宋" w:eastAsia="仿宋"/>
          <w:sz w:val="32"/>
          <w:szCs w:val="32"/>
          <w:lang w:val="zh-CN"/>
        </w:rPr>
        <w:t>资金专款专用</w:t>
      </w:r>
      <w:r>
        <w:rPr>
          <w:rFonts w:hint="eastAsia" w:ascii="仿宋" w:hAnsi="仿宋" w:eastAsia="仿宋"/>
          <w:sz w:val="32"/>
          <w:szCs w:val="32"/>
          <w:lang w:val="zh-CN"/>
        </w:rPr>
        <w:t>。</w:t>
      </w:r>
    </w:p>
    <w:p>
      <w:pPr>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_GB2312" w:hAnsi="Calibri" w:eastAsia="仿宋_GB2312" w:cs="仿宋"/>
          <w:kern w:val="0"/>
          <w:sz w:val="32"/>
          <w:szCs w:val="32"/>
          <w:lang w:val="zh-CN"/>
        </w:rPr>
      </w:pPr>
      <w:r>
        <w:rPr>
          <w:rFonts w:hint="eastAsia" w:ascii="仿宋" w:hAnsi="仿宋" w:eastAsia="仿宋"/>
          <w:b/>
          <w:sz w:val="32"/>
          <w:szCs w:val="32"/>
          <w:lang w:val="zh-CN"/>
        </w:rPr>
        <w:t>（三）项目监管情况。</w:t>
      </w:r>
      <w:r>
        <w:rPr>
          <w:rFonts w:hint="eastAsia" w:ascii="仿宋" w:hAnsi="仿宋" w:eastAsia="仿宋" w:cs="仿宋_GB2312"/>
          <w:sz w:val="32"/>
          <w:szCs w:val="32"/>
        </w:rPr>
        <w:t>项目由机关事务服务中心监管，并严格按照相关财经纪律执行。</w:t>
      </w:r>
      <w:r>
        <w:rPr>
          <w:rFonts w:hint="eastAsia" w:ascii="仿宋_GB2312" w:hAnsi="Calibri" w:eastAsia="仿宋_GB2312" w:cs="仿宋"/>
          <w:kern w:val="0"/>
          <w:sz w:val="32"/>
          <w:szCs w:val="32"/>
          <w:lang w:val="zh-CN"/>
        </w:rPr>
        <w:t>。</w:t>
      </w:r>
    </w:p>
    <w:p>
      <w:pPr>
        <w:pStyle w:val="5"/>
        <w:pageBreakBefore w:val="0"/>
        <w:kinsoku/>
        <w:wordWrap/>
        <w:overflowPunct/>
        <w:topLinePunct w:val="0"/>
        <w:autoSpaceDE/>
        <w:autoSpaceDN/>
        <w:bidi w:val="0"/>
        <w:spacing w:before="0" w:after="0" w:line="560" w:lineRule="exact"/>
        <w:ind w:left="0" w:leftChars="0" w:firstLine="640" w:firstLineChars="200"/>
        <w:textAlignment w:val="auto"/>
        <w:rPr>
          <w:rFonts w:ascii="黑体" w:eastAsia="黑体"/>
          <w:b w:val="0"/>
          <w:lang w:val="zh-CN"/>
        </w:rPr>
      </w:pPr>
      <w:bookmarkStart w:id="204" w:name="_Toc143546667"/>
      <w:bookmarkStart w:id="205" w:name="_Toc143818252"/>
      <w:bookmarkStart w:id="206" w:name="_Toc448"/>
      <w:r>
        <w:rPr>
          <w:rFonts w:hint="eastAsia" w:ascii="黑体" w:eastAsia="黑体"/>
          <w:b w:val="0"/>
          <w:lang w:val="zh-CN"/>
        </w:rPr>
        <w:t>四、项目绩效情况</w:t>
      </w:r>
      <w:bookmarkEnd w:id="204"/>
      <w:bookmarkEnd w:id="205"/>
      <w:bookmarkEnd w:id="206"/>
      <w:r>
        <w:rPr>
          <w:rFonts w:hint="eastAsia" w:ascii="黑体" w:eastAsia="黑体"/>
          <w:b w:val="0"/>
          <w:lang w:val="zh-CN"/>
        </w:rPr>
        <w:tab/>
      </w:r>
    </w:p>
    <w:p>
      <w:pPr>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 w:hAnsi="仿宋" w:eastAsia="仿宋"/>
          <w:b/>
          <w:sz w:val="32"/>
          <w:szCs w:val="32"/>
          <w:lang w:val="zh-CN"/>
        </w:rPr>
      </w:pPr>
      <w:r>
        <w:rPr>
          <w:rFonts w:hint="eastAsia" w:ascii="仿宋" w:hAnsi="仿宋" w:eastAsia="仿宋"/>
          <w:b/>
          <w:sz w:val="32"/>
          <w:szCs w:val="32"/>
          <w:lang w:val="zh-CN"/>
        </w:rPr>
        <w:t>（一）项目完成情况。</w:t>
      </w:r>
    </w:p>
    <w:p>
      <w:pPr>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ascii="仿宋" w:hAnsi="仿宋" w:eastAsia="仿宋" w:cs="仿宋"/>
          <w:kern w:val="0"/>
          <w:sz w:val="32"/>
          <w:szCs w:val="32"/>
        </w:rPr>
      </w:pPr>
      <w:r>
        <w:rPr>
          <w:rFonts w:hint="eastAsia" w:ascii="仿宋" w:hAnsi="仿宋" w:eastAsia="仿宋" w:cs="仿宋"/>
          <w:sz w:val="32"/>
          <w:szCs w:val="32"/>
        </w:rPr>
        <w:t>完成2022年公共机构能耗平台点位建设4</w:t>
      </w:r>
      <w:r>
        <w:rPr>
          <w:rFonts w:ascii="仿宋" w:hAnsi="仿宋" w:eastAsia="仿宋" w:cs="仿宋"/>
          <w:sz w:val="32"/>
          <w:szCs w:val="32"/>
        </w:rPr>
        <w:t>0</w:t>
      </w:r>
      <w:r>
        <w:rPr>
          <w:rFonts w:hint="eastAsia" w:ascii="仿宋" w:hAnsi="仿宋" w:eastAsia="仿宋" w:cs="仿宋"/>
          <w:sz w:val="32"/>
          <w:szCs w:val="32"/>
        </w:rPr>
        <w:t>个，做好公共机构节能宣传，</w:t>
      </w:r>
      <w:r>
        <w:rPr>
          <w:rFonts w:hint="eastAsia" w:ascii="仿宋" w:hAnsi="仿宋" w:eastAsia="仿宋" w:cs="仿宋_GB2312"/>
          <w:sz w:val="32"/>
          <w:szCs w:val="32"/>
        </w:rPr>
        <w:t>服务对象满意度≥9</w:t>
      </w:r>
      <w:r>
        <w:rPr>
          <w:rFonts w:ascii="仿宋" w:hAnsi="仿宋" w:eastAsia="仿宋" w:cs="仿宋_GB2312"/>
          <w:sz w:val="32"/>
          <w:szCs w:val="32"/>
        </w:rPr>
        <w:t>0</w:t>
      </w:r>
      <w:r>
        <w:rPr>
          <w:rFonts w:hint="eastAsia" w:ascii="仿宋" w:hAnsi="仿宋" w:eastAsia="仿宋" w:cs="仿宋_GB2312"/>
          <w:sz w:val="32"/>
          <w:szCs w:val="32"/>
        </w:rPr>
        <w:t>%。</w:t>
      </w:r>
    </w:p>
    <w:p>
      <w:pPr>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_GB2312" w:hAnsi="Calibri" w:eastAsia="仿宋_GB2312" w:cs="仿宋"/>
          <w:kern w:val="0"/>
          <w:sz w:val="32"/>
          <w:szCs w:val="32"/>
          <w:lang w:val="zh-CN"/>
        </w:rPr>
      </w:pPr>
      <w:r>
        <w:rPr>
          <w:rFonts w:hint="eastAsia" w:ascii="仿宋" w:hAnsi="仿宋" w:eastAsia="仿宋"/>
          <w:b/>
          <w:sz w:val="32"/>
          <w:szCs w:val="32"/>
          <w:lang w:val="zh-CN"/>
        </w:rPr>
        <w:t>（二）项目效益情况。</w:t>
      </w:r>
    </w:p>
    <w:p>
      <w:pPr>
        <w:pStyle w:val="5"/>
        <w:pageBreakBefore w:val="0"/>
        <w:kinsoku/>
        <w:wordWrap/>
        <w:overflowPunct/>
        <w:topLinePunct w:val="0"/>
        <w:autoSpaceDE/>
        <w:autoSpaceDN/>
        <w:bidi w:val="0"/>
        <w:spacing w:before="0" w:after="0" w:line="560" w:lineRule="exact"/>
        <w:ind w:left="0" w:leftChars="0" w:firstLine="640" w:firstLineChars="200"/>
        <w:textAlignment w:val="auto"/>
        <w:rPr>
          <w:rFonts w:ascii="仿宋" w:hAnsi="仿宋" w:eastAsia="仿宋" w:cs="仿宋"/>
          <w:b w:val="0"/>
          <w:bCs w:val="0"/>
        </w:rPr>
      </w:pPr>
      <w:bookmarkStart w:id="207" w:name="_Toc143546668"/>
      <w:bookmarkStart w:id="208" w:name="_Toc143818253"/>
      <w:bookmarkStart w:id="209" w:name="_Toc7724"/>
      <w:r>
        <w:rPr>
          <w:rFonts w:hint="eastAsia" w:ascii="仿宋" w:hAnsi="仿宋" w:eastAsia="仿宋" w:cs="仿宋"/>
          <w:b w:val="0"/>
          <w:bCs w:val="0"/>
        </w:rPr>
        <w:t>全面监控公共机构单位水、电、气等能耗数据。</w:t>
      </w:r>
      <w:bookmarkEnd w:id="207"/>
      <w:bookmarkEnd w:id="208"/>
      <w:bookmarkEnd w:id="209"/>
    </w:p>
    <w:p>
      <w:pPr>
        <w:pStyle w:val="5"/>
        <w:pageBreakBefore w:val="0"/>
        <w:kinsoku/>
        <w:wordWrap/>
        <w:overflowPunct/>
        <w:topLinePunct w:val="0"/>
        <w:autoSpaceDE/>
        <w:autoSpaceDN/>
        <w:bidi w:val="0"/>
        <w:spacing w:before="0" w:after="0" w:line="560" w:lineRule="exact"/>
        <w:ind w:left="0" w:leftChars="0" w:firstLine="640" w:firstLineChars="200"/>
        <w:textAlignment w:val="auto"/>
        <w:rPr>
          <w:rFonts w:ascii="黑体" w:eastAsia="黑体"/>
          <w:b w:val="0"/>
          <w:lang w:val="zh-CN"/>
        </w:rPr>
      </w:pPr>
      <w:bookmarkStart w:id="210" w:name="_Toc143546669"/>
      <w:bookmarkStart w:id="211" w:name="_Toc143818254"/>
      <w:bookmarkStart w:id="212" w:name="_Toc8543"/>
      <w:r>
        <w:rPr>
          <w:rFonts w:hint="eastAsia" w:ascii="黑体" w:eastAsia="黑体"/>
          <w:b w:val="0"/>
          <w:lang w:val="zh-CN"/>
        </w:rPr>
        <w:t>五、评价结论及建议</w:t>
      </w:r>
      <w:bookmarkEnd w:id="210"/>
      <w:bookmarkEnd w:id="211"/>
      <w:bookmarkEnd w:id="212"/>
    </w:p>
    <w:p>
      <w:pPr>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 w:hAnsi="仿宋" w:eastAsia="仿宋"/>
          <w:b/>
          <w:sz w:val="32"/>
          <w:szCs w:val="32"/>
          <w:lang w:val="zh-CN"/>
        </w:rPr>
      </w:pPr>
      <w:r>
        <w:rPr>
          <w:rFonts w:hint="eastAsia" w:ascii="仿宋" w:hAnsi="仿宋" w:eastAsia="仿宋"/>
          <w:b/>
          <w:sz w:val="32"/>
          <w:szCs w:val="32"/>
          <w:lang w:val="zh-CN"/>
        </w:rPr>
        <w:t>（一）评价结论。</w:t>
      </w:r>
    </w:p>
    <w:p>
      <w:pPr>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ascii="仿宋_GB2312" w:hAnsi="Calibri" w:eastAsia="仿宋_GB2312" w:cs="仿宋"/>
          <w:kern w:val="0"/>
          <w:sz w:val="32"/>
          <w:szCs w:val="32"/>
          <w:lang w:val="zh-CN"/>
        </w:rPr>
      </w:pPr>
      <w:r>
        <w:rPr>
          <w:rFonts w:hint="eastAsia" w:ascii="仿宋" w:hAnsi="仿宋" w:eastAsia="仿宋" w:cs="仿宋"/>
          <w:sz w:val="32"/>
          <w:szCs w:val="32"/>
        </w:rPr>
        <w:t>202</w:t>
      </w:r>
      <w:r>
        <w:rPr>
          <w:rFonts w:ascii="仿宋" w:hAnsi="仿宋" w:eastAsia="仿宋" w:cs="仿宋"/>
          <w:sz w:val="32"/>
          <w:szCs w:val="32"/>
        </w:rPr>
        <w:t>2</w:t>
      </w:r>
      <w:r>
        <w:rPr>
          <w:rFonts w:hint="eastAsia" w:ascii="仿宋" w:hAnsi="仿宋" w:eastAsia="仿宋" w:cs="仿宋"/>
          <w:sz w:val="32"/>
          <w:szCs w:val="32"/>
        </w:rPr>
        <w:t>年度项目经费预算具有明确的用途和目标，制定了较为细致的执行计划，资金到位及时并严格按照财政有关规定专款专用。预算决策、管理、执行过程逐渐规范，能较好地满足工作需要，保障项目顺利开展时效，并取得了较为满意的社会效益</w:t>
      </w:r>
      <w:r>
        <w:rPr>
          <w:rFonts w:hint="eastAsia" w:ascii="仿宋_GB2312" w:hAnsi="宋体" w:eastAsia="仿宋_GB2312"/>
          <w:sz w:val="32"/>
          <w:szCs w:val="32"/>
          <w:lang w:val="zh-CN"/>
        </w:rPr>
        <w:t>。</w:t>
      </w:r>
    </w:p>
    <w:p>
      <w:pPr>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 w:hAnsi="仿宋" w:eastAsia="仿宋"/>
          <w:b/>
          <w:sz w:val="32"/>
          <w:szCs w:val="32"/>
          <w:lang w:val="zh-CN"/>
        </w:rPr>
      </w:pPr>
      <w:r>
        <w:rPr>
          <w:rFonts w:hint="eastAsia" w:ascii="仿宋" w:hAnsi="仿宋" w:eastAsia="仿宋"/>
          <w:b/>
          <w:sz w:val="32"/>
          <w:szCs w:val="32"/>
          <w:lang w:val="zh-CN"/>
        </w:rPr>
        <w:t>（二）存在的问题。</w:t>
      </w:r>
    </w:p>
    <w:p>
      <w:pPr>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ascii="仿宋_GB2312" w:hAnsi="Calibri" w:eastAsia="仿宋_GB2312" w:cs="仿宋"/>
          <w:kern w:val="0"/>
          <w:sz w:val="32"/>
          <w:szCs w:val="32"/>
          <w:lang w:val="zh-CN"/>
        </w:rPr>
      </w:pPr>
      <w:r>
        <w:rPr>
          <w:rFonts w:hint="eastAsia" w:ascii="仿宋" w:hAnsi="仿宋" w:eastAsia="仿宋" w:cs="仿宋"/>
          <w:sz w:val="32"/>
          <w:szCs w:val="32"/>
        </w:rPr>
        <w:t>预算编制精确度有待进一步提高，对各类资金的管理还存在不完善的问题，制度建设不完善。</w:t>
      </w:r>
      <w:r>
        <w:rPr>
          <w:rFonts w:hint="eastAsia" w:ascii="仿宋_GB2312" w:hAnsi="Calibri" w:eastAsia="仿宋_GB2312" w:cs="仿宋"/>
          <w:kern w:val="0"/>
          <w:sz w:val="32"/>
          <w:szCs w:val="32"/>
          <w:lang w:val="zh-CN"/>
        </w:rPr>
        <w:tab/>
      </w:r>
    </w:p>
    <w:p>
      <w:pPr>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 w:hAnsi="仿宋" w:eastAsia="仿宋"/>
          <w:b/>
          <w:sz w:val="32"/>
          <w:szCs w:val="32"/>
          <w:lang w:val="zh-CN"/>
        </w:rPr>
      </w:pPr>
      <w:r>
        <w:rPr>
          <w:rFonts w:hint="eastAsia" w:ascii="仿宋" w:hAnsi="仿宋" w:eastAsia="仿宋"/>
          <w:b/>
          <w:sz w:val="32"/>
          <w:szCs w:val="32"/>
          <w:lang w:val="zh-CN"/>
        </w:rPr>
        <w:t>（三）相关建议。</w:t>
      </w:r>
    </w:p>
    <w:p>
      <w:pPr>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ascii="仿宋_GB2312" w:hAnsi="Calibri" w:eastAsia="仿宋_GB2312" w:cs="仿宋"/>
          <w:kern w:val="0"/>
          <w:sz w:val="32"/>
          <w:szCs w:val="32"/>
          <w:lang w:val="zh-CN"/>
        </w:rPr>
      </w:pPr>
      <w:r>
        <w:rPr>
          <w:rFonts w:hint="eastAsia" w:ascii="仿宋" w:hAnsi="仿宋" w:eastAsia="仿宋" w:cs="仿宋"/>
          <w:sz w:val="32"/>
          <w:szCs w:val="32"/>
        </w:rPr>
        <w:t>优化预算编制，加强预算执行。合理安排预算支出计划，优化资金支出结构，强化资金统筹和绩效管理，确保工作有效开展</w:t>
      </w:r>
      <w:r>
        <w:rPr>
          <w:rFonts w:hint="eastAsia" w:ascii="仿宋_GB2312" w:hAnsi="Calibri" w:eastAsia="仿宋_GB2312" w:cs="仿宋"/>
          <w:kern w:val="0"/>
          <w:sz w:val="32"/>
          <w:szCs w:val="32"/>
          <w:lang w:val="zh-CN"/>
        </w:rPr>
        <w:t>。</w:t>
      </w:r>
    </w:p>
    <w:p>
      <w:pPr>
        <w:pStyle w:val="34"/>
        <w:pageBreakBefore w:val="0"/>
        <w:kinsoku/>
        <w:wordWrap/>
        <w:overflowPunct/>
        <w:topLinePunct w:val="0"/>
        <w:autoSpaceDE/>
        <w:autoSpaceDN/>
        <w:bidi w:val="0"/>
        <w:spacing w:line="560" w:lineRule="exact"/>
        <w:ind w:left="0" w:leftChars="0" w:firstLine="880" w:firstLineChars="200"/>
        <w:jc w:val="center"/>
        <w:textAlignment w:val="auto"/>
        <w:rPr>
          <w:rFonts w:ascii="宋体" w:hAnsi="宋体"/>
          <w:color w:val="auto"/>
          <w:kern w:val="2"/>
          <w:sz w:val="32"/>
          <w:szCs w:val="32"/>
        </w:rPr>
      </w:pPr>
      <w:r>
        <w:rPr>
          <w:rStyle w:val="28"/>
          <w:rFonts w:ascii="黑体" w:hAnsi="黑体" w:eastAsia="黑体"/>
          <w:b w:val="0"/>
        </w:rPr>
        <w:br w:type="page"/>
      </w:r>
      <w:r>
        <w:rPr>
          <w:rFonts w:hint="eastAsia" w:ascii="方正小标宋简体" w:hAnsi="方正小标宋简体" w:eastAsia="方正小标宋简体" w:cs="方正小标宋简体"/>
          <w:color w:val="auto"/>
          <w:kern w:val="2"/>
          <w:sz w:val="44"/>
          <w:szCs w:val="44"/>
          <w:lang w:val="en-US"/>
        </w:rPr>
        <w:t>2022年专项预算项目绩效自评报告</w:t>
      </w:r>
    </w:p>
    <w:p>
      <w:pPr>
        <w:pStyle w:val="5"/>
        <w:pageBreakBefore w:val="0"/>
        <w:kinsoku/>
        <w:wordWrap/>
        <w:overflowPunct/>
        <w:topLinePunct w:val="0"/>
        <w:autoSpaceDE/>
        <w:autoSpaceDN/>
        <w:bidi w:val="0"/>
        <w:spacing w:before="0" w:after="0" w:line="560" w:lineRule="exact"/>
        <w:ind w:left="0" w:leftChars="0" w:firstLine="640" w:firstLineChars="200"/>
        <w:textAlignment w:val="auto"/>
        <w:outlineLvl w:val="9"/>
        <w:rPr>
          <w:rFonts w:hint="eastAsia" w:ascii="黑体" w:eastAsia="黑体"/>
          <w:b w:val="0"/>
          <w:lang w:val="zh-CN"/>
        </w:rPr>
      </w:pPr>
      <w:bookmarkStart w:id="213" w:name="_Toc143818255"/>
      <w:bookmarkStart w:id="214" w:name="_Toc143546670"/>
    </w:p>
    <w:p>
      <w:pPr>
        <w:pStyle w:val="5"/>
        <w:pageBreakBefore w:val="0"/>
        <w:kinsoku/>
        <w:wordWrap/>
        <w:overflowPunct/>
        <w:topLinePunct w:val="0"/>
        <w:autoSpaceDE/>
        <w:autoSpaceDN/>
        <w:bidi w:val="0"/>
        <w:spacing w:before="0" w:after="0" w:line="560" w:lineRule="exact"/>
        <w:ind w:left="0" w:leftChars="0" w:firstLine="640" w:firstLineChars="200"/>
        <w:textAlignment w:val="auto"/>
        <w:rPr>
          <w:rFonts w:ascii="黑体" w:eastAsia="黑体"/>
          <w:b w:val="0"/>
          <w:lang w:val="zh-CN"/>
        </w:rPr>
      </w:pPr>
      <w:bookmarkStart w:id="215" w:name="_Toc23569"/>
      <w:r>
        <w:rPr>
          <w:rFonts w:hint="eastAsia" w:ascii="黑体" w:eastAsia="黑体"/>
          <w:b w:val="0"/>
          <w:lang w:val="zh-CN"/>
        </w:rPr>
        <w:t>一、项目概况</w:t>
      </w:r>
      <w:bookmarkEnd w:id="213"/>
      <w:bookmarkEnd w:id="214"/>
      <w:bookmarkEnd w:id="215"/>
    </w:p>
    <w:p>
      <w:pPr>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_GB2312" w:hAnsi="Calibri" w:eastAsia="仿宋_GB2312" w:cs="仿宋"/>
          <w:kern w:val="0"/>
          <w:sz w:val="32"/>
          <w:szCs w:val="32"/>
          <w:lang w:val="zh-CN"/>
        </w:rPr>
      </w:pPr>
      <w:r>
        <w:rPr>
          <w:rFonts w:hint="eastAsia" w:ascii="仿宋" w:hAnsi="仿宋" w:eastAsia="仿宋"/>
          <w:b/>
          <w:sz w:val="32"/>
          <w:szCs w:val="32"/>
          <w:lang w:val="zh-CN"/>
        </w:rPr>
        <w:t>（一）项目基本情况。</w:t>
      </w:r>
    </w:p>
    <w:p>
      <w:pPr>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 xml:space="preserve">1. </w:t>
      </w:r>
      <w:r>
        <w:rPr>
          <w:rFonts w:hint="eastAsia" w:ascii="仿宋" w:hAnsi="仿宋" w:eastAsia="仿宋" w:cs="仿宋"/>
          <w:sz w:val="32"/>
          <w:szCs w:val="32"/>
        </w:rPr>
        <w:t>公务服务经费</w:t>
      </w:r>
      <w:r>
        <w:rPr>
          <w:rFonts w:hint="eastAsia" w:ascii="仿宋" w:hAnsi="仿宋" w:eastAsia="仿宋" w:cs="仿宋_GB2312"/>
          <w:sz w:val="32"/>
          <w:szCs w:val="32"/>
        </w:rPr>
        <w:t>主要用于</w:t>
      </w:r>
      <w:r>
        <w:rPr>
          <w:rFonts w:hint="eastAsia" w:ascii="仿宋" w:hAnsi="仿宋" w:eastAsia="仿宋" w:cs="仿宋"/>
          <w:sz w:val="32"/>
          <w:szCs w:val="32"/>
        </w:rPr>
        <w:t>全区干部职工早中晚餐服务工作，区级公务接待以及招商引资接待工作。</w:t>
      </w:r>
    </w:p>
    <w:p>
      <w:pPr>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ascii="仿宋" w:hAnsi="仿宋" w:eastAsia="仿宋" w:cs="仿宋"/>
          <w:kern w:val="0"/>
          <w:sz w:val="32"/>
          <w:szCs w:val="32"/>
          <w:lang w:val="zh-CN"/>
        </w:rPr>
      </w:pPr>
      <w:r>
        <w:rPr>
          <w:rFonts w:hint="eastAsia" w:ascii="仿宋" w:hAnsi="仿宋" w:eastAsia="仿宋" w:cs="仿宋"/>
          <w:kern w:val="0"/>
          <w:sz w:val="32"/>
          <w:szCs w:val="32"/>
          <w:lang w:val="zh-CN"/>
        </w:rPr>
        <w:t>2. 项目立项、资金申报的依据。</w:t>
      </w:r>
      <w:r>
        <w:rPr>
          <w:rFonts w:hint="eastAsia" w:ascii="仿宋" w:hAnsi="仿宋" w:eastAsia="仿宋" w:cs="仿宋"/>
          <w:kern w:val="0"/>
          <w:sz w:val="32"/>
          <w:szCs w:val="32"/>
          <w:lang w:val="en-US" w:eastAsia="zh-CN"/>
        </w:rPr>
        <w:t>保障区级党政机关干部职工用餐，</w:t>
      </w:r>
      <w:r>
        <w:rPr>
          <w:rFonts w:hint="eastAsia" w:ascii="仿宋" w:hAnsi="仿宋" w:eastAsia="仿宋" w:cs="仿宋"/>
          <w:kern w:val="0"/>
          <w:sz w:val="32"/>
          <w:szCs w:val="32"/>
          <w:lang w:val="zh-CN"/>
        </w:rPr>
        <w:t>食堂每月3</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lang w:val="zh-CN"/>
        </w:rPr>
        <w:t>万</w:t>
      </w:r>
      <w:r>
        <w:rPr>
          <w:rFonts w:hint="eastAsia" w:ascii="仿宋" w:hAnsi="仿宋" w:eastAsia="仿宋" w:cs="仿宋"/>
          <w:kern w:val="0"/>
          <w:sz w:val="32"/>
          <w:szCs w:val="32"/>
          <w:lang w:val="en-US" w:eastAsia="zh-CN"/>
        </w:rPr>
        <w:t>元</w:t>
      </w:r>
      <w:r>
        <w:rPr>
          <w:rFonts w:hint="eastAsia" w:ascii="仿宋" w:hAnsi="仿宋" w:eastAsia="仿宋" w:cs="仿宋"/>
          <w:kern w:val="0"/>
          <w:sz w:val="32"/>
          <w:szCs w:val="32"/>
          <w:lang w:val="zh-CN"/>
        </w:rPr>
        <w:t>，</w:t>
      </w:r>
      <w:r>
        <w:rPr>
          <w:rFonts w:hint="eastAsia" w:ascii="仿宋" w:hAnsi="仿宋" w:eastAsia="仿宋" w:cs="仿宋"/>
          <w:kern w:val="0"/>
          <w:sz w:val="32"/>
          <w:szCs w:val="32"/>
          <w:lang w:val="en-US" w:eastAsia="zh-CN"/>
        </w:rPr>
        <w:t>全年共计420万元</w:t>
      </w:r>
      <w:r>
        <w:rPr>
          <w:rFonts w:hint="eastAsia" w:ascii="仿宋" w:hAnsi="仿宋" w:eastAsia="仿宋" w:cs="仿宋"/>
          <w:kern w:val="0"/>
          <w:sz w:val="32"/>
          <w:szCs w:val="32"/>
          <w:lang w:val="zh-CN"/>
        </w:rPr>
        <w:t>，公务接待费</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lang w:val="zh-CN"/>
        </w:rPr>
        <w:t>0万</w:t>
      </w:r>
      <w:r>
        <w:rPr>
          <w:rFonts w:hint="eastAsia" w:ascii="仿宋" w:hAnsi="仿宋" w:eastAsia="仿宋" w:cs="仿宋"/>
          <w:kern w:val="0"/>
          <w:sz w:val="32"/>
          <w:szCs w:val="32"/>
          <w:lang w:val="en-US" w:eastAsia="zh-CN"/>
        </w:rPr>
        <w:t>元</w:t>
      </w:r>
      <w:r>
        <w:rPr>
          <w:rFonts w:hint="eastAsia" w:ascii="仿宋" w:hAnsi="仿宋" w:eastAsia="仿宋" w:cs="仿宋"/>
          <w:kern w:val="0"/>
          <w:sz w:val="32"/>
          <w:szCs w:val="32"/>
          <w:lang w:val="zh-CN"/>
        </w:rPr>
        <w:t>，招商引资接待费30万</w:t>
      </w:r>
      <w:r>
        <w:rPr>
          <w:rFonts w:hint="eastAsia" w:ascii="仿宋" w:hAnsi="仿宋" w:eastAsia="仿宋" w:cs="仿宋"/>
          <w:kern w:val="0"/>
          <w:sz w:val="32"/>
          <w:szCs w:val="32"/>
          <w:lang w:val="en-US" w:eastAsia="zh-CN"/>
        </w:rPr>
        <w:t>元</w:t>
      </w:r>
      <w:r>
        <w:rPr>
          <w:rFonts w:hint="eastAsia" w:ascii="仿宋" w:hAnsi="仿宋" w:eastAsia="仿宋" w:cs="仿宋"/>
          <w:kern w:val="0"/>
          <w:sz w:val="32"/>
          <w:szCs w:val="32"/>
          <w:lang w:val="zh-CN"/>
        </w:rPr>
        <w:t>。</w:t>
      </w:r>
    </w:p>
    <w:p>
      <w:pPr>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ascii="仿宋" w:hAnsi="仿宋" w:eastAsia="仿宋" w:cs="仿宋"/>
          <w:kern w:val="0"/>
          <w:sz w:val="32"/>
          <w:szCs w:val="32"/>
          <w:lang w:val="zh-CN"/>
        </w:rPr>
      </w:pPr>
      <w:r>
        <w:rPr>
          <w:rFonts w:hint="eastAsia" w:ascii="仿宋" w:hAnsi="仿宋" w:eastAsia="仿宋" w:cs="仿宋"/>
          <w:kern w:val="0"/>
          <w:sz w:val="32"/>
          <w:szCs w:val="32"/>
          <w:lang w:val="zh-CN"/>
        </w:rPr>
        <w:t>3. 资金管理办法制定情况，资金支持具体项目的条件、范围与支持方式概况。</w:t>
      </w:r>
    </w:p>
    <w:p>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ascii="仿宋" w:hAnsi="仿宋" w:eastAsia="仿宋"/>
          <w:lang w:val="zh-CN"/>
        </w:rPr>
      </w:pPr>
      <w:r>
        <w:rPr>
          <w:rFonts w:hint="eastAsia" w:ascii="仿宋" w:hAnsi="仿宋" w:eastAsia="仿宋"/>
          <w:sz w:val="32"/>
          <w:szCs w:val="32"/>
        </w:rPr>
        <w:t>该项目资金严格按照机关事务服务中心相关财务制度管理，资金主要用于</w:t>
      </w:r>
      <w:r>
        <w:rPr>
          <w:rFonts w:hint="eastAsia" w:ascii="仿宋" w:hAnsi="仿宋" w:eastAsia="仿宋" w:cs="仿宋"/>
          <w:sz w:val="32"/>
          <w:szCs w:val="32"/>
        </w:rPr>
        <w:t>全区干部职工早中晚餐服务工作，区级公务接待以及招商引资接待</w:t>
      </w:r>
      <w:r>
        <w:rPr>
          <w:rFonts w:hint="eastAsia" w:ascii="仿宋" w:hAnsi="仿宋" w:eastAsia="仿宋" w:cs="仿宋_GB2312"/>
          <w:sz w:val="32"/>
          <w:szCs w:val="32"/>
        </w:rPr>
        <w:t>等方面的工作。</w:t>
      </w:r>
    </w:p>
    <w:p>
      <w:pPr>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ascii="仿宋" w:hAnsi="仿宋" w:eastAsia="仿宋" w:cs="仿宋"/>
          <w:kern w:val="0"/>
          <w:sz w:val="32"/>
          <w:szCs w:val="32"/>
          <w:lang w:val="zh-CN"/>
        </w:rPr>
      </w:pPr>
      <w:r>
        <w:rPr>
          <w:rFonts w:hint="eastAsia" w:ascii="仿宋" w:hAnsi="仿宋" w:eastAsia="仿宋" w:cs="仿宋"/>
          <w:kern w:val="0"/>
          <w:sz w:val="32"/>
          <w:szCs w:val="32"/>
        </w:rPr>
        <w:t>4.</w:t>
      </w:r>
      <w:r>
        <w:rPr>
          <w:rFonts w:hint="eastAsia" w:ascii="仿宋" w:hAnsi="仿宋" w:eastAsia="仿宋" w:cs="仿宋"/>
          <w:kern w:val="0"/>
          <w:sz w:val="32"/>
          <w:szCs w:val="32"/>
          <w:lang w:val="zh-CN"/>
        </w:rPr>
        <w:t>资金分配的原则及考虑因素。</w:t>
      </w:r>
    </w:p>
    <w:p>
      <w:pPr>
        <w:pStyle w:val="7"/>
        <w:pageBreakBefore w:val="0"/>
        <w:numPr>
          <w:ilvl w:val="0"/>
          <w:numId w:val="0"/>
        </w:numPr>
        <w:kinsoku/>
        <w:wordWrap/>
        <w:overflowPunct/>
        <w:topLinePunct w:val="0"/>
        <w:autoSpaceDE/>
        <w:autoSpaceDN/>
        <w:bidi w:val="0"/>
        <w:spacing w:line="560" w:lineRule="exact"/>
        <w:ind w:left="0" w:leftChars="0" w:firstLine="640" w:firstLineChars="200"/>
        <w:textAlignment w:val="auto"/>
        <w:rPr>
          <w:rFonts w:ascii="仿宋" w:hAnsi="仿宋" w:eastAsia="仿宋"/>
          <w:lang w:val="zh-CN"/>
        </w:rPr>
      </w:pPr>
      <w:r>
        <w:rPr>
          <w:rFonts w:hint="eastAsia" w:ascii="仿宋" w:hAnsi="仿宋" w:eastAsia="仿宋"/>
          <w:sz w:val="32"/>
          <w:szCs w:val="32"/>
        </w:rPr>
        <w:t>该项目资金根据机关事务服务中心实际支出情况按需支取。</w:t>
      </w:r>
    </w:p>
    <w:p>
      <w:pPr>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_GB2312" w:hAnsi="Calibri" w:eastAsia="仿宋_GB2312" w:cs="仿宋"/>
          <w:kern w:val="0"/>
          <w:sz w:val="32"/>
          <w:szCs w:val="32"/>
          <w:lang w:val="zh-CN"/>
        </w:rPr>
      </w:pPr>
      <w:r>
        <w:rPr>
          <w:rFonts w:hint="eastAsia" w:ascii="仿宋" w:hAnsi="仿宋" w:eastAsia="仿宋"/>
          <w:b/>
          <w:sz w:val="32"/>
          <w:szCs w:val="32"/>
          <w:lang w:val="zh-CN"/>
        </w:rPr>
        <w:t>（二）项目绩效目标。</w:t>
      </w:r>
    </w:p>
    <w:p>
      <w:pPr>
        <w:pageBreakBefore w:val="0"/>
        <w:widowControl/>
        <w:kinsoku/>
        <w:wordWrap/>
        <w:overflowPunct/>
        <w:topLinePunct w:val="0"/>
        <w:autoSpaceDE/>
        <w:autoSpaceDN/>
        <w:bidi w:val="0"/>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做好全区干部职工早中晚餐服务工作，做好区级公务接待工作以及招商引资接待工作，</w:t>
      </w:r>
      <w:r>
        <w:rPr>
          <w:rFonts w:hint="eastAsia" w:ascii="仿宋" w:hAnsi="仿宋" w:eastAsia="仿宋" w:cs="仿宋_GB2312"/>
          <w:sz w:val="32"/>
          <w:szCs w:val="32"/>
        </w:rPr>
        <w:t>机关工作人员满意度≥9</w:t>
      </w:r>
      <w:r>
        <w:rPr>
          <w:rFonts w:ascii="仿宋" w:hAnsi="仿宋" w:eastAsia="仿宋" w:cs="仿宋_GB2312"/>
          <w:sz w:val="32"/>
          <w:szCs w:val="32"/>
        </w:rPr>
        <w:t>0</w:t>
      </w:r>
      <w:r>
        <w:rPr>
          <w:rFonts w:hint="eastAsia" w:ascii="仿宋" w:hAnsi="仿宋" w:eastAsia="仿宋" w:cs="仿宋_GB2312"/>
          <w:sz w:val="32"/>
          <w:szCs w:val="32"/>
        </w:rPr>
        <w:t>%。</w:t>
      </w:r>
      <w:r>
        <w:rPr>
          <w:rFonts w:hint="eastAsia" w:ascii="仿宋" w:hAnsi="仿宋" w:eastAsia="仿宋" w:cs="仿宋"/>
          <w:sz w:val="32"/>
          <w:szCs w:val="32"/>
        </w:rPr>
        <w:t>2022年申报的内容与实际相符，申报目标合理可行。</w:t>
      </w:r>
    </w:p>
    <w:p>
      <w:pPr>
        <w:pageBreakBefore w:val="0"/>
        <w:widowControl/>
        <w:kinsoku/>
        <w:wordWrap/>
        <w:overflowPunct/>
        <w:topLinePunct w:val="0"/>
        <w:autoSpaceDE/>
        <w:autoSpaceDN/>
        <w:bidi w:val="0"/>
        <w:spacing w:line="560" w:lineRule="exact"/>
        <w:ind w:left="0" w:leftChars="0" w:firstLine="640" w:firstLineChars="200"/>
        <w:jc w:val="left"/>
        <w:textAlignment w:val="auto"/>
        <w:rPr>
          <w:rFonts w:ascii="仿宋" w:hAnsi="仿宋" w:eastAsia="仿宋"/>
          <w:b/>
          <w:sz w:val="32"/>
          <w:szCs w:val="32"/>
          <w:lang w:val="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b/>
          <w:sz w:val="32"/>
          <w:szCs w:val="32"/>
          <w:lang w:val="zh-CN"/>
        </w:rPr>
        <w:t>项目自评步骤及方法。</w:t>
      </w:r>
    </w:p>
    <w:p>
      <w:pPr>
        <w:pStyle w:val="2"/>
        <w:pageBreakBefore w:val="0"/>
        <w:kinsoku/>
        <w:wordWrap/>
        <w:overflowPunct/>
        <w:topLinePunct w:val="0"/>
        <w:autoSpaceDE/>
        <w:autoSpaceDN/>
        <w:bidi w:val="0"/>
        <w:spacing w:after="0" w:line="560" w:lineRule="exact"/>
        <w:ind w:left="0" w:leftChars="0" w:firstLine="640" w:firstLineChars="200"/>
        <w:textAlignment w:val="auto"/>
        <w:rPr>
          <w:rFonts w:ascii="仿宋" w:hAnsi="仿宋" w:eastAsia="仿宋"/>
          <w:lang w:val="zh-CN"/>
        </w:rPr>
      </w:pPr>
      <w:r>
        <w:rPr>
          <w:rFonts w:hint="eastAsia" w:ascii="仿宋" w:hAnsi="仿宋" w:eastAsia="仿宋"/>
          <w:sz w:val="32"/>
        </w:rPr>
        <w:t>该</w:t>
      </w:r>
      <w:r>
        <w:rPr>
          <w:rFonts w:hint="eastAsia" w:ascii="仿宋" w:hAnsi="仿宋" w:eastAsia="仿宋"/>
          <w:sz w:val="32"/>
          <w:lang w:val="zh-CN"/>
        </w:rPr>
        <w:t>项目绩效自评采用自评方式，成立项目自评小组，结合评价内容，做到有计划，有安排，扎实开展本次自评工作</w:t>
      </w:r>
      <w:r>
        <w:rPr>
          <w:rFonts w:hint="eastAsia" w:hAnsi="宋体" w:eastAsia="仿宋_GB2312"/>
          <w:sz w:val="32"/>
          <w:lang w:val="zh-CN"/>
        </w:rPr>
        <w:t>。</w:t>
      </w:r>
      <w:r>
        <w:rPr>
          <w:rFonts w:hint="eastAsia" w:ascii="仿宋" w:hAnsi="仿宋" w:eastAsia="仿宋"/>
          <w:sz w:val="32"/>
          <w:lang w:val="zh-CN"/>
        </w:rPr>
        <w:t>按照上级下达的项目支出绩效评价指标体系，自评小组针对申报内容、实施情况、资金兑现、财务管理、社会效益等作出自我评价，做好自评工作。</w:t>
      </w:r>
    </w:p>
    <w:p>
      <w:pPr>
        <w:pStyle w:val="5"/>
        <w:pageBreakBefore w:val="0"/>
        <w:kinsoku/>
        <w:wordWrap/>
        <w:overflowPunct/>
        <w:topLinePunct w:val="0"/>
        <w:autoSpaceDE/>
        <w:autoSpaceDN/>
        <w:bidi w:val="0"/>
        <w:spacing w:before="0" w:after="0" w:line="560" w:lineRule="exact"/>
        <w:ind w:left="0" w:leftChars="0" w:firstLine="640" w:firstLineChars="200"/>
        <w:textAlignment w:val="auto"/>
        <w:rPr>
          <w:rFonts w:ascii="黑体" w:eastAsia="黑体"/>
          <w:b w:val="0"/>
          <w:lang w:val="zh-CN"/>
        </w:rPr>
      </w:pPr>
      <w:bookmarkStart w:id="216" w:name="_Toc143546671"/>
      <w:bookmarkStart w:id="217" w:name="_Toc13838"/>
      <w:bookmarkStart w:id="218" w:name="_Toc143818256"/>
      <w:r>
        <w:rPr>
          <w:rFonts w:hint="eastAsia" w:ascii="黑体" w:eastAsia="黑体"/>
          <w:b w:val="0"/>
          <w:lang w:val="zh-CN"/>
        </w:rPr>
        <w:t>二、项目资金申报及使用情况</w:t>
      </w:r>
      <w:bookmarkEnd w:id="216"/>
      <w:bookmarkEnd w:id="217"/>
      <w:bookmarkEnd w:id="218"/>
    </w:p>
    <w:p>
      <w:pPr>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_GB2312" w:hAnsi="Calibri" w:eastAsia="仿宋_GB2312" w:cs="仿宋"/>
          <w:kern w:val="0"/>
          <w:sz w:val="32"/>
          <w:szCs w:val="32"/>
          <w:lang w:val="zh-CN"/>
        </w:rPr>
      </w:pPr>
      <w:r>
        <w:rPr>
          <w:rFonts w:hint="eastAsia" w:ascii="仿宋" w:hAnsi="仿宋" w:eastAsia="仿宋"/>
          <w:b/>
          <w:sz w:val="32"/>
          <w:szCs w:val="32"/>
          <w:lang w:val="zh-CN"/>
        </w:rPr>
        <w:t>（一）项目资金申报及批复情况。</w:t>
      </w:r>
    </w:p>
    <w:p>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ascii="仿宋" w:hAnsi="仿宋" w:eastAsia="仿宋"/>
          <w:sz w:val="32"/>
          <w:szCs w:val="32"/>
          <w:lang w:val="zh-CN"/>
        </w:rPr>
      </w:pPr>
      <w:r>
        <w:rPr>
          <w:rFonts w:hint="eastAsia" w:ascii="仿宋" w:hAnsi="仿宋" w:eastAsia="仿宋" w:cs="仿宋"/>
          <w:sz w:val="32"/>
          <w:szCs w:val="32"/>
        </w:rPr>
        <w:t>公务服务经费</w:t>
      </w:r>
      <w:r>
        <w:rPr>
          <w:rFonts w:hint="eastAsia" w:ascii="仿宋" w:hAnsi="仿宋" w:eastAsia="仿宋"/>
          <w:sz w:val="32"/>
          <w:szCs w:val="32"/>
          <w:lang w:val="zh-CN"/>
        </w:rPr>
        <w:t>项目资金申报</w:t>
      </w:r>
      <w:r>
        <w:rPr>
          <w:rFonts w:hint="eastAsia" w:ascii="仿宋" w:hAnsi="仿宋" w:eastAsia="仿宋"/>
          <w:sz w:val="32"/>
          <w:szCs w:val="32"/>
          <w:lang w:val="en-US" w:eastAsia="zh-CN"/>
        </w:rPr>
        <w:t>4</w:t>
      </w:r>
      <w:r>
        <w:rPr>
          <w:rFonts w:ascii="仿宋" w:hAnsi="仿宋" w:eastAsia="仿宋"/>
          <w:sz w:val="32"/>
          <w:szCs w:val="32"/>
        </w:rPr>
        <w:t>80</w:t>
      </w:r>
      <w:r>
        <w:rPr>
          <w:rFonts w:hint="eastAsia" w:ascii="仿宋" w:hAnsi="仿宋" w:eastAsia="仿宋"/>
          <w:sz w:val="32"/>
          <w:szCs w:val="32"/>
        </w:rPr>
        <w:t>万</w:t>
      </w:r>
      <w:r>
        <w:rPr>
          <w:rFonts w:hint="eastAsia" w:ascii="仿宋" w:hAnsi="仿宋" w:eastAsia="仿宋"/>
          <w:sz w:val="32"/>
          <w:szCs w:val="32"/>
          <w:lang w:val="zh-CN"/>
        </w:rPr>
        <w:t>，批复</w:t>
      </w:r>
      <w:r>
        <w:rPr>
          <w:rFonts w:ascii="仿宋" w:hAnsi="仿宋" w:eastAsia="仿宋"/>
          <w:sz w:val="32"/>
          <w:szCs w:val="32"/>
        </w:rPr>
        <w:t>380</w:t>
      </w:r>
      <w:r>
        <w:rPr>
          <w:rFonts w:hint="eastAsia" w:ascii="仿宋" w:hAnsi="仿宋" w:eastAsia="仿宋"/>
          <w:sz w:val="32"/>
          <w:szCs w:val="32"/>
        </w:rPr>
        <w:t>万</w:t>
      </w:r>
      <w:r>
        <w:rPr>
          <w:rFonts w:hint="eastAsia" w:ascii="仿宋" w:hAnsi="仿宋" w:eastAsia="仿宋"/>
          <w:sz w:val="32"/>
          <w:szCs w:val="32"/>
          <w:lang w:val="zh-CN"/>
        </w:rPr>
        <w:t>。</w:t>
      </w:r>
    </w:p>
    <w:p>
      <w:pPr>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eastAsia" w:ascii="仿宋" w:hAnsi="仿宋" w:eastAsia="仿宋"/>
          <w:b/>
          <w:sz w:val="32"/>
          <w:szCs w:val="32"/>
          <w:lang w:val="zh-CN" w:eastAsia="zh-CN"/>
        </w:rPr>
      </w:pPr>
      <w:r>
        <w:rPr>
          <w:rFonts w:hint="eastAsia" w:ascii="仿宋" w:hAnsi="仿宋" w:eastAsia="仿宋"/>
          <w:b/>
          <w:sz w:val="32"/>
          <w:szCs w:val="32"/>
          <w:lang w:val="zh-CN"/>
        </w:rPr>
        <w:t>（二）资金计划、到位及使用情况。</w:t>
      </w:r>
    </w:p>
    <w:p>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ascii="仿宋" w:hAnsi="仿宋" w:eastAsia="仿宋"/>
          <w:sz w:val="32"/>
          <w:szCs w:val="32"/>
          <w:lang w:val="zh-CN"/>
        </w:rPr>
      </w:pPr>
      <w:r>
        <w:rPr>
          <w:rFonts w:hint="eastAsia" w:ascii="楷体_GB2312" w:hAnsi="宋体" w:eastAsia="楷体_GB2312"/>
          <w:sz w:val="32"/>
          <w:szCs w:val="32"/>
          <w:lang w:val="zh-CN"/>
        </w:rPr>
        <w:t>1．资金计划。</w:t>
      </w:r>
      <w:r>
        <w:rPr>
          <w:rFonts w:hint="eastAsia" w:ascii="仿宋" w:hAnsi="仿宋" w:eastAsia="仿宋" w:cs="仿宋_GB2312"/>
          <w:sz w:val="32"/>
          <w:szCs w:val="32"/>
        </w:rPr>
        <w:t>该项目资金计划</w:t>
      </w:r>
      <w:r>
        <w:rPr>
          <w:rFonts w:ascii="仿宋" w:hAnsi="仿宋" w:eastAsia="仿宋" w:cs="仿宋_GB2312"/>
          <w:sz w:val="32"/>
          <w:szCs w:val="32"/>
        </w:rPr>
        <w:t>380</w:t>
      </w:r>
      <w:r>
        <w:rPr>
          <w:rFonts w:hint="eastAsia" w:ascii="仿宋" w:hAnsi="仿宋" w:eastAsia="仿宋" w:cs="仿宋_GB2312"/>
          <w:sz w:val="32"/>
          <w:szCs w:val="32"/>
        </w:rPr>
        <w:t>万元</w:t>
      </w:r>
      <w:r>
        <w:rPr>
          <w:rFonts w:hint="eastAsia" w:ascii="仿宋" w:hAnsi="仿宋" w:eastAsia="仿宋"/>
          <w:sz w:val="32"/>
          <w:szCs w:val="32"/>
          <w:lang w:val="zh-CN"/>
        </w:rPr>
        <w:t>。</w:t>
      </w:r>
    </w:p>
    <w:p>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ascii="仿宋" w:hAnsi="仿宋" w:eastAsia="仿宋"/>
          <w:sz w:val="32"/>
          <w:szCs w:val="32"/>
          <w:lang w:val="zh-CN"/>
        </w:rPr>
      </w:pPr>
      <w:r>
        <w:rPr>
          <w:rFonts w:hint="eastAsia" w:ascii="楷体_GB2312" w:hAnsi="宋体" w:eastAsia="楷体_GB2312"/>
          <w:sz w:val="32"/>
          <w:szCs w:val="32"/>
          <w:lang w:val="zh-CN"/>
        </w:rPr>
        <w:t>2．资金到位。</w:t>
      </w:r>
      <w:r>
        <w:rPr>
          <w:rFonts w:hint="eastAsia" w:ascii="仿宋" w:hAnsi="仿宋" w:eastAsia="仿宋" w:cs="仿宋_GB2312"/>
          <w:sz w:val="32"/>
          <w:szCs w:val="32"/>
        </w:rPr>
        <w:t>该项目资金截止评价时点实际到位</w:t>
      </w:r>
      <w:r>
        <w:rPr>
          <w:rFonts w:ascii="仿宋" w:hAnsi="仿宋" w:eastAsia="仿宋" w:cs="仿宋_GB2312"/>
          <w:sz w:val="32"/>
          <w:szCs w:val="32"/>
        </w:rPr>
        <w:t>380</w:t>
      </w:r>
      <w:r>
        <w:rPr>
          <w:rFonts w:hint="eastAsia" w:ascii="仿宋" w:hAnsi="仿宋" w:eastAsia="仿宋" w:cs="仿宋_GB2312"/>
          <w:sz w:val="32"/>
          <w:szCs w:val="32"/>
        </w:rPr>
        <w:t>万元</w:t>
      </w:r>
    </w:p>
    <w:p>
      <w:pPr>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ascii="仿宋" w:hAnsi="仿宋" w:eastAsia="仿宋" w:cs="仿宋"/>
          <w:kern w:val="0"/>
          <w:sz w:val="32"/>
          <w:szCs w:val="32"/>
          <w:lang w:val="zh-CN"/>
        </w:rPr>
      </w:pPr>
      <w:r>
        <w:rPr>
          <w:rFonts w:hint="eastAsia" w:ascii="楷体_GB2312" w:hAnsi="宋体" w:eastAsia="楷体_GB2312"/>
          <w:sz w:val="32"/>
          <w:szCs w:val="32"/>
          <w:lang w:val="zh-CN"/>
        </w:rPr>
        <w:t>3．资金使用。</w:t>
      </w:r>
      <w:r>
        <w:rPr>
          <w:rFonts w:hint="eastAsia" w:ascii="仿宋" w:hAnsi="仿宋" w:eastAsia="仿宋" w:cs="仿宋_GB2312"/>
          <w:sz w:val="32"/>
          <w:szCs w:val="32"/>
        </w:rPr>
        <w:t>截止评价时点项目资金的实际支出</w:t>
      </w:r>
      <w:r>
        <w:rPr>
          <w:rFonts w:ascii="仿宋" w:hAnsi="仿宋" w:eastAsia="仿宋" w:cs="仿宋_GB2312"/>
          <w:sz w:val="32"/>
          <w:szCs w:val="32"/>
        </w:rPr>
        <w:t>357</w:t>
      </w:r>
      <w:r>
        <w:rPr>
          <w:rFonts w:hint="eastAsia" w:ascii="仿宋" w:hAnsi="仿宋" w:eastAsia="仿宋" w:cs="仿宋_GB2312"/>
          <w:sz w:val="32"/>
          <w:szCs w:val="32"/>
        </w:rPr>
        <w:t>.</w:t>
      </w:r>
      <w:r>
        <w:rPr>
          <w:rFonts w:ascii="仿宋" w:hAnsi="仿宋" w:eastAsia="仿宋" w:cs="仿宋_GB2312"/>
          <w:sz w:val="32"/>
          <w:szCs w:val="32"/>
        </w:rPr>
        <w:t>19</w:t>
      </w:r>
      <w:r>
        <w:rPr>
          <w:rFonts w:hint="eastAsia" w:ascii="仿宋" w:hAnsi="仿宋" w:eastAsia="仿宋" w:cs="仿宋_GB2312"/>
          <w:sz w:val="32"/>
          <w:szCs w:val="32"/>
        </w:rPr>
        <w:t>万元，主要是用于</w:t>
      </w:r>
      <w:r>
        <w:rPr>
          <w:rFonts w:hint="eastAsia" w:ascii="仿宋" w:hAnsi="仿宋" w:eastAsia="仿宋" w:cs="仿宋"/>
          <w:sz w:val="32"/>
          <w:szCs w:val="32"/>
        </w:rPr>
        <w:t>全区干部职工早中晚餐服务工作，区级公务接待以及招商引资接待</w:t>
      </w:r>
      <w:r>
        <w:rPr>
          <w:rFonts w:hint="eastAsia" w:ascii="仿宋" w:hAnsi="仿宋" w:eastAsia="仿宋" w:cs="仿宋_GB2312"/>
          <w:sz w:val="32"/>
          <w:szCs w:val="32"/>
        </w:rPr>
        <w:t>等方面的工作，其中办公费</w:t>
      </w:r>
      <w:r>
        <w:rPr>
          <w:rFonts w:ascii="仿宋" w:hAnsi="仿宋" w:eastAsia="仿宋" w:cs="仿宋_GB2312"/>
          <w:sz w:val="32"/>
          <w:szCs w:val="32"/>
        </w:rPr>
        <w:t>2</w:t>
      </w:r>
      <w:r>
        <w:rPr>
          <w:rFonts w:hint="eastAsia" w:ascii="仿宋" w:hAnsi="仿宋" w:eastAsia="仿宋" w:cs="仿宋_GB2312"/>
          <w:sz w:val="32"/>
          <w:szCs w:val="32"/>
        </w:rPr>
        <w:t>.</w:t>
      </w:r>
      <w:r>
        <w:rPr>
          <w:rFonts w:ascii="仿宋" w:hAnsi="仿宋" w:eastAsia="仿宋" w:cs="仿宋_GB2312"/>
          <w:sz w:val="32"/>
          <w:szCs w:val="32"/>
        </w:rPr>
        <w:t>71</w:t>
      </w:r>
      <w:r>
        <w:rPr>
          <w:rFonts w:hint="eastAsia" w:ascii="仿宋" w:hAnsi="仿宋" w:eastAsia="仿宋" w:cs="仿宋_GB2312"/>
          <w:sz w:val="32"/>
          <w:szCs w:val="32"/>
        </w:rPr>
        <w:t>万元，差旅费</w:t>
      </w:r>
      <w:r>
        <w:rPr>
          <w:rFonts w:ascii="仿宋" w:hAnsi="仿宋" w:eastAsia="仿宋" w:cs="仿宋_GB2312"/>
          <w:sz w:val="32"/>
          <w:szCs w:val="32"/>
        </w:rPr>
        <w:t>1</w:t>
      </w:r>
      <w:r>
        <w:rPr>
          <w:rFonts w:hint="eastAsia" w:ascii="仿宋" w:hAnsi="仿宋" w:eastAsia="仿宋" w:cs="仿宋_GB2312"/>
          <w:sz w:val="32"/>
          <w:szCs w:val="32"/>
        </w:rPr>
        <w:t>.</w:t>
      </w:r>
      <w:r>
        <w:rPr>
          <w:rFonts w:ascii="仿宋" w:hAnsi="仿宋" w:eastAsia="仿宋" w:cs="仿宋_GB2312"/>
          <w:sz w:val="32"/>
          <w:szCs w:val="32"/>
        </w:rPr>
        <w:t>06</w:t>
      </w:r>
      <w:r>
        <w:rPr>
          <w:rFonts w:hint="eastAsia" w:ascii="仿宋" w:hAnsi="仿宋" w:eastAsia="仿宋" w:cs="仿宋_GB2312"/>
          <w:sz w:val="32"/>
          <w:szCs w:val="32"/>
        </w:rPr>
        <w:t>万元。</w:t>
      </w:r>
    </w:p>
    <w:p>
      <w:pPr>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 w:hAnsi="仿宋" w:eastAsia="仿宋"/>
          <w:b/>
          <w:sz w:val="32"/>
          <w:szCs w:val="32"/>
          <w:lang w:val="zh-CN"/>
        </w:rPr>
      </w:pPr>
      <w:r>
        <w:rPr>
          <w:rFonts w:hint="eastAsia" w:ascii="仿宋" w:hAnsi="仿宋" w:eastAsia="仿宋"/>
          <w:b/>
          <w:sz w:val="32"/>
          <w:szCs w:val="32"/>
          <w:lang w:val="zh-CN"/>
        </w:rPr>
        <w:t>（三）项目财务管理情况。</w:t>
      </w:r>
    </w:p>
    <w:p>
      <w:pPr>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ascii="仿宋" w:hAnsi="仿宋" w:eastAsia="仿宋" w:cs="仿宋"/>
          <w:kern w:val="0"/>
          <w:sz w:val="32"/>
          <w:szCs w:val="32"/>
          <w:lang w:val="zh-CN"/>
        </w:rPr>
      </w:pPr>
      <w:r>
        <w:rPr>
          <w:rFonts w:hint="eastAsia" w:ascii="仿宋" w:hAnsi="仿宋" w:eastAsia="仿宋" w:cs="仿宋_GB2312"/>
          <w:sz w:val="32"/>
          <w:szCs w:val="32"/>
        </w:rPr>
        <w:t>该项目财务管理制度实行政府财务会计制度，建立了单位内控制度，严格按照相关的制度进行会计核算及账务处理，对照项目资金管理办法，该项目严格执行财务管理制度、财务处理较及时、会计核算规范</w:t>
      </w:r>
      <w:r>
        <w:rPr>
          <w:rFonts w:hint="eastAsia" w:ascii="仿宋" w:hAnsi="仿宋" w:eastAsia="仿宋"/>
          <w:sz w:val="32"/>
          <w:szCs w:val="32"/>
          <w:lang w:val="zh-CN"/>
        </w:rPr>
        <w:t>。</w:t>
      </w:r>
    </w:p>
    <w:p>
      <w:pPr>
        <w:pStyle w:val="5"/>
        <w:pageBreakBefore w:val="0"/>
        <w:kinsoku/>
        <w:wordWrap/>
        <w:overflowPunct/>
        <w:topLinePunct w:val="0"/>
        <w:autoSpaceDE/>
        <w:autoSpaceDN/>
        <w:bidi w:val="0"/>
        <w:spacing w:before="0" w:after="0" w:line="560" w:lineRule="exact"/>
        <w:ind w:left="0" w:leftChars="0" w:firstLine="640" w:firstLineChars="200"/>
        <w:textAlignment w:val="auto"/>
        <w:rPr>
          <w:rFonts w:ascii="黑体" w:eastAsia="黑体"/>
          <w:b w:val="0"/>
          <w:lang w:val="zh-CN"/>
        </w:rPr>
      </w:pPr>
      <w:bookmarkStart w:id="219" w:name="_Toc143546672"/>
      <w:bookmarkStart w:id="220" w:name="_Toc143818257"/>
      <w:bookmarkStart w:id="221" w:name="_Toc17671"/>
      <w:r>
        <w:rPr>
          <w:rFonts w:hint="eastAsia" w:ascii="黑体" w:eastAsia="黑体"/>
          <w:b w:val="0"/>
          <w:lang w:val="zh-CN"/>
        </w:rPr>
        <w:t>三、项目实施及管理情况</w:t>
      </w:r>
      <w:bookmarkEnd w:id="219"/>
      <w:bookmarkEnd w:id="220"/>
      <w:bookmarkEnd w:id="221"/>
    </w:p>
    <w:p>
      <w:pPr>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ascii="仿宋" w:hAnsi="仿宋" w:eastAsia="仿宋" w:cs="仿宋"/>
          <w:kern w:val="0"/>
          <w:sz w:val="32"/>
          <w:szCs w:val="32"/>
          <w:lang w:val="zh-CN"/>
        </w:rPr>
      </w:pPr>
      <w:r>
        <w:rPr>
          <w:rFonts w:hint="eastAsia" w:ascii="仿宋" w:hAnsi="仿宋" w:eastAsia="仿宋" w:cs="仿宋"/>
          <w:kern w:val="0"/>
          <w:sz w:val="32"/>
          <w:szCs w:val="32"/>
          <w:lang w:val="zh-CN"/>
        </w:rPr>
        <w:t>结合项目组织实施管理办法，重点围绕以下内容进行分析评价，并对自评中发现的问题分析说明。</w:t>
      </w:r>
    </w:p>
    <w:p>
      <w:pPr>
        <w:pageBreakBefore w:val="0"/>
        <w:widowControl/>
        <w:numPr>
          <w:ilvl w:val="0"/>
          <w:numId w:val="0"/>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 w:hAnsi="仿宋" w:eastAsia="仿宋"/>
          <w:b/>
          <w:sz w:val="32"/>
          <w:szCs w:val="32"/>
          <w:lang w:val="zh-CN"/>
        </w:rPr>
      </w:pPr>
      <w:r>
        <w:rPr>
          <w:rFonts w:hint="eastAsia" w:ascii="仿宋" w:hAnsi="仿宋" w:eastAsia="仿宋"/>
          <w:b/>
          <w:sz w:val="32"/>
          <w:szCs w:val="32"/>
          <w:lang w:val="zh-CN"/>
        </w:rPr>
        <w:t>（</w:t>
      </w:r>
      <w:r>
        <w:rPr>
          <w:rFonts w:hint="eastAsia" w:ascii="仿宋" w:hAnsi="仿宋" w:eastAsia="仿宋"/>
          <w:b/>
          <w:sz w:val="32"/>
          <w:szCs w:val="32"/>
          <w:lang w:val="en-US" w:eastAsia="zh-CN"/>
        </w:rPr>
        <w:t>一</w:t>
      </w:r>
      <w:r>
        <w:rPr>
          <w:rFonts w:hint="eastAsia" w:ascii="仿宋" w:hAnsi="仿宋" w:eastAsia="仿宋"/>
          <w:b/>
          <w:sz w:val="32"/>
          <w:szCs w:val="32"/>
          <w:lang w:val="zh-CN"/>
        </w:rPr>
        <w:t>）项目组织架构及实施流程。</w:t>
      </w:r>
    </w:p>
    <w:p>
      <w:pPr>
        <w:pStyle w:val="2"/>
        <w:pageBreakBefore w:val="0"/>
        <w:kinsoku/>
        <w:wordWrap/>
        <w:overflowPunct/>
        <w:topLinePunct w:val="0"/>
        <w:autoSpaceDE/>
        <w:autoSpaceDN/>
        <w:bidi w:val="0"/>
        <w:spacing w:after="0" w:line="560" w:lineRule="exact"/>
        <w:ind w:left="0" w:leftChars="0" w:firstLine="640" w:firstLineChars="200"/>
        <w:textAlignment w:val="auto"/>
        <w:rPr>
          <w:rFonts w:ascii="仿宋" w:hAnsi="仿宋" w:eastAsia="仿宋"/>
          <w:lang w:val="zh-CN"/>
        </w:rPr>
      </w:pPr>
      <w:r>
        <w:rPr>
          <w:rFonts w:hint="eastAsia" w:ascii="仿宋" w:hAnsi="仿宋" w:eastAsia="仿宋" w:cs="仿宋"/>
          <w:sz w:val="32"/>
        </w:rPr>
        <w:t>公务服务经费</w:t>
      </w:r>
      <w:r>
        <w:rPr>
          <w:rFonts w:hint="eastAsia" w:ascii="仿宋" w:hAnsi="仿宋" w:eastAsia="仿宋"/>
          <w:sz w:val="32"/>
        </w:rPr>
        <w:t>严格按照专款专用原则，及时通知有关单位提供合法票据，完善报账手续，严格票据审核，规范报账程序，确保资金使用的及时性、规范性，同时财政部门对资金支付严格审核，确保资金使用安全。</w:t>
      </w:r>
    </w:p>
    <w:p>
      <w:pPr>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_GB2312" w:hAnsi="Calibri" w:eastAsia="仿宋_GB2312" w:cs="仿宋"/>
          <w:kern w:val="0"/>
          <w:sz w:val="32"/>
          <w:szCs w:val="32"/>
          <w:lang w:val="zh-CN"/>
        </w:rPr>
      </w:pPr>
      <w:r>
        <w:rPr>
          <w:rFonts w:hint="eastAsia" w:ascii="仿宋" w:hAnsi="仿宋" w:eastAsia="仿宋"/>
          <w:b/>
          <w:sz w:val="32"/>
          <w:szCs w:val="32"/>
          <w:lang w:val="zh-CN"/>
        </w:rPr>
        <w:t>（二）项目管理情况。</w:t>
      </w:r>
      <w:r>
        <w:rPr>
          <w:rFonts w:hint="eastAsia" w:ascii="仿宋" w:hAnsi="仿宋" w:eastAsia="仿宋"/>
          <w:sz w:val="32"/>
          <w:szCs w:val="32"/>
        </w:rPr>
        <w:t>项目严格按照区级有关规定执行，严格</w:t>
      </w:r>
      <w:r>
        <w:rPr>
          <w:rFonts w:hint="eastAsia" w:ascii="仿宋" w:hAnsi="仿宋" w:eastAsia="仿宋" w:cs="仿宋_GB2312"/>
          <w:sz w:val="32"/>
          <w:szCs w:val="32"/>
        </w:rPr>
        <w:t>用于</w:t>
      </w:r>
      <w:r>
        <w:rPr>
          <w:rFonts w:hint="eastAsia" w:ascii="仿宋" w:hAnsi="仿宋" w:eastAsia="仿宋" w:cs="仿宋"/>
          <w:sz w:val="32"/>
          <w:szCs w:val="32"/>
        </w:rPr>
        <w:t>全区干部职工早中晚餐服务工作，区级公务接待以及招商引资接待</w:t>
      </w:r>
      <w:r>
        <w:rPr>
          <w:rFonts w:hint="eastAsia" w:ascii="仿宋" w:hAnsi="仿宋" w:eastAsia="仿宋" w:cs="仿宋_GB2312"/>
          <w:sz w:val="32"/>
          <w:szCs w:val="32"/>
        </w:rPr>
        <w:t>等方面的工作</w:t>
      </w:r>
      <w:r>
        <w:rPr>
          <w:rFonts w:hint="eastAsia" w:ascii="仿宋" w:hAnsi="仿宋" w:eastAsia="仿宋"/>
          <w:sz w:val="32"/>
          <w:szCs w:val="32"/>
        </w:rPr>
        <w:t>支出，</w:t>
      </w:r>
      <w:r>
        <w:rPr>
          <w:rFonts w:ascii="仿宋" w:hAnsi="仿宋" w:eastAsia="仿宋"/>
          <w:sz w:val="32"/>
          <w:szCs w:val="32"/>
          <w:lang w:val="zh-CN"/>
        </w:rPr>
        <w:t>资金专款专用</w:t>
      </w:r>
      <w:r>
        <w:rPr>
          <w:rFonts w:hint="eastAsia" w:ascii="仿宋" w:hAnsi="仿宋" w:eastAsia="仿宋"/>
          <w:sz w:val="32"/>
          <w:szCs w:val="32"/>
          <w:lang w:val="zh-CN"/>
        </w:rPr>
        <w:t>。</w:t>
      </w:r>
    </w:p>
    <w:p>
      <w:pPr>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_GB2312" w:hAnsi="Calibri" w:eastAsia="仿宋_GB2312" w:cs="仿宋"/>
          <w:kern w:val="0"/>
          <w:sz w:val="32"/>
          <w:szCs w:val="32"/>
          <w:lang w:val="zh-CN"/>
        </w:rPr>
      </w:pPr>
      <w:r>
        <w:rPr>
          <w:rFonts w:hint="eastAsia" w:ascii="仿宋" w:hAnsi="仿宋" w:eastAsia="仿宋"/>
          <w:b/>
          <w:sz w:val="32"/>
          <w:szCs w:val="32"/>
          <w:lang w:val="zh-CN"/>
        </w:rPr>
        <w:t>（三）项目监管情况。</w:t>
      </w:r>
      <w:r>
        <w:rPr>
          <w:rFonts w:hint="eastAsia" w:ascii="仿宋" w:hAnsi="仿宋" w:eastAsia="仿宋" w:cs="仿宋_GB2312"/>
          <w:sz w:val="32"/>
          <w:szCs w:val="32"/>
        </w:rPr>
        <w:t>项目由机关事务服务中心监管，并严格按照相关财经纪律执行。</w:t>
      </w:r>
    </w:p>
    <w:p>
      <w:pPr>
        <w:pStyle w:val="5"/>
        <w:pageBreakBefore w:val="0"/>
        <w:kinsoku/>
        <w:wordWrap/>
        <w:overflowPunct/>
        <w:topLinePunct w:val="0"/>
        <w:autoSpaceDE/>
        <w:autoSpaceDN/>
        <w:bidi w:val="0"/>
        <w:spacing w:before="0" w:after="0" w:line="560" w:lineRule="exact"/>
        <w:ind w:left="0" w:leftChars="0" w:firstLine="640" w:firstLineChars="200"/>
        <w:textAlignment w:val="auto"/>
        <w:rPr>
          <w:rFonts w:ascii="黑体" w:eastAsia="黑体"/>
          <w:b w:val="0"/>
          <w:lang w:val="zh-CN"/>
        </w:rPr>
      </w:pPr>
      <w:bookmarkStart w:id="222" w:name="_Toc143818258"/>
      <w:bookmarkStart w:id="223" w:name="_Toc143546673"/>
      <w:bookmarkStart w:id="224" w:name="_Toc20411"/>
      <w:r>
        <w:rPr>
          <w:rFonts w:hint="eastAsia" w:ascii="黑体" w:eastAsia="黑体"/>
          <w:b w:val="0"/>
          <w:lang w:val="zh-CN"/>
        </w:rPr>
        <w:t>四、项目绩效情况</w:t>
      </w:r>
      <w:bookmarkEnd w:id="222"/>
      <w:bookmarkEnd w:id="223"/>
      <w:bookmarkEnd w:id="224"/>
      <w:r>
        <w:rPr>
          <w:rFonts w:hint="eastAsia" w:ascii="黑体" w:eastAsia="黑体"/>
          <w:b w:val="0"/>
          <w:lang w:val="zh-CN"/>
        </w:rPr>
        <w:tab/>
      </w:r>
    </w:p>
    <w:p>
      <w:pPr>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 w:hAnsi="仿宋" w:eastAsia="仿宋"/>
          <w:b/>
          <w:sz w:val="32"/>
          <w:szCs w:val="32"/>
          <w:lang w:val="zh-CN"/>
        </w:rPr>
      </w:pPr>
      <w:r>
        <w:rPr>
          <w:rFonts w:hint="eastAsia" w:ascii="仿宋" w:hAnsi="仿宋" w:eastAsia="仿宋"/>
          <w:b/>
          <w:sz w:val="32"/>
          <w:szCs w:val="32"/>
          <w:lang w:val="zh-CN"/>
        </w:rPr>
        <w:t>（一）项目完成情况。</w:t>
      </w:r>
    </w:p>
    <w:p>
      <w:pPr>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ascii="仿宋" w:hAnsi="仿宋" w:eastAsia="仿宋" w:cs="仿宋"/>
          <w:kern w:val="0"/>
          <w:sz w:val="32"/>
          <w:szCs w:val="32"/>
        </w:rPr>
      </w:pPr>
      <w:r>
        <w:rPr>
          <w:rFonts w:hint="eastAsia" w:ascii="仿宋" w:hAnsi="仿宋" w:eastAsia="仿宋" w:cs="仿宋_GB2312"/>
          <w:kern w:val="0"/>
          <w:sz w:val="32"/>
          <w:szCs w:val="32"/>
        </w:rPr>
        <w:t>解决柔刚商务中心周边工作人员每天早中晚约1000人的就餐问题</w:t>
      </w:r>
      <w:r>
        <w:rPr>
          <w:rFonts w:hint="eastAsia" w:ascii="仿宋" w:hAnsi="仿宋" w:eastAsia="仿宋" w:cs="仿宋"/>
          <w:sz w:val="32"/>
          <w:szCs w:val="32"/>
        </w:rPr>
        <w:t>，做好区级公务接待工作以及招商引资接待工作，</w:t>
      </w:r>
      <w:r>
        <w:rPr>
          <w:rFonts w:hint="eastAsia" w:ascii="仿宋" w:hAnsi="仿宋" w:eastAsia="仿宋" w:cs="仿宋_GB2312"/>
          <w:sz w:val="32"/>
          <w:szCs w:val="32"/>
        </w:rPr>
        <w:t>机关工作人员满意度≥9</w:t>
      </w:r>
      <w:r>
        <w:rPr>
          <w:rFonts w:ascii="仿宋" w:hAnsi="仿宋" w:eastAsia="仿宋" w:cs="仿宋_GB2312"/>
          <w:sz w:val="32"/>
          <w:szCs w:val="32"/>
        </w:rPr>
        <w:t>0</w:t>
      </w:r>
      <w:r>
        <w:rPr>
          <w:rFonts w:hint="eastAsia" w:ascii="仿宋" w:hAnsi="仿宋" w:eastAsia="仿宋" w:cs="仿宋_GB2312"/>
          <w:sz w:val="32"/>
          <w:szCs w:val="32"/>
        </w:rPr>
        <w:t>%。</w:t>
      </w:r>
    </w:p>
    <w:p>
      <w:pPr>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_GB2312" w:hAnsi="Calibri" w:eastAsia="仿宋_GB2312" w:cs="仿宋"/>
          <w:kern w:val="0"/>
          <w:sz w:val="32"/>
          <w:szCs w:val="32"/>
          <w:lang w:val="zh-CN"/>
        </w:rPr>
      </w:pPr>
      <w:r>
        <w:rPr>
          <w:rFonts w:hint="eastAsia" w:ascii="仿宋" w:hAnsi="仿宋" w:eastAsia="仿宋"/>
          <w:b/>
          <w:sz w:val="32"/>
          <w:szCs w:val="32"/>
          <w:lang w:val="zh-CN"/>
        </w:rPr>
        <w:t>（二）项目效益情况。</w:t>
      </w:r>
    </w:p>
    <w:p>
      <w:pPr>
        <w:pStyle w:val="5"/>
        <w:pageBreakBefore w:val="0"/>
        <w:kinsoku/>
        <w:wordWrap/>
        <w:overflowPunct/>
        <w:topLinePunct w:val="0"/>
        <w:autoSpaceDE/>
        <w:autoSpaceDN/>
        <w:bidi w:val="0"/>
        <w:spacing w:before="0" w:after="0" w:line="560" w:lineRule="exact"/>
        <w:ind w:left="0" w:leftChars="0" w:firstLine="640" w:firstLineChars="200"/>
        <w:textAlignment w:val="auto"/>
        <w:rPr>
          <w:rFonts w:ascii="仿宋" w:hAnsi="仿宋" w:eastAsia="仿宋" w:cs="仿宋"/>
          <w:b w:val="0"/>
          <w:bCs w:val="0"/>
        </w:rPr>
      </w:pPr>
      <w:bookmarkStart w:id="225" w:name="_Toc143546674"/>
      <w:bookmarkStart w:id="226" w:name="_Toc143818259"/>
      <w:bookmarkStart w:id="227" w:name="_Toc7543"/>
      <w:r>
        <w:rPr>
          <w:rFonts w:hint="eastAsia" w:ascii="仿宋" w:hAnsi="仿宋" w:eastAsia="仿宋" w:cs="仿宋_GB2312"/>
          <w:b w:val="0"/>
          <w:bCs w:val="0"/>
          <w:kern w:val="0"/>
        </w:rPr>
        <w:t>节约能源，减少浪费</w:t>
      </w:r>
      <w:r>
        <w:rPr>
          <w:rFonts w:hint="eastAsia" w:ascii="仿宋" w:hAnsi="仿宋" w:eastAsia="仿宋" w:cs="仿宋_GB2312"/>
          <w:b w:val="0"/>
          <w:bCs w:val="0"/>
        </w:rPr>
        <w:t>，</w:t>
      </w:r>
      <w:r>
        <w:rPr>
          <w:rFonts w:hint="eastAsia" w:ascii="仿宋" w:hAnsi="仿宋" w:eastAsia="仿宋" w:cs="仿宋_GB2312"/>
          <w:b w:val="0"/>
          <w:bCs w:val="0"/>
          <w:kern w:val="0"/>
        </w:rPr>
        <w:t>做好后勤保障工作，让机关工作人员有良好的工作环境。</w:t>
      </w:r>
      <w:bookmarkEnd w:id="225"/>
      <w:bookmarkEnd w:id="226"/>
      <w:bookmarkEnd w:id="227"/>
    </w:p>
    <w:p>
      <w:pPr>
        <w:pStyle w:val="5"/>
        <w:pageBreakBefore w:val="0"/>
        <w:kinsoku/>
        <w:wordWrap/>
        <w:overflowPunct/>
        <w:topLinePunct w:val="0"/>
        <w:autoSpaceDE/>
        <w:autoSpaceDN/>
        <w:bidi w:val="0"/>
        <w:spacing w:before="0" w:after="0" w:line="560" w:lineRule="exact"/>
        <w:ind w:left="0" w:leftChars="0" w:firstLine="640" w:firstLineChars="200"/>
        <w:textAlignment w:val="auto"/>
        <w:rPr>
          <w:rFonts w:ascii="黑体" w:eastAsia="黑体"/>
          <w:b w:val="0"/>
          <w:lang w:val="zh-CN"/>
        </w:rPr>
      </w:pPr>
      <w:bookmarkStart w:id="228" w:name="_Toc143546675"/>
      <w:bookmarkStart w:id="229" w:name="_Toc143818260"/>
      <w:bookmarkStart w:id="230" w:name="_Toc27818"/>
      <w:r>
        <w:rPr>
          <w:rFonts w:hint="eastAsia" w:ascii="黑体" w:eastAsia="黑体"/>
          <w:b w:val="0"/>
          <w:lang w:val="zh-CN"/>
        </w:rPr>
        <w:t>五、评价结论及建议</w:t>
      </w:r>
      <w:bookmarkEnd w:id="228"/>
      <w:bookmarkEnd w:id="229"/>
      <w:bookmarkEnd w:id="230"/>
    </w:p>
    <w:p>
      <w:pPr>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 w:hAnsi="仿宋" w:eastAsia="仿宋"/>
          <w:b/>
          <w:sz w:val="32"/>
          <w:szCs w:val="32"/>
          <w:lang w:val="zh-CN"/>
        </w:rPr>
      </w:pPr>
      <w:r>
        <w:rPr>
          <w:rFonts w:hint="eastAsia" w:ascii="仿宋" w:hAnsi="仿宋" w:eastAsia="仿宋"/>
          <w:b/>
          <w:sz w:val="32"/>
          <w:szCs w:val="32"/>
          <w:lang w:val="zh-CN"/>
        </w:rPr>
        <w:t>（一）评价结论。</w:t>
      </w:r>
    </w:p>
    <w:p>
      <w:pPr>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ascii="仿宋_GB2312" w:hAnsi="Calibri" w:eastAsia="仿宋_GB2312" w:cs="仿宋"/>
          <w:kern w:val="0"/>
          <w:sz w:val="32"/>
          <w:szCs w:val="32"/>
          <w:lang w:val="zh-CN"/>
        </w:rPr>
      </w:pPr>
      <w:r>
        <w:rPr>
          <w:rFonts w:hint="eastAsia" w:ascii="仿宋" w:hAnsi="仿宋" w:eastAsia="仿宋" w:cs="仿宋"/>
          <w:sz w:val="32"/>
          <w:szCs w:val="32"/>
        </w:rPr>
        <w:t>202</w:t>
      </w:r>
      <w:r>
        <w:rPr>
          <w:rFonts w:ascii="仿宋" w:hAnsi="仿宋" w:eastAsia="仿宋" w:cs="仿宋"/>
          <w:sz w:val="32"/>
          <w:szCs w:val="32"/>
        </w:rPr>
        <w:t>2</w:t>
      </w:r>
      <w:r>
        <w:rPr>
          <w:rFonts w:hint="eastAsia" w:ascii="仿宋" w:hAnsi="仿宋" w:eastAsia="仿宋" w:cs="仿宋"/>
          <w:sz w:val="32"/>
          <w:szCs w:val="32"/>
        </w:rPr>
        <w:t>年度项目经费预算具有明确的用途和目标，制定了较为细致的执行计划，资金到位及时并严格按照财政有关规定专款专用。预算决策、管理、执行过程逐渐规范，能较好地满足工作需要，保障项目顺利开展时效，并取得了较为满意的社会效益</w:t>
      </w:r>
      <w:r>
        <w:rPr>
          <w:rFonts w:hint="eastAsia" w:ascii="仿宋_GB2312" w:hAnsi="宋体" w:eastAsia="仿宋_GB2312"/>
          <w:sz w:val="32"/>
          <w:szCs w:val="32"/>
          <w:lang w:val="zh-CN"/>
        </w:rPr>
        <w:t>。</w:t>
      </w:r>
    </w:p>
    <w:p>
      <w:pPr>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 w:hAnsi="仿宋" w:eastAsia="仿宋"/>
          <w:b/>
          <w:sz w:val="32"/>
          <w:szCs w:val="32"/>
          <w:lang w:val="zh-CN"/>
        </w:rPr>
      </w:pPr>
      <w:r>
        <w:rPr>
          <w:rFonts w:hint="eastAsia" w:ascii="仿宋" w:hAnsi="仿宋" w:eastAsia="仿宋"/>
          <w:b/>
          <w:sz w:val="32"/>
          <w:szCs w:val="32"/>
          <w:lang w:val="zh-CN"/>
        </w:rPr>
        <w:t>（二）存在的问题。</w:t>
      </w:r>
    </w:p>
    <w:p>
      <w:pPr>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ascii="仿宋_GB2312" w:hAnsi="Calibri" w:eastAsia="仿宋_GB2312" w:cs="仿宋"/>
          <w:kern w:val="0"/>
          <w:sz w:val="32"/>
          <w:szCs w:val="32"/>
          <w:lang w:val="zh-CN"/>
        </w:rPr>
      </w:pPr>
      <w:r>
        <w:rPr>
          <w:rFonts w:hint="eastAsia" w:ascii="仿宋" w:hAnsi="仿宋" w:eastAsia="仿宋" w:cs="仿宋"/>
          <w:sz w:val="32"/>
          <w:szCs w:val="32"/>
        </w:rPr>
        <w:t>预算编制精确度有待进一步提高，对各类资金的管理还存在不完善的问题，制度建设不完善。</w:t>
      </w:r>
      <w:r>
        <w:rPr>
          <w:rFonts w:hint="eastAsia" w:ascii="仿宋_GB2312" w:hAnsi="Calibri" w:eastAsia="仿宋_GB2312" w:cs="仿宋"/>
          <w:kern w:val="0"/>
          <w:sz w:val="32"/>
          <w:szCs w:val="32"/>
          <w:lang w:val="zh-CN"/>
        </w:rPr>
        <w:tab/>
      </w:r>
    </w:p>
    <w:p>
      <w:pPr>
        <w:pageBreakBefore w:val="0"/>
        <w:widowControl/>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ascii="仿宋" w:hAnsi="仿宋" w:eastAsia="仿宋"/>
          <w:b/>
          <w:sz w:val="32"/>
          <w:szCs w:val="32"/>
          <w:lang w:val="zh-CN"/>
        </w:rPr>
      </w:pPr>
      <w:r>
        <w:rPr>
          <w:rFonts w:hint="eastAsia" w:ascii="仿宋" w:hAnsi="仿宋" w:eastAsia="仿宋"/>
          <w:b/>
          <w:sz w:val="32"/>
          <w:szCs w:val="32"/>
          <w:lang w:val="zh-CN"/>
        </w:rPr>
        <w:t>（三）相关建议。</w:t>
      </w:r>
    </w:p>
    <w:p>
      <w:pPr>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Style w:val="28"/>
          <w:rFonts w:hint="eastAsia" w:ascii="仿宋_GB2312" w:hAnsi="Calibri" w:eastAsia="仿宋_GB2312" w:cs="仿宋"/>
          <w:b w:val="0"/>
          <w:bCs w:val="0"/>
          <w:kern w:val="0"/>
          <w:sz w:val="32"/>
          <w:szCs w:val="32"/>
          <w:lang w:val="zh-CN"/>
        </w:rPr>
      </w:pPr>
      <w:r>
        <w:rPr>
          <w:rFonts w:hint="eastAsia" w:ascii="仿宋" w:hAnsi="仿宋" w:eastAsia="仿宋" w:cs="仿宋"/>
          <w:sz w:val="32"/>
          <w:szCs w:val="32"/>
        </w:rPr>
        <w:t>优化预算编制，加强预算执行。合理安排预算支出计划，优化资金支出结构，强化资金统筹和绩效管理，确保工作有效开展</w:t>
      </w:r>
      <w:r>
        <w:rPr>
          <w:rFonts w:hint="eastAsia" w:ascii="仿宋_GB2312" w:hAnsi="Calibri" w:eastAsia="仿宋_GB2312" w:cs="仿宋"/>
          <w:kern w:val="0"/>
          <w:sz w:val="32"/>
          <w:szCs w:val="32"/>
          <w:lang w:val="zh-CN"/>
        </w:rPr>
        <w:t>。</w:t>
      </w:r>
    </w:p>
    <w:p>
      <w:pPr>
        <w:pStyle w:val="2"/>
        <w:ind w:left="420"/>
      </w:pPr>
    </w:p>
    <w:p>
      <w:pPr>
        <w:rPr>
          <w:rFonts w:hint="eastAsia" w:ascii="黑体" w:hAnsi="黑体" w:eastAsia="黑体"/>
          <w:sz w:val="44"/>
          <w:szCs w:val="44"/>
        </w:rPr>
      </w:pPr>
      <w:bookmarkStart w:id="231" w:name="_Toc15396618"/>
      <w:r>
        <w:rPr>
          <w:rFonts w:hint="eastAsia" w:ascii="黑体" w:hAnsi="黑体" w:eastAsia="黑体"/>
          <w:sz w:val="44"/>
          <w:szCs w:val="44"/>
        </w:rPr>
        <w:br w:type="page"/>
      </w:r>
    </w:p>
    <w:p>
      <w:pPr>
        <w:spacing w:line="600" w:lineRule="exact"/>
        <w:jc w:val="center"/>
        <w:outlineLvl w:val="0"/>
        <w:rPr>
          <w:rFonts w:ascii="仿宋" w:hAnsi="仿宋" w:eastAsia="仿宋"/>
        </w:rPr>
      </w:pPr>
      <w:bookmarkStart w:id="232" w:name="_Toc4103"/>
      <w:r>
        <w:rPr>
          <w:rFonts w:hint="eastAsia" w:ascii="黑体" w:hAnsi="黑体" w:eastAsia="黑体"/>
          <w:sz w:val="44"/>
          <w:szCs w:val="44"/>
        </w:rPr>
        <w:t>第</w:t>
      </w:r>
      <w:r>
        <w:rPr>
          <w:rStyle w:val="28"/>
          <w:rFonts w:hint="eastAsia" w:ascii="黑体" w:hAnsi="黑体" w:eastAsia="黑体"/>
          <w:b w:val="0"/>
        </w:rPr>
        <w:t>五部分 附表</w:t>
      </w:r>
      <w:bookmarkEnd w:id="105"/>
      <w:bookmarkEnd w:id="231"/>
      <w:bookmarkEnd w:id="232"/>
      <w:bookmarkStart w:id="233" w:name="_Toc15396619"/>
    </w:p>
    <w:p>
      <w:pPr>
        <w:pStyle w:val="5"/>
        <w:rPr>
          <w:rFonts w:ascii="仿宋" w:hAnsi="仿宋" w:eastAsia="仿宋"/>
        </w:rPr>
      </w:pPr>
      <w:bookmarkStart w:id="234" w:name="_Toc1153"/>
      <w:r>
        <w:rPr>
          <w:rFonts w:hint="eastAsia" w:ascii="仿宋" w:hAnsi="仿宋" w:eastAsia="仿宋"/>
          <w:b w:val="0"/>
        </w:rPr>
        <w:t>一、收</w:t>
      </w:r>
      <w:r>
        <w:rPr>
          <w:rStyle w:val="29"/>
          <w:rFonts w:hint="eastAsia" w:ascii="仿宋" w:hAnsi="仿宋" w:eastAsia="仿宋"/>
          <w:b w:val="0"/>
          <w:bCs w:val="0"/>
        </w:rPr>
        <w:t>入支出决算总表</w:t>
      </w:r>
      <w:bookmarkEnd w:id="233"/>
      <w:bookmarkEnd w:id="234"/>
    </w:p>
    <w:p>
      <w:pPr>
        <w:pStyle w:val="5"/>
        <w:rPr>
          <w:rFonts w:ascii="仿宋" w:hAnsi="仿宋" w:eastAsia="仿宋"/>
        </w:rPr>
      </w:pPr>
      <w:bookmarkStart w:id="235" w:name="_Toc15396620"/>
      <w:bookmarkStart w:id="236" w:name="_Toc5908"/>
      <w:r>
        <w:rPr>
          <w:rFonts w:hint="eastAsia" w:ascii="仿宋" w:hAnsi="仿宋" w:eastAsia="仿宋"/>
          <w:b w:val="0"/>
        </w:rPr>
        <w:t>二、收</w:t>
      </w:r>
      <w:r>
        <w:rPr>
          <w:rStyle w:val="29"/>
          <w:rFonts w:hint="eastAsia" w:ascii="仿宋" w:hAnsi="仿宋" w:eastAsia="仿宋"/>
          <w:b w:val="0"/>
          <w:bCs w:val="0"/>
        </w:rPr>
        <w:t>入决算表</w:t>
      </w:r>
      <w:bookmarkEnd w:id="235"/>
      <w:bookmarkEnd w:id="236"/>
    </w:p>
    <w:p>
      <w:pPr>
        <w:pStyle w:val="5"/>
        <w:rPr>
          <w:rFonts w:ascii="仿宋" w:hAnsi="仿宋" w:eastAsia="仿宋"/>
        </w:rPr>
      </w:pPr>
      <w:bookmarkStart w:id="237" w:name="_Toc15396621"/>
      <w:bookmarkStart w:id="238" w:name="_Toc11334"/>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237"/>
      <w:bookmarkEnd w:id="238"/>
    </w:p>
    <w:p>
      <w:pPr>
        <w:pStyle w:val="5"/>
        <w:rPr>
          <w:rFonts w:ascii="仿宋" w:hAnsi="仿宋" w:eastAsia="仿宋"/>
          <w:b w:val="0"/>
        </w:rPr>
      </w:pPr>
      <w:bookmarkStart w:id="239" w:name="_Toc15396622"/>
      <w:bookmarkStart w:id="240" w:name="_Toc28454"/>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239"/>
      <w:bookmarkEnd w:id="240"/>
    </w:p>
    <w:p>
      <w:pPr>
        <w:pStyle w:val="5"/>
        <w:rPr>
          <w:rStyle w:val="29"/>
          <w:rFonts w:ascii="仿宋" w:hAnsi="仿宋" w:eastAsia="仿宋"/>
          <w:b w:val="0"/>
          <w:bCs w:val="0"/>
        </w:rPr>
      </w:pPr>
      <w:bookmarkStart w:id="241" w:name="_Toc9106"/>
      <w:bookmarkStart w:id="242" w:name="_Toc15396623"/>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241"/>
      <w:bookmarkEnd w:id="242"/>
      <w:bookmarkStart w:id="243" w:name="_Toc15396624"/>
    </w:p>
    <w:p>
      <w:pPr>
        <w:pStyle w:val="5"/>
        <w:rPr>
          <w:rFonts w:ascii="仿宋" w:hAnsi="仿宋" w:eastAsia="仿宋"/>
        </w:rPr>
      </w:pPr>
      <w:bookmarkStart w:id="244" w:name="_Toc16854"/>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243"/>
      <w:bookmarkEnd w:id="244"/>
    </w:p>
    <w:p>
      <w:pPr>
        <w:pStyle w:val="5"/>
        <w:rPr>
          <w:rFonts w:ascii="仿宋" w:hAnsi="仿宋" w:eastAsia="仿宋"/>
        </w:rPr>
      </w:pPr>
      <w:bookmarkStart w:id="245" w:name="_Toc15396625"/>
      <w:bookmarkStart w:id="246" w:name="_Toc23647"/>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245"/>
      <w:bookmarkEnd w:id="246"/>
    </w:p>
    <w:p>
      <w:pPr>
        <w:pStyle w:val="5"/>
        <w:rPr>
          <w:rFonts w:ascii="仿宋" w:hAnsi="仿宋" w:eastAsia="仿宋"/>
        </w:rPr>
      </w:pPr>
      <w:bookmarkStart w:id="247" w:name="_Toc15396626"/>
      <w:bookmarkStart w:id="248" w:name="_Toc29943"/>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247"/>
      <w:bookmarkEnd w:id="248"/>
    </w:p>
    <w:p>
      <w:pPr>
        <w:pStyle w:val="5"/>
        <w:rPr>
          <w:rFonts w:ascii="仿宋" w:hAnsi="仿宋" w:eastAsia="仿宋"/>
        </w:rPr>
      </w:pPr>
      <w:bookmarkStart w:id="249" w:name="_Toc15396627"/>
      <w:bookmarkStart w:id="250" w:name="_Toc23044"/>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249"/>
      <w:bookmarkEnd w:id="250"/>
    </w:p>
    <w:p>
      <w:pPr>
        <w:pStyle w:val="5"/>
        <w:rPr>
          <w:rFonts w:ascii="仿宋" w:hAnsi="仿宋" w:eastAsia="仿宋"/>
        </w:rPr>
      </w:pPr>
      <w:bookmarkStart w:id="251" w:name="_Toc15396628"/>
      <w:bookmarkStart w:id="252" w:name="_Toc10249"/>
      <w:r>
        <w:rPr>
          <w:rStyle w:val="29"/>
          <w:rFonts w:hint="eastAsia" w:ascii="仿宋" w:hAnsi="仿宋" w:eastAsia="仿宋"/>
          <w:b w:val="0"/>
          <w:bCs w:val="0"/>
        </w:rPr>
        <w:t>十、</w:t>
      </w:r>
      <w:bookmarkEnd w:id="251"/>
      <w:r>
        <w:rPr>
          <w:rFonts w:hint="eastAsia" w:ascii="仿宋" w:hAnsi="仿宋" w:eastAsia="仿宋"/>
          <w:b w:val="0"/>
        </w:rPr>
        <w:t>政</w:t>
      </w:r>
      <w:r>
        <w:rPr>
          <w:rStyle w:val="29"/>
          <w:rFonts w:hint="eastAsia" w:ascii="仿宋" w:hAnsi="仿宋" w:eastAsia="仿宋"/>
          <w:b w:val="0"/>
          <w:bCs w:val="0"/>
        </w:rPr>
        <w:t>府性基金预算财政拨款收入支出决算表</w:t>
      </w:r>
      <w:bookmarkEnd w:id="252"/>
    </w:p>
    <w:p>
      <w:pPr>
        <w:pStyle w:val="5"/>
        <w:rPr>
          <w:rFonts w:ascii="仿宋" w:hAnsi="仿宋" w:eastAsia="仿宋"/>
        </w:rPr>
      </w:pPr>
      <w:bookmarkStart w:id="253" w:name="_Toc15396629"/>
      <w:bookmarkStart w:id="254" w:name="_Toc26983"/>
      <w:r>
        <w:rPr>
          <w:rStyle w:val="29"/>
          <w:rFonts w:hint="eastAsia" w:ascii="仿宋" w:hAnsi="仿宋" w:eastAsia="仿宋"/>
          <w:b w:val="0"/>
          <w:bCs w:val="0"/>
        </w:rPr>
        <w:t>十一、</w:t>
      </w:r>
      <w:bookmarkEnd w:id="253"/>
      <w:r>
        <w:rPr>
          <w:rFonts w:hint="eastAsia" w:ascii="仿宋" w:hAnsi="仿宋" w:eastAsia="仿宋"/>
          <w:b w:val="0"/>
        </w:rPr>
        <w:t>国</w:t>
      </w:r>
      <w:r>
        <w:rPr>
          <w:rStyle w:val="29"/>
          <w:rFonts w:hint="eastAsia" w:ascii="仿宋" w:hAnsi="仿宋" w:eastAsia="仿宋"/>
          <w:b w:val="0"/>
          <w:bCs w:val="0"/>
        </w:rPr>
        <w:t>有资本经营预算财政拨款收入支出决算表</w:t>
      </w:r>
      <w:bookmarkEnd w:id="254"/>
    </w:p>
    <w:p>
      <w:pPr>
        <w:pStyle w:val="5"/>
        <w:rPr>
          <w:rFonts w:ascii="仿宋" w:hAnsi="仿宋" w:eastAsia="仿宋"/>
        </w:rPr>
      </w:pPr>
      <w:bookmarkStart w:id="255" w:name="_Toc15396630"/>
      <w:bookmarkStart w:id="256" w:name="_Toc31291"/>
      <w:r>
        <w:rPr>
          <w:rStyle w:val="29"/>
          <w:rFonts w:hint="eastAsia" w:ascii="仿宋" w:hAnsi="仿宋" w:eastAsia="仿宋"/>
          <w:b w:val="0"/>
          <w:bCs w:val="0"/>
        </w:rPr>
        <w:t>十二、</w:t>
      </w:r>
      <w:bookmarkEnd w:id="255"/>
      <w:r>
        <w:rPr>
          <w:rStyle w:val="29"/>
          <w:rFonts w:hint="eastAsia" w:ascii="仿宋" w:hAnsi="仿宋" w:eastAsia="仿宋"/>
          <w:b w:val="0"/>
          <w:bCs w:val="0"/>
        </w:rPr>
        <w:t>国有资本经营预算财政拨款支出决算表</w:t>
      </w:r>
      <w:bookmarkEnd w:id="256"/>
    </w:p>
    <w:p>
      <w:pPr>
        <w:pStyle w:val="5"/>
        <w:rPr>
          <w:rFonts w:eastAsia="仿宋"/>
        </w:rPr>
      </w:pPr>
      <w:bookmarkStart w:id="257" w:name="_Toc15396631"/>
      <w:bookmarkStart w:id="258" w:name="_Toc874"/>
      <w:r>
        <w:rPr>
          <w:rStyle w:val="29"/>
          <w:rFonts w:hint="eastAsia" w:ascii="仿宋" w:hAnsi="仿宋" w:eastAsia="仿宋"/>
          <w:b w:val="0"/>
          <w:bCs w:val="0"/>
        </w:rPr>
        <w:t>十三、</w:t>
      </w:r>
      <w:bookmarkEnd w:id="257"/>
      <w:r>
        <w:rPr>
          <w:rStyle w:val="29"/>
          <w:rFonts w:hint="eastAsia" w:ascii="仿宋" w:hAnsi="仿宋" w:eastAsia="仿宋"/>
          <w:b w:val="0"/>
          <w:bCs w:val="0"/>
        </w:rPr>
        <w:t>财政拨款“三公”经费支出决算表</w:t>
      </w:r>
      <w:bookmarkEnd w:id="258"/>
    </w:p>
    <w:sectPr>
      <w:headerReference r:id="rId3" w:type="default"/>
      <w:footerReference r:id="rId5" w:type="default"/>
      <w:headerReference r:id="rId4" w:type="even"/>
      <w:footerReference r:id="rId6" w:type="even"/>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99411099"/>
                            <w:docPartObj>
                              <w:docPartGallery w:val="autotext"/>
                            </w:docPartObj>
                          </w:sdtPr>
                          <w:sdtContent>
                            <w:p>
                              <w:pPr>
                                <w:pStyle w:val="11"/>
                              </w:pPr>
                              <w:r>
                                <w:fldChar w:fldCharType="begin"/>
                              </w:r>
                              <w:r>
                                <w:instrText xml:space="preserve">PAGE   \* MERGEFORMAT</w:instrText>
                              </w:r>
                              <w:r>
                                <w:fldChar w:fldCharType="separate"/>
                              </w:r>
                              <w:r>
                                <w:rPr>
                                  <w:lang w:val="zh-CN"/>
                                </w:rPr>
                                <w:t>2</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399411099"/>
                      <w:docPartObj>
                        <w:docPartGallery w:val="autotext"/>
                      </w:docPartObj>
                    </w:sdtPr>
                    <w:sdtContent>
                      <w:p>
                        <w:pPr>
                          <w:pStyle w:val="11"/>
                        </w:pPr>
                        <w:r>
                          <w:fldChar w:fldCharType="begin"/>
                        </w:r>
                        <w:r>
                          <w:instrText xml:space="preserve">PAGE   \* MERGEFORMAT</w:instrText>
                        </w:r>
                        <w:r>
                          <w:fldChar w:fldCharType="separate"/>
                        </w:r>
                        <w:r>
                          <w:rPr>
                            <w:lang w:val="zh-CN"/>
                          </w:rPr>
                          <w:t>2</w:t>
                        </w:r>
                        <w:r>
                          <w:fldChar w:fldCharType="end"/>
                        </w:r>
                      </w:p>
                    </w:sdtContent>
                  </w:sdt>
                  <w:p>
                    <w:pPr>
                      <w:pStyle w:val="2"/>
                    </w:pPr>
                  </w:p>
                </w:txbxContent>
              </v:textbox>
            </v:shape>
          </w:pict>
        </mc:Fallback>
      </mc:AlternateContent>
    </w:r>
    <w:r>
      <w:rPr>
        <w:rFonts w:hint="eastAsia"/>
        <w:lang w:val="en-US" w:eastAsia="zh-CN"/>
      </w:rPr>
      <w:t xml:space="preserve">    </w: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10F736"/>
    <w:multiLevelType w:val="singleLevel"/>
    <w:tmpl w:val="B810F736"/>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F5D877CF"/>
    <w:multiLevelType w:val="singleLevel"/>
    <w:tmpl w:val="F5D877CF"/>
    <w:lvl w:ilvl="0" w:tentative="0">
      <w:start w:val="1"/>
      <w:numFmt w:val="chineseCounting"/>
      <w:suff w:val="nothing"/>
      <w:lvlText w:val="（%1）"/>
      <w:lvlJc w:val="left"/>
      <w:pPr>
        <w:ind w:left="617"/>
      </w:pPr>
      <w:rPr>
        <w:rFonts w:hint="eastAsia"/>
      </w:rPr>
    </w:lvl>
  </w:abstractNum>
  <w:abstractNum w:abstractNumId="4">
    <w:nsid w:val="4A1B27BA"/>
    <w:multiLevelType w:val="singleLevel"/>
    <w:tmpl w:val="4A1B27BA"/>
    <w:lvl w:ilvl="0" w:tentative="0">
      <w:start w:val="1"/>
      <w:numFmt w:val="decimal"/>
      <w:pStyle w:val="7"/>
      <w:lvlText w:val="%1."/>
      <w:lvlJc w:val="left"/>
      <w:pPr>
        <w:tabs>
          <w:tab w:val="left" w:pos="360"/>
        </w:tabs>
        <w:ind w:left="360" w:hanging="360"/>
      </w:pPr>
    </w:lvl>
  </w:abstractNum>
  <w:abstractNum w:abstractNumId="5">
    <w:nsid w:val="5461B624"/>
    <w:multiLevelType w:val="singleLevel"/>
    <w:tmpl w:val="5461B624"/>
    <w:lvl w:ilvl="0" w:tentative="0">
      <w:start w:val="2"/>
      <w:numFmt w:val="chineseCounting"/>
      <w:suff w:val="nothing"/>
      <w:lvlText w:val="（%1）"/>
      <w:lvlJc w:val="left"/>
      <w:rPr>
        <w:rFonts w:hint="eastAsia"/>
      </w:rPr>
    </w:lvl>
  </w:abstractNum>
  <w:abstractNum w:abstractNumId="6">
    <w:nsid w:val="674F1A9D"/>
    <w:multiLevelType w:val="singleLevel"/>
    <w:tmpl w:val="674F1A9D"/>
    <w:lvl w:ilvl="0" w:tentative="0">
      <w:start w:val="2"/>
      <w:numFmt w:val="decimal"/>
      <w:lvlText w:val="%1."/>
      <w:lvlJc w:val="left"/>
      <w:pPr>
        <w:tabs>
          <w:tab w:val="left" w:pos="312"/>
        </w:tabs>
        <w:ind w:left="1577" w:firstLine="0"/>
      </w:pPr>
    </w:lvl>
  </w:abstractNum>
  <w:num w:numId="1">
    <w:abstractNumId w:val="4"/>
  </w:num>
  <w:num w:numId="2">
    <w:abstractNumId w:val="1"/>
  </w:num>
  <w:num w:numId="3">
    <w:abstractNumId w:val="2"/>
  </w:num>
  <w:num w:numId="4">
    <w:abstractNumId w:val="5"/>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lhMzBhNTM2ZWY1ZWZkYmQyMTIwYjlkZWViZjc2NzA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244C6"/>
    <w:rsid w:val="00142216"/>
    <w:rsid w:val="00144D6A"/>
    <w:rsid w:val="00147103"/>
    <w:rsid w:val="0014729F"/>
    <w:rsid w:val="00157BAB"/>
    <w:rsid w:val="001654D1"/>
    <w:rsid w:val="00174518"/>
    <w:rsid w:val="0018106D"/>
    <w:rsid w:val="001877A7"/>
    <w:rsid w:val="00191536"/>
    <w:rsid w:val="00196687"/>
    <w:rsid w:val="001A57A7"/>
    <w:rsid w:val="001C0962"/>
    <w:rsid w:val="001D7531"/>
    <w:rsid w:val="001E6E32"/>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0F01"/>
    <w:rsid w:val="00294DC9"/>
    <w:rsid w:val="00295495"/>
    <w:rsid w:val="002A31DE"/>
    <w:rsid w:val="002A6BD6"/>
    <w:rsid w:val="002B2613"/>
    <w:rsid w:val="002D6D05"/>
    <w:rsid w:val="002F1818"/>
    <w:rsid w:val="002F4EB8"/>
    <w:rsid w:val="002F567B"/>
    <w:rsid w:val="003216A9"/>
    <w:rsid w:val="00324131"/>
    <w:rsid w:val="00335A74"/>
    <w:rsid w:val="0036561B"/>
    <w:rsid w:val="0037013F"/>
    <w:rsid w:val="00380C92"/>
    <w:rsid w:val="00391658"/>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204A"/>
    <w:rsid w:val="00434489"/>
    <w:rsid w:val="00437085"/>
    <w:rsid w:val="00443880"/>
    <w:rsid w:val="004464F4"/>
    <w:rsid w:val="00471401"/>
    <w:rsid w:val="00473F31"/>
    <w:rsid w:val="0048263A"/>
    <w:rsid w:val="00487E5D"/>
    <w:rsid w:val="004A711F"/>
    <w:rsid w:val="004B199D"/>
    <w:rsid w:val="004B4690"/>
    <w:rsid w:val="004B6D10"/>
    <w:rsid w:val="004E0A2D"/>
    <w:rsid w:val="004E13A8"/>
    <w:rsid w:val="004E206B"/>
    <w:rsid w:val="004E6DF7"/>
    <w:rsid w:val="004F0FBD"/>
    <w:rsid w:val="00505A47"/>
    <w:rsid w:val="00512FDA"/>
    <w:rsid w:val="00520DA0"/>
    <w:rsid w:val="00533D10"/>
    <w:rsid w:val="00560A8D"/>
    <w:rsid w:val="005664BB"/>
    <w:rsid w:val="00566F31"/>
    <w:rsid w:val="00566FFA"/>
    <w:rsid w:val="0057481D"/>
    <w:rsid w:val="0058486E"/>
    <w:rsid w:val="00585B33"/>
    <w:rsid w:val="0059014D"/>
    <w:rsid w:val="005B5C64"/>
    <w:rsid w:val="005C5337"/>
    <w:rsid w:val="005C6BD0"/>
    <w:rsid w:val="005D1C8B"/>
    <w:rsid w:val="005D468D"/>
    <w:rsid w:val="005D5CED"/>
    <w:rsid w:val="005E7185"/>
    <w:rsid w:val="005F1A4C"/>
    <w:rsid w:val="00605688"/>
    <w:rsid w:val="006070AF"/>
    <w:rsid w:val="00607E6C"/>
    <w:rsid w:val="006101B1"/>
    <w:rsid w:val="00614E44"/>
    <w:rsid w:val="0062270A"/>
    <w:rsid w:val="00622830"/>
    <w:rsid w:val="00623DA0"/>
    <w:rsid w:val="00630AEF"/>
    <w:rsid w:val="006325F8"/>
    <w:rsid w:val="00633463"/>
    <w:rsid w:val="00634C9A"/>
    <w:rsid w:val="00640FBF"/>
    <w:rsid w:val="006440E4"/>
    <w:rsid w:val="0066343B"/>
    <w:rsid w:val="00664777"/>
    <w:rsid w:val="006748A4"/>
    <w:rsid w:val="00681A31"/>
    <w:rsid w:val="00683E73"/>
    <w:rsid w:val="006A3141"/>
    <w:rsid w:val="006A5E34"/>
    <w:rsid w:val="006B2422"/>
    <w:rsid w:val="006B2B9A"/>
    <w:rsid w:val="006B5AC4"/>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6BC"/>
    <w:rsid w:val="00900B08"/>
    <w:rsid w:val="00902155"/>
    <w:rsid w:val="00902FA3"/>
    <w:rsid w:val="00923564"/>
    <w:rsid w:val="0092392E"/>
    <w:rsid w:val="009315F9"/>
    <w:rsid w:val="00933499"/>
    <w:rsid w:val="00935C98"/>
    <w:rsid w:val="00946945"/>
    <w:rsid w:val="00951248"/>
    <w:rsid w:val="0095152F"/>
    <w:rsid w:val="009517AD"/>
    <w:rsid w:val="00954C49"/>
    <w:rsid w:val="00955E37"/>
    <w:rsid w:val="00965151"/>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4AB3"/>
    <w:rsid w:val="00A16847"/>
    <w:rsid w:val="00A237D8"/>
    <w:rsid w:val="00A268C4"/>
    <w:rsid w:val="00A307CD"/>
    <w:rsid w:val="00A331C8"/>
    <w:rsid w:val="00A40A00"/>
    <w:rsid w:val="00A4142F"/>
    <w:rsid w:val="00A422EB"/>
    <w:rsid w:val="00A45BB7"/>
    <w:rsid w:val="00A47E33"/>
    <w:rsid w:val="00A56DF2"/>
    <w:rsid w:val="00A56E6E"/>
    <w:rsid w:val="00A67AB5"/>
    <w:rsid w:val="00A733B2"/>
    <w:rsid w:val="00A741C2"/>
    <w:rsid w:val="00A91760"/>
    <w:rsid w:val="00A93B00"/>
    <w:rsid w:val="00A93C21"/>
    <w:rsid w:val="00AA0FD4"/>
    <w:rsid w:val="00AB64C9"/>
    <w:rsid w:val="00AC3C6A"/>
    <w:rsid w:val="00AD48AE"/>
    <w:rsid w:val="00AD5620"/>
    <w:rsid w:val="00AD656B"/>
    <w:rsid w:val="00AD7C1B"/>
    <w:rsid w:val="00AE16BA"/>
    <w:rsid w:val="00AE1EBE"/>
    <w:rsid w:val="00B03C9D"/>
    <w:rsid w:val="00B060AE"/>
    <w:rsid w:val="00B10517"/>
    <w:rsid w:val="00B14E76"/>
    <w:rsid w:val="00B161B8"/>
    <w:rsid w:val="00B16C1D"/>
    <w:rsid w:val="00B2048C"/>
    <w:rsid w:val="00B310B9"/>
    <w:rsid w:val="00B35F3F"/>
    <w:rsid w:val="00B36CBB"/>
    <w:rsid w:val="00B425E0"/>
    <w:rsid w:val="00B440AA"/>
    <w:rsid w:val="00B44B70"/>
    <w:rsid w:val="00B53C56"/>
    <w:rsid w:val="00B57DAF"/>
    <w:rsid w:val="00B77EA6"/>
    <w:rsid w:val="00B81598"/>
    <w:rsid w:val="00B81A63"/>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93C75"/>
    <w:rsid w:val="00CB4E70"/>
    <w:rsid w:val="00CC09B6"/>
    <w:rsid w:val="00CC666F"/>
    <w:rsid w:val="00CD1E3F"/>
    <w:rsid w:val="00CE44F6"/>
    <w:rsid w:val="00CE49DA"/>
    <w:rsid w:val="00CE789E"/>
    <w:rsid w:val="00CE7B61"/>
    <w:rsid w:val="00D00095"/>
    <w:rsid w:val="00D114F0"/>
    <w:rsid w:val="00D20620"/>
    <w:rsid w:val="00D254F7"/>
    <w:rsid w:val="00D26091"/>
    <w:rsid w:val="00D2685C"/>
    <w:rsid w:val="00D34E7C"/>
    <w:rsid w:val="00D35489"/>
    <w:rsid w:val="00D36AFE"/>
    <w:rsid w:val="00D5082F"/>
    <w:rsid w:val="00D51276"/>
    <w:rsid w:val="00D7035F"/>
    <w:rsid w:val="00DA634F"/>
    <w:rsid w:val="00DA65AC"/>
    <w:rsid w:val="00DB1913"/>
    <w:rsid w:val="00DC410D"/>
    <w:rsid w:val="00DC5A81"/>
    <w:rsid w:val="00DC68CA"/>
    <w:rsid w:val="00DC7CBA"/>
    <w:rsid w:val="00DD73B7"/>
    <w:rsid w:val="00DF28BC"/>
    <w:rsid w:val="00DF34B9"/>
    <w:rsid w:val="00DF38EE"/>
    <w:rsid w:val="00DF7B69"/>
    <w:rsid w:val="00E01053"/>
    <w:rsid w:val="00E013C0"/>
    <w:rsid w:val="00E07ACF"/>
    <w:rsid w:val="00E331A1"/>
    <w:rsid w:val="00E33202"/>
    <w:rsid w:val="00E336A9"/>
    <w:rsid w:val="00E35B72"/>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47632"/>
    <w:rsid w:val="00F505BC"/>
    <w:rsid w:val="00F602DF"/>
    <w:rsid w:val="00F754A1"/>
    <w:rsid w:val="00F77F42"/>
    <w:rsid w:val="00F81FD9"/>
    <w:rsid w:val="00F841AA"/>
    <w:rsid w:val="00F84A94"/>
    <w:rsid w:val="00F87E96"/>
    <w:rsid w:val="00FA23E8"/>
    <w:rsid w:val="00FD3CC1"/>
    <w:rsid w:val="00FF1E02"/>
    <w:rsid w:val="00FF30B4"/>
    <w:rsid w:val="015975B8"/>
    <w:rsid w:val="02143E91"/>
    <w:rsid w:val="04E33882"/>
    <w:rsid w:val="066E0107"/>
    <w:rsid w:val="069A65B0"/>
    <w:rsid w:val="07996F6E"/>
    <w:rsid w:val="0A1C1536"/>
    <w:rsid w:val="0A2032A3"/>
    <w:rsid w:val="0AAC240E"/>
    <w:rsid w:val="0B852C60"/>
    <w:rsid w:val="0DBB7526"/>
    <w:rsid w:val="0F841F4D"/>
    <w:rsid w:val="0F98263C"/>
    <w:rsid w:val="101860EC"/>
    <w:rsid w:val="10BF041C"/>
    <w:rsid w:val="10C055FF"/>
    <w:rsid w:val="10FB40F0"/>
    <w:rsid w:val="118107EC"/>
    <w:rsid w:val="13D50BC4"/>
    <w:rsid w:val="14922675"/>
    <w:rsid w:val="16BB723D"/>
    <w:rsid w:val="16F72C63"/>
    <w:rsid w:val="1A330456"/>
    <w:rsid w:val="1BE8440E"/>
    <w:rsid w:val="1C4C3A51"/>
    <w:rsid w:val="1D155CEE"/>
    <w:rsid w:val="1FF35744"/>
    <w:rsid w:val="20BD316F"/>
    <w:rsid w:val="22FF7A6F"/>
    <w:rsid w:val="23860B96"/>
    <w:rsid w:val="240371BF"/>
    <w:rsid w:val="258B383C"/>
    <w:rsid w:val="288822B5"/>
    <w:rsid w:val="29FD04D3"/>
    <w:rsid w:val="2A094D30"/>
    <w:rsid w:val="2C155C0E"/>
    <w:rsid w:val="2C815051"/>
    <w:rsid w:val="2C8A61B5"/>
    <w:rsid w:val="2DF04E50"/>
    <w:rsid w:val="2E114AFB"/>
    <w:rsid w:val="2F040D46"/>
    <w:rsid w:val="2FEB24C5"/>
    <w:rsid w:val="31745184"/>
    <w:rsid w:val="319F7F4E"/>
    <w:rsid w:val="3304709D"/>
    <w:rsid w:val="36AA5135"/>
    <w:rsid w:val="376D39B2"/>
    <w:rsid w:val="37E16F03"/>
    <w:rsid w:val="38044D88"/>
    <w:rsid w:val="386A68D5"/>
    <w:rsid w:val="38D469F0"/>
    <w:rsid w:val="391E1E7A"/>
    <w:rsid w:val="3D98207C"/>
    <w:rsid w:val="3E2919ED"/>
    <w:rsid w:val="3E78745D"/>
    <w:rsid w:val="40FA4E7B"/>
    <w:rsid w:val="4226071D"/>
    <w:rsid w:val="44A678F3"/>
    <w:rsid w:val="44E268DA"/>
    <w:rsid w:val="48D24C1A"/>
    <w:rsid w:val="4A627F82"/>
    <w:rsid w:val="4B0E749A"/>
    <w:rsid w:val="4B4F25DA"/>
    <w:rsid w:val="4BE068DB"/>
    <w:rsid w:val="4D196FC1"/>
    <w:rsid w:val="4D577224"/>
    <w:rsid w:val="4EAB630A"/>
    <w:rsid w:val="4ECE2238"/>
    <w:rsid w:val="507C775A"/>
    <w:rsid w:val="51EE6435"/>
    <w:rsid w:val="5285323E"/>
    <w:rsid w:val="537E6D0A"/>
    <w:rsid w:val="552A3C28"/>
    <w:rsid w:val="556F5ADF"/>
    <w:rsid w:val="55A41C2D"/>
    <w:rsid w:val="572C5988"/>
    <w:rsid w:val="573214BA"/>
    <w:rsid w:val="5AF92295"/>
    <w:rsid w:val="5CD71FC4"/>
    <w:rsid w:val="5D8149FA"/>
    <w:rsid w:val="6094289E"/>
    <w:rsid w:val="61C80A51"/>
    <w:rsid w:val="65982E30"/>
    <w:rsid w:val="660109D5"/>
    <w:rsid w:val="6C4A05C8"/>
    <w:rsid w:val="6D323B6A"/>
    <w:rsid w:val="6E7E3605"/>
    <w:rsid w:val="6EE113A4"/>
    <w:rsid w:val="6FF5CC65"/>
    <w:rsid w:val="715C0E4B"/>
    <w:rsid w:val="72734D90"/>
    <w:rsid w:val="73243F55"/>
    <w:rsid w:val="73AD73D5"/>
    <w:rsid w:val="73B6EB34"/>
    <w:rsid w:val="744731E5"/>
    <w:rsid w:val="76E3355F"/>
    <w:rsid w:val="77135325"/>
    <w:rsid w:val="778769C8"/>
    <w:rsid w:val="79EE5BA4"/>
    <w:rsid w:val="7A894339"/>
    <w:rsid w:val="7A97325F"/>
    <w:rsid w:val="7CB4634A"/>
    <w:rsid w:val="7EEF11D3"/>
    <w:rsid w:val="7FA30C79"/>
    <w:rsid w:val="7FB14DC3"/>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after="120"/>
      <w:ind w:left="200" w:leftChars="200"/>
    </w:pPr>
    <w:rPr>
      <w:rFonts w:ascii="仿宋_GB2312"/>
      <w:szCs w:val="32"/>
    </w:rPr>
  </w:style>
  <w:style w:type="paragraph" w:styleId="7">
    <w:name w:val="List Number"/>
    <w:basedOn w:val="1"/>
    <w:semiHidden/>
    <w:unhideWhenUsed/>
    <w:qFormat/>
    <w:uiPriority w:val="99"/>
    <w:pPr>
      <w:numPr>
        <w:ilvl w:val="0"/>
        <w:numId w:val="1"/>
      </w:numPr>
    </w:p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字符"/>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字符"/>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字符"/>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6"/>
    <w:link w:val="4"/>
    <w:qFormat/>
    <w:uiPriority w:val="9"/>
    <w:rPr>
      <w:rFonts w:ascii="Times New Roman" w:hAnsi="Times New Roman"/>
      <w:b/>
      <w:bCs/>
      <w:kern w:val="44"/>
      <w:sz w:val="44"/>
      <w:szCs w:val="44"/>
    </w:rPr>
  </w:style>
  <w:style w:type="character" w:customStyle="1" w:styleId="29">
    <w:name w:val="标题 2 字符"/>
    <w:basedOn w:val="16"/>
    <w:link w:val="5"/>
    <w:qFormat/>
    <w:uiPriority w:val="9"/>
    <w:rPr>
      <w:rFonts w:asciiTheme="majorHAnsi" w:hAnsiTheme="majorHAnsi" w:eastAsiaTheme="majorEastAsia" w:cstheme="majorBidi"/>
      <w:b/>
      <w:bCs/>
      <w:kern w:val="2"/>
      <w:sz w:val="32"/>
      <w:szCs w:val="32"/>
    </w:rPr>
  </w:style>
  <w:style w:type="paragraph" w:customStyle="1" w:styleId="30">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10"/>
    <w:semiHidden/>
    <w:qFormat/>
    <w:uiPriority w:val="99"/>
    <w:rPr>
      <w:rFonts w:ascii="Times New Roman" w:hAnsi="Times New Roman"/>
      <w:kern w:val="2"/>
      <w:sz w:val="18"/>
      <w:szCs w:val="18"/>
    </w:rPr>
  </w:style>
  <w:style w:type="character" w:customStyle="1" w:styleId="32">
    <w:name w:val="标题 3 字符"/>
    <w:basedOn w:val="16"/>
    <w:link w:val="6"/>
    <w:qFormat/>
    <w:uiPriority w:val="9"/>
    <w:rPr>
      <w:rFonts w:ascii="Times New Roman" w:hAnsi="Times New Roman"/>
      <w:b/>
      <w:bCs/>
      <w:kern w:val="2"/>
      <w:sz w:val="32"/>
      <w:szCs w:val="32"/>
    </w:rPr>
  </w:style>
  <w:style w:type="paragraph" w:customStyle="1" w:styleId="33">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paragraph" w:customStyle="1" w:styleId="35">
    <w:name w:val="TOC Heading"/>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6">
    <w:name w:val="WPSOffice手动目录 1"/>
    <w:uiPriority w:val="0"/>
    <w:pPr>
      <w:ind w:leftChars="0"/>
    </w:pPr>
    <w:rPr>
      <w:rFonts w:ascii="Times New Roman" w:hAnsi="Times New Roman" w:eastAsia="宋体" w:cs="Times New Roman"/>
      <w:sz w:val="20"/>
      <w:szCs w:val="20"/>
    </w:rPr>
  </w:style>
  <w:style w:type="paragraph" w:customStyle="1" w:styleId="37">
    <w:name w:val="WPSOffice手动目录 2"/>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defTabSz="914400">
              <a:defRPr lang="zh-CN" sz="1400" b="0" i="0" u="none" strike="noStrike" kern="1200" spc="0" baseline="0">
                <a:solidFill>
                  <a:schemeClr val="tx1">
                    <a:lumMod val="65000"/>
                    <a:lumOff val="35000"/>
                  </a:schemeClr>
                </a:solidFill>
                <a:latin typeface="+mn-lt"/>
                <a:ea typeface="+mn-ea"/>
                <a:cs typeface="+mn-cs"/>
              </a:defRPr>
            </a:pPr>
            <a:r>
              <a:rPr lang="zh-CN" altLang="en-US"/>
              <a:t>收、支决算总计变动情况图</a:t>
            </a:r>
            <a:endParaRPr lang="zh-CN" altLang="en-US"/>
          </a:p>
        </c:rich>
      </c:tx>
      <c:layout>
        <c:manualLayout>
          <c:xMode val="edge"/>
          <c:yMode val="edge"/>
          <c:x val="0.269662950383934"/>
          <c:y val="0.0321305910322331"/>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2022</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Sheet1!$A$2:$A$5</c:f>
              <c:strCache>
                <c:ptCount val="2"/>
                <c:pt idx="0">
                  <c:v>收入</c:v>
                </c:pt>
                <c:pt idx="1">
                  <c:v>支出</c:v>
                </c:pt>
              </c:strCache>
            </c:strRef>
          </c:cat>
          <c:val>
            <c:numRef>
              <c:f>Sheet1!$B$2:$B$5</c:f>
              <c:numCache>
                <c:formatCode>General</c:formatCode>
                <c:ptCount val="2"/>
                <c:pt idx="0">
                  <c:v>1618.12</c:v>
                </c:pt>
                <c:pt idx="1">
                  <c:v>1618.12</c:v>
                </c:pt>
              </c:numCache>
            </c:numRef>
          </c:val>
        </c:ser>
        <c:ser>
          <c:idx val="1"/>
          <c:order val="1"/>
          <c:tx>
            <c:strRef>
              <c:f>Sheet1!$C$1</c:f>
              <c:strCache>
                <c:ptCount val="1"/>
                <c:pt idx="0">
                  <c:v>2021</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Sheet1!$A$2:$A$5</c:f>
              <c:strCache>
                <c:ptCount val="2"/>
                <c:pt idx="0">
                  <c:v>收入</c:v>
                </c:pt>
                <c:pt idx="1">
                  <c:v>支出</c:v>
                </c:pt>
              </c:strCache>
            </c:strRef>
          </c:cat>
          <c:val>
            <c:numRef>
              <c:f>Sheet1!$C$2:$C$5</c:f>
              <c:numCache>
                <c:formatCode>General</c:formatCode>
                <c:ptCount val="2"/>
                <c:pt idx="0">
                  <c:v>1376.53</c:v>
                </c:pt>
                <c:pt idx="1">
                  <c:v>1376.53</c:v>
                </c:pt>
              </c:numCache>
            </c:numRef>
          </c:val>
        </c:ser>
        <c:dLbls>
          <c:showLegendKey val="0"/>
          <c:showVal val="1"/>
          <c:showCatName val="0"/>
          <c:showSerName val="0"/>
          <c:showPercent val="0"/>
          <c:showBubbleSize val="0"/>
        </c:dLbls>
        <c:gapWidth val="219"/>
        <c:overlap val="-27"/>
        <c:axId val="355055515"/>
        <c:axId val="700472549"/>
        <c:extLst>
          <c:ext xmlns:c15="http://schemas.microsoft.com/office/drawing/2012/chart" uri="{02D57815-91ED-43cb-92C2-25804820EDAC}">
            <c15:filteredBarSeries>
              <c15:ser>
                <c:idx val="2"/>
                <c:order val="2"/>
                <c:tx>
                  <c:strRef>
                    <c:extLst>
                      <c:ext uri="{02D57815-91ED-43cb-92C2-25804820EDAC}">
                        <c15:formulaRef>
                          <c15:sqref>Sheet1!$D$1</c15:sqref>
                        </c15:formulaRef>
                      </c:ext>
                    </c:extLst>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Sheet1!$A$2:$A$5</c15:sqref>
                        </c15:formulaRef>
                      </c:ext>
                    </c:extLst>
                    <c:strCache>
                      <c:ptCount val="2"/>
                      <c:pt idx="0">
                        <c:v>收入</c:v>
                      </c:pt>
                      <c:pt idx="1">
                        <c:v>支出</c:v>
                      </c:pt>
                    </c:strCache>
                  </c:strRef>
                </c:cat>
                <c:val>
                  <c:numRef>
                    <c:extLst>
                      <c:ext uri="{02D57815-91ED-43cb-92C2-25804820EDAC}">
                        <c15:formulaRef>
                          <c15:sqref>Sheet1!$D$2:$D$5</c15:sqref>
                        </c15:formulaRef>
                      </c:ext>
                    </c:extLst>
                    <c:numCache>
                      <c:formatCode>General</c:formatCode>
                      <c:ptCount val="2"/>
                    </c:numCache>
                  </c:numRef>
                </c:val>
              </c15:ser>
            </c15:filteredBarSeries>
          </c:ext>
        </c:extLst>
      </c:barChart>
      <c:catAx>
        <c:axId val="3550555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0472549"/>
        <c:crosses val="autoZero"/>
        <c:auto val="1"/>
        <c:lblAlgn val="ctr"/>
        <c:lblOffset val="100"/>
        <c:noMultiLvlLbl val="0"/>
      </c:catAx>
      <c:valAx>
        <c:axId val="700472549"/>
        <c:scaling>
          <c:orientation val="minMax"/>
        </c:scaling>
        <c:delete val="0"/>
        <c:axPos val="l"/>
        <c:majorGridlines>
          <c:spPr>
            <a:ln w="9525" cap="flat" cmpd="sng" algn="ctr">
              <a:solidFill>
                <a:schemeClr val="tx1">
                  <a:lumMod val="15000"/>
                  <a:lumOff val="85000"/>
                </a:schemeClr>
              </a:solidFill>
              <a:round/>
            </a:ln>
            <a:effectLst/>
          </c:spPr>
        </c:majorGridlines>
        <c:numFmt formatCode="#,##0.00_“&quot;万&quot;&quot;元&quot;" sourceLinked="0"/>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505551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manualLayout>
          <c:layoutTarget val="inner"/>
          <c:xMode val="edge"/>
          <c:yMode val="edge"/>
          <c:x val="0.2185"/>
          <c:y val="0.106483309826046"/>
          <c:w val="0.695"/>
          <c:h val="0.926666666666667"/>
        </c:manualLayout>
      </c:layout>
      <c:pieChart>
        <c:varyColors val="1"/>
        <c:ser>
          <c:idx val="0"/>
          <c:order val="0"/>
          <c:tx>
            <c:strRef>
              <c:f>Sheet1!$B$1</c:f>
              <c:strCache>
                <c:ptCount val="1"/>
                <c:pt idx="0">
                  <c:v>收入决算结构图</c:v>
                </c:pt>
              </c:strCache>
            </c:strRef>
          </c:tx>
          <c:explosion val="0"/>
          <c:dPt>
            <c:idx val="0"/>
            <c:bubble3D val="0"/>
          </c:dPt>
          <c:dPt>
            <c:idx val="1"/>
            <c:bubble3D val="0"/>
          </c:dPt>
          <c:dPt>
            <c:idx val="2"/>
            <c:bubble3D val="0"/>
          </c:dPt>
          <c:dLbls>
            <c:dLbl>
              <c:idx val="1"/>
              <c:layout>
                <c:manualLayout>
                  <c:x val="0.395998410589804"/>
                  <c:y val="0.0141488011283499"/>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395376603826615"/>
                  <c:y val="0.016502115655853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inEnd"/>
            <c:showLegendKey val="0"/>
            <c:showVal val="0"/>
            <c:showCatName val="1"/>
            <c:showSerName val="0"/>
            <c:showPercent val="1"/>
            <c:showBubbleSize val="0"/>
            <c:separator>
</c:separator>
            <c:showLeaderLines val="0"/>
            <c:extLst>
              <c:ext xmlns:c15="http://schemas.microsoft.com/office/drawing/2012/chart" uri="{CE6537A1-D6FC-4f65-9D91-7224C49458BB}">
                <c15:layout/>
                <c15:showLeaderLines val="0"/>
                <c15:leaderLines/>
              </c:ext>
            </c:extLst>
          </c:dLbls>
          <c:cat>
            <c:strRef>
              <c:f>Sheet1!$A$2:$A$8</c:f>
              <c:strCache>
                <c:ptCount val="3"/>
                <c:pt idx="0">
                  <c:v>一般公共预算财政拨款收入</c:v>
                </c:pt>
                <c:pt idx="1">
                  <c:v>政府性基金预算财政拨款收入</c:v>
                </c:pt>
                <c:pt idx="2">
                  <c:v>国有资本经营预算财政拨款收入</c:v>
                </c:pt>
              </c:strCache>
            </c:strRef>
          </c:cat>
          <c:val>
            <c:numRef>
              <c:f>Sheet1!$B$2:$B$8</c:f>
              <c:numCache>
                <c:formatCode>#,##0.00_ </c:formatCode>
                <c:ptCount val="3"/>
                <c:pt idx="0">
                  <c:v>1316.85</c:v>
                </c:pt>
                <c:pt idx="1">
                  <c:v>101.27</c:v>
                </c:pt>
                <c:pt idx="2" c:formatCode="General">
                  <c:v>200</c:v>
                </c:pt>
              </c:numCache>
            </c:numRef>
          </c:val>
        </c:ser>
        <c:dLbls>
          <c:showLegendKey val="0"/>
          <c:showVal val="0"/>
          <c:showCatName val="0"/>
          <c:showSerName val="0"/>
          <c:showPercent val="1"/>
          <c:showBubbleSize val="0"/>
          <c:showLeaderLines val="0"/>
        </c:dLbls>
        <c:firstSliceAng val="0"/>
      </c:pieChart>
    </c:plotArea>
    <c:plotVisOnly val="1"/>
    <c:dispBlanksAs val="gap"/>
    <c:showDLblsOverMax val="0"/>
  </c:chart>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numFmt formatCode="#,##0.00_ %"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417.1</c:v>
                </c:pt>
                <c:pt idx="1" c:formatCode="0.00_ ">
                  <c:v>1201.02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defTabSz="914400">
              <a:defRPr lang="zh-CN" sz="1400" b="0" i="0" u="none" strike="noStrike" kern="1200" spc="0" baseline="0">
                <a:solidFill>
                  <a:schemeClr val="tx1">
                    <a:lumMod val="65000"/>
                    <a:lumOff val="35000"/>
                  </a:schemeClr>
                </a:solidFill>
                <a:latin typeface="+mn-lt"/>
                <a:ea typeface="+mn-ea"/>
                <a:cs typeface="+mn-cs"/>
              </a:defRPr>
            </a:pPr>
            <a:r>
              <a:rPr lang="zh-CN" altLang="en-US"/>
              <a:t>收、支决算总计变动情况图</a:t>
            </a:r>
            <a:endParaRPr lang="zh-CN" altLang="en-US"/>
          </a:p>
        </c:rich>
      </c:tx>
      <c:layout>
        <c:manualLayout>
          <c:xMode val="edge"/>
          <c:yMode val="edge"/>
          <c:x val="0.306875"/>
          <c:y val="0.0246666666666667"/>
        </c:manualLayout>
      </c:layout>
      <c:overlay val="0"/>
      <c:spPr>
        <a:noFill/>
        <a:ln>
          <a:noFill/>
        </a:ln>
        <a:effectLst/>
      </c:spPr>
    </c:title>
    <c:autoTitleDeleted val="0"/>
    <c:plotArea>
      <c:layout>
        <c:manualLayout>
          <c:layoutTarget val="inner"/>
          <c:xMode val="edge"/>
          <c:yMode val="edge"/>
          <c:x val="0.0744124700239808"/>
          <c:y val="0.11530612244898"/>
          <c:w val="0.909040767386091"/>
          <c:h val="0.711122448979592"/>
        </c:manualLayout>
      </c:layout>
      <c:barChart>
        <c:barDir val="col"/>
        <c:grouping val="clustered"/>
        <c:varyColors val="0"/>
        <c:ser>
          <c:idx val="0"/>
          <c:order val="0"/>
          <c:tx>
            <c:strRef>
              <c:f>Sheet1!$B$1</c:f>
              <c:strCache>
                <c:ptCount val="1"/>
                <c:pt idx="0">
                  <c:v>2022</c:v>
                </c:pt>
              </c:strCache>
            </c:strRef>
          </c:tx>
          <c:spPr>
            <a:solidFill>
              <a:schemeClr val="accent1"/>
            </a:solidFill>
            <a:ln>
              <a:noFill/>
            </a:ln>
            <a:effectLst/>
          </c:spPr>
          <c:invertIfNegative val="0"/>
          <c:dLbls>
            <c:delete val="1"/>
          </c:dLbls>
          <c:cat>
            <c:strRef>
              <c:f>Sheet1!$A$2:$A$5</c:f>
              <c:strCache>
                <c:ptCount val="2"/>
                <c:pt idx="0">
                  <c:v>收入</c:v>
                </c:pt>
                <c:pt idx="1">
                  <c:v>支出</c:v>
                </c:pt>
              </c:strCache>
            </c:strRef>
          </c:cat>
          <c:val>
            <c:numRef>
              <c:f>Sheet1!$B$2:$B$5</c:f>
              <c:numCache>
                <c:formatCode>General</c:formatCode>
                <c:ptCount val="4"/>
                <c:pt idx="0">
                  <c:v>1618.12</c:v>
                </c:pt>
                <c:pt idx="1">
                  <c:v>1618.12</c:v>
                </c:pt>
              </c:numCache>
            </c:numRef>
          </c:val>
        </c:ser>
        <c:ser>
          <c:idx val="1"/>
          <c:order val="1"/>
          <c:tx>
            <c:strRef>
              <c:f>Sheet1!$C$1</c:f>
              <c:strCache>
                <c:ptCount val="1"/>
                <c:pt idx="0">
                  <c:v>2021</c:v>
                </c:pt>
              </c:strCache>
            </c:strRef>
          </c:tx>
          <c:spPr>
            <a:solidFill>
              <a:schemeClr val="accent2"/>
            </a:solidFill>
            <a:ln>
              <a:noFill/>
            </a:ln>
            <a:effectLst/>
          </c:spPr>
          <c:invertIfNegative val="0"/>
          <c:dLbls>
            <c:delete val="1"/>
          </c:dLbls>
          <c:cat>
            <c:strRef>
              <c:f>Sheet1!$A$2:$A$5</c:f>
              <c:strCache>
                <c:ptCount val="2"/>
                <c:pt idx="0">
                  <c:v>收入</c:v>
                </c:pt>
                <c:pt idx="1">
                  <c:v>支出</c:v>
                </c:pt>
              </c:strCache>
            </c:strRef>
          </c:cat>
          <c:val>
            <c:numRef>
              <c:f>Sheet1!$C$2:$C$5</c:f>
              <c:numCache>
                <c:formatCode>General</c:formatCode>
                <c:ptCount val="4"/>
                <c:pt idx="0">
                  <c:v>1368.53</c:v>
                </c:pt>
                <c:pt idx="1">
                  <c:v>1368.53</c:v>
                </c:pt>
              </c:numCache>
            </c:numRef>
          </c:val>
        </c:ser>
        <c:dLbls>
          <c:showLegendKey val="0"/>
          <c:showVal val="1"/>
          <c:showCatName val="0"/>
          <c:showSerName val="0"/>
          <c:showPercent val="0"/>
          <c:showBubbleSize val="0"/>
        </c:dLbls>
        <c:gapWidth val="219"/>
        <c:overlap val="-27"/>
        <c:axId val="355055515"/>
        <c:axId val="700472549"/>
        <c:extLst>
          <c:ext xmlns:c15="http://schemas.microsoft.com/office/drawing/2012/chart" uri="{02D57815-91ED-43cb-92C2-25804820EDAC}">
            <c15:filteredBarSeries>
              <c15:ser>
                <c:idx val="2"/>
                <c:order val="2"/>
                <c:tx>
                  <c:strRef>
                    <c:extLst>
                      <c:ext uri="{02D57815-91ED-43cb-92C2-25804820EDAC}">
                        <c15:formulaRef>
                          <c15:sqref>Sheet1!$D$1</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
                        </c15:fullRef>
                        <c15:formulaRef>
                          <c15:sqref>Sheet1!$A$2:$A$5</c15:sqref>
                        </c15:formulaRef>
                      </c:ext>
                    </c:extLst>
                    <c:strCache>
                      <c:ptCount val="2"/>
                      <c:pt idx="0">
                        <c:v>收入</c:v>
                      </c:pt>
                      <c:pt idx="1">
                        <c:v>支出</c:v>
                      </c:pt>
                    </c:strCache>
                  </c:strRef>
                </c:cat>
                <c:val>
                  <c:numRef>
                    <c:extLst>
                      <c:ext uri="{02D57815-91ED-43cb-92C2-25804820EDAC}">
                        <c15:formulaRef>
                          <c15:sqref>Sheet1!$D$2:$D$5</c15:sqref>
                        </c15:formulaRef>
                      </c:ext>
                    </c:extLst>
                    <c:numCache>
                      <c:formatCode>General</c:formatCode>
                      <c:ptCount val="4"/>
                    </c:numCache>
                  </c:numRef>
                </c:val>
              </c15:ser>
            </c15:filteredBarSeries>
          </c:ext>
        </c:extLst>
      </c:barChart>
      <c:catAx>
        <c:axId val="3550555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0472549"/>
        <c:crosses val="autoZero"/>
        <c:auto val="1"/>
        <c:lblAlgn val="ctr"/>
        <c:lblOffset val="100"/>
        <c:noMultiLvlLbl val="0"/>
      </c:catAx>
      <c:valAx>
        <c:axId val="700472549"/>
        <c:scaling>
          <c:orientation val="minMax"/>
        </c:scaling>
        <c:delete val="0"/>
        <c:axPos val="l"/>
        <c:majorGridlines>
          <c:spPr>
            <a:ln w="9525" cap="flat" cmpd="sng" algn="ctr">
              <a:solidFill>
                <a:schemeClr val="tx1">
                  <a:lumMod val="15000"/>
                  <a:lumOff val="85000"/>
                </a:schemeClr>
              </a:solidFill>
              <a:round/>
            </a:ln>
            <a:effectLst/>
          </c:spPr>
        </c:majorGridlines>
        <c:numFmt formatCode="#,##0.00_“&quot;万&quot;&quot;元&quot;" sourceLinked="0"/>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505551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5175"/>
          <c:y val="0.06"/>
        </c:manualLayout>
      </c:layout>
      <c:overlay val="0"/>
      <c:spPr>
        <a:noFill/>
        <a:ln>
          <a:noFill/>
        </a:ln>
        <a:effectLst/>
      </c:spPr>
      <c:txPr>
        <a:bodyPr rot="0" spcFirstLastPara="0" vertOverflow="ellipsis" horzOverflow="overflow"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6995"/>
          <c:y val="0.210666666666667"/>
          <c:w val="0.905175"/>
          <c:h val="0.7169"/>
        </c:manualLayout>
      </c:layout>
      <c:barChart>
        <c:barDir val="col"/>
        <c:grouping val="clustered"/>
        <c:varyColors val="0"/>
        <c:ser>
          <c:idx val="0"/>
          <c:order val="0"/>
          <c:tx>
            <c:strRef>
              <c:f>Sheet1!$B$1</c:f>
              <c:strCache>
                <c:ptCount val="1"/>
                <c:pt idx="0">
                  <c:v>一般公共预算财政拨款支出决算变动情况</c:v>
                </c:pt>
              </c:strCache>
            </c:strRef>
          </c:tx>
          <c:spPr>
            <a:solidFill>
              <a:schemeClr val="accent1"/>
            </a:solidFill>
            <a:ln>
              <a:noFill/>
            </a:ln>
            <a:effectLst/>
          </c:spPr>
          <c:invertIfNegative val="0"/>
          <c:dLbls>
            <c:delete val="1"/>
          </c:dLbls>
          <c:cat>
            <c:numRef>
              <c:f>Sheet1!$A$2:$A$3</c:f>
              <c:numCache>
                <c:formatCode>General</c:formatCode>
                <c:ptCount val="2"/>
                <c:pt idx="0">
                  <c:v>2022</c:v>
                </c:pt>
                <c:pt idx="1">
                  <c:v>2021</c:v>
                </c:pt>
              </c:numCache>
            </c:numRef>
          </c:cat>
          <c:val>
            <c:numRef>
              <c:f>Sheet1!$B$2:$B$3</c:f>
              <c:numCache>
                <c:formatCode>General</c:formatCode>
                <c:ptCount val="2"/>
                <c:pt idx="0">
                  <c:v>1316.85</c:v>
                </c:pt>
                <c:pt idx="1">
                  <c:v>1368.53</c:v>
                </c:pt>
              </c:numCache>
            </c:numRef>
          </c:val>
        </c:ser>
        <c:dLbls>
          <c:showLegendKey val="0"/>
          <c:showVal val="0"/>
          <c:showCatName val="0"/>
          <c:showSerName val="0"/>
          <c:showPercent val="0"/>
          <c:showBubbleSize val="0"/>
        </c:dLbls>
        <c:gapWidth val="219"/>
        <c:overlap val="-27"/>
        <c:axId val="361801296"/>
        <c:axId val="321196904"/>
      </c:barChart>
      <c:catAx>
        <c:axId val="361801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1196904"/>
        <c:crosses val="autoZero"/>
        <c:auto val="1"/>
        <c:lblAlgn val="ctr"/>
        <c:lblOffset val="100"/>
        <c:noMultiLvlLbl val="0"/>
      </c:catAx>
      <c:valAx>
        <c:axId val="321196904"/>
        <c:scaling>
          <c:orientation val="minMax"/>
        </c:scaling>
        <c:delete val="0"/>
        <c:axPos val="l"/>
        <c:majorGridlines>
          <c:spPr>
            <a:ln w="9525" cap="flat" cmpd="sng" algn="ctr">
              <a:solidFill>
                <a:schemeClr val="tx1">
                  <a:lumMod val="15000"/>
                  <a:lumOff val="85000"/>
                </a:schemeClr>
              </a:solidFill>
              <a:round/>
            </a:ln>
            <a:effectLst/>
          </c:spPr>
        </c:majorGridlines>
        <c:numFmt formatCode="#,##0.00_“&quot;万&quot;&quot;元&quot;" sourceLinked="0"/>
        <c:majorTickMark val="none"/>
        <c:minorTickMark val="none"/>
        <c:tickLblPos val="nextTo"/>
        <c:spPr>
          <a:noFill/>
          <a:ln>
            <a:noFill/>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1801296"/>
        <c:crosses val="autoZero"/>
        <c:crossBetween val="between"/>
      </c:valAx>
      <c:spPr>
        <a:noFill/>
        <a:ln>
          <a:noFill/>
        </a:ln>
        <a:effectLst/>
      </c:spPr>
    </c:plotArea>
    <c:legend>
      <c:legendPos val="b"/>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08125"/>
          <c:y val="0.118259252331787"/>
          <c:w val="0.638375"/>
          <c:h val="0.851166666666667"/>
        </c:manualLayout>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a:glow rad="76200">
                  <a:schemeClr val="accent1">
                    <a:alpha val="40000"/>
                  </a:schemeClr>
                </a:glow>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4"/>
                <c:pt idx="0">
                  <c:v>一般公共服务</c:v>
                </c:pt>
                <c:pt idx="1">
                  <c:v>社会保障和就业</c:v>
                </c:pt>
                <c:pt idx="2">
                  <c:v>卫生健康</c:v>
                </c:pt>
                <c:pt idx="3">
                  <c:v>住房保障</c:v>
                </c:pt>
              </c:strCache>
            </c:strRef>
          </c:cat>
          <c:val>
            <c:numRef>
              <c:f>Sheet1!$B$2:$B$7</c:f>
              <c:numCache>
                <c:formatCode>General</c:formatCode>
                <c:ptCount val="4"/>
                <c:pt idx="0">
                  <c:v>1295.1</c:v>
                </c:pt>
                <c:pt idx="1">
                  <c:v>7.67</c:v>
                </c:pt>
                <c:pt idx="2">
                  <c:v>4.33</c:v>
                </c:pt>
                <c:pt idx="3">
                  <c:v>9.75</c:v>
                </c:pt>
              </c:numCache>
            </c:numRef>
          </c:val>
        </c:ser>
        <c:dLbls>
          <c:showLegendKey val="0"/>
          <c:showVal val="0"/>
          <c:showCatName val="0"/>
          <c:showSerName val="0"/>
          <c:showPercent val="1"/>
          <c:showBubbleSize val="0"/>
          <c:showLeaderLines val="1"/>
        </c:dLbls>
        <c:firstSliceAng val="12"/>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horzOverflow="overflow"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2279375"/>
          <c:y val="0.177449122945223"/>
          <c:w val="0.570625"/>
          <c:h val="0.760833333333333"/>
        </c:manualLayout>
      </c:layout>
      <c:pieChart>
        <c:varyColors val="1"/>
        <c:ser>
          <c:idx val="0"/>
          <c:order val="0"/>
          <c:tx>
            <c:strRef>
              <c:f>Sheet1!$B$1</c:f>
              <c:strCache>
                <c:ptCount val="1"/>
                <c:pt idx="0">
                  <c:v>“三公”经费财政拨款支出结构</c:v>
                </c:pt>
              </c:strCache>
            </c:strRef>
          </c:tx>
          <c:spPr>
            <a:effectLst/>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numFmt formatCode="#,##0.00_ %"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c:v>
                </c:pt>
                <c:pt idx="1">
                  <c:v>公务用车购置及运行维护费</c:v>
                </c:pt>
                <c:pt idx="2">
                  <c:v>公务接待费</c:v>
                </c:pt>
              </c:strCache>
            </c:strRef>
          </c:cat>
          <c:val>
            <c:numRef>
              <c:f>Sheet1!$B$2:$B$4</c:f>
              <c:numCache>
                <c:formatCode>General</c:formatCode>
                <c:ptCount val="3"/>
                <c:pt idx="0">
                  <c:v>0</c:v>
                </c:pt>
                <c:pt idx="1">
                  <c:v>390.28</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DC01D1-3BA3-4089-9E0B-64D0C71AC285}">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52</Pages>
  <Words>3537</Words>
  <Characters>20167</Characters>
  <Lines>168</Lines>
  <Paragraphs>47</Paragraphs>
  <TotalTime>4</TotalTime>
  <ScaleCrop>false</ScaleCrop>
  <LinksUpToDate>false</LinksUpToDate>
  <CharactersWithSpaces>23657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2023-08-21T11:27:00Z</dcterms:created>
  <dc:creator>曹颖</dc:creator>
  <cp:lastModifiedBy>User</cp:lastModifiedBy>
  <cp:lastPrinted>2023-07-31T02:35:00Z</cp:lastPrinted>
  <dcterms:modified xsi:type="dcterms:W3CDTF">2023-09-25T06:51:17Z</dcterms:modified>
  <dc:title>四川省***</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F88D3650C7FE4D22891C0B0DB4CFF0CA_13</vt:lpwstr>
  </property>
</Properties>
</file>