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193"/>
      <w:bookmarkStart w:id="3" w:name="_Toc15396475"/>
      <w:bookmarkStart w:id="4" w:name="_Toc15377425"/>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snapToGrid w:val="0"/>
        <w:jc w:val="center"/>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96476"/>
      <w:bookmarkStart w:id="8" w:name="_Toc15396598"/>
      <w:bookmarkStart w:id="9" w:name="_Toc15377426"/>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rPr>
        <w:t>遂宁市</w:t>
      </w:r>
      <w:r>
        <w:rPr>
          <w:rFonts w:hint="eastAsia" w:ascii="方正小标宋简体" w:hAnsi="方正小标宋简体" w:eastAsia="方正小标宋简体" w:cs="方正小标宋简体"/>
          <w:color w:val="auto"/>
          <w:sz w:val="72"/>
          <w:szCs w:val="72"/>
          <w:highlight w:val="none"/>
          <w:lang w:val="en-US" w:eastAsia="zh-CN"/>
        </w:rPr>
        <w:t>安居区</w:t>
      </w:r>
      <w:r>
        <w:rPr>
          <w:rFonts w:hint="eastAsia" w:ascii="方正小标宋简体" w:hAnsi="方正小标宋简体" w:eastAsia="方正小标宋简体" w:cs="方正小标宋简体"/>
          <w:color w:val="auto"/>
          <w:sz w:val="72"/>
          <w:szCs w:val="72"/>
          <w:highlight w:val="none"/>
        </w:rPr>
        <w:t>妇幼保健计划生育服务中心</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Arial"/>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eastAsia="仿宋" w:cs="Arial"/>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eastAsia="zh-CN"/>
        </w:rPr>
        <w:t>…………………………………………………………</w:t>
      </w:r>
      <w:r>
        <w:rPr>
          <w:rFonts w:hint="eastAsia"/>
          <w:color w:val="auto"/>
          <w:sz w:val="24"/>
          <w:highlight w:val="none"/>
          <w:lang w:val="en-US" w:eastAsia="zh-CN"/>
        </w:rPr>
        <w:t>4</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 xml:space="preserve">  …………………………………………………………4</w:t>
      </w:r>
    </w:p>
    <w:p>
      <w:pPr>
        <w:pStyle w:val="11"/>
        <w:adjustRightInd w:val="0"/>
        <w:snapToGrid w:val="0"/>
        <w:spacing w:line="440" w:lineRule="exact"/>
        <w:jc w:val="left"/>
        <w:rPr>
          <w:rFonts w:eastAsia="宋体"/>
          <w:color w:val="auto"/>
          <w:lang w:val="en-US"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 xml:space="preserve">  …………………………………………………………4</w:t>
      </w:r>
    </w:p>
    <w:p>
      <w:pPr>
        <w:pStyle w:val="10"/>
        <w:adjustRightInd w:val="0"/>
        <w:snapToGrid w:val="0"/>
        <w:spacing w:before="0" w:line="440" w:lineRule="exact"/>
        <w:jc w:val="left"/>
        <w:rPr>
          <w:rFonts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 xml:space="preserve">  ……………………………………5</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 xml:space="preserve">   ……………………………………………5</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 xml:space="preserve">  ………………………………………………6</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7</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10</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 xml:space="preserve"> ………………………13</w:t>
      </w:r>
    </w:p>
    <w:p>
      <w:pPr>
        <w:pStyle w:val="11"/>
        <w:adjustRightInd w:val="0"/>
        <w:snapToGrid w:val="0"/>
        <w:spacing w:line="440" w:lineRule="exact"/>
        <w:jc w:val="left"/>
        <w:rPr>
          <w:rFonts w:ascii="仿宋" w:hAnsi="仿宋" w:eastAsia="宋体" w:cs="Arial"/>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16</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16</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16</w:t>
      </w:r>
    </w:p>
    <w:p>
      <w:pPr>
        <w:pStyle w:val="10"/>
        <w:adjustRightInd w:val="0"/>
        <w:snapToGrid w:val="0"/>
        <w:spacing w:before="0" w:line="440" w:lineRule="exact"/>
        <w:jc w:val="left"/>
        <w:rPr>
          <w:rFonts w:eastAsia="仿宋" w:cs="Arial"/>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18</w:t>
      </w:r>
    </w:p>
    <w:p>
      <w:pPr>
        <w:pStyle w:val="10"/>
        <w:adjustRightInd w:val="0"/>
        <w:snapToGrid w:val="0"/>
        <w:spacing w:before="0" w:line="440" w:lineRule="exact"/>
        <w:jc w:val="left"/>
        <w:rPr>
          <w:rFonts w:eastAsia="仿宋" w:cs="Arial"/>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20</w:t>
      </w:r>
    </w:p>
    <w:p>
      <w:pPr>
        <w:pStyle w:val="10"/>
        <w:adjustRightInd w:val="0"/>
        <w:snapToGrid w:val="0"/>
        <w:spacing w:before="0" w:line="440" w:lineRule="exact"/>
        <w:jc w:val="left"/>
        <w:rPr>
          <w:rFonts w:eastAsia="仿宋" w:cs="Arial"/>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eastAsia="zh-CN"/>
        </w:rPr>
        <w:t>…………………</w:t>
      </w:r>
      <w:r>
        <w:rPr>
          <w:rFonts w:hint="eastAsia"/>
          <w:color w:val="auto"/>
          <w:sz w:val="24"/>
          <w:highlight w:val="none"/>
          <w:lang w:val="en-US" w:eastAsia="zh-CN"/>
        </w:rPr>
        <w:t>31</w:t>
      </w:r>
    </w:p>
    <w:p>
      <w:pPr>
        <w:pStyle w:val="11"/>
        <w:adjustRightInd w:val="0"/>
        <w:snapToGrid w:val="0"/>
        <w:spacing w:line="440" w:lineRule="exact"/>
        <w:jc w:val="left"/>
        <w:rPr>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国有资本经营预算财政拨款支出决算表………………………31</w:t>
      </w:r>
    </w:p>
    <w:p>
      <w:pPr>
        <w:pStyle w:val="11"/>
        <w:adjustRightInd w:val="0"/>
        <w:snapToGrid w:val="0"/>
        <w:spacing w:line="440" w:lineRule="exact"/>
        <w:jc w:val="left"/>
        <w:rPr>
          <w:rFonts w:eastAsia="宋体"/>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eastAsia="zh-CN"/>
        </w:rPr>
        <w:t>……………………………</w:t>
      </w:r>
      <w:r>
        <w:rPr>
          <w:rFonts w:hint="eastAsia"/>
          <w:color w:val="auto"/>
          <w:sz w:val="24"/>
          <w:highlight w:val="none"/>
          <w:lang w:val="en-US" w:eastAsia="zh-CN"/>
        </w:rPr>
        <w:t>31</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1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32"/>
          <w:szCs w:val="32"/>
        </w:rPr>
      </w:pPr>
      <w:bookmarkStart w:id="14" w:name="_Toc15396600"/>
      <w:bookmarkStart w:id="15" w:name="_Toc15377197"/>
      <w:r>
        <w:rPr>
          <w:rStyle w:val="17"/>
          <w:rFonts w:hint="eastAsia" w:ascii="黑体" w:hAnsi="黑体" w:eastAsia="黑体"/>
          <w:b w:val="0"/>
          <w:bCs w:val="0"/>
          <w:color w:val="auto"/>
          <w:highlight w:val="none"/>
          <w:lang w:eastAsia="zh-CN"/>
        </w:rPr>
        <w:t>主要职责</w:t>
      </w:r>
    </w:p>
    <w:p>
      <w:pPr>
        <w:pStyle w:val="2"/>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lang w:eastAsia="zh-CN"/>
        </w:rPr>
      </w:pPr>
      <w:r>
        <w:rPr>
          <w:rFonts w:hint="eastAsia" w:ascii="仿宋" w:hAnsi="仿宋" w:eastAsia="仿宋" w:cs="仿宋"/>
          <w:b w:val="0"/>
          <w:bCs w:val="0"/>
          <w:kern w:val="2"/>
          <w:sz w:val="32"/>
          <w:szCs w:val="32"/>
          <w:lang w:val="en-US" w:eastAsia="zh-CN" w:bidi="ar-SA"/>
        </w:rPr>
        <w:t>为辖区内妇女儿童提供妇女保健、儿童保健、围产保健等妇幼保健服务及妇女儿童常见病防治、助产技术服务、出生缺陷综合防治服务等医疗保健服务;承担计划生育宣传教育、技术服务、优生指导、药具发放、信息咨询、随访服务、生殖保健、人员培训等任务；开展婚前医学检查、孕前优生健康检查等工作；受区卫计局委托承担全区妇幼保健和计划生育技术服务业务管理、项目管理、培训和技术指导工作。</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0" w:firstLine="0"/>
        <w:textAlignment w:val="auto"/>
        <w:rPr>
          <w:rFonts w:hint="eastAsia" w:ascii="仿宋" w:hAnsi="仿宋" w:eastAsia="仿宋" w:cs="仿宋"/>
          <w:sz w:val="32"/>
          <w:szCs w:val="32"/>
        </w:rPr>
      </w:pPr>
      <w:r>
        <w:rPr>
          <w:rFonts w:hint="eastAsia" w:ascii="黑体" w:hAnsi="黑体" w:eastAsia="黑体"/>
          <w:b w:val="0"/>
          <w:color w:val="auto"/>
          <w:highlight w:val="none"/>
          <w:lang w:val="en-US" w:eastAsia="zh-CN"/>
        </w:rPr>
        <w:t>机构</w:t>
      </w:r>
      <w:bookmarkEnd w:id="14"/>
      <w:bookmarkEnd w:id="15"/>
      <w:r>
        <w:rPr>
          <w:rFonts w:hint="eastAsia" w:ascii="黑体" w:hAnsi="黑体" w:eastAsia="黑体"/>
          <w:b w:val="0"/>
          <w:color w:val="auto"/>
          <w:highlight w:val="none"/>
          <w:lang w:val="en-US" w:eastAsia="zh-CN"/>
        </w:rPr>
        <w:t>设置</w:t>
      </w:r>
    </w:p>
    <w:p>
      <w:pPr>
        <w:pStyle w:val="2"/>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遂宁市安居区妇幼保健计划服务中心，属一级预算单位,执行事业单位会计制度。内设有办公室、公共卫生科、医技科、基层妇幼保健科、护理部、婚检中心、男性孕检、女性孕检8个科室。</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lang w:val="en-US" w:eastAsia="zh-CN"/>
        </w:rPr>
      </w:pPr>
      <w:r>
        <w:rPr>
          <w:rFonts w:hint="eastAsia" w:ascii="仿宋" w:hAnsi="仿宋" w:eastAsia="仿宋" w:cs="仿宋"/>
          <w:sz w:val="32"/>
          <w:szCs w:val="32"/>
        </w:rPr>
        <w:t>遂宁市安居区妇幼保健计划服务中心，为安居区卫计局下属事业单位，总编制</w:t>
      </w:r>
      <w:r>
        <w:rPr>
          <w:rFonts w:hint="eastAsia" w:ascii="仿宋" w:hAnsi="仿宋" w:eastAsia="仿宋" w:cs="仿宋"/>
          <w:sz w:val="32"/>
          <w:szCs w:val="32"/>
          <w:lang w:val="en-US" w:eastAsia="zh-CN"/>
        </w:rPr>
        <w:t>38</w:t>
      </w:r>
      <w:r>
        <w:rPr>
          <w:rFonts w:hint="eastAsia" w:ascii="仿宋" w:hAnsi="仿宋" w:eastAsia="仿宋" w:cs="仿宋"/>
          <w:sz w:val="32"/>
          <w:szCs w:val="32"/>
        </w:rPr>
        <w:t>名，其中：事业编</w:t>
      </w:r>
      <w:r>
        <w:rPr>
          <w:rFonts w:hint="eastAsia" w:ascii="仿宋" w:hAnsi="仿宋" w:eastAsia="仿宋" w:cs="仿宋"/>
          <w:sz w:val="32"/>
          <w:szCs w:val="32"/>
          <w:lang w:val="en-US" w:eastAsia="zh-CN"/>
        </w:rPr>
        <w:t>38</w:t>
      </w:r>
      <w:r>
        <w:rPr>
          <w:rFonts w:hint="eastAsia" w:ascii="仿宋" w:hAnsi="仿宋" w:eastAsia="仿宋" w:cs="仿宋"/>
          <w:sz w:val="32"/>
          <w:szCs w:val="32"/>
        </w:rPr>
        <w:t>名。实有财政供养人员总数38人，退休7人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临聘人员57人（包含借调人员）。</w:t>
      </w:r>
    </w:p>
    <w:p>
      <w:pPr>
        <w:ind w:firstLine="640"/>
        <w:jc w:val="left"/>
        <w:rPr>
          <w:rFonts w:hint="eastAsia" w:ascii="仿宋" w:hAnsi="仿宋" w:eastAsia="仿宋" w:cs="仿宋"/>
          <w:sz w:val="32"/>
          <w:szCs w:val="32"/>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16"/>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6"/>
          <w:rFonts w:hint="eastAsia" w:ascii="黑体" w:hAnsi="黑体" w:eastAsia="黑体"/>
          <w:b w:val="0"/>
          <w:bCs/>
          <w:color w:val="auto"/>
          <w:highlight w:val="none"/>
          <w:lang w:eastAsia="zh-CN"/>
        </w:rPr>
        <w:t>单位</w:t>
      </w:r>
      <w:r>
        <w:rPr>
          <w:rStyle w:val="16"/>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2"/>
        </w:numPr>
        <w:spacing w:line="600" w:lineRule="exact"/>
        <w:ind w:firstLineChars="0"/>
        <w:outlineLvl w:val="1"/>
        <w:rPr>
          <w:rStyle w:val="17"/>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入和支出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均为1542.49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244.44万元，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18.83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人员工资增加以及项目支出增加</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支出增加221.03万元，增长16.73%，主要变动原因是当年预算执行情况较好，完成婚检、孕检、计生特别扶助支出。</w:t>
      </w:r>
    </w:p>
    <w:p>
      <w:pPr>
        <w:pStyle w:val="18"/>
        <w:rPr>
          <w:lang w:val="en-US" w:eastAsia="zh-CN"/>
        </w:rPr>
      </w:pPr>
      <w:r>
        <w:rPr>
          <w:rFonts w:hint="eastAsia" w:ascii="仿宋" w:hAnsi="仿宋" w:eastAsia="仿宋"/>
          <w:color w:val="auto"/>
          <w:sz w:val="32"/>
          <w:szCs w:val="32"/>
          <w:highlight w:val="none"/>
          <w:lang w:val="en-US" w:eastAsia="zh-CN"/>
        </w:rPr>
        <w:drawing>
          <wp:inline distT="0" distB="0" distL="114300" distR="114300">
            <wp:extent cx="5079365" cy="38100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1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1542.49</w:t>
      </w:r>
      <w:r>
        <w:rPr>
          <w:rFonts w:hint="eastAsia" w:ascii="仿宋" w:hAnsi="仿宋" w:eastAsia="仿宋"/>
          <w:color w:val="auto"/>
          <w:sz w:val="32"/>
          <w:szCs w:val="32"/>
          <w:highlight w:val="none"/>
        </w:rPr>
        <w:t>万元，其中：一般公共预算财政拨款收入1,371.01万元，占</w:t>
      </w:r>
      <w:r>
        <w:rPr>
          <w:rFonts w:hint="eastAsia" w:ascii="仿宋" w:hAnsi="仿宋" w:eastAsia="仿宋"/>
          <w:color w:val="auto"/>
          <w:sz w:val="32"/>
          <w:szCs w:val="32"/>
          <w:highlight w:val="none"/>
          <w:lang w:val="en-US" w:eastAsia="zh-CN"/>
        </w:rPr>
        <w:t>89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；事业收入171.48万元，占</w:t>
      </w:r>
      <w:r>
        <w:rPr>
          <w:rFonts w:hint="eastAsia" w:ascii="仿宋" w:hAnsi="仿宋" w:eastAsia="仿宋"/>
          <w:color w:val="auto"/>
          <w:sz w:val="32"/>
          <w:szCs w:val="32"/>
          <w:highlight w:val="none"/>
          <w:lang w:val="en-US" w:eastAsia="zh-CN"/>
        </w:rPr>
        <w:t>11</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pPr>
        <w:pStyle w:val="18"/>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inline distT="0" distB="0" distL="114300" distR="114300">
            <wp:extent cx="5079365" cy="38100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17"/>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1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1542.49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1128.01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73.13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414.48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0万</w:t>
      </w:r>
      <w:r>
        <w:rPr>
          <w:rFonts w:hint="eastAsia" w:ascii="仿宋" w:hAnsi="仿宋" w:eastAsia="仿宋"/>
          <w:color w:val="auto"/>
          <w:sz w:val="32"/>
          <w:szCs w:val="32"/>
          <w:highlight w:val="none"/>
        </w:rPr>
        <w:t>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color w:val="auto"/>
          <w:sz w:val="32"/>
          <w:szCs w:val="32"/>
          <w:highlight w:val="none"/>
          <w:shd w:val="pct10" w:color="auto" w:fill="FFFFFF"/>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pPr>
        <w:pStyle w:val="19"/>
      </w:pPr>
      <w:r>
        <w:rPr>
          <w:rFonts w:hint="eastAsia" w:ascii="仿宋" w:hAnsi="仿宋" w:eastAsia="仿宋"/>
          <w:color w:val="auto"/>
          <w:sz w:val="32"/>
          <w:szCs w:val="32"/>
          <w:highlight w:val="none"/>
          <w:shd w:val="pct10" w:color="auto" w:fill="FFFFFF"/>
          <w:lang w:eastAsia="zh-CN"/>
        </w:rPr>
        <w:drawing>
          <wp:inline distT="0" distB="0" distL="114300" distR="114300">
            <wp:extent cx="5079365" cy="38100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17"/>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总计1,371.01万元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支出总计1371.01万元</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220.58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19.17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人员工资增加以及项目支出增加，财政拨款支出增加197.17万元，增长16.80%，</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当年预算执行情况较好，完成婚检、孕检、计生特别扶助支出。</w:t>
      </w:r>
    </w:p>
    <w:p>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pStyle w:val="19"/>
        <w:rPr>
          <w:rFonts w:hint="eastAsia" w:eastAsia="仿宋"/>
          <w:lang w:eastAsia="zh-CN"/>
        </w:rPr>
      </w:pPr>
      <w:r>
        <w:rPr>
          <w:rFonts w:hint="eastAsia" w:eastAsia="仿宋"/>
          <w:lang w:eastAsia="zh-CN"/>
        </w:rPr>
        <w:drawing>
          <wp:inline distT="0" distB="0" distL="114300" distR="114300">
            <wp:extent cx="5079365" cy="38100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17"/>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年一般公共预算财政拨款支出1,371.01万元，占本年支出合计的</w:t>
      </w:r>
      <w:r>
        <w:rPr>
          <w:rFonts w:hint="eastAsia" w:ascii="仿宋" w:hAnsi="仿宋" w:eastAsia="仿宋"/>
          <w:color w:val="auto"/>
          <w:sz w:val="32"/>
          <w:szCs w:val="32"/>
          <w:highlight w:val="none"/>
          <w:lang w:val="en-US" w:eastAsia="zh-CN"/>
        </w:rPr>
        <w:t>89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197.17万元，增长16.80%</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当年预算执行情况较好，完成婚检、孕检、计生特别扶助支出。</w:t>
      </w:r>
    </w:p>
    <w:p>
      <w:pPr>
        <w:spacing w:line="600" w:lineRule="exact"/>
        <w:ind w:firstLine="640" w:firstLineChars="200"/>
        <w:rPr>
          <w:rFonts w:ascii="仿宋" w:hAnsi="仿宋" w:eastAsia="仿宋"/>
          <w:color w:val="auto"/>
          <w:sz w:val="32"/>
          <w:szCs w:val="32"/>
          <w:highlight w:val="none"/>
        </w:rPr>
      </w:pPr>
    </w:p>
    <w:p>
      <w:pPr>
        <w:pStyle w:val="19"/>
        <w:jc w:val="both"/>
        <w:rPr>
          <w:rFonts w:hint="eastAsia" w:eastAsia="仿宋"/>
          <w:lang w:eastAsia="zh-CN"/>
        </w:rPr>
      </w:pPr>
      <w:r>
        <w:rPr>
          <w:rFonts w:hint="eastAsia" w:eastAsia="仿宋"/>
          <w:lang w:eastAsia="zh-CN"/>
        </w:rPr>
        <w:drawing>
          <wp:inline distT="0" distB="0" distL="114300" distR="114300">
            <wp:extent cx="5079365" cy="38100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1371.01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w:t>
      </w:r>
      <w:r>
        <w:rPr>
          <w:rFonts w:hint="eastAsia" w:ascii="仿宋" w:hAnsi="仿宋" w:eastAsia="仿宋"/>
          <w:color w:val="auto"/>
          <w:sz w:val="32"/>
          <w:szCs w:val="32"/>
          <w:highlight w:val="none"/>
        </w:rPr>
        <w:t>48.51万元，占</w:t>
      </w:r>
      <w:r>
        <w:rPr>
          <w:rFonts w:hint="eastAsia" w:ascii="仿宋" w:hAnsi="仿宋" w:eastAsia="仿宋"/>
          <w:color w:val="auto"/>
          <w:sz w:val="32"/>
          <w:szCs w:val="32"/>
          <w:highlight w:val="none"/>
          <w:lang w:val="en-US" w:eastAsia="zh-CN"/>
        </w:rPr>
        <w:t>3.54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卫生健康支出</w:t>
      </w:r>
      <w:r>
        <w:rPr>
          <w:rFonts w:hint="eastAsia" w:ascii="仿宋" w:hAnsi="仿宋" w:eastAsia="仿宋"/>
          <w:color w:val="auto"/>
          <w:sz w:val="32"/>
          <w:szCs w:val="32"/>
          <w:highlight w:val="none"/>
        </w:rPr>
        <w:t>1274.78万元，占</w:t>
      </w:r>
      <w:r>
        <w:rPr>
          <w:rFonts w:hint="eastAsia" w:ascii="仿宋" w:hAnsi="仿宋" w:eastAsia="仿宋"/>
          <w:color w:val="auto"/>
          <w:sz w:val="32"/>
          <w:szCs w:val="32"/>
          <w:highlight w:val="none"/>
          <w:lang w:val="en-US" w:eastAsia="zh-CN"/>
        </w:rPr>
        <w:t>92.98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住房保障支出</w:t>
      </w:r>
      <w:r>
        <w:rPr>
          <w:rFonts w:hint="eastAsia" w:ascii="仿宋" w:hAnsi="仿宋" w:eastAsia="仿宋"/>
          <w:color w:val="auto"/>
          <w:sz w:val="32"/>
          <w:szCs w:val="32"/>
          <w:highlight w:val="none"/>
        </w:rPr>
        <w:t>47.73万元，占</w:t>
      </w:r>
      <w:r>
        <w:rPr>
          <w:rFonts w:hint="eastAsia" w:ascii="仿宋" w:hAnsi="仿宋" w:eastAsia="仿宋"/>
          <w:color w:val="auto"/>
          <w:sz w:val="32"/>
          <w:szCs w:val="32"/>
          <w:highlight w:val="none"/>
          <w:lang w:val="en-US" w:eastAsia="zh-CN"/>
        </w:rPr>
        <w:t>3.48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pPr>
        <w:spacing w:line="600" w:lineRule="exact"/>
        <w:ind w:firstLine="640"/>
        <w:rPr>
          <w:rFonts w:ascii="仿宋" w:hAnsi="仿宋" w:eastAsia="仿宋"/>
          <w:color w:val="auto"/>
          <w:sz w:val="32"/>
          <w:szCs w:val="32"/>
          <w:highlight w:val="none"/>
        </w:rPr>
      </w:pPr>
    </w:p>
    <w:p>
      <w:pPr>
        <w:pStyle w:val="18"/>
        <w:rPr>
          <w:rFonts w:ascii="仿宋" w:hAnsi="仿宋" w:eastAsia="仿宋"/>
          <w:color w:val="auto"/>
          <w:sz w:val="32"/>
          <w:szCs w:val="32"/>
          <w:highlight w:val="none"/>
        </w:rPr>
      </w:pPr>
    </w:p>
    <w:p>
      <w:pPr>
        <w:pStyle w:val="19"/>
        <w:rPr>
          <w:rFonts w:hint="eastAsia" w:eastAsia="仿宋"/>
          <w:lang w:eastAsia="zh-CN"/>
        </w:rPr>
      </w:pPr>
      <w:r>
        <w:rPr>
          <w:rFonts w:hint="eastAsia" w:eastAsia="仿宋"/>
          <w:lang w:eastAsia="zh-CN"/>
        </w:rPr>
        <w:drawing>
          <wp:inline distT="0" distB="0" distL="114300" distR="114300">
            <wp:extent cx="5079365" cy="38100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1371.01</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社会保障和就业支出（类）行政事业单位养老支出（款）机关事业单位基本养老保险缴费支出（项）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支出决算为46.22万元，完成预算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该资金核算单位职工养老保险单位部分，当年完成预算，足额缴纳</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2.</w:t>
      </w:r>
      <w:r>
        <w:rPr>
          <w:rStyle w:val="14"/>
          <w:rFonts w:hint="eastAsia" w:ascii="仿宋" w:hAnsi="仿宋" w:eastAsia="仿宋"/>
          <w:bCs/>
          <w:color w:val="auto"/>
          <w:sz w:val="32"/>
          <w:szCs w:val="32"/>
          <w:highlight w:val="none"/>
        </w:rPr>
        <w:t>社会保障和就业支出（类）其他社会保障和就业支出（款）其他社会保障和就业支出（项）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支出决算为2.29万元，完成预算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当年足额缴纳失业、工伤、生育等保险</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3.</w:t>
      </w:r>
      <w:r>
        <w:rPr>
          <w:rStyle w:val="14"/>
          <w:rFonts w:hint="eastAsia" w:ascii="仿宋" w:hAnsi="仿宋" w:eastAsia="仿宋"/>
          <w:bCs/>
          <w:color w:val="auto"/>
          <w:sz w:val="32"/>
          <w:szCs w:val="32"/>
          <w:highlight w:val="none"/>
        </w:rPr>
        <w:t>卫生健康支出（类）卫生健康管理事务（款）行政运行（项）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支出决算为23.36万元，完成预算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全额人员工资足额发放</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4.</w:t>
      </w:r>
      <w:r>
        <w:rPr>
          <w:rStyle w:val="14"/>
          <w:rFonts w:hint="eastAsia" w:ascii="仿宋" w:hAnsi="仿宋" w:eastAsia="仿宋"/>
          <w:bCs/>
          <w:color w:val="auto"/>
          <w:sz w:val="32"/>
          <w:szCs w:val="32"/>
          <w:highlight w:val="none"/>
        </w:rPr>
        <w:t>卫生健康支出（类）公立医院（款） 妇幼保健医院（项）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支出决算为123.62万元，完成预算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足额发放医护人员工资，完成医院特定事项</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5.</w:t>
      </w:r>
      <w:r>
        <w:rPr>
          <w:rStyle w:val="14"/>
          <w:rFonts w:hint="eastAsia" w:ascii="仿宋" w:hAnsi="仿宋" w:eastAsia="仿宋"/>
          <w:bCs/>
          <w:color w:val="auto"/>
          <w:sz w:val="32"/>
          <w:szCs w:val="32"/>
          <w:highlight w:val="none"/>
        </w:rPr>
        <w:t>卫生健康支出（类）公立医院（款）其他公立医院支出（项）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1.39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完成公立医院改革事项支出</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6.</w:t>
      </w:r>
      <w:r>
        <w:rPr>
          <w:rStyle w:val="14"/>
          <w:rFonts w:hint="eastAsia" w:ascii="仿宋" w:hAnsi="仿宋" w:eastAsia="仿宋"/>
          <w:bCs/>
          <w:color w:val="auto"/>
          <w:sz w:val="32"/>
          <w:szCs w:val="32"/>
          <w:highlight w:val="none"/>
        </w:rPr>
        <w:t>卫生健康支出（类）公共卫生（款）疾病预防控制机构（项）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支出决算为10.88万元，完成预算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完成疫情防控工作支出</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卫生健康支出（类）公共卫生（款）妇幼保健机构（项）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支出决算为34.17万元，完成预算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完成医院日常工作支出</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卫生健康支出（类）公共卫生（款）基本公共卫生服务（项）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支出决算为176.07万元，完成预算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完成避孕药具工作支出</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卫生健康支出（类）公共卫生（款）重大公共卫生服务（项）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支出决算为33.41万元，完成预算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完成母婴检测艾滋梅毒工作支出</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 xml:space="preserve"> </w:t>
      </w:r>
    </w:p>
    <w:p>
      <w:pPr>
        <w:spacing w:line="600" w:lineRule="exact"/>
        <w:ind w:firstLine="640"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 w:val="0"/>
          <w:bCs/>
          <w:color w:val="auto"/>
          <w:sz w:val="32"/>
          <w:szCs w:val="32"/>
          <w:highlight w:val="none"/>
          <w:lang w:val="en-US" w:eastAsia="zh-CN"/>
        </w:rPr>
        <w:t>10.</w:t>
      </w:r>
      <w:r>
        <w:rPr>
          <w:rStyle w:val="14"/>
          <w:rFonts w:hint="eastAsia" w:ascii="仿宋" w:hAnsi="仿宋" w:eastAsia="仿宋"/>
          <w:bCs/>
          <w:color w:val="auto"/>
          <w:sz w:val="32"/>
          <w:szCs w:val="32"/>
          <w:highlight w:val="none"/>
        </w:rPr>
        <w:t>卫生健康支出（类）公共卫生（款）突发公共卫生事件应急处理（项）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支出决算为0.66万元，完成预算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完成防疫人员奖励支出</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br w:type="textWrapping"/>
      </w:r>
      <w:r>
        <w:rPr>
          <w:rStyle w:val="14"/>
          <w:rFonts w:hint="eastAsia" w:ascii="仿宋" w:hAnsi="仿宋" w:eastAsia="仿宋"/>
          <w:b w:val="0"/>
          <w:bCs/>
          <w:color w:val="auto"/>
          <w:sz w:val="32"/>
          <w:szCs w:val="32"/>
          <w:highlight w:val="none"/>
          <w:lang w:val="en-US" w:eastAsia="zh-CN"/>
        </w:rPr>
        <w:t xml:space="preserve">    11.</w:t>
      </w:r>
      <w:r>
        <w:rPr>
          <w:rStyle w:val="14"/>
          <w:rFonts w:hint="eastAsia" w:ascii="仿宋" w:hAnsi="仿宋" w:eastAsia="仿宋"/>
          <w:bCs/>
          <w:color w:val="auto"/>
          <w:sz w:val="32"/>
          <w:szCs w:val="32"/>
          <w:highlight w:val="none"/>
        </w:rPr>
        <w:t>卫生健康支出（类）公共卫生（款）其他公共卫生支出（项）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支出决算为623.17万元，完成预算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完成婚检、孕检、计划生育等工作支出。</w:t>
      </w:r>
      <w:r>
        <w:rPr>
          <w:rStyle w:val="14"/>
          <w:rFonts w:hint="eastAsia" w:ascii="仿宋" w:hAnsi="仿宋" w:eastAsia="仿宋"/>
          <w:b w:val="0"/>
          <w:bCs/>
          <w:color w:val="auto"/>
          <w:sz w:val="32"/>
          <w:szCs w:val="32"/>
          <w:highlight w:val="none"/>
        </w:rPr>
        <w:br w:type="textWrapping"/>
      </w:r>
      <w:r>
        <w:rPr>
          <w:rStyle w:val="14"/>
          <w:rFonts w:hint="eastAsia" w:ascii="仿宋" w:hAnsi="仿宋" w:eastAsia="仿宋"/>
          <w:b w:val="0"/>
          <w:bCs/>
          <w:color w:val="auto"/>
          <w:sz w:val="32"/>
          <w:szCs w:val="32"/>
          <w:highlight w:val="none"/>
          <w:lang w:val="en-US" w:eastAsia="zh-CN"/>
        </w:rPr>
        <w:t xml:space="preserve">    12.</w:t>
      </w:r>
      <w:r>
        <w:rPr>
          <w:rStyle w:val="14"/>
          <w:rFonts w:hint="eastAsia" w:ascii="仿宋" w:hAnsi="仿宋" w:eastAsia="仿宋"/>
          <w:bCs/>
          <w:color w:val="auto"/>
          <w:sz w:val="32"/>
          <w:szCs w:val="32"/>
          <w:highlight w:val="none"/>
        </w:rPr>
        <w:t>卫生健康支出（类）计划生育事务（款）计划生育服务（项）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支出决算为42万元，完成预算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完成手术并发症工作支出。</w:t>
      </w:r>
      <w:r>
        <w:rPr>
          <w:rStyle w:val="14"/>
          <w:rFonts w:hint="eastAsia" w:ascii="仿宋" w:hAnsi="仿宋" w:eastAsia="仿宋"/>
          <w:b w:val="0"/>
          <w:bCs/>
          <w:color w:val="auto"/>
          <w:sz w:val="32"/>
          <w:szCs w:val="32"/>
          <w:highlight w:val="none"/>
        </w:rPr>
        <w:br w:type="textWrapping"/>
      </w:r>
      <w:r>
        <w:rPr>
          <w:rStyle w:val="14"/>
          <w:rFonts w:hint="eastAsia" w:ascii="仿宋" w:hAnsi="仿宋" w:eastAsia="仿宋"/>
          <w:b w:val="0"/>
          <w:bCs/>
          <w:color w:val="auto"/>
          <w:sz w:val="32"/>
          <w:szCs w:val="32"/>
          <w:highlight w:val="none"/>
          <w:lang w:val="en-US" w:eastAsia="zh-CN"/>
        </w:rPr>
        <w:t xml:space="preserve">   13.</w:t>
      </w:r>
      <w:r>
        <w:rPr>
          <w:rStyle w:val="14"/>
          <w:rFonts w:hint="eastAsia" w:ascii="仿宋" w:hAnsi="仿宋" w:eastAsia="仿宋"/>
          <w:bCs/>
          <w:color w:val="auto"/>
          <w:sz w:val="32"/>
          <w:szCs w:val="32"/>
          <w:highlight w:val="none"/>
        </w:rPr>
        <w:t>卫生健康支出（类）计划生育事务（款）其他计划生育事务支出（项）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支出决算为176.84万元，完成预算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完成手术并发症工作支出。</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 w:val="0"/>
          <w:bCs/>
          <w:color w:val="auto"/>
          <w:sz w:val="32"/>
          <w:szCs w:val="32"/>
          <w:highlight w:val="none"/>
          <w:lang w:val="en-US" w:eastAsia="zh-CN"/>
        </w:rPr>
        <w:t>14.</w:t>
      </w:r>
      <w:r>
        <w:rPr>
          <w:rStyle w:val="14"/>
          <w:rFonts w:hint="eastAsia" w:ascii="仿宋" w:hAnsi="仿宋" w:eastAsia="仿宋"/>
          <w:bCs/>
          <w:color w:val="auto"/>
          <w:sz w:val="32"/>
          <w:szCs w:val="32"/>
          <w:highlight w:val="none"/>
        </w:rPr>
        <w:t>卫生健康支出（类）行政事业单位医疗（款）事业单位医疗（项）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支出决算为29.21万元，完成预算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完成职工医疗保险单位部分缴纳。</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 w:val="0"/>
          <w:bCs/>
          <w:color w:val="auto"/>
          <w:sz w:val="32"/>
          <w:szCs w:val="32"/>
          <w:highlight w:val="none"/>
          <w:lang w:val="en-US" w:eastAsia="zh-CN"/>
        </w:rPr>
        <w:t>15.</w:t>
      </w:r>
      <w:r>
        <w:rPr>
          <w:rStyle w:val="14"/>
          <w:rFonts w:hint="eastAsia" w:ascii="仿宋" w:hAnsi="仿宋" w:eastAsia="仿宋"/>
          <w:bCs/>
          <w:color w:val="auto"/>
          <w:sz w:val="32"/>
          <w:szCs w:val="32"/>
          <w:highlight w:val="none"/>
        </w:rPr>
        <w:t>住房保障支出（类）住房改革支出（款）住房公积金（项）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支出决算为47.73万元，完成预算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，决算数等于预算数的主要原因是</w:t>
      </w:r>
      <w:r>
        <w:rPr>
          <w:rStyle w:val="14"/>
          <w:rFonts w:hint="eastAsia" w:ascii="仿宋" w:hAnsi="仿宋" w:eastAsia="仿宋"/>
          <w:b w:val="0"/>
          <w:bCs/>
          <w:color w:val="auto"/>
          <w:sz w:val="32"/>
          <w:szCs w:val="32"/>
          <w:highlight w:val="none"/>
          <w:lang w:val="en-US" w:eastAsia="zh-CN"/>
        </w:rPr>
        <w:t>完成职工住房公积金单位部分缴纳。</w:t>
      </w:r>
    </w:p>
    <w:p>
      <w:pPr>
        <w:spacing w:line="60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tabs>
          <w:tab w:val="right" w:pos="8306"/>
        </w:tabs>
        <w:spacing w:line="600" w:lineRule="exact"/>
        <w:ind w:firstLine="640"/>
        <w:outlineLvl w:val="1"/>
        <w:rPr>
          <w:rStyle w:val="1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34"/>
      <w:bookmarkEnd w:id="35"/>
      <w:r>
        <w:rPr>
          <w:rStyle w:val="1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年一般公共预算财政拨款基本支出956.52万元，其中：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799.52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157.01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outlineLvl w:val="1"/>
        <w:rPr>
          <w:rStyle w:val="17"/>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33.49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33.49万元，增长100%。</w:t>
      </w:r>
      <w:r>
        <w:rPr>
          <w:rFonts w:hint="eastAsia" w:ascii="仿宋" w:hAnsi="仿宋" w:eastAsia="仿宋"/>
          <w:color w:val="auto"/>
          <w:sz w:val="32"/>
          <w:szCs w:val="32"/>
          <w:highlight w:val="none"/>
        </w:rPr>
        <w:t>决算数小于预算数（或与预算数持平）的主要原因是</w:t>
      </w:r>
      <w:r>
        <w:rPr>
          <w:rFonts w:hint="eastAsia" w:ascii="仿宋" w:hAnsi="仿宋" w:eastAsia="仿宋"/>
          <w:color w:val="auto"/>
          <w:sz w:val="32"/>
          <w:szCs w:val="32"/>
          <w:highlight w:val="none"/>
          <w:lang w:val="en-US" w:eastAsia="zh-CN"/>
        </w:rPr>
        <w:t>控制公务用车运行经费</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33.49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18"/>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79365" cy="38100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无预算</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（团组名称、出访地点、取得成效）等。</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33.49</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96</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33.49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因系统原因，按照车辆个数进行预算</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救护车5辆。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33.49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免费孕检、婚检、“两癌”筛查、艾滋病宣传</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Fonts w:ascii="黑体" w:eastAsia="黑体"/>
          <w:color w:val="auto"/>
          <w:sz w:val="32"/>
          <w:szCs w:val="32"/>
          <w:highlight w:val="none"/>
        </w:rPr>
      </w:pPr>
      <w:bookmarkStart w:id="40" w:name="_Toc15377218"/>
      <w:bookmarkStart w:id="41" w:name="_Toc15396610"/>
    </w:p>
    <w:p>
      <w:pPr>
        <w:spacing w:line="600" w:lineRule="exact"/>
        <w:ind w:firstLine="640"/>
        <w:outlineLvl w:val="1"/>
        <w:rPr>
          <w:rStyle w:val="17"/>
          <w:rFonts w:ascii="黑体" w:hAnsi="黑体" w:eastAsia="黑体"/>
          <w:color w:val="auto"/>
          <w:highlight w:val="none"/>
        </w:rPr>
      </w:pPr>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left="0" w:firstLine="640"/>
        <w:outlineLvl w:val="1"/>
        <w:rPr>
          <w:rStyle w:val="17"/>
          <w:rFonts w:ascii="黑体" w:hAnsi="黑体" w:eastAsia="黑体"/>
          <w:b w:val="0"/>
          <w:color w:val="auto"/>
          <w:highlight w:val="none"/>
        </w:rPr>
      </w:pPr>
      <w:bookmarkStart w:id="42" w:name="_Toc15396611"/>
      <w:bookmarkStart w:id="43" w:name="_Toc15377219"/>
      <w:r>
        <w:rPr>
          <w:rStyle w:val="1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left="0" w:firstLine="640"/>
        <w:outlineLvl w:val="1"/>
        <w:rPr>
          <w:rStyle w:val="17"/>
          <w:rFonts w:hint="eastAsia" w:ascii="黑体" w:hAnsi="黑体" w:eastAsia="黑体"/>
          <w:b w:val="0"/>
          <w:color w:val="auto"/>
          <w:highlight w:val="none"/>
        </w:rPr>
      </w:pPr>
      <w:bookmarkStart w:id="44" w:name="_Toc15377221"/>
      <w:bookmarkStart w:id="45" w:name="_Toc15396612"/>
      <w:r>
        <w:rPr>
          <w:rStyle w:val="1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（或与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年决算数持平）。主要原因是</w:t>
      </w:r>
      <w:r>
        <w:rPr>
          <w:rFonts w:hint="eastAsia" w:ascii="仿宋_GB2312" w:eastAsia="仿宋_GB2312"/>
          <w:color w:val="auto"/>
          <w:sz w:val="32"/>
          <w:szCs w:val="32"/>
          <w:highlight w:val="none"/>
          <w:lang w:val="en-US" w:eastAsia="zh-CN"/>
        </w:rPr>
        <w:t>无</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妇计中心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免费孕检、婚检、“两癌”筛查、艾滋病宣传以及急救等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5"/>
        <w:ind w:firstLine="640" w:firstLineChars="200"/>
        <w:rPr>
          <w:color w:val="FF0000"/>
          <w:highlight w:val="yellow"/>
        </w:rPr>
      </w:pPr>
      <w:r>
        <w:rPr>
          <w:rFonts w:hint="eastAsia" w:ascii="仿宋_GB2312" w:hAnsi="仿宋_GB2312" w:eastAsia="仿宋_GB2312" w:cs="仿宋_GB2312"/>
          <w:b w:val="0"/>
          <w:bCs w:val="0"/>
          <w:color w:val="auto"/>
          <w:sz w:val="32"/>
          <w:szCs w:val="32"/>
          <w:highlight w:val="none"/>
        </w:rPr>
        <w:t>根据预算绩效管理要求，本单位在202</w:t>
      </w:r>
      <w:r>
        <w:rPr>
          <w:rFonts w:hint="eastAsia"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年度预算编制阶段，组织对增补叶酸预防神、两癌筛查、免费婚检</w:t>
      </w:r>
      <w:r>
        <w:rPr>
          <w:rFonts w:hint="eastAsia" w:hAnsi="仿宋_GB2312" w:cs="仿宋_GB2312"/>
          <w:b w:val="0"/>
          <w:bCs w:val="0"/>
          <w:color w:val="auto"/>
          <w:sz w:val="32"/>
          <w:szCs w:val="32"/>
          <w:highlight w:val="none"/>
          <w:lang w:eastAsia="zh-CN"/>
        </w:rPr>
        <w:t>、2022年取消药品加成省级补助资金、严重精神障碍患者服务管理费用 、艾滋病防治、重大传染病防控、2022年免费婚检省级资金、两癌筛查</w:t>
      </w:r>
      <w:r>
        <w:rPr>
          <w:rFonts w:hint="eastAsia" w:ascii="仿宋_GB2312" w:hAnsi="仿宋_GB2312" w:eastAsia="仿宋_GB2312" w:cs="仿宋_GB2312"/>
          <w:b w:val="0"/>
          <w:bCs w:val="0"/>
          <w:color w:val="auto"/>
          <w:sz w:val="32"/>
          <w:szCs w:val="32"/>
          <w:highlight w:val="none"/>
        </w:rPr>
        <w:t>项目（项目名称）等</w:t>
      </w:r>
      <w:r>
        <w:rPr>
          <w:rFonts w:hint="eastAsia"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个项目开展了预算事前绩效评估，对</w:t>
      </w:r>
      <w:r>
        <w:rPr>
          <w:rFonts w:hint="eastAsia"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个项目编制了绩效目标，预算执行过程中，选取</w:t>
      </w:r>
      <w:r>
        <w:rPr>
          <w:rFonts w:hint="eastAsia"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个项目开展绩效监控，组织对</w:t>
      </w:r>
      <w:r>
        <w:rPr>
          <w:rFonts w:hint="eastAsia"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个项目开展绩效自评，绩效自评表详见</w:t>
      </w:r>
      <w:r>
        <w:rPr>
          <w:rFonts w:hint="eastAsia" w:hAnsi="仿宋_GB2312" w:cs="仿宋_GB2312"/>
          <w:b w:val="0"/>
          <w:bCs w:val="0"/>
          <w:color w:val="auto"/>
          <w:sz w:val="32"/>
          <w:szCs w:val="32"/>
          <w:highlight w:val="none"/>
          <w:lang w:eastAsia="zh-CN"/>
        </w:rPr>
        <w:t>第四部分</w:t>
      </w:r>
      <w:r>
        <w:rPr>
          <w:rFonts w:hint="eastAsia" w:ascii="仿宋_GB2312" w:hAnsi="仿宋_GB2312" w:eastAsia="仿宋_GB2312" w:cs="仿宋_GB2312"/>
          <w:b w:val="0"/>
          <w:bCs w:val="0"/>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left="0" w:firstLine="660" w:firstLineChars="150"/>
        <w:jc w:val="center"/>
        <w:outlineLvl w:val="0"/>
        <w:rPr>
          <w:rStyle w:val="16"/>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财政事务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财政委托业务支出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反映财政委托评审机构进行财政投资评审和委托建设银行等机构代理业务发生的支出。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事业单位离退休</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反映事业单位开支的离退休经费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行政事业单位养老支出（款）机关事业单位基本养老保险缴费支出（项）反映机关事业单位实施养老保险制度由单位缴纳的基本养老保险缴费支出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6"/>
          <w:rFonts w:ascii="黑体" w:hAnsi="黑体" w:eastAsia="黑体"/>
          <w:b w:val="0"/>
          <w:color w:val="auto"/>
          <w:highlight w:val="none"/>
        </w:rPr>
      </w:pPr>
      <w:bookmarkStart w:id="51" w:name="_Toc15396614"/>
      <w:bookmarkStart w:id="52" w:name="_Toc15377226"/>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51"/>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53" w:name="_Toc15396618"/>
      <w:r>
        <w:rPr>
          <w:rFonts w:hint="eastAsia" w:ascii="宋体" w:hAnsi="宋体" w:eastAsia="宋体" w:cs="宋体"/>
          <w:color w:val="auto"/>
          <w:kern w:val="0"/>
          <w:sz w:val="32"/>
          <w:szCs w:val="32"/>
          <w:highlight w:val="none"/>
          <w:lang w:val="en-US" w:eastAsia="zh-CN" w:bidi="ar-SA"/>
        </w:rPr>
        <w:t>部门预算项目支出绩效自评表（2022年度）</w:t>
      </w:r>
    </w:p>
    <w:p>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tbl>
      <w:tblPr>
        <w:tblStyle w:val="12"/>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03"/>
        <w:gridCol w:w="1137"/>
        <w:gridCol w:w="1441"/>
        <w:gridCol w:w="396"/>
        <w:gridCol w:w="1078"/>
        <w:gridCol w:w="396"/>
        <w:gridCol w:w="846"/>
        <w:gridCol w:w="486"/>
        <w:gridCol w:w="396"/>
        <w:gridCol w:w="1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8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51090422T000000379876-农村妇女宫颈癌和乳腺癌检查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4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4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4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1.完成35-64 岁农村妇女宫颈癌检查4000名和乳腺癌检查3600名。2.普及“两癌”防治知识，增强农村妇女自我保健意识和技能，提高“两癌”早诊率，宫颈癌早诊率达到90%以上，乳腺癌早诊率达到60%以上，对检查异常/可疑病例的随访管理率达到95%以上。3.不断扩大“两癌”检查覆盖范围和覆盖人数，在贫困地区以县为单位实现“两癌”检查工作全覆盖。逐步提高“两癌”检查目标人群覆盖率。</w:t>
            </w:r>
          </w:p>
        </w:tc>
        <w:tc>
          <w:tcPr>
            <w:tcW w:w="3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8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2022年实施免费完成35-64 岁农村妇女宫颈癌</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2022年实施免费完成35-64 岁农村妇女乳腺癌检查</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对检查异常/可疑病例的随访管理率达到</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乳腺癌早诊率达到</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农村妇女宫颈癌早诊率达到</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2022年12月31日前完成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提高“两癌”早诊早治率，降低死亡率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逐步提高农村妇女自我保健意识。</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通过项目的实施，力争使安居区相关部门和服务人群对项目实施的满意度达到较高水平。</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9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2022年度安居区“两癌”筛查</w:t>
            </w:r>
            <w:r>
              <w:rPr>
                <w:rFonts w:hint="eastAsia" w:ascii="微软雅黑" w:hAnsi="微软雅黑" w:eastAsia="微软雅黑" w:cs="微软雅黑"/>
                <w:i/>
                <w:iCs/>
                <w:color w:val="000000"/>
                <w:sz w:val="16"/>
                <w:szCs w:val="16"/>
                <w:u w:val="none"/>
                <w:lang w:eastAsia="zh-CN"/>
              </w:rPr>
              <w:t>共检出</w:t>
            </w:r>
            <w:r>
              <w:rPr>
                <w:rFonts w:hint="eastAsia" w:ascii="微软雅黑" w:hAnsi="微软雅黑" w:eastAsia="微软雅黑" w:cs="微软雅黑"/>
                <w:i/>
                <w:iCs/>
                <w:color w:val="000000"/>
                <w:sz w:val="16"/>
                <w:szCs w:val="16"/>
                <w:u w:val="none"/>
              </w:rPr>
              <w:t>宫颈癌</w:t>
            </w:r>
            <w:r>
              <w:rPr>
                <w:rFonts w:hint="eastAsia" w:ascii="微软雅黑" w:hAnsi="微软雅黑" w:eastAsia="微软雅黑" w:cs="微软雅黑"/>
                <w:i/>
                <w:iCs/>
                <w:color w:val="000000"/>
                <w:sz w:val="16"/>
                <w:szCs w:val="16"/>
                <w:u w:val="none"/>
                <w:lang w:val="en-US" w:eastAsia="zh-CN"/>
              </w:rPr>
              <w:t>1人，宫颈癌前病变检出7人</w:t>
            </w:r>
            <w:r>
              <w:rPr>
                <w:rFonts w:hint="eastAsia" w:ascii="微软雅黑" w:hAnsi="微软雅黑" w:eastAsia="微软雅黑" w:cs="微软雅黑"/>
                <w:i/>
                <w:iCs/>
                <w:color w:val="000000"/>
                <w:sz w:val="16"/>
                <w:szCs w:val="16"/>
                <w:u w:val="none"/>
              </w:rPr>
              <w:t>，</w:t>
            </w:r>
            <w:r>
              <w:rPr>
                <w:rFonts w:hint="eastAsia" w:ascii="微软雅黑" w:hAnsi="微软雅黑" w:eastAsia="微软雅黑" w:cs="微软雅黑"/>
                <w:i/>
                <w:iCs/>
                <w:color w:val="000000"/>
                <w:sz w:val="16"/>
                <w:szCs w:val="16"/>
                <w:u w:val="none"/>
                <w:lang w:eastAsia="zh-CN"/>
              </w:rPr>
              <w:t>高级别病变</w:t>
            </w:r>
            <w:r>
              <w:rPr>
                <w:rFonts w:hint="eastAsia" w:ascii="微软雅黑" w:hAnsi="微软雅黑" w:eastAsia="微软雅黑" w:cs="微软雅黑"/>
                <w:i/>
                <w:iCs/>
                <w:color w:val="000000"/>
                <w:sz w:val="16"/>
                <w:szCs w:val="16"/>
                <w:u w:val="none"/>
                <w:lang w:val="en-US" w:eastAsia="zh-CN"/>
              </w:rPr>
              <w:t>11人，</w:t>
            </w:r>
            <w:r>
              <w:rPr>
                <w:rFonts w:hint="eastAsia" w:ascii="微软雅黑" w:hAnsi="微软雅黑" w:eastAsia="微软雅黑" w:cs="微软雅黑"/>
                <w:i/>
                <w:iCs/>
                <w:color w:val="000000"/>
                <w:sz w:val="16"/>
                <w:szCs w:val="16"/>
                <w:u w:val="none"/>
                <w:lang w:eastAsia="zh-CN"/>
              </w:rPr>
              <w:t>发现疑似</w:t>
            </w:r>
            <w:r>
              <w:rPr>
                <w:rFonts w:hint="eastAsia" w:ascii="微软雅黑" w:hAnsi="微软雅黑" w:eastAsia="微软雅黑" w:cs="微软雅黑"/>
                <w:i/>
                <w:iCs/>
                <w:color w:val="000000"/>
                <w:sz w:val="16"/>
                <w:szCs w:val="16"/>
                <w:u w:val="none"/>
              </w:rPr>
              <w:t>乳腺癌</w:t>
            </w:r>
            <w:r>
              <w:rPr>
                <w:rFonts w:hint="eastAsia" w:ascii="微软雅黑" w:hAnsi="微软雅黑" w:eastAsia="微软雅黑" w:cs="微软雅黑"/>
                <w:i/>
                <w:iCs/>
                <w:color w:val="000000"/>
                <w:sz w:val="16"/>
                <w:szCs w:val="16"/>
                <w:u w:val="none"/>
                <w:lang w:val="en-US" w:eastAsia="zh-CN"/>
              </w:rPr>
              <w:t>3</w:t>
            </w:r>
            <w:r>
              <w:rPr>
                <w:rFonts w:hint="eastAsia" w:ascii="微软雅黑" w:hAnsi="微软雅黑" w:eastAsia="微软雅黑" w:cs="微软雅黑"/>
                <w:i/>
                <w:iCs/>
                <w:color w:val="000000"/>
                <w:sz w:val="16"/>
                <w:szCs w:val="16"/>
                <w:u w:val="none"/>
              </w:rPr>
              <w:t>人。宫颈癌初筛后转诊到</w:t>
            </w:r>
            <w:r>
              <w:rPr>
                <w:rFonts w:hint="eastAsia" w:ascii="微软雅黑" w:hAnsi="微软雅黑" w:eastAsia="微软雅黑" w:cs="微软雅黑"/>
                <w:i/>
                <w:iCs/>
                <w:color w:val="000000"/>
                <w:sz w:val="16"/>
                <w:szCs w:val="16"/>
                <w:u w:val="none"/>
                <w:lang w:eastAsia="zh-CN"/>
              </w:rPr>
              <w:t>遂宁市中心医院接受治疗</w:t>
            </w:r>
            <w:r>
              <w:rPr>
                <w:rFonts w:hint="eastAsia" w:ascii="微软雅黑" w:hAnsi="微软雅黑" w:eastAsia="微软雅黑" w:cs="微软雅黑"/>
                <w:i/>
                <w:iCs/>
                <w:color w:val="000000"/>
                <w:sz w:val="16"/>
                <w:szCs w:val="16"/>
                <w:u w:val="none"/>
                <w:lang w:val="en-US" w:eastAsia="zh-CN"/>
              </w:rPr>
              <w:t>8</w:t>
            </w:r>
            <w:r>
              <w:rPr>
                <w:rFonts w:hint="eastAsia" w:ascii="微软雅黑" w:hAnsi="微软雅黑" w:eastAsia="微软雅黑" w:cs="微软雅黑"/>
                <w:i/>
                <w:iCs/>
                <w:color w:val="000000"/>
                <w:sz w:val="16"/>
                <w:szCs w:val="16"/>
                <w:u w:val="none"/>
              </w:rPr>
              <w:t>人</w:t>
            </w:r>
            <w:r>
              <w:rPr>
                <w:rFonts w:hint="eastAsia" w:ascii="微软雅黑" w:hAnsi="微软雅黑" w:eastAsia="微软雅黑" w:cs="微软雅黑"/>
                <w:i/>
                <w:iCs/>
                <w:color w:val="000000"/>
                <w:sz w:val="16"/>
                <w:szCs w:val="16"/>
                <w:u w:val="none"/>
                <w:lang w:eastAsia="zh-CN"/>
              </w:rPr>
              <w:t>，乳腺癌初筛后转诊到遂宁市中医院接受治疗</w:t>
            </w:r>
            <w:r>
              <w:rPr>
                <w:rFonts w:hint="eastAsia" w:ascii="微软雅黑" w:hAnsi="微软雅黑" w:eastAsia="微软雅黑" w:cs="微软雅黑"/>
                <w:i/>
                <w:iCs/>
                <w:color w:val="000000"/>
                <w:sz w:val="16"/>
                <w:szCs w:val="16"/>
                <w:u w:val="none"/>
                <w:lang w:val="en-US" w:eastAsia="zh-CN"/>
              </w:rPr>
              <w:t>3人</w:t>
            </w:r>
            <w:r>
              <w:rPr>
                <w:rFonts w:hint="eastAsia" w:ascii="微软雅黑" w:hAnsi="微软雅黑" w:eastAsia="微软雅黑" w:cs="微软雅黑"/>
                <w:i/>
                <w:iCs/>
                <w:color w:val="000000"/>
                <w:sz w:val="16"/>
                <w:szCs w:val="16"/>
                <w:u w:val="none"/>
                <w:lang w:eastAsia="zh-CN"/>
              </w:rPr>
              <w:t>，</w:t>
            </w:r>
            <w:r>
              <w:rPr>
                <w:rFonts w:hint="eastAsia" w:ascii="微软雅黑" w:hAnsi="微软雅黑" w:eastAsia="微软雅黑" w:cs="微软雅黑"/>
                <w:i/>
                <w:iCs/>
                <w:color w:val="000000"/>
                <w:sz w:val="16"/>
                <w:szCs w:val="16"/>
                <w:u w:val="none"/>
              </w:rPr>
              <w:t>实现了早发现、早治疗、早干预的目标，促进了妇女身心健康，受到了社会好评</w:t>
            </w:r>
            <w:r>
              <w:rPr>
                <w:rFonts w:hint="eastAsia" w:ascii="微软雅黑" w:hAnsi="微软雅黑" w:eastAsia="微软雅黑" w:cs="微软雅黑"/>
                <w:i/>
                <w:iCs/>
                <w:color w:val="000000"/>
                <w:sz w:val="16"/>
                <w:szCs w:val="16"/>
                <w:u w:val="none"/>
                <w:lang w:eastAsia="zh-CN"/>
              </w:rPr>
              <w:t>。</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9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两癌”免费筛查未能全面铺开。目前政府每年按照目标任务数补助筛查资金，但是对照我区10万35-64周岁农村妇女，3740的目标任务数只是杯水车薪，远远不能满足广大农村妇女的需求和期望，难以使该项工作的全面有效铺开。</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9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建议进一步加大政府投入。扩大“两癌”免费筛查面，惠及更多的适龄妇女。</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8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5"/>
        <w:rPr>
          <w:rFonts w:hint="eastAsia" w:ascii="仿宋_GB2312" w:hAnsi="Calibri" w:eastAsia="仿宋_GB2312" w:cs="仿宋"/>
          <w:color w:val="auto"/>
          <w:kern w:val="0"/>
          <w:sz w:val="32"/>
          <w:szCs w:val="32"/>
          <w:highlight w:val="none"/>
          <w:lang w:val="en-US" w:eastAsia="zh-CN" w:bidi="ar-SA"/>
        </w:rPr>
      </w:pPr>
    </w:p>
    <w:tbl>
      <w:tblPr>
        <w:tblStyle w:val="1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34"/>
        <w:gridCol w:w="1163"/>
        <w:gridCol w:w="1465"/>
        <w:gridCol w:w="396"/>
        <w:gridCol w:w="1103"/>
        <w:gridCol w:w="396"/>
        <w:gridCol w:w="846"/>
        <w:gridCol w:w="486"/>
        <w:gridCol w:w="396"/>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8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51090422T000000403442-农村妇女增补叶酸预防神经管缺陷检查项目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遂宁市安居区妇幼保健计划生育服务中心部门</w:t>
            </w:r>
          </w:p>
        </w:tc>
        <w:tc>
          <w:tcPr>
            <w:tcW w:w="7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对全区准备怀孕的农村妇女免费增补叶酸，目标人群增补叶酸服用率98%以上，叶酸服用依从率达95%，知识知晓率达95%以上.每年12月31日前完成农村孕产妇增补叶酸5000人次</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农村孕产妇增补叶酸</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怀孕的农村妇女免费增补叶酸，目标人群增补叶酸服用率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2022年12月31日前完成</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负责叶酸发放登记、信息收集报送</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开展项目的宣传教育、人员培训、组织分发</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怀孕的农村妇女免费增补叶酸，目标人群增补叶酸服用率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组织实施的项目符合国家相关政策、成熟度高、带动性强、有利于促进各项工作有序开展</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体现政策导向，保障工作平稳进行。</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通过项目的实施，力争使安居区相关部门和服务人群对项目实施的满意度达到较高水平。</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3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93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t>20</w:t>
            </w:r>
            <w:r>
              <w:rPr>
                <w:rFonts w:hint="eastAsia" w:ascii="微软雅黑" w:hAnsi="微软雅黑" w:eastAsia="微软雅黑" w:cs="微软雅黑"/>
                <w:i/>
                <w:iCs/>
                <w:color w:val="000000"/>
                <w:sz w:val="16"/>
                <w:szCs w:val="16"/>
                <w:u w:val="none"/>
                <w:lang w:val="en-US" w:eastAsia="zh-CN"/>
              </w:rPr>
              <w:t>22</w:t>
            </w:r>
            <w:r>
              <w:rPr>
                <w:rFonts w:hint="eastAsia" w:ascii="微软雅黑" w:hAnsi="微软雅黑" w:eastAsia="微软雅黑" w:cs="微软雅黑"/>
                <w:i/>
                <w:iCs/>
                <w:color w:val="000000"/>
                <w:sz w:val="16"/>
                <w:szCs w:val="16"/>
                <w:u w:val="none"/>
              </w:rPr>
              <w:t>年</w:t>
            </w:r>
            <w:r>
              <w:rPr>
                <w:rFonts w:hint="eastAsia" w:ascii="微软雅黑" w:hAnsi="微软雅黑" w:eastAsia="微软雅黑" w:cs="微软雅黑"/>
                <w:i/>
                <w:iCs/>
                <w:color w:val="000000"/>
                <w:sz w:val="16"/>
                <w:szCs w:val="16"/>
                <w:u w:val="none"/>
                <w:lang w:val="en-US" w:eastAsia="zh-CN"/>
              </w:rPr>
              <w:t>我区叶酸分配任务数3000人，</w:t>
            </w:r>
            <w:r>
              <w:rPr>
                <w:rFonts w:hint="eastAsia" w:ascii="微软雅黑" w:hAnsi="微软雅黑" w:eastAsia="微软雅黑" w:cs="微软雅黑"/>
                <w:i/>
                <w:iCs/>
                <w:color w:val="000000"/>
                <w:sz w:val="16"/>
                <w:szCs w:val="16"/>
                <w:u w:val="none"/>
                <w:lang w:eastAsia="zh-CN"/>
              </w:rPr>
              <w:t>城乡生育</w:t>
            </w:r>
            <w:r>
              <w:rPr>
                <w:rFonts w:hint="eastAsia" w:ascii="微软雅黑" w:hAnsi="微软雅黑" w:eastAsia="微软雅黑" w:cs="微软雅黑"/>
                <w:i/>
                <w:iCs/>
                <w:color w:val="000000"/>
                <w:sz w:val="16"/>
                <w:szCs w:val="16"/>
                <w:u w:val="none"/>
              </w:rPr>
              <w:t>妇女孕前和早孕期叶酸服用人数共计</w:t>
            </w:r>
            <w:r>
              <w:rPr>
                <w:rFonts w:hint="eastAsia" w:ascii="微软雅黑" w:hAnsi="微软雅黑" w:eastAsia="微软雅黑" w:cs="微软雅黑"/>
                <w:i/>
                <w:iCs/>
                <w:color w:val="000000"/>
                <w:sz w:val="16"/>
                <w:szCs w:val="16"/>
                <w:u w:val="none"/>
                <w:lang w:val="en-US" w:eastAsia="zh-CN"/>
              </w:rPr>
              <w:t>3587</w:t>
            </w:r>
            <w:r>
              <w:rPr>
                <w:rFonts w:hint="eastAsia" w:ascii="微软雅黑" w:hAnsi="微软雅黑" w:eastAsia="微软雅黑" w:cs="微软雅黑"/>
                <w:i/>
                <w:iCs/>
                <w:color w:val="000000"/>
                <w:sz w:val="16"/>
                <w:szCs w:val="16"/>
                <w:u w:val="none"/>
              </w:rPr>
              <w:t>人，服用率达</w:t>
            </w:r>
            <w:r>
              <w:rPr>
                <w:rFonts w:hint="eastAsia" w:ascii="微软雅黑" w:hAnsi="微软雅黑" w:eastAsia="微软雅黑" w:cs="微软雅黑"/>
                <w:i/>
                <w:iCs/>
                <w:color w:val="000000"/>
                <w:sz w:val="16"/>
                <w:szCs w:val="16"/>
                <w:u w:val="none"/>
                <w:lang w:val="en-US" w:eastAsia="zh-CN"/>
              </w:rPr>
              <w:t>95.32</w:t>
            </w:r>
            <w:r>
              <w:rPr>
                <w:rFonts w:hint="eastAsia" w:ascii="微软雅黑" w:hAnsi="微软雅黑" w:eastAsia="微软雅黑" w:cs="微软雅黑"/>
                <w:i/>
                <w:iCs/>
                <w:color w:val="000000"/>
                <w:sz w:val="16"/>
                <w:szCs w:val="16"/>
                <w:u w:val="none"/>
              </w:rPr>
              <w:t>%。</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93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1.育龄妇女能流动性较大，村卫生室工作人员未能全面的了解育龄妇女的孕育状况；2.部分乡镇卫生院叶酸登记册登记不完整，有漏登和缺项等现象。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93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1.针对育龄妇女能流动性较大现象，村卫生室加强摸底工作，全面的了解本村育龄妇女的孕育状况；</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2.加强督导工作，完善叶酸登记工作，避免漏登和缺项等现象。</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7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tbl>
      <w:tblPr>
        <w:tblStyle w:val="12"/>
        <w:tblW w:w="9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34"/>
        <w:gridCol w:w="1163"/>
        <w:gridCol w:w="1465"/>
        <w:gridCol w:w="396"/>
        <w:gridCol w:w="1082"/>
        <w:gridCol w:w="396"/>
        <w:gridCol w:w="846"/>
        <w:gridCol w:w="486"/>
        <w:gridCol w:w="39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9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51090422T000000403451--计划生育避孕药具管理发放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遂宁市安居区妇幼保健计划生育服务中心部门</w:t>
            </w:r>
          </w:p>
        </w:tc>
        <w:tc>
          <w:tcPr>
            <w:tcW w:w="75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3"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根据《人口与计划生育法》相关规定，贯彻新时期卫生与健 康工作方针，落实《“十三五”推进基本公共服务均等化规划》和 《十三五”卫生与健康规划》，维护广大育龄群众生殖健康。1.提高基本避孕药具发放服务可及性，使育龄群众获得规范、适宜的避孕服务。 2.增强育龄群众预防非意愿妊娠的意识和能力，促进育龄夫妻保持适当的生育间隔，保护女性健康和生育能力，保障母婴健康。县级计划生育药具管理机构主要承担以下任务.1药具运输、仓储设备购置和维护，仓储场地租用2.质量抽查检测.3.开展咨询指导、提供药具和信息登记.</w:t>
            </w:r>
          </w:p>
        </w:tc>
        <w:tc>
          <w:tcPr>
            <w:tcW w:w="3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维护广大育龄群众生殖健康</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2022年12月31日前完成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开展咨询指导、提供药具和信息登记</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药具运输、仓储设备购置和维护，仓储场地 租用、质量抽查检测</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控制人口数量，稳定低生育水平的物质保障</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组织实施的项目符合国家相关政策、成熟度高、带动性强、有利于促进各项工作有序开展。</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生态效益指标良好</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体现政策导向，保障工作平稳进行。</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：通过项目的实施，力争使安居区相关部门和服务人群对项目实施的满意度达到较高水平。</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9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区妇计中心严格按照</w:t>
            </w:r>
            <w:r>
              <w:rPr>
                <w:rFonts w:hint="eastAsia" w:ascii="微软雅黑" w:hAnsi="微软雅黑" w:eastAsia="微软雅黑" w:cs="微软雅黑"/>
                <w:i/>
                <w:iCs/>
                <w:color w:val="000000"/>
                <w:sz w:val="16"/>
                <w:szCs w:val="16"/>
                <w:u w:val="none"/>
              </w:rPr>
              <w:t>《人口与计划生育法》</w:t>
            </w:r>
            <w:r>
              <w:rPr>
                <w:rFonts w:hint="eastAsia" w:ascii="微软雅黑" w:hAnsi="微软雅黑" w:eastAsia="微软雅黑" w:cs="微软雅黑"/>
                <w:i/>
                <w:iCs/>
                <w:color w:val="000000"/>
                <w:sz w:val="16"/>
                <w:szCs w:val="16"/>
                <w:u w:val="none"/>
                <w:lang w:val="en-US" w:eastAsia="zh-CN"/>
              </w:rPr>
              <w:t>有关规定和计划生育技术服务操作规范，实实在在为全区广大育龄夫妇落实好了环孕情监测、优生优育、避孕节育、生殖健康服务。</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9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rPr>
              <w:t>部门之间在工作上配合不太到位</w:t>
            </w:r>
            <w:r>
              <w:rPr>
                <w:rFonts w:hint="eastAsia" w:ascii="微软雅黑" w:hAnsi="微软雅黑" w:eastAsia="微软雅黑" w:cs="微软雅黑"/>
                <w:i/>
                <w:iCs/>
                <w:color w:val="000000"/>
                <w:sz w:val="16"/>
                <w:szCs w:val="16"/>
                <w:u w:val="none"/>
                <w:lang w:eastAsia="zh-CN"/>
              </w:rPr>
              <w:t>，</w:t>
            </w:r>
            <w:r>
              <w:rPr>
                <w:rFonts w:hint="eastAsia" w:ascii="微软雅黑" w:hAnsi="微软雅黑" w:eastAsia="微软雅黑" w:cs="微软雅黑"/>
                <w:i/>
                <w:iCs/>
                <w:color w:val="000000"/>
                <w:sz w:val="16"/>
                <w:szCs w:val="16"/>
                <w:u w:val="none"/>
              </w:rPr>
              <w:t>部门预算控制工作需进一步提高</w:t>
            </w:r>
            <w:r>
              <w:rPr>
                <w:rFonts w:hint="eastAsia" w:ascii="微软雅黑" w:hAnsi="微软雅黑" w:eastAsia="微软雅黑" w:cs="微软雅黑"/>
                <w:i/>
                <w:iCs/>
                <w:color w:val="000000"/>
                <w:sz w:val="16"/>
                <w:szCs w:val="16"/>
                <w:u w:val="none"/>
                <w:lang w:eastAsia="zh-CN"/>
              </w:rPr>
              <w:t>。</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9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rPr>
              <w:t>加强部门工作沟通，协调各项职能</w:t>
            </w:r>
            <w:r>
              <w:rPr>
                <w:rFonts w:hint="eastAsia" w:ascii="微软雅黑" w:hAnsi="微软雅黑" w:eastAsia="微软雅黑" w:cs="微软雅黑"/>
                <w:i/>
                <w:iCs/>
                <w:color w:val="000000"/>
                <w:sz w:val="16"/>
                <w:szCs w:val="16"/>
                <w:u w:val="none"/>
                <w:lang w:eastAsia="zh-CN"/>
              </w:rPr>
              <w:t>，</w:t>
            </w:r>
            <w:r>
              <w:rPr>
                <w:rFonts w:hint="eastAsia" w:ascii="微软雅黑" w:hAnsi="微软雅黑" w:eastAsia="微软雅黑" w:cs="微软雅黑"/>
                <w:i/>
                <w:iCs/>
                <w:color w:val="000000"/>
                <w:sz w:val="16"/>
                <w:szCs w:val="16"/>
                <w:u w:val="none"/>
              </w:rPr>
              <w:t>加强对项目经费的拨付力度，确保项目经费在当年度拨付到位，确保项目的实施</w:t>
            </w:r>
            <w:r>
              <w:rPr>
                <w:rFonts w:hint="eastAsia" w:ascii="微软雅黑" w:hAnsi="微软雅黑" w:eastAsia="微软雅黑" w:cs="微软雅黑"/>
                <w:i/>
                <w:iCs/>
                <w:color w:val="000000"/>
                <w:sz w:val="16"/>
                <w:szCs w:val="16"/>
                <w:u w:val="none"/>
                <w:lang w:eastAsia="zh-CN"/>
              </w:rPr>
              <w:t>。</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7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tbl>
      <w:tblPr>
        <w:tblStyle w:val="12"/>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23"/>
        <w:gridCol w:w="1153"/>
        <w:gridCol w:w="1452"/>
        <w:gridCol w:w="396"/>
        <w:gridCol w:w="1072"/>
        <w:gridCol w:w="396"/>
        <w:gridCol w:w="846"/>
        <w:gridCol w:w="486"/>
        <w:gridCol w:w="396"/>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9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8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51090422T000000403498-预防艾滋、梅毒、乙肝母婴传播阻断项目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遂宁市安居区妇幼保健计划生育服务中心部门</w:t>
            </w:r>
          </w:p>
        </w:tc>
        <w:tc>
          <w:tcPr>
            <w:tcW w:w="75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7"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咨询检测率达100%，免费为艾滋病感染孕产妇及所娩儿童抗艾滋病毒用药率80%以上，梅毒感染孕产妇及所娩儿童规范诊疗率80%以上，乙肝感染孕产妇所生新生儿乙肝免疫球蛋白注射率达95%以上;孕产妇艾滋病孕期检测率达90%以上；艾滋病母婴传播率下降至5%以下，先天梅毒报告发病率下降至15/10万以下。1.强化宣传教育，开展公益宣传材料费、印制费2万元2.落实专人负责随访干预、治疗管理培训费、督导检查费1万元　3.建立健全台账簿册相关办公经费2万元</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8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开展公益宣传材料费、印制费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建立健全台账簿册</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落实专人负责随访干预、治疗管理培训费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乙肝感染孕产妇所生新生儿乙肝免疫球蛋白注射率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免费为艾滋病感染孕产妇及所娩儿童抗艾滋病毒用药率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梅毒感染孕产妇及所娩儿童规范诊疗率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2021年12月31日前完成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建立健全台账簿册</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落实专人负责随访干预、治疗管理培训费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开展公益宣传材料费、印制费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乙肝感染孕产妇所生新生儿乙肝免疫球蛋白注射率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免费为艾滋病感染孕产妇及所娩儿童抗艾滋病毒用药率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梅毒感染孕产妇及所娩儿童规范诊疗率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组织实施的项目符合国家相关政策、成熟度高、带动性强、有利于促进各项工作有序开展。</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体现政策导向，保障工作平稳进行。</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通过项目的实施，力争使安居区相关部门和服务人群对项目实施的满意度达到较高水平。</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7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92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t>我</w:t>
            </w:r>
            <w:r>
              <w:rPr>
                <w:rFonts w:hint="eastAsia" w:ascii="微软雅黑" w:hAnsi="微软雅黑" w:eastAsia="微软雅黑" w:cs="微软雅黑"/>
                <w:i/>
                <w:iCs/>
                <w:color w:val="000000"/>
                <w:sz w:val="16"/>
                <w:szCs w:val="16"/>
                <w:u w:val="none"/>
                <w:lang w:eastAsia="zh-CN"/>
              </w:rPr>
              <w:t>区</w:t>
            </w:r>
            <w:r>
              <w:rPr>
                <w:rFonts w:hint="eastAsia" w:ascii="微软雅黑" w:hAnsi="微软雅黑" w:eastAsia="微软雅黑" w:cs="微软雅黑"/>
                <w:i/>
                <w:iCs/>
                <w:color w:val="000000"/>
                <w:sz w:val="16"/>
                <w:szCs w:val="16"/>
                <w:u w:val="none"/>
              </w:rPr>
              <w:t>艾滋病、梅毒和乙肝母婴阻断检测</w:t>
            </w:r>
            <w:r>
              <w:rPr>
                <w:rFonts w:hint="eastAsia" w:ascii="微软雅黑" w:hAnsi="微软雅黑" w:eastAsia="微软雅黑" w:cs="微软雅黑"/>
                <w:i/>
                <w:iCs/>
                <w:color w:val="000000"/>
                <w:sz w:val="16"/>
                <w:szCs w:val="16"/>
                <w:u w:val="none"/>
                <w:lang w:val="en-US" w:eastAsia="zh-CN"/>
              </w:rPr>
              <w:t>1743</w:t>
            </w:r>
            <w:r>
              <w:rPr>
                <w:rFonts w:hint="eastAsia" w:ascii="微软雅黑" w:hAnsi="微软雅黑" w:eastAsia="微软雅黑" w:cs="微软雅黑"/>
                <w:i/>
                <w:iCs/>
                <w:color w:val="000000"/>
                <w:sz w:val="16"/>
                <w:szCs w:val="16"/>
                <w:u w:val="none"/>
              </w:rPr>
              <w:t>人，检测率9</w:t>
            </w:r>
            <w:r>
              <w:rPr>
                <w:rFonts w:hint="eastAsia" w:ascii="微软雅黑" w:hAnsi="微软雅黑" w:eastAsia="微软雅黑" w:cs="微软雅黑"/>
                <w:i/>
                <w:iCs/>
                <w:color w:val="000000"/>
                <w:sz w:val="16"/>
                <w:szCs w:val="16"/>
                <w:u w:val="none"/>
                <w:lang w:val="en-US" w:eastAsia="zh-CN"/>
              </w:rPr>
              <w:t>9</w:t>
            </w:r>
            <w:r>
              <w:rPr>
                <w:rFonts w:hint="eastAsia" w:ascii="微软雅黑" w:hAnsi="微软雅黑" w:eastAsia="微软雅黑" w:cs="微软雅黑"/>
                <w:i/>
                <w:iCs/>
                <w:color w:val="000000"/>
                <w:sz w:val="16"/>
                <w:szCs w:val="16"/>
                <w:u w:val="none"/>
              </w:rPr>
              <w:t>%。其中筛出梅毒</w:t>
            </w:r>
            <w:r>
              <w:rPr>
                <w:rFonts w:hint="eastAsia" w:ascii="微软雅黑" w:hAnsi="微软雅黑" w:eastAsia="微软雅黑" w:cs="微软雅黑"/>
                <w:i/>
                <w:iCs/>
                <w:color w:val="000000"/>
                <w:sz w:val="16"/>
                <w:szCs w:val="16"/>
                <w:u w:val="none"/>
                <w:lang w:val="en-US" w:eastAsia="zh-CN"/>
              </w:rPr>
              <w:t>2</w:t>
            </w:r>
            <w:r>
              <w:rPr>
                <w:rFonts w:hint="eastAsia" w:ascii="微软雅黑" w:hAnsi="微软雅黑" w:eastAsia="微软雅黑" w:cs="微软雅黑"/>
                <w:i/>
                <w:iCs/>
                <w:color w:val="000000"/>
                <w:sz w:val="16"/>
                <w:szCs w:val="16"/>
                <w:u w:val="none"/>
              </w:rPr>
              <w:t>人，干预</w:t>
            </w:r>
            <w:r>
              <w:rPr>
                <w:rFonts w:hint="eastAsia" w:ascii="微软雅黑" w:hAnsi="微软雅黑" w:eastAsia="微软雅黑" w:cs="微软雅黑"/>
                <w:i/>
                <w:iCs/>
                <w:color w:val="000000"/>
                <w:sz w:val="16"/>
                <w:szCs w:val="16"/>
                <w:u w:val="none"/>
                <w:lang w:val="en-US" w:eastAsia="zh-CN"/>
              </w:rPr>
              <w:t>2</w:t>
            </w:r>
            <w:r>
              <w:rPr>
                <w:rFonts w:hint="eastAsia" w:ascii="微软雅黑" w:hAnsi="微软雅黑" w:eastAsia="微软雅黑" w:cs="微软雅黑"/>
                <w:i/>
                <w:iCs/>
                <w:color w:val="000000"/>
                <w:sz w:val="16"/>
                <w:szCs w:val="16"/>
                <w:u w:val="none"/>
              </w:rPr>
              <w:t>人，干预率100%。对</w:t>
            </w:r>
            <w:r>
              <w:rPr>
                <w:rFonts w:hint="eastAsia" w:ascii="微软雅黑" w:hAnsi="微软雅黑" w:eastAsia="微软雅黑" w:cs="微软雅黑"/>
                <w:i/>
                <w:iCs/>
                <w:color w:val="000000"/>
                <w:sz w:val="16"/>
                <w:szCs w:val="16"/>
                <w:u w:val="none"/>
                <w:lang w:val="en-US" w:eastAsia="zh-CN"/>
              </w:rPr>
              <w:t>68</w:t>
            </w:r>
            <w:r>
              <w:rPr>
                <w:rFonts w:hint="eastAsia" w:ascii="微软雅黑" w:hAnsi="微软雅黑" w:eastAsia="微软雅黑" w:cs="微软雅黑"/>
                <w:i/>
                <w:iCs/>
                <w:color w:val="000000"/>
                <w:sz w:val="16"/>
                <w:szCs w:val="16"/>
                <w:u w:val="none"/>
              </w:rPr>
              <w:t>名乙肝阳性孕产妇的小孩均免费肌注乙肝高效免费球蛋白予以阻断。质量达标率100%，完成及时，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92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1.在实际工作中，因我区人口流动较大，管理按户籍地管理，造成治疗和管理难度大，规范治疗率偏低。</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2.我区医疗水平及硬件设施落后，部分乡镇卫生院没有条件开展此项工作，造成部分孕妇未能进行早期的艾梅乙检查。</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92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1.加强领导，强化管理。坚持乡镇党委政</w:t>
            </w:r>
            <w:bookmarkStart w:id="67" w:name="_GoBack"/>
            <w:bookmarkEnd w:id="67"/>
            <w:r>
              <w:rPr>
                <w:rFonts w:hint="eastAsia" w:ascii="微软雅黑" w:hAnsi="微软雅黑" w:eastAsia="微软雅黑" w:cs="微软雅黑"/>
                <w:i/>
                <w:iCs/>
                <w:color w:val="000000"/>
                <w:sz w:val="16"/>
                <w:szCs w:val="16"/>
                <w:u w:val="none"/>
                <w:lang w:val="en-US" w:eastAsia="zh-CN"/>
              </w:rPr>
              <w:t>府主导，乡镇卫生院负责落实，切实抓好育龄妇女、长期流动在外感染育龄妇女追踪,动员其接受孕情监测检测；对失访、不接受治疗、不听从医务人员劝导的患者，采取多种措施要求其规范管理；及时、准确、动态掌握育龄妇女信息，第一时间发现孕情，做到早发现、早管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7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tbl>
      <w:tblPr>
        <w:tblStyle w:val="12"/>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5"/>
        <w:gridCol w:w="1144"/>
        <w:gridCol w:w="1433"/>
        <w:gridCol w:w="396"/>
        <w:gridCol w:w="1098"/>
        <w:gridCol w:w="396"/>
        <w:gridCol w:w="846"/>
        <w:gridCol w:w="486"/>
        <w:gridCol w:w="396"/>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8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51090422T000000403480-免费孕前优生健康检查项目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6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遂宁市安居区妇幼保健计划生育服务中心部门</w:t>
            </w:r>
          </w:p>
        </w:tc>
        <w:tc>
          <w:tcPr>
            <w:tcW w:w="7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6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6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1.城乡计划怀孕夫妇优生科学知识知晓率达到 80%以上2.城乡计划怀孕夫妇参加免费孕前优生健康检查的主动性和自觉性不断增强，目标人群覆盖率达到 99%以上3.出生缺陷发生风险逐步降低，出生人口素质逐步提高。 2021年已免费孕检6200人次。预计2022年孕检7000人次</w:t>
            </w:r>
          </w:p>
        </w:tc>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8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14.98</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14.98</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2021年实施国家免费孕前优生健康检查服务</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孕前优生检查人员发放宣传材料，实施健康教育</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根据《国家免费孕前优生健康检查项目方案》开展工作</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2022年12月31日前完成</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宣传教育、业务指导、随访管理等工作</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12800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109200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宣传资料费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提高国家免费孕前优生健康检查项目工作服务保障水平</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组织实施的项目符合国家相关政策、成熟度高、带动性强、有利于促进各项工作有序开展。</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生态效益指标良好</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体现政策导向，保障工作平稳进行</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通过项目的实施，力争使安居区相关部门和服务人群对项目实施的满意度达到较高水平。</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9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t>农村计划怀孕夫妇参加免费孕前优生健康检查的主动性和自觉性不断增强，目标人群覆盖率达到 80%以上</w:t>
            </w:r>
            <w:r>
              <w:rPr>
                <w:rFonts w:hint="eastAsia" w:ascii="微软雅黑" w:hAnsi="微软雅黑" w:eastAsia="微软雅黑" w:cs="微软雅黑"/>
                <w:i/>
                <w:iCs/>
                <w:color w:val="000000"/>
                <w:sz w:val="16"/>
                <w:szCs w:val="16"/>
                <w:u w:val="none"/>
                <w:lang w:eastAsia="zh-CN"/>
              </w:rPr>
              <w:t>，</w:t>
            </w:r>
            <w:r>
              <w:rPr>
                <w:rFonts w:hint="eastAsia" w:ascii="微软雅黑" w:hAnsi="微软雅黑" w:eastAsia="微软雅黑" w:cs="微软雅黑"/>
                <w:i/>
                <w:iCs/>
                <w:color w:val="000000"/>
                <w:sz w:val="16"/>
                <w:szCs w:val="16"/>
                <w:u w:val="none"/>
              </w:rPr>
              <w:t>出生缺陷发生风险逐步降低，出生人口素质逐步提高。</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9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t>群众对孕前优生健康检查项目的知晓率不够高，造成应检未检的人群较大。</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9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rPr>
              <w:t>应进一步加大项目宣传力度，提高群众知晓率，发动符合条件的群众参检，进一步提高参加孕前优生健康检查的人数，从而更好地降低有缺陷的人口出生，提高国民素质</w:t>
            </w:r>
            <w:r>
              <w:rPr>
                <w:rFonts w:hint="eastAsia" w:ascii="微软雅黑" w:hAnsi="微软雅黑" w:eastAsia="微软雅黑" w:cs="微软雅黑"/>
                <w:i/>
                <w:iCs/>
                <w:color w:val="000000"/>
                <w:sz w:val="16"/>
                <w:szCs w:val="16"/>
                <w:u w:val="none"/>
                <w:lang w:eastAsia="zh-CN"/>
              </w:rPr>
              <w:t>。</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bl>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五部分 附表</w:t>
      </w:r>
      <w:bookmarkEnd w:id="52"/>
      <w:bookmarkEnd w:id="53"/>
      <w:bookmarkStart w:id="54" w:name="_Toc15396619"/>
    </w:p>
    <w:p>
      <w:pPr>
        <w:pStyle w:val="2"/>
        <w:rPr>
          <w:rFonts w:ascii="仿宋" w:hAnsi="仿宋" w:eastAsia="仿宋"/>
          <w:color w:val="auto"/>
          <w:highlight w:val="none"/>
          <w:lang w:val="en-US" w:eastAsia="zh-CN"/>
        </w:rPr>
      </w:pPr>
      <w:r>
        <w:rPr>
          <w:rFonts w:hint="eastAsia" w:ascii="仿宋" w:hAnsi="仿宋" w:eastAsia="仿宋"/>
          <w:b w:val="0"/>
          <w:color w:val="auto"/>
          <w:highlight w:val="none"/>
        </w:rPr>
        <w:t>一、收</w:t>
      </w:r>
      <w:r>
        <w:rPr>
          <w:rStyle w:val="17"/>
          <w:rFonts w:hint="eastAsia" w:ascii="仿宋" w:hAnsi="仿宋" w:eastAsia="仿宋"/>
          <w:b w:val="0"/>
          <w:bCs w:val="0"/>
          <w:color w:val="auto"/>
          <w:highlight w:val="none"/>
        </w:rPr>
        <w:t>入支出决算总表</w:t>
      </w:r>
      <w:bookmarkEnd w:id="54"/>
      <w:r>
        <w:rPr>
          <w:rStyle w:val="17"/>
          <w:rFonts w:hint="eastAsia" w:ascii="仿宋" w:hAnsi="仿宋" w:eastAsia="仿宋"/>
          <w:b w:val="0"/>
          <w:bCs w:val="0"/>
          <w:color w:val="auto"/>
          <w:highlight w:val="none"/>
          <w:lang w:val="en-US" w:eastAsia="zh-CN"/>
        </w:rPr>
        <w:t xml:space="preserve">                      ------1</w:t>
      </w:r>
    </w:p>
    <w:p>
      <w:pPr>
        <w:pStyle w:val="2"/>
        <w:rPr>
          <w:rFonts w:ascii="仿宋" w:hAnsi="仿宋" w:eastAsia="仿宋"/>
          <w:color w:val="auto"/>
          <w:highlight w:val="none"/>
          <w:lang w:val="en-US" w:eastAsia="zh-CN"/>
        </w:rPr>
      </w:pPr>
      <w:bookmarkStart w:id="55" w:name="_Toc15396620"/>
      <w:r>
        <w:rPr>
          <w:rFonts w:hint="eastAsia" w:ascii="仿宋" w:hAnsi="仿宋" w:eastAsia="仿宋"/>
          <w:b w:val="0"/>
          <w:color w:val="auto"/>
          <w:highlight w:val="none"/>
        </w:rPr>
        <w:t>二、收</w:t>
      </w:r>
      <w:r>
        <w:rPr>
          <w:rStyle w:val="17"/>
          <w:rFonts w:hint="eastAsia" w:ascii="仿宋" w:hAnsi="仿宋" w:eastAsia="仿宋"/>
          <w:b w:val="0"/>
          <w:bCs w:val="0"/>
          <w:color w:val="auto"/>
          <w:highlight w:val="none"/>
        </w:rPr>
        <w:t>入决算表</w:t>
      </w:r>
      <w:bookmarkEnd w:id="55"/>
      <w:r>
        <w:rPr>
          <w:rStyle w:val="17"/>
          <w:rFonts w:hint="eastAsia" w:ascii="仿宋" w:hAnsi="仿宋" w:eastAsia="仿宋"/>
          <w:b w:val="0"/>
          <w:bCs w:val="0"/>
          <w:color w:val="auto"/>
          <w:highlight w:val="none"/>
          <w:lang w:val="en-US" w:eastAsia="zh-CN"/>
        </w:rPr>
        <w:t xml:space="preserve">                            ------2</w:t>
      </w:r>
    </w:p>
    <w:p>
      <w:pPr>
        <w:pStyle w:val="2"/>
        <w:rPr>
          <w:rFonts w:ascii="仿宋" w:hAnsi="仿宋" w:eastAsia="仿宋"/>
          <w:color w:val="auto"/>
          <w:highlight w:val="none"/>
          <w:lang w:val="en-US" w:eastAsia="zh-CN"/>
        </w:rPr>
      </w:pPr>
      <w:bookmarkStart w:id="56" w:name="_Toc15396621"/>
      <w:r>
        <w:rPr>
          <w:rStyle w:val="1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7"/>
          <w:rFonts w:hint="eastAsia" w:ascii="仿宋" w:hAnsi="仿宋" w:eastAsia="仿宋"/>
          <w:b w:val="0"/>
          <w:bCs w:val="0"/>
          <w:color w:val="auto"/>
          <w:highlight w:val="none"/>
        </w:rPr>
        <w:t>出决算表</w:t>
      </w:r>
      <w:bookmarkEnd w:id="56"/>
      <w:r>
        <w:rPr>
          <w:rStyle w:val="17"/>
          <w:rFonts w:hint="eastAsia" w:ascii="仿宋" w:hAnsi="仿宋" w:eastAsia="仿宋"/>
          <w:b w:val="0"/>
          <w:bCs w:val="0"/>
          <w:color w:val="auto"/>
          <w:highlight w:val="none"/>
          <w:lang w:val="en-US" w:eastAsia="zh-CN"/>
        </w:rPr>
        <w:t xml:space="preserve">                            ------3</w:t>
      </w:r>
    </w:p>
    <w:p>
      <w:pPr>
        <w:pStyle w:val="2"/>
        <w:rPr>
          <w:rFonts w:ascii="仿宋" w:hAnsi="仿宋" w:eastAsia="仿宋"/>
          <w:b w:val="0"/>
          <w:color w:val="auto"/>
          <w:highlight w:val="none"/>
          <w:lang w:val="en-US" w:eastAsia="zh-CN"/>
        </w:rPr>
      </w:pPr>
      <w:bookmarkStart w:id="57" w:name="_Toc15396622"/>
      <w:r>
        <w:rPr>
          <w:rStyle w:val="1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政拨款收入支出决算总表</w:t>
      </w:r>
      <w:bookmarkEnd w:id="57"/>
      <w:r>
        <w:rPr>
          <w:rStyle w:val="17"/>
          <w:rFonts w:hint="eastAsia" w:ascii="仿宋" w:hAnsi="仿宋" w:eastAsia="仿宋"/>
          <w:b w:val="0"/>
          <w:bCs w:val="0"/>
          <w:color w:val="auto"/>
          <w:highlight w:val="none"/>
          <w:lang w:val="en-US" w:eastAsia="zh-CN"/>
        </w:rPr>
        <w:t xml:space="preserve">              ------4</w:t>
      </w:r>
    </w:p>
    <w:p>
      <w:pPr>
        <w:pStyle w:val="2"/>
        <w:rPr>
          <w:rStyle w:val="17"/>
          <w:rFonts w:ascii="仿宋" w:hAnsi="仿宋" w:eastAsia="仿宋"/>
          <w:b w:val="0"/>
          <w:bCs w:val="0"/>
          <w:color w:val="auto"/>
          <w:highlight w:val="none"/>
          <w:lang w:val="en-US" w:eastAsia="zh-CN"/>
        </w:rPr>
      </w:pPr>
      <w:bookmarkStart w:id="58" w:name="_Toc15396623"/>
      <w:r>
        <w:rPr>
          <w:rStyle w:val="1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政拨款支出决算明细表</w:t>
      </w:r>
      <w:bookmarkEnd w:id="58"/>
      <w:bookmarkStart w:id="59" w:name="_Toc15396624"/>
      <w:r>
        <w:rPr>
          <w:rStyle w:val="17"/>
          <w:rFonts w:hint="eastAsia" w:ascii="仿宋" w:hAnsi="仿宋" w:eastAsia="仿宋"/>
          <w:b w:val="0"/>
          <w:bCs w:val="0"/>
          <w:color w:val="auto"/>
          <w:highlight w:val="none"/>
          <w:lang w:val="en-US" w:eastAsia="zh-CN"/>
        </w:rPr>
        <w:t xml:space="preserve">                ------5</w:t>
      </w:r>
    </w:p>
    <w:p>
      <w:pPr>
        <w:pStyle w:val="2"/>
        <w:rPr>
          <w:rFonts w:ascii="仿宋" w:hAnsi="仿宋" w:eastAsia="仿宋"/>
          <w:color w:val="auto"/>
          <w:highlight w:val="none"/>
          <w:lang w:val="en-US" w:eastAsia="zh-CN"/>
        </w:rPr>
      </w:pPr>
      <w:r>
        <w:rPr>
          <w:rStyle w:val="1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般公共预算财政拨款支出决算表</w:t>
      </w:r>
      <w:bookmarkEnd w:id="59"/>
      <w:r>
        <w:rPr>
          <w:rStyle w:val="17"/>
          <w:rFonts w:hint="eastAsia" w:ascii="仿宋" w:hAnsi="仿宋" w:eastAsia="仿宋"/>
          <w:b w:val="0"/>
          <w:bCs w:val="0"/>
          <w:color w:val="auto"/>
          <w:highlight w:val="none"/>
          <w:lang w:val="en-US" w:eastAsia="zh-CN"/>
        </w:rPr>
        <w:t xml:space="preserve">        ------6</w:t>
      </w:r>
    </w:p>
    <w:p>
      <w:pPr>
        <w:pStyle w:val="2"/>
        <w:rPr>
          <w:rFonts w:ascii="仿宋" w:hAnsi="仿宋" w:eastAsia="仿宋"/>
          <w:color w:val="auto"/>
          <w:highlight w:val="none"/>
          <w:lang w:val="en-US" w:eastAsia="zh-CN"/>
        </w:rPr>
      </w:pPr>
      <w:bookmarkStart w:id="60" w:name="_Toc15396625"/>
      <w:r>
        <w:rPr>
          <w:rStyle w:val="1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般公共预算财政拨款支出决算明细表</w:t>
      </w:r>
      <w:bookmarkEnd w:id="60"/>
      <w:r>
        <w:rPr>
          <w:rStyle w:val="17"/>
          <w:rFonts w:hint="eastAsia" w:ascii="仿宋" w:hAnsi="仿宋" w:eastAsia="仿宋"/>
          <w:b w:val="0"/>
          <w:bCs w:val="0"/>
          <w:color w:val="auto"/>
          <w:highlight w:val="none"/>
          <w:lang w:val="en-US" w:eastAsia="zh-CN"/>
        </w:rPr>
        <w:t xml:space="preserve">    ------7</w:t>
      </w:r>
    </w:p>
    <w:p>
      <w:pPr>
        <w:pStyle w:val="2"/>
        <w:rPr>
          <w:rFonts w:ascii="仿宋" w:hAnsi="仿宋" w:eastAsia="仿宋"/>
          <w:color w:val="auto"/>
          <w:highlight w:val="none"/>
          <w:lang w:val="en-US" w:eastAsia="zh-CN"/>
        </w:rPr>
      </w:pPr>
      <w:bookmarkStart w:id="61" w:name="_Toc15396626"/>
      <w:r>
        <w:rPr>
          <w:rStyle w:val="1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般公共预算财政拨款基本支出决算表</w:t>
      </w:r>
      <w:bookmarkEnd w:id="61"/>
      <w:r>
        <w:rPr>
          <w:rStyle w:val="17"/>
          <w:rFonts w:hint="eastAsia" w:ascii="仿宋" w:hAnsi="仿宋" w:eastAsia="仿宋"/>
          <w:b w:val="0"/>
          <w:bCs w:val="0"/>
          <w:color w:val="auto"/>
          <w:highlight w:val="none"/>
          <w:lang w:val="en-US" w:eastAsia="zh-CN"/>
        </w:rPr>
        <w:t xml:space="preserve">    ------8</w:t>
      </w:r>
    </w:p>
    <w:p>
      <w:pPr>
        <w:pStyle w:val="2"/>
        <w:rPr>
          <w:rFonts w:ascii="仿宋" w:hAnsi="仿宋" w:eastAsia="仿宋"/>
          <w:color w:val="auto"/>
          <w:highlight w:val="none"/>
          <w:lang w:val="en-US" w:eastAsia="zh-CN"/>
        </w:rPr>
      </w:pPr>
      <w:bookmarkStart w:id="62" w:name="_Toc15396627"/>
      <w:r>
        <w:rPr>
          <w:rStyle w:val="1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般公共预算财政拨款项目支出决算表</w:t>
      </w:r>
      <w:bookmarkEnd w:id="62"/>
      <w:r>
        <w:rPr>
          <w:rStyle w:val="17"/>
          <w:rFonts w:hint="eastAsia" w:ascii="仿宋" w:hAnsi="仿宋" w:eastAsia="仿宋"/>
          <w:b w:val="0"/>
          <w:bCs w:val="0"/>
          <w:color w:val="auto"/>
          <w:highlight w:val="none"/>
          <w:lang w:val="en-US" w:eastAsia="zh-CN"/>
        </w:rPr>
        <w:t xml:space="preserve">    ------9</w:t>
      </w:r>
    </w:p>
    <w:p>
      <w:pPr>
        <w:pStyle w:val="2"/>
        <w:rPr>
          <w:rFonts w:ascii="仿宋" w:hAnsi="仿宋" w:eastAsia="仿宋"/>
          <w:color w:val="auto"/>
          <w:highlight w:val="none"/>
          <w:lang w:val="en-US" w:eastAsia="zh-CN"/>
        </w:rPr>
      </w:pPr>
      <w:bookmarkStart w:id="63" w:name="_Toc15396628"/>
      <w:r>
        <w:rPr>
          <w:rStyle w:val="17"/>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府性基金预算财政拨款收入支出决算表</w:t>
      </w:r>
      <w:r>
        <w:rPr>
          <w:rStyle w:val="17"/>
          <w:rFonts w:hint="eastAsia" w:ascii="仿宋" w:hAnsi="仿宋" w:eastAsia="仿宋"/>
          <w:b w:val="0"/>
          <w:bCs w:val="0"/>
          <w:color w:val="auto"/>
          <w:highlight w:val="none"/>
          <w:lang w:val="en-US" w:eastAsia="zh-CN"/>
        </w:rPr>
        <w:t xml:space="preserve">  ------10</w:t>
      </w:r>
    </w:p>
    <w:p>
      <w:pPr>
        <w:pStyle w:val="2"/>
        <w:rPr>
          <w:rFonts w:ascii="仿宋" w:hAnsi="仿宋" w:eastAsia="仿宋"/>
          <w:color w:val="auto"/>
          <w:highlight w:val="none"/>
          <w:lang w:val="en-US" w:eastAsia="zh-CN"/>
        </w:rPr>
      </w:pPr>
      <w:bookmarkStart w:id="64" w:name="_Toc15396629"/>
      <w:r>
        <w:rPr>
          <w:rStyle w:val="17"/>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17"/>
          <w:rFonts w:hint="eastAsia" w:ascii="仿宋" w:hAnsi="仿宋" w:eastAsia="仿宋"/>
          <w:b w:val="0"/>
          <w:bCs w:val="0"/>
          <w:color w:val="auto"/>
          <w:highlight w:val="none"/>
        </w:rPr>
        <w:t>有资本经营预算</w:t>
      </w:r>
      <w:r>
        <w:rPr>
          <w:rStyle w:val="17"/>
          <w:rFonts w:hint="eastAsia" w:ascii="仿宋" w:hAnsi="仿宋" w:eastAsia="仿宋"/>
          <w:b w:val="0"/>
          <w:bCs w:val="0"/>
          <w:color w:val="auto"/>
          <w:highlight w:val="none"/>
          <w:lang w:eastAsia="zh-CN"/>
        </w:rPr>
        <w:t>财政拨款收入</w:t>
      </w:r>
      <w:r>
        <w:rPr>
          <w:rStyle w:val="17"/>
          <w:rFonts w:hint="eastAsia" w:ascii="仿宋" w:hAnsi="仿宋" w:eastAsia="仿宋"/>
          <w:b w:val="0"/>
          <w:bCs w:val="0"/>
          <w:color w:val="auto"/>
          <w:highlight w:val="none"/>
        </w:rPr>
        <w:t>支出决算表</w:t>
      </w:r>
      <w:r>
        <w:rPr>
          <w:rStyle w:val="17"/>
          <w:rFonts w:hint="eastAsia" w:ascii="仿宋" w:hAnsi="仿宋" w:eastAsia="仿宋"/>
          <w:b w:val="0"/>
          <w:bCs w:val="0"/>
          <w:color w:val="auto"/>
          <w:highlight w:val="none"/>
          <w:lang w:val="en-US" w:eastAsia="zh-CN"/>
        </w:rPr>
        <w:t>----11</w:t>
      </w:r>
    </w:p>
    <w:p>
      <w:pPr>
        <w:pStyle w:val="2"/>
        <w:rPr>
          <w:rFonts w:ascii="仿宋" w:hAnsi="仿宋" w:eastAsia="仿宋"/>
          <w:color w:val="auto"/>
          <w:highlight w:val="none"/>
          <w:lang w:val="en-US"/>
        </w:rPr>
      </w:pPr>
      <w:bookmarkStart w:id="65" w:name="_Toc15396630"/>
      <w:r>
        <w:rPr>
          <w:rStyle w:val="17"/>
          <w:rFonts w:hint="eastAsia" w:ascii="仿宋" w:hAnsi="仿宋" w:eastAsia="仿宋"/>
          <w:b w:val="0"/>
          <w:bCs w:val="0"/>
          <w:color w:val="auto"/>
          <w:highlight w:val="none"/>
        </w:rPr>
        <w:t>十二、</w:t>
      </w:r>
      <w:bookmarkEnd w:id="65"/>
      <w:r>
        <w:rPr>
          <w:rStyle w:val="17"/>
          <w:rFonts w:hint="eastAsia" w:ascii="仿宋" w:hAnsi="仿宋" w:eastAsia="仿宋"/>
          <w:b w:val="0"/>
          <w:bCs w:val="0"/>
          <w:color w:val="auto"/>
          <w:highlight w:val="none"/>
          <w:lang w:eastAsia="zh-CN"/>
        </w:rPr>
        <w:t>国有资本经营预算财政拨款支出决算表</w:t>
      </w:r>
      <w:r>
        <w:rPr>
          <w:rStyle w:val="17"/>
          <w:rFonts w:hint="eastAsia" w:ascii="仿宋" w:hAnsi="仿宋" w:eastAsia="仿宋"/>
          <w:b w:val="0"/>
          <w:bCs w:val="0"/>
          <w:color w:val="auto"/>
          <w:highlight w:val="none"/>
          <w:lang w:val="en-US" w:eastAsia="zh-CN"/>
        </w:rPr>
        <w:t xml:space="preserve">   -----12</w:t>
      </w:r>
    </w:p>
    <w:p>
      <w:pPr>
        <w:pStyle w:val="2"/>
        <w:rPr>
          <w:rFonts w:eastAsia="仿宋"/>
          <w:color w:val="auto"/>
          <w:highlight w:val="none"/>
          <w:lang w:val="en-US" w:eastAsia="zh-CN"/>
        </w:rPr>
      </w:pPr>
      <w:bookmarkStart w:id="66" w:name="_Toc15396631"/>
      <w:r>
        <w:rPr>
          <w:rStyle w:val="17"/>
          <w:rFonts w:hint="eastAsia" w:ascii="仿宋" w:hAnsi="仿宋" w:eastAsia="仿宋"/>
          <w:b w:val="0"/>
          <w:bCs w:val="0"/>
          <w:color w:val="auto"/>
          <w:highlight w:val="none"/>
        </w:rPr>
        <w:t>十三、</w:t>
      </w:r>
      <w:bookmarkEnd w:id="66"/>
      <w:r>
        <w:rPr>
          <w:rStyle w:val="17"/>
          <w:rFonts w:hint="eastAsia" w:ascii="仿宋" w:hAnsi="仿宋" w:eastAsia="仿宋"/>
          <w:b w:val="0"/>
          <w:bCs w:val="0"/>
          <w:color w:val="auto"/>
          <w:highlight w:val="none"/>
          <w:lang w:eastAsia="zh-CN"/>
        </w:rPr>
        <w:t>财政拨款“三公”经费支出决算表</w:t>
      </w:r>
      <w:r>
        <w:rPr>
          <w:rStyle w:val="17"/>
          <w:rFonts w:hint="eastAsia" w:ascii="仿宋" w:hAnsi="仿宋" w:eastAsia="仿宋"/>
          <w:b w:val="0"/>
          <w:bCs w:val="0"/>
          <w:color w:val="auto"/>
          <w:highlight w:val="none"/>
          <w:lang w:val="en-US" w:eastAsia="zh-CN"/>
        </w:rPr>
        <w:t xml:space="preserve">       -----13</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D846AFF-6929-4400-B6CD-860C3DC9BE30}"/>
  </w:font>
  <w:font w:name="黑体">
    <w:panose1 w:val="02010609060101010101"/>
    <w:charset w:val="86"/>
    <w:family w:val="auto"/>
    <w:pitch w:val="default"/>
    <w:sig w:usb0="800002BF" w:usb1="38CF7CFA" w:usb2="00000016" w:usb3="00000000" w:csb0="00040001" w:csb1="00000000"/>
    <w:embedRegular r:id="rId2" w:fontKey="{3ACB509B-B850-4FB6-8935-3A946A8F79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592B010A-88FD-4446-8013-32529CBAE703}"/>
  </w:font>
  <w:font w:name="Lucida Sans">
    <w:panose1 w:val="020B0602030504020204"/>
    <w:charset w:val="00"/>
    <w:family w:val="auto"/>
    <w:pitch w:val="default"/>
    <w:sig w:usb0="00000003" w:usb1="00000000" w:usb2="00000000" w:usb3="00000000" w:csb0="20000001" w:csb1="00000000"/>
    <w:embedRegular r:id="rId4" w:fontKey="{727003F8-DB54-4332-BEAE-8AEF78E4529B}"/>
  </w:font>
  <w:font w:name="Cambria">
    <w:panose1 w:val="02040503050406030204"/>
    <w:charset w:val="00"/>
    <w:family w:val="roman"/>
    <w:pitch w:val="default"/>
    <w:sig w:usb0="E00002FF" w:usb1="400004FF" w:usb2="00000000" w:usb3="00000000" w:csb0="2000019F" w:csb1="00000000"/>
    <w:embedRegular r:id="rId5" w:fontKey="{1563F28A-FC18-4173-AFB9-10F213E5BF20}"/>
  </w:font>
  <w:font w:name="仿宋_GB2312">
    <w:altName w:val="仿宋"/>
    <w:panose1 w:val="02010609030101010101"/>
    <w:charset w:val="86"/>
    <w:family w:val="modern"/>
    <w:pitch w:val="default"/>
    <w:sig w:usb0="00000000" w:usb1="00000000" w:usb2="00000000" w:usb3="00000000" w:csb0="00040000" w:csb1="00000000"/>
    <w:embedRegular r:id="rId6" w:fontKey="{B678B9A3-10D7-4212-B181-64A59B9F3AA8}"/>
  </w:font>
  <w:font w:name="仿宋">
    <w:panose1 w:val="02010609060101010101"/>
    <w:charset w:val="86"/>
    <w:family w:val="modern"/>
    <w:pitch w:val="default"/>
    <w:sig w:usb0="800002BF" w:usb1="38CF7CFA" w:usb2="00000016" w:usb3="00000000" w:csb0="00040001" w:csb1="00000000"/>
    <w:embedRegular r:id="rId7" w:fontKey="{5A9D1E05-0E90-4C54-ADA5-80230C291E71}"/>
  </w:font>
  <w:font w:name="方正小标宋简体">
    <w:panose1 w:val="02000000000000000000"/>
    <w:charset w:val="86"/>
    <w:family w:val="script"/>
    <w:pitch w:val="default"/>
    <w:sig w:usb0="00000001" w:usb1="080E0000" w:usb2="00000000" w:usb3="00000000" w:csb0="00040000" w:csb1="00000000"/>
    <w:embedRegular r:id="rId8" w:fontKey="{132D3933-E81B-42A4-98B2-CEECD336847A}"/>
  </w:font>
  <w:font w:name="Lucida Sans">
    <w:panose1 w:val="020B0602030504020204"/>
    <w:charset w:val="01"/>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embedRegular r:id="rId9" w:fontKey="{4763BB24-6F44-418F-A28F-2C5AAAD837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805147"/>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jIxZjQzM2ZkZDE1MjYyOTgyYTc4YjE1YjNmZWI3NGEifQ=="/>
  </w:docVars>
  <w:rsids>
    <w:rsidRoot w:val="00000000"/>
    <w:rsid w:val="108D70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2">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2"/>
    <w:qFormat/>
    <w:uiPriority w:val="0"/>
    <w:rPr>
      <w:rFonts w:ascii="Cambria" w:hAnsi="Times New Roman" w:eastAsia="宋体" w:cs="Times New Roman"/>
      <w:b/>
      <w:bCs/>
      <w:kern w:val="2"/>
      <w:sz w:val="32"/>
      <w:szCs w:val="32"/>
      <w:lang w:val="en-US" w:eastAsia="zh-CN" w:bidi="ar-SA"/>
    </w:rPr>
  </w:style>
  <w:style w:type="paragraph" w:customStyle="1" w:styleId="18">
    <w:name w:val="章标题"/>
    <w:basedOn w:val="1"/>
    <w:next w:val="19"/>
    <w:qFormat/>
    <w:uiPriority w:val="0"/>
    <w:pPr>
      <w:widowControl/>
      <w:spacing w:before="158" w:after="153" w:line="323" w:lineRule="atLeast"/>
      <w:ind w:right="-120"/>
      <w:jc w:val="center"/>
      <w:textAlignment w:val="baseline"/>
    </w:pPr>
    <w:rPr>
      <w:color w:val="FF0000"/>
      <w:sz w:val="18"/>
    </w:rPr>
  </w:style>
  <w:style w:type="paragraph" w:customStyle="1" w:styleId="19">
    <w:name w:val="节标题"/>
    <w:basedOn w:val="1"/>
    <w:next w:val="1"/>
    <w:qFormat/>
    <w:uiPriority w:val="0"/>
    <w:pPr>
      <w:widowControl/>
      <w:spacing w:line="289" w:lineRule="atLeast"/>
      <w:jc w:val="center"/>
      <w:textAlignment w:val="baseline"/>
    </w:pPr>
    <w:rPr>
      <w:color w:val="000000"/>
      <w:sz w:val="28"/>
    </w:rPr>
  </w:style>
  <w:style w:type="character" w:customStyle="1" w:styleId="20">
    <w:name w:val="Header Char"/>
    <w:basedOn w:val="13"/>
    <w:qFormat/>
    <w:uiPriority w:val="0"/>
    <w:rPr>
      <w:rFonts w:ascii="Times New Roman" w:hAnsi="Times New Roman"/>
      <w:sz w:val="18"/>
      <w:szCs w:val="18"/>
    </w:rPr>
  </w:style>
  <w:style w:type="character" w:customStyle="1" w:styleId="21">
    <w:name w:val="Footer Char"/>
    <w:basedOn w:val="13"/>
    <w:qFormat/>
    <w:uiPriority w:val="0"/>
    <w:rPr>
      <w:rFonts w:ascii="Times New Roman" w:hAnsi="Times New Roman"/>
      <w:sz w:val="18"/>
      <w:szCs w:val="18"/>
    </w:rPr>
  </w:style>
  <w:style w:type="character" w:customStyle="1" w:styleId="22">
    <w:name w:val="Body Text Char"/>
    <w:basedOn w:val="13"/>
    <w:qFormat/>
    <w:uiPriority w:val="0"/>
    <w:rPr>
      <w:rFonts w:ascii="Times New Roman" w:hAnsi="Times New Roman"/>
      <w:szCs w:val="24"/>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0"/>
    <w:pPr>
      <w:ind w:firstLine="200" w:firstLineChars="200"/>
    </w:pPr>
  </w:style>
  <w:style w:type="paragraph" w:customStyle="1" w:styleId="25">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6">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收入支出决算变动情况表</a:t>
            </a:r>
            <a:endParaRPr lang="zh-CN"/>
          </a:p>
        </c:rich>
      </c:tx>
      <c:layout/>
      <c:overlay val="0"/>
      <c:spPr>
        <a:noFill/>
        <a:ln>
          <a:noFill/>
        </a:ln>
      </c:spPr>
    </c:title>
    <c:autoTitleDeleted val="0"/>
    <c:plotArea>
      <c:layout/>
      <c:barChart>
        <c:barDir val="col"/>
        <c:grouping val="clustered"/>
        <c:varyColors val="0"/>
        <c:ser>
          <c:idx val="0"/>
          <c:order val="0"/>
          <c:tx>
            <c:strRef>
              <c:f>'Sheet1'!$B$1</c:f>
              <c:strCache>
                <c:ptCount val="1"/>
                <c:pt idx="0">
                  <c:v>2021年</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1298.05</c:v>
                </c:pt>
                <c:pt idx="1">
                  <c:v>1321.46</c:v>
                </c:pt>
              </c:numCache>
            </c:numRef>
          </c:val>
        </c:ser>
        <c:ser>
          <c:idx val="1"/>
          <c:order val="1"/>
          <c:tx>
            <c:strRef>
              <c:f>'Sheet1'!$C$1</c:f>
              <c:strCache>
                <c:ptCount val="1"/>
                <c:pt idx="0">
                  <c:v>2022年</c:v>
                </c:pt>
              </c:strCache>
            </c:strRef>
          </c:tx>
          <c:spPr>
            <a:solidFill>
              <a:srgbClr val="C0504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1542.49</c:v>
                </c:pt>
                <c:pt idx="1">
                  <c:v>1542.49</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收入</a:t>
            </a:r>
            <a:endParaRPr lang="zh-CN"/>
          </a:p>
        </c:rich>
      </c:tx>
      <c:layout/>
      <c:overlay val="0"/>
      <c:spPr>
        <a:noFill/>
        <a:ln>
          <a:noFill/>
        </a:ln>
      </c:spPr>
    </c:title>
    <c:autoTitleDeleted val="0"/>
    <c:plotArea>
      <c:layout/>
      <c:pieChart>
        <c:varyColors val="1"/>
        <c:ser>
          <c:idx val="0"/>
          <c:order val="0"/>
          <c:tx>
            <c:strRef>
              <c:f>'Sheet1 (2)'!$B$1</c:f>
              <c:strCache>
                <c:ptCount val="1"/>
                <c:pt idx="0">
                  <c:v>收入</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0.00"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(2)'!$A$2:$A$5</c:f>
              <c:strCache>
                <c:ptCount val="4"/>
                <c:pt idx="0">
                  <c:v>一般公共预算财政拨款收入</c:v>
                </c:pt>
                <c:pt idx="1">
                  <c:v>事业收入</c:v>
                </c:pt>
              </c:strCache>
            </c:strRef>
          </c:cat>
          <c:val>
            <c:numRef>
              <c:f>'Sheet1 (2)'!$B$2:$B$5</c:f>
              <c:numCache>
                <c:formatCode>#,##0.00</c:formatCode>
                <c:ptCount val="4"/>
                <c:pt idx="0">
                  <c:v>1371.01</c:v>
                </c:pt>
                <c:pt idx="1">
                  <c:v>171.48</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支出</a:t>
            </a:r>
            <a:endParaRPr lang="zh-CN"/>
          </a:p>
        </c:rich>
      </c:tx>
      <c:layout/>
      <c:overlay val="0"/>
      <c:spPr>
        <a:noFill/>
        <a:ln>
          <a:noFill/>
        </a:ln>
      </c:spPr>
    </c:title>
    <c:autoTitleDeleted val="0"/>
    <c:plotArea>
      <c:layout/>
      <c:pieChart>
        <c:varyColors val="1"/>
        <c:ser>
          <c:idx val="0"/>
          <c:order val="0"/>
          <c:tx>
            <c:strRef>
              <c:f>'Sheet1 (3)'!$B$1</c:f>
              <c:strCache>
                <c:ptCount val="1"/>
                <c:pt idx="0">
                  <c:v>支出</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(3)'!$A$2:$A$5</c:f>
              <c:strCache>
                <c:ptCount val="4"/>
                <c:pt idx="0">
                  <c:v>基本支出</c:v>
                </c:pt>
                <c:pt idx="1">
                  <c:v>项目支出</c:v>
                </c:pt>
              </c:strCache>
            </c:strRef>
          </c:cat>
          <c:val>
            <c:numRef>
              <c:f>'Sheet1 (3)'!$B$2:$B$5</c:f>
              <c:numCache>
                <c:formatCode>General</c:formatCode>
                <c:ptCount val="4"/>
                <c:pt idx="0">
                  <c:v>1128.01</c:v>
                </c:pt>
                <c:pt idx="1">
                  <c:v>414.48</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manualLayout>
          <c:xMode val="edge"/>
          <c:yMode val="edge"/>
          <c:x val="0.1950625"/>
          <c:y val="0.9395"/>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财政拨款收支情况</a:t>
            </a:r>
            <a:endParaRPr lang="zh-CN"/>
          </a:p>
        </c:rich>
      </c:tx>
      <c:layout/>
      <c:overlay val="0"/>
      <c:spPr>
        <a:noFill/>
        <a:ln>
          <a:noFill/>
        </a:ln>
      </c:spPr>
    </c:title>
    <c:autoTitleDeleted val="0"/>
    <c:plotArea>
      <c:layout/>
      <c:barChart>
        <c:barDir val="col"/>
        <c:grouping val="clustered"/>
        <c:varyColors val="0"/>
        <c:ser>
          <c:idx val="0"/>
          <c:order val="0"/>
          <c:tx>
            <c:strRef>
              <c:f>'Sheet1 (4)'!$B$1</c:f>
              <c:strCache>
                <c:ptCount val="1"/>
                <c:pt idx="0">
                  <c:v>财政拨款收入</c:v>
                </c:pt>
              </c:strCache>
            </c:strRef>
          </c:tx>
          <c:spPr>
            <a:solidFill>
              <a:srgbClr val="4F81B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(4)'!$A$2:$A$5</c:f>
              <c:numCache>
                <c:formatCode>General</c:formatCode>
                <c:ptCount val="4"/>
                <c:pt idx="0">
                  <c:v>2020</c:v>
                </c:pt>
                <c:pt idx="1">
                  <c:v>2021</c:v>
                </c:pt>
              </c:numCache>
            </c:numRef>
          </c:cat>
          <c:val>
            <c:numRef>
              <c:f>'Sheet1 (4)'!$B$2:$B$5</c:f>
              <c:numCache>
                <c:formatCode>General</c:formatCode>
                <c:ptCount val="4"/>
                <c:pt idx="0">
                  <c:v>1150.43</c:v>
                </c:pt>
                <c:pt idx="1">
                  <c:v>1371.01</c:v>
                </c:pt>
              </c:numCache>
            </c:numRef>
          </c:val>
        </c:ser>
        <c:ser>
          <c:idx val="1"/>
          <c:order val="1"/>
          <c:tx>
            <c:strRef>
              <c:f>'Sheet1 (4)'!$C$1</c:f>
              <c:strCache>
                <c:ptCount val="1"/>
                <c:pt idx="0">
                  <c:v>财政拨款支出</c:v>
                </c:pt>
              </c:strCache>
            </c:strRef>
          </c:tx>
          <c:spPr>
            <a:solidFill>
              <a:srgbClr val="C0504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(4)'!$A$2:$A$5</c:f>
              <c:numCache>
                <c:formatCode>General</c:formatCode>
                <c:ptCount val="4"/>
                <c:pt idx="0">
                  <c:v>2020</c:v>
                </c:pt>
                <c:pt idx="1">
                  <c:v>2021</c:v>
                </c:pt>
              </c:numCache>
            </c:numRef>
          </c:cat>
          <c:val>
            <c:numRef>
              <c:f>'Sheet1 (4)'!$C$2:$C$5</c:f>
              <c:numCache>
                <c:formatCode>General</c:formatCode>
                <c:ptCount val="4"/>
                <c:pt idx="0">
                  <c:v>1173.84</c:v>
                </c:pt>
                <c:pt idx="1">
                  <c:v>1371.01</c:v>
                </c:pt>
              </c:numCache>
            </c:numRef>
          </c:val>
        </c:ser>
        <c:ser>
          <c:idx val="2"/>
          <c:order val="2"/>
          <c:tx>
            <c:strRef>
              <c:f>'Sheet1 (4)'!$D$1</c:f>
              <c:strCache>
                <c:ptCount val="1"/>
                <c:pt idx="0">
                  <c:v/>
                </c:pt>
              </c:strCache>
            </c:strRef>
          </c:tx>
          <c:spPr>
            <a:solidFill>
              <a:srgbClr val="9BBB59"/>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(4)'!$A$2:$A$5</c:f>
              <c:numCache>
                <c:formatCode>General</c:formatCode>
                <c:ptCount val="4"/>
                <c:pt idx="0">
                  <c:v>2020</c:v>
                </c:pt>
                <c:pt idx="1">
                  <c:v>2021</c:v>
                </c:pt>
              </c:numCache>
            </c:numRef>
          </c:cat>
          <c:val>
            <c:numRef>
              <c:f>'Sheet1 (4)'!$D$2:$D$5</c:f>
              <c:numCache>
                <c:formatCode>General</c:formatCode>
                <c:ptCount val="4"/>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一般公共财政拨款支出情况</a:t>
            </a:r>
            <a:endParaRPr lang="zh-CN"/>
          </a:p>
        </c:rich>
      </c:tx>
      <c:layout/>
      <c:overlay val="0"/>
      <c:spPr>
        <a:noFill/>
        <a:ln>
          <a:noFill/>
        </a:ln>
      </c:spPr>
    </c:title>
    <c:autoTitleDeleted val="0"/>
    <c:plotArea>
      <c:layout/>
      <c:barChart>
        <c:barDir val="col"/>
        <c:grouping val="clustered"/>
        <c:varyColors val="0"/>
        <c:ser>
          <c:idx val="0"/>
          <c:order val="0"/>
          <c:tx>
            <c:strRef>
              <c:f>'Sheet1 (5)'!$B$1</c:f>
              <c:strCache>
                <c:ptCount val="1"/>
                <c:pt idx="0">
                  <c:v>2020</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一般公共预算支出</c:v>
                </c:pt>
              </c:strCache>
            </c:strRef>
          </c:cat>
          <c:val>
            <c:numRef>
              <c:f>Sheet1 (5)!$B$2</c:f>
              <c:numCache>
                <c:formatCode>General</c:formatCode>
                <c:ptCount val="1"/>
                <c:pt idx="0">
                  <c:v>1173.84</c:v>
                </c:pt>
              </c:numCache>
            </c:numRef>
          </c:val>
        </c:ser>
        <c:ser>
          <c:idx val="1"/>
          <c:order val="1"/>
          <c:tx>
            <c:strRef>
              <c:f>'Sheet1 (5)'!$C$1</c:f>
              <c:strCache>
                <c:ptCount val="1"/>
                <c:pt idx="0">
                  <c:v>2021</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一般公共预算支出</c:v>
                </c:pt>
              </c:strCache>
            </c:strRef>
          </c:cat>
          <c:val>
            <c:numRef>
              <c:f>Sheet1 (5)!$C$2</c:f>
              <c:numCache>
                <c:formatCode>General</c:formatCode>
                <c:ptCount val="1"/>
                <c:pt idx="0">
                  <c:v>1371.01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一般公共预算财政拨款支出决算结构图</a:t>
            </a:r>
            <a:endParaRPr lang="zh-CN"/>
          </a:p>
        </c:rich>
      </c:tx>
      <c:layout/>
      <c:overlay val="0"/>
      <c:spPr>
        <a:noFill/>
        <a:ln>
          <a:noFill/>
        </a:ln>
      </c:spPr>
    </c:title>
    <c:autoTitleDeleted val="0"/>
    <c:plotArea>
      <c:layout/>
      <c:pieChart>
        <c:varyColors val="1"/>
        <c:ser>
          <c:idx val="0"/>
          <c:order val="0"/>
          <c:tx>
            <c:strRef>
              <c:f>'Sheet1 (6)'!$B$1</c:f>
              <c:strCache>
                <c:ptCount val="1"/>
                <c:pt idx="0">
                  <c:v>金额</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社会保障和就业支出</c:v>
                </c:pt>
                <c:pt idx="1">
                  <c:v>卫生健康支出</c:v>
                </c:pt>
                <c:pt idx="2">
                  <c:v>住房保障支出</c:v>
                </c:pt>
              </c:strCache>
            </c:strRef>
          </c:cat>
          <c:val>
            <c:numRef>
              <c:f>'Sheet1 (6)'!$B$2:$B$5</c:f>
              <c:numCache>
                <c:formatCode>General</c:formatCode>
                <c:ptCount val="4"/>
                <c:pt idx="0">
                  <c:v>48.51</c:v>
                </c:pt>
                <c:pt idx="1">
                  <c:v>1274.78</c:v>
                </c:pt>
                <c:pt idx="2">
                  <c:v>47.73</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金额</a:t>
            </a:r>
            <a:endParaRPr lang="zh-CN"/>
          </a:p>
        </c:rich>
      </c:tx>
      <c:layout/>
      <c:overlay val="0"/>
      <c:spPr>
        <a:noFill/>
        <a:ln>
          <a:noFill/>
        </a:ln>
      </c:spPr>
    </c:title>
    <c:autoTitleDeleted val="0"/>
    <c:plotArea>
      <c:layout/>
      <c:pieChart>
        <c:varyColors val="1"/>
        <c:ser>
          <c:idx val="0"/>
          <c:order val="0"/>
          <c:tx>
            <c:strRef>
              <c:f>'Sheet1 (7)'!$B$1</c:f>
              <c:strCache>
                <c:ptCount val="1"/>
                <c:pt idx="0">
                  <c:v>金额</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(7)'!$A$2:$A$4</c:f>
              <c:strCache>
                <c:ptCount val="3"/>
                <c:pt idx="0">
                  <c:v>公务接待费</c:v>
                </c:pt>
                <c:pt idx="1">
                  <c:v>公务用车运行维护费</c:v>
                </c:pt>
                <c:pt idx="2">
                  <c:v>因公出国出境</c:v>
                </c:pt>
              </c:strCache>
            </c:strRef>
          </c:cat>
          <c:val>
            <c:numRef>
              <c:f>'Sheet1 (7)'!$B$2:$B$4</c:f>
              <c:numCache>
                <c:formatCode>General</c:formatCode>
                <c:ptCount val="3"/>
                <c:pt idx="0">
                  <c:v>0</c:v>
                </c:pt>
                <c:pt idx="1">
                  <c:v>33.49</c:v>
                </c:pt>
                <c:pt idx="2">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8AF54B2D-F0EE-42AD-8084-F3010127A328}">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31</Pages>
  <Words>0</Words>
  <Characters>11289</Characters>
  <Lines>0</Lines>
  <Paragraphs>198</Paragraphs>
  <TotalTime>12</TotalTime>
  <ScaleCrop>false</ScaleCrop>
  <LinksUpToDate>false</LinksUpToDate>
  <CharactersWithSpaces>15053</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2023-07-31T02:35:00Z</cp:lastPrinted>
  <dcterms:modified xsi:type="dcterms:W3CDTF">2023-12-11T08:50:29Z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68847AFAF8714FA6B20FB8DF2FE2A807_13</vt:lpwstr>
  </property>
</Properties>
</file>