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50" w:afterAutospacing="0" w:line="360" w:lineRule="auto"/>
        <w:jc w:val="center"/>
        <w:outlineLvl w:val="0"/>
        <w:rPr>
          <w:rFonts w:hint="eastAsia" w:ascii="黑体" w:hAnsi="黑体" w:eastAsia="黑体"/>
          <w:b/>
          <w:color w:val="auto"/>
          <w:sz w:val="36"/>
          <w:szCs w:val="36"/>
          <w:highlight w:val="none"/>
        </w:rPr>
      </w:pPr>
      <w:r>
        <w:rPr>
          <w:rFonts w:hint="eastAsia" w:ascii="黑体" w:hAnsi="黑体" w:eastAsia="黑体"/>
          <w:b/>
          <w:color w:val="auto"/>
          <w:sz w:val="36"/>
          <w:szCs w:val="36"/>
          <w:highlight w:val="none"/>
        </w:rPr>
        <w:t>招标项目技术、商务及其他要求</w:t>
      </w:r>
    </w:p>
    <w:p>
      <w:pPr>
        <w:pStyle w:val="3"/>
        <w:spacing w:line="500" w:lineRule="exact"/>
        <w:rPr>
          <w:rFonts w:hint="eastAsia" w:ascii="宋体" w:hAnsi="宋体" w:eastAsia="宋体" w:cs="宋体"/>
          <w:color w:val="auto"/>
          <w:sz w:val="24"/>
          <w:szCs w:val="24"/>
        </w:rPr>
      </w:pPr>
      <w:bookmarkStart w:id="0" w:name="_Toc21499"/>
      <w:bookmarkStart w:id="1" w:name="_Toc25022"/>
      <w:bookmarkStart w:id="2" w:name="_Toc20515"/>
      <w:r>
        <w:rPr>
          <w:rFonts w:hint="eastAsia" w:ascii="宋体" w:hAnsi="宋体" w:eastAsia="宋体" w:cs="宋体"/>
          <w:color w:val="auto"/>
          <w:sz w:val="24"/>
          <w:szCs w:val="24"/>
        </w:rPr>
        <w:t>一、项目名称、</w:t>
      </w:r>
      <w:r>
        <w:rPr>
          <w:rFonts w:hint="eastAsia" w:ascii="宋体" w:hAnsi="宋体" w:cs="宋体"/>
          <w:b w:val="0"/>
          <w:bCs w:val="0"/>
          <w:color w:val="auto"/>
          <w:sz w:val="24"/>
          <w:szCs w:val="24"/>
          <w:lang w:eastAsia="zh-CN"/>
        </w:rPr>
        <w:t>采购预算</w:t>
      </w:r>
      <w:r>
        <w:rPr>
          <w:rFonts w:hint="eastAsia" w:ascii="宋体" w:hAnsi="宋体" w:cs="宋体"/>
          <w:color w:val="auto"/>
          <w:sz w:val="24"/>
          <w:szCs w:val="24"/>
          <w:lang w:eastAsia="zh-CN"/>
        </w:rPr>
        <w:t>、</w:t>
      </w:r>
      <w:r>
        <w:rPr>
          <w:rFonts w:hint="eastAsia" w:ascii="宋体" w:hAnsi="宋体" w:eastAsia="宋体" w:cs="宋体"/>
          <w:color w:val="auto"/>
          <w:sz w:val="24"/>
          <w:szCs w:val="24"/>
        </w:rPr>
        <w:t>最高限价</w:t>
      </w:r>
      <w:bookmarkEnd w:id="0"/>
      <w:bookmarkEnd w:id="1"/>
    </w:p>
    <w:p>
      <w:pPr>
        <w:spacing w:line="500" w:lineRule="exact"/>
        <w:ind w:left="1687" w:hanging="1687" w:hangingChars="700"/>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1．项目名称</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遂宁市安居区机关事务服务中心食堂食材采购项目</w:t>
      </w:r>
    </w:p>
    <w:p>
      <w:pPr>
        <w:spacing w:line="500" w:lineRule="exact"/>
        <w:rPr>
          <w:rFonts w:hint="default" w:ascii="宋体" w:hAnsi="宋体" w:eastAsia="宋体" w:cs="宋体"/>
          <w:b/>
          <w:bCs/>
          <w:color w:val="auto"/>
          <w:sz w:val="24"/>
          <w:szCs w:val="24"/>
          <w:lang w:val="en-US" w:eastAsia="zh-CN"/>
        </w:rPr>
      </w:pPr>
      <w:r>
        <w:rPr>
          <w:rFonts w:hint="eastAsia" w:hAnsi="宋体" w:cs="宋体"/>
          <w:b/>
          <w:bCs/>
          <w:color w:val="auto"/>
          <w:sz w:val="24"/>
          <w:szCs w:val="24"/>
          <w:lang w:val="en-US" w:eastAsia="zh-CN"/>
        </w:rPr>
        <w:t xml:space="preserve">2. </w:t>
      </w:r>
      <w:r>
        <w:rPr>
          <w:rFonts w:hint="eastAsia" w:ascii="宋体" w:hAnsi="宋体" w:cs="宋体"/>
          <w:b/>
          <w:bCs/>
          <w:color w:val="auto"/>
          <w:sz w:val="24"/>
          <w:szCs w:val="24"/>
          <w:lang w:eastAsia="zh-CN"/>
        </w:rPr>
        <w:t>采购预算</w:t>
      </w:r>
      <w:r>
        <w:rPr>
          <w:rFonts w:hint="eastAsia" w:hAnsi="宋体" w:cs="宋体"/>
          <w:color w:val="auto"/>
          <w:sz w:val="24"/>
          <w:szCs w:val="24"/>
          <w:lang w:eastAsia="zh-CN"/>
        </w:rPr>
        <w:t>：</w:t>
      </w:r>
      <w:r>
        <w:rPr>
          <w:rFonts w:hint="default" w:ascii="Arial" w:hAnsi="Arial" w:cs="Arial"/>
          <w:color w:val="auto"/>
          <w:sz w:val="24"/>
          <w:szCs w:val="24"/>
          <w:lang w:eastAsia="zh-CN"/>
        </w:rPr>
        <w:t>¥</w:t>
      </w:r>
      <w:r>
        <w:rPr>
          <w:rFonts w:hint="eastAsia" w:ascii="Arial" w:hAnsi="Arial" w:cs="Arial"/>
          <w:color w:val="auto"/>
          <w:sz w:val="24"/>
          <w:szCs w:val="24"/>
          <w:u w:val="single"/>
          <w:lang w:val="en-US" w:eastAsia="zh-CN"/>
        </w:rPr>
        <w:t xml:space="preserve"> </w:t>
      </w:r>
      <w:r>
        <w:rPr>
          <w:rFonts w:hint="eastAsia" w:hAnsi="宋体" w:cs="宋体"/>
          <w:b/>
          <w:bCs/>
          <w:color w:val="auto"/>
          <w:sz w:val="24"/>
          <w:szCs w:val="24"/>
          <w:u w:val="single"/>
          <w:lang w:val="en-US" w:eastAsia="zh-CN"/>
        </w:rPr>
        <w:t>320</w:t>
      </w:r>
      <w:r>
        <w:rPr>
          <w:rFonts w:hint="eastAsia" w:hAnsi="宋体" w:cs="宋体"/>
          <w:color w:val="auto"/>
          <w:sz w:val="24"/>
          <w:szCs w:val="24"/>
          <w:lang w:val="en-US" w:eastAsia="zh-CN"/>
        </w:rPr>
        <w:t>万元</w:t>
      </w:r>
    </w:p>
    <w:p>
      <w:pPr>
        <w:spacing w:line="500" w:lineRule="exact"/>
        <w:rPr>
          <w:rFonts w:hint="eastAsia" w:ascii="宋体" w:hAnsi="宋体" w:eastAsia="宋体" w:cs="宋体"/>
          <w:b/>
          <w:bCs/>
          <w:color w:val="auto"/>
          <w:sz w:val="24"/>
          <w:szCs w:val="24"/>
        </w:rPr>
      </w:pPr>
      <w:r>
        <w:rPr>
          <w:rFonts w:hint="eastAsia" w:hAnsi="宋体" w:cs="宋体"/>
          <w:b/>
          <w:bCs/>
          <w:color w:val="auto"/>
          <w:sz w:val="24"/>
          <w:szCs w:val="24"/>
          <w:lang w:val="en-US" w:eastAsia="zh-CN"/>
        </w:rPr>
        <w:t>3</w:t>
      </w:r>
      <w:r>
        <w:rPr>
          <w:rFonts w:hint="eastAsia" w:ascii="宋体" w:hAnsi="宋体" w:eastAsia="宋体" w:cs="宋体"/>
          <w:b/>
          <w:bCs/>
          <w:color w:val="auto"/>
          <w:sz w:val="24"/>
          <w:szCs w:val="24"/>
        </w:rPr>
        <w:t>．最高限价：</w:t>
      </w:r>
      <w:r>
        <w:rPr>
          <w:rFonts w:hint="eastAsia" w:ascii="宋体" w:hAnsi="宋体" w:eastAsia="宋体" w:cs="宋体"/>
          <w:b w:val="0"/>
          <w:bCs w:val="0"/>
          <w:color w:val="auto"/>
          <w:sz w:val="24"/>
          <w:szCs w:val="24"/>
        </w:rPr>
        <w:t>本项目的报价为折扣率报价，最高折扣率限价：100%</w:t>
      </w:r>
    </w:p>
    <w:p>
      <w:pPr>
        <w:numPr>
          <w:ilvl w:val="0"/>
          <w:numId w:val="0"/>
        </w:numPr>
        <w:spacing w:line="500" w:lineRule="exact"/>
        <w:outlineLvl w:val="0"/>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二、采购清单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981"/>
        <w:gridCol w:w="1696"/>
        <w:gridCol w:w="2382"/>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noWrap w:val="0"/>
            <w:vAlign w:val="top"/>
          </w:tcPr>
          <w:p>
            <w:pPr>
              <w:numPr>
                <w:ilvl w:val="0"/>
                <w:numId w:val="0"/>
              </w:numPr>
              <w:spacing w:line="500" w:lineRule="exact"/>
              <w:jc w:val="center"/>
              <w:outlineLvl w:val="0"/>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vertAlign w:val="baseline"/>
                <w:lang w:eastAsia="zh-CN"/>
              </w:rPr>
              <w:t>序号</w:t>
            </w:r>
          </w:p>
        </w:tc>
        <w:tc>
          <w:tcPr>
            <w:tcW w:w="2100" w:type="dxa"/>
            <w:noWrap w:val="0"/>
            <w:vAlign w:val="top"/>
          </w:tcPr>
          <w:p>
            <w:pPr>
              <w:numPr>
                <w:ilvl w:val="0"/>
                <w:numId w:val="0"/>
              </w:numPr>
              <w:spacing w:line="500" w:lineRule="exact"/>
              <w:jc w:val="center"/>
              <w:outlineLvl w:val="0"/>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vertAlign w:val="baseline"/>
                <w:lang w:eastAsia="zh-CN"/>
              </w:rPr>
              <w:t>货物名称</w:t>
            </w:r>
          </w:p>
          <w:p>
            <w:pPr>
              <w:numPr>
                <w:ilvl w:val="0"/>
                <w:numId w:val="0"/>
              </w:numPr>
              <w:spacing w:line="500" w:lineRule="exact"/>
              <w:jc w:val="center"/>
              <w:outlineLvl w:val="0"/>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vertAlign w:val="baseline"/>
                <w:lang w:eastAsia="zh-CN"/>
              </w:rPr>
              <w:t>（标的名称）</w:t>
            </w:r>
          </w:p>
        </w:tc>
        <w:tc>
          <w:tcPr>
            <w:tcW w:w="1811" w:type="dxa"/>
            <w:noWrap w:val="0"/>
            <w:vAlign w:val="top"/>
          </w:tcPr>
          <w:p>
            <w:pPr>
              <w:numPr>
                <w:ilvl w:val="0"/>
                <w:numId w:val="0"/>
              </w:numPr>
              <w:spacing w:line="500" w:lineRule="exact"/>
              <w:jc w:val="center"/>
              <w:outlineLvl w:val="0"/>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vertAlign w:val="baseline"/>
                <w:lang w:eastAsia="zh-CN"/>
              </w:rPr>
              <w:t>数量</w:t>
            </w:r>
          </w:p>
        </w:tc>
        <w:tc>
          <w:tcPr>
            <w:tcW w:w="2538" w:type="dxa"/>
            <w:noWrap w:val="0"/>
            <w:vAlign w:val="top"/>
          </w:tcPr>
          <w:p>
            <w:pPr>
              <w:numPr>
                <w:ilvl w:val="0"/>
                <w:numId w:val="0"/>
              </w:numPr>
              <w:spacing w:line="500" w:lineRule="exact"/>
              <w:jc w:val="center"/>
              <w:outlineLvl w:val="0"/>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vertAlign w:val="baseline"/>
                <w:lang w:eastAsia="zh-CN"/>
              </w:rPr>
              <w:t>行业划分</w:t>
            </w:r>
          </w:p>
        </w:tc>
        <w:tc>
          <w:tcPr>
            <w:tcW w:w="1084" w:type="dxa"/>
            <w:noWrap w:val="0"/>
            <w:vAlign w:val="top"/>
          </w:tcPr>
          <w:p>
            <w:pPr>
              <w:numPr>
                <w:ilvl w:val="0"/>
                <w:numId w:val="0"/>
              </w:numPr>
              <w:spacing w:line="500" w:lineRule="exact"/>
              <w:jc w:val="center"/>
              <w:outlineLvl w:val="0"/>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noWrap w:val="0"/>
            <w:vAlign w:val="top"/>
          </w:tcPr>
          <w:p>
            <w:pPr>
              <w:numPr>
                <w:ilvl w:val="0"/>
                <w:numId w:val="0"/>
              </w:numPr>
              <w:spacing w:line="500" w:lineRule="exact"/>
              <w:jc w:val="center"/>
              <w:outlineLvl w:val="0"/>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1</w:t>
            </w:r>
          </w:p>
        </w:tc>
        <w:tc>
          <w:tcPr>
            <w:tcW w:w="2100" w:type="dxa"/>
            <w:noWrap w:val="0"/>
            <w:vAlign w:val="top"/>
          </w:tcPr>
          <w:p>
            <w:pPr>
              <w:numPr>
                <w:ilvl w:val="0"/>
                <w:numId w:val="0"/>
              </w:numPr>
              <w:spacing w:line="500" w:lineRule="exact"/>
              <w:jc w:val="center"/>
              <w:outlineLvl w:val="0"/>
              <w:rPr>
                <w:rFonts w:hint="eastAsia" w:ascii="宋体" w:hAnsi="宋体" w:eastAsia="宋体" w:cs="宋体"/>
                <w:b/>
                <w:bCs/>
                <w:color w:val="auto"/>
                <w:sz w:val="24"/>
                <w:szCs w:val="24"/>
                <w:vertAlign w:val="baseline"/>
                <w:lang w:val="en-US" w:eastAsia="zh-CN"/>
              </w:rPr>
            </w:pPr>
            <w:r>
              <w:rPr>
                <w:rFonts w:hint="eastAsia" w:ascii="宋体" w:hAnsi="宋体" w:eastAsia="宋体" w:cs="宋体"/>
                <w:color w:val="auto"/>
                <w:sz w:val="24"/>
                <w:szCs w:val="24"/>
              </w:rPr>
              <w:t>蔬菜</w:t>
            </w:r>
            <w:r>
              <w:rPr>
                <w:rFonts w:hint="eastAsia" w:ascii="宋体" w:hAnsi="宋体" w:eastAsia="宋体" w:cs="宋体"/>
                <w:color w:val="auto"/>
                <w:sz w:val="24"/>
                <w:szCs w:val="24"/>
                <w:lang w:eastAsia="zh-CN"/>
              </w:rPr>
              <w:t>类</w:t>
            </w:r>
          </w:p>
        </w:tc>
        <w:tc>
          <w:tcPr>
            <w:tcW w:w="1811" w:type="dxa"/>
            <w:noWrap w:val="0"/>
            <w:vAlign w:val="top"/>
          </w:tcPr>
          <w:p>
            <w:pPr>
              <w:numPr>
                <w:ilvl w:val="0"/>
                <w:numId w:val="0"/>
              </w:numPr>
              <w:spacing w:line="500" w:lineRule="exact"/>
              <w:jc w:val="center"/>
              <w:outlineLvl w:val="0"/>
              <w:rPr>
                <w:rFonts w:hint="eastAsia" w:ascii="宋体" w:hAnsi="宋体" w:eastAsia="宋体" w:cs="宋体"/>
                <w:b/>
                <w:bCs/>
                <w:color w:val="auto"/>
                <w:sz w:val="24"/>
                <w:szCs w:val="24"/>
                <w:vertAlign w:val="baseline"/>
                <w:lang w:eastAsia="zh-CN"/>
              </w:rPr>
            </w:pPr>
            <w:r>
              <w:rPr>
                <w:rFonts w:hint="eastAsia" w:ascii="宋体" w:hAnsi="宋体" w:eastAsia="宋体" w:cs="宋体"/>
                <w:b w:val="0"/>
                <w:bCs w:val="0"/>
                <w:color w:val="auto"/>
                <w:sz w:val="24"/>
                <w:szCs w:val="24"/>
                <w:vertAlign w:val="baseline"/>
                <w:lang w:eastAsia="zh-CN"/>
              </w:rPr>
              <w:t>据实</w:t>
            </w:r>
          </w:p>
        </w:tc>
        <w:tc>
          <w:tcPr>
            <w:tcW w:w="2538" w:type="dxa"/>
            <w:noWrap w:val="0"/>
            <w:vAlign w:val="top"/>
          </w:tcPr>
          <w:p>
            <w:pPr>
              <w:numPr>
                <w:ilvl w:val="0"/>
                <w:numId w:val="0"/>
              </w:numPr>
              <w:spacing w:line="500" w:lineRule="exact"/>
              <w:jc w:val="center"/>
              <w:outlineLvl w:val="0"/>
              <w:rPr>
                <w:rFonts w:hint="eastAsia" w:ascii="宋体" w:hAnsi="宋体" w:eastAsia="宋体" w:cs="宋体"/>
                <w:b/>
                <w:bCs/>
                <w:color w:val="auto"/>
                <w:sz w:val="24"/>
                <w:szCs w:val="24"/>
                <w:vertAlign w:val="baseline"/>
              </w:rPr>
            </w:pPr>
            <w:r>
              <w:rPr>
                <w:rFonts w:hint="eastAsia" w:ascii="宋体" w:hAnsi="宋体" w:eastAsia="宋体" w:cs="宋体"/>
                <w:b w:val="0"/>
                <w:bCs w:val="0"/>
                <w:color w:val="auto"/>
                <w:sz w:val="24"/>
                <w:szCs w:val="24"/>
                <w:vertAlign w:val="baseline"/>
              </w:rPr>
              <w:t>农、林、牧、渔业</w:t>
            </w:r>
          </w:p>
        </w:tc>
        <w:tc>
          <w:tcPr>
            <w:tcW w:w="1084" w:type="dxa"/>
            <w:noWrap w:val="0"/>
            <w:vAlign w:val="top"/>
          </w:tcPr>
          <w:p>
            <w:pPr>
              <w:numPr>
                <w:ilvl w:val="0"/>
                <w:numId w:val="0"/>
              </w:numPr>
              <w:spacing w:line="500" w:lineRule="exact"/>
              <w:jc w:val="center"/>
              <w:outlineLvl w:val="0"/>
              <w:rPr>
                <w:rFonts w:hint="eastAsia" w:ascii="宋体" w:hAnsi="宋体" w:eastAsia="宋体" w:cs="宋体"/>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noWrap w:val="0"/>
            <w:vAlign w:val="top"/>
          </w:tcPr>
          <w:p>
            <w:pPr>
              <w:numPr>
                <w:ilvl w:val="0"/>
                <w:numId w:val="0"/>
              </w:numPr>
              <w:spacing w:line="500" w:lineRule="exact"/>
              <w:jc w:val="center"/>
              <w:outlineLvl w:val="0"/>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2</w:t>
            </w:r>
          </w:p>
        </w:tc>
        <w:tc>
          <w:tcPr>
            <w:tcW w:w="2100" w:type="dxa"/>
            <w:noWrap w:val="0"/>
            <w:vAlign w:val="top"/>
          </w:tcPr>
          <w:p>
            <w:pPr>
              <w:numPr>
                <w:ilvl w:val="0"/>
                <w:numId w:val="0"/>
              </w:numPr>
              <w:spacing w:line="500" w:lineRule="exact"/>
              <w:jc w:val="center"/>
              <w:outlineLvl w:val="0"/>
              <w:rPr>
                <w:rFonts w:hint="eastAsia" w:ascii="宋体" w:hAnsi="宋体" w:eastAsia="宋体" w:cs="宋体"/>
                <w:b/>
                <w:bCs/>
                <w:color w:val="auto"/>
                <w:sz w:val="24"/>
                <w:szCs w:val="24"/>
                <w:vertAlign w:val="baseline"/>
                <w:lang w:eastAsia="zh-CN"/>
              </w:rPr>
            </w:pPr>
            <w:r>
              <w:rPr>
                <w:rFonts w:hint="eastAsia" w:ascii="宋体" w:hAnsi="宋体" w:eastAsia="宋体" w:cs="宋体"/>
                <w:color w:val="auto"/>
                <w:sz w:val="24"/>
                <w:szCs w:val="24"/>
              </w:rPr>
              <w:t>牛</w:t>
            </w:r>
            <w:r>
              <w:rPr>
                <w:rFonts w:hint="eastAsia" w:hAnsi="宋体" w:cs="宋体"/>
                <w:color w:val="auto"/>
                <w:sz w:val="24"/>
                <w:szCs w:val="24"/>
                <w:lang w:eastAsia="zh-CN"/>
              </w:rPr>
              <w:t>羊</w:t>
            </w:r>
            <w:r>
              <w:rPr>
                <w:rFonts w:hint="eastAsia" w:ascii="宋体" w:hAnsi="宋体" w:eastAsia="宋体" w:cs="宋体"/>
                <w:color w:val="auto"/>
                <w:sz w:val="24"/>
                <w:szCs w:val="24"/>
              </w:rPr>
              <w:t>肉</w:t>
            </w:r>
            <w:r>
              <w:rPr>
                <w:rFonts w:hint="eastAsia" w:hAnsi="宋体" w:cs="宋体"/>
                <w:color w:val="auto"/>
                <w:sz w:val="24"/>
                <w:szCs w:val="24"/>
                <w:lang w:eastAsia="zh-CN"/>
              </w:rPr>
              <w:t>类</w:t>
            </w:r>
          </w:p>
        </w:tc>
        <w:tc>
          <w:tcPr>
            <w:tcW w:w="1811" w:type="dxa"/>
            <w:noWrap w:val="0"/>
            <w:vAlign w:val="top"/>
          </w:tcPr>
          <w:p>
            <w:pPr>
              <w:numPr>
                <w:ilvl w:val="0"/>
                <w:numId w:val="0"/>
              </w:numPr>
              <w:spacing w:line="500" w:lineRule="exact"/>
              <w:jc w:val="center"/>
              <w:outlineLvl w:val="0"/>
              <w:rPr>
                <w:rFonts w:hint="eastAsia" w:ascii="宋体" w:hAnsi="宋体" w:eastAsia="宋体" w:cs="宋体"/>
                <w:b w:val="0"/>
                <w:bCs w:val="0"/>
                <w:color w:val="auto"/>
                <w:sz w:val="24"/>
                <w:szCs w:val="24"/>
                <w:vertAlign w:val="baseline"/>
              </w:rPr>
            </w:pPr>
            <w:r>
              <w:rPr>
                <w:rFonts w:hint="eastAsia" w:ascii="宋体" w:hAnsi="宋体" w:eastAsia="宋体" w:cs="宋体"/>
                <w:b w:val="0"/>
                <w:bCs w:val="0"/>
                <w:color w:val="auto"/>
                <w:sz w:val="24"/>
                <w:szCs w:val="24"/>
                <w:vertAlign w:val="baseline"/>
                <w:lang w:eastAsia="zh-CN"/>
              </w:rPr>
              <w:t>据实</w:t>
            </w:r>
          </w:p>
        </w:tc>
        <w:tc>
          <w:tcPr>
            <w:tcW w:w="2538" w:type="dxa"/>
            <w:noWrap w:val="0"/>
            <w:vAlign w:val="top"/>
          </w:tcPr>
          <w:p>
            <w:pPr>
              <w:numPr>
                <w:ilvl w:val="0"/>
                <w:numId w:val="0"/>
              </w:numPr>
              <w:spacing w:line="500" w:lineRule="exact"/>
              <w:jc w:val="center"/>
              <w:outlineLvl w:val="0"/>
              <w:rPr>
                <w:rFonts w:hint="eastAsia" w:ascii="宋体" w:hAnsi="宋体" w:eastAsia="宋体" w:cs="宋体"/>
                <w:b/>
                <w:bCs/>
                <w:color w:val="auto"/>
                <w:sz w:val="24"/>
                <w:szCs w:val="24"/>
                <w:vertAlign w:val="baseline"/>
              </w:rPr>
            </w:pPr>
            <w:r>
              <w:rPr>
                <w:rFonts w:hint="eastAsia" w:ascii="宋体" w:hAnsi="宋体" w:eastAsia="宋体" w:cs="宋体"/>
                <w:color w:val="auto"/>
                <w:sz w:val="24"/>
                <w:szCs w:val="24"/>
                <w:highlight w:val="none"/>
              </w:rPr>
              <w:t>农、林、牧、渔业</w:t>
            </w:r>
          </w:p>
        </w:tc>
        <w:tc>
          <w:tcPr>
            <w:tcW w:w="1084" w:type="dxa"/>
            <w:noWrap w:val="0"/>
            <w:vAlign w:val="top"/>
          </w:tcPr>
          <w:p>
            <w:pPr>
              <w:numPr>
                <w:ilvl w:val="0"/>
                <w:numId w:val="0"/>
              </w:numPr>
              <w:spacing w:line="500" w:lineRule="exact"/>
              <w:jc w:val="center"/>
              <w:outlineLvl w:val="0"/>
              <w:rPr>
                <w:rFonts w:hint="eastAsia" w:ascii="宋体" w:hAnsi="宋体" w:eastAsia="宋体" w:cs="宋体"/>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noWrap w:val="0"/>
            <w:vAlign w:val="top"/>
          </w:tcPr>
          <w:p>
            <w:pPr>
              <w:numPr>
                <w:ilvl w:val="0"/>
                <w:numId w:val="0"/>
              </w:numPr>
              <w:spacing w:line="500" w:lineRule="exact"/>
              <w:jc w:val="center"/>
              <w:outlineLvl w:val="0"/>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3</w:t>
            </w:r>
          </w:p>
        </w:tc>
        <w:tc>
          <w:tcPr>
            <w:tcW w:w="2100" w:type="dxa"/>
            <w:noWrap w:val="0"/>
            <w:vAlign w:val="top"/>
          </w:tcPr>
          <w:p>
            <w:pPr>
              <w:numPr>
                <w:ilvl w:val="0"/>
                <w:numId w:val="0"/>
              </w:numPr>
              <w:spacing w:line="500" w:lineRule="exact"/>
              <w:jc w:val="center"/>
              <w:outlineLvl w:val="0"/>
              <w:rPr>
                <w:rFonts w:hint="eastAsia" w:ascii="宋体" w:hAnsi="宋体" w:eastAsia="宋体" w:cs="宋体"/>
                <w:color w:val="auto"/>
                <w:sz w:val="24"/>
                <w:szCs w:val="24"/>
              </w:rPr>
            </w:pPr>
            <w:r>
              <w:rPr>
                <w:rFonts w:hint="eastAsia" w:ascii="宋体" w:hAnsi="宋体" w:eastAsia="宋体" w:cs="宋体"/>
                <w:color w:val="auto"/>
                <w:sz w:val="24"/>
                <w:szCs w:val="24"/>
              </w:rPr>
              <w:t>冻货</w:t>
            </w:r>
          </w:p>
        </w:tc>
        <w:tc>
          <w:tcPr>
            <w:tcW w:w="1811" w:type="dxa"/>
            <w:noWrap w:val="0"/>
            <w:vAlign w:val="top"/>
          </w:tcPr>
          <w:p>
            <w:pPr>
              <w:numPr>
                <w:ilvl w:val="0"/>
                <w:numId w:val="0"/>
              </w:numPr>
              <w:spacing w:line="500" w:lineRule="exact"/>
              <w:jc w:val="center"/>
              <w:outlineLvl w:val="0"/>
              <w:rPr>
                <w:rFonts w:hint="eastAsia" w:ascii="宋体" w:hAnsi="宋体" w:eastAsia="宋体" w:cs="宋体"/>
                <w:b w:val="0"/>
                <w:bCs w:val="0"/>
                <w:color w:val="auto"/>
                <w:sz w:val="24"/>
                <w:szCs w:val="24"/>
                <w:vertAlign w:val="baseline"/>
              </w:rPr>
            </w:pPr>
            <w:r>
              <w:rPr>
                <w:rFonts w:hint="eastAsia" w:ascii="宋体" w:hAnsi="宋体" w:eastAsia="宋体" w:cs="宋体"/>
                <w:b w:val="0"/>
                <w:bCs w:val="0"/>
                <w:color w:val="auto"/>
                <w:sz w:val="24"/>
                <w:szCs w:val="24"/>
                <w:vertAlign w:val="baseline"/>
                <w:lang w:eastAsia="zh-CN"/>
              </w:rPr>
              <w:t>据实</w:t>
            </w:r>
          </w:p>
        </w:tc>
        <w:tc>
          <w:tcPr>
            <w:tcW w:w="2538" w:type="dxa"/>
            <w:noWrap w:val="0"/>
            <w:vAlign w:val="top"/>
          </w:tcPr>
          <w:p>
            <w:pPr>
              <w:numPr>
                <w:ilvl w:val="0"/>
                <w:numId w:val="0"/>
              </w:numPr>
              <w:spacing w:line="500" w:lineRule="exact"/>
              <w:jc w:val="center"/>
              <w:outlineLvl w:val="0"/>
              <w:rPr>
                <w:rFonts w:hint="eastAsia" w:ascii="宋体" w:hAnsi="宋体" w:eastAsia="宋体" w:cs="宋体"/>
                <w:b/>
                <w:bCs/>
                <w:color w:val="auto"/>
                <w:sz w:val="24"/>
                <w:szCs w:val="24"/>
                <w:vertAlign w:val="baseline"/>
              </w:rPr>
            </w:pPr>
            <w:r>
              <w:rPr>
                <w:rFonts w:hint="eastAsia" w:ascii="宋体" w:hAnsi="宋体" w:eastAsia="宋体" w:cs="宋体"/>
                <w:color w:val="auto"/>
                <w:sz w:val="24"/>
                <w:szCs w:val="24"/>
                <w:highlight w:val="none"/>
              </w:rPr>
              <w:t>农、林、牧、渔业</w:t>
            </w:r>
          </w:p>
        </w:tc>
        <w:tc>
          <w:tcPr>
            <w:tcW w:w="1084" w:type="dxa"/>
            <w:noWrap w:val="0"/>
            <w:vAlign w:val="top"/>
          </w:tcPr>
          <w:p>
            <w:pPr>
              <w:numPr>
                <w:ilvl w:val="0"/>
                <w:numId w:val="0"/>
              </w:numPr>
              <w:spacing w:line="500" w:lineRule="exact"/>
              <w:jc w:val="center"/>
              <w:outlineLvl w:val="0"/>
              <w:rPr>
                <w:rFonts w:hint="eastAsia" w:ascii="宋体" w:hAnsi="宋体" w:eastAsia="宋体" w:cs="宋体"/>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noWrap w:val="0"/>
            <w:vAlign w:val="top"/>
          </w:tcPr>
          <w:p>
            <w:pPr>
              <w:numPr>
                <w:ilvl w:val="0"/>
                <w:numId w:val="0"/>
              </w:numPr>
              <w:spacing w:line="500" w:lineRule="exact"/>
              <w:ind w:left="0" w:leftChars="0" w:firstLine="0" w:firstLineChars="0"/>
              <w:jc w:val="center"/>
              <w:outlineLvl w:val="0"/>
              <w:rPr>
                <w:rFonts w:hint="eastAsia" w:ascii="宋体" w:hAnsi="宋体" w:eastAsia="宋体" w:cs="宋体"/>
                <w:b/>
                <w:bCs/>
                <w:color w:val="auto"/>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4</w:t>
            </w:r>
          </w:p>
        </w:tc>
        <w:tc>
          <w:tcPr>
            <w:tcW w:w="2100" w:type="dxa"/>
            <w:noWrap w:val="0"/>
            <w:vAlign w:val="top"/>
          </w:tcPr>
          <w:p>
            <w:pPr>
              <w:numPr>
                <w:ilvl w:val="0"/>
                <w:numId w:val="0"/>
              </w:numPr>
              <w:spacing w:line="500" w:lineRule="exact"/>
              <w:ind w:left="0" w:leftChars="0" w:firstLine="0" w:firstLineChars="0"/>
              <w:jc w:val="center"/>
              <w:outlineLvl w:val="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鱼虾类等水产品</w:t>
            </w:r>
          </w:p>
        </w:tc>
        <w:tc>
          <w:tcPr>
            <w:tcW w:w="1811" w:type="dxa"/>
            <w:noWrap w:val="0"/>
            <w:vAlign w:val="top"/>
          </w:tcPr>
          <w:p>
            <w:pPr>
              <w:numPr>
                <w:ilvl w:val="0"/>
                <w:numId w:val="0"/>
              </w:numPr>
              <w:spacing w:line="500" w:lineRule="exact"/>
              <w:ind w:left="0" w:leftChars="0" w:firstLine="0" w:firstLineChars="0"/>
              <w:jc w:val="center"/>
              <w:outlineLvl w:val="0"/>
              <w:rPr>
                <w:rFonts w:hint="eastAsia" w:ascii="宋体" w:hAnsi="宋体" w:eastAsia="宋体" w:cs="宋体"/>
                <w:b w:val="0"/>
                <w:bCs w:val="0"/>
                <w:color w:val="auto"/>
                <w:sz w:val="24"/>
                <w:szCs w:val="24"/>
                <w:vertAlign w:val="baseline"/>
                <w:lang w:val="en-US" w:eastAsia="zh-CN" w:bidi="ar-SA"/>
              </w:rPr>
            </w:pPr>
            <w:r>
              <w:rPr>
                <w:rFonts w:hint="eastAsia" w:ascii="宋体" w:hAnsi="宋体" w:eastAsia="宋体" w:cs="宋体"/>
                <w:b w:val="0"/>
                <w:bCs w:val="0"/>
                <w:color w:val="auto"/>
                <w:sz w:val="24"/>
                <w:szCs w:val="24"/>
                <w:vertAlign w:val="baseline"/>
                <w:lang w:eastAsia="zh-CN"/>
              </w:rPr>
              <w:t>据实</w:t>
            </w:r>
          </w:p>
        </w:tc>
        <w:tc>
          <w:tcPr>
            <w:tcW w:w="2538" w:type="dxa"/>
            <w:noWrap w:val="0"/>
            <w:vAlign w:val="top"/>
          </w:tcPr>
          <w:p>
            <w:pPr>
              <w:numPr>
                <w:ilvl w:val="0"/>
                <w:numId w:val="0"/>
              </w:numPr>
              <w:spacing w:line="500" w:lineRule="exact"/>
              <w:ind w:left="0" w:leftChars="0" w:firstLine="0" w:firstLineChars="0"/>
              <w:jc w:val="center"/>
              <w:outlineLvl w:val="0"/>
              <w:rPr>
                <w:rFonts w:hint="eastAsia" w:ascii="宋体" w:hAnsi="宋体" w:eastAsia="宋体" w:cs="宋体"/>
                <w:b/>
                <w:bCs/>
                <w:color w:val="auto"/>
                <w:sz w:val="24"/>
                <w:szCs w:val="24"/>
                <w:vertAlign w:val="baseline"/>
                <w:lang w:val="en-US" w:eastAsia="zh-CN" w:bidi="ar-SA"/>
              </w:rPr>
            </w:pPr>
            <w:r>
              <w:rPr>
                <w:rFonts w:hint="eastAsia" w:ascii="宋体" w:hAnsi="宋体" w:eastAsia="宋体" w:cs="宋体"/>
                <w:color w:val="auto"/>
                <w:sz w:val="24"/>
                <w:szCs w:val="24"/>
                <w:highlight w:val="none"/>
              </w:rPr>
              <w:t>农、林、牧、渔业</w:t>
            </w:r>
          </w:p>
        </w:tc>
        <w:tc>
          <w:tcPr>
            <w:tcW w:w="1084" w:type="dxa"/>
            <w:noWrap w:val="0"/>
            <w:vAlign w:val="top"/>
          </w:tcPr>
          <w:p>
            <w:pPr>
              <w:numPr>
                <w:ilvl w:val="0"/>
                <w:numId w:val="0"/>
              </w:numPr>
              <w:spacing w:line="500" w:lineRule="exact"/>
              <w:ind w:left="0" w:leftChars="0" w:firstLine="0" w:firstLineChars="0"/>
              <w:jc w:val="center"/>
              <w:outlineLvl w:val="0"/>
              <w:rPr>
                <w:rFonts w:hint="eastAsia" w:ascii="宋体" w:hAnsi="宋体" w:eastAsia="宋体" w:cs="宋体"/>
                <w:b/>
                <w:bCs/>
                <w:color w:val="auto"/>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noWrap w:val="0"/>
            <w:vAlign w:val="top"/>
          </w:tcPr>
          <w:p>
            <w:pPr>
              <w:numPr>
                <w:ilvl w:val="0"/>
                <w:numId w:val="0"/>
              </w:numPr>
              <w:spacing w:line="500" w:lineRule="exact"/>
              <w:ind w:left="0" w:leftChars="0" w:firstLine="0" w:firstLineChars="0"/>
              <w:jc w:val="center"/>
              <w:outlineLvl w:val="0"/>
              <w:rPr>
                <w:rFonts w:hint="eastAsia" w:ascii="宋体" w:hAnsi="宋体" w:eastAsia="宋体" w:cs="宋体"/>
                <w:b/>
                <w:bCs/>
                <w:color w:val="auto"/>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5</w:t>
            </w:r>
          </w:p>
        </w:tc>
        <w:tc>
          <w:tcPr>
            <w:tcW w:w="2100" w:type="dxa"/>
            <w:noWrap w:val="0"/>
            <w:vAlign w:val="top"/>
          </w:tcPr>
          <w:p>
            <w:pPr>
              <w:numPr>
                <w:ilvl w:val="0"/>
                <w:numId w:val="0"/>
              </w:numPr>
              <w:spacing w:line="500" w:lineRule="exact"/>
              <w:ind w:left="0" w:leftChars="0" w:firstLine="0" w:firstLineChars="0"/>
              <w:jc w:val="center"/>
              <w:outlineLvl w:val="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水果</w:t>
            </w:r>
            <w:r>
              <w:rPr>
                <w:rFonts w:hint="eastAsia" w:ascii="宋体" w:hAnsi="宋体" w:eastAsia="宋体" w:cs="宋体"/>
                <w:color w:val="auto"/>
                <w:sz w:val="24"/>
                <w:szCs w:val="24"/>
                <w:lang w:eastAsia="zh-CN"/>
              </w:rPr>
              <w:t>类</w:t>
            </w:r>
          </w:p>
        </w:tc>
        <w:tc>
          <w:tcPr>
            <w:tcW w:w="1811" w:type="dxa"/>
            <w:noWrap w:val="0"/>
            <w:vAlign w:val="top"/>
          </w:tcPr>
          <w:p>
            <w:pPr>
              <w:numPr>
                <w:ilvl w:val="0"/>
                <w:numId w:val="0"/>
              </w:numPr>
              <w:spacing w:line="500" w:lineRule="exact"/>
              <w:ind w:left="0" w:leftChars="0" w:firstLine="0" w:firstLineChars="0"/>
              <w:jc w:val="center"/>
              <w:outlineLvl w:val="0"/>
              <w:rPr>
                <w:rFonts w:hint="eastAsia" w:ascii="宋体" w:hAnsi="宋体" w:eastAsia="宋体" w:cs="宋体"/>
                <w:b w:val="0"/>
                <w:bCs w:val="0"/>
                <w:color w:val="auto"/>
                <w:sz w:val="24"/>
                <w:szCs w:val="24"/>
                <w:vertAlign w:val="baseline"/>
                <w:lang w:val="en-US" w:eastAsia="zh-CN" w:bidi="ar-SA"/>
              </w:rPr>
            </w:pPr>
            <w:r>
              <w:rPr>
                <w:rFonts w:hint="eastAsia" w:ascii="宋体" w:hAnsi="宋体" w:eastAsia="宋体" w:cs="宋体"/>
                <w:b w:val="0"/>
                <w:bCs w:val="0"/>
                <w:color w:val="auto"/>
                <w:sz w:val="24"/>
                <w:szCs w:val="24"/>
                <w:vertAlign w:val="baseline"/>
                <w:lang w:eastAsia="zh-CN"/>
              </w:rPr>
              <w:t>据实</w:t>
            </w:r>
          </w:p>
        </w:tc>
        <w:tc>
          <w:tcPr>
            <w:tcW w:w="2538" w:type="dxa"/>
            <w:noWrap w:val="0"/>
            <w:vAlign w:val="top"/>
          </w:tcPr>
          <w:p>
            <w:pPr>
              <w:numPr>
                <w:ilvl w:val="0"/>
                <w:numId w:val="0"/>
              </w:numPr>
              <w:spacing w:line="500" w:lineRule="exact"/>
              <w:ind w:left="0" w:leftChars="0" w:firstLine="0" w:firstLineChars="0"/>
              <w:jc w:val="center"/>
              <w:outlineLvl w:val="0"/>
              <w:rPr>
                <w:rFonts w:hint="eastAsia" w:ascii="宋体" w:hAnsi="宋体" w:eastAsia="宋体" w:cs="宋体"/>
                <w:b/>
                <w:bCs/>
                <w:color w:val="auto"/>
                <w:sz w:val="24"/>
                <w:szCs w:val="24"/>
                <w:vertAlign w:val="baseline"/>
                <w:lang w:val="en-US" w:eastAsia="zh-CN" w:bidi="ar-SA"/>
              </w:rPr>
            </w:pPr>
            <w:r>
              <w:rPr>
                <w:rFonts w:hint="eastAsia" w:ascii="宋体" w:hAnsi="宋体" w:eastAsia="宋体" w:cs="宋体"/>
                <w:color w:val="auto"/>
                <w:sz w:val="24"/>
                <w:szCs w:val="24"/>
                <w:highlight w:val="none"/>
              </w:rPr>
              <w:t>农、林、牧、渔业</w:t>
            </w:r>
          </w:p>
        </w:tc>
        <w:tc>
          <w:tcPr>
            <w:tcW w:w="1084" w:type="dxa"/>
            <w:noWrap w:val="0"/>
            <w:vAlign w:val="top"/>
          </w:tcPr>
          <w:p>
            <w:pPr>
              <w:numPr>
                <w:ilvl w:val="0"/>
                <w:numId w:val="0"/>
              </w:numPr>
              <w:spacing w:line="500" w:lineRule="exact"/>
              <w:jc w:val="center"/>
              <w:outlineLvl w:val="0"/>
              <w:rPr>
                <w:rFonts w:hint="eastAsia" w:ascii="宋体" w:hAnsi="宋体" w:eastAsia="宋体" w:cs="宋体"/>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noWrap w:val="0"/>
            <w:vAlign w:val="top"/>
          </w:tcPr>
          <w:p>
            <w:pPr>
              <w:numPr>
                <w:ilvl w:val="0"/>
                <w:numId w:val="0"/>
              </w:numPr>
              <w:spacing w:line="500" w:lineRule="exact"/>
              <w:ind w:left="0" w:leftChars="0" w:firstLine="0" w:firstLineChars="0"/>
              <w:jc w:val="center"/>
              <w:outlineLvl w:val="0"/>
              <w:rPr>
                <w:rFonts w:hint="eastAsia" w:ascii="宋体" w:hAnsi="宋体" w:eastAsia="宋体" w:cs="宋体"/>
                <w:b/>
                <w:bCs/>
                <w:color w:val="auto"/>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6</w:t>
            </w:r>
          </w:p>
        </w:tc>
        <w:tc>
          <w:tcPr>
            <w:tcW w:w="2100" w:type="dxa"/>
            <w:noWrap w:val="0"/>
            <w:vAlign w:val="top"/>
          </w:tcPr>
          <w:p>
            <w:pPr>
              <w:numPr>
                <w:ilvl w:val="0"/>
                <w:numId w:val="0"/>
              </w:numPr>
              <w:spacing w:line="500" w:lineRule="exact"/>
              <w:ind w:left="0" w:leftChars="0" w:firstLine="0" w:firstLineChars="0"/>
              <w:jc w:val="center"/>
              <w:outlineLvl w:val="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蛋</w:t>
            </w:r>
            <w:r>
              <w:rPr>
                <w:rFonts w:hint="eastAsia" w:hAnsi="宋体" w:cs="宋体"/>
                <w:color w:val="auto"/>
                <w:sz w:val="24"/>
                <w:szCs w:val="24"/>
                <w:lang w:eastAsia="zh-CN"/>
              </w:rPr>
              <w:t>类</w:t>
            </w:r>
          </w:p>
        </w:tc>
        <w:tc>
          <w:tcPr>
            <w:tcW w:w="1811" w:type="dxa"/>
            <w:noWrap w:val="0"/>
            <w:vAlign w:val="top"/>
          </w:tcPr>
          <w:p>
            <w:pPr>
              <w:numPr>
                <w:ilvl w:val="0"/>
                <w:numId w:val="0"/>
              </w:numPr>
              <w:spacing w:line="500" w:lineRule="exact"/>
              <w:ind w:left="0" w:leftChars="0" w:firstLine="0" w:firstLineChars="0"/>
              <w:jc w:val="center"/>
              <w:outlineLvl w:val="0"/>
              <w:rPr>
                <w:rFonts w:hint="eastAsia" w:ascii="宋体" w:hAnsi="宋体" w:eastAsia="宋体" w:cs="宋体"/>
                <w:b w:val="0"/>
                <w:bCs w:val="0"/>
                <w:color w:val="auto"/>
                <w:sz w:val="24"/>
                <w:szCs w:val="24"/>
                <w:vertAlign w:val="baseline"/>
                <w:lang w:val="en-US" w:eastAsia="zh-CN" w:bidi="ar-SA"/>
              </w:rPr>
            </w:pPr>
            <w:r>
              <w:rPr>
                <w:rFonts w:hint="eastAsia" w:ascii="宋体" w:hAnsi="宋体" w:eastAsia="宋体" w:cs="宋体"/>
                <w:b w:val="0"/>
                <w:bCs w:val="0"/>
                <w:color w:val="auto"/>
                <w:sz w:val="24"/>
                <w:szCs w:val="24"/>
                <w:vertAlign w:val="baseline"/>
                <w:lang w:eastAsia="zh-CN"/>
              </w:rPr>
              <w:t>据实</w:t>
            </w:r>
          </w:p>
        </w:tc>
        <w:tc>
          <w:tcPr>
            <w:tcW w:w="2538" w:type="dxa"/>
            <w:noWrap w:val="0"/>
            <w:vAlign w:val="top"/>
          </w:tcPr>
          <w:p>
            <w:pPr>
              <w:numPr>
                <w:ilvl w:val="0"/>
                <w:numId w:val="0"/>
              </w:numPr>
              <w:spacing w:line="500" w:lineRule="exact"/>
              <w:ind w:left="0" w:leftChars="0" w:firstLine="0" w:firstLineChars="0"/>
              <w:jc w:val="center"/>
              <w:outlineLvl w:val="0"/>
              <w:rPr>
                <w:rFonts w:hint="eastAsia" w:ascii="宋体" w:hAnsi="宋体" w:eastAsia="宋体" w:cs="宋体"/>
                <w:b/>
                <w:bCs/>
                <w:color w:val="auto"/>
                <w:sz w:val="24"/>
                <w:szCs w:val="24"/>
                <w:vertAlign w:val="baseline"/>
                <w:lang w:val="en-US" w:eastAsia="zh-CN" w:bidi="ar-SA"/>
              </w:rPr>
            </w:pPr>
            <w:r>
              <w:rPr>
                <w:rFonts w:hint="eastAsia" w:ascii="宋体" w:hAnsi="宋体" w:eastAsia="宋体" w:cs="宋体"/>
                <w:color w:val="auto"/>
                <w:sz w:val="24"/>
                <w:szCs w:val="24"/>
                <w:highlight w:val="none"/>
              </w:rPr>
              <w:t>农、林、牧、渔业</w:t>
            </w:r>
          </w:p>
        </w:tc>
        <w:tc>
          <w:tcPr>
            <w:tcW w:w="1084" w:type="dxa"/>
            <w:noWrap w:val="0"/>
            <w:vAlign w:val="top"/>
          </w:tcPr>
          <w:p>
            <w:pPr>
              <w:numPr>
                <w:ilvl w:val="0"/>
                <w:numId w:val="0"/>
              </w:numPr>
              <w:spacing w:line="500" w:lineRule="exact"/>
              <w:ind w:left="0" w:leftChars="0" w:firstLine="0" w:firstLineChars="0"/>
              <w:jc w:val="center"/>
              <w:outlineLvl w:val="0"/>
              <w:rPr>
                <w:rFonts w:hint="eastAsia" w:ascii="宋体" w:hAnsi="宋体" w:eastAsia="宋体" w:cs="宋体"/>
                <w:b/>
                <w:bCs/>
                <w:color w:val="auto"/>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noWrap w:val="0"/>
            <w:vAlign w:val="top"/>
          </w:tcPr>
          <w:p>
            <w:pPr>
              <w:numPr>
                <w:ilvl w:val="0"/>
                <w:numId w:val="0"/>
              </w:numPr>
              <w:spacing w:line="500" w:lineRule="exact"/>
              <w:ind w:left="0" w:leftChars="0" w:firstLine="0" w:firstLineChars="0"/>
              <w:jc w:val="center"/>
              <w:outlineLvl w:val="0"/>
              <w:rPr>
                <w:rFonts w:hint="eastAsia" w:ascii="宋体" w:hAnsi="宋体" w:eastAsia="宋体" w:cs="宋体"/>
                <w:b/>
                <w:bCs/>
                <w:color w:val="auto"/>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7</w:t>
            </w:r>
          </w:p>
        </w:tc>
        <w:tc>
          <w:tcPr>
            <w:tcW w:w="2100" w:type="dxa"/>
            <w:noWrap w:val="0"/>
            <w:vAlign w:val="top"/>
          </w:tcPr>
          <w:p>
            <w:pPr>
              <w:numPr>
                <w:ilvl w:val="0"/>
                <w:numId w:val="0"/>
              </w:numPr>
              <w:spacing w:line="500" w:lineRule="exact"/>
              <w:ind w:left="0" w:leftChars="0" w:firstLine="0" w:firstLineChars="0"/>
              <w:jc w:val="center"/>
              <w:outlineLvl w:val="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鸡鸭鹅等禽类</w:t>
            </w:r>
          </w:p>
        </w:tc>
        <w:tc>
          <w:tcPr>
            <w:tcW w:w="1811" w:type="dxa"/>
            <w:noWrap w:val="0"/>
            <w:vAlign w:val="top"/>
          </w:tcPr>
          <w:p>
            <w:pPr>
              <w:numPr>
                <w:ilvl w:val="0"/>
                <w:numId w:val="0"/>
              </w:numPr>
              <w:spacing w:line="500" w:lineRule="exact"/>
              <w:ind w:left="0" w:leftChars="0" w:firstLine="0" w:firstLineChars="0"/>
              <w:jc w:val="center"/>
              <w:outlineLvl w:val="0"/>
              <w:rPr>
                <w:rFonts w:hint="eastAsia" w:ascii="宋体" w:hAnsi="宋体" w:eastAsia="宋体" w:cs="宋体"/>
                <w:b w:val="0"/>
                <w:bCs w:val="0"/>
                <w:color w:val="auto"/>
                <w:sz w:val="24"/>
                <w:szCs w:val="24"/>
                <w:vertAlign w:val="baseline"/>
                <w:lang w:val="en-US" w:eastAsia="zh-CN" w:bidi="ar-SA"/>
              </w:rPr>
            </w:pPr>
            <w:r>
              <w:rPr>
                <w:rFonts w:hint="eastAsia" w:ascii="宋体" w:hAnsi="宋体" w:eastAsia="宋体" w:cs="宋体"/>
                <w:b w:val="0"/>
                <w:bCs w:val="0"/>
                <w:color w:val="auto"/>
                <w:sz w:val="24"/>
                <w:szCs w:val="24"/>
                <w:vertAlign w:val="baseline"/>
                <w:lang w:eastAsia="zh-CN"/>
              </w:rPr>
              <w:t>据实</w:t>
            </w:r>
          </w:p>
        </w:tc>
        <w:tc>
          <w:tcPr>
            <w:tcW w:w="2538" w:type="dxa"/>
            <w:noWrap w:val="0"/>
            <w:vAlign w:val="top"/>
          </w:tcPr>
          <w:p>
            <w:pPr>
              <w:numPr>
                <w:ilvl w:val="0"/>
                <w:numId w:val="0"/>
              </w:numPr>
              <w:spacing w:line="500" w:lineRule="exact"/>
              <w:ind w:left="0" w:leftChars="0" w:firstLine="0" w:firstLineChars="0"/>
              <w:jc w:val="center"/>
              <w:outlineLvl w:val="0"/>
              <w:rPr>
                <w:rFonts w:hint="eastAsia" w:ascii="宋体" w:hAnsi="宋体" w:eastAsia="宋体" w:cs="宋体"/>
                <w:b/>
                <w:bCs/>
                <w:color w:val="auto"/>
                <w:sz w:val="24"/>
                <w:szCs w:val="24"/>
                <w:vertAlign w:val="baseline"/>
                <w:lang w:val="en-US" w:eastAsia="zh-CN" w:bidi="ar-SA"/>
              </w:rPr>
            </w:pPr>
            <w:r>
              <w:rPr>
                <w:rFonts w:hint="eastAsia" w:ascii="宋体" w:hAnsi="宋体" w:eastAsia="宋体" w:cs="宋体"/>
                <w:color w:val="auto"/>
                <w:sz w:val="24"/>
                <w:szCs w:val="24"/>
                <w:highlight w:val="none"/>
              </w:rPr>
              <w:t>农、林、牧、渔业</w:t>
            </w:r>
          </w:p>
        </w:tc>
        <w:tc>
          <w:tcPr>
            <w:tcW w:w="1084" w:type="dxa"/>
            <w:noWrap w:val="0"/>
            <w:vAlign w:val="top"/>
          </w:tcPr>
          <w:p>
            <w:pPr>
              <w:numPr>
                <w:ilvl w:val="0"/>
                <w:numId w:val="0"/>
              </w:numPr>
              <w:spacing w:line="500" w:lineRule="exact"/>
              <w:ind w:left="0" w:leftChars="0" w:firstLine="0" w:firstLineChars="0"/>
              <w:jc w:val="center"/>
              <w:outlineLvl w:val="0"/>
              <w:rPr>
                <w:rFonts w:hint="eastAsia" w:ascii="宋体" w:hAnsi="宋体" w:eastAsia="宋体" w:cs="宋体"/>
                <w:b/>
                <w:bCs/>
                <w:color w:val="auto"/>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noWrap w:val="0"/>
            <w:vAlign w:val="top"/>
          </w:tcPr>
          <w:p>
            <w:pPr>
              <w:numPr>
                <w:ilvl w:val="0"/>
                <w:numId w:val="0"/>
              </w:numPr>
              <w:spacing w:line="500" w:lineRule="exact"/>
              <w:ind w:left="0" w:leftChars="0" w:firstLine="0" w:firstLineChars="0"/>
              <w:jc w:val="center"/>
              <w:outlineLvl w:val="0"/>
              <w:rPr>
                <w:rFonts w:hint="eastAsia" w:ascii="宋体" w:hAnsi="宋体" w:eastAsia="宋体" w:cs="宋体"/>
                <w:b/>
                <w:bCs/>
                <w:color w:val="auto"/>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8</w:t>
            </w:r>
          </w:p>
        </w:tc>
        <w:tc>
          <w:tcPr>
            <w:tcW w:w="2100" w:type="dxa"/>
            <w:noWrap w:val="0"/>
            <w:vAlign w:val="top"/>
          </w:tcPr>
          <w:p>
            <w:pPr>
              <w:numPr>
                <w:ilvl w:val="0"/>
                <w:numId w:val="0"/>
              </w:numPr>
              <w:spacing w:line="500" w:lineRule="exact"/>
              <w:ind w:left="0" w:leftChars="0" w:firstLine="0" w:firstLineChars="0"/>
              <w:jc w:val="center"/>
              <w:outlineLvl w:val="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猪肉</w:t>
            </w:r>
          </w:p>
        </w:tc>
        <w:tc>
          <w:tcPr>
            <w:tcW w:w="1811" w:type="dxa"/>
            <w:noWrap w:val="0"/>
            <w:vAlign w:val="top"/>
          </w:tcPr>
          <w:p>
            <w:pPr>
              <w:numPr>
                <w:ilvl w:val="0"/>
                <w:numId w:val="0"/>
              </w:numPr>
              <w:spacing w:line="500" w:lineRule="exact"/>
              <w:ind w:left="0" w:leftChars="0" w:firstLine="0" w:firstLineChars="0"/>
              <w:jc w:val="center"/>
              <w:outlineLvl w:val="0"/>
              <w:rPr>
                <w:rFonts w:hint="eastAsia" w:ascii="宋体" w:hAnsi="宋体" w:eastAsia="宋体" w:cs="宋体"/>
                <w:b w:val="0"/>
                <w:bCs w:val="0"/>
                <w:color w:val="auto"/>
                <w:sz w:val="24"/>
                <w:szCs w:val="24"/>
                <w:vertAlign w:val="baseline"/>
                <w:lang w:val="en-US" w:eastAsia="zh-CN" w:bidi="ar-SA"/>
              </w:rPr>
            </w:pPr>
            <w:r>
              <w:rPr>
                <w:rFonts w:hint="eastAsia" w:ascii="宋体" w:hAnsi="宋体" w:eastAsia="宋体" w:cs="宋体"/>
                <w:b w:val="0"/>
                <w:bCs w:val="0"/>
                <w:color w:val="auto"/>
                <w:sz w:val="24"/>
                <w:szCs w:val="24"/>
                <w:vertAlign w:val="baseline"/>
                <w:lang w:eastAsia="zh-CN"/>
              </w:rPr>
              <w:t>据实</w:t>
            </w:r>
          </w:p>
        </w:tc>
        <w:tc>
          <w:tcPr>
            <w:tcW w:w="2538" w:type="dxa"/>
            <w:noWrap w:val="0"/>
            <w:vAlign w:val="top"/>
          </w:tcPr>
          <w:p>
            <w:pPr>
              <w:numPr>
                <w:ilvl w:val="0"/>
                <w:numId w:val="0"/>
              </w:numPr>
              <w:spacing w:line="500" w:lineRule="exact"/>
              <w:ind w:left="0" w:leftChars="0" w:firstLine="0" w:firstLineChars="0"/>
              <w:jc w:val="center"/>
              <w:outlineLvl w:val="0"/>
              <w:rPr>
                <w:rFonts w:hint="eastAsia" w:ascii="宋体" w:hAnsi="宋体" w:eastAsia="宋体" w:cs="宋体"/>
                <w:b/>
                <w:bCs/>
                <w:color w:val="auto"/>
                <w:sz w:val="24"/>
                <w:szCs w:val="24"/>
                <w:vertAlign w:val="baseline"/>
                <w:lang w:val="en-US" w:eastAsia="zh-CN" w:bidi="ar-SA"/>
              </w:rPr>
            </w:pPr>
            <w:r>
              <w:rPr>
                <w:rFonts w:hint="eastAsia" w:ascii="宋体" w:hAnsi="宋体" w:eastAsia="宋体" w:cs="宋体"/>
                <w:color w:val="auto"/>
                <w:sz w:val="24"/>
                <w:szCs w:val="24"/>
                <w:highlight w:val="none"/>
              </w:rPr>
              <w:t>农、林、牧、渔业</w:t>
            </w:r>
          </w:p>
        </w:tc>
        <w:tc>
          <w:tcPr>
            <w:tcW w:w="1084" w:type="dxa"/>
            <w:noWrap w:val="0"/>
            <w:vAlign w:val="top"/>
          </w:tcPr>
          <w:p>
            <w:pPr>
              <w:numPr>
                <w:ilvl w:val="0"/>
                <w:numId w:val="0"/>
              </w:numPr>
              <w:spacing w:line="500" w:lineRule="exact"/>
              <w:ind w:left="0" w:leftChars="0" w:firstLine="0" w:firstLineChars="0"/>
              <w:jc w:val="center"/>
              <w:outlineLvl w:val="0"/>
              <w:rPr>
                <w:rFonts w:hint="eastAsia" w:ascii="宋体" w:hAnsi="宋体" w:eastAsia="宋体" w:cs="宋体"/>
                <w:b/>
                <w:bCs/>
                <w:color w:val="auto"/>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noWrap w:val="0"/>
            <w:vAlign w:val="top"/>
          </w:tcPr>
          <w:p>
            <w:pPr>
              <w:numPr>
                <w:ilvl w:val="0"/>
                <w:numId w:val="0"/>
              </w:numPr>
              <w:spacing w:line="500" w:lineRule="exact"/>
              <w:jc w:val="center"/>
              <w:outlineLvl w:val="0"/>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9</w:t>
            </w:r>
          </w:p>
        </w:tc>
        <w:tc>
          <w:tcPr>
            <w:tcW w:w="2100" w:type="dxa"/>
            <w:noWrap w:val="0"/>
            <w:vAlign w:val="top"/>
          </w:tcPr>
          <w:p>
            <w:pPr>
              <w:numPr>
                <w:ilvl w:val="0"/>
                <w:numId w:val="0"/>
              </w:numPr>
              <w:spacing w:line="500" w:lineRule="exact"/>
              <w:jc w:val="center"/>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大</w:t>
            </w:r>
            <w:r>
              <w:rPr>
                <w:rFonts w:hint="eastAsia" w:ascii="宋体" w:hAnsi="宋体" w:eastAsia="宋体" w:cs="宋体"/>
                <w:color w:val="auto"/>
                <w:sz w:val="24"/>
                <w:szCs w:val="24"/>
              </w:rPr>
              <w:t>米</w:t>
            </w:r>
          </w:p>
        </w:tc>
        <w:tc>
          <w:tcPr>
            <w:tcW w:w="1811" w:type="dxa"/>
            <w:noWrap w:val="0"/>
            <w:vAlign w:val="top"/>
          </w:tcPr>
          <w:p>
            <w:pPr>
              <w:numPr>
                <w:ilvl w:val="0"/>
                <w:numId w:val="0"/>
              </w:numPr>
              <w:spacing w:line="500" w:lineRule="exact"/>
              <w:jc w:val="center"/>
              <w:outlineLvl w:val="0"/>
              <w:rPr>
                <w:rFonts w:hint="eastAsia" w:ascii="宋体" w:hAnsi="宋体" w:eastAsia="宋体" w:cs="宋体"/>
                <w:b w:val="0"/>
                <w:bCs w:val="0"/>
                <w:color w:val="auto"/>
                <w:sz w:val="24"/>
                <w:szCs w:val="24"/>
                <w:vertAlign w:val="baseline"/>
              </w:rPr>
            </w:pPr>
            <w:r>
              <w:rPr>
                <w:rFonts w:hint="eastAsia" w:ascii="宋体" w:hAnsi="宋体" w:eastAsia="宋体" w:cs="宋体"/>
                <w:b w:val="0"/>
                <w:bCs w:val="0"/>
                <w:color w:val="auto"/>
                <w:sz w:val="24"/>
                <w:szCs w:val="24"/>
                <w:vertAlign w:val="baseline"/>
                <w:lang w:eastAsia="zh-CN"/>
              </w:rPr>
              <w:t>据实</w:t>
            </w:r>
          </w:p>
        </w:tc>
        <w:tc>
          <w:tcPr>
            <w:tcW w:w="2538" w:type="dxa"/>
            <w:noWrap w:val="0"/>
            <w:vAlign w:val="top"/>
          </w:tcPr>
          <w:p>
            <w:pPr>
              <w:numPr>
                <w:ilvl w:val="0"/>
                <w:numId w:val="0"/>
              </w:numPr>
              <w:spacing w:line="500" w:lineRule="exact"/>
              <w:jc w:val="center"/>
              <w:outlineLvl w:val="0"/>
              <w:rPr>
                <w:rFonts w:hint="eastAsia" w:ascii="宋体" w:hAnsi="宋体" w:eastAsia="宋体" w:cs="宋体"/>
                <w:b/>
                <w:bCs/>
                <w:color w:val="auto"/>
                <w:sz w:val="24"/>
                <w:szCs w:val="24"/>
                <w:vertAlign w:val="baseline"/>
              </w:rPr>
            </w:pPr>
            <w:r>
              <w:rPr>
                <w:rFonts w:hint="eastAsia" w:ascii="宋体" w:hAnsi="宋体" w:eastAsia="宋体" w:cs="宋体"/>
                <w:color w:val="auto"/>
                <w:sz w:val="24"/>
                <w:szCs w:val="24"/>
                <w:highlight w:val="none"/>
              </w:rPr>
              <w:t>工业</w:t>
            </w:r>
          </w:p>
        </w:tc>
        <w:tc>
          <w:tcPr>
            <w:tcW w:w="1084" w:type="dxa"/>
            <w:noWrap w:val="0"/>
            <w:vAlign w:val="top"/>
          </w:tcPr>
          <w:p>
            <w:pPr>
              <w:numPr>
                <w:ilvl w:val="0"/>
                <w:numId w:val="0"/>
              </w:numPr>
              <w:spacing w:line="500" w:lineRule="exact"/>
              <w:jc w:val="center"/>
              <w:outlineLvl w:val="0"/>
              <w:rPr>
                <w:rFonts w:hint="eastAsia" w:ascii="宋体" w:hAnsi="宋体" w:eastAsia="宋体" w:cs="宋体"/>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noWrap w:val="0"/>
            <w:vAlign w:val="top"/>
          </w:tcPr>
          <w:p>
            <w:pPr>
              <w:numPr>
                <w:ilvl w:val="0"/>
                <w:numId w:val="0"/>
              </w:numPr>
              <w:spacing w:line="500" w:lineRule="exact"/>
              <w:jc w:val="center"/>
              <w:outlineLvl w:val="0"/>
              <w:rPr>
                <w:rFonts w:hint="default" w:ascii="宋体" w:hAnsi="宋体" w:eastAsia="宋体" w:cs="宋体"/>
                <w:b/>
                <w:bCs/>
                <w:color w:val="auto"/>
                <w:sz w:val="24"/>
                <w:szCs w:val="24"/>
                <w:vertAlign w:val="baseline"/>
                <w:lang w:val="en-US" w:eastAsia="zh-CN"/>
              </w:rPr>
            </w:pPr>
            <w:r>
              <w:rPr>
                <w:rFonts w:hint="eastAsia" w:hAnsi="宋体" w:cs="宋体"/>
                <w:b/>
                <w:bCs/>
                <w:color w:val="auto"/>
                <w:sz w:val="24"/>
                <w:szCs w:val="24"/>
                <w:vertAlign w:val="baseline"/>
                <w:lang w:val="en-US" w:eastAsia="zh-CN"/>
              </w:rPr>
              <w:t>10</w:t>
            </w:r>
          </w:p>
        </w:tc>
        <w:tc>
          <w:tcPr>
            <w:tcW w:w="2100" w:type="dxa"/>
            <w:noWrap w:val="0"/>
            <w:vAlign w:val="top"/>
          </w:tcPr>
          <w:p>
            <w:pPr>
              <w:numPr>
                <w:ilvl w:val="0"/>
                <w:numId w:val="0"/>
              </w:numPr>
              <w:spacing w:line="500" w:lineRule="exact"/>
              <w:jc w:val="center"/>
              <w:outlineLvl w:val="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面</w:t>
            </w:r>
            <w:r>
              <w:rPr>
                <w:rFonts w:hint="eastAsia" w:hAnsi="宋体" w:cs="宋体"/>
                <w:color w:val="auto"/>
                <w:sz w:val="24"/>
                <w:szCs w:val="24"/>
                <w:lang w:eastAsia="zh-CN"/>
              </w:rPr>
              <w:t>类</w:t>
            </w:r>
          </w:p>
        </w:tc>
        <w:tc>
          <w:tcPr>
            <w:tcW w:w="1811" w:type="dxa"/>
            <w:noWrap w:val="0"/>
            <w:vAlign w:val="top"/>
          </w:tcPr>
          <w:p>
            <w:pPr>
              <w:numPr>
                <w:ilvl w:val="0"/>
                <w:numId w:val="0"/>
              </w:numPr>
              <w:spacing w:line="500" w:lineRule="exact"/>
              <w:jc w:val="center"/>
              <w:outlineLvl w:val="0"/>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val="0"/>
                <w:bCs w:val="0"/>
                <w:color w:val="auto"/>
                <w:sz w:val="24"/>
                <w:szCs w:val="24"/>
                <w:vertAlign w:val="baseline"/>
                <w:lang w:eastAsia="zh-CN"/>
              </w:rPr>
              <w:t>据实</w:t>
            </w:r>
          </w:p>
        </w:tc>
        <w:tc>
          <w:tcPr>
            <w:tcW w:w="2538" w:type="dxa"/>
            <w:noWrap w:val="0"/>
            <w:vAlign w:val="top"/>
          </w:tcPr>
          <w:p>
            <w:pPr>
              <w:numPr>
                <w:ilvl w:val="0"/>
                <w:numId w:val="0"/>
              </w:numPr>
              <w:spacing w:line="500" w:lineRule="exact"/>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工业</w:t>
            </w:r>
          </w:p>
        </w:tc>
        <w:tc>
          <w:tcPr>
            <w:tcW w:w="1084" w:type="dxa"/>
            <w:noWrap w:val="0"/>
            <w:vAlign w:val="top"/>
          </w:tcPr>
          <w:p>
            <w:pPr>
              <w:numPr>
                <w:ilvl w:val="0"/>
                <w:numId w:val="0"/>
              </w:numPr>
              <w:spacing w:line="500" w:lineRule="exact"/>
              <w:jc w:val="center"/>
              <w:outlineLvl w:val="0"/>
              <w:rPr>
                <w:rFonts w:hint="eastAsia" w:ascii="宋体" w:hAnsi="宋体" w:eastAsia="宋体" w:cs="宋体"/>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noWrap w:val="0"/>
            <w:vAlign w:val="top"/>
          </w:tcPr>
          <w:p>
            <w:pPr>
              <w:numPr>
                <w:ilvl w:val="0"/>
                <w:numId w:val="0"/>
              </w:numPr>
              <w:spacing w:line="500" w:lineRule="exact"/>
              <w:jc w:val="center"/>
              <w:outlineLvl w:val="0"/>
              <w:rPr>
                <w:rFonts w:hint="default" w:ascii="宋体" w:hAnsi="宋体" w:eastAsia="宋体" w:cs="宋体"/>
                <w:b/>
                <w:bCs/>
                <w:color w:val="auto"/>
                <w:sz w:val="24"/>
                <w:szCs w:val="24"/>
                <w:vertAlign w:val="baseline"/>
                <w:lang w:val="en-US" w:eastAsia="zh-CN"/>
              </w:rPr>
            </w:pPr>
            <w:r>
              <w:rPr>
                <w:rFonts w:hint="eastAsia" w:hAnsi="宋体" w:cs="宋体"/>
                <w:b/>
                <w:bCs/>
                <w:color w:val="auto"/>
                <w:sz w:val="24"/>
                <w:szCs w:val="24"/>
                <w:vertAlign w:val="baseline"/>
                <w:lang w:val="en-US" w:eastAsia="zh-CN"/>
              </w:rPr>
              <w:t>11</w:t>
            </w:r>
          </w:p>
        </w:tc>
        <w:tc>
          <w:tcPr>
            <w:tcW w:w="2100" w:type="dxa"/>
            <w:noWrap w:val="0"/>
            <w:vAlign w:val="top"/>
          </w:tcPr>
          <w:p>
            <w:pPr>
              <w:numPr>
                <w:ilvl w:val="0"/>
                <w:numId w:val="0"/>
              </w:numPr>
              <w:spacing w:line="500" w:lineRule="exact"/>
              <w:jc w:val="center"/>
              <w:outlineLvl w:val="0"/>
              <w:rPr>
                <w:rFonts w:hint="eastAsia" w:ascii="宋体" w:hAnsi="宋体" w:eastAsia="宋体" w:cs="宋体"/>
                <w:color w:val="auto"/>
                <w:sz w:val="24"/>
                <w:szCs w:val="24"/>
              </w:rPr>
            </w:pPr>
            <w:r>
              <w:rPr>
                <w:rFonts w:hint="eastAsia" w:ascii="宋体" w:hAnsi="宋体" w:eastAsia="宋体" w:cs="宋体"/>
                <w:color w:val="auto"/>
                <w:sz w:val="24"/>
                <w:szCs w:val="24"/>
              </w:rPr>
              <w:t>油</w:t>
            </w:r>
          </w:p>
        </w:tc>
        <w:tc>
          <w:tcPr>
            <w:tcW w:w="1811" w:type="dxa"/>
            <w:noWrap w:val="0"/>
            <w:vAlign w:val="top"/>
          </w:tcPr>
          <w:p>
            <w:pPr>
              <w:numPr>
                <w:ilvl w:val="0"/>
                <w:numId w:val="0"/>
              </w:numPr>
              <w:spacing w:line="500" w:lineRule="exact"/>
              <w:jc w:val="center"/>
              <w:outlineLvl w:val="0"/>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val="0"/>
                <w:bCs w:val="0"/>
                <w:color w:val="auto"/>
                <w:sz w:val="24"/>
                <w:szCs w:val="24"/>
                <w:vertAlign w:val="baseline"/>
                <w:lang w:eastAsia="zh-CN"/>
              </w:rPr>
              <w:t>据实</w:t>
            </w:r>
          </w:p>
        </w:tc>
        <w:tc>
          <w:tcPr>
            <w:tcW w:w="2538" w:type="dxa"/>
            <w:noWrap w:val="0"/>
            <w:vAlign w:val="top"/>
          </w:tcPr>
          <w:p>
            <w:pPr>
              <w:numPr>
                <w:ilvl w:val="0"/>
                <w:numId w:val="0"/>
              </w:numPr>
              <w:spacing w:line="500" w:lineRule="exact"/>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工业</w:t>
            </w:r>
          </w:p>
        </w:tc>
        <w:tc>
          <w:tcPr>
            <w:tcW w:w="1084" w:type="dxa"/>
            <w:noWrap w:val="0"/>
            <w:vAlign w:val="top"/>
          </w:tcPr>
          <w:p>
            <w:pPr>
              <w:numPr>
                <w:ilvl w:val="0"/>
                <w:numId w:val="0"/>
              </w:numPr>
              <w:spacing w:line="500" w:lineRule="exact"/>
              <w:jc w:val="center"/>
              <w:outlineLvl w:val="0"/>
              <w:rPr>
                <w:rFonts w:hint="eastAsia" w:ascii="宋体" w:hAnsi="宋体" w:eastAsia="宋体" w:cs="宋体"/>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noWrap w:val="0"/>
            <w:vAlign w:val="top"/>
          </w:tcPr>
          <w:p>
            <w:pPr>
              <w:numPr>
                <w:ilvl w:val="0"/>
                <w:numId w:val="0"/>
              </w:numPr>
              <w:spacing w:line="500" w:lineRule="exact"/>
              <w:jc w:val="center"/>
              <w:outlineLvl w:val="0"/>
              <w:rPr>
                <w:rFonts w:hint="default" w:ascii="宋体" w:hAnsi="宋体" w:eastAsia="宋体" w:cs="宋体"/>
                <w:b/>
                <w:bCs/>
                <w:color w:val="auto"/>
                <w:sz w:val="24"/>
                <w:szCs w:val="24"/>
                <w:vertAlign w:val="baseline"/>
                <w:lang w:val="en-US" w:eastAsia="zh-CN"/>
              </w:rPr>
            </w:pPr>
            <w:r>
              <w:rPr>
                <w:rFonts w:hint="eastAsia" w:hAnsi="宋体" w:cs="宋体"/>
                <w:b/>
                <w:bCs/>
                <w:color w:val="auto"/>
                <w:sz w:val="24"/>
                <w:szCs w:val="24"/>
                <w:vertAlign w:val="baseline"/>
                <w:lang w:val="en-US" w:eastAsia="zh-CN"/>
              </w:rPr>
              <w:t>12</w:t>
            </w:r>
          </w:p>
        </w:tc>
        <w:tc>
          <w:tcPr>
            <w:tcW w:w="2100" w:type="dxa"/>
            <w:noWrap w:val="0"/>
            <w:vAlign w:val="top"/>
          </w:tcPr>
          <w:p>
            <w:pPr>
              <w:numPr>
                <w:ilvl w:val="0"/>
                <w:numId w:val="0"/>
              </w:numPr>
              <w:spacing w:line="500" w:lineRule="exact"/>
              <w:jc w:val="center"/>
              <w:outlineLvl w:val="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调料</w:t>
            </w:r>
            <w:r>
              <w:rPr>
                <w:rFonts w:hint="eastAsia" w:ascii="宋体" w:hAnsi="宋体" w:eastAsia="宋体" w:cs="宋体"/>
                <w:color w:val="auto"/>
                <w:sz w:val="24"/>
                <w:szCs w:val="24"/>
                <w:lang w:eastAsia="zh-CN"/>
              </w:rPr>
              <w:t>类</w:t>
            </w:r>
          </w:p>
        </w:tc>
        <w:tc>
          <w:tcPr>
            <w:tcW w:w="1811" w:type="dxa"/>
            <w:noWrap w:val="0"/>
            <w:vAlign w:val="top"/>
          </w:tcPr>
          <w:p>
            <w:pPr>
              <w:numPr>
                <w:ilvl w:val="0"/>
                <w:numId w:val="0"/>
              </w:numPr>
              <w:spacing w:line="500" w:lineRule="exact"/>
              <w:jc w:val="center"/>
              <w:outlineLvl w:val="0"/>
              <w:rPr>
                <w:rFonts w:hint="eastAsia" w:ascii="宋体" w:hAnsi="宋体" w:eastAsia="宋体" w:cs="宋体"/>
                <w:b w:val="0"/>
                <w:bCs w:val="0"/>
                <w:color w:val="auto"/>
                <w:sz w:val="24"/>
                <w:szCs w:val="24"/>
                <w:vertAlign w:val="baseline"/>
              </w:rPr>
            </w:pPr>
            <w:r>
              <w:rPr>
                <w:rFonts w:hint="eastAsia" w:ascii="宋体" w:hAnsi="宋体" w:eastAsia="宋体" w:cs="宋体"/>
                <w:b w:val="0"/>
                <w:bCs w:val="0"/>
                <w:color w:val="auto"/>
                <w:sz w:val="24"/>
                <w:szCs w:val="24"/>
                <w:vertAlign w:val="baseline"/>
                <w:lang w:eastAsia="zh-CN"/>
              </w:rPr>
              <w:t>据实</w:t>
            </w:r>
          </w:p>
        </w:tc>
        <w:tc>
          <w:tcPr>
            <w:tcW w:w="2538" w:type="dxa"/>
            <w:noWrap w:val="0"/>
            <w:vAlign w:val="top"/>
          </w:tcPr>
          <w:p>
            <w:pPr>
              <w:numPr>
                <w:ilvl w:val="0"/>
                <w:numId w:val="0"/>
              </w:numPr>
              <w:spacing w:line="500" w:lineRule="exact"/>
              <w:jc w:val="center"/>
              <w:outlineLvl w:val="0"/>
              <w:rPr>
                <w:rFonts w:hint="eastAsia" w:ascii="宋体" w:hAnsi="宋体" w:eastAsia="宋体" w:cs="宋体"/>
                <w:b/>
                <w:bCs/>
                <w:color w:val="auto"/>
                <w:sz w:val="24"/>
                <w:szCs w:val="24"/>
                <w:vertAlign w:val="baseline"/>
              </w:rPr>
            </w:pPr>
            <w:r>
              <w:rPr>
                <w:rFonts w:hint="eastAsia" w:ascii="宋体" w:hAnsi="宋体" w:eastAsia="宋体" w:cs="宋体"/>
                <w:color w:val="auto"/>
                <w:sz w:val="24"/>
                <w:szCs w:val="24"/>
                <w:highlight w:val="none"/>
              </w:rPr>
              <w:t>工业</w:t>
            </w:r>
          </w:p>
        </w:tc>
        <w:tc>
          <w:tcPr>
            <w:tcW w:w="1084" w:type="dxa"/>
            <w:noWrap w:val="0"/>
            <w:vAlign w:val="top"/>
          </w:tcPr>
          <w:p>
            <w:pPr>
              <w:numPr>
                <w:ilvl w:val="0"/>
                <w:numId w:val="0"/>
              </w:numPr>
              <w:spacing w:line="500" w:lineRule="exact"/>
              <w:jc w:val="center"/>
              <w:outlineLvl w:val="0"/>
              <w:rPr>
                <w:rFonts w:hint="eastAsia" w:ascii="宋体" w:hAnsi="宋体" w:eastAsia="宋体" w:cs="宋体"/>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noWrap w:val="0"/>
            <w:vAlign w:val="top"/>
          </w:tcPr>
          <w:p>
            <w:pPr>
              <w:numPr>
                <w:ilvl w:val="0"/>
                <w:numId w:val="0"/>
              </w:numPr>
              <w:spacing w:line="500" w:lineRule="exact"/>
              <w:jc w:val="center"/>
              <w:outlineLvl w:val="0"/>
              <w:rPr>
                <w:rFonts w:hint="default" w:ascii="宋体" w:hAnsi="宋体" w:eastAsia="宋体" w:cs="宋体"/>
                <w:b/>
                <w:bCs/>
                <w:color w:val="auto"/>
                <w:sz w:val="24"/>
                <w:szCs w:val="24"/>
                <w:vertAlign w:val="baseline"/>
                <w:lang w:val="en-US" w:eastAsia="zh-CN"/>
              </w:rPr>
            </w:pPr>
            <w:r>
              <w:rPr>
                <w:rFonts w:hint="eastAsia" w:hAnsi="宋体" w:cs="宋体"/>
                <w:b/>
                <w:bCs/>
                <w:color w:val="auto"/>
                <w:sz w:val="24"/>
                <w:szCs w:val="24"/>
                <w:vertAlign w:val="baseline"/>
                <w:lang w:val="en-US" w:eastAsia="zh-CN"/>
              </w:rPr>
              <w:t>13</w:t>
            </w:r>
          </w:p>
        </w:tc>
        <w:tc>
          <w:tcPr>
            <w:tcW w:w="2100" w:type="dxa"/>
            <w:noWrap w:val="0"/>
            <w:vAlign w:val="top"/>
          </w:tcPr>
          <w:p>
            <w:pPr>
              <w:numPr>
                <w:ilvl w:val="0"/>
                <w:numId w:val="0"/>
              </w:numPr>
              <w:spacing w:line="500" w:lineRule="exact"/>
              <w:jc w:val="center"/>
              <w:outlineLvl w:val="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干杂</w:t>
            </w:r>
            <w:r>
              <w:rPr>
                <w:rFonts w:hint="eastAsia" w:ascii="宋体" w:hAnsi="宋体" w:eastAsia="宋体" w:cs="宋体"/>
                <w:color w:val="auto"/>
                <w:sz w:val="24"/>
                <w:szCs w:val="24"/>
                <w:lang w:eastAsia="zh-CN"/>
              </w:rPr>
              <w:t>类</w:t>
            </w:r>
          </w:p>
        </w:tc>
        <w:tc>
          <w:tcPr>
            <w:tcW w:w="1811" w:type="dxa"/>
            <w:noWrap w:val="0"/>
            <w:vAlign w:val="top"/>
          </w:tcPr>
          <w:p>
            <w:pPr>
              <w:numPr>
                <w:ilvl w:val="0"/>
                <w:numId w:val="0"/>
              </w:numPr>
              <w:spacing w:line="500" w:lineRule="exact"/>
              <w:jc w:val="center"/>
              <w:outlineLvl w:val="0"/>
              <w:rPr>
                <w:rFonts w:hint="eastAsia" w:ascii="宋体" w:hAnsi="宋体" w:eastAsia="宋体" w:cs="宋体"/>
                <w:b w:val="0"/>
                <w:bCs w:val="0"/>
                <w:color w:val="auto"/>
                <w:sz w:val="24"/>
                <w:szCs w:val="24"/>
                <w:vertAlign w:val="baseline"/>
              </w:rPr>
            </w:pPr>
            <w:r>
              <w:rPr>
                <w:rFonts w:hint="eastAsia" w:ascii="宋体" w:hAnsi="宋体" w:eastAsia="宋体" w:cs="宋体"/>
                <w:b w:val="0"/>
                <w:bCs w:val="0"/>
                <w:color w:val="auto"/>
                <w:sz w:val="24"/>
                <w:szCs w:val="24"/>
                <w:vertAlign w:val="baseline"/>
                <w:lang w:eastAsia="zh-CN"/>
              </w:rPr>
              <w:t>据实</w:t>
            </w:r>
          </w:p>
        </w:tc>
        <w:tc>
          <w:tcPr>
            <w:tcW w:w="2538" w:type="dxa"/>
            <w:noWrap w:val="0"/>
            <w:vAlign w:val="top"/>
          </w:tcPr>
          <w:p>
            <w:pPr>
              <w:numPr>
                <w:ilvl w:val="0"/>
                <w:numId w:val="0"/>
              </w:numPr>
              <w:spacing w:line="500" w:lineRule="exact"/>
              <w:jc w:val="center"/>
              <w:outlineLvl w:val="0"/>
              <w:rPr>
                <w:rFonts w:hint="eastAsia" w:ascii="宋体" w:hAnsi="宋体" w:eastAsia="宋体" w:cs="宋体"/>
                <w:b/>
                <w:bCs/>
                <w:color w:val="auto"/>
                <w:sz w:val="24"/>
                <w:szCs w:val="24"/>
                <w:vertAlign w:val="baseline"/>
              </w:rPr>
            </w:pPr>
            <w:r>
              <w:rPr>
                <w:rFonts w:hint="eastAsia" w:ascii="宋体" w:hAnsi="宋体" w:eastAsia="宋体" w:cs="宋体"/>
                <w:color w:val="auto"/>
                <w:sz w:val="24"/>
                <w:szCs w:val="24"/>
                <w:highlight w:val="none"/>
              </w:rPr>
              <w:t>工业</w:t>
            </w:r>
          </w:p>
        </w:tc>
        <w:tc>
          <w:tcPr>
            <w:tcW w:w="1084" w:type="dxa"/>
            <w:noWrap w:val="0"/>
            <w:vAlign w:val="top"/>
          </w:tcPr>
          <w:p>
            <w:pPr>
              <w:numPr>
                <w:ilvl w:val="0"/>
                <w:numId w:val="0"/>
              </w:numPr>
              <w:spacing w:line="500" w:lineRule="exact"/>
              <w:jc w:val="center"/>
              <w:outlineLvl w:val="0"/>
              <w:rPr>
                <w:rFonts w:hint="eastAsia" w:ascii="宋体" w:hAnsi="宋体" w:eastAsia="宋体" w:cs="宋体"/>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noWrap w:val="0"/>
            <w:vAlign w:val="top"/>
          </w:tcPr>
          <w:p>
            <w:pPr>
              <w:numPr>
                <w:ilvl w:val="0"/>
                <w:numId w:val="0"/>
              </w:numPr>
              <w:spacing w:line="500" w:lineRule="exact"/>
              <w:jc w:val="center"/>
              <w:outlineLvl w:val="0"/>
              <w:rPr>
                <w:rFonts w:hint="default" w:ascii="宋体" w:hAnsi="宋体" w:eastAsia="宋体" w:cs="宋体"/>
                <w:b/>
                <w:bCs/>
                <w:color w:val="auto"/>
                <w:sz w:val="24"/>
                <w:szCs w:val="24"/>
                <w:vertAlign w:val="baseline"/>
                <w:lang w:val="en-US" w:eastAsia="zh-CN"/>
              </w:rPr>
            </w:pPr>
            <w:r>
              <w:rPr>
                <w:rFonts w:hint="eastAsia" w:hAnsi="宋体" w:cs="宋体"/>
                <w:b/>
                <w:bCs/>
                <w:color w:val="auto"/>
                <w:sz w:val="24"/>
                <w:szCs w:val="24"/>
                <w:vertAlign w:val="baseline"/>
                <w:lang w:val="en-US" w:eastAsia="zh-CN"/>
              </w:rPr>
              <w:t>14</w:t>
            </w:r>
          </w:p>
        </w:tc>
        <w:tc>
          <w:tcPr>
            <w:tcW w:w="2100" w:type="dxa"/>
            <w:noWrap w:val="0"/>
            <w:vAlign w:val="top"/>
          </w:tcPr>
          <w:p>
            <w:pPr>
              <w:numPr>
                <w:ilvl w:val="0"/>
                <w:numId w:val="0"/>
              </w:numPr>
              <w:spacing w:line="500" w:lineRule="exact"/>
              <w:jc w:val="center"/>
              <w:outlineLvl w:val="0"/>
              <w:rPr>
                <w:rFonts w:hint="eastAsia" w:ascii="宋体" w:hAnsi="宋体" w:eastAsia="宋体" w:cs="宋体"/>
                <w:color w:val="auto"/>
                <w:sz w:val="24"/>
                <w:szCs w:val="24"/>
              </w:rPr>
            </w:pPr>
            <w:r>
              <w:rPr>
                <w:rFonts w:hint="eastAsia" w:ascii="宋体" w:hAnsi="宋体" w:eastAsia="宋体" w:cs="宋体"/>
                <w:color w:val="auto"/>
                <w:sz w:val="24"/>
                <w:szCs w:val="24"/>
              </w:rPr>
              <w:t>奶</w:t>
            </w:r>
            <w:r>
              <w:rPr>
                <w:rFonts w:hint="eastAsia" w:ascii="宋体" w:hAnsi="宋体" w:eastAsia="宋体" w:cs="宋体"/>
                <w:color w:val="auto"/>
                <w:sz w:val="24"/>
                <w:szCs w:val="24"/>
                <w:lang w:val="en-US" w:eastAsia="zh-CN"/>
              </w:rPr>
              <w:t>制品</w:t>
            </w:r>
          </w:p>
        </w:tc>
        <w:tc>
          <w:tcPr>
            <w:tcW w:w="1811" w:type="dxa"/>
            <w:noWrap w:val="0"/>
            <w:vAlign w:val="top"/>
          </w:tcPr>
          <w:p>
            <w:pPr>
              <w:numPr>
                <w:ilvl w:val="0"/>
                <w:numId w:val="0"/>
              </w:numPr>
              <w:spacing w:line="500" w:lineRule="exact"/>
              <w:jc w:val="center"/>
              <w:outlineLvl w:val="0"/>
              <w:rPr>
                <w:rFonts w:hint="eastAsia" w:ascii="宋体" w:hAnsi="宋体" w:eastAsia="宋体" w:cs="宋体"/>
                <w:b w:val="0"/>
                <w:bCs w:val="0"/>
                <w:color w:val="auto"/>
                <w:sz w:val="24"/>
                <w:szCs w:val="24"/>
                <w:vertAlign w:val="baseline"/>
              </w:rPr>
            </w:pPr>
            <w:r>
              <w:rPr>
                <w:rFonts w:hint="eastAsia" w:ascii="宋体" w:hAnsi="宋体" w:eastAsia="宋体" w:cs="宋体"/>
                <w:b w:val="0"/>
                <w:bCs w:val="0"/>
                <w:color w:val="auto"/>
                <w:sz w:val="24"/>
                <w:szCs w:val="24"/>
                <w:vertAlign w:val="baseline"/>
                <w:lang w:eastAsia="zh-CN"/>
              </w:rPr>
              <w:t>据实</w:t>
            </w:r>
          </w:p>
        </w:tc>
        <w:tc>
          <w:tcPr>
            <w:tcW w:w="2538" w:type="dxa"/>
            <w:noWrap w:val="0"/>
            <w:vAlign w:val="top"/>
          </w:tcPr>
          <w:p>
            <w:pPr>
              <w:numPr>
                <w:ilvl w:val="0"/>
                <w:numId w:val="0"/>
              </w:numPr>
              <w:spacing w:line="500" w:lineRule="exact"/>
              <w:jc w:val="center"/>
              <w:outlineLvl w:val="0"/>
              <w:rPr>
                <w:rFonts w:hint="eastAsia" w:ascii="宋体" w:hAnsi="宋体" w:eastAsia="宋体" w:cs="宋体"/>
                <w:b/>
                <w:bCs/>
                <w:color w:val="auto"/>
                <w:sz w:val="24"/>
                <w:szCs w:val="24"/>
                <w:vertAlign w:val="baseline"/>
              </w:rPr>
            </w:pPr>
            <w:r>
              <w:rPr>
                <w:rFonts w:hint="eastAsia" w:ascii="宋体" w:hAnsi="宋体" w:eastAsia="宋体" w:cs="宋体"/>
                <w:color w:val="auto"/>
                <w:sz w:val="24"/>
                <w:szCs w:val="24"/>
                <w:highlight w:val="none"/>
              </w:rPr>
              <w:t>工业</w:t>
            </w:r>
          </w:p>
        </w:tc>
        <w:tc>
          <w:tcPr>
            <w:tcW w:w="1084" w:type="dxa"/>
            <w:noWrap w:val="0"/>
            <w:vAlign w:val="top"/>
          </w:tcPr>
          <w:p>
            <w:pPr>
              <w:numPr>
                <w:ilvl w:val="0"/>
                <w:numId w:val="0"/>
              </w:numPr>
              <w:spacing w:line="500" w:lineRule="exact"/>
              <w:jc w:val="center"/>
              <w:outlineLvl w:val="0"/>
              <w:rPr>
                <w:rFonts w:hint="eastAsia" w:ascii="宋体" w:hAnsi="宋体" w:eastAsia="宋体" w:cs="宋体"/>
                <w:b/>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noWrap w:val="0"/>
            <w:vAlign w:val="top"/>
          </w:tcPr>
          <w:p>
            <w:pPr>
              <w:numPr>
                <w:ilvl w:val="0"/>
                <w:numId w:val="0"/>
              </w:numPr>
              <w:spacing w:line="500" w:lineRule="exact"/>
              <w:jc w:val="center"/>
              <w:outlineLvl w:val="0"/>
              <w:rPr>
                <w:rFonts w:hint="default" w:ascii="宋体" w:hAnsi="宋体" w:eastAsia="宋体" w:cs="宋体"/>
                <w:b/>
                <w:bCs/>
                <w:color w:val="auto"/>
                <w:sz w:val="24"/>
                <w:szCs w:val="24"/>
                <w:vertAlign w:val="baseline"/>
                <w:lang w:val="en-US" w:eastAsia="zh-CN"/>
              </w:rPr>
            </w:pPr>
            <w:r>
              <w:rPr>
                <w:rFonts w:hint="eastAsia" w:hAnsi="宋体" w:cs="宋体"/>
                <w:b/>
                <w:bCs/>
                <w:color w:val="auto"/>
                <w:sz w:val="24"/>
                <w:szCs w:val="24"/>
                <w:vertAlign w:val="baseline"/>
                <w:lang w:val="en-US" w:eastAsia="zh-CN"/>
              </w:rPr>
              <w:t>15</w:t>
            </w:r>
          </w:p>
        </w:tc>
        <w:tc>
          <w:tcPr>
            <w:tcW w:w="2100" w:type="dxa"/>
            <w:noWrap w:val="0"/>
            <w:vAlign w:val="top"/>
          </w:tcPr>
          <w:p>
            <w:pPr>
              <w:numPr>
                <w:ilvl w:val="0"/>
                <w:numId w:val="0"/>
              </w:numPr>
              <w:spacing w:line="500" w:lineRule="exact"/>
              <w:jc w:val="center"/>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干果类</w:t>
            </w:r>
          </w:p>
        </w:tc>
        <w:tc>
          <w:tcPr>
            <w:tcW w:w="1811" w:type="dxa"/>
            <w:noWrap w:val="0"/>
            <w:vAlign w:val="top"/>
          </w:tcPr>
          <w:p>
            <w:pPr>
              <w:numPr>
                <w:ilvl w:val="0"/>
                <w:numId w:val="0"/>
              </w:numPr>
              <w:spacing w:line="500" w:lineRule="exact"/>
              <w:jc w:val="center"/>
              <w:outlineLvl w:val="0"/>
              <w:rPr>
                <w:rFonts w:hint="eastAsia" w:ascii="宋体" w:hAnsi="宋体" w:eastAsia="宋体" w:cs="宋体"/>
                <w:b w:val="0"/>
                <w:bCs w:val="0"/>
                <w:color w:val="auto"/>
                <w:sz w:val="24"/>
                <w:szCs w:val="24"/>
                <w:vertAlign w:val="baseline"/>
              </w:rPr>
            </w:pPr>
            <w:r>
              <w:rPr>
                <w:rFonts w:hint="eastAsia" w:ascii="宋体" w:hAnsi="宋体" w:eastAsia="宋体" w:cs="宋体"/>
                <w:b w:val="0"/>
                <w:bCs w:val="0"/>
                <w:color w:val="auto"/>
                <w:sz w:val="24"/>
                <w:szCs w:val="24"/>
                <w:vertAlign w:val="baseline"/>
                <w:lang w:eastAsia="zh-CN"/>
              </w:rPr>
              <w:t>据实</w:t>
            </w:r>
          </w:p>
        </w:tc>
        <w:tc>
          <w:tcPr>
            <w:tcW w:w="2538" w:type="dxa"/>
            <w:noWrap w:val="0"/>
            <w:vAlign w:val="top"/>
          </w:tcPr>
          <w:p>
            <w:pPr>
              <w:numPr>
                <w:ilvl w:val="0"/>
                <w:numId w:val="0"/>
              </w:numPr>
              <w:spacing w:line="500" w:lineRule="exact"/>
              <w:jc w:val="center"/>
              <w:outlineLvl w:val="0"/>
              <w:rPr>
                <w:rFonts w:hint="eastAsia" w:ascii="宋体" w:hAnsi="宋体" w:eastAsia="宋体" w:cs="宋体"/>
                <w:b/>
                <w:bCs/>
                <w:color w:val="auto"/>
                <w:sz w:val="24"/>
                <w:szCs w:val="24"/>
                <w:vertAlign w:val="baseline"/>
              </w:rPr>
            </w:pPr>
            <w:r>
              <w:rPr>
                <w:rFonts w:hint="eastAsia" w:ascii="宋体" w:hAnsi="宋体" w:eastAsia="宋体" w:cs="宋体"/>
                <w:color w:val="auto"/>
                <w:sz w:val="24"/>
                <w:szCs w:val="24"/>
                <w:highlight w:val="none"/>
              </w:rPr>
              <w:t>工业</w:t>
            </w:r>
          </w:p>
        </w:tc>
        <w:tc>
          <w:tcPr>
            <w:tcW w:w="1084" w:type="dxa"/>
            <w:noWrap w:val="0"/>
            <w:vAlign w:val="top"/>
          </w:tcPr>
          <w:p>
            <w:pPr>
              <w:numPr>
                <w:ilvl w:val="0"/>
                <w:numId w:val="0"/>
              </w:numPr>
              <w:spacing w:line="500" w:lineRule="exact"/>
              <w:jc w:val="center"/>
              <w:outlineLvl w:val="0"/>
              <w:rPr>
                <w:rFonts w:hint="eastAsia" w:ascii="宋体" w:hAnsi="宋体" w:eastAsia="宋体" w:cs="宋体"/>
                <w:b/>
                <w:bCs/>
                <w:color w:val="auto"/>
                <w:sz w:val="24"/>
                <w:szCs w:val="24"/>
                <w:vertAlign w:val="baseline"/>
              </w:rPr>
            </w:pPr>
          </w:p>
        </w:tc>
      </w:tr>
    </w:tbl>
    <w:p>
      <w:pPr>
        <w:numPr>
          <w:ilvl w:val="0"/>
          <w:numId w:val="0"/>
        </w:numPr>
        <w:spacing w:line="500" w:lineRule="exact"/>
        <w:outlineLvl w:val="0"/>
        <w:rPr>
          <w:rFonts w:hint="eastAsia" w:ascii="宋体" w:hAnsi="宋体" w:eastAsia="宋体" w:cs="宋体"/>
          <w:b/>
          <w:bCs/>
          <w:color w:val="auto"/>
          <w:sz w:val="24"/>
          <w:szCs w:val="24"/>
          <w:lang w:val="en-US" w:eastAsia="zh-CN"/>
        </w:rPr>
      </w:pPr>
    </w:p>
    <w:p>
      <w:pPr>
        <w:numPr>
          <w:ilvl w:val="0"/>
          <w:numId w:val="0"/>
        </w:numPr>
        <w:spacing w:line="500" w:lineRule="exact"/>
        <w:outlineLvl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三、货物品类质量要求 </w:t>
      </w:r>
    </w:p>
    <w:bookmarkEnd w:id="2"/>
    <w:tbl>
      <w:tblPr>
        <w:tblStyle w:val="8"/>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270"/>
        <w:gridCol w:w="5931"/>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序号</w:t>
            </w:r>
          </w:p>
        </w:tc>
        <w:tc>
          <w:tcPr>
            <w:tcW w:w="127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vertAlign w:val="baseline"/>
                <w:lang w:eastAsia="zh-CN"/>
              </w:rPr>
              <w:t>品类名称</w:t>
            </w:r>
          </w:p>
        </w:tc>
        <w:tc>
          <w:tcPr>
            <w:tcW w:w="593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技术参数要求</w:t>
            </w:r>
          </w:p>
        </w:tc>
        <w:tc>
          <w:tcPr>
            <w:tcW w:w="11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1" w:firstLineChars="100"/>
              <w:textAlignment w:val="auto"/>
              <w:rPr>
                <w:rFonts w:hint="eastAsia" w:ascii="宋体" w:hAnsi="宋体" w:eastAsia="宋体" w:cs="宋体"/>
                <w:b/>
                <w:bCs w:val="0"/>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1" w:firstLineChars="100"/>
              <w:textAlignment w:val="auto"/>
              <w:rPr>
                <w:rFonts w:hint="eastAsia" w:ascii="宋体" w:hAnsi="宋体" w:eastAsia="宋体" w:cs="宋体"/>
                <w:b/>
                <w:bCs w:val="0"/>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1" w:firstLineChars="100"/>
              <w:textAlignment w:val="auto"/>
              <w:rPr>
                <w:rFonts w:hint="eastAsia" w:ascii="宋体" w:hAnsi="宋体" w:eastAsia="宋体" w:cs="宋体"/>
                <w:b/>
                <w:bCs w:val="0"/>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1" w:firstLineChars="100"/>
              <w:textAlignment w:val="auto"/>
              <w:rPr>
                <w:rFonts w:hint="eastAsia" w:ascii="宋体" w:hAnsi="宋体" w:eastAsia="宋体" w:cs="宋体"/>
                <w:b/>
                <w:bCs w:val="0"/>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1" w:firstLineChars="100"/>
              <w:textAlignment w:val="auto"/>
              <w:rPr>
                <w:rFonts w:hint="eastAsia" w:ascii="宋体" w:hAnsi="宋体" w:eastAsia="宋体" w:cs="宋体"/>
                <w:b/>
                <w:bCs w:val="0"/>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1" w:firstLineChars="100"/>
              <w:textAlignment w:val="auto"/>
              <w:rPr>
                <w:rFonts w:hint="eastAsia" w:ascii="宋体" w:hAnsi="宋体" w:eastAsia="宋体" w:cs="宋体"/>
                <w:b/>
                <w:bCs w:val="0"/>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1" w:firstLineChars="100"/>
              <w:textAlignment w:val="auto"/>
              <w:rPr>
                <w:rFonts w:hint="eastAsia" w:ascii="宋体" w:hAnsi="宋体" w:eastAsia="宋体" w:cs="宋体"/>
                <w:b/>
                <w:bCs w:val="0"/>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w:t>
            </w:r>
          </w:p>
        </w:tc>
        <w:tc>
          <w:tcPr>
            <w:tcW w:w="127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lang w:val="en-US" w:eastAsia="zh-CN"/>
              </w:rPr>
              <w:t>蔬菜类</w:t>
            </w:r>
          </w:p>
        </w:tc>
        <w:tc>
          <w:tcPr>
            <w:tcW w:w="59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各种时令蔬菜包含但不限于（</w:t>
            </w:r>
            <w:r>
              <w:rPr>
                <w:rFonts w:hint="eastAsia" w:ascii="宋体" w:hAnsi="宋体" w:eastAsia="宋体" w:cs="宋体"/>
                <w:color w:val="auto"/>
                <w:kern w:val="0"/>
                <w:sz w:val="24"/>
                <w:szCs w:val="24"/>
                <w:lang w:val="en-US" w:eastAsia="zh-CN" w:bidi="ar-SA"/>
              </w:rPr>
              <w:t>叶菜类</w:t>
            </w:r>
            <w:r>
              <w:rPr>
                <w:rFonts w:hint="eastAsia" w:ascii="宋体" w:hAnsi="宋体" w:eastAsia="宋体" w:cs="宋体"/>
                <w:color w:val="auto"/>
                <w:sz w:val="24"/>
                <w:szCs w:val="24"/>
              </w:rPr>
              <w:t>、</w:t>
            </w:r>
            <w:r>
              <w:rPr>
                <w:rFonts w:hint="eastAsia" w:ascii="宋体" w:hAnsi="宋体" w:eastAsia="宋体" w:cs="宋体"/>
                <w:color w:val="auto"/>
                <w:kern w:val="0"/>
                <w:sz w:val="24"/>
                <w:szCs w:val="24"/>
                <w:lang w:val="en-US" w:eastAsia="zh-CN" w:bidi="ar-SA"/>
              </w:rPr>
              <w:t>茄果类</w:t>
            </w:r>
            <w:r>
              <w:rPr>
                <w:rFonts w:hint="eastAsia" w:ascii="宋体" w:hAnsi="宋体" w:eastAsia="宋体" w:cs="宋体"/>
                <w:color w:val="auto"/>
                <w:sz w:val="24"/>
                <w:szCs w:val="24"/>
              </w:rPr>
              <w:t>、</w:t>
            </w:r>
            <w:r>
              <w:rPr>
                <w:rFonts w:hint="eastAsia" w:ascii="宋体" w:hAnsi="宋体" w:eastAsia="宋体" w:cs="宋体"/>
                <w:color w:val="auto"/>
                <w:kern w:val="0"/>
                <w:sz w:val="24"/>
                <w:szCs w:val="24"/>
                <w:lang w:val="en-US" w:eastAsia="zh-CN" w:bidi="ar-SA"/>
              </w:rPr>
              <w:t>瓜类</w:t>
            </w:r>
            <w:r>
              <w:rPr>
                <w:rFonts w:hint="eastAsia" w:ascii="宋体" w:hAnsi="宋体" w:eastAsia="宋体" w:cs="宋体"/>
                <w:color w:val="auto"/>
                <w:sz w:val="24"/>
                <w:szCs w:val="24"/>
              </w:rPr>
              <w:t>、</w:t>
            </w:r>
            <w:r>
              <w:rPr>
                <w:rFonts w:hint="eastAsia" w:ascii="宋体" w:hAnsi="宋体" w:eastAsia="宋体" w:cs="宋体"/>
                <w:color w:val="auto"/>
                <w:kern w:val="0"/>
                <w:sz w:val="24"/>
                <w:szCs w:val="24"/>
                <w:lang w:val="en-US" w:eastAsia="zh-CN" w:bidi="ar-SA"/>
              </w:rPr>
              <w:t>根菜类</w:t>
            </w:r>
            <w:r>
              <w:rPr>
                <w:rFonts w:hint="eastAsia" w:ascii="宋体" w:hAnsi="宋体" w:eastAsia="宋体" w:cs="宋体"/>
                <w:color w:val="auto"/>
                <w:sz w:val="24"/>
                <w:szCs w:val="24"/>
              </w:rPr>
              <w:t>、</w:t>
            </w:r>
            <w:r>
              <w:rPr>
                <w:rFonts w:hint="eastAsia" w:ascii="宋体" w:hAnsi="宋体" w:eastAsia="宋体" w:cs="宋体"/>
                <w:color w:val="auto"/>
                <w:kern w:val="0"/>
                <w:sz w:val="24"/>
                <w:szCs w:val="24"/>
                <w:lang w:val="en-US" w:eastAsia="zh-CN" w:bidi="ar-SA"/>
              </w:rPr>
              <w:t>葱蒜类</w:t>
            </w:r>
            <w:r>
              <w:rPr>
                <w:rFonts w:hint="eastAsia" w:ascii="宋体" w:hAnsi="宋体" w:eastAsia="宋体" w:cs="宋体"/>
                <w:color w:val="auto"/>
                <w:sz w:val="24"/>
                <w:szCs w:val="24"/>
              </w:rPr>
              <w:t>、</w:t>
            </w:r>
            <w:r>
              <w:rPr>
                <w:rFonts w:hint="eastAsia" w:ascii="宋体" w:hAnsi="宋体" w:eastAsia="宋体" w:cs="宋体"/>
                <w:color w:val="auto"/>
                <w:kern w:val="0"/>
                <w:sz w:val="24"/>
                <w:szCs w:val="24"/>
                <w:lang w:val="en-US" w:eastAsia="zh-CN" w:bidi="ar-SA"/>
              </w:rPr>
              <w:t>豆类</w:t>
            </w:r>
            <w:r>
              <w:rPr>
                <w:rFonts w:hint="eastAsia" w:ascii="宋体" w:hAnsi="宋体" w:eastAsia="宋体" w:cs="宋体"/>
                <w:color w:val="auto"/>
                <w:sz w:val="24"/>
                <w:szCs w:val="24"/>
              </w:rPr>
              <w:t>、</w:t>
            </w:r>
            <w:r>
              <w:rPr>
                <w:rFonts w:hint="eastAsia" w:ascii="宋体" w:hAnsi="宋体" w:eastAsia="宋体" w:cs="宋体"/>
                <w:color w:val="auto"/>
                <w:kern w:val="0"/>
                <w:sz w:val="24"/>
                <w:szCs w:val="24"/>
                <w:lang w:val="en-US" w:eastAsia="zh-CN" w:bidi="ar-SA"/>
              </w:rPr>
              <w:t>水生类、多年生类、芽苗类</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所有蔬菜</w:t>
            </w:r>
            <w:r>
              <w:rPr>
                <w:rFonts w:hint="eastAsia" w:ascii="宋体" w:hAnsi="宋体" w:eastAsia="宋体" w:cs="宋体"/>
                <w:color w:val="auto"/>
                <w:kern w:val="0"/>
                <w:sz w:val="24"/>
                <w:szCs w:val="24"/>
                <w:lang w:val="en-US" w:eastAsia="zh-CN" w:bidi="ar-SA"/>
              </w:rPr>
              <w:t>应保持较好的色泽和新鲜度,利用率达到95%以上</w:t>
            </w:r>
            <w:r>
              <w:rPr>
                <w:rFonts w:hint="eastAsia" w:ascii="宋体" w:hAnsi="宋体" w:eastAsia="宋体" w:cs="宋体"/>
                <w:color w:val="auto"/>
                <w:sz w:val="24"/>
                <w:szCs w:val="24"/>
              </w:rPr>
              <w:t>。</w:t>
            </w:r>
            <w:r>
              <w:rPr>
                <w:rFonts w:hint="eastAsia" w:ascii="宋体" w:hAnsi="宋体" w:eastAsia="宋体" w:cs="宋体"/>
                <w:color w:val="auto"/>
                <w:kern w:val="0"/>
                <w:sz w:val="24"/>
                <w:szCs w:val="24"/>
                <w:lang w:val="en-US" w:eastAsia="zh-CN" w:bidi="ar-SA"/>
              </w:rPr>
              <w:t>严禁采购有害、有毒、腐烂变质、酸败、霉变、生虫、污垢不洁、混有异物或其他感官性状异常的食品。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kern w:val="0"/>
                <w:sz w:val="24"/>
                <w:szCs w:val="24"/>
                <w:lang w:val="en-US" w:eastAsia="zh-CN" w:bidi="ar-SA"/>
              </w:rPr>
              <w:t>叶菜类：（包括但不限于：白菜类、甘蓝类和绿叶菜类的各种蔬菜）肉质鲜嫩，形态好，色泽正常；茎基部削平，无枯黄叶、病叶、 泥土、明显机械伤和病虫害伤；无烧心、焦边、腐烂等现象，无抽薹(菜心除外)；结球的叶菜应结球紧实；菠菜和本地芹菜可带根。花椰菜、青花菜属于同一品种，形状正常，肉质致密、新鲜，不带叶柄，茎基部削平，无腐烂、病虫害、机械伤；花椰菜花球洁白，无毛花，青花菜无托叶，可带主茎，花球青绿色，无紫花、无枯蕾现象。</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4.</w:t>
            </w:r>
            <w:r>
              <w:rPr>
                <w:rFonts w:hint="eastAsia" w:ascii="宋体" w:hAnsi="宋体" w:eastAsia="宋体" w:cs="宋体"/>
                <w:color w:val="auto"/>
                <w:kern w:val="0"/>
                <w:sz w:val="24"/>
                <w:szCs w:val="24"/>
                <w:lang w:val="en-US" w:eastAsia="zh-CN" w:bidi="ar-SA"/>
              </w:rPr>
              <w:t xml:space="preserve">茄果类：（包括但不限于：番茄、茄子、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SA"/>
              </w:rPr>
              <w:t>甜椒、辣椒）色鲜，果实圆整、光洁，成熟度适中，整齐，无烂果、异味、病虫害和明显机械损伤。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kern w:val="0"/>
                <w:sz w:val="24"/>
                <w:szCs w:val="24"/>
                <w:lang w:val="en-US" w:eastAsia="zh-CN" w:bidi="ar-SA"/>
              </w:rPr>
              <w:t>瓜类：（包括但不限于：黄瓜、瓠瓜、 越瓜、丝瓜、 苦瓜、冬瓜、 毛节瓜、南瓜、 佛手瓜）形状、色泽一致，瓜条均匀，无疤点，无断裂，不带泥土，无畸形瓜、病虫害瓜、烂瓜，无明显机械伤。</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6.</w:t>
            </w:r>
            <w:r>
              <w:rPr>
                <w:rFonts w:hint="eastAsia" w:ascii="宋体" w:hAnsi="宋体" w:eastAsia="宋体" w:cs="宋体"/>
                <w:color w:val="auto"/>
                <w:kern w:val="0"/>
                <w:sz w:val="24"/>
                <w:szCs w:val="24"/>
                <w:lang w:val="en-US" w:eastAsia="zh-CN" w:bidi="ar-SA"/>
              </w:rPr>
              <w:t xml:space="preserve">根菜类：（包括但不限于：萝卜、胡萝卜、 </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SA"/>
              </w:rPr>
              <w:t xml:space="preserve">大头菜、芜菁甘蓝）皮细光滑，色泽良好，大小均匀，肉质脆嫩致密。新鲜，无畸形、 裂痕、糠心、病虫害斑，不带泥沙，不带茎叶、须根。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kern w:val="0"/>
                <w:sz w:val="24"/>
                <w:szCs w:val="24"/>
                <w:lang w:val="en-US" w:eastAsia="zh-CN" w:bidi="ar-SA"/>
              </w:rPr>
              <w:t>葱蒜类：（包括但不限于：大葱、分葱、四季葱）允许葱和大蒜的青蒜保留干净须根，去老叶，韭菜去根去老叶，蒜头、洋葱要去枯叶；可食部分质地细嫩，不带泥沙杂质，无病虫害斑。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kern w:val="0"/>
                <w:sz w:val="24"/>
                <w:szCs w:val="24"/>
                <w:lang w:val="en-US" w:eastAsia="zh-CN" w:bidi="ar-SA"/>
              </w:rPr>
              <w:t>豆类：（</w:t>
            </w:r>
            <w:r>
              <w:rPr>
                <w:rFonts w:hint="eastAsia" w:ascii="宋体" w:hAnsi="宋体" w:eastAsia="宋体" w:cs="宋体"/>
                <w:color w:val="auto"/>
                <w:sz w:val="24"/>
                <w:szCs w:val="24"/>
              </w:rPr>
              <w:t>包括</w:t>
            </w:r>
            <w:r>
              <w:rPr>
                <w:rFonts w:hint="eastAsia" w:ascii="宋体" w:hAnsi="宋体" w:eastAsia="宋体" w:cs="宋体"/>
                <w:color w:val="auto"/>
                <w:sz w:val="24"/>
                <w:szCs w:val="24"/>
                <w:lang w:eastAsia="zh-CN"/>
              </w:rPr>
              <w:t>但不限于：</w:t>
            </w:r>
            <w:r>
              <w:rPr>
                <w:rFonts w:hint="eastAsia" w:ascii="宋体" w:hAnsi="宋体" w:eastAsia="宋体" w:cs="宋体"/>
                <w:color w:val="auto"/>
                <w:sz w:val="24"/>
                <w:szCs w:val="24"/>
              </w:rPr>
              <w:t>豆皮、豆腐、凉皮、蘑芋、豆花、豆干、凉粉</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sz w:val="24"/>
                <w:szCs w:val="24"/>
              </w:rPr>
              <w:t>豆制品须保证食材干净、不含非食品化学物质、按统一标准加工，达到国家食品安全标准。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kern w:val="0"/>
                <w:sz w:val="24"/>
                <w:szCs w:val="24"/>
                <w:lang w:val="en-US" w:eastAsia="zh-CN" w:bidi="ar-SA"/>
              </w:rPr>
              <w:t xml:space="preserve">水生类：（包括但不限于：茭白、藕等）属同一品种规格，肉质鲜嫩，成熟度适中，无泥土、杂质、机械伤，不干瘪，不腐烂霉变，茭白不黑心。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kern w:val="0"/>
                <w:sz w:val="24"/>
                <w:szCs w:val="24"/>
                <w:lang w:val="en-US" w:eastAsia="zh-CN" w:bidi="ar-SA"/>
              </w:rPr>
              <w:t>多年生类：（包括但不限于：竹笋、芦笋等）属同一品种规格，幼嫩，无病虫害斑，无明显机械伤。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r>
              <w:rPr>
                <w:rFonts w:hint="eastAsia" w:ascii="宋体" w:hAnsi="宋体" w:eastAsia="宋体" w:cs="宋体"/>
                <w:color w:val="auto"/>
                <w:kern w:val="0"/>
                <w:sz w:val="24"/>
                <w:szCs w:val="24"/>
                <w:lang w:val="en-US" w:eastAsia="zh-CN" w:bidi="ar-SA"/>
              </w:rPr>
              <w:t>芽苗类：（包括但不限于：绿豆芽、黄豆芽等）芽苗幼嫩，不带豆壳杂质，新鲜，不浸水。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12.蔬菜农药残留不超标，不得低于国家标准，需能实地溯源。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color w:val="auto"/>
                <w:sz w:val="24"/>
                <w:szCs w:val="24"/>
                <w:lang w:eastAsia="zh-CN"/>
              </w:rPr>
              <w:t>注：叶菜类需用框分装，</w:t>
            </w:r>
            <w:r>
              <w:rPr>
                <w:rFonts w:hint="eastAsia" w:ascii="宋体" w:hAnsi="宋体" w:eastAsia="宋体" w:cs="宋体"/>
                <w:b/>
                <w:bCs/>
                <w:color w:val="auto"/>
                <w:sz w:val="24"/>
                <w:szCs w:val="24"/>
              </w:rPr>
              <w:t>其包装符合蔬菜包装技术要求和环保要求，不得对蔬菜有损伤和污染。</w:t>
            </w:r>
          </w:p>
        </w:tc>
        <w:tc>
          <w:tcPr>
            <w:tcW w:w="11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w:t>
            </w:r>
          </w:p>
        </w:tc>
        <w:tc>
          <w:tcPr>
            <w:tcW w:w="127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牛羊肉类</w:t>
            </w:r>
          </w:p>
        </w:tc>
        <w:tc>
          <w:tcPr>
            <w:tcW w:w="59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无槽头肉和血刀肉；甲状腺、肾上腺、病变淋巴摘除干净；无残留毛绒，不准带长短毛；不带浮毛、凝血块、胆污、粪污及其他污染物；肌肉应有光泽，不粘手，有弹性，指压后凹陷立即恢复原状，并具有鲜肉的正常气味，排骨类无龙骨</w:t>
            </w:r>
            <w:r>
              <w:rPr>
                <w:rFonts w:hint="eastAsia" w:ascii="宋体" w:hAnsi="宋体" w:eastAsia="宋体" w:cs="宋体"/>
                <w:color w:val="auto"/>
                <w:kern w:val="0"/>
                <w:sz w:val="24"/>
                <w:szCs w:val="24"/>
                <w:lang w:val="en-US" w:eastAsia="zh-CN" w:bidi="ar-SA"/>
              </w:rPr>
              <w:t>。</w:t>
            </w:r>
          </w:p>
        </w:tc>
        <w:tc>
          <w:tcPr>
            <w:tcW w:w="11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3</w:t>
            </w:r>
          </w:p>
        </w:tc>
        <w:tc>
          <w:tcPr>
            <w:tcW w:w="127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冻货</w:t>
            </w:r>
          </w:p>
        </w:tc>
        <w:tc>
          <w:tcPr>
            <w:tcW w:w="59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1.品类包括但不限于：冻鸡胸肉、冻鸡鸭爪等。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2.符合国家相关检验要求。</w:t>
            </w:r>
          </w:p>
        </w:tc>
        <w:tc>
          <w:tcPr>
            <w:tcW w:w="11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4</w:t>
            </w:r>
          </w:p>
        </w:tc>
        <w:tc>
          <w:tcPr>
            <w:tcW w:w="127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rPr>
              <w:t>鱼虾类等水产品</w:t>
            </w:r>
          </w:p>
        </w:tc>
        <w:tc>
          <w:tcPr>
            <w:tcW w:w="59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水产品类：须保证鲜活、大小基本统一。要求身体表面光洁，无异 常色泽肉质，有弹性（有鳞鱼类还须鳞片完整或极少量脱落），眼球微凸，有光泽，不凹陷，无灰白色，鱼鳃鲜红，不乌，肉质结构紧密，肉刺不分离，无异味</w:t>
            </w:r>
            <w:r>
              <w:rPr>
                <w:rFonts w:hint="eastAsia" w:ascii="宋体" w:hAnsi="宋体" w:eastAsia="宋体" w:cs="宋体"/>
                <w:color w:val="auto"/>
                <w:kern w:val="0"/>
                <w:sz w:val="24"/>
                <w:szCs w:val="24"/>
                <w:lang w:val="en-US" w:eastAsia="zh-CN" w:bidi="ar"/>
              </w:rPr>
              <w:t>。</w:t>
            </w:r>
          </w:p>
        </w:tc>
        <w:tc>
          <w:tcPr>
            <w:tcW w:w="11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241" w:firstLineChars="100"/>
              <w:textAlignment w:val="auto"/>
              <w:rPr>
                <w:rFonts w:hint="eastAsia" w:ascii="宋体" w:hAnsi="宋体" w:eastAsia="宋体" w:cs="宋体"/>
                <w:b/>
                <w:bCs w:val="0"/>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1" w:firstLineChars="100"/>
              <w:textAlignment w:val="auto"/>
              <w:rPr>
                <w:rFonts w:hint="eastAsia" w:ascii="宋体" w:hAnsi="宋体" w:eastAsia="宋体" w:cs="宋体"/>
                <w:b/>
                <w:bCs w:val="0"/>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1" w:firstLineChars="100"/>
              <w:textAlignment w:val="auto"/>
              <w:rPr>
                <w:rFonts w:hint="eastAsia" w:ascii="宋体" w:hAnsi="宋体" w:eastAsia="宋体" w:cs="宋体"/>
                <w:b/>
                <w:bCs w:val="0"/>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5</w:t>
            </w:r>
          </w:p>
        </w:tc>
        <w:tc>
          <w:tcPr>
            <w:tcW w:w="127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水果</w:t>
            </w:r>
            <w:r>
              <w:rPr>
                <w:rFonts w:hint="eastAsia" w:hAnsi="宋体" w:cs="宋体"/>
                <w:b w:val="0"/>
                <w:bCs/>
                <w:color w:val="auto"/>
                <w:sz w:val="24"/>
                <w:szCs w:val="24"/>
                <w:highlight w:val="none"/>
                <w:lang w:val="en-US" w:eastAsia="zh-CN"/>
              </w:rPr>
              <w:t>类</w:t>
            </w:r>
          </w:p>
        </w:tc>
        <w:tc>
          <w:tcPr>
            <w:tcW w:w="5931" w:type="dxa"/>
            <w:noWrap w:val="0"/>
            <w:vAlign w:val="top"/>
          </w:tcPr>
          <w:p>
            <w:pPr>
              <w:keepNext w:val="0"/>
              <w:keepLines w:val="0"/>
              <w:widowControl/>
              <w:suppressLineNumbers w:val="0"/>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val="0"/>
                <w:bCs w:val="0"/>
                <w:color w:val="auto"/>
                <w:sz w:val="24"/>
                <w:szCs w:val="24"/>
                <w:lang w:val="en-US" w:eastAsia="zh-CN"/>
              </w:rPr>
              <w:t>1.</w:t>
            </w:r>
            <w:r>
              <w:rPr>
                <w:rFonts w:hint="eastAsia" w:ascii="宋体" w:hAnsi="宋体" w:eastAsia="宋体" w:cs="宋体"/>
                <w:color w:val="auto"/>
                <w:sz w:val="24"/>
                <w:szCs w:val="24"/>
              </w:rPr>
              <w:t>色泽鲜艳，有光泽；质地鲜嫩，无黄叶，无萎蔫，无斑点，无农药气味</w:t>
            </w:r>
            <w:r>
              <w:rPr>
                <w:rFonts w:hint="eastAsia" w:ascii="宋体" w:hAnsi="宋体" w:eastAsia="宋体" w:cs="宋体"/>
                <w:color w:val="auto"/>
                <w:sz w:val="24"/>
                <w:szCs w:val="24"/>
                <w:lang w:eastAsia="zh-CN"/>
              </w:rPr>
              <w:t>、</w:t>
            </w:r>
            <w:r>
              <w:rPr>
                <w:rFonts w:hint="eastAsia" w:ascii="宋体" w:hAnsi="宋体" w:eastAsia="宋体" w:cs="宋体"/>
                <w:color w:val="auto"/>
                <w:kern w:val="0"/>
                <w:sz w:val="24"/>
                <w:szCs w:val="24"/>
                <w:lang w:val="en-US" w:eastAsia="zh-CN" w:bidi="ar-SA"/>
              </w:rPr>
              <w:t xml:space="preserve">无虫眼、无小口腐烂，新鲜，允许有微裂，但裂口不变黑；不允许有碰压伤和病虫，果实完好、丰满，无引起腐烂的机械伤，果面清洁无污染。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sz w:val="24"/>
                <w:szCs w:val="24"/>
                <w:lang w:val="en-US" w:eastAsia="zh-CN"/>
              </w:rPr>
              <w:t>水果农药残留不超标，不得低于国家标准，需能实地溯源。</w:t>
            </w:r>
          </w:p>
        </w:tc>
        <w:tc>
          <w:tcPr>
            <w:tcW w:w="11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6</w:t>
            </w:r>
          </w:p>
        </w:tc>
        <w:tc>
          <w:tcPr>
            <w:tcW w:w="127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蛋类</w:t>
            </w:r>
          </w:p>
        </w:tc>
        <w:tc>
          <w:tcPr>
            <w:tcW w:w="5931"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1.无公害或绿色</w:t>
            </w:r>
            <w:r>
              <w:rPr>
                <w:rFonts w:hint="eastAsia" w:ascii="宋体" w:hAnsi="宋体" w:eastAsia="宋体" w:cs="宋体"/>
                <w:color w:val="auto"/>
                <w:kern w:val="0"/>
                <w:sz w:val="24"/>
                <w:szCs w:val="24"/>
                <w:highlight w:val="none"/>
              </w:rPr>
              <w:t>生鲜禽蛋</w:t>
            </w:r>
            <w:r>
              <w:rPr>
                <w:rFonts w:hint="eastAsia" w:ascii="宋体" w:hAnsi="宋体" w:eastAsia="宋体" w:cs="宋体"/>
                <w:color w:val="auto"/>
                <w:sz w:val="24"/>
                <w:szCs w:val="24"/>
              </w:rPr>
              <w:t>。</w:t>
            </w:r>
          </w:p>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2.符合食品卫生安全要求</w:t>
            </w:r>
            <w:r>
              <w:rPr>
                <w:rFonts w:hint="eastAsia" w:ascii="宋体" w:hAnsi="宋体" w:eastAsia="宋体" w:cs="宋体"/>
                <w:color w:val="auto"/>
                <w:sz w:val="24"/>
                <w:szCs w:val="24"/>
                <w:lang w:eastAsia="zh-CN"/>
              </w:rPr>
              <w:t>。</w:t>
            </w:r>
          </w:p>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highlight w:val="none"/>
              </w:rPr>
              <w:t>禽蛋</w:t>
            </w:r>
            <w:r>
              <w:rPr>
                <w:rFonts w:hint="eastAsia" w:ascii="宋体" w:hAnsi="宋体" w:eastAsia="宋体" w:cs="宋体"/>
                <w:color w:val="auto"/>
                <w:kern w:val="0"/>
                <w:sz w:val="24"/>
                <w:szCs w:val="24"/>
              </w:rPr>
              <w:t>完好无破损、无沙壳，清洁、无畸形。</w:t>
            </w:r>
          </w:p>
        </w:tc>
        <w:tc>
          <w:tcPr>
            <w:tcW w:w="11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241" w:firstLineChars="100"/>
              <w:textAlignment w:val="auto"/>
              <w:rPr>
                <w:rFonts w:hint="eastAsia" w:ascii="宋体" w:hAnsi="宋体" w:eastAsia="宋体" w:cs="宋体"/>
                <w:b/>
                <w:bCs w:val="0"/>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7</w:t>
            </w:r>
          </w:p>
        </w:tc>
        <w:tc>
          <w:tcPr>
            <w:tcW w:w="127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rPr>
              <w:t>鸡鸭鹅等禽类</w:t>
            </w:r>
          </w:p>
        </w:tc>
        <w:tc>
          <w:tcPr>
            <w:tcW w:w="5931" w:type="dxa"/>
            <w:noWrap w:val="0"/>
            <w:vAlign w:val="top"/>
          </w:tcPr>
          <w:p>
            <w:pPr>
              <w:keepNext w:val="0"/>
              <w:keepLines w:val="0"/>
              <w:widowControl/>
              <w:suppressLineNumbers w:val="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1.所有肉类的必须是检疫检验合格产品，符合国家或行业相应等级的现行检验检疫标准。 </w:t>
            </w:r>
          </w:p>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sz w:val="24"/>
                <w:szCs w:val="24"/>
              </w:rPr>
              <w:t>肉质感官湿润，触摸柔软有弹性，加工易入味，口感滑腻鲜 嫩。不得配送病、死鸡、鸭、</w:t>
            </w:r>
            <w:r>
              <w:rPr>
                <w:rFonts w:hint="eastAsia" w:ascii="宋体" w:hAnsi="宋体" w:eastAsia="宋体" w:cs="宋体"/>
                <w:color w:val="auto"/>
                <w:sz w:val="24"/>
                <w:szCs w:val="24"/>
                <w:lang w:eastAsia="zh-CN"/>
              </w:rPr>
              <w:t>鹅</w:t>
            </w:r>
            <w:r>
              <w:rPr>
                <w:rFonts w:hint="eastAsia" w:ascii="宋体" w:hAnsi="宋体" w:eastAsia="宋体" w:cs="宋体"/>
                <w:color w:val="auto"/>
                <w:sz w:val="24"/>
                <w:szCs w:val="24"/>
              </w:rPr>
              <w:t>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  </w:t>
            </w:r>
          </w:p>
        </w:tc>
        <w:tc>
          <w:tcPr>
            <w:tcW w:w="11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241" w:firstLineChars="100"/>
              <w:textAlignment w:val="auto"/>
              <w:rPr>
                <w:rFonts w:hint="eastAsia" w:ascii="宋体" w:hAnsi="宋体" w:eastAsia="宋体" w:cs="宋体"/>
                <w:b/>
                <w:bCs w:val="0"/>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1" w:firstLineChars="100"/>
              <w:textAlignment w:val="auto"/>
              <w:rPr>
                <w:rFonts w:hint="eastAsia" w:ascii="宋体" w:hAnsi="宋体" w:eastAsia="宋体" w:cs="宋体"/>
                <w:b/>
                <w:bCs w:val="0"/>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1" w:firstLineChars="100"/>
              <w:textAlignment w:val="auto"/>
              <w:rPr>
                <w:rFonts w:hint="eastAsia" w:ascii="宋体" w:hAnsi="宋体" w:eastAsia="宋体" w:cs="宋体"/>
                <w:b/>
                <w:bCs w:val="0"/>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8</w:t>
            </w:r>
          </w:p>
        </w:tc>
        <w:tc>
          <w:tcPr>
            <w:tcW w:w="127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rPr>
              <w:t>猪肉</w:t>
            </w:r>
          </w:p>
        </w:tc>
        <w:tc>
          <w:tcPr>
            <w:tcW w:w="5931" w:type="dxa"/>
            <w:noWrap w:val="0"/>
            <w:vAlign w:val="top"/>
          </w:tcPr>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 xml:space="preserve"> 1.</w:t>
            </w:r>
            <w:r>
              <w:rPr>
                <w:rFonts w:hint="eastAsia" w:ascii="宋体" w:hAnsi="宋体" w:eastAsia="宋体" w:cs="宋体"/>
                <w:b/>
                <w:bCs/>
                <w:color w:val="auto"/>
                <w:sz w:val="24"/>
                <w:szCs w:val="24"/>
              </w:rPr>
              <w:t>分割生鲜猪肉（当天宰杀的鲜猪肉）</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rPr>
              <w:t>腿子肉或夹心肉或五花肉，新鲜（当天宰杀）、去骨带皮</w:t>
            </w:r>
            <w:r>
              <w:rPr>
                <w:rFonts w:hint="eastAsia" w:ascii="宋体" w:hAnsi="宋体" w:eastAsia="宋体" w:cs="宋体"/>
                <w:color w:val="auto"/>
                <w:sz w:val="24"/>
                <w:szCs w:val="24"/>
                <w:lang w:eastAsia="zh-CN"/>
              </w:rPr>
              <w:t>，</w:t>
            </w:r>
            <w:r>
              <w:rPr>
                <w:rFonts w:hint="eastAsia" w:ascii="宋体" w:hAnsi="宋体" w:eastAsia="宋体" w:cs="宋体"/>
                <w:color w:val="auto"/>
                <w:kern w:val="0"/>
                <w:sz w:val="24"/>
                <w:szCs w:val="24"/>
                <w:lang w:val="en-US" w:eastAsia="zh-CN" w:bidi="ar-SA"/>
              </w:rPr>
              <w:t>符合国家相关检验要求；</w:t>
            </w:r>
            <w:r>
              <w:rPr>
                <w:rFonts w:hint="eastAsia" w:ascii="宋体" w:hAnsi="宋体" w:eastAsia="宋体" w:cs="宋体"/>
                <w:color w:val="auto"/>
                <w:sz w:val="24"/>
                <w:szCs w:val="24"/>
                <w:lang w:eastAsia="zh-CN"/>
              </w:rPr>
              <w:t>每批次</w:t>
            </w:r>
            <w:r>
              <w:rPr>
                <w:rFonts w:hint="eastAsia" w:ascii="宋体" w:hAnsi="宋体" w:eastAsia="宋体" w:cs="宋体"/>
                <w:color w:val="auto"/>
                <w:sz w:val="24"/>
                <w:szCs w:val="24"/>
              </w:rPr>
              <w:t>生鲜猪肉必须具备“两证两章”，即动物检疫合格证明、肉品品质检验合格证、检疫验讫章和肉品品质检验合格验讫章</w:t>
            </w:r>
            <w:r>
              <w:rPr>
                <w:rFonts w:hint="eastAsia" w:ascii="宋体" w:hAnsi="宋体" w:eastAsia="宋体" w:cs="宋体"/>
                <w:color w:val="auto"/>
                <w:sz w:val="24"/>
                <w:szCs w:val="24"/>
                <w:lang w:eastAsia="zh-CN"/>
              </w:rPr>
              <w:t>；</w:t>
            </w:r>
            <w:r>
              <w:rPr>
                <w:rFonts w:hint="eastAsia" w:ascii="宋体" w:hAnsi="宋体" w:eastAsia="宋体" w:cs="宋体"/>
                <w:color w:val="auto"/>
                <w:kern w:val="0"/>
                <w:sz w:val="24"/>
                <w:szCs w:val="24"/>
                <w:lang w:val="en-US" w:eastAsia="zh-CN" w:bidi="ar-SA"/>
              </w:rPr>
              <w:t>严禁采购注水、注胶、病猪、死猪、冻肉、老母猪肉等病害猪肉。</w:t>
            </w:r>
            <w:r>
              <w:rPr>
                <w:rFonts w:hint="eastAsia" w:ascii="宋体" w:hAnsi="宋体" w:eastAsia="宋体" w:cs="宋体"/>
                <w:color w:val="auto"/>
                <w:sz w:val="24"/>
                <w:szCs w:val="24"/>
              </w:rPr>
              <w:t>鲜猪肉外表无泥污，无血污，肉边整齐，无破碎肉，无黏液渗出或很干的表皮，无点状、虫状等小颗粒灰白色虫。</w:t>
            </w:r>
            <w:r>
              <w:rPr>
                <w:rFonts w:hint="eastAsia" w:ascii="宋体" w:hAnsi="宋体" w:eastAsia="宋体" w:cs="宋体"/>
                <w:color w:val="auto"/>
                <w:kern w:val="0"/>
                <w:sz w:val="24"/>
                <w:szCs w:val="24"/>
                <w:lang w:val="en-US" w:eastAsia="zh-CN" w:bidi="ar-SA"/>
              </w:rPr>
              <w:t>膘肥嫩、色雪白，有光泽，不发黏，符合国家相关检验要求。</w:t>
            </w:r>
          </w:p>
        </w:tc>
        <w:tc>
          <w:tcPr>
            <w:tcW w:w="11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both"/>
              <w:textAlignment w:val="auto"/>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9</w:t>
            </w:r>
          </w:p>
        </w:tc>
        <w:tc>
          <w:tcPr>
            <w:tcW w:w="127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大米</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4"/>
                <w:szCs w:val="24"/>
                <w:vertAlign w:val="baseline"/>
                <w:lang w:eastAsia="zh-CN"/>
              </w:rPr>
            </w:pPr>
          </w:p>
        </w:tc>
        <w:tc>
          <w:tcPr>
            <w:tcW w:w="5931" w:type="dxa"/>
            <w:noWrap w:val="0"/>
            <w:vAlign w:val="top"/>
          </w:tcPr>
          <w:p>
            <w:pPr>
              <w:keepNext w:val="0"/>
              <w:keepLines w:val="0"/>
              <w:pageBreakBefore w:val="0"/>
              <w:widowControl w:val="0"/>
              <w:kinsoku/>
              <w:wordWrap w:val="0"/>
              <w:overflowPunct/>
              <w:topLinePunct w:val="0"/>
              <w:autoSpaceDE/>
              <w:autoSpaceDN/>
              <w:bidi w:val="0"/>
              <w:adjustRightInd/>
              <w:snapToGrid/>
              <w:spacing w:line="240" w:lineRule="auto"/>
              <w:ind w:firstLine="240" w:firstLineChars="100"/>
              <w:jc w:val="both"/>
              <w:textAlignment w:val="auto"/>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color w:val="auto"/>
                <w:sz w:val="24"/>
                <w:szCs w:val="24"/>
                <w:lang w:val="en-US" w:eastAsia="zh-CN"/>
              </w:rPr>
              <w:t>1.须独立包装，</w:t>
            </w:r>
            <w:r>
              <w:rPr>
                <w:rFonts w:hint="eastAsia" w:ascii="宋体" w:hAnsi="宋体" w:eastAsia="宋体" w:cs="宋体"/>
                <w:color w:val="auto"/>
                <w:sz w:val="24"/>
                <w:szCs w:val="24"/>
              </w:rPr>
              <w:t>袋装足量(净重)，包装袋应坚固结实，封口或缝口应严密，有标签标识。合格证缝在封口上，合格证上的内容必须标明相关内容(如品名、规 格、执行标准、质量等级、生产日期、保质期、检验员、储存条件、生产企业、生产许可证等)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色泽呈透明玉色状，“米眼睛”(胚芽部)的颜色呈乳白色或淡黄色， 有股浓浓的清香味</w:t>
            </w:r>
            <w:r>
              <w:rPr>
                <w:rFonts w:hint="eastAsia" w:ascii="宋体" w:hAnsi="宋体" w:eastAsia="宋体" w:cs="宋体"/>
                <w:color w:val="auto"/>
                <w:sz w:val="24"/>
                <w:szCs w:val="24"/>
                <w:lang w:eastAsia="zh-CN"/>
              </w:rPr>
              <w:t>。</w:t>
            </w:r>
          </w:p>
        </w:tc>
        <w:tc>
          <w:tcPr>
            <w:tcW w:w="11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b/>
                <w:bCs w:val="0"/>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b/>
                <w:bCs w:val="0"/>
                <w:color w:val="auto"/>
                <w:sz w:val="24"/>
                <w:szCs w:val="24"/>
                <w:highlight w:val="none"/>
                <w:vertAlign w:val="baseline"/>
                <w:lang w:val="en-US" w:eastAsia="zh-CN"/>
              </w:rPr>
            </w:pPr>
            <w:r>
              <w:rPr>
                <w:rFonts w:hint="eastAsia" w:hAnsi="宋体" w:cs="宋体"/>
                <w:b/>
                <w:bCs w:val="0"/>
                <w:color w:val="auto"/>
                <w:sz w:val="24"/>
                <w:szCs w:val="24"/>
                <w:highlight w:val="none"/>
                <w:vertAlign w:val="baseline"/>
                <w:lang w:val="en-US" w:eastAsia="zh-CN"/>
              </w:rPr>
              <w:t>核心</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4"/>
                <w:szCs w:val="24"/>
                <w:highlight w:val="none"/>
                <w:vertAlign w:val="baseline"/>
                <w:lang w:val="en-US" w:eastAsia="zh-CN"/>
              </w:rPr>
            </w:pPr>
            <w:r>
              <w:rPr>
                <w:rFonts w:hint="eastAsia" w:hAnsi="宋体" w:cs="宋体"/>
                <w:b/>
                <w:bCs w:val="0"/>
                <w:color w:val="auto"/>
                <w:sz w:val="24"/>
                <w:szCs w:val="24"/>
                <w:highlight w:val="none"/>
                <w:vertAlign w:val="baseline"/>
                <w:lang w:val="en-US" w:eastAsia="zh-CN"/>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both"/>
              <w:textAlignment w:val="auto"/>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10</w:t>
            </w:r>
          </w:p>
        </w:tc>
        <w:tc>
          <w:tcPr>
            <w:tcW w:w="1270" w:type="dxa"/>
            <w:noWrap w:val="0"/>
            <w:vAlign w:val="center"/>
          </w:tcPr>
          <w:p>
            <w:pPr>
              <w:spacing w:line="240" w:lineRule="auto"/>
              <w:jc w:val="center"/>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面</w:t>
            </w:r>
            <w:r>
              <w:rPr>
                <w:rFonts w:hint="eastAsia" w:hAnsi="宋体" w:cs="宋体"/>
                <w:b w:val="0"/>
                <w:bCs/>
                <w:color w:val="auto"/>
                <w:sz w:val="24"/>
                <w:szCs w:val="24"/>
                <w:highlight w:val="none"/>
                <w:vertAlign w:val="baseline"/>
                <w:lang w:val="en-US" w:eastAsia="zh-CN"/>
              </w:rPr>
              <w:t>类</w:t>
            </w:r>
          </w:p>
        </w:tc>
        <w:tc>
          <w:tcPr>
            <w:tcW w:w="5931" w:type="dxa"/>
            <w:noWrap w:val="0"/>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119"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包括面粉、鲜面条、干面条、抄手皮、饺子皮等。面粉、面条等符合现行国家面粉生产和食用安全卫生标准，达到国家特制一等面粉标准。</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119" w:leftChars="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包装袋应当符合国家食品相关标准，包装袋无破损，包装上注明产品名称、配料表、净含量、生产 日期、保质期、产品标准号。</w:t>
            </w:r>
          </w:p>
        </w:tc>
        <w:tc>
          <w:tcPr>
            <w:tcW w:w="11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11</w:t>
            </w:r>
          </w:p>
        </w:tc>
        <w:tc>
          <w:tcPr>
            <w:tcW w:w="1270" w:type="dxa"/>
            <w:noWrap w:val="0"/>
            <w:vAlign w:val="center"/>
          </w:tcPr>
          <w:p>
            <w:pPr>
              <w:spacing w:line="240" w:lineRule="auto"/>
              <w:jc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油</w:t>
            </w:r>
          </w:p>
        </w:tc>
        <w:tc>
          <w:tcPr>
            <w:tcW w:w="5931"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1.菜籽油等级为二级压榨非转基因及以上，油质清澈明亮，无异味，不得有沉淀污物等。色泽鲜亮，清澈透明、无杂质、无沉淀物、无任何异味，经 250℃加热油色不变黑，有预包装并应符合国家的有关规定和要求，有明确的计量，并标识“压榨”。  </w:t>
            </w:r>
          </w:p>
          <w:p>
            <w:pPr>
              <w:pStyle w:val="2"/>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2.禁止配送劣质油：色泽暗淡混浊，略显暗红色。可以闻到酸腐气味。会发酸，有哈喇味，还可能有焦味。</w:t>
            </w:r>
          </w:p>
          <w:p>
            <w:pP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3.包装要求：包装桶须符合国家食品包装相关标准包装标识清楚，印有生产日期、保质期、生产厂家、电话、生产许可证号等。规格由双方协商确定，以便于运输存储使用为原则。</w:t>
            </w:r>
          </w:p>
          <w:p>
            <w:pPr>
              <w:pStyle w:val="2"/>
              <w:rPr>
                <w:rFonts w:hint="default"/>
                <w:color w:val="auto"/>
                <w:lang w:val="en-US" w:eastAsia="zh-CN"/>
              </w:rPr>
            </w:pPr>
            <w:r>
              <w:rPr>
                <w:rFonts w:hint="eastAsia" w:hAnsi="宋体" w:cs="宋体"/>
                <w:color w:val="auto"/>
                <w:kern w:val="0"/>
                <w:sz w:val="24"/>
                <w:szCs w:val="24"/>
                <w:lang w:val="en-US" w:eastAsia="zh-CN" w:bidi="ar"/>
              </w:rPr>
              <w:t>4. 每批货提供给采购人时质保期不少于四分之三</w:t>
            </w:r>
            <w:r>
              <w:rPr>
                <w:rFonts w:hint="eastAsia" w:ascii="宋体" w:hAnsi="宋体" w:eastAsia="宋体" w:cs="宋体"/>
                <w:color w:val="auto"/>
                <w:sz w:val="24"/>
                <w:szCs w:val="24"/>
              </w:rPr>
              <w:t>（如为一年的保质期必须保证有9个月及以上的有效</w:t>
            </w:r>
            <w:r>
              <w:rPr>
                <w:rFonts w:hint="eastAsia" w:ascii="宋体" w:hAnsi="宋体" w:eastAsia="宋体" w:cs="宋体"/>
                <w:color w:val="auto"/>
                <w:sz w:val="24"/>
                <w:szCs w:val="24"/>
                <w:lang w:val="en-US" w:eastAsia="zh-CN"/>
              </w:rPr>
              <w:t>保质期</w:t>
            </w:r>
            <w:r>
              <w:rPr>
                <w:rFonts w:hint="eastAsia" w:ascii="宋体" w:hAnsi="宋体" w:eastAsia="宋体" w:cs="宋体"/>
                <w:color w:val="auto"/>
                <w:sz w:val="24"/>
                <w:szCs w:val="24"/>
              </w:rPr>
              <w:t>）</w:t>
            </w:r>
            <w:r>
              <w:rPr>
                <w:rFonts w:hint="eastAsia" w:hAnsi="宋体" w:cs="宋体"/>
                <w:color w:val="auto"/>
                <w:kern w:val="0"/>
                <w:sz w:val="24"/>
                <w:szCs w:val="24"/>
                <w:lang w:val="en-US" w:eastAsia="zh-CN" w:bidi="ar"/>
              </w:rPr>
              <w:t>。</w:t>
            </w:r>
          </w:p>
        </w:tc>
        <w:tc>
          <w:tcPr>
            <w:tcW w:w="11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12</w:t>
            </w:r>
          </w:p>
        </w:tc>
        <w:tc>
          <w:tcPr>
            <w:tcW w:w="1270" w:type="dxa"/>
            <w:noWrap w:val="0"/>
            <w:vAlign w:val="center"/>
          </w:tcPr>
          <w:p>
            <w:pPr>
              <w:spacing w:line="240" w:lineRule="auto"/>
              <w:ind w:firstLine="240" w:firstLineChars="100"/>
              <w:jc w:val="both"/>
              <w:rPr>
                <w:rFonts w:hint="eastAsia" w:ascii="宋体" w:hAnsi="宋体" w:eastAsia="宋体" w:cs="宋体"/>
                <w:color w:val="auto"/>
                <w:sz w:val="24"/>
                <w:szCs w:val="24"/>
              </w:rPr>
            </w:pPr>
          </w:p>
          <w:p>
            <w:pPr>
              <w:spacing w:line="240" w:lineRule="auto"/>
              <w:ind w:firstLine="240" w:firstLineChars="100"/>
              <w:jc w:val="both"/>
              <w:rPr>
                <w:rFonts w:hint="eastAsia" w:ascii="宋体" w:hAnsi="宋体" w:eastAsia="宋体" w:cs="宋体"/>
                <w:b/>
                <w:bCs w:val="0"/>
                <w:color w:val="auto"/>
                <w:sz w:val="24"/>
                <w:szCs w:val="24"/>
                <w:highlight w:val="none"/>
                <w:vertAlign w:val="baseline"/>
                <w:lang w:val="en-US" w:eastAsia="zh-CN" w:bidi="ar-SA"/>
              </w:rPr>
            </w:pPr>
            <w:r>
              <w:rPr>
                <w:rFonts w:hint="eastAsia" w:ascii="宋体" w:hAnsi="宋体" w:eastAsia="宋体" w:cs="宋体"/>
                <w:color w:val="auto"/>
                <w:sz w:val="24"/>
                <w:szCs w:val="24"/>
              </w:rPr>
              <w:t>调料</w:t>
            </w:r>
            <w:r>
              <w:rPr>
                <w:rFonts w:hint="eastAsia" w:hAnsi="宋体" w:cs="宋体"/>
                <w:color w:val="auto"/>
                <w:sz w:val="24"/>
                <w:szCs w:val="24"/>
                <w:lang w:eastAsia="zh-CN"/>
              </w:rPr>
              <w:t>类</w:t>
            </w:r>
          </w:p>
        </w:tc>
        <w:tc>
          <w:tcPr>
            <w:tcW w:w="5931" w:type="dxa"/>
            <w:noWrap w:val="0"/>
            <w:vAlign w:val="center"/>
          </w:tcPr>
          <w:p>
            <w:pPr>
              <w:widowControl/>
              <w:numPr>
                <w:ilvl w:val="0"/>
                <w:numId w:val="0"/>
              </w:numPr>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袋装、瓶装佐料，产品符合国家食品安全标准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随货有该批次产品质量检测合格证、包装完好无损、保质期未过半。</w:t>
            </w:r>
            <w:r>
              <w:rPr>
                <w:rFonts w:hint="eastAsia" w:ascii="宋体" w:hAnsi="宋体" w:eastAsia="宋体" w:cs="宋体"/>
                <w:color w:val="auto"/>
                <w:sz w:val="24"/>
                <w:szCs w:val="24"/>
                <w:lang w:val="en-US" w:eastAsia="zh-CN"/>
              </w:rPr>
              <w:t xml:space="preserve"> </w:t>
            </w:r>
          </w:p>
          <w:p>
            <w:pPr>
              <w:widowControl/>
              <w:numPr>
                <w:ilvl w:val="0"/>
                <w:numId w:val="0"/>
              </w:numPr>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产品包装应符合国家食品包装的要求；包装完整、无渗漏、无破损；有食品安全认证及生产编号；包装上应注明产品名称、配料表、质量等级、产地、生产日期、保质期、产品标准。</w:t>
            </w:r>
          </w:p>
          <w:p>
            <w:pPr>
              <w:widowControl/>
              <w:spacing w:line="240" w:lineRule="auto"/>
              <w:jc w:val="left"/>
              <w:rPr>
                <w:rFonts w:hint="eastAsia" w:ascii="宋体" w:hAnsi="宋体" w:eastAsia="宋体" w:cs="宋体"/>
                <w:color w:val="auto"/>
                <w:sz w:val="24"/>
                <w:szCs w:val="24"/>
                <w:lang w:val="en-US" w:eastAsia="zh-CN" w:bidi="ar-SA"/>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分类码放配送。所有产品配送到</w:t>
            </w:r>
            <w:r>
              <w:rPr>
                <w:rFonts w:hint="eastAsia" w:ascii="宋体" w:hAnsi="宋体" w:eastAsia="宋体" w:cs="宋体"/>
                <w:color w:val="auto"/>
                <w:kern w:val="0"/>
                <w:sz w:val="24"/>
                <w:szCs w:val="24"/>
                <w:lang w:eastAsia="zh-CN"/>
              </w:rPr>
              <w:t>单位</w:t>
            </w:r>
            <w:r>
              <w:rPr>
                <w:rFonts w:hint="eastAsia" w:ascii="宋体" w:hAnsi="宋体" w:eastAsia="宋体" w:cs="宋体"/>
                <w:color w:val="auto"/>
                <w:kern w:val="0"/>
                <w:sz w:val="24"/>
                <w:szCs w:val="24"/>
              </w:rPr>
              <w:t>之日起保质期不少于</w:t>
            </w:r>
            <w:r>
              <w:rPr>
                <w:rFonts w:hint="eastAsia" w:ascii="宋体" w:hAnsi="宋体" w:eastAsia="宋体" w:cs="宋体"/>
                <w:color w:val="auto"/>
                <w:sz w:val="24"/>
                <w:szCs w:val="24"/>
              </w:rPr>
              <w:t>四分之三（如为一年的保质期必须保证有9个月及以上的有效</w:t>
            </w:r>
            <w:r>
              <w:rPr>
                <w:rFonts w:hint="eastAsia" w:ascii="宋体" w:hAnsi="宋体" w:eastAsia="宋体" w:cs="宋体"/>
                <w:color w:val="auto"/>
                <w:sz w:val="24"/>
                <w:szCs w:val="24"/>
                <w:lang w:val="en-US" w:eastAsia="zh-CN"/>
              </w:rPr>
              <w:t>保质期</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w:t>
            </w:r>
          </w:p>
        </w:tc>
        <w:tc>
          <w:tcPr>
            <w:tcW w:w="11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960" w:firstLineChars="400"/>
              <w:textAlignment w:val="auto"/>
              <w:rPr>
                <w:rFonts w:hint="eastAsia" w:ascii="宋体" w:hAnsi="宋体" w:eastAsia="宋体" w:cs="宋体"/>
                <w:b w:val="0"/>
                <w:bCs/>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960" w:firstLineChars="400"/>
              <w:textAlignment w:val="auto"/>
              <w:rPr>
                <w:rFonts w:hint="eastAsia" w:ascii="宋体" w:hAnsi="宋体" w:eastAsia="宋体" w:cs="宋体"/>
                <w:b w:val="0"/>
                <w:bCs/>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960" w:firstLineChars="400"/>
              <w:textAlignment w:val="auto"/>
              <w:rPr>
                <w:rFonts w:hint="eastAsia" w:ascii="宋体" w:hAnsi="宋体" w:eastAsia="宋体" w:cs="宋体"/>
                <w:b w:val="0"/>
                <w:bCs/>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13</w:t>
            </w:r>
          </w:p>
        </w:tc>
        <w:tc>
          <w:tcPr>
            <w:tcW w:w="1270" w:type="dxa"/>
            <w:noWrap w:val="0"/>
            <w:vAlign w:val="center"/>
          </w:tcPr>
          <w:p>
            <w:pPr>
              <w:spacing w:line="240" w:lineRule="auto"/>
              <w:jc w:val="center"/>
              <w:rPr>
                <w:rFonts w:hint="eastAsia" w:ascii="宋体" w:hAnsi="宋体" w:eastAsia="宋体" w:cs="宋体"/>
                <w:b w:val="0"/>
                <w:bCs/>
                <w:color w:val="auto"/>
                <w:sz w:val="24"/>
                <w:szCs w:val="24"/>
                <w:highlight w:val="none"/>
                <w:vertAlign w:val="baseline"/>
                <w:lang w:val="en-US" w:eastAsia="zh-CN"/>
              </w:rPr>
            </w:pPr>
          </w:p>
          <w:p>
            <w:pPr>
              <w:spacing w:line="240" w:lineRule="auto"/>
              <w:jc w:val="both"/>
              <w:rPr>
                <w:rFonts w:hint="eastAsia" w:ascii="宋体" w:hAnsi="宋体" w:eastAsia="宋体" w:cs="宋体"/>
                <w:b w:val="0"/>
                <w:bCs/>
                <w:color w:val="auto"/>
                <w:sz w:val="24"/>
                <w:szCs w:val="24"/>
                <w:highlight w:val="none"/>
                <w:vertAlign w:val="baseline"/>
                <w:lang w:val="en-US" w:eastAsia="zh-CN"/>
              </w:rPr>
            </w:pPr>
          </w:p>
          <w:p>
            <w:pPr>
              <w:spacing w:line="240" w:lineRule="auto"/>
              <w:jc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干杂类</w:t>
            </w:r>
          </w:p>
        </w:tc>
        <w:tc>
          <w:tcPr>
            <w:tcW w:w="5931" w:type="dxa"/>
            <w:noWrap w:val="0"/>
            <w:vAlign w:val="center"/>
          </w:tcPr>
          <w:p>
            <w:pPr>
              <w:numPr>
                <w:ilvl w:val="0"/>
                <w:numId w:val="0"/>
              </w:num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各式干杂包括但不限于：</w:t>
            </w:r>
            <w:r>
              <w:rPr>
                <w:rFonts w:hint="eastAsia" w:ascii="宋体" w:hAnsi="宋体" w:eastAsia="宋体" w:cs="宋体"/>
                <w:color w:val="auto"/>
                <w:sz w:val="24"/>
                <w:szCs w:val="24"/>
              </w:rPr>
              <w:t>八角、干海椒、花椒、冰糖、豆鼓、花椒面 、海椒面、香料面，外观无霉变、无斑点、无腐烂变质，有该物品独有的气味、无异味。</w:t>
            </w:r>
          </w:p>
          <w:p>
            <w:pPr>
              <w:numPr>
                <w:ilvl w:val="0"/>
                <w:numId w:val="0"/>
              </w:num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包装完好、无破损、无变形，无污染。</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.分类码放配送。所有产品配送到</w:t>
            </w:r>
            <w:r>
              <w:rPr>
                <w:rFonts w:hint="eastAsia" w:ascii="宋体" w:hAnsi="宋体" w:eastAsia="宋体" w:cs="宋体"/>
                <w:color w:val="auto"/>
                <w:sz w:val="24"/>
                <w:szCs w:val="24"/>
                <w:lang w:eastAsia="zh-CN"/>
              </w:rPr>
              <w:t>单位</w:t>
            </w:r>
            <w:r>
              <w:rPr>
                <w:rFonts w:hint="eastAsia" w:ascii="宋体" w:hAnsi="宋体" w:eastAsia="宋体" w:cs="宋体"/>
                <w:color w:val="auto"/>
                <w:sz w:val="24"/>
                <w:szCs w:val="24"/>
              </w:rPr>
              <w:t>之日起保质期不少于四分之三（如为一年的保质期必须保证有9个月及以上的有效</w:t>
            </w:r>
            <w:r>
              <w:rPr>
                <w:rFonts w:hint="eastAsia" w:ascii="宋体" w:hAnsi="宋体" w:eastAsia="宋体" w:cs="宋体"/>
                <w:color w:val="auto"/>
                <w:sz w:val="24"/>
                <w:szCs w:val="24"/>
                <w:lang w:val="en-US" w:eastAsia="zh-CN"/>
              </w:rPr>
              <w:t>保质期</w:t>
            </w:r>
            <w:r>
              <w:rPr>
                <w:rFonts w:hint="eastAsia" w:ascii="宋体" w:hAnsi="宋体" w:eastAsia="宋体" w:cs="宋体"/>
                <w:color w:val="auto"/>
                <w:sz w:val="24"/>
                <w:szCs w:val="24"/>
              </w:rPr>
              <w:t>）。</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.不得含有二氧化硫和非法使用添加剂；重金属元素、农药残留不得超标，无感官异常。</w:t>
            </w:r>
          </w:p>
          <w:p>
            <w:pPr>
              <w:keepNext w:val="0"/>
              <w:keepLines w:val="0"/>
              <w:pageBreakBefore w:val="0"/>
              <w:widowControl/>
              <w:suppressLineNumbers w:val="0"/>
              <w:kinsoku/>
              <w:wordWrap w:val="0"/>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.食品原料必须符合国家最新质量、卫生、安全标准或行业质量要求；定型包装类食品原料应符合食品安全国家标准要求，商品的包装应符合国家和行业的有关规定，具备产品合格证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不变质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不过期。</w:t>
            </w:r>
          </w:p>
        </w:tc>
        <w:tc>
          <w:tcPr>
            <w:tcW w:w="11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14</w:t>
            </w:r>
          </w:p>
        </w:tc>
        <w:tc>
          <w:tcPr>
            <w:tcW w:w="1270" w:type="dxa"/>
            <w:noWrap w:val="0"/>
            <w:vAlign w:val="center"/>
          </w:tcPr>
          <w:p>
            <w:pPr>
              <w:spacing w:line="240" w:lineRule="auto"/>
              <w:jc w:val="both"/>
              <w:rPr>
                <w:rFonts w:hint="eastAsia" w:ascii="宋体" w:hAnsi="宋体" w:eastAsia="宋体" w:cs="宋体"/>
                <w:color w:val="auto"/>
                <w:sz w:val="24"/>
                <w:szCs w:val="24"/>
                <w:lang w:eastAsia="zh-CN"/>
              </w:rPr>
            </w:pPr>
          </w:p>
          <w:p>
            <w:pPr>
              <w:spacing w:line="24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奶制品</w:t>
            </w:r>
          </w:p>
        </w:tc>
        <w:tc>
          <w:tcPr>
            <w:tcW w:w="5931" w:type="dxa"/>
            <w:noWrap w:val="0"/>
            <w:vAlign w:val="center"/>
          </w:tcPr>
          <w:p>
            <w:pPr>
              <w:widowControl/>
              <w:numPr>
                <w:ilvl w:val="0"/>
                <w:numId w:val="0"/>
              </w:numPr>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1.采用超高温灭菌或保持灭菌制成，</w:t>
            </w:r>
            <w:r>
              <w:rPr>
                <w:rFonts w:hint="eastAsia" w:ascii="宋体" w:hAnsi="宋体" w:eastAsia="宋体" w:cs="宋体"/>
                <w:color w:val="auto"/>
                <w:sz w:val="24"/>
                <w:szCs w:val="24"/>
              </w:rPr>
              <w:t>用无菌包装材料包装，</w:t>
            </w:r>
            <w:r>
              <w:rPr>
                <w:rFonts w:hint="eastAsia" w:ascii="宋体" w:hAnsi="宋体" w:eastAsia="宋体" w:cs="宋体"/>
                <w:color w:val="auto"/>
                <w:sz w:val="24"/>
                <w:szCs w:val="24"/>
                <w:lang w:val="en-US" w:eastAsia="zh-CN"/>
              </w:rPr>
              <w:t xml:space="preserve">不得使用复原乳生产。  </w:t>
            </w:r>
          </w:p>
          <w:p>
            <w:pPr>
              <w:keepNext w:val="0"/>
              <w:keepLines w:val="0"/>
              <w:widowControl/>
              <w:suppressLineNumbers w:val="0"/>
              <w:spacing w:line="24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2.</w:t>
            </w:r>
            <w:r>
              <w:rPr>
                <w:rFonts w:hint="eastAsia" w:ascii="宋体" w:hAnsi="宋体" w:eastAsia="宋体" w:cs="宋体"/>
                <w:color w:val="auto"/>
                <w:kern w:val="0"/>
                <w:sz w:val="24"/>
                <w:szCs w:val="24"/>
                <w:lang w:val="en-US" w:eastAsia="zh-CN" w:bidi="ar"/>
              </w:rPr>
              <w:t>符合国家及省、市有关标准和行业标准。</w:t>
            </w:r>
          </w:p>
          <w:p>
            <w:pPr>
              <w:keepNext w:val="0"/>
              <w:keepLines w:val="0"/>
              <w:widowControl/>
              <w:suppressLineNumbers w:val="0"/>
              <w:spacing w:line="240"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
              </w:rPr>
              <w:t>3.</w:t>
            </w:r>
            <w:r>
              <w:rPr>
                <w:rFonts w:hint="eastAsia" w:ascii="宋体" w:hAnsi="宋体" w:eastAsia="宋体" w:cs="宋体"/>
                <w:color w:val="auto"/>
                <w:sz w:val="24"/>
                <w:szCs w:val="24"/>
                <w:lang w:val="en-US" w:eastAsia="zh-CN"/>
              </w:rPr>
              <w:t>保质期剩余</w:t>
            </w:r>
            <w:r>
              <w:rPr>
                <w:rFonts w:hint="eastAsia" w:ascii="宋体" w:hAnsi="宋体" w:eastAsia="宋体" w:cs="宋体"/>
                <w:color w:val="auto"/>
                <w:sz w:val="24"/>
                <w:szCs w:val="24"/>
              </w:rPr>
              <w:t>时间不少于四分之三（如为一年的保质期必须保证有9个月及以上的有效</w:t>
            </w:r>
            <w:r>
              <w:rPr>
                <w:rFonts w:hint="eastAsia" w:ascii="宋体" w:hAnsi="宋体" w:eastAsia="宋体" w:cs="宋体"/>
                <w:color w:val="auto"/>
                <w:sz w:val="24"/>
                <w:szCs w:val="24"/>
                <w:lang w:val="en-US" w:eastAsia="zh-CN"/>
              </w:rPr>
              <w:t>保质期</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tc>
        <w:tc>
          <w:tcPr>
            <w:tcW w:w="11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15</w:t>
            </w:r>
          </w:p>
        </w:tc>
        <w:tc>
          <w:tcPr>
            <w:tcW w:w="12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干果类</w:t>
            </w:r>
          </w:p>
        </w:tc>
        <w:tc>
          <w:tcPr>
            <w:tcW w:w="5931" w:type="dxa"/>
            <w:noWrap w:val="0"/>
            <w:vAlign w:val="center"/>
          </w:tcPr>
          <w:p>
            <w:pPr>
              <w:autoSpaceDE w:val="0"/>
              <w:autoSpaceDN w:val="0"/>
              <w:adjustRightInd w:val="0"/>
              <w:jc w:val="both"/>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1.干果种类包括但不限于核桃、枣子等。</w:t>
            </w:r>
          </w:p>
          <w:p>
            <w:pPr>
              <w:autoSpaceDE w:val="0"/>
              <w:autoSpaceDN w:val="0"/>
              <w:adjustRightInd w:val="0"/>
              <w:jc w:val="both"/>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1"/>
                <w:sz w:val="24"/>
                <w:szCs w:val="24"/>
                <w:lang w:val="en-US" w:eastAsia="zh-CN"/>
              </w:rPr>
              <w:t>2.</w:t>
            </w:r>
            <w:r>
              <w:rPr>
                <w:rFonts w:hint="eastAsia" w:ascii="宋体" w:hAnsi="宋体" w:eastAsia="宋体" w:cs="宋体"/>
                <w:color w:val="auto"/>
                <w:kern w:val="1"/>
                <w:sz w:val="24"/>
                <w:szCs w:val="24"/>
              </w:rPr>
              <w:t>执行《坚果炒货食品通则GB/T22165》</w:t>
            </w:r>
            <w:r>
              <w:rPr>
                <w:rFonts w:hint="eastAsia" w:ascii="宋体" w:hAnsi="宋体" w:eastAsia="宋体" w:cs="宋体"/>
                <w:color w:val="auto"/>
                <w:kern w:val="1"/>
                <w:sz w:val="24"/>
                <w:szCs w:val="24"/>
                <w:lang w:eastAsia="zh-CN"/>
              </w:rPr>
              <w:t>。</w:t>
            </w:r>
          </w:p>
        </w:tc>
        <w:tc>
          <w:tcPr>
            <w:tcW w:w="11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4"/>
                <w:szCs w:val="24"/>
                <w:highlight w:val="none"/>
                <w:vertAlign w:val="baseline"/>
                <w:lang w:val="en-US" w:eastAsia="zh-CN"/>
              </w:rPr>
            </w:pPr>
          </w:p>
        </w:tc>
      </w:tr>
    </w:tbl>
    <w:p>
      <w:pPr>
        <w:rPr>
          <w:rFonts w:hint="eastAsia" w:ascii="宋体" w:hAnsi="宋体" w:eastAsia="宋体" w:cs="宋体"/>
          <w:b/>
          <w:bCs/>
          <w:color w:val="auto"/>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四、服务要求（服务应答内容）</w:t>
      </w:r>
    </w:p>
    <w:p>
      <w:pPr>
        <w:keepNext w:val="0"/>
        <w:keepLines w:val="0"/>
        <w:pageBreakBefore w:val="0"/>
        <w:widowControl w:val="0"/>
        <w:kinsoku/>
        <w:wordWrap/>
        <w:overflowPunct/>
        <w:topLinePunct w:val="0"/>
        <w:autoSpaceDE/>
        <w:autoSpaceDN/>
        <w:bidi w:val="0"/>
        <w:adjustRightInd/>
        <w:snapToGrid/>
        <w:spacing w:afterLines="0" w:line="500" w:lineRule="atLeast"/>
        <w:jc w:val="lef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（一）配送服务要求</w:t>
      </w:r>
    </w:p>
    <w:p>
      <w:pPr>
        <w:keepNext w:val="0"/>
        <w:keepLines w:val="0"/>
        <w:pageBreakBefore w:val="0"/>
        <w:widowControl w:val="0"/>
        <w:kinsoku/>
        <w:wordWrap/>
        <w:overflowPunct/>
        <w:topLinePunct w:val="0"/>
        <w:autoSpaceDE/>
        <w:autoSpaceDN/>
        <w:bidi w:val="0"/>
        <w:adjustRightInd/>
        <w:snapToGrid/>
        <w:spacing w:afterLines="0" w:line="500" w:lineRule="atLeas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1.配送时需提前通知采购人，保障采购人食堂按时食用(使用)，做好</w:t>
      </w:r>
      <w:r>
        <w:rPr>
          <w:rFonts w:hint="eastAsia" w:ascii="宋体" w:hAnsi="宋体" w:eastAsia="宋体" w:cs="宋体"/>
          <w:color w:val="auto"/>
          <w:sz w:val="24"/>
          <w:szCs w:val="24"/>
          <w:lang w:eastAsia="zh-CN"/>
        </w:rPr>
        <w:t>验收签字</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不按规定配送数量送货，采购人有权拒绝签字。</w:t>
      </w:r>
    </w:p>
    <w:p>
      <w:pPr>
        <w:keepNext w:val="0"/>
        <w:keepLines w:val="0"/>
        <w:pageBreakBefore w:val="0"/>
        <w:widowControl w:val="0"/>
        <w:kinsoku/>
        <w:wordWrap/>
        <w:overflowPunct/>
        <w:topLinePunct w:val="0"/>
        <w:autoSpaceDE/>
        <w:autoSpaceDN/>
        <w:bidi w:val="0"/>
        <w:adjustRightInd/>
        <w:snapToGrid/>
        <w:spacing w:afterLines="0" w:line="500" w:lineRule="atLeas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配送人员要求：体检身体合格(须提供健康证)；素质高、责任心强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专业岗前培训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挂牌上岗</w:t>
      </w:r>
      <w:r>
        <w:rPr>
          <w:rFonts w:hint="eastAsia" w:ascii="宋体" w:hAnsi="宋体" w:eastAsia="宋体" w:cs="宋体"/>
          <w:b/>
          <w:bCs/>
          <w:color w:val="auto"/>
          <w:kern w:val="0"/>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afterLines="0" w:line="500" w:lineRule="atLeas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应充分理解并认真遵循本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文件的要求，所提供的货物必须满足</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文件要求。保证供应的货品均为正规厂家生产、检验合格、新鲜无毒、无侵权，符合国家有关卫生、质量、包装和保质标准。</w:t>
      </w:r>
    </w:p>
    <w:p>
      <w:pPr>
        <w:keepNext w:val="0"/>
        <w:keepLines w:val="0"/>
        <w:pageBreakBefore w:val="0"/>
        <w:widowControl w:val="0"/>
        <w:kinsoku/>
        <w:wordWrap/>
        <w:overflowPunct/>
        <w:topLinePunct w:val="0"/>
        <w:autoSpaceDE/>
        <w:autoSpaceDN/>
        <w:bidi w:val="0"/>
        <w:adjustRightInd/>
        <w:snapToGrid/>
        <w:spacing w:afterLines="0" w:line="500" w:lineRule="atLeas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配送单位需有配送专用车辆，配送蔬果肉等鲜货需用专用冷链车，配送</w:t>
      </w:r>
      <w:r>
        <w:rPr>
          <w:rFonts w:hint="eastAsia" w:ascii="宋体" w:hAnsi="宋体" w:eastAsia="宋体" w:cs="宋体"/>
          <w:color w:val="auto"/>
          <w:sz w:val="24"/>
          <w:szCs w:val="24"/>
        </w:rPr>
        <w:t>包装必须完整清洁(无损、无污)。</w:t>
      </w:r>
    </w:p>
    <w:p>
      <w:pPr>
        <w:keepNext w:val="0"/>
        <w:keepLines w:val="0"/>
        <w:pageBreakBefore w:val="0"/>
        <w:widowControl w:val="0"/>
        <w:kinsoku/>
        <w:wordWrap/>
        <w:overflowPunct/>
        <w:topLinePunct w:val="0"/>
        <w:autoSpaceDE/>
        <w:autoSpaceDN/>
        <w:bidi w:val="0"/>
        <w:adjustRightInd/>
        <w:snapToGrid/>
        <w:spacing w:afterLines="0" w:line="500" w:lineRule="atLeas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.采购人发现配送商品出现损坏(包括表面损坏)，或出现污渍、串味、受潮霉变等导致货物质量改变的，采购人将拒收已送达的产品，并要求</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在规定时间内重新送货。</w:t>
      </w:r>
    </w:p>
    <w:p>
      <w:pPr>
        <w:keepNext w:val="0"/>
        <w:keepLines w:val="0"/>
        <w:pageBreakBefore w:val="0"/>
        <w:widowControl w:val="0"/>
        <w:kinsoku/>
        <w:wordWrap/>
        <w:overflowPunct/>
        <w:topLinePunct w:val="0"/>
        <w:autoSpaceDE/>
        <w:autoSpaceDN/>
        <w:bidi w:val="0"/>
        <w:adjustRightInd/>
        <w:snapToGrid/>
        <w:spacing w:afterLines="0" w:line="500" w:lineRule="atLeas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应按采购人计划，及时保质保量配送，保障采购人正常运行。</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必须按合同要求提供优质、新鲜的货物，保证供货的食品安全和运输安全并向采购人提供每批次的质检报告。</w:t>
      </w:r>
      <w:r>
        <w:rPr>
          <w:rFonts w:hint="eastAsia" w:ascii="宋体" w:hAnsi="宋体" w:eastAsia="宋体" w:cs="宋体"/>
          <w:color w:val="auto"/>
          <w:sz w:val="24"/>
          <w:szCs w:val="24"/>
          <w:lang w:eastAsia="zh-CN"/>
        </w:rPr>
        <w:t>中标人应</w:t>
      </w:r>
      <w:r>
        <w:rPr>
          <w:rFonts w:hint="eastAsia" w:ascii="宋体" w:hAnsi="宋体" w:eastAsia="宋体" w:cs="宋体"/>
          <w:color w:val="auto"/>
          <w:sz w:val="24"/>
          <w:szCs w:val="24"/>
        </w:rPr>
        <w:t>无条件更换运输过程中包装破损产品，所需费用由</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承担。</w:t>
      </w:r>
    </w:p>
    <w:p>
      <w:pPr>
        <w:pStyle w:val="4"/>
        <w:keepNext w:val="0"/>
        <w:keepLines w:val="0"/>
        <w:pageBreakBefore w:val="0"/>
        <w:widowControl w:val="0"/>
        <w:kinsoku/>
        <w:wordWrap/>
        <w:overflowPunct/>
        <w:topLinePunct w:val="0"/>
        <w:autoSpaceDE/>
        <w:autoSpaceDN/>
        <w:bidi w:val="0"/>
        <w:adjustRightInd/>
        <w:snapToGrid/>
        <w:spacing w:afterLines="0" w:line="500" w:lineRule="atLeast"/>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kern w:val="0"/>
          <w:sz w:val="24"/>
          <w:szCs w:val="24"/>
          <w:lang w:val="en-US" w:eastAsia="zh-CN" w:bidi="ar-SA"/>
        </w:rPr>
        <w:t>中标人需与采购人</w:t>
      </w:r>
      <w:r>
        <w:rPr>
          <w:rFonts w:hint="eastAsia" w:ascii="宋体" w:hAnsi="宋体" w:eastAsia="宋体" w:cs="宋体"/>
          <w:b w:val="0"/>
          <w:bCs w:val="0"/>
          <w:color w:val="auto"/>
          <w:kern w:val="0"/>
          <w:sz w:val="24"/>
          <w:szCs w:val="24"/>
          <w:lang w:val="en-US" w:eastAsia="zh-CN" w:bidi="ar-SA"/>
        </w:rPr>
        <w:t>签订《安全责任书》，并</w:t>
      </w:r>
      <w:r>
        <w:rPr>
          <w:rFonts w:hint="eastAsia" w:ascii="宋体" w:hAnsi="宋体" w:eastAsia="宋体" w:cs="宋体"/>
          <w:color w:val="auto"/>
          <w:kern w:val="0"/>
          <w:sz w:val="24"/>
          <w:szCs w:val="24"/>
          <w:lang w:val="en-US" w:eastAsia="zh-CN" w:bidi="ar-SA"/>
        </w:rPr>
        <w:t>承诺在配送运输中要确保安全，在运输及装卸过程中发生的一切安全事故，包括人员、车辆事故等情况，由配送单位负责处置，并依法承担所有责任。</w:t>
      </w:r>
      <w:r>
        <w:rPr>
          <w:rFonts w:hint="eastAsia" w:ascii="宋体" w:hAnsi="宋体" w:eastAsia="宋体" w:cs="宋体"/>
          <w:b/>
          <w:bCs/>
          <w:color w:val="auto"/>
          <w:kern w:val="0"/>
          <w:sz w:val="24"/>
          <w:szCs w:val="24"/>
          <w:lang w:val="en-US" w:eastAsia="zh-CN" w:bidi="ar-SA"/>
        </w:rPr>
        <w:t>（</w:t>
      </w:r>
      <w:r>
        <w:rPr>
          <w:rFonts w:hint="eastAsia" w:hAnsi="宋体" w:cs="宋体"/>
          <w:b/>
          <w:bCs/>
          <w:color w:val="auto"/>
          <w:kern w:val="0"/>
          <w:sz w:val="24"/>
          <w:szCs w:val="24"/>
          <w:lang w:val="en-US" w:eastAsia="zh-CN" w:bidi="ar-SA"/>
        </w:rPr>
        <w:t>实质性要求，</w:t>
      </w:r>
      <w:r>
        <w:rPr>
          <w:rFonts w:hint="eastAsia" w:ascii="宋体" w:hAnsi="宋体" w:eastAsia="宋体" w:cs="宋体"/>
          <w:b/>
          <w:bCs/>
          <w:color w:val="auto"/>
          <w:kern w:val="0"/>
          <w:sz w:val="24"/>
          <w:szCs w:val="24"/>
          <w:lang w:val="en-US" w:eastAsia="zh-CN" w:bidi="ar-SA"/>
        </w:rPr>
        <w:t>单独提供承诺函，格式自拟）</w:t>
      </w:r>
    </w:p>
    <w:p>
      <w:pPr>
        <w:keepNext w:val="0"/>
        <w:keepLines w:val="0"/>
        <w:pageBreakBefore w:val="0"/>
        <w:widowControl w:val="0"/>
        <w:kinsoku/>
        <w:wordWrap/>
        <w:overflowPunct/>
        <w:topLinePunct w:val="0"/>
        <w:autoSpaceDE/>
        <w:autoSpaceDN/>
        <w:bidi w:val="0"/>
        <w:adjustRightInd/>
        <w:snapToGrid/>
        <w:spacing w:afterLines="0" w:line="500" w:lineRule="atLeas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必须无任何理由保存在配送车辆出库(出发)到用户接收产品为止的派车记录，采购人将不定期进行抽查。</w:t>
      </w:r>
    </w:p>
    <w:p>
      <w:pPr>
        <w:keepNext w:val="0"/>
        <w:keepLines w:val="0"/>
        <w:pageBreakBefore w:val="0"/>
        <w:widowControl w:val="0"/>
        <w:kinsoku/>
        <w:wordWrap/>
        <w:overflowPunct/>
        <w:topLinePunct w:val="0"/>
        <w:autoSpaceDE/>
        <w:autoSpaceDN/>
        <w:bidi w:val="0"/>
        <w:adjustRightInd/>
        <w:snapToGrid/>
        <w:spacing w:line="500" w:lineRule="atLeast"/>
        <w:ind w:firstLine="480" w:firstLineChars="200"/>
        <w:rPr>
          <w:rFonts w:hint="eastAsia" w:ascii="宋体" w:hAnsi="宋体" w:eastAsia="宋体" w:cs="宋体"/>
          <w:b/>
          <w:bCs/>
          <w:color w:val="auto"/>
          <w:sz w:val="24"/>
          <w:szCs w:val="24"/>
          <w:lang w:eastAsia="zh-CN"/>
        </w:rPr>
      </w:pPr>
      <w:r>
        <w:rPr>
          <w:rFonts w:hint="eastAsia" w:ascii="宋体" w:hAnsi="宋体" w:eastAsia="宋体" w:cs="宋体"/>
          <w:b w:val="0"/>
          <w:bCs w:val="0"/>
          <w:color w:val="auto"/>
          <w:sz w:val="24"/>
          <w:szCs w:val="24"/>
          <w:lang w:val="en-US" w:eastAsia="zh-CN"/>
        </w:rPr>
        <w:t>9.</w:t>
      </w:r>
      <w:r>
        <w:rPr>
          <w:rFonts w:hint="eastAsia" w:ascii="宋体" w:hAnsi="宋体" w:eastAsia="宋体" w:cs="宋体"/>
          <w:color w:val="auto"/>
          <w:sz w:val="24"/>
          <w:szCs w:val="24"/>
        </w:rPr>
        <w:t>保证在发生诸如食材货源紧张、物价突涨时确保供应稳定</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atLeast"/>
        <w:ind w:firstLine="482"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（二）</w:t>
      </w:r>
      <w:r>
        <w:rPr>
          <w:rFonts w:hint="eastAsia" w:ascii="宋体" w:hAnsi="宋体" w:eastAsia="宋体" w:cs="宋体"/>
          <w:b/>
          <w:bCs/>
          <w:color w:val="auto"/>
          <w:kern w:val="0"/>
          <w:sz w:val="24"/>
          <w:szCs w:val="24"/>
          <w:highlight w:val="none"/>
        </w:rPr>
        <w:t>食品安全保障</w:t>
      </w:r>
      <w:r>
        <w:rPr>
          <w:rFonts w:hint="eastAsia" w:ascii="宋体" w:hAnsi="宋体" w:eastAsia="宋体" w:cs="宋体"/>
          <w:b/>
          <w:bCs/>
          <w:color w:val="auto"/>
          <w:kern w:val="0"/>
          <w:sz w:val="24"/>
          <w:szCs w:val="24"/>
          <w:highlight w:val="none"/>
          <w:lang w:eastAsia="zh-CN"/>
        </w:rPr>
        <w:t>要求</w:t>
      </w:r>
    </w:p>
    <w:p>
      <w:pPr>
        <w:keepNext w:val="0"/>
        <w:keepLines w:val="0"/>
        <w:pageBreakBefore w:val="0"/>
        <w:widowControl w:val="0"/>
        <w:kinsoku/>
        <w:wordWrap/>
        <w:overflowPunct/>
        <w:topLinePunct w:val="0"/>
        <w:autoSpaceDE/>
        <w:autoSpaceDN/>
        <w:bidi w:val="0"/>
        <w:adjustRightInd/>
        <w:snapToGrid/>
        <w:spacing w:line="500" w:lineRule="atLeast"/>
        <w:ind w:firstLine="480" w:firstLineChars="200"/>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.配送车辆和人员进入</w:t>
      </w:r>
      <w:r>
        <w:rPr>
          <w:rFonts w:hint="eastAsia" w:ascii="宋体" w:hAnsi="宋体" w:eastAsia="宋体" w:cs="宋体"/>
          <w:color w:val="auto"/>
          <w:sz w:val="24"/>
          <w:szCs w:val="24"/>
          <w:lang w:eastAsia="zh-CN"/>
        </w:rPr>
        <w:t>采购人单位</w:t>
      </w:r>
      <w:r>
        <w:rPr>
          <w:rFonts w:hint="eastAsia" w:ascii="宋体" w:hAnsi="宋体" w:eastAsia="宋体" w:cs="宋体"/>
          <w:color w:val="auto"/>
          <w:sz w:val="24"/>
          <w:szCs w:val="24"/>
        </w:rPr>
        <w:t>，必须遵守有关交通、安全、门禁等方面的要求</w:t>
      </w:r>
      <w:r>
        <w:rPr>
          <w:rFonts w:hint="eastAsia" w:ascii="宋体" w:hAnsi="宋体" w:eastAsia="宋体" w:cs="宋体"/>
          <w:color w:val="auto"/>
          <w:sz w:val="24"/>
          <w:szCs w:val="24"/>
          <w:lang w:eastAsia="zh-CN"/>
        </w:rPr>
        <w:t>。</w:t>
      </w:r>
    </w:p>
    <w:p>
      <w:pPr>
        <w:pStyle w:val="2"/>
        <w:keepNext w:val="0"/>
        <w:keepLines w:val="0"/>
        <w:pageBreakBefore w:val="0"/>
        <w:tabs>
          <w:tab w:val="left" w:pos="1440"/>
        </w:tabs>
        <w:kinsoku/>
        <w:wordWrap/>
        <w:overflowPunct/>
        <w:topLinePunct w:val="0"/>
        <w:autoSpaceDE/>
        <w:autoSpaceDN/>
        <w:bidi w:val="0"/>
        <w:adjustRightInd/>
        <w:snapToGrid/>
        <w:spacing w:line="50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中标人为采购人运输货品的车辆（配送冻品及肉类需冷链车辆）</w:t>
      </w:r>
      <w:r>
        <w:rPr>
          <w:rFonts w:hint="eastAsia" w:ascii="宋体" w:hAnsi="宋体" w:eastAsia="宋体" w:cs="宋体"/>
          <w:color w:val="auto"/>
          <w:sz w:val="24"/>
          <w:szCs w:val="24"/>
          <w:lang w:val="en-US" w:eastAsia="zh-CN"/>
        </w:rPr>
        <w:t>必须每天清洗，每周消毒，</w:t>
      </w:r>
      <w:r>
        <w:rPr>
          <w:rFonts w:hint="eastAsia" w:ascii="宋体" w:hAnsi="宋体" w:eastAsia="宋体" w:cs="宋体"/>
          <w:color w:val="auto"/>
          <w:sz w:val="24"/>
          <w:szCs w:val="24"/>
          <w:lang w:eastAsia="zh-CN"/>
        </w:rPr>
        <w:t>保持干净、整洁、</w:t>
      </w:r>
      <w:r>
        <w:rPr>
          <w:rFonts w:hint="eastAsia" w:ascii="宋体" w:hAnsi="宋体" w:eastAsia="宋体" w:cs="宋体"/>
          <w:color w:val="auto"/>
          <w:sz w:val="24"/>
          <w:szCs w:val="24"/>
          <w:lang w:val="en-US" w:eastAsia="zh-CN"/>
        </w:rPr>
        <w:t>上锁</w:t>
      </w:r>
      <w:r>
        <w:rPr>
          <w:rFonts w:hint="eastAsia" w:ascii="宋体" w:hAnsi="宋体" w:eastAsia="宋体" w:cs="宋体"/>
          <w:color w:val="auto"/>
          <w:sz w:val="24"/>
          <w:szCs w:val="24"/>
        </w:rPr>
        <w:t>，且不得</w:t>
      </w:r>
      <w:r>
        <w:rPr>
          <w:rFonts w:hint="eastAsia" w:ascii="宋体" w:hAnsi="宋体" w:eastAsia="宋体" w:cs="宋体"/>
          <w:color w:val="auto"/>
          <w:sz w:val="24"/>
          <w:szCs w:val="24"/>
          <w:lang w:val="en-US" w:eastAsia="zh-CN"/>
        </w:rPr>
        <w:t>用于</w:t>
      </w:r>
      <w:r>
        <w:rPr>
          <w:rFonts w:hint="eastAsia" w:ascii="宋体" w:hAnsi="宋体" w:eastAsia="宋体" w:cs="宋体"/>
          <w:color w:val="auto"/>
          <w:sz w:val="24"/>
          <w:szCs w:val="24"/>
        </w:rPr>
        <w:t>配送有食品安全隐患的其他物资（如厨房洗涤用品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化工物资等）。</w:t>
      </w:r>
      <w:r>
        <w:rPr>
          <w:rFonts w:hint="eastAsia" w:ascii="宋体" w:hAnsi="宋体" w:eastAsia="宋体" w:cs="宋体"/>
          <w:color w:val="auto"/>
          <w:sz w:val="24"/>
          <w:szCs w:val="24"/>
          <w:lang w:val="en-US" w:eastAsia="zh-CN"/>
        </w:rPr>
        <w:t>中标人配送货品的容器、配送人员的穿着必须符合采购人的要求。</w:t>
      </w:r>
      <w:r>
        <w:rPr>
          <w:rFonts w:hint="eastAsia" w:ascii="宋体" w:hAnsi="宋体" w:eastAsia="宋体" w:cs="宋体"/>
          <w:color w:val="auto"/>
          <w:sz w:val="24"/>
          <w:szCs w:val="24"/>
        </w:rPr>
        <w:t>若相关法律法规或行业规定对配送车辆、配送人员有</w:t>
      </w:r>
      <w:r>
        <w:rPr>
          <w:rFonts w:hint="eastAsia" w:ascii="宋体" w:hAnsi="宋体" w:eastAsia="宋体" w:cs="宋体"/>
          <w:color w:val="auto"/>
          <w:sz w:val="24"/>
          <w:szCs w:val="24"/>
          <w:lang w:val="en-US" w:eastAsia="zh-CN"/>
        </w:rPr>
        <w:t>其他</w:t>
      </w:r>
      <w:r>
        <w:rPr>
          <w:rFonts w:hint="eastAsia" w:ascii="宋体" w:hAnsi="宋体" w:eastAsia="宋体" w:cs="宋体"/>
          <w:color w:val="auto"/>
          <w:sz w:val="24"/>
          <w:szCs w:val="24"/>
        </w:rPr>
        <w:t>要求</w:t>
      </w:r>
      <w:r>
        <w:rPr>
          <w:rFonts w:hint="eastAsia" w:ascii="宋体" w:hAnsi="宋体" w:eastAsia="宋体" w:cs="宋体"/>
          <w:color w:val="auto"/>
          <w:sz w:val="24"/>
          <w:szCs w:val="24"/>
          <w:lang w:eastAsia="zh-CN"/>
        </w:rPr>
        <w:t>且该标准高于采购人对中标人所提标准</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从</w:t>
      </w:r>
      <w:r>
        <w:rPr>
          <w:rFonts w:hint="eastAsia" w:ascii="宋体" w:hAnsi="宋体" w:eastAsia="宋体" w:cs="宋体"/>
          <w:color w:val="auto"/>
          <w:sz w:val="24"/>
          <w:szCs w:val="24"/>
        </w:rPr>
        <w:t>其要求</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atLeast"/>
        <w:ind w:firstLine="240" w:firstLineChars="100"/>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若提供假冒伪劣、过期、变质食品，造成食品安全事故的，经有关单位鉴定原因后，如确定为</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提供的食品问题，</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须负担全数的医药费</w:t>
      </w:r>
      <w:r>
        <w:rPr>
          <w:rFonts w:hint="eastAsia" w:ascii="宋体" w:hAnsi="宋体" w:eastAsia="宋体" w:cs="宋体"/>
          <w:color w:val="auto"/>
          <w:sz w:val="24"/>
          <w:szCs w:val="24"/>
          <w:lang w:eastAsia="zh-CN"/>
        </w:rPr>
        <w:t>和其它相关费用</w:t>
      </w:r>
      <w:r>
        <w:rPr>
          <w:rFonts w:hint="eastAsia" w:ascii="宋体" w:hAnsi="宋体" w:eastAsia="宋体" w:cs="宋体"/>
          <w:color w:val="auto"/>
          <w:sz w:val="24"/>
          <w:szCs w:val="24"/>
        </w:rPr>
        <w:t>， 采购人将取消该</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的供货资格</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同时承担相应的民事及刑事法律责任。</w:t>
      </w:r>
    </w:p>
    <w:p>
      <w:pPr>
        <w:keepNext w:val="0"/>
        <w:keepLines w:val="0"/>
        <w:pageBreakBefore w:val="0"/>
        <w:widowControl w:val="0"/>
        <w:kinsoku/>
        <w:wordWrap/>
        <w:overflowPunct/>
        <w:topLinePunct w:val="0"/>
        <w:autoSpaceDE/>
        <w:autoSpaceDN/>
        <w:bidi w:val="0"/>
        <w:adjustRightInd/>
        <w:snapToGrid/>
        <w:spacing w:afterLines="0" w:line="500" w:lineRule="atLeast"/>
        <w:ind w:firstLine="240" w:firstLine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对所供产品的食品安全负责，建立</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小时监控体系。所有配送产品在配送前，须自行查验。</w:t>
      </w:r>
    </w:p>
    <w:p>
      <w:pPr>
        <w:keepNext w:val="0"/>
        <w:keepLines w:val="0"/>
        <w:pageBreakBefore w:val="0"/>
        <w:widowControl w:val="0"/>
        <w:kinsoku/>
        <w:wordWrap/>
        <w:overflowPunct/>
        <w:topLinePunct w:val="0"/>
        <w:autoSpaceDE/>
        <w:autoSpaceDN/>
        <w:bidi w:val="0"/>
        <w:adjustRightInd/>
        <w:snapToGrid/>
        <w:spacing w:afterLines="0" w:line="500" w:lineRule="atLeast"/>
        <w:ind w:firstLine="240" w:firstLineChars="1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蔬果肉等鲜货需提供自查的当批次配送的农残、肉残等检测报告，</w:t>
      </w:r>
      <w:r>
        <w:rPr>
          <w:rFonts w:hint="eastAsia" w:ascii="宋体" w:hAnsi="宋体" w:eastAsia="宋体" w:cs="宋体"/>
          <w:color w:val="auto"/>
          <w:sz w:val="24"/>
          <w:szCs w:val="24"/>
        </w:rPr>
        <w:t>所有产品须进行入库登记备案，在出库前再次检查</w:t>
      </w:r>
      <w:r>
        <w:rPr>
          <w:rFonts w:hint="eastAsia" w:ascii="宋体" w:hAnsi="宋体" w:eastAsia="宋体" w:cs="宋体"/>
          <w:color w:val="auto"/>
          <w:sz w:val="24"/>
          <w:szCs w:val="24"/>
          <w:lang w:eastAsia="zh-CN"/>
        </w:rPr>
        <w:t>；牛肉、羊肉等其它家畜白条肉供应时应具备当日《动物检疫合格证明》或《出县境动物产品检疫合格证明》。生鲜禽肉(应是当日生产)供应时应具备当日的《动物产品检疫合格证明》或《出县境动物产品检疫合格证明》，外地生鲜禽肉应具备其所在地农业部门的检疫合格证明或检疫验讫标识，生鲜禽肉类必须保证新鲜，应符合食品安全溯源管理要求</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afterLines="0" w:line="500" w:lineRule="atLeast"/>
        <w:ind w:firstLine="240" w:firstLineChars="100"/>
        <w:jc w:val="lef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大宗食品需提供配送当批次的检验报告，</w:t>
      </w:r>
      <w:r>
        <w:rPr>
          <w:rFonts w:hint="eastAsia" w:ascii="宋体" w:hAnsi="宋体" w:eastAsia="宋体" w:cs="宋体"/>
          <w:color w:val="auto"/>
          <w:sz w:val="24"/>
          <w:szCs w:val="24"/>
        </w:rPr>
        <w:t>所有产品须进行入库登记备案，在出库前再次检查。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textAlignment w:val="auto"/>
        <w:rPr>
          <w:rFonts w:hint="eastAsia" w:ascii="宋体" w:hAnsi="宋体" w:eastAsia="宋体" w:cs="宋体"/>
          <w:b/>
          <w:bCs/>
          <w:color w:val="auto"/>
          <w:sz w:val="24"/>
          <w:szCs w:val="24"/>
          <w:lang w:eastAsia="zh-CN"/>
        </w:rPr>
      </w:pPr>
      <w:r>
        <w:rPr>
          <w:rFonts w:hint="eastAsia" w:hAnsi="宋体" w:cs="宋体"/>
          <w:b/>
          <w:bCs/>
          <w:color w:val="auto"/>
          <w:sz w:val="24"/>
          <w:szCs w:val="24"/>
          <w:lang w:eastAsia="zh-CN"/>
        </w:rPr>
        <w:t>五</w:t>
      </w:r>
      <w:r>
        <w:rPr>
          <w:rFonts w:hint="eastAsia" w:ascii="宋体" w:hAnsi="宋体" w:eastAsia="宋体" w:cs="宋体"/>
          <w:b/>
          <w:bCs/>
          <w:color w:val="auto"/>
          <w:sz w:val="24"/>
          <w:szCs w:val="24"/>
          <w:lang w:eastAsia="zh-CN"/>
        </w:rPr>
        <w:t>、其它要求（服务应答内容）</w:t>
      </w:r>
    </w:p>
    <w:p>
      <w:pPr>
        <w:pStyle w:val="10"/>
        <w:keepNext w:val="0"/>
        <w:keepLines w:val="0"/>
        <w:pageBreakBefore w:val="0"/>
        <w:kinsoku/>
        <w:wordWrap/>
        <w:overflowPunct/>
        <w:topLinePunct w:val="0"/>
        <w:autoSpaceDE/>
        <w:autoSpaceDN/>
        <w:bidi w:val="0"/>
        <w:adjustRightInd/>
        <w:snapToGrid/>
        <w:spacing w:line="500" w:lineRule="atLeast"/>
        <w:ind w:firstLine="48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本项目预算为预估的价格，最终中标以实际发生的货物数量和结算价格为准，结算总金额不超过采购预算</w:t>
      </w:r>
      <w:r>
        <w:rPr>
          <w:rFonts w:hint="eastAsia" w:ascii="宋体" w:hAnsi="宋体" w:eastAsia="宋体" w:cs="宋体"/>
          <w:b w:val="0"/>
          <w:bCs w:val="0"/>
          <w:color w:val="auto"/>
          <w:sz w:val="24"/>
          <w:szCs w:val="24"/>
          <w:lang w:val="en-US" w:eastAsia="zh-CN"/>
        </w:rPr>
        <w:t>320</w:t>
      </w:r>
      <w:r>
        <w:rPr>
          <w:rFonts w:hint="eastAsia" w:ascii="宋体" w:hAnsi="宋体" w:eastAsia="宋体" w:cs="宋体"/>
          <w:b w:val="0"/>
          <w:bCs w:val="0"/>
          <w:color w:val="auto"/>
          <w:sz w:val="24"/>
          <w:szCs w:val="24"/>
        </w:rPr>
        <w:t>万元。</w:t>
      </w:r>
    </w:p>
    <w:p>
      <w:pPr>
        <w:pStyle w:val="2"/>
        <w:keepNext w:val="0"/>
        <w:keepLines w:val="0"/>
        <w:pageBreakBefore w:val="0"/>
        <w:tabs>
          <w:tab w:val="left" w:pos="1440"/>
        </w:tabs>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bCs/>
          <w:color w:val="auto"/>
          <w:kern w:val="2"/>
          <w:sz w:val="24"/>
          <w:szCs w:val="24"/>
          <w:u w:val="single"/>
          <w:lang w:val="en-US" w:eastAsia="zh-CN" w:bidi="ar"/>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color w:val="auto"/>
          <w:kern w:val="2"/>
          <w:sz w:val="24"/>
          <w:szCs w:val="24"/>
          <w:u w:val="none"/>
          <w:lang w:val="en-US" w:eastAsia="zh-CN" w:bidi="ar"/>
        </w:rPr>
        <w:t>配送产品符合《食品安全法》相关要求，达到相关食品卫生安全规定，国家有出台新的更高标准的，以新的更高标准为准，保证所供产品配送到指定地点时的质量、卫生和安全。未按国家相关食品卫生标准及本招标文件要求配送的食材引发的食品卫生中毒等食品安全事故，由中标人负完全责任。</w:t>
      </w:r>
      <w:r>
        <w:rPr>
          <w:rFonts w:hint="eastAsia" w:ascii="宋体" w:hAnsi="宋体" w:eastAsia="宋体" w:cs="宋体"/>
          <w:b/>
          <w:bCs w:val="0"/>
          <w:color w:val="auto"/>
          <w:kern w:val="2"/>
          <w:sz w:val="24"/>
          <w:szCs w:val="24"/>
          <w:u w:val="none"/>
          <w:lang w:val="en-US" w:eastAsia="zh-CN" w:bidi="ar"/>
        </w:rPr>
        <w:t>（投标人提供单独承诺函）</w:t>
      </w:r>
    </w:p>
    <w:p>
      <w:pPr>
        <w:pStyle w:val="2"/>
        <w:keepNext w:val="0"/>
        <w:keepLines w:val="0"/>
        <w:pageBreakBefore w:val="0"/>
        <w:tabs>
          <w:tab w:val="left" w:pos="1440"/>
        </w:tabs>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bCs/>
          <w:color w:val="auto"/>
          <w:kern w:val="2"/>
          <w:sz w:val="24"/>
          <w:szCs w:val="24"/>
          <w:u w:val="none"/>
          <w:lang w:val="en-US" w:eastAsia="zh-CN" w:bidi="ar"/>
        </w:rPr>
        <w:t>3.</w:t>
      </w:r>
      <w:r>
        <w:rPr>
          <w:rFonts w:hint="eastAsia" w:ascii="宋体" w:hAnsi="宋体" w:eastAsia="宋体" w:cs="宋体"/>
          <w:color w:val="auto"/>
          <w:sz w:val="24"/>
          <w:szCs w:val="24"/>
          <w:lang w:val="en-US" w:eastAsia="zh-CN"/>
        </w:rPr>
        <w:t>采购人每天下午2点之前下单。中标人须</w:t>
      </w:r>
      <w:r>
        <w:rPr>
          <w:rFonts w:hint="eastAsia" w:ascii="宋体" w:hAnsi="宋体" w:eastAsia="宋体" w:cs="宋体"/>
          <w:color w:val="auto"/>
          <w:sz w:val="24"/>
          <w:szCs w:val="24"/>
          <w:lang w:eastAsia="zh-CN"/>
        </w:rPr>
        <w:t>在</w:t>
      </w:r>
      <w:r>
        <w:rPr>
          <w:rFonts w:hint="eastAsia" w:ascii="宋体" w:hAnsi="宋体" w:eastAsia="宋体" w:cs="宋体"/>
          <w:color w:val="auto"/>
          <w:sz w:val="24"/>
          <w:szCs w:val="24"/>
          <w:lang w:val="en-US" w:eastAsia="zh-CN"/>
        </w:rPr>
        <w:t>次日早上9点前（米面油、低耗品等可于次日上午</w:t>
      </w:r>
      <w:r>
        <w:rPr>
          <w:rFonts w:hint="eastAsia" w:hAnsi="宋体" w:cs="宋体"/>
          <w:color w:val="auto"/>
          <w:sz w:val="24"/>
          <w:szCs w:val="24"/>
          <w:lang w:val="en-US" w:eastAsia="zh-CN"/>
        </w:rPr>
        <w:t>12</w:t>
      </w:r>
      <w:r>
        <w:rPr>
          <w:rFonts w:hint="eastAsia" w:ascii="宋体" w:hAnsi="宋体" w:eastAsia="宋体" w:cs="宋体"/>
          <w:color w:val="auto"/>
          <w:sz w:val="24"/>
          <w:szCs w:val="24"/>
          <w:lang w:val="en-US" w:eastAsia="zh-CN"/>
        </w:rPr>
        <w:t>：00前）</w:t>
      </w:r>
      <w:r>
        <w:rPr>
          <w:rFonts w:hint="eastAsia" w:ascii="宋体" w:hAnsi="宋体" w:eastAsia="宋体" w:cs="宋体"/>
          <w:color w:val="auto"/>
          <w:sz w:val="24"/>
          <w:szCs w:val="24"/>
          <w:lang w:eastAsia="zh-CN"/>
        </w:rPr>
        <w:t>将相应货</w:t>
      </w:r>
      <w:r>
        <w:rPr>
          <w:rFonts w:hint="eastAsia" w:ascii="宋体" w:hAnsi="宋体" w:eastAsia="宋体" w:cs="宋体"/>
          <w:color w:val="auto"/>
          <w:sz w:val="24"/>
          <w:szCs w:val="24"/>
          <w:lang w:val="en-US" w:eastAsia="zh-CN"/>
        </w:rPr>
        <w:t>品安全</w:t>
      </w:r>
      <w:r>
        <w:rPr>
          <w:rFonts w:hint="eastAsia" w:ascii="宋体" w:hAnsi="宋体" w:eastAsia="宋体" w:cs="宋体"/>
          <w:color w:val="auto"/>
          <w:sz w:val="24"/>
          <w:szCs w:val="24"/>
          <w:lang w:eastAsia="zh-CN"/>
        </w:rPr>
        <w:t>配送至安居区机关食堂，完成交付。</w:t>
      </w:r>
    </w:p>
    <w:p>
      <w:pPr>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color w:val="auto"/>
          <w:sz w:val="24"/>
          <w:szCs w:val="24"/>
          <w:lang w:val="en-US" w:eastAsia="zh-CN"/>
        </w:rPr>
        <w:t>4.</w:t>
      </w:r>
      <w:r>
        <w:rPr>
          <w:rFonts w:hint="eastAsia" w:ascii="宋体" w:hAnsi="宋体" w:eastAsia="宋体" w:cs="宋体"/>
          <w:b w:val="0"/>
          <w:bCs/>
          <w:color w:val="auto"/>
          <w:sz w:val="24"/>
          <w:szCs w:val="24"/>
        </w:rPr>
        <w:t>本次报价采取折扣率的形式进行报价。以市场询价确定的价格作为参考基准价。</w:t>
      </w:r>
      <w:r>
        <w:rPr>
          <w:rFonts w:hint="eastAsia" w:ascii="宋体" w:hAnsi="宋体" w:eastAsia="宋体" w:cs="宋体"/>
          <w:b/>
          <w:bCs w:val="0"/>
          <w:color w:val="auto"/>
          <w:sz w:val="24"/>
          <w:szCs w:val="24"/>
        </w:rPr>
        <w:t>（例如：参考基准价=100元，折扣90%，结算价格为100*0.9=90元）。</w:t>
      </w:r>
    </w:p>
    <w:p>
      <w:pPr>
        <w:pStyle w:val="2"/>
        <w:keepNext w:val="0"/>
        <w:keepLines w:val="0"/>
        <w:pageBreakBefore w:val="0"/>
        <w:tabs>
          <w:tab w:val="left" w:pos="1440"/>
        </w:tabs>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5.报价要求：合同总价包括货物、生产、运输、冷藏、仓储费、检验费、二次搬运、人工、安全、利润、保险、国家规定的各项税费以及招标文件规定的其它费用</w:t>
      </w:r>
      <w:r>
        <w:rPr>
          <w:rFonts w:hint="eastAsia" w:hAnsi="宋体" w:cs="宋体"/>
          <w:color w:val="auto"/>
          <w:sz w:val="24"/>
          <w:szCs w:val="24"/>
          <w:lang w:val="en-US" w:eastAsia="zh-CN"/>
        </w:rPr>
        <w:t>。</w:t>
      </w:r>
    </w:p>
    <w:p>
      <w:pPr>
        <w:pageBreakBefore w:val="0"/>
        <w:widowControl w:val="0"/>
        <w:kinsoku/>
        <w:wordWrap/>
        <w:overflowPunct/>
        <w:topLinePunct w:val="0"/>
        <w:autoSpaceDE/>
        <w:autoSpaceDN/>
        <w:bidi w:val="0"/>
        <w:snapToGrid/>
        <w:spacing w:line="500" w:lineRule="exact"/>
        <w:textAlignment w:val="auto"/>
        <w:outlineLvl w:val="1"/>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六</w:t>
      </w:r>
      <w:r>
        <w:rPr>
          <w:rFonts w:hint="eastAsia" w:ascii="宋体" w:hAnsi="宋体" w:eastAsia="宋体" w:cs="宋体"/>
          <w:b/>
          <w:color w:val="auto"/>
          <w:sz w:val="24"/>
          <w:szCs w:val="24"/>
          <w:highlight w:val="none"/>
        </w:rPr>
        <w:t>、商务要求</w:t>
      </w:r>
    </w:p>
    <w:p>
      <w:pPr>
        <w:pageBreakBefore w:val="0"/>
        <w:widowControl w:val="0"/>
        <w:kinsoku/>
        <w:wordWrap/>
        <w:overflowPunct/>
        <w:topLinePunct w:val="0"/>
        <w:autoSpaceDE/>
        <w:autoSpaceDN/>
        <w:bidi w:val="0"/>
        <w:adjustRightInd/>
        <w:snapToGrid/>
        <w:spacing w:line="500" w:lineRule="exact"/>
        <w:ind w:right="0" w:rightChars="0" w:firstLine="482" w:firstLineChars="200"/>
        <w:textAlignment w:val="auto"/>
        <w:rPr>
          <w:rFonts w:hint="eastAsia" w:ascii="宋体" w:hAnsi="宋体" w:eastAsia="宋体" w:cs="宋体"/>
          <w:color w:val="auto"/>
          <w:sz w:val="24"/>
          <w:szCs w:val="24"/>
          <w:highlight w:val="none"/>
          <w:u w:val="none"/>
          <w:lang w:val="en-US" w:eastAsia="zh-CN"/>
        </w:rPr>
      </w:pPr>
      <w:bookmarkStart w:id="3" w:name="_Toc25337"/>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服务期限</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合同签订之日起</w:t>
      </w:r>
      <w:r>
        <w:rPr>
          <w:rFonts w:hint="eastAsia" w:ascii="宋体" w:hAnsi="宋体" w:eastAsia="宋体" w:cs="宋体"/>
          <w:b/>
          <w:bCs w:val="0"/>
          <w:color w:val="auto"/>
          <w:sz w:val="24"/>
          <w:szCs w:val="24"/>
          <w:highlight w:val="none"/>
          <w:u w:val="single"/>
          <w:lang w:val="en-US" w:eastAsia="zh-CN"/>
        </w:rPr>
        <w:t>1</w:t>
      </w:r>
      <w:r>
        <w:rPr>
          <w:rFonts w:hint="eastAsia" w:ascii="宋体" w:hAnsi="宋体" w:eastAsia="宋体" w:cs="宋体"/>
          <w:b w:val="0"/>
          <w:bCs/>
          <w:color w:val="auto"/>
          <w:sz w:val="24"/>
          <w:szCs w:val="24"/>
          <w:highlight w:val="none"/>
          <w:u w:val="none"/>
          <w:lang w:val="en-US" w:eastAsia="zh-CN"/>
        </w:rPr>
        <w:t>年</w:t>
      </w:r>
      <w:r>
        <w:rPr>
          <w:rFonts w:hint="eastAsia" w:ascii="宋体" w:hAnsi="宋体" w:eastAsia="宋体" w:cs="宋体"/>
          <w:color w:val="auto"/>
          <w:sz w:val="24"/>
          <w:szCs w:val="24"/>
          <w:highlight w:val="none"/>
          <w:u w:val="none"/>
          <w:lang w:val="en-US" w:eastAsia="zh-CN"/>
        </w:rPr>
        <w:t>。</w:t>
      </w:r>
    </w:p>
    <w:p>
      <w:pPr>
        <w:pageBreakBefore w:val="0"/>
        <w:widowControl w:val="0"/>
        <w:kinsoku/>
        <w:wordWrap/>
        <w:overflowPunct/>
        <w:topLinePunct w:val="0"/>
        <w:autoSpaceDE/>
        <w:autoSpaceDN/>
        <w:bidi w:val="0"/>
        <w:adjustRightInd/>
        <w:snapToGrid/>
        <w:spacing w:line="500" w:lineRule="exact"/>
        <w:ind w:right="0" w:rightChars="0"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 服务地点：</w:t>
      </w:r>
      <w:r>
        <w:rPr>
          <w:rFonts w:hint="eastAsia" w:ascii="宋体" w:hAnsi="宋体" w:eastAsia="宋体" w:cs="宋体"/>
          <w:b w:val="0"/>
          <w:bCs w:val="0"/>
          <w:color w:val="auto"/>
          <w:sz w:val="24"/>
          <w:szCs w:val="24"/>
          <w:highlight w:val="none"/>
          <w:lang w:val="en-US" w:eastAsia="zh-CN"/>
        </w:rPr>
        <w:t>采购人指定地点。</w:t>
      </w:r>
    </w:p>
    <w:p>
      <w:pPr>
        <w:pageBreakBefore w:val="0"/>
        <w:widowControl w:val="0"/>
        <w:kinsoku/>
        <w:wordWrap/>
        <w:overflowPunct/>
        <w:topLinePunct w:val="0"/>
        <w:autoSpaceDE/>
        <w:autoSpaceDN/>
        <w:bidi w:val="0"/>
        <w:adjustRightInd/>
        <w:snapToGrid/>
        <w:spacing w:line="500" w:lineRule="exact"/>
        <w:ind w:right="0" w:rightChars="0"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．验收</w:t>
      </w:r>
      <w:r>
        <w:rPr>
          <w:rFonts w:hint="eastAsia" w:ascii="宋体" w:hAnsi="宋体" w:eastAsia="宋体" w:cs="宋体"/>
          <w:b/>
          <w:bCs/>
          <w:color w:val="auto"/>
          <w:sz w:val="24"/>
          <w:szCs w:val="24"/>
          <w:highlight w:val="none"/>
          <w:lang w:eastAsia="zh-CN"/>
        </w:rPr>
        <w:t>方法</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按照财政部发布的《关于进一步加强政府采购需求和履约验收管理的指导意见》（财库[2016]205号）的要求以及</w:t>
      </w:r>
      <w:r>
        <w:rPr>
          <w:rFonts w:hint="eastAsia"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eastAsia="zh-CN"/>
        </w:rPr>
        <w:t>文件、</w:t>
      </w:r>
      <w:r>
        <w:rPr>
          <w:rFonts w:hint="eastAsia"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的</w:t>
      </w:r>
      <w:r>
        <w:rPr>
          <w:rFonts w:hint="eastAsia"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文件进行验收</w:t>
      </w:r>
      <w:r>
        <w:rPr>
          <w:rFonts w:hint="eastAsia" w:ascii="宋体" w:hAnsi="宋体" w:eastAsia="宋体" w:cs="宋体"/>
          <w:color w:val="auto"/>
          <w:sz w:val="24"/>
          <w:szCs w:val="34"/>
          <w:highlight w:val="none"/>
          <w:lang w:val="en-US" w:eastAsia="zh-CN" w:bidi="ar-SA"/>
        </w:rPr>
        <w:t>。</w:t>
      </w:r>
    </w:p>
    <w:p>
      <w:pPr>
        <w:pageBreakBefore w:val="0"/>
        <w:widowControl w:val="0"/>
        <w:kinsoku/>
        <w:wordWrap/>
        <w:overflowPunct/>
        <w:topLinePunct w:val="0"/>
        <w:autoSpaceDE/>
        <w:autoSpaceDN/>
        <w:bidi w:val="0"/>
        <w:adjustRightInd/>
        <w:snapToGrid/>
        <w:spacing w:line="500" w:lineRule="exact"/>
        <w:ind w:right="0" w:rightChars="0" w:firstLine="482"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b/>
          <w:bCs/>
          <w:color w:val="auto"/>
          <w:kern w:val="0"/>
          <w:sz w:val="24"/>
          <w:szCs w:val="24"/>
          <w:highlight w:val="none"/>
          <w:lang w:val="en-US" w:eastAsia="zh-CN" w:bidi="ar-SA"/>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0"/>
          <w:sz w:val="24"/>
          <w:szCs w:val="24"/>
          <w:highlight w:val="none"/>
          <w:lang w:val="en-US" w:eastAsia="zh-CN" w:bidi="ar-SA"/>
        </w:rPr>
        <w:t>验收标准</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sz w:val="24"/>
          <w:highlight w:val="none"/>
        </w:rPr>
        <w:t>符合国家</w:t>
      </w:r>
      <w:r>
        <w:rPr>
          <w:rFonts w:hint="eastAsia" w:ascii="宋体" w:hAnsi="宋体" w:eastAsia="宋体" w:cs="宋体"/>
          <w:color w:val="auto"/>
          <w:sz w:val="24"/>
          <w:highlight w:val="none"/>
          <w:lang w:eastAsia="zh-CN"/>
        </w:rPr>
        <w:t>相关</w:t>
      </w:r>
      <w:r>
        <w:rPr>
          <w:rFonts w:hint="eastAsia" w:ascii="宋体" w:hAnsi="宋体" w:eastAsia="宋体" w:cs="宋体"/>
          <w:color w:val="auto"/>
          <w:sz w:val="24"/>
          <w:highlight w:val="none"/>
        </w:rPr>
        <w:t>行业标准。</w:t>
      </w:r>
    </w:p>
    <w:p>
      <w:pPr>
        <w:keepNext w:val="0"/>
        <w:keepLines w:val="0"/>
        <w:pageBreakBefore w:val="0"/>
        <w:widowControl w:val="0"/>
        <w:kinsoku/>
        <w:wordWrap/>
        <w:overflowPunct/>
        <w:topLinePunct w:val="0"/>
        <w:autoSpaceDE/>
        <w:autoSpaceDN/>
        <w:bidi w:val="0"/>
        <w:adjustRightInd/>
        <w:snapToGrid/>
        <w:spacing w:line="500" w:lineRule="atLeast"/>
        <w:ind w:right="0" w:rightChars="0" w:firstLine="482" w:firstLineChars="200"/>
        <w:jc w:val="both"/>
        <w:textAlignment w:val="auto"/>
        <w:outlineLvl w:val="1"/>
        <w:rPr>
          <w:rFonts w:hint="default" w:ascii="宋体" w:hAnsi="宋体" w:eastAsia="宋体" w:cs="宋体"/>
          <w:b/>
          <w:bCs/>
          <w:color w:val="auto"/>
          <w:sz w:val="24"/>
          <w:szCs w:val="24"/>
          <w:highlight w:val="none"/>
          <w:lang w:val="en-US" w:eastAsia="zh-CN"/>
        </w:rPr>
      </w:pPr>
      <w:bookmarkStart w:id="4" w:name="_Toc25999"/>
      <w:bookmarkStart w:id="5" w:name="_Toc10646"/>
      <w:r>
        <w:rPr>
          <w:rFonts w:hint="eastAsia" w:ascii="宋体" w:hAnsi="宋体" w:eastAsia="宋体" w:cs="宋体"/>
          <w:b/>
          <w:bCs/>
          <w:color w:val="auto"/>
          <w:sz w:val="24"/>
          <w:szCs w:val="24"/>
          <w:highlight w:val="none"/>
          <w:lang w:val="en-US" w:eastAsia="zh-CN"/>
        </w:rPr>
        <w:t>5. 报价要求：</w:t>
      </w:r>
      <w:r>
        <w:rPr>
          <w:rFonts w:hint="eastAsia"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所填报的折扣率后的报价应包含且不限于按照采购文件规定的各项要求向采购人提供所需货物及服务所需的供货、运输、保险、卸货、管理费、服务/售后服务、利润、税金（包括但不限于增值税及附加税）等所有费用。</w:t>
      </w:r>
    </w:p>
    <w:p>
      <w:pPr>
        <w:keepNext w:val="0"/>
        <w:keepLines w:val="0"/>
        <w:pageBreakBefore w:val="0"/>
        <w:widowControl w:val="0"/>
        <w:kinsoku/>
        <w:wordWrap/>
        <w:overflowPunct/>
        <w:topLinePunct w:val="0"/>
        <w:autoSpaceDE/>
        <w:autoSpaceDN/>
        <w:bidi w:val="0"/>
        <w:adjustRightInd/>
        <w:snapToGrid/>
        <w:spacing w:line="500" w:lineRule="atLeast"/>
        <w:ind w:right="0" w:rightChars="0" w:firstLine="482" w:firstLineChars="200"/>
        <w:jc w:val="both"/>
        <w:textAlignment w:val="auto"/>
        <w:outlineLvl w:val="1"/>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 xml:space="preserve">6. </w:t>
      </w:r>
      <w:r>
        <w:rPr>
          <w:rFonts w:hint="eastAsia" w:ascii="宋体" w:hAnsi="宋体" w:eastAsia="宋体" w:cs="宋体"/>
          <w:b/>
          <w:bCs/>
          <w:color w:val="auto"/>
          <w:sz w:val="24"/>
          <w:szCs w:val="24"/>
          <w:highlight w:val="none"/>
          <w:lang w:eastAsia="zh-CN"/>
        </w:rPr>
        <w:t>付款方式</w:t>
      </w:r>
      <w:bookmarkEnd w:id="3"/>
      <w:bookmarkEnd w:id="4"/>
      <w:bookmarkEnd w:id="5"/>
    </w:p>
    <w:p>
      <w:pPr>
        <w:pStyle w:val="2"/>
        <w:keepNext w:val="0"/>
        <w:keepLines w:val="0"/>
        <w:pageBreakBefore w:val="0"/>
        <w:widowControl w:val="0"/>
        <w:tabs>
          <w:tab w:val="left" w:pos="360"/>
        </w:tabs>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kern w:val="0"/>
          <w:sz w:val="24"/>
          <w:highlight w:val="none"/>
          <w:lang w:bidi="ar"/>
        </w:rPr>
      </w:pPr>
      <w:r>
        <w:rPr>
          <w:rFonts w:hint="eastAsia" w:ascii="宋体" w:hAnsi="宋体" w:cs="宋体"/>
          <w:color w:val="auto"/>
          <w:sz w:val="24"/>
          <w:lang w:eastAsia="zh-CN"/>
        </w:rPr>
        <w:t>中标人</w:t>
      </w:r>
      <w:r>
        <w:rPr>
          <w:rFonts w:ascii="宋体" w:hAnsi="宋体" w:cs="宋体"/>
          <w:color w:val="auto"/>
          <w:sz w:val="24"/>
        </w:rPr>
        <w:t>根据</w:t>
      </w:r>
      <w:r>
        <w:rPr>
          <w:rFonts w:hint="eastAsia" w:ascii="宋体" w:hAnsi="宋体" w:cs="宋体"/>
          <w:color w:val="auto"/>
          <w:sz w:val="24"/>
          <w:lang w:val="en-US" w:eastAsia="zh-CN"/>
        </w:rPr>
        <w:t>双方签字确认的</w:t>
      </w:r>
      <w:r>
        <w:rPr>
          <w:rFonts w:hint="eastAsia" w:ascii="Arial" w:hAnsi="Arial" w:cs="Arial"/>
          <w:color w:val="auto"/>
          <w:sz w:val="24"/>
          <w:lang w:val="en-US" w:eastAsia="zh-CN"/>
        </w:rPr>
        <w:t>《送货单》</w:t>
      </w:r>
      <w:r>
        <w:rPr>
          <w:rFonts w:hint="eastAsia" w:ascii="宋体" w:hAnsi="宋体" w:cs="宋体"/>
          <w:color w:val="auto"/>
          <w:sz w:val="24"/>
          <w:lang w:val="en-US" w:eastAsia="zh-CN"/>
        </w:rPr>
        <w:t>供应商联</w:t>
      </w:r>
      <w:r>
        <w:rPr>
          <w:rFonts w:ascii="宋体" w:hAnsi="宋体" w:cs="宋体"/>
          <w:color w:val="auto"/>
          <w:sz w:val="24"/>
        </w:rPr>
        <w:t>，</w:t>
      </w:r>
      <w:r>
        <w:rPr>
          <w:rFonts w:hint="eastAsia" w:ascii="宋体" w:hAnsi="宋体" w:cs="宋体"/>
          <w:color w:val="auto"/>
          <w:sz w:val="24"/>
          <w:lang w:val="en-US" w:eastAsia="zh-CN"/>
        </w:rPr>
        <w:t>每月底汇总一次，</w:t>
      </w:r>
      <w:r>
        <w:rPr>
          <w:rFonts w:hint="eastAsia" w:ascii="Arial" w:hAnsi="Arial" w:cs="Arial"/>
          <w:color w:val="auto"/>
          <w:sz w:val="24"/>
          <w:lang w:val="en-US" w:eastAsia="zh-CN"/>
        </w:rPr>
        <w:t>并于次月第1至5个工作日</w:t>
      </w:r>
      <w:r>
        <w:rPr>
          <w:rFonts w:ascii="宋体" w:hAnsi="宋体" w:cs="宋体"/>
          <w:color w:val="auto"/>
          <w:sz w:val="24"/>
        </w:rPr>
        <w:t>开具</w:t>
      </w:r>
      <w:r>
        <w:rPr>
          <w:rFonts w:hint="eastAsia" w:ascii="宋体" w:hAnsi="宋体" w:cs="宋体"/>
          <w:color w:val="auto"/>
          <w:sz w:val="24"/>
        </w:rPr>
        <w:t>相应金额的</w:t>
      </w:r>
      <w:r>
        <w:rPr>
          <w:rFonts w:hint="eastAsia" w:ascii="宋体" w:hAnsi="宋体" w:cs="宋体"/>
          <w:color w:val="auto"/>
          <w:sz w:val="24"/>
          <w:lang w:val="en-US" w:eastAsia="zh-CN"/>
        </w:rPr>
        <w:t>正规</w:t>
      </w:r>
      <w:r>
        <w:rPr>
          <w:rFonts w:hint="eastAsia" w:ascii="宋体" w:hAnsi="宋体" w:cs="宋体"/>
          <w:color w:val="auto"/>
          <w:sz w:val="24"/>
        </w:rPr>
        <w:t>税务</w:t>
      </w:r>
      <w:r>
        <w:rPr>
          <w:rFonts w:ascii="宋体" w:hAnsi="宋体" w:cs="宋体"/>
          <w:color w:val="auto"/>
          <w:sz w:val="24"/>
        </w:rPr>
        <w:t>发票</w:t>
      </w:r>
      <w:r>
        <w:rPr>
          <w:rFonts w:hint="eastAsia" w:ascii="宋体" w:hAnsi="宋体" w:cs="宋体"/>
          <w:color w:val="auto"/>
          <w:sz w:val="24"/>
          <w:lang w:eastAsia="zh-CN"/>
        </w:rPr>
        <w:t>、</w:t>
      </w:r>
      <w:r>
        <w:rPr>
          <w:rFonts w:hint="eastAsia" w:ascii="宋体" w:hAnsi="宋体" w:cs="宋体"/>
          <w:color w:val="auto"/>
          <w:sz w:val="24"/>
          <w:lang w:val="en-US" w:eastAsia="zh-CN"/>
        </w:rPr>
        <w:t>税务明细、《</w:t>
      </w:r>
      <w:r>
        <w:rPr>
          <w:rFonts w:hint="eastAsia" w:ascii="Arial" w:hAnsi="Arial" w:cs="Arial"/>
          <w:color w:val="auto"/>
          <w:sz w:val="24"/>
          <w:lang w:val="en-US" w:eastAsia="zh-CN"/>
        </w:rPr>
        <w:t>送货单</w:t>
      </w:r>
      <w:r>
        <w:rPr>
          <w:rFonts w:hint="eastAsia" w:ascii="宋体" w:hAnsi="宋体" w:cs="宋体"/>
          <w:color w:val="auto"/>
          <w:sz w:val="24"/>
          <w:lang w:val="en-US" w:eastAsia="zh-CN"/>
        </w:rPr>
        <w:t>》等全部结算凭证交</w:t>
      </w:r>
      <w:r>
        <w:rPr>
          <w:rFonts w:hint="eastAsia" w:hAnsi="宋体" w:cs="宋体"/>
          <w:color w:val="auto"/>
          <w:sz w:val="24"/>
          <w:lang w:val="en-US" w:eastAsia="zh-CN"/>
        </w:rPr>
        <w:t>于</w:t>
      </w:r>
      <w:r>
        <w:rPr>
          <w:rFonts w:hint="eastAsia" w:ascii="宋体" w:hAnsi="宋体" w:cs="宋体"/>
          <w:color w:val="auto"/>
          <w:sz w:val="24"/>
          <w:lang w:val="en-US" w:eastAsia="zh-CN"/>
        </w:rPr>
        <w:t>采购人。</w:t>
      </w:r>
      <w:r>
        <w:rPr>
          <w:rFonts w:hint="eastAsia" w:ascii="Arial" w:hAnsi="Arial" w:cs="Arial"/>
          <w:color w:val="auto"/>
          <w:sz w:val="24"/>
          <w:lang w:eastAsia="zh-CN"/>
        </w:rPr>
        <w:t>采购人</w:t>
      </w:r>
      <w:r>
        <w:rPr>
          <w:rFonts w:ascii="宋体" w:hAnsi="宋体" w:cs="宋体"/>
          <w:color w:val="auto"/>
          <w:sz w:val="24"/>
        </w:rPr>
        <w:t>收到</w:t>
      </w:r>
      <w:r>
        <w:rPr>
          <w:rFonts w:hint="eastAsia" w:ascii="宋体" w:hAnsi="宋体" w:cs="宋体"/>
          <w:color w:val="auto"/>
          <w:sz w:val="24"/>
          <w:lang w:val="en-US" w:eastAsia="zh-CN"/>
        </w:rPr>
        <w:t>全部结算凭证</w:t>
      </w:r>
      <w:r>
        <w:rPr>
          <w:rFonts w:ascii="宋体" w:hAnsi="宋体" w:cs="宋体"/>
          <w:color w:val="auto"/>
          <w:sz w:val="24"/>
        </w:rPr>
        <w:t>且核对无误后</w:t>
      </w:r>
      <w:r>
        <w:rPr>
          <w:rFonts w:hint="eastAsia" w:ascii="宋体" w:hAnsi="宋体" w:cs="宋体"/>
          <w:color w:val="auto"/>
          <w:sz w:val="24"/>
          <w:lang w:val="en-US" w:eastAsia="zh-CN"/>
        </w:rPr>
        <w:t>于20个工作日内</w:t>
      </w:r>
      <w:r>
        <w:rPr>
          <w:rFonts w:hint="eastAsia" w:ascii="宋体" w:hAnsi="宋体" w:cs="宋体"/>
          <w:color w:val="auto"/>
          <w:sz w:val="24"/>
          <w:lang w:eastAsia="zh-CN"/>
        </w:rPr>
        <w:t>付款</w:t>
      </w:r>
      <w:r>
        <w:rPr>
          <w:rFonts w:ascii="宋体" w:hAnsi="宋体" w:cs="宋体"/>
          <w:color w:val="auto"/>
          <w:sz w:val="24"/>
        </w:rPr>
        <w:t>（</w:t>
      </w:r>
      <w:r>
        <w:rPr>
          <w:rFonts w:hint="eastAsia" w:ascii="宋体" w:hAnsi="宋体" w:cs="宋体"/>
          <w:color w:val="auto"/>
          <w:sz w:val="24"/>
          <w:lang w:eastAsia="zh-CN"/>
        </w:rPr>
        <w:t>中标人</w:t>
      </w:r>
      <w:r>
        <w:rPr>
          <w:rFonts w:ascii="宋体" w:hAnsi="宋体" w:cs="宋体"/>
          <w:color w:val="auto"/>
          <w:sz w:val="24"/>
        </w:rPr>
        <w:t>逾期</w:t>
      </w:r>
      <w:r>
        <w:rPr>
          <w:rFonts w:hint="eastAsia" w:ascii="宋体" w:hAnsi="宋体" w:cs="宋体"/>
          <w:color w:val="auto"/>
          <w:sz w:val="24"/>
          <w:lang w:val="en-US" w:eastAsia="zh-CN"/>
        </w:rPr>
        <w:t>对账或</w:t>
      </w:r>
      <w:r>
        <w:rPr>
          <w:rFonts w:ascii="宋体" w:hAnsi="宋体" w:cs="宋体"/>
          <w:color w:val="auto"/>
          <w:sz w:val="24"/>
        </w:rPr>
        <w:t>逾期</w:t>
      </w:r>
      <w:r>
        <w:rPr>
          <w:rFonts w:hint="eastAsia" w:ascii="宋体" w:hAnsi="宋体" w:cs="宋体"/>
          <w:color w:val="auto"/>
          <w:sz w:val="24"/>
          <w:lang w:val="en-US" w:eastAsia="zh-CN"/>
        </w:rPr>
        <w:t>提供结算凭证</w:t>
      </w:r>
      <w:r>
        <w:rPr>
          <w:rFonts w:ascii="宋体" w:hAnsi="宋体" w:cs="宋体"/>
          <w:color w:val="auto"/>
          <w:sz w:val="24"/>
        </w:rPr>
        <w:t>除外）</w:t>
      </w:r>
      <w:r>
        <w:rPr>
          <w:rFonts w:hint="eastAsia" w:ascii="宋体" w:hAnsi="宋体" w:cs="宋体"/>
          <w:color w:val="auto"/>
          <w:sz w:val="24"/>
          <w:lang w:eastAsia="zh-CN"/>
        </w:rPr>
        <w:t>，因采购人财政平台停审费用或其他合理正当原因而未能及时付款的，采购人免责</w:t>
      </w:r>
      <w:r>
        <w:rPr>
          <w:rFonts w:hint="eastAsia" w:ascii="宋体" w:hAnsi="宋体" w:eastAsia="宋体" w:cs="宋体"/>
          <w:color w:val="auto"/>
          <w:kern w:val="0"/>
          <w:sz w:val="24"/>
          <w:highlight w:val="none"/>
          <w:lang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textAlignment w:val="auto"/>
        <w:rPr>
          <w:rFonts w:hint="eastAsia" w:ascii="宋体" w:hAnsi="宋体" w:eastAsia="宋体" w:cs="宋体"/>
          <w:b/>
          <w:bCs/>
          <w:color w:val="auto"/>
          <w:sz w:val="24"/>
          <w:szCs w:val="24"/>
          <w:lang w:val="en-US" w:eastAsia="zh-CN"/>
        </w:rPr>
      </w:pPr>
      <w:r>
        <w:rPr>
          <w:rFonts w:hint="eastAsia" w:hAnsi="宋体" w:cs="宋体"/>
          <w:b/>
          <w:bCs/>
          <w:color w:val="auto"/>
          <w:sz w:val="24"/>
          <w:szCs w:val="24"/>
          <w:lang w:val="en-US" w:eastAsia="zh-CN"/>
        </w:rPr>
        <w:t>七</w:t>
      </w:r>
      <w:r>
        <w:rPr>
          <w:rFonts w:hint="eastAsia" w:ascii="宋体" w:hAnsi="宋体" w:eastAsia="宋体" w:cs="宋体"/>
          <w:b/>
          <w:bCs/>
          <w:color w:val="auto"/>
          <w:sz w:val="24"/>
          <w:szCs w:val="24"/>
          <w:lang w:val="en-US" w:eastAsia="zh-CN"/>
        </w:rPr>
        <w:t>、食材定价要求</w:t>
      </w:r>
    </w:p>
    <w:p>
      <w:pPr>
        <w:pStyle w:val="2"/>
        <w:keepNext w:val="0"/>
        <w:keepLines w:val="0"/>
        <w:pageBreakBefore w:val="0"/>
        <w:widowControl w:val="0"/>
        <w:kinsoku/>
        <w:wordWrap/>
        <w:overflowPunct/>
        <w:topLinePunct w:val="0"/>
        <w:autoSpaceDE/>
        <w:autoSpaceDN/>
        <w:bidi w:val="0"/>
        <w:adjustRightInd/>
        <w:snapToGrid/>
        <w:spacing w:after="0" w:line="500" w:lineRule="atLeast"/>
        <w:ind w:firstLine="480" w:firstLineChars="200"/>
        <w:jc w:val="left"/>
        <w:textAlignment w:val="auto"/>
        <w:outlineLvl w:val="9"/>
        <w:rPr>
          <w:rFonts w:hint="eastAsia" w:ascii="黑体" w:hAnsi="黑体" w:eastAsia="黑体" w:cs="黑体"/>
          <w:color w:val="auto"/>
          <w:sz w:val="24"/>
          <w:szCs w:val="24"/>
        </w:rPr>
      </w:pPr>
      <w:r>
        <w:rPr>
          <w:rFonts w:hint="eastAsia" w:ascii="宋体" w:hAnsi="宋体" w:eastAsia="宋体" w:cs="宋体"/>
          <w:color w:val="auto"/>
          <w:sz w:val="24"/>
          <w:szCs w:val="24"/>
          <w:lang w:val="en-US" w:eastAsia="zh-CN"/>
        </w:rPr>
        <w:t>1.食材采购的单价由采购人根据市场询价（基准单价）结果和</w:t>
      </w:r>
      <w:r>
        <w:rPr>
          <w:rFonts w:hint="eastAsia" w:hAnsi="宋体" w:cs="宋体"/>
          <w:color w:val="auto"/>
          <w:sz w:val="24"/>
          <w:szCs w:val="24"/>
          <w:lang w:val="en-US" w:eastAsia="zh-CN"/>
        </w:rPr>
        <w:t>中标人</w:t>
      </w:r>
      <w:r>
        <w:rPr>
          <w:rFonts w:hint="eastAsia" w:ascii="宋体" w:hAnsi="宋体" w:eastAsia="宋体" w:cs="宋体"/>
          <w:color w:val="auto"/>
          <w:sz w:val="24"/>
          <w:szCs w:val="24"/>
          <w:lang w:val="en-US" w:eastAsia="zh-CN"/>
        </w:rPr>
        <w:t>的折扣率进行确定。若供应商（含</w:t>
      </w:r>
      <w:r>
        <w:rPr>
          <w:rFonts w:hint="eastAsia" w:hAnsi="宋体" w:cs="宋体"/>
          <w:color w:val="auto"/>
          <w:sz w:val="24"/>
          <w:szCs w:val="24"/>
          <w:lang w:val="en-US" w:eastAsia="zh-CN"/>
        </w:rPr>
        <w:t>成交</w:t>
      </w:r>
      <w:r>
        <w:rPr>
          <w:rFonts w:hint="eastAsia" w:ascii="宋体" w:hAnsi="宋体" w:eastAsia="宋体" w:cs="宋体"/>
          <w:color w:val="auto"/>
          <w:sz w:val="24"/>
          <w:szCs w:val="24"/>
          <w:lang w:val="en-US" w:eastAsia="zh-CN"/>
        </w:rPr>
        <w:t>联合体的每家供应商）不认同采购人市场所询食材单价的，由采购人和有疑</w:t>
      </w:r>
      <w:r>
        <w:rPr>
          <w:rFonts w:hint="eastAsia" w:hAnsi="宋体" w:cs="宋体"/>
          <w:color w:val="auto"/>
          <w:sz w:val="24"/>
          <w:szCs w:val="24"/>
          <w:lang w:val="en-US" w:eastAsia="zh-CN"/>
        </w:rPr>
        <w:t>问</w:t>
      </w:r>
      <w:r>
        <w:rPr>
          <w:rFonts w:hint="eastAsia" w:ascii="宋体" w:hAnsi="宋体" w:eastAsia="宋体" w:cs="宋体"/>
          <w:color w:val="auto"/>
          <w:sz w:val="24"/>
          <w:szCs w:val="24"/>
          <w:lang w:val="en-US" w:eastAsia="zh-CN"/>
        </w:rPr>
        <w:t>的供应商共同安排人员到市场询价，并根据询价结果确定最终的食材供应单价。</w:t>
      </w:r>
      <w:r>
        <w:rPr>
          <w:rFonts w:hint="eastAsia" w:ascii="黑体" w:hAnsi="黑体" w:eastAsia="黑体" w:cs="黑体"/>
          <w:color w:val="auto"/>
          <w:sz w:val="24"/>
          <w:szCs w:val="24"/>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500" w:lineRule="atLeast"/>
        <w:ind w:firstLine="480" w:firstLineChars="200"/>
        <w:jc w:val="left"/>
        <w:textAlignment w:val="auto"/>
        <w:outlineLvl w:val="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由</w:t>
      </w:r>
      <w:r>
        <w:rPr>
          <w:rFonts w:hint="eastAsia" w:ascii="宋体" w:hAnsi="宋体" w:cs="宋体"/>
          <w:color w:val="auto"/>
          <w:sz w:val="24"/>
          <w:szCs w:val="24"/>
          <w:lang w:val="en-US" w:eastAsia="zh-CN"/>
        </w:rPr>
        <w:t>采购人</w:t>
      </w:r>
      <w:r>
        <w:rPr>
          <w:rFonts w:hint="eastAsia" w:ascii="宋体" w:hAnsi="宋体" w:cs="宋体"/>
          <w:color w:val="auto"/>
          <w:sz w:val="24"/>
          <w:szCs w:val="24"/>
        </w:rPr>
        <w:t>抽派</w:t>
      </w:r>
      <w:r>
        <w:rPr>
          <w:rFonts w:hint="eastAsia" w:hAnsi="宋体" w:cs="宋体"/>
          <w:color w:val="auto"/>
          <w:sz w:val="24"/>
          <w:szCs w:val="24"/>
          <w:lang w:val="en-US" w:eastAsia="zh-CN"/>
        </w:rPr>
        <w:t>2</w:t>
      </w:r>
      <w:r>
        <w:rPr>
          <w:rFonts w:hint="eastAsia" w:ascii="宋体" w:hAnsi="宋体" w:cs="宋体"/>
          <w:color w:val="auto"/>
          <w:sz w:val="24"/>
          <w:szCs w:val="24"/>
          <w:lang w:val="en-US" w:eastAsia="zh-CN"/>
        </w:rPr>
        <w:t>人及以上</w:t>
      </w:r>
      <w:r>
        <w:rPr>
          <w:rFonts w:hint="eastAsia" w:ascii="宋体" w:hAnsi="宋体" w:cs="宋体"/>
          <w:color w:val="auto"/>
          <w:sz w:val="24"/>
          <w:szCs w:val="24"/>
        </w:rPr>
        <w:t>组成</w:t>
      </w:r>
      <w:r>
        <w:rPr>
          <w:rFonts w:hint="eastAsia" w:ascii="宋体" w:hAnsi="宋体" w:cs="宋体"/>
          <w:color w:val="auto"/>
          <w:sz w:val="24"/>
          <w:szCs w:val="24"/>
          <w:lang w:eastAsia="zh-CN"/>
        </w:rPr>
        <w:t>食材</w:t>
      </w:r>
      <w:r>
        <w:rPr>
          <w:rFonts w:hint="eastAsia" w:ascii="宋体" w:hAnsi="宋体" w:cs="宋体"/>
          <w:color w:val="auto"/>
          <w:sz w:val="24"/>
          <w:szCs w:val="24"/>
        </w:rPr>
        <w:t>价格</w:t>
      </w:r>
      <w:r>
        <w:rPr>
          <w:rFonts w:hint="eastAsia" w:ascii="宋体" w:hAnsi="宋体" w:cs="宋体"/>
          <w:color w:val="auto"/>
          <w:sz w:val="24"/>
          <w:szCs w:val="24"/>
          <w:lang w:eastAsia="zh-CN"/>
        </w:rPr>
        <w:t>询价</w:t>
      </w:r>
      <w:r>
        <w:rPr>
          <w:rFonts w:hint="eastAsia" w:ascii="宋体" w:hAnsi="宋体" w:cs="宋体"/>
          <w:color w:val="auto"/>
          <w:sz w:val="24"/>
          <w:szCs w:val="24"/>
        </w:rPr>
        <w:t>小组，负责</w:t>
      </w:r>
      <w:r>
        <w:rPr>
          <w:rFonts w:hint="eastAsia" w:ascii="宋体" w:hAnsi="宋体" w:cs="宋体"/>
          <w:color w:val="auto"/>
          <w:sz w:val="24"/>
          <w:szCs w:val="24"/>
          <w:lang w:eastAsia="zh-CN"/>
        </w:rPr>
        <w:t>食材</w:t>
      </w:r>
      <w:r>
        <w:rPr>
          <w:rFonts w:hint="eastAsia" w:ascii="宋体" w:hAnsi="宋体" w:cs="宋体"/>
          <w:color w:val="auto"/>
          <w:sz w:val="24"/>
          <w:szCs w:val="24"/>
        </w:rPr>
        <w:t>基准单价的询价</w:t>
      </w:r>
      <w:r>
        <w:rPr>
          <w:rFonts w:hint="eastAsia" w:ascii="宋体" w:hAnsi="宋体" w:cs="宋体"/>
          <w:color w:val="auto"/>
          <w:sz w:val="24"/>
          <w:szCs w:val="24"/>
          <w:lang w:eastAsia="zh-CN"/>
        </w:rPr>
        <w:t>和根据投标折扣率确定食材供应单价等</w:t>
      </w:r>
      <w:r>
        <w:rPr>
          <w:rFonts w:hint="eastAsia" w:ascii="宋体" w:hAnsi="宋体" w:cs="宋体"/>
          <w:color w:val="auto"/>
          <w:sz w:val="24"/>
          <w:szCs w:val="24"/>
        </w:rPr>
        <w:t>工作。</w:t>
      </w:r>
    </w:p>
    <w:p>
      <w:pPr>
        <w:pStyle w:val="2"/>
        <w:keepNext w:val="0"/>
        <w:keepLines w:val="0"/>
        <w:pageBreakBefore w:val="0"/>
        <w:widowControl w:val="0"/>
        <w:kinsoku/>
        <w:wordWrap/>
        <w:overflowPunct/>
        <w:topLinePunct w:val="0"/>
        <w:autoSpaceDE/>
        <w:autoSpaceDN/>
        <w:bidi w:val="0"/>
        <w:adjustRightInd/>
        <w:snapToGrid/>
        <w:spacing w:after="0" w:line="500" w:lineRule="atLeast"/>
        <w:ind w:firstLine="240" w:firstLineChars="100"/>
        <w:jc w:val="left"/>
        <w:textAlignment w:val="auto"/>
        <w:outlineLvl w:val="0"/>
        <w:rPr>
          <w:rFonts w:hint="eastAsia" w:ascii="宋体" w:hAnsi="宋体" w:cs="宋体"/>
          <w:color w:val="auto"/>
          <w:sz w:val="24"/>
          <w:szCs w:val="24"/>
        </w:rPr>
      </w:pPr>
      <w:r>
        <w:rPr>
          <w:rFonts w:hint="eastAsia" w:hAnsi="宋体" w:cs="宋体"/>
          <w:color w:val="auto"/>
          <w:sz w:val="24"/>
          <w:szCs w:val="24"/>
          <w:lang w:val="en-US" w:eastAsia="zh-CN"/>
        </w:rPr>
        <w:t>3.</w:t>
      </w:r>
      <w:r>
        <w:rPr>
          <w:rFonts w:hint="eastAsia" w:ascii="宋体" w:hAnsi="宋体" w:cs="宋体"/>
          <w:b w:val="0"/>
          <w:bCs w:val="0"/>
          <w:color w:val="auto"/>
          <w:sz w:val="24"/>
          <w:szCs w:val="24"/>
          <w:lang w:val="en-US" w:eastAsia="zh-CN"/>
        </w:rPr>
        <w:t>蔬菜水果类、畜禽肉</w:t>
      </w:r>
      <w:r>
        <w:rPr>
          <w:rFonts w:hint="eastAsia" w:hAnsi="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水产类</w:t>
      </w:r>
      <w:r>
        <w:rPr>
          <w:rFonts w:hint="eastAsia" w:hAnsi="宋体" w:cs="宋体"/>
          <w:b w:val="0"/>
          <w:bCs w:val="0"/>
          <w:color w:val="auto"/>
          <w:sz w:val="24"/>
          <w:szCs w:val="24"/>
          <w:lang w:val="en-US" w:eastAsia="zh-CN"/>
        </w:rPr>
        <w:t>、冻货</w:t>
      </w:r>
      <w:r>
        <w:rPr>
          <w:rFonts w:hint="eastAsia" w:ascii="宋体" w:hAnsi="宋体" w:cs="宋体"/>
          <w:b w:val="0"/>
          <w:bCs w:val="0"/>
          <w:color w:val="auto"/>
          <w:sz w:val="24"/>
          <w:szCs w:val="24"/>
          <w:lang w:val="en-US" w:eastAsia="zh-CN"/>
        </w:rPr>
        <w:t>的</w:t>
      </w:r>
      <w:r>
        <w:rPr>
          <w:rFonts w:hint="eastAsia" w:ascii="宋体" w:hAnsi="宋体" w:cs="宋体"/>
          <w:color w:val="auto"/>
          <w:sz w:val="24"/>
          <w:szCs w:val="24"/>
        </w:rPr>
        <w:t>基准单价</w:t>
      </w:r>
      <w:r>
        <w:rPr>
          <w:rFonts w:hint="eastAsia" w:ascii="宋体" w:hAnsi="宋体" w:cs="宋体"/>
          <w:color w:val="auto"/>
          <w:sz w:val="24"/>
          <w:szCs w:val="24"/>
          <w:lang w:eastAsia="zh-CN"/>
        </w:rPr>
        <w:t>原则</w:t>
      </w:r>
      <w:r>
        <w:rPr>
          <w:rFonts w:hint="eastAsia" w:ascii="宋体" w:hAnsi="宋体" w:cs="宋体"/>
          <w:color w:val="auto"/>
          <w:sz w:val="24"/>
          <w:szCs w:val="24"/>
        </w:rPr>
        <w:t>每周</w:t>
      </w:r>
      <w:r>
        <w:rPr>
          <w:rFonts w:hint="eastAsia" w:ascii="宋体" w:hAnsi="宋体" w:cs="宋体"/>
          <w:color w:val="auto"/>
          <w:sz w:val="24"/>
          <w:szCs w:val="24"/>
          <w:lang w:eastAsia="zh-CN"/>
        </w:rPr>
        <w:t>询一次，并及时根据询价结果调价，询价人员必须在调价申请上签字确认，经食堂相关负责人和服务中心分管领导、主要领导审批后执行。</w:t>
      </w:r>
      <w:r>
        <w:rPr>
          <w:rFonts w:hint="eastAsia" w:ascii="宋体" w:hAnsi="宋体" w:cs="宋体"/>
          <w:color w:val="auto"/>
          <w:sz w:val="24"/>
          <w:szCs w:val="24"/>
          <w:lang w:val="en-US" w:eastAsia="zh-CN"/>
        </w:rPr>
        <w:t>如</w:t>
      </w:r>
      <w:r>
        <w:rPr>
          <w:rFonts w:hint="eastAsia" w:ascii="宋体" w:hAnsi="宋体" w:cs="宋体"/>
          <w:color w:val="auto"/>
          <w:sz w:val="24"/>
          <w:szCs w:val="24"/>
          <w:lang w:eastAsia="zh-CN"/>
        </w:rPr>
        <w:t>确有个别食材单价上涨或下跌超过</w:t>
      </w:r>
      <w:r>
        <w:rPr>
          <w:rFonts w:hint="eastAsia" w:ascii="宋体" w:hAnsi="宋体" w:cs="宋体"/>
          <w:color w:val="auto"/>
          <w:sz w:val="24"/>
          <w:szCs w:val="24"/>
          <w:lang w:val="en-US" w:eastAsia="zh-CN"/>
        </w:rPr>
        <w:t>20%以上,可临时增加询价并调价。原则上询价方式如下：</w:t>
      </w:r>
    </w:p>
    <w:p>
      <w:pPr>
        <w:pStyle w:val="2"/>
        <w:keepNext w:val="0"/>
        <w:keepLines w:val="0"/>
        <w:pageBreakBefore w:val="0"/>
        <w:widowControl w:val="0"/>
        <w:kinsoku/>
        <w:wordWrap/>
        <w:overflowPunct/>
        <w:topLinePunct w:val="0"/>
        <w:autoSpaceDE/>
        <w:autoSpaceDN/>
        <w:bidi w:val="0"/>
        <w:adjustRightInd/>
        <w:snapToGrid/>
        <w:spacing w:after="0" w:line="500" w:lineRule="atLeast"/>
        <w:ind w:firstLine="480" w:firstLineChars="200"/>
        <w:jc w:val="left"/>
        <w:textAlignment w:val="auto"/>
        <w:outlineLvl w:val="0"/>
        <w:rPr>
          <w:rFonts w:hint="eastAsia" w:ascii="宋体" w:hAnsi="宋体" w:cs="宋体"/>
          <w:color w:val="auto"/>
          <w:sz w:val="24"/>
          <w:szCs w:val="24"/>
        </w:rPr>
      </w:pPr>
      <w:r>
        <w:rPr>
          <w:rFonts w:hint="eastAsia" w:ascii="宋体" w:hAnsi="宋体" w:cs="宋体"/>
          <w:color w:val="auto"/>
          <w:sz w:val="24"/>
          <w:szCs w:val="24"/>
          <w:lang w:eastAsia="zh-CN"/>
        </w:rPr>
        <w:t>询价小组</w:t>
      </w:r>
      <w:r>
        <w:rPr>
          <w:rFonts w:hint="eastAsia" w:ascii="宋体" w:hAnsi="宋体" w:cs="宋体"/>
          <w:color w:val="auto"/>
          <w:sz w:val="24"/>
          <w:szCs w:val="24"/>
        </w:rPr>
        <w:t>每周四上午（如遇节假日调休，顺延至下一个工作日），</w:t>
      </w:r>
      <w:r>
        <w:rPr>
          <w:rFonts w:hint="eastAsia" w:ascii="宋体" w:hAnsi="宋体" w:cs="宋体"/>
          <w:color w:val="auto"/>
          <w:sz w:val="24"/>
          <w:szCs w:val="24"/>
          <w:lang w:eastAsia="zh-CN"/>
        </w:rPr>
        <w:t>询价时，</w:t>
      </w:r>
      <w:r>
        <w:rPr>
          <w:rFonts w:hint="eastAsia" w:ascii="宋体" w:hAnsi="宋体" w:cs="宋体"/>
          <w:color w:val="auto"/>
          <w:sz w:val="24"/>
          <w:szCs w:val="24"/>
        </w:rPr>
        <w:t>在</w:t>
      </w:r>
      <w:r>
        <w:rPr>
          <w:rFonts w:hint="eastAsia" w:ascii="宋体" w:hAnsi="宋体" w:cs="宋体"/>
          <w:color w:val="auto"/>
          <w:sz w:val="24"/>
          <w:szCs w:val="24"/>
          <w:lang w:val="en-US" w:eastAsia="zh-CN"/>
        </w:rPr>
        <w:t>遂宁</w:t>
      </w:r>
      <w:r>
        <w:rPr>
          <w:rFonts w:hint="eastAsia" w:hAnsi="宋体" w:cs="宋体"/>
          <w:color w:val="auto"/>
          <w:sz w:val="24"/>
          <w:szCs w:val="24"/>
          <w:lang w:val="en-US" w:eastAsia="zh-CN"/>
        </w:rPr>
        <w:t>市区</w:t>
      </w:r>
      <w:r>
        <w:rPr>
          <w:rFonts w:hint="eastAsia" w:ascii="宋体" w:hAnsi="宋体" w:cs="宋体"/>
          <w:color w:val="auto"/>
          <w:sz w:val="24"/>
          <w:szCs w:val="24"/>
          <w:lang w:val="en-US" w:eastAsia="zh-CN"/>
        </w:rPr>
        <w:t>或者遂宁市</w:t>
      </w:r>
      <w:r>
        <w:rPr>
          <w:rFonts w:hint="eastAsia" w:hAnsi="宋体" w:cs="宋体"/>
          <w:color w:val="auto"/>
          <w:sz w:val="24"/>
          <w:szCs w:val="24"/>
          <w:lang w:val="en-US" w:eastAsia="zh-CN"/>
        </w:rPr>
        <w:t>安居</w:t>
      </w:r>
      <w:r>
        <w:rPr>
          <w:rFonts w:hint="eastAsia" w:ascii="宋体" w:hAnsi="宋体" w:cs="宋体"/>
          <w:color w:val="auto"/>
          <w:sz w:val="24"/>
          <w:szCs w:val="24"/>
        </w:rPr>
        <w:t>区任意选1个超市</w:t>
      </w:r>
      <w:r>
        <w:rPr>
          <w:rFonts w:hint="eastAsia" w:ascii="宋体" w:hAnsi="宋体" w:cs="宋体"/>
          <w:color w:val="auto"/>
          <w:sz w:val="24"/>
          <w:szCs w:val="24"/>
          <w:lang w:val="en-US" w:eastAsia="zh-CN"/>
        </w:rPr>
        <w:t>或市场</w:t>
      </w:r>
      <w:r>
        <w:rPr>
          <w:rFonts w:hint="eastAsia" w:ascii="宋体" w:hAnsi="宋体" w:cs="宋体"/>
          <w:color w:val="auto"/>
          <w:sz w:val="24"/>
          <w:szCs w:val="24"/>
          <w:lang w:eastAsia="zh-CN"/>
        </w:rPr>
        <w:t>了解日常采购</w:t>
      </w:r>
      <w:r>
        <w:rPr>
          <w:rFonts w:hint="eastAsia" w:ascii="宋体" w:hAnsi="宋体" w:cs="宋体"/>
          <w:b w:val="0"/>
          <w:bCs w:val="0"/>
          <w:color w:val="auto"/>
          <w:sz w:val="24"/>
          <w:szCs w:val="24"/>
          <w:lang w:val="en-US" w:eastAsia="zh-CN"/>
        </w:rPr>
        <w:t>蔬菜水果类、畜禽肉</w:t>
      </w:r>
      <w:r>
        <w:rPr>
          <w:rFonts w:hint="eastAsia" w:hAnsi="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水产类</w:t>
      </w:r>
      <w:r>
        <w:rPr>
          <w:rFonts w:hint="eastAsia" w:hAnsi="宋体" w:cs="宋体"/>
          <w:b w:val="0"/>
          <w:bCs w:val="0"/>
          <w:color w:val="auto"/>
          <w:sz w:val="24"/>
          <w:szCs w:val="24"/>
          <w:lang w:val="en-US" w:eastAsia="zh-CN"/>
        </w:rPr>
        <w:t>、冻货</w:t>
      </w:r>
      <w:r>
        <w:rPr>
          <w:rFonts w:hint="eastAsia" w:ascii="宋体" w:hAnsi="宋体" w:cs="宋体"/>
          <w:color w:val="auto"/>
          <w:sz w:val="24"/>
          <w:szCs w:val="24"/>
          <w:lang w:eastAsia="zh-CN"/>
        </w:rPr>
        <w:t>的</w:t>
      </w:r>
      <w:r>
        <w:rPr>
          <w:rFonts w:hint="eastAsia" w:ascii="宋体" w:hAnsi="宋体" w:cs="宋体"/>
          <w:color w:val="auto"/>
          <w:sz w:val="24"/>
          <w:szCs w:val="24"/>
        </w:rPr>
        <w:t>单价（以元为单位保留两位小数）</w:t>
      </w:r>
      <w:r>
        <w:rPr>
          <w:rFonts w:hint="eastAsia" w:ascii="宋体" w:hAnsi="宋体" w:cs="宋体"/>
          <w:color w:val="auto"/>
          <w:sz w:val="24"/>
          <w:szCs w:val="24"/>
          <w:lang w:eastAsia="zh-CN"/>
        </w:rPr>
        <w:t>，现场作好记录</w:t>
      </w:r>
      <w:r>
        <w:rPr>
          <w:rFonts w:hint="eastAsia" w:ascii="宋体" w:hAnsi="宋体" w:cs="宋体"/>
          <w:color w:val="auto"/>
          <w:sz w:val="24"/>
          <w:szCs w:val="24"/>
        </w:rPr>
        <w:t>。特别说明，询价时遇到超市搞活动，以</w:t>
      </w:r>
      <w:r>
        <w:rPr>
          <w:rFonts w:hint="eastAsia" w:ascii="宋体" w:hAnsi="宋体" w:cs="宋体"/>
          <w:color w:val="auto"/>
          <w:sz w:val="24"/>
          <w:szCs w:val="24"/>
          <w:lang w:eastAsia="zh-CN"/>
        </w:rPr>
        <w:t>原价</w:t>
      </w:r>
      <w:r>
        <w:rPr>
          <w:rFonts w:hint="eastAsia" w:ascii="宋体" w:hAnsi="宋体" w:cs="宋体"/>
          <w:color w:val="auto"/>
          <w:sz w:val="24"/>
          <w:szCs w:val="24"/>
        </w:rPr>
        <w:t>为准。</w:t>
      </w:r>
    </w:p>
    <w:p>
      <w:pPr>
        <w:pStyle w:val="2"/>
        <w:keepNext w:val="0"/>
        <w:keepLines w:val="0"/>
        <w:pageBreakBefore w:val="0"/>
        <w:widowControl w:val="0"/>
        <w:kinsoku/>
        <w:wordWrap/>
        <w:overflowPunct/>
        <w:topLinePunct w:val="0"/>
        <w:autoSpaceDE/>
        <w:autoSpaceDN/>
        <w:bidi w:val="0"/>
        <w:adjustRightInd/>
        <w:snapToGrid/>
        <w:spacing w:after="0" w:line="500" w:lineRule="atLeast"/>
        <w:ind w:firstLine="240" w:firstLineChars="100"/>
        <w:jc w:val="left"/>
        <w:textAlignment w:val="auto"/>
        <w:outlineLvl w:val="0"/>
        <w:rPr>
          <w:rFonts w:hint="eastAsia" w:ascii="宋体" w:hAnsi="宋体" w:cs="宋体"/>
          <w:color w:val="auto"/>
          <w:sz w:val="24"/>
          <w:szCs w:val="24"/>
          <w:lang w:eastAsia="zh-CN"/>
        </w:rPr>
      </w:pPr>
      <w:r>
        <w:rPr>
          <w:rFonts w:hint="eastAsia" w:hAnsi="宋体" w:cs="宋体"/>
          <w:color w:val="auto"/>
          <w:sz w:val="24"/>
          <w:szCs w:val="24"/>
          <w:lang w:val="en-US" w:eastAsia="zh-CN"/>
        </w:rPr>
        <w:t>4.</w:t>
      </w:r>
      <w:r>
        <w:rPr>
          <w:rFonts w:hint="eastAsia" w:ascii="宋体" w:hAnsi="宋体" w:cs="宋体"/>
          <w:b w:val="0"/>
          <w:bCs w:val="0"/>
          <w:color w:val="auto"/>
          <w:sz w:val="24"/>
          <w:szCs w:val="24"/>
          <w:lang w:val="en-US" w:eastAsia="zh-CN"/>
        </w:rPr>
        <w:t>粮油干杂调味品蛋类</w:t>
      </w:r>
      <w:r>
        <w:rPr>
          <w:rFonts w:hint="eastAsia" w:hAnsi="宋体" w:cs="宋体"/>
          <w:b w:val="0"/>
          <w:bCs w:val="0"/>
          <w:color w:val="auto"/>
          <w:sz w:val="24"/>
          <w:szCs w:val="24"/>
          <w:lang w:val="en-US" w:eastAsia="zh-CN"/>
        </w:rPr>
        <w:t>奶制品干果类</w:t>
      </w:r>
      <w:r>
        <w:rPr>
          <w:rFonts w:hint="eastAsia" w:ascii="宋体" w:hAnsi="宋体" w:cs="宋体"/>
          <w:color w:val="auto"/>
          <w:sz w:val="24"/>
          <w:szCs w:val="24"/>
        </w:rPr>
        <w:t>基准单价每</w:t>
      </w:r>
      <w:r>
        <w:rPr>
          <w:rFonts w:hint="eastAsia" w:ascii="宋体" w:hAnsi="宋体" w:cs="宋体"/>
          <w:color w:val="auto"/>
          <w:sz w:val="24"/>
          <w:szCs w:val="24"/>
          <w:lang w:eastAsia="zh-CN"/>
        </w:rPr>
        <w:t>季询两次，并及时根据询价结果调价，询价人员必须在调价申请上签字确认，经食堂相关负责人和服务中心分管领导、主要领导审批后执行。</w:t>
      </w:r>
      <w:r>
        <w:rPr>
          <w:rFonts w:hint="eastAsia" w:ascii="宋体" w:hAnsi="宋体" w:cs="宋体"/>
          <w:color w:val="auto"/>
          <w:sz w:val="24"/>
          <w:szCs w:val="24"/>
          <w:lang w:val="en-US" w:eastAsia="zh-CN"/>
        </w:rPr>
        <w:t>如</w:t>
      </w:r>
      <w:r>
        <w:rPr>
          <w:rFonts w:hint="eastAsia" w:ascii="宋体" w:hAnsi="宋体" w:cs="宋体"/>
          <w:color w:val="auto"/>
          <w:sz w:val="24"/>
          <w:szCs w:val="24"/>
          <w:lang w:eastAsia="zh-CN"/>
        </w:rPr>
        <w:t>确有个别食材单价上涨或下跌超过</w:t>
      </w:r>
      <w:r>
        <w:rPr>
          <w:rFonts w:hint="eastAsia" w:ascii="宋体" w:hAnsi="宋体" w:cs="宋体"/>
          <w:color w:val="auto"/>
          <w:sz w:val="24"/>
          <w:szCs w:val="24"/>
          <w:lang w:val="en-US" w:eastAsia="zh-CN"/>
        </w:rPr>
        <w:t>20%以上,可临时增加询价并调价。原则上询价方式如下：</w:t>
      </w:r>
    </w:p>
    <w:p>
      <w:pPr>
        <w:pStyle w:val="2"/>
        <w:keepNext w:val="0"/>
        <w:keepLines w:val="0"/>
        <w:pageBreakBefore w:val="0"/>
        <w:widowControl w:val="0"/>
        <w:kinsoku/>
        <w:wordWrap/>
        <w:overflowPunct/>
        <w:topLinePunct w:val="0"/>
        <w:autoSpaceDE/>
        <w:autoSpaceDN/>
        <w:bidi w:val="0"/>
        <w:adjustRightInd/>
        <w:snapToGrid/>
        <w:spacing w:after="0" w:line="500" w:lineRule="atLeast"/>
        <w:ind w:firstLine="480" w:firstLineChars="200"/>
        <w:jc w:val="left"/>
        <w:textAlignment w:val="auto"/>
        <w:outlineLvl w:val="0"/>
        <w:rPr>
          <w:rFonts w:hint="eastAsia" w:ascii="宋体" w:hAnsi="宋体" w:eastAsia="宋体" w:cs="宋体"/>
          <w:b/>
          <w:bCs/>
          <w:color w:val="auto"/>
          <w:sz w:val="24"/>
          <w:szCs w:val="24"/>
        </w:rPr>
      </w:pPr>
      <w:r>
        <w:rPr>
          <w:rFonts w:hint="eastAsia" w:ascii="宋体" w:hAnsi="宋体" w:cs="宋体"/>
          <w:color w:val="auto"/>
          <w:sz w:val="24"/>
          <w:szCs w:val="24"/>
        </w:rPr>
        <w:t>每</w:t>
      </w:r>
      <w:r>
        <w:rPr>
          <w:rFonts w:hint="eastAsia" w:ascii="宋体" w:hAnsi="宋体" w:cs="宋体"/>
          <w:color w:val="auto"/>
          <w:sz w:val="24"/>
          <w:szCs w:val="24"/>
          <w:lang w:eastAsia="zh-CN"/>
        </w:rPr>
        <w:t>季度开始第一周</w:t>
      </w:r>
      <w:r>
        <w:rPr>
          <w:rFonts w:hint="eastAsia" w:ascii="宋体" w:hAnsi="宋体" w:cs="宋体"/>
          <w:color w:val="auto"/>
          <w:sz w:val="24"/>
          <w:szCs w:val="24"/>
        </w:rPr>
        <w:t>的某一天询第一次价（如遇节假日调休，顺延至下一个工作日），</w:t>
      </w:r>
      <w:r>
        <w:rPr>
          <w:rFonts w:hint="eastAsia" w:ascii="宋体" w:hAnsi="宋体" w:cs="宋体"/>
          <w:color w:val="auto"/>
          <w:sz w:val="24"/>
          <w:szCs w:val="24"/>
          <w:lang w:eastAsia="zh-CN"/>
        </w:rPr>
        <w:t>每季度第二个月中旬</w:t>
      </w:r>
      <w:r>
        <w:rPr>
          <w:rFonts w:hint="eastAsia" w:ascii="宋体" w:hAnsi="宋体" w:cs="宋体"/>
          <w:color w:val="auto"/>
          <w:sz w:val="24"/>
          <w:szCs w:val="24"/>
        </w:rPr>
        <w:t>的某一天进行第二次询价，此次询价作为后半</w:t>
      </w:r>
      <w:r>
        <w:rPr>
          <w:rFonts w:hint="eastAsia" w:ascii="宋体" w:hAnsi="宋体" w:cs="宋体"/>
          <w:color w:val="auto"/>
          <w:sz w:val="24"/>
          <w:szCs w:val="24"/>
          <w:lang w:eastAsia="zh-CN"/>
        </w:rPr>
        <w:t>季度</w:t>
      </w:r>
      <w:r>
        <w:rPr>
          <w:rFonts w:hint="eastAsia" w:ascii="宋体" w:hAnsi="宋体" w:cs="宋体"/>
          <w:color w:val="auto"/>
          <w:sz w:val="24"/>
          <w:szCs w:val="24"/>
        </w:rPr>
        <w:t>对应产品的基准价作为下次询价前这段时间对应产品的基准价，询价时，在</w:t>
      </w:r>
      <w:r>
        <w:rPr>
          <w:rFonts w:hint="eastAsia" w:ascii="宋体" w:hAnsi="宋体" w:cs="宋体"/>
          <w:color w:val="auto"/>
          <w:sz w:val="24"/>
          <w:szCs w:val="24"/>
          <w:lang w:val="en-US" w:eastAsia="zh-CN"/>
        </w:rPr>
        <w:t>遂宁市</w:t>
      </w:r>
      <w:r>
        <w:rPr>
          <w:rFonts w:hint="eastAsia" w:hAnsi="宋体" w:cs="宋体"/>
          <w:color w:val="auto"/>
          <w:sz w:val="24"/>
          <w:szCs w:val="24"/>
          <w:lang w:val="en-US" w:eastAsia="zh-CN"/>
        </w:rPr>
        <w:t>区</w:t>
      </w:r>
      <w:r>
        <w:rPr>
          <w:rFonts w:hint="eastAsia" w:ascii="宋体" w:hAnsi="宋体" w:cs="宋体"/>
          <w:color w:val="auto"/>
          <w:sz w:val="24"/>
          <w:szCs w:val="24"/>
          <w:lang w:val="en-US" w:eastAsia="zh-CN"/>
        </w:rPr>
        <w:t>或者遂宁市</w:t>
      </w:r>
      <w:r>
        <w:rPr>
          <w:rFonts w:hint="eastAsia" w:hAnsi="宋体" w:cs="宋体"/>
          <w:color w:val="auto"/>
          <w:sz w:val="24"/>
          <w:szCs w:val="24"/>
          <w:lang w:val="en-US" w:eastAsia="zh-CN"/>
        </w:rPr>
        <w:t>安居</w:t>
      </w:r>
      <w:r>
        <w:rPr>
          <w:rFonts w:hint="eastAsia" w:ascii="宋体" w:hAnsi="宋体" w:cs="宋体"/>
          <w:color w:val="auto"/>
          <w:sz w:val="24"/>
          <w:szCs w:val="24"/>
        </w:rPr>
        <w:t>区任意选1个超市</w:t>
      </w:r>
      <w:r>
        <w:rPr>
          <w:rFonts w:hint="eastAsia" w:ascii="宋体" w:hAnsi="宋体" w:cs="宋体"/>
          <w:color w:val="auto"/>
          <w:sz w:val="24"/>
          <w:szCs w:val="24"/>
          <w:lang w:val="en-US" w:eastAsia="zh-CN"/>
        </w:rPr>
        <w:t>或市场</w:t>
      </w:r>
      <w:r>
        <w:rPr>
          <w:rFonts w:hint="eastAsia" w:ascii="宋体" w:hAnsi="宋体" w:cs="宋体"/>
          <w:color w:val="auto"/>
          <w:sz w:val="24"/>
          <w:szCs w:val="24"/>
          <w:lang w:eastAsia="zh-CN"/>
        </w:rPr>
        <w:t>了解日常采购</w:t>
      </w:r>
      <w:r>
        <w:rPr>
          <w:rFonts w:hint="eastAsia" w:ascii="宋体" w:hAnsi="宋体" w:cs="宋体"/>
          <w:b w:val="0"/>
          <w:bCs w:val="0"/>
          <w:color w:val="auto"/>
          <w:sz w:val="24"/>
          <w:szCs w:val="24"/>
          <w:lang w:val="en-US" w:eastAsia="zh-CN"/>
        </w:rPr>
        <w:t>粮油干杂调味品蛋类</w:t>
      </w:r>
      <w:r>
        <w:rPr>
          <w:rFonts w:hint="eastAsia" w:hAnsi="宋体" w:cs="宋体"/>
          <w:b w:val="0"/>
          <w:bCs w:val="0"/>
          <w:color w:val="auto"/>
          <w:sz w:val="24"/>
          <w:szCs w:val="24"/>
          <w:lang w:val="en-US" w:eastAsia="zh-CN"/>
        </w:rPr>
        <w:t>奶制品干果类</w:t>
      </w:r>
      <w:r>
        <w:rPr>
          <w:rFonts w:hint="eastAsia" w:ascii="宋体" w:hAnsi="宋体" w:cs="宋体"/>
          <w:color w:val="auto"/>
          <w:sz w:val="24"/>
          <w:szCs w:val="24"/>
          <w:lang w:eastAsia="zh-CN"/>
        </w:rPr>
        <w:t>的</w:t>
      </w:r>
      <w:r>
        <w:rPr>
          <w:rFonts w:hint="eastAsia" w:ascii="宋体" w:hAnsi="宋体" w:cs="宋体"/>
          <w:color w:val="auto"/>
          <w:sz w:val="24"/>
          <w:szCs w:val="24"/>
        </w:rPr>
        <w:t>单价（以元为单位保留两位小数）</w:t>
      </w:r>
      <w:r>
        <w:rPr>
          <w:rFonts w:hint="eastAsia" w:ascii="宋体" w:hAnsi="宋体" w:cs="宋体"/>
          <w:color w:val="auto"/>
          <w:sz w:val="24"/>
          <w:szCs w:val="24"/>
          <w:lang w:eastAsia="zh-CN"/>
        </w:rPr>
        <w:t>，现场作好记录</w:t>
      </w:r>
      <w:r>
        <w:rPr>
          <w:rFonts w:hint="eastAsia" w:ascii="宋体" w:hAnsi="宋体" w:cs="宋体"/>
          <w:color w:val="auto"/>
          <w:sz w:val="24"/>
          <w:szCs w:val="24"/>
        </w:rPr>
        <w:t>。特别说明，询价的时遇到超市搞活动，以</w:t>
      </w:r>
      <w:r>
        <w:rPr>
          <w:rFonts w:hint="eastAsia" w:ascii="宋体" w:hAnsi="宋体" w:cs="宋体"/>
          <w:color w:val="auto"/>
          <w:sz w:val="24"/>
          <w:szCs w:val="24"/>
          <w:lang w:eastAsia="zh-CN"/>
        </w:rPr>
        <w:t>原价</w:t>
      </w:r>
      <w:r>
        <w:rPr>
          <w:rFonts w:hint="eastAsia" w:ascii="宋体" w:hAnsi="宋体" w:cs="宋体"/>
          <w:color w:val="auto"/>
          <w:sz w:val="24"/>
          <w:szCs w:val="24"/>
        </w:rPr>
        <w:t>为准。</w:t>
      </w:r>
    </w:p>
    <w:p>
      <w:pPr>
        <w:pStyle w:val="2"/>
        <w:keepNext w:val="0"/>
        <w:keepLines w:val="0"/>
        <w:pageBreakBefore w:val="0"/>
        <w:widowControl w:val="0"/>
        <w:kinsoku/>
        <w:wordWrap/>
        <w:overflowPunct/>
        <w:topLinePunct w:val="0"/>
        <w:autoSpaceDE/>
        <w:autoSpaceDN/>
        <w:bidi w:val="0"/>
        <w:adjustRightInd/>
        <w:snapToGrid/>
        <w:spacing w:after="0" w:line="500" w:lineRule="atLeast"/>
        <w:ind w:firstLine="480" w:firstLineChars="200"/>
        <w:jc w:val="left"/>
        <w:textAlignment w:val="auto"/>
        <w:outlineLvl w:val="0"/>
        <w:rPr>
          <w:rFonts w:hint="eastAsia" w:ascii="宋体" w:hAnsi="宋体" w:cs="宋体"/>
          <w:color w:val="auto"/>
          <w:sz w:val="24"/>
          <w:szCs w:val="24"/>
        </w:rPr>
      </w:pPr>
      <w:r>
        <w:rPr>
          <w:rFonts w:hint="eastAsia" w:ascii="宋体" w:hAnsi="宋体" w:cs="宋体"/>
          <w:color w:val="auto"/>
          <w:sz w:val="24"/>
          <w:szCs w:val="24"/>
          <w:lang w:val="en-US" w:eastAsia="zh-CN"/>
        </w:rPr>
        <w:t>食材询价小组</w:t>
      </w:r>
      <w:r>
        <w:rPr>
          <w:rFonts w:hint="eastAsia" w:ascii="宋体" w:hAnsi="宋体" w:cs="宋体"/>
          <w:color w:val="auto"/>
          <w:sz w:val="24"/>
          <w:szCs w:val="24"/>
        </w:rPr>
        <w:t>将严格按所需食材相同品牌、品级、品质、包装规格进行询价，如果某产品无相同规格的，就询最接近该产品规格的，然后进行折算。</w:t>
      </w: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4OWQ5ZDFmNGFkNTIxMzllNjdjMDk3YWU1NjkyM2EifQ=="/>
  </w:docVars>
  <w:rsids>
    <w:rsidRoot w:val="00000000"/>
    <w:rsid w:val="775C6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bCs/>
      <w:kern w:val="0"/>
      <w:sz w:val="32"/>
      <w:szCs w:val="32"/>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uppressAutoHyphens/>
      <w:spacing w:after="120"/>
    </w:pPr>
    <w:rPr>
      <w:kern w:val="1"/>
      <w:lang w:eastAsia="ar-SA"/>
    </w:rPr>
  </w:style>
  <w:style w:type="paragraph" w:styleId="4">
    <w:name w:val="Normal Indent"/>
    <w:basedOn w:val="1"/>
    <w:qFormat/>
    <w:uiPriority w:val="0"/>
    <w:pPr>
      <w:ind w:firstLine="200" w:firstLineChars="200"/>
    </w:pPr>
  </w:style>
  <w:style w:type="paragraph" w:styleId="5">
    <w:name w:val="footer"/>
    <w:basedOn w:val="1"/>
    <w:qFormat/>
    <w:uiPriority w:val="0"/>
    <w:pPr>
      <w:tabs>
        <w:tab w:val="center" w:pos="4153"/>
        <w:tab w:val="right" w:pos="8306"/>
      </w:tabs>
      <w:snapToGrid w:val="0"/>
      <w:jc w:val="left"/>
    </w:pPr>
    <w:rPr>
      <w:sz w:val="18"/>
      <w:szCs w:val="20"/>
    </w:rPr>
  </w:style>
  <w:style w:type="paragraph" w:styleId="6">
    <w:name w:val="Normal (Web)"/>
    <w:basedOn w:val="1"/>
    <w:next w:val="5"/>
    <w:qFormat/>
    <w:uiPriority w:val="0"/>
    <w:pPr>
      <w:widowControl/>
      <w:spacing w:before="100" w:beforeAutospacing="1" w:after="100" w:afterAutospacing="1"/>
      <w:jc w:val="left"/>
    </w:pPr>
    <w:rPr>
      <w:rFonts w:ascii="宋体"/>
      <w:kern w:val="0"/>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洋芋</cp:lastModifiedBy>
  <dcterms:modified xsi:type="dcterms:W3CDTF">2023-12-11T09:01:03Z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8D6F849ADCD549EFB5A65C71F56E8465_12</vt:lpwstr>
  </property>
</Properties>
</file>