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pPr>
      <w:bookmarkStart w:id="70" w:name="_GoBack"/>
      <w:bookmarkEnd w:id="70"/>
    </w:p>
    <w:p>
      <w:pPr>
        <w:spacing w:line="900" w:lineRule="exact"/>
        <w:jc w:val="center"/>
        <w:rPr>
          <w:rFonts w:hint="eastAsia" w:ascii="Times New Roman" w:hAnsi="Times New Roman" w:eastAsia="方正小标宋简体" w:cs="方正小标宋简体"/>
          <w:b/>
          <w:bCs/>
          <w:sz w:val="52"/>
          <w:szCs w:val="52"/>
        </w:rPr>
      </w:pPr>
      <w:r>
        <w:rPr>
          <w:rFonts w:hint="eastAsia" w:ascii="Times New Roman" w:hAnsi="Times New Roman" w:eastAsia="方正小标宋简体" w:cs="方正小标宋简体"/>
          <w:b/>
          <w:bCs/>
          <w:sz w:val="52"/>
          <w:szCs w:val="52"/>
        </w:rPr>
        <w:t>遂宁市安居区“十四五”</w:t>
      </w:r>
    </w:p>
    <w:p>
      <w:pPr>
        <w:spacing w:line="900" w:lineRule="exact"/>
        <w:jc w:val="center"/>
        <w:rPr>
          <w:rFonts w:ascii="Times New Roman" w:hAnsi="Times New Roman" w:eastAsia="方正小标宋简体"/>
          <w:b/>
          <w:bCs/>
          <w:sz w:val="52"/>
          <w:szCs w:val="52"/>
        </w:rPr>
      </w:pPr>
      <w:r>
        <w:rPr>
          <w:rFonts w:hint="eastAsia" w:ascii="Times New Roman" w:hAnsi="Times New Roman" w:eastAsia="方正小标宋简体" w:cs="方正小标宋简体"/>
          <w:b/>
          <w:bCs/>
          <w:sz w:val="52"/>
          <w:szCs w:val="52"/>
        </w:rPr>
        <w:t>卫生健康发展规划</w:t>
      </w:r>
    </w:p>
    <w:p>
      <w:pPr>
        <w:spacing w:line="520" w:lineRule="exact"/>
        <w:jc w:val="center"/>
        <w:rPr>
          <w:rFonts w:hint="eastAsia" w:ascii="Times New Roman" w:hAnsi="Times New Roman" w:eastAsia="方正小标宋简体"/>
          <w:b/>
          <w:bCs/>
          <w:sz w:val="36"/>
          <w:szCs w:val="36"/>
          <w:lang w:eastAsia="zh-CN"/>
        </w:rPr>
      </w:pPr>
      <w:r>
        <w:rPr>
          <w:rFonts w:hint="eastAsia" w:ascii="Times New Roman" w:hAnsi="Times New Roman" w:eastAsia="方正小标宋简体"/>
          <w:b/>
          <w:bCs/>
          <w:sz w:val="36"/>
          <w:szCs w:val="36"/>
          <w:lang w:eastAsia="zh-CN"/>
        </w:rPr>
        <w:t>（征求意见稿）</w:t>
      </w:r>
    </w:p>
    <w:p>
      <w:pPr>
        <w:spacing w:line="700" w:lineRule="exact"/>
        <w:jc w:val="center"/>
        <w:rPr>
          <w:rFonts w:ascii="Times New Roman" w:hAnsi="Times New Roman" w:eastAsia="方正楷体简体"/>
          <w:kern w:val="0"/>
          <w:sz w:val="30"/>
          <w:szCs w:val="30"/>
        </w:rPr>
      </w:pPr>
    </w:p>
    <w:p>
      <w:pPr>
        <w:spacing w:line="400" w:lineRule="exact"/>
        <w:jc w:val="center"/>
        <w:rPr>
          <w:rFonts w:ascii="Times New Roman" w:hAnsi="Times New Roman" w:eastAsia="黑体"/>
          <w:b/>
          <w:bCs/>
          <w:sz w:val="32"/>
          <w:szCs w:val="32"/>
          <w:lang w:val="zh-CN"/>
        </w:rPr>
      </w:pPr>
    </w:p>
    <w:p>
      <w:pPr>
        <w:spacing w:line="400" w:lineRule="exact"/>
        <w:jc w:val="center"/>
        <w:rPr>
          <w:rFonts w:ascii="Times New Roman" w:hAnsi="Times New Roman" w:eastAsia="黑体"/>
          <w:sz w:val="32"/>
          <w:szCs w:val="32"/>
          <w:lang w:val="zh-CN"/>
        </w:rPr>
      </w:pPr>
    </w:p>
    <w:p>
      <w:pPr>
        <w:spacing w:line="400" w:lineRule="exact"/>
        <w:jc w:val="center"/>
        <w:rPr>
          <w:rFonts w:ascii="Times New Roman" w:hAnsi="Times New Roman" w:eastAsia="黑体"/>
          <w:b/>
          <w:bCs/>
          <w:sz w:val="32"/>
          <w:szCs w:val="32"/>
          <w:lang w:val="zh-CN"/>
        </w:rPr>
      </w:pPr>
    </w:p>
    <w:p>
      <w:pPr>
        <w:spacing w:line="400" w:lineRule="exact"/>
        <w:jc w:val="center"/>
        <w:rPr>
          <w:rFonts w:ascii="Times New Roman" w:hAnsi="Times New Roman" w:eastAsia="黑体"/>
          <w:b/>
          <w:bCs/>
          <w:sz w:val="32"/>
          <w:szCs w:val="32"/>
          <w:lang w:val="zh-CN"/>
        </w:rPr>
      </w:pPr>
    </w:p>
    <w:p>
      <w:pPr>
        <w:spacing w:line="400" w:lineRule="exact"/>
        <w:rPr>
          <w:rFonts w:ascii="Times New Roman" w:hAnsi="Times New Roman" w:eastAsia="黑体"/>
          <w:b/>
          <w:bCs/>
          <w:sz w:val="32"/>
          <w:szCs w:val="32"/>
          <w:lang w:val="zh-CN"/>
        </w:rPr>
      </w:pPr>
    </w:p>
    <w:p>
      <w:pPr>
        <w:spacing w:line="800" w:lineRule="exact"/>
        <w:jc w:val="center"/>
        <w:rPr>
          <w:rFonts w:ascii="Times New Roman" w:hAnsi="Times New Roman" w:eastAsia="黑体"/>
          <w:b/>
          <w:bCs/>
          <w:sz w:val="32"/>
          <w:szCs w:val="32"/>
          <w:lang w:val="zh-CN"/>
        </w:rPr>
      </w:pPr>
    </w:p>
    <w:p>
      <w:pPr>
        <w:spacing w:line="800" w:lineRule="exact"/>
        <w:jc w:val="center"/>
        <w:rPr>
          <w:rFonts w:ascii="Times New Roman" w:hAnsi="Times New Roman" w:eastAsia="黑体"/>
          <w:b/>
          <w:bCs/>
          <w:sz w:val="32"/>
          <w:szCs w:val="32"/>
          <w:lang w:val="zh-CN"/>
        </w:rPr>
      </w:pPr>
    </w:p>
    <w:p>
      <w:pPr>
        <w:spacing w:line="800" w:lineRule="exact"/>
        <w:rPr>
          <w:rFonts w:ascii="Times New Roman" w:hAnsi="Times New Roman" w:eastAsia="黑体"/>
          <w:b/>
          <w:bCs/>
          <w:sz w:val="32"/>
          <w:szCs w:val="32"/>
          <w:lang w:val="zh-CN"/>
        </w:rPr>
      </w:pPr>
    </w:p>
    <w:p>
      <w:pPr>
        <w:spacing w:line="800" w:lineRule="exact"/>
        <w:rPr>
          <w:rFonts w:ascii="Times New Roman" w:hAnsi="Times New Roman" w:eastAsia="黑体"/>
          <w:b/>
          <w:bCs/>
          <w:sz w:val="32"/>
          <w:szCs w:val="32"/>
          <w:lang w:val="zh-CN"/>
        </w:rPr>
      </w:pPr>
    </w:p>
    <w:p>
      <w:pPr>
        <w:spacing w:line="800" w:lineRule="exact"/>
        <w:rPr>
          <w:rFonts w:ascii="Times New Roman" w:hAnsi="Times New Roman" w:eastAsia="黑体"/>
          <w:b/>
          <w:bCs/>
          <w:sz w:val="32"/>
          <w:szCs w:val="32"/>
          <w:lang w:val="zh-CN"/>
        </w:rPr>
      </w:pPr>
    </w:p>
    <w:p>
      <w:pPr>
        <w:spacing w:line="800" w:lineRule="exact"/>
        <w:rPr>
          <w:rFonts w:ascii="Times New Roman" w:hAnsi="Times New Roman" w:eastAsia="黑体"/>
          <w:b/>
          <w:bCs/>
          <w:sz w:val="32"/>
          <w:szCs w:val="32"/>
          <w:lang w:val="zh-CN"/>
        </w:rPr>
      </w:pPr>
    </w:p>
    <w:p>
      <w:pPr>
        <w:spacing w:line="700" w:lineRule="exact"/>
        <w:jc w:val="center"/>
        <w:rPr>
          <w:rFonts w:ascii="方正楷体简体" w:hAnsi="Times New Roman" w:eastAsia="方正楷体简体"/>
          <w:b/>
          <w:bCs/>
          <w:sz w:val="36"/>
          <w:szCs w:val="36"/>
        </w:rPr>
      </w:pPr>
      <w:r>
        <w:rPr>
          <w:rFonts w:hint="eastAsia" w:ascii="方正楷体简体" w:hAnsi="Times New Roman" w:eastAsia="方正楷体简体" w:cs="方正黑体简体"/>
          <w:b/>
          <w:bCs/>
          <w:sz w:val="36"/>
          <w:szCs w:val="36"/>
        </w:rPr>
        <w:t>遂宁市安居区卫生健康局</w:t>
      </w:r>
    </w:p>
    <w:p>
      <w:pPr>
        <w:jc w:val="center"/>
        <w:rPr>
          <w:rFonts w:hint="eastAsia" w:ascii="方正小标宋简体" w:hAnsi="方正小标宋简体" w:eastAsia="方正小标宋简体" w:cs="方正小标宋简体"/>
          <w:b/>
          <w:bCs/>
          <w:sz w:val="36"/>
          <w:szCs w:val="36"/>
        </w:rPr>
      </w:pPr>
      <w:r>
        <w:rPr>
          <w:rFonts w:ascii="方正楷体简体" w:hAnsi="Times New Roman" w:eastAsia="方正楷体简体"/>
          <w:b/>
          <w:bCs/>
          <w:sz w:val="36"/>
          <w:szCs w:val="36"/>
          <w:lang w:val="zh-CN"/>
        </w:rPr>
        <w:t>202</w:t>
      </w:r>
      <w:r>
        <w:rPr>
          <w:rFonts w:hint="eastAsia" w:ascii="方正楷体简体" w:hAnsi="Times New Roman" w:eastAsia="方正楷体简体"/>
          <w:b/>
          <w:bCs/>
          <w:sz w:val="36"/>
          <w:szCs w:val="36"/>
          <w:lang w:val="en-US" w:eastAsia="zh-CN"/>
        </w:rPr>
        <w:t>3</w:t>
      </w:r>
      <w:r>
        <w:rPr>
          <w:rFonts w:hint="eastAsia" w:ascii="方正楷体简体" w:hAnsi="Times New Roman" w:eastAsia="方正楷体简体" w:cs="方正黑体简体"/>
          <w:b/>
          <w:bCs/>
          <w:sz w:val="36"/>
          <w:szCs w:val="36"/>
          <w:lang w:val="zh-CN"/>
        </w:rPr>
        <w:t>年</w:t>
      </w:r>
    </w:p>
    <w:p>
      <w:pPr>
        <w:pStyle w:val="2"/>
        <w:ind w:firstLine="640"/>
      </w:pPr>
    </w:p>
    <w:p>
      <w:pPr>
        <w:pStyle w:val="2"/>
        <w:ind w:firstLine="471" w:firstLineChars="131"/>
        <w:jc w:val="center"/>
        <w:rPr>
          <w:rFonts w:hint="eastAsia"/>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upperRoman"/>
          <w:cols w:space="720" w:num="1"/>
          <w:docGrid w:type="lines" w:linePitch="312" w:charSpace="0"/>
        </w:sectPr>
      </w:pPr>
    </w:p>
    <w:p>
      <w:pPr>
        <w:pStyle w:val="2"/>
        <w:ind w:firstLine="471" w:firstLineChars="131"/>
        <w:jc w:val="center"/>
        <w:rPr>
          <w:sz w:val="36"/>
          <w:szCs w:val="36"/>
        </w:rPr>
      </w:pPr>
      <w:r>
        <w:rPr>
          <w:rFonts w:hint="eastAsia"/>
          <w:sz w:val="36"/>
          <w:szCs w:val="36"/>
        </w:rPr>
        <w:t xml:space="preserve">目 </w:t>
      </w:r>
      <w:r>
        <w:rPr>
          <w:sz w:val="36"/>
          <w:szCs w:val="36"/>
        </w:rPr>
        <w:t xml:space="preserve"> </w:t>
      </w:r>
      <w:r>
        <w:rPr>
          <w:rFonts w:hint="eastAsia"/>
          <w:sz w:val="36"/>
          <w:szCs w:val="36"/>
        </w:rPr>
        <w:t>录</w:t>
      </w:r>
    </w:p>
    <w:p>
      <w:pPr>
        <w:pStyle w:val="9"/>
        <w:tabs>
          <w:tab w:val="right" w:leader="dot" w:pos="8296"/>
        </w:tabs>
        <w:spacing w:line="360" w:lineRule="auto"/>
        <w:rPr>
          <w:rFonts w:ascii="等线" w:hAnsi="等线" w:eastAsia="等线"/>
          <w:sz w:val="30"/>
          <w:szCs w:val="30"/>
        </w:rPr>
      </w:pPr>
      <w:r>
        <w:rPr>
          <w:sz w:val="30"/>
          <w:szCs w:val="30"/>
        </w:rPr>
        <w:fldChar w:fldCharType="begin"/>
      </w:r>
      <w:r>
        <w:rPr>
          <w:sz w:val="30"/>
          <w:szCs w:val="30"/>
        </w:rPr>
        <w:instrText xml:space="preserve"> TOC \o "1-3" \h \z \u </w:instrText>
      </w:r>
      <w:r>
        <w:rPr>
          <w:sz w:val="30"/>
          <w:szCs w:val="30"/>
        </w:rPr>
        <w:fldChar w:fldCharType="separate"/>
      </w:r>
      <w:r>
        <w:rPr>
          <w:sz w:val="30"/>
          <w:szCs w:val="30"/>
        </w:rPr>
        <w:fldChar w:fldCharType="begin"/>
      </w:r>
      <w:r>
        <w:rPr>
          <w:rStyle w:val="15"/>
          <w:sz w:val="30"/>
          <w:szCs w:val="30"/>
        </w:rPr>
        <w:instrText xml:space="preserve"> </w:instrText>
      </w:r>
      <w:r>
        <w:rPr>
          <w:sz w:val="30"/>
          <w:szCs w:val="30"/>
        </w:rPr>
        <w:instrText xml:space="preserve">HYPERLINK \l "_Toc59736639"</w:instrText>
      </w:r>
      <w:r>
        <w:rPr>
          <w:rStyle w:val="15"/>
          <w:sz w:val="30"/>
          <w:szCs w:val="30"/>
        </w:rPr>
        <w:instrText xml:space="preserve"> </w:instrText>
      </w:r>
      <w:r>
        <w:rPr>
          <w:sz w:val="30"/>
          <w:szCs w:val="30"/>
        </w:rPr>
        <w:fldChar w:fldCharType="separate"/>
      </w:r>
      <w:r>
        <w:rPr>
          <w:rStyle w:val="15"/>
          <w:rFonts w:ascii="Times New Roman" w:hAnsi="Times New Roman" w:eastAsia="黑体"/>
          <w:kern w:val="0"/>
          <w:sz w:val="30"/>
          <w:szCs w:val="30"/>
        </w:rPr>
        <w:t>一</w:t>
      </w:r>
      <w:r>
        <w:rPr>
          <w:rStyle w:val="15"/>
          <w:rFonts w:hint="eastAsia" w:ascii="Times New Roman" w:hAnsi="Times New Roman" w:eastAsia="黑体"/>
          <w:kern w:val="0"/>
          <w:sz w:val="30"/>
          <w:szCs w:val="30"/>
          <w:lang w:eastAsia="zh-CN"/>
        </w:rPr>
        <w:t>、</w:t>
      </w:r>
      <w:r>
        <w:rPr>
          <w:rStyle w:val="15"/>
          <w:rFonts w:ascii="Times New Roman" w:hAnsi="Times New Roman" w:eastAsia="黑体"/>
          <w:kern w:val="0"/>
          <w:sz w:val="30"/>
          <w:szCs w:val="30"/>
        </w:rPr>
        <w:t>规划背景</w:t>
      </w:r>
      <w:r>
        <w:rPr>
          <w:sz w:val="30"/>
          <w:szCs w:val="30"/>
        </w:rPr>
        <w:tab/>
      </w:r>
      <w:r>
        <w:rPr>
          <w:sz w:val="30"/>
          <w:szCs w:val="30"/>
        </w:rPr>
        <w:fldChar w:fldCharType="begin"/>
      </w:r>
      <w:r>
        <w:rPr>
          <w:sz w:val="30"/>
          <w:szCs w:val="30"/>
        </w:rPr>
        <w:instrText xml:space="preserve"> PAGEREF _Toc59736639 \h </w:instrText>
      </w:r>
      <w:r>
        <w:rPr>
          <w:sz w:val="30"/>
          <w:szCs w:val="30"/>
        </w:rPr>
        <w:fldChar w:fldCharType="separate"/>
      </w:r>
      <w:r>
        <w:rPr>
          <w:sz w:val="30"/>
          <w:szCs w:val="30"/>
        </w:rPr>
        <w:t>- 1 -</w:t>
      </w:r>
      <w:r>
        <w:rPr>
          <w:sz w:val="30"/>
          <w:szCs w:val="30"/>
        </w:rPr>
        <w:fldChar w:fldCharType="end"/>
      </w:r>
      <w:r>
        <w:rPr>
          <w:sz w:val="30"/>
          <w:szCs w:val="30"/>
        </w:rPr>
        <w:fldChar w:fldCharType="end"/>
      </w:r>
    </w:p>
    <w:p>
      <w:pPr>
        <w:pStyle w:val="10"/>
        <w:tabs>
          <w:tab w:val="right" w:leader="dot" w:pos="8296"/>
        </w:tabs>
        <w:spacing w:line="360" w:lineRule="auto"/>
        <w:rPr>
          <w:rFonts w:ascii="等线" w:hAnsi="等线" w:eastAsia="等线"/>
          <w:sz w:val="30"/>
          <w:szCs w:val="30"/>
        </w:rPr>
      </w:pPr>
      <w:r>
        <w:rPr>
          <w:rFonts w:hint="eastAsia"/>
          <w:sz w:val="30"/>
          <w:szCs w:val="30"/>
          <w:lang w:eastAsia="zh-CN"/>
        </w:rPr>
        <w:t>（</w:t>
      </w:r>
      <w:r>
        <w:rPr>
          <w:rStyle w:val="15"/>
          <w:rFonts w:ascii="Times New Roman" w:hAnsi="Times New Roman" w:eastAsia="楷体_GB2312"/>
          <w:b/>
          <w:bCs/>
          <w:kern w:val="0"/>
          <w:sz w:val="30"/>
          <w:szCs w:val="30"/>
        </w:rPr>
        <w:t>一</w:t>
      </w:r>
      <w:r>
        <w:rPr>
          <w:rFonts w:hint="eastAsia"/>
          <w:sz w:val="30"/>
          <w:szCs w:val="30"/>
          <w:lang w:eastAsia="zh-CN"/>
        </w:rPr>
        <w:t>）</w:t>
      </w:r>
      <w:r>
        <w:rPr>
          <w:sz w:val="30"/>
          <w:szCs w:val="30"/>
        </w:rPr>
        <w:fldChar w:fldCharType="begin"/>
      </w:r>
      <w:r>
        <w:rPr>
          <w:rStyle w:val="15"/>
          <w:sz w:val="30"/>
          <w:szCs w:val="30"/>
        </w:rPr>
        <w:instrText xml:space="preserve"> </w:instrText>
      </w:r>
      <w:r>
        <w:rPr>
          <w:sz w:val="30"/>
          <w:szCs w:val="30"/>
        </w:rPr>
        <w:instrText xml:space="preserve">HYPERLINK \l "_Toc59736640"</w:instrText>
      </w:r>
      <w:r>
        <w:rPr>
          <w:rStyle w:val="15"/>
          <w:sz w:val="30"/>
          <w:szCs w:val="30"/>
        </w:rPr>
        <w:instrText xml:space="preserve"> </w:instrText>
      </w:r>
      <w:r>
        <w:rPr>
          <w:sz w:val="30"/>
          <w:szCs w:val="30"/>
        </w:rPr>
        <w:fldChar w:fldCharType="separate"/>
      </w:r>
      <w:r>
        <w:rPr>
          <w:rStyle w:val="15"/>
          <w:rFonts w:ascii="Times New Roman" w:hAnsi="Times New Roman" w:eastAsia="楷体_GB2312"/>
          <w:b/>
          <w:bCs/>
          <w:kern w:val="0"/>
          <w:sz w:val="30"/>
          <w:szCs w:val="30"/>
        </w:rPr>
        <w:t>发展现状</w:t>
      </w:r>
      <w:r>
        <w:rPr>
          <w:sz w:val="30"/>
          <w:szCs w:val="30"/>
        </w:rPr>
        <w:tab/>
      </w:r>
      <w:r>
        <w:rPr>
          <w:sz w:val="30"/>
          <w:szCs w:val="30"/>
        </w:rPr>
        <w:fldChar w:fldCharType="begin"/>
      </w:r>
      <w:r>
        <w:rPr>
          <w:sz w:val="30"/>
          <w:szCs w:val="30"/>
        </w:rPr>
        <w:instrText xml:space="preserve"> PAGEREF _Toc59736640 \h </w:instrText>
      </w:r>
      <w:r>
        <w:rPr>
          <w:sz w:val="30"/>
          <w:szCs w:val="30"/>
        </w:rPr>
        <w:fldChar w:fldCharType="separate"/>
      </w:r>
      <w:r>
        <w:rPr>
          <w:sz w:val="30"/>
          <w:szCs w:val="30"/>
        </w:rPr>
        <w:t>- 1 -</w:t>
      </w:r>
      <w:r>
        <w:rPr>
          <w:sz w:val="30"/>
          <w:szCs w:val="30"/>
        </w:rPr>
        <w:fldChar w:fldCharType="end"/>
      </w:r>
      <w:r>
        <w:rPr>
          <w:sz w:val="30"/>
          <w:szCs w:val="30"/>
        </w:rPr>
        <w:fldChar w:fldCharType="end"/>
      </w:r>
    </w:p>
    <w:p>
      <w:pPr>
        <w:pStyle w:val="10"/>
        <w:tabs>
          <w:tab w:val="right" w:leader="dot" w:pos="8296"/>
        </w:tabs>
        <w:spacing w:line="360" w:lineRule="auto"/>
        <w:rPr>
          <w:rFonts w:ascii="等线" w:hAnsi="等线" w:eastAsia="等线"/>
          <w:sz w:val="30"/>
          <w:szCs w:val="30"/>
        </w:rPr>
      </w:pPr>
      <w:r>
        <w:rPr>
          <w:rFonts w:hint="eastAsia"/>
          <w:sz w:val="30"/>
          <w:szCs w:val="30"/>
          <w:lang w:eastAsia="zh-CN"/>
        </w:rPr>
        <w:t>（</w:t>
      </w:r>
      <w:r>
        <w:rPr>
          <w:rStyle w:val="15"/>
          <w:rFonts w:ascii="Times New Roman" w:hAnsi="Times New Roman" w:eastAsia="楷体_GB2312"/>
          <w:b/>
          <w:bCs/>
          <w:kern w:val="0"/>
          <w:sz w:val="30"/>
          <w:szCs w:val="30"/>
        </w:rPr>
        <w:t>二</w:t>
      </w:r>
      <w:r>
        <w:rPr>
          <w:rFonts w:hint="eastAsia"/>
          <w:sz w:val="30"/>
          <w:szCs w:val="30"/>
          <w:lang w:eastAsia="zh-CN"/>
        </w:rPr>
        <w:t>）</w:t>
      </w:r>
      <w:r>
        <w:rPr>
          <w:sz w:val="30"/>
          <w:szCs w:val="30"/>
        </w:rPr>
        <w:fldChar w:fldCharType="begin"/>
      </w:r>
      <w:r>
        <w:rPr>
          <w:rStyle w:val="15"/>
          <w:sz w:val="30"/>
          <w:szCs w:val="30"/>
        </w:rPr>
        <w:instrText xml:space="preserve"> </w:instrText>
      </w:r>
      <w:r>
        <w:rPr>
          <w:sz w:val="30"/>
          <w:szCs w:val="30"/>
        </w:rPr>
        <w:instrText xml:space="preserve">HYPERLINK \l "_Toc59736644"</w:instrText>
      </w:r>
      <w:r>
        <w:rPr>
          <w:rStyle w:val="15"/>
          <w:sz w:val="30"/>
          <w:szCs w:val="30"/>
        </w:rPr>
        <w:instrText xml:space="preserve"> </w:instrText>
      </w:r>
      <w:r>
        <w:rPr>
          <w:sz w:val="30"/>
          <w:szCs w:val="30"/>
        </w:rPr>
        <w:fldChar w:fldCharType="separate"/>
      </w:r>
      <w:r>
        <w:rPr>
          <w:rStyle w:val="15"/>
          <w:rFonts w:ascii="Times New Roman" w:hAnsi="Times New Roman" w:eastAsia="楷体_GB2312"/>
          <w:b/>
          <w:bCs/>
          <w:kern w:val="0"/>
          <w:sz w:val="30"/>
          <w:szCs w:val="30"/>
        </w:rPr>
        <w:t>机遇挑战</w:t>
      </w:r>
      <w:r>
        <w:rPr>
          <w:sz w:val="30"/>
          <w:szCs w:val="30"/>
        </w:rPr>
        <w:tab/>
      </w:r>
      <w:r>
        <w:rPr>
          <w:sz w:val="30"/>
          <w:szCs w:val="30"/>
        </w:rPr>
        <w:fldChar w:fldCharType="end"/>
      </w:r>
      <w:r>
        <w:rPr>
          <w:sz w:val="30"/>
          <w:szCs w:val="30"/>
        </w:rPr>
        <w:fldChar w:fldCharType="begin"/>
      </w:r>
      <w:r>
        <w:rPr>
          <w:sz w:val="30"/>
          <w:szCs w:val="30"/>
        </w:rPr>
        <w:instrText xml:space="preserve"> PAGEREF _Toc59736640 \h </w:instrText>
      </w:r>
      <w:r>
        <w:rPr>
          <w:sz w:val="30"/>
          <w:szCs w:val="30"/>
        </w:rPr>
        <w:fldChar w:fldCharType="separate"/>
      </w:r>
      <w:r>
        <w:rPr>
          <w:sz w:val="30"/>
          <w:szCs w:val="30"/>
        </w:rPr>
        <w:t xml:space="preserve">- </w:t>
      </w:r>
      <w:r>
        <w:rPr>
          <w:rFonts w:hint="eastAsia"/>
          <w:sz w:val="30"/>
          <w:szCs w:val="30"/>
          <w:lang w:val="en-US" w:eastAsia="zh-CN"/>
        </w:rPr>
        <w:t>6</w:t>
      </w:r>
      <w:r>
        <w:rPr>
          <w:sz w:val="30"/>
          <w:szCs w:val="30"/>
        </w:rPr>
        <w:t xml:space="preserve"> -</w:t>
      </w:r>
      <w:r>
        <w:rPr>
          <w:sz w:val="30"/>
          <w:szCs w:val="30"/>
        </w:rPr>
        <w:fldChar w:fldCharType="end"/>
      </w:r>
    </w:p>
    <w:p>
      <w:pPr>
        <w:pStyle w:val="9"/>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"_Toc59736646"</w:instrText>
      </w:r>
      <w:r>
        <w:rPr>
          <w:rStyle w:val="15"/>
          <w:sz w:val="30"/>
          <w:szCs w:val="30"/>
        </w:rPr>
        <w:instrText xml:space="preserve"> </w:instrText>
      </w:r>
      <w:r>
        <w:rPr>
          <w:sz w:val="30"/>
          <w:szCs w:val="30"/>
        </w:rPr>
        <w:fldChar w:fldCharType="separate"/>
      </w:r>
      <w:r>
        <w:rPr>
          <w:rStyle w:val="15"/>
          <w:rFonts w:ascii="Times New Roman" w:hAnsi="Times New Roman" w:eastAsia="黑体"/>
          <w:kern w:val="0"/>
          <w:sz w:val="30"/>
          <w:szCs w:val="30"/>
        </w:rPr>
        <w:t>二</w:t>
      </w:r>
      <w:r>
        <w:rPr>
          <w:rStyle w:val="15"/>
          <w:rFonts w:hint="eastAsia" w:ascii="Times New Roman" w:hAnsi="Times New Roman" w:eastAsia="黑体"/>
          <w:kern w:val="0"/>
          <w:sz w:val="30"/>
          <w:szCs w:val="30"/>
          <w:lang w:eastAsia="zh-CN"/>
        </w:rPr>
        <w:t>、</w:t>
      </w:r>
      <w:r>
        <w:rPr>
          <w:rStyle w:val="15"/>
          <w:rFonts w:ascii="Times New Roman" w:hAnsi="Times New Roman" w:eastAsia="黑体"/>
          <w:kern w:val="0"/>
          <w:sz w:val="30"/>
          <w:szCs w:val="30"/>
        </w:rPr>
        <w:t>规划总则</w:t>
      </w:r>
      <w:r>
        <w:rPr>
          <w:sz w:val="30"/>
          <w:szCs w:val="30"/>
        </w:rPr>
        <w:tab/>
      </w:r>
      <w:r>
        <w:rPr>
          <w:sz w:val="30"/>
          <w:szCs w:val="30"/>
        </w:rPr>
        <w:fldChar w:fldCharType="begin"/>
      </w:r>
      <w:r>
        <w:rPr>
          <w:sz w:val="30"/>
          <w:szCs w:val="30"/>
        </w:rPr>
        <w:instrText xml:space="preserve"> PAGEREF _Toc59736646 \h </w:instrText>
      </w:r>
      <w:r>
        <w:rPr>
          <w:sz w:val="30"/>
          <w:szCs w:val="30"/>
        </w:rPr>
        <w:fldChar w:fldCharType="separate"/>
      </w:r>
      <w:r>
        <w:rPr>
          <w:sz w:val="30"/>
          <w:szCs w:val="30"/>
        </w:rPr>
        <w:t>- 9 -</w:t>
      </w:r>
      <w:r>
        <w:rPr>
          <w:sz w:val="30"/>
          <w:szCs w:val="30"/>
        </w:rPr>
        <w:fldChar w:fldCharType="end"/>
      </w:r>
      <w:r>
        <w:rPr>
          <w:sz w:val="30"/>
          <w:szCs w:val="30"/>
        </w:rPr>
        <w:fldChar w:fldCharType="end"/>
      </w:r>
    </w:p>
    <w:p>
      <w:pPr>
        <w:pStyle w:val="10"/>
        <w:tabs>
          <w:tab w:val="right" w:leader="dot" w:pos="8296"/>
        </w:tabs>
        <w:spacing w:line="360" w:lineRule="auto"/>
        <w:rPr>
          <w:rFonts w:ascii="等线" w:hAnsi="等线" w:eastAsia="等线"/>
          <w:sz w:val="30"/>
          <w:szCs w:val="30"/>
        </w:rPr>
      </w:pPr>
      <w:r>
        <w:rPr>
          <w:rFonts w:hint="eastAsia"/>
          <w:sz w:val="30"/>
          <w:szCs w:val="30"/>
          <w:lang w:eastAsia="zh-CN"/>
        </w:rPr>
        <w:t>（</w:t>
      </w:r>
      <w:r>
        <w:rPr>
          <w:rStyle w:val="15"/>
          <w:rFonts w:ascii="Times New Roman" w:hAnsi="Times New Roman" w:eastAsia="楷体_GB2312"/>
          <w:b/>
          <w:bCs/>
          <w:kern w:val="0"/>
          <w:sz w:val="30"/>
          <w:szCs w:val="30"/>
        </w:rPr>
        <w:t>一</w:t>
      </w:r>
      <w:r>
        <w:rPr>
          <w:rFonts w:hint="eastAsia"/>
          <w:sz w:val="30"/>
          <w:szCs w:val="30"/>
          <w:lang w:eastAsia="zh-CN"/>
        </w:rPr>
        <w:t>）</w:t>
      </w:r>
      <w:r>
        <w:rPr>
          <w:sz w:val="30"/>
          <w:szCs w:val="30"/>
        </w:rPr>
        <w:fldChar w:fldCharType="begin"/>
      </w:r>
      <w:r>
        <w:rPr>
          <w:rStyle w:val="15"/>
          <w:sz w:val="30"/>
          <w:szCs w:val="30"/>
        </w:rPr>
        <w:instrText xml:space="preserve"> </w:instrText>
      </w:r>
      <w:r>
        <w:rPr>
          <w:sz w:val="30"/>
          <w:szCs w:val="30"/>
        </w:rPr>
        <w:instrText xml:space="preserve">HYPERLINK \l "_Toc59736647"</w:instrText>
      </w:r>
      <w:r>
        <w:rPr>
          <w:rStyle w:val="15"/>
          <w:sz w:val="30"/>
          <w:szCs w:val="30"/>
        </w:rPr>
        <w:instrText xml:space="preserve"> </w:instrText>
      </w:r>
      <w:r>
        <w:rPr>
          <w:sz w:val="30"/>
          <w:szCs w:val="30"/>
        </w:rPr>
        <w:fldChar w:fldCharType="separate"/>
      </w:r>
      <w:r>
        <w:rPr>
          <w:rStyle w:val="15"/>
          <w:rFonts w:ascii="Times New Roman" w:hAnsi="Times New Roman" w:eastAsia="楷体_GB2312"/>
          <w:b/>
          <w:bCs/>
          <w:kern w:val="0"/>
          <w:sz w:val="30"/>
          <w:szCs w:val="30"/>
        </w:rPr>
        <w:t>指导思想</w:t>
      </w:r>
      <w:r>
        <w:rPr>
          <w:sz w:val="30"/>
          <w:szCs w:val="30"/>
        </w:rPr>
        <w:tab/>
      </w:r>
      <w:r>
        <w:rPr>
          <w:sz w:val="30"/>
          <w:szCs w:val="30"/>
        </w:rPr>
        <w:fldChar w:fldCharType="begin"/>
      </w:r>
      <w:r>
        <w:rPr>
          <w:sz w:val="30"/>
          <w:szCs w:val="30"/>
        </w:rPr>
        <w:instrText xml:space="preserve"> PAGEREF _Toc59736647 \h </w:instrText>
      </w:r>
      <w:r>
        <w:rPr>
          <w:sz w:val="30"/>
          <w:szCs w:val="30"/>
        </w:rPr>
        <w:fldChar w:fldCharType="separate"/>
      </w:r>
      <w:r>
        <w:rPr>
          <w:sz w:val="30"/>
          <w:szCs w:val="30"/>
        </w:rPr>
        <w:t>- 9 -</w:t>
      </w:r>
      <w:r>
        <w:rPr>
          <w:sz w:val="30"/>
          <w:szCs w:val="30"/>
        </w:rPr>
        <w:fldChar w:fldCharType="end"/>
      </w:r>
      <w:r>
        <w:rPr>
          <w:sz w:val="30"/>
          <w:szCs w:val="30"/>
        </w:rPr>
        <w:fldChar w:fldCharType="end"/>
      </w:r>
    </w:p>
    <w:p>
      <w:pPr>
        <w:pStyle w:val="10"/>
        <w:tabs>
          <w:tab w:val="right" w:leader="dot" w:pos="8296"/>
        </w:tabs>
        <w:spacing w:line="360" w:lineRule="auto"/>
        <w:rPr>
          <w:rFonts w:ascii="等线" w:hAnsi="等线" w:eastAsia="等线"/>
          <w:sz w:val="30"/>
          <w:szCs w:val="30"/>
        </w:rPr>
      </w:pPr>
      <w:r>
        <w:rPr>
          <w:rFonts w:hint="eastAsia"/>
          <w:sz w:val="30"/>
          <w:szCs w:val="30"/>
          <w:lang w:eastAsia="zh-CN"/>
        </w:rPr>
        <w:t>（</w:t>
      </w:r>
      <w:r>
        <w:rPr>
          <w:rStyle w:val="15"/>
          <w:rFonts w:ascii="Times New Roman" w:hAnsi="Times New Roman" w:eastAsia="楷体_GB2312"/>
          <w:b/>
          <w:bCs/>
          <w:kern w:val="0"/>
          <w:sz w:val="30"/>
          <w:szCs w:val="30"/>
        </w:rPr>
        <w:t>二</w:t>
      </w:r>
      <w:r>
        <w:rPr>
          <w:rFonts w:hint="eastAsia"/>
          <w:sz w:val="30"/>
          <w:szCs w:val="30"/>
          <w:lang w:eastAsia="zh-CN"/>
        </w:rPr>
        <w:t>）</w:t>
      </w:r>
      <w:r>
        <w:rPr>
          <w:sz w:val="30"/>
          <w:szCs w:val="30"/>
        </w:rPr>
        <w:fldChar w:fldCharType="begin"/>
      </w:r>
      <w:r>
        <w:rPr>
          <w:rStyle w:val="15"/>
          <w:sz w:val="30"/>
          <w:szCs w:val="30"/>
        </w:rPr>
        <w:instrText xml:space="preserve"> </w:instrText>
      </w:r>
      <w:r>
        <w:rPr>
          <w:sz w:val="30"/>
          <w:szCs w:val="30"/>
        </w:rPr>
        <w:instrText xml:space="preserve">HYPERLINK \l "_Toc59736648"</w:instrText>
      </w:r>
      <w:r>
        <w:rPr>
          <w:rStyle w:val="15"/>
          <w:sz w:val="30"/>
          <w:szCs w:val="30"/>
        </w:rPr>
        <w:instrText xml:space="preserve"> </w:instrText>
      </w:r>
      <w:r>
        <w:rPr>
          <w:sz w:val="30"/>
          <w:szCs w:val="30"/>
        </w:rPr>
        <w:fldChar w:fldCharType="separate"/>
      </w:r>
      <w:r>
        <w:rPr>
          <w:rStyle w:val="15"/>
          <w:rFonts w:ascii="Times New Roman" w:hAnsi="Times New Roman" w:eastAsia="楷体_GB2312"/>
          <w:b/>
          <w:bCs/>
          <w:kern w:val="0"/>
          <w:sz w:val="30"/>
          <w:szCs w:val="30"/>
        </w:rPr>
        <w:t>基本原则</w:t>
      </w:r>
      <w:r>
        <w:rPr>
          <w:sz w:val="30"/>
          <w:szCs w:val="30"/>
        </w:rPr>
        <w:tab/>
      </w:r>
      <w:r>
        <w:rPr>
          <w:sz w:val="30"/>
          <w:szCs w:val="30"/>
        </w:rPr>
        <w:fldChar w:fldCharType="begin"/>
      </w:r>
      <w:r>
        <w:rPr>
          <w:sz w:val="30"/>
          <w:szCs w:val="30"/>
        </w:rPr>
        <w:instrText xml:space="preserve"> PAGEREF _Toc59736648 \h </w:instrText>
      </w:r>
      <w:r>
        <w:rPr>
          <w:sz w:val="30"/>
          <w:szCs w:val="30"/>
        </w:rPr>
        <w:fldChar w:fldCharType="separate"/>
      </w:r>
      <w:r>
        <w:rPr>
          <w:sz w:val="30"/>
          <w:szCs w:val="30"/>
        </w:rPr>
        <w:t>- 9 -</w:t>
      </w:r>
      <w:r>
        <w:rPr>
          <w:sz w:val="30"/>
          <w:szCs w:val="30"/>
        </w:rPr>
        <w:fldChar w:fldCharType="end"/>
      </w:r>
      <w:r>
        <w:rPr>
          <w:sz w:val="30"/>
          <w:szCs w:val="30"/>
        </w:rPr>
        <w:fldChar w:fldCharType="end"/>
      </w:r>
    </w:p>
    <w:p>
      <w:pPr>
        <w:pStyle w:val="10"/>
        <w:tabs>
          <w:tab w:val="right" w:leader="dot" w:pos="8296"/>
        </w:tabs>
        <w:spacing w:line="360" w:lineRule="auto"/>
        <w:rPr>
          <w:rFonts w:ascii="等线" w:hAnsi="等线" w:eastAsia="等线"/>
          <w:sz w:val="30"/>
          <w:szCs w:val="30"/>
        </w:rPr>
      </w:pPr>
      <w:r>
        <w:rPr>
          <w:rFonts w:hint="eastAsia"/>
          <w:sz w:val="30"/>
          <w:szCs w:val="30"/>
          <w:lang w:eastAsia="zh-CN"/>
        </w:rPr>
        <w:t>（</w:t>
      </w:r>
      <w:r>
        <w:rPr>
          <w:rStyle w:val="15"/>
          <w:rFonts w:ascii="Times New Roman" w:hAnsi="Times New Roman" w:eastAsia="楷体_GB2312"/>
          <w:b/>
          <w:bCs/>
          <w:kern w:val="0"/>
          <w:sz w:val="30"/>
          <w:szCs w:val="30"/>
        </w:rPr>
        <w:t>三</w:t>
      </w:r>
      <w:r>
        <w:rPr>
          <w:rFonts w:hint="eastAsia"/>
          <w:sz w:val="30"/>
          <w:szCs w:val="30"/>
          <w:lang w:eastAsia="zh-CN"/>
        </w:rPr>
        <w:t>）</w:t>
      </w:r>
      <w:r>
        <w:rPr>
          <w:sz w:val="30"/>
          <w:szCs w:val="30"/>
        </w:rPr>
        <w:fldChar w:fldCharType="begin"/>
      </w:r>
      <w:r>
        <w:rPr>
          <w:rStyle w:val="15"/>
          <w:sz w:val="30"/>
          <w:szCs w:val="30"/>
        </w:rPr>
        <w:instrText xml:space="preserve"> </w:instrText>
      </w:r>
      <w:r>
        <w:rPr>
          <w:sz w:val="30"/>
          <w:szCs w:val="30"/>
        </w:rPr>
        <w:instrText xml:space="preserve">HYPERLINK \l "_Toc59736649"</w:instrText>
      </w:r>
      <w:r>
        <w:rPr>
          <w:rStyle w:val="15"/>
          <w:sz w:val="30"/>
          <w:szCs w:val="30"/>
        </w:rPr>
        <w:instrText xml:space="preserve"> </w:instrText>
      </w:r>
      <w:r>
        <w:rPr>
          <w:sz w:val="30"/>
          <w:szCs w:val="30"/>
        </w:rPr>
        <w:fldChar w:fldCharType="separate"/>
      </w:r>
      <w:r>
        <w:rPr>
          <w:rStyle w:val="15"/>
          <w:rFonts w:ascii="Times New Roman" w:hAnsi="Times New Roman" w:eastAsia="楷体_GB2312"/>
          <w:b/>
          <w:bCs/>
          <w:kern w:val="0"/>
          <w:sz w:val="30"/>
          <w:szCs w:val="30"/>
        </w:rPr>
        <w:t>发展目标</w:t>
      </w:r>
      <w:r>
        <w:rPr>
          <w:sz w:val="30"/>
          <w:szCs w:val="30"/>
        </w:rPr>
        <w:tab/>
      </w:r>
      <w:r>
        <w:rPr>
          <w:sz w:val="30"/>
          <w:szCs w:val="30"/>
        </w:rPr>
        <w:fldChar w:fldCharType="begin"/>
      </w:r>
      <w:r>
        <w:rPr>
          <w:sz w:val="30"/>
          <w:szCs w:val="30"/>
        </w:rPr>
        <w:instrText xml:space="preserve"> PAGEREF _Toc59736649 \h </w:instrText>
      </w:r>
      <w:r>
        <w:rPr>
          <w:sz w:val="30"/>
          <w:szCs w:val="30"/>
        </w:rPr>
        <w:fldChar w:fldCharType="separate"/>
      </w:r>
      <w:r>
        <w:rPr>
          <w:sz w:val="30"/>
          <w:szCs w:val="30"/>
        </w:rPr>
        <w:t>- 11 -</w:t>
      </w:r>
      <w:r>
        <w:rPr>
          <w:sz w:val="30"/>
          <w:szCs w:val="30"/>
        </w:rPr>
        <w:fldChar w:fldCharType="end"/>
      </w:r>
      <w:r>
        <w:rPr>
          <w:sz w:val="30"/>
          <w:szCs w:val="30"/>
        </w:rPr>
        <w:fldChar w:fldCharType="end"/>
      </w:r>
    </w:p>
    <w:p>
      <w:pPr>
        <w:pStyle w:val="9"/>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"_Toc59736650"</w:instrText>
      </w:r>
      <w:r>
        <w:rPr>
          <w:rStyle w:val="15"/>
          <w:sz w:val="30"/>
          <w:szCs w:val="30"/>
        </w:rPr>
        <w:instrText xml:space="preserve"> </w:instrText>
      </w:r>
      <w:r>
        <w:rPr>
          <w:sz w:val="30"/>
          <w:szCs w:val="30"/>
        </w:rPr>
        <w:fldChar w:fldCharType="separate"/>
      </w:r>
      <w:r>
        <w:rPr>
          <w:rStyle w:val="15"/>
          <w:rFonts w:ascii="Times New Roman" w:hAnsi="Times New Roman" w:eastAsia="黑体"/>
          <w:kern w:val="0"/>
          <w:sz w:val="30"/>
          <w:szCs w:val="30"/>
        </w:rPr>
        <w:t>三</w:t>
      </w:r>
      <w:r>
        <w:rPr>
          <w:rStyle w:val="15"/>
          <w:rFonts w:hint="eastAsia" w:ascii="Times New Roman" w:hAnsi="Times New Roman" w:eastAsia="黑体"/>
          <w:kern w:val="0"/>
          <w:sz w:val="30"/>
          <w:szCs w:val="30"/>
          <w:lang w:eastAsia="zh-CN"/>
        </w:rPr>
        <w:t>、深入实施健康安居行动</w:t>
      </w:r>
      <w:r>
        <w:rPr>
          <w:sz w:val="30"/>
          <w:szCs w:val="30"/>
        </w:rPr>
        <w:tab/>
      </w:r>
      <w:r>
        <w:rPr>
          <w:sz w:val="30"/>
          <w:szCs w:val="30"/>
        </w:rPr>
        <w:fldChar w:fldCharType="begin"/>
      </w:r>
      <w:r>
        <w:rPr>
          <w:sz w:val="30"/>
          <w:szCs w:val="30"/>
        </w:rPr>
        <w:instrText xml:space="preserve"> PAGEREF _Toc59736650 \h </w:instrText>
      </w:r>
      <w:r>
        <w:rPr>
          <w:sz w:val="30"/>
          <w:szCs w:val="30"/>
        </w:rPr>
        <w:fldChar w:fldCharType="separate"/>
      </w:r>
      <w:r>
        <w:rPr>
          <w:sz w:val="30"/>
          <w:szCs w:val="30"/>
        </w:rPr>
        <w:t>- 14 -</w:t>
      </w:r>
      <w:r>
        <w:rPr>
          <w:sz w:val="30"/>
          <w:szCs w:val="30"/>
        </w:rPr>
        <w:fldChar w:fldCharType="end"/>
      </w:r>
      <w:r>
        <w:rPr>
          <w:sz w:val="30"/>
          <w:szCs w:val="30"/>
        </w:rPr>
        <w:fldChar w:fldCharType="end"/>
      </w:r>
    </w:p>
    <w:p>
      <w:pPr>
        <w:pStyle w:val="10"/>
        <w:tabs>
          <w:tab w:val="right" w:leader="dot" w:pos="8296"/>
        </w:tabs>
        <w:spacing w:line="360" w:lineRule="auto"/>
        <w:rPr>
          <w:rFonts w:hint="eastAsia"/>
          <w:sz w:val="30"/>
          <w:szCs w:val="30"/>
          <w:lang w:eastAsia="zh-CN"/>
        </w:rPr>
      </w:pPr>
      <w:r>
        <w:rPr>
          <w:rFonts w:hint="eastAsia"/>
          <w:sz w:val="30"/>
          <w:szCs w:val="30"/>
          <w:lang w:eastAsia="zh-CN"/>
        </w:rPr>
        <w:fldChar w:fldCharType="begin"/>
      </w:r>
      <w:r>
        <w:rPr>
          <w:rFonts w:hint="eastAsia"/>
          <w:sz w:val="30"/>
          <w:szCs w:val="30"/>
          <w:lang w:eastAsia="zh-CN"/>
        </w:rPr>
        <w:instrText xml:space="preserve"> HYPERLINK \l "_Toc59736652" </w:instrText>
      </w:r>
      <w:r>
        <w:rPr>
          <w:rFonts w:hint="eastAsia"/>
          <w:sz w:val="30"/>
          <w:szCs w:val="30"/>
          <w:lang w:eastAsia="zh-CN"/>
        </w:rPr>
        <w:fldChar w:fldCharType="separate"/>
      </w:r>
      <w:r>
        <w:rPr>
          <w:rStyle w:val="15"/>
          <w:rFonts w:hint="eastAsia" w:ascii="Times New Roman" w:hAnsi="Times New Roman" w:eastAsia="楷体_GB2312"/>
          <w:b/>
          <w:bCs/>
          <w:kern w:val="0"/>
          <w:sz w:val="30"/>
          <w:szCs w:val="30"/>
          <w:lang w:eastAsia="zh-CN"/>
        </w:rPr>
        <w:t>（一）全面建设健康制度</w:t>
      </w:r>
      <w:r>
        <w:rPr>
          <w:rFonts w:hint="eastAsia"/>
          <w:sz w:val="30"/>
          <w:szCs w:val="30"/>
          <w:lang w:eastAsia="zh-CN"/>
        </w:rPr>
        <w:tab/>
      </w:r>
      <w:r>
        <w:rPr>
          <w:rFonts w:hint="eastAsia"/>
          <w:sz w:val="30"/>
          <w:szCs w:val="30"/>
          <w:lang w:eastAsia="zh-CN"/>
        </w:rPr>
        <w:fldChar w:fldCharType="begin"/>
      </w:r>
      <w:r>
        <w:rPr>
          <w:rFonts w:hint="eastAsia"/>
          <w:sz w:val="30"/>
          <w:szCs w:val="30"/>
          <w:lang w:eastAsia="zh-CN"/>
        </w:rPr>
        <w:instrText xml:space="preserve"> PAGEREF _Toc59736652 \h </w:instrText>
      </w:r>
      <w:r>
        <w:rPr>
          <w:rFonts w:hint="eastAsia"/>
          <w:sz w:val="30"/>
          <w:szCs w:val="30"/>
          <w:lang w:eastAsia="zh-CN"/>
        </w:rPr>
        <w:fldChar w:fldCharType="separate"/>
      </w:r>
      <w:r>
        <w:rPr>
          <w:rFonts w:hint="eastAsia"/>
          <w:sz w:val="30"/>
          <w:szCs w:val="30"/>
          <w:lang w:eastAsia="zh-CN"/>
        </w:rPr>
        <w:t>- 14 -</w:t>
      </w:r>
      <w:r>
        <w:rPr>
          <w:rFonts w:hint="eastAsia"/>
          <w:sz w:val="30"/>
          <w:szCs w:val="30"/>
          <w:lang w:eastAsia="zh-CN"/>
        </w:rPr>
        <w:fldChar w:fldCharType="end"/>
      </w:r>
      <w:r>
        <w:rPr>
          <w:rFonts w:hint="eastAsia"/>
          <w:sz w:val="30"/>
          <w:szCs w:val="30"/>
          <w:lang w:eastAsia="zh-CN"/>
        </w:rPr>
        <w:fldChar w:fldCharType="end"/>
      </w:r>
    </w:p>
    <w:p>
      <w:pPr>
        <w:pStyle w:val="10"/>
        <w:tabs>
          <w:tab w:val="right" w:leader="dot" w:pos="8296"/>
        </w:tabs>
        <w:spacing w:line="360" w:lineRule="auto"/>
        <w:rPr>
          <w:rFonts w:hint="eastAsia"/>
          <w:sz w:val="30"/>
          <w:szCs w:val="30"/>
          <w:lang w:eastAsia="zh-CN"/>
        </w:rPr>
      </w:pPr>
      <w:r>
        <w:rPr>
          <w:rFonts w:hint="eastAsia"/>
          <w:sz w:val="30"/>
          <w:szCs w:val="30"/>
          <w:lang w:eastAsia="zh-CN"/>
        </w:rPr>
        <w:fldChar w:fldCharType="begin"/>
      </w:r>
      <w:r>
        <w:rPr>
          <w:rFonts w:hint="eastAsia"/>
          <w:sz w:val="30"/>
          <w:szCs w:val="30"/>
          <w:lang w:eastAsia="zh-CN"/>
        </w:rPr>
        <w:instrText xml:space="preserve"> HYPERLINK \l "_Toc59736653" </w:instrText>
      </w:r>
      <w:r>
        <w:rPr>
          <w:rFonts w:hint="eastAsia"/>
          <w:sz w:val="30"/>
          <w:szCs w:val="30"/>
          <w:lang w:eastAsia="zh-CN"/>
        </w:rPr>
        <w:fldChar w:fldCharType="separate"/>
      </w:r>
      <w:r>
        <w:rPr>
          <w:rStyle w:val="15"/>
          <w:rFonts w:hint="eastAsia" w:ascii="Times New Roman" w:hAnsi="Times New Roman" w:eastAsia="楷体_GB2312"/>
          <w:b/>
          <w:bCs/>
          <w:kern w:val="0"/>
          <w:sz w:val="30"/>
          <w:szCs w:val="30"/>
          <w:lang w:eastAsia="zh-CN"/>
        </w:rPr>
        <w:t>（二）普及居民健康生活</w:t>
      </w:r>
      <w:r>
        <w:rPr>
          <w:rFonts w:hint="eastAsia"/>
          <w:sz w:val="30"/>
          <w:szCs w:val="30"/>
          <w:lang w:eastAsia="zh-CN"/>
        </w:rPr>
        <w:tab/>
      </w:r>
      <w:r>
        <w:rPr>
          <w:rFonts w:hint="eastAsia"/>
          <w:sz w:val="30"/>
          <w:szCs w:val="30"/>
          <w:lang w:eastAsia="zh-CN"/>
        </w:rPr>
        <w:fldChar w:fldCharType="begin"/>
      </w:r>
      <w:r>
        <w:rPr>
          <w:rFonts w:hint="eastAsia"/>
          <w:sz w:val="30"/>
          <w:szCs w:val="30"/>
          <w:lang w:eastAsia="zh-CN"/>
        </w:rPr>
        <w:instrText xml:space="preserve"> PAGEREF _Toc59736653 \h </w:instrText>
      </w:r>
      <w:r>
        <w:rPr>
          <w:rFonts w:hint="eastAsia"/>
          <w:sz w:val="30"/>
          <w:szCs w:val="30"/>
          <w:lang w:eastAsia="zh-CN"/>
        </w:rPr>
        <w:fldChar w:fldCharType="separate"/>
      </w:r>
      <w:r>
        <w:rPr>
          <w:rFonts w:hint="eastAsia"/>
          <w:sz w:val="30"/>
          <w:szCs w:val="30"/>
          <w:lang w:eastAsia="zh-CN"/>
        </w:rPr>
        <w:t>- 14 -</w:t>
      </w:r>
      <w:r>
        <w:rPr>
          <w:rFonts w:hint="eastAsia"/>
          <w:sz w:val="30"/>
          <w:szCs w:val="30"/>
          <w:lang w:eastAsia="zh-CN"/>
        </w:rPr>
        <w:fldChar w:fldCharType="end"/>
      </w:r>
      <w:r>
        <w:rPr>
          <w:rFonts w:hint="eastAsia"/>
          <w:sz w:val="30"/>
          <w:szCs w:val="30"/>
          <w:lang w:eastAsia="zh-CN"/>
        </w:rPr>
        <w:fldChar w:fldCharType="end"/>
      </w:r>
    </w:p>
    <w:p>
      <w:pPr>
        <w:pStyle w:val="10"/>
        <w:tabs>
          <w:tab w:val="right" w:leader="dot" w:pos="8296"/>
        </w:tabs>
        <w:spacing w:line="360" w:lineRule="auto"/>
        <w:rPr>
          <w:rFonts w:hint="eastAsia"/>
          <w:sz w:val="30"/>
          <w:szCs w:val="30"/>
          <w:lang w:eastAsia="zh-CN"/>
        </w:rPr>
      </w:pPr>
      <w:r>
        <w:rPr>
          <w:rFonts w:hint="eastAsia"/>
          <w:sz w:val="30"/>
          <w:szCs w:val="30"/>
          <w:lang w:eastAsia="zh-CN"/>
        </w:rPr>
        <w:fldChar w:fldCharType="begin"/>
      </w:r>
      <w:r>
        <w:rPr>
          <w:rFonts w:hint="eastAsia"/>
          <w:sz w:val="30"/>
          <w:szCs w:val="30"/>
          <w:lang w:eastAsia="zh-CN"/>
        </w:rPr>
        <w:instrText xml:space="preserve"> HYPERLINK \l "_Toc59736654" </w:instrText>
      </w:r>
      <w:r>
        <w:rPr>
          <w:rFonts w:hint="eastAsia"/>
          <w:sz w:val="30"/>
          <w:szCs w:val="30"/>
          <w:lang w:eastAsia="zh-CN"/>
        </w:rPr>
        <w:fldChar w:fldCharType="separate"/>
      </w:r>
      <w:r>
        <w:rPr>
          <w:rStyle w:val="15"/>
          <w:rFonts w:hint="eastAsia" w:ascii="Times New Roman" w:hAnsi="Times New Roman" w:eastAsia="楷体_GB2312"/>
          <w:b/>
          <w:bCs/>
          <w:kern w:val="0"/>
          <w:sz w:val="30"/>
          <w:szCs w:val="30"/>
          <w:lang w:eastAsia="zh-CN"/>
        </w:rPr>
        <w:t>（三）强化重大疾病预防控制</w:t>
      </w:r>
      <w:r>
        <w:rPr>
          <w:rFonts w:hint="eastAsia"/>
          <w:sz w:val="30"/>
          <w:szCs w:val="30"/>
          <w:lang w:eastAsia="zh-CN"/>
        </w:rPr>
        <w:tab/>
      </w:r>
      <w:r>
        <w:rPr>
          <w:rFonts w:hint="eastAsia"/>
          <w:sz w:val="30"/>
          <w:szCs w:val="30"/>
          <w:lang w:eastAsia="zh-CN"/>
        </w:rPr>
        <w:fldChar w:fldCharType="begin"/>
      </w:r>
      <w:r>
        <w:rPr>
          <w:rFonts w:hint="eastAsia"/>
          <w:sz w:val="30"/>
          <w:szCs w:val="30"/>
          <w:lang w:eastAsia="zh-CN"/>
        </w:rPr>
        <w:instrText xml:space="preserve"> PAGEREF _Toc59736654 \h </w:instrText>
      </w:r>
      <w:r>
        <w:rPr>
          <w:rFonts w:hint="eastAsia"/>
          <w:sz w:val="30"/>
          <w:szCs w:val="30"/>
          <w:lang w:eastAsia="zh-CN"/>
        </w:rPr>
        <w:fldChar w:fldCharType="separate"/>
      </w:r>
      <w:r>
        <w:rPr>
          <w:rFonts w:hint="eastAsia"/>
          <w:sz w:val="30"/>
          <w:szCs w:val="30"/>
          <w:lang w:eastAsia="zh-CN"/>
        </w:rPr>
        <w:t>- 15 -</w:t>
      </w:r>
      <w:r>
        <w:rPr>
          <w:rFonts w:hint="eastAsia"/>
          <w:sz w:val="30"/>
          <w:szCs w:val="30"/>
          <w:lang w:eastAsia="zh-CN"/>
        </w:rPr>
        <w:fldChar w:fldCharType="end"/>
      </w:r>
      <w:r>
        <w:rPr>
          <w:rFonts w:hint="eastAsia"/>
          <w:sz w:val="30"/>
          <w:szCs w:val="30"/>
          <w:lang w:eastAsia="zh-CN"/>
        </w:rPr>
        <w:fldChar w:fldCharType="end"/>
      </w:r>
    </w:p>
    <w:p>
      <w:pPr>
        <w:pStyle w:val="10"/>
        <w:tabs>
          <w:tab w:val="right" w:leader="dot" w:pos="8296"/>
        </w:tabs>
        <w:spacing w:line="360" w:lineRule="auto"/>
        <w:rPr>
          <w:rFonts w:ascii="等线" w:hAnsi="等线" w:eastAsia="等线"/>
          <w:sz w:val="30"/>
          <w:szCs w:val="30"/>
        </w:rPr>
      </w:pPr>
      <w:r>
        <w:rPr>
          <w:rFonts w:hint="eastAsia"/>
          <w:sz w:val="30"/>
          <w:szCs w:val="30"/>
          <w:lang w:eastAsia="zh-CN"/>
        </w:rPr>
        <w:fldChar w:fldCharType="begin"/>
      </w:r>
      <w:r>
        <w:rPr>
          <w:rFonts w:hint="eastAsia"/>
          <w:sz w:val="30"/>
          <w:szCs w:val="30"/>
          <w:lang w:eastAsia="zh-CN"/>
        </w:rPr>
        <w:instrText xml:space="preserve"> HYPERLINK \l "_Toc59736655" </w:instrText>
      </w:r>
      <w:r>
        <w:rPr>
          <w:rFonts w:hint="eastAsia"/>
          <w:sz w:val="30"/>
          <w:szCs w:val="30"/>
          <w:lang w:eastAsia="zh-CN"/>
        </w:rPr>
        <w:fldChar w:fldCharType="separate"/>
      </w:r>
      <w:r>
        <w:rPr>
          <w:rStyle w:val="15"/>
          <w:rFonts w:hint="eastAsia" w:ascii="Times New Roman" w:hAnsi="Times New Roman" w:eastAsia="楷体_GB2312"/>
          <w:b/>
          <w:bCs/>
          <w:kern w:val="0"/>
          <w:sz w:val="30"/>
          <w:szCs w:val="30"/>
          <w:lang w:eastAsia="zh-CN"/>
        </w:rPr>
        <w:t>（四）巩固爱国卫生工作成果</w:t>
      </w:r>
      <w:r>
        <w:rPr>
          <w:rFonts w:hint="eastAsia"/>
          <w:sz w:val="30"/>
          <w:szCs w:val="30"/>
          <w:lang w:eastAsia="zh-CN"/>
        </w:rPr>
        <w:tab/>
      </w:r>
      <w:r>
        <w:rPr>
          <w:rFonts w:hint="eastAsia"/>
          <w:sz w:val="30"/>
          <w:szCs w:val="30"/>
          <w:lang w:eastAsia="zh-CN"/>
        </w:rPr>
        <w:fldChar w:fldCharType="begin"/>
      </w:r>
      <w:r>
        <w:rPr>
          <w:rFonts w:hint="eastAsia"/>
          <w:sz w:val="30"/>
          <w:szCs w:val="30"/>
          <w:lang w:eastAsia="zh-CN"/>
        </w:rPr>
        <w:instrText xml:space="preserve"> PAGEREF _Toc59736655 \h </w:instrText>
      </w:r>
      <w:r>
        <w:rPr>
          <w:rFonts w:hint="eastAsia"/>
          <w:sz w:val="30"/>
          <w:szCs w:val="30"/>
          <w:lang w:eastAsia="zh-CN"/>
        </w:rPr>
        <w:fldChar w:fldCharType="separate"/>
      </w:r>
      <w:r>
        <w:rPr>
          <w:rFonts w:hint="eastAsia"/>
          <w:sz w:val="30"/>
          <w:szCs w:val="30"/>
          <w:lang w:eastAsia="zh-CN"/>
        </w:rPr>
        <w:t>- 17 -</w:t>
      </w:r>
      <w:r>
        <w:rPr>
          <w:rFonts w:hint="eastAsia"/>
          <w:sz w:val="30"/>
          <w:szCs w:val="30"/>
          <w:lang w:eastAsia="zh-CN"/>
        </w:rPr>
        <w:fldChar w:fldCharType="end"/>
      </w:r>
      <w:r>
        <w:rPr>
          <w:rFonts w:hint="eastAsia"/>
          <w:sz w:val="30"/>
          <w:szCs w:val="30"/>
          <w:lang w:eastAsia="zh-CN"/>
        </w:rPr>
        <w:fldChar w:fldCharType="end"/>
      </w:r>
    </w:p>
    <w:p>
      <w:pPr>
        <w:pStyle w:val="9"/>
        <w:tabs>
          <w:tab w:val="right" w:leader="dot" w:pos="8296"/>
        </w:tabs>
        <w:spacing w:line="360" w:lineRule="auto"/>
        <w:rPr>
          <w:sz w:val="30"/>
          <w:szCs w:val="30"/>
        </w:rPr>
      </w:pPr>
      <w:r>
        <w:rPr>
          <w:sz w:val="30"/>
          <w:szCs w:val="30"/>
          <w:lang w:val="en-US" w:eastAsia="zh-CN"/>
        </w:rPr>
        <w:fldChar w:fldCharType="begin"/>
      </w:r>
      <w:r>
        <w:rPr>
          <w:sz w:val="30"/>
          <w:szCs w:val="30"/>
          <w:lang w:val="en-US" w:eastAsia="zh-CN"/>
        </w:rPr>
        <w:instrText xml:space="preserve"> HYPERLINK \l "_Toc59736656" </w:instrText>
      </w:r>
      <w:r>
        <w:rPr>
          <w:sz w:val="30"/>
          <w:szCs w:val="30"/>
          <w:lang w:val="en-US" w:eastAsia="zh-CN"/>
        </w:rPr>
        <w:fldChar w:fldCharType="separate"/>
      </w:r>
      <w:r>
        <w:rPr>
          <w:rStyle w:val="15"/>
          <w:rFonts w:hint="eastAsia" w:ascii="Times New Roman" w:hAnsi="Times New Roman" w:eastAsia="黑体"/>
          <w:kern w:val="0"/>
          <w:sz w:val="30"/>
          <w:szCs w:val="30"/>
          <w:lang w:val="en-US" w:eastAsia="zh-CN"/>
        </w:rPr>
        <w:t>四</w:t>
      </w:r>
      <w:r>
        <w:rPr>
          <w:rStyle w:val="15"/>
          <w:rFonts w:ascii="Times New Roman" w:hAnsi="Times New Roman" w:eastAsia="黑体"/>
          <w:kern w:val="0"/>
          <w:sz w:val="30"/>
          <w:szCs w:val="30"/>
          <w:lang w:val="en-US" w:eastAsia="zh-CN"/>
        </w:rPr>
        <w:t>、完善紧密型县域医共体建设</w:t>
      </w:r>
      <w:r>
        <w:rPr>
          <w:sz w:val="30"/>
          <w:szCs w:val="30"/>
          <w:lang w:val="en-US" w:eastAsia="zh-CN"/>
        </w:rPr>
        <w:tab/>
      </w:r>
      <w:r>
        <w:rPr>
          <w:sz w:val="30"/>
          <w:szCs w:val="30"/>
          <w:lang w:val="en-US" w:eastAsia="zh-CN"/>
        </w:rPr>
        <w:fldChar w:fldCharType="begin"/>
      </w:r>
      <w:r>
        <w:rPr>
          <w:sz w:val="30"/>
          <w:szCs w:val="30"/>
          <w:lang w:val="en-US" w:eastAsia="zh-CN"/>
        </w:rPr>
        <w:instrText xml:space="preserve"> PAGEREF _Toc59736656 \h </w:instrText>
      </w:r>
      <w:r>
        <w:rPr>
          <w:sz w:val="30"/>
          <w:szCs w:val="30"/>
          <w:lang w:val="en-US" w:eastAsia="zh-CN"/>
        </w:rPr>
        <w:fldChar w:fldCharType="separate"/>
      </w:r>
      <w:r>
        <w:rPr>
          <w:sz w:val="30"/>
          <w:szCs w:val="30"/>
          <w:lang w:val="en-US" w:eastAsia="zh-CN"/>
        </w:rPr>
        <w:t>- 17 -</w:t>
      </w:r>
      <w:r>
        <w:rPr>
          <w:sz w:val="30"/>
          <w:szCs w:val="30"/>
          <w:lang w:val="en-US" w:eastAsia="zh-CN"/>
        </w:rPr>
        <w:fldChar w:fldCharType="end"/>
      </w:r>
      <w:r>
        <w:rPr>
          <w:sz w:val="30"/>
          <w:szCs w:val="30"/>
          <w:lang w:val="en-US" w:eastAsia="zh-CN"/>
        </w:rPr>
        <w:fldChar w:fldCharType="end"/>
      </w:r>
    </w:p>
    <w:p>
      <w:pPr>
        <w:pStyle w:val="6"/>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"_Toc59736657"</w:instrText>
      </w:r>
      <w:r>
        <w:rPr>
          <w:rStyle w:val="15"/>
          <w:sz w:val="30"/>
          <w:szCs w:val="30"/>
        </w:rPr>
        <w:instrText xml:space="preserve"> </w:instrText>
      </w:r>
      <w:r>
        <w:rPr>
          <w:sz w:val="30"/>
          <w:szCs w:val="30"/>
        </w:rPr>
        <w:fldChar w:fldCharType="separate"/>
      </w:r>
      <w:r>
        <w:rPr>
          <w:rStyle w:val="15"/>
          <w:rFonts w:ascii="Times New Roman" w:hAnsi="Times New Roman" w:eastAsia="楷体_GB2312"/>
          <w:kern w:val="0"/>
          <w:sz w:val="30"/>
          <w:szCs w:val="30"/>
        </w:rPr>
        <w:t>（一）优化整合型医疗服务体系运行机制</w:t>
      </w:r>
      <w:r>
        <w:rPr>
          <w:sz w:val="30"/>
          <w:szCs w:val="30"/>
        </w:rPr>
        <w:tab/>
      </w:r>
      <w:r>
        <w:rPr>
          <w:sz w:val="30"/>
          <w:szCs w:val="30"/>
        </w:rPr>
        <w:fldChar w:fldCharType="begin"/>
      </w:r>
      <w:r>
        <w:rPr>
          <w:sz w:val="30"/>
          <w:szCs w:val="30"/>
        </w:rPr>
        <w:instrText xml:space="preserve"> PAGEREF _Toc59736657 \h </w:instrText>
      </w:r>
      <w:r>
        <w:rPr>
          <w:sz w:val="30"/>
          <w:szCs w:val="30"/>
        </w:rPr>
        <w:fldChar w:fldCharType="separate"/>
      </w:r>
      <w:r>
        <w:rPr>
          <w:sz w:val="30"/>
          <w:szCs w:val="30"/>
        </w:rPr>
        <w:t>- 17 -</w:t>
      </w:r>
      <w:r>
        <w:rPr>
          <w:sz w:val="30"/>
          <w:szCs w:val="30"/>
        </w:rPr>
        <w:fldChar w:fldCharType="end"/>
      </w:r>
      <w:r>
        <w:rPr>
          <w:sz w:val="30"/>
          <w:szCs w:val="30"/>
        </w:rPr>
        <w:fldChar w:fldCharType="end"/>
      </w:r>
    </w:p>
    <w:p>
      <w:pPr>
        <w:pStyle w:val="6"/>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"_Toc59736658"</w:instrText>
      </w:r>
      <w:r>
        <w:rPr>
          <w:rStyle w:val="15"/>
          <w:sz w:val="30"/>
          <w:szCs w:val="30"/>
        </w:rPr>
        <w:instrText xml:space="preserve"> </w:instrText>
      </w:r>
      <w:r>
        <w:rPr>
          <w:sz w:val="30"/>
          <w:szCs w:val="30"/>
        </w:rPr>
        <w:fldChar w:fldCharType="separate"/>
      </w:r>
      <w:r>
        <w:rPr>
          <w:rStyle w:val="15"/>
          <w:rFonts w:ascii="Times New Roman" w:hAnsi="Times New Roman" w:eastAsia="楷体_GB2312"/>
          <w:kern w:val="0"/>
          <w:sz w:val="30"/>
          <w:szCs w:val="30"/>
        </w:rPr>
        <w:t>（二）扩大优质医疗卫生资源供给</w:t>
      </w:r>
      <w:r>
        <w:rPr>
          <w:sz w:val="30"/>
          <w:szCs w:val="30"/>
        </w:rPr>
        <w:tab/>
      </w:r>
      <w:r>
        <w:rPr>
          <w:sz w:val="30"/>
          <w:szCs w:val="30"/>
        </w:rPr>
        <w:fldChar w:fldCharType="begin"/>
      </w:r>
      <w:r>
        <w:rPr>
          <w:sz w:val="30"/>
          <w:szCs w:val="30"/>
        </w:rPr>
        <w:instrText xml:space="preserve"> PAGEREF _Toc59736658 \h </w:instrText>
      </w:r>
      <w:r>
        <w:rPr>
          <w:sz w:val="30"/>
          <w:szCs w:val="30"/>
        </w:rPr>
        <w:fldChar w:fldCharType="separate"/>
      </w:r>
      <w:r>
        <w:rPr>
          <w:sz w:val="30"/>
          <w:szCs w:val="30"/>
        </w:rPr>
        <w:t>- 18 -</w:t>
      </w:r>
      <w:r>
        <w:rPr>
          <w:sz w:val="30"/>
          <w:szCs w:val="30"/>
        </w:rPr>
        <w:fldChar w:fldCharType="end"/>
      </w:r>
      <w:r>
        <w:rPr>
          <w:sz w:val="30"/>
          <w:szCs w:val="30"/>
        </w:rPr>
        <w:fldChar w:fldCharType="end"/>
      </w:r>
    </w:p>
    <w:p>
      <w:pPr>
        <w:pStyle w:val="6"/>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"_Toc59736659"</w:instrText>
      </w:r>
      <w:r>
        <w:rPr>
          <w:rStyle w:val="15"/>
          <w:sz w:val="30"/>
          <w:szCs w:val="30"/>
        </w:rPr>
        <w:instrText xml:space="preserve"> </w:instrText>
      </w:r>
      <w:r>
        <w:rPr>
          <w:sz w:val="30"/>
          <w:szCs w:val="30"/>
        </w:rPr>
        <w:fldChar w:fldCharType="separate"/>
      </w:r>
      <w:r>
        <w:rPr>
          <w:rStyle w:val="15"/>
          <w:rFonts w:ascii="Times New Roman" w:hAnsi="Times New Roman" w:eastAsia="楷体_GB2312"/>
          <w:kern w:val="0"/>
          <w:sz w:val="30"/>
          <w:szCs w:val="30"/>
        </w:rPr>
        <w:t>（三）优化医疗服务流程</w:t>
      </w:r>
      <w:r>
        <w:rPr>
          <w:sz w:val="30"/>
          <w:szCs w:val="30"/>
        </w:rPr>
        <w:tab/>
      </w:r>
      <w:r>
        <w:rPr>
          <w:sz w:val="30"/>
          <w:szCs w:val="30"/>
        </w:rPr>
        <w:fldChar w:fldCharType="begin"/>
      </w:r>
      <w:r>
        <w:rPr>
          <w:sz w:val="30"/>
          <w:szCs w:val="30"/>
        </w:rPr>
        <w:instrText xml:space="preserve"> PAGEREF _Toc59736659 \h </w:instrText>
      </w:r>
      <w:r>
        <w:rPr>
          <w:sz w:val="30"/>
          <w:szCs w:val="30"/>
        </w:rPr>
        <w:fldChar w:fldCharType="separate"/>
      </w:r>
      <w:r>
        <w:rPr>
          <w:sz w:val="30"/>
          <w:szCs w:val="30"/>
        </w:rPr>
        <w:t>- 20 -</w:t>
      </w:r>
      <w:r>
        <w:rPr>
          <w:sz w:val="30"/>
          <w:szCs w:val="30"/>
        </w:rPr>
        <w:fldChar w:fldCharType="end"/>
      </w:r>
      <w:r>
        <w:rPr>
          <w:sz w:val="30"/>
          <w:szCs w:val="30"/>
        </w:rPr>
        <w:fldChar w:fldCharType="end"/>
      </w:r>
    </w:p>
    <w:p>
      <w:pPr>
        <w:pStyle w:val="9"/>
        <w:tabs>
          <w:tab w:val="right" w:leader="dot" w:pos="8296"/>
        </w:tabs>
        <w:spacing w:line="360" w:lineRule="auto"/>
        <w:rPr>
          <w:sz w:val="30"/>
          <w:szCs w:val="30"/>
        </w:rPr>
      </w:pPr>
      <w:r>
        <w:rPr>
          <w:sz w:val="30"/>
          <w:szCs w:val="30"/>
        </w:rPr>
        <w:fldChar w:fldCharType="begin"/>
      </w:r>
      <w:r>
        <w:rPr>
          <w:sz w:val="30"/>
          <w:szCs w:val="30"/>
        </w:rPr>
        <w:instrText xml:space="preserve"> HYPERLINK \l "_Toc59736660" </w:instrText>
      </w:r>
      <w:r>
        <w:rPr>
          <w:sz w:val="30"/>
          <w:szCs w:val="30"/>
        </w:rPr>
        <w:fldChar w:fldCharType="separate"/>
      </w:r>
      <w:r>
        <w:rPr>
          <w:rStyle w:val="15"/>
          <w:rFonts w:hint="eastAsia" w:ascii="Times New Roman" w:hAnsi="Times New Roman" w:eastAsia="黑体"/>
          <w:kern w:val="0"/>
          <w:sz w:val="30"/>
          <w:szCs w:val="30"/>
          <w:lang w:eastAsia="zh-CN"/>
        </w:rPr>
        <w:t>五</w:t>
      </w:r>
      <w:r>
        <w:rPr>
          <w:rStyle w:val="15"/>
          <w:rFonts w:ascii="Times New Roman" w:hAnsi="Times New Roman" w:eastAsia="黑体"/>
          <w:kern w:val="0"/>
          <w:sz w:val="30"/>
          <w:szCs w:val="30"/>
        </w:rPr>
        <w:t>、优化升级公共卫生服务体系</w:t>
      </w:r>
      <w:r>
        <w:rPr>
          <w:sz w:val="30"/>
          <w:szCs w:val="30"/>
        </w:rPr>
        <w:tab/>
      </w:r>
      <w:r>
        <w:rPr>
          <w:sz w:val="30"/>
          <w:szCs w:val="30"/>
        </w:rPr>
        <w:fldChar w:fldCharType="begin"/>
      </w:r>
      <w:r>
        <w:rPr>
          <w:sz w:val="30"/>
          <w:szCs w:val="30"/>
        </w:rPr>
        <w:instrText xml:space="preserve"> PAGEREF _Toc59736660 \h </w:instrText>
      </w:r>
      <w:r>
        <w:rPr>
          <w:sz w:val="30"/>
          <w:szCs w:val="30"/>
        </w:rPr>
        <w:fldChar w:fldCharType="separate"/>
      </w:r>
      <w:r>
        <w:rPr>
          <w:sz w:val="30"/>
          <w:szCs w:val="30"/>
        </w:rPr>
        <w:t>- 21 -</w:t>
      </w:r>
      <w:r>
        <w:rPr>
          <w:sz w:val="30"/>
          <w:szCs w:val="30"/>
        </w:rPr>
        <w:fldChar w:fldCharType="end"/>
      </w:r>
      <w:r>
        <w:rPr>
          <w:sz w:val="30"/>
          <w:szCs w:val="30"/>
        </w:rPr>
        <w:fldChar w:fldCharType="end"/>
      </w:r>
    </w:p>
    <w:p>
      <w:pPr>
        <w:pStyle w:val="6"/>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"_Toc59736661"</w:instrText>
      </w:r>
      <w:r>
        <w:rPr>
          <w:rStyle w:val="15"/>
          <w:sz w:val="30"/>
          <w:szCs w:val="30"/>
        </w:rPr>
        <w:instrText xml:space="preserve"> </w:instrText>
      </w:r>
      <w:r>
        <w:rPr>
          <w:sz w:val="30"/>
          <w:szCs w:val="30"/>
        </w:rPr>
        <w:fldChar w:fldCharType="separate"/>
      </w:r>
      <w:r>
        <w:rPr>
          <w:rStyle w:val="15"/>
          <w:rFonts w:ascii="Times New Roman" w:hAnsi="Times New Roman" w:eastAsia="楷体_GB2312"/>
          <w:kern w:val="0"/>
          <w:sz w:val="30"/>
          <w:szCs w:val="30"/>
        </w:rPr>
        <w:t>（一）加强专业公共卫生机构建设</w:t>
      </w:r>
      <w:r>
        <w:rPr>
          <w:sz w:val="30"/>
          <w:szCs w:val="30"/>
        </w:rPr>
        <w:tab/>
      </w:r>
      <w:r>
        <w:rPr>
          <w:sz w:val="30"/>
          <w:szCs w:val="30"/>
        </w:rPr>
        <w:fldChar w:fldCharType="begin"/>
      </w:r>
      <w:r>
        <w:rPr>
          <w:sz w:val="30"/>
          <w:szCs w:val="30"/>
        </w:rPr>
        <w:instrText xml:space="preserve"> PAGEREF _Toc59736661 \h </w:instrText>
      </w:r>
      <w:r>
        <w:rPr>
          <w:sz w:val="30"/>
          <w:szCs w:val="30"/>
        </w:rPr>
        <w:fldChar w:fldCharType="separate"/>
      </w:r>
      <w:r>
        <w:rPr>
          <w:sz w:val="30"/>
          <w:szCs w:val="30"/>
        </w:rPr>
        <w:t>- 21 -</w:t>
      </w:r>
      <w:r>
        <w:rPr>
          <w:sz w:val="30"/>
          <w:szCs w:val="30"/>
        </w:rPr>
        <w:fldChar w:fldCharType="end"/>
      </w:r>
      <w:r>
        <w:rPr>
          <w:sz w:val="30"/>
          <w:szCs w:val="30"/>
        </w:rPr>
        <w:fldChar w:fldCharType="end"/>
      </w:r>
    </w:p>
    <w:p>
      <w:pPr>
        <w:pStyle w:val="6"/>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"_Toc59736662"</w:instrText>
      </w:r>
      <w:r>
        <w:rPr>
          <w:rStyle w:val="15"/>
          <w:sz w:val="30"/>
          <w:szCs w:val="30"/>
        </w:rPr>
        <w:instrText xml:space="preserve"> </w:instrText>
      </w:r>
      <w:r>
        <w:rPr>
          <w:sz w:val="30"/>
          <w:szCs w:val="30"/>
        </w:rPr>
        <w:fldChar w:fldCharType="separate"/>
      </w:r>
      <w:r>
        <w:rPr>
          <w:rStyle w:val="15"/>
          <w:rFonts w:ascii="Times New Roman" w:hAnsi="Times New Roman" w:eastAsia="楷体_GB2312"/>
          <w:kern w:val="0"/>
          <w:sz w:val="30"/>
          <w:szCs w:val="30"/>
        </w:rPr>
        <w:t>（二）优化突发公共卫生事件应急管理</w:t>
      </w:r>
      <w:r>
        <w:rPr>
          <w:sz w:val="30"/>
          <w:szCs w:val="30"/>
        </w:rPr>
        <w:tab/>
      </w:r>
      <w:r>
        <w:rPr>
          <w:sz w:val="30"/>
          <w:szCs w:val="30"/>
        </w:rPr>
        <w:fldChar w:fldCharType="begin"/>
      </w:r>
      <w:r>
        <w:rPr>
          <w:sz w:val="30"/>
          <w:szCs w:val="30"/>
        </w:rPr>
        <w:instrText xml:space="preserve"> PAGEREF _Toc59736662 \h </w:instrText>
      </w:r>
      <w:r>
        <w:rPr>
          <w:sz w:val="30"/>
          <w:szCs w:val="30"/>
        </w:rPr>
        <w:fldChar w:fldCharType="separate"/>
      </w:r>
      <w:r>
        <w:rPr>
          <w:sz w:val="30"/>
          <w:szCs w:val="30"/>
        </w:rPr>
        <w:t>- 22 -</w:t>
      </w:r>
      <w:r>
        <w:rPr>
          <w:sz w:val="30"/>
          <w:szCs w:val="30"/>
        </w:rPr>
        <w:fldChar w:fldCharType="end"/>
      </w:r>
      <w:r>
        <w:rPr>
          <w:sz w:val="30"/>
          <w:szCs w:val="30"/>
        </w:rPr>
        <w:fldChar w:fldCharType="end"/>
      </w:r>
    </w:p>
    <w:p>
      <w:pPr>
        <w:pStyle w:val="6"/>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"_Toc59736663"</w:instrText>
      </w:r>
      <w:r>
        <w:rPr>
          <w:rStyle w:val="15"/>
          <w:sz w:val="30"/>
          <w:szCs w:val="30"/>
        </w:rPr>
        <w:instrText xml:space="preserve"> </w:instrText>
      </w:r>
      <w:r>
        <w:rPr>
          <w:sz w:val="30"/>
          <w:szCs w:val="30"/>
        </w:rPr>
        <w:fldChar w:fldCharType="separate"/>
      </w:r>
      <w:r>
        <w:rPr>
          <w:rStyle w:val="15"/>
          <w:rFonts w:ascii="Times New Roman" w:hAnsi="Times New Roman" w:eastAsia="楷体_GB2312"/>
          <w:kern w:val="0"/>
          <w:sz w:val="30"/>
          <w:szCs w:val="30"/>
        </w:rPr>
        <w:t>（三）强化精神卫生防治管理</w:t>
      </w:r>
      <w:r>
        <w:rPr>
          <w:sz w:val="30"/>
          <w:szCs w:val="30"/>
        </w:rPr>
        <w:tab/>
      </w:r>
      <w:r>
        <w:rPr>
          <w:sz w:val="30"/>
          <w:szCs w:val="30"/>
        </w:rPr>
        <w:fldChar w:fldCharType="begin"/>
      </w:r>
      <w:r>
        <w:rPr>
          <w:sz w:val="30"/>
          <w:szCs w:val="30"/>
        </w:rPr>
        <w:instrText xml:space="preserve"> PAGEREF _Toc59736663 \h </w:instrText>
      </w:r>
      <w:r>
        <w:rPr>
          <w:sz w:val="30"/>
          <w:szCs w:val="30"/>
        </w:rPr>
        <w:fldChar w:fldCharType="separate"/>
      </w:r>
      <w:r>
        <w:rPr>
          <w:sz w:val="30"/>
          <w:szCs w:val="30"/>
        </w:rPr>
        <w:t>- 23 -</w:t>
      </w:r>
      <w:r>
        <w:rPr>
          <w:sz w:val="30"/>
          <w:szCs w:val="30"/>
        </w:rPr>
        <w:fldChar w:fldCharType="end"/>
      </w:r>
      <w:r>
        <w:rPr>
          <w:sz w:val="30"/>
          <w:szCs w:val="30"/>
        </w:rPr>
        <w:fldChar w:fldCharType="end"/>
      </w:r>
    </w:p>
    <w:p>
      <w:pPr>
        <w:pStyle w:val="9"/>
        <w:tabs>
          <w:tab w:val="right" w:leader="dot" w:pos="8296"/>
        </w:tabs>
        <w:spacing w:line="360" w:lineRule="auto"/>
        <w:rPr>
          <w:rStyle w:val="15"/>
          <w:rFonts w:hint="eastAsia" w:ascii="Times New Roman" w:hAnsi="Times New Roman" w:eastAsia="黑体"/>
          <w:kern w:val="0"/>
          <w:sz w:val="30"/>
          <w:szCs w:val="30"/>
          <w:lang w:eastAsia="zh-CN"/>
        </w:rPr>
      </w:pPr>
      <w:r>
        <w:rPr>
          <w:rStyle w:val="15"/>
          <w:rFonts w:hint="eastAsia" w:ascii="Times New Roman" w:hAnsi="Times New Roman" w:eastAsia="黑体"/>
          <w:kern w:val="0"/>
          <w:sz w:val="30"/>
          <w:szCs w:val="30"/>
          <w:lang w:eastAsia="zh-CN"/>
        </w:rPr>
        <w:fldChar w:fldCharType="begin"/>
      </w:r>
      <w:r>
        <w:rPr>
          <w:rStyle w:val="15"/>
          <w:rFonts w:hint="eastAsia" w:ascii="Times New Roman" w:hAnsi="Times New Roman" w:eastAsia="黑体"/>
          <w:kern w:val="0"/>
          <w:sz w:val="30"/>
          <w:szCs w:val="30"/>
          <w:lang w:eastAsia="zh-CN"/>
        </w:rPr>
        <w:instrText xml:space="preserve"> HYPERLINK \l "_Toc59736664" </w:instrText>
      </w:r>
      <w:r>
        <w:rPr>
          <w:rStyle w:val="15"/>
          <w:rFonts w:hint="eastAsia" w:ascii="Times New Roman" w:hAnsi="Times New Roman" w:eastAsia="黑体"/>
          <w:kern w:val="0"/>
          <w:sz w:val="30"/>
          <w:szCs w:val="30"/>
          <w:lang w:eastAsia="zh-CN"/>
        </w:rPr>
        <w:fldChar w:fldCharType="separate"/>
      </w:r>
      <w:r>
        <w:rPr>
          <w:rStyle w:val="15"/>
          <w:rFonts w:hint="eastAsia" w:ascii="Times New Roman" w:hAnsi="Times New Roman" w:eastAsia="黑体"/>
          <w:kern w:val="0"/>
          <w:sz w:val="30"/>
          <w:szCs w:val="30"/>
          <w:lang w:eastAsia="zh-CN"/>
        </w:rPr>
        <w:t>六、推进妇幼保健及新时期计划生育工作</w:t>
      </w:r>
      <w:r>
        <w:rPr>
          <w:rStyle w:val="15"/>
          <w:rFonts w:hint="eastAsia" w:ascii="Times New Roman" w:hAnsi="Times New Roman" w:eastAsia="黑体"/>
          <w:kern w:val="0"/>
          <w:sz w:val="30"/>
          <w:szCs w:val="30"/>
          <w:lang w:eastAsia="zh-CN"/>
        </w:rPr>
        <w:tab/>
      </w:r>
      <w:r>
        <w:rPr>
          <w:rStyle w:val="15"/>
          <w:rFonts w:hint="eastAsia" w:ascii="Times New Roman" w:hAnsi="Times New Roman" w:eastAsia="黑体"/>
          <w:kern w:val="0"/>
          <w:sz w:val="30"/>
          <w:szCs w:val="30"/>
          <w:lang w:eastAsia="zh-CN"/>
        </w:rPr>
        <w:fldChar w:fldCharType="begin"/>
      </w:r>
      <w:r>
        <w:rPr>
          <w:rStyle w:val="15"/>
          <w:rFonts w:hint="eastAsia" w:ascii="Times New Roman" w:hAnsi="Times New Roman" w:eastAsia="黑体"/>
          <w:kern w:val="0"/>
          <w:sz w:val="30"/>
          <w:szCs w:val="30"/>
          <w:lang w:eastAsia="zh-CN"/>
        </w:rPr>
        <w:instrText xml:space="preserve"> PAGEREF _Toc59736664 \h </w:instrText>
      </w:r>
      <w:r>
        <w:rPr>
          <w:rStyle w:val="15"/>
          <w:rFonts w:hint="eastAsia" w:ascii="Times New Roman" w:hAnsi="Times New Roman" w:eastAsia="黑体"/>
          <w:kern w:val="0"/>
          <w:sz w:val="30"/>
          <w:szCs w:val="30"/>
          <w:lang w:eastAsia="zh-CN"/>
        </w:rPr>
        <w:fldChar w:fldCharType="separate"/>
      </w:r>
      <w:r>
        <w:rPr>
          <w:rStyle w:val="15"/>
          <w:rFonts w:hint="eastAsia" w:ascii="Times New Roman" w:hAnsi="Times New Roman" w:eastAsia="黑体"/>
          <w:kern w:val="0"/>
          <w:sz w:val="30"/>
          <w:szCs w:val="30"/>
          <w:lang w:eastAsia="zh-CN"/>
        </w:rPr>
        <w:t>- 24 -</w:t>
      </w:r>
      <w:r>
        <w:rPr>
          <w:rStyle w:val="15"/>
          <w:rFonts w:hint="eastAsia" w:ascii="Times New Roman" w:hAnsi="Times New Roman" w:eastAsia="黑体"/>
          <w:kern w:val="0"/>
          <w:sz w:val="30"/>
          <w:szCs w:val="30"/>
          <w:lang w:eastAsia="zh-CN"/>
        </w:rPr>
        <w:fldChar w:fldCharType="end"/>
      </w:r>
      <w:r>
        <w:rPr>
          <w:rStyle w:val="15"/>
          <w:rFonts w:hint="eastAsia" w:ascii="Times New Roman" w:hAnsi="Times New Roman" w:eastAsia="黑体"/>
          <w:kern w:val="0"/>
          <w:sz w:val="30"/>
          <w:szCs w:val="30"/>
          <w:lang w:eastAsia="zh-CN"/>
        </w:rPr>
        <w:fldChar w:fldCharType="end"/>
      </w:r>
    </w:p>
    <w:p>
      <w:pPr>
        <w:pStyle w:val="6"/>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"_Toc59736665"</w:instrText>
      </w:r>
      <w:r>
        <w:rPr>
          <w:rStyle w:val="15"/>
          <w:sz w:val="30"/>
          <w:szCs w:val="30"/>
        </w:rPr>
        <w:instrText xml:space="preserve"> </w:instrText>
      </w:r>
      <w:r>
        <w:rPr>
          <w:sz w:val="30"/>
          <w:szCs w:val="30"/>
        </w:rPr>
        <w:fldChar w:fldCharType="separate"/>
      </w:r>
      <w:r>
        <w:rPr>
          <w:rStyle w:val="15"/>
          <w:rFonts w:ascii="Times New Roman" w:hAnsi="Times New Roman" w:eastAsia="楷体_GB2312"/>
          <w:kern w:val="0"/>
          <w:sz w:val="30"/>
          <w:szCs w:val="30"/>
        </w:rPr>
        <w:t>（一）提升妇女儿童医疗卫生资源供给</w:t>
      </w:r>
      <w:r>
        <w:rPr>
          <w:sz w:val="30"/>
          <w:szCs w:val="30"/>
        </w:rPr>
        <w:tab/>
      </w:r>
      <w:r>
        <w:rPr>
          <w:sz w:val="30"/>
          <w:szCs w:val="30"/>
        </w:rPr>
        <w:fldChar w:fldCharType="begin"/>
      </w:r>
      <w:r>
        <w:rPr>
          <w:sz w:val="30"/>
          <w:szCs w:val="30"/>
        </w:rPr>
        <w:instrText xml:space="preserve"> PAGEREF _Toc59736665 \h </w:instrText>
      </w:r>
      <w:r>
        <w:rPr>
          <w:sz w:val="30"/>
          <w:szCs w:val="30"/>
        </w:rPr>
        <w:fldChar w:fldCharType="separate"/>
      </w:r>
      <w:r>
        <w:rPr>
          <w:sz w:val="30"/>
          <w:szCs w:val="30"/>
        </w:rPr>
        <w:t>- 24 -</w:t>
      </w:r>
      <w:r>
        <w:rPr>
          <w:sz w:val="30"/>
          <w:szCs w:val="30"/>
        </w:rPr>
        <w:fldChar w:fldCharType="end"/>
      </w:r>
      <w:r>
        <w:rPr>
          <w:sz w:val="30"/>
          <w:szCs w:val="30"/>
        </w:rPr>
        <w:fldChar w:fldCharType="end"/>
      </w:r>
    </w:p>
    <w:p>
      <w:pPr>
        <w:pStyle w:val="6"/>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"_Toc59736666"</w:instrText>
      </w:r>
      <w:r>
        <w:rPr>
          <w:rStyle w:val="15"/>
          <w:sz w:val="30"/>
          <w:szCs w:val="30"/>
        </w:rPr>
        <w:instrText xml:space="preserve"> </w:instrText>
      </w:r>
      <w:r>
        <w:rPr>
          <w:sz w:val="30"/>
          <w:szCs w:val="30"/>
        </w:rPr>
        <w:fldChar w:fldCharType="separate"/>
      </w:r>
      <w:r>
        <w:rPr>
          <w:rStyle w:val="15"/>
          <w:rFonts w:ascii="Times New Roman" w:hAnsi="Times New Roman" w:eastAsia="楷体_GB2312"/>
          <w:kern w:val="0"/>
          <w:sz w:val="30"/>
          <w:szCs w:val="30"/>
        </w:rPr>
        <w:t>（二）加强妇幼卫生保健与青少年健康</w:t>
      </w:r>
      <w:r>
        <w:rPr>
          <w:sz w:val="30"/>
          <w:szCs w:val="30"/>
        </w:rPr>
        <w:tab/>
      </w:r>
      <w:r>
        <w:rPr>
          <w:sz w:val="30"/>
          <w:szCs w:val="30"/>
        </w:rPr>
        <w:fldChar w:fldCharType="begin"/>
      </w:r>
      <w:r>
        <w:rPr>
          <w:sz w:val="30"/>
          <w:szCs w:val="30"/>
        </w:rPr>
        <w:instrText xml:space="preserve"> PAGEREF _Toc59736666 \h </w:instrText>
      </w:r>
      <w:r>
        <w:rPr>
          <w:sz w:val="30"/>
          <w:szCs w:val="30"/>
        </w:rPr>
        <w:fldChar w:fldCharType="separate"/>
      </w:r>
      <w:r>
        <w:rPr>
          <w:sz w:val="30"/>
          <w:szCs w:val="30"/>
        </w:rPr>
        <w:t>- 25 -</w:t>
      </w:r>
      <w:r>
        <w:rPr>
          <w:sz w:val="30"/>
          <w:szCs w:val="30"/>
        </w:rPr>
        <w:fldChar w:fldCharType="end"/>
      </w:r>
      <w:r>
        <w:rPr>
          <w:sz w:val="30"/>
          <w:szCs w:val="30"/>
        </w:rPr>
        <w:fldChar w:fldCharType="end"/>
      </w:r>
    </w:p>
    <w:p>
      <w:pPr>
        <w:pStyle w:val="6"/>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"_Toc59736667"</w:instrText>
      </w:r>
      <w:r>
        <w:rPr>
          <w:rStyle w:val="15"/>
          <w:sz w:val="30"/>
          <w:szCs w:val="30"/>
        </w:rPr>
        <w:instrText xml:space="preserve"> </w:instrText>
      </w:r>
      <w:r>
        <w:rPr>
          <w:sz w:val="30"/>
          <w:szCs w:val="30"/>
        </w:rPr>
        <w:fldChar w:fldCharType="separate"/>
      </w:r>
      <w:r>
        <w:rPr>
          <w:rStyle w:val="15"/>
          <w:rFonts w:ascii="Times New Roman" w:hAnsi="Times New Roman" w:eastAsia="楷体_GB2312"/>
          <w:kern w:val="0"/>
          <w:sz w:val="30"/>
          <w:szCs w:val="30"/>
        </w:rPr>
        <w:t>（三）完善计划生育管理与服务</w:t>
      </w:r>
      <w:r>
        <w:rPr>
          <w:sz w:val="30"/>
          <w:szCs w:val="30"/>
        </w:rPr>
        <w:tab/>
      </w:r>
      <w:r>
        <w:rPr>
          <w:sz w:val="30"/>
          <w:szCs w:val="30"/>
        </w:rPr>
        <w:fldChar w:fldCharType="begin"/>
      </w:r>
      <w:r>
        <w:rPr>
          <w:sz w:val="30"/>
          <w:szCs w:val="30"/>
        </w:rPr>
        <w:instrText xml:space="preserve"> PAGEREF _Toc59736667 \h </w:instrText>
      </w:r>
      <w:r>
        <w:rPr>
          <w:sz w:val="30"/>
          <w:szCs w:val="30"/>
        </w:rPr>
        <w:fldChar w:fldCharType="separate"/>
      </w:r>
      <w:r>
        <w:rPr>
          <w:sz w:val="30"/>
          <w:szCs w:val="30"/>
        </w:rPr>
        <w:t>- 26 -</w:t>
      </w:r>
      <w:r>
        <w:rPr>
          <w:sz w:val="30"/>
          <w:szCs w:val="30"/>
        </w:rPr>
        <w:fldChar w:fldCharType="end"/>
      </w:r>
      <w:r>
        <w:rPr>
          <w:sz w:val="30"/>
          <w:szCs w:val="30"/>
        </w:rPr>
        <w:fldChar w:fldCharType="end"/>
      </w:r>
    </w:p>
    <w:p>
      <w:pPr>
        <w:pStyle w:val="9"/>
        <w:tabs>
          <w:tab w:val="right" w:leader="dot" w:pos="8296"/>
        </w:tabs>
        <w:spacing w:line="360" w:lineRule="auto"/>
        <w:rPr>
          <w:rStyle w:val="15"/>
          <w:rFonts w:hint="eastAsia" w:ascii="Times New Roman" w:hAnsi="Times New Roman" w:eastAsia="黑体"/>
          <w:kern w:val="0"/>
          <w:sz w:val="30"/>
          <w:szCs w:val="30"/>
          <w:lang w:eastAsia="zh-CN"/>
        </w:rPr>
      </w:pPr>
      <w:r>
        <w:rPr>
          <w:rStyle w:val="15"/>
          <w:rFonts w:hint="eastAsia" w:ascii="Times New Roman" w:hAnsi="Times New Roman" w:eastAsia="黑体"/>
          <w:kern w:val="0"/>
          <w:sz w:val="30"/>
          <w:szCs w:val="30"/>
          <w:lang w:val="en-US" w:eastAsia="zh-CN"/>
        </w:rPr>
        <w:fldChar w:fldCharType="begin"/>
      </w:r>
      <w:r>
        <w:rPr>
          <w:rStyle w:val="15"/>
          <w:rFonts w:hint="eastAsia" w:ascii="Times New Roman" w:hAnsi="Times New Roman" w:eastAsia="黑体"/>
          <w:kern w:val="0"/>
          <w:sz w:val="30"/>
          <w:szCs w:val="30"/>
          <w:lang w:val="en-US" w:eastAsia="zh-CN"/>
        </w:rPr>
        <w:instrText xml:space="preserve"> HYPERLINK \l "_Toc59736668" </w:instrText>
      </w:r>
      <w:r>
        <w:rPr>
          <w:rStyle w:val="15"/>
          <w:rFonts w:hint="eastAsia" w:ascii="Times New Roman" w:hAnsi="Times New Roman" w:eastAsia="黑体"/>
          <w:kern w:val="0"/>
          <w:sz w:val="30"/>
          <w:szCs w:val="30"/>
          <w:lang w:val="en-US" w:eastAsia="zh-CN"/>
        </w:rPr>
        <w:fldChar w:fldCharType="separate"/>
      </w:r>
      <w:r>
        <w:rPr>
          <w:rStyle w:val="15"/>
          <w:rFonts w:hint="eastAsia" w:ascii="Times New Roman" w:hAnsi="Times New Roman" w:eastAsia="黑体"/>
          <w:kern w:val="0"/>
          <w:sz w:val="30"/>
          <w:szCs w:val="30"/>
          <w:lang w:val="en-US" w:eastAsia="zh-CN"/>
        </w:rPr>
        <w:t>七、促进中医药传承创新发展</w:t>
      </w:r>
      <w:r>
        <w:rPr>
          <w:rStyle w:val="15"/>
          <w:rFonts w:hint="eastAsia" w:ascii="Times New Roman" w:hAnsi="Times New Roman" w:eastAsia="黑体"/>
          <w:kern w:val="0"/>
          <w:sz w:val="30"/>
          <w:szCs w:val="30"/>
          <w:lang w:val="en-US" w:eastAsia="zh-CN"/>
        </w:rPr>
        <w:tab/>
      </w:r>
      <w:r>
        <w:rPr>
          <w:rStyle w:val="15"/>
          <w:rFonts w:hint="eastAsia" w:ascii="Times New Roman" w:hAnsi="Times New Roman" w:eastAsia="黑体"/>
          <w:kern w:val="0"/>
          <w:sz w:val="30"/>
          <w:szCs w:val="30"/>
          <w:lang w:val="en-US" w:eastAsia="zh-CN"/>
        </w:rPr>
        <w:fldChar w:fldCharType="begin"/>
      </w:r>
      <w:r>
        <w:rPr>
          <w:rStyle w:val="15"/>
          <w:rFonts w:hint="eastAsia" w:ascii="Times New Roman" w:hAnsi="Times New Roman" w:eastAsia="黑体"/>
          <w:kern w:val="0"/>
          <w:sz w:val="30"/>
          <w:szCs w:val="30"/>
          <w:lang w:val="en-US" w:eastAsia="zh-CN"/>
        </w:rPr>
        <w:instrText xml:space="preserve"> PAGEREF _Toc59736668 \h </w:instrText>
      </w:r>
      <w:r>
        <w:rPr>
          <w:rStyle w:val="15"/>
          <w:rFonts w:hint="eastAsia" w:ascii="Times New Roman" w:hAnsi="Times New Roman" w:eastAsia="黑体"/>
          <w:kern w:val="0"/>
          <w:sz w:val="30"/>
          <w:szCs w:val="30"/>
          <w:lang w:val="en-US" w:eastAsia="zh-CN"/>
        </w:rPr>
        <w:fldChar w:fldCharType="separate"/>
      </w:r>
      <w:r>
        <w:rPr>
          <w:rStyle w:val="15"/>
          <w:rFonts w:hint="eastAsia" w:ascii="Times New Roman" w:hAnsi="Times New Roman" w:eastAsia="黑体"/>
          <w:kern w:val="0"/>
          <w:sz w:val="30"/>
          <w:szCs w:val="30"/>
          <w:lang w:val="en-US" w:eastAsia="zh-CN"/>
        </w:rPr>
        <w:t>- 27 -</w:t>
      </w:r>
      <w:r>
        <w:rPr>
          <w:rStyle w:val="15"/>
          <w:rFonts w:hint="eastAsia" w:ascii="Times New Roman" w:hAnsi="Times New Roman" w:eastAsia="黑体"/>
          <w:kern w:val="0"/>
          <w:sz w:val="30"/>
          <w:szCs w:val="30"/>
          <w:lang w:val="en-US" w:eastAsia="zh-CN"/>
        </w:rPr>
        <w:fldChar w:fldCharType="end"/>
      </w:r>
      <w:r>
        <w:rPr>
          <w:rStyle w:val="15"/>
          <w:rFonts w:hint="eastAsia" w:ascii="Times New Roman" w:hAnsi="Times New Roman" w:eastAsia="黑体"/>
          <w:kern w:val="0"/>
          <w:sz w:val="30"/>
          <w:szCs w:val="30"/>
          <w:lang w:val="en-US" w:eastAsia="zh-CN"/>
        </w:rPr>
        <w:fldChar w:fldCharType="end"/>
      </w:r>
    </w:p>
    <w:p>
      <w:pPr>
        <w:pStyle w:val="6"/>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"_Toc59736669"</w:instrText>
      </w:r>
      <w:r>
        <w:rPr>
          <w:rStyle w:val="15"/>
          <w:sz w:val="30"/>
          <w:szCs w:val="30"/>
        </w:rPr>
        <w:instrText xml:space="preserve"> </w:instrText>
      </w:r>
      <w:r>
        <w:rPr>
          <w:sz w:val="30"/>
          <w:szCs w:val="30"/>
        </w:rPr>
        <w:fldChar w:fldCharType="separate"/>
      </w:r>
      <w:r>
        <w:rPr>
          <w:rStyle w:val="15"/>
          <w:rFonts w:ascii="Times New Roman" w:hAnsi="Times New Roman" w:eastAsia="楷体_GB2312"/>
          <w:kern w:val="0"/>
          <w:sz w:val="30"/>
          <w:szCs w:val="30"/>
        </w:rPr>
        <w:t>（一）提升中医药服务能力</w:t>
      </w:r>
      <w:r>
        <w:rPr>
          <w:sz w:val="30"/>
          <w:szCs w:val="30"/>
        </w:rPr>
        <w:tab/>
      </w:r>
      <w:r>
        <w:rPr>
          <w:sz w:val="30"/>
          <w:szCs w:val="30"/>
        </w:rPr>
        <w:fldChar w:fldCharType="begin"/>
      </w:r>
      <w:r>
        <w:rPr>
          <w:sz w:val="30"/>
          <w:szCs w:val="30"/>
        </w:rPr>
        <w:instrText xml:space="preserve"> PAGEREF _Toc59736669 \h </w:instrText>
      </w:r>
      <w:r>
        <w:rPr>
          <w:sz w:val="30"/>
          <w:szCs w:val="30"/>
        </w:rPr>
        <w:fldChar w:fldCharType="separate"/>
      </w:r>
      <w:r>
        <w:rPr>
          <w:sz w:val="30"/>
          <w:szCs w:val="30"/>
        </w:rPr>
        <w:t>- 27 -</w:t>
      </w:r>
      <w:r>
        <w:rPr>
          <w:sz w:val="30"/>
          <w:szCs w:val="30"/>
        </w:rPr>
        <w:fldChar w:fldCharType="end"/>
      </w:r>
      <w:r>
        <w:rPr>
          <w:sz w:val="30"/>
          <w:szCs w:val="30"/>
        </w:rPr>
        <w:fldChar w:fldCharType="end"/>
      </w:r>
    </w:p>
    <w:p>
      <w:pPr>
        <w:pStyle w:val="6"/>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"_Toc59736670"</w:instrText>
      </w:r>
      <w:r>
        <w:rPr>
          <w:rStyle w:val="15"/>
          <w:sz w:val="30"/>
          <w:szCs w:val="30"/>
        </w:rPr>
        <w:instrText xml:space="preserve"> </w:instrText>
      </w:r>
      <w:r>
        <w:rPr>
          <w:sz w:val="30"/>
          <w:szCs w:val="30"/>
        </w:rPr>
        <w:fldChar w:fldCharType="separate"/>
      </w:r>
      <w:r>
        <w:rPr>
          <w:rStyle w:val="15"/>
          <w:rFonts w:ascii="Times New Roman" w:hAnsi="Times New Roman" w:eastAsia="楷体_GB2312"/>
          <w:kern w:val="0"/>
          <w:sz w:val="30"/>
          <w:szCs w:val="30"/>
        </w:rPr>
        <w:t>（二）拓展中医健康养老服务</w:t>
      </w:r>
      <w:r>
        <w:rPr>
          <w:sz w:val="30"/>
          <w:szCs w:val="30"/>
        </w:rPr>
        <w:tab/>
      </w:r>
      <w:r>
        <w:rPr>
          <w:sz w:val="30"/>
          <w:szCs w:val="30"/>
        </w:rPr>
        <w:fldChar w:fldCharType="begin"/>
      </w:r>
      <w:r>
        <w:rPr>
          <w:sz w:val="30"/>
          <w:szCs w:val="30"/>
        </w:rPr>
        <w:instrText xml:space="preserve"> PAGEREF _Toc59736670 \h </w:instrText>
      </w:r>
      <w:r>
        <w:rPr>
          <w:sz w:val="30"/>
          <w:szCs w:val="30"/>
        </w:rPr>
        <w:fldChar w:fldCharType="separate"/>
      </w:r>
      <w:r>
        <w:rPr>
          <w:sz w:val="30"/>
          <w:szCs w:val="30"/>
        </w:rPr>
        <w:t>- 27 -</w:t>
      </w:r>
      <w:r>
        <w:rPr>
          <w:sz w:val="30"/>
          <w:szCs w:val="30"/>
        </w:rPr>
        <w:fldChar w:fldCharType="end"/>
      </w:r>
      <w:r>
        <w:rPr>
          <w:sz w:val="30"/>
          <w:szCs w:val="30"/>
        </w:rPr>
        <w:fldChar w:fldCharType="end"/>
      </w:r>
    </w:p>
    <w:p>
      <w:pPr>
        <w:pStyle w:val="6"/>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"_Toc59736671"</w:instrText>
      </w:r>
      <w:r>
        <w:rPr>
          <w:rStyle w:val="15"/>
          <w:sz w:val="30"/>
          <w:szCs w:val="30"/>
        </w:rPr>
        <w:instrText xml:space="preserve"> </w:instrText>
      </w:r>
      <w:r>
        <w:rPr>
          <w:sz w:val="30"/>
          <w:szCs w:val="30"/>
        </w:rPr>
        <w:fldChar w:fldCharType="separate"/>
      </w:r>
      <w:r>
        <w:rPr>
          <w:rStyle w:val="15"/>
          <w:rFonts w:ascii="Times New Roman" w:hAnsi="Times New Roman" w:eastAsia="楷体_GB2312"/>
          <w:kern w:val="0"/>
          <w:sz w:val="30"/>
          <w:szCs w:val="30"/>
        </w:rPr>
        <w:t>（三）推进中医药传承创新</w:t>
      </w:r>
      <w:r>
        <w:rPr>
          <w:sz w:val="30"/>
          <w:szCs w:val="30"/>
        </w:rPr>
        <w:tab/>
      </w:r>
      <w:r>
        <w:rPr>
          <w:sz w:val="30"/>
          <w:szCs w:val="30"/>
        </w:rPr>
        <w:fldChar w:fldCharType="begin"/>
      </w:r>
      <w:r>
        <w:rPr>
          <w:sz w:val="30"/>
          <w:szCs w:val="30"/>
        </w:rPr>
        <w:instrText xml:space="preserve"> PAGEREF _Toc59736671 \h </w:instrText>
      </w:r>
      <w:r>
        <w:rPr>
          <w:sz w:val="30"/>
          <w:szCs w:val="30"/>
        </w:rPr>
        <w:fldChar w:fldCharType="separate"/>
      </w:r>
      <w:r>
        <w:rPr>
          <w:sz w:val="30"/>
          <w:szCs w:val="30"/>
        </w:rPr>
        <w:t>- 28 -</w:t>
      </w:r>
      <w:r>
        <w:rPr>
          <w:sz w:val="30"/>
          <w:szCs w:val="30"/>
        </w:rPr>
        <w:fldChar w:fldCharType="end"/>
      </w:r>
      <w:r>
        <w:rPr>
          <w:sz w:val="30"/>
          <w:szCs w:val="30"/>
        </w:rPr>
        <w:fldChar w:fldCharType="end"/>
      </w:r>
    </w:p>
    <w:p>
      <w:pPr>
        <w:pStyle w:val="9"/>
        <w:tabs>
          <w:tab w:val="right" w:leader="dot" w:pos="8296"/>
        </w:tabs>
        <w:spacing w:line="360" w:lineRule="auto"/>
        <w:rPr>
          <w:rStyle w:val="15"/>
          <w:rFonts w:hint="eastAsia" w:ascii="Times New Roman" w:hAnsi="Times New Roman" w:eastAsia="黑体"/>
          <w:kern w:val="0"/>
          <w:sz w:val="30"/>
          <w:szCs w:val="30"/>
          <w:lang w:val="en-US" w:eastAsia="zh-CN"/>
        </w:rPr>
      </w:pPr>
      <w:r>
        <w:rPr>
          <w:rStyle w:val="15"/>
          <w:rFonts w:hint="eastAsia" w:ascii="Times New Roman" w:hAnsi="Times New Roman" w:eastAsia="黑体"/>
          <w:kern w:val="0"/>
          <w:sz w:val="30"/>
          <w:szCs w:val="30"/>
          <w:lang w:val="en-US" w:eastAsia="zh-CN"/>
        </w:rPr>
        <w:fldChar w:fldCharType="begin"/>
      </w:r>
      <w:r>
        <w:rPr>
          <w:rStyle w:val="15"/>
          <w:rFonts w:hint="eastAsia" w:ascii="Times New Roman" w:hAnsi="Times New Roman" w:eastAsia="黑体"/>
          <w:kern w:val="0"/>
          <w:sz w:val="30"/>
          <w:szCs w:val="30"/>
          <w:lang w:val="en-US" w:eastAsia="zh-CN"/>
        </w:rPr>
        <w:instrText xml:space="preserve"> HYPERLINK \l "_Toc59736672" </w:instrText>
      </w:r>
      <w:r>
        <w:rPr>
          <w:rStyle w:val="15"/>
          <w:rFonts w:hint="eastAsia" w:ascii="Times New Roman" w:hAnsi="Times New Roman" w:eastAsia="黑体"/>
          <w:kern w:val="0"/>
          <w:sz w:val="30"/>
          <w:szCs w:val="30"/>
          <w:lang w:val="en-US" w:eastAsia="zh-CN"/>
        </w:rPr>
        <w:fldChar w:fldCharType="separate"/>
      </w:r>
      <w:r>
        <w:rPr>
          <w:rStyle w:val="15"/>
          <w:rFonts w:hint="eastAsia" w:ascii="Times New Roman" w:hAnsi="Times New Roman" w:eastAsia="黑体"/>
          <w:kern w:val="0"/>
          <w:sz w:val="30"/>
          <w:szCs w:val="30"/>
          <w:lang w:val="en-US" w:eastAsia="zh-CN"/>
        </w:rPr>
        <w:t>八、强化卫生健康综合监管</w:t>
      </w:r>
      <w:r>
        <w:rPr>
          <w:rStyle w:val="15"/>
          <w:rFonts w:hint="eastAsia" w:ascii="Times New Roman" w:hAnsi="Times New Roman" w:eastAsia="黑体"/>
          <w:kern w:val="0"/>
          <w:sz w:val="30"/>
          <w:szCs w:val="30"/>
          <w:lang w:val="en-US" w:eastAsia="zh-CN"/>
        </w:rPr>
        <w:tab/>
      </w:r>
      <w:r>
        <w:rPr>
          <w:rStyle w:val="15"/>
          <w:rFonts w:hint="eastAsia" w:ascii="Times New Roman" w:hAnsi="Times New Roman" w:eastAsia="黑体"/>
          <w:kern w:val="0"/>
          <w:sz w:val="30"/>
          <w:szCs w:val="30"/>
          <w:lang w:val="en-US" w:eastAsia="zh-CN"/>
        </w:rPr>
        <w:fldChar w:fldCharType="begin"/>
      </w:r>
      <w:r>
        <w:rPr>
          <w:rStyle w:val="15"/>
          <w:rFonts w:hint="eastAsia" w:ascii="Times New Roman" w:hAnsi="Times New Roman" w:eastAsia="黑体"/>
          <w:kern w:val="0"/>
          <w:sz w:val="30"/>
          <w:szCs w:val="30"/>
          <w:lang w:val="en-US" w:eastAsia="zh-CN"/>
        </w:rPr>
        <w:instrText xml:space="preserve"> PAGEREF _Toc59736672 \h </w:instrText>
      </w:r>
      <w:r>
        <w:rPr>
          <w:rStyle w:val="15"/>
          <w:rFonts w:hint="eastAsia" w:ascii="Times New Roman" w:hAnsi="Times New Roman" w:eastAsia="黑体"/>
          <w:kern w:val="0"/>
          <w:sz w:val="30"/>
          <w:szCs w:val="30"/>
          <w:lang w:val="en-US" w:eastAsia="zh-CN"/>
        </w:rPr>
        <w:fldChar w:fldCharType="separate"/>
      </w:r>
      <w:r>
        <w:rPr>
          <w:rStyle w:val="15"/>
          <w:rFonts w:hint="eastAsia" w:ascii="Times New Roman" w:hAnsi="Times New Roman" w:eastAsia="黑体"/>
          <w:kern w:val="0"/>
          <w:sz w:val="30"/>
          <w:szCs w:val="30"/>
          <w:lang w:val="en-US" w:eastAsia="zh-CN"/>
        </w:rPr>
        <w:t>- 29 -</w:t>
      </w:r>
      <w:r>
        <w:rPr>
          <w:rStyle w:val="15"/>
          <w:rFonts w:hint="eastAsia" w:ascii="Times New Roman" w:hAnsi="Times New Roman" w:eastAsia="黑体"/>
          <w:kern w:val="0"/>
          <w:sz w:val="30"/>
          <w:szCs w:val="30"/>
          <w:lang w:val="en-US" w:eastAsia="zh-CN"/>
        </w:rPr>
        <w:fldChar w:fldCharType="end"/>
      </w:r>
      <w:r>
        <w:rPr>
          <w:rStyle w:val="15"/>
          <w:rFonts w:hint="eastAsia" w:ascii="Times New Roman" w:hAnsi="Times New Roman" w:eastAsia="黑体"/>
          <w:kern w:val="0"/>
          <w:sz w:val="30"/>
          <w:szCs w:val="30"/>
          <w:lang w:val="en-US" w:eastAsia="zh-CN"/>
        </w:rPr>
        <w:fldChar w:fldCharType="end"/>
      </w:r>
    </w:p>
    <w:p>
      <w:pPr>
        <w:pStyle w:val="9"/>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"_Toc59736677"</w:instrText>
      </w:r>
      <w:r>
        <w:rPr>
          <w:rStyle w:val="15"/>
          <w:sz w:val="30"/>
          <w:szCs w:val="30"/>
        </w:rPr>
        <w:instrText xml:space="preserve"> </w:instrText>
      </w:r>
      <w:r>
        <w:rPr>
          <w:sz w:val="30"/>
          <w:szCs w:val="30"/>
        </w:rPr>
        <w:fldChar w:fldCharType="separate"/>
      </w:r>
      <w:r>
        <w:rPr>
          <w:rStyle w:val="15"/>
          <w:rFonts w:hint="eastAsia" w:ascii="Times New Roman" w:hAnsi="Times New Roman" w:eastAsia="黑体"/>
          <w:kern w:val="0"/>
          <w:sz w:val="30"/>
          <w:szCs w:val="30"/>
          <w:lang w:val="en-US" w:eastAsia="zh-CN"/>
        </w:rPr>
        <w:t>九</w:t>
      </w:r>
      <w:r>
        <w:rPr>
          <w:rStyle w:val="15"/>
          <w:rFonts w:hint="eastAsia" w:ascii="Times New Roman" w:hAnsi="Times New Roman" w:eastAsia="黑体"/>
          <w:kern w:val="0"/>
          <w:sz w:val="30"/>
          <w:szCs w:val="30"/>
          <w:lang w:eastAsia="zh-CN"/>
        </w:rPr>
        <w:t>、</w:t>
      </w:r>
      <w:r>
        <w:rPr>
          <w:rStyle w:val="15"/>
          <w:rFonts w:ascii="Times New Roman" w:hAnsi="Times New Roman" w:eastAsia="黑体"/>
          <w:kern w:val="0"/>
          <w:sz w:val="30"/>
          <w:szCs w:val="30"/>
        </w:rPr>
        <w:t>保障措施</w:t>
      </w:r>
      <w:r>
        <w:rPr>
          <w:sz w:val="30"/>
          <w:szCs w:val="30"/>
        </w:rPr>
        <w:tab/>
      </w:r>
      <w:r>
        <w:rPr>
          <w:sz w:val="30"/>
          <w:szCs w:val="30"/>
        </w:rPr>
        <w:fldChar w:fldCharType="begin"/>
      </w:r>
      <w:r>
        <w:rPr>
          <w:sz w:val="30"/>
          <w:szCs w:val="30"/>
        </w:rPr>
        <w:instrText xml:space="preserve"> PAGEREF _Toc59736677 \h </w:instrText>
      </w:r>
      <w:r>
        <w:rPr>
          <w:sz w:val="30"/>
          <w:szCs w:val="30"/>
        </w:rPr>
        <w:fldChar w:fldCharType="separate"/>
      </w:r>
      <w:r>
        <w:rPr>
          <w:sz w:val="30"/>
          <w:szCs w:val="30"/>
        </w:rPr>
        <w:t>- 3</w:t>
      </w:r>
      <w:r>
        <w:rPr>
          <w:rFonts w:hint="eastAsia"/>
          <w:sz w:val="30"/>
          <w:szCs w:val="30"/>
          <w:lang w:val="en-US" w:eastAsia="zh-CN"/>
        </w:rPr>
        <w:t>1</w:t>
      </w:r>
      <w:r>
        <w:rPr>
          <w:sz w:val="30"/>
          <w:szCs w:val="30"/>
        </w:rPr>
        <w:t xml:space="preserve"> -</w:t>
      </w:r>
      <w:r>
        <w:rPr>
          <w:sz w:val="30"/>
          <w:szCs w:val="30"/>
        </w:rPr>
        <w:fldChar w:fldCharType="end"/>
      </w:r>
      <w:r>
        <w:rPr>
          <w:sz w:val="30"/>
          <w:szCs w:val="30"/>
        </w:rPr>
        <w:fldChar w:fldCharType="end"/>
      </w:r>
    </w:p>
    <w:p>
      <w:pPr>
        <w:pStyle w:val="6"/>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"_Toc59736678"</w:instrText>
      </w:r>
      <w:r>
        <w:rPr>
          <w:rStyle w:val="15"/>
          <w:sz w:val="30"/>
          <w:szCs w:val="30"/>
        </w:rPr>
        <w:instrText xml:space="preserve"> </w:instrText>
      </w:r>
      <w:r>
        <w:rPr>
          <w:sz w:val="30"/>
          <w:szCs w:val="30"/>
        </w:rPr>
        <w:fldChar w:fldCharType="separate"/>
      </w:r>
      <w:r>
        <w:rPr>
          <w:rStyle w:val="15"/>
          <w:rFonts w:ascii="Times New Roman" w:hAnsi="Times New Roman" w:eastAsia="楷体_GB2312"/>
          <w:kern w:val="0"/>
          <w:sz w:val="30"/>
          <w:szCs w:val="30"/>
        </w:rPr>
        <w:t>（一）强化政府职能，深化卫生改革</w:t>
      </w:r>
      <w:r>
        <w:rPr>
          <w:sz w:val="30"/>
          <w:szCs w:val="30"/>
        </w:rPr>
        <w:tab/>
      </w:r>
      <w:r>
        <w:rPr>
          <w:sz w:val="30"/>
          <w:szCs w:val="30"/>
        </w:rPr>
        <w:fldChar w:fldCharType="begin"/>
      </w:r>
      <w:r>
        <w:rPr>
          <w:sz w:val="30"/>
          <w:szCs w:val="30"/>
        </w:rPr>
        <w:instrText xml:space="preserve"> PAGEREF _Toc59736678 \h </w:instrText>
      </w:r>
      <w:r>
        <w:rPr>
          <w:sz w:val="30"/>
          <w:szCs w:val="30"/>
        </w:rPr>
        <w:fldChar w:fldCharType="separate"/>
      </w:r>
      <w:r>
        <w:rPr>
          <w:sz w:val="30"/>
          <w:szCs w:val="30"/>
        </w:rPr>
        <w:t>- 3</w:t>
      </w:r>
      <w:r>
        <w:rPr>
          <w:rFonts w:hint="eastAsia"/>
          <w:sz w:val="30"/>
          <w:szCs w:val="30"/>
          <w:lang w:val="en-US" w:eastAsia="zh-CN"/>
        </w:rPr>
        <w:t>1</w:t>
      </w:r>
      <w:r>
        <w:rPr>
          <w:sz w:val="30"/>
          <w:szCs w:val="30"/>
        </w:rPr>
        <w:t xml:space="preserve"> -</w:t>
      </w:r>
      <w:r>
        <w:rPr>
          <w:sz w:val="30"/>
          <w:szCs w:val="30"/>
        </w:rPr>
        <w:fldChar w:fldCharType="end"/>
      </w:r>
      <w:r>
        <w:rPr>
          <w:sz w:val="30"/>
          <w:szCs w:val="30"/>
        </w:rPr>
        <w:fldChar w:fldCharType="end"/>
      </w:r>
    </w:p>
    <w:p>
      <w:pPr>
        <w:pStyle w:val="6"/>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"_Toc59736679"</w:instrText>
      </w:r>
      <w:r>
        <w:rPr>
          <w:rStyle w:val="15"/>
          <w:sz w:val="30"/>
          <w:szCs w:val="30"/>
        </w:rPr>
        <w:instrText xml:space="preserve"> </w:instrText>
      </w:r>
      <w:r>
        <w:rPr>
          <w:sz w:val="30"/>
          <w:szCs w:val="30"/>
        </w:rPr>
        <w:fldChar w:fldCharType="separate"/>
      </w:r>
      <w:r>
        <w:rPr>
          <w:rStyle w:val="15"/>
          <w:rFonts w:ascii="Times New Roman" w:hAnsi="Times New Roman" w:eastAsia="楷体_GB2312"/>
          <w:kern w:val="0"/>
          <w:sz w:val="30"/>
          <w:szCs w:val="30"/>
        </w:rPr>
        <w:t>（二）加大政府投入，拓宽筹资渠道</w:t>
      </w:r>
      <w:r>
        <w:rPr>
          <w:sz w:val="30"/>
          <w:szCs w:val="30"/>
        </w:rPr>
        <w:tab/>
      </w:r>
      <w:r>
        <w:rPr>
          <w:sz w:val="30"/>
          <w:szCs w:val="30"/>
        </w:rPr>
        <w:fldChar w:fldCharType="begin"/>
      </w:r>
      <w:r>
        <w:rPr>
          <w:sz w:val="30"/>
          <w:szCs w:val="30"/>
        </w:rPr>
        <w:instrText xml:space="preserve"> PAGEREF _Toc59736679 \h </w:instrText>
      </w:r>
      <w:r>
        <w:rPr>
          <w:sz w:val="30"/>
          <w:szCs w:val="30"/>
        </w:rPr>
        <w:fldChar w:fldCharType="separate"/>
      </w:r>
      <w:r>
        <w:rPr>
          <w:sz w:val="30"/>
          <w:szCs w:val="30"/>
        </w:rPr>
        <w:t>- 3</w:t>
      </w:r>
      <w:r>
        <w:rPr>
          <w:rFonts w:hint="eastAsia"/>
          <w:sz w:val="30"/>
          <w:szCs w:val="30"/>
          <w:lang w:val="en-US" w:eastAsia="zh-CN"/>
        </w:rPr>
        <w:t>1</w:t>
      </w:r>
      <w:r>
        <w:rPr>
          <w:sz w:val="30"/>
          <w:szCs w:val="30"/>
        </w:rPr>
        <w:t xml:space="preserve"> -</w:t>
      </w:r>
      <w:r>
        <w:rPr>
          <w:sz w:val="30"/>
          <w:szCs w:val="30"/>
        </w:rPr>
        <w:fldChar w:fldCharType="end"/>
      </w:r>
      <w:r>
        <w:rPr>
          <w:sz w:val="30"/>
          <w:szCs w:val="30"/>
        </w:rPr>
        <w:fldChar w:fldCharType="end"/>
      </w:r>
    </w:p>
    <w:p>
      <w:pPr>
        <w:pStyle w:val="6"/>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"_Toc59736680"</w:instrText>
      </w:r>
      <w:r>
        <w:rPr>
          <w:rStyle w:val="15"/>
          <w:sz w:val="30"/>
          <w:szCs w:val="30"/>
        </w:rPr>
        <w:instrText xml:space="preserve"> </w:instrText>
      </w:r>
      <w:r>
        <w:rPr>
          <w:sz w:val="30"/>
          <w:szCs w:val="30"/>
        </w:rPr>
        <w:fldChar w:fldCharType="separate"/>
      </w:r>
      <w:r>
        <w:rPr>
          <w:rStyle w:val="15"/>
          <w:rFonts w:ascii="Times New Roman" w:hAnsi="Times New Roman" w:eastAsia="楷体_GB2312"/>
          <w:kern w:val="0"/>
          <w:sz w:val="30"/>
          <w:szCs w:val="30"/>
        </w:rPr>
        <w:t>（三）强化部门协调，形成推进合力</w:t>
      </w:r>
      <w:r>
        <w:rPr>
          <w:sz w:val="30"/>
          <w:szCs w:val="30"/>
        </w:rPr>
        <w:tab/>
      </w:r>
      <w:r>
        <w:rPr>
          <w:sz w:val="30"/>
          <w:szCs w:val="30"/>
        </w:rPr>
        <w:fldChar w:fldCharType="begin"/>
      </w:r>
      <w:r>
        <w:rPr>
          <w:sz w:val="30"/>
          <w:szCs w:val="30"/>
        </w:rPr>
        <w:instrText xml:space="preserve"> PAGEREF _Toc59736680 \h </w:instrText>
      </w:r>
      <w:r>
        <w:rPr>
          <w:sz w:val="30"/>
          <w:szCs w:val="30"/>
        </w:rPr>
        <w:fldChar w:fldCharType="separate"/>
      </w:r>
      <w:r>
        <w:rPr>
          <w:sz w:val="30"/>
          <w:szCs w:val="30"/>
        </w:rPr>
        <w:t>- 3</w:t>
      </w:r>
      <w:r>
        <w:rPr>
          <w:rFonts w:hint="eastAsia"/>
          <w:sz w:val="30"/>
          <w:szCs w:val="30"/>
          <w:lang w:val="en-US" w:eastAsia="zh-CN"/>
        </w:rPr>
        <w:t>2</w:t>
      </w:r>
      <w:r>
        <w:rPr>
          <w:sz w:val="30"/>
          <w:szCs w:val="30"/>
        </w:rPr>
        <w:t xml:space="preserve"> -</w:t>
      </w:r>
      <w:r>
        <w:rPr>
          <w:sz w:val="30"/>
          <w:szCs w:val="30"/>
        </w:rPr>
        <w:fldChar w:fldCharType="end"/>
      </w:r>
      <w:r>
        <w:rPr>
          <w:sz w:val="30"/>
          <w:szCs w:val="30"/>
        </w:rPr>
        <w:fldChar w:fldCharType="end"/>
      </w:r>
    </w:p>
    <w:p>
      <w:pPr>
        <w:pStyle w:val="6"/>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"_Toc59736681"</w:instrText>
      </w:r>
      <w:r>
        <w:rPr>
          <w:rStyle w:val="15"/>
          <w:sz w:val="30"/>
          <w:szCs w:val="30"/>
        </w:rPr>
        <w:instrText xml:space="preserve"> </w:instrText>
      </w:r>
      <w:r>
        <w:rPr>
          <w:sz w:val="30"/>
          <w:szCs w:val="30"/>
        </w:rPr>
        <w:fldChar w:fldCharType="separate"/>
      </w:r>
      <w:r>
        <w:rPr>
          <w:rStyle w:val="15"/>
          <w:rFonts w:ascii="Times New Roman" w:hAnsi="Times New Roman" w:eastAsia="楷体_GB2312"/>
          <w:kern w:val="0"/>
          <w:sz w:val="30"/>
          <w:szCs w:val="30"/>
        </w:rPr>
        <w:t>（四）突出工作重点，稳步有序推进</w:t>
      </w:r>
      <w:r>
        <w:rPr>
          <w:sz w:val="30"/>
          <w:szCs w:val="30"/>
        </w:rPr>
        <w:tab/>
      </w:r>
      <w:r>
        <w:rPr>
          <w:sz w:val="30"/>
          <w:szCs w:val="30"/>
        </w:rPr>
        <w:fldChar w:fldCharType="begin"/>
      </w:r>
      <w:r>
        <w:rPr>
          <w:sz w:val="30"/>
          <w:szCs w:val="30"/>
        </w:rPr>
        <w:instrText xml:space="preserve"> PAGEREF _Toc59736681 \h </w:instrText>
      </w:r>
      <w:r>
        <w:rPr>
          <w:sz w:val="30"/>
          <w:szCs w:val="30"/>
        </w:rPr>
        <w:fldChar w:fldCharType="separate"/>
      </w:r>
      <w:r>
        <w:rPr>
          <w:sz w:val="30"/>
          <w:szCs w:val="30"/>
        </w:rPr>
        <w:t>- 3</w:t>
      </w:r>
      <w:r>
        <w:rPr>
          <w:rFonts w:hint="eastAsia"/>
          <w:sz w:val="30"/>
          <w:szCs w:val="30"/>
          <w:lang w:val="en-US" w:eastAsia="zh-CN"/>
        </w:rPr>
        <w:t>2</w:t>
      </w:r>
      <w:r>
        <w:rPr>
          <w:sz w:val="30"/>
          <w:szCs w:val="30"/>
        </w:rPr>
        <w:t xml:space="preserve"> -</w:t>
      </w:r>
      <w:r>
        <w:rPr>
          <w:sz w:val="30"/>
          <w:szCs w:val="30"/>
        </w:rPr>
        <w:fldChar w:fldCharType="end"/>
      </w:r>
      <w:r>
        <w:rPr>
          <w:sz w:val="30"/>
          <w:szCs w:val="30"/>
        </w:rPr>
        <w:fldChar w:fldCharType="end"/>
      </w:r>
    </w:p>
    <w:p>
      <w:pPr>
        <w:pStyle w:val="6"/>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"_Toc59736682"</w:instrText>
      </w:r>
      <w:r>
        <w:rPr>
          <w:rStyle w:val="15"/>
          <w:sz w:val="30"/>
          <w:szCs w:val="30"/>
        </w:rPr>
        <w:instrText xml:space="preserve"> </w:instrText>
      </w:r>
      <w:r>
        <w:rPr>
          <w:sz w:val="30"/>
          <w:szCs w:val="30"/>
        </w:rPr>
        <w:fldChar w:fldCharType="separate"/>
      </w:r>
      <w:r>
        <w:rPr>
          <w:rStyle w:val="15"/>
          <w:rFonts w:ascii="Times New Roman" w:hAnsi="Times New Roman" w:eastAsia="楷体_GB2312"/>
          <w:kern w:val="0"/>
          <w:sz w:val="30"/>
          <w:szCs w:val="30"/>
        </w:rPr>
        <w:t>（五）提高人才素质，保障梯队建设</w:t>
      </w:r>
      <w:r>
        <w:rPr>
          <w:sz w:val="30"/>
          <w:szCs w:val="30"/>
        </w:rPr>
        <w:tab/>
      </w:r>
      <w:r>
        <w:rPr>
          <w:sz w:val="30"/>
          <w:szCs w:val="30"/>
        </w:rPr>
        <w:fldChar w:fldCharType="begin"/>
      </w:r>
      <w:r>
        <w:rPr>
          <w:sz w:val="30"/>
          <w:szCs w:val="30"/>
        </w:rPr>
        <w:instrText xml:space="preserve"> PAGEREF _Toc59736682 \h </w:instrText>
      </w:r>
      <w:r>
        <w:rPr>
          <w:sz w:val="30"/>
          <w:szCs w:val="30"/>
        </w:rPr>
        <w:fldChar w:fldCharType="separate"/>
      </w:r>
      <w:r>
        <w:rPr>
          <w:sz w:val="30"/>
          <w:szCs w:val="30"/>
        </w:rPr>
        <w:t>- 3</w:t>
      </w:r>
      <w:r>
        <w:rPr>
          <w:rFonts w:hint="eastAsia"/>
          <w:sz w:val="30"/>
          <w:szCs w:val="30"/>
          <w:lang w:val="en-US" w:eastAsia="zh-CN"/>
        </w:rPr>
        <w:t>2</w:t>
      </w:r>
      <w:r>
        <w:rPr>
          <w:sz w:val="30"/>
          <w:szCs w:val="30"/>
        </w:rPr>
        <w:t xml:space="preserve"> -</w:t>
      </w:r>
      <w:r>
        <w:rPr>
          <w:sz w:val="30"/>
          <w:szCs w:val="30"/>
        </w:rPr>
        <w:fldChar w:fldCharType="end"/>
      </w:r>
      <w:r>
        <w:rPr>
          <w:sz w:val="30"/>
          <w:szCs w:val="30"/>
        </w:rPr>
        <w:fldChar w:fldCharType="end"/>
      </w:r>
    </w:p>
    <w:p>
      <w:pPr>
        <w:pStyle w:val="6"/>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"_Toc59736683"</w:instrText>
      </w:r>
      <w:r>
        <w:rPr>
          <w:rStyle w:val="15"/>
          <w:sz w:val="30"/>
          <w:szCs w:val="30"/>
        </w:rPr>
        <w:instrText xml:space="preserve"> </w:instrText>
      </w:r>
      <w:r>
        <w:rPr>
          <w:sz w:val="30"/>
          <w:szCs w:val="30"/>
        </w:rPr>
        <w:fldChar w:fldCharType="separate"/>
      </w:r>
      <w:r>
        <w:rPr>
          <w:rStyle w:val="15"/>
          <w:rFonts w:ascii="Times New Roman" w:hAnsi="Times New Roman" w:eastAsia="楷体_GB2312"/>
          <w:kern w:val="0"/>
          <w:sz w:val="30"/>
          <w:szCs w:val="30"/>
        </w:rPr>
        <w:t>（六）优化法制环境，营造良好氛围</w:t>
      </w:r>
      <w:r>
        <w:rPr>
          <w:sz w:val="30"/>
          <w:szCs w:val="30"/>
        </w:rPr>
        <w:tab/>
      </w:r>
      <w:r>
        <w:rPr>
          <w:sz w:val="30"/>
          <w:szCs w:val="30"/>
        </w:rPr>
        <w:fldChar w:fldCharType="begin"/>
      </w:r>
      <w:r>
        <w:rPr>
          <w:sz w:val="30"/>
          <w:szCs w:val="30"/>
        </w:rPr>
        <w:instrText xml:space="preserve"> PAGEREF _Toc59736683 \h </w:instrText>
      </w:r>
      <w:r>
        <w:rPr>
          <w:sz w:val="30"/>
          <w:szCs w:val="30"/>
        </w:rPr>
        <w:fldChar w:fldCharType="separate"/>
      </w:r>
      <w:r>
        <w:rPr>
          <w:sz w:val="30"/>
          <w:szCs w:val="30"/>
        </w:rPr>
        <w:t>- 3</w:t>
      </w:r>
      <w:r>
        <w:rPr>
          <w:rFonts w:hint="eastAsia"/>
          <w:sz w:val="30"/>
          <w:szCs w:val="30"/>
          <w:lang w:val="en-US" w:eastAsia="zh-CN"/>
        </w:rPr>
        <w:t>3</w:t>
      </w:r>
      <w:r>
        <w:rPr>
          <w:sz w:val="30"/>
          <w:szCs w:val="30"/>
        </w:rPr>
        <w:t xml:space="preserve"> -</w:t>
      </w:r>
      <w:r>
        <w:rPr>
          <w:sz w:val="30"/>
          <w:szCs w:val="30"/>
        </w:rPr>
        <w:fldChar w:fldCharType="end"/>
      </w:r>
      <w:r>
        <w:rPr>
          <w:sz w:val="30"/>
          <w:szCs w:val="30"/>
        </w:rPr>
        <w:fldChar w:fldCharType="end"/>
      </w:r>
    </w:p>
    <w:p>
      <w:pPr>
        <w:pStyle w:val="6"/>
        <w:tabs>
          <w:tab w:val="right" w:leader="dot" w:pos="8296"/>
        </w:tabs>
        <w:spacing w:line="360" w:lineRule="auto"/>
        <w:rPr>
          <w:rFonts w:ascii="等线" w:hAnsi="等线" w:eastAsia="等线"/>
          <w:sz w:val="30"/>
          <w:szCs w:val="30"/>
        </w:rPr>
      </w:pPr>
      <w:r>
        <w:rPr>
          <w:sz w:val="30"/>
          <w:szCs w:val="30"/>
        </w:rPr>
        <w:fldChar w:fldCharType="begin"/>
      </w:r>
      <w:r>
        <w:rPr>
          <w:rStyle w:val="15"/>
          <w:sz w:val="30"/>
          <w:szCs w:val="30"/>
        </w:rPr>
        <w:instrText xml:space="preserve"> </w:instrText>
      </w:r>
      <w:r>
        <w:rPr>
          <w:sz w:val="30"/>
          <w:szCs w:val="30"/>
        </w:rPr>
        <w:instrText xml:space="preserve">HYPERLINK \l "_Toc59736684"</w:instrText>
      </w:r>
      <w:r>
        <w:rPr>
          <w:rStyle w:val="15"/>
          <w:sz w:val="30"/>
          <w:szCs w:val="30"/>
        </w:rPr>
        <w:instrText xml:space="preserve"> </w:instrText>
      </w:r>
      <w:r>
        <w:rPr>
          <w:sz w:val="30"/>
          <w:szCs w:val="30"/>
        </w:rPr>
        <w:fldChar w:fldCharType="separate"/>
      </w:r>
      <w:r>
        <w:rPr>
          <w:rStyle w:val="15"/>
          <w:rFonts w:ascii="Times New Roman" w:hAnsi="Times New Roman" w:eastAsia="楷体_GB2312"/>
          <w:kern w:val="0"/>
          <w:sz w:val="30"/>
          <w:szCs w:val="30"/>
        </w:rPr>
        <w:t>（七）注重行风建设，创建和谐服务</w:t>
      </w:r>
      <w:r>
        <w:rPr>
          <w:sz w:val="30"/>
          <w:szCs w:val="30"/>
        </w:rPr>
        <w:tab/>
      </w:r>
      <w:r>
        <w:rPr>
          <w:sz w:val="30"/>
          <w:szCs w:val="30"/>
        </w:rPr>
        <w:fldChar w:fldCharType="begin"/>
      </w:r>
      <w:r>
        <w:rPr>
          <w:sz w:val="30"/>
          <w:szCs w:val="30"/>
        </w:rPr>
        <w:instrText xml:space="preserve"> PAGEREF _Toc59736684 \h </w:instrText>
      </w:r>
      <w:r>
        <w:rPr>
          <w:sz w:val="30"/>
          <w:szCs w:val="30"/>
        </w:rPr>
        <w:fldChar w:fldCharType="separate"/>
      </w:r>
      <w:r>
        <w:rPr>
          <w:sz w:val="30"/>
          <w:szCs w:val="30"/>
        </w:rPr>
        <w:t>- 3</w:t>
      </w:r>
      <w:r>
        <w:rPr>
          <w:rFonts w:hint="eastAsia"/>
          <w:sz w:val="30"/>
          <w:szCs w:val="30"/>
          <w:lang w:val="en-US" w:eastAsia="zh-CN"/>
        </w:rPr>
        <w:t>3</w:t>
      </w:r>
      <w:r>
        <w:rPr>
          <w:sz w:val="30"/>
          <w:szCs w:val="30"/>
        </w:rPr>
        <w:t xml:space="preserve"> -</w:t>
      </w:r>
      <w:r>
        <w:rPr>
          <w:sz w:val="30"/>
          <w:szCs w:val="30"/>
        </w:rPr>
        <w:fldChar w:fldCharType="end"/>
      </w:r>
      <w:r>
        <w:rPr>
          <w:sz w:val="30"/>
          <w:szCs w:val="30"/>
        </w:rPr>
        <w:fldChar w:fldCharType="end"/>
      </w:r>
    </w:p>
    <w:p>
      <w:pPr>
        <w:pStyle w:val="2"/>
        <w:spacing w:line="360" w:lineRule="auto"/>
        <w:ind w:firstLine="600"/>
      </w:pPr>
      <w:r>
        <w:rPr>
          <w:sz w:val="30"/>
          <w:szCs w:val="30"/>
        </w:rPr>
        <w:fldChar w:fldCharType="end"/>
      </w:r>
    </w:p>
    <w:p>
      <w:pPr>
        <w:pStyle w:val="2"/>
        <w:ind w:firstLine="640"/>
      </w:pPr>
    </w:p>
    <w:p>
      <w:pPr>
        <w:pStyle w:val="2"/>
        <w:ind w:firstLine="640"/>
      </w:pPr>
    </w:p>
    <w:p>
      <w:pPr>
        <w:jc w:val="center"/>
        <w:rPr>
          <w:rFonts w:hint="eastAsia" w:ascii="方正小标宋简体" w:hAnsi="方正小标宋简体" w:eastAsia="方正小标宋简体" w:cs="方正小标宋简体"/>
          <w:b/>
          <w:bCs/>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遂宁市安居区“十四五”卫生健康发展规划</w:t>
      </w:r>
    </w:p>
    <w:p>
      <w:pPr>
        <w:ind w:firstLine="600" w:firstLineChars="200"/>
        <w:rPr>
          <w:rFonts w:hint="eastAsia" w:ascii="华文仿宋" w:hAnsi="华文仿宋" w:eastAsia="华文仿宋" w:cs="华文仿宋"/>
          <w:color w:val="202020"/>
          <w:sz w:val="30"/>
          <w:szCs w:val="30"/>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“十四五”时期，是全面深化医药卫生健康事业改革、推动我区医药卫生健康事业高质量发展的关键时期，更是优化我区医药卫生健康事业体系，促进医药卫生健康事业全面、协调、可持续发展的重要时期。为</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全方位全周期保障人民健康，不断提高人民健康水平，</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进一步明确“十四五”时期医药卫生健康事业发展目标、主要任务，落实保障措施，使我区医药卫生健康事业与国民经济和社会发展同步，根据《四川省“十四五”卫生健康发展规划》《遂宁市“十四五”卫生健康发展规划》《遂宁市安居区国民经济和社会发展第十四个五年规划和二〇三五年远景目标纲要》和《“健康安居2030”规划纲要》，结合我区工作实际，制定本规划，规划期限为2021—2025年。</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黑体" w:hAnsi="宋体" w:eastAsia="黑体" w:cs="黑体"/>
          <w:i w:val="0"/>
          <w:iCs w:val="0"/>
          <w:caps w:val="0"/>
          <w:color w:val="333333"/>
          <w:spacing w:val="0"/>
          <w:kern w:val="0"/>
          <w:sz w:val="32"/>
          <w:szCs w:val="32"/>
          <w:shd w:val="clear" w:fill="FFFFFF"/>
          <w:lang w:val="en-US" w:eastAsia="zh-CN" w:bidi="ar"/>
        </w:rPr>
      </w:pPr>
      <w:bookmarkStart w:id="0" w:name="_Toc59736639"/>
      <w:r>
        <w:rPr>
          <w:rFonts w:hint="eastAsia" w:ascii="黑体" w:hAnsi="宋体" w:eastAsia="黑体" w:cs="黑体"/>
          <w:i w:val="0"/>
          <w:iCs w:val="0"/>
          <w:caps w:val="0"/>
          <w:color w:val="333333"/>
          <w:spacing w:val="0"/>
          <w:kern w:val="0"/>
          <w:sz w:val="32"/>
          <w:szCs w:val="32"/>
          <w:shd w:val="clear" w:fill="FFFFFF"/>
          <w:lang w:val="en-US" w:eastAsia="zh-CN" w:bidi="ar"/>
        </w:rPr>
        <w:t>一、规划背景</w:t>
      </w:r>
      <w:bookmarkEnd w:id="0"/>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right="0" w:firstLine="643" w:firstLineChars="200"/>
        <w:jc w:val="both"/>
        <w:textAlignment w:val="auto"/>
        <w:rPr>
          <w:rFonts w:hint="eastAsia" w:ascii="楷体_GB2312" w:hAnsi="Times New Roman" w:eastAsia="楷体_GB2312" w:cs="楷体_GB2312"/>
          <w:b/>
          <w:bCs/>
          <w:i w:val="0"/>
          <w:iCs w:val="0"/>
          <w:caps w:val="0"/>
          <w:color w:val="333333"/>
          <w:spacing w:val="0"/>
          <w:kern w:val="0"/>
          <w:sz w:val="32"/>
          <w:szCs w:val="32"/>
          <w:shd w:val="clear" w:fill="FFFFFF"/>
          <w:lang w:val="en-US" w:eastAsia="zh-CN" w:bidi="ar"/>
        </w:rPr>
      </w:pPr>
      <w:bookmarkStart w:id="1" w:name="_Toc59736640"/>
      <w:r>
        <w:rPr>
          <w:rFonts w:hint="eastAsia" w:ascii="楷体_GB2312" w:hAnsi="Times New Roman" w:eastAsia="楷体_GB2312" w:cs="楷体_GB2312"/>
          <w:b/>
          <w:bCs/>
          <w:i w:val="0"/>
          <w:iCs w:val="0"/>
          <w:caps w:val="0"/>
          <w:color w:val="333333"/>
          <w:spacing w:val="0"/>
          <w:kern w:val="0"/>
          <w:sz w:val="32"/>
          <w:szCs w:val="32"/>
          <w:shd w:val="clear" w:fill="FFFFFF"/>
          <w:lang w:val="en-US" w:eastAsia="zh-CN" w:bidi="ar"/>
        </w:rPr>
        <w:t>（一）发展现状</w:t>
      </w:r>
      <w:bookmarkEnd w:id="1"/>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十三五”时期，在区委、区政府的坚强领导下，我区坚持把人民健康放在优先发展的战略位置，以维护和增进人民群众健康为宗旨，贯彻新时代卫生与健康工作方针，持续深化医药卫生体制改革，着眼于实现人人享有基本医疗卫生服务的目标，逐步形成以健康为中心的卫生服务体系，居民健康水平有效提升，为继续推进“十四五”时期的全面深化医疗卫生健康事业改革，实现我区医药卫生健康事业跨越式发展奠定了坚实基础。</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1.居民健康水平持续提升。</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建立完善健康安居行动组织机构，实施《“健康安居2030”规划》，全面推进健康安居行动，居民主要健康指标持续向好。进一步完善公共卫生服务体系，实施一批重点项目，扩大妇幼公共卫生项目覆盖范围，严重精神障碍患者管理安居经验在全省交流，全国联村示范卫生室在安居首创，进一步推动公共卫生服务提质增效升级，全方位全周期维护和保障安居居民健康。截至2020年底，全区人均预期寿命达到80.17岁，婴儿死亡率下降到2.69‰，5岁以下儿童死亡率下降到4.79‰，孕产妇死亡率下降到14.94/10万，城乡居民主要健康指标优于遂宁市平均水平。</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2.基本公共卫生服务逐步实现均等化。</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全面加强重点区域、重点疾病、重点人群疾病防治和健康管理，建立全方位关怀残独、失独家庭帮扶体系，动员各方力量预防儿童青少年意外伤害。截至2020年底，居民健康档案建档率达97.23%，儿童预防接种率≥95%，健康管理率均达86.23%以上，高血压患者规范管理率达92.68%，免费优质的基本公共卫生服务覆盖范围进一步扩大，逐步实现均等化。</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3.公立医院综合改革持续深化。</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在区人民医院探索现代医院管理制度及公立医院薪酬制度改革试点，全面取消并巩固公立医院药品加成和耗材加成成果。区人民医院管理水平、医疗质量和服务能力显著提升，成功通过二甲评审，其针灸科成功创建市级重点专科，眼科已通过市级重点专科立项，2020年完成检验科、超声医学影像科及医学影像科市级重点专科申报。建立了以健康为中心的卫生服务体系，2019年8月，安居成为遂宁市唯一医共体试点区，创新开展拦江片区、安居片区医联体模式，实现工作重心从“治病”向“防病”转变，改革政府财政补助机制，采取以事定费、购买服务、专项补助的方式落实政府财政投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4．健康扶贫工作圆满收官。</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创新开展健康扶贫“三大工程”“两大行动”。首创“联村卫生室”建设，创建经验在全国推广。深化“医疗救助扶持行动”，全区建档立卡贫困人口县域内住院医疗费用个人支付比例严格控制在10%以内。通过统一规划与优化社区卫生服务中心布局，升级、改造、新建社区机构，加强标准化建设，全区18个镇卫生院、3个社区服务中心（站）、250个村卫生室实现标准化建设，基本实现15分钟医疗卫生服务圈。依托社区卫生服务中心开展了家庭病床和医养融合等服务项目，促进社区卫生机构特色化发展，形成发展各有重点、服务各有特色的差异化格局。截至2020年底，累计组建394个家庭医生团队，65岁以上老人签约率达81.5％。</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5.医疗技术水平逐步提升。</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十三五”期间，政府卫生投入不断增加，卫生资源总量稳步增长，2020年全区卫生技术人员达到1593人，其中执业（助理）医师829人，注册护士764人。2020年每千人口医疗机构床位数为4.1张，每千人口执业（助理）医师数1.4人，每千人口注册护士数1.2人，人均占有量达到全省平均水平。卫生资源结构进一步优化，区人民医院合并同类项目建立了资源共享中心，依托优势资源有效解决了镇卫生院、社区卫生服务中心“无检查”的问题。区中医院建成并投入使用，有效缓解了中医资源紧缺、中西医发展不均衡的状况，中医服务能力有效提升。截至2020年，民营医疗卫生机构共计12所，覆盖高端体检、医学整形美容、口腔正畸等现代医疗服务业，形成了多元化办医格局。</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6.分级诊疗制度渐趋成熟。</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加大了全科医生引进与培养力度，开展社区卫生服务中心专家号源优先配置，多措并举推动医疗卫生资源下沉基层，有效提升了社区卫生服务中心服务质量与诊疗量。建立了社区卫生机构、公卫机构和医院分工协作、上下联动的分级诊疗体系，进一步规范双向转诊机制。通过政策性引导提升了医院和社区卫生服务中心每诊疗人次的补贴标准，合理就医秩序基本形成。</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7.爱国卫生运动成效显著。</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爱国卫生工作有序推进，全区上下齐动员，各职能部门通力协作，助力我市2019年通过了国家卫生城市复审。推行条块结合，市容环境卫生、病媒生物消杀领域以街道为单位实行片区划分管理，提升政府治理城市效能。冬春季灭鼠灭蚊活动常态化，开展以孳生地清理为主要内容的病媒生物防制活动，降低病媒生物传染病发生流行风险。</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8.卫生应急工作稳步开展。</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建立和完善了突发公共卫生事件应急预案和应急体系，卫生应急体系与能力建设逐步完善。突发公共卫生事件监测预警和风险评估得到加强，重大传染病联防联控工作机制已基本建立。始终着力强化应急队伍建设，并定期组织开展突发公共卫生事件应急培训和演练，有效提高了突发公共卫生事件和重点传染病防控早期的应急处置能力和水平。积极开展了卫生应急进校园活动，推动卫生应急工作关口前移。建立了打击非法行医的部门协作工作机制，联合街道办事处、市场监管、公安等部门共同查处非法行医行为，卫生监督执法能力得以增强。</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9.卫生信息化建设逐步完善。</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稳步推进信息化建设，打破条块分割、数据割裂，推动了辖区计免、妇保、儿保、居民电子档案、家庭医生签约服务等系统信息共享。开通了微信公众号、官网等多渠道预约方式，建立了居民健康信息数据库，通过信息化手段创新多元化预约，精简家庭医生签约流程，逐步实现对居民进行全流程、全生命、全周期的健康管理，助力医疗服务效率提升。</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right="0" w:firstLine="643" w:firstLineChars="200"/>
        <w:jc w:val="both"/>
        <w:textAlignment w:val="auto"/>
        <w:rPr>
          <w:rFonts w:hint="eastAsia" w:ascii="楷体_GB2312" w:hAnsi="Times New Roman" w:eastAsia="楷体_GB2312" w:cs="楷体_GB2312"/>
          <w:b/>
          <w:bCs/>
          <w:i w:val="0"/>
          <w:iCs w:val="0"/>
          <w:caps w:val="0"/>
          <w:color w:val="333333"/>
          <w:spacing w:val="0"/>
          <w:kern w:val="0"/>
          <w:sz w:val="32"/>
          <w:szCs w:val="32"/>
          <w:shd w:val="clear" w:fill="FFFFFF"/>
          <w:lang w:val="en-US" w:eastAsia="zh-CN" w:bidi="ar"/>
        </w:rPr>
      </w:pPr>
      <w:r>
        <w:rPr>
          <w:rFonts w:hint="eastAsia" w:ascii="楷体_GB2312" w:hAnsi="Times New Roman" w:eastAsia="楷体_GB2312" w:cs="楷体_GB2312"/>
          <w:b/>
          <w:bCs/>
          <w:i w:val="0"/>
          <w:iCs w:val="0"/>
          <w:caps w:val="0"/>
          <w:color w:val="333333"/>
          <w:spacing w:val="0"/>
          <w:kern w:val="0"/>
          <w:sz w:val="32"/>
          <w:szCs w:val="32"/>
          <w:shd w:val="clear" w:fill="FFFFFF"/>
          <w:lang w:val="en-US" w:eastAsia="zh-CN" w:bidi="ar"/>
        </w:rPr>
        <w:t>（二）机遇挑战</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１.面临的机遇</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建设健康事业成为新共识。</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健康中国行动（2019-2030年）》围绕疾病预防和健康促进两大核心，从政府、社会、个人（家庭）3个层面协同推进组织实施15项重大行动，健康中国持续深化，推进健康中国建设已成为全社会重要的新时代共识。《“健康安居2030”规划纲要》明确了全区未来5年、10年卫生健康事业发展的方向、思路、目标、任务和保障措施，将为“十四五”卫生健康事业发展提供重大发展机遇。</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新冠疫情爆发提出新要求。</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2019年末突发的新型冠状病毒疫情给卫生健康事业，尤其是公共卫生与传染病防治领域带来严峻挑战。随着国际疫情快速扩散蔓延，我国仍将面临较为严重的国内外疫情风险挑战。疫情牵动万民之心，突发疫情不仅展现出公共卫生体系的重要性及其现存短板，更是给卫生健康事业建设提出更高要求。全社会将高度重视公共卫生体系的供给侧结构性改革以及预防型公共卫生防疫体系建设。</w:t>
      </w:r>
    </w:p>
    <w:p>
      <w:pPr>
        <w:pStyle w:val="2"/>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重大发展战略赋予新定位。</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随着成渝地区双城经济圈建设国家战略的提出，我区迎来发展战略机遇期，迫切需要持续提升医疗卫生服务能级，加快建成区域医学医疗中心。全省全市“十四五”卫生健康发展规划对我区卫生健康事业赋予了全新定位，迫切需要对标对表，强力推动卫生健康高质量发展。</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华文仿宋" w:hAnsi="华文仿宋" w:eastAsia="华文仿宋" w:cs="华文仿宋"/>
          <w:color w:val="202020"/>
          <w:sz w:val="30"/>
          <w:szCs w:val="30"/>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科技创新为卫生健康注入新动能。</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以互联网、区块链、云计算、大数据、AI技术、5G等为代表的新一代信息技术发展迅速，推动着数字经济与医疗健康产业深度融合，智能化医疗产品逐渐得到普及应用，智慧医院、智慧病房等互联网+医疗健康的新模式和新业态逐渐涌现。得益于信息技术的发展，疾病预防、检测、诊断和治疗模式正朝着个性化、精准化、智能化和远程化的方向发展，医疗服务的可及性与公平性将大幅提高，数字经济正在为医疗产业的变革和升级注入新动能，科技创新赋能健康行业已是大势所趋。</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2.面临的挑战</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卫生健康服务供给总体不足。</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优质服务资源短缺，疾病防控救治能力不足，基层基本服务能力薄弱，高端人才和全科、儿科、精神科、健康管理科等医疗健康资源短缺。区级医疗机构吸聚力、辐射力、带动力不足，龙头作用发挥不明显，缺乏核心技术和拔尖人才。镇卫生院规模化、集约化、特色化不够，医疗服务能力整体不强，特色专科功能萎缩。村卫生室年龄结构老化，技术水平低下，难以适应新时代农村卫生健康工作信息化、智能化、精细化的要求。民营医疗机构规模小、无特色，同质化现象严重。</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公共卫生服务资源配置存在较大缺口。</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当前公共卫生资源配置分散，整合机制不顺畅，创新服务机制不足，公卫医生的分层管理、分类管理目前仍是空白，无法在大预防格局中发挥力量。全区共有公共卫生人员219人，每千常住人口公共卫生人员数仅为0.34人，公卫资源配置存在较大缺口，距离满足“大健康”、“大预防”格局下的健康管理和疾病预防工作有较大差距。</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公共卫生服务设施配置不足。</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医疗设施、医疗水平和应急保障能力不足，缺口较大，与“平战结合”、“防治结合”、“中西医结合”的要求相差甚远。居民健康素养水平偏低，健康意识淡薄，健康知识和健康生活方式普及程度较低。健康促进、疾病预防、治疗康复各环节缺乏有效衔接。家庭医生签约制虽全面铺开，但履约服务质量有待提高，“重签约、轻服务”的现象仍然存在，存在未能真正实现基本医疗和基本公卫的有效整合的情况，健康管理流于形式，群众获得感不高。</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健康产业发展相对滞后。</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健康产业发展处于刚刚起步的阶段，大量的医疗资源主要使用在治疗疾病方面，提供老年医疗、康复护理、长期照护等接续性服务的医疗机构缺乏，老年医护专业技术人员、照护人员严重短缺，难以有效满足老年人多层次、多样化健康服务需求。健康服务领域还需进一步拓展，在预防、养生、保健、康复领域的发展还不能满足人民群众健康服务的新需求。养老机构仅能为特困供养对象提供生活上的照料护理，服务功能缺乏，无法满足康养融合养老服务需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黑体" w:hAnsi="宋体" w:eastAsia="黑体" w:cs="黑体"/>
          <w:i w:val="0"/>
          <w:iCs w:val="0"/>
          <w:caps w:val="0"/>
          <w:color w:val="333333"/>
          <w:spacing w:val="0"/>
          <w:kern w:val="0"/>
          <w:sz w:val="32"/>
          <w:szCs w:val="32"/>
          <w:shd w:val="clear" w:fill="FFFFFF"/>
          <w:lang w:val="en-US" w:eastAsia="zh-CN" w:bidi="ar"/>
        </w:rPr>
      </w:pPr>
      <w:bookmarkStart w:id="2" w:name="_Toc59736646"/>
      <w:r>
        <w:rPr>
          <w:rFonts w:hint="eastAsia" w:ascii="黑体" w:hAnsi="宋体" w:eastAsia="黑体" w:cs="黑体"/>
          <w:i w:val="0"/>
          <w:iCs w:val="0"/>
          <w:caps w:val="0"/>
          <w:color w:val="333333"/>
          <w:spacing w:val="0"/>
          <w:kern w:val="0"/>
          <w:sz w:val="32"/>
          <w:szCs w:val="32"/>
          <w:shd w:val="clear" w:fill="FFFFFF"/>
          <w:lang w:val="en-US" w:eastAsia="zh-CN" w:bidi="ar"/>
        </w:rPr>
        <w:t>二、规划总则</w:t>
      </w:r>
      <w:bookmarkEnd w:id="2"/>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right="0" w:firstLine="643" w:firstLineChars="200"/>
        <w:jc w:val="both"/>
        <w:textAlignment w:val="auto"/>
        <w:rPr>
          <w:rFonts w:hint="eastAsia" w:ascii="楷体_GB2312" w:hAnsi="Times New Roman" w:eastAsia="楷体_GB2312" w:cs="楷体_GB2312"/>
          <w:b/>
          <w:bCs/>
          <w:i w:val="0"/>
          <w:iCs w:val="0"/>
          <w:caps w:val="0"/>
          <w:color w:val="333333"/>
          <w:spacing w:val="0"/>
          <w:kern w:val="0"/>
          <w:sz w:val="32"/>
          <w:szCs w:val="32"/>
          <w:shd w:val="clear" w:fill="FFFFFF"/>
          <w:lang w:val="en-US" w:eastAsia="zh-CN" w:bidi="ar"/>
        </w:rPr>
      </w:pPr>
      <w:bookmarkStart w:id="3" w:name="_Toc59736647"/>
      <w:r>
        <w:rPr>
          <w:rFonts w:hint="eastAsia" w:ascii="楷体_GB2312" w:hAnsi="Times New Roman" w:eastAsia="楷体_GB2312" w:cs="楷体_GB2312"/>
          <w:b/>
          <w:bCs/>
          <w:i w:val="0"/>
          <w:iCs w:val="0"/>
          <w:caps w:val="0"/>
          <w:color w:val="333333"/>
          <w:spacing w:val="0"/>
          <w:kern w:val="0"/>
          <w:sz w:val="32"/>
          <w:szCs w:val="32"/>
          <w:shd w:val="clear" w:fill="FFFFFF"/>
          <w:lang w:val="en-US" w:eastAsia="zh-CN" w:bidi="ar"/>
        </w:rPr>
        <w:t>（一）指导思想</w:t>
      </w:r>
      <w:bookmarkEnd w:id="3"/>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以习近平新时代中国特色社会主义思想为指导，全面贯彻党的十九大和十九届二中、三中、四中、五中、六中全会精神，紧紧围绕统筹推进“五位一体”总体布局和协调推进“四个全面”战略布局，坚持以人民为中心的发展思想，坚持正确的卫生健康工作方针，以改革创新为动力，以促健康、转模式、强基层、重保障为着力点，更加注重预防为主和健康促进，更加注重工作重心下移和资源下沉，更加注重提高服务质量和水平，实现发展方式由以治病为中心向以健康为中心转变，显著提高人民健康水平，奋力推进健康安居建设，为全区人民提供全方位全周期健康服务，为推动安居经济社会高质量发展奠定坚实的健康基础。</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right="0" w:firstLine="643" w:firstLineChars="200"/>
        <w:jc w:val="both"/>
        <w:textAlignment w:val="auto"/>
        <w:rPr>
          <w:rFonts w:hint="eastAsia" w:ascii="楷体_GB2312" w:hAnsi="Times New Roman" w:eastAsia="楷体_GB2312" w:cs="楷体_GB2312"/>
          <w:b/>
          <w:bCs/>
          <w:i w:val="0"/>
          <w:iCs w:val="0"/>
          <w:caps w:val="0"/>
          <w:color w:val="333333"/>
          <w:spacing w:val="0"/>
          <w:kern w:val="0"/>
          <w:sz w:val="32"/>
          <w:szCs w:val="32"/>
          <w:shd w:val="clear" w:fill="FFFFFF"/>
          <w:lang w:val="en-US" w:eastAsia="zh-CN" w:bidi="ar"/>
        </w:rPr>
      </w:pPr>
      <w:bookmarkStart w:id="4" w:name="_Toc59736648"/>
      <w:r>
        <w:rPr>
          <w:rFonts w:hint="eastAsia" w:ascii="楷体_GB2312" w:hAnsi="Times New Roman" w:eastAsia="楷体_GB2312" w:cs="楷体_GB2312"/>
          <w:b/>
          <w:bCs/>
          <w:i w:val="0"/>
          <w:iCs w:val="0"/>
          <w:caps w:val="0"/>
          <w:color w:val="333333"/>
          <w:spacing w:val="0"/>
          <w:kern w:val="0"/>
          <w:sz w:val="32"/>
          <w:szCs w:val="32"/>
          <w:shd w:val="clear" w:fill="FFFFFF"/>
          <w:lang w:val="en-US" w:eastAsia="zh-CN" w:bidi="ar"/>
        </w:rPr>
        <w:t>（二）基本原则</w:t>
      </w:r>
      <w:bookmarkEnd w:id="4"/>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１.以人为本，需求导向。</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把人民健康放在优先发展的战略地位，将卫生健康融入安居经济社会发展全局和所有政策，促进健康理念融入全区公共政策制定实施的全过程，加快形成有利于卫生健康的社会氛围、生活方式、生态环境和经济社会发展模式，推动我区卫生健康与经济社会良性运行和协调发展。</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２.预防为主，促进健康。</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强化大健康理念，全面推进发展方式由以治病为中心向以健康为中心转变。深入开展全民健康教育和健康促进活动，覆盖全生命周期健康管理，全面维护和促进居民健康。强化个人健康意识和责任，引导人人加强自我健康管理，有效控制健康危险因素，形成维护和促进全民健康的巨大合力，推进社会参与，人人共享。</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３.健康公平，改善民生。</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强化公立医疗卫生服务的主体地位，坚持基本医疗卫生服务的公益性，以农村、基层和贫困地区为重点，推动基本公共卫生服务均等化，逐步缩小城乡、地区、人群间的健康服务和健康水平差异，改善妇女儿童、老年人、残疾人、低收入、外来流动人员等重点人群健康服务，立足全人群和全生命周期，实现基本健康服务全民覆盖。</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４.多元参与，协调发展。</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完善政府主导、多部门合作、全社会参与的工作机制，有效地发挥政府调控和市场调节的作用，推进公立医疗机构与社会办医疗机构的合作，推进预防、医疗和康复护理服务链条整合，促进医疗资源配置效率最大化。坚持预防为主、防治结合、平战结合、中西医结合，健全以人民健康为中心的整合型医疗卫生服务体系，积极调动社会办医，协力推动卫生健康服务业发展，切实满足全区人民多层次、多样化的健康服务需求。</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５.因地制宜，彰显特色。</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以我区经济社会条件和卫生健康现状为基础推进“健康安居”建设，在健康中国战略思想的统领下，充分发挥我区生态优势、区位优势、产业优势和人文优势，巩固和发扬既有的优良传统和成功实践，探索践行一条具有安居特色的“健康安居”道路。</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right="0" w:firstLine="643" w:firstLineChars="200"/>
        <w:jc w:val="both"/>
        <w:textAlignment w:val="auto"/>
        <w:rPr>
          <w:rFonts w:hint="eastAsia" w:ascii="楷体_GB2312" w:hAnsi="Times New Roman" w:eastAsia="楷体_GB2312" w:cs="楷体_GB2312"/>
          <w:b/>
          <w:bCs/>
          <w:i w:val="0"/>
          <w:iCs w:val="0"/>
          <w:caps w:val="0"/>
          <w:color w:val="333333"/>
          <w:spacing w:val="0"/>
          <w:kern w:val="0"/>
          <w:sz w:val="32"/>
          <w:szCs w:val="32"/>
          <w:shd w:val="clear" w:fill="FFFFFF"/>
          <w:lang w:val="en-US" w:eastAsia="zh-CN" w:bidi="ar"/>
        </w:rPr>
      </w:pPr>
      <w:bookmarkStart w:id="5" w:name="_Toc59736649"/>
      <w:r>
        <w:rPr>
          <w:rFonts w:hint="eastAsia" w:ascii="楷体_GB2312" w:hAnsi="Times New Roman" w:eastAsia="楷体_GB2312" w:cs="楷体_GB2312"/>
          <w:b/>
          <w:bCs/>
          <w:i w:val="0"/>
          <w:iCs w:val="0"/>
          <w:caps w:val="0"/>
          <w:color w:val="333333"/>
          <w:spacing w:val="0"/>
          <w:kern w:val="0"/>
          <w:sz w:val="32"/>
          <w:szCs w:val="32"/>
          <w:shd w:val="clear" w:fill="FFFFFF"/>
          <w:lang w:val="en-US" w:eastAsia="zh-CN" w:bidi="ar"/>
        </w:rPr>
        <w:t>（三）发展目标</w:t>
      </w:r>
      <w:bookmarkEnd w:id="5"/>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——居民健康水平和健康素养进一步提升。</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到2025年，人均预期寿命在2020年基础上提高1岁。早癌检测率达到60%，高血压规范管理率提高至70%，全民健康素养水平稳步提高至26%，健康生活方式加快推广，青少年新发近视率明显下降。心脑血管疾病、癌症、慢性呼吸系统疾病、糖尿病等重大慢性病发病率上升趋势得到遏制，恶性肿瘤五年生存率提高到50%。重点传染病、严重精神障碍、地方病、职业病得到有效防控，宫颈癌筛查覆盖率2025年达80%，乳腺癌筛查覆盖率逐年提高，2025年达到60%，致残和死亡风险逐步降低，65～74岁老年人失能发生率下降至15%，重点人群健康状况显著改善。</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——紧密型县域医共体建设进一步优化。</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全面建成体系完整、分工明确、功能互补、密切协作、运行高效的紧密型县域医共体医疗卫生服务体系。打造不少于6个优势明显、综合竞争力强的市级以上医学重点学科。实现病有良医，切实增强城乡居民幸福感获得感，推动卫生健康事业高质量发展。</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——优质均衡的公共卫生服务体系基本形成。</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到2025年，“医卫融合”、“教卫融合”与“医养融合”等改革举措进一步发挥战斗力。做好居民全生命周期健康管理、出生缺陷筛查、儿童健康管理、学校卫生、心理健康、康复、医养融合、临终关怀。加强康复、老年病、长期护理、慢性病管理、安宁疗护等接续性医疗机构建设。完善计划生育服务管理。推进基本公共卫生服务均等化。</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——健康服务供给侧结构性改革进一步深化。</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到2025年，多元办医格局进一步优化，推动非公立医疗机构向高水平、规模化方向发展。创新健康服务模式，推进智慧健康服务体系建设。健康服务业进一步拓展，培育一批有特色的健康管理服务产业，推进可穿戴设备、智能健康电子产品和健康医疗移动应用服务等发展。以促进健康为导向的创新型医保制度基本形成。</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——医养融合服务水平进一步提升。</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以不断满足多元化、多层次的养老服务需求，提升老年人生活质量和幸福指数为重点，加强医养设施建设，拓展为老服务功能，切实提升社会医养服务保障水平。到2025年，全面建成以居家为基础、社区为依托、机构为补充、社会为主体、法治为保障，功能完善、服务优良、覆盖城乡的社会医养服务体系。</w:t>
      </w:r>
    </w:p>
    <w:p>
      <w:pPr>
        <w:rPr>
          <w:rFonts w:hint="eastAsia" w:ascii="黑体" w:hAnsi="黑体" w:eastAsia="黑体" w:cs="黑体"/>
          <w:color w:val="202020"/>
          <w:sz w:val="30"/>
          <w:szCs w:val="30"/>
        </w:rPr>
      </w:pPr>
      <w:r>
        <w:rPr>
          <w:rFonts w:hint="eastAsia" w:ascii="黑体" w:hAnsi="黑体" w:eastAsia="黑体" w:cs="黑体"/>
          <w:color w:val="202020"/>
          <w:sz w:val="30"/>
          <w:szCs w:val="30"/>
        </w:rPr>
        <w:br w:type="page"/>
      </w:r>
    </w:p>
    <w:p>
      <w:pPr>
        <w:jc w:val="center"/>
        <w:rPr>
          <w:rFonts w:hint="eastAsia" w:ascii="华文仿宋" w:hAnsi="华文仿宋" w:eastAsia="华文仿宋" w:cs="华文仿宋"/>
          <w:color w:val="202020"/>
          <w:sz w:val="30"/>
          <w:szCs w:val="30"/>
        </w:rPr>
      </w:pPr>
      <w:r>
        <w:rPr>
          <w:rFonts w:hint="eastAsia" w:ascii="黑体" w:hAnsi="黑体" w:eastAsia="黑体" w:cs="黑体"/>
          <w:color w:val="202020"/>
          <w:sz w:val="30"/>
          <w:szCs w:val="30"/>
        </w:rPr>
        <w:t>卫生健康事业发展“十四五”规划指标体系</w:t>
      </w:r>
    </w:p>
    <w:tbl>
      <w:tblPr>
        <w:tblStyle w:val="12"/>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782"/>
        <w:gridCol w:w="4497"/>
        <w:gridCol w:w="1274"/>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868"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指标类别</w:t>
            </w: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序号</w:t>
            </w:r>
          </w:p>
        </w:tc>
        <w:tc>
          <w:tcPr>
            <w:tcW w:w="4497"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指标名称</w:t>
            </w:r>
          </w:p>
        </w:tc>
        <w:tc>
          <w:tcPr>
            <w:tcW w:w="1274"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2025年</w:t>
            </w:r>
          </w:p>
        </w:tc>
        <w:tc>
          <w:tcPr>
            <w:tcW w:w="1297"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restart"/>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人群健康</w:t>
            </w: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1</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人均期望寿命（岁）</w:t>
            </w:r>
          </w:p>
        </w:tc>
        <w:tc>
          <w:tcPr>
            <w:tcW w:w="1274"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≥82</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2</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甲乙类传染病发病率（%）</w:t>
            </w:r>
          </w:p>
        </w:tc>
        <w:tc>
          <w:tcPr>
            <w:tcW w:w="1274"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≤0.2</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3</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法定传染病报告率（%）</w:t>
            </w:r>
          </w:p>
        </w:tc>
        <w:tc>
          <w:tcPr>
            <w:tcW w:w="1274" w:type="dxa"/>
            <w:noWrap w:val="0"/>
            <w:vAlign w:val="top"/>
          </w:tcPr>
          <w:p>
            <w:pPr>
              <w:jc w:val="center"/>
              <w:rPr>
                <w:rFonts w:hint="default" w:ascii="华文仿宋" w:hAnsi="华文仿宋" w:eastAsia="华文仿宋" w:cs="华文仿宋"/>
                <w:color w:val="202020"/>
                <w:sz w:val="24"/>
                <w:szCs w:val="24"/>
                <w:highlight w:val="none"/>
                <w:lang w:val="en-US" w:eastAsia="zh-CN"/>
              </w:rPr>
            </w:pPr>
            <w:r>
              <w:rPr>
                <w:rFonts w:hint="eastAsia" w:ascii="华文仿宋" w:hAnsi="华文仿宋" w:eastAsia="华文仿宋" w:cs="华文仿宋"/>
                <w:color w:val="202020"/>
                <w:sz w:val="24"/>
                <w:szCs w:val="24"/>
                <w:highlight w:val="none"/>
                <w:lang w:val="en-US" w:eastAsia="zh-CN"/>
              </w:rPr>
              <w:t>95</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4</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婴儿死亡率（‰）</w:t>
            </w:r>
          </w:p>
        </w:tc>
        <w:tc>
          <w:tcPr>
            <w:tcW w:w="1274" w:type="dxa"/>
            <w:noWrap w:val="0"/>
            <w:vAlign w:val="top"/>
          </w:tcPr>
          <w:p>
            <w:pPr>
              <w:jc w:val="center"/>
              <w:rPr>
                <w:rFonts w:hint="eastAsia" w:ascii="华文仿宋" w:hAnsi="华文仿宋" w:eastAsia="华文仿宋" w:cs="华文仿宋"/>
                <w:color w:val="202020"/>
                <w:sz w:val="24"/>
                <w:szCs w:val="24"/>
                <w:highlight w:val="none"/>
                <w:lang w:eastAsia="zh-CN"/>
              </w:rPr>
            </w:pPr>
            <w:r>
              <w:rPr>
                <w:rFonts w:hint="eastAsia" w:ascii="华文仿宋" w:hAnsi="华文仿宋" w:eastAsia="华文仿宋" w:cs="华文仿宋"/>
                <w:color w:val="202020"/>
                <w:sz w:val="24"/>
                <w:szCs w:val="24"/>
                <w:highlight w:val="none"/>
              </w:rPr>
              <w:t>≤</w:t>
            </w:r>
            <w:r>
              <w:rPr>
                <w:rFonts w:hint="eastAsia" w:ascii="华文仿宋" w:hAnsi="华文仿宋" w:eastAsia="华文仿宋" w:cs="华文仿宋"/>
                <w:color w:val="202020"/>
                <w:sz w:val="24"/>
                <w:szCs w:val="24"/>
                <w:highlight w:val="none"/>
                <w:lang w:val="en-US" w:eastAsia="zh-CN"/>
              </w:rPr>
              <w:t>5</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5</w:t>
            </w:r>
          </w:p>
        </w:tc>
        <w:tc>
          <w:tcPr>
            <w:tcW w:w="4497" w:type="dxa"/>
            <w:noWrap w:val="0"/>
            <w:vAlign w:val="top"/>
          </w:tcPr>
          <w:p>
            <w:pPr>
              <w:rPr>
                <w:rFonts w:hint="default" w:ascii="华文仿宋" w:hAnsi="华文仿宋" w:eastAsia="华文仿宋" w:cs="华文仿宋"/>
                <w:color w:val="202020"/>
                <w:sz w:val="24"/>
                <w:szCs w:val="24"/>
                <w:lang w:val="en-US" w:eastAsia="zh-CN"/>
              </w:rPr>
            </w:pPr>
            <w:r>
              <w:rPr>
                <w:rFonts w:hint="eastAsia" w:ascii="华文仿宋" w:hAnsi="华文仿宋" w:eastAsia="华文仿宋" w:cs="华文仿宋"/>
                <w:color w:val="202020"/>
                <w:sz w:val="24"/>
                <w:szCs w:val="24"/>
              </w:rPr>
              <w:t>5岁以下儿童死亡率（‰）</w:t>
            </w:r>
            <w:r>
              <w:rPr>
                <w:rFonts w:hint="eastAsia" w:ascii="华文仿宋" w:hAnsi="华文仿宋" w:eastAsia="华文仿宋" w:cs="华文仿宋"/>
                <w:color w:val="202020"/>
                <w:sz w:val="24"/>
                <w:szCs w:val="24"/>
                <w:lang w:val="en-US" w:eastAsia="zh-CN"/>
              </w:rPr>
              <w:t xml:space="preserve">                                                                                                         </w:t>
            </w:r>
          </w:p>
        </w:tc>
        <w:tc>
          <w:tcPr>
            <w:tcW w:w="1274" w:type="dxa"/>
            <w:noWrap w:val="0"/>
            <w:vAlign w:val="top"/>
          </w:tcPr>
          <w:p>
            <w:pPr>
              <w:jc w:val="center"/>
              <w:rPr>
                <w:rFonts w:ascii="华文仿宋" w:hAnsi="华文仿宋" w:eastAsia="华文仿宋" w:cs="华文仿宋"/>
                <w:color w:val="202020"/>
                <w:sz w:val="24"/>
                <w:szCs w:val="24"/>
                <w:highlight w:val="none"/>
              </w:rPr>
            </w:pPr>
            <w:r>
              <w:rPr>
                <w:rFonts w:hint="eastAsia" w:ascii="华文仿宋" w:hAnsi="华文仿宋" w:eastAsia="华文仿宋" w:cs="华文仿宋"/>
                <w:color w:val="202020"/>
                <w:sz w:val="24"/>
                <w:szCs w:val="24"/>
                <w:highlight w:val="none"/>
              </w:rPr>
              <w:t>≤6</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6</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孕产妇死亡率（1/10万）</w:t>
            </w:r>
          </w:p>
        </w:tc>
        <w:tc>
          <w:tcPr>
            <w:tcW w:w="1274" w:type="dxa"/>
            <w:noWrap w:val="0"/>
            <w:vAlign w:val="top"/>
          </w:tcPr>
          <w:p>
            <w:pPr>
              <w:jc w:val="center"/>
              <w:rPr>
                <w:rFonts w:hint="default" w:ascii="华文仿宋" w:hAnsi="华文仿宋" w:eastAsia="华文仿宋" w:cs="华文仿宋"/>
                <w:color w:val="202020"/>
                <w:sz w:val="24"/>
                <w:szCs w:val="24"/>
                <w:highlight w:val="none"/>
                <w:lang w:val="en-US" w:eastAsia="zh-CN"/>
              </w:rPr>
            </w:pPr>
            <w:r>
              <w:rPr>
                <w:rFonts w:hint="eastAsia" w:ascii="华文仿宋" w:hAnsi="华文仿宋" w:eastAsia="华文仿宋" w:cs="华文仿宋"/>
                <w:color w:val="202020"/>
                <w:sz w:val="24"/>
                <w:szCs w:val="24"/>
                <w:highlight w:val="none"/>
              </w:rPr>
              <w:t>≤</w:t>
            </w:r>
            <w:r>
              <w:rPr>
                <w:rFonts w:hint="eastAsia" w:ascii="华文仿宋" w:hAnsi="华文仿宋" w:eastAsia="华文仿宋" w:cs="华文仿宋"/>
                <w:color w:val="202020"/>
                <w:sz w:val="24"/>
                <w:szCs w:val="24"/>
                <w:highlight w:val="none"/>
                <w:lang w:val="en-US" w:eastAsia="zh-CN"/>
              </w:rPr>
              <w:t>12</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7</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青少年新发近视率</w:t>
            </w:r>
          </w:p>
        </w:tc>
        <w:tc>
          <w:tcPr>
            <w:tcW w:w="1274"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明显下降</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8</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心脑血管疾病死亡率（1/10万）</w:t>
            </w:r>
          </w:p>
        </w:tc>
        <w:tc>
          <w:tcPr>
            <w:tcW w:w="1274"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≤200</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9</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恶性肿瘤五年生存率（%）</w:t>
            </w:r>
          </w:p>
        </w:tc>
        <w:tc>
          <w:tcPr>
            <w:tcW w:w="1274" w:type="dxa"/>
            <w:noWrap w:val="0"/>
            <w:vAlign w:val="top"/>
          </w:tcPr>
          <w:p>
            <w:pPr>
              <w:jc w:val="center"/>
              <w:rPr>
                <w:rFonts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43</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restart"/>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疾病预防</w:t>
            </w: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10</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适龄儿童免疫规划疫苗接种率（%）</w:t>
            </w:r>
          </w:p>
        </w:tc>
        <w:tc>
          <w:tcPr>
            <w:tcW w:w="1274" w:type="dxa"/>
            <w:noWrap w:val="0"/>
            <w:vAlign w:val="top"/>
          </w:tcPr>
          <w:p>
            <w:pPr>
              <w:jc w:val="center"/>
              <w:rPr>
                <w:rFonts w:hint="default" w:ascii="华文仿宋" w:hAnsi="华文仿宋" w:eastAsia="华文仿宋" w:cs="华文仿宋"/>
                <w:color w:val="202020"/>
                <w:sz w:val="24"/>
                <w:szCs w:val="24"/>
                <w:highlight w:val="none"/>
                <w:lang w:val="en-US" w:eastAsia="zh-CN"/>
              </w:rPr>
            </w:pPr>
            <w:r>
              <w:rPr>
                <w:rFonts w:hint="eastAsia" w:ascii="华文仿宋" w:hAnsi="华文仿宋" w:eastAsia="华文仿宋" w:cs="华文仿宋"/>
                <w:color w:val="202020"/>
                <w:sz w:val="24"/>
                <w:szCs w:val="24"/>
                <w:highlight w:val="none"/>
              </w:rPr>
              <w:t>≥</w:t>
            </w:r>
            <w:r>
              <w:rPr>
                <w:rFonts w:hint="eastAsia" w:ascii="华文仿宋" w:hAnsi="华文仿宋" w:eastAsia="华文仿宋" w:cs="华文仿宋"/>
                <w:color w:val="202020"/>
                <w:sz w:val="24"/>
                <w:szCs w:val="24"/>
                <w:highlight w:val="none"/>
                <w:lang w:val="en-US" w:eastAsia="zh-CN"/>
              </w:rPr>
              <w:t>95</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11</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高血压规范管理率（%）</w:t>
            </w:r>
          </w:p>
        </w:tc>
        <w:tc>
          <w:tcPr>
            <w:tcW w:w="1274" w:type="dxa"/>
            <w:noWrap w:val="0"/>
            <w:vAlign w:val="top"/>
          </w:tcPr>
          <w:p>
            <w:pPr>
              <w:jc w:val="center"/>
              <w:rPr>
                <w:rFonts w:hint="default" w:ascii="华文仿宋" w:hAnsi="华文仿宋" w:eastAsia="华文仿宋" w:cs="华文仿宋"/>
                <w:color w:val="202020"/>
                <w:sz w:val="24"/>
                <w:szCs w:val="24"/>
                <w:highlight w:val="none"/>
                <w:lang w:val="en-US" w:eastAsia="zh-CN"/>
              </w:rPr>
            </w:pPr>
            <w:r>
              <w:rPr>
                <w:rFonts w:hint="eastAsia" w:ascii="华文仿宋" w:hAnsi="华文仿宋" w:eastAsia="华文仿宋" w:cs="华文仿宋"/>
                <w:color w:val="202020"/>
                <w:sz w:val="24"/>
                <w:szCs w:val="24"/>
                <w:highlight w:val="none"/>
              </w:rPr>
              <w:t>≥</w:t>
            </w:r>
            <w:r>
              <w:rPr>
                <w:rFonts w:hint="eastAsia" w:ascii="华文仿宋" w:hAnsi="华文仿宋" w:eastAsia="华文仿宋" w:cs="华文仿宋"/>
                <w:color w:val="202020"/>
                <w:sz w:val="24"/>
                <w:szCs w:val="24"/>
                <w:highlight w:val="none"/>
                <w:lang w:val="en-US" w:eastAsia="zh-CN"/>
              </w:rPr>
              <w:t>61</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12</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糖尿病规范管理率（%）</w:t>
            </w:r>
          </w:p>
        </w:tc>
        <w:tc>
          <w:tcPr>
            <w:tcW w:w="1274" w:type="dxa"/>
            <w:noWrap w:val="0"/>
            <w:vAlign w:val="top"/>
          </w:tcPr>
          <w:p>
            <w:pPr>
              <w:jc w:val="center"/>
              <w:rPr>
                <w:rFonts w:hint="default" w:ascii="华文仿宋" w:hAnsi="华文仿宋" w:eastAsia="华文仿宋" w:cs="华文仿宋"/>
                <w:color w:val="202020"/>
                <w:sz w:val="24"/>
                <w:szCs w:val="24"/>
                <w:highlight w:val="none"/>
                <w:lang w:val="en-US" w:eastAsia="zh-CN"/>
              </w:rPr>
            </w:pPr>
            <w:r>
              <w:rPr>
                <w:rFonts w:hint="eastAsia" w:ascii="华文仿宋" w:hAnsi="华文仿宋" w:eastAsia="华文仿宋" w:cs="华文仿宋"/>
                <w:color w:val="202020"/>
                <w:sz w:val="24"/>
                <w:szCs w:val="24"/>
                <w:highlight w:val="none"/>
              </w:rPr>
              <w:t>≥</w:t>
            </w:r>
            <w:r>
              <w:rPr>
                <w:rFonts w:hint="eastAsia" w:ascii="华文仿宋" w:hAnsi="华文仿宋" w:eastAsia="华文仿宋" w:cs="华文仿宋"/>
                <w:color w:val="202020"/>
                <w:sz w:val="24"/>
                <w:szCs w:val="24"/>
                <w:highlight w:val="none"/>
                <w:lang w:val="en-US" w:eastAsia="zh-CN"/>
              </w:rPr>
              <w:t>61</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13</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严重精神障碍患者规范管理率（%）</w:t>
            </w:r>
          </w:p>
        </w:tc>
        <w:tc>
          <w:tcPr>
            <w:tcW w:w="1274" w:type="dxa"/>
            <w:noWrap w:val="0"/>
            <w:vAlign w:val="top"/>
          </w:tcPr>
          <w:p>
            <w:pPr>
              <w:jc w:val="center"/>
              <w:rPr>
                <w:rFonts w:hint="eastAsia" w:ascii="华文仿宋" w:hAnsi="华文仿宋" w:eastAsia="华文仿宋" w:cs="华文仿宋"/>
                <w:color w:val="202020"/>
                <w:sz w:val="24"/>
                <w:szCs w:val="24"/>
                <w:highlight w:val="none"/>
                <w:lang w:val="en-US" w:eastAsia="zh-CN"/>
              </w:rPr>
            </w:pPr>
            <w:r>
              <w:rPr>
                <w:rFonts w:hint="eastAsia" w:ascii="华文仿宋" w:hAnsi="华文仿宋" w:eastAsia="华文仿宋" w:cs="华文仿宋"/>
                <w:color w:val="202020"/>
                <w:sz w:val="24"/>
                <w:szCs w:val="24"/>
                <w:highlight w:val="none"/>
              </w:rPr>
              <w:t>≥8</w:t>
            </w:r>
            <w:r>
              <w:rPr>
                <w:rFonts w:hint="eastAsia" w:ascii="华文仿宋" w:hAnsi="华文仿宋" w:eastAsia="华文仿宋" w:cs="华文仿宋"/>
                <w:color w:val="202020"/>
                <w:sz w:val="24"/>
                <w:szCs w:val="24"/>
                <w:highlight w:val="none"/>
                <w:lang w:val="en-US" w:eastAsia="zh-CN"/>
              </w:rPr>
              <w:t>0</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14</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重点癌症筛查早诊率（%）</w:t>
            </w:r>
          </w:p>
        </w:tc>
        <w:tc>
          <w:tcPr>
            <w:tcW w:w="1274"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≥60</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15</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15岁以上人群吸烟率（%）</w:t>
            </w:r>
          </w:p>
        </w:tc>
        <w:tc>
          <w:tcPr>
            <w:tcW w:w="1274"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＜20</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restart"/>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健康管理</w:t>
            </w: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16</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居民健康素养水平（%）</w:t>
            </w:r>
          </w:p>
        </w:tc>
        <w:tc>
          <w:tcPr>
            <w:tcW w:w="1274" w:type="dxa"/>
            <w:noWrap w:val="0"/>
            <w:vAlign w:val="top"/>
          </w:tcPr>
          <w:p>
            <w:pPr>
              <w:jc w:val="center"/>
              <w:rPr>
                <w:rFonts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26</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17</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居民心理健康素养水平（%）</w:t>
            </w:r>
          </w:p>
        </w:tc>
        <w:tc>
          <w:tcPr>
            <w:tcW w:w="1274" w:type="dxa"/>
            <w:noWrap w:val="0"/>
            <w:vAlign w:val="top"/>
          </w:tcPr>
          <w:p>
            <w:pPr>
              <w:jc w:val="center"/>
              <w:rPr>
                <w:rFonts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20</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18</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基本健康知识知晓率（%）</w:t>
            </w:r>
          </w:p>
        </w:tc>
        <w:tc>
          <w:tcPr>
            <w:tcW w:w="1274"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≥85</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19</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居民健康档案规范化电子建档率（%）</w:t>
            </w:r>
          </w:p>
        </w:tc>
        <w:tc>
          <w:tcPr>
            <w:tcW w:w="1274"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≥95</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20</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孕产妇系统管理率（%）</w:t>
            </w:r>
          </w:p>
        </w:tc>
        <w:tc>
          <w:tcPr>
            <w:tcW w:w="1274" w:type="dxa"/>
            <w:noWrap w:val="0"/>
            <w:vAlign w:val="top"/>
          </w:tcPr>
          <w:p>
            <w:pPr>
              <w:jc w:val="center"/>
              <w:rPr>
                <w:rFonts w:hint="default" w:ascii="华文仿宋" w:hAnsi="华文仿宋" w:eastAsia="华文仿宋" w:cs="华文仿宋"/>
                <w:color w:val="202020"/>
                <w:sz w:val="24"/>
                <w:szCs w:val="24"/>
                <w:highlight w:val="none"/>
                <w:lang w:val="en-US" w:eastAsia="zh-CN"/>
              </w:rPr>
            </w:pPr>
            <w:r>
              <w:rPr>
                <w:rFonts w:hint="eastAsia" w:ascii="华文仿宋" w:hAnsi="华文仿宋" w:eastAsia="华文仿宋" w:cs="华文仿宋"/>
                <w:color w:val="202020"/>
                <w:sz w:val="24"/>
                <w:szCs w:val="24"/>
                <w:highlight w:val="none"/>
              </w:rPr>
              <w:t>≥</w:t>
            </w:r>
            <w:r>
              <w:rPr>
                <w:rFonts w:hint="eastAsia" w:ascii="华文仿宋" w:hAnsi="华文仿宋" w:eastAsia="华文仿宋" w:cs="华文仿宋"/>
                <w:color w:val="202020"/>
                <w:sz w:val="24"/>
                <w:szCs w:val="24"/>
                <w:highlight w:val="none"/>
                <w:lang w:val="en-US" w:eastAsia="zh-CN"/>
              </w:rPr>
              <w:t>90</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21</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65岁以上老年人健康管理率（%）</w:t>
            </w:r>
          </w:p>
        </w:tc>
        <w:tc>
          <w:tcPr>
            <w:tcW w:w="1274" w:type="dxa"/>
            <w:noWrap w:val="0"/>
            <w:vAlign w:val="top"/>
          </w:tcPr>
          <w:p>
            <w:pPr>
              <w:jc w:val="center"/>
              <w:rPr>
                <w:rFonts w:hint="default" w:ascii="华文仿宋" w:hAnsi="华文仿宋" w:eastAsia="华文仿宋" w:cs="华文仿宋"/>
                <w:color w:val="202020"/>
                <w:sz w:val="24"/>
                <w:szCs w:val="24"/>
                <w:highlight w:val="none"/>
                <w:lang w:val="en-US" w:eastAsia="zh-CN"/>
              </w:rPr>
            </w:pPr>
            <w:r>
              <w:rPr>
                <w:rFonts w:hint="eastAsia" w:ascii="华文仿宋" w:hAnsi="华文仿宋" w:eastAsia="华文仿宋" w:cs="华文仿宋"/>
                <w:color w:val="202020"/>
                <w:sz w:val="24"/>
                <w:szCs w:val="24"/>
                <w:highlight w:val="none"/>
              </w:rPr>
              <w:t>≥</w:t>
            </w:r>
            <w:r>
              <w:rPr>
                <w:rFonts w:hint="eastAsia" w:ascii="华文仿宋" w:hAnsi="华文仿宋" w:eastAsia="华文仿宋" w:cs="华文仿宋"/>
                <w:color w:val="202020"/>
                <w:sz w:val="24"/>
                <w:szCs w:val="24"/>
                <w:highlight w:val="none"/>
                <w:lang w:val="en-US" w:eastAsia="zh-CN"/>
              </w:rPr>
              <w:t>61</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restart"/>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医疗服务</w:t>
            </w: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22</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基层医疗卫生机构首诊率（%）</w:t>
            </w:r>
          </w:p>
        </w:tc>
        <w:tc>
          <w:tcPr>
            <w:tcW w:w="1274"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≥78</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23</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二级医院平均住院日（天）</w:t>
            </w:r>
          </w:p>
        </w:tc>
        <w:tc>
          <w:tcPr>
            <w:tcW w:w="1274"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7.8</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24</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院内感染发病率（%）</w:t>
            </w:r>
          </w:p>
        </w:tc>
        <w:tc>
          <w:tcPr>
            <w:tcW w:w="1274"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lang w:eastAsia="zh-CN"/>
              </w:rPr>
              <w:t>≤</w:t>
            </w:r>
            <w:r>
              <w:rPr>
                <w:rFonts w:hint="eastAsia" w:ascii="华文仿宋" w:hAnsi="华文仿宋" w:eastAsia="华文仿宋" w:cs="华文仿宋"/>
                <w:color w:val="202020"/>
                <w:sz w:val="24"/>
                <w:szCs w:val="24"/>
              </w:rPr>
              <w:t>3</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25</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区域内住院率（%）</w:t>
            </w:r>
          </w:p>
        </w:tc>
        <w:tc>
          <w:tcPr>
            <w:tcW w:w="1274"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≥70</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restart"/>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医疗资源</w:t>
            </w: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26</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每千常住人口床位数（张）</w:t>
            </w:r>
          </w:p>
        </w:tc>
        <w:tc>
          <w:tcPr>
            <w:tcW w:w="1274" w:type="dxa"/>
            <w:noWrap w:val="0"/>
            <w:vAlign w:val="top"/>
          </w:tcPr>
          <w:p>
            <w:pPr>
              <w:jc w:val="center"/>
              <w:rPr>
                <w:rFonts w:ascii="华文仿宋" w:hAnsi="华文仿宋" w:eastAsia="华文仿宋" w:cs="华文仿宋"/>
                <w:color w:val="202020"/>
                <w:sz w:val="24"/>
                <w:szCs w:val="24"/>
              </w:rPr>
            </w:pPr>
            <w:r>
              <w:rPr>
                <w:rFonts w:hint="eastAsia" w:ascii="华文仿宋" w:hAnsi="华文仿宋" w:eastAsia="华文仿宋" w:cs="华文仿宋"/>
                <w:color w:val="202020"/>
                <w:sz w:val="24"/>
                <w:szCs w:val="24"/>
                <w:highlight w:val="none"/>
              </w:rPr>
              <w:t>≥5.06</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27</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每千常住人口执业（助理）医师数（人）</w:t>
            </w:r>
          </w:p>
        </w:tc>
        <w:tc>
          <w:tcPr>
            <w:tcW w:w="1274" w:type="dxa"/>
            <w:noWrap w:val="0"/>
            <w:vAlign w:val="top"/>
          </w:tcPr>
          <w:p>
            <w:pPr>
              <w:jc w:val="center"/>
              <w:rPr>
                <w:rFonts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≥2.1</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28</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每千常住人口注册护士数（人）</w:t>
            </w:r>
          </w:p>
        </w:tc>
        <w:tc>
          <w:tcPr>
            <w:tcW w:w="1274"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≥3.5</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29</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每万常住人口公共卫生医生数（人）</w:t>
            </w:r>
          </w:p>
        </w:tc>
        <w:tc>
          <w:tcPr>
            <w:tcW w:w="1274"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≥2</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30</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每万常住人口全科医生数（人）</w:t>
            </w:r>
          </w:p>
        </w:tc>
        <w:tc>
          <w:tcPr>
            <w:tcW w:w="1274"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≥6</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31</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每万常住人口全科护士数（人）</w:t>
            </w:r>
          </w:p>
        </w:tc>
        <w:tc>
          <w:tcPr>
            <w:tcW w:w="1274"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≥6</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32</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社区卫生服务中心总数（个）</w:t>
            </w:r>
          </w:p>
        </w:tc>
        <w:tc>
          <w:tcPr>
            <w:tcW w:w="1274" w:type="dxa"/>
            <w:noWrap w:val="0"/>
            <w:vAlign w:val="top"/>
          </w:tcPr>
          <w:p>
            <w:pPr>
              <w:jc w:val="center"/>
              <w:rPr>
                <w:rFonts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3</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33</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本科以上卫生技术人员占比（%）</w:t>
            </w:r>
          </w:p>
        </w:tc>
        <w:tc>
          <w:tcPr>
            <w:tcW w:w="1274"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≥75%</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34</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中医药诊疗量占总诊疗量比例（%）</w:t>
            </w:r>
          </w:p>
        </w:tc>
        <w:tc>
          <w:tcPr>
            <w:tcW w:w="1274"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35</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restart"/>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健康保障</w:t>
            </w: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35</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人均基本公共卫生服务经费（元）</w:t>
            </w:r>
          </w:p>
        </w:tc>
        <w:tc>
          <w:tcPr>
            <w:tcW w:w="1274"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120</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36</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政府卫生投入占卫生总费用的比例（%）</w:t>
            </w:r>
          </w:p>
        </w:tc>
        <w:tc>
          <w:tcPr>
            <w:tcW w:w="1274"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≥30</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8" w:type="dxa"/>
            <w:vMerge w:val="continue"/>
            <w:noWrap w:val="0"/>
            <w:vAlign w:val="center"/>
          </w:tcPr>
          <w:p>
            <w:pPr>
              <w:jc w:val="center"/>
              <w:rPr>
                <w:rFonts w:hint="eastAsia" w:ascii="华文仿宋" w:hAnsi="华文仿宋" w:eastAsia="华文仿宋" w:cs="华文仿宋"/>
                <w:color w:val="202020"/>
                <w:sz w:val="24"/>
                <w:szCs w:val="24"/>
              </w:rPr>
            </w:pPr>
          </w:p>
        </w:tc>
        <w:tc>
          <w:tcPr>
            <w:tcW w:w="782" w:type="dxa"/>
            <w:noWrap w:val="0"/>
            <w:vAlign w:val="center"/>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37</w:t>
            </w:r>
          </w:p>
        </w:tc>
        <w:tc>
          <w:tcPr>
            <w:tcW w:w="4497" w:type="dxa"/>
            <w:noWrap w:val="0"/>
            <w:vAlign w:val="top"/>
          </w:tcPr>
          <w:p>
            <w:pP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个人卫生支出占卫生总费用比例（%）</w:t>
            </w:r>
          </w:p>
        </w:tc>
        <w:tc>
          <w:tcPr>
            <w:tcW w:w="1274"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≤20</w:t>
            </w:r>
          </w:p>
        </w:tc>
        <w:tc>
          <w:tcPr>
            <w:tcW w:w="1297" w:type="dxa"/>
            <w:noWrap w:val="0"/>
            <w:vAlign w:val="top"/>
          </w:tcPr>
          <w:p>
            <w:pPr>
              <w:jc w:val="center"/>
              <w:rPr>
                <w:rFonts w:hint="eastAsia" w:ascii="华文仿宋" w:hAnsi="华文仿宋" w:eastAsia="华文仿宋" w:cs="华文仿宋"/>
                <w:color w:val="202020"/>
                <w:sz w:val="24"/>
                <w:szCs w:val="24"/>
              </w:rPr>
            </w:pPr>
            <w:r>
              <w:rPr>
                <w:rFonts w:hint="eastAsia" w:ascii="华文仿宋" w:hAnsi="华文仿宋" w:eastAsia="华文仿宋" w:cs="华文仿宋"/>
                <w:color w:val="202020"/>
                <w:sz w:val="24"/>
                <w:szCs w:val="24"/>
              </w:rPr>
              <w:t>约束性</w:t>
            </w:r>
          </w:p>
        </w:tc>
      </w:tr>
    </w:tbl>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黑体" w:hAnsi="宋体" w:eastAsia="黑体" w:cs="黑体"/>
          <w:i w:val="0"/>
          <w:iCs w:val="0"/>
          <w:caps w:val="0"/>
          <w:color w:val="333333"/>
          <w:spacing w:val="0"/>
          <w:kern w:val="0"/>
          <w:sz w:val="32"/>
          <w:szCs w:val="32"/>
          <w:shd w:val="clear" w:fill="FFFFFF"/>
          <w:lang w:val="en-US" w:eastAsia="zh-CN" w:bidi="ar"/>
        </w:rPr>
      </w:pPr>
      <w:bookmarkStart w:id="6" w:name="_Toc59736650"/>
      <w:r>
        <w:rPr>
          <w:rFonts w:hint="eastAsia" w:ascii="黑体" w:hAnsi="宋体" w:eastAsia="黑体" w:cs="黑体"/>
          <w:i w:val="0"/>
          <w:iCs w:val="0"/>
          <w:caps w:val="0"/>
          <w:color w:val="333333"/>
          <w:spacing w:val="0"/>
          <w:kern w:val="0"/>
          <w:sz w:val="32"/>
          <w:szCs w:val="32"/>
          <w:shd w:val="clear" w:fill="FFFFFF"/>
          <w:lang w:val="en-US" w:eastAsia="zh-CN" w:bidi="ar"/>
        </w:rPr>
        <w:t>三、</w:t>
      </w:r>
      <w:bookmarkEnd w:id="6"/>
      <w:r>
        <w:rPr>
          <w:rFonts w:hint="eastAsia" w:ascii="黑体" w:hAnsi="宋体" w:eastAsia="黑体" w:cs="黑体"/>
          <w:i w:val="0"/>
          <w:iCs w:val="0"/>
          <w:caps w:val="0"/>
          <w:color w:val="333333"/>
          <w:spacing w:val="0"/>
          <w:kern w:val="0"/>
          <w:sz w:val="32"/>
          <w:szCs w:val="32"/>
          <w:shd w:val="clear" w:fill="FFFFFF"/>
          <w:lang w:val="en-US" w:eastAsia="zh-CN" w:bidi="ar"/>
        </w:rPr>
        <w:t>深入实施健康安居行动</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pPr>
      <w:bookmarkStart w:id="7" w:name="_Toc59736652"/>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（一）全面建设健康制度</w:t>
      </w:r>
      <w:bookmarkEnd w:id="7"/>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落实全民健康服务体系共享制度。</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全面整合健康教育管理、居民健康档案、医院诊疗平台的同时，平行建设居民健康状态、疾病症状、服务效果、自主用药副作用自报系统，培养居民共享健康数据素养。建设人工智能平台，形成社区居民群体健康数据报告并智能反馈于相应社区居民，引导居民参与社区健康共建共治活动，并基于社区居民健康共建共治的健康成效赋予经济性的奖励。切实做到健康数据共享、健康知识共享、健康成果共享和健康经济共享。</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落实全民健康服务体系共治制度。</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激励民众深入参与健康服务体系治理，提升民众对“健康权”的认知，鼓励民众从食品、职业、环境、行为方式等全面参与健康促进的活动，强调健康活动“主人翁”精神，健康氛围营造、健康活动策划、健康活动制定、健康活动组织、健康活动成效评价均不脱离民众的重要参与，全面提升民众参与健康政策制定的健康权利素养。</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pPr>
      <w:bookmarkStart w:id="8" w:name="_Toc59736653"/>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（二）普及居民健康生活</w:t>
      </w:r>
      <w:bookmarkEnd w:id="8"/>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树立健康理念。</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弘扬爱国主义精神，树立健康强国理念，强化健康主人翁意识。推进基本公共体育服务体系建设，人均体育场地面积达到1.8平方米。推动公共体育设施免费或低收费开放。广泛组织开展全民健身运动，大力发展群众健身休闲项目。切实保证中小学生每周5-8小时校园体育活动。定期开展居民体质监测和全民健身活动状况线上调查，为群众进行个性化的科学健身线上指导服务。</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着力改善城市环境卫生面貌。</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深入开展城乡环境卫生整治行动，统筹治理城乡环境卫生问题。切实保障饮用水安全，建立从水源地保护、自来水生产到安全供水的全程监管体系。科学预防控制病媒生物，建立健全病媒生物监测网络，定期开展监测调查。大力开展全民大扫除，做好垃圾分类，使用卫生厕所，清理卫生死角，净化居家、工作场所和公共空间，创造干净、整洁人居环境。</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深入开展全民健康促进活动。</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持续推进健康城区和营养示范社区建设，广泛开展全民健康素养促进行动。普及合理营养、合理用药、科学就医和灾害自救互救等知识，提高全民健康素养达到26%。加强健康科普规范化管理，建立健全健康知识和技能核心信息发布制度。引导群众当好自己健康第一责任人，强化生态文明意识，深入推进健康饮食习惯，推广分餐公筷，拒食野生动物。引导群众加强自我健康管理，深入推进合理膳食、适量运动、戒烟限酒，心理平衡、饮食有节、起居有常、动静结合的倡导绿色环保的生活方式。开展家庭和高危个体人群健康生活方式强化指导和干预。全面推进控烟履约工作，继续全面推进公共场所禁烟，强化戒烟服务，预防和控制被动吸烟。健全健康素养和烟草流行监测体系，15岁以上人群烟草使用流行率控制在20%以下。</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bookmarkStart w:id="9" w:name="_Toc59736654"/>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（三）强化重大疾病预防控制</w:t>
      </w:r>
      <w:bookmarkEnd w:id="9"/>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加强重大传染病防治。</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加强传染病监测预警、预防控制能力建设，法定传染病报告率达到100%，及时做好疫情调查处置。加强艾滋病检测、干预和随访，最大限度主动发现感染者和病人，为所有符合条件且愿意接受治疗的感染者和病人提供抗病毒治疗，将疫情控制在低流行水平。推动终结结核病行动，建立结核病精准防治体系，推行以病原学阳性为主的病人发现模式，强化耐药结核病的筛查，探索“互联网信息管理+互联网诊疗平台+社区健康服务中心”的新型结核病管理模式。有效应对霍乱、流感、手足口病、麻疹、新冠肺炎等重点传染病疫情。实施以传染源控制为主的狂犬病、布病、禽流感等人畜共患病综合治理策略。加强已控制严重传染病防控能力储备。加强卫生检疫能力建设，加强传染病监测预警和应急处置，推动疑似传染病旅客接受免费传染病检测，严防外来重大传染病传入。</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改革疾病预防控制模式。</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试点推行区域一体化疾病预防控制模式改革，在区级医院内部下设疾病预防控制科，开展区域内流行病学调查、人群疾病监测和健康风险评估、健康教育、传染病监测预警、卫生监督与突发公共卫生事件处置等。完善应对重大传染病疫情的应急调度机制，健全储备医院、大型公共设施紧急转换为医疗卫生设施的应急预案。落实以属地化管理为主的公共卫生风险排查、报告、处置责任，健全社区、社区卫生机构和社区警务室“三位一体”应对突发公共卫生事件联防联控机制。</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bookmarkStart w:id="10" w:name="_Toc59736655"/>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（四）开展爱国卫生运动</w:t>
      </w:r>
      <w:bookmarkEnd w:id="10"/>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加强新时期爱国卫生工作。</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从人居环境改善、饮食习惯、社会心理健康、公共卫生设施等多个方面开展工作，特别是要坚决杜绝食用野生动物的陋习，提倡文明健康、绿色环保的生活方式。大力宣传，广泛发动市民参与群众性爱国卫生运动，协调爱卫会各成员单位严格履责协同推进，深入开展“爱国卫生月”，冬春季、夏秋季爱国卫生专项行动。</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巩固卫生创建成果。</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将“国家卫生城市”与“全国文明城市”创建相结合，作为促进经济社会和谐发展、提高人民群众生活质量的重要举措，筑牢卫生创建基础，以优异成绩通过“国家卫生城市”复审。以健康促进区、健康社区建设为重要抓手，把健康融入城区规划、建设、治理的全过程，持续推进健康城市建设。</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提升病媒生物防制效能。</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督促落实以环境卫生治理、清除蚊蝇鼠蟑等孳生地为主的综合性病媒生物防制措施，强化单位与个人主体责任，完善防制设施，指导开展消杀，将病媒生物密度控制在国家规定的标准范围内。落实对病媒防制有偿服务机构的“放管服”，对病媒防制有偿服务机构的管理制度，强化事中事后监管。</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黑体" w:hAnsi="宋体" w:eastAsia="黑体" w:cs="黑体"/>
          <w:i w:val="0"/>
          <w:iCs w:val="0"/>
          <w:caps w:val="0"/>
          <w:color w:val="333333"/>
          <w:spacing w:val="0"/>
          <w:kern w:val="0"/>
          <w:sz w:val="32"/>
          <w:szCs w:val="32"/>
          <w:shd w:val="clear" w:fill="FFFFFF"/>
          <w:lang w:val="en-US" w:eastAsia="zh-CN" w:bidi="ar"/>
        </w:rPr>
      </w:pPr>
      <w:bookmarkStart w:id="11" w:name="_Toc59736656"/>
      <w:r>
        <w:rPr>
          <w:rFonts w:hint="eastAsia" w:ascii="黑体" w:hAnsi="宋体" w:eastAsia="黑体" w:cs="黑体"/>
          <w:i w:val="0"/>
          <w:iCs w:val="0"/>
          <w:caps w:val="0"/>
          <w:color w:val="333333"/>
          <w:spacing w:val="0"/>
          <w:kern w:val="0"/>
          <w:sz w:val="32"/>
          <w:szCs w:val="32"/>
          <w:shd w:val="clear" w:fill="FFFFFF"/>
          <w:lang w:val="en-US" w:eastAsia="zh-CN" w:bidi="ar"/>
        </w:rPr>
        <w:t>四、完善紧密型县域医共体建设</w:t>
      </w:r>
      <w:bookmarkEnd w:id="11"/>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pPr>
      <w:bookmarkStart w:id="12" w:name="_Toc59736657"/>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（一）优化整合医疗服务体系运行机制</w:t>
      </w:r>
      <w:bookmarkEnd w:id="12"/>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完善紧密型县域医共体建设。</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加快完善紧密型医共体管理机制，抓好“五个统一”，提升管理效率。健全内部治理结构，完善“六大中心”、“七个机构”建设。完善医共体运行机制，加强人才培养使用。完善薪酬激励机制，提高工作效率。促进资源协同利用，实现服务共同体，不断提升基层医院能力，推进区镇村一体化，构建全生命周期健康服务体系。</w:t>
      </w:r>
    </w:p>
    <w:tbl>
      <w:tblPr>
        <w:tblStyle w:val="12"/>
        <w:tblW w:w="5000" w:type="pct"/>
        <w:tblInd w:w="19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9" w:hRule="atLeast"/>
        </w:trPr>
        <w:tc>
          <w:tcPr>
            <w:tcW w:w="4761" w:type="pct"/>
            <w:tcBorders>
              <w:top w:val="outset" w:color="auto" w:sz="6" w:space="0"/>
              <w:left w:val="outset" w:color="auto" w:sz="6" w:space="0"/>
              <w:bottom w:val="outset" w:color="auto" w:sz="6" w:space="0"/>
              <w:right w:val="outset" w:color="auto" w:sz="6" w:space="0"/>
            </w:tcBorders>
            <w:shd w:val="clear" w:color="auto" w:fill="FFFFFF"/>
            <w:vAlign w:val="top"/>
          </w:tcPr>
          <w:p>
            <w:pPr>
              <w:pStyle w:val="11"/>
              <w:keepNext w:val="0"/>
              <w:keepLines w:val="0"/>
              <w:widowControl/>
              <w:suppressLineNumbers w:val="0"/>
              <w:spacing w:before="225" w:beforeAutospacing="0" w:after="225" w:afterAutospacing="0" w:line="27" w:lineRule="atLeast"/>
              <w:ind w:left="0" w:right="0"/>
              <w:jc w:val="center"/>
              <w:rPr>
                <w:rFonts w:hint="eastAsia" w:ascii="宋体" w:hAnsi="宋体" w:eastAsia="黑体" w:cs="宋体"/>
                <w:sz w:val="24"/>
                <w:szCs w:val="24"/>
                <w:lang w:eastAsia="zh-CN"/>
              </w:rPr>
            </w:pPr>
            <w:r>
              <w:rPr>
                <w:rFonts w:hint="eastAsia" w:ascii="黑体" w:hAnsi="宋体" w:eastAsia="黑体" w:cs="黑体"/>
                <w:i w:val="0"/>
                <w:iCs w:val="0"/>
                <w:caps w:val="0"/>
                <w:color w:val="000000"/>
                <w:spacing w:val="0"/>
                <w:kern w:val="0"/>
                <w:sz w:val="28"/>
                <w:szCs w:val="28"/>
                <w:lang w:val="en-US" w:eastAsia="zh-CN" w:bidi="ar"/>
              </w:rPr>
              <w:t>专栏</w:t>
            </w:r>
            <w:r>
              <w:rPr>
                <w:rFonts w:hint="default" w:ascii="黑体" w:hAnsi="宋体" w:eastAsia="黑体" w:cs="黑体"/>
                <w:i w:val="0"/>
                <w:iCs w:val="0"/>
                <w:caps w:val="0"/>
                <w:color w:val="000000"/>
                <w:spacing w:val="0"/>
                <w:kern w:val="0"/>
                <w:sz w:val="28"/>
                <w:szCs w:val="28"/>
                <w:lang w:val="en-US" w:eastAsia="zh-CN" w:bidi="ar"/>
              </w:rPr>
              <w:t>1</w:t>
            </w:r>
            <w:r>
              <w:rPr>
                <w:rFonts w:hint="eastAsia" w:ascii="黑体" w:hAnsi="宋体" w:eastAsia="黑体" w:cs="黑体"/>
                <w:i w:val="0"/>
                <w:iCs w:val="0"/>
                <w:caps w:val="0"/>
                <w:color w:val="000000"/>
                <w:spacing w:val="0"/>
                <w:kern w:val="0"/>
                <w:sz w:val="28"/>
                <w:szCs w:val="28"/>
                <w:lang w:val="en-US" w:eastAsia="zh-CN" w:bidi="ar"/>
              </w:rPr>
              <w:t xml:space="preserve">  紧密型县域医共体建设工程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761" w:type="pct"/>
            <w:tcBorders>
              <w:top w:val="outset" w:color="auto" w:sz="6" w:space="0"/>
              <w:left w:val="outset" w:color="auto" w:sz="6" w:space="0"/>
              <w:bottom w:val="outset" w:color="auto" w:sz="6" w:space="0"/>
              <w:right w:val="outset" w:color="auto" w:sz="6" w:space="0"/>
            </w:tcBorders>
            <w:shd w:val="clear" w:color="auto" w:fill="FFFFFF"/>
            <w:vAlign w:val="top"/>
          </w:tcPr>
          <w:p>
            <w:pPr>
              <w:pStyle w:val="11"/>
              <w:keepNext w:val="0"/>
              <w:keepLines w:val="0"/>
              <w:widowControl/>
              <w:suppressLineNumbers w:val="0"/>
              <w:spacing w:before="225" w:beforeAutospacing="0" w:after="225" w:afterAutospacing="0" w:line="27" w:lineRule="atLeast"/>
              <w:ind w:left="0" w:right="0"/>
              <w:jc w:val="both"/>
              <w:rPr>
                <w:rFonts w:hint="eastAsia" w:ascii="宋体" w:hAnsi="宋体" w:eastAsia="宋体" w:cs="宋体"/>
                <w:sz w:val="24"/>
                <w:szCs w:val="24"/>
              </w:rPr>
            </w:pPr>
            <w:r>
              <w:rPr>
                <w:rFonts w:hint="eastAsia" w:ascii="宋体" w:hAnsi="宋体" w:cs="宋体"/>
                <w:i w:val="0"/>
                <w:iCs w:val="0"/>
                <w:caps w:val="0"/>
                <w:color w:val="000000"/>
                <w:spacing w:val="0"/>
                <w:sz w:val="24"/>
                <w:szCs w:val="24"/>
                <w:lang w:eastAsia="zh-CN"/>
              </w:rPr>
              <w:t>　　紧密型县域医共体建设重大项目：</w:t>
            </w:r>
            <w:r>
              <w:rPr>
                <w:rFonts w:hint="eastAsia" w:ascii="宋体" w:hAnsi="宋体" w:eastAsia="宋体" w:cs="宋体"/>
                <w:i w:val="0"/>
                <w:iCs w:val="0"/>
                <w:caps w:val="0"/>
                <w:color w:val="000000"/>
                <w:spacing w:val="0"/>
                <w:kern w:val="0"/>
                <w:sz w:val="24"/>
                <w:szCs w:val="24"/>
                <w:lang w:val="en-US" w:eastAsia="zh-CN" w:bidi="ar"/>
              </w:rPr>
              <w:t>重点推进安居区人民医院综合</w:t>
            </w:r>
            <w:r>
              <w:rPr>
                <w:rFonts w:hint="eastAsia" w:ascii="宋体" w:hAnsi="宋体" w:cs="宋体"/>
                <w:i w:val="0"/>
                <w:iCs w:val="0"/>
                <w:caps w:val="0"/>
                <w:color w:val="000000"/>
                <w:spacing w:val="0"/>
                <w:kern w:val="0"/>
                <w:sz w:val="24"/>
                <w:szCs w:val="24"/>
                <w:lang w:val="en-US" w:eastAsia="zh-CN" w:bidi="ar"/>
              </w:rPr>
              <w:t>能力提升</w:t>
            </w:r>
            <w:r>
              <w:rPr>
                <w:rFonts w:hint="eastAsia" w:ascii="宋体" w:hAnsi="宋体" w:eastAsia="宋体" w:cs="宋体"/>
                <w:i w:val="0"/>
                <w:iCs w:val="0"/>
                <w:caps w:val="0"/>
                <w:color w:val="000000"/>
                <w:spacing w:val="0"/>
                <w:kern w:val="0"/>
                <w:sz w:val="24"/>
                <w:szCs w:val="24"/>
                <w:lang w:val="en-US" w:eastAsia="zh-CN" w:bidi="ar"/>
              </w:rPr>
              <w:t>建设项目、安居区传染病医院建设项目、安居区西眉镇中心卫生院</w:t>
            </w:r>
            <w:r>
              <w:rPr>
                <w:rFonts w:hint="eastAsia" w:ascii="宋体" w:hAnsi="宋体" w:cs="宋体"/>
                <w:i w:val="0"/>
                <w:iCs w:val="0"/>
                <w:caps w:val="0"/>
                <w:color w:val="000000"/>
                <w:spacing w:val="0"/>
                <w:kern w:val="0"/>
                <w:sz w:val="24"/>
                <w:szCs w:val="24"/>
                <w:lang w:val="en-US" w:eastAsia="zh-CN" w:bidi="ar"/>
              </w:rPr>
              <w:t>迁建</w:t>
            </w:r>
            <w:r>
              <w:rPr>
                <w:rFonts w:hint="eastAsia" w:ascii="宋体" w:hAnsi="宋体" w:eastAsia="宋体" w:cs="宋体"/>
                <w:i w:val="0"/>
                <w:iCs w:val="0"/>
                <w:caps w:val="0"/>
                <w:color w:val="000000"/>
                <w:spacing w:val="0"/>
                <w:kern w:val="0"/>
                <w:sz w:val="24"/>
                <w:szCs w:val="24"/>
                <w:lang w:val="en-US" w:eastAsia="zh-CN" w:bidi="ar"/>
              </w:rPr>
              <w:t>项目</w:t>
            </w:r>
            <w:r>
              <w:rPr>
                <w:rFonts w:hint="eastAsia" w:ascii="宋体" w:hAnsi="宋体" w:cs="宋体"/>
                <w:i w:val="0"/>
                <w:iCs w:val="0"/>
                <w:caps w:val="0"/>
                <w:color w:val="000000"/>
                <w:spacing w:val="0"/>
                <w:kern w:val="0"/>
                <w:sz w:val="24"/>
                <w:szCs w:val="24"/>
                <w:lang w:val="en-US" w:eastAsia="zh-CN" w:bidi="ar"/>
              </w:rPr>
              <w:t>、</w:t>
            </w:r>
            <w:r>
              <w:rPr>
                <w:rFonts w:hint="eastAsia" w:ascii="宋体" w:hAnsi="宋体" w:eastAsia="宋体" w:cs="宋体"/>
                <w:i w:val="0"/>
                <w:iCs w:val="0"/>
                <w:caps w:val="0"/>
                <w:color w:val="000000"/>
                <w:spacing w:val="0"/>
                <w:kern w:val="0"/>
                <w:sz w:val="24"/>
                <w:szCs w:val="24"/>
                <w:lang w:val="en-US" w:eastAsia="zh-CN" w:bidi="ar"/>
              </w:rPr>
              <w:t>安居区第三人民医院（一期）、安居区</w:t>
            </w:r>
            <w:r>
              <w:rPr>
                <w:rFonts w:hint="eastAsia" w:ascii="宋体" w:hAnsi="宋体" w:cs="宋体"/>
                <w:i w:val="0"/>
                <w:iCs w:val="0"/>
                <w:caps w:val="0"/>
                <w:color w:val="000000"/>
                <w:spacing w:val="0"/>
                <w:kern w:val="0"/>
                <w:sz w:val="24"/>
                <w:szCs w:val="24"/>
                <w:lang w:val="en-US" w:eastAsia="zh-CN" w:bidi="ar"/>
              </w:rPr>
              <w:t>康养中心</w:t>
            </w:r>
            <w:r>
              <w:rPr>
                <w:rFonts w:hint="eastAsia" w:ascii="宋体" w:hAnsi="宋体" w:eastAsia="宋体" w:cs="宋体"/>
                <w:i w:val="0"/>
                <w:iCs w:val="0"/>
                <w:caps w:val="0"/>
                <w:color w:val="000000"/>
                <w:spacing w:val="0"/>
                <w:kern w:val="0"/>
                <w:sz w:val="24"/>
                <w:szCs w:val="24"/>
                <w:lang w:val="en-US" w:eastAsia="zh-CN" w:bidi="ar"/>
              </w:rPr>
              <w:t>建设项目、</w:t>
            </w:r>
            <w:r>
              <w:rPr>
                <w:rFonts w:hint="eastAsia" w:ascii="宋体" w:hAnsi="宋体" w:cs="宋体"/>
                <w:i w:val="0"/>
                <w:iCs w:val="0"/>
                <w:caps w:val="0"/>
                <w:color w:val="000000"/>
                <w:spacing w:val="0"/>
                <w:kern w:val="0"/>
                <w:sz w:val="24"/>
                <w:szCs w:val="24"/>
                <w:lang w:val="en-US" w:eastAsia="zh-CN" w:bidi="ar"/>
              </w:rPr>
              <w:t>安居区白马镇中心卫生院迁建项目</w:t>
            </w:r>
            <w:r>
              <w:rPr>
                <w:rFonts w:hint="eastAsia" w:ascii="宋体" w:hAnsi="宋体" w:eastAsia="宋体" w:cs="宋体"/>
                <w:i w:val="0"/>
                <w:iCs w:val="0"/>
                <w:caps w:val="0"/>
                <w:color w:val="000000"/>
                <w:spacing w:val="0"/>
                <w:kern w:val="0"/>
                <w:sz w:val="24"/>
                <w:szCs w:val="24"/>
                <w:lang w:val="en-US" w:eastAsia="zh-CN" w:bidi="ar"/>
              </w:rPr>
              <w:t>，安居区紧密型县域医疗卫生共同体网络信息化建设项目等项目。</w:t>
            </w:r>
          </w:p>
        </w:tc>
      </w:tr>
    </w:tbl>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建设现代医院管理制度。</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探索建立符合医疗行业特点的现代公立医院管理制度。加大对医疗行为、医疗费用等方面监管力度，减少对医院人事编制、科室设定、岗位聘任、收入分配等的管理。全面实施医保费用“总额管理、结余留用”。建立覆盖诊断、治疗、财务、人力资源、成本管理的现代化信息管理制度，推动医院精细化管理。启动“智慧医疗”建设项目，完善智慧医院、智慧病房、AI客服、医疗辅助智能化知识库等智慧医疗应用系统。</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pPr>
      <w:bookmarkStart w:id="13" w:name="_Toc59736658"/>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（二）扩大优质医疗卫生资源供给</w:t>
      </w:r>
      <w:bookmarkEnd w:id="13"/>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强化临床重点专科（学科）建设。</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加大重点学科建设和发展的支持力度，积极组织区人民医院妇产科、儿科、放射科、超声科、检验科等专科申报遂宁市重点专科，主动适应疾病谱变化及群众就医需求，适时开展老年医学、儿保、烧伤及精神疾病等新专业、新业务，逐步完成内科、外科分科和亚专业建设。推进区中医院、区妇幼保健院、区疾控中心等级创建。区域内各医院以专科（学科）建设为重点，错位发展，持续提升医院实力，提供优质的医疗服务。</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全面提升基层医疗服务能力。</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以创建国家标准化等级医院为抓手，全面提升医疗机构综合服务能力，区疾控中心创建二级疾控机构，安居区人民医院争创三级乙等医院，推动创建全国卫生应急综合示范区。不断提高医院设备装备水平，做好自采设备的评估分析，提升设备使用水平和效益，提升诊断准确率和治愈率。继续升级优化社区卫生服务中心，完成标准化提升改造。完善社区卫生服务中心服务补偿机制。加快推进疼痛、口腔医学、小儿神经康复、超声、骨伤、急诊急救等资源共享中心的建设。提高妇幼健康、公共卫生、肿瘤、精神、产科、儿科、康复、护理等急需领域医疗服务能力。</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全面提升医学人才队伍建设。</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建立镇卫生院和社区卫生中心后备人才库，对现有全科医生和护士进行分类管理和培训，每年培训医务人员3000人次以上。继续加强镇卫生院和社区卫生中心人才队伍建设，引进和培养优秀全科医师，落实全科医生激励政策。用好用够国家级、省级、市级、区级高层次人才引进政策，鼓励引导城市退休医生、医学院校本科、大专毕业生等专业人员到基层工作，引进高层次医学人才。以提高岗位胜任能力为核心，加强专科医生培养，加强各类紧缺专业医师岗位培养。持续探索推进基层医疗机构职工生活人才公寓建设，为基层医院人才“留得住”创造条件。</w:t>
      </w:r>
    </w:p>
    <w:tbl>
      <w:tblPr>
        <w:tblStyle w:val="12"/>
        <w:tblW w:w="0" w:type="auto"/>
        <w:tblInd w:w="19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1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9"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top"/>
          </w:tcPr>
          <w:p>
            <w:pPr>
              <w:pStyle w:val="11"/>
              <w:keepNext w:val="0"/>
              <w:keepLines w:val="0"/>
              <w:widowControl/>
              <w:suppressLineNumbers w:val="0"/>
              <w:spacing w:before="225" w:beforeAutospacing="0" w:after="225" w:afterAutospacing="0" w:line="27" w:lineRule="atLeast"/>
              <w:ind w:left="0" w:right="0"/>
              <w:jc w:val="center"/>
              <w:rPr>
                <w:rFonts w:hint="eastAsia" w:ascii="宋体" w:hAnsi="宋体" w:eastAsia="宋体" w:cs="宋体"/>
                <w:sz w:val="24"/>
                <w:szCs w:val="24"/>
              </w:rPr>
            </w:pPr>
            <w:bookmarkStart w:id="14" w:name="_Toc59736659"/>
            <w:r>
              <w:rPr>
                <w:rFonts w:hint="eastAsia" w:ascii="黑体" w:hAnsi="宋体" w:eastAsia="黑体" w:cs="黑体"/>
                <w:i w:val="0"/>
                <w:iCs w:val="0"/>
                <w:caps w:val="0"/>
                <w:color w:val="000000"/>
                <w:spacing w:val="0"/>
                <w:kern w:val="0"/>
                <w:sz w:val="28"/>
                <w:szCs w:val="28"/>
                <w:lang w:val="en-US" w:eastAsia="zh-CN" w:bidi="ar"/>
              </w:rPr>
              <w:t>专栏2  医疗卫生人才队伍提升工程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top"/>
          </w:tcPr>
          <w:p>
            <w:pPr>
              <w:pStyle w:val="11"/>
              <w:keepNext w:val="0"/>
              <w:keepLines w:val="0"/>
              <w:widowControl/>
              <w:suppressLineNumbers w:val="0"/>
              <w:spacing w:before="225" w:beforeAutospacing="0" w:after="225" w:afterAutospacing="0" w:line="27" w:lineRule="atLeast"/>
              <w:ind w:left="0" w:right="0"/>
              <w:jc w:val="both"/>
              <w:rPr>
                <w:rFonts w:hint="eastAsia" w:ascii="宋体" w:hAnsi="宋体" w:eastAsia="宋体" w:cs="宋体"/>
                <w:sz w:val="24"/>
                <w:szCs w:val="24"/>
              </w:rPr>
            </w:pPr>
            <w:r>
              <w:rPr>
                <w:rFonts w:hint="eastAsia" w:ascii="宋体" w:hAnsi="宋体" w:cs="宋体"/>
                <w:i w:val="0"/>
                <w:iCs w:val="0"/>
                <w:caps w:val="0"/>
                <w:color w:val="000000"/>
                <w:spacing w:val="0"/>
                <w:sz w:val="24"/>
                <w:szCs w:val="24"/>
                <w:lang w:eastAsia="zh-CN"/>
              </w:rPr>
              <w:t>　　</w:t>
            </w:r>
            <w:r>
              <w:rPr>
                <w:rFonts w:hint="eastAsia" w:ascii="宋体" w:hAnsi="宋体" w:eastAsia="宋体" w:cs="宋体"/>
                <w:i w:val="0"/>
                <w:iCs w:val="0"/>
                <w:caps w:val="0"/>
                <w:color w:val="000000"/>
                <w:spacing w:val="0"/>
                <w:sz w:val="24"/>
                <w:szCs w:val="24"/>
              </w:rPr>
              <w:t>高层次人才引进计划：用好用够国家级、省级、市级、</w:t>
            </w:r>
            <w:r>
              <w:rPr>
                <w:rFonts w:hint="eastAsia" w:ascii="宋体" w:hAnsi="宋体" w:cs="宋体"/>
                <w:i w:val="0"/>
                <w:iCs w:val="0"/>
                <w:caps w:val="0"/>
                <w:color w:val="000000"/>
                <w:spacing w:val="0"/>
                <w:sz w:val="24"/>
                <w:szCs w:val="24"/>
                <w:lang w:eastAsia="zh-CN"/>
              </w:rPr>
              <w:t>区</w:t>
            </w:r>
            <w:r>
              <w:rPr>
                <w:rFonts w:hint="eastAsia" w:ascii="宋体" w:hAnsi="宋体" w:eastAsia="宋体" w:cs="宋体"/>
                <w:i w:val="0"/>
                <w:iCs w:val="0"/>
                <w:caps w:val="0"/>
                <w:color w:val="000000"/>
                <w:spacing w:val="0"/>
                <w:sz w:val="24"/>
                <w:szCs w:val="24"/>
              </w:rPr>
              <w:t>级高层次人才引进政策，到2025年，引进博士、硕士研究生10-20名。</w:t>
            </w:r>
          </w:p>
          <w:p>
            <w:pPr>
              <w:pStyle w:val="11"/>
              <w:keepNext w:val="0"/>
              <w:keepLines w:val="0"/>
              <w:widowControl/>
              <w:suppressLineNumbers w:val="0"/>
              <w:spacing w:before="225" w:beforeAutospacing="0" w:after="225" w:afterAutospacing="0" w:line="27" w:lineRule="atLeast"/>
              <w:ind w:left="0" w:right="0"/>
              <w:jc w:val="both"/>
              <w:rPr>
                <w:rFonts w:hint="eastAsia" w:ascii="宋体" w:hAnsi="宋体" w:eastAsia="宋体" w:cs="宋体"/>
                <w:sz w:val="24"/>
                <w:szCs w:val="24"/>
              </w:rPr>
            </w:pPr>
            <w:r>
              <w:rPr>
                <w:rFonts w:hint="eastAsia" w:ascii="宋体" w:hAnsi="宋体" w:cs="宋体"/>
                <w:i w:val="0"/>
                <w:iCs w:val="0"/>
                <w:caps w:val="0"/>
                <w:color w:val="000000"/>
                <w:spacing w:val="0"/>
                <w:sz w:val="24"/>
                <w:szCs w:val="24"/>
                <w:lang w:eastAsia="zh-CN"/>
              </w:rPr>
              <w:t>　　</w:t>
            </w:r>
            <w:r>
              <w:rPr>
                <w:rFonts w:hint="eastAsia" w:ascii="宋体" w:hAnsi="宋体" w:eastAsia="宋体" w:cs="宋体"/>
                <w:i w:val="0"/>
                <w:iCs w:val="0"/>
                <w:caps w:val="0"/>
                <w:color w:val="000000"/>
                <w:spacing w:val="0"/>
                <w:sz w:val="24"/>
                <w:szCs w:val="24"/>
              </w:rPr>
              <w:t>高层次人才培育计划：积极培育申报“川中明珠计划”遂州医疗名家，到2025年，遴选“川中明珠计划”遂州医疗名家5名左右。</w:t>
            </w:r>
          </w:p>
          <w:p>
            <w:pPr>
              <w:pStyle w:val="11"/>
              <w:keepNext w:val="0"/>
              <w:keepLines w:val="0"/>
              <w:widowControl/>
              <w:suppressLineNumbers w:val="0"/>
              <w:spacing w:before="225" w:beforeAutospacing="0" w:after="225" w:afterAutospacing="0" w:line="27" w:lineRule="atLeast"/>
              <w:ind w:left="0" w:right="0"/>
              <w:jc w:val="both"/>
              <w:rPr>
                <w:rFonts w:hint="eastAsia" w:ascii="宋体" w:hAnsi="宋体" w:eastAsia="宋体" w:cs="宋体"/>
                <w:sz w:val="24"/>
                <w:szCs w:val="24"/>
              </w:rPr>
            </w:pPr>
            <w:r>
              <w:rPr>
                <w:rFonts w:hint="eastAsia" w:ascii="宋体" w:hAnsi="宋体" w:cs="宋体"/>
                <w:i w:val="0"/>
                <w:iCs w:val="0"/>
                <w:caps w:val="0"/>
                <w:color w:val="000000"/>
                <w:spacing w:val="0"/>
                <w:sz w:val="24"/>
                <w:szCs w:val="24"/>
                <w:lang w:eastAsia="zh-CN"/>
              </w:rPr>
              <w:t>　　</w:t>
            </w:r>
            <w:r>
              <w:rPr>
                <w:rFonts w:hint="eastAsia" w:ascii="宋体" w:hAnsi="宋体" w:eastAsia="宋体" w:cs="宋体"/>
                <w:i w:val="0"/>
                <w:iCs w:val="0"/>
                <w:caps w:val="0"/>
                <w:color w:val="000000"/>
                <w:spacing w:val="0"/>
                <w:sz w:val="24"/>
                <w:szCs w:val="24"/>
              </w:rPr>
              <w:t>基层人才带动计划：鼓励专家人才支持基层人才队伍建设，推动基层能力提升，到2025年，圆满完成遂宁市分配支援基层、脱贫地区计划任务。</w:t>
            </w:r>
          </w:p>
          <w:p>
            <w:pPr>
              <w:pStyle w:val="11"/>
              <w:keepNext w:val="0"/>
              <w:keepLines w:val="0"/>
              <w:widowControl/>
              <w:suppressLineNumbers w:val="0"/>
              <w:spacing w:before="225" w:beforeAutospacing="0" w:after="225" w:afterAutospacing="0" w:line="27" w:lineRule="atLeast"/>
              <w:ind w:left="0" w:right="0"/>
              <w:jc w:val="both"/>
              <w:rPr>
                <w:rFonts w:hint="eastAsia" w:ascii="宋体" w:hAnsi="宋体" w:eastAsia="宋体" w:cs="宋体"/>
                <w:sz w:val="24"/>
                <w:szCs w:val="24"/>
              </w:rPr>
            </w:pPr>
            <w:r>
              <w:rPr>
                <w:rFonts w:hint="eastAsia" w:ascii="宋体" w:hAnsi="宋体" w:cs="宋体"/>
                <w:i w:val="0"/>
                <w:iCs w:val="0"/>
                <w:caps w:val="0"/>
                <w:color w:val="000000"/>
                <w:spacing w:val="0"/>
                <w:sz w:val="24"/>
                <w:szCs w:val="24"/>
                <w:lang w:eastAsia="zh-CN"/>
              </w:rPr>
              <w:t>　　</w:t>
            </w:r>
            <w:r>
              <w:rPr>
                <w:rFonts w:hint="eastAsia" w:ascii="宋体" w:hAnsi="宋体" w:eastAsia="宋体" w:cs="宋体"/>
                <w:i w:val="0"/>
                <w:iCs w:val="0"/>
                <w:caps w:val="0"/>
                <w:color w:val="000000"/>
                <w:spacing w:val="0"/>
                <w:sz w:val="24"/>
                <w:szCs w:val="24"/>
              </w:rPr>
              <w:t>学科带头人培育计划：力争到2025年，每年培育遂宁市级学术技术带头人1-2人。</w:t>
            </w:r>
          </w:p>
        </w:tc>
      </w:tr>
    </w:tbl>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（三）优化医疗服务流程</w:t>
      </w:r>
      <w:bookmarkEnd w:id="14"/>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开展“提升患者满意度”专项行动。</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推进医疗服务改善行动，提升医疗卫生服务品质。加强服务意识教育和培训，提高人性化主动服务的理念。完善便民措施，管理责任到人，发现问题及时处理。围绕患者需求，规范、简化就医流程，做好分诊导诊工作，让患者便捷就医。立足分级诊疗，落实医共体内双向转诊，尽力为患者提供全流程、连续性的健康服务。</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深化家庭医生签约服务内涵。</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以提升居民签约家庭医生服务内涵和获得感为核心，注重家庭医生签约服务内涵建设和签约后服务质量，引导居民从被动签约向主动签约转变。加强对老年人、高血压、糖尿病和精神病人等特殊人群的规范管理。探索建立以家庭医生团队为责任主体的居民健康和医保费用“守门人”制度。</w:t>
      </w:r>
    </w:p>
    <w:p>
      <w:pPr>
        <w:pStyle w:val="2"/>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推动“互联网+医疗服务”流程优化。</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推进智慧医院、智慧健康社区、智慧健康校园建设，推进智能健康装备、智能健身器材、可穿戴医疗设备的便民应用。搭建互联网信息平台，开展远程医疗、健康咨询、健康管理服务。创新智慧医疗发展平台。建立互联网+医疗健康服务补偿机制。探索“互联网+医疗健康”价格及医保支付方式改革。</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黑体" w:hAnsi="宋体" w:eastAsia="黑体" w:cs="黑体"/>
          <w:i w:val="0"/>
          <w:iCs w:val="0"/>
          <w:caps w:val="0"/>
          <w:color w:val="333333"/>
          <w:spacing w:val="0"/>
          <w:kern w:val="0"/>
          <w:sz w:val="32"/>
          <w:szCs w:val="32"/>
          <w:shd w:val="clear" w:fill="FFFFFF"/>
          <w:lang w:val="en-US" w:eastAsia="zh-CN" w:bidi="ar"/>
        </w:rPr>
      </w:pPr>
      <w:bookmarkStart w:id="15" w:name="_Toc59736660"/>
      <w:r>
        <w:rPr>
          <w:rFonts w:hint="eastAsia" w:ascii="黑体" w:hAnsi="宋体" w:eastAsia="黑体" w:cs="黑体"/>
          <w:i w:val="0"/>
          <w:iCs w:val="0"/>
          <w:caps w:val="0"/>
          <w:color w:val="333333"/>
          <w:spacing w:val="0"/>
          <w:kern w:val="0"/>
          <w:sz w:val="32"/>
          <w:szCs w:val="32"/>
          <w:shd w:val="clear" w:fill="FFFFFF"/>
          <w:lang w:val="en-US" w:eastAsia="zh-CN" w:bidi="ar"/>
        </w:rPr>
        <w:t>五、优化升级公共卫生服务体系</w:t>
      </w:r>
      <w:bookmarkEnd w:id="15"/>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bookmarkStart w:id="16" w:name="_Toc59736661"/>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（一）加强专业公共卫生机构建设</w:t>
      </w:r>
      <w:bookmarkEnd w:id="16"/>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加强专业公共卫生机构能力建设。</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加强疾病预防控制机构建设，实现辖区内疾病预防控制机构内设有5个生物安全二级水平的实验室。提高基本公共卫生服务项目的供给效率。开展基本公共卫生服务项目质量持续改进工程。推动落实“两个允许”，激发公共卫生机构运行活力。</w:t>
      </w:r>
    </w:p>
    <w:tbl>
      <w:tblPr>
        <w:tblStyle w:val="12"/>
        <w:tblW w:w="8334" w:type="dxa"/>
        <w:jc w:val="center"/>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8334"/>
      </w:tblGrid>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44" w:hRule="atLeast"/>
          <w:jc w:val="center"/>
        </w:trPr>
        <w:tc>
          <w:tcPr>
            <w:tcW w:w="83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50" w:afterAutospacing="0" w:line="400" w:lineRule="atLeast"/>
              <w:ind w:left="0" w:right="0" w:firstLine="0"/>
              <w:jc w:val="center"/>
            </w:pPr>
            <w:r>
              <w:rPr>
                <w:rFonts w:hint="default" w:ascii="黑体" w:hAnsi="宋体" w:eastAsia="黑体" w:cs="黑体"/>
                <w:i w:val="0"/>
                <w:iCs w:val="0"/>
                <w:caps w:val="0"/>
                <w:color w:val="000000"/>
                <w:spacing w:val="0"/>
                <w:kern w:val="0"/>
                <w:sz w:val="28"/>
                <w:szCs w:val="28"/>
                <w:lang w:val="en-US" w:eastAsia="zh-CN" w:bidi="ar"/>
              </w:rPr>
              <w:t>专栏</w:t>
            </w:r>
            <w:r>
              <w:rPr>
                <w:rFonts w:hint="eastAsia" w:ascii="黑体" w:hAnsi="宋体" w:eastAsia="黑体" w:cs="黑体"/>
                <w:i w:val="0"/>
                <w:iCs w:val="0"/>
                <w:caps w:val="0"/>
                <w:color w:val="000000"/>
                <w:spacing w:val="0"/>
                <w:kern w:val="0"/>
                <w:sz w:val="28"/>
                <w:szCs w:val="28"/>
                <w:lang w:val="en-US" w:eastAsia="zh-CN" w:bidi="ar"/>
              </w:rPr>
              <w:t>3</w:t>
            </w:r>
            <w:r>
              <w:rPr>
                <w:rFonts w:hint="default" w:ascii="黑体" w:hAnsi="宋体" w:eastAsia="黑体" w:cs="黑体"/>
                <w:i w:val="0"/>
                <w:iCs w:val="0"/>
                <w:caps w:val="0"/>
                <w:color w:val="000000"/>
                <w:spacing w:val="0"/>
                <w:kern w:val="0"/>
                <w:sz w:val="28"/>
                <w:szCs w:val="28"/>
                <w:lang w:val="en-US" w:eastAsia="zh-CN" w:bidi="ar"/>
              </w:rPr>
              <w:t xml:space="preserve">  </w:t>
            </w:r>
            <w:r>
              <w:rPr>
                <w:rFonts w:hint="eastAsia" w:ascii="黑体" w:hAnsi="宋体" w:eastAsia="黑体" w:cs="黑体"/>
                <w:i w:val="0"/>
                <w:iCs w:val="0"/>
                <w:caps w:val="0"/>
                <w:color w:val="000000"/>
                <w:spacing w:val="0"/>
                <w:kern w:val="0"/>
                <w:sz w:val="28"/>
                <w:szCs w:val="28"/>
                <w:lang w:val="en-US" w:eastAsia="zh-CN" w:bidi="ar"/>
              </w:rPr>
              <w:t>公共卫生服务能力提升项目</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833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spacing w:before="0" w:beforeAutospacing="0" w:after="150" w:afterAutospacing="0" w:line="400" w:lineRule="atLeast"/>
              <w:ind w:left="0" w:right="0" w:firstLine="420"/>
              <w:jc w:val="left"/>
              <w:rPr>
                <w:rFonts w:hint="eastAsia" w:ascii="宋体" w:hAnsi="宋体" w:eastAsia="宋体" w:cs="宋体"/>
                <w:i w:val="0"/>
                <w:iCs w:val="0"/>
                <w:caps w:val="0"/>
                <w:color w:val="000000"/>
                <w:spacing w:val="0"/>
                <w:kern w:val="0"/>
                <w:sz w:val="24"/>
                <w:szCs w:val="24"/>
                <w:lang w:val="en-US" w:eastAsia="zh-CN" w:bidi="ar"/>
              </w:rPr>
            </w:pPr>
            <w:r>
              <w:rPr>
                <w:rFonts w:hint="default" w:ascii="宋体" w:hAnsi="宋体" w:eastAsia="宋体" w:cs="宋体"/>
                <w:i w:val="0"/>
                <w:iCs w:val="0"/>
                <w:caps w:val="0"/>
                <w:color w:val="000000"/>
                <w:spacing w:val="0"/>
                <w:kern w:val="0"/>
                <w:sz w:val="24"/>
                <w:szCs w:val="24"/>
                <w:lang w:val="en-US" w:eastAsia="zh-CN" w:bidi="ar"/>
              </w:rPr>
              <w:t>疾控机构等级提升计划：到2025年，区疾控中心建成二级甲等疾控中心。</w:t>
            </w:r>
          </w:p>
          <w:p>
            <w:pPr>
              <w:keepNext w:val="0"/>
              <w:keepLines w:val="0"/>
              <w:widowControl/>
              <w:suppressLineNumbers w:val="0"/>
              <w:spacing w:before="0" w:beforeAutospacing="0" w:after="150" w:afterAutospacing="0" w:line="400" w:lineRule="atLeast"/>
              <w:ind w:left="0" w:right="0" w:firstLine="420"/>
              <w:jc w:val="left"/>
            </w:pPr>
            <w:r>
              <w:rPr>
                <w:rFonts w:hint="default" w:ascii="宋体" w:hAnsi="宋体" w:eastAsia="宋体" w:cs="宋体"/>
                <w:i w:val="0"/>
                <w:iCs w:val="0"/>
                <w:caps w:val="0"/>
                <w:color w:val="000000"/>
                <w:spacing w:val="0"/>
                <w:kern w:val="0"/>
                <w:sz w:val="24"/>
                <w:szCs w:val="24"/>
                <w:lang w:val="en-US" w:eastAsia="zh-CN" w:bidi="ar"/>
              </w:rPr>
              <w:t>重大传染病和地方病防控：启动狂犬病消除行动，巩固消除疟疾成果，巩固和保持碘缺乏病消除状态。全</w:t>
            </w:r>
            <w:r>
              <w:rPr>
                <w:rFonts w:hint="eastAsia" w:ascii="宋体" w:hAnsi="宋体" w:eastAsia="宋体" w:cs="宋体"/>
                <w:i w:val="0"/>
                <w:iCs w:val="0"/>
                <w:caps w:val="0"/>
                <w:color w:val="000000"/>
                <w:spacing w:val="0"/>
                <w:kern w:val="0"/>
                <w:sz w:val="24"/>
                <w:szCs w:val="24"/>
                <w:lang w:val="en-US" w:eastAsia="zh-CN" w:bidi="ar"/>
              </w:rPr>
              <w:t>区</w:t>
            </w:r>
            <w:r>
              <w:rPr>
                <w:rFonts w:hint="default" w:ascii="宋体" w:hAnsi="宋体" w:eastAsia="宋体" w:cs="宋体"/>
                <w:i w:val="0"/>
                <w:iCs w:val="0"/>
                <w:caps w:val="0"/>
                <w:color w:val="000000"/>
                <w:spacing w:val="0"/>
                <w:kern w:val="0"/>
                <w:sz w:val="24"/>
                <w:szCs w:val="24"/>
                <w:lang w:val="en-US" w:eastAsia="zh-CN" w:bidi="ar"/>
              </w:rPr>
              <w:t>重大传染病疫情和突发公共卫生事件</w:t>
            </w:r>
            <w:r>
              <w:rPr>
                <w:rFonts w:hint="eastAsia" w:ascii="宋体" w:hAnsi="宋体" w:cs="宋体"/>
                <w:i w:val="0"/>
                <w:iCs w:val="0"/>
                <w:caps w:val="0"/>
                <w:color w:val="000000"/>
                <w:spacing w:val="0"/>
                <w:kern w:val="0"/>
                <w:sz w:val="24"/>
                <w:szCs w:val="24"/>
                <w:lang w:val="en-US" w:eastAsia="zh-CN" w:bidi="ar"/>
              </w:rPr>
              <w:t>爆</w:t>
            </w:r>
            <w:r>
              <w:rPr>
                <w:rFonts w:hint="default" w:ascii="宋体" w:hAnsi="宋体" w:eastAsia="宋体" w:cs="宋体"/>
                <w:i w:val="0"/>
                <w:iCs w:val="0"/>
                <w:caps w:val="0"/>
                <w:color w:val="000000"/>
                <w:spacing w:val="0"/>
                <w:kern w:val="0"/>
                <w:sz w:val="24"/>
                <w:szCs w:val="24"/>
                <w:lang w:val="en-US" w:eastAsia="zh-CN" w:bidi="ar"/>
              </w:rPr>
              <w:t>发疫情规范处置指数≥0.8，突发公共卫生事件规范处置指数≥0.85。</w:t>
            </w:r>
          </w:p>
        </w:tc>
      </w:tr>
    </w:tbl>
    <w:p>
      <w:pPr>
        <w:pStyle w:val="2"/>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创新公共卫生服务的供给机制。</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建立区级公共卫生机构、综合性医院和专科医院和社区卫生服务中心的公共卫生服务供给协同机制，信息共享、互联互通，推进疾病防、治、管的整体融合发展。加强公共卫生执业医师在公共卫生服务供给中的策划、引领、协同、反馈的职能。完善政府购买公共卫生服务机制，鼓励社会力量参与公共卫生服务供给体系建设。</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创新公共卫生绩效管理机制。</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建立公共卫生服务提供信息与质量信息整合智能平台，基于基本公共卫生服务供给的服务质量、人群健康结果、满意度和管理规范的以服务结果为导向的公共卫生绩效管理体系。建立以年度考核结果为导向医疗卫生机构承担公共卫生任务的补偿政策。</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bookmarkStart w:id="17" w:name="_Toc59736662"/>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（二）优化突发公共卫生事件应急管理</w:t>
      </w:r>
      <w:bookmarkEnd w:id="17"/>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完善公共卫生重大风险研判、评估与决策机制。</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升级和拓展疾病预测和健康风险评估与预警平台，健全区域传染病和突发公共卫生事件信息直报的监测网络建设，提升传染病实验室调查技术和爆发溯源技术水平，加强综合风险评估技术，建立全区公共卫生信息收集和传染病疫情预警系统，及时评估重大活动公共卫生风险并预警。</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优化突发公共卫生事件救治体系。</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加强突发公共卫生事件的应急响应机制，建立集中统一、高效的领导指挥体系。健全科学研究、疾病控制、临床治疗有效协同机制，建立分级、分层、分流的救治机制，鼓励发展大数据、人工智能、云计算等数据科学技术用于支撑突发公共卫生事件的预警、监测、溯源、防控、救治以及资源调配。建立保障应急物资储备和调度体系，确保应急物资保障有序有力，基于多部门联防联控系统科学调整物资储备品类、规模、结构，提升储备效能，推动应急物资供应保障网高效、安全、可控。</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加大对公众卫生应急知识普及力度。</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建设面向公众的急救培训体系，以健康主题场馆和实践基地建设为依托打造区域急救培训基地和急救知识普及培训点，增加普通居民的急救能力，强调对培训合格考核及认证机制的建立，提升公众对常见公共卫生事件自我防范知识知晓率。</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pPr>
      <w:bookmarkStart w:id="18" w:name="_Toc59736663"/>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（三）强化精神卫生防治管理</w:t>
      </w:r>
      <w:bookmarkEnd w:id="18"/>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强化严重精神障碍患者管理和救治救助水平。</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加强严重精神障碍患者报告登记、服务管理和救治救助。完善严重精神障碍患者社区管理体系，引入社会工作者参与社区康复活动。鼓励引导社会资源提供精神障碍社区康复服务。到2025年，实现精神障碍社区康复服务全覆盖。登记在册的严重精神障碍患者管理率达到90%，在管精神分裂症患者治疗率85%。</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强化社会心理服务体系建设。</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加强精神卫生专业技术人才的引进和培养力度，到2025年，一类社区健康服务中心心理门诊建成率达100%，社区全面提供心理咨询、筛查和转介等工作。以抑郁症、焦虑症等常见精神障碍为重点，开展心理健康科普活动，提升公众心理健康素养。到2025年，社区、学校、企事业单位把焦虑、抑郁等常见精神障碍和心理行为问题识别列入年度体检早期筛查项目。建立健康心理监测云平台，使重点人群心理健康问题得到关注和及时疏导，显著提升常见精神障碍和心理行为问题的干预水平。倡导精神卫生社会参与。</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（四）大力发展“互联网+”公共卫生服务</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加强医疗机构与公共卫生机构的信息共享、业务协同。</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充分利用居民电子健康档案、电子病历、膳食消费、环境因素、流行病学因素、虫媒监测等数据，开展大数据分析和挖掘，加强对各种传染病、慢性病、肿瘤、心脑血管等疾病的智能监测和精准预测。加强对老年人慢性病、儿童健康管理、儿童预防接种、孕产妇健康监测、严重精神障碍分类干预的在线管理，及时推送疫苗接种预约、儿童健康管理服务内容流程、健康教育等便民服务信息。利用互联网新媒体手段，向公众提供传染病流行预警、传染病防控知识和营养健康等信息。推行“互联网+传染病”全流程管理模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黑体" w:hAnsi="宋体" w:eastAsia="黑体" w:cs="黑体"/>
          <w:i w:val="0"/>
          <w:iCs w:val="0"/>
          <w:caps w:val="0"/>
          <w:color w:val="333333"/>
          <w:spacing w:val="0"/>
          <w:kern w:val="0"/>
          <w:sz w:val="32"/>
          <w:szCs w:val="32"/>
          <w:shd w:val="clear" w:fill="FFFFFF"/>
          <w:lang w:val="en-US" w:eastAsia="zh-CN" w:bidi="ar"/>
        </w:rPr>
      </w:pPr>
      <w:bookmarkStart w:id="19" w:name="_Toc59736664"/>
      <w:r>
        <w:rPr>
          <w:rFonts w:hint="eastAsia" w:ascii="黑体" w:hAnsi="宋体" w:eastAsia="黑体" w:cs="黑体"/>
          <w:i w:val="0"/>
          <w:iCs w:val="0"/>
          <w:caps w:val="0"/>
          <w:color w:val="333333"/>
          <w:spacing w:val="0"/>
          <w:kern w:val="0"/>
          <w:sz w:val="32"/>
          <w:szCs w:val="32"/>
          <w:shd w:val="clear" w:fill="FFFFFF"/>
          <w:lang w:val="en-US" w:eastAsia="zh-CN" w:bidi="ar"/>
        </w:rPr>
        <w:t>六、推进妇幼保健及新时期计划生育工作</w:t>
      </w:r>
      <w:bookmarkEnd w:id="19"/>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pPr>
      <w:bookmarkStart w:id="20" w:name="_Toc59736665"/>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（一）提升妇女儿童医疗卫生资源供给</w:t>
      </w:r>
      <w:bookmarkEnd w:id="20"/>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完善妇女儿童医疗卫生服务体系。</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通过调整结构、优化布局、提升能力，完善妇女儿童医疗卫生服务体系，实现区域妇女儿童医疗卫生资源均衡发展。加强产科、儿科医务人员培养和队伍建设，增加医务人员数量，提高队伍整体素质。鼓励和支持社会力量参与妇幼健康服务能力提升工程。建立健全以基层医疗机构为基础，妇幼健康机构为核心，大中型医疗机构为补充的妇幼健康服务网络。</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完善妇幼健康服务网络。</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加强优生优育和出生缺陷预防，大力推进出生缺陷三级干预。深入开展产前检查、围产期保健、新生儿听力筛查和缺陷儿童康复、0-6岁儿童心理行为筛查及干预等工作。建立病残儿数据库，对高危人群提供优生优育咨询和指导，进行出生缺陷风险评估。强化孕产妇与新生儿危急重症救治能力建设，关注高危儿/体弱儿管理，切实解决产科、儿科医护人员和服务能力短缺问题，确保母婴安全。</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pPr>
      <w:bookmarkStart w:id="21" w:name="_Toc59736666"/>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（二）加强妇幼卫生保健与青少年健康</w:t>
      </w:r>
      <w:bookmarkEnd w:id="21"/>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强化妇幼卫生保健服务。</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构建以区妇幼保健计划生育服务中心为龙头，区人民医院为技术支撑，镇卫生院（社区卫生服务中心）为网底的妇幼健康服务网络，为全区妇女儿童提供更加优质快捷的医疗卫生服务。以已婚育龄妇女为中心，规范产后抑郁筛查与干预流程管理，把优生优育、生殖保健服务扩大到所有家庭成员，普及生殖健康科普知识，实施生理、心理卫生教育和更年期保健服务。</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关爱儿童和青少年健康。</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积极推进青少年健康与发展项目工作，构建以青少年健康为中心的资源整合平台，巩固和提升青少年健康服务能力，全面提高辖区青少年身心健康，加强托幼机构和学校卫生保健工作与指导，开展中小学生健康危害因素监测与评价，加强学生近视、龋齿、肥胖等常见病预防工作。加大对学校集体供餐的食品安全和营养质量监测和指导。加强学校结核病、艾滋病、性病、新冠肺炎等传染病防治和心理健康服务。关爱青少年生殖健康，减少非意愿妊娠。</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bookmarkStart w:id="22" w:name="_Toc59736667"/>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（三）完善计划生育管理与服务</w:t>
      </w:r>
      <w:bookmarkEnd w:id="22"/>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加强人口变动情况监测。</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建立出生人口监测和预警机制，科学研判出生人口变动趋势，强化政策实施情况的评估和监督，有效管控波动和风险。严厉打击非法代孕、非法领养及拐卖婴儿的行为。进一步优化办事流程，做好流动人口在居住地的生育登记和电子婚育证明办理等服务。广泛开展生殖健康科普宣传，增强流动人口等人群自我保健意识和防护能力。</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扎实推进计划生育服务资源部署。</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基于全员人口信息系统对区域人口的常态监测，尤其以育龄妇女新增人口及出生人口的常态监测数据为依据，合理布局建设“一老一小”照护服务体系所需的资源。建设规模适宜、配置合理的3岁以下婴幼儿照护服务体系，合理引导社会资本举办社会办普惠性托育服务机构。</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促进生殖保健融入妇女健康管理。</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以女性健康为中心，完善政策，优化流程。积极推广产后和人工流产后避孕服务，提供系统、规范、人性化的生殖保健服务。提高育龄人群生殖保健意识与能力，保持适宜生育间隔，减少非意愿妊娠，保护女性生殖健康。依法严厉打击非医学需要的胎儿性别鉴定和选择性别的人工终止妊娠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黑体" w:hAnsi="宋体" w:eastAsia="黑体" w:cs="黑体"/>
          <w:i w:val="0"/>
          <w:iCs w:val="0"/>
          <w:caps w:val="0"/>
          <w:color w:val="333333"/>
          <w:spacing w:val="0"/>
          <w:kern w:val="0"/>
          <w:sz w:val="32"/>
          <w:szCs w:val="32"/>
          <w:shd w:val="clear" w:fill="FFFFFF"/>
          <w:lang w:val="en-US" w:eastAsia="zh-CN" w:bidi="ar"/>
        </w:rPr>
      </w:pPr>
      <w:bookmarkStart w:id="23" w:name="_Toc59736668"/>
      <w:r>
        <w:rPr>
          <w:rFonts w:hint="eastAsia" w:ascii="黑体" w:hAnsi="宋体" w:eastAsia="黑体" w:cs="黑体"/>
          <w:i w:val="0"/>
          <w:iCs w:val="0"/>
          <w:caps w:val="0"/>
          <w:color w:val="333333"/>
          <w:spacing w:val="0"/>
          <w:kern w:val="0"/>
          <w:sz w:val="32"/>
          <w:szCs w:val="32"/>
          <w:shd w:val="clear" w:fill="FFFFFF"/>
          <w:lang w:val="en-US" w:eastAsia="zh-CN" w:bidi="ar"/>
        </w:rPr>
        <w:t>七、促进中医药传承创新发展</w:t>
      </w:r>
      <w:bookmarkEnd w:id="23"/>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bookmarkStart w:id="24" w:name="_Toc59736669"/>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（一）提升中医药服务能力</w:t>
      </w:r>
      <w:bookmarkEnd w:id="24"/>
    </w:p>
    <w:p>
      <w:pPr>
        <w:pStyle w:val="2"/>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建设新的中医药服务体系。</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推进区中医院牵头整合安居区内中医药资源，统筹推进镇街、社区、村等基层中医馆、中医诊所建设，健全完善全区中医药服务体系。到2025年，100%的县级公立医院建立中医科，100%的镇卫生院（社区卫生服务中心）建立中医馆，100%的村卫生室（社区卫生服务站）具备中医药服务能力。鼓励社会资本优先举办中医康复、妇科、儿科、骨伤、肛肠等专科中医机构，鼓励中医医师特别是名老中医开办中医门诊部和中医诊所。</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充分发挥中医特色优势。</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大力发展针灸、理疗、火罐等中医非药物疗法。鼓励中医药在预防治疗突发重大疾病、心脑血管疾病和癌症等方面的服务，不断提高中医药对疑难疾病、突发疾病、新发传染病等急危重症的中医临床疗效和服务水平。鼓励区中医医院为中医养生保健机构提供保健咨询、调理、药膳和食疗等技术支持。鼓励中医医师多点执业，为中医诊所、中医保健机构和医养结合机构提供中医诊疗、保健、咨询和调理服务，支持药店提供中医坐堂诊疗服务。</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bookmarkStart w:id="25" w:name="_Toc59736670"/>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（二）拓展中医健康养老服务</w:t>
      </w:r>
      <w:bookmarkEnd w:id="25"/>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 </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实施中医“治未病”健康促进行动。</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在区中医医院建立“治未病”科室，提供中医“治未病”服务。大力推广针灸、艾灸、推拿、理疗等中医药适宜技术，积极推进优质中医“治未病”服务进社区、进农村、进家庭。在镇、村（社区）等基层医疗卫生机构开展中医药健康管理服务，为群众提供“融”健康咨询、干预调理、随访管理为一体的中医“治未病”服务。引导社会力量参与中医“治未病”服务。推动中医药优势与健康管理、慢病康复相结合，探索健康文化、健康管理、健康保险一体化中医“治未病”模式。</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推进中医药防融合服务项目。</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大力拓展中医药在疾病预防、治疗、慢病调理、治未病等领域应用，推动中医药深度介入重大疫情防控和临床救治，完善中医药参与突发公共事件应急网络和应急救治工作协调机制。鼓励医疗机构和企业合作，研发推广适宜中医养生保健产品。推进中医“治未病”与互联网、旅游、康养、医养、餐饮、健康产品等行业协同发展，构建中医“治未病”产业生态链。鼓励中医医师积极参加家庭医生签约团队，为老年人提供中医基本医疗、基本公共卫生服务和个性化的中医药“治未病”服务，推广太极拳、八段锦、五禽戏等中医传统运动项目，加强中医药健康养老文化宣传，培养健康科学的生活方式和理念。</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bookmarkStart w:id="26" w:name="_Toc59736671"/>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（三）推进中医药传承创新</w:t>
      </w:r>
      <w:bookmarkEnd w:id="26"/>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加强中医药理论、技术和方法的传承创新，支持区域中医药机构建立名老中医专家研究室、工作室和中医药流派传承工作室，深度挖掘中医药历史典籍、中医药特色诊疗配方、传统中药技术，学习传承国医大师、名(老)中医学术思想、诊疗经验，推进中医药传承创新。鼓励知名中医药专家带徒授业，全面开展中医药传统医学师承和确有专长考核工作。支持区中医院收集中医药典籍验方研发中医药制剂，创设中医药区域品牌，区内共享中医药传承创新成果，为广大患者提供特殊中医药服务。</w:t>
      </w:r>
    </w:p>
    <w:tbl>
      <w:tblPr>
        <w:tblStyle w:val="12"/>
        <w:tblpPr w:leftFromText="180" w:rightFromText="180" w:vertAnchor="text" w:horzAnchor="page" w:tblpX="1956" w:tblpY="187"/>
        <w:tblOverlap w:val="neve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3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top"/>
          </w:tcPr>
          <w:p>
            <w:pPr>
              <w:pStyle w:val="11"/>
              <w:keepNext w:val="0"/>
              <w:keepLines w:val="0"/>
              <w:widowControl/>
              <w:suppressLineNumbers w:val="0"/>
              <w:spacing w:before="225" w:beforeAutospacing="0" w:after="225" w:afterAutospacing="0" w:line="27" w:lineRule="atLeast"/>
              <w:ind w:left="0" w:right="0"/>
              <w:jc w:val="center"/>
              <w:rPr>
                <w:rFonts w:hint="eastAsia" w:ascii="宋体" w:hAnsi="宋体" w:eastAsia="宋体" w:cs="宋体"/>
                <w:sz w:val="24"/>
                <w:szCs w:val="24"/>
              </w:rPr>
            </w:pPr>
            <w:bookmarkStart w:id="27" w:name="_Toc59736672"/>
            <w:r>
              <w:rPr>
                <w:rFonts w:hint="eastAsia" w:ascii="黑体" w:hAnsi="宋体" w:eastAsia="黑体" w:cs="黑体"/>
                <w:i w:val="0"/>
                <w:iCs w:val="0"/>
                <w:caps w:val="0"/>
                <w:color w:val="000000"/>
                <w:spacing w:val="0"/>
                <w:kern w:val="0"/>
                <w:sz w:val="28"/>
                <w:szCs w:val="28"/>
                <w:lang w:val="en-US" w:eastAsia="zh-CN" w:bidi="ar"/>
              </w:rPr>
              <w:t>专栏4  中医药服务能力提升项目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top"/>
          </w:tcPr>
          <w:p>
            <w:pPr>
              <w:pStyle w:val="11"/>
              <w:keepNext w:val="0"/>
              <w:keepLines w:val="0"/>
              <w:widowControl/>
              <w:suppressLineNumbers w:val="0"/>
              <w:spacing w:before="225" w:beforeAutospacing="0" w:after="225" w:afterAutospacing="0" w:line="27" w:lineRule="atLeast"/>
              <w:ind w:left="0" w:right="0"/>
              <w:jc w:val="both"/>
              <w:rPr>
                <w:rFonts w:hint="eastAsia" w:ascii="宋体" w:hAnsi="宋体" w:eastAsia="宋体" w:cs="宋体"/>
                <w:sz w:val="24"/>
                <w:szCs w:val="24"/>
              </w:rPr>
            </w:pPr>
            <w:r>
              <w:rPr>
                <w:rFonts w:hint="eastAsia" w:ascii="宋体" w:hAnsi="宋体" w:cs="宋体"/>
                <w:i w:val="0"/>
                <w:iCs w:val="0"/>
                <w:caps w:val="0"/>
                <w:color w:val="000000"/>
                <w:spacing w:val="0"/>
                <w:sz w:val="24"/>
                <w:szCs w:val="24"/>
                <w:lang w:eastAsia="zh-CN"/>
              </w:rPr>
              <w:t>　　</w:t>
            </w:r>
            <w:r>
              <w:rPr>
                <w:rFonts w:hint="eastAsia" w:ascii="宋体" w:hAnsi="宋体" w:eastAsia="宋体" w:cs="宋体"/>
                <w:i w:val="0"/>
                <w:iCs w:val="0"/>
                <w:caps w:val="0"/>
                <w:color w:val="000000"/>
                <w:spacing w:val="0"/>
                <w:sz w:val="24"/>
                <w:szCs w:val="24"/>
              </w:rPr>
              <w:t>中医药预防保健服务拓展项目：切实做好</w:t>
            </w:r>
            <w:r>
              <w:rPr>
                <w:rFonts w:hint="eastAsia" w:ascii="宋体" w:hAnsi="宋体" w:cs="宋体"/>
                <w:i w:val="0"/>
                <w:iCs w:val="0"/>
                <w:caps w:val="0"/>
                <w:color w:val="000000"/>
                <w:spacing w:val="0"/>
                <w:sz w:val="24"/>
                <w:szCs w:val="24"/>
                <w:lang w:eastAsia="zh-CN"/>
              </w:rPr>
              <w:t>区</w:t>
            </w:r>
            <w:r>
              <w:rPr>
                <w:rFonts w:hint="eastAsia" w:ascii="宋体" w:hAnsi="宋体" w:eastAsia="宋体" w:cs="宋体"/>
                <w:i w:val="0"/>
                <w:iCs w:val="0"/>
                <w:caps w:val="0"/>
                <w:color w:val="000000"/>
                <w:spacing w:val="0"/>
                <w:sz w:val="24"/>
                <w:szCs w:val="24"/>
              </w:rPr>
              <w:t>中医院的感染性疾病科建设，落实以</w:t>
            </w:r>
            <w:r>
              <w:rPr>
                <w:rFonts w:hint="eastAsia" w:ascii="宋体" w:hAnsi="宋体" w:cs="宋体"/>
                <w:i w:val="0"/>
                <w:iCs w:val="0"/>
                <w:caps w:val="0"/>
                <w:color w:val="000000"/>
                <w:spacing w:val="0"/>
                <w:sz w:val="24"/>
                <w:szCs w:val="24"/>
                <w:lang w:eastAsia="zh-CN"/>
              </w:rPr>
              <w:t>区</w:t>
            </w:r>
            <w:r>
              <w:rPr>
                <w:rFonts w:hint="eastAsia" w:ascii="宋体" w:hAnsi="宋体" w:eastAsia="宋体" w:cs="宋体"/>
                <w:i w:val="0"/>
                <w:iCs w:val="0"/>
                <w:caps w:val="0"/>
                <w:color w:val="000000"/>
                <w:spacing w:val="0"/>
                <w:sz w:val="24"/>
                <w:szCs w:val="24"/>
              </w:rPr>
              <w:t>中医院为牵头单位试点组建中西医专科联盟。实施中医治未病健康促进专项行动。加强重点人群中医药健康服务管理，到2025年，65岁以上老年人和0-3岁婴幼儿的中医药健康管理服务覆盖率均达到80%。</w:t>
            </w:r>
          </w:p>
          <w:p>
            <w:pPr>
              <w:pStyle w:val="11"/>
              <w:keepNext w:val="0"/>
              <w:keepLines w:val="0"/>
              <w:widowControl/>
              <w:suppressLineNumbers w:val="0"/>
              <w:spacing w:before="225" w:beforeAutospacing="0" w:after="225" w:afterAutospacing="0" w:line="27" w:lineRule="atLeast"/>
              <w:ind w:left="0" w:right="0"/>
              <w:jc w:val="both"/>
              <w:rPr>
                <w:rFonts w:hint="eastAsia" w:ascii="宋体" w:hAnsi="宋体" w:eastAsia="宋体" w:cs="宋体"/>
                <w:sz w:val="24"/>
                <w:szCs w:val="24"/>
              </w:rPr>
            </w:pPr>
            <w:r>
              <w:rPr>
                <w:rFonts w:hint="eastAsia" w:ascii="宋体" w:hAnsi="宋体" w:cs="宋体"/>
                <w:i w:val="0"/>
                <w:iCs w:val="0"/>
                <w:caps w:val="0"/>
                <w:color w:val="000000"/>
                <w:spacing w:val="0"/>
                <w:sz w:val="24"/>
                <w:szCs w:val="24"/>
                <w:lang w:eastAsia="zh-CN"/>
              </w:rPr>
              <w:t>　　</w:t>
            </w:r>
            <w:r>
              <w:rPr>
                <w:rFonts w:hint="eastAsia" w:ascii="宋体" w:hAnsi="宋体" w:eastAsia="宋体" w:cs="宋体"/>
                <w:i w:val="0"/>
                <w:iCs w:val="0"/>
                <w:caps w:val="0"/>
                <w:color w:val="000000"/>
                <w:spacing w:val="0"/>
                <w:sz w:val="24"/>
                <w:szCs w:val="24"/>
              </w:rPr>
              <w:t>中医药健康旅游项目：打造“中医药+健康服务业”新业态，到2025年，打造1个中医药健康旅游示范区（基地、项目）。</w:t>
            </w:r>
          </w:p>
          <w:p>
            <w:pPr>
              <w:pStyle w:val="11"/>
              <w:keepNext w:val="0"/>
              <w:keepLines w:val="0"/>
              <w:widowControl/>
              <w:suppressLineNumbers w:val="0"/>
              <w:spacing w:before="225" w:beforeAutospacing="0" w:after="225" w:afterAutospacing="0" w:line="27" w:lineRule="atLeast"/>
              <w:ind w:left="0" w:right="0"/>
              <w:jc w:val="both"/>
              <w:rPr>
                <w:rFonts w:hint="eastAsia" w:ascii="宋体" w:hAnsi="宋体" w:eastAsia="宋体" w:cs="宋体"/>
                <w:sz w:val="24"/>
                <w:szCs w:val="24"/>
              </w:rPr>
            </w:pPr>
            <w:r>
              <w:rPr>
                <w:rFonts w:hint="eastAsia" w:ascii="宋体" w:hAnsi="宋体" w:cs="宋体"/>
                <w:i w:val="0"/>
                <w:iCs w:val="0"/>
                <w:caps w:val="0"/>
                <w:color w:val="000000"/>
                <w:spacing w:val="0"/>
                <w:sz w:val="24"/>
                <w:szCs w:val="24"/>
                <w:lang w:eastAsia="zh-CN"/>
              </w:rPr>
              <w:t>　　</w:t>
            </w:r>
            <w:r>
              <w:rPr>
                <w:rFonts w:hint="eastAsia" w:ascii="宋体" w:hAnsi="宋体" w:eastAsia="宋体" w:cs="宋体"/>
                <w:i w:val="0"/>
                <w:iCs w:val="0"/>
                <w:caps w:val="0"/>
                <w:color w:val="000000"/>
                <w:spacing w:val="0"/>
                <w:sz w:val="24"/>
                <w:szCs w:val="24"/>
              </w:rPr>
              <w:t>中医药文化传播项目：开展“中医药六进活动”，开展医务人员诵读考用中医“四部经典”活动。到2025年，建设1-2个中医药文化宣传教育基地或科普基地。</w:t>
            </w:r>
          </w:p>
        </w:tc>
      </w:tr>
    </w:tbl>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黑体" w:hAnsi="宋体" w:eastAsia="黑体" w:cs="黑体"/>
          <w:i w:val="0"/>
          <w:iCs w:val="0"/>
          <w:caps w:val="0"/>
          <w:color w:val="333333"/>
          <w:spacing w:val="0"/>
          <w:kern w:val="0"/>
          <w:sz w:val="32"/>
          <w:szCs w:val="32"/>
          <w:shd w:val="clear" w:fill="FFFFFF"/>
          <w:lang w:val="en-US" w:eastAsia="zh-CN" w:bidi="ar"/>
        </w:rPr>
      </w:pPr>
      <w:r>
        <w:rPr>
          <w:rFonts w:hint="eastAsia" w:ascii="黑体" w:hAnsi="宋体" w:eastAsia="黑体" w:cs="黑体"/>
          <w:i w:val="0"/>
          <w:iCs w:val="0"/>
          <w:caps w:val="0"/>
          <w:color w:val="333333"/>
          <w:spacing w:val="0"/>
          <w:kern w:val="0"/>
          <w:sz w:val="32"/>
          <w:szCs w:val="32"/>
          <w:shd w:val="clear" w:fill="FFFFFF"/>
          <w:lang w:val="en-US" w:eastAsia="zh-CN" w:bidi="ar"/>
        </w:rPr>
        <w:t>八、强化卫生健康综合监管</w:t>
      </w:r>
      <w:bookmarkEnd w:id="27"/>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pPr>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（一）加强卫生健康法治建设</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完善多元综合监管体系。</w:t>
      </w:r>
      <w:r>
        <w:rPr>
          <w:rFonts w:hint="eastAsia" w:ascii="仿宋_GB2312" w:hAnsi="微软雅黑" w:eastAsia="仿宋_GB2312" w:cs="仿宋_GB2312"/>
          <w:b w:val="0"/>
          <w:bCs w:val="0"/>
          <w:i w:val="0"/>
          <w:iCs w:val="0"/>
          <w:caps w:val="0"/>
          <w:color w:val="333333"/>
          <w:spacing w:val="0"/>
          <w:kern w:val="0"/>
          <w:sz w:val="32"/>
          <w:szCs w:val="32"/>
          <w:shd w:val="clear" w:fill="FFFFFF"/>
          <w:lang w:val="en-US" w:eastAsia="zh-CN" w:bidi="ar"/>
        </w:rPr>
        <w:t>认真贯彻落实《中华人民共和国基本医疗卫生与健康促进法》和卫生健康领域其他法律法规，加强区域卫生健康法制宣传、法制建设、文明执法和法制监督，把卫生健康法制建设作为实现“十四五”卫生健康事业发展目标的重要保障手段。强化政府在健康领域的监管职责，建立政府监管、行业自律和社会监督相结合的监督体制。加强健康领域监督执法体系和能力建设。严格行政执法，围绕涉及群众切身利益的突出问题，大力开展专项整治和重点监督检查。</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强化医疗卫生监督执法。</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建立部门协调、联动高效的医疗卫生行业综合监管协调机制，完善以双随机抽查为主、专项执法检查为补充的日常监督工作机制，依法开展医疗卫生监督执法。持续深化医疗“三监管”，完善医疗服务事中、事后全程监管体系；推进卫生健康监督机构规范化建设试点工作，逐步完善“互联网+监管”“执法+专家”监管模式；强化涉水产品、消毒产品生产和经营环节监管；全面推行传染病防治分类监督综合评价；建立职业卫生分级分类执法监督；强化学校、幼托机构、生物安全实验室、人口密集流动性强的公共场所传染病防治监督；严格采供血机构监督执法，加大母婴保健、人类辅助生殖技术监督执法力度；强化二次供水和农村集中式供水监督执法，日供水千吨以上水厂监督检查率达 100%。加强部门联动，严厉打击医疗卫生服务领域违法犯罪行为。</w:t>
      </w:r>
    </w:p>
    <w:tbl>
      <w:tblPr>
        <w:tblStyle w:val="12"/>
        <w:tblpPr w:leftFromText="180" w:rightFromText="180" w:vertAnchor="text" w:horzAnchor="page" w:tblpX="1851" w:tblpY="106"/>
        <w:tblOverlap w:val="neve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3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top"/>
          </w:tcPr>
          <w:p>
            <w:pPr>
              <w:pStyle w:val="11"/>
              <w:keepNext w:val="0"/>
              <w:keepLines w:val="0"/>
              <w:widowControl/>
              <w:suppressLineNumbers w:val="0"/>
              <w:spacing w:before="225" w:beforeAutospacing="0" w:after="225" w:afterAutospacing="0" w:line="27" w:lineRule="atLeast"/>
              <w:ind w:left="0" w:right="0"/>
              <w:jc w:val="center"/>
              <w:rPr>
                <w:rFonts w:hint="eastAsia" w:ascii="宋体" w:hAnsi="宋体" w:eastAsia="宋体" w:cs="宋体"/>
                <w:sz w:val="24"/>
                <w:szCs w:val="24"/>
              </w:rPr>
            </w:pPr>
            <w:r>
              <w:rPr>
                <w:rFonts w:hint="eastAsia" w:ascii="黑体" w:hAnsi="宋体" w:eastAsia="黑体" w:cs="黑体"/>
                <w:i w:val="0"/>
                <w:iCs w:val="0"/>
                <w:caps w:val="0"/>
                <w:color w:val="000000"/>
                <w:spacing w:val="0"/>
                <w:kern w:val="0"/>
                <w:sz w:val="28"/>
                <w:szCs w:val="28"/>
                <w:lang w:val="en-US" w:eastAsia="zh-CN" w:bidi="ar"/>
              </w:rPr>
              <w:t>专栏5  卫生健康监督机构规范化试点项目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top"/>
          </w:tcPr>
          <w:p>
            <w:pPr>
              <w:pStyle w:val="11"/>
              <w:keepNext w:val="0"/>
              <w:keepLines w:val="0"/>
              <w:widowControl/>
              <w:suppressLineNumbers w:val="0"/>
              <w:spacing w:before="225" w:beforeAutospacing="0" w:after="225" w:afterAutospacing="0" w:line="27" w:lineRule="atLeast"/>
              <w:ind w:left="0" w:right="0"/>
              <w:jc w:val="both"/>
              <w:rPr>
                <w:rFonts w:hint="eastAsia" w:ascii="宋体" w:hAnsi="宋体" w:eastAsia="宋体" w:cs="宋体"/>
                <w:sz w:val="24"/>
                <w:szCs w:val="24"/>
              </w:rPr>
            </w:pPr>
            <w:r>
              <w:rPr>
                <w:rFonts w:hint="eastAsia" w:ascii="宋体" w:hAnsi="宋体" w:cs="宋体"/>
                <w:i w:val="0"/>
                <w:iCs w:val="0"/>
                <w:caps w:val="0"/>
                <w:color w:val="000000"/>
                <w:spacing w:val="0"/>
                <w:sz w:val="24"/>
                <w:szCs w:val="24"/>
                <w:lang w:eastAsia="zh-CN"/>
              </w:rPr>
              <w:t>　　</w:t>
            </w:r>
            <w:r>
              <w:rPr>
                <w:rFonts w:hint="eastAsia" w:ascii="宋体" w:hAnsi="宋体" w:eastAsia="宋体" w:cs="宋体"/>
                <w:i w:val="0"/>
                <w:iCs w:val="0"/>
                <w:caps w:val="0"/>
                <w:color w:val="000000"/>
                <w:spacing w:val="0"/>
                <w:sz w:val="24"/>
                <w:szCs w:val="24"/>
              </w:rPr>
              <w:t>卫生健康综合执法规范化建设：支持</w:t>
            </w:r>
            <w:r>
              <w:rPr>
                <w:rFonts w:hint="eastAsia" w:ascii="宋体" w:hAnsi="宋体" w:cs="宋体"/>
                <w:i w:val="0"/>
                <w:iCs w:val="0"/>
                <w:caps w:val="0"/>
                <w:color w:val="000000"/>
                <w:spacing w:val="0"/>
                <w:sz w:val="24"/>
                <w:szCs w:val="24"/>
                <w:lang w:eastAsia="zh-CN"/>
              </w:rPr>
              <w:t>区</w:t>
            </w:r>
            <w:r>
              <w:rPr>
                <w:rFonts w:hint="eastAsia" w:ascii="宋体" w:hAnsi="宋体" w:eastAsia="宋体" w:cs="宋体"/>
                <w:i w:val="0"/>
                <w:iCs w:val="0"/>
                <w:caps w:val="0"/>
                <w:color w:val="000000"/>
                <w:spacing w:val="0"/>
                <w:sz w:val="24"/>
                <w:szCs w:val="24"/>
              </w:rPr>
              <w:t>卫生健康综合行政执法大队开展四川省卫生健康监督机构规范化建设，通过基础设施、能力、信息化、队伍、制度、文化等建设，建成“设置科学、功能完善，制度健全、管理规范，保障有力、运行高效”的卫生健康监督机构，卫生健康监督执法效能显著增强，服务水平明显提升，卫生健康治理体系和治理能力现代化水平不断提高。</w:t>
            </w:r>
          </w:p>
        </w:tc>
      </w:tr>
    </w:tbl>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pPr>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（二）持续规范医疗服务市场秩序</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提高医疗卫生监督能力。</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加快推进医疗服务智能监管信息系统建设进度，加强互联网医疗监管。继续开展扫黑除恶工作，全面净化医疗市场环境，依托信息化监管平台对社会办医疗机构开展全过程、全链条、全方位实时在线监管，实现线上线下全覆盖。定期开展卫生监督队伍卫生健康法规和医疗行业管理政策培训，提高医疗监督能力。持续开展医疗美容医疗质量安全专项评估与监督执法工作。试行医养结合工作行政监督执法。</w:t>
      </w:r>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健全医疗机构安全保卫措施。</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加强平安医院建设，严防“医闹”和暴力伤医事件，维护医务人员尊严和生命安全。协同相关部门完善医保医师管理制度，坚决查处医疗机构内外勾结欺诈骗保行为，建立和强化长效监管机制。规范医院电子处方管理和信息共享，推动执业医师CA认证全覆盖，降低药店虚假处方风险。</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黑体" w:hAnsi="宋体" w:eastAsia="黑体" w:cs="黑体"/>
          <w:i w:val="0"/>
          <w:iCs w:val="0"/>
          <w:caps w:val="0"/>
          <w:color w:val="333333"/>
          <w:spacing w:val="0"/>
          <w:kern w:val="0"/>
          <w:sz w:val="32"/>
          <w:szCs w:val="32"/>
          <w:shd w:val="clear" w:fill="FFFFFF"/>
          <w:lang w:val="en-US" w:eastAsia="zh-CN" w:bidi="ar"/>
        </w:rPr>
      </w:pPr>
      <w:bookmarkStart w:id="28" w:name="_Toc59736677"/>
      <w:r>
        <w:rPr>
          <w:rFonts w:hint="eastAsia" w:ascii="黑体" w:hAnsi="宋体" w:eastAsia="黑体" w:cs="黑体"/>
          <w:i w:val="0"/>
          <w:iCs w:val="0"/>
          <w:caps w:val="0"/>
          <w:color w:val="333333"/>
          <w:spacing w:val="0"/>
          <w:kern w:val="0"/>
          <w:sz w:val="32"/>
          <w:szCs w:val="32"/>
          <w:shd w:val="clear" w:fill="FFFFFF"/>
          <w:lang w:val="en-US" w:eastAsia="zh-CN" w:bidi="ar"/>
        </w:rPr>
        <w:t>九、保障措施</w:t>
      </w:r>
      <w:bookmarkEnd w:id="28"/>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pPr>
      <w:bookmarkStart w:id="29" w:name="_Toc23933"/>
      <w:bookmarkStart w:id="30" w:name="_Toc59736678"/>
      <w:bookmarkStart w:id="31" w:name="_Toc353184297"/>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（一）强化政府职能，深化卫生改革</w:t>
      </w:r>
      <w:bookmarkEnd w:id="29"/>
      <w:bookmarkEnd w:id="30"/>
      <w:bookmarkEnd w:id="31"/>
    </w:p>
    <w:p>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切实把卫生健康事业发展“十四五”规划纳入社会经济发展规划，纳入目标管理责任制，切实加强组织领导，采取有效措施积极推进。在用人制度、分配制度、业务管理制度上下功夫，积极探索改革经验，不断完善，逐步推广。高度重视卫生健康事业发展“十四五”规划的宣传工作，要加强部门协调，动员全社会支持和参与卫生工作，为“十四五”规划的顺利实施营造良好宽松的环境。</w:t>
      </w:r>
    </w:p>
    <w:p>
      <w:pPr>
        <w:pStyle w:val="2"/>
        <w:keepNext w:val="0"/>
        <w:keepLines w:val="0"/>
        <w:pageBreakBefore w:val="0"/>
        <w:widowControl/>
        <w:numPr>
          <w:ilvl w:val="0"/>
          <w:numId w:val="1"/>
        </w:numPr>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pPr>
      <w:bookmarkStart w:id="32" w:name="_Toc353184298"/>
      <w:bookmarkStart w:id="33" w:name="_Toc59736679"/>
      <w:bookmarkStart w:id="34" w:name="_Toc30043"/>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加大政府投入，拓宽筹资</w:t>
      </w:r>
      <w:bookmarkEnd w:id="32"/>
      <w:bookmarkEnd w:id="33"/>
      <w:bookmarkEnd w:id="34"/>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渠道</w:t>
      </w:r>
      <w:bookmarkStart w:id="35" w:name="_Toc21571"/>
      <w:bookmarkStart w:id="36" w:name="_Toc22795"/>
      <w:bookmarkStart w:id="37" w:name="_Toc15901"/>
      <w:bookmarkStart w:id="38" w:name="_Toc5273"/>
    </w:p>
    <w:p>
      <w:pPr>
        <w:pStyle w:val="2"/>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p>
    <w:p>
      <w:pPr>
        <w:pStyle w:val="2"/>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建立完善可持续的卫生健康长效投入保障机制，卫生健康经费支出不低于当年经常性财政支出的增长幅度。优先向基层医疗卫生机构、公共卫生、尖端人才培养等领域倾斜。落实对符合规划的公立医院基本建设和设备购置、重点学科发展、公共卫生服务和政策性亏损补贴等投入责任，逐步偿还和化解符合规定的公立医院长期债务。积极拓宽资金渠道，探索运用地方政府专项债券、政策性货款、国际金融组织贷款和社会资本参与等合法合规筹资方式，加强卫生健康事业和产业经费保障。</w:t>
      </w:r>
    </w:p>
    <w:bookmarkEnd w:id="35"/>
    <w:bookmarkEnd w:id="36"/>
    <w:bookmarkEnd w:id="37"/>
    <w:bookmarkEnd w:id="38"/>
    <w:p>
      <w:pPr>
        <w:pStyle w:val="2"/>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pPr>
      <w:bookmarkStart w:id="39" w:name="_Toc59736680"/>
      <w:bookmarkStart w:id="40" w:name="_Toc353184299"/>
      <w:bookmarkStart w:id="41" w:name="_Toc28528"/>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强化部门协调，形成推进合力</w:t>
      </w:r>
      <w:bookmarkEnd w:id="39"/>
    </w:p>
    <w:p>
      <w:pPr>
        <w:pStyle w:val="2"/>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政府各部门积极配合卫生健康局落实规划实施的相关保障。财政局加强经费保障和监督，不断完善各项保障政策。人力资源社会保障局指导卫生健康部门做好人才引进和招聘工作。自然资源和规划局、住建局等部门积极支持卫生健康部门做好重点项目建设。民政局与卫生健康部门共同推进医养结合工作。医保局在医疗、医药、医保等方面与卫生健康部门加强制度、政策衔接，建立沟通协商机制，提高医疗资源使用效率和医疗保障水平。其他部门根据各自职能协助卫生健康局实施规划。</w:t>
      </w:r>
    </w:p>
    <w:bookmarkEnd w:id="40"/>
    <w:bookmarkEnd w:id="41"/>
    <w:p>
      <w:pPr>
        <w:pStyle w:val="2"/>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pPr>
      <w:bookmarkStart w:id="42" w:name="_Toc353184300"/>
      <w:bookmarkStart w:id="43" w:name="_Toc32406"/>
      <w:bookmarkStart w:id="44" w:name="_Toc59736681"/>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突出工作重点，稳步有序推进</w:t>
      </w:r>
      <w:bookmarkEnd w:id="42"/>
      <w:bookmarkEnd w:id="43"/>
      <w:bookmarkEnd w:id="44"/>
      <w:bookmarkStart w:id="45" w:name="_Toc6012"/>
      <w:bookmarkStart w:id="46" w:name="_Toc3553"/>
      <w:bookmarkStart w:id="47" w:name="_Toc28779"/>
      <w:bookmarkStart w:id="48" w:name="_Toc17026"/>
    </w:p>
    <w:p>
      <w:pPr>
        <w:pStyle w:val="2"/>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突出全局性的卫生重点领域和关键环节的工作。切实把卫生工作重点放在医疗卫生服务领域，加强各医疗卫生机构的基础建设、医疗设施设备、信息化的建设与投入。加强预防保健和健康教育工作，切实加强社区卫生服务中心、疾病控制、妇幼保健机构的配套设施建设，改善业务工作条件，扩大服务项目，充分发挥中心指导作用。</w:t>
      </w:r>
      <w:bookmarkEnd w:id="45"/>
      <w:bookmarkEnd w:id="46"/>
      <w:bookmarkEnd w:id="47"/>
      <w:bookmarkEnd w:id="48"/>
    </w:p>
    <w:p>
      <w:pPr>
        <w:pStyle w:val="2"/>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pPr>
      <w:bookmarkStart w:id="49" w:name="_Toc59736682"/>
      <w:bookmarkStart w:id="50" w:name="_Toc20897"/>
      <w:bookmarkStart w:id="51" w:name="_Toc353184301"/>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提高人才素质，保障梯队建设</w:t>
      </w:r>
      <w:bookmarkEnd w:id="49"/>
      <w:bookmarkEnd w:id="50"/>
      <w:bookmarkEnd w:id="51"/>
      <w:bookmarkStart w:id="52" w:name="_Toc7270"/>
      <w:bookmarkStart w:id="53" w:name="_Toc19619"/>
      <w:bookmarkStart w:id="54" w:name="_Toc4366"/>
      <w:bookmarkStart w:id="55" w:name="_Toc17122"/>
    </w:p>
    <w:p>
      <w:pPr>
        <w:pStyle w:val="2"/>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实施素质工程，营造有利于业务创新的外界环境。围绕卫生健康事业发展，创新人才工作机制，严格人员准入机制。完善卫生健康精英人才队伍建设实施办法，加大稳定、吸引、培养、使用人才的工作力度，改善人才成长环境，加强人事制度改革和构建人才激励机制，促进各类卫生健康人才的发展，建设一支高素质的卫生健康人才队伍。</w:t>
      </w:r>
      <w:bookmarkEnd w:id="52"/>
      <w:bookmarkEnd w:id="53"/>
      <w:bookmarkEnd w:id="54"/>
      <w:bookmarkEnd w:id="55"/>
    </w:p>
    <w:p>
      <w:pPr>
        <w:pStyle w:val="2"/>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pPr>
      <w:bookmarkStart w:id="56" w:name="_Toc353184302"/>
      <w:bookmarkStart w:id="57" w:name="_Toc59736683"/>
      <w:bookmarkStart w:id="58" w:name="_Toc11515"/>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优化法治环境，营造良好氛围</w:t>
      </w:r>
      <w:bookmarkEnd w:id="56"/>
      <w:bookmarkEnd w:id="57"/>
      <w:bookmarkEnd w:id="58"/>
      <w:bookmarkStart w:id="59" w:name="_Toc17487"/>
      <w:bookmarkStart w:id="60" w:name="_Toc24766"/>
      <w:bookmarkStart w:id="61" w:name="_Toc23514"/>
      <w:bookmarkStart w:id="62" w:name="_Toc20911"/>
    </w:p>
    <w:p>
      <w:pPr>
        <w:pStyle w:val="2"/>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建立和完善卫生健康法律法规，推动依法行政、依法行医，加快依法办事进程，构建有利于卫生健康事业发展的法治环境。必须加强对重大卫生健康政策、重大战略部署、重大突发事件的宣传，正确引导社会舆论，树立卫生健康养老行业良好形象，营造卫生工作的良好氛围。</w:t>
      </w:r>
      <w:bookmarkEnd w:id="59"/>
      <w:bookmarkEnd w:id="60"/>
      <w:bookmarkEnd w:id="61"/>
      <w:bookmarkEnd w:id="62"/>
    </w:p>
    <w:p>
      <w:pPr>
        <w:pStyle w:val="2"/>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pPr>
      <w:bookmarkStart w:id="63" w:name="_Toc23470"/>
      <w:bookmarkStart w:id="64" w:name="_Toc59736684"/>
      <w:bookmarkStart w:id="65" w:name="_Toc353184303"/>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注重行风建设，创建和谐服务</w:t>
      </w:r>
      <w:bookmarkEnd w:id="63"/>
      <w:bookmarkEnd w:id="64"/>
      <w:bookmarkEnd w:id="65"/>
      <w:bookmarkStart w:id="66" w:name="_Toc29205"/>
      <w:bookmarkStart w:id="67" w:name="_Toc9186"/>
      <w:bookmarkStart w:id="68" w:name="_Toc27859"/>
      <w:bookmarkStart w:id="69" w:name="_Toc29452"/>
    </w:p>
    <w:p>
      <w:pPr>
        <w:pStyle w:val="2"/>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深入开展医德医风和卫生健康文化建设，促进医务工作者依法从医、廉洁从医，规范医疗卫生机构信息公开等制度，维护良好的服务秩序。同时，各机构要转变工作理念，切实增强为人民群众健康服务的宗旨意识，改善服务态度，提高服务能力，提升服务质量，努力塑造卫生健康行业新形象。</w:t>
      </w:r>
      <w:bookmarkEnd w:id="66"/>
      <w:bookmarkEnd w:id="67"/>
      <w:bookmarkEnd w:id="68"/>
      <w:bookmarkEnd w:id="69"/>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ED0094-4607-4DE2-A9DA-DD852649FB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93B4E14B-0434-4350-9BFC-3E0D18A61E49}"/>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3" w:fontKey="{C2382155-ECB7-4293-8211-12EB55F7FCA9}"/>
  </w:font>
  <w:font w:name="方正楷体简体">
    <w:panose1 w:val="03000509000000000000"/>
    <w:charset w:val="86"/>
    <w:family w:val="auto"/>
    <w:pitch w:val="default"/>
    <w:sig w:usb0="00000001" w:usb1="080E0000" w:usb2="00000000" w:usb3="00000000" w:csb0="00040000" w:csb1="00000000"/>
    <w:embedRegular r:id="rId4" w:fontKey="{BCEB3DD5-A9F2-4E10-835D-9E04663AD119}"/>
  </w:font>
  <w:font w:name="方正黑体简体">
    <w:panose1 w:val="03000509000000000000"/>
    <w:charset w:val="86"/>
    <w:family w:val="auto"/>
    <w:pitch w:val="default"/>
    <w:sig w:usb0="00000001" w:usb1="080E0000" w:usb2="00000000" w:usb3="00000000" w:csb0="00040000" w:csb1="00000000"/>
    <w:embedRegular r:id="rId5" w:fontKey="{6C18AE6A-F986-4063-A3A7-7491E5A504EE}"/>
  </w:font>
  <w:font w:name="等线">
    <w:altName w:val="微软雅黑"/>
    <w:panose1 w:val="02010600030101010101"/>
    <w:charset w:val="86"/>
    <w:family w:val="auto"/>
    <w:pitch w:val="default"/>
    <w:sig w:usb0="00000000" w:usb1="00000000" w:usb2="00000016" w:usb3="00000000" w:csb0="0004000F" w:csb1="00000000"/>
    <w:embedRegular r:id="rId6" w:fontKey="{02B6D841-D204-4D71-AE1C-217B1DC6FB94}"/>
  </w:font>
  <w:font w:name="楷体_GB2312">
    <w:altName w:val="楷体"/>
    <w:panose1 w:val="02010609030101010101"/>
    <w:charset w:val="86"/>
    <w:family w:val="modern"/>
    <w:pitch w:val="default"/>
    <w:sig w:usb0="00000000" w:usb1="00000000" w:usb2="00000000" w:usb3="00000000" w:csb0="00040000" w:csb1="00000000"/>
    <w:embedRegular r:id="rId7" w:fontKey="{FCFDF3D0-F35E-44DF-9FF4-46EFB9FFECCE}"/>
  </w:font>
  <w:font w:name="华文仿宋">
    <w:panose1 w:val="02010600040101010101"/>
    <w:charset w:val="86"/>
    <w:family w:val="auto"/>
    <w:pitch w:val="default"/>
    <w:sig w:usb0="00000287" w:usb1="080F0000" w:usb2="00000000" w:usb3="00000000" w:csb0="0004009F" w:csb1="DFD70000"/>
    <w:embedRegular r:id="rId8" w:fontKey="{AF6ACCC8-3908-44E7-848D-5156F09B4ED9}"/>
  </w:font>
  <w:font w:name="微软雅黑">
    <w:panose1 w:val="020B0503020204020204"/>
    <w:charset w:val="86"/>
    <w:family w:val="auto"/>
    <w:pitch w:val="default"/>
    <w:sig w:usb0="80000287" w:usb1="280F3C52" w:usb2="00000016" w:usb3="00000000" w:csb0="0004001F" w:csb1="00000000"/>
    <w:embedRegular r:id="rId9" w:fontKey="{0F81055A-7203-4CA3-8B60-C0F0F0C2E50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36BE5"/>
    <w:multiLevelType w:val="singleLevel"/>
    <w:tmpl w:val="FE136BE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QzM2ZkZDE1MjYyOTgyYTc4YjE1YjNmZWI3NGEifQ=="/>
  </w:docVars>
  <w:rsids>
    <w:rsidRoot w:val="4DE461DC"/>
    <w:rsid w:val="00121B89"/>
    <w:rsid w:val="003D16DC"/>
    <w:rsid w:val="003E6ED1"/>
    <w:rsid w:val="00662EF7"/>
    <w:rsid w:val="006A20D1"/>
    <w:rsid w:val="00734B17"/>
    <w:rsid w:val="00825056"/>
    <w:rsid w:val="008F4683"/>
    <w:rsid w:val="00A0394F"/>
    <w:rsid w:val="00AF4A65"/>
    <w:rsid w:val="00B915C5"/>
    <w:rsid w:val="00BA398F"/>
    <w:rsid w:val="00E63121"/>
    <w:rsid w:val="00EC1C5D"/>
    <w:rsid w:val="00F6008E"/>
    <w:rsid w:val="01080A12"/>
    <w:rsid w:val="02007C3E"/>
    <w:rsid w:val="022C6982"/>
    <w:rsid w:val="024562EB"/>
    <w:rsid w:val="030B6598"/>
    <w:rsid w:val="03D177E1"/>
    <w:rsid w:val="04365896"/>
    <w:rsid w:val="05000C60"/>
    <w:rsid w:val="053F6A98"/>
    <w:rsid w:val="05580A01"/>
    <w:rsid w:val="08204893"/>
    <w:rsid w:val="084212AF"/>
    <w:rsid w:val="08B35707"/>
    <w:rsid w:val="0911242E"/>
    <w:rsid w:val="0A79028B"/>
    <w:rsid w:val="0A9D21CB"/>
    <w:rsid w:val="0AD57BB7"/>
    <w:rsid w:val="0ADB0F46"/>
    <w:rsid w:val="0B257180"/>
    <w:rsid w:val="0B2E5519"/>
    <w:rsid w:val="0C172450"/>
    <w:rsid w:val="0C795936"/>
    <w:rsid w:val="0CBD6B55"/>
    <w:rsid w:val="0E3E791A"/>
    <w:rsid w:val="0E6B25E0"/>
    <w:rsid w:val="0E747CF4"/>
    <w:rsid w:val="107B26BD"/>
    <w:rsid w:val="10A658E5"/>
    <w:rsid w:val="10FD028C"/>
    <w:rsid w:val="13596EAB"/>
    <w:rsid w:val="135F6DC0"/>
    <w:rsid w:val="137E74F3"/>
    <w:rsid w:val="13990B95"/>
    <w:rsid w:val="13CF716E"/>
    <w:rsid w:val="142A6463"/>
    <w:rsid w:val="14923534"/>
    <w:rsid w:val="16B40FC8"/>
    <w:rsid w:val="16EB669C"/>
    <w:rsid w:val="16EF0253"/>
    <w:rsid w:val="1763479D"/>
    <w:rsid w:val="18267CA4"/>
    <w:rsid w:val="18B3705E"/>
    <w:rsid w:val="19BE5CBA"/>
    <w:rsid w:val="19E716B5"/>
    <w:rsid w:val="1BB05AD7"/>
    <w:rsid w:val="1C71170A"/>
    <w:rsid w:val="1C821221"/>
    <w:rsid w:val="1DBA49EB"/>
    <w:rsid w:val="1DED3012"/>
    <w:rsid w:val="1E6A50FC"/>
    <w:rsid w:val="1ECC538C"/>
    <w:rsid w:val="1F446289"/>
    <w:rsid w:val="20484530"/>
    <w:rsid w:val="219914E7"/>
    <w:rsid w:val="21FE759C"/>
    <w:rsid w:val="23D63433"/>
    <w:rsid w:val="27767229"/>
    <w:rsid w:val="289F315B"/>
    <w:rsid w:val="28CA7358"/>
    <w:rsid w:val="295D729E"/>
    <w:rsid w:val="297B7724"/>
    <w:rsid w:val="2AA1765E"/>
    <w:rsid w:val="2AD52E64"/>
    <w:rsid w:val="2B6C1A1A"/>
    <w:rsid w:val="2B785156"/>
    <w:rsid w:val="2BC2163A"/>
    <w:rsid w:val="2BF03218"/>
    <w:rsid w:val="2D763C48"/>
    <w:rsid w:val="2DF53F49"/>
    <w:rsid w:val="2F1E6A16"/>
    <w:rsid w:val="30104610"/>
    <w:rsid w:val="30823A8E"/>
    <w:rsid w:val="30A92ADD"/>
    <w:rsid w:val="30C45E54"/>
    <w:rsid w:val="30FE1366"/>
    <w:rsid w:val="31077AEF"/>
    <w:rsid w:val="310F0508"/>
    <w:rsid w:val="3212499D"/>
    <w:rsid w:val="323B3EF4"/>
    <w:rsid w:val="32B75C71"/>
    <w:rsid w:val="33F00D0E"/>
    <w:rsid w:val="341D7D55"/>
    <w:rsid w:val="343230D5"/>
    <w:rsid w:val="34B306BA"/>
    <w:rsid w:val="34BD245A"/>
    <w:rsid w:val="360E3B3B"/>
    <w:rsid w:val="3701326B"/>
    <w:rsid w:val="37D746BF"/>
    <w:rsid w:val="380A5226"/>
    <w:rsid w:val="380D2FA5"/>
    <w:rsid w:val="39693A3D"/>
    <w:rsid w:val="3A185604"/>
    <w:rsid w:val="3A802DEC"/>
    <w:rsid w:val="3B1874C8"/>
    <w:rsid w:val="3B283A52"/>
    <w:rsid w:val="3BC60CD2"/>
    <w:rsid w:val="3C0812EB"/>
    <w:rsid w:val="3D9170BE"/>
    <w:rsid w:val="3E3E7246"/>
    <w:rsid w:val="3E815385"/>
    <w:rsid w:val="3EC82FB3"/>
    <w:rsid w:val="3F0F45A0"/>
    <w:rsid w:val="3F2C3542"/>
    <w:rsid w:val="405C7E57"/>
    <w:rsid w:val="41326E0A"/>
    <w:rsid w:val="41540F43"/>
    <w:rsid w:val="415E0BC6"/>
    <w:rsid w:val="41836D4A"/>
    <w:rsid w:val="41AA662D"/>
    <w:rsid w:val="443F5AC6"/>
    <w:rsid w:val="446E251C"/>
    <w:rsid w:val="45392515"/>
    <w:rsid w:val="457E261E"/>
    <w:rsid w:val="45DE6269"/>
    <w:rsid w:val="467B6B5D"/>
    <w:rsid w:val="46F012F9"/>
    <w:rsid w:val="47061B49"/>
    <w:rsid w:val="48463914"/>
    <w:rsid w:val="48B12D0A"/>
    <w:rsid w:val="4B6978CC"/>
    <w:rsid w:val="4B920BD1"/>
    <w:rsid w:val="4B933874"/>
    <w:rsid w:val="4C804ECE"/>
    <w:rsid w:val="4D07739D"/>
    <w:rsid w:val="4D7C38E7"/>
    <w:rsid w:val="4DD40513"/>
    <w:rsid w:val="4DE461DC"/>
    <w:rsid w:val="4E163DD4"/>
    <w:rsid w:val="4E17349A"/>
    <w:rsid w:val="4FD03A76"/>
    <w:rsid w:val="4FEB6B02"/>
    <w:rsid w:val="503C110B"/>
    <w:rsid w:val="509251CF"/>
    <w:rsid w:val="51BC69A8"/>
    <w:rsid w:val="52C17901"/>
    <w:rsid w:val="53745B13"/>
    <w:rsid w:val="543547EF"/>
    <w:rsid w:val="54EB1352"/>
    <w:rsid w:val="569752EE"/>
    <w:rsid w:val="569A4DDE"/>
    <w:rsid w:val="57770C7B"/>
    <w:rsid w:val="583848AE"/>
    <w:rsid w:val="58A606D8"/>
    <w:rsid w:val="59101387"/>
    <w:rsid w:val="5A054C64"/>
    <w:rsid w:val="5A44578C"/>
    <w:rsid w:val="5B427539"/>
    <w:rsid w:val="5C253207"/>
    <w:rsid w:val="5C5D48E3"/>
    <w:rsid w:val="5C695307"/>
    <w:rsid w:val="5D5F16A9"/>
    <w:rsid w:val="5E613959"/>
    <w:rsid w:val="5E6C3504"/>
    <w:rsid w:val="5EE568DC"/>
    <w:rsid w:val="5F4E6765"/>
    <w:rsid w:val="602D6272"/>
    <w:rsid w:val="606456FA"/>
    <w:rsid w:val="60837A12"/>
    <w:rsid w:val="60BE791B"/>
    <w:rsid w:val="61BA6334"/>
    <w:rsid w:val="61E37639"/>
    <w:rsid w:val="622E79A6"/>
    <w:rsid w:val="6247406C"/>
    <w:rsid w:val="635A392B"/>
    <w:rsid w:val="63886161"/>
    <w:rsid w:val="63A63014"/>
    <w:rsid w:val="66737837"/>
    <w:rsid w:val="66770C98"/>
    <w:rsid w:val="672F1572"/>
    <w:rsid w:val="67B46C8D"/>
    <w:rsid w:val="68466B73"/>
    <w:rsid w:val="685C0145"/>
    <w:rsid w:val="687E1273"/>
    <w:rsid w:val="69694C28"/>
    <w:rsid w:val="69D3778E"/>
    <w:rsid w:val="6B6F1F3D"/>
    <w:rsid w:val="6BA37E39"/>
    <w:rsid w:val="6E083FA5"/>
    <w:rsid w:val="6F086931"/>
    <w:rsid w:val="6F6A75EB"/>
    <w:rsid w:val="7053007F"/>
    <w:rsid w:val="70814BED"/>
    <w:rsid w:val="70EA2525"/>
    <w:rsid w:val="71304BB5"/>
    <w:rsid w:val="71F26CE6"/>
    <w:rsid w:val="72192C03"/>
    <w:rsid w:val="727B566C"/>
    <w:rsid w:val="72EC0317"/>
    <w:rsid w:val="73155338"/>
    <w:rsid w:val="73BC418E"/>
    <w:rsid w:val="73E831D5"/>
    <w:rsid w:val="746F7452"/>
    <w:rsid w:val="74B93F18"/>
    <w:rsid w:val="74E0571E"/>
    <w:rsid w:val="755F3E81"/>
    <w:rsid w:val="75CA2B92"/>
    <w:rsid w:val="774D3A7A"/>
    <w:rsid w:val="77672662"/>
    <w:rsid w:val="781E0F73"/>
    <w:rsid w:val="78727511"/>
    <w:rsid w:val="78E536B2"/>
    <w:rsid w:val="79382508"/>
    <w:rsid w:val="794F33AE"/>
    <w:rsid w:val="7A410F49"/>
    <w:rsid w:val="7AF91823"/>
    <w:rsid w:val="7B1D5512"/>
    <w:rsid w:val="7B536311"/>
    <w:rsid w:val="7C0B55EC"/>
    <w:rsid w:val="7D8A0E59"/>
    <w:rsid w:val="7DCC1471"/>
    <w:rsid w:val="7E01736D"/>
    <w:rsid w:val="7E5E733A"/>
    <w:rsid w:val="7EE03426"/>
    <w:rsid w:val="7F5A2D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40" w:lineRule="atLeast"/>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overflowPunct w:val="0"/>
      <w:spacing w:before="100" w:beforeAutospacing="1" w:after="100" w:afterAutospacing="1" w:line="600" w:lineRule="exact"/>
      <w:jc w:val="center"/>
      <w:textAlignment w:val="center"/>
      <w:outlineLvl w:val="0"/>
    </w:pPr>
    <w:rPr>
      <w:rFonts w:ascii="黑体" w:hAnsi="黑体" w:eastAsia="黑体"/>
      <w:b/>
      <w:sz w:val="36"/>
      <w:szCs w:val="36"/>
    </w:rPr>
  </w:style>
  <w:style w:type="paragraph" w:styleId="4">
    <w:name w:val="heading 2"/>
    <w:basedOn w:val="1"/>
    <w:next w:val="1"/>
    <w:qFormat/>
    <w:uiPriority w:val="9"/>
    <w:pPr>
      <w:widowControl/>
      <w:adjustRightInd w:val="0"/>
      <w:snapToGrid w:val="0"/>
      <w:spacing w:before="100" w:beforeAutospacing="1" w:after="100" w:afterAutospacing="1" w:line="600" w:lineRule="exact"/>
      <w:ind w:firstLine="643" w:firstLineChars="200"/>
      <w:outlineLvl w:val="1"/>
    </w:pPr>
    <w:rPr>
      <w:rFonts w:ascii="黑体" w:hAnsi="黑体" w:eastAsia="黑体"/>
      <w:b/>
      <w:sz w:val="32"/>
      <w:szCs w:val="32"/>
    </w:rPr>
  </w:style>
  <w:style w:type="paragraph" w:styleId="5">
    <w:name w:val="heading 3"/>
    <w:basedOn w:val="1"/>
    <w:next w:val="1"/>
    <w:qFormat/>
    <w:uiPriority w:val="9"/>
    <w:pPr>
      <w:spacing w:line="600" w:lineRule="exact"/>
      <w:ind w:firstLine="643" w:firstLineChars="200"/>
      <w:outlineLvl w:val="2"/>
    </w:pPr>
    <w:rPr>
      <w:rFonts w:ascii="仿宋_GB2312" w:hAnsi="仿宋" w:eastAsia="仿宋_GB2312"/>
      <w:b/>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99"/>
    <w:pPr>
      <w:spacing w:line="580" w:lineRule="exact"/>
      <w:ind w:firstLine="420" w:firstLineChars="200"/>
    </w:pPr>
    <w:rPr>
      <w:rFonts w:ascii="Times New Roman" w:hAnsi="Times New Roman" w:eastAsia="方正仿宋简体"/>
      <w:sz w:val="32"/>
    </w:rPr>
  </w:style>
  <w:style w:type="paragraph" w:styleId="6">
    <w:name w:val="toc 3"/>
    <w:basedOn w:val="1"/>
    <w:next w:val="1"/>
    <w:qFormat/>
    <w:uiPriority w:val="39"/>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563C1"/>
      <w:u w:val="single"/>
    </w:rPr>
  </w:style>
  <w:style w:type="character" w:customStyle="1" w:styleId="16">
    <w:name w:val="页眉 字符"/>
    <w:link w:val="8"/>
    <w:qFormat/>
    <w:uiPriority w:val="0"/>
    <w:rPr>
      <w:rFonts w:ascii="Calibri" w:hAnsi="Calibri"/>
      <w:kern w:val="2"/>
      <w:sz w:val="18"/>
      <w:szCs w:val="18"/>
    </w:rPr>
  </w:style>
  <w:style w:type="character" w:customStyle="1" w:styleId="17">
    <w:name w:val="样式1 字符"/>
    <w:link w:val="18"/>
    <w:qFormat/>
    <w:uiPriority w:val="0"/>
    <w:rPr>
      <w:rFonts w:ascii="仿宋_GB2312" w:eastAsia="仿宋_GB2312"/>
      <w:sz w:val="32"/>
      <w:szCs w:val="32"/>
    </w:rPr>
  </w:style>
  <w:style w:type="paragraph" w:customStyle="1" w:styleId="18">
    <w:name w:val="样式1"/>
    <w:basedOn w:val="1"/>
    <w:link w:val="17"/>
    <w:qFormat/>
    <w:uiPriority w:val="0"/>
    <w:pPr>
      <w:spacing w:line="600" w:lineRule="exact"/>
      <w:ind w:firstLine="643" w:firstLineChars="200"/>
    </w:pPr>
    <w:rPr>
      <w:rFonts w:ascii="仿宋_GB2312" w:eastAsia="仿宋_GB2312"/>
      <w:sz w:val="32"/>
      <w:szCs w:val="32"/>
    </w:rPr>
  </w:style>
  <w:style w:type="paragraph" w:customStyle="1" w:styleId="19">
    <w:name w:val="_Style 18"/>
    <w:basedOn w:val="3"/>
    <w:next w:val="1"/>
    <w:unhideWhenUsed/>
    <w:qFormat/>
    <w:uiPriority w:val="39"/>
    <w:pPr>
      <w:keepNext/>
      <w:keepLines/>
      <w:overflowPunct/>
      <w:spacing w:before="240" w:beforeAutospacing="0" w:after="0" w:afterAutospacing="0" w:line="259" w:lineRule="auto"/>
      <w:jc w:val="left"/>
      <w:textAlignment w:val="auto"/>
      <w:outlineLvl w:val="9"/>
    </w:pPr>
    <w:rPr>
      <w:rFonts w:ascii="等线 Light" w:hAnsi="等线 Light" w:eastAsia="等线 Light" w:cs="Times New Roman"/>
      <w:b w:val="0"/>
      <w:color w:val="2F5496"/>
      <w:kern w:val="0"/>
      <w:sz w:val="32"/>
      <w:szCs w:val="32"/>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18248</Words>
  <Characters>18626</Characters>
  <Lines>158</Lines>
  <Paragraphs>44</Paragraphs>
  <TotalTime>12</TotalTime>
  <ScaleCrop>false</ScaleCrop>
  <LinksUpToDate>false</LinksUpToDate>
  <CharactersWithSpaces>18874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2020-12-07T00:55:00Z</dcterms:created>
  <dc:creator>1423469120</dc:creator>
  <cp:lastModifiedBy>惠</cp:lastModifiedBy>
  <cp:lastPrinted>2020-12-07T07:59:00Z</cp:lastPrinted>
  <dcterms:modified xsi:type="dcterms:W3CDTF">2023-12-08T08:09:55Z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KSOSaveFontToCloudKey">
    <vt:lpwstr>558586450_btnclosed</vt:lpwstr>
  </property>
  <property fmtid="{D5CDD505-2E9C-101B-9397-08002B2CF9AE}" pid="4" name="ICV">
    <vt:lpwstr>7E7283572D9C4B61A9EC9902E825986C_13</vt:lpwstr>
  </property>
</Properties>
</file>