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jc w:val="both"/>
        <w:rPr>
          <w:rFonts w:hint="eastAsia" w:ascii="仿宋" w:hAnsi="仿宋" w:eastAsia="仿宋" w:cs="仿宋"/>
        </w:rPr>
      </w:pPr>
      <w:bookmarkStart w:id="0" w:name="_Toc803"/>
      <w:bookmarkStart w:id="1" w:name="_Toc13840"/>
      <w:bookmarkStart w:id="2" w:name="_Toc31541"/>
      <w:r>
        <w:rPr>
          <w:rFonts w:hint="eastAsia" w:cs="仿宋"/>
          <w:lang w:val="en-US" w:eastAsia="zh-CN"/>
        </w:rPr>
        <w:t>附件：</w:t>
      </w:r>
      <w:bookmarkStart w:id="3" w:name="_GoBack"/>
      <w:bookmarkEnd w:id="3"/>
      <w:r>
        <w:rPr>
          <w:rFonts w:hint="eastAsia" w:ascii="仿宋" w:hAnsi="仿宋" w:eastAsia="仿宋" w:cs="仿宋"/>
        </w:rPr>
        <w:t>技术、商务及其他要求</w:t>
      </w:r>
      <w:bookmarkEnd w:id="0"/>
      <w:bookmarkEnd w:id="1"/>
      <w:bookmarkEnd w:id="2"/>
    </w:p>
    <w:p>
      <w:pPr>
        <w:spacing w:line="360" w:lineRule="auto"/>
        <w:ind w:firstLine="482" w:firstLineChars="200"/>
        <w:rPr>
          <w:rFonts w:hint="default" w:ascii="仿宋" w:hAnsi="仿宋" w:eastAsia="仿宋" w:cs="仿宋"/>
          <w:sz w:val="24"/>
          <w:lang w:val="en-US" w:eastAsia="zh-CN"/>
        </w:rPr>
      </w:pPr>
      <w:r>
        <w:rPr>
          <w:rFonts w:hint="eastAsia" w:ascii="仿宋" w:hAnsi="仿宋" w:eastAsia="仿宋" w:cs="仿宋"/>
          <w:b/>
          <w:bCs/>
          <w:sz w:val="24"/>
        </w:rPr>
        <w:t>一、</w:t>
      </w:r>
      <w:r>
        <w:rPr>
          <w:rFonts w:hint="eastAsia" w:ascii="仿宋" w:hAnsi="仿宋" w:eastAsia="仿宋" w:cs="仿宋"/>
          <w:b/>
          <w:bCs/>
          <w:sz w:val="24"/>
          <w:lang w:val="en-US" w:eastAsia="zh-CN"/>
        </w:rPr>
        <w:t>项目技术参数</w:t>
      </w:r>
    </w:p>
    <w:tbl>
      <w:tblPr>
        <w:tblStyle w:val="5"/>
        <w:tblW w:w="92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291"/>
        <w:gridCol w:w="5325"/>
        <w:gridCol w:w="900"/>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标的名称</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录像设备（带无感定位）</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1、不低于3840x2160像素CMOS传感器，支持人脸抓拍及人体抓拍；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2、2.9~12.5mm电动变焦，支持一键聚焦；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3、支持三码流同时输出，主码流最高分辨率可达8MP@20fps；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4、支持人脸抓拍，单画面同时抓拍人脸数不低于32张；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5、最佳人脸抓拍距离：5~10米；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6、最远人脸抓拍距离不少于15米；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7、人脸抓拍率不低于97%；</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8、抓拍张数：1-10张可设；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9、人脸抓拍：支持年龄、性别、口罩、胡子、眼镜、人脸属性可信度等属性叠加；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10、支持智能监控、人脸抓拍双模式切换；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12、支持智能分析：安全帽检测、奔跑、徘徊、热度图、人群聚集、人数统计（垂直、区域）、视频诊断、双绊线、停车、物品丢失、物品遗留、虚焦检测、音频异常、值岗检测；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12、不少于18颗补光灯，红外补光距离不低于50米，白光补光距离不低于10米，支持补光变倍匹配功能；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13、接口不少于：音频输入/输出各一个、内置MIC、扬声器、报警输入2个，报警输出1个，支持前端TF卡存储；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14、支持宽动态、背光补偿、强光抑制、3D降噪和图像翻转功能；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15、支持CGI、GAT1400、GB28181-2016版、Milestone、Onvif ProfileG/S/T、RTSP、P2P协议；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16、水平视场角：30.6°~100.6°；</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17、垂直视场角：17.2°~53.6°；</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18、抓拍图片的分辨率：8MP(3840x2160)，6MP(3072×2048)，1440P(2560x1440)，3MP(2304x1296)，1080P(1920x1080)，720P(1280x720)；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19、防护等级不低于：外壳防尘防水IP66，防暴等级IK10，4级防雷；</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20、支持POE、DC12V供电。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21、带拾音功能，具体参数如下：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（1）高保真、语音清晰、噪音低；</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（2）预极化电容拾音咪头，灵敏度高，本躁低；</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（3）高增益电路使音频监控监听面积达100平方米；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（4）采用高端全向型拾音头即使空旷的房间也没有回音；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（5）内置雷击保护、电源极性反转保护；</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（6）-10℃~55℃的超宽工作温度范围；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（7）依靠专业传声器制造技术，集成专业前置音频放大器，监听头直接驱动有源音箱，DVR，录音机等音频采集设备；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（8）支持机械调节输出音量；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（9）配件：连接线、电源、壁装支架。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人证对比终端</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1、基于Android平台，系统内存不低于2GB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2、触控屏尺寸不低于10寸，分辨率不低于1280x800；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3、内置摄像机不低于300万像素；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4、支持拍摄人脸照片并进行人证比对；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5、支持人脸识别功能，支持智能逆光补偿，增强人脸轮廓边缘，通过程序自动化采集人脸照片；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6、内置公安部最新推出居民身份证阅读器，自动读取居民身份证芯片中的文字、人脸等特征信息。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指纹签章一体机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1、应具备指纹采集、电子签名功能，并实现电子签名、电子指纹采集过程同步录音录像，实现证据链的不间断和可追溯性；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2、显示屏不小于8寸，分辨率不低于1280x720，无故障点击次数不低于99万次；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3、标配人像鱼眼摄像机，并支持畸变矫正、3D降噪、颜色矫正、亮度矫正等功能；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4、指纹仪认假率&lt;0.0001%；</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5、内置安卓系统，支持原笔迹签名、信息交互、录音录像等应用；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6、应内置国密芯片，能对整机的用户静态数据进行加密处理，保障用户的静态数据安全；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7、传输数据应采用加密+签名的手段，保证数据传输过程的保密性和防篡改，保障数据传输安全；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8、支持接入入区登记、人身安全检查、随身物品暂存、毒品检测、审讯、辨认等业务流程环节；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9、并实现各流程文书的电子指纹捺印和电子签名功能；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Fonts w:hint="eastAsia" w:ascii="仿宋" w:hAnsi="仿宋" w:eastAsia="仿宋" w:cs="仿宋"/>
                <w:i w:val="0"/>
                <w:iCs w:val="0"/>
                <w:color w:val="000000"/>
                <w:kern w:val="0"/>
                <w:sz w:val="24"/>
                <w:szCs w:val="24"/>
                <w:u w:val="none"/>
                <w:lang w:val="en-US" w:eastAsia="zh-CN" w:bidi="ar"/>
              </w:rPr>
              <w:t>10、▲配备无源电磁笔、支持语音提示功能</w:t>
            </w:r>
            <w:r>
              <w:rPr>
                <w:rStyle w:val="7"/>
                <w:rFonts w:hint="eastAsia" w:ascii="仿宋" w:hAnsi="仿宋" w:eastAsia="仿宋" w:cs="仿宋"/>
                <w:lang w:val="en-US" w:eastAsia="zh-CN" w:bidi="ar"/>
              </w:rPr>
              <w:t>（提供具有检测资质的第三方检测机构出具的含CMA或CNAS标识的检验报告复印件并加盖供应商鲜章）</w:t>
            </w:r>
            <w:r>
              <w:rPr>
                <w:rStyle w:val="8"/>
                <w:rFonts w:hint="eastAsia" w:ascii="仿宋" w:hAnsi="仿宋" w:eastAsia="仿宋" w:cs="仿宋"/>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Style w:val="8"/>
                <w:rFonts w:hint="eastAsia" w:ascii="仿宋" w:hAnsi="仿宋" w:eastAsia="仿宋" w:cs="仿宋"/>
                <w:lang w:val="en-US" w:eastAsia="zh-CN" w:bidi="ar"/>
              </w:rPr>
              <w:t>11、指纹采集图片分辨率不低于256x350；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Style w:val="8"/>
                <w:rFonts w:hint="eastAsia" w:ascii="仿宋" w:hAnsi="仿宋" w:eastAsia="仿宋" w:cs="仿宋"/>
                <w:lang w:val="en-US" w:eastAsia="zh-CN" w:bidi="ar"/>
              </w:rPr>
              <w:t>12、指纹采集面尺寸应不小于12mmx18mm。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报警显示设备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1、塑料外壳；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2、支持报警信号传至值班室提示；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3、支持直流12V；</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4、防火ABS阻燃外壳；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5、支持声光报警。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办案出入设备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1、不小于8寸LCD大屏显示,采用嵌入式Linux系统，有1个TF卡槽，最大支待512G；</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2、防护等级不低于IP65，室外防水，可用于室内室外；</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3、▲采用双目相机，一路可见光摄像头和一路红外摄像头，设备WEB端应具有宽动态启闭选项（提供具有检测资质的第三方检测机构出具的含CMA或CNAS标识的检验报告复印件并加盖供应商鲜章）；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4、屏幕分辨率1280*800；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5、▲支持人脸、人体移动预测，唤醒设备；支持人脸、人体及物体移动侦测，唤醒白光补光灯（提供具有检测资质的第三方检测机构出具的含CMA或CNAS标识的检验报告复印件并加盖供应商鲜章）；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6、刷卡时，设备有蜂鸣器提示音；支持比对结果语音提示和语音音量调节；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7、应支持比对结果图文提示功能；应支持本地视频预览、人脸动态捕捉；应支持查看人员信息、设备模式（如首脸/首卡开门、永久开门、永久关门等）；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8、用户容量10000个，人脸底库10000张，存储容量100000条日志记录，2000图片记录；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9、人脸识别最小距离应≤0.5m，最大距离应＞1.5m；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10、移动侦测功能：支持人脸、人体移动预测，唤醒设备；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11、应支持与WEB端中心远程视频对讲；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12、支持黑名单功能；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13、人脸识别准确率应≥99%；</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14、支持刷卡/远程/密码/二维码/人脸识别开门模式，支持组合开门模式设置；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15、多种接口类型：报警2入1出，1路485，1个USB接口，1路网口，韦根接口1入1出，1路开门按钮，1路门锁控制；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16、支持多用户开门，实时监控，多重认证，刷卡拍照，WEB配置，防潜回，防拆报警，胁迫报警，门开启超时报警，闯入报警，非法卡超次报警，报警联动，陌生人抓拍；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17、工作温度范围：-20±3℃-60±2℃</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18、含电源、电磁锁、支架等配套设备。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5"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发卡终端</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1、USB无驱IC桌面发卡器，是基于ISO/IEC14443 A国际标准协议开发的非接触式智能卡序列号读卡器；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2、它采用高性能射频读卡电路设计而成；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3、具有集成度高、抗干扰能力强、体积小、性能稳定，性价比高、使用方便的特点，适用于门禁、考勤、收费、防盗、巡更等各种射频识别应用领域；</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4、发卡器自带读卡天线，工作频率为13.56MHz；</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5、有效距离0~4.5cm以内 （根据不同工作环境和不同的卡而不同）；</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6、在有效距离内数据接收时间小于90ms；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7、USB接口电源+5V供电，工作电流约20mA；</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8、USB格式数据输出；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9、支持符合ISO1443A协议的卡片的物理卡号（包括S50/S70/desfire/NTAG213/NTAG216/ultrlight/FM1204/FM1208)；</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10、可通过串口更新程序；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11、读写S50\S70；Ultralight C读写；NFC 标签读写；Mifire Plus读写；Mifire Desfile 读写；提供ISO1443A APDU 指令。</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显示单元1</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1、屏幕尺寸：不少于65英寸。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2、CPU*2核、GPU*1核、运行内存1GB、ROM8GB。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3、背光类型：DLED（直下式LED背光源）。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4、屏幕宽高比：16:9；屏幕分辨率：UHD 3840*2160。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5、显示色彩：1.07G colors(RGB 8bit+FRC)；显示面积：不低于1428.48 (H)mmx 803.52 (V)mm。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6、对比度：1200:1(Typical)；亮度：≥340cd/㎡。</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7、接口：不少于DMI2.0*3、USB2.0*2、RJ45*1等。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8、含壁装支架。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等候椅（定制）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1、座背支架：采用1.8mm厚冷轧钢板压铸成型；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2、扶手：采用铝合金型材；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3、椅脚：采用1.8mm厚冷轧钢板压铸成型；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4、负重横梁：采用1.8mm冷轧钢板加工成型；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5、座板采用1.5mm厚冷轧钢板经冲压、折弯等工序成型，表面喷涂；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6、尺寸：不低于2200cm*600cm*720cm。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5"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自助办案终端</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1、支持通过用户名、指纹、人脸识别登录客户端；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2、支持入区登记、出区登记、候问看押、候问带出、打印文书等五大功能；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3、支持选择入区人员类型（包含：涉案人员、警员、其他人员）；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4、支持进行注册关联；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5、支持入出区登记和登记表打印，可登记姓名、性别、出生日期、身份证号、户籍地址等人员信息；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6、支持抓拍照片，并支持人证比对，并支持和后端人脸库比对；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7、支持嫌疑人入区原因填写，支持特殊情况标记；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8、支持选择临时出区、入过区、警综数据、预约、报备的涉案人员；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9、支持上传法律手续、选择案件性质、关联历史案件；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10、支持入区凭证签字、指纹捺印、打印等；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11、支持刷定位卡或者手环关联出人员信息；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12、支持嫌疑人出区原因填写，支持出区相似度比对；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13、支持嫌疑人正常出区和临时出区，能选择裁决结果、出区去向；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14、支持出区、临时出区登记表签字、打印；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15、支持展示各种台账记录，并可展示各种文书的签字状态展示；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16、支持选择文书进行签字捺印、打印；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17、内置电磁电容屏尺寸:不小于21.5寸；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18、屏幕分辨率:不小于1920*1080；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19、内置副屏尺寸:不小于21.5寸；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20、副屏分辨率:不小于1920*1080；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21、支持彩色双面打印；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22、支持二代证&amp;手环阅读器；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23、支持指纹采集、捺印；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24、支持语音提示操作信息；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25、双目摄像头，支持活体检测，前端人脸识别；</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26、电源:AC 220V；</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27、网口:支持，2个千兆网卡；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28、防护等级:静电防护等级3级；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29、供电方式:AC 220V。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装备存放柜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1、支持平台下发权限，可以通过人脸、警号等方式下发；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2、民警支持通过人脸、刷卡、警号等方式登录；嫌疑人支持人脸方式登录；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3、登录成功后，可选择物品存放或物品取出；可视化展示所有授权的柜门，并可控制开柜；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4、物品取出，可选择物品的取物类型和物品去向；取物类型包括：提取、正式调用、临时调用等；物品去向包括：本人领取、家人代领、邮寄、返还、移交两所、代保管、扣押等；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5、支持物品取出明细确认及拍照、签字、捺印等；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6、单机模式：支持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7、支持通过人脸、刷卡的方式进行登录；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8、支持选择物品存放或物品取出，取物时会和存物时的人脸或卡片进行比对；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9、当首次登录或者只有一个柜子时，登录后点击存物或取物可以直接联动开门；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10、当有多个柜子时，可视化展示所有的柜门，可以选择打开柜门；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11、主柜包含不少于24个箱门；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12、柜子整体尺寸(mm)：不少于W1440*D450*H1900；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13、大箱门*4：W283±5mm*D450±5mm*H593±5mm；中箱门*8：W283±5mm*D450±5mm*H295±5mm；小箱门*12：W283±5mm*D450±5mm*H196±5mm。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证据录像设备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1、不低于500万像素CMOS传感器，变焦范围4.3-142mm。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2、球机支持不少于1对音频输入/输出接口、1个TF卡槽、1个复位按钮、内置MIC，支持3路报警输入，2路报警输出。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3、至少支持H.265、H.264（Main Profile，High Profile，Baseline Profile）、M-JPEG视频编码方式。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4、变焦不低于33倍。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5、宽动态范围不低于120dB。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6、亮度鉴别等级不小于11级。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7、球机（F=1.6）彩色模式所需最低照度不高于0.002 lx，能基本分辨被摄目标的轮廓特征；黑白模式最低照度不高于0.001 lx，能基本分辨被摄目标的轮廓特征。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8、支持水平360°旋转；垂直旋转范围可达到-30°~90°。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9、水平手控最大速度不小于550°/s。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10、支持三码流同时输出，主码流最大支持不低于3072x1728@30fps。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11、可通过客户端或者IE对亮度、对比度、饱和度等进行调整，可选择彩色、黑白模式，可选择手动、自动、定时转换彩色/黑白模式。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12、支持通过连接温湿度屏、 温湿度传感器，将温湿度信息在视频上进行叠加。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13、具有白平衡、自动增益、开启/关闭背光补偿、开启/关闭强光抑制、画面镜像及旋转功能。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14、可将视频图像及抓拍图片存储至TF卡或客户端；设备能够最大支持512GB内存卡。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15、▲操作系统支持文件双重备份，当操作系统文件损坏或异常时，重启后仍可正常运行（提供具有检测资质的第三方检测机构出具的含CMA或CNAS标识的检验报告复印件并加盖供应商鲜章）。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16、开启智能编码功能和不开启智能编码相比， 码率节约不少于90%。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17、当环境照度低于一定值时，通过红外灯照射，可分辨距离不少于100米的所摄目标的轮廓和状态；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18、▲支持DC12V，支持HDBaseT 接口供电，支持反向供电，支持DC12V≥±20%供电条件下正常工作（提供具有检测资质的第三方检测机构出具的含CMA或CNAS标识的检验报告复印件并加盖供应商鲜章）；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19、IP防护等级不低于IP50。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安全检查装备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1、手持设计，小巧灵活，便于伤痕抓拍，自带联网扩展座；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2、整机尺寸不大于180×90×25mm；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3、主机重量应不大于400g；</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4、具有多点触控电容屏，显示屏尺寸应不小于5英寸，屏幕分辨率：1280x720；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5、内置不低于800万像素摄像头，分辨率3264X2448，具有闪光灯、自动对焦功能；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6、具有64位四核CPU，主频1.3GHz，内存支持RAM（2GB）和ROM（16GB）；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7、支持扩展存储容量，应能接入128GB Micro SD 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8、▲支持1：N人脸识别比对功能，人脸库支持存放10000张人脸照片；（提供具有检测资质的第三方检测机构出具的含CMA或CNAS标识的检验报告复印件并加盖供应商鲜章）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9、支持人脸识别快速关联人员身份；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10、采用电容/电感式传感器，支持采集指纹图像，图像像素为256X360，采集指纹图片分辨率不低于500DPI，支持存储1000枚指纹信息；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11、支持通过人脸识别或手动选择确定嫌疑人；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12、支持录入随身物品信息，包括物品图片抓拍、登记民警、物品名称、物品数量、计量单位、是否涉案、特征描述；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13、支持无财物暂存签字；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14、支持查看在区人员的随身物品信息；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15、▲支持对嫌疑人身体痕迹部位进行标记拍照，同一点位最多支持拍摄3张（提供具有检测资质的第三方检测机构出具的含CMA或CNAS标识的检验报告复印件并加盖供应商鲜章）；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16、支持无伤痕信息登记；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17、支持对安检文书进行确认，文书内容包括安全检查基本信息、标记人体模型、已拍照片；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18、支持文书签字和捺印；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支持安全检查信息录入，包括选择安检民警、医疗人员、号服编号、检查类型、是否发现特殊体表特征、是否饮酒、是否自述病症、是否具有传染病、是否检查发现伤情情况、是否需要救治、是否具有以往病史情况、是否携带危险品情况、其他情况说明；</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Fonts w:hint="eastAsia" w:ascii="仿宋" w:hAnsi="仿宋" w:eastAsia="仿宋" w:cs="仿宋"/>
                <w:i w:val="0"/>
                <w:iCs w:val="0"/>
                <w:color w:val="000000"/>
                <w:kern w:val="0"/>
                <w:sz w:val="24"/>
                <w:szCs w:val="24"/>
                <w:u w:val="none"/>
                <w:lang w:val="en-US" w:eastAsia="zh-CN" w:bidi="ar"/>
              </w:rPr>
              <w:t>20、▲支持终端离线操作</w:t>
            </w:r>
            <w:r>
              <w:rPr>
                <w:rStyle w:val="9"/>
                <w:rFonts w:hint="eastAsia" w:ascii="仿宋" w:hAnsi="仿宋" w:eastAsia="仿宋" w:cs="仿宋"/>
                <w:lang w:val="en-US" w:eastAsia="zh-CN" w:bidi="ar"/>
              </w:rPr>
              <w:t>（提供具有检测资质的第三方检测机构出具的含CMA或CNAS标识的检验报告复印件并加盖供应商鲜章）</w:t>
            </w:r>
            <w:r>
              <w:rPr>
                <w:rStyle w:val="8"/>
                <w:rFonts w:hint="eastAsia" w:ascii="仿宋" w:hAnsi="仿宋" w:eastAsia="仿宋" w:cs="仿宋"/>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Style w:val="8"/>
                <w:rFonts w:hint="eastAsia" w:ascii="仿宋" w:hAnsi="仿宋" w:eastAsia="仿宋" w:cs="仿宋"/>
                <w:lang w:val="en-US" w:eastAsia="zh-CN" w:bidi="ar"/>
              </w:rPr>
              <w:t>21、▲支持终端放回底座时自动与平台进行联网及数据同步并进行充电，实现信息有线传输（提供具有检测资质的第三方检测机构出具的含CMA或CNAS标识的检验报告复印件并加盖供应商鲜章）；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Style w:val="8"/>
                <w:rFonts w:hint="eastAsia" w:ascii="仿宋" w:hAnsi="仿宋" w:eastAsia="仿宋" w:cs="仿宋"/>
                <w:lang w:val="en-US" w:eastAsia="zh-CN" w:bidi="ar"/>
              </w:rPr>
              <w:t>22、▲嫌疑人入区后，终端可接收到平台下发的人脸信息；嫌疑人出区后，终端可清除已下发的人脸信息；支持联网时，终端可自动更新人脸信息（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Style w:val="8"/>
                <w:rFonts w:hint="eastAsia" w:ascii="仿宋" w:hAnsi="仿宋" w:eastAsia="仿宋" w:cs="仿宋"/>
                <w:lang w:val="en-US" w:eastAsia="zh-CN" w:bidi="ar"/>
              </w:rPr>
            </w:pPr>
            <w:r>
              <w:rPr>
                <w:rStyle w:val="8"/>
                <w:rFonts w:hint="eastAsia" w:ascii="仿宋" w:hAnsi="仿宋" w:eastAsia="仿宋" w:cs="仿宋"/>
                <w:lang w:val="en-US" w:eastAsia="zh-CN" w:bidi="ar"/>
              </w:rPr>
              <w:t>23、支持对全程操作进行语音播放提示；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Style w:val="8"/>
                <w:rFonts w:hint="eastAsia" w:ascii="仿宋" w:hAnsi="仿宋" w:eastAsia="仿宋" w:cs="仿宋"/>
                <w:lang w:val="en-US" w:eastAsia="zh-CN" w:bidi="ar"/>
              </w:rPr>
              <w:t>24、待机时间不低于360小时。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手持金属探测器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1、电源:9V方块电池；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2、测量方式:其它；</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3、测量距离:2-10cm；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4、工作环境:其它。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音箱</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1、2.0声道。</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2、失真限制的输出功率：R/L：1.4W+1.4W。</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3、信噪比：R/L：≥85dB（A）。</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4、输入灵敏度：R/L：600±50mV。</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显示信息设备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1、支持双行双色显示，第一行显示房间号，第二行显示房间状态；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2、第二行可以通过平台联动显示办案中、空闲中、预约中等；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3、每行最多可同时显示5个汉字，超过5字支持滚动显示；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4、采用网络控制协议，RJ45接口。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5、功率：20~30W；</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6、尺寸：长53±1cm，宽23±1cm，高 3.5±1cm；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7、背面孔间距不大于30cm。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200L冷藏柜</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1、容积：不少于200升。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信息采集装备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1、支持民警卡、人脸识别、账号密码登录；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2、支持通过手环、人脸识别确认嫌疑人身份；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3、登记录入时可选择检测项，然后录入检测结果；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4、支持触屏操作，触摸屏尺寸不小于19寸；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5、内置不小于500万双目人脸识别摄像机；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6、内置不小于200万物证采集摄像机；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7、内置彩色双面打印模块，支持自助打印检测报告；</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8、内置条码打印模块，支持自助打印条码签；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9、支持各操作步骤语音提示；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10、支持嫌疑人签字捺印和民警签字。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办案管理终端</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应配有高清双目摄像头，分辨率1920X1080，应内置二代身份证阅读器和手环读写卡器、指纹采集识别仪、扬声器（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2、内置终端主机，四核四线程CPU，128GB SSD硬盘，8GB内存，支持双千兆网卡；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3、▲支持通过人脸识别、指纹识别、静态口令、PKI数字证书认证等方式进行登录（提供具有检测资质的第三方检测机构出具的含CMA或CNAS标识的检验报告复印件并加盖供应商鲜章）；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4、应内置21英寸电容触控显示一体屏，配备电容笔，屏幕分辨率应不小于1920X1080；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5、应支持10个USB接口，2个COM串口；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6、支持展示候问室的使用状态、容纳人数、当前人数、能否带入；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7、支持对嫌疑人进行候问看押功能，能通过人脸识别、刷手环、检索框检索等方式关联看押人员；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选择看押的嫌疑人带出功能，能选择要带出的看押嫌疑人，并可选择带出民警、带出原因，选项包括提讯、临时出区、出区、采集、律师会见、开庭、吃饭、上厕所、其他，带出原因为提讯时支持选择讯询问室；</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9、▲人脸识别支持活体检测功能，支持文字和语音操作指引；（提供具有检测资质的第三方检测机构出具的含CMA或CNAS标识的检验报告复印件并加盖供应商鲜章）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10、应能通过搜索框搜索并选择嫌疑人；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11、应能展示多种台账记录及文书的签字状态；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12、应能对选择文书进行签字捺印；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13、应具有嫌疑人出入办案区的简易流程申请和审批功能。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环境采集终端</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1、集时间、温湿度采集显示与全景画面采集于一体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2、具有RS485接口，静态数字显示，适于同步录音录像；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3、支持通过办案系统校时；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4、内置MIC；</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5、支持畸变校正、远端放大，支持垂直、水平视场角调节；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6、具有音频输入异常检测功能，可发出报警提示，支持超高音报警；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7、▲支持人员进入警戒区域后触发白光闪烁警示和语音警告；（提供具有检测资质的第三方检测机构出具的含CMA或CNAS标识的检验报告复印件并加盖供应商鲜章）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8、支持智能行为分析结果主动同步办案系统；</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9、支持三码流同时输出，最高分辨率2592*1944@30fps，最高帧率1920*1080@60 fps；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10、支持红外、白光补光，红外距离不低于15m；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11、不大于2.1mm超广角定焦镜头，支持ICR双滤切换；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12、支持自动校准时钟，与摄像机、审讯主机时间同步；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13、支持POE、DC12V供电；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14、最大功率10W；</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15、摄像机支持给温湿度屏校时；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16、支持音视频本地存储卡存储，录制的文件可使用通用播放软件播放；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17、▲支持人脸抓拍功能，支持按时间统计显示人员热度，通过不同颜色显示不同区域的人员热度（提供具有检测资质的第三方检测机构出具的含CMA或CNAS标识的检验报告复印件并加盖供应商鲜章）。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办案集成设备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1、应集成审讯台、审讯终端、示证单元、特写摄像机、拾音器、编码器、音箱、交换机、报警按钮、打印功能为一体，并预留审讯主机、示证展台和电子签名捺印设备安装位置；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2、内置编码器，支持不低于1920*1080高清HDMI输出；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3、内置高保真拾音器，具备高灵敏度、全向拾音；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4、审讯台桌面应采用木质材料；</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5、电控开关模块，支持控制设备通断电；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6、智能审讯模块，支持一键开关机、示证切换、升降单元升降、开启审讯等功能，方便民警便捷开展审讯工作；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7、大屏影像模块，可以实时回显查看示证画面当前内容，便于民警核对；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8、生命体征模块，配合智能审讯椅使用，可以实时查看嫌疑人心率、体温数据；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9、审讯椅控制模块，配合智能审讯椅使用，可以控制智能审讯椅束缚装置打开；</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10、特写摄像机：≥500万像素，2.8～12mm电动变焦，支持变倍聚焦；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11、特写摄像机角度可调，上下左右可调整角度不小于7度；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12、桌面提供接口不少于：音频3.5mm输入输出各一个、2个USB充电接口、5个USB接口、1个AC 220V插口、1个网口；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13、打印模块隐蔽式嵌套于桌面下方，支持抽拉，可方便维护，桌面预留出纸口，纸张可无障碍摊放到桌面；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14、支持彩色打印；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15、支持按下桌面手动报警按钮触发应急报警；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16、含审讯桌椅。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办案专用设备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1、视频接口支持不少于1个HDMI输入、1个VGA输入、不少于2个HDMI输出、1个VGA输出；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2、音频接口支持不少于1路端子输入、1路对讲输入、不少于1路对讲输出、1路混音输出、1路端子输出；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3、支持不少于4个RS485控制接口、1个以太网口、4个POE网口；支持不少于4个USB2.0、1个USB3.0；支持不少于8个报警输入接口、4个报警输出接口；支持不少于11个sata接口；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4、支持不少于4个前置硬盘槽位；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5、支持盘组模式与配额模式两种磁盘管理模式；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6、支持便捷拆卸光驱，可实现在不拆设备机箱的情况下更换光驱；</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7、支持触摸屏，前面板具备电源开关、录像、刻录、回放、消警感应式按键；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8、支持实时视频预览与硬盘与光盘两种方式进行录像回放；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9、支持实时信息显示，包含显示不少于主机刻录、硬盘信息、刻录剩余时间、异常监测信息；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10、支持4MP（2560×1440）、1080P（1920×1080）等分辨率的摄像机接入；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11、支持多画面合成，合成画面数量不少于2/3/4/5/6/8，支持调节合成画面尺寸；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12、支持合成画面独立编码、传输、录像及刻录；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视频编码支持MPEG-4、H.264、H.265，视频传输码率支持在32kbps～16Mbps范围内设置；音频编码支持AAC，采样率支持8KHz、32KHz、48KHz；（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远程控制功能，进行远程控制时，支持远程获取视频，支持本地和远程进行语音或者文字交流；支持远程控制网络摄像机变倍变焦（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15、支持一张光盘刻录不低于3.5小时的同步录音录像，并能确保录音录像质量；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16、支持光盘自动封盘；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17、▲支持不少于双盘直刻、循环直刻两种刻录模式；（提供具有检测资质的第三方检测机构出具的含CMA或CNAS标识的检验报告复印件并加盖供应商鲜章）；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18、▲支持选择合成画面刻录，支持无硬盘刻录；支持自动生成光盘名称和光盘编号（提供具有检测资质的第三方检测机构出具的含CMA或CNAS标识的检验报告复印件并加盖供应商鲜章）；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19、单张光盘刻录时长支持3小时—10小时之间设置；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20、支持刻录自动封装通用播放器至刻录光盘；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21、支持光盘加密，支持防擦写与防拷贝；</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22、▲支持查询案件信息关联回放录像；支持设置案号、案件名称、案件密码；支持删除案件与案件加锁（提供具有检测资质的第三方检测机构出具的含CMA或CNAS标识的检验报告复印件并加盖供应商鲜章）；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23、支持在AC 220V（±10%）之内正常工作；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24、支持7×24小时连续正常工作；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25、支持生命体征监测接入，并实时叠加至视频画面中。叠加信息至少包含血压、心律、血氧数据信息。支持阈值设置，超过阈值报警；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26、支持讯问结束后不超过5min刻录完毕；支持“刻录失败”提示；支持换盘自动补刻；</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27、支持片头叠加功能，支持案件编号、名称、讯问人员姓名、被讯问人员姓名、讯问地点等片头内容设置，设置完毕后，自动生成片头叠加于视频画面；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28、支持实时显示存储介质剩余存储空间、刻录进度、刻录剩余时间信息，支持剩余时间不足时给出提示；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29、对于同步录音录像过程中出现死机或者意外故障的情况下，设备支持在规定时间内恢复并保全故障前信息不丢失。</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对讲设备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1、采用DSP双通道语音自动控制技术，有效防止啸叫和通道干扰，符合GA38-2015文件要求，真正实现数字高清全双工扩音对讲；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2、采用全触摸按钮设计的窗口对讲，按键使用无次数限制，并伴有光环灯；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3、能识别发声源，同时抑制环境噪声，自动调节音量，真实还原人的声音；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4、提供三种场景模式（安静、标准、嘈杂）一键调节；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5、内机与外机接线方式采用一根尾端线到桌底，更好解决移动时造成接线松动，桌面整洁，更加坚固和美观；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6、专业的腔体结构设计，采用硬质金属腔体，完全杜绝了机身共振，使音效达到纯美自然、通透明亮；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7、提供模拟输出口，实现第三方同步录音（例如硬盘录像机）。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体征检测仪</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1、≥8寸彩色TFT显示屏；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2、应支持心电、血氧、脉律、血压、呼吸、体温六种检测内容；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3、应支持声、光双重三级报警功能；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4、应支持波形回顾，支持显示趋势数据和趋势图，可存储≥160小时趋势数据；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5、应支持将体征数据动态叠加到审讯室的合成画面中；</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6、功率：≤70W。</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回声抑制拾音器</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1、具有回声抑制功能，可消除对讲中产生的回声和啸叫声；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2、支持自动噪声电平控制功能，有效抑制房间环境噪声，提高整体音频信号清晰度；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3、支持远距离音频采集；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4、频率响应：100Hz～20KHz；</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5、指向性：全指向性。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远程指挥录像设备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1、不低于500万像素CMOS传感器，变焦范围4.3-142mm。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2、球机支持不少于1对音频输入/输出接口、1个TF卡槽、1个复位按钮、内置MIC，支持3路报警输入，2路报警输出。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3、至少支持H.265、H.264（Main Profile，High Profile，Baseline Profile）、M-JPEG视频编码方式。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4、变焦不低于33倍。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5、宽动态范围不低于120dB。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6、亮度鉴别等级不小于11级。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7、球机（F=1.6）彩色模式所需最低照度不高于0.002 lx，能基本分辨被摄目标的轮廓特征；黑白模式最低照度不高于0.001 lx，能基本分辨被摄目标的轮廓特征。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8、支持水平360°旋转；垂直旋转范围可达到-30°~90°。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9、水平手控最大速度不小于550°/s。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10、支持三码流同时输出，主码流最大支持不低于3072x1728@30fps。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11、可通过客户端或者IE对亮度、对比度、饱和度等进行调整，可选择彩色、黑白模式，可选择手动、自动、定时转换彩色/黑白模式。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12、支持通过连接温湿度屏、 温湿度传感器，将温湿度信息在视频上进行叠加。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13、具有白平衡、自动增益、开启/关闭背光补偿、开启/关闭强光抑制、画面镜像及旋转功能。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14、可将视频图像及抓拍图片存储至TF卡或客户端；设备能够最大支持512GB内存卡。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15、操作系统支持文件双重备份，当操作系统文件损坏或异常时，重启后仍可正常运行。</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16、开启智能编码功能和不开启智能编码相比， 码率节约不少于90%。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17、当环境照度低于一定值时，通过红外灯照射，可分辨距离不少于100米的所摄目标的轮廓和状态；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18、支持DC12V，支持HDBaseT 接口供电，支持反向供电，支持DC12V≥±20%供电条件下正常工作；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19、IP防护等级不低于IP50。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显示单元2</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1、屏幕尺寸：不少于85英寸；</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2、CPU*4核、运行内存不低于3GB、存储内存不低于32GB；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3、背光类型：DLED（直下式LED背光源）；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4、屏幕宽高比：16:9；屏幕分辨率：UHD 3840*2160；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5、接口：HDMI2.0*2、USB2.0*2、RJ45*1等；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6、含壁挂支架；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7、接口要求不少于：1个HDMI接口，1个VGA接口，1个RCA接口，1个3.5mm音频接口；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8、视频输出：HDMI+VGA同源输出；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9、支持语音对讲；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10、画面分割：1/2/4/6/8/9/10/13/16/20A/20B/25/36；</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11、支持报警输入/输出功能设置，支持布撤防时间设置；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12、支持报警联动切换；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13、支持单画面添加不少于36路通道轮巡切换解码；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14、支持录像文件解码输出上墙；</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15、支持H.264/265编码格式；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16、支持ONVIF标准协议接入设备；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17、支持RTP/RTSP协议进行设备浏览；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18、支持GB28181协议接入平台；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19、支持远程获取和配置参数，支持远程导出和导入参数；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20、支持远程重启、恢复默认配置、升级等日常维护。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无感定位分析数据池</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1、采用2U机架式机箱，内存不低于16G；</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2、人脸人体抓拍机接入处理能力不低于100路；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3、支持不少于1个VGA接口、3个RJ45接口、4个USB接口、8个硬盘接口；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4、支持人体结构化数据分析和人脸识别分析；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5、支持通过人脸与人员信息关联；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6、支持抓拍人脸或人体并存入系统，作为身份标识；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7、支持对实时视频进行人脸比对分析；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8、支持对图片和录像进行人脸比对分析；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9、支持对嫌疑人从入区到出区的全过程轨迹进行视频拼接；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10、支持在办案区地图界面，实时显示嫌疑人、民警及其它人员位置。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无感定位分析设备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1、企业级高性能平台服务主机，1U/4盘位，前置硬盘；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2、标配16GB DDR4内存，4个内存插槽，容量最高支持至64G；</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3、标配4个千兆网卡；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4、最大可支持1个PCIE 3.0插槽；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5、标配2*USB3.0（后置）、2*USB2.0（前置）接口；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6、标配1*64GB SSD系统盘，4T企业级数据盘，共支持4个3.5/2.5寸SATA硬盘，支持热插拔；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7、Linux嵌入式操作系统，Centos 7.6 64位；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8、功率：电源额定：250W；整机峰值：200W；整机平均：180W。</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无感定位分析软件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1、实时处理人员行动轨迹和位置/进入区域时间及停留时长；</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2、对危险区域/禁入区域动态监控，有人禁入，联动管理平台报警；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3、嫌疑人人员数量/信息/位置实时同步管理平台；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4、人员位置发生变化实时更新人员位置信息，数据同步传输地图服务主机显示人员位置和视频；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5、汇总各区域工作人员数量，对于越权的行为进行及时告警，联动摄像头，查看人员视频信息等；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6、支持人员的基本信息和详细信息的处理和数据关联；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7、监控记录查询对进出人员的区域记录，并提供关联查询到其进入区域的登记信息功能。监控记录信息包括记录时间、监控区域、监控对象。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智慧执法办案保障系统</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1、支持办案流程化信息管理，包括人员登记、安全检查、物品暂存、信息采集、毒品检测、候问、讯问、物品返还、出区登记等；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2、支持办案预约功能，预约时可填写案件信息；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3、支持人员入区时进行信息登记，登记时可通过二代身份证读卡器读取并自动填充身份证号等信息，也可输入嫌疑人信息，并可对办案民警信息进行登记；</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4、▲人员入区登记时，可抓拍人员面部照片，并录入登记表（提供具有检测资质的第三方检测机构出具的含CMA或CNAS标识的检验报告复印件并加盖供应商鲜章）；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5、进行人身安全检查时，可查看待检查人员列表，检查时可输入人员自述症状、检查情况并记录，还可对人员体表伤疤进行标注；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6、支持对人员体表进行抓拍，可控制摄像机对准伤疤位置；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7、物品暂存时可输入物品信息并记录，根据物品是否涉案可区分为随身物品和涉案物品；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8、候问环节可输入候问信息并记录。可对候问室进行自动分配，并可显示当前候问室状态，带出后可重新登记进入候问室；</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9、物品返还时可打开物品柜相应箱门返还物品；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10、出区登记时支持常规出区和临时出区；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11、支持对嫌疑人在办案中心的台账记录进行管理；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12、支持对人员进行实时定位，并在地图上直观展示；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13、支持在地图直观展示所有摄像机监控点位；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14、点击地图上显示的人员可查看其基本信息以及自入区登记到当前的所有录像记录；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15、支持单人审讯报警，当系统检测到审讯室存在嫌疑人且只有一名民警时触发报警信号；</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16、支持羁押超时报警，当系统检测到嫌疑人羁押时间超过规定时限时触发报警信号；</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17、支持非法出区报警，当系统检测到嫌疑人未进行出区登记授权的情况下离开办案区域时触发报警信号；</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18、系统可接入同步录音录像硬件设备，支持一键开始讯问，并进行同步录音录像；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19、支持在主监控画面上同时显示副画面，实现画中画视频叠加；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20、支持通过客户端查看讯问过程视频记录，并可将相应视频文件导出到本地或进行光盘刻录；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21、支持不同类型的笔录问答模板，根据需要选择模板类型后自动加载，录入笔录时双击模板中内置的问题和回答即可快速录入；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22、支持视频打点功能，对重点讯问内容可对视频进行打点标记，需要查询时通过标记进行精准回溯；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23、审讯时支持查询相关历史视频和笔录信息；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24、▲支持两个讯问室实时共享视频和笔录信息，实现协同办案（提供具有检测资质的第三方检测机构出具的含CMA或CNAS标识的检验报告复印件并加盖供应商鲜章）；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25、▲支持同时查看两个讯问室的视频和笔录信息，实现并案指挥（提供具有检测资质的第三方检测机构出具的含CMA或CNAS标识的检验报告复印件并加盖供应商鲜章）；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26、▲支持笔录和视频关联，实现两者互相定位（提供具有检测资质的第三方检测机构出具的含CMA或CNAS标识的检验报告复印件并加盖供应商鲜章）；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27、支持法律法规检索；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28、支持语音朗读权利义务告知书；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29、▲支持语音朗读笔录，并可通过显示设备进行展示，也可打印为纸质笔录，以实现笔录校对（提供具有检测资质的第三方检测机构出具的含CMA或CNAS标识的检验报告复印件并加盖供应商鲜章）；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30、支持上传讯问所需的电子示证资料文档，并可通过审讯主机对上传的资料进行刻录；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31、支持通过显示设备对证据进行展示；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32、▲支持远程查看讯询问室的音视频、电子笔录、案件信息，实现相关人员对办案民警的远程参审指挥（提供具有检测资质的第三方检测机构出具的含CMA或CNAS标识的检验报告复印件并加盖供应商鲜章）；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33、▲支持案件资料全自动光盘刻录，并可进行光盘封面打印（提供具有检测资质的第三方检测机构出具的含CMA或CNAS标识的检验报告复印件并加盖供应商鲜章）；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34、▲支持民警在办案区远程审讯不在本地的嫌疑人（提供具有检测资质的第三方检测机构出具的含CMA或CNAS标识的检验报告复印件并加盖供应商鲜章）；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35、支持以台账的形式查看视频、笔录；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36、支持民警单人讯问、嫌疑人无人看管、嫌疑人羁押超时等违规行为的自动分析和报警；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37、支持违规督导功能，发现讯询问室内出现违规行为时下发给相关管理人员，同时可发送违规照片，对违规行为进行督导整改；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38、支持平台多级级联；；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39、支持通过Onvif、GB28181等协议接入设备；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40、提供对所辖派出所的软件授权，下级派出所只需要进行相关硬件配套建设，无需再建设软件平台。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数据对接软件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一、★与四川省厅执法监督管理平台无缝对接（提供承诺函，加盖投标人鲜章）。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二、★四川省警务综合应用平台以下数据服务支撑（提供承诺函，加盖投标人鲜章）：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1、组织机构数据查询服务，获取公安机关单位信息；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2、组织机构民警数据查询服务，获取民警信息；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3、刑事案件数据查询服务，获取刑事案件信息；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4、行政案件数据查询服务，获取行政案件信息；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5、刑事案件嫌疑人数据获取服务，获取刑事案件嫌疑人信息；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6、行政案件嫌疑人数据查询服务，获取行政案件嫌疑人信息；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7、刑事案件相关人员数据查询服务，获取刑事相关人员信息；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8、行政案件相关人员数据查询服务，获取行政案件相关人员信息；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9、拘留证文书字号查询服务，获取拘留证文书字号信息；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10、逮捕证文书字号查询服务，获取逮捕证文书字号信息；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11、取保候审文书字号查询服务，获取取保候审文书字号信息；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12、监视居住文书字号查询服务，获取监视居住文书字号信息。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应用数据服务设备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1、企业级高性能平台主机，2U高度；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2、16核32线程处理器，主频≥2.2GHz；</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3、标配不小于32GB内存，16个内存插槽，容量最高支持至2T；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4、标配不小于2TB 企业硬盘；</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5、支持8个3.5/2.5寸SATA硬盘，支持热插拔；</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6、接口要求不少于：2个千兆网口、4个USB接口、4个PCIE插槽；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7、支持64位内存的计算能力，同时保持对32位计算的兼容性。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流媒体服务设备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1、嵌入式Linux操作系统，全WEB方式配置管理界面。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2、支持私有SDK、Onvif，兼容主流品牌网络视频设备，可接入IPC、NVR/DVR、解码器、网络矩阵、网络报警主机等多种设备。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3、支持移动设备的代理服务和主动注册，可接入4G单兵/车载设备的图像预览和语音对讲。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4、支持平台级联服务，支持上下级平台间的信令转分发，支持跨网段/网关传输。</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5、可被多个上级管理平台级联访问，资源可多次共享。</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6、采用中间件技术，可分布式部署，提高存储效率和数据安全性。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7、支持管理平台根据指定路由规则，自动组建中间件集群路由连接。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8、基于平台客户端，录像回放定位准确，支持多路回放、切片快照、录像标签、单帧播放、快放慢放、电子放大、回放抓拍，可实现秒级检索、录像解码上墙、地图回放录像。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9、通过转分发机制，最大限度利用现有网络资源，节约网络带宽，减轻多路回放时对设备端的压力，实现海量数据的接入和分发。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10、支持报警联动和报警转发。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11、▲具有应用系统登陆失败锁定机制，支持设置非法登录阈值与锁定时间，可针对账号和登录IP进行锁定（提供具有检测资质的第三方检测机构出具的含CMA或CNAS标识的检验报告复印件并加盖供应商鲜章）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12、▲流媒体服务最大支持4000路视频通道接入设置（提供具有检测资质的第三方检测机构出具的含CMA或CNAS标识的检验报告复印件并加盖供应商鲜章）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13、支持国标GB/T 28181视频监控接口协议和基于SIP标准规范的其他协议。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14、支持同时向多个上级平台注册，支持同时对接多个下级平台，视频通道数量管理能力不低于5万路。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15、可接入符合国标GB/T 28181协议的IPC、NVR/DVR、解码器等主流品牌设备。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16、支持负载均衡，保证部署多台网关转发视频的可靠性。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数据存储设备（含8*48T硬盘）</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1、配置64位多核处理器；支持4个内存卡槽，可扩展至64G；支持扩展4个光口；具有4 个RJ-45千兆网络接口、2个前置USB2.0、2个后置USB3.0接口、2个RS485接口、1个RS232接口、2个HDMI接口、1个VGA接口、8路报警输入、4路报警输出；具有48个SATA硬盘接口；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2、机箱高度不高于6U；</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3、支持安装双系统，主系统出现故障时，备用系统可继续工作；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4、支持同时开启SAN、NAS模式； 支持视频流存储模式、图片直存模式的配置和管理；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5、当硬盘处于非工作状态时，可通过客户端软件显示休眠信息参数，进行读写操作时硬盘应被唤醒；</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6、应能预录报警触发前1～40min的视频录像；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7、3台样机在不增加任何外围服务主机的情况下可进行虚拟化生成一个存储系统；</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8、当接入的视频图像的警戒区域内探测到移动目标时，可给出报警提示信息并进行录像；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9、当录像视频流丢失5s以上可在日志中记录报警信息；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10、可通过IE浏览器对接入的任意一个视频通道的摄像机进行码率单独设置或批量设置；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11、当样机CPU使用率达到设定级别时，可通过IE浏览器给出报警提示信息；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12、网络中断后重新恢复，样机可续存断网过程中存储在前端设备中的录像文件，并可通过IE浏览器设置自动回传和手动回传；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13、支持在录像文件目录损坏时重建索引，恢复录像查询；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14、支持配置不同的磁盘策略，按时间删除、按空间删除；</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15、可根据当前的磁盘剩余空间，以及码流大小等信息计算出剩余存储空间可存储的录像时长；</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16、支持RAID0、RAID1、RAID3、RAID4、RAID5和RAID6、RAID7、RAID10、RAID50、RAID60、VRAID、RAID5EE、RAID Erasing code模式；并支持RAID即建即用模式；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17、视频接入带宽应≥1024M；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18、支持接入协议具有Onvif，GB/T 28181设置选项；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19、支持流媒体协议直接存储功能；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20、支持RAID断点续建功能，设备重启后，RAID可以按照之前的进度继续重建；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21、支持磁盘在同一设备内或两台同样配置样机间实现磁盘槽位置变更后，磁盘中数据不丢失；</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22、支持硬盘热插拔；支持HDD或SSD硬盘；支持监控级硬盘和企业级硬盘；支持（不同品牌）SATA和SAS硬盘混插；硬盘容量支持1T、2T、3T、4T、6T、8T、10T、12T、14T、16T；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23、当RAID中无热备盘且发生磁盘损坏时，RAID会保留逻辑损坏的硬盘，保证数据的正常读写；</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24、支持VRAID功能，在RAID内丢失2块以上硬盘时，无需等待丢失盘恢复，保留的硬盘中的数据可正常读出，且新数据可正常写入；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25、支持自动识别磁盘的剩余空间容量，根据用户的数据存储需求，可划分多个容量不同的分区，并支持在线空间扩展、快照，不影响业务连续性；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26、当RAID中某块硬盘被误拔出后，35秒内插回，该硬盘能恢复到RAID中，系统恢复工作，而且会对拔掉的硬盘进行数据恢复；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27、支持对历史录像进行抽帧存储，可按前端、时间及抽帧率（1/2，1/4，1/8比例和保留I帧）等不同策略抽帧，抽帧后的录像质量（清晰度）不会降低；</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28、可对正在录像的视频图像或已存储的录像文件进行锁定并归档，锁定后的录像不能被覆盖，解锁后才会被覆盖；</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可通过IE浏览器登录存储系统、进行视频浏览、回放、下载、秒级检索，支持进度条拖拽播放；支持同步/异步/I帧回放和倒放；支持对同一前端不同时刻，以及不同前端同一时刻，或者不同前端不同时刻的多段录像合并下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可通过IE浏览器或者客户端查看设备各通道状态、各通道码流大小、网络配置情况、系统时间、硬盘状态、CPU使用率、内存使用率、RAID组工作状态、风扇转速、CPU温度等状态；支持弱密码提示、报警信息客户端弹窗提示；支持设备信息以图表的形式显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31、根据数据对象的重要性（例如：系统信息、配置信息、报警录像、普通录像等）、访问频率等属性可进行手动/自动分层存储；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32、支持在线获取磁盘日志，在线分析磁盘故障；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33、支持远程实现每一块硬盘单独断电操作；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34、支持样机启动时磁盘按顺序上电，实现交错启动；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35、支持对录像的某个时间点进行添加标签，并支持查询标签；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36、支持对接入的同一型号的前端网络摄像机进行远程批量升级；当升级的程序和前端不匹配，不应进行升级；支持远程对网络摄像机的图像分辨率、码率、帧率等参数进行设置；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37、支持接入样机的网络设备列表的IP地址、端口号等信息以excel形式进行导入导出；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38、支持硬盘免螺丝安装；</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39、支持双电源冗余供电。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40、含48块8T企业硬盘。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应急电源</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应急电源包含30KVA主机、电池柜及32只100AH电池、所必须配套辅材。</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投标产品需采用纯在线式，双变换UPS产品,功率为30KVA，输入输出制式为三进三出；</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投标产品需采购≥5英寸彩色触摸屏，提供良好的人机界面和详细的参数显示。</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投标产品输出功率≥0.9，能适应最新的IT负载设备,输入功率因数高达0.99，输入谐波电流小于3%，整机效率高达95%，绿色环保，高效节能。</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为节约和保护客户投资，UPS主机的电池节数为32-40节偶数可调，且能通过触摸屏设置电池节数、电池容量、电池组数、充电电流、截止电压等关键参数，确保主机和蓄电池组的最优配置，延长电池寿命。</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输入指标：额定输入电压：380/400/415 VAC；电压输入范围：238-475 VAC @ 50% ；输入频率范围：46-54Hz</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输出指标：额定输出电压：380/400/415 VAC VAC±1%，输出频率：市电模式跟随旁路，电池模式：50/60Hz±0.5%，输出波形失真度：≤3％ 市电－电池切换时间：0ms。</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过载能力：110%，1小时后转旁路；125%，10分钟后转旁路；150%，1分钟后转旁路；&gt;150%，200ms后转旁路</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噪声：&lt;60dB（距离设备1米处）</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投标产品UPS主机配置输入、输出、维修旁路断路器，安全可靠，拒绝外置空开作为维修旁路。</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投标产品UPS主机,标准配置并机板，LBS控制板、EPO功能等,自带RS485接口，干接点，并机卡，EPO, SNMP卡(选配), 继电器卡(选配)；</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S采用先进的逆变技术，高效节能，具有先进的逆变电路及电源系统，采用UPS直接将输入交流对外输出,利用母线输出能量对输入电压进行互补输出稳定的交流电压,使得部分交流经过双转换,降低了能量损失﹑提高了转换效率,整流部分不需要全功运转；</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UPS具备高效率的UPS系统，UPS主机市电输入电压能对逆变模块输出电压进行补偿，减少UPS系统在经过两次变换后的能量损失，提升UPS效率。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红外录像设备</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1、1/2.8英寸500万像素CMOS传感器，主副码流同时输出，主码流最高分辨率2880x1620@20fps；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2、4mm/6mm/8mm高清定焦镜头可选，ICR双滤切换；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3、4颗LED点阵红外灯，80m有效红外距离；</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4、支持内置MIC，环向拾音；</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5、支持电子放大、水平翻转、垂直翻转、视频翻转、强光抑制、背光补偿、透雾、彩转黑、白平衡、AGC、宽动态、3D数字降噪、Smart IR、电子快门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6、支持云升级、一键恢复、密码保护、SVC、IP地址过滤、心跳、黑白名单、FTP服务主机上传图片、激活；</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7、支持ONVIF Profile S/T、GB/T28181-2016版、RTSP；</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8、支持HTTP ，TCP/IP ，ICMP ，FTP ，DHCP ，DNS ，DDNS ，RTP ，RTSP，NTP ，UPnP，UDP；</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9、支持5个区域的附加字符叠加，每个区域1行，每行16个汉字；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10、具有移动侦测、遮挡报警，IP冲突报警；</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11、支持周界、绊线、走廊模式；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12、IP67防护等级，4级防雷、防浪涌2KV；</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13、支持DC12V±25%，POE供电，功率：MAX：6W（12V） 6.7W（POE）；</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14、工作环境：-35℃~65℃，湿度小于95%(无凝结)；</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15、含壁装支架。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200*100桥架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1、（150+50）*100*1.2mm；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2、含盖板、连接片和连接螺丝。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支吊架制作、安装</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1、桥架安装（含膨胀螺丝安装）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丝杆</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1、Φ8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金属软管 DN20</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1、材质:金属软管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2、敷设方式:综合考虑</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3、接地要求:满足设计及规范要求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φ20PVC管配件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1、PVC阻燃电线穿线管，塑料硬管。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金属86底盒</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1、86*86mm；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网络面板</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1、含1个六类非屏蔽模块；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2、规格：单口、86×86mm；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3、颜色：乳白色；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4、框体：嵌入式面框设计，表面不可见螺丝孔，兼具美观与实用；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5、标签：信息口有标识标签，方便管理；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6、防尘盖：配有防尘滑门用以保护模块，遮蔽灰尘和污物进入面板；</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7、外壳与底座材质：采用ABS耐冲击工程塑料；</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8、连接装置强度：50N 60±5s；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9、耐插拔次数：≥750次。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超六类网线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1、采用4对单芯裸铜线十字隔离技术，出众的线对绞合，保证安装前后都具有稳定的串扰和阻抗性能；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2、十字分隔条设计分开了线对并维持稳定的线对位置，增进NEXT和阻抗性能；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3、传输频率：传输频率≥250MHz；</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4、实心裸铜，23AWG，导体外径0.57mm；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5、绝缘材质：HDPE，外径1.0±0.05mm；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6、外护套：PVC，标称护套厚度：0.6mm，外护套直径6.3±0.3mm；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7、特性阻抗：100±15Ω(1-250MHz)；</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8、工作电容：≤5.6nF/100mΩ(@1KM)；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9、对地电容不平衡：≤160pF/100m；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10、传输延时：≤45ns/100M；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11、最大导体电阻：95Ω/km(@20℃)；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12、最大导体电阻平衡：线对内2%，线对间4%(@20℃)；</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13、最小绝缘电阻：5000 MΩ.Km；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14、最小弯曲半径(安装)：8倍线缆外径；</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15、满足六类非屏蔽短信道测试（二节点、三节点、四节点）、六类非屏蔽信道测试（六节点）、六类非屏蔽信道和永久链路测试。</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理线架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1、开放的操作空间，手可以进入到线环内部进行理线，操作很方便；</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2、带圆弧的线环设计，更好的保护人手和线缆；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3、架体选用优质冷轧钢板制作，表面脱脂、酸洗、磷化、静电喷塑处理；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4、盖板和线环选用优质PC/ABS，外形美观；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5、架体材料厚度 冷轧钢板1.2mm。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六类配线架</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1、24口；</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2、1U 24 Port内含四组6 Port信息插座，背部带托线理线架方便线缆整理，前方有标示区；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3、插座&amp;外壳：高密度耐燃塑料，符合UL94V-0防火等级规范；</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4、金针材质：底材磷青铜，整体镀镍后再镀金50μ；</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5、IDC端子：磷青铜，卡接线缆22-26AWG；</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6、安装板：1mm冷轧钢板，表面静电粉末喷涂处理；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7、前盖：PC+ABS，黑色；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8、后盖：阻燃聚碳酸脂；</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9、滑块：阻燃PBT；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10、布线标签：T568A和T568B；</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11、绝缘阻抗：≥500mΩ；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12、直流电流：1.5Amps；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13、直流阻抗：≤100mΩ；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14、接触电阻：≤20mΩ；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15、耐压强度：1000V(AC750V)1min无击穿和飞弧；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16、插头与插座插合次数：≥1000次；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17、导线端接次数：≥300次。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六类成品跳线</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1、2M、蓝色；</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2、多股芯线结构，柔软性好；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3、24AWG/7×0.2mm；</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4、芯线外被：PE；</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5、线材外被：PVC；</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6、水晶头：镀金片为三叉片，50μ镀金，保证了非常好的接触与信号传输性能；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7、护套：渐变型受力原理的加长护套，防滑拉抗，保证一定的弯曲半径；</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8、测试：100%福禄克单体测试；</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9、额定电流：1.5A；</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10、绝缘电阻：100mΩ(min)；</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11、接触电阻：20mΩ(max)；</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12、绝缘强度：500VAC(rms)；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13、电压：72VDC(max)；</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14、线扣拉力：20pound(min)；</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15、插拔力：10N(max)；</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16、插拔次数：≥750次。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电源线辅材类</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24口核心交换机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1、要求设备千兆SFP光口≥24个，独立千兆电口≥8个，SFP+万兆光口≥4个，USB配置接口≥1，Console配置口≥1，冗余交流电源输入，不接受RPS电源方式。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2、支持主备电源切换；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3、交换容量≥792Gbps/7.92Tbps，包转发率≥384Mpps/3840Mpps；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4、支持4K个802.1Q VLAN，Super vlan，支持基于端口、MAC、IP子网、协议的VLAN；支持STP/RSTP/MSTP；</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5、支持静态路由、RIP、ISIS、RIPng和BGP、BGP4+、OSPF、OSPFv3等动态路由协议；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6、支持BGP、OSPF协议的密文验证；</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7、支持BFD for VRRP/Static/RIP/OSPF/ISIS等。支持IGMP、IGMP Snooping；支持PIM-SM、PIM-DM等三层组播协议。持手工隧道、支持ISATAP、支持6to4隧道，支持IPV4/IPV6双栈功能；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8、支持≥8台横向虚拟化功能，实现多个物理设备虚拟为一个逻辑设备进行管理的虚拟化功能。同时支持纵向虚拟化功能，接入交换机作为核心交换机的端口扩展板卡进行配置统一管理, 支持≥128台设备虚拟成一台设备。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9、支持MAC绑定，ACL，流分类，QOS，支持抗大流量攻击，支持抗Ping Flood攻击，支持抗SYN Flood攻击，支持畸形包过滤；</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10、支持安全审计功能，安全日志功能，操作日志功能；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11、支持CPU 保护功能，如ICMP Flood拦截、SYN Flood攻击拦截等，CPU根据不同协议进行限速保护，支持MSTP协议国密算法加密，RIP、OSPF协议支持国密认证算法，支持配置文件国密算法加密，防护设备配置环境信息泄漏；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12、为了满足网络未来的发展趋势，要求设备支持SDN功能，支持Netconf协议，支持SDN控制器的统一管理；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13、支持环网G.8032协议，实现ms级业务倒换，支持二层VXLAN网关，支持ZTP,可实现零配置，零IP开局；</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14、支持Console口登录管理、HTTP、Telnet（VTY）远程管理、WEB管理、SSH管理、SNMP V1/V2/V3、RMON 1/2/3/9、SYSLOG、DDMI、广播风暴显示；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15、支持远程运维平台管理，设备可通过运维平台实现远程访问设备WEB管理界面。同时为保证远程访问设备WEB的安全性，要求远程访问隧道基于HTTPS。</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24口接入交换机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1、要求设备千兆电口≥24个，千兆SFP光口≥4个，标准1U设备；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2、内存≥128M，交换容量≥336Gbps，包转发率≥84Mpps；</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3、支持VLAN划分，最大支持4094个VLAN；</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4、为提升以太网链路的管理和维护能力，设备应支持EFM OAM功能、CFM OAM功能，提供链路连通性检测、链路故障监控、故障通知、远端环回等功能；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5、支持MAC绑定，支持端口聚合，端口镜像，ACL，风暴抑制，支持用户访问控制；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6、支持安全审计功能，安全日志功能，操作日志功能；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7、支持STP/RSTP/MSTP等生成树协议，支持EIPS、EAPS、Flex links等环网功能；同时为防止端口下因私接Hub等设备形成的环路而导致网络故障的现象，要求设备支持端口环路检测功能；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8、为响应国家节能要求，相应产品要求支持EEE端口节能功能，无数据转发时自动关闭端口功能，降低能耗；</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9、为加强接入终端和接入用户的管理力度，实现用户终端网络定位、用户便捷维护等功能，相应产品应支持PPOOE Plus（PPPOE+）技术；</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10、支持端口安全功能，支持将终端MAC地址、IP地址、VLAN ID 以及PORT号等多个元素灵活绑定，杜绝非法用户接入网络；</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11、支持标准、扩展ACL；支持端口隔离技术；支持dynamic arp 检测，支持dhcp snooping，支持ip source guard；</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12、支持流类型的分类，基于端口、MAC地址、IP地址、IP优先级、DSCP优先级、TCP/UDP端口号、协议类型等；</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13、支持SNMP、TELNET、CONSOLE、SSH和WEB管理等方式管理。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14、支持远程运维平台管理，可通过微信小程序或WEB端，对设备进行远程管理及运维；支持通过云平台实现：远程命令下发、远程升级、重启、远程访问设备WEB、远程Telnet、远程VLAN划分、端口安全等功能。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9口POE交换机</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1、10/100/1000Base-T以太网端口≥8个，支持POE+，POE功率≥120W，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2、8个百兆电口+1个千兆上联电口，交换机容量3.6Gbps，包转发率2.67Mpps。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3、非网管型交换机，桌面式。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4、端口缓存：1.5Mbit。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广告制度牌</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集中标志，标牌，广告字体，文化墙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rPr>
        <w:t>1、服务地点：采购人指定地点。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rPr>
        <w:t>2、付款方式：</w:t>
      </w:r>
      <w:r>
        <w:rPr>
          <w:rFonts w:hint="eastAsia" w:ascii="仿宋" w:hAnsi="仿宋" w:eastAsia="仿宋" w:cs="仿宋"/>
          <w:b w:val="0"/>
          <w:bCs w:val="0"/>
          <w:color w:val="auto"/>
          <w:spacing w:val="1"/>
          <w:sz w:val="24"/>
          <w:szCs w:val="24"/>
          <w:lang w:val="en-US" w:eastAsia="zh-CN"/>
        </w:rPr>
        <w:t>合同签订后30日内支付合同价款的50%，</w:t>
      </w:r>
      <w:r>
        <w:rPr>
          <w:rFonts w:hint="eastAsia" w:ascii="仿宋" w:hAnsi="仿宋" w:eastAsia="仿宋" w:cs="仿宋"/>
          <w:b w:val="0"/>
          <w:bCs w:val="0"/>
          <w:color w:val="auto"/>
          <w:spacing w:val="1"/>
          <w:sz w:val="24"/>
          <w:szCs w:val="24"/>
        </w:rPr>
        <w:t>设备安装调试完毕，且通过采购人验收合格</w:t>
      </w:r>
      <w:r>
        <w:rPr>
          <w:rFonts w:hint="eastAsia" w:ascii="仿宋" w:hAnsi="仿宋" w:eastAsia="仿宋" w:cs="仿宋"/>
          <w:b w:val="0"/>
          <w:bCs w:val="0"/>
          <w:color w:val="auto"/>
          <w:spacing w:val="1"/>
          <w:sz w:val="24"/>
          <w:szCs w:val="24"/>
          <w:lang w:val="en-US" w:eastAsia="zh-CN"/>
        </w:rPr>
        <w:t>1</w:t>
      </w:r>
      <w:r>
        <w:rPr>
          <w:rFonts w:hint="eastAsia" w:ascii="仿宋" w:hAnsi="仿宋" w:eastAsia="仿宋" w:cs="仿宋"/>
          <w:b w:val="0"/>
          <w:bCs w:val="0"/>
          <w:color w:val="auto"/>
          <w:spacing w:val="1"/>
          <w:sz w:val="24"/>
          <w:szCs w:val="24"/>
        </w:rPr>
        <w:t>个月后15个工作日内，支付合同总金额的</w:t>
      </w:r>
      <w:r>
        <w:rPr>
          <w:rFonts w:hint="eastAsia" w:ascii="仿宋" w:hAnsi="仿宋" w:eastAsia="仿宋" w:cs="仿宋"/>
          <w:b w:val="0"/>
          <w:bCs w:val="0"/>
          <w:color w:val="auto"/>
          <w:spacing w:val="1"/>
          <w:sz w:val="24"/>
          <w:szCs w:val="24"/>
          <w:lang w:val="en-US" w:eastAsia="zh-CN"/>
        </w:rPr>
        <w:t>47</w:t>
      </w:r>
      <w:r>
        <w:rPr>
          <w:rFonts w:hint="eastAsia" w:ascii="仿宋" w:hAnsi="仿宋" w:eastAsia="仿宋" w:cs="仿宋"/>
          <w:b w:val="0"/>
          <w:bCs w:val="0"/>
          <w:color w:val="auto"/>
          <w:spacing w:val="1"/>
          <w:sz w:val="24"/>
          <w:szCs w:val="24"/>
        </w:rPr>
        <w:t>%，验收合格</w:t>
      </w:r>
      <w:r>
        <w:rPr>
          <w:rFonts w:hint="eastAsia" w:ascii="仿宋" w:hAnsi="仿宋" w:eastAsia="仿宋" w:cs="仿宋"/>
          <w:b w:val="0"/>
          <w:bCs w:val="0"/>
          <w:color w:val="auto"/>
          <w:spacing w:val="1"/>
          <w:sz w:val="24"/>
          <w:szCs w:val="24"/>
          <w:lang w:val="en-US" w:eastAsia="zh-CN"/>
        </w:rPr>
        <w:t>12</w:t>
      </w:r>
      <w:r>
        <w:rPr>
          <w:rFonts w:hint="eastAsia" w:ascii="仿宋" w:hAnsi="仿宋" w:eastAsia="仿宋" w:cs="仿宋"/>
          <w:b w:val="0"/>
          <w:bCs w:val="0"/>
          <w:color w:val="auto"/>
          <w:spacing w:val="1"/>
          <w:sz w:val="24"/>
          <w:szCs w:val="24"/>
        </w:rPr>
        <w:t>个月后15个工作日内后支付合同总金额的</w:t>
      </w:r>
      <w:r>
        <w:rPr>
          <w:rFonts w:hint="eastAsia" w:ascii="仿宋" w:hAnsi="仿宋" w:eastAsia="仿宋" w:cs="仿宋"/>
          <w:b w:val="0"/>
          <w:bCs w:val="0"/>
          <w:color w:val="auto"/>
          <w:spacing w:val="1"/>
          <w:sz w:val="24"/>
          <w:szCs w:val="24"/>
          <w:lang w:val="en-US" w:eastAsia="zh-CN"/>
        </w:rPr>
        <w:t>3</w:t>
      </w:r>
      <w:r>
        <w:rPr>
          <w:rFonts w:hint="eastAsia" w:ascii="仿宋" w:hAnsi="仿宋" w:eastAsia="仿宋" w:cs="仿宋"/>
          <w:b w:val="0"/>
          <w:bCs w:val="0"/>
          <w:color w:val="auto"/>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rPr>
        <w:t>3、交货时间：成交供应商应在签订合同后</w:t>
      </w:r>
      <w:r>
        <w:rPr>
          <w:rFonts w:hint="eastAsia" w:ascii="仿宋" w:hAnsi="仿宋" w:eastAsia="仿宋" w:cs="仿宋"/>
          <w:b w:val="0"/>
          <w:bCs w:val="0"/>
          <w:color w:val="auto"/>
          <w:spacing w:val="1"/>
          <w:sz w:val="24"/>
          <w:szCs w:val="24"/>
          <w:lang w:val="en-US" w:eastAsia="zh-CN"/>
        </w:rPr>
        <w:t>60</w:t>
      </w:r>
      <w:r>
        <w:rPr>
          <w:rFonts w:hint="eastAsia" w:ascii="仿宋" w:hAnsi="仿宋" w:eastAsia="仿宋" w:cs="仿宋"/>
          <w:b w:val="0"/>
          <w:bCs w:val="0"/>
          <w:color w:val="auto"/>
          <w:spacing w:val="1"/>
          <w:sz w:val="24"/>
          <w:szCs w:val="24"/>
        </w:rPr>
        <w:t>日内</w:t>
      </w:r>
      <w:r>
        <w:rPr>
          <w:rFonts w:hint="eastAsia" w:ascii="仿宋" w:hAnsi="仿宋" w:eastAsia="仿宋" w:cs="仿宋"/>
          <w:b w:val="0"/>
          <w:bCs w:val="0"/>
          <w:color w:val="auto"/>
          <w:spacing w:val="1"/>
          <w:sz w:val="24"/>
          <w:szCs w:val="24"/>
          <w:lang w:val="en-US" w:eastAsia="zh-CN"/>
        </w:rPr>
        <w:t>完成所有货物的安装及调试</w:t>
      </w:r>
      <w:r>
        <w:rPr>
          <w:rFonts w:hint="eastAsia" w:ascii="仿宋" w:hAnsi="仿宋" w:eastAsia="仿宋" w:cs="仿宋"/>
          <w:b w:val="0"/>
          <w:bCs w:val="0"/>
          <w:color w:val="auto"/>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lang w:val="en-US" w:eastAsia="zh-CN"/>
        </w:rPr>
        <w:t>4</w:t>
      </w:r>
      <w:r>
        <w:rPr>
          <w:rFonts w:hint="eastAsia" w:ascii="仿宋" w:hAnsi="仿宋" w:eastAsia="仿宋" w:cs="仿宋"/>
          <w:b w:val="0"/>
          <w:bCs w:val="0"/>
          <w:color w:val="auto"/>
          <w:spacing w:val="1"/>
          <w:sz w:val="24"/>
          <w:szCs w:val="24"/>
        </w:rPr>
        <w:t>、其他要求：供应商应充分理解本项目采购人的应用需求，本项目建设所有的软硬件如线缆、软件、硬件模块等，包括未列出而系统实施又必需的软件、硬件，如有任何遗漏，由成交供应商免费补齐。采购人有权对成交供商的产品进行功能测试，成交供应商需在签订合同之日起3个工作日内提供样品到采购人指定地点进行测试，如果测试内容与磋商文件不符，取消成交资格并按虚假应标处理。验证合格后方可实施。（投标人须提供承诺函，未提供作无效处理）。</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rPr>
        <w:t>6、验收标准</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仿宋" w:hAnsi="仿宋" w:eastAsia="仿宋" w:cs="仿宋"/>
          <w:color w:val="auto"/>
          <w:sz w:val="24"/>
        </w:rPr>
      </w:pPr>
      <w:r>
        <w:rPr>
          <w:rFonts w:hint="eastAsia" w:ascii="仿宋" w:hAnsi="仿宋" w:eastAsia="仿宋" w:cs="仿宋"/>
          <w:b w:val="0"/>
          <w:bCs w:val="0"/>
          <w:color w:val="auto"/>
          <w:spacing w:val="1"/>
          <w:sz w:val="24"/>
          <w:szCs w:val="24"/>
        </w:rPr>
        <w:t>6.1严格按照《财政部关于进一步加强政府采购需求和履约验收管理的指导意见》(财库〔2016〕205 号)以及磋商文件、相应文件以及相关行业标准进行</w:t>
      </w:r>
      <w:r>
        <w:rPr>
          <w:rFonts w:hint="eastAsia" w:ascii="仿宋" w:hAnsi="仿宋" w:eastAsia="仿宋" w:cs="仿宋"/>
          <w:color w:val="auto"/>
          <w:sz w:val="24"/>
          <w:szCs w:val="24"/>
        </w:rPr>
        <w:t>。</w:t>
      </w:r>
    </w:p>
    <w:p>
      <w:pPr>
        <w:rPr>
          <w:rFonts w:hint="eastAsia" w:ascii="仿宋" w:hAnsi="仿宋" w:eastAsia="仿宋" w:cs="仿宋"/>
        </w:rPr>
      </w:pPr>
      <w:r>
        <w:rPr>
          <w:rFonts w:hint="eastAsia" w:ascii="仿宋" w:hAnsi="仿宋" w:eastAsia="仿宋" w:cs="仿宋"/>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62F07"/>
    <w:multiLevelType w:val="singleLevel"/>
    <w:tmpl w:val="02762F07"/>
    <w:lvl w:ilvl="0" w:tentative="0">
      <w:start w:val="1"/>
      <w:numFmt w:val="decimal"/>
      <w:suff w:val="nothing"/>
      <w:lvlText w:val="%1．"/>
      <w:lvlJc w:val="left"/>
      <w:pPr>
        <w:ind w:left="0" w:firstLine="400"/>
      </w:pPr>
      <w:rPr>
        <w:rFonts w:hint="default"/>
      </w:rPr>
    </w:lvl>
  </w:abstractNum>
  <w:abstractNum w:abstractNumId="1">
    <w:nsid w:val="6060EDCB"/>
    <w:multiLevelType w:val="multilevel"/>
    <w:tmpl w:val="6060EDCB"/>
    <w:lvl w:ilvl="0" w:tentative="0">
      <w:start w:val="1"/>
      <w:numFmt w:val="chineseCounting"/>
      <w:pStyle w:val="3"/>
      <w:suff w:val="nothing"/>
      <w:lvlText w:val="第%1章、"/>
      <w:lvlJc w:val="left"/>
      <w:pPr>
        <w:tabs>
          <w:tab w:val="left" w:pos="0"/>
        </w:tabs>
        <w:ind w:left="0" w:firstLine="0"/>
      </w:pPr>
      <w:rPr>
        <w:rFonts w:hint="eastAsia" w:ascii="宋体" w:hAnsi="宋体" w:eastAsia="仿宋" w:cs="宋体"/>
        <w:b/>
        <w:sz w:val="32"/>
      </w:rPr>
    </w:lvl>
    <w:lvl w:ilvl="1" w:tentative="0">
      <w:start w:val="1"/>
      <w:numFmt w:val="chineseCounting"/>
      <w:suff w:val="nothing"/>
      <w:lvlText w:val="%2、"/>
      <w:lvlJc w:val="left"/>
      <w:pPr>
        <w:tabs>
          <w:tab w:val="left" w:pos="0"/>
        </w:tabs>
        <w:ind w:left="0" w:firstLine="0"/>
      </w:pPr>
      <w:rPr>
        <w:rFonts w:hint="eastAsia" w:ascii="宋体" w:hAnsi="宋体" w:eastAsia="仿宋" w:cs="宋体"/>
        <w:b/>
        <w:sz w:val="28"/>
      </w:rPr>
    </w:lvl>
    <w:lvl w:ilvl="2" w:tentative="0">
      <w:start w:val="1"/>
      <w:numFmt w:val="decimal"/>
      <w:suff w:val="nothing"/>
      <w:lvlText w:val="%3．"/>
      <w:lvlJc w:val="left"/>
      <w:pPr>
        <w:tabs>
          <w:tab w:val="left" w:pos="0"/>
        </w:tabs>
        <w:ind w:left="0" w:firstLine="400"/>
      </w:pPr>
      <w:rPr>
        <w:rFonts w:hint="eastAsia" w:ascii="宋体" w:hAnsi="宋体" w:eastAsia="宋体" w:cs="宋体"/>
        <w:b/>
        <w:sz w:val="24"/>
      </w:rPr>
    </w:lvl>
    <w:lvl w:ilvl="3" w:tentative="0">
      <w:start w:val="1"/>
      <w:numFmt w:val="decimal"/>
      <w:suff w:val="nothing"/>
      <w:lvlText w:val="%3.%4"/>
      <w:lvlJc w:val="left"/>
      <w:pPr>
        <w:tabs>
          <w:tab w:val="left" w:pos="0"/>
        </w:tabs>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jk3ZjkwZDMwZGRjMGE4YmYxMzFjYjE1ZGYzZDUifQ=="/>
  </w:docVars>
  <w:rsids>
    <w:rsidRoot w:val="40186F3C"/>
    <w:rsid w:val="40186F3C"/>
    <w:rsid w:val="54D6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line="360" w:lineRule="auto"/>
      <w:jc w:val="center"/>
      <w:outlineLvl w:val="0"/>
    </w:pPr>
    <w:rPr>
      <w:rFonts w:ascii="仿宋" w:hAnsi="仿宋" w:eastAsia="仿宋"/>
      <w:b/>
      <w:kern w:val="44"/>
      <w:sz w:val="32"/>
    </w:rPr>
  </w:style>
  <w:style w:type="paragraph" w:styleId="4">
    <w:name w:val="heading 4"/>
    <w:basedOn w:val="1"/>
    <w:next w:val="1"/>
    <w:semiHidden/>
    <w:unhideWhenUsed/>
    <w:qFormat/>
    <w:uiPriority w:val="0"/>
    <w:pPr>
      <w:keepNext/>
      <w:keepLines/>
      <w:spacing w:line="360" w:lineRule="auto"/>
      <w:ind w:firstLine="402" w:firstLineChars="0"/>
      <w:jc w:val="left"/>
      <w:outlineLvl w:val="3"/>
    </w:pPr>
    <w:rPr>
      <w:rFonts w:ascii="等线 Light" w:hAnsi="等线 Light" w:eastAsia="宋体" w:cs="Times New Roman"/>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7">
    <w:name w:val="font41"/>
    <w:basedOn w:val="6"/>
    <w:autoRedefine/>
    <w:qFormat/>
    <w:uiPriority w:val="0"/>
    <w:rPr>
      <w:rFonts w:hint="eastAsia" w:ascii="仿宋" w:hAnsi="仿宋" w:eastAsia="仿宋" w:cs="仿宋"/>
      <w:color w:val="000000"/>
      <w:sz w:val="22"/>
      <w:szCs w:val="22"/>
      <w:u w:val="none"/>
    </w:rPr>
  </w:style>
  <w:style w:type="character" w:customStyle="1" w:styleId="8">
    <w:name w:val="font51"/>
    <w:basedOn w:val="6"/>
    <w:autoRedefine/>
    <w:qFormat/>
    <w:uiPriority w:val="0"/>
    <w:rPr>
      <w:rFonts w:hint="eastAsia" w:ascii="微软雅黑" w:hAnsi="微软雅黑" w:eastAsia="微软雅黑" w:cs="微软雅黑"/>
      <w:color w:val="000000"/>
      <w:sz w:val="24"/>
      <w:szCs w:val="24"/>
      <w:u w:val="none"/>
    </w:rPr>
  </w:style>
  <w:style w:type="character" w:customStyle="1" w:styleId="9">
    <w:name w:val="font71"/>
    <w:basedOn w:val="6"/>
    <w:autoRedefine/>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2024-01-15T07:37:00Z</dcterms:created>
  <dc:creator>所谓无所谓</dc:creator>
  <cp:lastModifiedBy>所谓无所谓</cp:lastModifiedBy>
  <dcterms:modified xsi:type="dcterms:W3CDTF">2024-01-15T07:39:55Z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8827FCDE6AF345829B7DBBF86FBA65F0_11</vt:lpwstr>
  </property>
</Properties>
</file>