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遂宁市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安居区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行政审批局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年预算公开目录</w:t>
      </w:r>
    </w:p>
    <w:p>
      <w:pPr>
        <w:pStyle w:val="2"/>
        <w:widowControl w:val="0"/>
        <w:numPr>
          <w:numId w:val="0"/>
        </w:numPr>
        <w:jc w:val="both"/>
        <w:rPr>
          <w:rFonts w:hint="eastAsia" w:ascii="方正仿宋简体" w:hAnsi="方正仿宋简体" w:eastAsia="方正仿宋简体" w:cs="方正仿宋简体"/>
          <w:b w:val="0"/>
          <w:bCs/>
          <w:sz w:val="40"/>
          <w:szCs w:val="40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第一部分  20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sz w:val="32"/>
          <w:szCs w:val="32"/>
        </w:rPr>
        <w:t>年部门预算编制说明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一、基本职能及主要工作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二、部门预算单位构成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三、收支预算情况说明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七、“三公”经费财政拨款预算安排情况说明</w:t>
      </w:r>
    </w:p>
    <w:p>
      <w:pPr>
        <w:spacing w:line="600" w:lineRule="exact"/>
        <w:ind w:left="1379" w:leftChars="352" w:hanging="640" w:hanging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十二、名词解释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第二部分  20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sz w:val="32"/>
          <w:szCs w:val="32"/>
        </w:rPr>
        <w:t>年部门预算报表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表1. 部门收支总表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表1-1. 部门收入总表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表1-2. 部门支出总表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表2-1. 财政拨款支出预算表（政府经济分类科目）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表5. 国有资本经营预算支出预算表</w:t>
      </w:r>
    </w:p>
    <w:p>
      <w:pPr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6.政府购买服务预算表</w:t>
      </w:r>
    </w:p>
    <w:p>
      <w:pPr>
        <w:tabs>
          <w:tab w:val="left" w:pos="773"/>
        </w:tabs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17 采购需求表</w:t>
      </w:r>
    </w:p>
    <w:p>
      <w:pPr>
        <w:numPr>
          <w:numId w:val="0"/>
        </w:num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第三部分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20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sz w:val="32"/>
          <w:szCs w:val="32"/>
        </w:rPr>
        <w:t>年部门预算项目绩效目标表</w:t>
      </w:r>
    </w:p>
    <w:p>
      <w:pPr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表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19 项目支出绩效表</w:t>
      </w:r>
    </w:p>
    <w:p>
      <w:pPr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20.部门整体支出绩效目标表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51782"/>
    <w:multiLevelType w:val="singleLevel"/>
    <w:tmpl w:val="BB15178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4993261"/>
    <w:rsid w:val="092703E0"/>
    <w:rsid w:val="2D1F4688"/>
    <w:rsid w:val="39875765"/>
    <w:rsid w:val="3A982236"/>
    <w:rsid w:val="673063D6"/>
    <w:rsid w:val="76AB7CAC"/>
    <w:rsid w:val="794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2024-03-25T04:50:00Z</dcterms:created>
  <dc:creator>Administrator</dc:creator>
  <cp:lastModifiedBy>安居区行政审批局</cp:lastModifiedBy>
  <dcterms:modified xsi:type="dcterms:W3CDTF">2024-03-27T03:04:24Z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EB4AB1D559474B5689F8FDF681C8C977_12</vt:lpwstr>
  </property>
</Properties>
</file>