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 w:leftChars="0" w:firstLine="0" w:firstLineChars="0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2024年度遂宁市安居区农业主推技术</w:t>
      </w:r>
    </w:p>
    <w:tbl>
      <w:tblPr>
        <w:tblStyle w:val="11"/>
        <w:tblW w:w="4976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9"/>
        <w:gridCol w:w="72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tblHeader/>
        </w:trPr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产业类别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粮油作物类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水稻节水节肥提质丰产高效栽培技术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水稻淹水直播绿色高效生产技术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杂交稻齐苗壮根绿色低碳高效育秧技术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杂交中稻——再生稻优质丰产高效栽培技术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优质杂交稻保优提质绿色高效栽培技术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四川丘陵区油-稻轮作轻简化直播丰产高效技术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稻田油菜化肥减量增效技术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稻油周年规模化、轻简化机直播高效生产技术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稻茬小麦免耕带旋播种高产高效栽培技术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西南冬麦区小麦绿色丰产高效栽培技术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麦（油）茬稻田基肥混施打浆整地技术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大豆带状复合种植绿色生产技术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玉米节水节肥节药节劳丰产高效栽培技术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西南丘陵山地夏玉米-冬油菜丰产高效生产技术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油菜优质原料生产技术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油菜少（免）耕轻简化直播技术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油菜壮苗免耕移栽高产高效技术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油菜抗逆丰产轻简高效生产技术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川南旱地油菜—高粱宽窄行套作高产栽培技术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秋作马铃薯绿色高产高效栽培技术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32"/>
                <w:sz w:val="21"/>
                <w:szCs w:val="21"/>
              </w:rPr>
              <w:t>马铃薯绿色提质增效生产技术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川西南高山大春马铃薯抗旱保墒高产高效关键栽培技术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苦荞优质丰产高效栽培技术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果园间套作豆类粮食作物增粮增效关键技术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早育早栽早收甘薯高产高效种植新技术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特色经作类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中国樱桃速效丰产栽培技术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柑橘高效优质生态种植技术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高原苹果水肥一体节本增效技术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晚熟芒果持续丰产管理技术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李优质高效栽培关键技术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猕猴桃低产低效园改造技术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桃专用抗性砧木应用技术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川佛手种植管理技术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高山十字花科蔬菜优质高产栽培技术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大蒜轻简高效栽培技术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鲜食花生绿色高效栽培技术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茄果类蔬菜集约化育苗技术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茄子春提早密植高效栽培技术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高山莴笋绿色高产高效栽培技术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蔬菜水肥一体减肥增效灌溉技术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蔬菜避雨栽培技术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毛木耳优质高产栽培技术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大球盖菇发酵料高产栽培技术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桑树行间套种羊肚菌绿色生态栽培技术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稻-菜轮作模式下设施番茄绿色高效栽培技术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叶色黄化茶树优质高效生产管理技术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幼龄茶树提早投产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树冠培育技术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川红工夫红茶动态控温发酵关键技术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茶园“芽茶+机采”生产模式关键技术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桑园安全高效施肥技术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白芍生态栽培技术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丹参生态栽培技术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羌活高效栽培技术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水稻-中药材（泽泻、川芎）轮作生产技术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农业机械与加工类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水稻机械化“插喷同步”封闭除草技术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水稻全程机械化育秧技术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杂交水稻机械化制种栽培技术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杂交稻高产高效机插栽培技术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稻麦轮作周年丰产增效机械化生产技术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</w:rPr>
              <w:t>川中丘陵玉米农机农艺融合全程机械化高产高效生产技术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麦玉两熟净作周年丰产增效机械化生产技术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植保无人机同期调控大豆玉米带状复合种植生长技术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油菜全程机械化分段收获技术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油菜抗湿迟播机械化栽培技术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旱地新两熟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大豆轻简高效绿色生产技术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四川丘陵区经济作物轨道运输技术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叶色黄化型茶树鲜叶加工关键技术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蔬菜产地初加工与冷链贮运技术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绿色防控类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水稻病虫害全程绿色防控技术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稻田福寿螺综合防控技术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四川盆地冬繁区小麦条锈病绿色防控技术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大豆玉米带状复合种植病虫草害绿色防控技术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柑橘病虫害绿色防控技术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豇豆病虫害全程绿色防控技术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四川茶园主要病虫害生物防控技术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桑树病虫害“三段四步法”综合防控技术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44"/>
                <w:sz w:val="21"/>
                <w:szCs w:val="21"/>
              </w:rPr>
              <w:t>中药材主要病虫害绿色防控技术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健康养殖类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种猪主要繁殖障碍性疫病的鉴别诊断和综合防治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生猪节源增效应用技术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猪场生物媒介传染病防控技术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蜀宣花牛配套生产技术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促牦牛“僵牛”补偿生长技术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农牧耦合牦牛高效出栏技术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母羊高效繁殖关键技术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羔羊高效育肥技术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羊场环境控制与粪污治理技术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FFFFFF"/>
              </w:rPr>
              <w:t>大恒优质肉鸡提质增效养殖技术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“天府肉鸡”配套系健康养殖综合技术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天府农华麻羽肉鸭配套系健康高效养殖技术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大棚环控兔舍建设技术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病死动物无害化处理关键技术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黄颡鱼高效健康养殖技术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鲟鱼高效健康养殖技术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川南早虾稻田养殖技术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稻渔高位池生态种养循环关键技术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小蚕人工饲料共育技术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饲用燕麦和箭筈豌豆混播及青贮技术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高原饲用玉米丰产栽培及青贮技术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苦荬菜种子生产技术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狼尾草越冬栽培关键技术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川西高原阿坝垂穗披碱草牧草丰产栽培技术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水稻节水节肥减排丰产综合技术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生产障碍稻田安全利用技术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旱地小麦秸秆覆盖蓄水保墒水肥高效利用绿色生产技术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四川农区饲用燕麦草地水肥一体化灌溉技术应用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坡耕地耕层土壤调控保育技术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池塘养殖尾水生态治理技术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tabs>
                <w:tab w:val="right" w:leader="dot" w:pos="8300"/>
                <w:tab w:val="clear" w:pos="8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畜禽粪污罐式发酵处理技术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9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畜禽粪污异位微生物发酵床技术</w:t>
            </w:r>
          </w:p>
        </w:tc>
      </w:tr>
    </w:tbl>
    <w:p>
      <w:pPr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84" w:rightChars="4040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E29D66-E60E-478F-8692-E623A2F27C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AE6F85-D61B-4AA2-9AB5-ACD4AEE3A2D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C0DA3A-0176-4646-86AA-97A5125549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8A3FDC1-E6DB-479B-8382-7FB1875C440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72CF821-BE4B-425D-9E97-E142213A888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6B93042-D064-47D3-9EFA-CEB216B03E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WYwN2NmMGNjNTY5OGUxZTk3YzdkYmZjZDI0ZjMifQ=="/>
  </w:docVars>
  <w:rsids>
    <w:rsidRoot w:val="4BC22545"/>
    <w:rsid w:val="16680A74"/>
    <w:rsid w:val="18511C71"/>
    <w:rsid w:val="1AB23B49"/>
    <w:rsid w:val="2678382B"/>
    <w:rsid w:val="4BC22545"/>
    <w:rsid w:val="5B9823E3"/>
    <w:rsid w:val="608E45BA"/>
    <w:rsid w:val="66E15EDA"/>
    <w:rsid w:val="7DE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方正黑体简体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Body Text Indent"/>
    <w:basedOn w:val="1"/>
    <w:autoRedefine/>
    <w:qFormat/>
    <w:uiPriority w:val="99"/>
    <w:pPr>
      <w:adjustRightInd w:val="0"/>
      <w:snapToGrid w:val="0"/>
      <w:spacing w:line="360" w:lineRule="auto"/>
      <w:ind w:right="24" w:rightChars="8" w:firstLine="720" w:firstLineChars="257"/>
      <w:jc w:val="left"/>
    </w:pPr>
    <w:rPr>
      <w:rFonts w:ascii="宋体" w:hAnsi="宋体" w:eastAsia="宋体" w:cs="Times New Roman"/>
      <w:kern w:val="2"/>
      <w:sz w:val="28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39"/>
    <w:pPr>
      <w:tabs>
        <w:tab w:val="right" w:leader="dot" w:pos="8608"/>
      </w:tabs>
      <w:spacing w:line="360" w:lineRule="auto"/>
    </w:pPr>
    <w:rPr>
      <w:rFonts w:ascii="Times New Roman" w:hAnsi="Times New Roman" w:eastAsia="宋体" w:cs="Times New Roman"/>
      <w:kern w:val="2"/>
      <w:sz w:val="28"/>
      <w:szCs w:val="28"/>
    </w:rPr>
  </w:style>
  <w:style w:type="paragraph" w:styleId="8">
    <w:name w:val="toc 2"/>
    <w:basedOn w:val="1"/>
    <w:next w:val="1"/>
    <w:autoRedefine/>
    <w:qFormat/>
    <w:uiPriority w:val="39"/>
    <w:pPr>
      <w:tabs>
        <w:tab w:val="right" w:leader="dot" w:pos="8608"/>
      </w:tabs>
      <w:spacing w:line="360" w:lineRule="auto"/>
      <w:ind w:left="420" w:leftChars="200"/>
    </w:pPr>
    <w:rPr>
      <w:rFonts w:ascii="Times New Roman" w:hAnsi="Times New Roman" w:eastAsia="宋体" w:cs="Times New Roman"/>
      <w:kern w:val="2"/>
      <w:sz w:val="24"/>
      <w:szCs w:val="24"/>
      <w:shd w:val="clear" w:color="auto" w:fill="FFFFFF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kern w:val="2"/>
      <w:sz w:val="32"/>
      <w:szCs w:val="32"/>
    </w:rPr>
  </w:style>
  <w:style w:type="paragraph" w:styleId="10">
    <w:name w:val="Body Text First Indent 2"/>
    <w:basedOn w:val="4"/>
    <w:next w:val="1"/>
    <w:autoRedefine/>
    <w:qFormat/>
    <w:uiPriority w:val="0"/>
    <w:pPr>
      <w:ind w:firstLine="420" w:firstLineChars="200"/>
    </w:pPr>
    <w:rPr>
      <w:rFonts w:eastAsia="宋体"/>
      <w:w w:val="88"/>
      <w:szCs w:val="21"/>
    </w:rPr>
  </w:style>
  <w:style w:type="character" w:customStyle="1" w:styleId="13">
    <w:name w:val="font15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13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7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6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4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5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0">
    <w:name w:val="font2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333333"/>
      <w:sz w:val="20"/>
      <w:szCs w:val="20"/>
      <w:u w:val="none"/>
    </w:rPr>
  </w:style>
  <w:style w:type="character" w:customStyle="1" w:styleId="21">
    <w:name w:val="font1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333333"/>
      <w:sz w:val="20"/>
      <w:szCs w:val="20"/>
      <w:u w:val="none"/>
    </w:rPr>
  </w:style>
  <w:style w:type="character" w:customStyle="1" w:styleId="22">
    <w:name w:val="font0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16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171"/>
    <w:basedOn w:val="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8687</Words>
  <Characters>10048</Characters>
  <Lines>0</Lines>
  <Paragraphs>0</Paragraphs>
  <TotalTime>3</TotalTime>
  <ScaleCrop>false</ScaleCrop>
  <LinksUpToDate>false</LinksUpToDate>
  <CharactersWithSpaces>10072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2024-03-18T01:56:00Z</dcterms:created>
  <dc:creator>王海</dc:creator>
  <cp:lastModifiedBy>安居区农业农村局</cp:lastModifiedBy>
  <dcterms:modified xsi:type="dcterms:W3CDTF">2024-04-15T06:15:01Z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C5DA5C5C312C46828E9C58539315E24F_13</vt:lpwstr>
  </property>
</Properties>
</file>