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center"/>
        <w:rPr>
          <w:rFonts w:ascii="Times New Roman" w:hAnsi="Times New Roman"/>
          <w:b/>
          <w:color w:val="FF0000"/>
          <w:sz w:val="52"/>
        </w:rPr>
      </w:pPr>
      <w:bookmarkStart w:id="0" w:name="_Toc263585189"/>
      <w:bookmarkStart w:id="1" w:name="_Toc263585403"/>
      <w:bookmarkStart w:id="2" w:name="_Toc343712925"/>
    </w:p>
    <w:p>
      <w:pPr>
        <w:spacing w:line="360" w:lineRule="auto"/>
        <w:jc w:val="center"/>
        <w:rPr>
          <w:rFonts w:ascii="Times New Roman" w:hAnsi="Times New Roman"/>
          <w:b/>
          <w:color w:val="FF0000"/>
          <w:w w:val="90"/>
          <w:sz w:val="44"/>
          <w:szCs w:val="44"/>
        </w:rPr>
      </w:pPr>
    </w:p>
    <w:p>
      <w:pPr>
        <w:spacing w:line="360" w:lineRule="auto"/>
        <w:jc w:val="center"/>
        <w:rPr>
          <w:rFonts w:ascii="Times New Roman" w:hAnsi="Times New Roman"/>
          <w:b/>
          <w:color w:val="FF0000"/>
          <w:w w:val="90"/>
          <w:sz w:val="44"/>
          <w:szCs w:val="44"/>
        </w:rPr>
      </w:pPr>
    </w:p>
    <w:p>
      <w:pPr>
        <w:pStyle w:val="24"/>
        <w:spacing w:line="360" w:lineRule="auto"/>
        <w:rPr>
          <w:rFonts w:ascii="Times New Roman" w:hAnsi="Times New Roman"/>
          <w:color w:val="FF0000"/>
        </w:rPr>
      </w:pPr>
    </w:p>
    <w:p>
      <w:pPr>
        <w:spacing w:line="360" w:lineRule="auto"/>
        <w:jc w:val="center"/>
        <w:rPr>
          <w:rFonts w:hint="eastAsia" w:ascii="Times New Roman" w:hAnsi="Times New Roman"/>
          <w:b/>
          <w:color w:val="auto"/>
          <w:w w:val="90"/>
          <w:sz w:val="44"/>
          <w:szCs w:val="44"/>
        </w:rPr>
      </w:pPr>
      <w:r>
        <w:rPr>
          <w:rFonts w:hint="eastAsia" w:ascii="Times New Roman" w:hAnsi="Times New Roman"/>
          <w:b/>
          <w:color w:val="auto"/>
          <w:w w:val="90"/>
          <w:sz w:val="44"/>
          <w:szCs w:val="44"/>
        </w:rPr>
        <w:t>遂宁市安居区琼江两中心五馆段防洪治理工程</w:t>
      </w:r>
    </w:p>
    <w:p>
      <w:pPr>
        <w:spacing w:line="360" w:lineRule="auto"/>
        <w:jc w:val="center"/>
        <w:rPr>
          <w:rFonts w:ascii="Times New Roman" w:hAnsi="Times New Roman"/>
          <w:b/>
          <w:color w:val="auto"/>
          <w:w w:val="90"/>
          <w:sz w:val="72"/>
          <w:szCs w:val="72"/>
        </w:rPr>
      </w:pPr>
      <w:r>
        <w:rPr>
          <w:rFonts w:ascii="Times New Roman" w:hAnsi="Times New Roman" w:eastAsia="华文新魏"/>
          <w:bCs/>
          <w:color w:val="auto"/>
          <w:kern w:val="0"/>
          <w:sz w:val="72"/>
          <w:szCs w:val="72"/>
        </w:rPr>
        <w:t>生态环境影响专项评价</w:t>
      </w:r>
    </w:p>
    <w:p>
      <w:pPr>
        <w:spacing w:line="360" w:lineRule="auto"/>
        <w:jc w:val="center"/>
        <w:rPr>
          <w:rFonts w:ascii="Times New Roman" w:hAnsi="Times New Roman"/>
          <w:b/>
          <w:color w:val="FF0000"/>
          <w:sz w:val="32"/>
          <w:szCs w:val="32"/>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pStyle w:val="24"/>
        <w:spacing w:line="360" w:lineRule="auto"/>
        <w:rPr>
          <w:rFonts w:ascii="Times New Roman" w:hAnsi="Times New Roman"/>
          <w:color w:val="FF0000"/>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spacing w:line="360" w:lineRule="auto"/>
        <w:jc w:val="center"/>
        <w:rPr>
          <w:rFonts w:ascii="Times New Roman" w:hAnsi="Times New Roman"/>
          <w:color w:val="FF0000"/>
          <w:sz w:val="24"/>
        </w:rPr>
      </w:pPr>
    </w:p>
    <w:p>
      <w:pPr>
        <w:widowControl/>
        <w:shd w:val="clear" w:color="auto" w:fill="FFFFFF"/>
        <w:spacing w:line="360" w:lineRule="auto"/>
        <w:jc w:val="center"/>
        <w:rPr>
          <w:rFonts w:ascii="Times New Roman" w:hAnsi="Times New Roman"/>
          <w:b/>
          <w:bCs/>
          <w:color w:val="auto"/>
          <w:kern w:val="0"/>
          <w:sz w:val="32"/>
          <w:szCs w:val="32"/>
          <w:shd w:val="clear" w:color="auto" w:fill="FFFFFF"/>
        </w:rPr>
      </w:pPr>
      <w:r>
        <w:rPr>
          <w:rFonts w:ascii="Times New Roman" w:hAnsi="Times New Roman"/>
          <w:b/>
          <w:bCs/>
          <w:color w:val="auto"/>
          <w:sz w:val="32"/>
          <w:szCs w:val="32"/>
        </w:rPr>
        <w:t>建设单位：</w:t>
      </w:r>
      <w:r>
        <w:rPr>
          <w:rFonts w:hint="eastAsia" w:ascii="Times New Roman" w:hAnsi="Times New Roman"/>
          <w:b/>
          <w:bCs/>
          <w:color w:val="auto"/>
          <w:sz w:val="32"/>
          <w:szCs w:val="32"/>
        </w:rPr>
        <w:t>遂宁市三仙湖水库建设开发有限责任公司</w:t>
      </w:r>
    </w:p>
    <w:p>
      <w:pPr>
        <w:spacing w:before="120" w:beforeLines="50" w:line="360" w:lineRule="auto"/>
        <w:jc w:val="center"/>
        <w:rPr>
          <w:rFonts w:ascii="Times New Roman" w:hAnsi="Times New Roman"/>
          <w:b/>
          <w:bCs/>
          <w:color w:val="FF0000"/>
          <w:sz w:val="36"/>
          <w:szCs w:val="36"/>
        </w:rPr>
        <w:sectPr>
          <w:footerReference r:id="rId3" w:type="default"/>
          <w:type w:val="nextColumn"/>
          <w:pgSz w:w="11906" w:h="16838"/>
          <w:pgMar w:top="1418" w:right="1418" w:bottom="1418" w:left="1418" w:header="851" w:footer="992" w:gutter="0"/>
          <w:pgBorders>
            <w:top w:val="none" w:sz="0" w:space="0"/>
            <w:left w:val="none" w:sz="0" w:space="0"/>
            <w:bottom w:val="none" w:sz="0" w:space="0"/>
            <w:right w:val="none" w:sz="0" w:space="0"/>
          </w:pgBorders>
          <w:pgNumType w:fmt="upperRoman" w:start="1"/>
          <w:cols w:space="720" w:num="1"/>
          <w:docGrid w:linePitch="312" w:charSpace="0"/>
        </w:sectPr>
      </w:pPr>
      <w:r>
        <w:rPr>
          <w:rFonts w:ascii="Times New Roman" w:hAnsi="Times New Roman"/>
          <w:b/>
          <w:bCs/>
          <w:color w:val="auto"/>
          <w:sz w:val="36"/>
          <w:szCs w:val="36"/>
        </w:rPr>
        <w:t>202</w:t>
      </w:r>
      <w:r>
        <w:rPr>
          <w:rFonts w:hint="eastAsia" w:ascii="Times New Roman" w:hAnsi="Times New Roman"/>
          <w:b/>
          <w:bCs/>
          <w:color w:val="auto"/>
          <w:sz w:val="36"/>
          <w:szCs w:val="36"/>
          <w:lang w:val="en-US" w:eastAsia="zh-CN"/>
        </w:rPr>
        <w:t>4</w:t>
      </w:r>
      <w:r>
        <w:rPr>
          <w:rFonts w:ascii="Times New Roman" w:hAnsi="Times New Roman"/>
          <w:b/>
          <w:bCs/>
          <w:color w:val="auto"/>
          <w:sz w:val="36"/>
          <w:szCs w:val="36"/>
        </w:rPr>
        <w:t>年</w:t>
      </w:r>
      <w:r>
        <w:rPr>
          <w:rFonts w:hint="eastAsia" w:ascii="Times New Roman" w:hAnsi="Times New Roman"/>
          <w:b/>
          <w:bCs/>
          <w:color w:val="auto"/>
          <w:sz w:val="36"/>
          <w:szCs w:val="36"/>
          <w:lang w:val="en-US" w:eastAsia="zh-CN"/>
        </w:rPr>
        <w:t>4</w:t>
      </w:r>
      <w:r>
        <w:rPr>
          <w:rFonts w:ascii="Times New Roman" w:hAnsi="Times New Roman"/>
          <w:b/>
          <w:bCs/>
          <w:color w:val="auto"/>
          <w:sz w:val="36"/>
          <w:szCs w:val="36"/>
        </w:rPr>
        <w:t>月</w:t>
      </w:r>
    </w:p>
    <w:p>
      <w:pPr>
        <w:spacing w:line="312" w:lineRule="auto"/>
        <w:jc w:val="center"/>
        <w:rPr>
          <w:rFonts w:ascii="Times New Roman" w:hAnsi="Times New Roman" w:eastAsia="宋体" w:cs="Times New Roman"/>
          <w:color w:val="auto"/>
          <w:kern w:val="2"/>
          <w:sz w:val="24"/>
          <w:szCs w:val="24"/>
          <w:lang w:val="en-US" w:eastAsia="zh-CN" w:bidi="ar-SA"/>
        </w:rPr>
      </w:pPr>
      <w:r>
        <w:rPr>
          <w:rFonts w:ascii="Times New Roman" w:hAnsi="Times New Roman"/>
          <w:b/>
          <w:bCs/>
          <w:color w:val="auto"/>
          <w:sz w:val="28"/>
          <w:szCs w:val="28"/>
        </w:rPr>
        <w:t>目  录</w:t>
      </w:r>
      <w:bookmarkStart w:id="3" w:name="_Toc29678"/>
      <w:r>
        <w:rPr>
          <w:rFonts w:ascii="Times New Roman" w:hAnsi="Times New Roman" w:eastAsiaTheme="minorHAnsi"/>
          <w:b/>
          <w:bCs/>
          <w:color w:val="auto"/>
          <w:sz w:val="28"/>
          <w:szCs w:val="28"/>
          <w:lang w:val="zh-CN"/>
        </w:rPr>
        <w:fldChar w:fldCharType="begin"/>
      </w:r>
      <w:r>
        <w:rPr>
          <w:rFonts w:ascii="Times New Roman" w:hAnsi="Times New Roman" w:eastAsiaTheme="minorHAnsi"/>
          <w:b/>
          <w:bCs/>
          <w:color w:val="auto"/>
          <w:sz w:val="28"/>
          <w:szCs w:val="28"/>
          <w:lang w:val="zh-CN"/>
        </w:rPr>
        <w:instrText xml:space="preserve"> TOC \o "1-2" \u \t "标题 3,3" </w:instrText>
      </w:r>
      <w:r>
        <w:rPr>
          <w:rFonts w:ascii="Times New Roman" w:hAnsi="Times New Roman" w:eastAsiaTheme="minorHAnsi"/>
          <w:b/>
          <w:bCs/>
          <w:color w:val="auto"/>
          <w:sz w:val="28"/>
          <w:szCs w:val="28"/>
          <w:lang w:val="zh-CN"/>
        </w:rPr>
        <w:fldChar w:fldCharType="separate"/>
      </w:r>
    </w:p>
    <w:p>
      <w:pPr>
        <w:pStyle w:val="28"/>
        <w:tabs>
          <w:tab w:val="right" w:leader="hyphen" w:pos="9070"/>
        </w:tabs>
        <w:rPr>
          <w:color w:val="auto"/>
        </w:rPr>
      </w:pPr>
      <w:r>
        <w:rPr>
          <w:color w:val="auto"/>
          <w:lang w:val="zh-CN"/>
        </w:rPr>
        <w:t>1 概 述</w:t>
      </w:r>
      <w:r>
        <w:rPr>
          <w:color w:val="auto"/>
        </w:rPr>
        <w:tab/>
      </w:r>
      <w:r>
        <w:rPr>
          <w:color w:val="auto"/>
        </w:rPr>
        <w:fldChar w:fldCharType="begin"/>
      </w:r>
      <w:r>
        <w:rPr>
          <w:color w:val="auto"/>
        </w:rPr>
        <w:instrText xml:space="preserve"> PAGEREF _Toc8174 \h </w:instrText>
      </w:r>
      <w:r>
        <w:rPr>
          <w:color w:val="auto"/>
        </w:rPr>
        <w:fldChar w:fldCharType="separate"/>
      </w:r>
      <w:r>
        <w:rPr>
          <w:color w:val="auto"/>
        </w:rPr>
        <w:t>1</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1.1 </w:t>
      </w:r>
      <w:r>
        <w:rPr>
          <w:color w:val="auto"/>
        </w:rPr>
        <w:t>项目由来</w:t>
      </w:r>
      <w:r>
        <w:rPr>
          <w:color w:val="auto"/>
        </w:rPr>
        <w:tab/>
      </w:r>
      <w:r>
        <w:rPr>
          <w:color w:val="auto"/>
        </w:rPr>
        <w:fldChar w:fldCharType="begin"/>
      </w:r>
      <w:r>
        <w:rPr>
          <w:color w:val="auto"/>
        </w:rPr>
        <w:instrText xml:space="preserve"> PAGEREF _Toc18784 \h </w:instrText>
      </w:r>
      <w:r>
        <w:rPr>
          <w:color w:val="auto"/>
        </w:rPr>
        <w:fldChar w:fldCharType="separate"/>
      </w:r>
      <w:r>
        <w:rPr>
          <w:color w:val="auto"/>
        </w:rPr>
        <w:t>1</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1.2 </w:t>
      </w:r>
      <w:r>
        <w:rPr>
          <w:color w:val="auto"/>
        </w:rPr>
        <w:t>实施过程</w:t>
      </w:r>
      <w:r>
        <w:rPr>
          <w:color w:val="auto"/>
        </w:rPr>
        <w:tab/>
      </w:r>
      <w:r>
        <w:rPr>
          <w:color w:val="auto"/>
        </w:rPr>
        <w:fldChar w:fldCharType="begin"/>
      </w:r>
      <w:r>
        <w:rPr>
          <w:color w:val="auto"/>
        </w:rPr>
        <w:instrText xml:space="preserve"> PAGEREF _Toc20409 \h </w:instrText>
      </w:r>
      <w:r>
        <w:rPr>
          <w:color w:val="auto"/>
        </w:rPr>
        <w:fldChar w:fldCharType="separate"/>
      </w:r>
      <w:r>
        <w:rPr>
          <w:color w:val="auto"/>
        </w:rPr>
        <w:t>1</w:t>
      </w:r>
      <w:r>
        <w:rPr>
          <w:color w:val="auto"/>
        </w:rPr>
        <w:fldChar w:fldCharType="end"/>
      </w:r>
    </w:p>
    <w:p>
      <w:pPr>
        <w:pStyle w:val="28"/>
        <w:tabs>
          <w:tab w:val="right" w:leader="hyphen" w:pos="9070"/>
        </w:tabs>
        <w:rPr>
          <w:color w:val="auto"/>
        </w:rPr>
      </w:pPr>
      <w:r>
        <w:rPr>
          <w:color w:val="auto"/>
          <w:lang w:val="zh-CN"/>
        </w:rPr>
        <w:t>2 总 则</w:t>
      </w:r>
      <w:r>
        <w:rPr>
          <w:color w:val="auto"/>
        </w:rPr>
        <w:tab/>
      </w:r>
      <w:r>
        <w:rPr>
          <w:color w:val="auto"/>
        </w:rPr>
        <w:fldChar w:fldCharType="begin"/>
      </w:r>
      <w:r>
        <w:rPr>
          <w:color w:val="auto"/>
        </w:rPr>
        <w:instrText xml:space="preserve"> PAGEREF _Toc15765 \h </w:instrText>
      </w:r>
      <w:r>
        <w:rPr>
          <w:color w:val="auto"/>
        </w:rPr>
        <w:fldChar w:fldCharType="separate"/>
      </w:r>
      <w:r>
        <w:rPr>
          <w:color w:val="auto"/>
        </w:rPr>
        <w:t>2</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2.1 </w:t>
      </w:r>
      <w:r>
        <w:rPr>
          <w:color w:val="auto"/>
        </w:rPr>
        <w:t>编制依据</w:t>
      </w:r>
      <w:r>
        <w:rPr>
          <w:color w:val="auto"/>
        </w:rPr>
        <w:tab/>
      </w:r>
      <w:r>
        <w:rPr>
          <w:color w:val="auto"/>
        </w:rPr>
        <w:fldChar w:fldCharType="begin"/>
      </w:r>
      <w:r>
        <w:rPr>
          <w:color w:val="auto"/>
        </w:rPr>
        <w:instrText xml:space="preserve"> PAGEREF _Toc5754 \h </w:instrText>
      </w:r>
      <w:r>
        <w:rPr>
          <w:color w:val="auto"/>
        </w:rPr>
        <w:fldChar w:fldCharType="separate"/>
      </w:r>
      <w:r>
        <w:rPr>
          <w:color w:val="auto"/>
        </w:rPr>
        <w:t>2</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2.2 </w:t>
      </w:r>
      <w:r>
        <w:rPr>
          <w:color w:val="auto"/>
        </w:rPr>
        <w:t>评价工作等级</w:t>
      </w:r>
      <w:r>
        <w:rPr>
          <w:color w:val="auto"/>
        </w:rPr>
        <w:tab/>
      </w:r>
      <w:r>
        <w:rPr>
          <w:color w:val="auto"/>
        </w:rPr>
        <w:fldChar w:fldCharType="begin"/>
      </w:r>
      <w:r>
        <w:rPr>
          <w:color w:val="auto"/>
        </w:rPr>
        <w:instrText xml:space="preserve"> PAGEREF _Toc2148 \h </w:instrText>
      </w:r>
      <w:r>
        <w:rPr>
          <w:color w:val="auto"/>
        </w:rPr>
        <w:fldChar w:fldCharType="separate"/>
      </w:r>
      <w:r>
        <w:rPr>
          <w:color w:val="auto"/>
        </w:rPr>
        <w:t>4</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2.3 </w:t>
      </w:r>
      <w:r>
        <w:rPr>
          <w:color w:val="auto"/>
        </w:rPr>
        <w:t>评价范围</w:t>
      </w:r>
      <w:r>
        <w:rPr>
          <w:color w:val="auto"/>
        </w:rPr>
        <w:tab/>
      </w:r>
      <w:r>
        <w:rPr>
          <w:color w:val="auto"/>
        </w:rPr>
        <w:fldChar w:fldCharType="begin"/>
      </w:r>
      <w:r>
        <w:rPr>
          <w:color w:val="auto"/>
        </w:rPr>
        <w:instrText xml:space="preserve"> PAGEREF _Toc19677 \h </w:instrText>
      </w:r>
      <w:r>
        <w:rPr>
          <w:color w:val="auto"/>
        </w:rPr>
        <w:fldChar w:fldCharType="separate"/>
      </w:r>
      <w:r>
        <w:rPr>
          <w:color w:val="auto"/>
        </w:rPr>
        <w:t>4</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2.4 </w:t>
      </w:r>
      <w:r>
        <w:rPr>
          <w:color w:val="auto"/>
          <w:lang w:val="en-US"/>
        </w:rPr>
        <w:t>水生生态</w:t>
      </w:r>
      <w:r>
        <w:rPr>
          <w:color w:val="auto"/>
        </w:rPr>
        <w:t>评价方法</w:t>
      </w:r>
      <w:r>
        <w:rPr>
          <w:color w:val="auto"/>
        </w:rPr>
        <w:tab/>
      </w:r>
      <w:r>
        <w:rPr>
          <w:color w:val="auto"/>
        </w:rPr>
        <w:fldChar w:fldCharType="begin"/>
      </w:r>
      <w:r>
        <w:rPr>
          <w:color w:val="auto"/>
        </w:rPr>
        <w:instrText xml:space="preserve"> PAGEREF _Toc19751 \h </w:instrText>
      </w:r>
      <w:r>
        <w:rPr>
          <w:color w:val="auto"/>
        </w:rPr>
        <w:fldChar w:fldCharType="separate"/>
      </w:r>
      <w:r>
        <w:rPr>
          <w:color w:val="auto"/>
        </w:rPr>
        <w:t>4</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2.5 </w:t>
      </w:r>
      <w:r>
        <w:rPr>
          <w:color w:val="auto"/>
          <w:lang w:val="en-US"/>
        </w:rPr>
        <w:t>陆生生生态</w:t>
      </w:r>
      <w:r>
        <w:rPr>
          <w:color w:val="auto"/>
        </w:rPr>
        <w:t>评价方法</w:t>
      </w:r>
      <w:r>
        <w:rPr>
          <w:color w:val="auto"/>
        </w:rPr>
        <w:tab/>
      </w:r>
      <w:r>
        <w:rPr>
          <w:color w:val="auto"/>
        </w:rPr>
        <w:fldChar w:fldCharType="begin"/>
      </w:r>
      <w:r>
        <w:rPr>
          <w:color w:val="auto"/>
        </w:rPr>
        <w:instrText xml:space="preserve"> PAGEREF _Toc22172 \h </w:instrText>
      </w:r>
      <w:r>
        <w:rPr>
          <w:color w:val="auto"/>
        </w:rPr>
        <w:fldChar w:fldCharType="separate"/>
      </w:r>
      <w:r>
        <w:rPr>
          <w:color w:val="auto"/>
        </w:rPr>
        <w:t>8</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2.6 </w:t>
      </w:r>
      <w:r>
        <w:rPr>
          <w:color w:val="auto"/>
        </w:rPr>
        <w:t>与生态功能规划符合性分析</w:t>
      </w:r>
      <w:r>
        <w:rPr>
          <w:color w:val="auto"/>
        </w:rPr>
        <w:tab/>
      </w:r>
      <w:r>
        <w:rPr>
          <w:color w:val="auto"/>
        </w:rPr>
        <w:fldChar w:fldCharType="begin"/>
      </w:r>
      <w:r>
        <w:rPr>
          <w:color w:val="auto"/>
        </w:rPr>
        <w:instrText xml:space="preserve"> PAGEREF _Toc31684 \h </w:instrText>
      </w:r>
      <w:r>
        <w:rPr>
          <w:color w:val="auto"/>
        </w:rPr>
        <w:fldChar w:fldCharType="separate"/>
      </w:r>
      <w:r>
        <w:rPr>
          <w:color w:val="auto"/>
        </w:rPr>
        <w:t>11</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2.7 </w:t>
      </w:r>
      <w:r>
        <w:rPr>
          <w:color w:val="auto"/>
        </w:rPr>
        <w:t>与生态保护红线的符合性分析</w:t>
      </w:r>
      <w:r>
        <w:rPr>
          <w:color w:val="auto"/>
        </w:rPr>
        <w:tab/>
      </w:r>
      <w:r>
        <w:rPr>
          <w:color w:val="auto"/>
        </w:rPr>
        <w:fldChar w:fldCharType="begin"/>
      </w:r>
      <w:r>
        <w:rPr>
          <w:color w:val="auto"/>
        </w:rPr>
        <w:instrText xml:space="preserve"> PAGEREF _Toc14210 \h </w:instrText>
      </w:r>
      <w:r>
        <w:rPr>
          <w:color w:val="auto"/>
        </w:rPr>
        <w:fldChar w:fldCharType="separate"/>
      </w:r>
      <w:r>
        <w:rPr>
          <w:color w:val="auto"/>
        </w:rPr>
        <w:t>14</w:t>
      </w:r>
      <w:r>
        <w:rPr>
          <w:color w:val="auto"/>
        </w:rPr>
        <w:fldChar w:fldCharType="end"/>
      </w:r>
    </w:p>
    <w:p>
      <w:pPr>
        <w:pStyle w:val="28"/>
        <w:tabs>
          <w:tab w:val="right" w:leader="hyphen" w:pos="9070"/>
        </w:tabs>
        <w:rPr>
          <w:color w:val="auto"/>
        </w:rPr>
      </w:pPr>
      <w:r>
        <w:rPr>
          <w:color w:val="auto"/>
          <w:lang w:val="zh-CN"/>
        </w:rPr>
        <w:t>3 建设项目工程分析</w:t>
      </w:r>
      <w:r>
        <w:rPr>
          <w:color w:val="auto"/>
        </w:rPr>
        <w:tab/>
      </w:r>
      <w:r>
        <w:rPr>
          <w:color w:val="auto"/>
        </w:rPr>
        <w:fldChar w:fldCharType="begin"/>
      </w:r>
      <w:r>
        <w:rPr>
          <w:color w:val="auto"/>
        </w:rPr>
        <w:instrText xml:space="preserve"> PAGEREF _Toc1818 \h </w:instrText>
      </w:r>
      <w:r>
        <w:rPr>
          <w:color w:val="auto"/>
        </w:rPr>
        <w:fldChar w:fldCharType="separate"/>
      </w:r>
      <w:r>
        <w:rPr>
          <w:color w:val="auto"/>
        </w:rPr>
        <w:t>17</w:t>
      </w:r>
      <w:r>
        <w:rPr>
          <w:color w:val="auto"/>
        </w:rPr>
        <w:fldChar w:fldCharType="end"/>
      </w:r>
    </w:p>
    <w:p>
      <w:pPr>
        <w:pStyle w:val="33"/>
        <w:tabs>
          <w:tab w:val="right" w:leader="hyphen" w:pos="9070"/>
        </w:tabs>
        <w:rPr>
          <w:color w:val="auto"/>
        </w:rPr>
      </w:pPr>
      <w:r>
        <w:rPr>
          <w:rFonts w:hint="default" w:ascii="Times New Roman" w:hAnsi="Times New Roman" w:cs="Times New Roman"/>
          <w:color w:val="auto"/>
          <w:kern w:val="2"/>
          <w:szCs w:val="28"/>
        </w:rPr>
        <w:t xml:space="preserve">3.1 </w:t>
      </w:r>
      <w:r>
        <w:rPr>
          <w:color w:val="auto"/>
        </w:rPr>
        <w:t>项目情况</w:t>
      </w:r>
      <w:r>
        <w:rPr>
          <w:color w:val="auto"/>
        </w:rPr>
        <w:tab/>
      </w:r>
      <w:r>
        <w:rPr>
          <w:color w:val="auto"/>
        </w:rPr>
        <w:fldChar w:fldCharType="begin"/>
      </w:r>
      <w:r>
        <w:rPr>
          <w:color w:val="auto"/>
        </w:rPr>
        <w:instrText xml:space="preserve"> PAGEREF _Toc17657 \h </w:instrText>
      </w:r>
      <w:r>
        <w:rPr>
          <w:color w:val="auto"/>
        </w:rPr>
        <w:fldChar w:fldCharType="separate"/>
      </w:r>
      <w:r>
        <w:rPr>
          <w:color w:val="auto"/>
        </w:rPr>
        <w:t>17</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shd w:val="clear" w:fill="FFFFFF"/>
        </w:rPr>
        <w:t xml:space="preserve">3.2 </w:t>
      </w:r>
      <w:r>
        <w:rPr>
          <w:color w:val="auto"/>
        </w:rPr>
        <w:t>工程</w:t>
      </w:r>
      <w:r>
        <w:rPr>
          <w:color w:val="auto"/>
          <w:shd w:val="clear" w:color="auto" w:fill="FFFFFF"/>
        </w:rPr>
        <w:t>布置</w:t>
      </w:r>
      <w:r>
        <w:rPr>
          <w:color w:val="auto"/>
        </w:rPr>
        <w:tab/>
      </w:r>
      <w:r>
        <w:rPr>
          <w:color w:val="auto"/>
        </w:rPr>
        <w:fldChar w:fldCharType="begin"/>
      </w:r>
      <w:r>
        <w:rPr>
          <w:color w:val="auto"/>
        </w:rPr>
        <w:instrText xml:space="preserve"> PAGEREF _Toc20089 \h </w:instrText>
      </w:r>
      <w:r>
        <w:rPr>
          <w:color w:val="auto"/>
        </w:rPr>
        <w:fldChar w:fldCharType="separate"/>
      </w:r>
      <w:r>
        <w:rPr>
          <w:color w:val="auto"/>
        </w:rPr>
        <w:t>17</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3.3 </w:t>
      </w:r>
      <w:r>
        <w:rPr>
          <w:color w:val="auto"/>
        </w:rPr>
        <w:t>土石方平衡</w:t>
      </w:r>
      <w:r>
        <w:rPr>
          <w:color w:val="auto"/>
        </w:rPr>
        <w:tab/>
      </w:r>
      <w:r>
        <w:rPr>
          <w:color w:val="auto"/>
        </w:rPr>
        <w:fldChar w:fldCharType="begin"/>
      </w:r>
      <w:r>
        <w:rPr>
          <w:color w:val="auto"/>
        </w:rPr>
        <w:instrText xml:space="preserve"> PAGEREF _Toc24078 \h </w:instrText>
      </w:r>
      <w:r>
        <w:rPr>
          <w:color w:val="auto"/>
        </w:rPr>
        <w:fldChar w:fldCharType="separate"/>
      </w:r>
      <w:r>
        <w:rPr>
          <w:color w:val="auto"/>
        </w:rPr>
        <w:t>17</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3.4 </w:t>
      </w:r>
      <w:r>
        <w:rPr>
          <w:color w:val="auto"/>
        </w:rPr>
        <w:t>工程占地</w:t>
      </w:r>
      <w:r>
        <w:rPr>
          <w:color w:val="auto"/>
        </w:rPr>
        <w:tab/>
      </w:r>
      <w:r>
        <w:rPr>
          <w:color w:val="auto"/>
        </w:rPr>
        <w:fldChar w:fldCharType="begin"/>
      </w:r>
      <w:r>
        <w:rPr>
          <w:color w:val="auto"/>
        </w:rPr>
        <w:instrText xml:space="preserve"> PAGEREF _Toc2755 \h </w:instrText>
      </w:r>
      <w:r>
        <w:rPr>
          <w:color w:val="auto"/>
        </w:rPr>
        <w:fldChar w:fldCharType="separate"/>
      </w:r>
      <w:r>
        <w:rPr>
          <w:color w:val="auto"/>
        </w:rPr>
        <w:t>18</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3.5 </w:t>
      </w:r>
      <w:r>
        <w:rPr>
          <w:color w:val="auto"/>
        </w:rPr>
        <w:t>生态影响源分析</w:t>
      </w:r>
      <w:r>
        <w:rPr>
          <w:color w:val="auto"/>
        </w:rPr>
        <w:tab/>
      </w:r>
      <w:r>
        <w:rPr>
          <w:color w:val="auto"/>
        </w:rPr>
        <w:fldChar w:fldCharType="begin"/>
      </w:r>
      <w:r>
        <w:rPr>
          <w:color w:val="auto"/>
        </w:rPr>
        <w:instrText xml:space="preserve"> PAGEREF _Toc4922 \h </w:instrText>
      </w:r>
      <w:r>
        <w:rPr>
          <w:color w:val="auto"/>
        </w:rPr>
        <w:fldChar w:fldCharType="separate"/>
      </w:r>
      <w:r>
        <w:rPr>
          <w:color w:val="auto"/>
        </w:rPr>
        <w:t>18</w:t>
      </w:r>
      <w:r>
        <w:rPr>
          <w:color w:val="auto"/>
        </w:rPr>
        <w:fldChar w:fldCharType="end"/>
      </w:r>
    </w:p>
    <w:p>
      <w:pPr>
        <w:pStyle w:val="28"/>
        <w:tabs>
          <w:tab w:val="right" w:leader="hyphen" w:pos="9070"/>
        </w:tabs>
        <w:rPr>
          <w:color w:val="auto"/>
        </w:rPr>
      </w:pPr>
      <w:r>
        <w:rPr>
          <w:color w:val="auto"/>
          <w:lang w:val="zh-CN"/>
        </w:rPr>
        <w:t xml:space="preserve">4 </w:t>
      </w:r>
      <w:r>
        <w:rPr>
          <w:color w:val="auto"/>
        </w:rPr>
        <w:t>保护区概况</w:t>
      </w:r>
      <w:r>
        <w:rPr>
          <w:color w:val="auto"/>
        </w:rPr>
        <w:tab/>
      </w:r>
      <w:r>
        <w:rPr>
          <w:color w:val="auto"/>
        </w:rPr>
        <w:fldChar w:fldCharType="begin"/>
      </w:r>
      <w:r>
        <w:rPr>
          <w:color w:val="auto"/>
        </w:rPr>
        <w:instrText xml:space="preserve"> PAGEREF _Toc11075 \h </w:instrText>
      </w:r>
      <w:r>
        <w:rPr>
          <w:color w:val="auto"/>
        </w:rPr>
        <w:fldChar w:fldCharType="separate"/>
      </w:r>
      <w:r>
        <w:rPr>
          <w:color w:val="auto"/>
        </w:rPr>
        <w:t>19</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4.1 </w:t>
      </w:r>
      <w:r>
        <w:rPr>
          <w:color w:val="auto"/>
          <w:szCs w:val="24"/>
        </w:rPr>
        <w:t>保护区地理位置、范围、功能区划分</w:t>
      </w:r>
      <w:r>
        <w:rPr>
          <w:color w:val="auto"/>
        </w:rPr>
        <w:tab/>
      </w:r>
      <w:r>
        <w:rPr>
          <w:color w:val="auto"/>
        </w:rPr>
        <w:fldChar w:fldCharType="begin"/>
      </w:r>
      <w:r>
        <w:rPr>
          <w:color w:val="auto"/>
        </w:rPr>
        <w:instrText xml:space="preserve"> PAGEREF _Toc30538 \h </w:instrText>
      </w:r>
      <w:r>
        <w:rPr>
          <w:color w:val="auto"/>
        </w:rPr>
        <w:fldChar w:fldCharType="separate"/>
      </w:r>
      <w:r>
        <w:rPr>
          <w:color w:val="auto"/>
        </w:rPr>
        <w:t>19</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4.2 </w:t>
      </w:r>
      <w:r>
        <w:rPr>
          <w:color w:val="auto"/>
          <w:szCs w:val="24"/>
        </w:rPr>
        <w:t>主要保护对象</w:t>
      </w:r>
      <w:r>
        <w:rPr>
          <w:color w:val="auto"/>
        </w:rPr>
        <w:tab/>
      </w:r>
      <w:r>
        <w:rPr>
          <w:color w:val="auto"/>
        </w:rPr>
        <w:fldChar w:fldCharType="begin"/>
      </w:r>
      <w:r>
        <w:rPr>
          <w:color w:val="auto"/>
        </w:rPr>
        <w:instrText xml:space="preserve"> PAGEREF _Toc32148 \h </w:instrText>
      </w:r>
      <w:r>
        <w:rPr>
          <w:color w:val="auto"/>
        </w:rPr>
        <w:fldChar w:fldCharType="separate"/>
      </w:r>
      <w:r>
        <w:rPr>
          <w:color w:val="auto"/>
        </w:rPr>
        <w:t>19</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4.3 </w:t>
      </w:r>
      <w:r>
        <w:rPr>
          <w:color w:val="auto"/>
          <w:szCs w:val="24"/>
          <w:lang w:val="en-US"/>
        </w:rPr>
        <w:t>工程</w:t>
      </w:r>
      <w:r>
        <w:rPr>
          <w:color w:val="auto"/>
          <w:szCs w:val="24"/>
        </w:rPr>
        <w:t>与保护区的关系</w:t>
      </w:r>
      <w:r>
        <w:rPr>
          <w:color w:val="auto"/>
        </w:rPr>
        <w:tab/>
      </w:r>
      <w:r>
        <w:rPr>
          <w:color w:val="auto"/>
        </w:rPr>
        <w:fldChar w:fldCharType="begin"/>
      </w:r>
      <w:r>
        <w:rPr>
          <w:color w:val="auto"/>
        </w:rPr>
        <w:instrText xml:space="preserve"> PAGEREF _Toc31019 \h </w:instrText>
      </w:r>
      <w:r>
        <w:rPr>
          <w:color w:val="auto"/>
        </w:rPr>
        <w:fldChar w:fldCharType="separate"/>
      </w:r>
      <w:r>
        <w:rPr>
          <w:color w:val="auto"/>
        </w:rPr>
        <w:t>22</w:t>
      </w:r>
      <w:r>
        <w:rPr>
          <w:color w:val="auto"/>
        </w:rPr>
        <w:fldChar w:fldCharType="end"/>
      </w:r>
    </w:p>
    <w:p>
      <w:pPr>
        <w:pStyle w:val="28"/>
        <w:tabs>
          <w:tab w:val="right" w:leader="hyphen" w:pos="9070"/>
        </w:tabs>
        <w:rPr>
          <w:color w:val="auto"/>
        </w:rPr>
      </w:pPr>
      <w:r>
        <w:rPr>
          <w:color w:val="auto"/>
          <w:lang w:val="zh-CN"/>
        </w:rPr>
        <w:t xml:space="preserve">5 </w:t>
      </w:r>
      <w:r>
        <w:rPr>
          <w:color w:val="auto"/>
        </w:rPr>
        <w:t>评价</w:t>
      </w:r>
      <w:r>
        <w:rPr>
          <w:rFonts w:hint="eastAsia"/>
          <w:color w:val="auto"/>
          <w:lang w:val="en-US" w:eastAsia="zh-CN"/>
        </w:rPr>
        <w:t>流域</w:t>
      </w:r>
      <w:r>
        <w:rPr>
          <w:color w:val="auto"/>
        </w:rPr>
        <w:t>环境现状调查</w:t>
      </w:r>
      <w:r>
        <w:rPr>
          <w:color w:val="auto"/>
        </w:rPr>
        <w:tab/>
      </w:r>
      <w:r>
        <w:rPr>
          <w:color w:val="auto"/>
        </w:rPr>
        <w:fldChar w:fldCharType="begin"/>
      </w:r>
      <w:r>
        <w:rPr>
          <w:color w:val="auto"/>
        </w:rPr>
        <w:instrText xml:space="preserve"> PAGEREF _Toc16036 \h </w:instrText>
      </w:r>
      <w:r>
        <w:rPr>
          <w:color w:val="auto"/>
        </w:rPr>
        <w:fldChar w:fldCharType="separate"/>
      </w:r>
      <w:r>
        <w:rPr>
          <w:color w:val="auto"/>
        </w:rPr>
        <w:t>23</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5.1 </w:t>
      </w:r>
      <w:r>
        <w:rPr>
          <w:color w:val="auto"/>
          <w:lang w:val="en-US"/>
        </w:rPr>
        <w:t>流域概况</w:t>
      </w:r>
      <w:r>
        <w:rPr>
          <w:color w:val="auto"/>
        </w:rPr>
        <w:tab/>
      </w:r>
      <w:r>
        <w:rPr>
          <w:color w:val="auto"/>
        </w:rPr>
        <w:fldChar w:fldCharType="begin"/>
      </w:r>
      <w:r>
        <w:rPr>
          <w:color w:val="auto"/>
        </w:rPr>
        <w:instrText xml:space="preserve"> PAGEREF _Toc27761 \h </w:instrText>
      </w:r>
      <w:r>
        <w:rPr>
          <w:color w:val="auto"/>
        </w:rPr>
        <w:fldChar w:fldCharType="separate"/>
      </w:r>
      <w:r>
        <w:rPr>
          <w:color w:val="auto"/>
        </w:rPr>
        <w:t>23</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5.2 </w:t>
      </w:r>
      <w:r>
        <w:rPr>
          <w:color w:val="auto"/>
          <w:lang w:val="en-US"/>
        </w:rPr>
        <w:t>气象</w:t>
      </w:r>
      <w:r>
        <w:rPr>
          <w:color w:val="auto"/>
        </w:rPr>
        <w:tab/>
      </w:r>
      <w:r>
        <w:rPr>
          <w:color w:val="auto"/>
        </w:rPr>
        <w:fldChar w:fldCharType="begin"/>
      </w:r>
      <w:r>
        <w:rPr>
          <w:color w:val="auto"/>
        </w:rPr>
        <w:instrText xml:space="preserve"> PAGEREF _Toc13198 \h </w:instrText>
      </w:r>
      <w:r>
        <w:rPr>
          <w:color w:val="auto"/>
        </w:rPr>
        <w:fldChar w:fldCharType="separate"/>
      </w:r>
      <w:r>
        <w:rPr>
          <w:color w:val="auto"/>
        </w:rPr>
        <w:t>23</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5.3 </w:t>
      </w:r>
      <w:r>
        <w:rPr>
          <w:color w:val="auto"/>
        </w:rPr>
        <w:t>水文基本资料</w:t>
      </w:r>
      <w:r>
        <w:rPr>
          <w:color w:val="auto"/>
        </w:rPr>
        <w:tab/>
      </w:r>
      <w:r>
        <w:rPr>
          <w:color w:val="auto"/>
        </w:rPr>
        <w:fldChar w:fldCharType="begin"/>
      </w:r>
      <w:r>
        <w:rPr>
          <w:color w:val="auto"/>
        </w:rPr>
        <w:instrText xml:space="preserve"> PAGEREF _Toc19224 \h </w:instrText>
      </w:r>
      <w:r>
        <w:rPr>
          <w:color w:val="auto"/>
        </w:rPr>
        <w:fldChar w:fldCharType="separate"/>
      </w:r>
      <w:r>
        <w:rPr>
          <w:color w:val="auto"/>
        </w:rPr>
        <w:t>24</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5.4 </w:t>
      </w:r>
      <w:r>
        <w:rPr>
          <w:color w:val="auto"/>
        </w:rPr>
        <w:t>洪水</w:t>
      </w:r>
      <w:r>
        <w:rPr>
          <w:color w:val="auto"/>
        </w:rPr>
        <w:tab/>
      </w:r>
      <w:r>
        <w:rPr>
          <w:color w:val="auto"/>
        </w:rPr>
        <w:fldChar w:fldCharType="begin"/>
      </w:r>
      <w:r>
        <w:rPr>
          <w:color w:val="auto"/>
        </w:rPr>
        <w:instrText xml:space="preserve"> PAGEREF _Toc25221 \h </w:instrText>
      </w:r>
      <w:r>
        <w:rPr>
          <w:color w:val="auto"/>
        </w:rPr>
        <w:fldChar w:fldCharType="separate"/>
      </w:r>
      <w:r>
        <w:rPr>
          <w:color w:val="auto"/>
        </w:rPr>
        <w:t>24</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5.5 </w:t>
      </w:r>
      <w:r>
        <w:rPr>
          <w:color w:val="auto"/>
          <w:szCs w:val="24"/>
        </w:rPr>
        <w:t>泥沙</w:t>
      </w:r>
      <w:r>
        <w:rPr>
          <w:color w:val="auto"/>
        </w:rPr>
        <w:tab/>
      </w:r>
      <w:r>
        <w:rPr>
          <w:color w:val="auto"/>
        </w:rPr>
        <w:fldChar w:fldCharType="begin"/>
      </w:r>
      <w:r>
        <w:rPr>
          <w:color w:val="auto"/>
        </w:rPr>
        <w:instrText xml:space="preserve"> PAGEREF _Toc12460 \h </w:instrText>
      </w:r>
      <w:r>
        <w:rPr>
          <w:color w:val="auto"/>
        </w:rPr>
        <w:fldChar w:fldCharType="separate"/>
      </w:r>
      <w:r>
        <w:rPr>
          <w:color w:val="auto"/>
        </w:rPr>
        <w:t>25</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5.6 </w:t>
      </w:r>
      <w:r>
        <w:rPr>
          <w:color w:val="auto"/>
        </w:rPr>
        <w:t>水位流量关系曲线</w:t>
      </w:r>
      <w:r>
        <w:rPr>
          <w:color w:val="auto"/>
        </w:rPr>
        <w:tab/>
      </w:r>
      <w:r>
        <w:rPr>
          <w:color w:val="auto"/>
        </w:rPr>
        <w:fldChar w:fldCharType="begin"/>
      </w:r>
      <w:r>
        <w:rPr>
          <w:color w:val="auto"/>
        </w:rPr>
        <w:instrText xml:space="preserve"> PAGEREF _Toc1228 \h </w:instrText>
      </w:r>
      <w:r>
        <w:rPr>
          <w:color w:val="auto"/>
        </w:rPr>
        <w:fldChar w:fldCharType="separate"/>
      </w:r>
      <w:r>
        <w:rPr>
          <w:color w:val="auto"/>
        </w:rPr>
        <w:t>26</w:t>
      </w:r>
      <w:r>
        <w:rPr>
          <w:color w:val="auto"/>
        </w:rPr>
        <w:fldChar w:fldCharType="end"/>
      </w:r>
    </w:p>
    <w:p>
      <w:pPr>
        <w:pStyle w:val="28"/>
        <w:tabs>
          <w:tab w:val="right" w:leader="hyphen" w:pos="9070"/>
        </w:tabs>
        <w:rPr>
          <w:color w:val="auto"/>
        </w:rPr>
      </w:pPr>
      <w:r>
        <w:rPr>
          <w:color w:val="auto"/>
          <w:lang w:val="zh-CN"/>
        </w:rPr>
        <w:t>6 生态环境现状调查与评价</w:t>
      </w:r>
      <w:r>
        <w:rPr>
          <w:color w:val="auto"/>
        </w:rPr>
        <w:tab/>
      </w:r>
      <w:r>
        <w:rPr>
          <w:color w:val="auto"/>
        </w:rPr>
        <w:fldChar w:fldCharType="begin"/>
      </w:r>
      <w:r>
        <w:rPr>
          <w:color w:val="auto"/>
        </w:rPr>
        <w:instrText xml:space="preserve"> PAGEREF _Toc7282 \h </w:instrText>
      </w:r>
      <w:r>
        <w:rPr>
          <w:color w:val="auto"/>
        </w:rPr>
        <w:fldChar w:fldCharType="separate"/>
      </w:r>
      <w:r>
        <w:rPr>
          <w:color w:val="auto"/>
        </w:rPr>
        <w:t>28</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6.1 </w:t>
      </w:r>
      <w:r>
        <w:rPr>
          <w:color w:val="auto"/>
        </w:rPr>
        <w:t>陆生植物现状调查与评价</w:t>
      </w:r>
      <w:r>
        <w:rPr>
          <w:color w:val="auto"/>
        </w:rPr>
        <w:tab/>
      </w:r>
      <w:r>
        <w:rPr>
          <w:color w:val="auto"/>
        </w:rPr>
        <w:fldChar w:fldCharType="begin"/>
      </w:r>
      <w:r>
        <w:rPr>
          <w:color w:val="auto"/>
        </w:rPr>
        <w:instrText xml:space="preserve"> PAGEREF _Toc13757 \h </w:instrText>
      </w:r>
      <w:r>
        <w:rPr>
          <w:color w:val="auto"/>
        </w:rPr>
        <w:fldChar w:fldCharType="separate"/>
      </w:r>
      <w:r>
        <w:rPr>
          <w:color w:val="auto"/>
        </w:rPr>
        <w:t>28</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6.2 </w:t>
      </w:r>
      <w:r>
        <w:rPr>
          <w:color w:val="auto"/>
        </w:rPr>
        <w:t>陆生动物现状调查与评价</w:t>
      </w:r>
      <w:r>
        <w:rPr>
          <w:color w:val="auto"/>
        </w:rPr>
        <w:tab/>
      </w:r>
      <w:r>
        <w:rPr>
          <w:color w:val="auto"/>
        </w:rPr>
        <w:fldChar w:fldCharType="begin"/>
      </w:r>
      <w:r>
        <w:rPr>
          <w:color w:val="auto"/>
        </w:rPr>
        <w:instrText xml:space="preserve"> PAGEREF _Toc8173 \h </w:instrText>
      </w:r>
      <w:r>
        <w:rPr>
          <w:color w:val="auto"/>
        </w:rPr>
        <w:fldChar w:fldCharType="separate"/>
      </w:r>
      <w:r>
        <w:rPr>
          <w:color w:val="auto"/>
        </w:rPr>
        <w:t>36</w:t>
      </w:r>
      <w:r>
        <w:rPr>
          <w:color w:val="auto"/>
        </w:rPr>
        <w:fldChar w:fldCharType="end"/>
      </w:r>
    </w:p>
    <w:p>
      <w:pPr>
        <w:pStyle w:val="33"/>
        <w:tabs>
          <w:tab w:val="right" w:leader="hyphen" w:pos="9070"/>
        </w:tabs>
        <w:rPr>
          <w:color w:val="auto"/>
        </w:rPr>
      </w:pPr>
      <w:r>
        <w:rPr>
          <w:rFonts w:hint="default" w:ascii="Times New Roman" w:hAnsi="Times New Roman" w:cs="Times New Roman"/>
          <w:bCs w:val="0"/>
          <w:color w:val="auto"/>
          <w:szCs w:val="28"/>
        </w:rPr>
        <w:t xml:space="preserve">6.3 </w:t>
      </w:r>
      <w:r>
        <w:rPr>
          <w:color w:val="auto"/>
        </w:rPr>
        <w:t>评价区景观生态体系</w:t>
      </w:r>
      <w:r>
        <w:rPr>
          <w:color w:val="auto"/>
        </w:rPr>
        <w:tab/>
      </w:r>
      <w:r>
        <w:rPr>
          <w:color w:val="auto"/>
        </w:rPr>
        <w:fldChar w:fldCharType="begin"/>
      </w:r>
      <w:r>
        <w:rPr>
          <w:color w:val="auto"/>
        </w:rPr>
        <w:instrText xml:space="preserve"> PAGEREF _Toc10676 \h </w:instrText>
      </w:r>
      <w:r>
        <w:rPr>
          <w:color w:val="auto"/>
        </w:rPr>
        <w:fldChar w:fldCharType="separate"/>
      </w:r>
      <w:r>
        <w:rPr>
          <w:color w:val="auto"/>
        </w:rPr>
        <w:t>41</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6.4 </w:t>
      </w:r>
      <w:r>
        <w:rPr>
          <w:color w:val="auto"/>
          <w:lang w:val="en-US"/>
        </w:rPr>
        <w:t>水生生物现状调查与评价</w:t>
      </w:r>
      <w:r>
        <w:rPr>
          <w:color w:val="auto"/>
        </w:rPr>
        <w:tab/>
      </w:r>
      <w:r>
        <w:rPr>
          <w:color w:val="auto"/>
        </w:rPr>
        <w:fldChar w:fldCharType="begin"/>
      </w:r>
      <w:r>
        <w:rPr>
          <w:color w:val="auto"/>
        </w:rPr>
        <w:instrText xml:space="preserve"> PAGEREF _Toc3086 \h </w:instrText>
      </w:r>
      <w:r>
        <w:rPr>
          <w:color w:val="auto"/>
        </w:rPr>
        <w:fldChar w:fldCharType="separate"/>
      </w:r>
      <w:r>
        <w:rPr>
          <w:color w:val="auto"/>
        </w:rPr>
        <w:t>43</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6.5 </w:t>
      </w:r>
      <w:r>
        <w:rPr>
          <w:color w:val="auto"/>
          <w:szCs w:val="24"/>
          <w:lang w:val="en-US"/>
        </w:rPr>
        <w:t>水生生物资源现状</w:t>
      </w:r>
      <w:r>
        <w:rPr>
          <w:color w:val="auto"/>
        </w:rPr>
        <w:tab/>
      </w:r>
      <w:r>
        <w:rPr>
          <w:color w:val="auto"/>
        </w:rPr>
        <w:fldChar w:fldCharType="begin"/>
      </w:r>
      <w:r>
        <w:rPr>
          <w:color w:val="auto"/>
        </w:rPr>
        <w:instrText xml:space="preserve"> PAGEREF _Toc24676 \h </w:instrText>
      </w:r>
      <w:r>
        <w:rPr>
          <w:color w:val="auto"/>
        </w:rPr>
        <w:fldChar w:fldCharType="separate"/>
      </w:r>
      <w:r>
        <w:rPr>
          <w:color w:val="auto"/>
        </w:rPr>
        <w:t>48</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lang w:val="en-US"/>
        </w:rPr>
        <w:t xml:space="preserve">6.6 </w:t>
      </w:r>
      <w:r>
        <w:rPr>
          <w:color w:val="auto"/>
          <w:szCs w:val="24"/>
          <w:lang w:val="en-US"/>
        </w:rPr>
        <w:t>评价区生态系统现状</w:t>
      </w:r>
      <w:r>
        <w:rPr>
          <w:color w:val="auto"/>
        </w:rPr>
        <w:tab/>
      </w:r>
      <w:r>
        <w:rPr>
          <w:color w:val="auto"/>
        </w:rPr>
        <w:fldChar w:fldCharType="begin"/>
      </w:r>
      <w:r>
        <w:rPr>
          <w:color w:val="auto"/>
        </w:rPr>
        <w:instrText xml:space="preserve"> PAGEREF _Toc14835 \h </w:instrText>
      </w:r>
      <w:r>
        <w:rPr>
          <w:color w:val="auto"/>
        </w:rPr>
        <w:fldChar w:fldCharType="separate"/>
      </w:r>
      <w:r>
        <w:rPr>
          <w:color w:val="auto"/>
        </w:rPr>
        <w:t>57</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6.7 </w:t>
      </w:r>
      <w:r>
        <w:rPr>
          <w:color w:val="auto"/>
        </w:rPr>
        <w:t>评价区生态现状综合评价</w:t>
      </w:r>
      <w:r>
        <w:rPr>
          <w:color w:val="auto"/>
        </w:rPr>
        <w:tab/>
      </w:r>
      <w:r>
        <w:rPr>
          <w:color w:val="auto"/>
        </w:rPr>
        <w:fldChar w:fldCharType="begin"/>
      </w:r>
      <w:r>
        <w:rPr>
          <w:color w:val="auto"/>
        </w:rPr>
        <w:instrText xml:space="preserve"> PAGEREF _Toc14734 \h </w:instrText>
      </w:r>
      <w:r>
        <w:rPr>
          <w:color w:val="auto"/>
        </w:rPr>
        <w:fldChar w:fldCharType="separate"/>
      </w:r>
      <w:r>
        <w:rPr>
          <w:color w:val="auto"/>
        </w:rPr>
        <w:t>58</w:t>
      </w:r>
      <w:r>
        <w:rPr>
          <w:color w:val="auto"/>
        </w:rPr>
        <w:fldChar w:fldCharType="end"/>
      </w:r>
    </w:p>
    <w:p>
      <w:pPr>
        <w:pStyle w:val="28"/>
        <w:tabs>
          <w:tab w:val="right" w:leader="hyphen" w:pos="9070"/>
        </w:tabs>
        <w:rPr>
          <w:color w:val="auto"/>
        </w:rPr>
      </w:pPr>
      <w:r>
        <w:rPr>
          <w:color w:val="auto"/>
        </w:rPr>
        <w:t>7 生态环境影响分析</w:t>
      </w:r>
      <w:r>
        <w:rPr>
          <w:color w:val="auto"/>
        </w:rPr>
        <w:tab/>
      </w:r>
      <w:r>
        <w:rPr>
          <w:color w:val="auto"/>
        </w:rPr>
        <w:fldChar w:fldCharType="begin"/>
      </w:r>
      <w:r>
        <w:rPr>
          <w:color w:val="auto"/>
        </w:rPr>
        <w:instrText xml:space="preserve"> PAGEREF _Toc31598 \h </w:instrText>
      </w:r>
      <w:r>
        <w:rPr>
          <w:color w:val="auto"/>
        </w:rPr>
        <w:fldChar w:fldCharType="separate"/>
      </w:r>
      <w:r>
        <w:rPr>
          <w:color w:val="auto"/>
        </w:rPr>
        <w:t>59</w:t>
      </w:r>
      <w:r>
        <w:rPr>
          <w:color w:val="auto"/>
        </w:rPr>
        <w:fldChar w:fldCharType="end"/>
      </w:r>
    </w:p>
    <w:p>
      <w:pPr>
        <w:pStyle w:val="33"/>
        <w:tabs>
          <w:tab w:val="right" w:leader="hyphen" w:pos="9070"/>
        </w:tabs>
        <w:rPr>
          <w:color w:val="auto"/>
        </w:rPr>
      </w:pPr>
      <w:r>
        <w:rPr>
          <w:rFonts w:hint="default" w:ascii="Times New Roman" w:hAnsi="Times New Roman" w:cs="Times New Roman"/>
          <w:color w:val="auto"/>
          <w:szCs w:val="28"/>
        </w:rPr>
        <w:t xml:space="preserve">7.1 </w:t>
      </w:r>
      <w:r>
        <w:rPr>
          <w:color w:val="auto"/>
        </w:rPr>
        <w:t>工程对水生生态的影响</w:t>
      </w:r>
      <w:r>
        <w:rPr>
          <w:color w:val="auto"/>
        </w:rPr>
        <w:tab/>
      </w:r>
      <w:r>
        <w:rPr>
          <w:color w:val="auto"/>
        </w:rPr>
        <w:fldChar w:fldCharType="begin"/>
      </w:r>
      <w:r>
        <w:rPr>
          <w:color w:val="auto"/>
        </w:rPr>
        <w:instrText xml:space="preserve"> PAGEREF _Toc28245 \h </w:instrText>
      </w:r>
      <w:r>
        <w:rPr>
          <w:color w:val="auto"/>
        </w:rPr>
        <w:fldChar w:fldCharType="separate"/>
      </w:r>
      <w:r>
        <w:rPr>
          <w:color w:val="auto"/>
        </w:rPr>
        <w:t>59</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7.2 </w:t>
      </w:r>
      <w:r>
        <w:rPr>
          <w:rFonts w:hint="eastAsia" w:ascii="宋体" w:hAnsi="宋体" w:eastAsia="宋体" w:cs="宋体"/>
          <w:color w:val="auto"/>
          <w:szCs w:val="24"/>
        </w:rPr>
        <w:t>对陆生生态的影响</w:t>
      </w:r>
      <w:r>
        <w:rPr>
          <w:color w:val="auto"/>
        </w:rPr>
        <w:tab/>
      </w:r>
      <w:r>
        <w:rPr>
          <w:color w:val="auto"/>
        </w:rPr>
        <w:fldChar w:fldCharType="begin"/>
      </w:r>
      <w:r>
        <w:rPr>
          <w:color w:val="auto"/>
        </w:rPr>
        <w:instrText xml:space="preserve"> PAGEREF _Toc29680 \h </w:instrText>
      </w:r>
      <w:r>
        <w:rPr>
          <w:color w:val="auto"/>
        </w:rPr>
        <w:fldChar w:fldCharType="separate"/>
      </w:r>
      <w:r>
        <w:rPr>
          <w:color w:val="auto"/>
        </w:rPr>
        <w:t>65</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7.3 </w:t>
      </w:r>
      <w:r>
        <w:rPr>
          <w:rFonts w:hint="eastAsia" w:ascii="宋体" w:hAnsi="宋体" w:eastAsia="宋体" w:cs="宋体"/>
          <w:color w:val="auto"/>
          <w:szCs w:val="24"/>
        </w:rPr>
        <w:t>项目运行后对保护区影响评价</w:t>
      </w:r>
      <w:r>
        <w:rPr>
          <w:color w:val="auto"/>
        </w:rPr>
        <w:tab/>
      </w:r>
      <w:r>
        <w:rPr>
          <w:color w:val="auto"/>
        </w:rPr>
        <w:fldChar w:fldCharType="begin"/>
      </w:r>
      <w:r>
        <w:rPr>
          <w:color w:val="auto"/>
        </w:rPr>
        <w:instrText xml:space="preserve"> PAGEREF _Toc24865 \h </w:instrText>
      </w:r>
      <w:r>
        <w:rPr>
          <w:color w:val="auto"/>
        </w:rPr>
        <w:fldChar w:fldCharType="separate"/>
      </w:r>
      <w:r>
        <w:rPr>
          <w:color w:val="auto"/>
        </w:rPr>
        <w:t>67</w:t>
      </w:r>
      <w:r>
        <w:rPr>
          <w:color w:val="auto"/>
        </w:rPr>
        <w:fldChar w:fldCharType="end"/>
      </w:r>
    </w:p>
    <w:p>
      <w:pPr>
        <w:pStyle w:val="28"/>
        <w:tabs>
          <w:tab w:val="right" w:leader="hyphen" w:pos="9070"/>
        </w:tabs>
        <w:rPr>
          <w:color w:val="auto"/>
        </w:rPr>
      </w:pPr>
      <w:r>
        <w:rPr>
          <w:color w:val="auto"/>
        </w:rPr>
        <w:t>8 生态保护措施及对策建议</w:t>
      </w:r>
      <w:r>
        <w:rPr>
          <w:color w:val="auto"/>
        </w:rPr>
        <w:tab/>
      </w:r>
      <w:r>
        <w:rPr>
          <w:color w:val="auto"/>
        </w:rPr>
        <w:fldChar w:fldCharType="begin"/>
      </w:r>
      <w:r>
        <w:rPr>
          <w:color w:val="auto"/>
        </w:rPr>
        <w:instrText xml:space="preserve"> PAGEREF _Toc1567 \h </w:instrText>
      </w:r>
      <w:r>
        <w:rPr>
          <w:color w:val="auto"/>
        </w:rPr>
        <w:fldChar w:fldCharType="separate"/>
      </w:r>
      <w:r>
        <w:rPr>
          <w:color w:val="auto"/>
        </w:rPr>
        <w:t>70</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lang w:val="en-US" w:eastAsia="zh-CN"/>
        </w:rPr>
        <w:t xml:space="preserve">8.1 </w:t>
      </w:r>
      <w:r>
        <w:rPr>
          <w:rFonts w:hint="eastAsia" w:ascii="宋体" w:hAnsi="宋体" w:eastAsia="宋体" w:cs="宋体"/>
          <w:color w:val="auto"/>
          <w:szCs w:val="24"/>
        </w:rPr>
        <w:t>生态恢复措施</w:t>
      </w:r>
      <w:r>
        <w:rPr>
          <w:rFonts w:hint="eastAsia" w:ascii="宋体" w:hAnsi="宋体" w:eastAsia="宋体" w:cs="宋体"/>
          <w:color w:val="auto"/>
          <w:szCs w:val="24"/>
          <w:lang w:val="en-US" w:eastAsia="zh-CN"/>
        </w:rPr>
        <w:t>建议</w:t>
      </w:r>
      <w:r>
        <w:rPr>
          <w:color w:val="auto"/>
        </w:rPr>
        <w:tab/>
      </w:r>
      <w:r>
        <w:rPr>
          <w:color w:val="auto"/>
        </w:rPr>
        <w:fldChar w:fldCharType="begin"/>
      </w:r>
      <w:r>
        <w:rPr>
          <w:color w:val="auto"/>
        </w:rPr>
        <w:instrText xml:space="preserve"> PAGEREF _Toc5321 \h </w:instrText>
      </w:r>
      <w:r>
        <w:rPr>
          <w:color w:val="auto"/>
        </w:rPr>
        <w:fldChar w:fldCharType="separate"/>
      </w:r>
      <w:r>
        <w:rPr>
          <w:color w:val="auto"/>
        </w:rPr>
        <w:t>70</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8.2 </w:t>
      </w:r>
      <w:r>
        <w:rPr>
          <w:rFonts w:hint="eastAsia" w:ascii="宋体" w:hAnsi="宋体" w:eastAsia="宋体" w:cs="宋体"/>
          <w:color w:val="auto"/>
          <w:szCs w:val="24"/>
        </w:rPr>
        <w:t>动物保护措施</w:t>
      </w:r>
      <w:r>
        <w:rPr>
          <w:color w:val="auto"/>
        </w:rPr>
        <w:tab/>
      </w:r>
      <w:r>
        <w:rPr>
          <w:color w:val="auto"/>
        </w:rPr>
        <w:fldChar w:fldCharType="begin"/>
      </w:r>
      <w:r>
        <w:rPr>
          <w:color w:val="auto"/>
        </w:rPr>
        <w:instrText xml:space="preserve"> PAGEREF _Toc14132 \h </w:instrText>
      </w:r>
      <w:r>
        <w:rPr>
          <w:color w:val="auto"/>
        </w:rPr>
        <w:fldChar w:fldCharType="separate"/>
      </w:r>
      <w:r>
        <w:rPr>
          <w:color w:val="auto"/>
        </w:rPr>
        <w:t>70</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8.3 </w:t>
      </w:r>
      <w:r>
        <w:rPr>
          <w:rFonts w:hint="eastAsia" w:ascii="宋体" w:hAnsi="宋体" w:eastAsia="宋体" w:cs="宋体"/>
          <w:color w:val="auto"/>
          <w:szCs w:val="24"/>
        </w:rPr>
        <w:t>生态恢复与补偿措施投资保障</w:t>
      </w:r>
      <w:r>
        <w:rPr>
          <w:color w:val="auto"/>
        </w:rPr>
        <w:tab/>
      </w:r>
      <w:r>
        <w:rPr>
          <w:color w:val="auto"/>
        </w:rPr>
        <w:fldChar w:fldCharType="begin"/>
      </w:r>
      <w:r>
        <w:rPr>
          <w:color w:val="auto"/>
        </w:rPr>
        <w:instrText xml:space="preserve"> PAGEREF _Toc7914 \h </w:instrText>
      </w:r>
      <w:r>
        <w:rPr>
          <w:color w:val="auto"/>
        </w:rPr>
        <w:fldChar w:fldCharType="separate"/>
      </w:r>
      <w:r>
        <w:rPr>
          <w:color w:val="auto"/>
        </w:rPr>
        <w:t>70</w:t>
      </w:r>
      <w:r>
        <w:rPr>
          <w:color w:val="auto"/>
        </w:rPr>
        <w:fldChar w:fldCharType="end"/>
      </w:r>
    </w:p>
    <w:p>
      <w:pPr>
        <w:pStyle w:val="28"/>
        <w:tabs>
          <w:tab w:val="right" w:leader="hyphen" w:pos="9070"/>
        </w:tabs>
        <w:rPr>
          <w:color w:val="auto"/>
        </w:rPr>
      </w:pPr>
      <w:r>
        <w:rPr>
          <w:color w:val="auto"/>
        </w:rPr>
        <w:t>9 生态环境监测及监理计划</w:t>
      </w:r>
      <w:r>
        <w:rPr>
          <w:color w:val="auto"/>
        </w:rPr>
        <w:tab/>
      </w:r>
      <w:r>
        <w:rPr>
          <w:color w:val="auto"/>
        </w:rPr>
        <w:fldChar w:fldCharType="begin"/>
      </w:r>
      <w:r>
        <w:rPr>
          <w:color w:val="auto"/>
        </w:rPr>
        <w:instrText xml:space="preserve"> PAGEREF _Toc3160 \h </w:instrText>
      </w:r>
      <w:r>
        <w:rPr>
          <w:color w:val="auto"/>
        </w:rPr>
        <w:fldChar w:fldCharType="separate"/>
      </w:r>
      <w:r>
        <w:rPr>
          <w:color w:val="auto"/>
        </w:rPr>
        <w:t>72</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kern w:val="16"/>
          <w:szCs w:val="28"/>
        </w:rPr>
        <w:t xml:space="preserve">9.1 </w:t>
      </w:r>
      <w:r>
        <w:rPr>
          <w:rFonts w:hint="eastAsia" w:ascii="宋体" w:hAnsi="宋体" w:eastAsia="宋体" w:cs="宋体"/>
          <w:color w:val="auto"/>
          <w:kern w:val="16"/>
          <w:szCs w:val="24"/>
        </w:rPr>
        <w:t>水生生态环境</w:t>
      </w:r>
      <w:r>
        <w:rPr>
          <w:rFonts w:hint="eastAsia" w:ascii="宋体" w:hAnsi="宋体" w:eastAsia="宋体" w:cs="宋体"/>
          <w:color w:val="auto"/>
          <w:szCs w:val="24"/>
        </w:rPr>
        <w:t>监测</w:t>
      </w:r>
      <w:r>
        <w:rPr>
          <w:rFonts w:hint="eastAsia" w:ascii="宋体" w:hAnsi="宋体" w:eastAsia="宋体" w:cs="宋体"/>
          <w:color w:val="auto"/>
          <w:kern w:val="16"/>
          <w:szCs w:val="24"/>
        </w:rPr>
        <w:t>计划</w:t>
      </w:r>
      <w:r>
        <w:rPr>
          <w:color w:val="auto"/>
        </w:rPr>
        <w:tab/>
      </w:r>
      <w:r>
        <w:rPr>
          <w:color w:val="auto"/>
        </w:rPr>
        <w:fldChar w:fldCharType="begin"/>
      </w:r>
      <w:r>
        <w:rPr>
          <w:color w:val="auto"/>
        </w:rPr>
        <w:instrText xml:space="preserve"> PAGEREF _Toc25104 \h </w:instrText>
      </w:r>
      <w:r>
        <w:rPr>
          <w:color w:val="auto"/>
        </w:rPr>
        <w:fldChar w:fldCharType="separate"/>
      </w:r>
      <w:r>
        <w:rPr>
          <w:color w:val="auto"/>
        </w:rPr>
        <w:t>72</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9.2 </w:t>
      </w:r>
      <w:r>
        <w:rPr>
          <w:rFonts w:hint="eastAsia" w:ascii="宋体" w:hAnsi="宋体" w:eastAsia="宋体" w:cs="宋体"/>
          <w:color w:val="auto"/>
          <w:szCs w:val="24"/>
        </w:rPr>
        <w:t>生态环境监理计划</w:t>
      </w:r>
      <w:r>
        <w:rPr>
          <w:color w:val="auto"/>
        </w:rPr>
        <w:tab/>
      </w:r>
      <w:r>
        <w:rPr>
          <w:color w:val="auto"/>
        </w:rPr>
        <w:fldChar w:fldCharType="begin"/>
      </w:r>
      <w:r>
        <w:rPr>
          <w:color w:val="auto"/>
        </w:rPr>
        <w:instrText xml:space="preserve"> PAGEREF _Toc9169 \h </w:instrText>
      </w:r>
      <w:r>
        <w:rPr>
          <w:color w:val="auto"/>
        </w:rPr>
        <w:fldChar w:fldCharType="separate"/>
      </w:r>
      <w:r>
        <w:rPr>
          <w:color w:val="auto"/>
        </w:rPr>
        <w:t>72</w:t>
      </w:r>
      <w:r>
        <w:rPr>
          <w:color w:val="auto"/>
        </w:rPr>
        <w:fldChar w:fldCharType="end"/>
      </w:r>
    </w:p>
    <w:p>
      <w:pPr>
        <w:pStyle w:val="28"/>
        <w:tabs>
          <w:tab w:val="right" w:leader="hyphen" w:pos="9070"/>
        </w:tabs>
        <w:rPr>
          <w:color w:val="auto"/>
        </w:rPr>
      </w:pPr>
      <w:r>
        <w:rPr>
          <w:color w:val="auto"/>
        </w:rPr>
        <w:t>10 评价结论与建议</w:t>
      </w:r>
      <w:r>
        <w:rPr>
          <w:color w:val="auto"/>
        </w:rPr>
        <w:tab/>
      </w:r>
      <w:r>
        <w:rPr>
          <w:color w:val="auto"/>
        </w:rPr>
        <w:fldChar w:fldCharType="begin"/>
      </w:r>
      <w:r>
        <w:rPr>
          <w:color w:val="auto"/>
        </w:rPr>
        <w:instrText xml:space="preserve"> PAGEREF _Toc32515 \h </w:instrText>
      </w:r>
      <w:r>
        <w:rPr>
          <w:color w:val="auto"/>
        </w:rPr>
        <w:fldChar w:fldCharType="separate"/>
      </w:r>
      <w:r>
        <w:rPr>
          <w:color w:val="auto"/>
        </w:rPr>
        <w:t>73</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10.1 </w:t>
      </w:r>
      <w:r>
        <w:rPr>
          <w:rFonts w:hint="eastAsia" w:ascii="宋体" w:hAnsi="宋体" w:eastAsia="宋体" w:cs="宋体"/>
          <w:color w:val="auto"/>
          <w:szCs w:val="24"/>
        </w:rPr>
        <w:t>陆生生态影响评价结论</w:t>
      </w:r>
      <w:r>
        <w:rPr>
          <w:color w:val="auto"/>
        </w:rPr>
        <w:tab/>
      </w:r>
      <w:r>
        <w:rPr>
          <w:color w:val="auto"/>
        </w:rPr>
        <w:fldChar w:fldCharType="begin"/>
      </w:r>
      <w:r>
        <w:rPr>
          <w:color w:val="auto"/>
        </w:rPr>
        <w:instrText xml:space="preserve"> PAGEREF _Toc4219 \h </w:instrText>
      </w:r>
      <w:r>
        <w:rPr>
          <w:color w:val="auto"/>
        </w:rPr>
        <w:fldChar w:fldCharType="separate"/>
      </w:r>
      <w:r>
        <w:rPr>
          <w:color w:val="auto"/>
        </w:rPr>
        <w:t>73</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10.2 </w:t>
      </w:r>
      <w:r>
        <w:rPr>
          <w:rFonts w:hint="eastAsia" w:ascii="宋体" w:hAnsi="宋体" w:eastAsia="宋体" w:cs="宋体"/>
          <w:color w:val="auto"/>
          <w:szCs w:val="24"/>
        </w:rPr>
        <w:t>对保护区及主要保护对象的影响因素</w:t>
      </w:r>
      <w:r>
        <w:rPr>
          <w:color w:val="auto"/>
        </w:rPr>
        <w:tab/>
      </w:r>
      <w:r>
        <w:rPr>
          <w:color w:val="auto"/>
        </w:rPr>
        <w:fldChar w:fldCharType="begin"/>
      </w:r>
      <w:r>
        <w:rPr>
          <w:color w:val="auto"/>
        </w:rPr>
        <w:instrText xml:space="preserve"> PAGEREF _Toc9628 \h </w:instrText>
      </w:r>
      <w:r>
        <w:rPr>
          <w:color w:val="auto"/>
        </w:rPr>
        <w:fldChar w:fldCharType="separate"/>
      </w:r>
      <w:r>
        <w:rPr>
          <w:color w:val="auto"/>
        </w:rPr>
        <w:t>73</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10.3 </w:t>
      </w:r>
      <w:r>
        <w:rPr>
          <w:rFonts w:hint="eastAsia" w:ascii="宋体" w:hAnsi="宋体" w:eastAsia="宋体" w:cs="宋体"/>
          <w:color w:val="auto"/>
          <w:szCs w:val="24"/>
        </w:rPr>
        <w:t>对保护区及主要保护对象的影响程度</w:t>
      </w:r>
      <w:r>
        <w:rPr>
          <w:color w:val="auto"/>
        </w:rPr>
        <w:tab/>
      </w:r>
      <w:r>
        <w:rPr>
          <w:color w:val="auto"/>
        </w:rPr>
        <w:fldChar w:fldCharType="begin"/>
      </w:r>
      <w:r>
        <w:rPr>
          <w:color w:val="auto"/>
        </w:rPr>
        <w:instrText xml:space="preserve"> PAGEREF _Toc12685 \h </w:instrText>
      </w:r>
      <w:r>
        <w:rPr>
          <w:color w:val="auto"/>
        </w:rPr>
        <w:fldChar w:fldCharType="separate"/>
      </w:r>
      <w:r>
        <w:rPr>
          <w:color w:val="auto"/>
        </w:rPr>
        <w:t>73</w:t>
      </w:r>
      <w:r>
        <w:rPr>
          <w:color w:val="auto"/>
        </w:rPr>
        <w:fldChar w:fldCharType="end"/>
      </w:r>
    </w:p>
    <w:p>
      <w:pPr>
        <w:pStyle w:val="33"/>
        <w:tabs>
          <w:tab w:val="right" w:leader="hyphen" w:pos="9070"/>
        </w:tabs>
        <w:rPr>
          <w:color w:val="auto"/>
        </w:rPr>
      </w:pPr>
      <w:r>
        <w:rPr>
          <w:rFonts w:hint="default" w:ascii="Times New Roman" w:hAnsi="Times New Roman" w:eastAsia="宋体" w:cs="Times New Roman"/>
          <w:color w:val="auto"/>
          <w:szCs w:val="28"/>
        </w:rPr>
        <w:t xml:space="preserve">10.4 </w:t>
      </w:r>
      <w:r>
        <w:rPr>
          <w:rFonts w:hint="eastAsia" w:ascii="宋体" w:hAnsi="宋体" w:eastAsia="宋体" w:cs="宋体"/>
          <w:color w:val="auto"/>
          <w:szCs w:val="24"/>
        </w:rPr>
        <w:t>拟采取的主要保护措施及预期效果</w:t>
      </w:r>
      <w:r>
        <w:rPr>
          <w:color w:val="auto"/>
        </w:rPr>
        <w:tab/>
      </w:r>
      <w:r>
        <w:rPr>
          <w:color w:val="auto"/>
        </w:rPr>
        <w:fldChar w:fldCharType="begin"/>
      </w:r>
      <w:r>
        <w:rPr>
          <w:color w:val="auto"/>
        </w:rPr>
        <w:instrText xml:space="preserve"> PAGEREF _Toc954 \h </w:instrText>
      </w:r>
      <w:r>
        <w:rPr>
          <w:color w:val="auto"/>
        </w:rPr>
        <w:fldChar w:fldCharType="separate"/>
      </w:r>
      <w:r>
        <w:rPr>
          <w:color w:val="auto"/>
        </w:rPr>
        <w:t>74</w:t>
      </w:r>
      <w:r>
        <w:rPr>
          <w:color w:val="auto"/>
        </w:rPr>
        <w:fldChar w:fldCharType="end"/>
      </w:r>
    </w:p>
    <w:p>
      <w:pPr>
        <w:spacing w:line="312" w:lineRule="auto"/>
        <w:jc w:val="center"/>
        <w:rPr>
          <w:rFonts w:ascii="Times New Roman" w:hAnsi="Times New Roman"/>
          <w:color w:val="FF0000"/>
          <w:sz w:val="24"/>
        </w:rPr>
      </w:pPr>
      <w:r>
        <w:rPr>
          <w:rFonts w:ascii="Times New Roman" w:hAnsi="Times New Roman"/>
          <w:color w:val="auto"/>
          <w:sz w:val="24"/>
        </w:rPr>
        <w:fldChar w:fldCharType="end"/>
      </w:r>
    </w:p>
    <w:p>
      <w:pPr>
        <w:spacing w:line="360" w:lineRule="auto"/>
        <w:jc w:val="center"/>
        <w:rPr>
          <w:rFonts w:ascii="Times New Roman" w:hAnsi="Times New Roman"/>
          <w:color w:val="FF0000"/>
        </w:rPr>
      </w:pPr>
      <w:r>
        <w:rPr>
          <w:rFonts w:ascii="Times New Roman" w:hAnsi="Times New Roman"/>
          <w:color w:val="FF0000"/>
          <w:sz w:val="24"/>
        </w:rPr>
        <w:br w:type="page"/>
      </w:r>
      <w:bookmarkEnd w:id="3"/>
    </w:p>
    <w:p>
      <w:pPr>
        <w:spacing w:line="360" w:lineRule="auto"/>
        <w:rPr>
          <w:rFonts w:ascii="Times New Roman" w:hAnsi="Times New Roman"/>
          <w:color w:val="FF0000"/>
        </w:rPr>
        <w:sectPr>
          <w:headerReference r:id="rId4" w:type="default"/>
          <w:footerReference r:id="rId5" w:type="default"/>
          <w:pgSz w:w="11906" w:h="16838"/>
          <w:pgMar w:top="1418" w:right="1418" w:bottom="1418" w:left="1418" w:header="851" w:footer="992" w:gutter="0"/>
          <w:pgBorders>
            <w:top w:val="none" w:sz="0" w:space="0"/>
            <w:left w:val="none" w:sz="0" w:space="0"/>
            <w:bottom w:val="none" w:sz="0" w:space="0"/>
            <w:right w:val="none" w:sz="0" w:space="0"/>
          </w:pgBorders>
          <w:pgNumType w:fmt="upperRoman" w:start="1"/>
          <w:cols w:space="720" w:num="1"/>
          <w:docGrid w:linePitch="312" w:charSpace="0"/>
        </w:sectPr>
      </w:pPr>
    </w:p>
    <w:p>
      <w:pPr>
        <w:pStyle w:val="3"/>
        <w:rPr>
          <w:color w:val="auto"/>
          <w:lang w:val="zh-CN"/>
        </w:rPr>
      </w:pPr>
      <w:bookmarkStart w:id="4" w:name="_Toc54799173"/>
      <w:bookmarkStart w:id="5" w:name="_Toc8174"/>
      <w:bookmarkStart w:id="6" w:name="_Toc54659624"/>
      <w:bookmarkStart w:id="7" w:name="_Toc54657416"/>
      <w:r>
        <w:rPr>
          <w:color w:val="auto"/>
          <w:lang w:val="zh-CN"/>
        </w:rPr>
        <w:t>概 述</w:t>
      </w:r>
      <w:bookmarkEnd w:id="4"/>
      <w:bookmarkEnd w:id="5"/>
      <w:bookmarkEnd w:id="6"/>
      <w:bookmarkEnd w:id="7"/>
    </w:p>
    <w:p>
      <w:pPr>
        <w:pStyle w:val="4"/>
        <w:keepNext w:val="0"/>
        <w:keepLines w:val="0"/>
        <w:pageBreakBefore w:val="0"/>
        <w:widowControl w:val="0"/>
        <w:kinsoku/>
        <w:wordWrap/>
        <w:overflowPunct/>
        <w:topLinePunct w:val="0"/>
        <w:autoSpaceDE/>
        <w:autoSpaceDN/>
        <w:bidi w:val="0"/>
        <w:adjustRightInd/>
        <w:snapToGrid/>
        <w:spacing w:beforeLines="0" w:afterLines="0"/>
        <w:ind w:left="578" w:hanging="578"/>
        <w:textAlignment w:val="auto"/>
        <w:rPr>
          <w:color w:val="auto"/>
        </w:rPr>
      </w:pPr>
      <w:bookmarkStart w:id="8" w:name="_Toc54659625"/>
      <w:bookmarkStart w:id="9" w:name="_Toc18784"/>
      <w:bookmarkStart w:id="10" w:name="_Toc54799174"/>
      <w:bookmarkStart w:id="11" w:name="_Toc54657417"/>
      <w:r>
        <w:rPr>
          <w:color w:val="auto"/>
        </w:rPr>
        <w:t>项目由来</w:t>
      </w:r>
      <w:bookmarkEnd w:id="8"/>
      <w:bookmarkEnd w:id="9"/>
      <w:bookmarkEnd w:id="10"/>
      <w:bookmarkEnd w:id="11"/>
    </w:p>
    <w:p>
      <w:pPr>
        <w:keepNext w:val="0"/>
        <w:keepLines w:val="0"/>
        <w:pageBreakBefore w:val="0"/>
        <w:kinsoku/>
        <w:wordWrap/>
        <w:overflowPunct/>
        <w:autoSpaceDE/>
        <w:autoSpaceDN/>
        <w:bidi w:val="0"/>
        <w:adjustRightInd/>
        <w:snapToGrid/>
        <w:spacing w:line="360" w:lineRule="auto"/>
        <w:ind w:left="0" w:firstLine="480" w:firstLineChars="200"/>
        <w:rPr>
          <w:rFonts w:hint="eastAsia" w:ascii="宋体" w:hAnsi="宋体" w:eastAsia="宋体" w:cs="宋体"/>
          <w:color w:val="auto"/>
          <w:kern w:val="0"/>
          <w:sz w:val="24"/>
        </w:rPr>
      </w:pPr>
      <w:r>
        <w:rPr>
          <w:rFonts w:hint="eastAsia" w:ascii="宋体" w:hAnsi="宋体" w:eastAsia="宋体" w:cs="宋体"/>
          <w:color w:val="auto"/>
          <w:kern w:val="0"/>
          <w:sz w:val="24"/>
        </w:rPr>
        <w:t>遂宁市安居区是2003年12月成立的县级行政区，幅员面积1258km</w:t>
      </w:r>
      <w:r>
        <w:rPr>
          <w:rFonts w:hint="eastAsia" w:ascii="宋体" w:hAnsi="宋体" w:eastAsia="宋体" w:cs="宋体"/>
          <w:color w:val="auto"/>
          <w:kern w:val="0"/>
          <w:sz w:val="24"/>
          <w:vertAlign w:val="superscript"/>
        </w:rPr>
        <w:t>2</w:t>
      </w:r>
      <w:r>
        <w:rPr>
          <w:rFonts w:hint="eastAsia" w:ascii="宋体" w:hAnsi="宋体" w:eastAsia="宋体" w:cs="宋体"/>
          <w:color w:val="auto"/>
          <w:kern w:val="0"/>
          <w:sz w:val="24"/>
        </w:rPr>
        <w:t>。遂宁市安居区位于四川盆地中部，遂宁市南部，地处成渝经济区的中心地带，东接重庆市，南邻资阳市安岳县，西靠资阳市乐至县，北接大英县，地理坐标介于东经105°05′～105°50′、北纬30°40′～30°12′之间。政府驻地安居镇，距遂宁市城区25km，距成都市180km，距重庆市130km。安居区境内地貌以浅丘为主，地势西北高、东南低，境内气候呈亚热带季风湿润气侯，光热条件充足，耕地率较高，具有发展农业的有利条件，是全省50个粮食产能核心县（市、区）之一，也是全省重要的商品粮、棉、油、生猪、蚕桑、水果生产基地。</w:t>
      </w:r>
    </w:p>
    <w:p>
      <w:pPr>
        <w:keepNext w:val="0"/>
        <w:keepLines w:val="0"/>
        <w:pageBreakBefore w:val="0"/>
        <w:kinsoku/>
        <w:wordWrap/>
        <w:overflowPunct/>
        <w:autoSpaceDE/>
        <w:autoSpaceDN/>
        <w:bidi w:val="0"/>
        <w:adjustRightInd/>
        <w:snapToGrid/>
        <w:spacing w:line="360" w:lineRule="auto"/>
        <w:ind w:left="0" w:firstLine="480" w:firstLineChars="200"/>
        <w:rPr>
          <w:rFonts w:hint="eastAsia"/>
          <w:color w:val="auto"/>
          <w:sz w:val="24"/>
          <w:highlight w:val="none"/>
        </w:rPr>
      </w:pPr>
      <w:r>
        <w:rPr>
          <w:rFonts w:hint="eastAsia" w:ascii="宋体" w:hAnsi="宋体" w:eastAsia="宋体" w:cs="宋体"/>
          <w:color w:val="auto"/>
          <w:kern w:val="0"/>
          <w:sz w:val="24"/>
        </w:rPr>
        <w:t>安居区由于受川东、川西两大雨区的控制，琼江历史上曾多次发生水大拦江、淹没大安、冲跨安居大桥、中断公路交通等严重洪灾。琼江安居城区河段位于萝卜园水库回水范围内，受萝卜园水库回水影响，现状河岸不能满足20年一遇防洪标准，且两岸为规划城区，汛期常出现洪水倒灌，岸坡不稳定，居民房屋受损，严重影响地区经济发展。本次工程的建设是十分必要的，也是十分的迫切的，工程建成后在安居城区形成完善的防洪体系，保障城区居民生命及财产安全；打造城市生态景观，改善人居生活条件，促进城市发展和建设。</w:t>
      </w:r>
    </w:p>
    <w:p>
      <w:pPr>
        <w:keepNext w:val="0"/>
        <w:keepLines w:val="0"/>
        <w:pageBreakBefore w:val="0"/>
        <w:widowControl/>
        <w:kinsoku/>
        <w:wordWrap/>
        <w:overflowPunct/>
        <w:autoSpaceDE/>
        <w:autoSpaceDN/>
        <w:bidi w:val="0"/>
        <w:adjustRightInd/>
        <w:snapToGrid/>
        <w:spacing w:line="360" w:lineRule="auto"/>
        <w:ind w:left="0" w:firstLine="480" w:firstLineChars="200"/>
        <w:jc w:val="left"/>
        <w:rPr>
          <w:rFonts w:ascii="Times New Roman" w:hAnsi="Times New Roman"/>
          <w:color w:val="auto"/>
          <w:kern w:val="0"/>
          <w:sz w:val="24"/>
        </w:rPr>
      </w:pPr>
      <w:r>
        <w:rPr>
          <w:rFonts w:hint="eastAsia" w:ascii="Times New Roman" w:hAnsi="Times New Roman"/>
          <w:color w:val="auto"/>
          <w:kern w:val="0"/>
          <w:sz w:val="24"/>
          <w:lang w:val="en-US" w:eastAsia="zh-CN"/>
        </w:rPr>
        <w:t>由于</w:t>
      </w:r>
      <w:r>
        <w:rPr>
          <w:rFonts w:hint="eastAsia" w:ascii="Times New Roman" w:hAnsi="Times New Roman"/>
          <w:color w:val="auto"/>
          <w:kern w:val="0"/>
          <w:sz w:val="24"/>
          <w:lang w:eastAsia="zh-CN"/>
        </w:rPr>
        <w:t>遂宁市安居区琼江两中心五馆段防洪治理工程</w:t>
      </w:r>
      <w:r>
        <w:rPr>
          <w:rFonts w:ascii="Times New Roman" w:hAnsi="Times New Roman"/>
          <w:color w:val="auto"/>
          <w:kern w:val="0"/>
          <w:sz w:val="24"/>
        </w:rPr>
        <w:t>涉及琼江翘嘴红鲌省级水产种质资源保护区--</w:t>
      </w:r>
      <w:r>
        <w:rPr>
          <w:rFonts w:hint="eastAsia" w:ascii="Times New Roman" w:hAnsi="Times New Roman"/>
          <w:color w:val="auto"/>
          <w:kern w:val="0"/>
          <w:sz w:val="24"/>
          <w:lang w:val="en-US" w:eastAsia="zh-CN"/>
        </w:rPr>
        <w:t>核心区</w:t>
      </w:r>
      <w:r>
        <w:rPr>
          <w:rFonts w:ascii="Times New Roman" w:hAnsi="Times New Roman"/>
          <w:color w:val="auto"/>
          <w:kern w:val="0"/>
          <w:sz w:val="24"/>
        </w:rPr>
        <w:t>。本项目的建设，一定程度上会改变周边生态环境，对水生生物、维管束植物、生态景观等造成影响。弄清当地生态现状，</w:t>
      </w:r>
      <w:r>
        <w:rPr>
          <w:rFonts w:hint="eastAsia" w:ascii="Times New Roman" w:hAnsi="Times New Roman"/>
          <w:color w:val="auto"/>
          <w:kern w:val="0"/>
          <w:sz w:val="24"/>
          <w:lang w:val="en-US" w:eastAsia="zh-CN"/>
        </w:rPr>
        <w:t>预测</w:t>
      </w:r>
      <w:r>
        <w:rPr>
          <w:rFonts w:ascii="Times New Roman" w:hAnsi="Times New Roman"/>
          <w:color w:val="auto"/>
          <w:kern w:val="0"/>
          <w:sz w:val="24"/>
        </w:rPr>
        <w:t>分析项目建设对当地生态造成的影响，分析这些影响的成因，影响程度，针对性的提出环境保护措施等是本评价的主要目的。</w:t>
      </w:r>
    </w:p>
    <w:p>
      <w:pPr>
        <w:pStyle w:val="4"/>
        <w:keepNext w:val="0"/>
        <w:keepLines w:val="0"/>
        <w:pageBreakBefore w:val="0"/>
        <w:widowControl w:val="0"/>
        <w:kinsoku/>
        <w:wordWrap/>
        <w:overflowPunct/>
        <w:topLinePunct w:val="0"/>
        <w:autoSpaceDE/>
        <w:autoSpaceDN/>
        <w:bidi w:val="0"/>
        <w:adjustRightInd/>
        <w:snapToGrid/>
        <w:spacing w:beforeLines="0" w:afterLines="0"/>
        <w:ind w:left="578" w:hanging="578"/>
        <w:textAlignment w:val="auto"/>
        <w:rPr>
          <w:color w:val="auto"/>
        </w:rPr>
      </w:pPr>
      <w:bookmarkStart w:id="12" w:name="_Toc54659626"/>
      <w:bookmarkStart w:id="13" w:name="_Toc54657418"/>
      <w:bookmarkStart w:id="14" w:name="_Toc20409"/>
      <w:bookmarkStart w:id="15" w:name="_Toc54799175"/>
      <w:r>
        <w:rPr>
          <w:color w:val="auto"/>
        </w:rPr>
        <w:t>实施过程</w:t>
      </w:r>
      <w:bookmarkEnd w:id="12"/>
      <w:bookmarkEnd w:id="13"/>
      <w:bookmarkEnd w:id="14"/>
      <w:bookmarkEnd w:id="15"/>
    </w:p>
    <w:p>
      <w:pPr>
        <w:keepNext w:val="0"/>
        <w:keepLines w:val="0"/>
        <w:pageBreakBefore w:val="0"/>
        <w:kinsoku/>
        <w:wordWrap/>
        <w:overflowPunct/>
        <w:topLinePunct/>
        <w:autoSpaceDE/>
        <w:autoSpaceDN/>
        <w:bidi w:val="0"/>
        <w:adjustRightInd/>
        <w:snapToGrid/>
        <w:spacing w:line="360" w:lineRule="auto"/>
        <w:ind w:left="0" w:firstLine="480" w:firstLineChars="200"/>
        <w:textAlignment w:val="top"/>
        <w:rPr>
          <w:rFonts w:ascii="Times New Roman" w:hAnsi="Times New Roman"/>
          <w:color w:val="auto"/>
          <w:sz w:val="24"/>
        </w:rPr>
      </w:pPr>
      <w:r>
        <w:rPr>
          <w:rFonts w:ascii="Times New Roman" w:hAnsi="Times New Roman"/>
          <w:color w:val="auto"/>
          <w:sz w:val="24"/>
        </w:rPr>
        <w:t>接受任务后，我单位首先对设计资料（包括工程所在地区地形、地貌、地质、气象、水文、工程设计参数）进行了分析，初步掌握了工程特点，在此基础上制定了工作计划并进行了组织分工。生态评价人员进行了现场踏勘，了解了项目所在地的生态环境状况并完成区域生态环境资料收集工作。</w:t>
      </w:r>
    </w:p>
    <w:p>
      <w:pPr>
        <w:keepNext w:val="0"/>
        <w:keepLines w:val="0"/>
        <w:pageBreakBefore w:val="0"/>
        <w:kinsoku/>
        <w:wordWrap/>
        <w:overflowPunct/>
        <w:topLinePunct/>
        <w:autoSpaceDE/>
        <w:autoSpaceDN/>
        <w:bidi w:val="0"/>
        <w:adjustRightInd/>
        <w:snapToGrid/>
        <w:spacing w:line="360" w:lineRule="auto"/>
        <w:ind w:left="0" w:firstLine="480" w:firstLineChars="200"/>
        <w:textAlignment w:val="top"/>
        <w:rPr>
          <w:rFonts w:ascii="Times New Roman" w:hAnsi="Times New Roman"/>
          <w:color w:val="FF0000"/>
        </w:rPr>
      </w:pPr>
      <w:r>
        <w:rPr>
          <w:rFonts w:ascii="Times New Roman" w:hAnsi="Times New Roman"/>
          <w:color w:val="auto"/>
          <w:sz w:val="24"/>
        </w:rPr>
        <w:t>在掌握了大量的第一手资料后，我们进行了细致的资料和数据处理分析，对工程区及评价范围的生态环境进行了评价，并从环境保护的角度论证了工程建设的可行性。</w:t>
      </w:r>
      <w:r>
        <w:rPr>
          <w:rFonts w:ascii="Times New Roman" w:hAnsi="Times New Roman"/>
          <w:color w:val="FF0000"/>
        </w:rPr>
        <w:br w:type="page"/>
      </w:r>
    </w:p>
    <w:p>
      <w:pPr>
        <w:pStyle w:val="3"/>
        <w:rPr>
          <w:color w:val="auto"/>
          <w:lang w:val="zh-CN"/>
        </w:rPr>
      </w:pPr>
      <w:bookmarkStart w:id="16" w:name="_Toc54799176"/>
      <w:bookmarkStart w:id="17" w:name="_Toc15765"/>
      <w:bookmarkStart w:id="18" w:name="_Toc54659627"/>
      <w:bookmarkStart w:id="19" w:name="_Toc54657419"/>
      <w:r>
        <w:rPr>
          <w:color w:val="auto"/>
          <w:lang w:val="zh-CN"/>
        </w:rPr>
        <w:t>总 则</w:t>
      </w:r>
      <w:bookmarkEnd w:id="16"/>
      <w:bookmarkEnd w:id="17"/>
      <w:bookmarkEnd w:id="18"/>
      <w:bookmarkEnd w:id="19"/>
    </w:p>
    <w:p>
      <w:pPr>
        <w:pStyle w:val="4"/>
        <w:spacing w:before="120" w:after="120"/>
        <w:rPr>
          <w:color w:val="auto"/>
        </w:rPr>
      </w:pPr>
      <w:bookmarkStart w:id="20" w:name="_Toc5754"/>
      <w:bookmarkStart w:id="21" w:name="_Toc54657420"/>
      <w:bookmarkStart w:id="22" w:name="_Toc54659628"/>
      <w:bookmarkStart w:id="23" w:name="_Toc54799177"/>
      <w:r>
        <w:rPr>
          <w:color w:val="auto"/>
        </w:rPr>
        <w:t>编制依据</w:t>
      </w:r>
      <w:bookmarkEnd w:id="20"/>
      <w:bookmarkEnd w:id="21"/>
      <w:bookmarkEnd w:id="22"/>
      <w:bookmarkEnd w:id="23"/>
    </w:p>
    <w:p>
      <w:pPr>
        <w:pStyle w:val="5"/>
        <w:rPr>
          <w:color w:val="auto"/>
        </w:rPr>
      </w:pPr>
      <w:bookmarkStart w:id="24" w:name="_Toc54799178"/>
      <w:bookmarkStart w:id="25" w:name="_Toc29904"/>
      <w:r>
        <w:rPr>
          <w:color w:val="auto"/>
        </w:rPr>
        <w:t>法律、法规与规章</w:t>
      </w:r>
      <w:bookmarkEnd w:id="24"/>
      <w:bookmarkEnd w:id="25"/>
    </w:p>
    <w:p>
      <w:pPr>
        <w:pStyle w:val="50"/>
        <w:numPr>
          <w:ilvl w:val="0"/>
          <w:numId w:val="3"/>
        </w:numPr>
        <w:snapToGrid w:val="0"/>
        <w:spacing w:line="360" w:lineRule="auto"/>
        <w:ind w:firstLineChars="0"/>
        <w:rPr>
          <w:color w:val="auto"/>
        </w:rPr>
      </w:pPr>
      <w:r>
        <w:rPr>
          <w:color w:val="auto"/>
        </w:rPr>
        <w:t>《中华人民共和国环境保护法》（2014年修订，2015年1月1日起施行）</w:t>
      </w:r>
    </w:p>
    <w:p>
      <w:pPr>
        <w:pStyle w:val="50"/>
        <w:numPr>
          <w:ilvl w:val="0"/>
          <w:numId w:val="3"/>
        </w:numPr>
        <w:snapToGrid w:val="0"/>
        <w:spacing w:line="360" w:lineRule="auto"/>
        <w:ind w:firstLineChars="0"/>
        <w:rPr>
          <w:color w:val="auto"/>
        </w:rPr>
      </w:pPr>
      <w:r>
        <w:rPr>
          <w:color w:val="auto"/>
        </w:rPr>
        <w:t>《中华人民共和国环境影响评价法》（2018年修订，2018年12月29日起施行）</w:t>
      </w:r>
    </w:p>
    <w:p>
      <w:pPr>
        <w:pStyle w:val="50"/>
        <w:numPr>
          <w:ilvl w:val="0"/>
          <w:numId w:val="3"/>
        </w:numPr>
        <w:snapToGrid w:val="0"/>
        <w:spacing w:line="360" w:lineRule="auto"/>
        <w:ind w:firstLineChars="0"/>
        <w:rPr>
          <w:color w:val="auto"/>
        </w:rPr>
      </w:pPr>
      <w:r>
        <w:rPr>
          <w:color w:val="auto"/>
        </w:rPr>
        <w:t>《中华人民共和国渔业法》，2014年修正</w:t>
      </w:r>
    </w:p>
    <w:p>
      <w:pPr>
        <w:pStyle w:val="50"/>
        <w:numPr>
          <w:ilvl w:val="0"/>
          <w:numId w:val="3"/>
        </w:numPr>
        <w:snapToGrid w:val="0"/>
        <w:spacing w:line="360" w:lineRule="auto"/>
        <w:ind w:firstLineChars="0"/>
        <w:rPr>
          <w:color w:val="auto"/>
        </w:rPr>
      </w:pPr>
      <w:r>
        <w:rPr>
          <w:color w:val="auto"/>
        </w:rPr>
        <w:t>《中华人民共和国水土保持法》（2011年3月1日起施行）</w:t>
      </w:r>
    </w:p>
    <w:p>
      <w:pPr>
        <w:pStyle w:val="50"/>
        <w:numPr>
          <w:ilvl w:val="0"/>
          <w:numId w:val="3"/>
        </w:numPr>
        <w:snapToGrid w:val="0"/>
        <w:spacing w:line="360" w:lineRule="auto"/>
        <w:ind w:firstLineChars="0"/>
        <w:rPr>
          <w:color w:val="auto"/>
        </w:rPr>
      </w:pPr>
      <w:r>
        <w:rPr>
          <w:color w:val="auto"/>
        </w:rPr>
        <w:t>《中华人民共和国野生动物保护法》（2016年7月修正）</w:t>
      </w:r>
    </w:p>
    <w:p>
      <w:pPr>
        <w:pStyle w:val="50"/>
        <w:numPr>
          <w:ilvl w:val="0"/>
          <w:numId w:val="3"/>
        </w:numPr>
        <w:snapToGrid w:val="0"/>
        <w:spacing w:line="360" w:lineRule="auto"/>
        <w:ind w:firstLineChars="0"/>
        <w:rPr>
          <w:color w:val="auto"/>
        </w:rPr>
      </w:pPr>
      <w:r>
        <w:rPr>
          <w:color w:val="auto"/>
        </w:rPr>
        <w:t>《中华人民共和国陆生野生动物保护实施条例》（2016年2月修正）</w:t>
      </w:r>
    </w:p>
    <w:p>
      <w:pPr>
        <w:pStyle w:val="50"/>
        <w:numPr>
          <w:ilvl w:val="0"/>
          <w:numId w:val="3"/>
        </w:numPr>
        <w:snapToGrid w:val="0"/>
        <w:spacing w:line="360" w:lineRule="auto"/>
        <w:ind w:firstLineChars="0"/>
        <w:rPr>
          <w:color w:val="auto"/>
        </w:rPr>
      </w:pPr>
      <w:r>
        <w:rPr>
          <w:color w:val="auto"/>
        </w:rPr>
        <w:t>《中华人民共和国野生植物保护条例》（2017年10月7日修正）</w:t>
      </w:r>
    </w:p>
    <w:p>
      <w:pPr>
        <w:pStyle w:val="50"/>
        <w:numPr>
          <w:ilvl w:val="0"/>
          <w:numId w:val="3"/>
        </w:numPr>
        <w:snapToGrid w:val="0"/>
        <w:spacing w:line="360" w:lineRule="auto"/>
        <w:ind w:firstLineChars="0"/>
        <w:rPr>
          <w:color w:val="auto"/>
        </w:rPr>
      </w:pPr>
      <w:r>
        <w:rPr>
          <w:color w:val="auto"/>
        </w:rPr>
        <w:t>《国家重点保护野生动物名录》（2003.2，国家林业局令第7号）</w:t>
      </w:r>
    </w:p>
    <w:p>
      <w:pPr>
        <w:pStyle w:val="50"/>
        <w:numPr>
          <w:ilvl w:val="0"/>
          <w:numId w:val="3"/>
        </w:numPr>
        <w:snapToGrid w:val="0"/>
        <w:spacing w:line="360" w:lineRule="auto"/>
        <w:ind w:firstLineChars="0"/>
        <w:rPr>
          <w:rFonts w:ascii="Times New Roman" w:hAnsi="Times New Roman" w:cs="Times New Roman"/>
          <w:color w:val="auto"/>
        </w:rPr>
      </w:pPr>
      <w:r>
        <w:rPr>
          <w:rFonts w:ascii="Times New Roman" w:hAnsi="Times New Roman" w:cs="Times New Roman"/>
          <w:color w:val="auto"/>
        </w:rPr>
        <w:t>《国家重点保护野生植物名录》（20</w:t>
      </w:r>
      <w:r>
        <w:rPr>
          <w:rFonts w:hint="eastAsia" w:ascii="Times New Roman" w:hAnsi="Times New Roman" w:cs="Times New Roman"/>
          <w:color w:val="auto"/>
          <w:lang w:val="en-US" w:eastAsia="zh-CN"/>
        </w:rPr>
        <w:t>21.9</w:t>
      </w:r>
      <w:r>
        <w:rPr>
          <w:rFonts w:ascii="Times New Roman" w:hAnsi="Times New Roman" w:cs="Times New Roman"/>
          <w:color w:val="auto"/>
        </w:rPr>
        <w:t>，国家林业</w:t>
      </w:r>
      <w:r>
        <w:rPr>
          <w:rFonts w:hint="eastAsia" w:ascii="Times New Roman" w:hAnsi="Times New Roman" w:cs="Times New Roman"/>
          <w:color w:val="auto"/>
          <w:lang w:val="en-US" w:eastAsia="zh-CN"/>
        </w:rPr>
        <w:t>和草原</w:t>
      </w:r>
      <w:r>
        <w:rPr>
          <w:rFonts w:ascii="Times New Roman" w:hAnsi="Times New Roman" w:cs="Times New Roman"/>
          <w:color w:val="auto"/>
        </w:rPr>
        <w:t>局</w:t>
      </w:r>
      <w:r>
        <w:rPr>
          <w:rFonts w:hint="eastAsia" w:ascii="Times New Roman" w:hAnsi="Times New Roman" w:cs="Times New Roman"/>
          <w:color w:val="auto"/>
          <w:lang w:eastAsia="zh-CN"/>
        </w:rPr>
        <w:t>、</w:t>
      </w:r>
      <w:r>
        <w:rPr>
          <w:rFonts w:hint="default" w:ascii="Times New Roman" w:hAnsi="Times New Roman" w:cs="Times New Roman"/>
          <w:color w:val="auto"/>
        </w:rPr>
        <w:t>农业农村部公告2021年第15号</w:t>
      </w:r>
      <w:r>
        <w:rPr>
          <w:rFonts w:hint="eastAsia" w:ascii="Times New Roman" w:hAnsi="Times New Roman" w:cs="Times New Roman"/>
          <w:color w:val="auto"/>
          <w:lang w:eastAsia="zh-CN"/>
        </w:rPr>
        <w:t>）</w:t>
      </w:r>
    </w:p>
    <w:p>
      <w:pPr>
        <w:pStyle w:val="50"/>
        <w:numPr>
          <w:ilvl w:val="0"/>
          <w:numId w:val="3"/>
        </w:numPr>
        <w:snapToGrid w:val="0"/>
        <w:spacing w:line="360" w:lineRule="auto"/>
        <w:ind w:firstLineChars="0"/>
        <w:rPr>
          <w:color w:val="auto"/>
        </w:rPr>
      </w:pPr>
      <w:r>
        <w:rPr>
          <w:color w:val="auto"/>
        </w:rPr>
        <w:t>《四川省主体功能区规划》（四川省人民政府，2013年4月）</w:t>
      </w:r>
    </w:p>
    <w:p>
      <w:pPr>
        <w:pStyle w:val="50"/>
        <w:numPr>
          <w:ilvl w:val="0"/>
          <w:numId w:val="3"/>
        </w:numPr>
        <w:snapToGrid w:val="0"/>
        <w:spacing w:line="360" w:lineRule="auto"/>
        <w:ind w:firstLineChars="0"/>
        <w:rPr>
          <w:color w:val="auto"/>
        </w:rPr>
      </w:pPr>
      <w:r>
        <w:rPr>
          <w:color w:val="auto"/>
        </w:rPr>
        <w:t>《四川省生态功能区划》（2006年5月）</w:t>
      </w:r>
    </w:p>
    <w:p>
      <w:pPr>
        <w:pStyle w:val="122"/>
        <w:numPr>
          <w:ilvl w:val="0"/>
          <w:numId w:val="3"/>
        </w:numPr>
        <w:snapToGrid/>
        <w:spacing w:before="100" w:beforeAutospacing="1"/>
        <w:ind w:firstLineChars="0"/>
        <w:jc w:val="left"/>
        <w:rPr>
          <w:color w:val="auto"/>
          <w:szCs w:val="24"/>
        </w:rPr>
      </w:pPr>
      <w:r>
        <w:rPr>
          <w:color w:val="auto"/>
          <w:szCs w:val="24"/>
        </w:rPr>
        <w:t>《四川省重点保护野生动物名录》（四川省人民政府1990年3月12日公布）</w:t>
      </w:r>
    </w:p>
    <w:p>
      <w:pPr>
        <w:pStyle w:val="122"/>
        <w:numPr>
          <w:ilvl w:val="0"/>
          <w:numId w:val="3"/>
        </w:numPr>
        <w:snapToGrid/>
        <w:spacing w:before="100" w:beforeAutospacing="1"/>
        <w:ind w:firstLineChars="0"/>
        <w:jc w:val="left"/>
        <w:rPr>
          <w:color w:val="auto"/>
          <w:szCs w:val="24"/>
        </w:rPr>
      </w:pPr>
      <w:r>
        <w:rPr>
          <w:color w:val="auto"/>
          <w:szCs w:val="24"/>
        </w:rPr>
        <w:t>《四川省新增重点保护野生动物名录》四川省人民政府（川府发〔2000〕37号2000年9月13日发布）</w:t>
      </w:r>
    </w:p>
    <w:p>
      <w:pPr>
        <w:pStyle w:val="156"/>
        <w:numPr>
          <w:ilvl w:val="0"/>
          <w:numId w:val="3"/>
        </w:numPr>
        <w:spacing w:line="360" w:lineRule="auto"/>
        <w:rPr>
          <w:color w:val="auto"/>
        </w:rPr>
      </w:pPr>
      <w:r>
        <w:rPr>
          <w:color w:val="auto"/>
          <w:sz w:val="24"/>
          <w:szCs w:val="24"/>
        </w:rPr>
        <w:t>《四川省&lt;中华人民共和国野生动物保护法&gt;实施办法》（</w:t>
      </w:r>
      <w:r>
        <w:rPr>
          <w:color w:val="auto"/>
          <w:spacing w:val="17"/>
          <w:sz w:val="24"/>
          <w:szCs w:val="24"/>
          <w:shd w:val="clear" w:color="auto" w:fill="FFFFFF"/>
        </w:rPr>
        <w:t>2012年7月27日修订</w:t>
      </w:r>
      <w:r>
        <w:rPr>
          <w:color w:val="auto"/>
          <w:sz w:val="24"/>
          <w:szCs w:val="24"/>
        </w:rPr>
        <w:t>实施）</w:t>
      </w:r>
    </w:p>
    <w:p>
      <w:pPr>
        <w:pStyle w:val="50"/>
        <w:numPr>
          <w:ilvl w:val="0"/>
          <w:numId w:val="3"/>
        </w:numPr>
        <w:snapToGrid w:val="0"/>
        <w:spacing w:line="360" w:lineRule="auto"/>
        <w:ind w:firstLineChars="0"/>
        <w:rPr>
          <w:color w:val="auto"/>
        </w:rPr>
      </w:pPr>
      <w:r>
        <w:rPr>
          <w:color w:val="auto"/>
        </w:rPr>
        <w:t>《中共中央办公厅、国务院办公厅关于划定并严守生态保护红线的若干意见》（2017年2月7日）</w:t>
      </w:r>
    </w:p>
    <w:p>
      <w:pPr>
        <w:pStyle w:val="50"/>
        <w:numPr>
          <w:ilvl w:val="0"/>
          <w:numId w:val="3"/>
        </w:numPr>
        <w:snapToGrid w:val="0"/>
        <w:spacing w:line="360" w:lineRule="auto"/>
        <w:ind w:firstLineChars="0"/>
        <w:rPr>
          <w:color w:val="auto"/>
        </w:rPr>
      </w:pPr>
      <w:r>
        <w:rPr>
          <w:color w:val="auto"/>
        </w:rPr>
        <w:t>《四川省人民政府关于印发四川省生态保护红线实施意见的通知》（川府发[2018]24号）</w:t>
      </w:r>
    </w:p>
    <w:p>
      <w:pPr>
        <w:pStyle w:val="50"/>
        <w:numPr>
          <w:ilvl w:val="0"/>
          <w:numId w:val="3"/>
        </w:numPr>
        <w:snapToGrid w:val="0"/>
        <w:spacing w:line="360" w:lineRule="auto"/>
        <w:ind w:firstLineChars="0"/>
        <w:rPr>
          <w:color w:val="auto"/>
        </w:rPr>
      </w:pPr>
      <w:r>
        <w:rPr>
          <w:color w:val="auto"/>
        </w:rPr>
        <w:t>《中华人民共和国水生野生动物保护实施条例》，2013年12月27日修订；</w:t>
      </w:r>
    </w:p>
    <w:p>
      <w:pPr>
        <w:pStyle w:val="50"/>
        <w:numPr>
          <w:ilvl w:val="0"/>
          <w:numId w:val="3"/>
        </w:numPr>
        <w:snapToGrid w:val="0"/>
        <w:spacing w:line="360" w:lineRule="auto"/>
        <w:ind w:firstLineChars="0"/>
        <w:rPr>
          <w:color w:val="auto"/>
        </w:rPr>
      </w:pPr>
      <w:r>
        <w:rPr>
          <w:color w:val="auto"/>
        </w:rPr>
        <w:t>《中华人民共和国河道管理条例》，2017年10月7日修正；</w:t>
      </w:r>
    </w:p>
    <w:p>
      <w:pPr>
        <w:pStyle w:val="50"/>
        <w:numPr>
          <w:ilvl w:val="0"/>
          <w:numId w:val="3"/>
        </w:numPr>
        <w:snapToGrid w:val="0"/>
        <w:spacing w:line="360" w:lineRule="auto"/>
        <w:ind w:firstLineChars="0"/>
        <w:rPr>
          <w:color w:val="auto"/>
        </w:rPr>
      </w:pPr>
      <w:r>
        <w:rPr>
          <w:color w:val="auto"/>
        </w:rPr>
        <w:t>《国家重点保护野生动物名录》，2021年2月5日；</w:t>
      </w:r>
    </w:p>
    <w:p>
      <w:pPr>
        <w:pStyle w:val="50"/>
        <w:numPr>
          <w:ilvl w:val="0"/>
          <w:numId w:val="3"/>
        </w:numPr>
        <w:snapToGrid w:val="0"/>
        <w:spacing w:line="360" w:lineRule="auto"/>
        <w:ind w:firstLineChars="0"/>
        <w:rPr>
          <w:color w:val="auto"/>
        </w:rPr>
      </w:pPr>
      <w:r>
        <w:rPr>
          <w:color w:val="auto"/>
        </w:rPr>
        <w:t>《关于进一步加强水生生物资源保护严格环境影响评价管理的通知》，环发〔2013〕86号；</w:t>
      </w:r>
    </w:p>
    <w:p>
      <w:pPr>
        <w:pStyle w:val="50"/>
        <w:numPr>
          <w:ilvl w:val="0"/>
          <w:numId w:val="3"/>
        </w:numPr>
        <w:snapToGrid w:val="0"/>
        <w:spacing w:line="360" w:lineRule="auto"/>
        <w:ind w:firstLineChars="0"/>
        <w:rPr>
          <w:color w:val="auto"/>
        </w:rPr>
      </w:pPr>
      <w:r>
        <w:rPr>
          <w:color w:val="auto"/>
        </w:rPr>
        <w:t>《水污染防治行动计划》，2015年4月；</w:t>
      </w:r>
    </w:p>
    <w:p>
      <w:pPr>
        <w:pStyle w:val="5"/>
        <w:rPr>
          <w:color w:val="auto"/>
        </w:rPr>
      </w:pPr>
      <w:bookmarkStart w:id="26" w:name="_Toc54799179"/>
      <w:bookmarkStart w:id="27" w:name="_Toc28018"/>
      <w:r>
        <w:rPr>
          <w:color w:val="auto"/>
        </w:rPr>
        <w:t>导则、规范和规程</w:t>
      </w:r>
      <w:bookmarkEnd w:id="26"/>
      <w:bookmarkEnd w:id="27"/>
    </w:p>
    <w:p>
      <w:pPr>
        <w:pStyle w:val="50"/>
        <w:numPr>
          <w:ilvl w:val="0"/>
          <w:numId w:val="4"/>
        </w:numPr>
        <w:snapToGrid w:val="0"/>
        <w:spacing w:line="360" w:lineRule="auto"/>
        <w:ind w:firstLineChars="0"/>
        <w:rPr>
          <w:color w:val="auto"/>
        </w:rPr>
      </w:pPr>
      <w:r>
        <w:rPr>
          <w:color w:val="auto"/>
        </w:rPr>
        <w:t>《建设项目环境影响评价技术导则 总纲》（HJ2.1-2016)</w:t>
      </w:r>
    </w:p>
    <w:p>
      <w:pPr>
        <w:pStyle w:val="50"/>
        <w:numPr>
          <w:ilvl w:val="0"/>
          <w:numId w:val="4"/>
        </w:numPr>
        <w:snapToGrid w:val="0"/>
        <w:spacing w:line="360" w:lineRule="auto"/>
        <w:ind w:firstLineChars="0"/>
        <w:rPr>
          <w:color w:val="auto"/>
        </w:rPr>
      </w:pPr>
      <w:r>
        <w:rPr>
          <w:color w:val="auto"/>
        </w:rPr>
        <w:t>《环境影响评价技术导则 生态影响》（HJ19-20</w:t>
      </w:r>
      <w:r>
        <w:rPr>
          <w:rFonts w:hint="eastAsia"/>
          <w:color w:val="auto"/>
          <w:lang w:val="en-US" w:eastAsia="zh-CN"/>
        </w:rPr>
        <w:t>22</w:t>
      </w:r>
      <w:r>
        <w:rPr>
          <w:color w:val="auto"/>
        </w:rPr>
        <w:t>）</w:t>
      </w:r>
    </w:p>
    <w:p>
      <w:pPr>
        <w:pStyle w:val="50"/>
        <w:numPr>
          <w:ilvl w:val="0"/>
          <w:numId w:val="4"/>
        </w:numPr>
        <w:snapToGrid w:val="0"/>
        <w:spacing w:line="360" w:lineRule="auto"/>
        <w:ind w:firstLineChars="0"/>
        <w:rPr>
          <w:color w:val="auto"/>
        </w:rPr>
      </w:pPr>
      <w:r>
        <w:rPr>
          <w:color w:val="auto"/>
        </w:rPr>
        <w:t>《外来物种环境风险评估技术导则》（HJ624-2011）</w:t>
      </w:r>
    </w:p>
    <w:p>
      <w:pPr>
        <w:pStyle w:val="50"/>
        <w:numPr>
          <w:ilvl w:val="0"/>
          <w:numId w:val="4"/>
        </w:numPr>
        <w:snapToGrid w:val="0"/>
        <w:spacing w:line="360" w:lineRule="auto"/>
        <w:ind w:firstLineChars="0"/>
        <w:rPr>
          <w:color w:val="auto"/>
        </w:rPr>
      </w:pPr>
      <w:r>
        <w:rPr>
          <w:color w:val="auto"/>
        </w:rPr>
        <w:t>《生态环境状况评价技术规范》（HJ192-2015）</w:t>
      </w:r>
    </w:p>
    <w:p>
      <w:pPr>
        <w:pStyle w:val="50"/>
        <w:numPr>
          <w:ilvl w:val="0"/>
          <w:numId w:val="4"/>
        </w:numPr>
        <w:snapToGrid w:val="0"/>
        <w:spacing w:line="360" w:lineRule="auto"/>
        <w:ind w:firstLineChars="0"/>
        <w:rPr>
          <w:color w:val="auto"/>
        </w:rPr>
      </w:pPr>
      <w:r>
        <w:rPr>
          <w:color w:val="auto"/>
        </w:rPr>
        <w:t>《水产种质资源保护区管理暂行办法》，中华人民共和国农业部令2011年第1号。</w:t>
      </w:r>
    </w:p>
    <w:p>
      <w:pPr>
        <w:pStyle w:val="50"/>
        <w:numPr>
          <w:ilvl w:val="0"/>
          <w:numId w:val="4"/>
        </w:numPr>
        <w:snapToGrid w:val="0"/>
        <w:spacing w:line="360" w:lineRule="auto"/>
        <w:ind w:firstLineChars="0"/>
        <w:rPr>
          <w:color w:val="auto"/>
        </w:rPr>
      </w:pPr>
      <w:r>
        <w:rPr>
          <w:color w:val="auto"/>
        </w:rPr>
        <w:t>《四川省&lt;中华人民共和国渔业法&gt;实施办法》</w:t>
      </w:r>
      <w:r>
        <w:rPr>
          <w:rFonts w:hint="eastAsia"/>
          <w:color w:val="auto"/>
          <w:lang w:eastAsia="zh-CN"/>
        </w:rPr>
        <w:t>，</w:t>
      </w:r>
      <w:r>
        <w:rPr>
          <w:color w:val="auto"/>
        </w:rPr>
        <w:t>2016年修正；</w:t>
      </w:r>
    </w:p>
    <w:p>
      <w:pPr>
        <w:pStyle w:val="50"/>
        <w:numPr>
          <w:ilvl w:val="0"/>
          <w:numId w:val="4"/>
        </w:numPr>
        <w:snapToGrid w:val="0"/>
        <w:spacing w:line="360" w:lineRule="auto"/>
        <w:ind w:firstLineChars="0"/>
        <w:rPr>
          <w:color w:val="auto"/>
        </w:rPr>
      </w:pPr>
      <w:r>
        <w:rPr>
          <w:color w:val="auto"/>
        </w:rPr>
        <w:t>《四川省人民政府办公厅关于公布省级行政机关行政许可项目的通告》（川办发〔2007〕1号）；</w:t>
      </w:r>
    </w:p>
    <w:p>
      <w:pPr>
        <w:pStyle w:val="5"/>
        <w:rPr>
          <w:color w:val="auto"/>
        </w:rPr>
      </w:pPr>
      <w:bookmarkStart w:id="28" w:name="_Toc7309"/>
      <w:bookmarkStart w:id="29" w:name="_Toc54799180"/>
      <w:r>
        <w:rPr>
          <w:color w:val="auto"/>
        </w:rPr>
        <w:t>项目相关资料</w:t>
      </w:r>
      <w:bookmarkEnd w:id="28"/>
      <w:bookmarkEnd w:id="29"/>
    </w:p>
    <w:p>
      <w:pPr>
        <w:pStyle w:val="18"/>
        <w:numPr>
          <w:ilvl w:val="0"/>
          <w:numId w:val="5"/>
        </w:numPr>
        <w:snapToGrid w:val="0"/>
        <w:spacing w:after="0" w:line="360" w:lineRule="auto"/>
        <w:rPr>
          <w:rFonts w:ascii="Times New Roman" w:hAnsi="Times New Roman"/>
          <w:color w:val="auto"/>
          <w:sz w:val="24"/>
        </w:rPr>
      </w:pPr>
      <w:r>
        <w:rPr>
          <w:rFonts w:ascii="Times New Roman" w:hAnsi="Times New Roman"/>
          <w:color w:val="auto"/>
          <w:sz w:val="24"/>
        </w:rPr>
        <w:t>《四川鱼类志》四川科学技术出版社，1994年；</w:t>
      </w:r>
    </w:p>
    <w:p>
      <w:pPr>
        <w:pStyle w:val="18"/>
        <w:numPr>
          <w:ilvl w:val="0"/>
          <w:numId w:val="5"/>
        </w:numPr>
        <w:snapToGrid w:val="0"/>
        <w:spacing w:after="0" w:line="360" w:lineRule="auto"/>
        <w:rPr>
          <w:rFonts w:ascii="Times New Roman" w:hAnsi="Times New Roman"/>
          <w:color w:val="auto"/>
          <w:sz w:val="24"/>
        </w:rPr>
      </w:pPr>
      <w:r>
        <w:rPr>
          <w:rFonts w:ascii="Times New Roman" w:hAnsi="Times New Roman"/>
          <w:color w:val="auto"/>
          <w:sz w:val="24"/>
        </w:rPr>
        <w:t>《</w:t>
      </w:r>
      <w:r>
        <w:rPr>
          <w:rFonts w:hint="eastAsia" w:ascii="Times New Roman" w:hAnsi="Times New Roman"/>
          <w:color w:val="auto"/>
          <w:sz w:val="24"/>
          <w:lang w:eastAsia="zh-CN"/>
        </w:rPr>
        <w:t>遂宁市安居区琼江两中心五馆段防洪治理工程</w:t>
      </w:r>
      <w:r>
        <w:rPr>
          <w:rFonts w:ascii="Times New Roman" w:hAnsi="Times New Roman"/>
          <w:color w:val="auto"/>
          <w:sz w:val="24"/>
        </w:rPr>
        <w:t>初步设计报告》，中国水利水电第七工程局有限公司，2019年</w:t>
      </w:r>
      <w:r>
        <w:rPr>
          <w:rFonts w:hint="eastAsia" w:ascii="Times New Roman" w:hAnsi="Times New Roman"/>
          <w:color w:val="auto"/>
          <w:sz w:val="24"/>
          <w:lang w:val="en-US" w:eastAsia="zh-CN"/>
        </w:rPr>
        <w:t>8</w:t>
      </w:r>
      <w:r>
        <w:rPr>
          <w:rFonts w:ascii="Times New Roman" w:hAnsi="Times New Roman"/>
          <w:color w:val="auto"/>
          <w:sz w:val="24"/>
        </w:rPr>
        <w:t>月；</w:t>
      </w:r>
    </w:p>
    <w:p>
      <w:pPr>
        <w:pStyle w:val="18"/>
        <w:numPr>
          <w:ilvl w:val="0"/>
          <w:numId w:val="5"/>
        </w:numPr>
        <w:snapToGrid w:val="0"/>
        <w:spacing w:after="0" w:line="360" w:lineRule="auto"/>
        <w:rPr>
          <w:rFonts w:ascii="Times New Roman" w:hAnsi="Times New Roman"/>
          <w:color w:val="auto"/>
          <w:sz w:val="24"/>
        </w:rPr>
      </w:pPr>
      <w:r>
        <w:rPr>
          <w:rFonts w:ascii="Times New Roman" w:hAnsi="Times New Roman"/>
          <w:color w:val="auto"/>
          <w:sz w:val="24"/>
        </w:rPr>
        <w:t>《遂宁市安居区琼江翘嘴红鲌省级水产种质资源保护区综合考察报告》</w:t>
      </w:r>
      <w:r>
        <w:rPr>
          <w:rFonts w:hint="eastAsia" w:ascii="Times New Roman" w:hAnsi="Times New Roman"/>
          <w:color w:val="auto"/>
          <w:sz w:val="24"/>
          <w:lang w:eastAsia="zh-CN"/>
        </w:rPr>
        <w:t>；</w:t>
      </w:r>
    </w:p>
    <w:p>
      <w:pPr>
        <w:pStyle w:val="50"/>
        <w:numPr>
          <w:ilvl w:val="0"/>
          <w:numId w:val="5"/>
        </w:numPr>
        <w:snapToGrid w:val="0"/>
        <w:spacing w:line="360" w:lineRule="auto"/>
        <w:ind w:firstLineChars="0"/>
        <w:rPr>
          <w:color w:val="auto"/>
        </w:rPr>
      </w:pPr>
      <w:r>
        <w:rPr>
          <w:color w:val="auto"/>
        </w:rPr>
        <w:t>遂宁市有关自然环境基础资料</w:t>
      </w:r>
      <w:r>
        <w:rPr>
          <w:rFonts w:hint="eastAsia"/>
          <w:color w:val="auto"/>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《中国植物志》第一卷——第八十卷，科学出版社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《中国植物红皮书》，科学出版社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《中国物种红色名录》，高等教育出版社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《中国植被》，科学出版社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《四川植被》，四川人民出版社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《四川植物志》 第一卷——第十七卷，四川科学技术出版社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《四川野生经济植物志》上、下册，四川科学技术出版社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《中国动物志》两栖纲、爬行纲、鸟纲、哺乳纲，科学出版社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《中国濒危动物红皮书》两栖类、爬行类、鸟类、兽类，科学出版社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《四川资源动物志》第一卷—第三卷，四川科学技术出版社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《中国爬行动物图鉴》，科学出版社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《四川爬行类原色图鉴》，中国林业出版社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《中国鸟类志》上卷、下卷，吉林科学技术出版社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《中国鸟类种和亚种分类名录大全》，科学出版社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《中国鸟类名称手册》，中国林业出版社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《四川鸟类原色图鉴》，中国林业出社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《四川鸟类鉴定手册》，中国林业出版社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《四川兽类原色图鉴》，中国林业出版社</w:t>
      </w:r>
      <w:r>
        <w:rPr>
          <w:rFonts w:hint="eastAsia" w:ascii="Times New Roman" w:hAnsi="Times New Roman"/>
          <w:color w:val="auto"/>
          <w:sz w:val="24"/>
          <w:lang w:eastAsia="zh-CN"/>
        </w:rPr>
        <w:t>；</w:t>
      </w:r>
    </w:p>
    <w:p>
      <w:pPr>
        <w:pStyle w:val="119"/>
        <w:numPr>
          <w:ilvl w:val="0"/>
          <w:numId w:val="5"/>
        </w:numPr>
        <w:spacing w:line="360" w:lineRule="auto"/>
        <w:ind w:firstLineChars="0"/>
        <w:rPr>
          <w:rFonts w:ascii="Times New Roman" w:hAnsi="Times New Roman"/>
          <w:color w:val="auto"/>
          <w:sz w:val="24"/>
        </w:rPr>
      </w:pPr>
      <w:r>
        <w:rPr>
          <w:rFonts w:ascii="Times New Roman" w:hAnsi="Times New Roman"/>
          <w:color w:val="auto"/>
          <w:sz w:val="24"/>
        </w:rPr>
        <w:t>《四川重要经济动植物资源》，四川科学技术出版社</w:t>
      </w:r>
      <w:r>
        <w:rPr>
          <w:rFonts w:hint="eastAsia" w:ascii="Times New Roman" w:hAnsi="Times New Roman"/>
          <w:color w:val="auto"/>
          <w:sz w:val="24"/>
          <w:lang w:eastAsia="zh-CN"/>
        </w:rPr>
        <w:t>。</w:t>
      </w:r>
    </w:p>
    <w:p>
      <w:pPr>
        <w:pStyle w:val="4"/>
        <w:spacing w:before="120" w:after="120"/>
        <w:rPr>
          <w:color w:val="auto"/>
        </w:rPr>
      </w:pPr>
      <w:bookmarkStart w:id="30" w:name="_Toc2148"/>
      <w:bookmarkStart w:id="31" w:name="_Toc54659629"/>
      <w:bookmarkStart w:id="32" w:name="_Toc54799181"/>
      <w:bookmarkStart w:id="33" w:name="_Toc54657421"/>
      <w:r>
        <w:rPr>
          <w:color w:val="auto"/>
        </w:rPr>
        <w:t>评价工作等级</w:t>
      </w:r>
      <w:bookmarkEnd w:id="30"/>
      <w:bookmarkEnd w:id="31"/>
      <w:bookmarkEnd w:id="32"/>
      <w:bookmarkEnd w:id="33"/>
    </w:p>
    <w:p>
      <w:pPr>
        <w:keepNext w:val="0"/>
        <w:keepLines w:val="0"/>
        <w:pageBreakBefore w:val="0"/>
        <w:wordWrap/>
        <w:overflowPunct/>
        <w:topLinePunct w:val="0"/>
        <w:bidi w:val="0"/>
        <w:adjustRightInd/>
        <w:snapToGrid/>
        <w:spacing w:line="360" w:lineRule="auto"/>
        <w:ind w:firstLine="480" w:firstLineChars="200"/>
        <w:jc w:val="left"/>
        <w:rPr>
          <w:rFonts w:hint="eastAsia" w:ascii="宋体" w:hAnsi="宋体" w:eastAsia="宋体" w:cs="宋体"/>
          <w:color w:val="auto"/>
          <w:sz w:val="24"/>
          <w:szCs w:val="24"/>
          <w:lang w:val="en-US" w:eastAsia="zh-CN"/>
        </w:rPr>
      </w:pPr>
      <w:bookmarkStart w:id="34" w:name="_Toc54799182"/>
      <w:bookmarkStart w:id="35" w:name="_Toc54659630"/>
      <w:bookmarkStart w:id="36" w:name="_Toc54657422"/>
      <w:r>
        <w:rPr>
          <w:rFonts w:hint="eastAsia" w:ascii="宋体" w:hAnsi="宋体" w:eastAsia="宋体" w:cs="宋体"/>
          <w:color w:val="auto"/>
          <w:sz w:val="24"/>
          <w:szCs w:val="24"/>
        </w:rPr>
        <w:t>根据《环境影响评价技术导则</w:t>
      </w:r>
      <w:r>
        <w:rPr>
          <w:rFonts w:hint="eastAsia" w:ascii="宋体" w:hAnsi="宋体" w:eastAsia="宋体" w:cs="宋体"/>
          <w:color w:val="auto"/>
          <w:sz w:val="24"/>
          <w:szCs w:val="24"/>
          <w:lang w:eastAsia="zh-CN"/>
        </w:rPr>
        <w:t xml:space="preserve"> </w:t>
      </w:r>
      <w:r>
        <w:rPr>
          <w:rFonts w:hint="eastAsia" w:ascii="宋体" w:hAnsi="宋体" w:eastAsia="宋体" w:cs="宋体"/>
          <w:color w:val="auto"/>
          <w:sz w:val="24"/>
          <w:szCs w:val="24"/>
        </w:rPr>
        <w:t>生态影响》（HJ19</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20</w:t>
      </w:r>
      <w:r>
        <w:rPr>
          <w:rFonts w:hint="eastAsia" w:ascii="宋体" w:hAnsi="宋体" w:eastAsia="宋体" w:cs="宋体"/>
          <w:color w:val="auto"/>
          <w:sz w:val="24"/>
          <w:szCs w:val="24"/>
          <w:lang w:val="en-US" w:eastAsia="zh-CN"/>
        </w:rPr>
        <w:t>22</w:t>
      </w:r>
      <w:r>
        <w:rPr>
          <w:rFonts w:hint="eastAsia" w:ascii="宋体" w:hAnsi="宋体" w:eastAsia="宋体" w:cs="宋体"/>
          <w:color w:val="auto"/>
          <w:sz w:val="24"/>
          <w:szCs w:val="24"/>
        </w:rPr>
        <w:t>）中的规定</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项目</w:t>
      </w:r>
      <w:r>
        <w:rPr>
          <w:rFonts w:hint="eastAsia" w:ascii="宋体" w:hAnsi="宋体" w:eastAsia="宋体" w:cs="宋体"/>
          <w:color w:val="auto"/>
          <w:sz w:val="24"/>
          <w:szCs w:val="24"/>
          <w:lang w:val="en-US" w:eastAsia="zh-CN"/>
        </w:rPr>
        <w:t>新增永久</w:t>
      </w:r>
      <w:r>
        <w:rPr>
          <w:rFonts w:hint="eastAsia" w:ascii="宋体" w:hAnsi="宋体" w:eastAsia="宋体" w:cs="宋体"/>
          <w:color w:val="auto"/>
          <w:sz w:val="24"/>
          <w:szCs w:val="24"/>
        </w:rPr>
        <w:t>占地面积</w:t>
      </w:r>
      <w:r>
        <w:rPr>
          <w:rFonts w:hint="eastAsia" w:ascii="宋体" w:hAnsi="宋体" w:eastAsia="宋体" w:cs="宋体"/>
          <w:color w:val="auto"/>
          <w:sz w:val="24"/>
          <w:szCs w:val="24"/>
          <w:lang w:eastAsia="zh-CN"/>
        </w:rPr>
        <w:t>约</w:t>
      </w:r>
      <w:r>
        <w:rPr>
          <w:rFonts w:hint="eastAsia" w:ascii="宋体" w:hAnsi="宋体" w:eastAsia="宋体" w:cs="宋体"/>
          <w:color w:val="auto"/>
          <w:sz w:val="24"/>
          <w:szCs w:val="24"/>
        </w:rPr>
        <w:t>为</w:t>
      </w:r>
      <w:r>
        <w:rPr>
          <w:rFonts w:hint="eastAsia" w:ascii="宋体" w:hAnsi="宋体" w:cs="宋体"/>
          <w:color w:val="auto"/>
          <w:sz w:val="24"/>
          <w:szCs w:val="24"/>
          <w:lang w:val="en-US" w:eastAsia="zh-CN"/>
        </w:rPr>
        <w:t>12.136公顷</w:t>
      </w:r>
      <w:r>
        <w:rPr>
          <w:rFonts w:hint="eastAsia" w:ascii="宋体" w:hAnsi="宋体" w:eastAsia="宋体" w:cs="宋体"/>
          <w:color w:val="auto"/>
          <w:sz w:val="24"/>
          <w:szCs w:val="24"/>
          <w:vertAlign w:val="baseline"/>
          <w:lang w:val="en-US" w:eastAsia="zh-CN"/>
        </w:rPr>
        <w:t>、临时占地</w:t>
      </w:r>
      <w:r>
        <w:rPr>
          <w:rFonts w:hint="eastAsia" w:ascii="宋体" w:hAnsi="宋体" w:cs="宋体"/>
          <w:color w:val="auto"/>
          <w:sz w:val="24"/>
          <w:szCs w:val="24"/>
          <w:vertAlign w:val="baseline"/>
          <w:lang w:val="en-US" w:eastAsia="zh-CN"/>
        </w:rPr>
        <w:t>76.83亩</w:t>
      </w:r>
      <w:r>
        <w:rPr>
          <w:rFonts w:hint="eastAsia" w:ascii="宋体" w:hAnsi="宋体" w:eastAsia="宋体" w:cs="宋体"/>
          <w:color w:val="auto"/>
          <w:sz w:val="24"/>
          <w:szCs w:val="24"/>
          <w:vertAlign w:val="baseline"/>
          <w:lang w:val="en-US" w:eastAsia="zh-CN"/>
        </w:rPr>
        <w:t>，共计约</w:t>
      </w:r>
      <w:r>
        <w:rPr>
          <w:rFonts w:hint="eastAsia" w:ascii="宋体" w:hAnsi="宋体" w:eastAsia="宋体" w:cs="宋体"/>
          <w:color w:val="auto"/>
          <w:sz w:val="24"/>
          <w:szCs w:val="24"/>
          <w:lang w:val="en-US" w:eastAsia="zh-CN"/>
        </w:rPr>
        <w:t>0.</w:t>
      </w:r>
      <w:r>
        <w:rPr>
          <w:rFonts w:hint="eastAsia" w:ascii="宋体" w:hAnsi="宋体" w:cs="宋体"/>
          <w:color w:val="auto"/>
          <w:sz w:val="24"/>
          <w:szCs w:val="24"/>
          <w:lang w:val="en-US" w:eastAsia="zh-CN"/>
        </w:rPr>
        <w:t>1</w:t>
      </w:r>
      <w:r>
        <w:rPr>
          <w:rFonts w:hint="eastAsia" w:ascii="宋体" w:hAnsi="宋体" w:eastAsia="宋体" w:cs="宋体"/>
          <w:color w:val="auto"/>
          <w:sz w:val="24"/>
          <w:szCs w:val="24"/>
          <w:lang w:val="en-US" w:eastAsia="zh-CN"/>
        </w:rPr>
        <w:t>7</w:t>
      </w:r>
      <w:r>
        <w:rPr>
          <w:rFonts w:hint="eastAsia" w:ascii="宋体" w:hAnsi="宋体" w:eastAsia="宋体" w:cs="宋体"/>
          <w:color w:val="auto"/>
          <w:sz w:val="24"/>
          <w:szCs w:val="24"/>
        </w:rPr>
        <w:t>km</w:t>
      </w:r>
      <w:r>
        <w:rPr>
          <w:rFonts w:hint="eastAsia" w:ascii="宋体" w:hAnsi="宋体" w:eastAsia="宋体" w:cs="宋体"/>
          <w:color w:val="auto"/>
          <w:sz w:val="24"/>
          <w:szCs w:val="24"/>
          <w:vertAlign w:val="superscript"/>
        </w:rPr>
        <w:t>2</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用地</w:t>
      </w:r>
      <w:r>
        <w:rPr>
          <w:rFonts w:hint="eastAsia" w:ascii="宋体" w:hAnsi="宋体" w:eastAsia="宋体" w:cs="宋体"/>
          <w:color w:val="auto"/>
          <w:sz w:val="24"/>
          <w:szCs w:val="24"/>
        </w:rPr>
        <w:t>面积≤2</w:t>
      </w:r>
      <w:r>
        <w:rPr>
          <w:rFonts w:hint="eastAsia" w:ascii="宋体" w:hAnsi="宋体" w:eastAsia="宋体" w:cs="宋体"/>
          <w:color w:val="auto"/>
          <w:sz w:val="24"/>
          <w:szCs w:val="24"/>
          <w:lang w:val="en-US" w:eastAsia="zh-CN"/>
        </w:rPr>
        <w:t>0</w:t>
      </w:r>
      <w:r>
        <w:rPr>
          <w:rFonts w:hint="eastAsia" w:ascii="宋体" w:hAnsi="宋体" w:eastAsia="宋体" w:cs="宋体"/>
          <w:color w:val="auto"/>
          <w:sz w:val="24"/>
          <w:szCs w:val="24"/>
        </w:rPr>
        <w:t>km</w:t>
      </w:r>
      <w:r>
        <w:rPr>
          <w:rFonts w:hint="eastAsia" w:ascii="宋体" w:hAnsi="宋体" w:eastAsia="宋体" w:cs="宋体"/>
          <w:color w:val="auto"/>
          <w:sz w:val="24"/>
          <w:szCs w:val="24"/>
          <w:vertAlign w:val="superscript"/>
        </w:rPr>
        <w:t>2</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项目影响区域内</w:t>
      </w:r>
      <w:r>
        <w:rPr>
          <w:rFonts w:hint="eastAsia" w:ascii="宋体" w:hAnsi="宋体" w:eastAsia="宋体" w:cs="宋体"/>
          <w:color w:val="auto"/>
          <w:sz w:val="24"/>
          <w:szCs w:val="24"/>
        </w:rPr>
        <w:t>不</w:t>
      </w:r>
      <w:r>
        <w:rPr>
          <w:rFonts w:hint="eastAsia" w:ascii="宋体" w:hAnsi="宋体" w:eastAsia="宋体" w:cs="宋体"/>
          <w:color w:val="auto"/>
          <w:sz w:val="24"/>
          <w:szCs w:val="24"/>
          <w:lang w:val="en-US" w:eastAsia="zh-CN"/>
        </w:rPr>
        <w:t>涉及国家公园、自然保护区、世界自然遗产、重要生境、自然公园、生态保护红线；根据国土空间规划图可知，项目地下水水位及土壤影响范围内不涉及天然林、公益林、湿地等生态保护目标</w:t>
      </w:r>
      <w:r>
        <w:rPr>
          <w:rFonts w:hint="eastAsia" w:ascii="宋体" w:hAnsi="宋体" w:cs="宋体"/>
          <w:color w:val="auto"/>
          <w:sz w:val="24"/>
          <w:szCs w:val="24"/>
          <w:lang w:val="en-US" w:eastAsia="zh-CN"/>
        </w:rPr>
        <w:t>。</w:t>
      </w:r>
    </w:p>
    <w:p>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jc w:val="left"/>
        <w:textAlignment w:val="baseline"/>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虽然项目围堰</w:t>
      </w:r>
      <w:r>
        <w:rPr>
          <w:rFonts w:hint="eastAsia" w:ascii="宋体" w:hAnsi="宋体" w:cs="宋体"/>
          <w:color w:val="auto"/>
          <w:sz w:val="24"/>
          <w:szCs w:val="24"/>
          <w:lang w:val="en-US" w:eastAsia="zh-CN"/>
        </w:rPr>
        <w:t>施工</w:t>
      </w:r>
      <w:r>
        <w:rPr>
          <w:rFonts w:hint="eastAsia" w:ascii="宋体" w:hAnsi="宋体" w:eastAsia="宋体" w:cs="宋体"/>
          <w:color w:val="auto"/>
          <w:sz w:val="24"/>
          <w:szCs w:val="24"/>
          <w:lang w:val="en-US" w:eastAsia="zh-CN"/>
        </w:rPr>
        <w:t>部分</w:t>
      </w:r>
      <w:r>
        <w:rPr>
          <w:rFonts w:hint="eastAsia" w:ascii="宋体" w:hAnsi="宋体" w:cs="宋体"/>
          <w:color w:val="auto"/>
          <w:sz w:val="24"/>
          <w:szCs w:val="24"/>
          <w:lang w:val="en-US" w:eastAsia="zh-CN"/>
        </w:rPr>
        <w:t>涉水，涉水河段位于</w:t>
      </w:r>
      <w:r>
        <w:rPr>
          <w:rFonts w:hint="eastAsia" w:ascii="宋体" w:hAnsi="宋体" w:eastAsia="宋体" w:cs="宋体"/>
          <w:color w:val="auto"/>
          <w:sz w:val="24"/>
          <w:szCs w:val="24"/>
          <w:lang w:val="en-US" w:eastAsia="zh-CN"/>
        </w:rPr>
        <w:t>琼江翘嘴红鲌省级水产种质资源保护区</w:t>
      </w:r>
      <w:r>
        <w:rPr>
          <w:rFonts w:hint="eastAsia" w:ascii="宋体" w:hAnsi="宋体" w:cs="宋体"/>
          <w:color w:val="auto"/>
          <w:sz w:val="24"/>
          <w:szCs w:val="24"/>
          <w:lang w:val="en-US" w:eastAsia="zh-CN"/>
        </w:rPr>
        <w:t>核心区范围</w:t>
      </w:r>
      <w:r>
        <w:rPr>
          <w:rFonts w:hint="eastAsia" w:ascii="宋体" w:hAnsi="宋体" w:eastAsia="宋体" w:cs="宋体"/>
          <w:color w:val="auto"/>
          <w:sz w:val="24"/>
          <w:szCs w:val="24"/>
          <w:lang w:val="en-US" w:eastAsia="zh-CN"/>
        </w:rPr>
        <w:t>，但根据遂宁市生态红线图可知，</w:t>
      </w:r>
      <w:r>
        <w:rPr>
          <w:rFonts w:hint="eastAsia" w:ascii="宋体" w:hAnsi="宋体" w:cs="宋体"/>
          <w:color w:val="auto"/>
          <w:sz w:val="24"/>
          <w:szCs w:val="24"/>
          <w:lang w:val="en-US" w:eastAsia="zh-CN"/>
        </w:rPr>
        <w:t>本项目河段</w:t>
      </w:r>
      <w:r>
        <w:rPr>
          <w:rFonts w:hint="eastAsia" w:ascii="宋体" w:hAnsi="宋体" w:eastAsia="宋体" w:cs="宋体"/>
          <w:color w:val="auto"/>
          <w:sz w:val="24"/>
          <w:szCs w:val="24"/>
          <w:lang w:val="en-US" w:eastAsia="zh-CN"/>
        </w:rPr>
        <w:t>不在生态红线范围内，不属于生态敏感区，</w:t>
      </w:r>
      <w:r>
        <w:rPr>
          <w:rFonts w:hint="eastAsia" w:ascii="宋体" w:hAnsi="宋体" w:cs="宋体"/>
          <w:color w:val="auto"/>
          <w:sz w:val="24"/>
          <w:szCs w:val="24"/>
          <w:lang w:val="en-US" w:eastAsia="zh-CN"/>
        </w:rPr>
        <w:t>也不</w:t>
      </w:r>
      <w:r>
        <w:rPr>
          <w:rFonts w:hint="eastAsia" w:ascii="宋体" w:hAnsi="宋体" w:eastAsia="宋体" w:cs="宋体"/>
          <w:color w:val="auto"/>
          <w:sz w:val="24"/>
          <w:szCs w:val="24"/>
          <w:lang w:val="en-US" w:eastAsia="zh-CN"/>
        </w:rPr>
        <w:t>属于一般生态空间。</w:t>
      </w:r>
    </w:p>
    <w:p>
      <w:pPr>
        <w:keepNext w:val="0"/>
        <w:keepLines w:val="0"/>
        <w:pageBreakBefore w:val="0"/>
        <w:widowControl/>
        <w:kinsoku w:val="0"/>
        <w:wordWrap/>
        <w:overflowPunct/>
        <w:topLinePunct w:val="0"/>
        <w:autoSpaceDE w:val="0"/>
        <w:autoSpaceDN w:val="0"/>
        <w:bidi w:val="0"/>
        <w:adjustRightInd/>
        <w:snapToGrid/>
        <w:spacing w:line="360" w:lineRule="auto"/>
        <w:ind w:firstLine="480" w:firstLineChars="200"/>
        <w:jc w:val="left"/>
        <w:textAlignment w:val="baseline"/>
        <w:rPr>
          <w:rFonts w:hint="eastAsia" w:ascii="宋体" w:hAnsi="宋体" w:eastAsia="宋体" w:cs="宋体"/>
          <w:color w:val="FF0000"/>
          <w:sz w:val="24"/>
          <w:szCs w:val="24"/>
        </w:rPr>
      </w:pPr>
      <w:r>
        <w:rPr>
          <w:rFonts w:hint="eastAsia" w:ascii="宋体" w:hAnsi="宋体" w:eastAsia="宋体" w:cs="宋体"/>
          <w:color w:val="auto"/>
          <w:sz w:val="24"/>
          <w:szCs w:val="24"/>
        </w:rPr>
        <w:t>故</w:t>
      </w:r>
      <w:r>
        <w:rPr>
          <w:rFonts w:hint="eastAsia" w:ascii="宋体" w:hAnsi="宋体" w:eastAsia="宋体" w:cs="宋体"/>
          <w:color w:val="auto"/>
          <w:sz w:val="24"/>
          <w:szCs w:val="24"/>
          <w:lang w:val="en-US" w:eastAsia="zh-CN"/>
        </w:rPr>
        <w:t>本项目</w:t>
      </w:r>
      <w:r>
        <w:rPr>
          <w:rFonts w:hint="eastAsia" w:ascii="宋体" w:hAnsi="宋体" w:eastAsia="宋体" w:cs="宋体"/>
          <w:color w:val="auto"/>
          <w:sz w:val="24"/>
          <w:szCs w:val="24"/>
        </w:rPr>
        <w:t>生态环境影响评价工作等级定为三级。</w:t>
      </w:r>
    </w:p>
    <w:p>
      <w:pPr>
        <w:pStyle w:val="4"/>
        <w:spacing w:before="120" w:after="120"/>
        <w:ind w:left="578" w:hanging="578"/>
        <w:rPr>
          <w:color w:val="auto"/>
        </w:rPr>
      </w:pPr>
      <w:bookmarkStart w:id="37" w:name="_Toc19677"/>
      <w:r>
        <w:rPr>
          <w:color w:val="auto"/>
        </w:rPr>
        <w:t>评价范围</w:t>
      </w:r>
      <w:bookmarkEnd w:id="34"/>
      <w:bookmarkEnd w:id="35"/>
      <w:bookmarkEnd w:id="36"/>
      <w:bookmarkEnd w:id="37"/>
    </w:p>
    <w:p>
      <w:pPr>
        <w:adjustRightInd w:val="0"/>
        <w:snapToGrid w:val="0"/>
        <w:spacing w:line="360" w:lineRule="auto"/>
        <w:ind w:firstLine="482"/>
        <w:rPr>
          <w:rFonts w:ascii="Times New Roman" w:hAnsi="Times New Roman"/>
          <w:color w:val="auto"/>
          <w:sz w:val="24"/>
        </w:rPr>
      </w:pPr>
      <w:r>
        <w:rPr>
          <w:rFonts w:ascii="Times New Roman" w:hAnsi="Times New Roman"/>
          <w:color w:val="auto"/>
          <w:sz w:val="24"/>
        </w:rPr>
        <w:t>为充分体现区域的生态完整性，同时涵盖直接影响区域和间接影响区域，确定陆生生态</w:t>
      </w:r>
      <w:r>
        <w:rPr>
          <w:rFonts w:hint="eastAsia" w:ascii="Times New Roman" w:hAnsi="Times New Roman"/>
          <w:color w:val="auto"/>
          <w:sz w:val="24"/>
          <w:lang w:val="en-US" w:eastAsia="zh-CN"/>
        </w:rPr>
        <w:t>评价范围为：</w:t>
      </w:r>
      <w:r>
        <w:rPr>
          <w:rFonts w:ascii="Times New Roman" w:hAnsi="Times New Roman"/>
          <w:color w:val="auto"/>
          <w:sz w:val="24"/>
        </w:rPr>
        <w:t>新建堤防段外延200m</w:t>
      </w:r>
      <w:r>
        <w:rPr>
          <w:rFonts w:hint="eastAsia" w:ascii="Times New Roman" w:hAnsi="Times New Roman"/>
          <w:color w:val="auto"/>
          <w:sz w:val="24"/>
          <w:lang w:eastAsia="zh-CN"/>
        </w:rPr>
        <w:t>；</w:t>
      </w:r>
      <w:r>
        <w:rPr>
          <w:rFonts w:ascii="Times New Roman" w:hAnsi="Times New Roman"/>
          <w:color w:val="auto"/>
          <w:sz w:val="24"/>
        </w:rPr>
        <w:t>水生生态评价</w:t>
      </w:r>
      <w:r>
        <w:rPr>
          <w:rFonts w:hint="eastAsia" w:ascii="Times New Roman" w:hAnsi="Times New Roman"/>
          <w:color w:val="auto"/>
          <w:sz w:val="24"/>
          <w:lang w:val="en-US" w:eastAsia="zh-CN"/>
        </w:rPr>
        <w:t>范围</w:t>
      </w:r>
      <w:r>
        <w:rPr>
          <w:rFonts w:ascii="Times New Roman" w:hAnsi="Times New Roman"/>
          <w:color w:val="auto"/>
          <w:sz w:val="24"/>
        </w:rPr>
        <w:t>为</w:t>
      </w:r>
      <w:r>
        <w:rPr>
          <w:rFonts w:hint="eastAsia" w:ascii="Times New Roman" w:hAnsi="Times New Roman"/>
          <w:color w:val="auto"/>
          <w:sz w:val="24"/>
          <w:lang w:eastAsia="zh-CN"/>
        </w:rPr>
        <w:t>：</w:t>
      </w:r>
      <w:r>
        <w:rPr>
          <w:rFonts w:ascii="Times New Roman" w:hAnsi="Times New Roman"/>
          <w:color w:val="auto"/>
          <w:sz w:val="24"/>
        </w:rPr>
        <w:t>新建堤防段</w:t>
      </w:r>
      <w:r>
        <w:rPr>
          <w:rFonts w:hint="eastAsia" w:ascii="Times New Roman" w:hAnsi="Times New Roman"/>
          <w:color w:val="auto"/>
          <w:sz w:val="24"/>
          <w:lang w:val="en-US" w:eastAsia="zh-CN"/>
        </w:rPr>
        <w:t>1600</w:t>
      </w:r>
      <w:r>
        <w:rPr>
          <w:rFonts w:ascii="Times New Roman" w:hAnsi="Times New Roman"/>
          <w:color w:val="auto"/>
          <w:sz w:val="24"/>
        </w:rPr>
        <w:t>m下游外延</w:t>
      </w:r>
      <w:r>
        <w:rPr>
          <w:rFonts w:hint="eastAsia" w:ascii="Times New Roman" w:hAnsi="Times New Roman"/>
          <w:color w:val="auto"/>
          <w:sz w:val="24"/>
          <w:lang w:val="en-US" w:eastAsia="zh-CN"/>
        </w:rPr>
        <w:t>1</w:t>
      </w:r>
      <w:r>
        <w:rPr>
          <w:rFonts w:ascii="Times New Roman" w:hAnsi="Times New Roman"/>
          <w:color w:val="auto"/>
          <w:sz w:val="24"/>
        </w:rPr>
        <w:t>km的范围。调查重点为本项目涉及的琼江翘嘴红鲌省级水产种质资源保护区的</w:t>
      </w:r>
      <w:r>
        <w:rPr>
          <w:rFonts w:hint="eastAsia" w:ascii="Times New Roman" w:hAnsi="Times New Roman"/>
          <w:color w:val="auto"/>
          <w:sz w:val="24"/>
          <w:lang w:val="en-US" w:eastAsia="zh-CN"/>
        </w:rPr>
        <w:t>核心区</w:t>
      </w:r>
      <w:r>
        <w:rPr>
          <w:rFonts w:ascii="Times New Roman" w:hAnsi="Times New Roman"/>
          <w:color w:val="auto"/>
          <w:sz w:val="24"/>
        </w:rPr>
        <w:t>河段。</w:t>
      </w:r>
    </w:p>
    <w:p>
      <w:pPr>
        <w:pStyle w:val="4"/>
        <w:spacing w:before="120" w:after="120"/>
        <w:ind w:left="578" w:hanging="578"/>
        <w:rPr>
          <w:color w:val="auto"/>
          <w:lang w:val="en-US"/>
        </w:rPr>
      </w:pPr>
      <w:bookmarkStart w:id="38" w:name="_Toc19751"/>
      <w:bookmarkStart w:id="39" w:name="_Toc54799214"/>
      <w:r>
        <w:rPr>
          <w:color w:val="auto"/>
          <w:lang w:val="en-US"/>
        </w:rPr>
        <w:t>水生生态</w:t>
      </w:r>
      <w:r>
        <w:rPr>
          <w:color w:val="auto"/>
        </w:rPr>
        <w:t>评价方法</w:t>
      </w:r>
      <w:bookmarkEnd w:id="38"/>
      <w:bookmarkEnd w:id="39"/>
    </w:p>
    <w:p>
      <w:pPr>
        <w:pStyle w:val="5"/>
        <w:keepNext/>
        <w:keepLines/>
        <w:rPr>
          <w:color w:val="auto"/>
        </w:rPr>
      </w:pPr>
      <w:bookmarkStart w:id="40" w:name="_Toc29204"/>
      <w:r>
        <w:rPr>
          <w:color w:val="auto"/>
        </w:rPr>
        <w:t>浮游藻类调查方法</w:t>
      </w:r>
      <w:bookmarkEnd w:id="40"/>
    </w:p>
    <w:p>
      <w:pPr>
        <w:spacing w:line="360" w:lineRule="auto"/>
        <w:ind w:firstLine="482" w:firstLineChars="200"/>
        <w:rPr>
          <w:rFonts w:ascii="Times New Roman" w:hAnsi="Times New Roman"/>
          <w:b/>
          <w:bCs/>
          <w:color w:val="auto"/>
          <w:sz w:val="24"/>
        </w:rPr>
      </w:pPr>
      <w:r>
        <w:rPr>
          <w:rFonts w:ascii="Times New Roman" w:hAnsi="Times New Roman"/>
          <w:b/>
          <w:bCs/>
          <w:color w:val="auto"/>
          <w:sz w:val="24"/>
        </w:rPr>
        <w:t>（1）野外采集</w:t>
      </w:r>
    </w:p>
    <w:p>
      <w:pPr>
        <w:keepNext w:val="0"/>
        <w:keepLines w:val="0"/>
        <w:pageBreakBefore w:val="0"/>
        <w:widowControl w:val="0"/>
        <w:tabs>
          <w:tab w:val="left" w:pos="3460"/>
        </w:tabs>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定性样品采集</w:t>
      </w:r>
      <w:r>
        <w:rPr>
          <w:rFonts w:hint="eastAsia" w:ascii="宋体" w:hAnsi="宋体" w:cs="宋体"/>
          <w:color w:val="auto"/>
          <w:sz w:val="24"/>
          <w:lang w:eastAsia="zh-CN"/>
        </w:rPr>
        <w:t>：</w:t>
      </w:r>
      <w:r>
        <w:rPr>
          <w:rFonts w:hint="eastAsia" w:ascii="宋体" w:hAnsi="宋体" w:eastAsia="宋体" w:cs="宋体"/>
          <w:color w:val="auto"/>
          <w:sz w:val="24"/>
        </w:rPr>
        <w:t>用2</w:t>
      </w:r>
      <w:r>
        <w:rPr>
          <w:rFonts w:hint="eastAsia" w:ascii="宋体" w:hAnsi="宋体" w:cs="宋体"/>
          <w:color w:val="auto"/>
          <w:sz w:val="24"/>
          <w:lang w:val="en-US" w:eastAsia="zh-CN"/>
        </w:rPr>
        <w:t>5</w:t>
      </w:r>
      <w:r>
        <w:rPr>
          <w:rFonts w:hint="eastAsia" w:ascii="宋体" w:hAnsi="宋体" w:eastAsia="宋体" w:cs="宋体"/>
          <w:color w:val="auto"/>
          <w:sz w:val="24"/>
        </w:rPr>
        <w:t>号浮游生物网在水面和0.5m深的水层中，以每秒20~30厘米的速度，作“∞”字形循环缓慢拖网约</w:t>
      </w:r>
      <w:r>
        <w:rPr>
          <w:rFonts w:hint="eastAsia" w:ascii="宋体" w:hAnsi="宋体" w:cs="宋体"/>
          <w:color w:val="auto"/>
          <w:sz w:val="24"/>
          <w:lang w:val="en-US" w:eastAsia="zh-CN"/>
        </w:rPr>
        <w:t>4</w:t>
      </w:r>
      <w:r>
        <w:rPr>
          <w:rFonts w:hint="eastAsia" w:ascii="宋体" w:hAnsi="宋体" w:eastAsia="宋体" w:cs="宋体"/>
          <w:color w:val="auto"/>
          <w:sz w:val="24"/>
        </w:rPr>
        <w:t>分钟左右（视浮游生物多寡而定）采样。将收集的水样装入编号塑料瓶内，加入</w:t>
      </w:r>
      <w:r>
        <w:rPr>
          <w:rFonts w:hint="eastAsia" w:ascii="宋体" w:hAnsi="宋体" w:cs="宋体"/>
          <w:color w:val="auto"/>
          <w:sz w:val="24"/>
          <w:lang w:val="en-US" w:eastAsia="zh-CN"/>
        </w:rPr>
        <w:t>4%福尔马林液</w:t>
      </w:r>
      <w:r>
        <w:rPr>
          <w:rFonts w:hint="eastAsia" w:ascii="宋体" w:hAnsi="宋体" w:eastAsia="宋体" w:cs="宋体"/>
          <w:color w:val="auto"/>
          <w:sz w:val="24"/>
        </w:rPr>
        <w:t>固定。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定量样品采集</w:t>
      </w:r>
      <w:r>
        <w:rPr>
          <w:rFonts w:hint="eastAsia" w:ascii="宋体" w:hAnsi="宋体" w:cs="宋体"/>
          <w:color w:val="auto"/>
          <w:sz w:val="24"/>
          <w:lang w:eastAsia="zh-CN"/>
        </w:rPr>
        <w:t>：</w:t>
      </w:r>
      <w:r>
        <w:rPr>
          <w:rFonts w:hint="eastAsia" w:ascii="宋体" w:hAnsi="宋体" w:eastAsia="宋体" w:cs="宋体"/>
          <w:color w:val="auto"/>
          <w:sz w:val="24"/>
        </w:rPr>
        <w:t>用有机玻璃采水器在距水面0.5m的水层中采1000ml水样，加鲁哥氏液15ml进行固定，再加入少许甲醛溶液，以免变质。定量水样带回实验室后，在分析前先置入分液漏斗中静置36-48小时，用虹吸法仔细吸出上部分不含藻类的上清液，浓缩至30ml，倒入定量瓶中以备计数。</w:t>
      </w:r>
    </w:p>
    <w:p>
      <w:pPr>
        <w:spacing w:line="360" w:lineRule="auto"/>
        <w:ind w:firstLine="482" w:firstLineChars="200"/>
        <w:rPr>
          <w:rFonts w:hint="default" w:ascii="Times New Roman" w:hAnsi="Times New Roman" w:eastAsia="宋体"/>
          <w:b/>
          <w:bCs/>
          <w:color w:val="auto"/>
          <w:sz w:val="24"/>
          <w:lang w:val="en-US" w:eastAsia="zh-CN"/>
        </w:rPr>
      </w:pPr>
      <w:bookmarkStart w:id="41" w:name="_Toc400802424"/>
      <w:bookmarkStart w:id="42" w:name="_Toc21239"/>
      <w:bookmarkStart w:id="43" w:name="_Toc323074131"/>
      <w:bookmarkStart w:id="44" w:name="_Toc314696643"/>
      <w:bookmarkStart w:id="45" w:name="_Toc296888038"/>
      <w:r>
        <w:rPr>
          <w:rFonts w:ascii="Times New Roman" w:hAnsi="Times New Roman"/>
          <w:b/>
          <w:bCs/>
          <w:color w:val="auto"/>
          <w:sz w:val="24"/>
        </w:rPr>
        <w:t>（2）</w:t>
      </w:r>
      <w:bookmarkEnd w:id="41"/>
      <w:bookmarkEnd w:id="42"/>
      <w:bookmarkEnd w:id="43"/>
      <w:bookmarkEnd w:id="44"/>
      <w:bookmarkEnd w:id="45"/>
      <w:r>
        <w:rPr>
          <w:rFonts w:hint="eastAsia" w:ascii="Times New Roman" w:hAnsi="Times New Roman"/>
          <w:b/>
          <w:bCs/>
          <w:color w:val="auto"/>
          <w:sz w:val="24"/>
          <w:lang w:val="en-US" w:eastAsia="zh-CN"/>
        </w:rPr>
        <w:t>室内观察与鉴定</w:t>
      </w:r>
    </w:p>
    <w:p>
      <w:pPr>
        <w:adjustRightInd w:val="0"/>
        <w:spacing w:line="360" w:lineRule="auto"/>
        <w:ind w:firstLine="480" w:firstLineChars="200"/>
        <w:rPr>
          <w:rFonts w:ascii="Times New Roman" w:hAnsi="Times New Roman"/>
          <w:color w:val="auto"/>
          <w:sz w:val="24"/>
        </w:rPr>
      </w:pPr>
      <w:r>
        <w:rPr>
          <w:rFonts w:ascii="Times New Roman" w:hAnsi="Times New Roman"/>
          <w:color w:val="auto"/>
          <w:sz w:val="24"/>
        </w:rPr>
        <w:t>浮游藻类物种鉴定</w:t>
      </w:r>
      <w:r>
        <w:rPr>
          <w:rFonts w:hint="eastAsia" w:ascii="Times New Roman" w:hAnsi="Times New Roman"/>
          <w:color w:val="auto"/>
          <w:sz w:val="24"/>
          <w:lang w:eastAsia="zh-CN"/>
        </w:rPr>
        <w:t>：</w:t>
      </w:r>
      <w:r>
        <w:rPr>
          <w:rFonts w:ascii="Times New Roman" w:hAnsi="Times New Roman"/>
          <w:color w:val="auto"/>
          <w:sz w:val="24"/>
        </w:rPr>
        <w:t>在显微镜下用16×40倍镜头或16×100倍油镜进行观察，对所采到的浮游藻类植物样品进行物种鉴定，尽量鉴定到种，有极少数标本因植体不完善或无繁殖器官，只能鉴定到属。鉴定时依据《中国淡水藻类—系统、分类及生态》（胡鸿均、魏印心，2006）、《淡水微型生物图谱》（周凤霞、陈剑虹，2005）、《淡水生物学》（大连水产学院，1982）。种类分析时参考《长江上游珍稀、特有鱼类国家级自然保护区浮游植物和浮游动物种类分布和数量研究》（余海英，2008）。</w:t>
      </w:r>
    </w:p>
    <w:p>
      <w:pPr>
        <w:adjustRightInd w:val="0"/>
        <w:spacing w:line="360" w:lineRule="auto"/>
        <w:ind w:firstLine="480" w:firstLineChars="200"/>
        <w:rPr>
          <w:rFonts w:ascii="Times New Roman" w:hAnsi="Times New Roman"/>
          <w:color w:val="auto"/>
          <w:sz w:val="24"/>
        </w:rPr>
      </w:pPr>
      <w:r>
        <w:rPr>
          <w:rFonts w:ascii="Times New Roman" w:hAnsi="Times New Roman"/>
          <w:color w:val="auto"/>
          <w:sz w:val="24"/>
        </w:rPr>
        <w:t>浮游藻类定量分析</w:t>
      </w:r>
      <w:r>
        <w:rPr>
          <w:rFonts w:hint="eastAsia" w:ascii="Times New Roman" w:hAnsi="Times New Roman"/>
          <w:color w:val="auto"/>
          <w:sz w:val="24"/>
          <w:lang w:eastAsia="zh-CN"/>
        </w:rPr>
        <w:t>：</w:t>
      </w:r>
      <w:r>
        <w:rPr>
          <w:rFonts w:ascii="Times New Roman" w:hAnsi="Times New Roman"/>
          <w:color w:val="auto"/>
          <w:sz w:val="24"/>
        </w:rPr>
        <w:t>用显微镜计数法排除杂质，鉴别物种，计算出单位水体中浮游藻类植物的个体数量，较准确地换算出单位体积中的生物量，进一步评价水质和了解水体中浮游藻类植物的物种类型和数量变动。</w:t>
      </w:r>
    </w:p>
    <w:p>
      <w:pPr>
        <w:spacing w:line="360" w:lineRule="auto"/>
        <w:ind w:firstLine="480" w:firstLineChars="200"/>
        <w:rPr>
          <w:rFonts w:ascii="Times New Roman" w:hAnsi="Times New Roman"/>
          <w:color w:val="auto"/>
          <w:sz w:val="24"/>
        </w:rPr>
      </w:pPr>
      <w:r>
        <w:rPr>
          <w:rFonts w:ascii="Times New Roman" w:hAnsi="Times New Roman"/>
          <w:color w:val="auto"/>
          <w:sz w:val="24"/>
        </w:rPr>
        <w:t>将浓缩沉淀后的水样充分摇匀后，迅速准确吸出0.1 ml水样，注入0.1 ml玻璃计数框内（面积20×20 mm</w:t>
      </w:r>
      <w:r>
        <w:rPr>
          <w:rFonts w:ascii="Times New Roman" w:hAnsi="Times New Roman"/>
          <w:color w:val="auto"/>
          <w:sz w:val="24"/>
          <w:vertAlign w:val="superscript"/>
        </w:rPr>
        <w:t>2</w:t>
      </w:r>
      <w:r>
        <w:rPr>
          <w:rFonts w:ascii="Times New Roman" w:hAnsi="Times New Roman"/>
          <w:color w:val="auto"/>
          <w:sz w:val="24"/>
        </w:rPr>
        <w:t>），盖上盖玻片，在10×40倍显微镜下观察并计数。每瓶标本计数二片取其平均值。同一样品的两片标本计数结果与其平均数之差，如不大于10%则为有效计数，否则需测第三片，直至符合要求。按以下公式计算出每升水中浮游植物的数量。</w:t>
      </w:r>
    </w:p>
    <w:p>
      <w:pPr>
        <w:spacing w:line="360" w:lineRule="auto"/>
        <w:ind w:firstLine="480" w:firstLineChars="200"/>
        <w:jc w:val="center"/>
        <w:rPr>
          <w:rFonts w:ascii="Times New Roman" w:hAnsi="Times New Roman"/>
          <w:color w:val="FF0000"/>
          <w:sz w:val="24"/>
        </w:rPr>
      </w:pPr>
      <w:r>
        <w:rPr>
          <w:rFonts w:ascii="Times New Roman" w:hAnsi="Times New Roman"/>
          <w:color w:val="FF0000"/>
          <w:sz w:val="24"/>
        </w:rPr>
        <w:drawing>
          <wp:inline distT="0" distB="0" distL="0" distR="0">
            <wp:extent cx="1806575" cy="417195"/>
            <wp:effectExtent l="0" t="0" r="3175" b="1905"/>
            <wp:docPr id="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806575" cy="417195"/>
                    </a:xfrm>
                    <a:prstGeom prst="rect">
                      <a:avLst/>
                    </a:prstGeom>
                    <a:solidFill>
                      <a:srgbClr val="FFFFFF"/>
                    </a:solidFill>
                    <a:ln>
                      <a:noFill/>
                    </a:ln>
                  </pic:spPr>
                </pic:pic>
              </a:graphicData>
            </a:graphic>
          </wp:inline>
        </w:drawing>
      </w:r>
    </w:p>
    <w:p>
      <w:pPr>
        <w:keepNext w:val="0"/>
        <w:keepLines w:val="0"/>
        <w:pageBreakBefore w:val="0"/>
        <w:widowControl w:val="0"/>
        <w:tabs>
          <w:tab w:val="left" w:pos="3460"/>
        </w:tabs>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式中：Cs——计数框面积（mm</w:t>
      </w:r>
      <w:r>
        <w:rPr>
          <w:rFonts w:ascii="Times New Roman" w:hAnsi="Times New Roman"/>
          <w:color w:val="auto"/>
          <w:sz w:val="24"/>
          <w:vertAlign w:val="superscript"/>
        </w:rPr>
        <w:t>2</w:t>
      </w:r>
      <w:r>
        <w:rPr>
          <w:rFonts w:ascii="Times New Roman" w:hAnsi="Times New Roman"/>
          <w:color w:val="auto"/>
          <w:sz w:val="24"/>
        </w:rPr>
        <w:t>）</w:t>
      </w:r>
    </w:p>
    <w:p>
      <w:pPr>
        <w:keepNext w:val="0"/>
        <w:keepLines w:val="0"/>
        <w:pageBreakBefore w:val="0"/>
        <w:widowControl w:val="0"/>
        <w:tabs>
          <w:tab w:val="left" w:pos="3460"/>
        </w:tabs>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 xml:space="preserve">      Fs——每个视野的面积（mm</w:t>
      </w:r>
      <w:r>
        <w:rPr>
          <w:rFonts w:ascii="Times New Roman" w:hAnsi="Times New Roman"/>
          <w:color w:val="auto"/>
          <w:sz w:val="24"/>
          <w:vertAlign w:val="superscript"/>
        </w:rPr>
        <w:t>2</w:t>
      </w:r>
      <w:r>
        <w:rPr>
          <w:rFonts w:ascii="Times New Roman" w:hAnsi="Times New Roman"/>
          <w:color w:val="auto"/>
          <w:sz w:val="24"/>
        </w:rPr>
        <w:t>）</w:t>
      </w:r>
    </w:p>
    <w:p>
      <w:pPr>
        <w:keepNext w:val="0"/>
        <w:keepLines w:val="0"/>
        <w:pageBreakBefore w:val="0"/>
        <w:widowControl w:val="0"/>
        <w:tabs>
          <w:tab w:val="left" w:pos="3460"/>
        </w:tabs>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 xml:space="preserve">      Fn——计数过的视野数</w:t>
      </w:r>
    </w:p>
    <w:p>
      <w:pPr>
        <w:tabs>
          <w:tab w:val="left" w:pos="3460"/>
        </w:tabs>
        <w:spacing w:line="360" w:lineRule="auto"/>
        <w:rPr>
          <w:rFonts w:ascii="Times New Roman" w:hAnsi="Times New Roman"/>
          <w:color w:val="auto"/>
          <w:sz w:val="24"/>
        </w:rPr>
      </w:pPr>
      <w:r>
        <w:rPr>
          <w:rFonts w:ascii="Times New Roman" w:hAnsi="Times New Roman"/>
          <w:color w:val="auto"/>
          <w:sz w:val="24"/>
        </w:rPr>
        <w:t xml:space="preserve">      V—— 一升水样经沉淀浓缩后的体积（ml）</w:t>
      </w:r>
    </w:p>
    <w:p>
      <w:pPr>
        <w:tabs>
          <w:tab w:val="left" w:pos="3460"/>
        </w:tabs>
        <w:spacing w:line="360" w:lineRule="auto"/>
        <w:rPr>
          <w:rFonts w:ascii="Times New Roman" w:hAnsi="Times New Roman"/>
          <w:color w:val="auto"/>
          <w:sz w:val="24"/>
        </w:rPr>
      </w:pPr>
      <w:r>
        <w:rPr>
          <w:rFonts w:ascii="Times New Roman" w:hAnsi="Times New Roman"/>
          <w:color w:val="auto"/>
          <w:sz w:val="24"/>
        </w:rPr>
        <w:t xml:space="preserve">      U ——计数框的体积（ml）</w:t>
      </w:r>
    </w:p>
    <w:p>
      <w:pPr>
        <w:tabs>
          <w:tab w:val="left" w:pos="3460"/>
        </w:tabs>
        <w:spacing w:line="360" w:lineRule="auto"/>
        <w:rPr>
          <w:rFonts w:ascii="Times New Roman" w:hAnsi="Times New Roman"/>
          <w:color w:val="auto"/>
          <w:sz w:val="24"/>
        </w:rPr>
      </w:pPr>
      <w:r>
        <w:rPr>
          <w:rFonts w:ascii="Times New Roman" w:hAnsi="Times New Roman"/>
          <w:color w:val="auto"/>
          <w:sz w:val="24"/>
        </w:rPr>
        <w:t xml:space="preserve">      Pn——每片计算出的浮游植物个数</w:t>
      </w:r>
    </w:p>
    <w:p>
      <w:pPr>
        <w:keepNext w:val="0"/>
        <w:keepLines w:val="0"/>
        <w:pageBreakBefore w:val="0"/>
        <w:widowControl w:val="0"/>
        <w:tabs>
          <w:tab w:val="left" w:pos="3460"/>
        </w:tabs>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生物量的计算，因浮游藻类个体微小，一般是按体积来换算重量，大多数藻类的细胞形状比较规则，可用形状相似的几何体积公式来计算其体积。由于浮游植物大多悬浮于水中生活，其比重接近于所在水体水的比重，即近于1，因此体积值（μm</w:t>
      </w:r>
      <w:r>
        <w:rPr>
          <w:rFonts w:ascii="Times New Roman" w:hAnsi="Times New Roman"/>
          <w:color w:val="auto"/>
          <w:sz w:val="24"/>
          <w:vertAlign w:val="superscript"/>
        </w:rPr>
        <w:t>3</w:t>
      </w:r>
      <w:r>
        <w:rPr>
          <w:rFonts w:ascii="Times New Roman" w:hAnsi="Times New Roman"/>
          <w:color w:val="auto"/>
          <w:sz w:val="24"/>
        </w:rPr>
        <w:t>）可换算为重量值（湿重）（10</w:t>
      </w:r>
      <w:r>
        <w:rPr>
          <w:rFonts w:ascii="Times New Roman" w:hAnsi="Times New Roman"/>
          <w:color w:val="auto"/>
          <w:sz w:val="24"/>
          <w:vertAlign w:val="superscript"/>
        </w:rPr>
        <w:t xml:space="preserve">9 </w:t>
      </w:r>
      <w:r>
        <w:rPr>
          <w:rFonts w:ascii="Times New Roman" w:hAnsi="Times New Roman"/>
          <w:color w:val="auto"/>
          <w:sz w:val="24"/>
        </w:rPr>
        <w:t>μm</w:t>
      </w:r>
      <w:r>
        <w:rPr>
          <w:rFonts w:ascii="Times New Roman" w:hAnsi="Times New Roman"/>
          <w:color w:val="auto"/>
          <w:sz w:val="24"/>
          <w:vertAlign w:val="superscript"/>
        </w:rPr>
        <w:t>3</w:t>
      </w:r>
      <w:r>
        <w:rPr>
          <w:rFonts w:ascii="Times New Roman" w:hAnsi="Times New Roman"/>
          <w:color w:val="auto"/>
          <w:sz w:val="24"/>
        </w:rPr>
        <w:t xml:space="preserve"> = 1 mg）。</w:t>
      </w:r>
      <w:bookmarkStart w:id="46" w:name="_Toc314696644"/>
      <w:bookmarkStart w:id="47" w:name="_Toc400802425"/>
      <w:bookmarkStart w:id="48" w:name="_Toc323074132"/>
      <w:bookmarkStart w:id="49" w:name="_Toc23043"/>
      <w:bookmarkStart w:id="50" w:name="_Toc296888042"/>
    </w:p>
    <w:p>
      <w:pPr>
        <w:pStyle w:val="5"/>
        <w:keepNext/>
        <w:keepLines/>
        <w:rPr>
          <w:color w:val="auto"/>
        </w:rPr>
      </w:pPr>
      <w:bookmarkStart w:id="51" w:name="_Toc9500"/>
      <w:r>
        <w:rPr>
          <w:color w:val="auto"/>
        </w:rPr>
        <w:t>水生维管束植物调查方法</w:t>
      </w:r>
      <w:bookmarkEnd w:id="46"/>
      <w:bookmarkEnd w:id="47"/>
      <w:bookmarkEnd w:id="48"/>
      <w:bookmarkEnd w:id="49"/>
      <w:bookmarkEnd w:id="50"/>
      <w:bookmarkEnd w:id="51"/>
    </w:p>
    <w:p>
      <w:pPr>
        <w:spacing w:line="360" w:lineRule="auto"/>
        <w:ind w:firstLine="480" w:firstLineChars="200"/>
        <w:rPr>
          <w:rFonts w:ascii="Times New Roman" w:hAnsi="Times New Roman"/>
          <w:color w:val="auto"/>
          <w:sz w:val="24"/>
        </w:rPr>
      </w:pPr>
      <w:r>
        <w:rPr>
          <w:rFonts w:ascii="Times New Roman" w:hAnsi="Times New Roman"/>
          <w:color w:val="auto"/>
          <w:sz w:val="24"/>
        </w:rPr>
        <w:t>定性采集：采集水深2 m以内的物种及优势种，生长在岸边的挺水植物和漂浮植物直接用手采集。浮叶植物和沉水植物则用钉耙将它们连根拔起，选择完整的植株，滴去表面水分，夹入植物标本夹内压干，制成腊叶标本，带回实验室鉴定保存。标本按《中国水生高等植物图说》和《中国水生维管植物图谱》进行鉴定。</w:t>
      </w:r>
      <w:bookmarkStart w:id="52" w:name="_Toc323074133"/>
      <w:bookmarkStart w:id="53" w:name="_Toc296888043"/>
      <w:bookmarkStart w:id="54" w:name="_Toc314696645"/>
      <w:bookmarkStart w:id="55" w:name="_Toc15654"/>
      <w:bookmarkStart w:id="56" w:name="_Toc400802426"/>
    </w:p>
    <w:p>
      <w:pPr>
        <w:pStyle w:val="5"/>
        <w:keepNext/>
        <w:keepLines/>
        <w:rPr>
          <w:color w:val="auto"/>
        </w:rPr>
      </w:pPr>
      <w:bookmarkStart w:id="57" w:name="_Toc11528"/>
      <w:r>
        <w:rPr>
          <w:color w:val="auto"/>
        </w:rPr>
        <w:t>浮游动物调查方法</w:t>
      </w:r>
      <w:bookmarkEnd w:id="52"/>
      <w:bookmarkEnd w:id="53"/>
      <w:bookmarkEnd w:id="54"/>
      <w:bookmarkEnd w:id="55"/>
      <w:bookmarkEnd w:id="56"/>
      <w:bookmarkEnd w:id="57"/>
    </w:p>
    <w:p>
      <w:pPr>
        <w:pStyle w:val="5"/>
        <w:keepNext/>
        <w:keepLines/>
        <w:numPr>
          <w:ilvl w:val="2"/>
          <w:numId w:val="0"/>
        </w:numPr>
        <w:ind w:left="840"/>
        <w:rPr>
          <w:color w:val="auto"/>
        </w:rPr>
      </w:pPr>
      <w:bookmarkStart w:id="58" w:name="_Toc400802427"/>
      <w:bookmarkStart w:id="59" w:name="_Toc24297"/>
      <w:bookmarkStart w:id="60" w:name="_Toc296888044"/>
      <w:bookmarkStart w:id="61" w:name="_Toc323074134"/>
      <w:bookmarkStart w:id="62" w:name="_Toc314696646"/>
      <w:bookmarkStart w:id="63" w:name="_Toc411"/>
      <w:r>
        <w:rPr>
          <w:color w:val="auto"/>
          <w:lang w:val="en-US"/>
        </w:rPr>
        <w:t>（1）</w:t>
      </w:r>
      <w:r>
        <w:rPr>
          <w:color w:val="auto"/>
        </w:rPr>
        <w:t>野外采集</w:t>
      </w:r>
      <w:bookmarkEnd w:id="58"/>
      <w:bookmarkEnd w:id="59"/>
      <w:bookmarkEnd w:id="60"/>
      <w:bookmarkEnd w:id="61"/>
      <w:bookmarkEnd w:id="62"/>
      <w:bookmarkEnd w:id="63"/>
    </w:p>
    <w:p>
      <w:pPr>
        <w:spacing w:line="360" w:lineRule="auto"/>
        <w:ind w:firstLine="480" w:firstLineChars="200"/>
        <w:rPr>
          <w:rFonts w:ascii="Times New Roman" w:hAnsi="Times New Roman"/>
          <w:color w:val="auto"/>
          <w:sz w:val="24"/>
        </w:rPr>
      </w:pPr>
      <w:r>
        <w:rPr>
          <w:rFonts w:ascii="Times New Roman" w:hAnsi="Times New Roman"/>
          <w:color w:val="auto"/>
          <w:sz w:val="24"/>
        </w:rPr>
        <w:t>定性样品采集</w:t>
      </w:r>
      <w:r>
        <w:rPr>
          <w:rFonts w:hint="eastAsia" w:ascii="Times New Roman" w:hAnsi="Times New Roman"/>
          <w:color w:val="auto"/>
          <w:sz w:val="24"/>
          <w:lang w:eastAsia="zh-CN"/>
        </w:rPr>
        <w:t>：</w:t>
      </w:r>
      <w:r>
        <w:rPr>
          <w:rFonts w:ascii="Times New Roman" w:hAnsi="Times New Roman"/>
          <w:color w:val="auto"/>
          <w:sz w:val="24"/>
        </w:rPr>
        <w:t>选择不同的水域区，用</w:t>
      </w:r>
      <w:r>
        <w:rPr>
          <w:rFonts w:hint="eastAsia" w:ascii="Times New Roman" w:hAnsi="Times New Roman"/>
          <w:color w:val="auto"/>
          <w:sz w:val="24"/>
          <w:lang w:val="en-US" w:eastAsia="zh-CN"/>
        </w:rPr>
        <w:t>25</w:t>
      </w:r>
      <w:r>
        <w:rPr>
          <w:rFonts w:ascii="Times New Roman" w:hAnsi="Times New Roman"/>
          <w:color w:val="auto"/>
          <w:sz w:val="24"/>
        </w:rPr>
        <w:t>号</w:t>
      </w:r>
      <w:r>
        <w:rPr>
          <w:rFonts w:hint="eastAsia" w:ascii="Times New Roman" w:hAnsi="Times New Roman"/>
          <w:color w:val="auto"/>
          <w:sz w:val="24"/>
          <w:lang w:val="en-US" w:eastAsia="zh-CN"/>
        </w:rPr>
        <w:t>或13号</w:t>
      </w:r>
      <w:r>
        <w:rPr>
          <w:rFonts w:ascii="Times New Roman" w:hAnsi="Times New Roman"/>
          <w:color w:val="auto"/>
          <w:sz w:val="24"/>
        </w:rPr>
        <w:t>浮游生物网在水面下0.5 m水深处缓慢作∞形循环拖动2～3min，将采得的水样装入编号瓶，加15 ml鲁哥氏液固定</w:t>
      </w:r>
      <w:r>
        <w:rPr>
          <w:rFonts w:hint="eastAsia" w:ascii="Times New Roman" w:hAnsi="Times New Roman"/>
          <w:color w:val="auto"/>
          <w:sz w:val="24"/>
          <w:lang w:eastAsia="zh-CN"/>
        </w:rPr>
        <w:t>；</w:t>
      </w:r>
      <w:r>
        <w:rPr>
          <w:rFonts w:hint="eastAsia" w:ascii="Times New Roman" w:hAnsi="Times New Roman"/>
          <w:color w:val="auto"/>
          <w:sz w:val="24"/>
          <w:lang w:val="en-US" w:eastAsia="zh-CN"/>
        </w:rPr>
        <w:t>甲壳动物水样加5</w:t>
      </w:r>
      <w:r>
        <w:rPr>
          <w:rFonts w:ascii="Times New Roman" w:hAnsi="Times New Roman"/>
          <w:color w:val="auto"/>
          <w:sz w:val="24"/>
        </w:rPr>
        <w:t>%的甲醛</w:t>
      </w:r>
      <w:r>
        <w:rPr>
          <w:rFonts w:hint="eastAsia" w:ascii="Times New Roman" w:hAnsi="Times New Roman"/>
          <w:color w:val="auto"/>
          <w:sz w:val="24"/>
          <w:lang w:val="en-US" w:eastAsia="zh-CN"/>
        </w:rPr>
        <w:t>液固定</w:t>
      </w:r>
      <w:r>
        <w:rPr>
          <w:rFonts w:ascii="Times New Roman" w:hAnsi="Times New Roman"/>
          <w:color w:val="auto"/>
          <w:sz w:val="24"/>
        </w:rPr>
        <w:t>。</w:t>
      </w:r>
    </w:p>
    <w:p>
      <w:pPr>
        <w:spacing w:line="360" w:lineRule="auto"/>
        <w:ind w:firstLine="480" w:firstLineChars="200"/>
        <w:rPr>
          <w:rFonts w:ascii="Times New Roman" w:hAnsi="Times New Roman"/>
          <w:color w:val="auto"/>
          <w:sz w:val="24"/>
        </w:rPr>
      </w:pPr>
      <w:r>
        <w:rPr>
          <w:rFonts w:ascii="Times New Roman" w:hAnsi="Times New Roman"/>
          <w:color w:val="auto"/>
          <w:sz w:val="24"/>
        </w:rPr>
        <w:t>定量样品采集</w:t>
      </w:r>
      <w:r>
        <w:rPr>
          <w:rFonts w:hint="eastAsia" w:ascii="Times New Roman" w:hAnsi="Times New Roman"/>
          <w:color w:val="auto"/>
          <w:sz w:val="24"/>
          <w:lang w:eastAsia="zh-CN"/>
        </w:rPr>
        <w:t>：</w:t>
      </w:r>
      <w:r>
        <w:rPr>
          <w:rFonts w:ascii="Times New Roman" w:hAnsi="Times New Roman"/>
          <w:color w:val="auto"/>
          <w:sz w:val="24"/>
        </w:rPr>
        <w:t>用1 L有机玻璃采水器采集，因受采样时间限制，浮游动物数量稀少，故每采样点均采集水样10 L，用25号浮游生物网过滤，将采得的水样装入编号瓶，加15 ml鲁哥氏液固定。</w:t>
      </w:r>
    </w:p>
    <w:p>
      <w:pPr>
        <w:pStyle w:val="5"/>
        <w:keepNext/>
        <w:keepLines/>
        <w:pageBreakBefore w:val="0"/>
        <w:widowControl w:val="0"/>
        <w:numPr>
          <w:ilvl w:val="2"/>
          <w:numId w:val="0"/>
        </w:numPr>
        <w:tabs>
          <w:tab w:val="left" w:pos="1509"/>
        </w:tabs>
        <w:kinsoku/>
        <w:wordWrap/>
        <w:overflowPunct/>
        <w:topLinePunct w:val="0"/>
        <w:autoSpaceDE/>
        <w:autoSpaceDN/>
        <w:bidi w:val="0"/>
        <w:adjustRightInd/>
        <w:snapToGrid/>
        <w:ind w:firstLine="482" w:firstLineChars="200"/>
        <w:textAlignment w:val="auto"/>
        <w:rPr>
          <w:color w:val="auto"/>
        </w:rPr>
      </w:pPr>
      <w:bookmarkStart w:id="64" w:name="_Toc323074135"/>
      <w:bookmarkStart w:id="65" w:name="_Toc400802428"/>
      <w:bookmarkStart w:id="66" w:name="_Toc296888045"/>
      <w:bookmarkStart w:id="67" w:name="_Toc9873"/>
      <w:bookmarkStart w:id="68" w:name="_Toc314696647"/>
      <w:bookmarkStart w:id="69" w:name="_Toc9798"/>
      <w:r>
        <w:rPr>
          <w:color w:val="auto"/>
        </w:rPr>
        <w:t>（</w:t>
      </w:r>
      <w:r>
        <w:rPr>
          <w:color w:val="auto"/>
          <w:lang w:val="en-US"/>
        </w:rPr>
        <w:t>2</w:t>
      </w:r>
      <w:r>
        <w:rPr>
          <w:color w:val="auto"/>
        </w:rPr>
        <w:t>）室内观察与鉴定</w:t>
      </w:r>
      <w:bookmarkEnd w:id="64"/>
      <w:bookmarkEnd w:id="65"/>
      <w:bookmarkEnd w:id="66"/>
      <w:bookmarkEnd w:id="67"/>
      <w:bookmarkEnd w:id="68"/>
      <w:bookmarkEnd w:id="69"/>
    </w:p>
    <w:p>
      <w:pPr>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将野外采集的水样，倒入沉淀器静置48～72h，让样品自然沉淀，然后用虹吸法吸去上层清水，浓缩至30m</w:t>
      </w:r>
      <w:r>
        <w:rPr>
          <w:rFonts w:hint="eastAsia" w:ascii="宋体" w:hAnsi="宋体" w:cs="宋体"/>
          <w:color w:val="auto"/>
          <w:sz w:val="24"/>
          <w:szCs w:val="24"/>
          <w:lang w:val="en-US" w:eastAsia="zh-CN"/>
        </w:rPr>
        <w:t>L</w:t>
      </w:r>
      <w:r>
        <w:rPr>
          <w:rFonts w:hint="eastAsia" w:ascii="宋体" w:hAnsi="宋体" w:eastAsia="宋体" w:cs="宋体"/>
          <w:color w:val="auto"/>
          <w:sz w:val="24"/>
          <w:szCs w:val="24"/>
        </w:rPr>
        <w:t>，每样取浓缩液0.1m</w:t>
      </w:r>
      <w:r>
        <w:rPr>
          <w:rFonts w:hint="eastAsia" w:ascii="宋体" w:hAnsi="宋体" w:cs="宋体"/>
          <w:color w:val="auto"/>
          <w:sz w:val="24"/>
          <w:szCs w:val="24"/>
          <w:lang w:val="en-US" w:eastAsia="zh-CN"/>
        </w:rPr>
        <w:t>L</w:t>
      </w:r>
      <w:r>
        <w:rPr>
          <w:rFonts w:hint="eastAsia" w:ascii="宋体" w:hAnsi="宋体" w:eastAsia="宋体" w:cs="宋体"/>
          <w:color w:val="auto"/>
          <w:sz w:val="24"/>
          <w:szCs w:val="24"/>
        </w:rPr>
        <w:t>于生物记数框中镜检，每样品检查2次。定性样品：物种鉴定到属或种，鉴定时依据《淡水微型生物图谱》（周凤霞、陈剑虹，2005）、《淡水生物学》（大连水产学院，1982），种类分析时参考《长江上游珍稀、特有鱼类国家级自然保护区浮游植物和浮游动物种类分布和数量研究》（余海英，2008）。定量的样品：在10×10倍的显微镜下，逐一统计浮游动物各种类的个体数量，每一水样的浮游动物连续计算2次，如2次计算结果差异很大，则需再计算1～2次，将各次数值平均，按下式计算每升水中的浮游生物数量。</w:t>
      </w:r>
    </w:p>
    <w:p>
      <w:pPr>
        <w:spacing w:line="360" w:lineRule="auto"/>
        <w:ind w:firstLine="480" w:firstLineChars="200"/>
        <w:rPr>
          <w:rFonts w:ascii="Times New Roman" w:hAnsi="Times New Roman"/>
          <w:color w:val="auto"/>
          <w:sz w:val="24"/>
        </w:rPr>
      </w:pPr>
      <w:r>
        <w:rPr>
          <w:rFonts w:ascii="Times New Roman" w:hAnsi="Times New Roman"/>
          <w:color w:val="auto"/>
          <w:sz w:val="24"/>
          <w:szCs w:val="22"/>
        </w:rPr>
        <w:t>浮游动物密度 =</w:t>
      </w:r>
      <w:r>
        <w:rPr>
          <w:rFonts w:ascii="Times New Roman" w:hAnsi="Times New Roman"/>
          <w:color w:val="auto"/>
          <w:position w:val="-26"/>
        </w:rPr>
        <w:object>
          <v:shape id="_x0000_i1025" o:spt="75" type="#_x0000_t75" style="height:31.65pt;width:198.5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ascii="Times New Roman" w:hAnsi="Times New Roman"/>
          <w:color w:val="auto"/>
          <w:sz w:val="24"/>
          <w:szCs w:val="22"/>
        </w:rPr>
        <w:t>× 镜检得到的浮游动物数量</w:t>
      </w:r>
    </w:p>
    <w:p>
      <w:pPr>
        <w:tabs>
          <w:tab w:val="left" w:pos="3460"/>
        </w:tabs>
        <w:spacing w:line="360" w:lineRule="auto"/>
        <w:ind w:firstLine="480" w:firstLineChars="200"/>
        <w:rPr>
          <w:rFonts w:ascii="Times New Roman" w:hAnsi="Times New Roman"/>
          <w:color w:val="auto"/>
          <w:sz w:val="24"/>
        </w:rPr>
      </w:pPr>
      <w:r>
        <w:rPr>
          <w:rFonts w:ascii="Times New Roman" w:hAnsi="Times New Roman"/>
          <w:color w:val="auto"/>
          <w:sz w:val="24"/>
        </w:rPr>
        <w:t>根据每升水中浮游动物的数量，再换算出每升水中浮游动物的重量，即生物量（湿重）。</w:t>
      </w:r>
    </w:p>
    <w:p>
      <w:pPr>
        <w:pStyle w:val="5"/>
        <w:keepNext/>
        <w:keepLines/>
        <w:rPr>
          <w:color w:val="auto"/>
        </w:rPr>
      </w:pPr>
      <w:bookmarkStart w:id="70" w:name="_Toc19299"/>
      <w:bookmarkStart w:id="71" w:name="_Toc400802429"/>
      <w:bookmarkStart w:id="72" w:name="_Toc27871"/>
      <w:bookmarkStart w:id="73" w:name="_Toc314696648"/>
      <w:bookmarkStart w:id="74" w:name="_Toc296888046"/>
      <w:bookmarkStart w:id="75" w:name="_Toc323074136"/>
      <w:r>
        <w:rPr>
          <w:color w:val="auto"/>
        </w:rPr>
        <w:t>底栖无脊椎动物调查方法</w:t>
      </w:r>
      <w:bookmarkEnd w:id="70"/>
      <w:bookmarkEnd w:id="71"/>
      <w:bookmarkEnd w:id="72"/>
      <w:bookmarkEnd w:id="73"/>
      <w:bookmarkEnd w:id="74"/>
      <w:bookmarkEnd w:id="75"/>
    </w:p>
    <w:p>
      <w:pPr>
        <w:spacing w:line="360" w:lineRule="auto"/>
        <w:ind w:firstLine="480" w:firstLineChars="200"/>
        <w:rPr>
          <w:rFonts w:ascii="Times New Roman" w:hAnsi="Times New Roman"/>
          <w:color w:val="auto"/>
          <w:sz w:val="24"/>
        </w:rPr>
      </w:pPr>
      <w:r>
        <w:rPr>
          <w:rFonts w:ascii="Times New Roman" w:hAnsi="Times New Roman"/>
          <w:color w:val="auto"/>
          <w:sz w:val="24"/>
        </w:rPr>
        <w:t>在采样点附近选取具有代表性的河滩，选取1 m</w:t>
      </w:r>
      <w:r>
        <w:rPr>
          <w:rFonts w:ascii="Times New Roman" w:hAnsi="Times New Roman"/>
          <w:color w:val="auto"/>
          <w:sz w:val="24"/>
          <w:vertAlign w:val="superscript"/>
        </w:rPr>
        <w:t>2</w:t>
      </w:r>
      <w:r>
        <w:rPr>
          <w:rFonts w:ascii="Times New Roman" w:hAnsi="Times New Roman"/>
          <w:color w:val="auto"/>
          <w:sz w:val="24"/>
        </w:rPr>
        <w:t>，将其中石块捡出，用镊子夹取各种附着在石上的底栖动物。若底质为沙或泥质，则使用面积为0.0038465 m</w:t>
      </w:r>
      <w:r>
        <w:rPr>
          <w:rFonts w:ascii="Times New Roman" w:hAnsi="Times New Roman"/>
          <w:color w:val="auto"/>
          <w:sz w:val="24"/>
          <w:vertAlign w:val="superscript"/>
        </w:rPr>
        <w:t>2</w:t>
      </w:r>
      <w:r>
        <w:rPr>
          <w:rFonts w:ascii="Times New Roman" w:hAnsi="Times New Roman"/>
          <w:color w:val="auto"/>
          <w:sz w:val="24"/>
        </w:rPr>
        <w:t>的圆形自制采泥器采集，每一采样点采集2-4次。用网目40或60目的金属分样筛小心淘洗和筛取出各类标本。将采集的底栖动物放入编号瓶中用5%甲醛溶液固定保存。</w:t>
      </w:r>
    </w:p>
    <w:p>
      <w:pPr>
        <w:pStyle w:val="18"/>
        <w:pageBreakBefore w:val="0"/>
        <w:widowControl w:val="0"/>
        <w:kinsoku/>
        <w:wordWrap/>
        <w:overflowPunct/>
        <w:topLinePunct w:val="0"/>
        <w:autoSpaceDE/>
        <w:autoSpaceDN/>
        <w:bidi w:val="0"/>
        <w:adjustRightInd/>
        <w:snapToGrid/>
        <w:spacing w:after="0" w:line="360" w:lineRule="auto"/>
        <w:ind w:left="0" w:firstLine="480"/>
        <w:textAlignment w:val="auto"/>
        <w:rPr>
          <w:rFonts w:ascii="Times New Roman" w:hAnsi="Times New Roman"/>
          <w:color w:val="auto"/>
          <w:sz w:val="24"/>
        </w:rPr>
      </w:pPr>
      <w:r>
        <w:rPr>
          <w:rFonts w:ascii="Times New Roman" w:hAnsi="Times New Roman"/>
          <w:color w:val="auto"/>
          <w:sz w:val="24"/>
        </w:rPr>
        <w:t>将每个点采集的底栖动物样品，按采集编号逐号进行整理。用肉眼或在解剖镜下将底栖动物鉴定到属或种，鉴定时依据《淡水微型生物图谱》（周凤霞、陈剑虹，2005）、《淡水生物学》（大连水产学院，1982），种类分析时参考《长江上游新市至江津大型底栖动物漂流调查》（刘向伟等，2009）。用电子天平对每一类群称重，称重前需将标本放到吸水纸上，吸去虫体表面的水份，称出每种的湿重量，再换算成以平方米为单位的种类密度及生物量（湿重量）。</w:t>
      </w:r>
    </w:p>
    <w:p>
      <w:pPr>
        <w:pStyle w:val="5"/>
        <w:keepNext/>
        <w:keepLines/>
        <w:pageBreakBefore w:val="0"/>
        <w:widowControl w:val="0"/>
        <w:kinsoku/>
        <w:wordWrap/>
        <w:overflowPunct/>
        <w:topLinePunct w:val="0"/>
        <w:autoSpaceDE/>
        <w:autoSpaceDN/>
        <w:bidi w:val="0"/>
        <w:adjustRightInd/>
        <w:snapToGrid/>
        <w:ind w:left="0" w:firstLine="482" w:firstLineChars="200"/>
        <w:textAlignment w:val="auto"/>
        <w:rPr>
          <w:color w:val="auto"/>
        </w:rPr>
      </w:pPr>
      <w:bookmarkStart w:id="76" w:name="_Toc400802430"/>
      <w:bookmarkStart w:id="77" w:name="_Toc5588"/>
      <w:bookmarkStart w:id="78" w:name="_Toc158195251"/>
      <w:bookmarkStart w:id="79" w:name="_Toc29663"/>
      <w:bookmarkStart w:id="80" w:name="_Toc296888047"/>
      <w:bookmarkStart w:id="81" w:name="_Toc314696649"/>
      <w:bookmarkStart w:id="82" w:name="_Toc323074137"/>
      <w:r>
        <w:rPr>
          <w:color w:val="auto"/>
        </w:rPr>
        <w:t>鱼类调查方法</w:t>
      </w:r>
      <w:bookmarkEnd w:id="76"/>
      <w:bookmarkEnd w:id="77"/>
      <w:bookmarkEnd w:id="78"/>
      <w:bookmarkEnd w:id="79"/>
      <w:bookmarkEnd w:id="80"/>
      <w:bookmarkEnd w:id="81"/>
      <w:bookmarkEnd w:id="82"/>
    </w:p>
    <w:p>
      <w:pPr>
        <w:spacing w:line="360" w:lineRule="auto"/>
        <w:ind w:firstLine="480" w:firstLineChars="200"/>
        <w:rPr>
          <w:rFonts w:ascii="Times New Roman" w:hAnsi="Times New Roman"/>
          <w:color w:val="auto"/>
          <w:sz w:val="24"/>
        </w:rPr>
      </w:pPr>
      <w:r>
        <w:rPr>
          <w:rFonts w:hint="eastAsia" w:ascii="Times New Roman" w:hAnsi="Times New Roman"/>
          <w:color w:val="auto"/>
          <w:sz w:val="24"/>
        </w:rPr>
        <w:t>本次鱼类资源数据引用四川省水产学校调查资料，本次未进行捕捞</w:t>
      </w:r>
      <w:r>
        <w:rPr>
          <w:rFonts w:ascii="Times New Roman" w:hAnsi="Times New Roman"/>
          <w:color w:val="auto"/>
          <w:sz w:val="24"/>
        </w:rPr>
        <w:t>。</w:t>
      </w:r>
    </w:p>
    <w:p>
      <w:pPr>
        <w:pStyle w:val="4"/>
        <w:spacing w:before="120" w:after="120"/>
        <w:ind w:left="578" w:hanging="578"/>
        <w:rPr>
          <w:color w:val="auto"/>
          <w:lang w:val="en-US"/>
        </w:rPr>
      </w:pPr>
      <w:bookmarkStart w:id="83" w:name="_Toc22172"/>
      <w:r>
        <w:rPr>
          <w:color w:val="auto"/>
          <w:lang w:val="en-US"/>
        </w:rPr>
        <w:t>陆生生生态</w:t>
      </w:r>
      <w:r>
        <w:rPr>
          <w:color w:val="auto"/>
        </w:rPr>
        <w:t>评价方法</w:t>
      </w:r>
      <w:bookmarkEnd w:id="83"/>
    </w:p>
    <w:p>
      <w:pPr>
        <w:pStyle w:val="5"/>
        <w:rPr>
          <w:color w:val="auto"/>
        </w:rPr>
      </w:pPr>
      <w:bookmarkStart w:id="84" w:name="_Toc28357"/>
      <w:r>
        <w:rPr>
          <w:color w:val="auto"/>
        </w:rPr>
        <w:t>野外调查方法</w:t>
      </w:r>
      <w:bookmarkEnd w:id="84"/>
    </w:p>
    <w:p>
      <w:pPr>
        <w:adjustRightInd w:val="0"/>
        <w:snapToGrid w:val="0"/>
        <w:spacing w:line="360" w:lineRule="auto"/>
        <w:ind w:firstLine="480" w:firstLineChars="200"/>
        <w:rPr>
          <w:rFonts w:ascii="Times New Roman" w:hAnsi="Times New Roman"/>
          <w:color w:val="auto"/>
          <w:sz w:val="24"/>
          <w:lang w:val="zh-CN"/>
        </w:rPr>
      </w:pPr>
      <w:r>
        <w:rPr>
          <w:rFonts w:ascii="Times New Roman" w:hAnsi="Times New Roman"/>
          <w:color w:val="auto"/>
          <w:sz w:val="24"/>
          <w:lang w:val="zh-CN"/>
        </w:rPr>
        <w:t>采用植物学、生态学、动物学、景观生态学等专业的野外工作规范要求进行。植物物种多样性和植物群落生态学调查采用路线法和样方法相结合的方式进行。具体调查方法分述如下：</w:t>
      </w:r>
    </w:p>
    <w:p>
      <w:pPr>
        <w:adjustRightInd w:val="0"/>
        <w:snapToGrid w:val="0"/>
        <w:spacing w:line="360" w:lineRule="auto"/>
        <w:ind w:firstLine="482" w:firstLineChars="200"/>
        <w:rPr>
          <w:rFonts w:ascii="Times New Roman" w:hAnsi="Times New Roman"/>
          <w:b/>
          <w:color w:val="auto"/>
          <w:sz w:val="24"/>
        </w:rPr>
      </w:pPr>
      <w:r>
        <w:rPr>
          <w:rFonts w:ascii="Times New Roman" w:hAnsi="Times New Roman"/>
          <w:b/>
          <w:color w:val="auto"/>
          <w:sz w:val="24"/>
        </w:rPr>
        <w:t>（1）植物植被与多样性调查</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在样线法和样方法的基础上，分植物区系学和植物群落学两方面考察进行。线路调查阶段主要是在评价区域的植被分布情况进行初步踏察的基础上，在项目评价范围内对临时占地区以及其他间接影响区域进行线路调查，记录各区域的生境类型和植被类型，记录样线调查区域的植物种类，采集植物标本，GPS定位并按照分类学要求进行拍照。典型群落调查阶段则是根据每个群系根据分布面积大小、生境代表性、群落结构完整性和物种丰富度等情况，在本项目占地区域周边设置8个代表性样方，进行群落学调查。本次调查乔木的样方大小为20×20m，竹林的样方大小为10m×10m，灌木的样方大小为5m×5m，乔木样方调查记录乔木层郁闭度、树种的组成、株数、每树种的胸径、高度，灌木样方调查记录灌木的种类组成、盖度、冠幅等参数；在乔木（灌木）样方四角及中央设置面积为1m×1m（按实际情况设置）的草本样方，调查记录草本的种类组成、盖度和高度，并利用GPS测定、记录样方的经纬度、海拔等地理信息，拍摄样地群落结构和外貌照片。根据群落分布特征在地形图上勾绘植被分布图。</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对珍稀特有物种应用GPS进行定位，对珍稀植物的集中分布区，野外勾绘其分布区域。</w:t>
      </w:r>
    </w:p>
    <w:p>
      <w:pPr>
        <w:adjustRightInd w:val="0"/>
        <w:snapToGrid w:val="0"/>
        <w:spacing w:line="360" w:lineRule="auto"/>
        <w:ind w:firstLine="482" w:firstLineChars="200"/>
        <w:rPr>
          <w:rFonts w:ascii="Times New Roman" w:hAnsi="Times New Roman"/>
          <w:color w:val="auto"/>
          <w:sz w:val="24"/>
          <w:lang w:val="zh-CN"/>
        </w:rPr>
      </w:pPr>
      <w:r>
        <w:rPr>
          <w:rFonts w:ascii="Times New Roman" w:hAnsi="Times New Roman"/>
          <w:b/>
          <w:color w:val="auto"/>
          <w:sz w:val="24"/>
        </w:rPr>
        <w:t>（2）室内标本鉴定</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本次野外植物区系调查重点是种子植物，对于个别样地中出现的蕨类植物也将一并鉴定。对于野外调查中不能立即鉴定的植物采集标本带回驻地，根据《中国植物志》、《中国高等植物图鉴》、《四川植物志》等分类学文献进行鉴定记录下植物的科、属、种名及其生境特征。同时，收集该地区的植物和植被的历史资料、专项调查报告、区域内其它建设工程的环评价报告等相关文献资料，结合本次野外调查的数据，汇总形成评价区域内维管束植物多样性目录（见附录1）。</w:t>
      </w:r>
    </w:p>
    <w:p>
      <w:pPr>
        <w:adjustRightInd w:val="0"/>
        <w:snapToGrid w:val="0"/>
        <w:spacing w:line="360" w:lineRule="auto"/>
        <w:ind w:firstLine="482" w:firstLineChars="200"/>
        <w:rPr>
          <w:rFonts w:ascii="Times New Roman" w:hAnsi="Times New Roman"/>
          <w:color w:val="auto"/>
          <w:sz w:val="24"/>
          <w:lang w:val="zh-CN"/>
        </w:rPr>
      </w:pPr>
      <w:r>
        <w:rPr>
          <w:rFonts w:ascii="Times New Roman" w:hAnsi="Times New Roman"/>
          <w:b/>
          <w:color w:val="auto"/>
          <w:sz w:val="24"/>
        </w:rPr>
        <w:t>（3）植被类型的划分</w:t>
      </w:r>
    </w:p>
    <w:p>
      <w:pPr>
        <w:adjustRightInd w:val="0"/>
        <w:snapToGrid w:val="0"/>
        <w:spacing w:line="360" w:lineRule="auto"/>
        <w:ind w:firstLine="480" w:firstLineChars="200"/>
        <w:rPr>
          <w:rFonts w:ascii="Times New Roman" w:hAnsi="Times New Roman"/>
          <w:color w:val="auto"/>
          <w:sz w:val="24"/>
          <w:lang w:val="zh-CN"/>
        </w:rPr>
      </w:pPr>
      <w:r>
        <w:rPr>
          <w:rFonts w:ascii="Times New Roman" w:hAnsi="Times New Roman"/>
          <w:color w:val="auto"/>
          <w:sz w:val="24"/>
          <w:lang w:val="zh-CN"/>
        </w:rPr>
        <w:t>评价区内植被类型的划分按照《中国植被》分类系统，参考《四川植被》的划分方法，进行植被类型的划分，包括植物型、群系纲、群系组和群系（相当于群落类型）四个层次。将建群种生活型相近、群落的外貌形态相似的植物群落归为植被型，同一植被型具有相似的区系组成、结构、形态外貌、生态特点、及动态演变历史；第二级为群系纲，将建群植物的生活型基本相同和生境相似的科、属植物或具有某些特征植物的群系组相结合归为群系纲；第三级为群系组，在植被型内根据建群种的亲缘关系（同属或者相近属），生活型或生境近似划分群系组；第四级为群系，将建群种或共建群种相同的植物群落的联合为群系。本次评价主要是根据样方调查数据分析的基础上，按照上述原则逐级划分评价区内的植被类型，直至群系（相当于群落类型）水平。</w:t>
      </w:r>
    </w:p>
    <w:p>
      <w:pPr>
        <w:adjustRightInd w:val="0"/>
        <w:snapToGrid w:val="0"/>
        <w:spacing w:line="360" w:lineRule="auto"/>
        <w:ind w:firstLine="482" w:firstLineChars="200"/>
        <w:rPr>
          <w:rFonts w:ascii="Times New Roman" w:hAnsi="Times New Roman"/>
          <w:color w:val="auto"/>
          <w:sz w:val="24"/>
          <w:lang w:val="zh-CN"/>
        </w:rPr>
      </w:pPr>
      <w:r>
        <w:rPr>
          <w:rFonts w:ascii="Times New Roman" w:hAnsi="Times New Roman"/>
          <w:b/>
          <w:color w:val="auto"/>
          <w:sz w:val="24"/>
        </w:rPr>
        <w:t>（4）生物量调查</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乔木植被、灌草丛类型主要查阅相关资料，依据《四川森林》《四川森林生态研究》和冯宗炜编著《中国森林生态系统的生物量与生产力》对不同类型林分生物量的研究结果对评价区各类型生物量进行估算；耕地依据向当地居民询间产量调查数据计算。</w:t>
      </w:r>
    </w:p>
    <w:p>
      <w:pPr>
        <w:adjustRightInd w:val="0"/>
        <w:snapToGrid w:val="0"/>
        <w:spacing w:line="360" w:lineRule="auto"/>
        <w:ind w:firstLine="482" w:firstLineChars="200"/>
        <w:rPr>
          <w:rFonts w:ascii="Times New Roman" w:hAnsi="Times New Roman"/>
          <w:color w:val="auto"/>
          <w:sz w:val="24"/>
          <w:lang w:val="zh-CN"/>
        </w:rPr>
      </w:pPr>
      <w:r>
        <w:rPr>
          <w:rFonts w:ascii="Times New Roman" w:hAnsi="Times New Roman"/>
          <w:b/>
          <w:color w:val="auto"/>
          <w:sz w:val="24"/>
        </w:rPr>
        <w:t>（5）陆生动物调查</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项目评价区动物的野外研究方法主要包括野外观察和识别、动物野外采集和数量统计、样线法和样方进行调查。根据实地调查结果、并结合资料查阅、检索和整理确定物种组成。</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兽类调查应用传统的野外动物调查方法。先进行资料收集，包括收集已经公开发表的资料。对于大型野生动物的野外调查，白昼活动的动物采用直接计数法，对与易捕捉的小型动物，采用一次捕捉或多次捕捉法；通过相关指数转换法，用调查与动物数量相关的间接指标来估测动物的数量，如洞口计数法、巢穴计数法、粪便计数法、以及动物留下的足迹、标记、卧迹等；除了常规的样带法、样点法外，对于大中型兽类，辅助采用访问法，即对当地居民进行访问；对于鼠形动物，用铗夜法调查。</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两栖爬行动物多样性状况主要采用实地考察、并结合资料查阅的方法进行调查。两栖类动物由于对潮湿的生境依赖性强，因此在野外实地考察时主要选取可能有两栖动物生存的环境进行调查，包括溪流、湿地、水塘、耕地等，及其邻近区域；调查的方法主要是样点调查、样线调查。此外，咨询当地居民也是重要的补充手段。由于两栖动物多是夜行性，因此白天主要巡视可能有两栖动物生存的生境，并考察幼体或蝌蚪、卵的情况。爬行类动物由于已经基本摆脱对潮湿生境（湿地）的依赖，因此其活动范围比较广泛，在草丛、灌丛、乱石堆、洞穴、水域等都可能见到它们的踪迹。在野外实地考察时主要选取上述可能有爬行动物生存的生境进行调查；调查的方法主要是样点调查。此外，访问当地居民也是必须的手段。由于爬行动物属外温动物，多喜爱温暖的时段活动，因此主要在白天巡视可能有爬行动物生存的生境。</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鸟类的野外调查主要依靠生态习性，主要采用样带法（包括样方法）进行种类及数量调查。调查过程中在样带内徒步行走，观察记数所见鸟类种类、数量以及羽毛、鸟巢等痕迹，同时访问当地居民，并详细记录样带内的生境变化，通过全球卫星定位仪（GPS）测定其经纬度和海拔高度变化。根据区内地貌、海拔高度、植被类型等特点，将鸟类生境划为一定的生物地理－植被地带分析论证。确定物种组成、区系构成，对鸟类的数量等级采用路线统计法进行常规统计，一些未在调查中所见种则依据有关文献判别。</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确定动物名录时，以野外调查结果为主，同时参考《四川两栖动物原色图谱》、《四川爬行动物原色图谱》、《四川鸟类原色图谱》、《四川兽类原色图谱》、《四川资源动物志鸟类》、《四川资源动物志兽类》和已发表的与动物物种多样性有关的专著和论文。在以上调查和收集资料基础上，确定各类脊椎动物名录，分析脊椎动物各大类群物种组成、区系特征、国家和四川省级重点保护物种，以及列入《中国濒危动物红皮书》的物种，并估计动物的数量和分布特征。</w:t>
      </w:r>
    </w:p>
    <w:p>
      <w:pPr>
        <w:adjustRightInd w:val="0"/>
        <w:snapToGrid w:val="0"/>
        <w:spacing w:line="360" w:lineRule="auto"/>
        <w:ind w:firstLine="482" w:firstLineChars="200"/>
        <w:jc w:val="left"/>
        <w:rPr>
          <w:rFonts w:ascii="Times New Roman" w:hAnsi="Times New Roman"/>
          <w:color w:val="auto"/>
          <w:sz w:val="24"/>
        </w:rPr>
      </w:pPr>
      <w:r>
        <w:rPr>
          <w:rFonts w:ascii="Times New Roman" w:hAnsi="Times New Roman"/>
          <w:b/>
          <w:color w:val="auto"/>
          <w:sz w:val="24"/>
        </w:rPr>
        <w:t>（6）景观调查</w:t>
      </w:r>
    </w:p>
    <w:p>
      <w:pPr>
        <w:adjustRightInd w:val="0"/>
        <w:snapToGrid w:val="0"/>
        <w:spacing w:line="360" w:lineRule="auto"/>
        <w:ind w:firstLine="480" w:firstLineChars="200"/>
        <w:rPr>
          <w:rFonts w:ascii="Times New Roman" w:hAnsi="Times New Roman"/>
          <w:bCs/>
          <w:color w:val="auto"/>
          <w:sz w:val="24"/>
        </w:rPr>
      </w:pPr>
      <w:r>
        <w:rPr>
          <w:rFonts w:ascii="Times New Roman" w:hAnsi="Times New Roman"/>
          <w:bCs/>
          <w:color w:val="auto"/>
          <w:sz w:val="24"/>
        </w:rPr>
        <w:t>景观生态环境调查主要是从大尺度上对项目区域进行环境监测与调查。通过野外对景观要素的形状、大小、密度以及连接情况计算各景观斑块优势度等，结合空间统计方法，采用空间分析，波谱分析等方法来描述景观在空间结构上的变化情况，景观格局的野外调查主要是结合地理信息系统的空间分布，现场核实、记录廊道、斑块的空间信息等。以野外GPS定点的植物群落生态学调查结果和野外实时勾绘了植被类型的地形图为基础，参考卫星遥感照片解译结果，利用3S技术制作评价区的植被分布图。归并各类森林群落、灌丛群落、草地群落，制作出包含主要生态系统类型和斑块类型的景观生态体系分布图。</w:t>
      </w:r>
    </w:p>
    <w:p>
      <w:pPr>
        <w:pStyle w:val="5"/>
        <w:rPr>
          <w:color w:val="auto"/>
        </w:rPr>
      </w:pPr>
      <w:bookmarkStart w:id="85" w:name="_Toc9823"/>
      <w:r>
        <w:rPr>
          <w:color w:val="auto"/>
        </w:rPr>
        <w:t>内业分析</w:t>
      </w:r>
      <w:bookmarkEnd w:id="85"/>
    </w:p>
    <w:p>
      <w:pPr>
        <w:adjustRightInd w:val="0"/>
        <w:snapToGrid w:val="0"/>
        <w:spacing w:line="360" w:lineRule="auto"/>
        <w:ind w:firstLine="482" w:firstLineChars="200"/>
        <w:jc w:val="left"/>
        <w:rPr>
          <w:rFonts w:ascii="Times New Roman" w:hAnsi="Times New Roman"/>
          <w:b/>
          <w:color w:val="auto"/>
          <w:sz w:val="24"/>
          <w:lang w:val="zh-CN"/>
        </w:rPr>
      </w:pPr>
      <w:r>
        <w:rPr>
          <w:rFonts w:ascii="Times New Roman" w:hAnsi="Times New Roman"/>
          <w:b/>
          <w:color w:val="auto"/>
          <w:sz w:val="24"/>
          <w:lang w:val="zh-CN"/>
        </w:rPr>
        <w:t>（1）数据整理</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 xml:space="preserve">将野外调查的样方调查等数据资料录入相应的Excel数据库，按照相关算法计算典型植被类型生物量和生态系统生物生产力等；开展评价区维管植物科属种统计；按照李锡文划分的世界种子植物科的分布型和吴征镒对中国种子植物属所划分的分布区类型，对评价区内种子植物的科属地理分布类型进行分析整理；按照景观生态学的相关方法，计算各类生态系统的面积和斑块数、景观类型优势度值等。 </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查阅标本馆中有关评价区内珍稀濒危保护动植物标本，并整理有分布的动植物种类、分布范围和生境（栖息地）等资料；查阅《四川植物志》、《中国药用植物志》、《四川油脂植物》等相关资料，整理评价区内的重要野生资源植物分布情况</w:t>
      </w:r>
      <w:r>
        <w:rPr>
          <w:rFonts w:ascii="Times New Roman" w:hAnsi="Times New Roman"/>
          <w:color w:val="auto"/>
          <w:sz w:val="24"/>
          <w:lang w:val="zh-CN"/>
        </w:rPr>
        <w:t>。</w:t>
      </w:r>
    </w:p>
    <w:p>
      <w:pPr>
        <w:adjustRightInd w:val="0"/>
        <w:snapToGrid w:val="0"/>
        <w:spacing w:line="360" w:lineRule="auto"/>
        <w:ind w:firstLine="482" w:firstLineChars="200"/>
        <w:rPr>
          <w:rFonts w:ascii="Times New Roman" w:hAnsi="Times New Roman"/>
          <w:color w:val="auto"/>
          <w:sz w:val="24"/>
          <w:lang w:val="zh-CN"/>
        </w:rPr>
      </w:pPr>
      <w:r>
        <w:rPr>
          <w:rFonts w:ascii="Times New Roman" w:hAnsi="Times New Roman"/>
          <w:b/>
          <w:color w:val="auto"/>
          <w:sz w:val="24"/>
          <w:lang w:val="zh-CN"/>
        </w:rPr>
        <w:t>（2）图件编制方法</w:t>
      </w:r>
    </w:p>
    <w:p>
      <w:pPr>
        <w:adjustRightInd w:val="0"/>
        <w:snapToGrid w:val="0"/>
        <w:spacing w:line="360" w:lineRule="auto"/>
        <w:ind w:firstLine="480" w:firstLineChars="200"/>
        <w:rPr>
          <w:rFonts w:ascii="Times New Roman" w:hAnsi="Times New Roman"/>
          <w:color w:val="auto"/>
        </w:rPr>
      </w:pPr>
      <w:r>
        <w:rPr>
          <w:rFonts w:ascii="Times New Roman" w:hAnsi="Times New Roman"/>
          <w:color w:val="auto"/>
          <w:sz w:val="24"/>
        </w:rPr>
        <w:t>在充分搜集和利用现有研究成果</w:t>
      </w:r>
      <w:r>
        <w:rPr>
          <w:rFonts w:ascii="Times New Roman" w:hAnsi="Times New Roman"/>
          <w:color w:val="auto"/>
          <w:sz w:val="24"/>
          <w:lang w:val="zh-CN"/>
        </w:rPr>
        <w:t>、资料的基础上，利用遥感（RS）、全球定位系统（GPS）、地理信息系统（GIS）等技术手段进行数据采集；根据遥感解译结果，结合地形图进行现场调查、勘探与定位实测；并对资料、信息和数据进行汇总、整理、分析，并完成生态制图。</w:t>
      </w:r>
    </w:p>
    <w:p>
      <w:pPr>
        <w:pStyle w:val="4"/>
        <w:spacing w:before="120" w:after="120"/>
        <w:rPr>
          <w:color w:val="auto"/>
        </w:rPr>
      </w:pPr>
      <w:bookmarkStart w:id="86" w:name="_Toc51318068"/>
      <w:bookmarkStart w:id="87" w:name="_Toc54799183"/>
      <w:bookmarkStart w:id="88" w:name="_Toc31684"/>
      <w:bookmarkStart w:id="89" w:name="_Toc54657423"/>
      <w:bookmarkStart w:id="90" w:name="_Toc54659631"/>
      <w:r>
        <w:rPr>
          <w:color w:val="auto"/>
        </w:rPr>
        <w:t>与</w:t>
      </w:r>
      <w:bookmarkEnd w:id="86"/>
      <w:r>
        <w:rPr>
          <w:color w:val="auto"/>
        </w:rPr>
        <w:t>生态功能规划符合性分析</w:t>
      </w:r>
      <w:bookmarkEnd w:id="87"/>
      <w:bookmarkEnd w:id="88"/>
      <w:bookmarkEnd w:id="89"/>
      <w:bookmarkEnd w:id="90"/>
    </w:p>
    <w:p>
      <w:pPr>
        <w:pStyle w:val="5"/>
        <w:rPr>
          <w:color w:val="auto"/>
        </w:rPr>
      </w:pPr>
      <w:bookmarkStart w:id="91" w:name="_Toc20906"/>
      <w:bookmarkStart w:id="92" w:name="_Toc54799184"/>
      <w:r>
        <w:rPr>
          <w:color w:val="auto"/>
        </w:rPr>
        <w:t>与《全国主体功能区规划》符合性分析</w:t>
      </w:r>
      <w:bookmarkEnd w:id="91"/>
    </w:p>
    <w:p>
      <w:pPr>
        <w:spacing w:line="360" w:lineRule="auto"/>
        <w:ind w:firstLine="480" w:firstLineChars="200"/>
        <w:rPr>
          <w:rFonts w:ascii="Times New Roman" w:hAnsi="Times New Roman"/>
          <w:color w:val="auto"/>
          <w:sz w:val="24"/>
        </w:rPr>
      </w:pPr>
      <w:r>
        <w:rPr>
          <w:rFonts w:ascii="Times New Roman" w:hAnsi="Times New Roman"/>
          <w:color w:val="auto"/>
          <w:sz w:val="24"/>
        </w:rPr>
        <w:t>根据《全国主体功能区规划》（国发〔2010〕46号）（以下简称</w:t>
      </w:r>
      <w:r>
        <w:rPr>
          <w:rFonts w:hint="eastAsia" w:ascii="Times New Roman" w:hAnsi="Times New Roman"/>
          <w:color w:val="auto"/>
          <w:sz w:val="24"/>
          <w:lang w:eastAsia="zh-CN"/>
        </w:rPr>
        <w:t>“</w:t>
      </w:r>
      <w:r>
        <w:rPr>
          <w:rFonts w:ascii="Times New Roman" w:hAnsi="Times New Roman"/>
          <w:color w:val="auto"/>
          <w:sz w:val="24"/>
        </w:rPr>
        <w:t>规划</w:t>
      </w:r>
      <w:r>
        <w:rPr>
          <w:rFonts w:hint="eastAsia" w:ascii="Times New Roman" w:hAnsi="Times New Roman"/>
          <w:color w:val="auto"/>
          <w:sz w:val="24"/>
          <w:lang w:eastAsia="zh-CN"/>
        </w:rPr>
        <w:t>”</w:t>
      </w:r>
      <w:r>
        <w:rPr>
          <w:rFonts w:ascii="Times New Roman" w:hAnsi="Times New Roman"/>
          <w:color w:val="auto"/>
          <w:sz w:val="24"/>
        </w:rPr>
        <w:t>），本项目所在区域位于国家层面重点开发区域（成渝地区）。</w:t>
      </w:r>
    </w:p>
    <w:p>
      <w:pPr>
        <w:pStyle w:val="2"/>
        <w:ind w:firstLine="480"/>
        <w:rPr>
          <w:color w:val="auto"/>
        </w:rPr>
      </w:pPr>
      <w:r>
        <w:rPr>
          <w:color w:val="auto"/>
        </w:rPr>
        <w:t>该区域位于全国“两横三纵”城市化战略格局中沿长江通道横轴和包昆通道纵轴的交汇处。主要包含重庆经济区和成都经济区。</w:t>
      </w:r>
    </w:p>
    <w:p>
      <w:pPr>
        <w:pStyle w:val="2"/>
        <w:ind w:firstLine="480"/>
        <w:rPr>
          <w:color w:val="auto"/>
        </w:rPr>
      </w:pPr>
      <w:r>
        <w:rPr>
          <w:color w:val="auto"/>
        </w:rPr>
        <w:t>本项目位于成都经济区，该区域功能定位是：西部地区重要的经济中心，全国重要的综合交通枢纽，商贸物流中心和金融中心，以及先进制造业基地、科技创新产业化基地和农产品加工基地。</w:t>
      </w:r>
    </w:p>
    <w:p>
      <w:pPr>
        <w:pStyle w:val="2"/>
        <w:ind w:firstLine="480"/>
        <w:rPr>
          <w:color w:val="auto"/>
        </w:rPr>
      </w:pPr>
      <w:r>
        <w:rPr>
          <w:color w:val="auto"/>
        </w:rPr>
        <w:t>——构建以成都为核心，以成德绵乐（成都、德阳、绵阳、乐山）为主轴，以周边其他节点城市为支撑的空间开发格局。</w:t>
      </w:r>
    </w:p>
    <w:p>
      <w:pPr>
        <w:spacing w:line="360" w:lineRule="auto"/>
        <w:ind w:firstLine="480" w:firstLineChars="200"/>
        <w:rPr>
          <w:rFonts w:ascii="Times New Roman" w:hAnsi="Times New Roman"/>
          <w:color w:val="auto"/>
          <w:sz w:val="24"/>
        </w:rPr>
      </w:pPr>
      <w:r>
        <w:rPr>
          <w:rFonts w:ascii="Times New Roman" w:hAnsi="Times New Roman"/>
          <w:color w:val="auto"/>
          <w:sz w:val="24"/>
        </w:rPr>
        <w:t>——强化成都中心城市功能，提升综合服务能力，建设成为全国重要的综合交通通信枢纽和商贸物流、金融、文化教育中心。</w:t>
      </w:r>
    </w:p>
    <w:p>
      <w:pPr>
        <w:pStyle w:val="2"/>
        <w:ind w:firstLine="480"/>
        <w:rPr>
          <w:color w:val="auto"/>
        </w:rPr>
      </w:pPr>
      <w:r>
        <w:rPr>
          <w:color w:val="auto"/>
        </w:rPr>
        <w:t>——壮大成德绵乐发展带，增强电子信息、先进装备制造、生物医药、石化、农产品加工、新能源等产业的集聚功能，加强产业互补和城市功能对接，推进一体化进程。</w:t>
      </w:r>
    </w:p>
    <w:p>
      <w:pPr>
        <w:pStyle w:val="2"/>
        <w:ind w:firstLine="480"/>
        <w:rPr>
          <w:color w:val="auto"/>
        </w:rPr>
      </w:pPr>
      <w:r>
        <w:rPr>
          <w:color w:val="auto"/>
        </w:rPr>
        <w:t>——壮大其他节点城市人口和经济规模，增强先进制造业和现代服务业的集聚功能，加强产业互补和城市功能对接，形成本区域新的增长点。</w:t>
      </w:r>
    </w:p>
    <w:p>
      <w:pPr>
        <w:pStyle w:val="2"/>
        <w:ind w:firstLine="480"/>
        <w:rPr>
          <w:color w:val="auto"/>
        </w:rPr>
      </w:pPr>
      <w:r>
        <w:rPr>
          <w:color w:val="auto"/>
        </w:rPr>
        <w:t>——提高标准化农畜产品精深加工和现代农业物流水平，发展农业循环经济和农村新能源。</w:t>
      </w:r>
    </w:p>
    <w:p>
      <w:pPr>
        <w:pStyle w:val="2"/>
        <w:ind w:firstLine="480"/>
        <w:rPr>
          <w:color w:val="auto"/>
        </w:rPr>
      </w:pPr>
      <w:r>
        <w:rPr>
          <w:color w:val="auto"/>
        </w:rPr>
        <w:t>——加强岷江、沱江、涪江等水系的水土流失防治和水污染治理，强化龙泉山等山脉的生态保护和建设，构建以邛崃山脉—龙门山、龙泉山为屏障，以岷江、沱江、涪江为纽带的生态格局。</w:t>
      </w:r>
    </w:p>
    <w:p>
      <w:pPr>
        <w:spacing w:line="360" w:lineRule="auto"/>
        <w:ind w:firstLine="480" w:firstLineChars="200"/>
        <w:rPr>
          <w:rFonts w:ascii="Times New Roman" w:hAnsi="Times New Roman"/>
          <w:color w:val="auto"/>
          <w:sz w:val="24"/>
        </w:rPr>
      </w:pPr>
      <w:r>
        <w:rPr>
          <w:rFonts w:ascii="Times New Roman" w:hAnsi="Times New Roman"/>
          <w:color w:val="auto"/>
          <w:sz w:val="24"/>
        </w:rPr>
        <w:t>本项目为新建防洪堤项目，属于重点开发区域的民生项目，不属于限制开发区；项目所在地不属于水资源严重短缺、环境容量很小、生态十分脆弱、地震和地质灾害频发的地区，</w:t>
      </w:r>
      <w:r>
        <w:rPr>
          <w:rFonts w:hint="eastAsia" w:ascii="Times New Roman" w:hAnsi="Times New Roman"/>
          <w:color w:val="auto"/>
          <w:sz w:val="24"/>
        </w:rPr>
        <w:t>且项目在开工建设时进行生态环境影响专项评价，尽可能减少项目的建设对生态环境的影响，要求建设单位按照评价要求，对生态环境进行恢复，确保项目建设对区域生态环境的影响最小。项目的建设符合《全国主体功能区规划）》（环境保护部公告2015年第61号）的有关要求。</w:t>
      </w:r>
    </w:p>
    <w:p>
      <w:pPr>
        <w:pStyle w:val="5"/>
        <w:rPr>
          <w:color w:val="auto"/>
        </w:rPr>
      </w:pPr>
      <w:bookmarkStart w:id="93" w:name="_Toc11683"/>
      <w:r>
        <w:rPr>
          <w:color w:val="auto"/>
        </w:rPr>
        <w:t>与《四川省主体功能区规划》符合性分析</w:t>
      </w:r>
      <w:bookmarkEnd w:id="93"/>
    </w:p>
    <w:p>
      <w:pPr>
        <w:spacing w:line="360" w:lineRule="auto"/>
        <w:ind w:firstLine="480" w:firstLineChars="200"/>
        <w:rPr>
          <w:rFonts w:ascii="Times New Roman" w:hAnsi="Times New Roman"/>
          <w:color w:val="auto"/>
          <w:sz w:val="24"/>
        </w:rPr>
      </w:pPr>
      <w:r>
        <w:rPr>
          <w:rFonts w:ascii="Times New Roman" w:hAnsi="Times New Roman"/>
          <w:color w:val="auto"/>
          <w:sz w:val="24"/>
        </w:rPr>
        <w:t>根据《四川省主体功能区规划》（川府发〔2013〕16号），本项目区域属重点开发区的川东北地区，该区域是省级层面的重点开发区域，位于川渝陕结合部，天然气、煤等储量丰富，人口众多，特色农产品资源丰富，以红色旅游、绿色生态旅游、历史文化旅游为代表的旅游资源独具特色。</w:t>
      </w:r>
    </w:p>
    <w:p>
      <w:pPr>
        <w:spacing w:line="360" w:lineRule="auto"/>
        <w:ind w:firstLine="480" w:firstLineChars="200"/>
        <w:rPr>
          <w:rFonts w:ascii="Times New Roman" w:hAnsi="Times New Roman"/>
          <w:color w:val="auto"/>
          <w:sz w:val="24"/>
        </w:rPr>
      </w:pPr>
      <w:r>
        <w:rPr>
          <w:rFonts w:ascii="Times New Roman" w:hAnsi="Times New Roman"/>
          <w:color w:val="auto"/>
          <w:sz w:val="24"/>
        </w:rPr>
        <w:t>该区域的主体功能定位是：我国西部重要的能源化工基地，农产品深加工基地，红色旅游基地，川渝陕结合部的区域经济中心和交通物流中心，构建连接我国西北、西南地区的新兴经济带。</w:t>
      </w:r>
    </w:p>
    <w:p>
      <w:pPr>
        <w:spacing w:line="360" w:lineRule="auto"/>
        <w:ind w:firstLine="480" w:firstLineChars="200"/>
        <w:rPr>
          <w:rFonts w:ascii="Times New Roman" w:hAnsi="Times New Roman"/>
          <w:color w:val="auto"/>
          <w:sz w:val="24"/>
        </w:rPr>
      </w:pPr>
      <w:r>
        <w:rPr>
          <w:rFonts w:ascii="Times New Roman" w:hAnsi="Times New Roman"/>
          <w:color w:val="auto"/>
          <w:sz w:val="24"/>
        </w:rPr>
        <w:t>——形成以南充、达州、遂宁、广安、广元、巴中等中心城市为依托的城镇群空间开发格局。</w:t>
      </w:r>
    </w:p>
    <w:p>
      <w:pPr>
        <w:spacing w:line="360" w:lineRule="auto"/>
        <w:ind w:firstLine="480" w:firstLineChars="200"/>
        <w:rPr>
          <w:rFonts w:ascii="Times New Roman" w:hAnsi="Times New Roman"/>
          <w:color w:val="auto"/>
          <w:sz w:val="24"/>
        </w:rPr>
      </w:pPr>
      <w:r>
        <w:rPr>
          <w:rFonts w:ascii="Times New Roman" w:hAnsi="Times New Roman"/>
          <w:color w:val="auto"/>
          <w:sz w:val="24"/>
        </w:rPr>
        <w:t>——加快推进区域性中心城市发展，优化城市空间布局，拓展城市发展空间，增强城市综合服务功能，提高人口集聚能力，强化辐射和带动作用。</w:t>
      </w:r>
    </w:p>
    <w:p>
      <w:pPr>
        <w:spacing w:line="360" w:lineRule="auto"/>
        <w:ind w:firstLine="480" w:firstLineChars="200"/>
        <w:rPr>
          <w:rFonts w:ascii="Times New Roman" w:hAnsi="Times New Roman"/>
          <w:color w:val="auto"/>
          <w:sz w:val="24"/>
        </w:rPr>
      </w:pPr>
      <w:r>
        <w:rPr>
          <w:rFonts w:ascii="Times New Roman" w:hAnsi="Times New Roman"/>
          <w:color w:val="auto"/>
          <w:sz w:val="24"/>
        </w:rPr>
        <w:t>——加快嘉陵江产业带和渠江产业带发展。利用嘉陵江流域和渠江流域丰富的自然资源，加快川东北地区特色优势资源深度开发和加工转化，积极承接产业转移，重点发展清洁能源和石油、天然气化工、农产品加工业，大力发展特色农业和红色旅游。</w:t>
      </w:r>
    </w:p>
    <w:p>
      <w:pPr>
        <w:spacing w:line="360" w:lineRule="auto"/>
        <w:ind w:firstLine="480" w:firstLineChars="200"/>
        <w:rPr>
          <w:rFonts w:ascii="Times New Roman" w:hAnsi="Times New Roman"/>
          <w:color w:val="auto"/>
          <w:sz w:val="24"/>
        </w:rPr>
      </w:pPr>
      <w:r>
        <w:rPr>
          <w:rFonts w:ascii="Times New Roman" w:hAnsi="Times New Roman"/>
          <w:color w:val="auto"/>
          <w:sz w:val="24"/>
        </w:rPr>
        <w:t>——加强区域合作，大力发展配套产业。加强广安、达州与重庆的协作，建设川渝合作示范区，主动承接重庆的产业转移，加快发展汽车和摩托车配套零部件、轻纺等工业。加强南充、遂宁与成都的产业化协作，承接成都平原地区的产业转移，形成机械加工、轻纺等优势产业。</w:t>
      </w:r>
    </w:p>
    <w:p>
      <w:pPr>
        <w:spacing w:line="360" w:lineRule="auto"/>
        <w:ind w:firstLine="480" w:firstLineChars="200"/>
        <w:rPr>
          <w:rFonts w:ascii="Times New Roman" w:hAnsi="Times New Roman"/>
          <w:color w:val="auto"/>
          <w:sz w:val="24"/>
        </w:rPr>
      </w:pPr>
      <w:r>
        <w:rPr>
          <w:rFonts w:ascii="Times New Roman" w:hAnsi="Times New Roman"/>
          <w:color w:val="auto"/>
          <w:sz w:val="24"/>
        </w:rPr>
        <w:t>——坚持兴利除害结合，全力推进渠江、嘉陵江流域防洪控制性工程和供水保障工程建设，增强对江河洪水的调控能力，提高防洪抗旱能力。大力加强生态环境保护和流域综合整治，构建以嘉陵江、渠江为主体，森林、丘陵、水面、湿地相连，带状环绕、块状相间的流域生态屏障。</w:t>
      </w:r>
    </w:p>
    <w:p>
      <w:pPr>
        <w:spacing w:line="360" w:lineRule="auto"/>
        <w:ind w:firstLine="480" w:firstLineChars="200"/>
        <w:rPr>
          <w:rFonts w:ascii="Times New Roman" w:hAnsi="Times New Roman"/>
          <w:color w:val="FF0000"/>
          <w:sz w:val="24"/>
        </w:rPr>
      </w:pPr>
      <w:r>
        <w:rPr>
          <w:rFonts w:ascii="Times New Roman" w:hAnsi="Times New Roman"/>
          <w:color w:val="auto"/>
          <w:sz w:val="24"/>
        </w:rPr>
        <w:t>本项目</w:t>
      </w:r>
      <w:r>
        <w:rPr>
          <w:rFonts w:hint="eastAsia" w:ascii="Times New Roman" w:hAnsi="Times New Roman"/>
          <w:color w:val="auto"/>
          <w:sz w:val="24"/>
          <w:lang w:val="en-US" w:eastAsia="zh-CN"/>
        </w:rPr>
        <w:t>围堰施工会</w:t>
      </w:r>
      <w:r>
        <w:rPr>
          <w:rFonts w:ascii="Times New Roman" w:hAnsi="Times New Roman"/>
          <w:color w:val="auto"/>
          <w:sz w:val="24"/>
        </w:rPr>
        <w:t>对水生</w:t>
      </w:r>
      <w:r>
        <w:rPr>
          <w:rFonts w:hint="eastAsia" w:ascii="Times New Roman" w:hAnsi="Times New Roman"/>
          <w:color w:val="auto"/>
          <w:sz w:val="24"/>
          <w:lang w:val="en-US" w:eastAsia="zh-CN"/>
        </w:rPr>
        <w:t>生态</w:t>
      </w:r>
      <w:r>
        <w:rPr>
          <w:rFonts w:ascii="Times New Roman" w:hAnsi="Times New Roman"/>
          <w:color w:val="auto"/>
          <w:sz w:val="24"/>
        </w:rPr>
        <w:t>产生影响，</w:t>
      </w:r>
      <w:r>
        <w:rPr>
          <w:rFonts w:hint="eastAsia" w:ascii="Times New Roman" w:hAnsi="Times New Roman"/>
          <w:color w:val="auto"/>
          <w:sz w:val="24"/>
          <w:lang w:val="en-US" w:eastAsia="zh-CN"/>
        </w:rPr>
        <w:t>评价要求建设单位按照生态恢复治理方案、水土保持方案等要求实施生态恢复和水土保持措施，能够减少对生态的影响和水土流失。严格落实生态环境保护措施，对生态环境进行恢复，确保项目建设对区域生态环境的影响最小。项目符合《四川省主体功能区规划》的有关要求</w:t>
      </w:r>
      <w:r>
        <w:rPr>
          <w:rFonts w:ascii="Times New Roman" w:hAnsi="Times New Roman"/>
          <w:color w:val="auto"/>
          <w:sz w:val="24"/>
        </w:rPr>
        <w:t>。</w:t>
      </w:r>
    </w:p>
    <w:p>
      <w:pPr>
        <w:pStyle w:val="5"/>
        <w:rPr>
          <w:color w:val="auto"/>
        </w:rPr>
      </w:pPr>
      <w:bookmarkStart w:id="94" w:name="_Toc8426"/>
      <w:r>
        <w:rPr>
          <w:color w:val="auto"/>
        </w:rPr>
        <w:t>与《全国生态功能区划》符合性分析</w:t>
      </w:r>
      <w:bookmarkEnd w:id="94"/>
    </w:p>
    <w:p>
      <w:pPr>
        <w:spacing w:line="360" w:lineRule="auto"/>
        <w:ind w:firstLine="424" w:firstLineChars="177"/>
        <w:rPr>
          <w:rFonts w:ascii="Times New Roman" w:hAnsi="Times New Roman"/>
          <w:color w:val="auto"/>
          <w:sz w:val="24"/>
        </w:rPr>
      </w:pPr>
      <w:r>
        <w:rPr>
          <w:rFonts w:ascii="Times New Roman" w:hAnsi="Times New Roman"/>
          <w:color w:val="auto"/>
          <w:sz w:val="24"/>
        </w:rPr>
        <w:t xml:space="preserve">工程建设项目占地区不涉及各类自然保护区、风景名胜区、森林公园等环境敏感区。根据《全国生态功能区划（修编版）》（2015年11月），本评价区属于：Ⅱ-01-30四川盆地农产品提供功能区，农产品提供功能区主要是指以提供粮食、肉类、蛋、奶、水产品和棉、油等农产品为主的长期从事农业生产的地区，包括全国商品粮基地和集中联片的农业用地，以及畜产品和水产品提供的区域。全国共划分农产品提供功能区58个，面积共计180.6万平方公里，占全国国土面积的18.9％，集中分布在东北平原、华北平原、长江中下游平原、四川盆地、东南沿海平原地区、汾渭谷地、河套灌区、宁夏灌区、新疆绿洲等商品粮集中生产区，以及内蒙古东部草甸草原、青藏高原高寒草甸、新疆天山北部草原等重要畜牧业区。 </w:t>
      </w:r>
    </w:p>
    <w:p>
      <w:pPr>
        <w:spacing w:line="360" w:lineRule="auto"/>
        <w:ind w:firstLine="424" w:firstLineChars="177"/>
        <w:rPr>
          <w:rFonts w:ascii="Times New Roman" w:hAnsi="Times New Roman"/>
          <w:color w:val="auto"/>
          <w:sz w:val="24"/>
        </w:rPr>
      </w:pPr>
      <w:r>
        <w:rPr>
          <w:rFonts w:ascii="Times New Roman" w:hAnsi="Times New Roman"/>
          <w:color w:val="auto"/>
          <w:sz w:val="24"/>
        </w:rPr>
        <w:t>该类型区的主要生态问题：农田侵占、土壤肥力下降、农业面源污染严重；在草地畜牧业区，过度放牧，草地退化沙化，抵御灾害能力低。</w:t>
      </w:r>
    </w:p>
    <w:p>
      <w:pPr>
        <w:spacing w:line="360" w:lineRule="auto"/>
        <w:ind w:firstLine="424" w:firstLineChars="177"/>
        <w:rPr>
          <w:rFonts w:ascii="Times New Roman" w:hAnsi="Times New Roman"/>
          <w:color w:val="auto"/>
          <w:sz w:val="24"/>
        </w:rPr>
      </w:pPr>
      <w:r>
        <w:rPr>
          <w:rFonts w:ascii="Times New Roman" w:hAnsi="Times New Roman"/>
          <w:color w:val="auto"/>
          <w:sz w:val="24"/>
        </w:rPr>
        <w:t>该类型区生态保护的主要方向：（1）严格保护基本农田，培养土壤肥力。 （2）加强农田基本建设，增强抗自然灾害的能力。（3）加强水利建设，大力发展节水农业；种养结合，科学施肥。（4）发展无公害农产品、绿色食品和有机食品；调整农业产业和农村经济结构，合理组织农业生产和农村经济活动。（5）在草地畜牧业区，要科学确定草场载畜量，实行季节畜牧业，实现草畜平衡；草地封育改良相结合，实施大范围轮封轮牧制度。</w:t>
      </w:r>
    </w:p>
    <w:p>
      <w:pPr>
        <w:spacing w:line="360" w:lineRule="auto"/>
        <w:ind w:firstLine="424" w:firstLineChars="177"/>
        <w:rPr>
          <w:rFonts w:ascii="Times New Roman" w:hAnsi="Times New Roman"/>
          <w:color w:val="auto"/>
          <w:sz w:val="24"/>
        </w:rPr>
      </w:pPr>
      <w:r>
        <w:rPr>
          <w:rFonts w:ascii="Times New Roman" w:hAnsi="Times New Roman"/>
          <w:color w:val="auto"/>
          <w:sz w:val="24"/>
        </w:rPr>
        <w:t>本项目为新建防洪堤，不占用永久性基本农田，严格落实生态环境保护措施，对生态环境进行恢复，确保项目建设对区域生态环境的影响最小。在此基础上，本项目的建设符合《全国生态功能区划（修编版）》的有关要求。</w:t>
      </w:r>
    </w:p>
    <w:p>
      <w:pPr>
        <w:pStyle w:val="5"/>
        <w:rPr>
          <w:color w:val="auto"/>
        </w:rPr>
      </w:pPr>
      <w:bookmarkStart w:id="95" w:name="_Toc4336"/>
      <w:r>
        <w:rPr>
          <w:color w:val="auto"/>
        </w:rPr>
        <w:t>与《四川省生态功能区划》符合性分析</w:t>
      </w:r>
      <w:bookmarkEnd w:id="95"/>
    </w:p>
    <w:p>
      <w:pPr>
        <w:spacing w:line="360" w:lineRule="auto"/>
        <w:ind w:firstLine="424" w:firstLineChars="177"/>
        <w:rPr>
          <w:rFonts w:ascii="Times New Roman" w:hAnsi="Times New Roman"/>
          <w:color w:val="auto"/>
          <w:sz w:val="24"/>
        </w:rPr>
      </w:pPr>
      <w:r>
        <w:rPr>
          <w:rFonts w:ascii="Times New Roman" w:hAnsi="Times New Roman"/>
          <w:color w:val="auto"/>
          <w:sz w:val="24"/>
        </w:rPr>
        <w:t>根据《四川省生态功能区划》（2010年8月），项目评价区位于I—</w:t>
      </w:r>
      <w:r>
        <w:rPr>
          <w:rFonts w:ascii="Times New Roman" w:hAnsi="Times New Roman"/>
          <w:color w:val="auto"/>
          <w:kern w:val="0"/>
          <w:sz w:val="24"/>
        </w:rPr>
        <w:t>四川盆地亚热带湿润气候生态区</w:t>
      </w:r>
      <w:r>
        <w:rPr>
          <w:rFonts w:ascii="Times New Roman" w:hAnsi="Times New Roman"/>
          <w:color w:val="auto"/>
          <w:sz w:val="24"/>
        </w:rPr>
        <w:t>—I-2盆中丘陵农林复合生态亚区—I-2-4涪江中游农业生态功能区（见附图1-2）。评价区分区特征见下表。</w:t>
      </w:r>
    </w:p>
    <w:p>
      <w:pPr>
        <w:jc w:val="center"/>
        <w:rPr>
          <w:rFonts w:ascii="Times New Roman" w:hAnsi="Times New Roman"/>
          <w:b/>
          <w:bCs/>
          <w:color w:val="auto"/>
          <w:szCs w:val="21"/>
        </w:rPr>
      </w:pPr>
      <w:r>
        <w:rPr>
          <w:rFonts w:ascii="Times New Roman" w:hAnsi="Times New Roman"/>
          <w:b/>
          <w:bCs/>
          <w:color w:val="auto"/>
          <w:szCs w:val="21"/>
        </w:rPr>
        <w:t>表2-</w:t>
      </w:r>
      <w:r>
        <w:rPr>
          <w:rFonts w:hint="eastAsia" w:ascii="Times New Roman" w:hAnsi="Times New Roman"/>
          <w:b/>
          <w:bCs/>
          <w:color w:val="auto"/>
          <w:szCs w:val="21"/>
          <w:lang w:val="en-US" w:eastAsia="zh-CN"/>
        </w:rPr>
        <w:t>1</w:t>
      </w:r>
      <w:r>
        <w:rPr>
          <w:rFonts w:ascii="Times New Roman" w:hAnsi="Times New Roman"/>
          <w:b/>
          <w:bCs/>
          <w:color w:val="auto"/>
          <w:szCs w:val="21"/>
        </w:rPr>
        <w:t xml:space="preserve"> 评价区生态功能分区一览表</w:t>
      </w:r>
    </w:p>
    <w:tbl>
      <w:tblPr>
        <w:tblStyle w:val="39"/>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15" w:type="dxa"/>
          <w:left w:w="15" w:type="dxa"/>
          <w:bottom w:w="15" w:type="dxa"/>
          <w:right w:w="15" w:type="dxa"/>
        </w:tblCellMar>
      </w:tblPr>
      <w:tblGrid>
        <w:gridCol w:w="877"/>
        <w:gridCol w:w="1011"/>
        <w:gridCol w:w="956"/>
        <w:gridCol w:w="854"/>
        <w:gridCol w:w="996"/>
        <w:gridCol w:w="854"/>
        <w:gridCol w:w="355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397" w:hRule="atLeast"/>
        </w:trPr>
        <w:tc>
          <w:tcPr>
            <w:tcW w:w="482"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生态区</w:t>
            </w:r>
          </w:p>
        </w:tc>
        <w:tc>
          <w:tcPr>
            <w:tcW w:w="555"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生态亚区</w:t>
            </w:r>
          </w:p>
        </w:tc>
        <w:tc>
          <w:tcPr>
            <w:tcW w:w="525"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生态功能区</w:t>
            </w:r>
          </w:p>
        </w:tc>
        <w:tc>
          <w:tcPr>
            <w:tcW w:w="469"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主要生态问题</w:t>
            </w:r>
          </w:p>
        </w:tc>
        <w:tc>
          <w:tcPr>
            <w:tcW w:w="547"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生态环境敏感性</w:t>
            </w:r>
          </w:p>
        </w:tc>
        <w:tc>
          <w:tcPr>
            <w:tcW w:w="469"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主要生态服务功能</w:t>
            </w:r>
          </w:p>
        </w:tc>
        <w:tc>
          <w:tcPr>
            <w:tcW w:w="1951" w:type="pct"/>
            <w:tcBorders>
              <w:tl2br w:val="nil"/>
              <w:tr2bl w:val="nil"/>
            </w:tcBorders>
            <w:vAlign w:val="center"/>
          </w:tcPr>
          <w:p>
            <w:pPr>
              <w:widowControl/>
              <w:jc w:val="center"/>
              <w:textAlignment w:val="center"/>
              <w:rPr>
                <w:rFonts w:hint="eastAsia" w:ascii="宋体" w:hAnsi="宋体" w:eastAsia="宋体" w:cs="宋体"/>
                <w:b/>
                <w:bCs/>
                <w:color w:val="auto"/>
                <w:sz w:val="21"/>
                <w:szCs w:val="21"/>
              </w:rPr>
            </w:pPr>
            <w:r>
              <w:rPr>
                <w:rFonts w:hint="eastAsia" w:ascii="宋体" w:hAnsi="宋体" w:eastAsia="宋体" w:cs="宋体"/>
                <w:b/>
                <w:bCs/>
                <w:color w:val="auto"/>
                <w:kern w:val="0"/>
                <w:sz w:val="21"/>
                <w:szCs w:val="21"/>
              </w:rPr>
              <w:t>生态建设与发展方向</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15" w:type="dxa"/>
            <w:left w:w="15" w:type="dxa"/>
            <w:bottom w:w="15" w:type="dxa"/>
            <w:right w:w="15" w:type="dxa"/>
          </w:tblCellMar>
        </w:tblPrEx>
        <w:trPr>
          <w:trHeight w:val="397" w:hRule="atLeast"/>
        </w:trPr>
        <w:tc>
          <w:tcPr>
            <w:tcW w:w="482"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Ⅰ四川盆地亚热带湿润气候生态区</w:t>
            </w:r>
          </w:p>
        </w:tc>
        <w:tc>
          <w:tcPr>
            <w:tcW w:w="555"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I-2盆中丘陵农林复合生态亚区</w:t>
            </w:r>
          </w:p>
        </w:tc>
        <w:tc>
          <w:tcPr>
            <w:tcW w:w="525"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I-2-4涪江中游农业生态功能区</w:t>
            </w:r>
          </w:p>
        </w:tc>
        <w:tc>
          <w:tcPr>
            <w:tcW w:w="469"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森林覆盖率低，水土流失，土地垦殖过度，农村面源污染，河流支流污染较严重，旱灾频发</w:t>
            </w:r>
          </w:p>
        </w:tc>
        <w:tc>
          <w:tcPr>
            <w:tcW w:w="547"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土壤侵蚀极敏感，水环境污染高度敏感，酸雨轻度敏感</w:t>
            </w:r>
          </w:p>
        </w:tc>
        <w:tc>
          <w:tcPr>
            <w:tcW w:w="469"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农产品提供功能，人居保障功能</w:t>
            </w:r>
          </w:p>
        </w:tc>
        <w:tc>
          <w:tcPr>
            <w:tcW w:w="1951" w:type="pct"/>
            <w:tcBorders>
              <w:tl2br w:val="nil"/>
              <w:tr2bl w:val="nil"/>
            </w:tcBorders>
            <w:vAlign w:val="center"/>
          </w:tcPr>
          <w:p>
            <w:pPr>
              <w:widowControl/>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发挥区域中心城市辐射作用，</w:t>
            </w:r>
            <w:r>
              <w:rPr>
                <w:rFonts w:hint="eastAsia" w:ascii="宋体" w:hAnsi="宋体" w:cs="宋体"/>
                <w:color w:val="auto"/>
                <w:sz w:val="21"/>
                <w:szCs w:val="21"/>
                <w:lang w:val="en-US" w:eastAsia="zh-CN"/>
              </w:rPr>
              <w:t>改善</w:t>
            </w:r>
            <w:r>
              <w:rPr>
                <w:rFonts w:hint="eastAsia" w:ascii="宋体" w:hAnsi="宋体" w:eastAsia="宋体" w:cs="宋体"/>
                <w:color w:val="auto"/>
                <w:sz w:val="21"/>
                <w:szCs w:val="21"/>
              </w:rPr>
              <w:t>人居环境，加强基本农田保护和建设，完善水利设施，改善农村能源结构，发展沼气等清洁能源，发展生态农业、节水型农业、生态养殖业。限制高耗水的产业。防治农村面源污染和水环境污染，保障饮用水安全</w:t>
            </w:r>
          </w:p>
        </w:tc>
      </w:tr>
    </w:tbl>
    <w:p>
      <w:pPr>
        <w:spacing w:line="360" w:lineRule="auto"/>
        <w:ind w:firstLine="480" w:firstLineChars="200"/>
        <w:rPr>
          <w:rFonts w:ascii="Times New Roman" w:hAnsi="Times New Roman"/>
          <w:color w:val="auto"/>
          <w:sz w:val="24"/>
        </w:rPr>
      </w:pPr>
      <w:r>
        <w:rPr>
          <w:rFonts w:ascii="Times New Roman" w:hAnsi="Times New Roman"/>
          <w:color w:val="auto"/>
          <w:sz w:val="24"/>
        </w:rPr>
        <w:t>本项目为新建堤防工程，属于民生工程，在建设、运营后，</w:t>
      </w:r>
      <w:r>
        <w:rPr>
          <w:rFonts w:hint="eastAsia" w:ascii="Times New Roman" w:hAnsi="Times New Roman"/>
          <w:color w:val="auto"/>
          <w:sz w:val="24"/>
          <w:lang w:val="en-US" w:eastAsia="zh-CN"/>
        </w:rPr>
        <w:t>应</w:t>
      </w:r>
      <w:r>
        <w:rPr>
          <w:rFonts w:ascii="Times New Roman" w:hAnsi="Times New Roman"/>
          <w:color w:val="auto"/>
          <w:sz w:val="24"/>
        </w:rPr>
        <w:t>规范和严格管理，并采取有效的生态环境保护措施、对生态环境进行恢复，确保项目建设对区域生态环境的影响最小。在此基础上，本项目的建设符合《四川省生态功能区划》》的相关要求。</w:t>
      </w:r>
    </w:p>
    <w:bookmarkEnd w:id="92"/>
    <w:p>
      <w:pPr>
        <w:pStyle w:val="4"/>
        <w:spacing w:before="120" w:after="120"/>
        <w:ind w:left="578" w:hanging="578"/>
        <w:rPr>
          <w:b w:val="0"/>
          <w:color w:val="auto"/>
          <w:sz w:val="24"/>
        </w:rPr>
      </w:pPr>
      <w:bookmarkStart w:id="96" w:name="_Toc14210"/>
      <w:bookmarkStart w:id="97" w:name="_Toc54799187"/>
      <w:bookmarkStart w:id="98" w:name="_Toc54659632"/>
      <w:bookmarkStart w:id="99" w:name="_Toc54657424"/>
      <w:r>
        <w:rPr>
          <w:color w:val="auto"/>
        </w:rPr>
        <w:t>与生态保护红线的符合性分析</w:t>
      </w:r>
      <w:bookmarkEnd w:id="96"/>
      <w:bookmarkEnd w:id="97"/>
      <w:bookmarkEnd w:id="98"/>
      <w:bookmarkEnd w:id="99"/>
    </w:p>
    <w:p>
      <w:pPr>
        <w:pStyle w:val="5"/>
        <w:rPr>
          <w:color w:val="auto"/>
        </w:rPr>
      </w:pPr>
      <w:bookmarkStart w:id="100" w:name="_Toc9008"/>
      <w:r>
        <w:rPr>
          <w:color w:val="auto"/>
        </w:rPr>
        <w:t>与</w:t>
      </w:r>
      <w:r>
        <w:rPr>
          <w:color w:val="auto"/>
          <w:shd w:val="clear" w:color="auto" w:fill="FFFFFF"/>
        </w:rPr>
        <w:t>《关于印发四川省生态保护红线方案的通知》</w:t>
      </w:r>
      <w:r>
        <w:rPr>
          <w:color w:val="auto"/>
        </w:rPr>
        <w:t>符合性分析</w:t>
      </w:r>
      <w:bookmarkEnd w:id="100"/>
    </w:p>
    <w:p>
      <w:pPr>
        <w:adjustRightInd w:val="0"/>
        <w:snapToGrid w:val="0"/>
        <w:spacing w:line="360" w:lineRule="auto"/>
        <w:ind w:firstLine="480" w:firstLineChars="200"/>
        <w:rPr>
          <w:rFonts w:ascii="Times New Roman" w:hAnsi="Times New Roman"/>
          <w:color w:val="auto"/>
          <w:sz w:val="24"/>
          <w:shd w:val="clear" w:color="auto" w:fill="FFFFFF"/>
        </w:rPr>
      </w:pPr>
      <w:r>
        <w:rPr>
          <w:rFonts w:ascii="Times New Roman" w:hAnsi="Times New Roman"/>
          <w:color w:val="auto"/>
          <w:sz w:val="24"/>
          <w:shd w:val="clear" w:color="auto" w:fill="FFFFFF"/>
        </w:rPr>
        <w:t>根据省人政府《关于印发四川省生态保护红线方案的通知》（川府发〔2018〕24号），四川省生态保护红线总面积14.80万平方公里，占全省幅员面积的30.45%。涵盖了水源涵养、生物多样性维护、水土保持功能极重要区，水土流失、土地沙化、石漠化极敏感区，自然保护区、森林公园的生态保育区和核心景观区，风景名胜区的一级保护区（核心景区）、地质公园的地质遗迹保护区、世界自然遗产地的核心区、湿地公园的湿地保育区和恢复重建区、饮用水水源保护区的一级保护区、水产种质资源保护区的核心区等法定保护区域，以及极小种群物种分布栖息地国家一级公益林、重要湿地、雪山冰川、高原冻土、重要水生生境、特大和大型地质灾害隐患点等各类保护地。</w:t>
      </w:r>
    </w:p>
    <w:p>
      <w:pPr>
        <w:adjustRightInd w:val="0"/>
        <w:snapToGrid w:val="0"/>
        <w:spacing w:line="360" w:lineRule="auto"/>
        <w:ind w:firstLine="480" w:firstLineChars="200"/>
        <w:rPr>
          <w:rFonts w:ascii="Times New Roman" w:hAnsi="Times New Roman"/>
          <w:color w:val="auto"/>
          <w:sz w:val="24"/>
          <w:shd w:val="clear" w:color="auto" w:fill="FFFFFF"/>
        </w:rPr>
      </w:pPr>
      <w:r>
        <w:rPr>
          <w:rFonts w:ascii="Times New Roman" w:hAnsi="Times New Roman"/>
          <w:color w:val="auto"/>
          <w:sz w:val="24"/>
          <w:shd w:val="clear" w:color="auto" w:fill="FFFFFF"/>
        </w:rPr>
        <w:t>其中，遂宁市安居区所属的生态红线类型为</w:t>
      </w:r>
      <w:r>
        <w:rPr>
          <w:rStyle w:val="45"/>
          <w:rFonts w:ascii="Times New Roman" w:hAnsi="Times New Roman"/>
          <w:color w:val="auto"/>
          <w:sz w:val="24"/>
        </w:rPr>
        <w:t>盆中城市饮用水源—水土保持生态保护红线</w:t>
      </w:r>
      <w:r>
        <w:rPr>
          <w:rFonts w:ascii="Times New Roman" w:hAnsi="Times New Roman"/>
          <w:color w:val="auto"/>
          <w:sz w:val="24"/>
          <w:shd w:val="clear" w:color="auto" w:fill="FFFFFF"/>
        </w:rPr>
        <w:t>，</w:t>
      </w:r>
      <w:r>
        <w:rPr>
          <w:rStyle w:val="45"/>
          <w:rFonts w:ascii="Times New Roman" w:hAnsi="Times New Roman"/>
          <w:color w:val="auto"/>
          <w:sz w:val="24"/>
        </w:rPr>
        <w:t>该区位于四川省东部成都平原及盆地丘陵区，行政区涉及成都市、自贡市、德阳市、绵阳市、广元市、遂宁市、内江市、乐山市、南充市、眉山市、广安市、达州市、巴中市、资阳市，总面积0.08万平方公里，占生态保护红线总面积的0.54%，占全省幅员面积的0.17%。</w:t>
      </w:r>
    </w:p>
    <w:p>
      <w:pPr>
        <w:adjustRightInd w:val="0"/>
        <w:snapToGrid w:val="0"/>
        <w:spacing w:line="360" w:lineRule="auto"/>
        <w:ind w:firstLine="480" w:firstLineChars="200"/>
        <w:rPr>
          <w:rFonts w:ascii="Times New Roman" w:hAnsi="Times New Roman" w:eastAsia="Arial"/>
          <w:color w:val="auto"/>
          <w:sz w:val="24"/>
          <w:shd w:val="clear" w:color="auto" w:fill="FFFFFF"/>
        </w:rPr>
      </w:pPr>
      <w:r>
        <w:rPr>
          <w:rFonts w:ascii="Times New Roman" w:hAnsi="Times New Roman"/>
          <w:color w:val="auto"/>
          <w:sz w:val="24"/>
          <w:shd w:val="clear" w:color="auto" w:fill="FFFFFF"/>
        </w:rPr>
        <w:t>生态功能：</w:t>
      </w:r>
      <w:r>
        <w:rPr>
          <w:rStyle w:val="45"/>
          <w:rFonts w:ascii="Times New Roman" w:hAnsi="Times New Roman"/>
          <w:color w:val="auto"/>
          <w:sz w:val="24"/>
        </w:rPr>
        <w:t>四川盆地区是成渝经济区的重要组成部分，是成渝城市群核心区域，人口密集，经济发展，城镇化率大于50%，该区主体功能区定位为重点开发区域和农产品主产区，其主导功能为人居保障和农林产品提供，该区的生态保护红线主要以保障城市饮水安全的饮用水水源保护区为主，还有零散分布于四川盆地及成都平原区自然保护区、风景名胜区、湿地公园、地质公园等各类生态保护重要区域，它们在维护区域水土保持功能方面发挥着重要作用</w:t>
      </w:r>
      <w:r>
        <w:rPr>
          <w:rFonts w:ascii="Times New Roman" w:hAnsi="Times New Roman"/>
          <w:color w:val="auto"/>
          <w:sz w:val="24"/>
          <w:shd w:val="clear" w:color="auto" w:fill="FFFFFF"/>
        </w:rPr>
        <w:t>。</w:t>
      </w:r>
    </w:p>
    <w:p>
      <w:pPr>
        <w:adjustRightInd w:val="0"/>
        <w:snapToGrid w:val="0"/>
        <w:spacing w:line="360" w:lineRule="auto"/>
        <w:ind w:firstLine="480" w:firstLineChars="200"/>
        <w:rPr>
          <w:rFonts w:ascii="Times New Roman" w:hAnsi="Times New Roman" w:eastAsia="Arial"/>
          <w:color w:val="auto"/>
          <w:sz w:val="24"/>
          <w:shd w:val="clear" w:color="auto" w:fill="FFFFFF"/>
        </w:rPr>
      </w:pPr>
      <w:r>
        <w:rPr>
          <w:rFonts w:ascii="Times New Roman" w:hAnsi="Times New Roman"/>
          <w:color w:val="auto"/>
          <w:sz w:val="24"/>
          <w:shd w:val="clear" w:color="auto" w:fill="FFFFFF"/>
        </w:rPr>
        <w:t>重要保护地：</w:t>
      </w:r>
      <w:r>
        <w:rPr>
          <w:rStyle w:val="45"/>
          <w:rFonts w:ascii="Times New Roman" w:hAnsi="Times New Roman"/>
          <w:color w:val="auto"/>
          <w:sz w:val="24"/>
        </w:rPr>
        <w:t>本区域分布有32处饮用水水源保护区、6个省级自然保护区、3个国家级风景名胜区、10个省级风景名胜区、1个世界地质公园、5个国家地质公园、1个省级地质公园、2个国家湿地公园、4个省级湿地公园、14个国家级水产种质资源保护区、1个省级水产种质资源保护区、1处世界文化与自然遗产地的部分或全部区域。</w:t>
      </w:r>
    </w:p>
    <w:p>
      <w:pPr>
        <w:adjustRightInd w:val="0"/>
        <w:snapToGrid w:val="0"/>
        <w:spacing w:line="360" w:lineRule="auto"/>
        <w:ind w:firstLine="480" w:firstLineChars="200"/>
        <w:rPr>
          <w:rFonts w:ascii="Times New Roman" w:hAnsi="Times New Roman"/>
          <w:color w:val="auto"/>
          <w:sz w:val="24"/>
          <w:shd w:val="clear" w:color="auto" w:fill="FFFFFF"/>
        </w:rPr>
      </w:pPr>
      <w:r>
        <w:rPr>
          <w:rFonts w:ascii="Times New Roman" w:hAnsi="Times New Roman"/>
          <w:color w:val="auto"/>
          <w:sz w:val="24"/>
          <w:shd w:val="clear" w:color="auto" w:fill="FFFFFF"/>
        </w:rPr>
        <w:t>保护重点：</w:t>
      </w:r>
      <w:r>
        <w:rPr>
          <w:rStyle w:val="45"/>
          <w:rFonts w:ascii="Times New Roman" w:hAnsi="Times New Roman"/>
          <w:color w:val="auto"/>
          <w:sz w:val="24"/>
        </w:rPr>
        <w:t>严格按照现有相关法律法规对禁止开发区域的管理要求，对生态保护红线实施严格保护，严格控制人为因素对区内自然生态的干扰</w:t>
      </w:r>
      <w:r>
        <w:rPr>
          <w:rFonts w:ascii="Times New Roman" w:hAnsi="Times New Roman"/>
          <w:color w:val="auto"/>
          <w:sz w:val="24"/>
          <w:shd w:val="clear" w:color="auto" w:fill="FFFFFF"/>
        </w:rPr>
        <w:t>。</w:t>
      </w:r>
    </w:p>
    <w:p>
      <w:pPr>
        <w:adjustRightInd w:val="0"/>
        <w:snapToGrid w:val="0"/>
        <w:spacing w:line="360" w:lineRule="auto"/>
        <w:ind w:firstLine="480" w:firstLineChars="200"/>
        <w:rPr>
          <w:rFonts w:hint="eastAsia" w:ascii="Times New Roman" w:hAnsi="Times New Roman" w:eastAsia="宋体"/>
          <w:color w:val="FF0000"/>
          <w:sz w:val="24"/>
          <w:shd w:val="clear" w:color="auto" w:fill="FFFFFF"/>
          <w:lang w:val="en-US" w:eastAsia="zh-CN"/>
        </w:rPr>
      </w:pPr>
      <w:r>
        <w:rPr>
          <w:rFonts w:ascii="Times New Roman" w:hAnsi="Times New Roman"/>
          <w:color w:val="auto"/>
          <w:sz w:val="24"/>
          <w:shd w:val="clear" w:color="auto" w:fill="FFFFFF"/>
        </w:rPr>
        <w:t>本项目的建设不涉及风景名胜区、自然保护区、饮用水源保护区等特殊敏感点，本项目涉及</w:t>
      </w:r>
      <w:r>
        <w:rPr>
          <w:rFonts w:ascii="Times New Roman" w:hAnsi="Times New Roman"/>
          <w:color w:val="auto"/>
          <w:sz w:val="24"/>
        </w:rPr>
        <w:t>琼江翘嘴红鲌省级水产种质资源保护区的</w:t>
      </w:r>
      <w:r>
        <w:rPr>
          <w:rFonts w:hint="eastAsia" w:ascii="Times New Roman" w:hAnsi="Times New Roman"/>
          <w:color w:val="auto"/>
          <w:sz w:val="24"/>
          <w:lang w:val="en-US" w:eastAsia="zh-CN"/>
        </w:rPr>
        <w:t>核心区</w:t>
      </w:r>
      <w:r>
        <w:rPr>
          <w:rFonts w:ascii="Times New Roman" w:hAnsi="Times New Roman"/>
          <w:color w:val="auto"/>
          <w:sz w:val="24"/>
          <w:shd w:val="clear" w:color="auto" w:fill="FFFFFF"/>
        </w:rPr>
        <w:t>。但本项目不属于禁止开发区域，不涉及生态红线。因此，项目的建设符合《关于印发四川省生态保护红线方案的通知》（川府发〔2018〕24号）相关要求。</w:t>
      </w:r>
      <w:r>
        <w:rPr>
          <w:rFonts w:hint="eastAsia" w:ascii="Times New Roman" w:hAnsi="Times New Roman"/>
          <w:color w:val="auto"/>
          <w:sz w:val="24"/>
          <w:shd w:val="clear" w:color="auto" w:fill="FFFFFF"/>
          <w:lang w:val="en-US" w:eastAsia="zh-CN"/>
        </w:rPr>
        <w:t xml:space="preserve"> </w:t>
      </w:r>
    </w:p>
    <w:p>
      <w:pPr>
        <w:pStyle w:val="5"/>
        <w:rPr>
          <w:color w:val="auto"/>
        </w:rPr>
      </w:pPr>
      <w:bookmarkStart w:id="101" w:name="_Toc2232"/>
      <w:r>
        <w:rPr>
          <w:color w:val="auto"/>
        </w:rPr>
        <w:t>与</w:t>
      </w:r>
      <w:r>
        <w:rPr>
          <w:color w:val="auto"/>
          <w:lang w:val="en-US"/>
        </w:rPr>
        <w:t>遂宁</w:t>
      </w:r>
      <w:r>
        <w:rPr>
          <w:color w:val="auto"/>
        </w:rPr>
        <w:t>市生态保护红线符合性分析</w:t>
      </w:r>
      <w:bookmarkEnd w:id="101"/>
    </w:p>
    <w:p>
      <w:pPr>
        <w:autoSpaceDE w:val="0"/>
        <w:spacing w:line="360" w:lineRule="auto"/>
        <w:ind w:firstLine="480" w:firstLineChars="200"/>
        <w:rPr>
          <w:rFonts w:ascii="Times New Roman" w:hAnsi="Times New Roman"/>
          <w:color w:val="auto"/>
          <w:sz w:val="24"/>
        </w:rPr>
      </w:pPr>
      <w:r>
        <w:rPr>
          <w:rFonts w:ascii="Times New Roman" w:hAnsi="Times New Roman"/>
          <w:color w:val="auto"/>
          <w:sz w:val="24"/>
        </w:rPr>
        <w:t>根据生态保护红线与其他生态空间叠加分析以及与城镇开发边界、永久基本农田等对接，确定遂宁市生态空间总面积254.33平方公里，占全市幅员面积的4.78%。其中生态保护红线面积为36.52平方公里，占全市幅员面积的0.69%，一般生态空间面积为217.81平方公里，占全市幅员面积的4.09%。全市划分优先保护、重点管控、一般管控三大类共49个环境管控单元。优先保护单元。以生态环境保护为主的区域，全市划分优先保护单元20个。主要包括生态保护红线、饮用水水源保护区、湿地公园、自然保护区等。以生态环境保护优先为原则，严格执行相关法律法规要求，严守生态环境质量 底线，确保生态环境功能不降低。</w:t>
      </w:r>
    </w:p>
    <w:p>
      <w:pPr>
        <w:pStyle w:val="2"/>
        <w:ind w:firstLine="480"/>
        <w:rPr>
          <w:color w:val="auto"/>
        </w:rPr>
      </w:pPr>
      <w:r>
        <w:rPr>
          <w:color w:val="auto"/>
        </w:rPr>
        <w:t>重点管控单元。涉及水、大气、土壤、自然资源等资源环境要素重点管控的区域，全市划分重点管控单元27个，主要包括人口密集的城镇规划区和产业集聚的工业园区(集聚区)等。针对环境质量是否达标以及经济社会发展水平等因素，制定差别化的生态环境准入要求，对环境质量不达标区域，提出污染物削减比例要求，对环境质量达标区域，提出允许排放量建议指标。</w:t>
      </w:r>
    </w:p>
    <w:p>
      <w:pPr>
        <w:pStyle w:val="2"/>
        <w:ind w:firstLine="480"/>
        <w:rPr>
          <w:color w:val="auto"/>
        </w:rPr>
      </w:pPr>
      <w:r>
        <w:rPr>
          <w:color w:val="auto"/>
        </w:rPr>
        <w:t>一般管控单元。除优先保护单元和重点管控单元之外的其他区域，全市划 分一般管控单元2个。执行区域生态环境保护的基本要求，重点加强农业、生活等领域污染治理。</w:t>
      </w:r>
    </w:p>
    <w:p>
      <w:pPr>
        <w:autoSpaceDE w:val="0"/>
        <w:spacing w:line="360" w:lineRule="auto"/>
        <w:ind w:firstLine="480" w:firstLineChars="200"/>
        <w:rPr>
          <w:rFonts w:ascii="Times New Roman" w:hAnsi="Times New Roman"/>
          <w:color w:val="auto"/>
          <w:sz w:val="24"/>
        </w:rPr>
      </w:pPr>
      <w:r>
        <w:rPr>
          <w:rFonts w:ascii="Times New Roman" w:hAnsi="Times New Roman"/>
          <w:color w:val="auto"/>
          <w:sz w:val="24"/>
        </w:rPr>
        <w:t>经核实，本项目涉及琼江翘嘴红鲌省级水产种质资源保护区的</w:t>
      </w:r>
      <w:r>
        <w:rPr>
          <w:rFonts w:hint="eastAsia" w:ascii="Times New Roman" w:hAnsi="Times New Roman"/>
          <w:color w:val="auto"/>
          <w:sz w:val="24"/>
          <w:lang w:val="en-US" w:eastAsia="zh-CN"/>
        </w:rPr>
        <w:t>核心区</w:t>
      </w:r>
      <w:r>
        <w:rPr>
          <w:rFonts w:ascii="Times New Roman" w:hAnsi="Times New Roman"/>
          <w:color w:val="auto"/>
          <w:sz w:val="24"/>
        </w:rPr>
        <w:t>，但不</w:t>
      </w:r>
      <w:r>
        <w:rPr>
          <w:rFonts w:hint="eastAsia" w:ascii="Times New Roman" w:hAnsi="Times New Roman"/>
          <w:color w:val="auto"/>
          <w:sz w:val="24"/>
          <w:lang w:val="en-US" w:eastAsia="zh-CN"/>
        </w:rPr>
        <w:t>在</w:t>
      </w:r>
      <w:r>
        <w:rPr>
          <w:rFonts w:ascii="Times New Roman" w:hAnsi="Times New Roman"/>
          <w:color w:val="auto"/>
          <w:sz w:val="24"/>
        </w:rPr>
        <w:t>遂宁市生态红线范围内。</w:t>
      </w:r>
      <w:r>
        <w:rPr>
          <w:rFonts w:hint="eastAsia" w:ascii="Times New Roman" w:hAnsi="Times New Roman"/>
          <w:color w:val="auto"/>
          <w:sz w:val="24"/>
          <w:lang w:eastAsia="zh-CN"/>
        </w:rPr>
        <w:t>（</w:t>
      </w:r>
      <w:r>
        <w:rPr>
          <w:rFonts w:ascii="Times New Roman" w:hAnsi="Times New Roman"/>
          <w:color w:val="auto"/>
          <w:sz w:val="24"/>
        </w:rPr>
        <w:t>遂宁市生态红线见</w:t>
      </w:r>
      <w:r>
        <w:rPr>
          <w:rFonts w:hint="eastAsia" w:ascii="Times New Roman" w:hAnsi="Times New Roman"/>
          <w:color w:val="auto"/>
          <w:sz w:val="24"/>
          <w:lang w:val="en-US" w:eastAsia="zh-CN"/>
        </w:rPr>
        <w:t>正文</w:t>
      </w:r>
      <w:r>
        <w:rPr>
          <w:rFonts w:ascii="Times New Roman" w:hAnsi="Times New Roman"/>
          <w:color w:val="auto"/>
          <w:sz w:val="24"/>
        </w:rPr>
        <w:t>图</w:t>
      </w:r>
      <w:r>
        <w:rPr>
          <w:rFonts w:hint="eastAsia" w:ascii="Times New Roman" w:hAnsi="Times New Roman"/>
          <w:color w:val="auto"/>
          <w:sz w:val="24"/>
          <w:lang w:val="en-US" w:eastAsia="zh-CN"/>
        </w:rPr>
        <w:t>1-1</w:t>
      </w:r>
      <w:r>
        <w:rPr>
          <w:rFonts w:hint="eastAsia" w:ascii="Times New Roman" w:hAnsi="Times New Roman"/>
          <w:color w:val="auto"/>
          <w:sz w:val="24"/>
          <w:lang w:eastAsia="zh-CN"/>
        </w:rPr>
        <w:t>）</w:t>
      </w:r>
      <w:r>
        <w:rPr>
          <w:rFonts w:ascii="Times New Roman" w:hAnsi="Times New Roman"/>
          <w:color w:val="auto"/>
          <w:sz w:val="24"/>
        </w:rPr>
        <w:t>。</w:t>
      </w:r>
    </w:p>
    <w:p>
      <w:pPr>
        <w:pStyle w:val="33"/>
        <w:spacing w:before="0" w:line="360" w:lineRule="auto"/>
        <w:ind w:left="0"/>
        <w:rPr>
          <w:rFonts w:ascii="Times New Roman" w:hAnsi="Times New Roman"/>
          <w:b w:val="0"/>
          <w:bCs w:val="0"/>
          <w:color w:val="auto"/>
          <w:szCs w:val="21"/>
        </w:rPr>
        <w:sectPr>
          <w:footerReference r:id="rId6" w:type="default"/>
          <w:pgSz w:w="11906" w:h="16838"/>
          <w:pgMar w:top="1418" w:right="1418" w:bottom="1418" w:left="1418" w:header="851" w:footer="992" w:gutter="0"/>
          <w:pgBorders>
            <w:top w:val="none" w:sz="0" w:space="0"/>
            <w:left w:val="none" w:sz="0" w:space="0"/>
            <w:bottom w:val="none" w:sz="0" w:space="0"/>
            <w:right w:val="none" w:sz="0" w:space="0"/>
          </w:pgBorders>
          <w:pgNumType w:start="1"/>
          <w:cols w:space="720" w:num="1"/>
          <w:docGrid w:linePitch="312" w:charSpace="0"/>
        </w:sectPr>
      </w:pPr>
    </w:p>
    <w:p>
      <w:pPr>
        <w:pStyle w:val="3"/>
        <w:rPr>
          <w:color w:val="auto"/>
          <w:lang w:val="zh-CN"/>
        </w:rPr>
      </w:pPr>
      <w:bookmarkStart w:id="102" w:name="_Toc54657426"/>
      <w:bookmarkStart w:id="103" w:name="_Toc54799191"/>
      <w:bookmarkStart w:id="104" w:name="_Toc54659634"/>
      <w:bookmarkStart w:id="105" w:name="_Toc1818"/>
      <w:r>
        <w:rPr>
          <w:color w:val="auto"/>
          <w:lang w:val="zh-CN"/>
        </w:rPr>
        <w:t>建设项目工程</w:t>
      </w:r>
      <w:bookmarkEnd w:id="102"/>
      <w:bookmarkEnd w:id="103"/>
      <w:bookmarkEnd w:id="104"/>
      <w:r>
        <w:rPr>
          <w:color w:val="auto"/>
          <w:lang w:val="zh-CN"/>
        </w:rPr>
        <w:t>分析</w:t>
      </w:r>
      <w:bookmarkEnd w:id="105"/>
    </w:p>
    <w:p>
      <w:pPr>
        <w:pStyle w:val="4"/>
        <w:spacing w:before="120" w:after="120"/>
        <w:rPr>
          <w:color w:val="auto"/>
          <w:kern w:val="2"/>
        </w:rPr>
      </w:pPr>
      <w:bookmarkStart w:id="106" w:name="_Toc17657"/>
      <w:r>
        <w:rPr>
          <w:color w:val="auto"/>
        </w:rPr>
        <w:t>项目情况</w:t>
      </w:r>
      <w:bookmarkEnd w:id="106"/>
    </w:p>
    <w:p>
      <w:pPr>
        <w:pStyle w:val="161"/>
        <w:ind w:firstLine="480"/>
        <w:rPr>
          <w:rFonts w:hint="eastAsia" w:ascii="Times New Roman" w:hAnsi="Times New Roman" w:eastAsia="宋体" w:cs="Times New Roman"/>
          <w:color w:val="auto"/>
          <w:shd w:val="clear" w:color="auto" w:fill="FFFFFF"/>
          <w:lang w:eastAsia="zh-CN"/>
        </w:rPr>
      </w:pPr>
      <w:r>
        <w:rPr>
          <w:rFonts w:ascii="Times New Roman" w:hAnsi="Times New Roman" w:cs="Times New Roman"/>
          <w:color w:val="auto"/>
          <w:shd w:val="clear" w:color="auto" w:fill="FFFFFF"/>
        </w:rPr>
        <w:t>项目名称：</w:t>
      </w:r>
      <w:r>
        <w:rPr>
          <w:rFonts w:hint="eastAsia" w:ascii="Times New Roman" w:hAnsi="Times New Roman" w:cs="Times New Roman"/>
          <w:color w:val="auto"/>
          <w:lang w:eastAsia="zh-CN"/>
        </w:rPr>
        <w:t>遂宁市安居区琼江两中心五馆段防洪治理工程</w:t>
      </w:r>
    </w:p>
    <w:p>
      <w:pPr>
        <w:pStyle w:val="161"/>
        <w:ind w:firstLine="480"/>
        <w:rPr>
          <w:rFonts w:ascii="Times New Roman" w:hAnsi="Times New Roman" w:cs="Times New Roman"/>
          <w:color w:val="auto"/>
          <w:shd w:val="clear" w:color="auto" w:fill="FFFFFF"/>
        </w:rPr>
      </w:pPr>
      <w:r>
        <w:rPr>
          <w:rFonts w:ascii="Times New Roman" w:hAnsi="Times New Roman" w:cs="Times New Roman"/>
          <w:color w:val="auto"/>
          <w:shd w:val="clear" w:color="auto" w:fill="FFFFFF"/>
        </w:rPr>
        <w:t>建设性质：新建</w:t>
      </w:r>
    </w:p>
    <w:p>
      <w:pPr>
        <w:pStyle w:val="161"/>
        <w:ind w:firstLine="480"/>
        <w:rPr>
          <w:rFonts w:ascii="Times New Roman" w:hAnsi="Times New Roman" w:cs="Times New Roman"/>
          <w:color w:val="auto"/>
        </w:rPr>
      </w:pPr>
      <w:r>
        <w:rPr>
          <w:rFonts w:ascii="Times New Roman" w:hAnsi="Times New Roman" w:cs="Times New Roman"/>
          <w:color w:val="auto"/>
        </w:rPr>
        <w:t>建设单位：</w:t>
      </w:r>
      <w:r>
        <w:rPr>
          <w:rFonts w:hint="eastAsia" w:ascii="Times New Roman" w:hAnsi="Times New Roman" w:cs="Times New Roman"/>
          <w:color w:val="auto"/>
        </w:rPr>
        <w:t>遂宁市三仙湖水库建设开发有限责任公司</w:t>
      </w:r>
    </w:p>
    <w:p>
      <w:pPr>
        <w:pStyle w:val="161"/>
        <w:ind w:firstLine="480"/>
        <w:rPr>
          <w:rFonts w:ascii="Times New Roman" w:hAnsi="Times New Roman" w:cs="Times New Roman"/>
          <w:color w:val="auto"/>
        </w:rPr>
      </w:pPr>
      <w:r>
        <w:rPr>
          <w:rFonts w:ascii="Times New Roman" w:hAnsi="Times New Roman" w:cs="Times New Roman"/>
          <w:color w:val="auto"/>
        </w:rPr>
        <w:t>建设地点：四川省遂宁市安居区</w:t>
      </w:r>
      <w:r>
        <w:rPr>
          <w:rFonts w:hint="eastAsia" w:ascii="Times New Roman" w:hAnsi="Times New Roman" w:cs="Times New Roman"/>
          <w:color w:val="auto"/>
          <w:lang w:val="en-US" w:eastAsia="zh-CN"/>
        </w:rPr>
        <w:t>城区段</w:t>
      </w:r>
      <w:r>
        <w:rPr>
          <w:rFonts w:ascii="Times New Roman" w:hAnsi="Times New Roman" w:cs="Times New Roman"/>
          <w:color w:val="auto"/>
        </w:rPr>
        <w:t>（起点：</w:t>
      </w:r>
      <w:r>
        <w:rPr>
          <w:rFonts w:hint="eastAsia" w:ascii="Times New Roman" w:hAnsi="Times New Roman" w:cs="Times New Roman"/>
          <w:color w:val="auto"/>
        </w:rPr>
        <w:t>105.442293，30.356276</w:t>
      </w:r>
      <w:r>
        <w:rPr>
          <w:rFonts w:ascii="Times New Roman" w:hAnsi="Times New Roman" w:cs="Times New Roman"/>
          <w:color w:val="auto"/>
        </w:rPr>
        <w:t>、终点：</w:t>
      </w:r>
      <w:r>
        <w:rPr>
          <w:rFonts w:hint="eastAsia" w:ascii="Times New Roman" w:hAnsi="Times New Roman" w:cs="Times New Roman"/>
          <w:color w:val="auto"/>
        </w:rPr>
        <w:t>105.452453，30.351759</w:t>
      </w:r>
      <w:r>
        <w:rPr>
          <w:rFonts w:ascii="Times New Roman" w:hAnsi="Times New Roman" w:cs="Times New Roman"/>
          <w:color w:val="auto"/>
        </w:rPr>
        <w:t>）</w:t>
      </w:r>
    </w:p>
    <w:p>
      <w:pPr>
        <w:pStyle w:val="161"/>
        <w:ind w:firstLine="480"/>
        <w:rPr>
          <w:rFonts w:hint="eastAsia" w:ascii="Times New Roman" w:hAnsi="Times New Roman" w:eastAsia="宋体" w:cs="Times New Roman"/>
          <w:color w:val="auto"/>
          <w:lang w:eastAsia="zh-CN"/>
        </w:rPr>
      </w:pPr>
      <w:r>
        <w:rPr>
          <w:rFonts w:ascii="Times New Roman" w:hAnsi="Times New Roman" w:cs="Times New Roman"/>
          <w:color w:val="auto"/>
        </w:rPr>
        <w:t>建设内容：</w:t>
      </w:r>
      <w:r>
        <w:rPr>
          <w:rFonts w:hint="eastAsia" w:ascii="Times New Roman" w:hAnsi="Times New Roman" w:cs="Times New Roman"/>
          <w:color w:val="auto"/>
        </w:rPr>
        <w:t>新建堤防2633m，其中新建防洪堤615m，上起白安河大桥左岸岸坡（经纬度：105.442776°，30.356329°），下至安居大道岸坡（经纬度：105.447103°，30.356295°）；新建护岸2018m，左岸护岸长618m，上起安居大道岸坡（经纬度：105.448071°，30.356236°），下至凤凰大桥（经纬度：105.452490°，30.352447°）；右岸护岸长1400m，上起白安河大桥右岸（经纬度：105.441831°，30.356312°），下至琼江汇口岸坡（经纬度：105.450519°，30.352042°）。</w:t>
      </w:r>
    </w:p>
    <w:p>
      <w:pPr>
        <w:pStyle w:val="4"/>
        <w:spacing w:before="120" w:after="120"/>
        <w:rPr>
          <w:color w:val="auto"/>
          <w:shd w:val="clear" w:color="auto" w:fill="FFFFFF"/>
        </w:rPr>
      </w:pPr>
      <w:bookmarkStart w:id="107" w:name="_Toc20089"/>
      <w:r>
        <w:rPr>
          <w:color w:val="auto"/>
        </w:rPr>
        <w:t>工程</w:t>
      </w:r>
      <w:r>
        <w:rPr>
          <w:color w:val="auto"/>
          <w:shd w:val="clear" w:color="auto" w:fill="FFFFFF"/>
        </w:rPr>
        <w:t>布置</w:t>
      </w:r>
      <w:bookmarkEnd w:id="107"/>
    </w:p>
    <w:p>
      <w:pPr>
        <w:pStyle w:val="161"/>
        <w:ind w:firstLine="480"/>
        <w:jc w:val="left"/>
        <w:rPr>
          <w:rFonts w:ascii="Times New Roman" w:hAnsi="Times New Roman" w:cs="Times New Roman"/>
          <w:color w:val="auto"/>
          <w:kern w:val="2"/>
        </w:rPr>
      </w:pPr>
      <w:r>
        <w:rPr>
          <w:rFonts w:ascii="Times New Roman" w:hAnsi="Times New Roman" w:cs="Times New Roman"/>
          <w:color w:val="auto"/>
          <w:kern w:val="2"/>
        </w:rPr>
        <w:t>工程设置主要有主体工程（堤防建筑物区）及临时施工工程区。主体工程</w:t>
      </w:r>
      <w:r>
        <w:rPr>
          <w:rFonts w:hint="eastAsia" w:ascii="Times New Roman" w:hAnsi="Times New Roman" w:cs="Times New Roman"/>
          <w:color w:val="auto"/>
          <w:kern w:val="2"/>
          <w:lang w:val="en-US" w:eastAsia="zh-CN"/>
        </w:rPr>
        <w:t>为</w:t>
      </w:r>
      <w:r>
        <w:rPr>
          <w:rFonts w:hint="eastAsia" w:ascii="Times New Roman" w:hAnsi="Times New Roman" w:cs="Times New Roman"/>
          <w:color w:val="auto"/>
          <w:kern w:val="2"/>
        </w:rPr>
        <w:t>新建堤防2633m，上起白安河大桥，下至</w:t>
      </w:r>
      <w:r>
        <w:rPr>
          <w:rFonts w:hint="eastAsia" w:ascii="Times New Roman" w:hAnsi="Times New Roman" w:cs="Times New Roman"/>
          <w:color w:val="auto"/>
          <w:kern w:val="2"/>
          <w:lang w:val="en-US" w:eastAsia="zh-CN"/>
        </w:rPr>
        <w:t>琼江汇口</w:t>
      </w:r>
      <w:r>
        <w:rPr>
          <w:rFonts w:hint="eastAsia" w:ascii="Times New Roman" w:hAnsi="Times New Roman" w:cs="Times New Roman"/>
          <w:color w:val="auto"/>
          <w:kern w:val="2"/>
          <w:lang w:eastAsia="zh-CN"/>
        </w:rPr>
        <w:t>；</w:t>
      </w:r>
      <w:r>
        <w:rPr>
          <w:rFonts w:ascii="Times New Roman" w:hAnsi="Times New Roman" w:cs="Times New Roman"/>
          <w:color w:val="auto"/>
          <w:kern w:val="2"/>
        </w:rPr>
        <w:t>临时</w:t>
      </w:r>
      <w:r>
        <w:rPr>
          <w:rFonts w:hint="eastAsia" w:ascii="Times New Roman" w:hAnsi="Times New Roman" w:cs="Times New Roman"/>
          <w:color w:val="auto"/>
          <w:kern w:val="2"/>
          <w:lang w:val="en-US" w:eastAsia="zh-CN"/>
        </w:rPr>
        <w:t>工程</w:t>
      </w:r>
      <w:r>
        <w:rPr>
          <w:rFonts w:ascii="Times New Roman" w:hAnsi="Times New Roman" w:cs="Times New Roman"/>
          <w:color w:val="auto"/>
          <w:kern w:val="2"/>
        </w:rPr>
        <w:t>主要包含临时</w:t>
      </w:r>
      <w:r>
        <w:rPr>
          <w:rFonts w:hint="eastAsia" w:ascii="Times New Roman" w:hAnsi="Times New Roman" w:cs="Times New Roman"/>
          <w:color w:val="auto"/>
          <w:kern w:val="2"/>
          <w:lang w:val="en-US" w:eastAsia="zh-CN"/>
        </w:rPr>
        <w:t>围堰、</w:t>
      </w:r>
      <w:r>
        <w:rPr>
          <w:rFonts w:ascii="Times New Roman" w:hAnsi="Times New Roman" w:cs="Times New Roman"/>
          <w:color w:val="auto"/>
          <w:kern w:val="2"/>
        </w:rPr>
        <w:t>临时施工道路</w:t>
      </w:r>
      <w:r>
        <w:rPr>
          <w:rFonts w:hint="eastAsia" w:ascii="Times New Roman" w:hAnsi="Times New Roman" w:cs="Times New Roman"/>
          <w:color w:val="auto"/>
          <w:kern w:val="2"/>
          <w:lang w:eastAsia="zh-CN"/>
        </w:rPr>
        <w:t>、</w:t>
      </w:r>
      <w:r>
        <w:rPr>
          <w:rFonts w:ascii="Times New Roman" w:hAnsi="Times New Roman" w:cs="Times New Roman"/>
          <w:color w:val="auto"/>
          <w:kern w:val="2"/>
        </w:rPr>
        <w:t>沉淀池、</w:t>
      </w:r>
      <w:r>
        <w:rPr>
          <w:rFonts w:hint="eastAsia" w:ascii="Times New Roman" w:hAnsi="Times New Roman" w:cs="Times New Roman"/>
          <w:color w:val="auto"/>
          <w:kern w:val="2"/>
          <w:lang w:val="en-US" w:eastAsia="zh-CN"/>
        </w:rPr>
        <w:t>临时水池、土石方</w:t>
      </w:r>
      <w:r>
        <w:rPr>
          <w:rFonts w:ascii="Times New Roman" w:hAnsi="Times New Roman" w:cs="Times New Roman"/>
          <w:color w:val="auto"/>
          <w:kern w:val="2"/>
        </w:rPr>
        <w:t>回填区</w:t>
      </w:r>
      <w:r>
        <w:rPr>
          <w:rFonts w:hint="eastAsia" w:ascii="Times New Roman" w:hAnsi="Times New Roman" w:cs="Times New Roman"/>
          <w:color w:val="auto"/>
          <w:kern w:val="2"/>
          <w:lang w:val="en-US" w:eastAsia="zh-CN"/>
        </w:rPr>
        <w:t>等</w:t>
      </w:r>
      <w:r>
        <w:rPr>
          <w:rFonts w:ascii="Times New Roman" w:hAnsi="Times New Roman" w:cs="Times New Roman"/>
          <w:color w:val="auto"/>
          <w:kern w:val="2"/>
        </w:rPr>
        <w:t>。</w:t>
      </w:r>
    </w:p>
    <w:p>
      <w:pPr>
        <w:pStyle w:val="4"/>
        <w:spacing w:before="120" w:after="120"/>
        <w:rPr>
          <w:color w:val="auto"/>
        </w:rPr>
      </w:pPr>
      <w:bookmarkStart w:id="108" w:name="_Toc24078"/>
      <w:r>
        <w:rPr>
          <w:color w:val="auto"/>
        </w:rPr>
        <w:t>土石方平衡</w:t>
      </w:r>
      <w:bookmarkEnd w:id="108"/>
    </w:p>
    <w:p>
      <w:pPr>
        <w:widowControl/>
        <w:spacing w:line="360" w:lineRule="auto"/>
        <w:ind w:firstLine="480" w:firstLineChars="200"/>
        <w:outlineLvl w:val="2"/>
        <w:rPr>
          <w:rFonts w:hint="eastAsia" w:ascii="Times New Roman" w:hAnsi="Times New Roman" w:eastAsia="宋体"/>
          <w:color w:val="auto"/>
          <w:sz w:val="24"/>
          <w:lang w:eastAsia="zh-CN"/>
        </w:rPr>
      </w:pPr>
      <w:r>
        <w:rPr>
          <w:rFonts w:hint="eastAsia" w:ascii="宋体" w:hAnsi="宋体" w:eastAsia="宋体" w:cs="宋体"/>
          <w:bCs/>
          <w:color w:val="auto"/>
          <w:sz w:val="24"/>
          <w:highlight w:val="none"/>
        </w:rPr>
        <w:t>本工程堤防建筑物区土方开挖16.61万m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，石方开挖0.31万m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，拆除料0.01万m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，合计16.93万m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，石渣料场土方开挖0.87万m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，石方开挖12.16万m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，土石开挖共13.03万m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。堤防土方回填利用量1.04万m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，石渣填筑料部分从石渣料场开采，从石渣料场共取料12.16万m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，围堰填筑土方利用量3.09万m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。堤防区弃渣13.84万m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，围堰填筑区弃渣2.58万m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，其余临时施工区无弃渣产生，本工程总共弃渣16.42万m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。本次堤防低洼地带可回填20万m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弃渣，满足本工程弃渣要求。故本工程弃渣均回填至堤后低洼地带，不单独设弃渣场。土石方平衡见下表</w:t>
      </w:r>
      <w:r>
        <w:rPr>
          <w:rFonts w:hint="eastAsia" w:ascii="宋体" w:hAnsi="宋体" w:cs="宋体"/>
          <w:bCs/>
          <w:color w:val="auto"/>
          <w:sz w:val="24"/>
          <w:highlight w:val="none"/>
          <w:lang w:eastAsia="zh-CN"/>
        </w:rPr>
        <w:t>：</w:t>
      </w:r>
    </w:p>
    <w:p>
      <w:pPr>
        <w:adjustRightInd w:val="0"/>
        <w:snapToGrid w:val="0"/>
        <w:spacing w:line="360" w:lineRule="auto"/>
        <w:jc w:val="center"/>
        <w:rPr>
          <w:rFonts w:hint="eastAsia" w:ascii="宋体" w:hAnsi="宋体" w:eastAsia="宋体" w:cs="宋体"/>
          <w:b/>
          <w:color w:val="FF0000"/>
          <w:sz w:val="21"/>
          <w:szCs w:val="21"/>
        </w:rPr>
      </w:pPr>
    </w:p>
    <w:p>
      <w:pPr>
        <w:adjustRightInd w:val="0"/>
        <w:snapToGrid w:val="0"/>
        <w:spacing w:line="360" w:lineRule="auto"/>
        <w:jc w:val="center"/>
        <w:rPr>
          <w:rFonts w:hint="eastAsia" w:ascii="宋体" w:hAnsi="宋体" w:eastAsia="宋体" w:cs="宋体"/>
          <w:b/>
          <w:color w:val="FF0000"/>
          <w:sz w:val="21"/>
          <w:szCs w:val="21"/>
        </w:rPr>
      </w:pPr>
    </w:p>
    <w:p>
      <w:pPr>
        <w:adjustRightInd w:val="0"/>
        <w:snapToGrid w:val="0"/>
        <w:spacing w:line="360" w:lineRule="auto"/>
        <w:jc w:val="center"/>
        <w:rPr>
          <w:rFonts w:hint="eastAsia" w:ascii="宋体" w:hAnsi="宋体" w:eastAsia="宋体" w:cs="宋体"/>
          <w:b/>
          <w:color w:val="FF0000"/>
          <w:sz w:val="21"/>
          <w:szCs w:val="21"/>
        </w:rPr>
      </w:pPr>
    </w:p>
    <w:p>
      <w:pPr>
        <w:adjustRightInd w:val="0"/>
        <w:snapToGrid w:val="0"/>
        <w:spacing w:line="360" w:lineRule="auto"/>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表3-1项目区表土及土石方平衡总表</w:t>
      </w:r>
    </w:p>
    <w:p>
      <w:pPr>
        <w:pStyle w:val="48"/>
        <w:rPr>
          <w:color w:val="FF0000"/>
        </w:rPr>
      </w:pPr>
      <w:r>
        <w:rPr>
          <w:rFonts w:hint="eastAsia" w:ascii="宋体" w:hAnsi="宋体" w:eastAsia="宋体" w:cs="宋体"/>
          <w:b/>
          <w:color w:val="auto"/>
          <w:sz w:val="24"/>
          <w:highlight w:val="none"/>
          <w:lang w:eastAsia="zh-CN"/>
        </w:rPr>
        <w:drawing>
          <wp:inline distT="0" distB="0" distL="114300" distR="114300">
            <wp:extent cx="5754370" cy="3100705"/>
            <wp:effectExtent l="0" t="0" r="17780" b="4445"/>
            <wp:docPr id="1" name="图片 2" descr="QQ截图2024040922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QQ截图20240409223319"/>
                    <pic:cNvPicPr>
                      <a:picLocks noChangeAspect="1"/>
                    </pic:cNvPicPr>
                  </pic:nvPicPr>
                  <pic:blipFill>
                    <a:blip r:embed="rId20"/>
                    <a:stretch>
                      <a:fillRect/>
                    </a:stretch>
                  </pic:blipFill>
                  <pic:spPr>
                    <a:xfrm>
                      <a:off x="0" y="0"/>
                      <a:ext cx="5754370" cy="3100705"/>
                    </a:xfrm>
                    <a:prstGeom prst="rect">
                      <a:avLst/>
                    </a:prstGeom>
                    <a:noFill/>
                    <a:ln>
                      <a:noFill/>
                    </a:ln>
                  </pic:spPr>
                </pic:pic>
              </a:graphicData>
            </a:graphic>
          </wp:inline>
        </w:drawing>
      </w:r>
    </w:p>
    <w:p>
      <w:pPr>
        <w:pStyle w:val="4"/>
        <w:spacing w:before="120" w:after="120"/>
        <w:rPr>
          <w:color w:val="auto"/>
        </w:rPr>
      </w:pPr>
      <w:bookmarkStart w:id="109" w:name="_Toc2755"/>
      <w:r>
        <w:rPr>
          <w:color w:val="auto"/>
        </w:rPr>
        <w:t>工程占地</w:t>
      </w:r>
      <w:bookmarkEnd w:id="109"/>
    </w:p>
    <w:p>
      <w:pPr>
        <w:widowControl/>
        <w:adjustRightInd w:val="0"/>
        <w:snapToGrid w:val="0"/>
        <w:spacing w:line="360" w:lineRule="auto"/>
        <w:ind w:firstLine="480" w:firstLineChars="200"/>
        <w:rPr>
          <w:color w:val="auto"/>
          <w:sz w:val="24"/>
          <w:highlight w:val="none"/>
        </w:rPr>
      </w:pPr>
      <w:bookmarkStart w:id="110" w:name="_Toc54659642"/>
      <w:bookmarkStart w:id="111" w:name="_Toc54657434"/>
      <w:bookmarkStart w:id="112" w:name="_Toc51318129"/>
      <w:bookmarkStart w:id="113" w:name="_Toc54799208"/>
      <w:r>
        <w:rPr>
          <w:color w:val="auto"/>
          <w:sz w:val="24"/>
          <w:highlight w:val="none"/>
        </w:rPr>
        <w:t>本项目工程</w:t>
      </w:r>
      <w:r>
        <w:rPr>
          <w:rFonts w:hint="eastAsia"/>
          <w:color w:val="auto"/>
          <w:sz w:val="24"/>
          <w:highlight w:val="none"/>
          <w:lang w:val="en-US" w:eastAsia="zh-CN"/>
        </w:rPr>
        <w:t>永久</w:t>
      </w:r>
      <w:r>
        <w:rPr>
          <w:color w:val="auto"/>
          <w:sz w:val="24"/>
          <w:highlight w:val="none"/>
        </w:rPr>
        <w:t>占地</w:t>
      </w:r>
      <w:r>
        <w:rPr>
          <w:rFonts w:hint="eastAsia"/>
          <w:color w:val="auto"/>
          <w:sz w:val="24"/>
          <w:highlight w:val="none"/>
          <w:lang w:val="en-US" w:eastAsia="zh-CN"/>
        </w:rPr>
        <w:t>面积为121360m</w:t>
      </w:r>
      <w:r>
        <w:rPr>
          <w:rFonts w:hint="eastAsia"/>
          <w:color w:val="auto"/>
          <w:sz w:val="24"/>
          <w:highlight w:val="none"/>
          <w:vertAlign w:val="superscript"/>
          <w:lang w:val="en-US" w:eastAsia="zh-CN"/>
        </w:rPr>
        <w:t>2</w:t>
      </w:r>
      <w:r>
        <w:rPr>
          <w:rFonts w:hint="eastAsia"/>
          <w:color w:val="auto"/>
          <w:sz w:val="24"/>
          <w:highlight w:val="none"/>
          <w:vertAlign w:val="baseline"/>
          <w:lang w:val="en-US" w:eastAsia="zh-CN"/>
        </w:rPr>
        <w:t>（约182亩）、临时占地76.83亩，</w:t>
      </w:r>
      <w:r>
        <w:rPr>
          <w:rFonts w:hint="eastAsia"/>
          <w:color w:val="auto"/>
          <w:sz w:val="24"/>
          <w:highlight w:val="none"/>
          <w:lang w:val="en-US" w:eastAsia="zh-CN"/>
        </w:rPr>
        <w:t>均</w:t>
      </w:r>
      <w:r>
        <w:rPr>
          <w:rFonts w:hint="eastAsia"/>
          <w:color w:val="auto"/>
          <w:sz w:val="24"/>
          <w:highlight w:val="none"/>
        </w:rPr>
        <w:t>不占用永久性基本农田，</w:t>
      </w:r>
      <w:r>
        <w:rPr>
          <w:rFonts w:hint="eastAsia"/>
          <w:color w:val="auto"/>
          <w:sz w:val="24"/>
          <w:highlight w:val="none"/>
          <w:lang w:val="en-US" w:eastAsia="zh-CN"/>
        </w:rPr>
        <w:t>占地情况见下表</w:t>
      </w:r>
      <w:r>
        <w:rPr>
          <w:color w:val="auto"/>
          <w:sz w:val="24"/>
          <w:highlight w:val="none"/>
        </w:rPr>
        <w:t xml:space="preserve">。 </w:t>
      </w:r>
    </w:p>
    <w:p>
      <w:pPr>
        <w:ind w:left="480"/>
        <w:jc w:val="center"/>
        <w:rPr>
          <w:rFonts w:hint="eastAsia" w:ascii="宋体" w:hAnsi="宋体" w:eastAsia="宋体" w:cs="宋体"/>
          <w:b/>
          <w:color w:val="auto"/>
          <w:sz w:val="21"/>
          <w:szCs w:val="21"/>
        </w:rPr>
      </w:pPr>
      <w:r>
        <w:rPr>
          <w:rFonts w:hint="eastAsia" w:ascii="宋体" w:hAnsi="宋体" w:eastAsia="宋体" w:cs="宋体"/>
          <w:b/>
          <w:bCs/>
          <w:color w:val="auto"/>
          <w:sz w:val="21"/>
          <w:szCs w:val="21"/>
        </w:rPr>
        <w:t xml:space="preserve">表3-2  </w:t>
      </w:r>
      <w:r>
        <w:rPr>
          <w:rFonts w:hint="eastAsia" w:ascii="宋体" w:hAnsi="宋体" w:eastAsia="宋体" w:cs="宋体"/>
          <w:b/>
          <w:color w:val="auto"/>
          <w:sz w:val="21"/>
          <w:szCs w:val="21"/>
        </w:rPr>
        <w:t>项目工程占地统计表</w:t>
      </w:r>
    </w:p>
    <w:tbl>
      <w:tblPr>
        <w:tblStyle w:val="39"/>
        <w:tblW w:w="805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766"/>
        <w:gridCol w:w="1125"/>
        <w:gridCol w:w="1012"/>
        <w:gridCol w:w="950"/>
        <w:gridCol w:w="988"/>
        <w:gridCol w:w="1012"/>
        <w:gridCol w:w="120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color w:val="auto"/>
                <w:kern w:val="2"/>
                <w:sz w:val="21"/>
                <w:szCs w:val="21"/>
                <w:highlight w:val="none"/>
              </w:rPr>
              <w:t>分区</w:t>
            </w:r>
          </w:p>
        </w:tc>
        <w:tc>
          <w:tcPr>
            <w:tcW w:w="1125"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占地性质</w:t>
            </w:r>
          </w:p>
        </w:tc>
        <w:tc>
          <w:tcPr>
            <w:tcW w:w="5166" w:type="dxa"/>
            <w:gridSpan w:val="5"/>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占地类型及面积（</w:t>
            </w:r>
            <w:r>
              <w:rPr>
                <w:rFonts w:hint="eastAsia" w:ascii="宋体" w:hAnsi="宋体" w:eastAsia="宋体" w:cs="宋体"/>
                <w:color w:val="auto"/>
                <w:kern w:val="2"/>
                <w:sz w:val="21"/>
                <w:szCs w:val="21"/>
                <w:highlight w:val="none"/>
                <w:lang w:val="en-US" w:eastAsia="zh-CN"/>
              </w:rPr>
              <w:t>亩</w:t>
            </w:r>
            <w:r>
              <w:rPr>
                <w:rFonts w:hint="eastAsia" w:ascii="宋体" w:hAnsi="宋体" w:eastAsia="宋体" w:cs="宋体"/>
                <w:color w:val="auto"/>
                <w:kern w:val="2"/>
                <w:sz w:val="21"/>
                <w:szCs w:val="21"/>
                <w:highlight w:val="none"/>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1766" w:type="dxa"/>
            <w:vMerge w:val="continue"/>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p>
        </w:tc>
        <w:tc>
          <w:tcPr>
            <w:tcW w:w="1125"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耕地</w:t>
            </w:r>
          </w:p>
        </w:tc>
        <w:tc>
          <w:tcPr>
            <w:tcW w:w="950"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林地</w:t>
            </w:r>
          </w:p>
        </w:tc>
        <w:tc>
          <w:tcPr>
            <w:tcW w:w="988"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lang w:val="en-US" w:eastAsia="zh-CN"/>
              </w:rPr>
              <w:t>草</w:t>
            </w:r>
            <w:r>
              <w:rPr>
                <w:rFonts w:hint="eastAsia" w:ascii="宋体" w:hAnsi="宋体" w:eastAsia="宋体" w:cs="宋体"/>
                <w:color w:val="auto"/>
                <w:kern w:val="2"/>
                <w:sz w:val="21"/>
                <w:szCs w:val="21"/>
                <w:highlight w:val="none"/>
              </w:rPr>
              <w:t>地</w:t>
            </w: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水域及水利设施用地</w:t>
            </w: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小计</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堤防建筑区</w:t>
            </w:r>
          </w:p>
        </w:tc>
        <w:tc>
          <w:tcPr>
            <w:tcW w:w="112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永久占地</w:t>
            </w: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43.67</w:t>
            </w:r>
          </w:p>
        </w:tc>
        <w:tc>
          <w:tcPr>
            <w:tcW w:w="950"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9.69</w:t>
            </w:r>
          </w:p>
        </w:tc>
        <w:tc>
          <w:tcPr>
            <w:tcW w:w="988"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16.3</w:t>
            </w: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112.34</w:t>
            </w: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182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临时施工道路区</w:t>
            </w:r>
          </w:p>
        </w:tc>
        <w:tc>
          <w:tcPr>
            <w:tcW w:w="1125"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临时占地</w:t>
            </w:r>
          </w:p>
        </w:tc>
        <w:tc>
          <w:tcPr>
            <w:tcW w:w="1012"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14.60</w:t>
            </w:r>
          </w:p>
        </w:tc>
        <w:tc>
          <w:tcPr>
            <w:tcW w:w="950"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left="0" w:leftChars="0"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17.67</w:t>
            </w:r>
          </w:p>
        </w:tc>
        <w:tc>
          <w:tcPr>
            <w:tcW w:w="988"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16.13</w:t>
            </w:r>
          </w:p>
        </w:tc>
        <w:tc>
          <w:tcPr>
            <w:tcW w:w="1012" w:type="dxa"/>
            <w:vMerge w:val="restart"/>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28.43</w:t>
            </w: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8.98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临时堆料区</w:t>
            </w:r>
          </w:p>
        </w:tc>
        <w:tc>
          <w:tcPr>
            <w:tcW w:w="1125"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50"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88"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4.49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施工生产设施区</w:t>
            </w:r>
          </w:p>
        </w:tc>
        <w:tc>
          <w:tcPr>
            <w:tcW w:w="1125"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50"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88"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5.53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取料场区</w:t>
            </w:r>
          </w:p>
        </w:tc>
        <w:tc>
          <w:tcPr>
            <w:tcW w:w="1125"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50"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88"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14.53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堤后</w:t>
            </w:r>
            <w:r>
              <w:rPr>
                <w:rFonts w:hint="eastAsia" w:ascii="宋体" w:hAnsi="宋体" w:eastAsia="宋体" w:cs="宋体"/>
                <w:color w:val="auto"/>
                <w:sz w:val="21"/>
                <w:szCs w:val="21"/>
                <w:highlight w:val="none"/>
              </w:rPr>
              <w:t>回填区</w:t>
            </w:r>
          </w:p>
        </w:tc>
        <w:tc>
          <w:tcPr>
            <w:tcW w:w="1125"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50"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988"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012" w:type="dxa"/>
            <w:vMerge w:val="continue"/>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rPr>
            </w:pP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43.3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766" w:type="dxa"/>
            <w:tcBorders>
              <w:tl2br w:val="nil"/>
              <w:tr2bl w:val="nil"/>
            </w:tcBorders>
            <w:noWrap w:val="0"/>
            <w:vAlign w:val="center"/>
          </w:tcPr>
          <w:p>
            <w:pPr>
              <w:pStyle w:val="38"/>
              <w:keepNext w:val="0"/>
              <w:keepLines w:val="0"/>
              <w:pageBreakBefore w:val="0"/>
              <w:widowControl w:val="0"/>
              <w:kinsoku/>
              <w:wordWrap/>
              <w:overflowPunct/>
              <w:topLinePunct w:val="0"/>
              <w:autoSpaceDE/>
              <w:autoSpaceDN/>
              <w:bidi w:val="0"/>
              <w:adjustRightInd w:val="0"/>
              <w:snapToGrid w:val="0"/>
              <w:spacing w:after="0" w:line="240" w:lineRule="auto"/>
              <w:ind w:left="0" w:leftChars="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合计</w:t>
            </w:r>
          </w:p>
        </w:tc>
        <w:tc>
          <w:tcPr>
            <w:tcW w:w="112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w:t>
            </w: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58.27</w:t>
            </w:r>
          </w:p>
        </w:tc>
        <w:tc>
          <w:tcPr>
            <w:tcW w:w="950"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27.36</w:t>
            </w:r>
          </w:p>
        </w:tc>
        <w:tc>
          <w:tcPr>
            <w:tcW w:w="988"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32.43</w:t>
            </w:r>
          </w:p>
        </w:tc>
        <w:tc>
          <w:tcPr>
            <w:tcW w:w="1012"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140.77</w:t>
            </w:r>
          </w:p>
        </w:tc>
        <w:tc>
          <w:tcPr>
            <w:tcW w:w="120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lang w:val="en-US" w:eastAsia="zh-CN"/>
              </w:rPr>
              <w:t>258.83</w:t>
            </w:r>
          </w:p>
        </w:tc>
      </w:tr>
    </w:tbl>
    <w:p>
      <w:pPr>
        <w:jc w:val="center"/>
        <w:rPr>
          <w:rFonts w:ascii="Times New Roman" w:hAnsi="Times New Roman"/>
          <w:b/>
          <w:bCs/>
          <w:color w:val="FF0000"/>
          <w:sz w:val="24"/>
        </w:rPr>
      </w:pPr>
    </w:p>
    <w:p>
      <w:pPr>
        <w:pStyle w:val="4"/>
        <w:spacing w:before="120" w:after="120"/>
        <w:rPr>
          <w:color w:val="auto"/>
        </w:rPr>
      </w:pPr>
      <w:bookmarkStart w:id="114" w:name="_Toc4922"/>
      <w:r>
        <w:rPr>
          <w:color w:val="auto"/>
        </w:rPr>
        <w:t>生态影响源分析</w:t>
      </w:r>
      <w:bookmarkEnd w:id="110"/>
      <w:bookmarkEnd w:id="111"/>
      <w:bookmarkEnd w:id="112"/>
      <w:bookmarkEnd w:id="113"/>
      <w:bookmarkEnd w:id="114"/>
    </w:p>
    <w:p>
      <w:pPr>
        <w:pStyle w:val="127"/>
        <w:snapToGrid w:val="0"/>
        <w:rPr>
          <w:rFonts w:ascii="Times New Roman" w:hAnsi="Times New Roman"/>
          <w:color w:val="auto"/>
        </w:rPr>
      </w:pPr>
      <w:r>
        <w:rPr>
          <w:rFonts w:ascii="Times New Roman" w:hAnsi="Times New Roman"/>
          <w:color w:val="auto"/>
        </w:rPr>
        <w:t>项目对评价区域的生态影响主要来自于工程占地、围堰工程、机械噪声、运输过程中粉尘等的影响，主要表现为以下几个方面。</w:t>
      </w:r>
    </w:p>
    <w:p>
      <w:pPr>
        <w:pStyle w:val="127"/>
        <w:snapToGrid w:val="0"/>
        <w:rPr>
          <w:rFonts w:ascii="Times New Roman" w:hAnsi="Times New Roman"/>
          <w:color w:val="auto"/>
        </w:rPr>
      </w:pPr>
      <w:r>
        <w:rPr>
          <w:rFonts w:hint="eastAsia" w:ascii="宋体" w:hAnsi="宋体" w:cs="宋体"/>
          <w:color w:val="auto"/>
        </w:rPr>
        <w:t>①</w:t>
      </w:r>
      <w:r>
        <w:rPr>
          <w:rFonts w:ascii="Times New Roman" w:hAnsi="Times New Roman"/>
          <w:color w:val="auto"/>
        </w:rPr>
        <w:t>对水生生物的影响：本项目涉及</w:t>
      </w:r>
      <w:r>
        <w:rPr>
          <w:rFonts w:hint="eastAsia" w:ascii="Times New Roman" w:hAnsi="Times New Roman"/>
          <w:color w:val="auto"/>
          <w:lang w:val="en-US" w:eastAsia="zh-CN"/>
        </w:rPr>
        <w:t>1105</w:t>
      </w:r>
      <w:r>
        <w:rPr>
          <w:rFonts w:ascii="Times New Roman" w:hAnsi="Times New Roman"/>
          <w:color w:val="auto"/>
        </w:rPr>
        <w:t>m的围堰工程，会造成水生生物的影响，同时本项目涉及琼江翘嘴红鲌省级水产种质资源保护区的</w:t>
      </w:r>
      <w:r>
        <w:rPr>
          <w:rFonts w:hint="eastAsia" w:ascii="Times New Roman" w:hAnsi="Times New Roman"/>
          <w:color w:val="auto"/>
          <w:lang w:val="en-US" w:eastAsia="zh-CN"/>
        </w:rPr>
        <w:t>核心区</w:t>
      </w:r>
      <w:r>
        <w:rPr>
          <w:rFonts w:ascii="Times New Roman" w:hAnsi="Times New Roman"/>
          <w:color w:val="auto"/>
        </w:rPr>
        <w:t>，涉水工程会对保护区造成一定的损害。</w:t>
      </w:r>
    </w:p>
    <w:p>
      <w:pPr>
        <w:pStyle w:val="127"/>
        <w:snapToGrid w:val="0"/>
        <w:rPr>
          <w:rFonts w:ascii="Times New Roman" w:hAnsi="Times New Roman"/>
          <w:color w:val="auto"/>
        </w:rPr>
      </w:pPr>
      <w:r>
        <w:rPr>
          <w:rFonts w:hint="eastAsia" w:ascii="宋体" w:hAnsi="宋体" w:cs="宋体"/>
          <w:color w:val="auto"/>
          <w:lang w:val="zh-CN"/>
        </w:rPr>
        <w:t>②</w:t>
      </w:r>
      <w:r>
        <w:rPr>
          <w:rFonts w:ascii="Times New Roman" w:hAnsi="Times New Roman"/>
          <w:color w:val="auto"/>
        </w:rPr>
        <w:t>对陆生生物的影响：本项目临时占地施工区域会对周边陆生生物产生</w:t>
      </w:r>
      <w:r>
        <w:rPr>
          <w:rFonts w:hint="eastAsia" w:ascii="Times New Roman" w:hAnsi="Times New Roman"/>
          <w:color w:val="auto"/>
          <w:lang w:val="en-US" w:eastAsia="zh-CN"/>
        </w:rPr>
        <w:t>一定</w:t>
      </w:r>
      <w:r>
        <w:rPr>
          <w:rFonts w:ascii="Times New Roman" w:hAnsi="Times New Roman"/>
          <w:color w:val="auto"/>
        </w:rPr>
        <w:t>影响，造成生物量的损失。可能占据野生动物栖息和繁殖场所，形成迁移阻碍。</w:t>
      </w:r>
    </w:p>
    <w:p>
      <w:pPr>
        <w:pStyle w:val="127"/>
        <w:snapToGrid w:val="0"/>
        <w:rPr>
          <w:rFonts w:ascii="Times New Roman" w:hAnsi="Times New Roman"/>
          <w:color w:val="auto"/>
        </w:rPr>
      </w:pPr>
      <w:r>
        <w:rPr>
          <w:rFonts w:hint="eastAsia" w:ascii="宋体" w:hAnsi="宋体" w:cs="宋体"/>
          <w:color w:val="auto"/>
        </w:rPr>
        <w:t>③</w:t>
      </w:r>
      <w:r>
        <w:rPr>
          <w:rFonts w:ascii="Times New Roman" w:hAnsi="Times New Roman"/>
          <w:color w:val="auto"/>
        </w:rPr>
        <w:t>对景观的影响：由于工程临时占地不可避免的破坏工程区的植被，形成裸露面以及堆场裸露，形成与周围环境的反差，造成景观不协调。</w:t>
      </w:r>
    </w:p>
    <w:p>
      <w:pPr>
        <w:pStyle w:val="127"/>
        <w:snapToGrid w:val="0"/>
        <w:rPr>
          <w:rFonts w:ascii="Times New Roman" w:hAnsi="Times New Roman"/>
          <w:color w:val="auto"/>
        </w:rPr>
      </w:pPr>
      <w:r>
        <w:rPr>
          <w:rFonts w:hint="eastAsia" w:ascii="宋体" w:hAnsi="宋体" w:cs="宋体"/>
          <w:color w:val="auto"/>
        </w:rPr>
        <w:t>④</w:t>
      </w:r>
      <w:r>
        <w:rPr>
          <w:rFonts w:ascii="Times New Roman" w:hAnsi="Times New Roman"/>
          <w:color w:val="auto"/>
          <w:lang w:val="zh-CN"/>
        </w:rPr>
        <w:t>对土地利用类型的影响：</w:t>
      </w:r>
      <w:r>
        <w:rPr>
          <w:rFonts w:ascii="Times New Roman" w:hAnsi="Times New Roman"/>
          <w:color w:val="auto"/>
        </w:rPr>
        <w:t>本项目属于防洪堤坝项目，不会改变</w:t>
      </w:r>
      <w:r>
        <w:rPr>
          <w:rFonts w:ascii="Times New Roman" w:hAnsi="Times New Roman"/>
          <w:color w:val="auto"/>
          <w:lang w:val="zh-CN"/>
        </w:rPr>
        <w:t>区域的土地利用类型。</w:t>
      </w:r>
    </w:p>
    <w:p>
      <w:pPr>
        <w:pStyle w:val="127"/>
        <w:snapToGrid w:val="0"/>
        <w:rPr>
          <w:rFonts w:ascii="Times New Roman" w:hAnsi="Times New Roman"/>
          <w:color w:val="FF0000"/>
        </w:rPr>
      </w:pPr>
    </w:p>
    <w:p>
      <w:pPr>
        <w:pStyle w:val="24"/>
        <w:spacing w:line="360" w:lineRule="auto"/>
        <w:rPr>
          <w:rFonts w:ascii="Times New Roman" w:hAnsi="Times New Roman"/>
          <w:color w:val="FF0000"/>
          <w:kern w:val="16"/>
          <w:sz w:val="24"/>
        </w:rPr>
      </w:pPr>
      <w:r>
        <w:rPr>
          <w:rFonts w:ascii="Times New Roman" w:hAnsi="Times New Roman"/>
          <w:color w:val="FF0000"/>
        </w:rPr>
        <w:br w:type="page"/>
      </w:r>
    </w:p>
    <w:p>
      <w:pPr>
        <w:autoSpaceDE w:val="0"/>
        <w:autoSpaceDN w:val="0"/>
        <w:adjustRightInd w:val="0"/>
        <w:spacing w:line="360" w:lineRule="auto"/>
        <w:rPr>
          <w:rFonts w:ascii="Times New Roman" w:hAnsi="Times New Roman"/>
          <w:b/>
          <w:bCs/>
          <w:color w:val="FF0000"/>
          <w:kern w:val="0"/>
          <w:sz w:val="24"/>
          <w:lang w:val="zh-CN"/>
        </w:rPr>
        <w:sectPr>
          <w:headerReference r:id="rId7" w:type="default"/>
          <w:footerReference r:id="rId8" w:type="default"/>
          <w:pgSz w:w="11907" w:h="16840"/>
          <w:pgMar w:top="1418" w:right="1418" w:bottom="1418" w:left="1418" w:header="720" w:footer="720" w:gutter="0"/>
          <w:pgBorders>
            <w:top w:val="none" w:sz="0" w:space="0"/>
            <w:left w:val="none" w:sz="0" w:space="0"/>
            <w:bottom w:val="none" w:sz="0" w:space="0"/>
            <w:right w:val="none" w:sz="0" w:space="0"/>
          </w:pgBorders>
          <w:cols w:space="720" w:num="1"/>
          <w:docGrid w:linePitch="312" w:charSpace="0"/>
        </w:sectPr>
      </w:pPr>
    </w:p>
    <w:bookmarkEnd w:id="0"/>
    <w:bookmarkEnd w:id="1"/>
    <w:bookmarkEnd w:id="2"/>
    <w:p>
      <w:pPr>
        <w:pStyle w:val="3"/>
        <w:rPr>
          <w:color w:val="auto"/>
          <w:lang w:val="zh-CN"/>
        </w:rPr>
      </w:pPr>
      <w:bookmarkStart w:id="115" w:name="_Toc11075"/>
      <w:bookmarkStart w:id="116" w:name="_Toc54659643"/>
      <w:bookmarkStart w:id="117" w:name="_Toc54799211"/>
      <w:bookmarkStart w:id="118" w:name="_Toc54657435"/>
      <w:r>
        <w:rPr>
          <w:color w:val="auto"/>
        </w:rPr>
        <w:t>保护区概况</w:t>
      </w:r>
      <w:bookmarkEnd w:id="115"/>
    </w:p>
    <w:p>
      <w:pPr>
        <w:pStyle w:val="4"/>
        <w:spacing w:before="166" w:after="166"/>
        <w:rPr>
          <w:color w:val="auto"/>
          <w:sz w:val="24"/>
          <w:szCs w:val="24"/>
        </w:rPr>
      </w:pPr>
      <w:bookmarkStart w:id="119" w:name="_Toc1579"/>
      <w:bookmarkStart w:id="120" w:name="_Toc30538"/>
      <w:r>
        <w:rPr>
          <w:color w:val="auto"/>
          <w:sz w:val="24"/>
          <w:szCs w:val="24"/>
        </w:rPr>
        <w:t>保护区地理位置、范围、功能区划分</w:t>
      </w:r>
      <w:bookmarkEnd w:id="119"/>
      <w:bookmarkEnd w:id="120"/>
    </w:p>
    <w:p>
      <w:pPr>
        <w:pStyle w:val="5"/>
        <w:rPr>
          <w:color w:val="auto"/>
        </w:rPr>
      </w:pPr>
      <w:bookmarkStart w:id="121" w:name="_Toc7551"/>
      <w:bookmarkStart w:id="122" w:name="_Toc20488"/>
      <w:r>
        <w:rPr>
          <w:color w:val="auto"/>
        </w:rPr>
        <w:t>保护区地理位置及范围</w:t>
      </w:r>
      <w:bookmarkEnd w:id="121"/>
      <w:bookmarkEnd w:id="122"/>
    </w:p>
    <w:p>
      <w:pPr>
        <w:spacing w:line="360" w:lineRule="auto"/>
        <w:ind w:firstLine="482"/>
        <w:rPr>
          <w:rFonts w:ascii="Times New Roman" w:hAnsi="Times New Roman"/>
          <w:color w:val="auto"/>
          <w:sz w:val="24"/>
        </w:rPr>
      </w:pPr>
      <w:r>
        <w:rPr>
          <w:rFonts w:ascii="Times New Roman" w:hAnsi="Times New Roman"/>
          <w:color w:val="auto"/>
          <w:kern w:val="0"/>
          <w:sz w:val="24"/>
        </w:rPr>
        <w:t>琼江翘嘴红鲌省级水产种质资源保护区于2009年12月21日由四川省人民政府以“川府函〔2009〕289号”批准建立。保护区总面积540公顷，其中核心区面积410公顷，实验区面积130公顷。保护区位于遂宁市安居区境内，范围在东经105°0′-106°03′，北纬29°42′-30°32′之间</w:t>
      </w:r>
      <w:r>
        <w:rPr>
          <w:rFonts w:ascii="Times New Roman" w:hAnsi="Times New Roman"/>
          <w:color w:val="auto"/>
          <w:sz w:val="24"/>
        </w:rPr>
        <w:t>。包括琼江流经的白马镇毗庐寺村上马井-安居镇凤凰大桥-三家镇三家大桥-大安乡明星村半边河，全长72km。</w:t>
      </w:r>
    </w:p>
    <w:p>
      <w:pPr>
        <w:pStyle w:val="5"/>
        <w:rPr>
          <w:color w:val="auto"/>
        </w:rPr>
      </w:pPr>
      <w:bookmarkStart w:id="123" w:name="_Toc30706"/>
      <w:bookmarkStart w:id="124" w:name="_Toc7303"/>
      <w:r>
        <w:rPr>
          <w:color w:val="auto"/>
        </w:rPr>
        <w:t>保护区功能区划分</w:t>
      </w:r>
      <w:bookmarkEnd w:id="123"/>
      <w:bookmarkEnd w:id="124"/>
    </w:p>
    <w:p>
      <w:pPr>
        <w:spacing w:line="360" w:lineRule="auto"/>
        <w:ind w:firstLine="480" w:firstLineChars="200"/>
        <w:rPr>
          <w:rFonts w:ascii="Times New Roman" w:hAnsi="Times New Roman"/>
          <w:color w:val="auto"/>
          <w:sz w:val="24"/>
        </w:rPr>
      </w:pPr>
      <w:r>
        <w:rPr>
          <w:rFonts w:ascii="Times New Roman" w:hAnsi="Times New Roman"/>
          <w:color w:val="auto"/>
          <w:sz w:val="24"/>
        </w:rPr>
        <w:t>根据保护区功能划分原则，结合琼江实际情况，保护区划分为2大功能区，即核心区和实验区。</w:t>
      </w:r>
    </w:p>
    <w:p>
      <w:pPr>
        <w:spacing w:line="360" w:lineRule="auto"/>
        <w:ind w:firstLine="480" w:firstLineChars="200"/>
        <w:rPr>
          <w:rFonts w:ascii="Times New Roman" w:hAnsi="Times New Roman"/>
          <w:color w:val="auto"/>
          <w:sz w:val="24"/>
        </w:rPr>
      </w:pPr>
      <w:bookmarkStart w:id="125" w:name="_Toc23744"/>
      <w:r>
        <w:rPr>
          <w:rFonts w:ascii="Times New Roman" w:hAnsi="Times New Roman"/>
          <w:color w:val="auto"/>
          <w:sz w:val="24"/>
        </w:rPr>
        <w:t>（1）核心区</w:t>
      </w:r>
      <w:bookmarkEnd w:id="125"/>
    </w:p>
    <w:p>
      <w:pPr>
        <w:spacing w:line="360" w:lineRule="auto"/>
        <w:ind w:firstLine="482"/>
        <w:rPr>
          <w:rFonts w:ascii="Times New Roman" w:hAnsi="Times New Roman"/>
          <w:color w:val="auto"/>
          <w:sz w:val="24"/>
        </w:rPr>
      </w:pPr>
      <w:r>
        <w:rPr>
          <w:rFonts w:ascii="Times New Roman" w:hAnsi="Times New Roman"/>
          <w:color w:val="auto"/>
          <w:sz w:val="24"/>
        </w:rPr>
        <w:t>根据琼江翘嘴红鲌省级水产种质资源保护区的地势及水生野生动物产卵场、索饵场分布和自然保护区河流的状况。将白马镇毗庐寺村上马井-安居镇凤凰大桥（核心区第一段）和三家镇三家大桥-大安乡明星村半边河（核心区第二段）划为核心区，核心区河流长55km。保护范围面积410公顷，占整个保护区面积的76%。</w:t>
      </w:r>
    </w:p>
    <w:p>
      <w:pPr>
        <w:spacing w:line="360" w:lineRule="auto"/>
        <w:ind w:firstLine="480" w:firstLineChars="200"/>
        <w:rPr>
          <w:rFonts w:ascii="Times New Roman" w:hAnsi="Times New Roman"/>
          <w:color w:val="auto"/>
          <w:sz w:val="24"/>
        </w:rPr>
      </w:pPr>
      <w:bookmarkStart w:id="126" w:name="_Toc32193"/>
      <w:r>
        <w:rPr>
          <w:rFonts w:ascii="Times New Roman" w:hAnsi="Times New Roman"/>
          <w:color w:val="auto"/>
          <w:sz w:val="24"/>
        </w:rPr>
        <w:t>（2）实验区</w:t>
      </w:r>
      <w:bookmarkEnd w:id="126"/>
    </w:p>
    <w:p>
      <w:pPr>
        <w:spacing w:line="360" w:lineRule="auto"/>
        <w:ind w:firstLine="482"/>
        <w:rPr>
          <w:rFonts w:ascii="Times New Roman" w:hAnsi="Times New Roman"/>
          <w:color w:val="auto"/>
          <w:sz w:val="24"/>
        </w:rPr>
      </w:pPr>
      <w:r>
        <w:rPr>
          <w:rFonts w:ascii="Times New Roman" w:hAnsi="Times New Roman"/>
          <w:color w:val="auto"/>
          <w:sz w:val="24"/>
        </w:rPr>
        <w:t>安居镇凤凰大桥-三家镇三家大桥为实验区，长17km。面积130公顷，占保护区面积24%。</w:t>
      </w:r>
    </w:p>
    <w:p>
      <w:pPr>
        <w:pStyle w:val="4"/>
        <w:spacing w:before="166" w:after="166"/>
        <w:rPr>
          <w:color w:val="auto"/>
          <w:sz w:val="24"/>
          <w:szCs w:val="24"/>
        </w:rPr>
      </w:pPr>
      <w:bookmarkStart w:id="127" w:name="_Toc25061452"/>
      <w:bookmarkStart w:id="128" w:name="_Toc32148"/>
      <w:bookmarkStart w:id="129" w:name="_Toc3637"/>
      <w:r>
        <w:rPr>
          <w:color w:val="auto"/>
          <w:sz w:val="24"/>
          <w:szCs w:val="24"/>
        </w:rPr>
        <w:t>主要保护对象</w:t>
      </w:r>
      <w:bookmarkEnd w:id="127"/>
      <w:bookmarkEnd w:id="128"/>
      <w:bookmarkEnd w:id="129"/>
    </w:p>
    <w:p>
      <w:pPr>
        <w:spacing w:line="360" w:lineRule="auto"/>
        <w:ind w:firstLine="480" w:firstLineChars="200"/>
        <w:rPr>
          <w:rFonts w:ascii="Times New Roman" w:hAnsi="Times New Roman"/>
          <w:color w:val="auto"/>
          <w:sz w:val="24"/>
        </w:rPr>
      </w:pPr>
      <w:r>
        <w:rPr>
          <w:rFonts w:ascii="Times New Roman" w:hAnsi="Times New Roman"/>
          <w:color w:val="auto"/>
          <w:sz w:val="24"/>
        </w:rPr>
        <w:t>主要保护对象为翘嘴鲌、蒙古鲌、乌鳢和黄颡鱼，其它保护物种包括南方大口鲶、鳜鱼、鲤、鲫和鲢等。</w:t>
      </w:r>
    </w:p>
    <w:p>
      <w:pPr>
        <w:spacing w:line="360" w:lineRule="auto"/>
        <w:ind w:firstLine="480" w:firstLineChars="200"/>
        <w:rPr>
          <w:rFonts w:ascii="Times New Roman" w:hAnsi="Times New Roman"/>
          <w:color w:val="auto"/>
          <w:sz w:val="24"/>
        </w:rPr>
      </w:pPr>
      <w:bookmarkStart w:id="130" w:name="_Toc5361"/>
      <w:r>
        <w:rPr>
          <w:rFonts w:ascii="Times New Roman" w:hAnsi="Times New Roman"/>
          <w:color w:val="auto"/>
          <w:sz w:val="24"/>
        </w:rPr>
        <w:t>（1）翘嘴鲌（</w:t>
      </w:r>
      <w:r>
        <w:rPr>
          <w:rFonts w:ascii="Times New Roman" w:hAnsi="Times New Roman"/>
          <w:i/>
          <w:iCs/>
          <w:color w:val="auto"/>
          <w:sz w:val="24"/>
        </w:rPr>
        <w:t xml:space="preserve">Culter alburnus </w:t>
      </w:r>
      <w:r>
        <w:rPr>
          <w:rFonts w:ascii="Times New Roman" w:hAnsi="Times New Roman"/>
          <w:color w:val="auto"/>
          <w:sz w:val="24"/>
        </w:rPr>
        <w:t>Basilewsky）</w:t>
      </w:r>
      <w:bookmarkEnd w:id="130"/>
    </w:p>
    <w:p>
      <w:pPr>
        <w:spacing w:line="360" w:lineRule="auto"/>
        <w:ind w:firstLine="480"/>
        <w:rPr>
          <w:rFonts w:ascii="Times New Roman" w:hAnsi="Times New Roman"/>
          <w:color w:val="auto"/>
          <w:sz w:val="24"/>
        </w:rPr>
      </w:pPr>
      <w:r>
        <w:rPr>
          <w:rFonts w:ascii="Times New Roman" w:hAnsi="Times New Roman"/>
          <w:color w:val="auto"/>
          <w:sz w:val="24"/>
        </w:rPr>
        <w:t>翘嘴鲌（拉丁学名：</w:t>
      </w:r>
      <w:r>
        <w:rPr>
          <w:rFonts w:ascii="Times New Roman" w:hAnsi="Times New Roman"/>
          <w:i/>
          <w:iCs/>
          <w:color w:val="auto"/>
          <w:sz w:val="24"/>
        </w:rPr>
        <w:t xml:space="preserve">Culter alburnus </w:t>
      </w:r>
      <w:r>
        <w:rPr>
          <w:rFonts w:ascii="Times New Roman" w:hAnsi="Times New Roman"/>
          <w:color w:val="auto"/>
          <w:sz w:val="24"/>
        </w:rPr>
        <w:t>Basilewsky，别名：白丝），鲤科鲌属鱼类，2007年列入《中国国家重点保护经济水生动植物资源名录（第一批）》。它分布于中国珠江、中国台湾、闽江、钱塘江、长江、黄河、辽河、黑龙江等水系。其体长150~431毫米，体长形，背缘较平直，尾柄较长，吻长大于眼径，眼间较窄，鳃孔宽大；背鳍位于腹鳍基部的后上方，外缘斜直，胸鳍较短，腹鳍位于背鳍的前下方，下咽骨狭长，咽齿近锥形；腹膜银白色，体背侧灰黑色，腹侧银色，鳍呈深灰色。</w:t>
      </w:r>
    </w:p>
    <w:p>
      <w:pPr>
        <w:spacing w:line="360" w:lineRule="auto"/>
        <w:ind w:firstLine="480" w:firstLineChars="200"/>
        <w:rPr>
          <w:rFonts w:ascii="Times New Roman" w:hAnsi="Times New Roman"/>
          <w:color w:val="auto"/>
          <w:sz w:val="24"/>
        </w:rPr>
      </w:pPr>
      <w:r>
        <w:rPr>
          <w:rFonts w:ascii="Times New Roman" w:hAnsi="Times New Roman"/>
          <w:color w:val="auto"/>
          <w:sz w:val="24"/>
        </w:rPr>
        <w:t>翘嘴鲌多生活在水的中上层，以水中的浮游生物为主要食物来源。游动迅速，见到水面漂浮的小昆虫、浮游物质便追上去捕食。在有风浪时与早晨和傍晚有阳光照射到水面时尤为活跃，而且是成群的“集体行动”。早晨7～8时和下午4～6时，是钓翘嘴鲐活动的两个“黄金”时段。翘嘴鲌多生活在河湾、湖湾、库汊等宽水区水草多、昆虫多的水域中、上层，也常在人们洗菜、淘米的水域及靠近菜园、打谷场的水域。翘嘴鲌适温能力相当强，能在低水温（5℃左右）及高气温（36℃左右）的条件下生活，而且很活跃。</w:t>
      </w:r>
    </w:p>
    <w:p>
      <w:pPr>
        <w:spacing w:line="360" w:lineRule="auto"/>
        <w:ind w:firstLine="480" w:firstLineChars="200"/>
        <w:rPr>
          <w:rFonts w:ascii="Times New Roman" w:hAnsi="Times New Roman"/>
          <w:color w:val="auto"/>
          <w:sz w:val="24"/>
        </w:rPr>
      </w:pPr>
      <w:bookmarkStart w:id="131" w:name="_Toc21810"/>
      <w:r>
        <w:rPr>
          <w:rFonts w:ascii="Times New Roman" w:hAnsi="Times New Roman"/>
          <w:color w:val="auto"/>
          <w:sz w:val="24"/>
        </w:rPr>
        <w:t>（2）蒙古鲌（</w:t>
      </w:r>
      <w:r>
        <w:rPr>
          <w:rFonts w:ascii="Times New Roman" w:hAnsi="Times New Roman"/>
          <w:i/>
          <w:iCs/>
          <w:color w:val="auto"/>
          <w:sz w:val="24"/>
        </w:rPr>
        <w:tab/>
      </w:r>
      <w:r>
        <w:rPr>
          <w:rFonts w:ascii="Times New Roman" w:hAnsi="Times New Roman"/>
          <w:i/>
          <w:iCs/>
          <w:color w:val="auto"/>
          <w:sz w:val="24"/>
        </w:rPr>
        <w:t xml:space="preserve">Culter mongolicus </w:t>
      </w:r>
      <w:r>
        <w:rPr>
          <w:rFonts w:ascii="Times New Roman" w:hAnsi="Times New Roman"/>
          <w:color w:val="auto"/>
          <w:sz w:val="24"/>
        </w:rPr>
        <w:t>Basilewsky）</w:t>
      </w:r>
      <w:bookmarkEnd w:id="131"/>
    </w:p>
    <w:p>
      <w:pPr>
        <w:spacing w:line="360" w:lineRule="auto"/>
        <w:ind w:firstLine="480" w:firstLineChars="200"/>
        <w:rPr>
          <w:rFonts w:ascii="Times New Roman" w:hAnsi="Times New Roman"/>
          <w:color w:val="auto"/>
          <w:sz w:val="24"/>
        </w:rPr>
      </w:pPr>
      <w:r>
        <w:rPr>
          <w:rFonts w:ascii="Times New Roman" w:hAnsi="Times New Roman"/>
          <w:color w:val="auto"/>
          <w:sz w:val="24"/>
        </w:rPr>
        <w:t>蒙古鲌属于</w:t>
      </w:r>
      <w:r>
        <w:rPr>
          <w:color w:val="auto"/>
        </w:rPr>
        <w:fldChar w:fldCharType="begin"/>
      </w:r>
      <w:r>
        <w:rPr>
          <w:color w:val="auto"/>
        </w:rPr>
        <w:instrText xml:space="preserve"> HYPERLINK "https://baike.sogou.com/lemma/ShowInnerLink.htm?lemmaId=381155&amp;ss_c=ssc.citiao.link" \t "https://baike.sogou.com/_blank" </w:instrText>
      </w:r>
      <w:r>
        <w:rPr>
          <w:color w:val="auto"/>
        </w:rPr>
        <w:fldChar w:fldCharType="separate"/>
      </w:r>
      <w:r>
        <w:rPr>
          <w:rFonts w:ascii="Times New Roman" w:hAnsi="Times New Roman"/>
          <w:color w:val="auto"/>
          <w:sz w:val="24"/>
        </w:rPr>
        <w:t>鲤形目</w:t>
      </w:r>
      <w:r>
        <w:rPr>
          <w:rFonts w:ascii="Times New Roman" w:hAnsi="Times New Roman"/>
          <w:color w:val="auto"/>
          <w:sz w:val="24"/>
        </w:rPr>
        <w:fldChar w:fldCharType="end"/>
      </w:r>
      <w:r>
        <w:rPr>
          <w:rFonts w:ascii="Times New Roman" w:hAnsi="Times New Roman"/>
          <w:color w:val="auto"/>
          <w:sz w:val="24"/>
        </w:rPr>
        <w:t>、鲤科、鲌亚科、红鲌属。俗称：红梢子、尖头红梢、红尾巴。体中型，常见者为0.25～0.75千克，最大达3干克。体长侧扁，头稍尖，头背面平，头后背部斜平。下颌比上颌长，口斜裂，后端伸至鼻孔后缘正下方。鼻孔下缘与眼下缘几乎在同一水平线上。侧线直，侧线鳞73～79。腹棱自腹鳍基部至肛门。背鳍第3根不分支鳍条为光滑硬刺，最长鳍条比头短。胸、腹缩短。臀鳍不分支鳍条3，分支鳍条18～22。尾鳍深叉形。身体上半部浅棕色，下半部银白色，背鳍较暗，胸、腹鳍和尾鳍上叶浅黄色，尾鳍下叶鲜红色。</w:t>
      </w:r>
    </w:p>
    <w:p>
      <w:pPr>
        <w:spacing w:line="360" w:lineRule="auto"/>
        <w:ind w:firstLine="480" w:firstLineChars="200"/>
        <w:rPr>
          <w:rFonts w:ascii="Times New Roman" w:hAnsi="Times New Roman"/>
          <w:color w:val="auto"/>
          <w:sz w:val="24"/>
        </w:rPr>
      </w:pPr>
      <w:r>
        <w:rPr>
          <w:rFonts w:ascii="Times New Roman" w:hAnsi="Times New Roman"/>
          <w:color w:val="auto"/>
          <w:sz w:val="24"/>
        </w:rPr>
        <w:t>蒙古</w:t>
      </w:r>
      <w:bookmarkStart w:id="132" w:name="ref_2"/>
      <w:bookmarkEnd w:id="132"/>
      <w:r>
        <w:rPr>
          <w:rFonts w:ascii="Times New Roman" w:hAnsi="Times New Roman"/>
          <w:color w:val="auto"/>
          <w:sz w:val="24"/>
        </w:rPr>
        <w:t>鲌每年的5～7月集群繁殖，冬季多集中在河流深水处或湖泊的深潭越冬。5～7月在流水中产卵，卵粘附在石块或其他物体上，幼鱼以浮游动物和水生昆虫为食；成鱼则以小鱼为主食。</w:t>
      </w:r>
    </w:p>
    <w:p>
      <w:pPr>
        <w:spacing w:line="360" w:lineRule="auto"/>
        <w:ind w:firstLine="480" w:firstLineChars="200"/>
        <w:rPr>
          <w:rFonts w:ascii="Times New Roman" w:hAnsi="Times New Roman"/>
          <w:color w:val="auto"/>
          <w:sz w:val="24"/>
        </w:rPr>
      </w:pPr>
      <w:r>
        <w:rPr>
          <w:rFonts w:ascii="Times New Roman" w:hAnsi="Times New Roman"/>
          <w:color w:val="auto"/>
          <w:sz w:val="24"/>
        </w:rPr>
        <w:t>该鱼生长速度及个体虽不及</w:t>
      </w:r>
      <w:r>
        <w:rPr>
          <w:color w:val="auto"/>
        </w:rPr>
        <w:fldChar w:fldCharType="begin"/>
      </w:r>
      <w:r>
        <w:rPr>
          <w:color w:val="auto"/>
        </w:rPr>
        <w:instrText xml:space="preserve"> HYPERLINK "https://baike.sogou.com/lemma/ShowInnerLink.htm?lemmaId=228621&amp;ss_c=ssc.citiao.link" \t "https://baike.sogou.com/_blank" </w:instrText>
      </w:r>
      <w:r>
        <w:rPr>
          <w:color w:val="auto"/>
        </w:rPr>
        <w:fldChar w:fldCharType="separate"/>
      </w:r>
      <w:r>
        <w:rPr>
          <w:rFonts w:ascii="Times New Roman" w:hAnsi="Times New Roman"/>
          <w:color w:val="auto"/>
          <w:sz w:val="24"/>
        </w:rPr>
        <w:t>翘嘴鲌</w:t>
      </w:r>
      <w:r>
        <w:rPr>
          <w:rFonts w:ascii="Times New Roman" w:hAnsi="Times New Roman"/>
          <w:color w:val="auto"/>
          <w:sz w:val="24"/>
        </w:rPr>
        <w:fldChar w:fldCharType="end"/>
      </w:r>
      <w:r>
        <w:rPr>
          <w:rFonts w:ascii="Times New Roman" w:hAnsi="Times New Roman"/>
          <w:color w:val="auto"/>
          <w:sz w:val="24"/>
        </w:rPr>
        <w:t>，但分布极广泛，天然产量占一定比重。常见个体约500克左右，最大个体可达4公斤。肉质鲜嫩而不腥，其</w:t>
      </w:r>
      <w:r>
        <w:rPr>
          <w:color w:val="auto"/>
        </w:rPr>
        <w:fldChar w:fldCharType="begin"/>
      </w:r>
      <w:r>
        <w:rPr>
          <w:color w:val="auto"/>
        </w:rPr>
        <w:instrText xml:space="preserve"> HYPERLINK "https://baike.sogou.com/lemma/ShowInnerLink.htm?lemmaId=75769299&amp;ss_c=ssc.citiao.link" \t "https://baike.sogou.com/_blank" </w:instrText>
      </w:r>
      <w:r>
        <w:rPr>
          <w:color w:val="auto"/>
        </w:rPr>
        <w:fldChar w:fldCharType="separate"/>
      </w:r>
      <w:r>
        <w:rPr>
          <w:rFonts w:ascii="Times New Roman" w:hAnsi="Times New Roman"/>
          <w:color w:val="auto"/>
          <w:sz w:val="24"/>
        </w:rPr>
        <w:t>蛋白质含量</w:t>
      </w:r>
      <w:r>
        <w:rPr>
          <w:rFonts w:ascii="Times New Roman" w:hAnsi="Times New Roman"/>
          <w:color w:val="auto"/>
          <w:sz w:val="24"/>
        </w:rPr>
        <w:fldChar w:fldCharType="end"/>
      </w:r>
      <w:r>
        <w:rPr>
          <w:rFonts w:ascii="Times New Roman" w:hAnsi="Times New Roman"/>
          <w:color w:val="auto"/>
          <w:sz w:val="24"/>
        </w:rPr>
        <w:t>为15.3%，脂肪为5.0%，故经济价值也较大。</w:t>
      </w:r>
    </w:p>
    <w:p>
      <w:pPr>
        <w:spacing w:line="360" w:lineRule="auto"/>
        <w:ind w:firstLine="480" w:firstLineChars="200"/>
        <w:rPr>
          <w:rFonts w:ascii="Times New Roman" w:hAnsi="Times New Roman"/>
          <w:color w:val="auto"/>
          <w:sz w:val="24"/>
        </w:rPr>
      </w:pPr>
      <w:bookmarkStart w:id="133" w:name="_Toc24799"/>
      <w:r>
        <w:rPr>
          <w:rFonts w:ascii="Times New Roman" w:hAnsi="Times New Roman"/>
          <w:color w:val="auto"/>
          <w:sz w:val="24"/>
        </w:rPr>
        <w:t>（3）乌鳢（</w:t>
      </w:r>
      <w:r>
        <w:rPr>
          <w:rFonts w:ascii="Times New Roman" w:hAnsi="Times New Roman"/>
          <w:i/>
          <w:iCs/>
          <w:color w:val="auto"/>
          <w:sz w:val="24"/>
        </w:rPr>
        <w:t>Channa argus</w:t>
      </w:r>
      <w:r>
        <w:rPr>
          <w:rFonts w:ascii="Times New Roman" w:hAnsi="Times New Roman"/>
          <w:color w:val="auto"/>
          <w:sz w:val="24"/>
        </w:rPr>
        <w:t xml:space="preserve"> Cantor）</w:t>
      </w:r>
      <w:bookmarkEnd w:id="133"/>
    </w:p>
    <w:p>
      <w:pPr>
        <w:spacing w:line="360" w:lineRule="auto"/>
        <w:rPr>
          <w:rFonts w:ascii="Times New Roman" w:hAnsi="Times New Roman"/>
          <w:color w:val="auto"/>
          <w:sz w:val="24"/>
        </w:rPr>
      </w:pPr>
      <w:r>
        <w:rPr>
          <w:rFonts w:ascii="Times New Roman" w:hAnsi="Times New Roman"/>
          <w:color w:val="auto"/>
          <w:sz w:val="24"/>
        </w:rPr>
        <w:t xml:space="preserve">    乌鳢隶属于鲤形目、</w:t>
      </w:r>
      <w:r>
        <w:rPr>
          <w:color w:val="auto"/>
        </w:rPr>
        <w:fldChar w:fldCharType="begin"/>
      </w:r>
      <w:r>
        <w:rPr>
          <w:color w:val="auto"/>
        </w:rPr>
        <w:instrText xml:space="preserve"> HYPERLINK "https://baike.sogou.com/lemma/ShowInnerLink.htm?lemmaId=66146102" \t "https://baike.sogou.com/_blank" </w:instrText>
      </w:r>
      <w:r>
        <w:rPr>
          <w:color w:val="auto"/>
        </w:rPr>
        <w:fldChar w:fldCharType="separate"/>
      </w:r>
      <w:r>
        <w:rPr>
          <w:rFonts w:ascii="Times New Roman" w:hAnsi="Times New Roman"/>
          <w:color w:val="auto"/>
          <w:sz w:val="24"/>
        </w:rPr>
        <w:t>鳢科</w:t>
      </w:r>
      <w:r>
        <w:rPr>
          <w:rFonts w:ascii="Times New Roman" w:hAnsi="Times New Roman"/>
          <w:color w:val="auto"/>
          <w:sz w:val="24"/>
        </w:rPr>
        <w:fldChar w:fldCharType="end"/>
      </w:r>
      <w:r>
        <w:rPr>
          <w:rFonts w:ascii="Times New Roman" w:hAnsi="Times New Roman"/>
          <w:color w:val="auto"/>
          <w:sz w:val="24"/>
        </w:rPr>
        <w:t>、鳢属。俗称黑鱼、乌鱼、乌棒、蛇头鱼、乌鳢、火头、文鱼、才鱼。乌鳢身体前部呈圆筒形，后部侧扁。头长，前部略平扁，后部稍隆起。吻短圆钝，口大，端位，口裂稍斜，并伸向眼后下缘，下颌稍突出。牙细小，带状排列于上下颌，下颌两侧齿坚利。眼小，上侧位，居于头的前半部，距吻端颇近。鼻孔两对，前鼻孔位于吻端呈管状，后鼻孔位于眼前上方，为一小圆孔。鳃裂大，左右鳃膜愈合，不与颊部相连鳃耙粗短，排列稀疏，鳃腔上方左右各具一有辅助功能的鳃上器，能呼吸空气。</w:t>
      </w:r>
      <w:bookmarkStart w:id="134" w:name="ref_1"/>
      <w:bookmarkEnd w:id="134"/>
    </w:p>
    <w:p>
      <w:pPr>
        <w:spacing w:line="360" w:lineRule="auto"/>
        <w:ind w:firstLine="480" w:firstLineChars="200"/>
        <w:rPr>
          <w:rFonts w:ascii="Times New Roman" w:hAnsi="Times New Roman"/>
          <w:color w:val="auto"/>
          <w:sz w:val="24"/>
        </w:rPr>
      </w:pPr>
      <w:r>
        <w:rPr>
          <w:rFonts w:ascii="Times New Roman" w:hAnsi="Times New Roman"/>
          <w:color w:val="auto"/>
          <w:sz w:val="24"/>
        </w:rPr>
        <w:t>体色呈灰黑色，体背和头顶色较暗黑，腹部淡白，体侧各有不规则黑色斑块，头侧各有2行黑色斑纹。奇鳍黑白相间的斑点，偶鳍为灰黄色间有不规则斑点。全身披有中等大小的鳞片，圆鳞，头顶部覆盖有不规则鳞片。侧线平直，在肛门上方有一小曲折，向下移二行鳞片，行于体侧中部，后延至尾部。</w:t>
      </w:r>
    </w:p>
    <w:p>
      <w:pPr>
        <w:spacing w:line="360" w:lineRule="auto"/>
        <w:ind w:firstLine="480" w:firstLineChars="200"/>
        <w:rPr>
          <w:rFonts w:ascii="Times New Roman" w:hAnsi="Times New Roman"/>
          <w:color w:val="auto"/>
          <w:sz w:val="24"/>
        </w:rPr>
      </w:pPr>
      <w:r>
        <w:rPr>
          <w:rFonts w:ascii="Times New Roman" w:hAnsi="Times New Roman"/>
          <w:color w:val="auto"/>
          <w:sz w:val="24"/>
        </w:rPr>
        <w:t>乌鳢属于淡水底栖性的鱼类，通常栖息于水草丛生或淤泥底质的水域中，遍布于江河、湖泊、水库、池塘、水田等水域，对水体中的环境因子具有很强的适应性，尤其对溶氧量、水温以及水质有很强的适应能力。当水体中缺少氧时，能够借助鳃上腔的辅助呼吸器官，在水面进行呼吸。乌鳢在0~41℃的水温下都可以生存，16~30℃是乌鳢生长发育繁殖的最适温度。当春季水温恢复到8℃以上时，通常会活动于中上层的水体中；夏季时节乌鳢多活动于上层的水体中；当秋季温度低于6℃时，此时乌鳢游动缓慢，常潜伏于水层的深处；冬季水温接近0℃时，则埋在淤泥中越冬。</w:t>
      </w:r>
    </w:p>
    <w:p>
      <w:pPr>
        <w:spacing w:line="360" w:lineRule="auto"/>
        <w:ind w:firstLine="480" w:firstLineChars="200"/>
        <w:rPr>
          <w:rFonts w:ascii="Times New Roman" w:hAnsi="Times New Roman"/>
          <w:color w:val="auto"/>
          <w:sz w:val="24"/>
        </w:rPr>
      </w:pPr>
      <w:r>
        <w:rPr>
          <w:rFonts w:ascii="Times New Roman" w:hAnsi="Times New Roman"/>
          <w:color w:val="auto"/>
          <w:sz w:val="24"/>
        </w:rPr>
        <w:t>在中国乌鳢的地理分布非常广泛，除西部高原地区外，长江流域至黑龙江流域的广阔地带均有大量分布，此外在云南省和台湾省的部分地区也有少量的分布。</w:t>
      </w:r>
    </w:p>
    <w:p>
      <w:pPr>
        <w:spacing w:line="360" w:lineRule="auto"/>
        <w:ind w:firstLine="480" w:firstLineChars="200"/>
        <w:rPr>
          <w:rFonts w:ascii="Times New Roman" w:hAnsi="Times New Roman"/>
          <w:color w:val="auto"/>
          <w:sz w:val="24"/>
        </w:rPr>
      </w:pPr>
      <w:bookmarkStart w:id="135" w:name="_Toc19643"/>
      <w:r>
        <w:rPr>
          <w:rFonts w:ascii="Times New Roman" w:hAnsi="Times New Roman"/>
          <w:color w:val="auto"/>
          <w:sz w:val="24"/>
        </w:rPr>
        <w:t>（4）黄颡鱼（</w:t>
      </w:r>
      <w:r>
        <w:rPr>
          <w:rFonts w:ascii="Times New Roman" w:hAnsi="Times New Roman"/>
          <w:i/>
          <w:iCs/>
          <w:color w:val="auto"/>
          <w:sz w:val="24"/>
        </w:rPr>
        <w:t>Pelteobagrus fulvidraco</w:t>
      </w:r>
      <w:r>
        <w:rPr>
          <w:rFonts w:ascii="Times New Roman" w:hAnsi="Times New Roman"/>
          <w:color w:val="auto"/>
          <w:sz w:val="24"/>
        </w:rPr>
        <w:t xml:space="preserve"> Richardson）</w:t>
      </w:r>
      <w:bookmarkEnd w:id="135"/>
    </w:p>
    <w:p>
      <w:pPr>
        <w:spacing w:line="360" w:lineRule="auto"/>
        <w:rPr>
          <w:rFonts w:ascii="Times New Roman" w:hAnsi="Times New Roman"/>
          <w:color w:val="auto"/>
          <w:sz w:val="24"/>
        </w:rPr>
      </w:pPr>
      <w:r>
        <w:rPr>
          <w:rFonts w:ascii="Times New Roman" w:hAnsi="Times New Roman"/>
          <w:color w:val="auto"/>
          <w:sz w:val="24"/>
        </w:rPr>
        <w:t xml:space="preserve">    黄颡鱼隶属于鲇形目、鮠科、黄颡鱼属。俗称</w:t>
      </w:r>
      <w:r>
        <w:rPr>
          <w:rFonts w:ascii="Times New Roman" w:hAnsi="Times New Roman"/>
          <w:color w:val="auto"/>
          <w:sz w:val="24"/>
        </w:rPr>
        <w:tab/>
      </w:r>
      <w:r>
        <w:rPr>
          <w:rFonts w:ascii="Times New Roman" w:hAnsi="Times New Roman"/>
          <w:color w:val="auto"/>
          <w:sz w:val="24"/>
        </w:rPr>
        <w:t>黄角丁、黄骨鱼、黄沙古、黄辣丁和刺黄股。黄颡鱼体延长，稍粗壮，吻端向背鳍上斜，后部侧扁。头略大而纵扁，头背大部裸露；上枕骨棘宽短，接近项背骨。吻部背视钝圆。口大，下位，弧形。颌齿及腭齿绒毛状，均排列呈带状。眼中等大，侧上位，</w:t>
      </w:r>
      <w:r>
        <w:rPr>
          <w:color w:val="auto"/>
        </w:rPr>
        <w:fldChar w:fldCharType="begin"/>
      </w:r>
      <w:r>
        <w:rPr>
          <w:color w:val="auto"/>
        </w:rPr>
        <w:instrText xml:space="preserve"> HYPERLINK "https://baike.sogou.com/lemma/ShowInnerLink.htm?lemmaId=7899248&amp;ss_c=ssc.citiao.link" \t "https://baike.sogou.com/_blank" </w:instrText>
      </w:r>
      <w:r>
        <w:rPr>
          <w:color w:val="auto"/>
        </w:rPr>
        <w:fldChar w:fldCharType="separate"/>
      </w:r>
      <w:r>
        <w:rPr>
          <w:rFonts w:ascii="Times New Roman" w:hAnsi="Times New Roman"/>
          <w:color w:val="auto"/>
          <w:sz w:val="24"/>
        </w:rPr>
        <w:t>眼缘</w:t>
      </w:r>
      <w:r>
        <w:rPr>
          <w:rFonts w:ascii="Times New Roman" w:hAnsi="Times New Roman"/>
          <w:color w:val="auto"/>
          <w:sz w:val="24"/>
        </w:rPr>
        <w:fldChar w:fldCharType="end"/>
      </w:r>
      <w:r>
        <w:rPr>
          <w:rFonts w:ascii="Times New Roman" w:hAnsi="Times New Roman"/>
          <w:color w:val="auto"/>
          <w:sz w:val="24"/>
        </w:rPr>
        <w:t>游离；眼间隔宽，略隆起。前后鼻孔相距较远。前鼻孔呈短管状。鼻须位于后鼻孔前缘，伸达或超过眼后缘；颌须1对，向后伸达或超过胸鳍基部；外侧颏须长于内侧颏须。鳃孔大，向前伸至眼中部垂直下方腹面。鳔1室，心形。鳃盖膜不与鳃峡相连。鳃耙短小。</w:t>
      </w:r>
    </w:p>
    <w:p>
      <w:pPr>
        <w:spacing w:line="360" w:lineRule="auto"/>
        <w:ind w:firstLine="480" w:firstLineChars="200"/>
        <w:rPr>
          <w:rFonts w:ascii="Times New Roman" w:hAnsi="Times New Roman"/>
          <w:color w:val="auto"/>
          <w:sz w:val="24"/>
        </w:rPr>
      </w:pPr>
      <w:r>
        <w:rPr>
          <w:rFonts w:ascii="Times New Roman" w:hAnsi="Times New Roman"/>
          <w:color w:val="auto"/>
          <w:sz w:val="24"/>
        </w:rPr>
        <w:t>背鳍较小，具骨质硬刺，前缘光滑，后缘具细锯齿，起点距吻端大于距脂鳍起点。脂鳍短，基部位于背鳍基后端至尾鳍基中央偏前。臀鳍基底长，起点位于脂鳍起点垂直下方之前，距尾鳍基小于距胸鳍基后端。胸鳍侧下位，骨质硬刺前缘锯齿细小而多，后缘锯齿粗壮而少。腹鳍短，末端伸达臀鳍，起点位于背鳍基稍后的垂直下方，距胸鳍基后端大于距臀鳍起点。肛门距臀鳍起点与距腹鳍基后端约相等。尾鳍深分叉，末端圆，上、下叶等长。</w:t>
      </w:r>
    </w:p>
    <w:p>
      <w:pPr>
        <w:spacing w:line="360" w:lineRule="auto"/>
        <w:ind w:firstLine="480" w:firstLineChars="200"/>
        <w:rPr>
          <w:rFonts w:ascii="Times New Roman" w:hAnsi="Times New Roman"/>
          <w:color w:val="auto"/>
          <w:sz w:val="24"/>
        </w:rPr>
      </w:pPr>
      <w:r>
        <w:rPr>
          <w:rFonts w:ascii="Times New Roman" w:hAnsi="Times New Roman"/>
          <w:color w:val="auto"/>
          <w:sz w:val="24"/>
        </w:rPr>
        <w:t>活体背部黑褐色，至腹部渐浅黄色。沿侧线上下各有一狭窄的黄色纵带，约在腹鳍与臀鳍上方各有一黄色横带，交错形成断续的暗色纵斑块。尾鳍两叶中部各有一暗色纵条纹。</w:t>
      </w:r>
    </w:p>
    <w:p>
      <w:pPr>
        <w:spacing w:line="360" w:lineRule="auto"/>
        <w:ind w:firstLine="480" w:firstLineChars="200"/>
        <w:rPr>
          <w:rFonts w:ascii="Times New Roman" w:hAnsi="Times New Roman"/>
          <w:color w:val="auto"/>
          <w:sz w:val="24"/>
        </w:rPr>
      </w:pPr>
      <w:r>
        <w:rPr>
          <w:rFonts w:ascii="Times New Roman" w:hAnsi="Times New Roman"/>
          <w:color w:val="auto"/>
          <w:sz w:val="24"/>
        </w:rPr>
        <w:t>黄颡鱼多栖息于缓流多水草的湖周浅水区和入湖河流处，营底栖生活，尤其喜欢生活在静水或缓流的浅滩处，且</w:t>
      </w:r>
      <w:r>
        <w:rPr>
          <w:color w:val="auto"/>
        </w:rPr>
        <w:fldChar w:fldCharType="begin"/>
      </w:r>
      <w:r>
        <w:rPr>
          <w:color w:val="auto"/>
        </w:rPr>
        <w:instrText xml:space="preserve"> HYPERLINK "https://baike.sogou.com/lemma/ShowInnerLink.htm?lemmaId=1021508&amp;ss_c=ssc.citiao.link" \t "https://baike.sogou.com/_blank" </w:instrText>
      </w:r>
      <w:r>
        <w:rPr>
          <w:color w:val="auto"/>
        </w:rPr>
        <w:fldChar w:fldCharType="separate"/>
      </w:r>
      <w:r>
        <w:rPr>
          <w:rFonts w:ascii="Times New Roman" w:hAnsi="Times New Roman"/>
          <w:color w:val="auto"/>
          <w:sz w:val="24"/>
        </w:rPr>
        <w:t>腐殖质</w:t>
      </w:r>
      <w:r>
        <w:rPr>
          <w:rFonts w:ascii="Times New Roman" w:hAnsi="Times New Roman"/>
          <w:color w:val="auto"/>
          <w:sz w:val="24"/>
        </w:rPr>
        <w:fldChar w:fldCharType="end"/>
      </w:r>
      <w:r>
        <w:rPr>
          <w:rFonts w:ascii="Times New Roman" w:hAnsi="Times New Roman"/>
          <w:color w:val="auto"/>
          <w:sz w:val="24"/>
        </w:rPr>
        <w:t>多和游泥多的地方。在中国分布于珠江、闽江、湘江、长江、黄河、海河、松花江及黑龙江等水系。</w:t>
      </w:r>
    </w:p>
    <w:p>
      <w:pPr>
        <w:pStyle w:val="4"/>
        <w:spacing w:before="166" w:after="166"/>
        <w:rPr>
          <w:color w:val="auto"/>
          <w:sz w:val="24"/>
          <w:szCs w:val="24"/>
        </w:rPr>
      </w:pPr>
      <w:bookmarkStart w:id="136" w:name="_Toc519985585"/>
      <w:bookmarkStart w:id="137" w:name="_Toc29528"/>
      <w:bookmarkStart w:id="138" w:name="_Toc31019"/>
      <w:bookmarkStart w:id="139" w:name="_Toc470089513"/>
      <w:bookmarkStart w:id="140" w:name="_Toc470090932"/>
      <w:bookmarkStart w:id="141" w:name="_Toc486448779"/>
      <w:bookmarkStart w:id="142" w:name="_Toc25061453"/>
      <w:r>
        <w:rPr>
          <w:color w:val="auto"/>
          <w:sz w:val="24"/>
          <w:szCs w:val="24"/>
          <w:lang w:val="en-US"/>
        </w:rPr>
        <w:t>工程</w:t>
      </w:r>
      <w:r>
        <w:rPr>
          <w:color w:val="auto"/>
          <w:sz w:val="24"/>
          <w:szCs w:val="24"/>
        </w:rPr>
        <w:t>与保护区的关系</w:t>
      </w:r>
      <w:bookmarkEnd w:id="136"/>
      <w:bookmarkEnd w:id="137"/>
      <w:bookmarkEnd w:id="138"/>
      <w:bookmarkEnd w:id="139"/>
      <w:bookmarkEnd w:id="140"/>
      <w:bookmarkEnd w:id="141"/>
      <w:bookmarkEnd w:id="142"/>
    </w:p>
    <w:p>
      <w:pPr>
        <w:spacing w:line="360" w:lineRule="auto"/>
        <w:ind w:firstLine="480" w:firstLineChars="200"/>
        <w:rPr>
          <w:rFonts w:ascii="Times New Roman" w:hAnsi="Times New Roman"/>
          <w:color w:val="auto"/>
          <w:sz w:val="24"/>
        </w:rPr>
      </w:pPr>
      <w:r>
        <w:rPr>
          <w:rFonts w:hint="eastAsia" w:ascii="Times New Roman" w:hAnsi="Times New Roman"/>
          <w:color w:val="auto"/>
          <w:sz w:val="24"/>
          <w:lang w:val="sq-AL" w:eastAsia="zh-CN"/>
        </w:rPr>
        <w:t>遂宁市安居区琼江两中心五馆段防洪治理工程</w:t>
      </w:r>
      <w:r>
        <w:rPr>
          <w:rFonts w:ascii="Times New Roman" w:hAnsi="Times New Roman"/>
          <w:color w:val="auto"/>
          <w:sz w:val="24"/>
        </w:rPr>
        <w:t>位于</w:t>
      </w:r>
      <w:r>
        <w:rPr>
          <w:rFonts w:hint="eastAsia" w:ascii="Times New Roman" w:hAnsi="Times New Roman"/>
          <w:color w:val="auto"/>
          <w:sz w:val="24"/>
          <w:lang w:val="en-US" w:eastAsia="zh-CN"/>
        </w:rPr>
        <w:t>安居城区</w:t>
      </w:r>
      <w:r>
        <w:rPr>
          <w:rFonts w:ascii="Times New Roman" w:hAnsi="Times New Roman"/>
          <w:color w:val="auto"/>
          <w:sz w:val="24"/>
        </w:rPr>
        <w:t>河段</w:t>
      </w:r>
      <w:r>
        <w:rPr>
          <w:rFonts w:hint="eastAsia" w:ascii="Times New Roman" w:hAnsi="Times New Roman"/>
          <w:color w:val="auto"/>
          <w:sz w:val="24"/>
          <w:lang w:eastAsia="zh-CN"/>
        </w:rPr>
        <w:t>，</w:t>
      </w:r>
      <w:r>
        <w:rPr>
          <w:color w:val="auto"/>
          <w:sz w:val="24"/>
          <w:highlight w:val="none"/>
        </w:rPr>
        <w:t>涉及琼江翘嘴红鲌省级水产种质资源保护区</w:t>
      </w:r>
      <w:r>
        <w:rPr>
          <w:rFonts w:hint="eastAsia"/>
          <w:color w:val="auto"/>
          <w:sz w:val="24"/>
          <w:highlight w:val="none"/>
          <w:lang w:val="en-US" w:eastAsia="zh-CN"/>
        </w:rPr>
        <w:t>核心区</w:t>
      </w:r>
      <w:r>
        <w:rPr>
          <w:color w:val="auto"/>
          <w:sz w:val="24"/>
          <w:highlight w:val="none"/>
        </w:rPr>
        <w:t>（见附图6  本项目与遂宁市安居区琼江翘嘴红鲌省级水产种质资源保护区关系图）</w:t>
      </w:r>
      <w:r>
        <w:rPr>
          <w:rFonts w:hint="eastAsia" w:ascii="Times New Roman" w:hAnsi="Times New Roman"/>
          <w:color w:val="auto"/>
          <w:sz w:val="24"/>
        </w:rPr>
        <w:t>。</w:t>
      </w:r>
    </w:p>
    <w:p>
      <w:pPr>
        <w:rPr>
          <w:rFonts w:ascii="Times New Roman" w:hAnsi="Times New Roman"/>
          <w:color w:val="FF0000"/>
        </w:rPr>
      </w:pPr>
      <w:r>
        <w:rPr>
          <w:rFonts w:ascii="Times New Roman" w:hAnsi="Times New Roman"/>
          <w:color w:val="FF0000"/>
        </w:rPr>
        <w:br w:type="page"/>
      </w:r>
    </w:p>
    <w:p>
      <w:pPr>
        <w:pStyle w:val="3"/>
        <w:rPr>
          <w:color w:val="auto"/>
          <w:lang w:val="zh-CN"/>
        </w:rPr>
      </w:pPr>
      <w:bookmarkStart w:id="143" w:name="_Toc16036"/>
      <w:r>
        <w:rPr>
          <w:color w:val="auto"/>
        </w:rPr>
        <w:t>评价</w:t>
      </w:r>
      <w:r>
        <w:rPr>
          <w:rFonts w:hint="eastAsia"/>
          <w:color w:val="auto"/>
          <w:lang w:val="en-US" w:eastAsia="zh-CN"/>
        </w:rPr>
        <w:t>流域</w:t>
      </w:r>
      <w:r>
        <w:rPr>
          <w:color w:val="auto"/>
        </w:rPr>
        <w:t>现状调查</w:t>
      </w:r>
      <w:bookmarkEnd w:id="143"/>
    </w:p>
    <w:p>
      <w:pPr>
        <w:pStyle w:val="4"/>
        <w:spacing w:before="166" w:after="166"/>
        <w:rPr>
          <w:color w:val="auto"/>
          <w:lang w:val="en-US"/>
        </w:rPr>
      </w:pPr>
      <w:bookmarkStart w:id="144" w:name="_Toc29499"/>
      <w:bookmarkStart w:id="145" w:name="_Toc27761"/>
      <w:r>
        <w:rPr>
          <w:color w:val="auto"/>
          <w:lang w:val="en-US"/>
        </w:rPr>
        <w:t>流域概况</w:t>
      </w:r>
      <w:bookmarkEnd w:id="144"/>
      <w:bookmarkEnd w:id="145"/>
    </w:p>
    <w:p>
      <w:pPr>
        <w:spacing w:line="360" w:lineRule="auto"/>
        <w:ind w:firstLine="480" w:firstLineChars="200"/>
        <w:rPr>
          <w:rFonts w:hint="eastAsia" w:ascii="Times New Roman" w:hAnsi="Times New Roman"/>
          <w:color w:val="auto"/>
          <w:sz w:val="24"/>
          <w:lang w:val="en-US" w:eastAsia="zh-CN"/>
        </w:rPr>
      </w:pPr>
      <w:r>
        <w:rPr>
          <w:rFonts w:hint="eastAsia" w:ascii="Times New Roman" w:hAnsi="Times New Roman"/>
          <w:color w:val="auto"/>
          <w:sz w:val="24"/>
          <w:lang w:val="en-US" w:eastAsia="zh-CN"/>
        </w:rPr>
        <w:t>安居区城区段防洪治理工程所属河流为琼江（安居区境内称为安居河），琼江为涪江右岸一级支流，流域位于四川盆地中部丘陵区，涪江下游右岸，地理坐标介于105°03′～105°44′，30°00′～30°32′之间。流域北临涪江支流郪江流域；西与沱江支流阳化河流域相邻；南依涪江支流关溅河流域；东抵涪江干流下游，流域面积4440km</w:t>
      </w:r>
      <w:r>
        <w:rPr>
          <w:rFonts w:hint="eastAsia" w:ascii="Times New Roman" w:hAnsi="Times New Roman"/>
          <w:color w:val="auto"/>
          <w:sz w:val="24"/>
          <w:vertAlign w:val="superscript"/>
          <w:lang w:val="en-US" w:eastAsia="zh-CN"/>
        </w:rPr>
        <w:t>2</w:t>
      </w:r>
      <w:r>
        <w:rPr>
          <w:rFonts w:hint="eastAsia" w:ascii="Times New Roman" w:hAnsi="Times New Roman"/>
          <w:color w:val="auto"/>
          <w:sz w:val="24"/>
          <w:lang w:val="en-US" w:eastAsia="zh-CN"/>
        </w:rPr>
        <w:t>。按行政区划，琼江干流跨四川省乐至县、安居区，重庆市潼南、铜梁等县（市）。</w:t>
      </w:r>
    </w:p>
    <w:p>
      <w:pPr>
        <w:spacing w:line="360" w:lineRule="auto"/>
        <w:ind w:firstLine="480" w:firstLineChars="200"/>
        <w:rPr>
          <w:rFonts w:hint="eastAsia" w:ascii="Times New Roman" w:hAnsi="Times New Roman"/>
          <w:color w:val="auto"/>
          <w:sz w:val="24"/>
          <w:lang w:val="en-US" w:eastAsia="zh-CN"/>
        </w:rPr>
      </w:pPr>
      <w:r>
        <w:rPr>
          <w:rFonts w:hint="eastAsia" w:ascii="Times New Roman" w:hAnsi="Times New Roman"/>
          <w:color w:val="auto"/>
          <w:sz w:val="24"/>
          <w:lang w:val="en-US" w:eastAsia="zh-CN"/>
        </w:rPr>
        <w:t>琼江发源于乐至县石佛镇西北九龙寨，上源称白安河。东偏南流经三星桥，折北入桂花湾水库区，出库后北偏西又折东，入安居区境称为安居河。东入新生水库库区，出库后东南过马河嘴，拦江坝，转东入麻子滩水库区，出库后曲折东行，安居区（安居区河段称为安居河）以下乃称琼江。东南过护村庙、三家镇、大安乡。下行，南入重庆潼南县境，流经光辉镇后折向东南流，以下河道蜿蜒曲折，东南经永安乡、柏梓镇、大安镇，以下河段行于潼南、铜梁二县界上，曲折转东偏北，入铜梁县境。过中和乡、少云镇，于安居镇黑龙嘴汇入涪江，全长231km，河道平均比降0.45‰，流域面积4440km</w:t>
      </w:r>
      <w:r>
        <w:rPr>
          <w:rFonts w:hint="eastAsia" w:ascii="Times New Roman" w:hAnsi="Times New Roman"/>
          <w:color w:val="auto"/>
          <w:sz w:val="24"/>
          <w:vertAlign w:val="superscript"/>
          <w:lang w:val="en-US" w:eastAsia="zh-CN"/>
        </w:rPr>
        <w:t>2</w:t>
      </w:r>
      <w:r>
        <w:rPr>
          <w:rFonts w:hint="eastAsia" w:ascii="Times New Roman" w:hAnsi="Times New Roman"/>
          <w:color w:val="auto"/>
          <w:sz w:val="24"/>
          <w:lang w:val="en-US" w:eastAsia="zh-CN"/>
        </w:rPr>
        <w:t>。流域内属丘陵地形，河渠发育，水流平缓，河床由沙或砾石组成。河口流量39.4m</w:t>
      </w:r>
      <w:r>
        <w:rPr>
          <w:rFonts w:hint="eastAsia" w:ascii="Times New Roman" w:hAnsi="Times New Roman"/>
          <w:color w:val="auto"/>
          <w:sz w:val="24"/>
          <w:vertAlign w:val="superscript"/>
          <w:lang w:val="en-US" w:eastAsia="zh-CN"/>
        </w:rPr>
        <w:t>3</w:t>
      </w:r>
      <w:r>
        <w:rPr>
          <w:rFonts w:hint="eastAsia" w:ascii="Times New Roman" w:hAnsi="Times New Roman"/>
          <w:color w:val="auto"/>
          <w:sz w:val="24"/>
          <w:lang w:val="en-US" w:eastAsia="zh-CN"/>
        </w:rPr>
        <w:t>/s，多年平均径流量12.40亿m</w:t>
      </w:r>
      <w:r>
        <w:rPr>
          <w:rFonts w:hint="eastAsia" w:ascii="Times New Roman" w:hAnsi="Times New Roman"/>
          <w:color w:val="auto"/>
          <w:sz w:val="24"/>
          <w:vertAlign w:val="superscript"/>
          <w:lang w:val="en-US" w:eastAsia="zh-CN"/>
        </w:rPr>
        <w:t>3</w:t>
      </w:r>
      <w:r>
        <w:rPr>
          <w:rFonts w:hint="eastAsia" w:ascii="Times New Roman" w:hAnsi="Times New Roman"/>
          <w:color w:val="auto"/>
          <w:sz w:val="24"/>
          <w:lang w:val="en-US" w:eastAsia="zh-CN"/>
        </w:rPr>
        <w:t>。</w:t>
      </w:r>
    </w:p>
    <w:p>
      <w:pPr>
        <w:spacing w:line="360" w:lineRule="auto"/>
        <w:ind w:firstLine="480" w:firstLineChars="200"/>
        <w:rPr>
          <w:rFonts w:hint="eastAsia" w:ascii="Times New Roman" w:hAnsi="Times New Roman"/>
          <w:color w:val="auto"/>
          <w:sz w:val="24"/>
          <w:lang w:val="en-US" w:eastAsia="zh-CN"/>
        </w:rPr>
      </w:pPr>
      <w:r>
        <w:rPr>
          <w:rFonts w:hint="eastAsia" w:ascii="Times New Roman" w:hAnsi="Times New Roman"/>
          <w:color w:val="auto"/>
          <w:sz w:val="24"/>
          <w:lang w:val="en-US" w:eastAsia="zh-CN"/>
        </w:rPr>
        <w:t>蟠龙河为琼江右岸一级支流，发源于乐至县天池镇义学湾。上源为十里河水库区，出库后又入蟠龙河水库，右纳棉花沟(上有棉花沟水库)，出库东过蟠龙镇，行于乐至县与遂宁市界上，入跑马滩水库，为安岳县与遂宁市分界，右纳回澜河，乃入安岳县境，再转北入遂宁市境。出库东北至东禅镇，曲折转东，过冯家坝、瓢儿寨，至安居镇汇入琼江，全长88km，流域面积532km</w:t>
      </w:r>
      <w:r>
        <w:rPr>
          <w:rFonts w:hint="eastAsia" w:ascii="Times New Roman" w:hAnsi="Times New Roman"/>
          <w:color w:val="auto"/>
          <w:sz w:val="24"/>
          <w:vertAlign w:val="superscript"/>
          <w:lang w:val="en-US" w:eastAsia="zh-CN"/>
        </w:rPr>
        <w:t>2</w:t>
      </w:r>
      <w:r>
        <w:rPr>
          <w:rFonts w:hint="eastAsia" w:ascii="Times New Roman" w:hAnsi="Times New Roman"/>
          <w:color w:val="auto"/>
          <w:sz w:val="24"/>
          <w:lang w:val="en-US" w:eastAsia="zh-CN"/>
        </w:rPr>
        <w:t>，河道平均比降0.51‰。河口流量3.37m</w:t>
      </w:r>
      <w:r>
        <w:rPr>
          <w:rFonts w:hint="eastAsia" w:ascii="Times New Roman" w:hAnsi="Times New Roman"/>
          <w:color w:val="auto"/>
          <w:sz w:val="24"/>
          <w:vertAlign w:val="superscript"/>
          <w:lang w:val="en-US" w:eastAsia="zh-CN"/>
        </w:rPr>
        <w:t>3</w:t>
      </w:r>
      <w:r>
        <w:rPr>
          <w:rFonts w:hint="eastAsia" w:ascii="Times New Roman" w:hAnsi="Times New Roman"/>
          <w:color w:val="auto"/>
          <w:sz w:val="24"/>
          <w:lang w:val="en-US" w:eastAsia="zh-CN"/>
        </w:rPr>
        <w:t>/s，多年平均径流量1.06亿m</w:t>
      </w:r>
      <w:r>
        <w:rPr>
          <w:rFonts w:hint="eastAsia" w:ascii="Times New Roman" w:hAnsi="Times New Roman"/>
          <w:color w:val="auto"/>
          <w:sz w:val="24"/>
          <w:vertAlign w:val="superscript"/>
          <w:lang w:val="en-US" w:eastAsia="zh-CN"/>
        </w:rPr>
        <w:t>3</w:t>
      </w:r>
      <w:r>
        <w:rPr>
          <w:rFonts w:hint="eastAsia" w:ascii="Times New Roman" w:hAnsi="Times New Roman"/>
          <w:color w:val="auto"/>
          <w:sz w:val="24"/>
          <w:lang w:val="en-US" w:eastAsia="zh-CN"/>
        </w:rPr>
        <w:t>。</w:t>
      </w:r>
    </w:p>
    <w:p>
      <w:pPr>
        <w:spacing w:line="360" w:lineRule="auto"/>
        <w:ind w:firstLine="480" w:firstLineChars="200"/>
        <w:rPr>
          <w:rFonts w:ascii="Times New Roman" w:hAnsi="Times New Roman"/>
          <w:color w:val="auto"/>
          <w:sz w:val="24"/>
        </w:rPr>
      </w:pPr>
      <w:r>
        <w:rPr>
          <w:rFonts w:hint="eastAsia" w:ascii="Times New Roman" w:hAnsi="Times New Roman"/>
          <w:color w:val="auto"/>
          <w:sz w:val="24"/>
          <w:lang w:val="en-US" w:eastAsia="zh-CN"/>
        </w:rPr>
        <w:t>白安河为琼江左岸一级支流，河道总长20.7km，流域总面积128km</w:t>
      </w:r>
      <w:r>
        <w:rPr>
          <w:rFonts w:hint="eastAsia" w:ascii="Times New Roman" w:hAnsi="Times New Roman"/>
          <w:color w:val="auto"/>
          <w:sz w:val="24"/>
          <w:vertAlign w:val="superscript"/>
          <w:lang w:val="en-US" w:eastAsia="zh-CN"/>
        </w:rPr>
        <w:t>2</w:t>
      </w:r>
      <w:r>
        <w:rPr>
          <w:rFonts w:hint="eastAsia" w:ascii="Times New Roman" w:hAnsi="Times New Roman"/>
          <w:color w:val="auto"/>
          <w:sz w:val="24"/>
          <w:lang w:val="en-US" w:eastAsia="zh-CN"/>
        </w:rPr>
        <w:t>，河道平均比降0.52‰。发源于卫平村，在高石村左纳入高石沟（上游高石村水库），在干坝子右纳杨家河（有金家湾水库），蜿蜒而下汇入新园水库，行至安居区粮食储备厂处与右岸支流会龙河汇合（汇合口上称长河堰，汇合后称玉丰河）。会龙河为玉丰河右岸一级支流，发源于石墙村冯家湾，河道蜿蜒曲折，流域呈狭长型，上游有宗教寺水库（小二型水库）。白马河（</w:t>
      </w:r>
      <w:r>
        <w:rPr>
          <w:rFonts w:ascii="Times New Roman" w:hAnsi="Times New Roman"/>
          <w:color w:val="auto"/>
          <w:sz w:val="24"/>
        </w:rPr>
        <w:t>琼江</w:t>
      </w:r>
      <w:r>
        <w:rPr>
          <w:rFonts w:hint="eastAsia" w:ascii="Times New Roman" w:hAnsi="Times New Roman"/>
          <w:color w:val="auto"/>
          <w:sz w:val="24"/>
          <w:lang w:val="en-US" w:eastAsia="zh-CN"/>
        </w:rPr>
        <w:t>）</w:t>
      </w:r>
      <w:r>
        <w:rPr>
          <w:rFonts w:ascii="Times New Roman" w:hAnsi="Times New Roman"/>
          <w:color w:val="auto"/>
          <w:sz w:val="24"/>
        </w:rPr>
        <w:t>及邻近流域水系网分布图见</w:t>
      </w:r>
      <w:r>
        <w:rPr>
          <w:rFonts w:hint="eastAsia" w:ascii="Times New Roman" w:hAnsi="Times New Roman"/>
          <w:color w:val="auto"/>
          <w:sz w:val="24"/>
          <w:lang w:val="en-US" w:eastAsia="zh-CN"/>
        </w:rPr>
        <w:t>附图3</w:t>
      </w:r>
      <w:r>
        <w:rPr>
          <w:rFonts w:ascii="Times New Roman" w:hAnsi="Times New Roman"/>
          <w:color w:val="auto"/>
          <w:sz w:val="24"/>
        </w:rPr>
        <w:t>。</w:t>
      </w:r>
    </w:p>
    <w:p>
      <w:pPr>
        <w:pStyle w:val="4"/>
        <w:spacing w:before="166" w:after="166"/>
        <w:rPr>
          <w:color w:val="auto"/>
          <w:lang w:val="en-US"/>
        </w:rPr>
      </w:pPr>
      <w:bookmarkStart w:id="146" w:name="_Toc4947"/>
      <w:bookmarkStart w:id="147" w:name="_Toc13198"/>
      <w:r>
        <w:rPr>
          <w:color w:val="auto"/>
          <w:lang w:val="en-US"/>
        </w:rPr>
        <w:t>气象</w:t>
      </w:r>
      <w:bookmarkEnd w:id="146"/>
      <w:bookmarkEnd w:id="147"/>
    </w:p>
    <w:p>
      <w:pPr>
        <w:spacing w:line="360" w:lineRule="auto"/>
        <w:ind w:firstLine="480" w:firstLineChars="200"/>
        <w:rPr>
          <w:rFonts w:ascii="Times New Roman" w:hAnsi="Times New Roman"/>
          <w:color w:val="auto"/>
          <w:sz w:val="24"/>
        </w:rPr>
      </w:pPr>
      <w:r>
        <w:rPr>
          <w:rFonts w:hint="eastAsia" w:ascii="Times New Roman" w:hAnsi="Times New Roman"/>
          <w:color w:val="auto"/>
          <w:sz w:val="24"/>
          <w:lang w:val="en-US" w:eastAsia="zh-CN"/>
        </w:rPr>
        <w:t>本</w:t>
      </w:r>
      <w:r>
        <w:rPr>
          <w:rFonts w:ascii="Times New Roman" w:hAnsi="Times New Roman"/>
          <w:color w:val="auto"/>
          <w:sz w:val="24"/>
        </w:rPr>
        <w:t>工程所在的安居区属盆地亚热带湿润季风气候区，具有冬暖夏热，气候温和的特点。据遂宁气象站实测资料统计，多年平均气温17.4℃；最冷月为1月，多年平均气温为6.5℃；年最高气温出现在7～8月，多年平均气温为27.2℃，在7、8月盛暑高温下，水份蒸发快，易形成伏旱。多年平均无霜期305d；多年平均日照时数为1227.9h，4-8月日照时数占全年的61.8%；多年平均相对湿度81.5%；多年平均雷暴日数28～38d；多年平均降水量907.7mm，多年平均蒸发量991.7mm，多年平均风速0.9m/s，多年平均最大风速10.8m/s，最大风速18.0m/s。多年平均降水量在916.6～869.6mm之间，安居区降水量特征值统计见表</w:t>
      </w:r>
      <w:r>
        <w:rPr>
          <w:rFonts w:hint="eastAsia" w:ascii="Times New Roman" w:hAnsi="Times New Roman"/>
          <w:color w:val="auto"/>
          <w:sz w:val="24"/>
          <w:lang w:val="en-US" w:eastAsia="zh-CN"/>
        </w:rPr>
        <w:t>5</w:t>
      </w:r>
      <w:r>
        <w:rPr>
          <w:rFonts w:ascii="Times New Roman" w:hAnsi="Times New Roman"/>
          <w:color w:val="auto"/>
          <w:sz w:val="24"/>
        </w:rPr>
        <w:t>.2-1。</w:t>
      </w:r>
    </w:p>
    <w:p>
      <w:pPr>
        <w:jc w:val="center"/>
        <w:rPr>
          <w:rFonts w:ascii="Times New Roman" w:hAnsi="Times New Roman"/>
          <w:b/>
          <w:bCs/>
          <w:color w:val="auto"/>
          <w:szCs w:val="21"/>
        </w:rPr>
      </w:pPr>
      <w:r>
        <w:rPr>
          <w:rFonts w:ascii="Times New Roman" w:hAnsi="Times New Roman"/>
          <w:b/>
          <w:bCs/>
          <w:color w:val="auto"/>
          <w:szCs w:val="21"/>
        </w:rPr>
        <w:t>表5.2-1 安居区其邻近流域雨量站降水量特征值表</w:t>
      </w:r>
    </w:p>
    <w:tbl>
      <w:tblPr>
        <w:tblStyle w:val="39"/>
        <w:tblW w:w="8557"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016"/>
        <w:gridCol w:w="1132"/>
        <w:gridCol w:w="587"/>
        <w:gridCol w:w="774"/>
        <w:gridCol w:w="1213"/>
        <w:gridCol w:w="1213"/>
        <w:gridCol w:w="1213"/>
        <w:gridCol w:w="140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blHeader/>
        </w:trPr>
        <w:tc>
          <w:tcPr>
            <w:tcW w:w="1016"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站名</w:t>
            </w:r>
          </w:p>
        </w:tc>
        <w:tc>
          <w:tcPr>
            <w:tcW w:w="2493" w:type="dxa"/>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降水量特征值</w:t>
            </w:r>
          </w:p>
        </w:tc>
        <w:tc>
          <w:tcPr>
            <w:tcW w:w="121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最大降水量</w:t>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（mm）</w:t>
            </w:r>
          </w:p>
        </w:tc>
        <w:tc>
          <w:tcPr>
            <w:tcW w:w="121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最小降水量</w:t>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（mm）</w:t>
            </w:r>
          </w:p>
        </w:tc>
        <w:tc>
          <w:tcPr>
            <w:tcW w:w="121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最大值与最</w:t>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小值倍比</w:t>
            </w:r>
          </w:p>
        </w:tc>
        <w:tc>
          <w:tcPr>
            <w:tcW w:w="1409"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资料起讫时间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blHeader/>
        </w:trPr>
        <w:tc>
          <w:tcPr>
            <w:tcW w:w="1016"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均值（mm）</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Cv</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Cs/ Cv</w:t>
            </w:r>
          </w:p>
        </w:tc>
        <w:tc>
          <w:tcPr>
            <w:tcW w:w="121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p>
        </w:tc>
        <w:tc>
          <w:tcPr>
            <w:tcW w:w="121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p>
        </w:tc>
        <w:tc>
          <w:tcPr>
            <w:tcW w:w="121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p>
        </w:tc>
        <w:tc>
          <w:tcPr>
            <w:tcW w:w="1409"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rPr>
        <w:tc>
          <w:tcPr>
            <w:tcW w:w="101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遂宁</w:t>
            </w: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907.7</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0.19</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1212.9</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598.3</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2.03</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1966～2011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rPr>
        <w:tc>
          <w:tcPr>
            <w:tcW w:w="101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姚市</w:t>
            </w: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869.8</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0.17</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1190.1</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636.8</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1.87</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1966～2011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rPr>
        <w:tc>
          <w:tcPr>
            <w:tcW w:w="101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大马口</w:t>
            </w: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916.6</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0.19</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1254.3</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650.0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1.93</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1966～1992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exact"/>
        </w:trPr>
        <w:tc>
          <w:tcPr>
            <w:tcW w:w="101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二朗庙</w:t>
            </w: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895.2</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0.19</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1257.4</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652.9</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1.93</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1966～1992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0" w:hRule="exact"/>
        </w:trPr>
        <w:tc>
          <w:tcPr>
            <w:tcW w:w="101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分水</w:t>
            </w:r>
          </w:p>
        </w:tc>
        <w:tc>
          <w:tcPr>
            <w:tcW w:w="113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912.0</w:t>
            </w:r>
          </w:p>
        </w:tc>
        <w:tc>
          <w:tcPr>
            <w:tcW w:w="58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0.18</w:t>
            </w:r>
          </w:p>
        </w:tc>
        <w:tc>
          <w:tcPr>
            <w:tcW w:w="77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1378.2</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633.9</w:t>
            </w:r>
          </w:p>
        </w:tc>
        <w:tc>
          <w:tcPr>
            <w:tcW w:w="121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2.17</w:t>
            </w:r>
          </w:p>
        </w:tc>
        <w:tc>
          <w:tcPr>
            <w:tcW w:w="140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1966～1992</w:t>
            </w:r>
          </w:p>
        </w:tc>
      </w:tr>
    </w:tbl>
    <w:p>
      <w:pPr>
        <w:pStyle w:val="4"/>
        <w:spacing w:before="166" w:after="166"/>
        <w:rPr>
          <w:color w:val="auto"/>
        </w:rPr>
      </w:pPr>
      <w:bookmarkStart w:id="148" w:name="_Toc418760256"/>
      <w:bookmarkStart w:id="149" w:name="_Toc13710"/>
      <w:bookmarkStart w:id="150" w:name="_Toc19224"/>
      <w:bookmarkStart w:id="151" w:name="_Toc28372887"/>
      <w:r>
        <w:rPr>
          <w:color w:val="auto"/>
        </w:rPr>
        <w:t>水文基本资料</w:t>
      </w:r>
      <w:bookmarkEnd w:id="148"/>
      <w:bookmarkEnd w:id="149"/>
      <w:bookmarkEnd w:id="150"/>
      <w:bookmarkEnd w:id="15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lang w:eastAsia="zh-CN"/>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附近的水文测站主要有：琼江干流控制站泰安镇水文站、邻近流域的郪江干流控制站胡家坝水文站、琼江上游支流苏家河上的大马口水文站、琼江中游支流石羊河支流高升河上的油房坝水文站，以及邻近的沱江水系濛溪河干流控制站元滩湾水文站，另外还有蟠龙站、拦江镇站及安居镇站等雨量测站。工程河段所在流域附近的测站情况见表5.3-1。</w:t>
      </w:r>
    </w:p>
    <w:p>
      <w:pPr>
        <w:jc w:val="center"/>
        <w:rPr>
          <w:rFonts w:ascii="Times New Roman" w:hAnsi="Times New Roman"/>
          <w:b/>
          <w:bCs/>
          <w:color w:val="auto"/>
          <w:szCs w:val="21"/>
        </w:rPr>
      </w:pPr>
      <w:r>
        <w:rPr>
          <w:rFonts w:ascii="Times New Roman" w:hAnsi="Times New Roman"/>
          <w:b/>
          <w:bCs/>
          <w:color w:val="auto"/>
          <w:szCs w:val="21"/>
        </w:rPr>
        <w:t>表5.3-1 流域附近测站情况表</w:t>
      </w:r>
    </w:p>
    <w:tbl>
      <w:tblPr>
        <w:tblStyle w:val="39"/>
        <w:tblW w:w="8456"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79"/>
        <w:gridCol w:w="1116"/>
        <w:gridCol w:w="1162"/>
        <w:gridCol w:w="1358"/>
        <w:gridCol w:w="1408"/>
        <w:gridCol w:w="1041"/>
        <w:gridCol w:w="139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0" w:hRule="atLeast"/>
          <w:jc w:val="center"/>
        </w:trPr>
        <w:tc>
          <w:tcPr>
            <w:tcW w:w="979" w:type="dxa"/>
            <w:vMerge w:val="restart"/>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站 名</w:t>
            </w:r>
          </w:p>
        </w:tc>
        <w:tc>
          <w:tcPr>
            <w:tcW w:w="1116" w:type="dxa"/>
            <w:vMerge w:val="restart"/>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河 名</w:t>
            </w:r>
          </w:p>
        </w:tc>
        <w:tc>
          <w:tcPr>
            <w:tcW w:w="1162" w:type="dxa"/>
            <w:vMerge w:val="restart"/>
            <w:tcBorders>
              <w:tl2br w:val="nil"/>
              <w:tr2bl w:val="nil"/>
            </w:tcBorders>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集水面积（km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w:t>
            </w:r>
          </w:p>
        </w:tc>
        <w:tc>
          <w:tcPr>
            <w:tcW w:w="5199" w:type="dxa"/>
            <w:gridSpan w:val="4"/>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观测内容及其资料年限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70" w:hRule="atLeast"/>
          <w:jc w:val="center"/>
        </w:trPr>
        <w:tc>
          <w:tcPr>
            <w:tcW w:w="979" w:type="dxa"/>
            <w:vMerge w:val="continue"/>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116" w:type="dxa"/>
            <w:vMerge w:val="continue"/>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162" w:type="dxa"/>
            <w:vMerge w:val="continue"/>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水 位</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流 量</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泥 沙</w:t>
            </w: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降水量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泰安镇</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琼江</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3480</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1951至今</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 xml:space="preserve">1955～1967 </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1954至今</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胡家坝</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郪 江</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1462</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1957至今</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1957～1970</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1957至今</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大马口</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苏家河</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45.1</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1965～1992</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1965～1992</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1965～1992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油房坝</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高升河</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38.8</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1965～1980</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1965～1980</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元滩湾</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濛溪河</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870</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1958至今</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1958至今</w:t>
            </w: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1958至今</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安居镇</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琼江</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1315</w:t>
            </w: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1985～1995</w:t>
            </w: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1964至今</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蟠 龙</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蟠龙河</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1964至今</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97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拦江镇</w:t>
            </w:r>
          </w:p>
        </w:tc>
        <w:tc>
          <w:tcPr>
            <w:tcW w:w="1116"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白安河</w:t>
            </w:r>
          </w:p>
        </w:tc>
        <w:tc>
          <w:tcPr>
            <w:tcW w:w="116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5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40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041"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p>
        </w:tc>
        <w:tc>
          <w:tcPr>
            <w:tcW w:w="1392"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1964至今</w:t>
            </w:r>
          </w:p>
        </w:tc>
      </w:tr>
    </w:tbl>
    <w:p>
      <w:pPr>
        <w:spacing w:line="360" w:lineRule="auto"/>
        <w:ind w:firstLine="480" w:firstLineChars="200"/>
        <w:rPr>
          <w:rFonts w:ascii="Times New Roman" w:hAnsi="Times New Roman"/>
          <w:color w:val="auto"/>
          <w:sz w:val="24"/>
        </w:rPr>
      </w:pPr>
      <w:r>
        <w:rPr>
          <w:rFonts w:ascii="Times New Roman" w:hAnsi="Times New Roman"/>
          <w:color w:val="auto"/>
          <w:sz w:val="24"/>
        </w:rPr>
        <w:t>从上表可见，泰安镇站、胡家坝站、元滩湾站、大马口站的资料情况都较好，可用作流域水文分析计算的参证站。</w:t>
      </w:r>
    </w:p>
    <w:p>
      <w:pPr>
        <w:pStyle w:val="4"/>
        <w:spacing w:before="120" w:after="120"/>
        <w:rPr>
          <w:color w:val="auto"/>
        </w:rPr>
      </w:pPr>
      <w:bookmarkStart w:id="152" w:name="_Toc25221"/>
      <w:bookmarkStart w:id="153" w:name="_Toc375211343"/>
      <w:bookmarkStart w:id="154" w:name="_Toc233014369"/>
      <w:bookmarkStart w:id="155" w:name="_Toc4935"/>
      <w:bookmarkStart w:id="156" w:name="_Toc28372888"/>
      <w:bookmarkStart w:id="157" w:name="_Toc418760263"/>
      <w:r>
        <w:rPr>
          <w:color w:val="auto"/>
        </w:rPr>
        <w:t>洪水</w:t>
      </w:r>
      <w:bookmarkEnd w:id="152"/>
      <w:bookmarkEnd w:id="153"/>
      <w:bookmarkEnd w:id="154"/>
      <w:bookmarkEnd w:id="155"/>
      <w:bookmarkEnd w:id="156"/>
      <w:bookmarkEnd w:id="157"/>
    </w:p>
    <w:p>
      <w:pPr>
        <w:pStyle w:val="5"/>
        <w:rPr>
          <w:color w:val="auto"/>
        </w:rPr>
      </w:pPr>
      <w:bookmarkStart w:id="158" w:name="_Toc418760265"/>
      <w:bookmarkStart w:id="159" w:name="_Toc21515"/>
      <w:bookmarkStart w:id="160" w:name="_Toc2319"/>
      <w:bookmarkStart w:id="161" w:name="_Toc233014371"/>
      <w:r>
        <w:rPr>
          <w:color w:val="auto"/>
        </w:rPr>
        <w:t>工程河段概况</w:t>
      </w:r>
      <w:bookmarkEnd w:id="158"/>
      <w:bookmarkEnd w:id="159"/>
      <w:bookmarkEnd w:id="160"/>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rPr>
      </w:pPr>
      <w:r>
        <w:rPr>
          <w:rFonts w:hint="eastAsia" w:ascii="宋体" w:hAnsi="宋体" w:eastAsia="宋体" w:cs="宋体"/>
          <w:kern w:val="2"/>
          <w:sz w:val="24"/>
          <w:szCs w:val="24"/>
        </w:rPr>
        <w:t>本工程河段</w:t>
      </w:r>
      <w:r>
        <w:rPr>
          <w:rFonts w:hint="eastAsia" w:ascii="宋体" w:hAnsi="宋体" w:eastAsia="宋体" w:cs="宋体"/>
          <w:sz w:val="24"/>
          <w:szCs w:val="24"/>
        </w:rPr>
        <w:t>位于萝卜园水库库区范围内，萝卜园水库坝址为本工程河段的控制断面。萝卜园水库为小（1）型水库，钢筋砼闸坝结构，集雨面积为1475km</w:t>
      </w:r>
      <w:r>
        <w:rPr>
          <w:rFonts w:hint="eastAsia" w:ascii="宋体" w:hAnsi="宋体" w:eastAsia="宋体" w:cs="宋体"/>
          <w:sz w:val="24"/>
          <w:szCs w:val="24"/>
          <w:vertAlign w:val="superscript"/>
        </w:rPr>
        <w:t>2</w:t>
      </w:r>
      <w:r>
        <w:rPr>
          <w:rFonts w:hint="eastAsia" w:ascii="宋体" w:hAnsi="宋体" w:eastAsia="宋体" w:cs="宋体"/>
          <w:sz w:val="24"/>
          <w:szCs w:val="24"/>
        </w:rPr>
        <w:t>，河长为100.9km，河流平均比降为0.49‰。萝卜园水库上游有麻子滩水库和跑马滩水库，皆为中型水库，其中麻子滩水库位于白安河上，集雨面积为286.2km</w:t>
      </w:r>
      <w:r>
        <w:rPr>
          <w:rFonts w:hint="eastAsia" w:ascii="宋体" w:hAnsi="宋体" w:eastAsia="宋体" w:cs="宋体"/>
          <w:sz w:val="24"/>
          <w:szCs w:val="24"/>
          <w:vertAlign w:val="superscript"/>
        </w:rPr>
        <w:t>2</w:t>
      </w:r>
      <w:r>
        <w:rPr>
          <w:rFonts w:hint="eastAsia" w:ascii="宋体" w:hAnsi="宋体" w:eastAsia="宋体" w:cs="宋体"/>
          <w:sz w:val="24"/>
          <w:szCs w:val="24"/>
        </w:rPr>
        <w:t>（新生水库至麻子滩水库区间集雨面积231.8km</w:t>
      </w:r>
      <w:r>
        <w:rPr>
          <w:rFonts w:hint="eastAsia" w:ascii="宋体" w:hAnsi="宋体" w:eastAsia="宋体" w:cs="宋体"/>
          <w:sz w:val="24"/>
          <w:szCs w:val="24"/>
          <w:vertAlign w:val="superscript"/>
        </w:rPr>
        <w:t>2</w:t>
      </w:r>
      <w:r>
        <w:rPr>
          <w:rFonts w:hint="eastAsia" w:ascii="宋体" w:hAnsi="宋体" w:eastAsia="宋体" w:cs="宋体"/>
          <w:sz w:val="24"/>
          <w:szCs w:val="24"/>
        </w:rPr>
        <w:t>），主河道长62.15Km（新生水库至麻子滩水库区间河道长39.45km），河道平均比降1.23‰。设计总库容8216万m</w:t>
      </w:r>
      <w:r>
        <w:rPr>
          <w:rFonts w:hint="eastAsia" w:ascii="宋体" w:hAnsi="宋体" w:eastAsia="宋体" w:cs="宋体"/>
          <w:sz w:val="24"/>
          <w:szCs w:val="24"/>
          <w:vertAlign w:val="superscript"/>
        </w:rPr>
        <w:t>3</w:t>
      </w:r>
      <w:r>
        <w:rPr>
          <w:rFonts w:hint="eastAsia" w:ascii="宋体" w:hAnsi="宋体" w:eastAsia="宋体" w:cs="宋体"/>
          <w:sz w:val="24"/>
          <w:szCs w:val="24"/>
        </w:rPr>
        <w:t>，设计总灌面积22.884万亩。麻子滩水库大坝坝型为粘土斜墙土石坝。坝顶高程334.46m，坝顶宽7m，最大坝高30m，坝顶轴线长度262m，最大坝底宽112m。麻子滩水库溢洪道位于大坝左岸，堰型为宽顶堰，堰顶长21m，宽56m，采用7孔8m×4m（宽×高）弧形钢质闸门作为工作闸门挡水，闸底高程为327.46m（堰顶高程），水库正常蓄水位331.46（闸门挡水）。溢洪道泄洪标准为100年一遇设计，1000年一遇校核。经洪水复核调洪后，设计洪水位331.98m，下泄流量720m</w:t>
      </w:r>
      <w:r>
        <w:rPr>
          <w:rFonts w:hint="eastAsia" w:ascii="宋体" w:hAnsi="宋体" w:eastAsia="宋体" w:cs="宋体"/>
          <w:sz w:val="24"/>
          <w:szCs w:val="24"/>
          <w:vertAlign w:val="superscript"/>
        </w:rPr>
        <w:t>3</w:t>
      </w:r>
      <w:r>
        <w:rPr>
          <w:rFonts w:hint="eastAsia" w:ascii="宋体" w:hAnsi="宋体" w:eastAsia="宋体" w:cs="宋体"/>
          <w:sz w:val="24"/>
          <w:szCs w:val="24"/>
        </w:rPr>
        <w:t>/s，校核洪水位333.35m，泄洪流量为1053m</w:t>
      </w:r>
      <w:r>
        <w:rPr>
          <w:rFonts w:hint="eastAsia" w:ascii="宋体" w:hAnsi="宋体" w:eastAsia="宋体" w:cs="宋体"/>
          <w:sz w:val="24"/>
          <w:szCs w:val="24"/>
          <w:vertAlign w:val="superscript"/>
        </w:rPr>
        <w:t>3</w:t>
      </w:r>
      <w:r>
        <w:rPr>
          <w:rFonts w:hint="eastAsia" w:ascii="宋体" w:hAnsi="宋体" w:eastAsia="宋体" w:cs="宋体"/>
          <w:sz w:val="24"/>
          <w:szCs w:val="24"/>
        </w:rPr>
        <w:t>/s，10年一遇洪水位为331.46m（闸门控制），2年一遇设计洪水位为331.46m（闸门控制）。工程运行期间在出现校核洪水时，闸门应提前开闸泄水，降低库水位，延长泄洪时段，以降低校核洪水时的泄水流量。跑马滩水库位于琼江右岸一级支流蟠龙河上，集雨面积为424.7km</w:t>
      </w:r>
      <w:r>
        <w:rPr>
          <w:rFonts w:hint="eastAsia" w:ascii="宋体" w:hAnsi="宋体" w:eastAsia="宋体" w:cs="宋体"/>
          <w:sz w:val="24"/>
          <w:szCs w:val="24"/>
          <w:vertAlign w:val="superscript"/>
        </w:rPr>
        <w:t>2</w:t>
      </w:r>
      <w:r>
        <w:rPr>
          <w:rFonts w:hint="eastAsia" w:ascii="宋体" w:hAnsi="宋体" w:eastAsia="宋体" w:cs="宋体"/>
          <w:sz w:val="24"/>
          <w:szCs w:val="24"/>
        </w:rPr>
        <w:t>，河长55.6km，河道平均比降1.51‰。跑马滩水库正常蓄水位299.70m，正常蓄水库容1570万m</w:t>
      </w:r>
      <w:r>
        <w:rPr>
          <w:rFonts w:hint="eastAsia" w:ascii="宋体" w:hAnsi="宋体" w:eastAsia="宋体" w:cs="宋体"/>
          <w:sz w:val="24"/>
          <w:szCs w:val="24"/>
          <w:vertAlign w:val="superscript"/>
        </w:rPr>
        <w:t>3</w:t>
      </w:r>
      <w:r>
        <w:rPr>
          <w:rFonts w:hint="eastAsia" w:ascii="宋体" w:hAnsi="宋体" w:eastAsia="宋体" w:cs="宋体"/>
          <w:sz w:val="24"/>
          <w:szCs w:val="24"/>
        </w:rPr>
        <w:t>，最大坝高20.5m，设计总库容3260万m</w:t>
      </w:r>
      <w:r>
        <w:rPr>
          <w:rFonts w:hint="eastAsia" w:ascii="宋体" w:hAnsi="宋体" w:eastAsia="宋体" w:cs="宋体"/>
          <w:sz w:val="24"/>
          <w:szCs w:val="24"/>
          <w:vertAlign w:val="superscript"/>
        </w:rPr>
        <w:t>3</w:t>
      </w:r>
      <w:r>
        <w:rPr>
          <w:rFonts w:hint="eastAsia" w:ascii="宋体" w:hAnsi="宋体" w:eastAsia="宋体" w:cs="宋体"/>
          <w:sz w:val="24"/>
          <w:szCs w:val="24"/>
        </w:rPr>
        <w:t>，死库容350万m</w:t>
      </w:r>
      <w:r>
        <w:rPr>
          <w:rFonts w:hint="eastAsia" w:ascii="宋体" w:hAnsi="宋体" w:eastAsia="宋体" w:cs="宋体"/>
          <w:sz w:val="24"/>
          <w:szCs w:val="24"/>
          <w:vertAlign w:val="superscript"/>
        </w:rPr>
        <w:t>3</w:t>
      </w:r>
      <w:r>
        <w:rPr>
          <w:rFonts w:hint="eastAsia" w:ascii="宋体" w:hAnsi="宋体" w:eastAsia="宋体" w:cs="宋体"/>
          <w:sz w:val="24"/>
          <w:szCs w:val="24"/>
        </w:rPr>
        <w:t>，调洪库容2670万m</w:t>
      </w:r>
      <w:r>
        <w:rPr>
          <w:rFonts w:hint="eastAsia" w:ascii="宋体" w:hAnsi="宋体" w:eastAsia="宋体" w:cs="宋体"/>
          <w:sz w:val="24"/>
          <w:szCs w:val="24"/>
          <w:vertAlign w:val="superscript"/>
        </w:rPr>
        <w:t>3</w:t>
      </w:r>
      <w:r>
        <w:rPr>
          <w:rFonts w:hint="eastAsia" w:ascii="宋体" w:hAnsi="宋体" w:eastAsia="宋体" w:cs="宋体"/>
          <w:sz w:val="24"/>
          <w:szCs w:val="24"/>
        </w:rPr>
        <w:t>，设计灌溉面积3.14万亩。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FF0000"/>
          <w:sz w:val="24"/>
          <w:szCs w:val="24"/>
        </w:rPr>
      </w:pPr>
      <w:r>
        <w:rPr>
          <w:rFonts w:hint="eastAsia" w:ascii="宋体" w:hAnsi="宋体" w:eastAsia="宋体" w:cs="宋体"/>
          <w:sz w:val="24"/>
          <w:szCs w:val="24"/>
        </w:rPr>
        <w:t>本工程位于萝卜园水库库区范围内，工程河段洪水受上游水库调节影响，因此本次设计，工程河段控制断面（萝卜园水库坝址）设计洪水计算采用全流域水文比拟法、全流域瞬时单位线法和上游水库下泄流量叠加区间瞬时单位线法三种方法分别进行设计洪水计算；工程河段（琼江与蟠龙河汇口以上）设计洪水计算采用全流域水文比拟法、全流域推理公式法和上游水库下泄流量叠加区间推理公式法三种方法分别进行设计洪水计算。</w:t>
      </w:r>
    </w:p>
    <w:bookmarkEnd w:id="161"/>
    <w:p>
      <w:pPr>
        <w:pStyle w:val="5"/>
        <w:rPr>
          <w:color w:val="auto"/>
        </w:rPr>
      </w:pPr>
      <w:bookmarkStart w:id="162" w:name="_Toc8772"/>
      <w:bookmarkStart w:id="163" w:name="_Toc418760266"/>
      <w:bookmarkStart w:id="164" w:name="_Toc9804"/>
      <w:bookmarkStart w:id="165" w:name="_Toc233014373"/>
      <w:r>
        <w:rPr>
          <w:color w:val="auto"/>
        </w:rPr>
        <w:t>洪水</w:t>
      </w:r>
      <w:bookmarkEnd w:id="162"/>
      <w:bookmarkEnd w:id="163"/>
      <w:bookmarkEnd w:id="164"/>
      <w:bookmarkEnd w:id="165"/>
      <w:bookmarkStart w:id="166" w:name="OLE_LINK1"/>
    </w:p>
    <w:bookmarkEnd w:id="166"/>
    <w:p>
      <w:pPr>
        <w:spacing w:line="360" w:lineRule="auto"/>
        <w:ind w:firstLine="480" w:firstLineChars="200"/>
        <w:rPr>
          <w:rFonts w:ascii="Times New Roman" w:hAnsi="Times New Roman"/>
          <w:color w:val="auto"/>
          <w:sz w:val="24"/>
        </w:rPr>
      </w:pPr>
      <w:r>
        <w:rPr>
          <w:rFonts w:ascii="Times New Roman" w:hAnsi="Times New Roman"/>
          <w:color w:val="auto"/>
          <w:sz w:val="24"/>
        </w:rPr>
        <w:t>经现场洪水调查，采用全流域瞬时单位线法成果作为本工程洪水成果。推荐结果与该流域上下游已建、在建防洪治理工程同频率洪峰流量协调。</w:t>
      </w:r>
    </w:p>
    <w:p>
      <w:pPr>
        <w:spacing w:line="360" w:lineRule="auto"/>
        <w:ind w:firstLine="480" w:firstLineChars="200"/>
        <w:rPr>
          <w:rFonts w:ascii="Times New Roman" w:hAnsi="Times New Roman"/>
          <w:color w:val="auto"/>
          <w:sz w:val="24"/>
        </w:rPr>
      </w:pPr>
      <w:r>
        <w:rPr>
          <w:rFonts w:hint="eastAsia" w:ascii="Times New Roman" w:hAnsi="Times New Roman"/>
          <w:color w:val="auto"/>
          <w:sz w:val="24"/>
          <w:lang w:val="en-US" w:eastAsia="zh-CN"/>
        </w:rPr>
        <w:t>本</w:t>
      </w:r>
      <w:r>
        <w:rPr>
          <w:rFonts w:ascii="Times New Roman" w:hAnsi="Times New Roman"/>
          <w:color w:val="auto"/>
          <w:sz w:val="24"/>
        </w:rPr>
        <w:t>工程洪水成果见表5.4-1。</w:t>
      </w:r>
    </w:p>
    <w:p>
      <w:pPr>
        <w:jc w:val="center"/>
        <w:rPr>
          <w:rFonts w:ascii="Times New Roman" w:hAnsi="Times New Roman"/>
          <w:color w:val="auto"/>
        </w:rPr>
      </w:pPr>
      <w:bookmarkStart w:id="167" w:name="OLE_LINK5"/>
      <w:r>
        <w:rPr>
          <w:rFonts w:ascii="Times New Roman" w:hAnsi="Times New Roman"/>
          <w:b/>
          <w:bCs/>
          <w:color w:val="auto"/>
          <w:szCs w:val="21"/>
        </w:rPr>
        <w:t xml:space="preserve">表5.4-1 </w:t>
      </w:r>
      <w:r>
        <w:rPr>
          <w:rFonts w:hint="eastAsia" w:ascii="Times New Roman" w:hAnsi="Times New Roman"/>
          <w:b/>
          <w:bCs/>
          <w:color w:val="auto"/>
          <w:szCs w:val="21"/>
          <w:lang w:val="en-US" w:eastAsia="zh-CN"/>
        </w:rPr>
        <w:t>本</w:t>
      </w:r>
      <w:r>
        <w:rPr>
          <w:rFonts w:ascii="Times New Roman" w:hAnsi="Times New Roman"/>
          <w:b/>
          <w:bCs/>
          <w:color w:val="auto"/>
          <w:szCs w:val="21"/>
        </w:rPr>
        <w:t>工程洪水成果表</w:t>
      </w:r>
    </w:p>
    <w:bookmarkEnd w:id="167"/>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290"/>
        <w:gridCol w:w="1137"/>
        <w:gridCol w:w="721"/>
        <w:gridCol w:w="721"/>
        <w:gridCol w:w="721"/>
        <w:gridCol w:w="721"/>
        <w:gridCol w:w="721"/>
        <w:gridCol w:w="721"/>
        <w:gridCol w:w="721"/>
        <w:gridCol w:w="721"/>
        <w:gridCol w:w="72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90" w:type="dxa"/>
            <w:vMerge w:val="restart"/>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断面位置</w:t>
            </w:r>
          </w:p>
        </w:tc>
        <w:tc>
          <w:tcPr>
            <w:tcW w:w="1137" w:type="dxa"/>
            <w:vMerge w:val="restart"/>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集雨面积</w:t>
            </w:r>
          </w:p>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（km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w:t>
            </w:r>
          </w:p>
        </w:tc>
        <w:tc>
          <w:tcPr>
            <w:tcW w:w="6490" w:type="dxa"/>
            <w:gridSpan w:val="9"/>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各频率洪峰流量值（m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/s）</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90" w:type="dxa"/>
            <w:vMerge w:val="continue"/>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p>
        </w:tc>
        <w:tc>
          <w:tcPr>
            <w:tcW w:w="1137" w:type="dxa"/>
            <w:vMerge w:val="continue"/>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P=0.33%</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P=0.5%</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P=1%</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P=2%</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P=3.3%</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P=5%</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P=10%</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P=20%</w:t>
            </w:r>
          </w:p>
        </w:tc>
        <w:tc>
          <w:tcPr>
            <w:tcW w:w="722" w:type="dxa"/>
            <w:tcBorders>
              <w:tl2br w:val="nil"/>
              <w:tr2bl w:val="nil"/>
            </w:tcBorders>
            <w:vAlign w:val="center"/>
          </w:tcPr>
          <w:p>
            <w:pPr>
              <w:pStyle w:val="167"/>
              <w:widowControl w:val="0"/>
              <w:adjustRightInd w:val="0"/>
              <w:snapToGrid w:val="0"/>
              <w:rPr>
                <w:rFonts w:hint="eastAsia" w:ascii="宋体" w:hAnsi="宋体" w:eastAsia="宋体" w:cs="宋体"/>
                <w:color w:val="auto"/>
                <w:sz w:val="21"/>
                <w:szCs w:val="21"/>
              </w:rPr>
            </w:pPr>
            <w:r>
              <w:rPr>
                <w:rFonts w:hint="eastAsia" w:ascii="Times New Roman" w:hAnsi="Times New Roman" w:cs="Times New Roman"/>
                <w:color w:val="auto"/>
              </w:rPr>
              <w:t>P=50%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29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default" w:ascii="宋体" w:hAnsi="宋体" w:eastAsia="宋体" w:cs="宋体"/>
                <w:color w:val="auto"/>
                <w:sz w:val="21"/>
                <w:szCs w:val="21"/>
                <w:lang w:val="en-US" w:eastAsia="zh-CN"/>
              </w:rPr>
            </w:pPr>
            <w:r>
              <w:rPr>
                <w:rFonts w:hint="eastAsia" w:ascii="宋体" w:hAnsi="宋体" w:cs="宋体"/>
                <w:color w:val="auto"/>
                <w:sz w:val="21"/>
                <w:szCs w:val="21"/>
                <w:lang w:val="en-US" w:eastAsia="zh-CN"/>
              </w:rPr>
              <w:t>萝卜园水库坝址处</w:t>
            </w:r>
          </w:p>
        </w:tc>
        <w:tc>
          <w:tcPr>
            <w:tcW w:w="1137"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default" w:ascii="宋体" w:hAnsi="宋体" w:eastAsia="宋体" w:cs="宋体"/>
                <w:color w:val="auto"/>
                <w:sz w:val="21"/>
                <w:szCs w:val="21"/>
                <w:lang w:val="en-US" w:eastAsia="zh-CN"/>
              </w:rPr>
            </w:pPr>
            <w:r>
              <w:rPr>
                <w:rFonts w:hint="eastAsia" w:ascii="宋体" w:hAnsi="宋体" w:cs="宋体"/>
                <w:color w:val="auto"/>
                <w:sz w:val="21"/>
                <w:szCs w:val="21"/>
                <w:lang w:val="en-US" w:eastAsia="zh-CN"/>
              </w:rPr>
              <w:t>1475</w:t>
            </w:r>
          </w:p>
        </w:tc>
        <w:tc>
          <w:tcPr>
            <w:tcW w:w="721" w:type="dxa"/>
            <w:tcBorders>
              <w:tl2br w:val="nil"/>
              <w:tr2bl w:val="nil"/>
            </w:tcBorders>
            <w:vAlign w:val="center"/>
          </w:tcPr>
          <w:p>
            <w:pPr>
              <w:pStyle w:val="167"/>
              <w:widowControl w:val="0"/>
              <w:adjustRightInd w:val="0"/>
              <w:snapToGrid w:val="0"/>
              <w:rPr>
                <w:rFonts w:hint="eastAsia" w:ascii="宋体" w:hAnsi="宋体" w:eastAsia="宋体" w:cs="宋体"/>
                <w:color w:val="auto"/>
                <w:kern w:val="2"/>
                <w:sz w:val="21"/>
                <w:szCs w:val="21"/>
                <w:lang w:val="en-US" w:eastAsia="zh-CN" w:bidi="ar-SA"/>
              </w:rPr>
            </w:pPr>
            <w:r>
              <w:rPr>
                <w:rFonts w:hint="eastAsia" w:ascii="Times New Roman" w:hAnsi="Times New Roman" w:cs="Times New Roman"/>
                <w:color w:val="auto"/>
              </w:rPr>
              <w:t>5370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5000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4350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3630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3160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2720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2040</w:t>
            </w:r>
          </w:p>
        </w:tc>
        <w:tc>
          <w:tcPr>
            <w:tcW w:w="721" w:type="dxa"/>
            <w:tcBorders>
              <w:tl2br w:val="nil"/>
              <w:tr2bl w:val="nil"/>
            </w:tcBorders>
            <w:vAlign w:val="center"/>
          </w:tcPr>
          <w:p>
            <w:pPr>
              <w:pStyle w:val="167"/>
              <w:widowControl w:val="0"/>
              <w:adjustRightInd w:val="0"/>
              <w:snapToGrid w:val="0"/>
              <w:rPr>
                <w:rFonts w:hint="default" w:ascii="宋体" w:hAnsi="宋体" w:eastAsia="宋体" w:cs="宋体"/>
                <w:color w:val="auto"/>
                <w:kern w:val="2"/>
                <w:sz w:val="21"/>
                <w:szCs w:val="21"/>
                <w:lang w:val="en-US" w:eastAsia="zh-CN" w:bidi="ar-SA"/>
              </w:rPr>
            </w:pPr>
            <w:r>
              <w:rPr>
                <w:rFonts w:hint="eastAsia" w:ascii="Times New Roman" w:hAnsi="Times New Roman" w:cs="Times New Roman"/>
                <w:color w:val="auto"/>
              </w:rPr>
              <w:t>1310</w:t>
            </w:r>
          </w:p>
        </w:tc>
        <w:tc>
          <w:tcPr>
            <w:tcW w:w="722" w:type="dxa"/>
            <w:tcBorders>
              <w:tl2br w:val="nil"/>
              <w:tr2bl w:val="nil"/>
            </w:tcBorders>
            <w:vAlign w:val="center"/>
          </w:tcPr>
          <w:p>
            <w:pPr>
              <w:pStyle w:val="167"/>
              <w:widowControl w:val="0"/>
              <w:adjustRightInd w:val="0"/>
              <w:snapToGrid w:val="0"/>
              <w:rPr>
                <w:rFonts w:hint="eastAsia" w:ascii="宋体" w:hAnsi="宋体" w:eastAsia="宋体" w:cs="宋体"/>
                <w:color w:val="auto"/>
                <w:sz w:val="21"/>
                <w:szCs w:val="21"/>
                <w:lang w:val="en-US" w:eastAsia="zh-CN"/>
              </w:rPr>
            </w:pPr>
            <w:r>
              <w:rPr>
                <w:rFonts w:hint="eastAsia" w:ascii="Times New Roman" w:hAnsi="Times New Roman" w:cs="Times New Roman"/>
                <w:color w:val="auto"/>
              </w:rPr>
              <w:t>720</w:t>
            </w:r>
          </w:p>
        </w:tc>
      </w:tr>
    </w:tbl>
    <w:p>
      <w:pPr>
        <w:pStyle w:val="4"/>
        <w:spacing w:before="120" w:after="120"/>
        <w:rPr>
          <w:color w:val="auto"/>
          <w:sz w:val="24"/>
          <w:szCs w:val="24"/>
        </w:rPr>
      </w:pPr>
      <w:bookmarkStart w:id="168" w:name="_Toc28372890"/>
      <w:bookmarkStart w:id="169" w:name="_Toc4232"/>
      <w:bookmarkStart w:id="170" w:name="_Toc12460"/>
      <w:r>
        <w:rPr>
          <w:color w:val="auto"/>
          <w:sz w:val="24"/>
          <w:szCs w:val="24"/>
        </w:rPr>
        <w:t>泥沙</w:t>
      </w:r>
      <w:bookmarkEnd w:id="168"/>
      <w:bookmarkEnd w:id="169"/>
      <w:bookmarkEnd w:id="170"/>
    </w:p>
    <w:p>
      <w:pPr>
        <w:pStyle w:val="5"/>
        <w:rPr>
          <w:color w:val="auto"/>
        </w:rPr>
      </w:pPr>
      <w:bookmarkStart w:id="171" w:name="_Toc13802"/>
      <w:bookmarkStart w:id="172" w:name="_Toc233014377"/>
      <w:bookmarkStart w:id="173" w:name="_Toc4837"/>
      <w:bookmarkStart w:id="174" w:name="_Toc418760270"/>
      <w:r>
        <w:rPr>
          <w:color w:val="auto"/>
        </w:rPr>
        <w:t>泥沙来源及特性</w:t>
      </w:r>
      <w:bookmarkEnd w:id="171"/>
      <w:bookmarkEnd w:id="172"/>
      <w:bookmarkEnd w:id="173"/>
      <w:bookmarkEnd w:id="174"/>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szCs w:val="24"/>
        </w:rPr>
      </w:pPr>
      <w:r>
        <w:rPr>
          <w:rFonts w:hint="eastAsia" w:ascii="Times New Roman" w:hAnsi="Times New Roman" w:cs="Times New Roman"/>
          <w:sz w:val="24"/>
          <w:szCs w:val="24"/>
        </w:rPr>
        <w:t>设计流域</w:t>
      </w:r>
      <w:r>
        <w:rPr>
          <w:rFonts w:ascii="Times New Roman" w:hAnsi="Times New Roman" w:cs="Times New Roman"/>
          <w:sz w:val="24"/>
          <w:szCs w:val="24"/>
        </w:rPr>
        <w:t>的泥沙来源及产沙特性与其自然地理情况有着密切的关系，</w:t>
      </w:r>
      <w:r>
        <w:rPr>
          <w:rFonts w:hint="eastAsia" w:ascii="Times New Roman" w:hAnsi="Times New Roman" w:cs="Times New Roman"/>
          <w:sz w:val="24"/>
          <w:szCs w:val="24"/>
        </w:rPr>
        <w:t>本</w:t>
      </w:r>
      <w:r>
        <w:rPr>
          <w:rFonts w:ascii="Times New Roman" w:hAnsi="Times New Roman" w:cs="Times New Roman"/>
          <w:sz w:val="24"/>
          <w:szCs w:val="24"/>
        </w:rPr>
        <w:t>工程</w:t>
      </w:r>
      <w:r>
        <w:rPr>
          <w:rFonts w:hint="eastAsia" w:ascii="Times New Roman" w:hAnsi="Times New Roman" w:cs="Times New Roman"/>
          <w:sz w:val="24"/>
          <w:szCs w:val="24"/>
        </w:rPr>
        <w:t>所在的流域属于</w:t>
      </w:r>
      <w:r>
        <w:rPr>
          <w:rFonts w:ascii="Times New Roman" w:hAnsi="Times New Roman" w:cs="Times New Roman"/>
          <w:sz w:val="24"/>
          <w:szCs w:val="24"/>
        </w:rPr>
        <w:t>浅切低山河谷，由于</w:t>
      </w:r>
      <w:r>
        <w:rPr>
          <w:rFonts w:hint="eastAsia" w:ascii="Times New Roman" w:hAnsi="Times New Roman" w:cs="Times New Roman"/>
          <w:sz w:val="24"/>
          <w:szCs w:val="24"/>
        </w:rPr>
        <w:t>流域</w:t>
      </w:r>
      <w:r>
        <w:rPr>
          <w:rFonts w:ascii="Times New Roman" w:hAnsi="Times New Roman" w:cs="Times New Roman"/>
          <w:sz w:val="24"/>
          <w:szCs w:val="24"/>
        </w:rPr>
        <w:t>内人口众多，较之森林覆盖率低，农耕发达，壤土裸露，部分耕地坡度较大，时有山体坍塌发生，泥沙来源条件较为有利，遇到大雨或暴雨时，泥沙被携带入槽，形成泥沙主要的来源</w:t>
      </w:r>
      <w:r>
        <w:rPr>
          <w:rFonts w:ascii="Times New Roman" w:hAnsi="Times New Roman"/>
          <w:color w:val="auto"/>
          <w:sz w:val="24"/>
          <w:szCs w:val="24"/>
        </w:rPr>
        <w:t>。</w:t>
      </w:r>
    </w:p>
    <w:p>
      <w:pPr>
        <w:pStyle w:val="5"/>
        <w:rPr>
          <w:color w:val="auto"/>
        </w:rPr>
      </w:pPr>
      <w:bookmarkStart w:id="175" w:name="_Toc446"/>
      <w:bookmarkStart w:id="176" w:name="_Toc29644"/>
      <w:bookmarkStart w:id="177" w:name="_Toc418760272"/>
      <w:r>
        <w:rPr>
          <w:color w:val="auto"/>
        </w:rPr>
        <w:t>上游已建水库拦沙后入库泥沙分析</w:t>
      </w:r>
      <w:bookmarkEnd w:id="175"/>
      <w:bookmarkEnd w:id="176"/>
      <w:bookmarkEnd w:id="177"/>
    </w:p>
    <w:p>
      <w:pPr>
        <w:spacing w:line="360" w:lineRule="auto"/>
        <w:ind w:firstLine="480" w:firstLineChars="200"/>
        <w:rPr>
          <w:rFonts w:ascii="Times New Roman" w:hAnsi="Times New Roman"/>
          <w:color w:val="auto"/>
          <w:sz w:val="24"/>
        </w:rPr>
      </w:pPr>
      <w:r>
        <w:rPr>
          <w:rFonts w:hint="eastAsia" w:ascii="Times New Roman" w:hAnsi="Times New Roman"/>
          <w:color w:val="auto"/>
          <w:sz w:val="24"/>
          <w:lang w:val="en-US" w:eastAsia="zh-CN"/>
        </w:rPr>
        <w:t>上游有麻子滩、跑马滩和新生等水库，凤凰湾和三合碑等石河堰蓄水拦沙，本</w:t>
      </w:r>
      <w:r>
        <w:rPr>
          <w:rFonts w:ascii="Times New Roman" w:hAnsi="Times New Roman"/>
          <w:color w:val="auto"/>
          <w:sz w:val="24"/>
        </w:rPr>
        <w:t>工程上游已建水库情况详见表</w:t>
      </w:r>
      <w:r>
        <w:rPr>
          <w:rFonts w:hint="eastAsia" w:ascii="Times New Roman" w:hAnsi="Times New Roman"/>
          <w:color w:val="auto"/>
          <w:sz w:val="24"/>
          <w:lang w:val="en-US" w:eastAsia="zh-CN"/>
        </w:rPr>
        <w:t>5.5</w:t>
      </w:r>
      <w:r>
        <w:rPr>
          <w:rFonts w:ascii="Times New Roman" w:hAnsi="Times New Roman"/>
          <w:color w:val="auto"/>
          <w:sz w:val="24"/>
        </w:rPr>
        <w:t>-1。</w:t>
      </w:r>
    </w:p>
    <w:p>
      <w:pPr>
        <w:jc w:val="center"/>
        <w:rPr>
          <w:rFonts w:ascii="Times New Roman" w:hAnsi="Times New Roman"/>
          <w:b/>
          <w:bCs/>
          <w:color w:val="auto"/>
          <w:szCs w:val="21"/>
        </w:rPr>
      </w:pPr>
      <w:r>
        <w:rPr>
          <w:rFonts w:ascii="Times New Roman" w:hAnsi="Times New Roman"/>
          <w:b/>
          <w:bCs/>
          <w:color w:val="auto"/>
          <w:szCs w:val="21"/>
        </w:rPr>
        <w:t>表5.5-1 上游已建水库情况表</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209"/>
        <w:gridCol w:w="3700"/>
        <w:gridCol w:w="261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水库名称</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集水面积（km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坝型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跑马滩水库</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424.7</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土石混合坝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麻子滩水库</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231.8</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粘土斜墙土石坝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书房坝水库</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135.7</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粘土心墙土石混合坝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棉花沟水库</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11.17</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单拱坝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蟠龙河水库</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186.7</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均质土坝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2209"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合计</w:t>
            </w:r>
          </w:p>
        </w:tc>
        <w:tc>
          <w:tcPr>
            <w:tcW w:w="3700"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1021.97</w:t>
            </w:r>
          </w:p>
        </w:tc>
        <w:tc>
          <w:tcPr>
            <w:tcW w:w="2613"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(1)悬移质泥沙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根据射洪水文站1963年至2005年共43年实测悬移质泥沙资料统计分析，射洪水文站多年平均沙量为1327万t，射洪水文站控制集雨面积23574km</w:t>
      </w:r>
      <w:r>
        <w:rPr>
          <w:rFonts w:hint="eastAsia" w:ascii="宋体" w:hAnsi="宋体" w:eastAsia="宋体" w:cs="宋体"/>
          <w:color w:val="auto"/>
          <w:sz w:val="24"/>
          <w:szCs w:val="24"/>
          <w:vertAlign w:val="superscript"/>
        </w:rPr>
        <w:t>2</w:t>
      </w:r>
      <w:r>
        <w:rPr>
          <w:rFonts w:hint="eastAsia" w:ascii="宋体" w:hAnsi="宋体" w:eastAsia="宋体" w:cs="宋体"/>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根据小河坝水文站1957-2000年共41年实测悬移质泥沙资料进行频率计算，求得小河坝水文站：多年平均悬移质沙量为1710万t。小河坝水文站集雨面积为29420km</w:t>
      </w:r>
      <w:r>
        <w:rPr>
          <w:rFonts w:hint="eastAsia" w:ascii="宋体" w:hAnsi="宋体" w:eastAsia="宋体" w:cs="宋体"/>
          <w:color w:val="auto"/>
          <w:sz w:val="24"/>
          <w:szCs w:val="24"/>
          <w:vertAlign w:val="superscript"/>
        </w:rPr>
        <w:t>2</w:t>
      </w:r>
      <w:r>
        <w:rPr>
          <w:rFonts w:hint="eastAsia" w:ascii="宋体" w:hAnsi="宋体" w:eastAsia="宋体" w:cs="宋体"/>
          <w:color w:val="auto"/>
          <w:sz w:val="24"/>
          <w:szCs w:val="24"/>
        </w:rPr>
        <w:t xml:space="preserve">，按面积比拟计算得到本河段悬移质泥沙。琼江干流萝卜园水库坝址处多年平均悬移质输沙量为96.6万t，蟠龙河多年平均悬移质输沙量为34.9万t，琼江蟠龙河汇口多年平均悬移质输沙量为49.1万t。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(2)推移质泥沙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阶段泥沙分析采用推悬比计算工程处推移质，推悬比按10%计。经计算，琼江干流萝卜园水库坝址处多年平均推移质输沙量为9.7万t，蟠龙河多年平均推移质输沙量为3.5万t，琼江蟠龙河汇口多年平均推移质输沙量为4.9万t。</w:t>
      </w:r>
    </w:p>
    <w:p>
      <w:pPr>
        <w:pStyle w:val="4"/>
        <w:spacing w:before="120" w:after="120"/>
        <w:rPr>
          <w:color w:val="auto"/>
        </w:rPr>
      </w:pPr>
      <w:bookmarkStart w:id="178" w:name="_Toc233014379"/>
      <w:bookmarkStart w:id="179" w:name="_Toc418760273"/>
      <w:bookmarkStart w:id="180" w:name="_Toc28372891"/>
      <w:bookmarkStart w:id="181" w:name="_Toc22417"/>
      <w:bookmarkStart w:id="182" w:name="_Toc375211345"/>
      <w:bookmarkStart w:id="183" w:name="_Toc1228"/>
      <w:r>
        <w:rPr>
          <w:color w:val="auto"/>
        </w:rPr>
        <w:t>水位流量关系</w:t>
      </w:r>
      <w:bookmarkEnd w:id="178"/>
      <w:r>
        <w:rPr>
          <w:color w:val="auto"/>
        </w:rPr>
        <w:t>曲线</w:t>
      </w:r>
      <w:bookmarkEnd w:id="179"/>
      <w:bookmarkEnd w:id="180"/>
      <w:bookmarkEnd w:id="181"/>
      <w:bookmarkEnd w:id="182"/>
      <w:bookmarkEnd w:id="183"/>
      <w:r>
        <w:rPr>
          <w:color w:val="auto"/>
        </w:rPr>
        <w:tab/>
      </w:r>
    </w:p>
    <w:p>
      <w:pPr>
        <w:spacing w:line="360" w:lineRule="auto"/>
        <w:ind w:firstLine="482" w:firstLineChars="200"/>
        <w:rPr>
          <w:rFonts w:hint="eastAsia" w:ascii="宋体" w:hAnsi="宋体" w:eastAsia="宋体" w:cs="宋体"/>
          <w:b/>
          <w:bCs/>
          <w:color w:val="auto"/>
          <w:sz w:val="24"/>
          <w:lang w:val="en-US" w:eastAsia="zh-CN"/>
        </w:rPr>
      </w:pPr>
      <w:r>
        <w:rPr>
          <w:rFonts w:hint="eastAsia" w:ascii="宋体" w:hAnsi="宋体" w:eastAsia="宋体" w:cs="宋体"/>
          <w:b/>
          <w:bCs/>
          <w:color w:val="auto"/>
          <w:sz w:val="24"/>
          <w:lang w:val="en-US" w:eastAsia="zh-CN"/>
        </w:rPr>
        <w:t>5.6.1下游控制断面水位～流量关系曲线</w:t>
      </w:r>
    </w:p>
    <w:p>
      <w:pPr>
        <w:spacing w:line="360" w:lineRule="auto"/>
        <w:ind w:firstLine="480" w:firstLineChars="200"/>
        <w:rPr>
          <w:rFonts w:hint="eastAsia" w:ascii="Times New Roman" w:hAnsi="Times New Roman"/>
          <w:color w:val="auto"/>
          <w:sz w:val="24"/>
        </w:rPr>
      </w:pPr>
      <w:r>
        <w:rPr>
          <w:rFonts w:hint="eastAsia" w:ascii="Times New Roman" w:hAnsi="Times New Roman"/>
          <w:color w:val="auto"/>
          <w:sz w:val="24"/>
        </w:rPr>
        <w:t>因萝卜园水库坝址下游约6km处有一石河堰（红岩凼石河堰），堰长84m，堰高4.0m，堰顶高程267.90m。坝下水位的控制性因素是红岩凼石河堰行洪时水位。所以，本次以红岩凼石河堰作水位起始断面，采用一维恒定非均匀流能量方程从下游往上游逐段推求至萝卜园水库坝址下游，以绘坝下游水位流量关系曲线。</w:t>
      </w:r>
    </w:p>
    <w:p>
      <w:pPr>
        <w:spacing w:line="360" w:lineRule="auto"/>
        <w:ind w:firstLine="480" w:firstLineChars="200"/>
        <w:rPr>
          <w:rFonts w:ascii="Times New Roman" w:hAnsi="Times New Roman"/>
          <w:color w:val="auto"/>
          <w:sz w:val="24"/>
        </w:rPr>
      </w:pPr>
      <w:r>
        <w:rPr>
          <w:rFonts w:hint="eastAsia" w:ascii="Times New Roman" w:hAnsi="Times New Roman"/>
          <w:color w:val="auto"/>
          <w:sz w:val="24"/>
        </w:rPr>
        <w:t>经计算，坝下游水位流量关系见表</w:t>
      </w:r>
      <w:r>
        <w:rPr>
          <w:rFonts w:hint="eastAsia" w:ascii="Times New Roman" w:hAnsi="Times New Roman"/>
          <w:color w:val="auto"/>
          <w:sz w:val="24"/>
          <w:lang w:val="en-US" w:eastAsia="zh-CN"/>
        </w:rPr>
        <w:t>5</w:t>
      </w:r>
      <w:r>
        <w:rPr>
          <w:rFonts w:hint="eastAsia" w:ascii="Times New Roman" w:hAnsi="Times New Roman"/>
          <w:color w:val="auto"/>
          <w:sz w:val="24"/>
        </w:rPr>
        <w:t>.6-1。</w:t>
      </w:r>
    </w:p>
    <w:p>
      <w:pPr>
        <w:jc w:val="center"/>
        <w:rPr>
          <w:rFonts w:ascii="Times New Roman" w:hAnsi="Times New Roman"/>
          <w:b/>
          <w:bCs/>
          <w:color w:val="auto"/>
          <w:szCs w:val="21"/>
        </w:rPr>
      </w:pPr>
      <w:r>
        <w:rPr>
          <w:rFonts w:ascii="Times New Roman" w:hAnsi="Times New Roman"/>
          <w:b/>
          <w:bCs/>
          <w:color w:val="auto"/>
          <w:szCs w:val="21"/>
        </w:rPr>
        <w:t xml:space="preserve">表5.6-1 </w:t>
      </w:r>
      <w:r>
        <w:rPr>
          <w:rFonts w:hint="eastAsia" w:ascii="Times New Roman" w:hAnsi="Times New Roman"/>
          <w:b/>
          <w:bCs/>
          <w:color w:val="auto"/>
          <w:szCs w:val="21"/>
          <w:lang w:val="en-US" w:eastAsia="zh-CN"/>
        </w:rPr>
        <w:t>萝卜园坝下游水位流量关系表</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228"/>
        <w:gridCol w:w="852"/>
        <w:gridCol w:w="852"/>
        <w:gridCol w:w="852"/>
        <w:gridCol w:w="852"/>
        <w:gridCol w:w="852"/>
        <w:gridCol w:w="852"/>
        <w:gridCol w:w="852"/>
        <w:gridCol w:w="852"/>
        <w:gridCol w:w="85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22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水位(m)</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271.24</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272.36</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273.38</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273.81</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273.87</w:t>
            </w:r>
          </w:p>
        </w:tc>
        <w:tc>
          <w:tcPr>
            <w:tcW w:w="852" w:type="dxa"/>
            <w:tcBorders>
              <w:tl2br w:val="nil"/>
              <w:tr2bl w:val="nil"/>
            </w:tcBorders>
            <w:vAlign w:val="center"/>
          </w:tcPr>
          <w:p>
            <w:pPr>
              <w:widowControl w:val="0"/>
              <w:adjustRightInd w:val="0"/>
              <w:snapToGrid w:val="0"/>
              <w:ind w:firstLine="0" w:firstLineChars="0"/>
              <w:jc w:val="center"/>
              <w:rPr>
                <w:rFonts w:hint="eastAsia" w:ascii="宋体" w:hAnsi="宋体" w:eastAsia="宋体" w:cs="宋体"/>
                <w:color w:val="auto"/>
                <w:sz w:val="21"/>
                <w:szCs w:val="21"/>
              </w:rPr>
            </w:pPr>
            <w:r>
              <w:rPr>
                <w:rFonts w:hint="eastAsia" w:ascii="Times New Roman" w:hAnsi="Times New Roman" w:cs="Times New Roman"/>
                <w:color w:val="auto"/>
                <w:sz w:val="21"/>
                <w:szCs w:val="21"/>
              </w:rPr>
              <w:t>274.55</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274.76</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275.19</w:t>
            </w:r>
          </w:p>
        </w:tc>
        <w:tc>
          <w:tcPr>
            <w:tcW w:w="852" w:type="dxa"/>
            <w:tcBorders>
              <w:tl2br w:val="nil"/>
              <w:tr2bl w:val="nil"/>
            </w:tcBorders>
            <w:vAlign w:val="center"/>
          </w:tcPr>
          <w:p>
            <w:pPr>
              <w:widowControl w:val="0"/>
              <w:adjustRightInd w:val="0"/>
              <w:snapToGrid w:val="0"/>
              <w:ind w:firstLine="0" w:firstLineChars="0"/>
              <w:jc w:val="center"/>
              <w:rPr>
                <w:rFonts w:hint="eastAsia" w:ascii="宋体" w:hAnsi="宋体" w:eastAsia="宋体" w:cs="宋体"/>
                <w:color w:val="auto"/>
                <w:sz w:val="21"/>
                <w:szCs w:val="21"/>
                <w:lang w:val="en-US" w:eastAsia="zh-CN"/>
              </w:rPr>
            </w:pPr>
            <w:r>
              <w:rPr>
                <w:rFonts w:hint="eastAsia" w:ascii="Times New Roman" w:hAnsi="Times New Roman" w:cs="Times New Roman"/>
                <w:color w:val="auto"/>
                <w:sz w:val="21"/>
                <w:szCs w:val="21"/>
              </w:rPr>
              <w:t>275.39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22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流量(m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/s)</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500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900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1200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1450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1493</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2040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2199</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2545</w:t>
            </w:r>
          </w:p>
        </w:tc>
        <w:tc>
          <w:tcPr>
            <w:tcW w:w="852" w:type="dxa"/>
            <w:tcBorders>
              <w:tl2br w:val="nil"/>
              <w:tr2bl w:val="nil"/>
            </w:tcBorders>
            <w:vAlign w:val="center"/>
          </w:tcPr>
          <w:p>
            <w:pPr>
              <w:widowControl w:val="0"/>
              <w:adjustRightInd w:val="0"/>
              <w:snapToGrid w:val="0"/>
              <w:ind w:firstLine="0" w:firstLineChars="0"/>
              <w:jc w:val="center"/>
              <w:rPr>
                <w:rFonts w:hint="eastAsia" w:ascii="宋体" w:hAnsi="宋体" w:eastAsia="宋体" w:cs="宋体"/>
                <w:color w:val="auto"/>
                <w:sz w:val="21"/>
                <w:szCs w:val="21"/>
                <w:lang w:val="en-US" w:eastAsia="zh-CN"/>
              </w:rPr>
            </w:pPr>
            <w:r>
              <w:rPr>
                <w:rFonts w:hint="eastAsia" w:ascii="Times New Roman" w:hAnsi="Times New Roman" w:cs="Times New Roman"/>
                <w:color w:val="auto"/>
                <w:sz w:val="21"/>
                <w:szCs w:val="21"/>
              </w:rPr>
              <w:t>2720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22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水位(m)</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275.59</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275.87</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275.97</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276.36</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276.74</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277.24</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277.60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278.03</w:t>
            </w:r>
          </w:p>
        </w:tc>
        <w:tc>
          <w:tcPr>
            <w:tcW w:w="852" w:type="dxa"/>
            <w:tcBorders>
              <w:tl2br w:val="nil"/>
              <w:tr2bl w:val="nil"/>
            </w:tcBorders>
            <w:vAlign w:val="center"/>
          </w:tcPr>
          <w:p>
            <w:pPr>
              <w:widowControl w:val="0"/>
              <w:adjustRightInd w:val="0"/>
              <w:snapToGrid w:val="0"/>
              <w:ind w:firstLine="0" w:firstLineChars="0"/>
              <w:jc w:val="center"/>
              <w:rPr>
                <w:rFonts w:hint="eastAsia" w:ascii="宋体" w:hAnsi="宋体" w:eastAsia="宋体" w:cs="宋体"/>
                <w:color w:val="auto"/>
                <w:sz w:val="21"/>
                <w:szCs w:val="21"/>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1228"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流量(m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/s)</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2902</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3160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3259</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3630</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4022</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4571</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5023</w:t>
            </w:r>
          </w:p>
        </w:tc>
        <w:tc>
          <w:tcPr>
            <w:tcW w:w="852" w:type="dxa"/>
            <w:tcBorders>
              <w:tl2br w:val="nil"/>
              <w:tr2bl w:val="nil"/>
            </w:tcBorders>
            <w:vAlign w:val="center"/>
          </w:tcPr>
          <w:p>
            <w:pPr>
              <w:widowControl w:val="0"/>
              <w:adjustRightInd w:val="0"/>
              <w:snapToGrid w:val="0"/>
              <w:ind w:firstLine="0" w:firstLineChars="0"/>
              <w:jc w:val="center"/>
              <w:rPr>
                <w:rFonts w:hint="default" w:ascii="宋体" w:hAnsi="宋体" w:eastAsia="宋体" w:cs="宋体"/>
                <w:color w:val="auto"/>
                <w:sz w:val="21"/>
                <w:szCs w:val="21"/>
                <w:lang w:val="en-US" w:eastAsia="zh-CN"/>
              </w:rPr>
            </w:pPr>
            <w:r>
              <w:rPr>
                <w:rFonts w:hint="eastAsia" w:ascii="Times New Roman" w:hAnsi="Times New Roman" w:cs="Times New Roman"/>
                <w:color w:val="auto"/>
                <w:sz w:val="21"/>
                <w:szCs w:val="21"/>
              </w:rPr>
              <w:t>5563</w:t>
            </w:r>
          </w:p>
        </w:tc>
        <w:tc>
          <w:tcPr>
            <w:tcW w:w="852" w:type="dxa"/>
            <w:tcBorders>
              <w:tl2br w:val="nil"/>
              <w:tr2bl w:val="nil"/>
            </w:tcBorders>
            <w:vAlign w:val="center"/>
          </w:tcPr>
          <w:p>
            <w:pPr>
              <w:widowControl w:val="0"/>
              <w:adjustRightInd w:val="0"/>
              <w:snapToGrid w:val="0"/>
              <w:ind w:firstLine="0" w:firstLineChars="0"/>
              <w:jc w:val="center"/>
              <w:rPr>
                <w:rFonts w:hint="eastAsia" w:ascii="宋体" w:hAnsi="宋体" w:eastAsia="宋体" w:cs="宋体"/>
                <w:color w:val="auto"/>
                <w:sz w:val="21"/>
                <w:szCs w:val="21"/>
                <w:lang w:val="en-US" w:eastAsia="zh-CN"/>
              </w:rPr>
            </w:pPr>
          </w:p>
        </w:tc>
      </w:tr>
    </w:tbl>
    <w:p>
      <w:pPr>
        <w:adjustRightInd w:val="0"/>
        <w:snapToGrid w:val="0"/>
        <w:ind w:left="-473" w:leftChars="-225"/>
        <w:jc w:val="center"/>
        <w:rPr>
          <w:rFonts w:ascii="Times New Roman" w:hAnsi="Times New Roman"/>
          <w:color w:val="FF0000"/>
        </w:rPr>
      </w:pPr>
      <w:r>
        <w:rPr>
          <w:rFonts w:ascii="Times New Roman" w:hAnsi="Times New Roman"/>
          <w:color w:val="FF0000"/>
        </w:rPr>
        <w:t xml:space="preserve">   </w:t>
      </w:r>
    </w:p>
    <w:p>
      <w:pPr>
        <w:adjustRightInd w:val="0"/>
        <w:snapToGrid w:val="0"/>
        <w:jc w:val="center"/>
        <w:rPr>
          <w:rFonts w:hint="eastAsia" w:ascii="Times New Roman" w:hAnsi="Times New Roman" w:eastAsia="宋体"/>
          <w:color w:val="FF0000"/>
          <w:lang w:eastAsia="zh-CN"/>
        </w:rPr>
      </w:pPr>
      <w:r>
        <w:drawing>
          <wp:inline distT="0" distB="0" distL="114300" distR="114300">
            <wp:extent cx="4485005" cy="2741930"/>
            <wp:effectExtent l="0" t="0" r="1079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1"/>
                    <a:stretch>
                      <a:fillRect/>
                    </a:stretch>
                  </pic:blipFill>
                  <pic:spPr>
                    <a:xfrm>
                      <a:off x="0" y="0"/>
                      <a:ext cx="4485005" cy="2741930"/>
                    </a:xfrm>
                    <a:prstGeom prst="rect">
                      <a:avLst/>
                    </a:prstGeom>
                    <a:noFill/>
                    <a:ln>
                      <a:noFill/>
                    </a:ln>
                  </pic:spPr>
                </pic:pic>
              </a:graphicData>
            </a:graphic>
          </wp:inline>
        </w:drawing>
      </w:r>
    </w:p>
    <w:p>
      <w:pPr>
        <w:pStyle w:val="168"/>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ascii="Times New Roman" w:hAnsi="Times New Roman"/>
          <w:color w:val="auto"/>
        </w:rPr>
      </w:pPr>
      <w:r>
        <w:rPr>
          <w:rFonts w:ascii="Times New Roman" w:hAnsi="Times New Roman" w:eastAsia="宋体"/>
          <w:bCs/>
          <w:color w:val="auto"/>
          <w:szCs w:val="21"/>
          <w:lang w:bidi="ar-SA"/>
        </w:rPr>
        <w:t xml:space="preserve">图5.6-1 </w:t>
      </w:r>
      <w:r>
        <w:rPr>
          <w:rFonts w:hint="eastAsia" w:ascii="Times New Roman" w:hAnsi="Times New Roman" w:eastAsia="宋体"/>
          <w:bCs/>
          <w:color w:val="auto"/>
          <w:szCs w:val="21"/>
          <w:lang w:val="en-US" w:eastAsia="zh-CN" w:bidi="ar-SA"/>
        </w:rPr>
        <w:t>萝卜园水库坝下游水位～流量关系曲线</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bCs/>
          <w:color w:val="auto"/>
          <w:sz w:val="24"/>
          <w:lang w:val="en-US" w:eastAsia="zh-CN"/>
        </w:rPr>
      </w:pPr>
      <w:r>
        <w:rPr>
          <w:rFonts w:hint="eastAsia" w:ascii="宋体" w:hAnsi="宋体" w:eastAsia="宋体" w:cs="宋体"/>
          <w:b/>
          <w:bCs/>
          <w:color w:val="auto"/>
          <w:sz w:val="24"/>
          <w:lang w:val="en-US" w:eastAsia="zh-CN"/>
        </w:rPr>
        <w:t>5.6.2坝前断面水位～流量关系曲线</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lang w:val="zh-CN"/>
        </w:rPr>
      </w:pPr>
      <w:r>
        <w:rPr>
          <w:rFonts w:hint="eastAsia" w:ascii="宋体" w:hAnsi="宋体" w:eastAsia="宋体" w:cs="宋体"/>
          <w:color w:val="auto"/>
          <w:sz w:val="24"/>
          <w:szCs w:val="24"/>
          <w:lang w:val="zh-CN"/>
        </w:rPr>
        <w:t>根据萝卜园水库工程设计资料可知，萝卜园水库采用全闸方案，拦河挡水泄洪冲沙闸为7孔+1孔3m×3m潜孔小闸，7孔泄洪冲沙闸尺寸为：12m（宽）×9.5m（高），平板钢闸门控制，固定式启闭机启闭，堰型为有坎宽顶堰，堰顶高程为265.5m。坝前水位采用堰流公式计算，坝下水位以红岩凼石河堰作水位起始断面，采用一维恒定非均匀流能量方程从下游往上游逐段推求至萝卜园水库坝址下游。</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zh-CN"/>
        </w:rPr>
        <w:t>经计算，得坝前各设计频率水位流量关系见表</w:t>
      </w:r>
      <w:r>
        <w:rPr>
          <w:rFonts w:hint="eastAsia" w:ascii="宋体" w:hAnsi="宋体" w:eastAsia="宋体" w:cs="宋体"/>
          <w:color w:val="auto"/>
          <w:sz w:val="24"/>
          <w:szCs w:val="24"/>
          <w:lang w:val="en-US" w:eastAsia="zh-CN"/>
        </w:rPr>
        <w:t>5.6-2</w:t>
      </w:r>
      <w:r>
        <w:rPr>
          <w:rFonts w:hint="eastAsia" w:ascii="宋体" w:hAnsi="宋体" w:eastAsia="宋体" w:cs="宋体"/>
          <w:color w:val="auto"/>
          <w:sz w:val="24"/>
          <w:szCs w:val="24"/>
          <w:lang w:val="zh-CN"/>
        </w:rPr>
        <w:t>，坝前水位流量关系见表</w:t>
      </w:r>
      <w:r>
        <w:rPr>
          <w:rFonts w:hint="eastAsia" w:ascii="宋体" w:hAnsi="宋体" w:eastAsia="宋体" w:cs="宋体"/>
          <w:color w:val="auto"/>
          <w:sz w:val="24"/>
          <w:szCs w:val="24"/>
          <w:lang w:val="en-US" w:eastAsia="zh-CN"/>
        </w:rPr>
        <w:t>5.6-3</w:t>
      </w:r>
      <w:r>
        <w:rPr>
          <w:rFonts w:hint="eastAsia" w:ascii="宋体" w:hAnsi="宋体" w:eastAsia="宋体" w:cs="宋体"/>
          <w:color w:val="auto"/>
          <w:sz w:val="24"/>
          <w:szCs w:val="24"/>
          <w:lang w:val="zh-CN"/>
        </w:rPr>
        <w:t>，坝前水位流量关系曲线见图</w:t>
      </w:r>
      <w:r>
        <w:rPr>
          <w:rFonts w:hint="eastAsia" w:ascii="宋体" w:hAnsi="宋体" w:eastAsia="宋体" w:cs="宋体"/>
          <w:color w:val="auto"/>
          <w:sz w:val="24"/>
          <w:szCs w:val="24"/>
          <w:lang w:val="en-US" w:eastAsia="zh-CN"/>
        </w:rPr>
        <w:t>5.6-2。</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宋体" w:hAnsi="宋体" w:eastAsia="宋体" w:cs="宋体"/>
          <w:b/>
          <w:bCs/>
          <w:color w:val="auto"/>
          <w:sz w:val="21"/>
          <w:szCs w:val="21"/>
          <w:lang w:val="en-US" w:eastAsia="zh-CN"/>
        </w:rPr>
      </w:pPr>
      <w:r>
        <w:rPr>
          <w:rFonts w:hint="eastAsia" w:ascii="宋体" w:hAnsi="宋体" w:eastAsia="宋体" w:cs="宋体"/>
          <w:b/>
          <w:bCs/>
          <w:color w:val="auto"/>
          <w:sz w:val="21"/>
          <w:szCs w:val="21"/>
          <w:lang w:val="en-US" w:eastAsia="zh-CN"/>
        </w:rPr>
        <w:t>表5.6-2  坝前后各设计频率水位流量关系表</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05"/>
        <w:gridCol w:w="1705"/>
        <w:gridCol w:w="1704"/>
        <w:gridCol w:w="1704"/>
        <w:gridCol w:w="170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洪水频率</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开度</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泄流量(m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/s)</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上游水位(m)</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下游水位(m)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20%</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1310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273.60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273.54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10%</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2040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274.67</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274.55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2720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275.67</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275.39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3.30%</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3160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276.27</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275.87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3630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276.89</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276.36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4350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277.68</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277.05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0.50%</w:t>
            </w:r>
          </w:p>
        </w:tc>
        <w:tc>
          <w:tcPr>
            <w:tcW w:w="1705"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7孔全开</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5000</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278.31</w:t>
            </w:r>
          </w:p>
        </w:tc>
        <w:tc>
          <w:tcPr>
            <w:tcW w:w="1704" w:type="dxa"/>
            <w:tcBorders>
              <w:tl2br w:val="nil"/>
              <w:tr2bl w:val="nil"/>
            </w:tcBorders>
            <w:vAlign w:val="center"/>
          </w:tcPr>
          <w:p>
            <w:pPr>
              <w:pStyle w:val="167"/>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277.60</w:t>
            </w:r>
          </w:p>
        </w:tc>
      </w:tr>
    </w:tbl>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宋体" w:hAnsi="宋体" w:eastAsia="宋体" w:cs="宋体"/>
          <w:b/>
          <w:bCs/>
          <w:color w:val="auto"/>
          <w:sz w:val="21"/>
          <w:szCs w:val="21"/>
          <w:lang w:val="en-US" w:eastAsia="zh-CN"/>
        </w:rPr>
      </w:pPr>
      <w:r>
        <w:rPr>
          <w:rFonts w:hint="eastAsia" w:ascii="宋体" w:hAnsi="宋体" w:eastAsia="宋体" w:cs="宋体"/>
          <w:b/>
          <w:bCs/>
          <w:color w:val="auto"/>
          <w:sz w:val="21"/>
          <w:szCs w:val="21"/>
          <w:lang w:val="en-US" w:eastAsia="zh-CN"/>
        </w:rPr>
        <w:t>表5.6-3 坝前水位流量关系表</w:t>
      </w:r>
    </w:p>
    <w:tbl>
      <w:tblPr>
        <w:tblStyle w:val="39"/>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38"/>
        <w:gridCol w:w="930"/>
        <w:gridCol w:w="930"/>
        <w:gridCol w:w="930"/>
        <w:gridCol w:w="931"/>
        <w:gridCol w:w="931"/>
        <w:gridCol w:w="931"/>
        <w:gridCol w:w="931"/>
        <w:gridCol w:w="93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99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ascii="宋体" w:hAnsi="宋体" w:eastAsia="宋体" w:cs="宋体"/>
                <w:sz w:val="21"/>
                <w:szCs w:val="21"/>
              </w:rPr>
            </w:pPr>
            <w:bookmarkStart w:id="184" w:name="OLE_LINK13" w:colFirst="1" w:colLast="8"/>
            <w:r>
              <w:rPr>
                <w:rFonts w:hint="eastAsia" w:ascii="宋体" w:hAnsi="宋体" w:eastAsia="宋体" w:cs="宋体"/>
                <w:sz w:val="21"/>
                <w:szCs w:val="21"/>
              </w:rPr>
              <w:t>水位(m)</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272.39</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273.41</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273.90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273.98</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274.67</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274.92</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275.43</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275.67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99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下泄流量(m</w:t>
            </w:r>
            <w:r>
              <w:rPr>
                <w:rFonts w:hint="eastAsia" w:ascii="宋体" w:hAnsi="宋体" w:eastAsia="宋体" w:cs="宋体"/>
                <w:sz w:val="21"/>
                <w:szCs w:val="21"/>
                <w:vertAlign w:val="superscript"/>
              </w:rPr>
              <w:t>3</w:t>
            </w:r>
            <w:r>
              <w:rPr>
                <w:rFonts w:hint="eastAsia" w:ascii="宋体" w:hAnsi="宋体" w:eastAsia="宋体" w:cs="宋体"/>
                <w:sz w:val="21"/>
                <w:szCs w:val="21"/>
              </w:rPr>
              <w:t>/s)</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900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1200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1450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1493</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2040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2199</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2545</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99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jc w:val="center"/>
              <w:textAlignment w:val="auto"/>
              <w:rPr>
                <w:rFonts w:hint="eastAsia" w:ascii="宋体" w:hAnsi="宋体" w:eastAsia="宋体" w:cs="宋体"/>
                <w:sz w:val="21"/>
                <w:szCs w:val="21"/>
              </w:rPr>
            </w:pPr>
            <w:r>
              <w:rPr>
                <w:rFonts w:hint="eastAsia" w:ascii="宋体" w:hAnsi="宋体" w:eastAsia="宋体" w:cs="宋体"/>
                <w:sz w:val="21"/>
                <w:szCs w:val="21"/>
              </w:rPr>
              <w:t>水位(m)</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275.92</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276.27</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276.40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276.89</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277.36</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277.89</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278.31</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278.95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99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下泄流量(m</w:t>
            </w:r>
            <w:r>
              <w:rPr>
                <w:rFonts w:hint="eastAsia" w:ascii="宋体" w:hAnsi="宋体" w:eastAsia="宋体" w:cs="宋体"/>
                <w:sz w:val="21"/>
                <w:szCs w:val="21"/>
                <w:vertAlign w:val="superscript"/>
              </w:rPr>
              <w:t>3</w:t>
            </w:r>
            <w:r>
              <w:rPr>
                <w:rFonts w:hint="eastAsia" w:ascii="宋体" w:hAnsi="宋体" w:eastAsia="宋体" w:cs="宋体"/>
                <w:sz w:val="21"/>
                <w:szCs w:val="21"/>
              </w:rPr>
              <w:t>/s)</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2902</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3160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3259</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3630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4022</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4571</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5023</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5563</w:t>
            </w:r>
          </w:p>
        </w:tc>
      </w:tr>
      <w:bookmarkEnd w:id="184"/>
    </w:tbl>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Times New Roman" w:hAnsi="Times New Roman"/>
          <w:color w:val="FF0000"/>
          <w:lang w:val="zh-CN"/>
        </w:rPr>
      </w:pPr>
      <w:r>
        <w:rPr>
          <w:rFonts w:ascii="Times New Roman" w:hAnsi="Times New Roman"/>
          <w:color w:val="FF0000"/>
          <w:lang w:val="zh-CN"/>
        </w:rPr>
        <w:drawing>
          <wp:inline distT="0" distB="0" distL="114300" distR="114300">
            <wp:extent cx="4069715" cy="2472055"/>
            <wp:effectExtent l="0" t="0" r="6985" b="4445"/>
            <wp:docPr id="3"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2"/>
                    <pic:cNvPicPr>
                      <a:picLocks noChangeAspect="1"/>
                    </pic:cNvPicPr>
                  </pic:nvPicPr>
                  <pic:blipFill>
                    <a:blip r:embed="rId22"/>
                    <a:stretch>
                      <a:fillRect/>
                    </a:stretch>
                  </pic:blipFill>
                  <pic:spPr>
                    <a:xfrm>
                      <a:off x="0" y="0"/>
                      <a:ext cx="4069715" cy="247205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color w:val="FF0000"/>
          <w:lang w:val="zh-CN"/>
        </w:rPr>
      </w:pPr>
      <w:r>
        <w:rPr>
          <w:rFonts w:hint="eastAsia" w:ascii="宋体" w:hAnsi="宋体" w:eastAsia="宋体" w:cs="宋体"/>
          <w:b/>
          <w:bCs/>
          <w:color w:val="auto"/>
          <w:lang w:val="en-US" w:eastAsia="zh-CN"/>
        </w:rPr>
        <w:t>图5.6-2  萝卜园水库坝前水位～流量关系曲线</w:t>
      </w:r>
      <w:r>
        <w:rPr>
          <w:rFonts w:ascii="Times New Roman" w:hAnsi="Times New Roman"/>
          <w:color w:val="FF0000"/>
          <w:lang w:val="zh-CN"/>
        </w:rPr>
        <w:br w:type="page"/>
      </w:r>
    </w:p>
    <w:p>
      <w:pPr>
        <w:pStyle w:val="3"/>
        <w:rPr>
          <w:color w:val="auto"/>
          <w:lang w:val="zh-CN"/>
        </w:rPr>
      </w:pPr>
      <w:bookmarkStart w:id="185" w:name="_Toc7282"/>
      <w:r>
        <w:rPr>
          <w:color w:val="auto"/>
          <w:lang w:val="zh-CN"/>
        </w:rPr>
        <w:t>生态环境现状调查与评价</w:t>
      </w:r>
      <w:bookmarkEnd w:id="116"/>
      <w:bookmarkEnd w:id="117"/>
      <w:bookmarkEnd w:id="118"/>
      <w:bookmarkEnd w:id="185"/>
    </w:p>
    <w:p>
      <w:pPr>
        <w:pStyle w:val="4"/>
        <w:spacing w:before="120" w:after="120"/>
        <w:rPr>
          <w:color w:val="auto"/>
        </w:rPr>
      </w:pPr>
      <w:bookmarkStart w:id="186" w:name="_Toc13757"/>
      <w:r>
        <w:rPr>
          <w:color w:val="auto"/>
        </w:rPr>
        <w:t>陆生植物现状调查与评价</w:t>
      </w:r>
      <w:bookmarkEnd w:id="186"/>
    </w:p>
    <w:p>
      <w:pPr>
        <w:pStyle w:val="5"/>
        <w:rPr>
          <w:color w:val="auto"/>
        </w:rPr>
      </w:pPr>
      <w:bookmarkStart w:id="187" w:name="_Toc16661"/>
      <w:bookmarkStart w:id="188" w:name="_Toc2080830"/>
      <w:bookmarkStart w:id="189" w:name="_Toc523688161"/>
      <w:r>
        <w:rPr>
          <w:color w:val="auto"/>
        </w:rPr>
        <w:t>植物物种组成及区系特征</w:t>
      </w:r>
      <w:bookmarkEnd w:id="187"/>
    </w:p>
    <w:p>
      <w:pPr>
        <w:spacing w:line="360" w:lineRule="auto"/>
        <w:ind w:firstLine="482" w:firstLineChars="200"/>
        <w:rPr>
          <w:rFonts w:ascii="Times New Roman" w:hAnsi="Times New Roman"/>
          <w:b/>
          <w:bCs/>
          <w:color w:val="auto"/>
          <w:sz w:val="24"/>
        </w:rPr>
      </w:pPr>
      <w:r>
        <w:rPr>
          <w:rFonts w:ascii="Times New Roman" w:hAnsi="Times New Roman"/>
          <w:b/>
          <w:bCs/>
          <w:color w:val="auto"/>
          <w:sz w:val="24"/>
        </w:rPr>
        <w:t>（1）植物物种组成</w:t>
      </w:r>
    </w:p>
    <w:p>
      <w:pPr>
        <w:spacing w:line="360" w:lineRule="auto"/>
        <w:ind w:firstLine="480" w:firstLineChars="200"/>
        <w:rPr>
          <w:rFonts w:ascii="Times New Roman" w:hAnsi="Times New Roman"/>
          <w:color w:val="auto"/>
          <w:sz w:val="24"/>
        </w:rPr>
      </w:pPr>
      <w:r>
        <w:rPr>
          <w:rFonts w:ascii="Times New Roman" w:hAnsi="Times New Roman"/>
          <w:color w:val="auto"/>
          <w:sz w:val="24"/>
        </w:rPr>
        <w:t>根据现场所摄照片及植物标本，查阅《中国高等植物图鉴》、《中国植物志》以及《四川植被》等相关专著，在室内鉴定野外未识别的植物物种。经调查，按照恩格勒分类系统，评价区内共有维管束植</w:t>
      </w:r>
      <w:r>
        <w:rPr>
          <w:rFonts w:ascii="Times New Roman" w:hAnsi="Times New Roman"/>
          <w:color w:val="auto"/>
          <w:sz w:val="24"/>
          <w:highlight w:val="none"/>
        </w:rPr>
        <w:t>物</w:t>
      </w:r>
      <w:r>
        <w:rPr>
          <w:rFonts w:hint="eastAsia" w:ascii="Times New Roman" w:hAnsi="Times New Roman"/>
          <w:color w:val="auto"/>
          <w:sz w:val="24"/>
          <w:highlight w:val="none"/>
          <w:lang w:val="en-US" w:eastAsia="zh-CN"/>
        </w:rPr>
        <w:t>48</w:t>
      </w:r>
      <w:r>
        <w:rPr>
          <w:rFonts w:ascii="Times New Roman" w:hAnsi="Times New Roman"/>
          <w:color w:val="auto"/>
          <w:sz w:val="24"/>
          <w:highlight w:val="none"/>
        </w:rPr>
        <w:t>科10</w:t>
      </w:r>
      <w:r>
        <w:rPr>
          <w:rFonts w:hint="eastAsia" w:ascii="Times New Roman" w:hAnsi="Times New Roman"/>
          <w:color w:val="auto"/>
          <w:sz w:val="24"/>
          <w:highlight w:val="none"/>
          <w:lang w:val="en-US" w:eastAsia="zh-CN"/>
        </w:rPr>
        <w:t>3</w:t>
      </w:r>
      <w:r>
        <w:rPr>
          <w:rFonts w:ascii="Times New Roman" w:hAnsi="Times New Roman"/>
          <w:color w:val="auto"/>
          <w:sz w:val="24"/>
          <w:highlight w:val="none"/>
        </w:rPr>
        <w:t>属1</w:t>
      </w:r>
      <w:r>
        <w:rPr>
          <w:rFonts w:hint="eastAsia" w:ascii="Times New Roman" w:hAnsi="Times New Roman"/>
          <w:color w:val="auto"/>
          <w:sz w:val="24"/>
          <w:highlight w:val="none"/>
          <w:lang w:val="en-US" w:eastAsia="zh-CN"/>
        </w:rPr>
        <w:t>27</w:t>
      </w:r>
      <w:r>
        <w:rPr>
          <w:rFonts w:ascii="Times New Roman" w:hAnsi="Times New Roman"/>
          <w:color w:val="auto"/>
          <w:sz w:val="24"/>
          <w:highlight w:val="none"/>
        </w:rPr>
        <w:t>种</w:t>
      </w:r>
      <w:r>
        <w:rPr>
          <w:rFonts w:ascii="Times New Roman" w:hAnsi="Times New Roman"/>
          <w:color w:val="auto"/>
          <w:sz w:val="24"/>
        </w:rPr>
        <w:t>：其中</w:t>
      </w:r>
      <w:r>
        <w:rPr>
          <w:rFonts w:ascii="Times New Roman" w:hAnsi="Times New Roman"/>
          <w:color w:val="auto"/>
          <w:sz w:val="24"/>
          <w:highlight w:val="none"/>
        </w:rPr>
        <w:t>蕨类植物共有</w:t>
      </w:r>
      <w:r>
        <w:rPr>
          <w:rFonts w:hint="eastAsia" w:ascii="Times New Roman" w:hAnsi="Times New Roman"/>
          <w:color w:val="auto"/>
          <w:sz w:val="24"/>
          <w:highlight w:val="none"/>
          <w:lang w:val="en-US" w:eastAsia="zh-CN"/>
        </w:rPr>
        <w:t>4</w:t>
      </w:r>
      <w:r>
        <w:rPr>
          <w:rFonts w:ascii="Times New Roman" w:hAnsi="Times New Roman"/>
          <w:color w:val="auto"/>
          <w:sz w:val="24"/>
          <w:highlight w:val="none"/>
        </w:rPr>
        <w:t>科</w:t>
      </w:r>
      <w:r>
        <w:rPr>
          <w:rFonts w:hint="eastAsia" w:ascii="Times New Roman" w:hAnsi="Times New Roman"/>
          <w:color w:val="auto"/>
          <w:sz w:val="24"/>
          <w:highlight w:val="none"/>
          <w:lang w:val="en-US" w:eastAsia="zh-CN"/>
        </w:rPr>
        <w:t>5</w:t>
      </w:r>
      <w:r>
        <w:rPr>
          <w:rFonts w:ascii="Times New Roman" w:hAnsi="Times New Roman"/>
          <w:color w:val="auto"/>
          <w:sz w:val="24"/>
          <w:highlight w:val="none"/>
        </w:rPr>
        <w:t>属</w:t>
      </w:r>
      <w:r>
        <w:rPr>
          <w:rFonts w:hint="eastAsia" w:ascii="Times New Roman" w:hAnsi="Times New Roman"/>
          <w:color w:val="auto"/>
          <w:sz w:val="24"/>
          <w:highlight w:val="none"/>
          <w:lang w:val="en-US" w:eastAsia="zh-CN"/>
        </w:rPr>
        <w:t>7</w:t>
      </w:r>
      <w:r>
        <w:rPr>
          <w:rFonts w:ascii="Times New Roman" w:hAnsi="Times New Roman"/>
          <w:color w:val="auto"/>
          <w:sz w:val="24"/>
          <w:highlight w:val="none"/>
        </w:rPr>
        <w:t>种</w:t>
      </w:r>
      <w:r>
        <w:rPr>
          <w:rFonts w:ascii="Times New Roman" w:hAnsi="Times New Roman"/>
          <w:color w:val="auto"/>
          <w:sz w:val="24"/>
        </w:rPr>
        <w:t>，裸子植</w:t>
      </w:r>
      <w:r>
        <w:rPr>
          <w:rFonts w:ascii="Times New Roman" w:hAnsi="Times New Roman"/>
          <w:color w:val="auto"/>
          <w:sz w:val="24"/>
          <w:highlight w:val="none"/>
        </w:rPr>
        <w:t>物</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科</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属</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种</w:t>
      </w:r>
      <w:r>
        <w:rPr>
          <w:rFonts w:ascii="Times New Roman" w:hAnsi="Times New Roman"/>
          <w:color w:val="auto"/>
          <w:sz w:val="24"/>
        </w:rPr>
        <w:t>，被子植物物种数最多，共有42科96属118种，具体情况见下表。</w:t>
      </w:r>
    </w:p>
    <w:p>
      <w:pPr>
        <w:pStyle w:val="14"/>
        <w:spacing w:line="240" w:lineRule="auto"/>
        <w:rPr>
          <w:color w:val="auto"/>
        </w:rPr>
      </w:pPr>
      <w:r>
        <w:rPr>
          <w:color w:val="auto"/>
        </w:rPr>
        <w:t xml:space="preserve">表6- </w:t>
      </w:r>
      <w:r>
        <w:rPr>
          <w:color w:val="auto"/>
        </w:rPr>
        <w:fldChar w:fldCharType="begin"/>
      </w:r>
      <w:r>
        <w:rPr>
          <w:color w:val="auto"/>
        </w:rPr>
        <w:instrText xml:space="preserve"> SEQ 表4- \* ARABIC </w:instrText>
      </w:r>
      <w:r>
        <w:rPr>
          <w:color w:val="auto"/>
        </w:rPr>
        <w:fldChar w:fldCharType="separate"/>
      </w:r>
      <w:r>
        <w:rPr>
          <w:color w:val="auto"/>
        </w:rPr>
        <w:t>1</w:t>
      </w:r>
      <w:r>
        <w:rPr>
          <w:color w:val="auto"/>
        </w:rPr>
        <w:fldChar w:fldCharType="end"/>
      </w:r>
      <w:r>
        <w:rPr>
          <w:color w:val="auto"/>
        </w:rPr>
        <w:t xml:space="preserve"> 评价区维管植物科属种统计表</w:t>
      </w:r>
    </w:p>
    <w:tbl>
      <w:tblPr>
        <w:tblStyle w:val="39"/>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16"/>
        <w:gridCol w:w="1208"/>
        <w:gridCol w:w="740"/>
        <w:gridCol w:w="1725"/>
        <w:gridCol w:w="764"/>
        <w:gridCol w:w="1725"/>
        <w:gridCol w:w="764"/>
        <w:gridCol w:w="164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36" w:type="pct"/>
            <w:gridSpan w:val="2"/>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门类</w:t>
            </w:r>
          </w:p>
        </w:tc>
        <w:tc>
          <w:tcPr>
            <w:tcW w:w="398"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科数</w:t>
            </w:r>
          </w:p>
        </w:tc>
        <w:tc>
          <w:tcPr>
            <w:tcW w:w="928"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所占比例</w:t>
            </w:r>
          </w:p>
        </w:tc>
        <w:tc>
          <w:tcPr>
            <w:tcW w:w="411"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属数</w:t>
            </w:r>
          </w:p>
        </w:tc>
        <w:tc>
          <w:tcPr>
            <w:tcW w:w="928"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所占比例</w:t>
            </w:r>
          </w:p>
        </w:tc>
        <w:tc>
          <w:tcPr>
            <w:tcW w:w="411"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种数</w:t>
            </w:r>
          </w:p>
        </w:tc>
        <w:tc>
          <w:tcPr>
            <w:tcW w:w="885"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所占比例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36" w:type="pct"/>
            <w:gridSpan w:val="2"/>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蕨类植物</w:t>
            </w:r>
          </w:p>
        </w:tc>
        <w:tc>
          <w:tcPr>
            <w:tcW w:w="39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8.33</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5</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4.85</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7</w:t>
            </w:r>
          </w:p>
        </w:tc>
        <w:tc>
          <w:tcPr>
            <w:tcW w:w="88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5.51</w:t>
            </w:r>
            <w:r>
              <w:rPr>
                <w:rFonts w:hint="eastAsia" w:ascii="宋体" w:hAnsi="宋体" w:eastAsia="宋体" w:cs="宋体"/>
                <w:color w:val="auto"/>
                <w:sz w:val="21"/>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86" w:type="pct"/>
            <w:vMerge w:val="restar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种子植物</w:t>
            </w:r>
          </w:p>
        </w:tc>
        <w:tc>
          <w:tcPr>
            <w:tcW w:w="650"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裸子植物</w:t>
            </w:r>
          </w:p>
        </w:tc>
        <w:tc>
          <w:tcPr>
            <w:tcW w:w="39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2</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4.17</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2</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1.94</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2</w:t>
            </w:r>
          </w:p>
        </w:tc>
        <w:tc>
          <w:tcPr>
            <w:tcW w:w="88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1.57</w:t>
            </w:r>
            <w:r>
              <w:rPr>
                <w:rFonts w:hint="eastAsia" w:ascii="宋体" w:hAnsi="宋体" w:eastAsia="宋体" w:cs="宋体"/>
                <w:color w:val="auto"/>
                <w:sz w:val="21"/>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386" w:type="pct"/>
            <w:vMerge w:val="continue"/>
            <w:tcBorders>
              <w:tl2br w:val="nil"/>
              <w:tr2bl w:val="nil"/>
            </w:tcBorders>
            <w:vAlign w:val="center"/>
          </w:tcPr>
          <w:p>
            <w:pPr>
              <w:keepNext w:val="0"/>
              <w:keepLines w:val="0"/>
              <w:pageBreakBefore w:val="0"/>
              <w:kinsoku/>
              <w:wordWrap/>
              <w:overflowPunct/>
              <w:topLinePunct w:val="0"/>
              <w:autoSpaceDE/>
              <w:autoSpaceDN/>
              <w:bidi w:val="0"/>
              <w:adjustRightInd w:val="0"/>
              <w:snapToGrid w:val="0"/>
              <w:rPr>
                <w:rFonts w:hint="eastAsia" w:ascii="宋体" w:hAnsi="宋体" w:eastAsia="宋体" w:cs="宋体"/>
                <w:color w:val="auto"/>
                <w:sz w:val="21"/>
                <w:szCs w:val="21"/>
              </w:rPr>
            </w:pPr>
          </w:p>
        </w:tc>
        <w:tc>
          <w:tcPr>
            <w:tcW w:w="650" w:type="pct"/>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被子植物</w:t>
            </w:r>
          </w:p>
        </w:tc>
        <w:tc>
          <w:tcPr>
            <w:tcW w:w="39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42</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8</w:t>
            </w:r>
            <w:r>
              <w:rPr>
                <w:rFonts w:hint="eastAsia" w:ascii="宋体" w:hAnsi="宋体" w:eastAsia="宋体" w:cs="宋体"/>
                <w:color w:val="auto"/>
                <w:sz w:val="21"/>
                <w:szCs w:val="21"/>
                <w:lang w:val="en-US" w:eastAsia="zh-CN"/>
              </w:rPr>
              <w:t>7.5</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96</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93.2</w:t>
            </w:r>
            <w:r>
              <w:rPr>
                <w:rFonts w:hint="eastAsia" w:ascii="宋体" w:hAnsi="宋体" w:eastAsia="宋体" w:cs="宋体"/>
                <w:color w:val="auto"/>
                <w:sz w:val="21"/>
                <w:szCs w:val="21"/>
              </w:rPr>
              <w:t>%</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118</w:t>
            </w:r>
          </w:p>
        </w:tc>
        <w:tc>
          <w:tcPr>
            <w:tcW w:w="88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92.9</w:t>
            </w:r>
            <w:r>
              <w:rPr>
                <w:rFonts w:hint="eastAsia" w:ascii="宋体" w:hAnsi="宋体" w:eastAsia="宋体" w:cs="宋体"/>
                <w:color w:val="auto"/>
                <w:sz w:val="21"/>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36" w:type="pct"/>
            <w:gridSpan w:val="2"/>
            <w:tcBorders>
              <w:tl2br w:val="nil"/>
              <w:tr2bl w:val="nil"/>
            </w:tcBorders>
            <w:vAlign w:val="center"/>
          </w:tcPr>
          <w:p>
            <w:pPr>
              <w:keepNext w:val="0"/>
              <w:keepLines w:val="0"/>
              <w:pageBreakBefore w:val="0"/>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合计</w:t>
            </w:r>
          </w:p>
        </w:tc>
        <w:tc>
          <w:tcPr>
            <w:tcW w:w="39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48</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100%</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rPr>
              <w:t>10</w:t>
            </w:r>
            <w:r>
              <w:rPr>
                <w:rFonts w:hint="eastAsia" w:ascii="宋体" w:hAnsi="宋体" w:eastAsia="宋体" w:cs="宋体"/>
                <w:color w:val="auto"/>
                <w:sz w:val="21"/>
                <w:szCs w:val="21"/>
                <w:lang w:val="en-US" w:eastAsia="zh-CN"/>
              </w:rPr>
              <w:t>3</w:t>
            </w:r>
          </w:p>
        </w:tc>
        <w:tc>
          <w:tcPr>
            <w:tcW w:w="928"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100%</w:t>
            </w:r>
          </w:p>
        </w:tc>
        <w:tc>
          <w:tcPr>
            <w:tcW w:w="411"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1</w:t>
            </w:r>
            <w:r>
              <w:rPr>
                <w:rFonts w:hint="eastAsia" w:ascii="宋体" w:hAnsi="宋体" w:eastAsia="宋体" w:cs="宋体"/>
                <w:color w:val="auto"/>
                <w:sz w:val="21"/>
                <w:szCs w:val="21"/>
                <w:lang w:val="en-US" w:eastAsia="zh-CN"/>
              </w:rPr>
              <w:t>27</w:t>
            </w:r>
          </w:p>
        </w:tc>
        <w:tc>
          <w:tcPr>
            <w:tcW w:w="885" w:type="pct"/>
            <w:tcBorders>
              <w:tl2br w:val="nil"/>
              <w:tr2bl w:val="nil"/>
            </w:tcBorders>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100%</w:t>
            </w:r>
          </w:p>
        </w:tc>
      </w:tr>
    </w:tbl>
    <w:p>
      <w:pPr>
        <w:autoSpaceDE w:val="0"/>
        <w:autoSpaceDN w:val="0"/>
        <w:adjustRightInd w:val="0"/>
        <w:spacing w:line="360" w:lineRule="auto"/>
        <w:ind w:firstLine="480" w:firstLineChars="200"/>
        <w:jc w:val="left"/>
        <w:rPr>
          <w:rFonts w:ascii="Times New Roman" w:hAnsi="Times New Roman"/>
          <w:color w:val="auto"/>
          <w:sz w:val="24"/>
        </w:rPr>
      </w:pPr>
      <w:r>
        <w:rPr>
          <w:rFonts w:ascii="Times New Roman" w:hAnsi="Times New Roman"/>
          <w:color w:val="auto"/>
          <w:sz w:val="24"/>
        </w:rPr>
        <w:t>各类群维管植物的科、属、种的组成特征如下：</w:t>
      </w:r>
    </w:p>
    <w:p>
      <w:pPr>
        <w:spacing w:line="360" w:lineRule="auto"/>
        <w:ind w:firstLine="480" w:firstLineChars="200"/>
        <w:rPr>
          <w:rFonts w:ascii="Times New Roman" w:hAnsi="Times New Roman"/>
          <w:color w:val="auto"/>
          <w:sz w:val="24"/>
        </w:rPr>
      </w:pPr>
      <w:r>
        <w:rPr>
          <w:rFonts w:ascii="Times New Roman" w:hAnsi="Times New Roman"/>
          <w:color w:val="auto"/>
          <w:sz w:val="24"/>
        </w:rPr>
        <w:t>（1）蕨类植物有</w:t>
      </w:r>
      <w:r>
        <w:rPr>
          <w:rFonts w:hint="eastAsia" w:ascii="Times New Roman" w:hAnsi="Times New Roman"/>
          <w:color w:val="auto"/>
          <w:sz w:val="24"/>
          <w:lang w:val="en-US" w:eastAsia="zh-CN"/>
        </w:rPr>
        <w:t>4</w:t>
      </w:r>
      <w:r>
        <w:rPr>
          <w:rFonts w:ascii="Times New Roman" w:hAnsi="Times New Roman"/>
          <w:color w:val="auto"/>
          <w:sz w:val="24"/>
        </w:rPr>
        <w:t>科</w:t>
      </w:r>
      <w:r>
        <w:rPr>
          <w:rFonts w:hint="eastAsia" w:ascii="Times New Roman" w:hAnsi="Times New Roman"/>
          <w:color w:val="auto"/>
          <w:sz w:val="24"/>
          <w:lang w:val="en-US" w:eastAsia="zh-CN"/>
        </w:rPr>
        <w:t>5</w:t>
      </w:r>
      <w:r>
        <w:rPr>
          <w:rFonts w:ascii="Times New Roman" w:hAnsi="Times New Roman"/>
          <w:color w:val="auto"/>
          <w:sz w:val="24"/>
        </w:rPr>
        <w:t>属</w:t>
      </w:r>
      <w:r>
        <w:rPr>
          <w:rFonts w:hint="eastAsia" w:ascii="Times New Roman" w:hAnsi="Times New Roman"/>
          <w:color w:val="auto"/>
          <w:sz w:val="24"/>
          <w:lang w:val="en-US" w:eastAsia="zh-CN"/>
        </w:rPr>
        <w:t>7</w:t>
      </w:r>
      <w:r>
        <w:rPr>
          <w:rFonts w:ascii="Times New Roman" w:hAnsi="Times New Roman"/>
          <w:color w:val="auto"/>
          <w:sz w:val="24"/>
        </w:rPr>
        <w:t>种。分布1属1种的有</w:t>
      </w:r>
      <w:r>
        <w:rPr>
          <w:rFonts w:hint="eastAsia" w:ascii="Times New Roman" w:hAnsi="Times New Roman"/>
          <w:color w:val="auto"/>
          <w:sz w:val="24"/>
          <w:lang w:val="en-US" w:eastAsia="zh-CN"/>
        </w:rPr>
        <w:t>1</w:t>
      </w:r>
      <w:r>
        <w:rPr>
          <w:rFonts w:ascii="Times New Roman" w:hAnsi="Times New Roman"/>
          <w:color w:val="auto"/>
          <w:sz w:val="24"/>
        </w:rPr>
        <w:t>科，即乌毛蕨科Blechnaceae；分布1属2种的有</w:t>
      </w:r>
      <w:r>
        <w:rPr>
          <w:rFonts w:hint="eastAsia" w:ascii="Times New Roman" w:hAnsi="Times New Roman"/>
          <w:color w:val="auto"/>
          <w:sz w:val="24"/>
          <w:lang w:val="en-US" w:eastAsia="zh-CN"/>
        </w:rPr>
        <w:t>2</w:t>
      </w:r>
      <w:r>
        <w:rPr>
          <w:rFonts w:ascii="Times New Roman" w:hAnsi="Times New Roman"/>
          <w:color w:val="auto"/>
          <w:sz w:val="24"/>
        </w:rPr>
        <w:t>科，即卷柏科Selaginellaceae</w:t>
      </w:r>
      <w:r>
        <w:rPr>
          <w:rFonts w:hint="eastAsia" w:ascii="Times New Roman" w:hAnsi="Times New Roman"/>
          <w:color w:val="auto"/>
          <w:sz w:val="24"/>
          <w:lang w:eastAsia="zh-CN"/>
        </w:rPr>
        <w:t>、</w:t>
      </w:r>
      <w:r>
        <w:rPr>
          <w:rFonts w:ascii="Times New Roman" w:hAnsi="Times New Roman"/>
          <w:color w:val="auto"/>
          <w:sz w:val="24"/>
        </w:rPr>
        <w:t>凤尾蕨科Pteridaceae；分布2属2种的1科，即鳞毛蕨科Dryopteridaceae。</w:t>
      </w:r>
    </w:p>
    <w:p>
      <w:pPr>
        <w:spacing w:line="360" w:lineRule="auto"/>
        <w:ind w:right="-21" w:rightChars="-10" w:firstLine="480" w:firstLineChars="200"/>
        <w:rPr>
          <w:rFonts w:hint="eastAsia" w:ascii="Times New Roman" w:hAnsi="Times New Roman" w:eastAsia="宋体"/>
          <w:color w:val="auto"/>
          <w:sz w:val="24"/>
          <w:lang w:eastAsia="zh-CN"/>
        </w:rPr>
      </w:pPr>
      <w:r>
        <w:rPr>
          <w:rFonts w:ascii="Times New Roman" w:hAnsi="Times New Roman"/>
          <w:color w:val="auto"/>
          <w:sz w:val="24"/>
          <w:highlight w:val="none"/>
        </w:rPr>
        <w:t>（2）裸子植物仅</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科</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属</w:t>
      </w:r>
      <w:r>
        <w:rPr>
          <w:rFonts w:hint="eastAsia" w:ascii="Times New Roman" w:hAnsi="Times New Roman"/>
          <w:color w:val="auto"/>
          <w:sz w:val="24"/>
          <w:highlight w:val="none"/>
          <w:lang w:val="en-US" w:eastAsia="zh-CN"/>
        </w:rPr>
        <w:t>2</w:t>
      </w:r>
      <w:r>
        <w:rPr>
          <w:rFonts w:ascii="Times New Roman" w:hAnsi="Times New Roman"/>
          <w:color w:val="auto"/>
          <w:sz w:val="24"/>
          <w:highlight w:val="none"/>
        </w:rPr>
        <w:t>种。即</w:t>
      </w:r>
      <w:r>
        <w:rPr>
          <w:rFonts w:ascii="Times New Roman" w:hAnsi="Times New Roman"/>
          <w:color w:val="auto"/>
          <w:kern w:val="0"/>
          <w:sz w:val="24"/>
          <w:highlight w:val="none"/>
        </w:rPr>
        <w:t>银杏科</w:t>
      </w:r>
      <w:r>
        <w:rPr>
          <w:rFonts w:ascii="Times New Roman" w:hAnsi="Times New Roman"/>
          <w:color w:val="auto"/>
          <w:sz w:val="24"/>
          <w:highlight w:val="none"/>
        </w:rPr>
        <w:t>Ginkgoaceae</w:t>
      </w:r>
      <w:r>
        <w:rPr>
          <w:rFonts w:hint="eastAsia" w:ascii="Times New Roman" w:hAnsi="Times New Roman"/>
          <w:color w:val="auto"/>
          <w:sz w:val="24"/>
          <w:highlight w:val="none"/>
          <w:lang w:eastAsia="zh-CN"/>
        </w:rPr>
        <w:t>、</w:t>
      </w:r>
      <w:r>
        <w:rPr>
          <w:rFonts w:hint="eastAsia" w:ascii="Times New Roman" w:hAnsi="Times New Roman"/>
          <w:color w:val="auto"/>
          <w:kern w:val="0"/>
          <w:sz w:val="24"/>
          <w:lang w:val="en-US" w:eastAsia="zh-CN"/>
        </w:rPr>
        <w:t>柏科</w:t>
      </w:r>
      <w:r>
        <w:rPr>
          <w:rFonts w:hint="default" w:ascii="Times New Roman" w:hAnsi="Times New Roman" w:cs="Times New Roman"/>
          <w:color w:val="auto"/>
          <w:kern w:val="0"/>
          <w:sz w:val="24"/>
        </w:rPr>
        <w:t>Cupressaceae</w:t>
      </w:r>
      <w:r>
        <w:rPr>
          <w:rFonts w:hint="eastAsia" w:ascii="Times New Roman" w:hAnsi="Times New Roman" w:cs="Times New Roman"/>
          <w:color w:val="auto"/>
          <w:kern w:val="0"/>
          <w:sz w:val="24"/>
          <w:lang w:eastAsia="zh-CN"/>
        </w:rPr>
        <w:t>。</w:t>
      </w:r>
    </w:p>
    <w:p>
      <w:pPr>
        <w:spacing w:line="360" w:lineRule="auto"/>
        <w:ind w:right="-21" w:rightChars="-10" w:firstLine="480" w:firstLineChars="200"/>
        <w:rPr>
          <w:rFonts w:ascii="Times New Roman" w:hAnsi="Times New Roman"/>
          <w:color w:val="auto"/>
          <w:sz w:val="24"/>
        </w:rPr>
      </w:pPr>
      <w:r>
        <w:rPr>
          <w:rFonts w:ascii="Times New Roman" w:hAnsi="Times New Roman"/>
          <w:color w:val="auto"/>
          <w:sz w:val="24"/>
        </w:rPr>
        <w:t>（3）被子植物有42科96属118种。分布10种及其以上的大科有2科，即禾本科Gramineae有15种，菊科Compositae有15种；分布5-9种的有7科，即桑科Moraceae有6种，豆科Leguminosae有6种，苋科Amaranthaceae、十字花科Cruciferae、蔷薇科Rosaceae、伞形科Umbelliferae、唇形科Labiatae有5种；分布2-4种的有16科，即荨麻科Urticaceae、蓼科Polygonaceae、藜科Chenopodiaceae、毛茛科Ranunculaceae、芸香科Rutaceae、葡萄科Vitaceae、锦葵科Malvaceae、堇菜科Violaceae、报春花科Primulaceae、马鞭草科Verbenaceae、茄科Solanaceae、玄参科Scrophulariaceae、茜草科Rubiaceae、忍冬科Caprifoliaceae、葫芦科Cucurbitaceae、百合科Liliaceae；分布仅1种的有17科。</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textAlignment w:val="auto"/>
        <w:rPr>
          <w:rFonts w:ascii="Times New Roman" w:hAnsi="Times New Roman"/>
          <w:color w:val="auto"/>
          <w:sz w:val="24"/>
        </w:rPr>
      </w:pPr>
      <w:r>
        <w:rPr>
          <w:rFonts w:ascii="Times New Roman" w:hAnsi="Times New Roman"/>
          <w:color w:val="auto"/>
          <w:sz w:val="24"/>
        </w:rPr>
        <w:t>分布有10属及其以上的有2科，分别是禾本科Gramineae有14属，菊科Compositae有12属；分布5-9属的有3科，分别是蔷薇科Rosacea、伞形科Umbelliferae有5属，豆科Leguminosae有6属；分布2-4属的有12科，分别是桑科Moraceae、荨麻科Urticaceae、藜科Chenopodiaceae、苋科</w:t>
      </w:r>
      <w:r>
        <w:rPr>
          <w:rFonts w:ascii="Times New Roman" w:hAnsi="Times New Roman"/>
          <w:color w:val="auto"/>
          <w:sz w:val="24"/>
        </w:rPr>
        <w:tab/>
      </w:r>
      <w:r>
        <w:rPr>
          <w:rFonts w:ascii="Times New Roman" w:hAnsi="Times New Roman"/>
          <w:color w:val="auto"/>
          <w:sz w:val="24"/>
        </w:rPr>
        <w:t>Amaranthaceae、毛茛科Ranunculaceae、十字花科Cruciferae、芸香科Rutaceae、锦葵科Malvaceae、唇形科Labiatae、玄参科Scrophulariaceae、茜草科Rubiaceae、葫芦科Cucurbitaceae；分布仅1属的有25科。</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textAlignment w:val="auto"/>
        <w:rPr>
          <w:rFonts w:ascii="Times New Roman" w:hAnsi="Times New Roman"/>
          <w:color w:val="auto"/>
          <w:sz w:val="24"/>
        </w:rPr>
      </w:pPr>
      <w:r>
        <w:rPr>
          <w:rFonts w:ascii="Times New Roman" w:hAnsi="Times New Roman"/>
          <w:color w:val="auto"/>
          <w:sz w:val="24"/>
        </w:rPr>
        <w:t>含有4种的有2属，即蓼属</w:t>
      </w:r>
      <w:r>
        <w:rPr>
          <w:rFonts w:ascii="Times New Roman" w:hAnsi="Times New Roman"/>
          <w:i/>
          <w:color w:val="auto"/>
          <w:sz w:val="24"/>
        </w:rPr>
        <w:t>Polygonum</w:t>
      </w:r>
      <w:r>
        <w:rPr>
          <w:rFonts w:ascii="Times New Roman" w:hAnsi="Times New Roman"/>
          <w:color w:val="auto"/>
          <w:sz w:val="24"/>
        </w:rPr>
        <w:t>、蒿属</w:t>
      </w:r>
      <w:r>
        <w:rPr>
          <w:rFonts w:ascii="Times New Roman" w:hAnsi="Times New Roman"/>
          <w:i/>
          <w:color w:val="auto"/>
          <w:sz w:val="24"/>
        </w:rPr>
        <w:t>Artemisia</w:t>
      </w:r>
      <w:r>
        <w:rPr>
          <w:rFonts w:ascii="Times New Roman" w:hAnsi="Times New Roman"/>
          <w:color w:val="auto"/>
          <w:sz w:val="24"/>
        </w:rPr>
        <w:t>；含有3种的有1属，即榕属</w:t>
      </w:r>
      <w:r>
        <w:rPr>
          <w:rFonts w:ascii="Times New Roman" w:hAnsi="Times New Roman"/>
          <w:i/>
          <w:color w:val="auto"/>
          <w:sz w:val="24"/>
        </w:rPr>
        <w:t>Ficus</w:t>
      </w:r>
      <w:r>
        <w:rPr>
          <w:rFonts w:ascii="Times New Roman" w:hAnsi="Times New Roman"/>
          <w:color w:val="auto"/>
          <w:sz w:val="24"/>
        </w:rPr>
        <w:t>；含有2种的有14属，分别是莲子草属</w:t>
      </w:r>
      <w:r>
        <w:rPr>
          <w:rFonts w:ascii="Times New Roman" w:hAnsi="Times New Roman"/>
          <w:i/>
          <w:color w:val="auto"/>
          <w:sz w:val="24"/>
        </w:rPr>
        <w:t>Alternanthera</w:t>
      </w:r>
      <w:r>
        <w:rPr>
          <w:rFonts w:ascii="Times New Roman" w:hAnsi="Times New Roman"/>
          <w:color w:val="auto"/>
          <w:sz w:val="24"/>
        </w:rPr>
        <w:t>、苋属</w:t>
      </w:r>
      <w:r>
        <w:rPr>
          <w:rFonts w:ascii="Times New Roman" w:hAnsi="Times New Roman"/>
          <w:i/>
          <w:color w:val="auto"/>
          <w:sz w:val="24"/>
        </w:rPr>
        <w:t>Amaranthus</w:t>
      </w:r>
      <w:r>
        <w:rPr>
          <w:rFonts w:ascii="Times New Roman" w:hAnsi="Times New Roman"/>
          <w:color w:val="auto"/>
          <w:sz w:val="24"/>
        </w:rPr>
        <w:t>、碎米荠属</w:t>
      </w:r>
      <w:r>
        <w:rPr>
          <w:rFonts w:ascii="Times New Roman" w:hAnsi="Times New Roman"/>
          <w:i/>
          <w:color w:val="auto"/>
          <w:sz w:val="24"/>
        </w:rPr>
        <w:t>Cardamine</w:t>
      </w:r>
      <w:r>
        <w:rPr>
          <w:rFonts w:ascii="Times New Roman" w:hAnsi="Times New Roman"/>
          <w:color w:val="auto"/>
          <w:sz w:val="24"/>
        </w:rPr>
        <w:t>、芸苔属</w:t>
      </w:r>
      <w:r>
        <w:rPr>
          <w:rFonts w:ascii="Times New Roman" w:hAnsi="Times New Roman"/>
          <w:i/>
          <w:color w:val="auto"/>
          <w:sz w:val="24"/>
        </w:rPr>
        <w:t>Brassica</w:t>
      </w:r>
      <w:r>
        <w:rPr>
          <w:rFonts w:ascii="Times New Roman" w:hAnsi="Times New Roman"/>
          <w:color w:val="auto"/>
          <w:sz w:val="24"/>
        </w:rPr>
        <w:t>、崖爬藤属</w:t>
      </w:r>
      <w:r>
        <w:rPr>
          <w:rFonts w:ascii="Times New Roman" w:hAnsi="Times New Roman"/>
          <w:i/>
          <w:color w:val="auto"/>
          <w:sz w:val="24"/>
        </w:rPr>
        <w:t>Tetrastigma</w:t>
      </w:r>
      <w:r>
        <w:rPr>
          <w:rFonts w:ascii="Times New Roman" w:hAnsi="Times New Roman"/>
          <w:color w:val="auto"/>
          <w:sz w:val="24"/>
        </w:rPr>
        <w:t>、堇菜属</w:t>
      </w:r>
      <w:r>
        <w:rPr>
          <w:rFonts w:ascii="Times New Roman" w:hAnsi="Times New Roman"/>
          <w:i/>
          <w:color w:val="auto"/>
          <w:sz w:val="24"/>
        </w:rPr>
        <w:t>Viola</w:t>
      </w:r>
      <w:r>
        <w:rPr>
          <w:rFonts w:ascii="Times New Roman" w:hAnsi="Times New Roman"/>
          <w:color w:val="auto"/>
          <w:sz w:val="24"/>
        </w:rPr>
        <w:t>、珍珠菜属</w:t>
      </w:r>
      <w:r>
        <w:rPr>
          <w:rFonts w:ascii="Times New Roman" w:hAnsi="Times New Roman"/>
          <w:i/>
          <w:color w:val="auto"/>
          <w:sz w:val="24"/>
        </w:rPr>
        <w:t>Lysimachia</w:t>
      </w:r>
      <w:r>
        <w:rPr>
          <w:rFonts w:ascii="Times New Roman" w:hAnsi="Times New Roman"/>
          <w:color w:val="auto"/>
          <w:sz w:val="24"/>
        </w:rPr>
        <w:t>、风轮菜属</w:t>
      </w:r>
      <w:r>
        <w:rPr>
          <w:rFonts w:ascii="Times New Roman" w:hAnsi="Times New Roman"/>
          <w:i/>
          <w:color w:val="auto"/>
          <w:sz w:val="24"/>
        </w:rPr>
        <w:t>Clinopodium</w:t>
      </w:r>
      <w:r>
        <w:rPr>
          <w:rFonts w:ascii="Times New Roman" w:hAnsi="Times New Roman"/>
          <w:color w:val="auto"/>
          <w:sz w:val="24"/>
        </w:rPr>
        <w:t>、茄属</w:t>
      </w:r>
      <w:r>
        <w:rPr>
          <w:rFonts w:ascii="Times New Roman" w:hAnsi="Times New Roman"/>
          <w:i/>
          <w:color w:val="auto"/>
          <w:sz w:val="24"/>
        </w:rPr>
        <w:t>Solanum</w:t>
      </w:r>
      <w:r>
        <w:rPr>
          <w:rFonts w:ascii="Times New Roman" w:hAnsi="Times New Roman"/>
          <w:color w:val="auto"/>
          <w:sz w:val="24"/>
        </w:rPr>
        <w:t>、婆婆纳属</w:t>
      </w:r>
      <w:r>
        <w:rPr>
          <w:rFonts w:ascii="Times New Roman" w:hAnsi="Times New Roman"/>
          <w:i/>
          <w:color w:val="auto"/>
          <w:sz w:val="24"/>
        </w:rPr>
        <w:t>Veronica</w:t>
      </w:r>
      <w:r>
        <w:rPr>
          <w:rFonts w:ascii="Times New Roman" w:hAnsi="Times New Roman"/>
          <w:color w:val="auto"/>
          <w:sz w:val="24"/>
        </w:rPr>
        <w:t>、拉拉藤属</w:t>
      </w:r>
      <w:r>
        <w:rPr>
          <w:rFonts w:ascii="Times New Roman" w:hAnsi="Times New Roman"/>
          <w:i/>
          <w:color w:val="auto"/>
          <w:sz w:val="24"/>
        </w:rPr>
        <w:t>Galium</w:t>
      </w:r>
      <w:r>
        <w:rPr>
          <w:rFonts w:ascii="Times New Roman" w:hAnsi="Times New Roman"/>
          <w:color w:val="auto"/>
          <w:sz w:val="24"/>
        </w:rPr>
        <w:t>、荩草属</w:t>
      </w:r>
      <w:r>
        <w:rPr>
          <w:rFonts w:ascii="Times New Roman" w:hAnsi="Times New Roman"/>
          <w:i/>
          <w:color w:val="auto"/>
          <w:sz w:val="24"/>
        </w:rPr>
        <w:t>Arthraxon</w:t>
      </w:r>
      <w:r>
        <w:rPr>
          <w:rFonts w:ascii="Times New Roman" w:hAnsi="Times New Roman"/>
          <w:color w:val="auto"/>
          <w:sz w:val="24"/>
        </w:rPr>
        <w:t>、牡竹属</w:t>
      </w:r>
      <w:r>
        <w:rPr>
          <w:rFonts w:ascii="Times New Roman" w:hAnsi="Times New Roman"/>
          <w:i/>
          <w:color w:val="auto"/>
          <w:sz w:val="24"/>
        </w:rPr>
        <w:t>Dendrocalamus</w:t>
      </w:r>
      <w:r>
        <w:rPr>
          <w:rFonts w:ascii="Times New Roman" w:hAnsi="Times New Roman"/>
          <w:color w:val="auto"/>
          <w:sz w:val="24"/>
        </w:rPr>
        <w:t>、葱属</w:t>
      </w:r>
      <w:r>
        <w:rPr>
          <w:rFonts w:ascii="Times New Roman" w:hAnsi="Times New Roman"/>
          <w:i/>
          <w:color w:val="auto"/>
          <w:sz w:val="24"/>
        </w:rPr>
        <w:t>Allium</w:t>
      </w:r>
      <w:r>
        <w:rPr>
          <w:rFonts w:ascii="Times New Roman" w:hAnsi="Times New Roman"/>
          <w:color w:val="auto"/>
          <w:sz w:val="24"/>
        </w:rPr>
        <w:t>；仅含有1种的有100属。</w:t>
      </w:r>
    </w:p>
    <w:p>
      <w:pPr>
        <w:adjustRightInd w:val="0"/>
        <w:snapToGrid w:val="0"/>
        <w:spacing w:line="360" w:lineRule="auto"/>
        <w:ind w:firstLine="482" w:firstLineChars="200"/>
        <w:rPr>
          <w:rFonts w:ascii="Times New Roman" w:hAnsi="Times New Roman"/>
          <w:b/>
          <w:bCs/>
          <w:color w:val="auto"/>
          <w:sz w:val="24"/>
        </w:rPr>
      </w:pPr>
      <w:r>
        <w:rPr>
          <w:rFonts w:ascii="Times New Roman" w:hAnsi="Times New Roman"/>
          <w:b/>
          <w:bCs/>
          <w:color w:val="auto"/>
          <w:sz w:val="24"/>
        </w:rPr>
        <w:t>2）植物区系组成</w:t>
      </w:r>
    </w:p>
    <w:p>
      <w:pPr>
        <w:adjustRightInd w:val="0"/>
        <w:snapToGrid w:val="0"/>
        <w:spacing w:line="360" w:lineRule="auto"/>
        <w:ind w:firstLine="540" w:firstLineChars="225"/>
        <w:rPr>
          <w:rFonts w:ascii="Times New Roman" w:hAnsi="Times New Roman"/>
          <w:color w:val="auto"/>
          <w:kern w:val="0"/>
          <w:sz w:val="24"/>
        </w:rPr>
      </w:pPr>
      <w:r>
        <w:rPr>
          <w:rFonts w:ascii="Times New Roman" w:hAnsi="Times New Roman"/>
          <w:color w:val="auto"/>
          <w:sz w:val="24"/>
        </w:rPr>
        <w:t>采用李锡文对中国种子植物区系的统计分析方法和吴征镒等对世界种子植物科的分布区类型统计以及</w:t>
      </w:r>
      <w:r>
        <w:rPr>
          <w:rFonts w:ascii="Times New Roman" w:hAnsi="Times New Roman"/>
          <w:color w:val="auto"/>
          <w:kern w:val="0"/>
          <w:sz w:val="24"/>
        </w:rPr>
        <w:t>吴征镒对中国种子植物属的分布区类型的划分，将区域内分布的种子植物</w:t>
      </w:r>
      <w:r>
        <w:rPr>
          <w:rFonts w:ascii="Times New Roman" w:hAnsi="Times New Roman"/>
          <w:color w:val="auto"/>
          <w:sz w:val="24"/>
        </w:rPr>
        <w:t>43科97属</w:t>
      </w:r>
      <w:r>
        <w:rPr>
          <w:rFonts w:ascii="Times New Roman" w:hAnsi="Times New Roman"/>
          <w:color w:val="auto"/>
          <w:kern w:val="0"/>
          <w:sz w:val="24"/>
        </w:rPr>
        <w:t>分为14个类型，见下表。</w:t>
      </w:r>
    </w:p>
    <w:p>
      <w:pPr>
        <w:pStyle w:val="14"/>
        <w:spacing w:line="240" w:lineRule="auto"/>
        <w:rPr>
          <w:color w:val="auto"/>
        </w:rPr>
      </w:pPr>
      <w:r>
        <w:rPr>
          <w:color w:val="auto"/>
        </w:rPr>
        <w:t xml:space="preserve">表6- </w:t>
      </w:r>
      <w:r>
        <w:rPr>
          <w:color w:val="auto"/>
        </w:rPr>
        <w:fldChar w:fldCharType="begin"/>
      </w:r>
      <w:r>
        <w:rPr>
          <w:color w:val="auto"/>
        </w:rPr>
        <w:instrText xml:space="preserve"> SEQ 表4- \* ARABIC </w:instrText>
      </w:r>
      <w:r>
        <w:rPr>
          <w:color w:val="auto"/>
        </w:rPr>
        <w:fldChar w:fldCharType="separate"/>
      </w:r>
      <w:r>
        <w:rPr>
          <w:color w:val="auto"/>
        </w:rPr>
        <w:t>2</w:t>
      </w:r>
      <w:r>
        <w:rPr>
          <w:color w:val="auto"/>
        </w:rPr>
        <w:fldChar w:fldCharType="end"/>
      </w:r>
      <w:r>
        <w:rPr>
          <w:color w:val="auto"/>
        </w:rPr>
        <w:t xml:space="preserve">  种子植物科、属的分布区类型</w:t>
      </w:r>
    </w:p>
    <w:tbl>
      <w:tblPr>
        <w:tblStyle w:val="39"/>
        <w:tblW w:w="8737" w:type="dxa"/>
        <w:jc w:val="center"/>
        <w:tblLayout w:type="fixed"/>
        <w:tblCellMar>
          <w:top w:w="0" w:type="dxa"/>
          <w:left w:w="108" w:type="dxa"/>
          <w:bottom w:w="0" w:type="dxa"/>
          <w:right w:w="108" w:type="dxa"/>
        </w:tblCellMar>
      </w:tblPr>
      <w:tblGrid>
        <w:gridCol w:w="3493"/>
        <w:gridCol w:w="850"/>
        <w:gridCol w:w="1314"/>
        <w:gridCol w:w="1120"/>
        <w:gridCol w:w="1960"/>
      </w:tblGrid>
      <w:tr>
        <w:tblPrEx>
          <w:tblCellMar>
            <w:top w:w="0" w:type="dxa"/>
            <w:left w:w="108" w:type="dxa"/>
            <w:bottom w:w="0" w:type="dxa"/>
            <w:right w:w="108" w:type="dxa"/>
          </w:tblCellMar>
        </w:tblPrEx>
        <w:trPr>
          <w:trHeight w:val="325" w:hRule="atLeast"/>
          <w:jc w:val="center"/>
        </w:trPr>
        <w:tc>
          <w:tcPr>
            <w:tcW w:w="3493" w:type="dxa"/>
            <w:tcBorders>
              <w:top w:val="single" w:color="auto" w:sz="12" w:space="0"/>
              <w:left w:val="nil"/>
              <w:bottom w:val="single" w:color="auto" w:sz="8" w:space="0"/>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分布区类型Distribution type</w:t>
            </w:r>
          </w:p>
        </w:tc>
        <w:tc>
          <w:tcPr>
            <w:tcW w:w="850" w:type="dxa"/>
            <w:tcBorders>
              <w:top w:val="single" w:color="auto" w:sz="12" w:space="0"/>
              <w:left w:val="nil"/>
              <w:bottom w:val="single" w:color="auto" w:sz="8" w:space="0"/>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科数</w:t>
            </w:r>
          </w:p>
        </w:tc>
        <w:tc>
          <w:tcPr>
            <w:tcW w:w="1314" w:type="dxa"/>
            <w:tcBorders>
              <w:top w:val="single" w:color="auto" w:sz="12" w:space="0"/>
              <w:left w:val="nil"/>
              <w:bottom w:val="single" w:color="auto" w:sz="8" w:space="0"/>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占总科数</w:t>
            </w:r>
          </w:p>
        </w:tc>
        <w:tc>
          <w:tcPr>
            <w:tcW w:w="1120" w:type="dxa"/>
            <w:tcBorders>
              <w:top w:val="single" w:color="auto" w:sz="12" w:space="0"/>
              <w:left w:val="nil"/>
              <w:bottom w:val="single" w:color="auto" w:sz="8" w:space="0"/>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属数</w:t>
            </w:r>
          </w:p>
        </w:tc>
        <w:tc>
          <w:tcPr>
            <w:tcW w:w="1960" w:type="dxa"/>
            <w:tcBorders>
              <w:top w:val="single" w:color="auto" w:sz="12" w:space="0"/>
              <w:left w:val="nil"/>
              <w:bottom w:val="single" w:color="auto" w:sz="8" w:space="0"/>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占总属数</w:t>
            </w:r>
          </w:p>
        </w:tc>
      </w:tr>
      <w:tr>
        <w:tblPrEx>
          <w:tblCellMar>
            <w:top w:w="0" w:type="dxa"/>
            <w:left w:w="108" w:type="dxa"/>
            <w:bottom w:w="0" w:type="dxa"/>
            <w:right w:w="108" w:type="dxa"/>
          </w:tblCellMar>
        </w:tblPrEx>
        <w:trPr>
          <w:trHeight w:val="27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1世界分布Cosmoplitan</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22</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5</w:t>
            </w:r>
            <w:r>
              <w:rPr>
                <w:rFonts w:hint="eastAsia" w:ascii="Times New Roman" w:hAnsi="Times New Roman"/>
                <w:color w:val="auto"/>
                <w:sz w:val="18"/>
                <w:szCs w:val="18"/>
                <w:lang w:val="en-US" w:eastAsia="zh-CN"/>
              </w:rPr>
              <w:t>0.00</w:t>
            </w:r>
            <w:r>
              <w:rPr>
                <w:rFonts w:ascii="Times New Roman" w:hAnsi="Times New Roman"/>
                <w:color w:val="auto"/>
                <w:sz w:val="18"/>
                <w:szCs w:val="18"/>
              </w:rPr>
              <w:t>%</w:t>
            </w:r>
          </w:p>
        </w:tc>
        <w:tc>
          <w:tcPr>
            <w:tcW w:w="1120" w:type="dxa"/>
            <w:tcBorders>
              <w:top w:val="nil"/>
              <w:left w:val="nil"/>
              <w:bottom w:val="nil"/>
              <w:right w:val="nil"/>
            </w:tcBorders>
            <w:vAlign w:val="center"/>
          </w:tcPr>
          <w:p>
            <w:pPr>
              <w:widowControl/>
              <w:ind w:right="-21" w:rightChars="-10"/>
              <w:jc w:val="center"/>
              <w:rPr>
                <w:rFonts w:hint="eastAsia" w:ascii="Times New Roman" w:hAnsi="Times New Roman" w:eastAsia="宋体"/>
                <w:color w:val="auto"/>
                <w:kern w:val="0"/>
                <w:sz w:val="18"/>
                <w:szCs w:val="18"/>
                <w:lang w:eastAsia="zh-CN"/>
              </w:rPr>
            </w:pPr>
            <w:r>
              <w:rPr>
                <w:rFonts w:ascii="Times New Roman" w:hAnsi="Times New Roman"/>
                <w:color w:val="auto"/>
                <w:kern w:val="0"/>
                <w:sz w:val="18"/>
                <w:szCs w:val="18"/>
              </w:rPr>
              <w:t>2</w:t>
            </w:r>
            <w:r>
              <w:rPr>
                <w:rFonts w:hint="eastAsia" w:ascii="Times New Roman" w:hAnsi="Times New Roman"/>
                <w:color w:val="auto"/>
                <w:kern w:val="0"/>
                <w:sz w:val="18"/>
                <w:szCs w:val="18"/>
                <w:lang w:val="en-US" w:eastAsia="zh-CN"/>
              </w:rPr>
              <w:t>0</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20.</w:t>
            </w:r>
            <w:r>
              <w:rPr>
                <w:rFonts w:hint="eastAsia" w:ascii="Times New Roman" w:hAnsi="Times New Roman"/>
                <w:color w:val="auto"/>
                <w:sz w:val="18"/>
                <w:szCs w:val="18"/>
                <w:lang w:val="en-US" w:eastAsia="zh-CN"/>
              </w:rPr>
              <w:t>41</w:t>
            </w:r>
            <w:r>
              <w:rPr>
                <w:rFonts w:ascii="Times New Roman" w:hAnsi="Times New Roman"/>
                <w:color w:val="auto"/>
                <w:sz w:val="18"/>
                <w:szCs w:val="18"/>
              </w:rPr>
              <w:t>%</w:t>
            </w:r>
          </w:p>
        </w:tc>
      </w:tr>
      <w:tr>
        <w:trPr>
          <w:trHeight w:val="87"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2泛热带分布Pantropic</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11</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25.</w:t>
            </w:r>
            <w:r>
              <w:rPr>
                <w:rFonts w:hint="eastAsia" w:ascii="Times New Roman" w:hAnsi="Times New Roman"/>
                <w:color w:val="auto"/>
                <w:sz w:val="18"/>
                <w:szCs w:val="18"/>
                <w:lang w:val="en-US" w:eastAsia="zh-CN"/>
              </w:rPr>
              <w:t>00</w:t>
            </w:r>
            <w:r>
              <w:rPr>
                <w:rFonts w:ascii="Times New Roman" w:hAnsi="Times New Roman"/>
                <w:color w:val="auto"/>
                <w:sz w:val="18"/>
                <w:szCs w:val="18"/>
              </w:rPr>
              <w:t>%</w:t>
            </w: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21</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21.</w:t>
            </w:r>
            <w:r>
              <w:rPr>
                <w:rFonts w:hint="eastAsia" w:ascii="Times New Roman" w:hAnsi="Times New Roman"/>
                <w:color w:val="auto"/>
                <w:sz w:val="18"/>
                <w:szCs w:val="18"/>
                <w:lang w:val="en-US" w:eastAsia="zh-CN"/>
              </w:rPr>
              <w:t>43</w:t>
            </w:r>
            <w:r>
              <w:rPr>
                <w:rFonts w:ascii="Times New Roman" w:hAnsi="Times New Roman"/>
                <w:color w:val="auto"/>
                <w:sz w:val="18"/>
                <w:szCs w:val="18"/>
              </w:rPr>
              <w:t>%</w:t>
            </w:r>
          </w:p>
        </w:tc>
      </w:tr>
      <w:tr>
        <w:tblPrEx>
          <w:tblCellMar>
            <w:top w:w="0" w:type="dxa"/>
            <w:left w:w="108" w:type="dxa"/>
            <w:bottom w:w="0" w:type="dxa"/>
            <w:right w:w="108" w:type="dxa"/>
          </w:tblCellMar>
        </w:tblPrEx>
        <w:trPr>
          <w:trHeight w:val="36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3热带亚洲和热带美洲间断分布</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r>
              <w:rPr>
                <w:rFonts w:hint="eastAsia" w:ascii="Times New Roman" w:hAnsi="Times New Roman"/>
                <w:color w:val="auto"/>
                <w:sz w:val="18"/>
                <w:szCs w:val="18"/>
                <w:lang w:val="en-US" w:eastAsia="zh-CN"/>
              </w:rPr>
              <w:t>5</w:t>
            </w:r>
            <w:r>
              <w:rPr>
                <w:rFonts w:ascii="Times New Roman" w:hAnsi="Times New Roman"/>
                <w:color w:val="auto"/>
                <w:sz w:val="18"/>
                <w:szCs w:val="18"/>
              </w:rPr>
              <w:t>5%</w:t>
            </w: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2.0</w:t>
            </w:r>
            <w:r>
              <w:rPr>
                <w:rFonts w:hint="eastAsia" w:ascii="Times New Roman" w:hAnsi="Times New Roman"/>
                <w:color w:val="auto"/>
                <w:sz w:val="18"/>
                <w:szCs w:val="18"/>
                <w:lang w:val="en-US" w:eastAsia="zh-CN"/>
              </w:rPr>
              <w:t>4</w:t>
            </w:r>
            <w:r>
              <w:rPr>
                <w:rFonts w:ascii="Times New Roman" w:hAnsi="Times New Roman"/>
                <w:color w:val="auto"/>
                <w:sz w:val="18"/>
                <w:szCs w:val="18"/>
              </w:rPr>
              <w:t>%</w:t>
            </w:r>
          </w:p>
        </w:tc>
      </w:tr>
      <w:tr>
        <w:tblPrEx>
          <w:tblCellMar>
            <w:top w:w="0" w:type="dxa"/>
            <w:left w:w="108" w:type="dxa"/>
            <w:bottom w:w="0" w:type="dxa"/>
            <w:right w:w="108" w:type="dxa"/>
          </w:tblCellMar>
        </w:tblPrEx>
        <w:trPr>
          <w:trHeight w:val="36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4旧世界热带分布及其变型Old word tropic</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2.0</w:t>
            </w:r>
            <w:r>
              <w:rPr>
                <w:rFonts w:hint="eastAsia" w:ascii="Times New Roman" w:hAnsi="Times New Roman"/>
                <w:color w:val="auto"/>
                <w:sz w:val="18"/>
                <w:szCs w:val="18"/>
                <w:lang w:val="en-US" w:eastAsia="zh-CN"/>
              </w:rPr>
              <w:t>4</w:t>
            </w:r>
            <w:r>
              <w:rPr>
                <w:rFonts w:ascii="Times New Roman" w:hAnsi="Times New Roman"/>
                <w:color w:val="auto"/>
                <w:sz w:val="18"/>
                <w:szCs w:val="18"/>
              </w:rPr>
              <w:t>%</w:t>
            </w:r>
          </w:p>
        </w:tc>
      </w:tr>
      <w:tr>
        <w:tblPrEx>
          <w:tblCellMar>
            <w:top w:w="0" w:type="dxa"/>
            <w:left w:w="108" w:type="dxa"/>
            <w:bottom w:w="0" w:type="dxa"/>
            <w:right w:w="108" w:type="dxa"/>
          </w:tblCellMar>
        </w:tblPrEx>
        <w:trPr>
          <w:trHeight w:val="285"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5热带亚洲至热带大洋洲</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4</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r>
              <w:rPr>
                <w:rFonts w:hint="eastAsia" w:ascii="Times New Roman" w:hAnsi="Times New Roman"/>
                <w:color w:val="auto"/>
                <w:sz w:val="18"/>
                <w:szCs w:val="18"/>
                <w:lang w:val="en-US" w:eastAsia="zh-CN"/>
              </w:rPr>
              <w:t>.08</w:t>
            </w:r>
            <w:r>
              <w:rPr>
                <w:rFonts w:ascii="Times New Roman" w:hAnsi="Times New Roman"/>
                <w:color w:val="auto"/>
                <w:sz w:val="18"/>
                <w:szCs w:val="18"/>
              </w:rPr>
              <w:t>%</w:t>
            </w:r>
          </w:p>
        </w:tc>
      </w:tr>
      <w:tr>
        <w:tblPrEx>
          <w:tblCellMar>
            <w:top w:w="0" w:type="dxa"/>
            <w:left w:w="108" w:type="dxa"/>
            <w:bottom w:w="0" w:type="dxa"/>
            <w:right w:w="108" w:type="dxa"/>
          </w:tblCellMar>
        </w:tblPrEx>
        <w:trPr>
          <w:trHeight w:val="36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6热带亚洲至热带非洲</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5</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5.1</w:t>
            </w:r>
            <w:r>
              <w:rPr>
                <w:rFonts w:hint="eastAsia" w:ascii="Times New Roman" w:hAnsi="Times New Roman"/>
                <w:color w:val="auto"/>
                <w:sz w:val="18"/>
                <w:szCs w:val="18"/>
                <w:lang w:val="en-US" w:eastAsia="zh-CN"/>
              </w:rPr>
              <w:t>0</w:t>
            </w:r>
            <w:r>
              <w:rPr>
                <w:rFonts w:ascii="Times New Roman" w:hAnsi="Times New Roman"/>
                <w:color w:val="auto"/>
                <w:sz w:val="18"/>
                <w:szCs w:val="18"/>
              </w:rPr>
              <w:t>%</w:t>
            </w:r>
          </w:p>
        </w:tc>
      </w:tr>
      <w:tr>
        <w:tblPrEx>
          <w:tblCellMar>
            <w:top w:w="0" w:type="dxa"/>
            <w:left w:w="108" w:type="dxa"/>
            <w:bottom w:w="0" w:type="dxa"/>
            <w:right w:w="108" w:type="dxa"/>
          </w:tblCellMar>
        </w:tblPrEx>
        <w:trPr>
          <w:trHeight w:val="33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7热带亚洲分布及其变型Tropic Asia</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w:t>
            </w:r>
            <w:r>
              <w:rPr>
                <w:rFonts w:hint="eastAsia" w:ascii="Times New Roman" w:hAnsi="Times New Roman"/>
                <w:color w:val="auto"/>
                <w:sz w:val="18"/>
                <w:szCs w:val="18"/>
                <w:lang w:val="en-US" w:eastAsia="zh-CN"/>
              </w:rPr>
              <w:t>27</w:t>
            </w:r>
            <w:r>
              <w:rPr>
                <w:rFonts w:ascii="Times New Roman" w:hAnsi="Times New Roman"/>
                <w:color w:val="auto"/>
                <w:sz w:val="18"/>
                <w:szCs w:val="18"/>
              </w:rPr>
              <w:t>%</w:t>
            </w: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8</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8.</w:t>
            </w:r>
            <w:r>
              <w:rPr>
                <w:rFonts w:hint="eastAsia" w:ascii="Times New Roman" w:hAnsi="Times New Roman"/>
                <w:color w:val="auto"/>
                <w:sz w:val="18"/>
                <w:szCs w:val="18"/>
                <w:lang w:val="en-US" w:eastAsia="zh-CN"/>
              </w:rPr>
              <w:t>16</w:t>
            </w:r>
            <w:r>
              <w:rPr>
                <w:rFonts w:ascii="Times New Roman" w:hAnsi="Times New Roman"/>
                <w:color w:val="auto"/>
                <w:sz w:val="18"/>
                <w:szCs w:val="18"/>
              </w:rPr>
              <w:t>%</w:t>
            </w:r>
          </w:p>
        </w:tc>
      </w:tr>
      <w:tr>
        <w:tblPrEx>
          <w:tblCellMar>
            <w:top w:w="0" w:type="dxa"/>
            <w:left w:w="108" w:type="dxa"/>
            <w:bottom w:w="0" w:type="dxa"/>
            <w:right w:w="108" w:type="dxa"/>
          </w:tblCellMar>
        </w:tblPrEx>
        <w:trPr>
          <w:trHeight w:val="36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8北温带分布及其变型North Temperate</w:t>
            </w:r>
          </w:p>
        </w:tc>
        <w:tc>
          <w:tcPr>
            <w:tcW w:w="850" w:type="dxa"/>
            <w:tcBorders>
              <w:top w:val="nil"/>
              <w:left w:val="nil"/>
              <w:bottom w:val="nil"/>
              <w:right w:val="nil"/>
            </w:tcBorders>
            <w:vAlign w:val="center"/>
          </w:tcPr>
          <w:p>
            <w:pPr>
              <w:widowControl/>
              <w:ind w:right="-21" w:rightChars="-10"/>
              <w:jc w:val="center"/>
              <w:rPr>
                <w:rFonts w:hint="eastAsia" w:ascii="Times New Roman" w:hAnsi="Times New Roman" w:eastAsia="宋体"/>
                <w:color w:val="auto"/>
                <w:kern w:val="0"/>
                <w:sz w:val="18"/>
                <w:szCs w:val="18"/>
                <w:lang w:eastAsia="zh-CN"/>
              </w:rPr>
            </w:pPr>
            <w:r>
              <w:rPr>
                <w:rFonts w:hint="eastAsia" w:ascii="Times New Roman" w:hAnsi="Times New Roman"/>
                <w:color w:val="auto"/>
                <w:kern w:val="0"/>
                <w:sz w:val="18"/>
                <w:szCs w:val="18"/>
                <w:lang w:val="en-US" w:eastAsia="zh-CN"/>
              </w:rPr>
              <w:t>5</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hint="eastAsia" w:ascii="Times New Roman" w:hAnsi="Times New Roman"/>
                <w:color w:val="auto"/>
                <w:sz w:val="18"/>
                <w:szCs w:val="18"/>
                <w:lang w:val="en-US" w:eastAsia="zh-CN"/>
              </w:rPr>
              <w:t>11.36</w:t>
            </w:r>
            <w:r>
              <w:rPr>
                <w:rFonts w:ascii="Times New Roman" w:hAnsi="Times New Roman"/>
                <w:color w:val="auto"/>
                <w:sz w:val="18"/>
                <w:szCs w:val="18"/>
              </w:rPr>
              <w:t>%</w:t>
            </w:r>
          </w:p>
        </w:tc>
        <w:tc>
          <w:tcPr>
            <w:tcW w:w="1120" w:type="dxa"/>
            <w:tcBorders>
              <w:top w:val="nil"/>
              <w:left w:val="nil"/>
              <w:bottom w:val="nil"/>
              <w:right w:val="nil"/>
            </w:tcBorders>
            <w:vAlign w:val="center"/>
          </w:tcPr>
          <w:p>
            <w:pPr>
              <w:widowControl/>
              <w:ind w:right="-21" w:rightChars="-10"/>
              <w:jc w:val="center"/>
              <w:rPr>
                <w:rFonts w:hint="eastAsia" w:ascii="Times New Roman" w:hAnsi="Times New Roman" w:eastAsia="宋体"/>
                <w:color w:val="auto"/>
                <w:kern w:val="0"/>
                <w:sz w:val="18"/>
                <w:szCs w:val="18"/>
                <w:lang w:eastAsia="zh-CN"/>
              </w:rPr>
            </w:pPr>
            <w:r>
              <w:rPr>
                <w:rFonts w:ascii="Times New Roman" w:hAnsi="Times New Roman"/>
                <w:color w:val="auto"/>
                <w:kern w:val="0"/>
                <w:sz w:val="18"/>
                <w:szCs w:val="18"/>
              </w:rPr>
              <w:t>1</w:t>
            </w:r>
            <w:r>
              <w:rPr>
                <w:rFonts w:hint="eastAsia" w:ascii="Times New Roman" w:hAnsi="Times New Roman"/>
                <w:color w:val="auto"/>
                <w:kern w:val="0"/>
                <w:sz w:val="18"/>
                <w:szCs w:val="18"/>
                <w:lang w:val="en-US" w:eastAsia="zh-CN"/>
              </w:rPr>
              <w:t>8</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w:t>
            </w:r>
            <w:r>
              <w:rPr>
                <w:rFonts w:hint="eastAsia" w:ascii="Times New Roman" w:hAnsi="Times New Roman"/>
                <w:color w:val="auto"/>
                <w:sz w:val="18"/>
                <w:szCs w:val="18"/>
                <w:lang w:val="en-US" w:eastAsia="zh-CN"/>
              </w:rPr>
              <w:t>8.37</w:t>
            </w:r>
            <w:r>
              <w:rPr>
                <w:rFonts w:ascii="Times New Roman" w:hAnsi="Times New Roman"/>
                <w:color w:val="auto"/>
                <w:sz w:val="18"/>
                <w:szCs w:val="18"/>
              </w:rPr>
              <w:t>%</w:t>
            </w:r>
          </w:p>
        </w:tc>
      </w:tr>
      <w:tr>
        <w:tblPrEx>
          <w:tblCellMar>
            <w:top w:w="0" w:type="dxa"/>
            <w:left w:w="108" w:type="dxa"/>
            <w:bottom w:w="0" w:type="dxa"/>
            <w:right w:w="108" w:type="dxa"/>
          </w:tblCellMar>
        </w:tblPrEx>
        <w:trPr>
          <w:trHeight w:val="39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9东亚和北美洲间断分布及其变型</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314"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r>
              <w:rPr>
                <w:rFonts w:hint="eastAsia" w:ascii="Times New Roman" w:hAnsi="Times New Roman"/>
                <w:color w:val="auto"/>
                <w:sz w:val="18"/>
                <w:szCs w:val="18"/>
                <w:lang w:val="en-US" w:eastAsia="zh-CN"/>
              </w:rPr>
              <w:t>5</w:t>
            </w:r>
            <w:r>
              <w:rPr>
                <w:rFonts w:ascii="Times New Roman" w:hAnsi="Times New Roman"/>
                <w:color w:val="auto"/>
                <w:sz w:val="18"/>
                <w:szCs w:val="18"/>
              </w:rPr>
              <w:t>5%</w:t>
            </w: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2.0</w:t>
            </w:r>
            <w:r>
              <w:rPr>
                <w:rFonts w:hint="eastAsia" w:ascii="Times New Roman" w:hAnsi="Times New Roman"/>
                <w:color w:val="auto"/>
                <w:sz w:val="18"/>
                <w:szCs w:val="18"/>
                <w:lang w:val="en-US" w:eastAsia="zh-CN"/>
              </w:rPr>
              <w:t>4</w:t>
            </w:r>
            <w:r>
              <w:rPr>
                <w:rFonts w:ascii="Times New Roman" w:hAnsi="Times New Roman"/>
                <w:color w:val="auto"/>
                <w:sz w:val="18"/>
                <w:szCs w:val="18"/>
              </w:rPr>
              <w:t>%</w:t>
            </w:r>
          </w:p>
        </w:tc>
      </w:tr>
      <w:tr>
        <w:tblPrEx>
          <w:tblCellMar>
            <w:top w:w="0" w:type="dxa"/>
            <w:left w:w="108" w:type="dxa"/>
            <w:bottom w:w="0" w:type="dxa"/>
            <w:right w:w="108" w:type="dxa"/>
          </w:tblCellMar>
        </w:tblPrEx>
        <w:trPr>
          <w:trHeight w:val="465"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10旧世界温带分布及其变型Old world temperate</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4</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r>
              <w:rPr>
                <w:rFonts w:hint="eastAsia" w:ascii="Times New Roman" w:hAnsi="Times New Roman"/>
                <w:color w:val="auto"/>
                <w:sz w:val="18"/>
                <w:szCs w:val="18"/>
                <w:lang w:val="en-US" w:eastAsia="zh-CN"/>
              </w:rPr>
              <w:t>08</w:t>
            </w:r>
            <w:r>
              <w:rPr>
                <w:rFonts w:ascii="Times New Roman" w:hAnsi="Times New Roman"/>
                <w:color w:val="auto"/>
                <w:sz w:val="18"/>
                <w:szCs w:val="18"/>
              </w:rPr>
              <w:t>%</w:t>
            </w:r>
          </w:p>
        </w:tc>
      </w:tr>
      <w:tr>
        <w:tblPrEx>
          <w:tblCellMar>
            <w:top w:w="0" w:type="dxa"/>
            <w:left w:w="108" w:type="dxa"/>
            <w:bottom w:w="0" w:type="dxa"/>
            <w:right w:w="108" w:type="dxa"/>
          </w:tblCellMar>
        </w:tblPrEx>
        <w:trPr>
          <w:trHeight w:val="315"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11温带亚洲分布Tempate Asia</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1.0</w:t>
            </w:r>
            <w:r>
              <w:rPr>
                <w:rFonts w:hint="eastAsia" w:ascii="Times New Roman" w:hAnsi="Times New Roman"/>
                <w:color w:val="auto"/>
                <w:sz w:val="18"/>
                <w:szCs w:val="18"/>
                <w:lang w:val="en-US" w:eastAsia="zh-CN"/>
              </w:rPr>
              <w:t>2</w:t>
            </w:r>
            <w:r>
              <w:rPr>
                <w:rFonts w:ascii="Times New Roman" w:hAnsi="Times New Roman"/>
                <w:color w:val="auto"/>
                <w:sz w:val="18"/>
                <w:szCs w:val="18"/>
              </w:rPr>
              <w:t>%</w:t>
            </w:r>
          </w:p>
        </w:tc>
      </w:tr>
      <w:tr>
        <w:tblPrEx>
          <w:tblCellMar>
            <w:top w:w="0" w:type="dxa"/>
            <w:left w:w="108" w:type="dxa"/>
            <w:bottom w:w="0" w:type="dxa"/>
            <w:right w:w="108" w:type="dxa"/>
          </w:tblCellMar>
        </w:tblPrEx>
        <w:trPr>
          <w:trHeight w:val="33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12地中海区、西亚至中亚分布及其变型</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1.0</w:t>
            </w:r>
            <w:r>
              <w:rPr>
                <w:rFonts w:hint="eastAsia" w:ascii="Times New Roman" w:hAnsi="Times New Roman"/>
                <w:color w:val="auto"/>
                <w:sz w:val="18"/>
                <w:szCs w:val="18"/>
                <w:lang w:val="en-US" w:eastAsia="zh-CN"/>
              </w:rPr>
              <w:t>2</w:t>
            </w:r>
            <w:r>
              <w:rPr>
                <w:rFonts w:ascii="Times New Roman" w:hAnsi="Times New Roman"/>
                <w:color w:val="auto"/>
                <w:sz w:val="18"/>
                <w:szCs w:val="18"/>
              </w:rPr>
              <w:t>%</w:t>
            </w:r>
          </w:p>
        </w:tc>
      </w:tr>
      <w:tr>
        <w:tblPrEx>
          <w:tblCellMar>
            <w:top w:w="0" w:type="dxa"/>
            <w:left w:w="108" w:type="dxa"/>
            <w:bottom w:w="0" w:type="dxa"/>
            <w:right w:w="108" w:type="dxa"/>
          </w:tblCellMar>
        </w:tblPrEx>
        <w:trPr>
          <w:trHeight w:val="285"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13中亚分布及其变型</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960" w:type="dxa"/>
            <w:tcBorders>
              <w:top w:val="nil"/>
              <w:left w:val="nil"/>
              <w:bottom w:val="nil"/>
              <w:right w:val="nil"/>
            </w:tcBorders>
            <w:vAlign w:val="center"/>
          </w:tcPr>
          <w:p>
            <w:pPr>
              <w:jc w:val="center"/>
              <w:rPr>
                <w:rFonts w:ascii="Times New Roman" w:hAnsi="Times New Roman"/>
                <w:color w:val="auto"/>
                <w:sz w:val="18"/>
                <w:szCs w:val="18"/>
              </w:rPr>
            </w:pPr>
          </w:p>
        </w:tc>
      </w:tr>
      <w:tr>
        <w:tblPrEx>
          <w:tblCellMar>
            <w:top w:w="0" w:type="dxa"/>
            <w:left w:w="108" w:type="dxa"/>
            <w:bottom w:w="0" w:type="dxa"/>
            <w:right w:w="108" w:type="dxa"/>
          </w:tblCellMar>
        </w:tblPrEx>
        <w:trPr>
          <w:trHeight w:val="36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14东亚分布（东喜玛拉雅-日本）East Asia</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8</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8.</w:t>
            </w:r>
            <w:r>
              <w:rPr>
                <w:rFonts w:hint="eastAsia" w:ascii="Times New Roman" w:hAnsi="Times New Roman"/>
                <w:color w:val="auto"/>
                <w:sz w:val="18"/>
                <w:szCs w:val="18"/>
                <w:lang w:val="en-US" w:eastAsia="zh-CN"/>
              </w:rPr>
              <w:t>16</w:t>
            </w:r>
            <w:r>
              <w:rPr>
                <w:rFonts w:ascii="Times New Roman" w:hAnsi="Times New Roman"/>
                <w:color w:val="auto"/>
                <w:sz w:val="18"/>
                <w:szCs w:val="18"/>
              </w:rPr>
              <w:t>%</w:t>
            </w:r>
          </w:p>
        </w:tc>
      </w:tr>
      <w:tr>
        <w:tblPrEx>
          <w:tblCellMar>
            <w:top w:w="0" w:type="dxa"/>
            <w:left w:w="108" w:type="dxa"/>
            <w:bottom w:w="0" w:type="dxa"/>
            <w:right w:w="108" w:type="dxa"/>
          </w:tblCellMar>
        </w:tblPrEx>
        <w:trPr>
          <w:trHeight w:val="270" w:hRule="atLeast"/>
          <w:jc w:val="center"/>
        </w:trPr>
        <w:tc>
          <w:tcPr>
            <w:tcW w:w="3493" w:type="dxa"/>
            <w:tcBorders>
              <w:top w:val="nil"/>
              <w:left w:val="nil"/>
              <w:bottom w:val="nil"/>
              <w:right w:val="nil"/>
            </w:tcBorders>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15中国特有分布</w:t>
            </w:r>
          </w:p>
        </w:tc>
        <w:tc>
          <w:tcPr>
            <w:tcW w:w="85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w:t>
            </w:r>
          </w:p>
        </w:tc>
        <w:tc>
          <w:tcPr>
            <w:tcW w:w="1314"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r>
              <w:rPr>
                <w:rFonts w:hint="eastAsia" w:ascii="Times New Roman" w:hAnsi="Times New Roman"/>
                <w:color w:val="auto"/>
                <w:kern w:val="0"/>
                <w:sz w:val="18"/>
                <w:szCs w:val="18"/>
                <w:lang w:val="en-US" w:eastAsia="zh-CN"/>
              </w:rPr>
              <w:t>27</w:t>
            </w:r>
            <w:r>
              <w:rPr>
                <w:rFonts w:ascii="Times New Roman" w:hAnsi="Times New Roman"/>
                <w:color w:val="auto"/>
                <w:kern w:val="0"/>
                <w:sz w:val="18"/>
                <w:szCs w:val="18"/>
              </w:rPr>
              <w:t>%</w:t>
            </w:r>
          </w:p>
        </w:tc>
        <w:tc>
          <w:tcPr>
            <w:tcW w:w="1120" w:type="dxa"/>
            <w:tcBorders>
              <w:top w:val="nil"/>
              <w:left w:val="nil"/>
              <w:bottom w:val="nil"/>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1960" w:type="dxa"/>
            <w:tcBorders>
              <w:top w:val="nil"/>
              <w:left w:val="nil"/>
              <w:bottom w:val="nil"/>
              <w:right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2.0</w:t>
            </w:r>
            <w:r>
              <w:rPr>
                <w:rFonts w:hint="eastAsia" w:ascii="Times New Roman" w:hAnsi="Times New Roman"/>
                <w:color w:val="auto"/>
                <w:sz w:val="18"/>
                <w:szCs w:val="18"/>
                <w:lang w:val="en-US" w:eastAsia="zh-CN"/>
              </w:rPr>
              <w:t>4</w:t>
            </w:r>
            <w:r>
              <w:rPr>
                <w:rFonts w:ascii="Times New Roman" w:hAnsi="Times New Roman"/>
                <w:color w:val="auto"/>
                <w:sz w:val="18"/>
                <w:szCs w:val="18"/>
              </w:rPr>
              <w:t>%</w:t>
            </w:r>
          </w:p>
        </w:tc>
      </w:tr>
      <w:tr>
        <w:tblPrEx>
          <w:tblCellMar>
            <w:top w:w="0" w:type="dxa"/>
            <w:left w:w="108" w:type="dxa"/>
            <w:bottom w:w="0" w:type="dxa"/>
            <w:right w:w="108" w:type="dxa"/>
          </w:tblCellMar>
        </w:tblPrEx>
        <w:trPr>
          <w:trHeight w:val="300" w:hRule="atLeast"/>
          <w:jc w:val="center"/>
        </w:trPr>
        <w:tc>
          <w:tcPr>
            <w:tcW w:w="3493" w:type="dxa"/>
            <w:tcBorders>
              <w:top w:val="nil"/>
              <w:left w:val="nil"/>
              <w:bottom w:val="single" w:color="auto" w:sz="12" w:space="0"/>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合计Total</w:t>
            </w:r>
          </w:p>
        </w:tc>
        <w:tc>
          <w:tcPr>
            <w:tcW w:w="850" w:type="dxa"/>
            <w:tcBorders>
              <w:top w:val="nil"/>
              <w:left w:val="nil"/>
              <w:bottom w:val="single" w:color="auto" w:sz="12" w:space="0"/>
              <w:right w:val="nil"/>
            </w:tcBorders>
            <w:vAlign w:val="center"/>
          </w:tcPr>
          <w:p>
            <w:pPr>
              <w:widowControl/>
              <w:ind w:right="-21" w:rightChars="-10"/>
              <w:jc w:val="center"/>
              <w:rPr>
                <w:rFonts w:hint="eastAsia" w:ascii="Times New Roman" w:hAnsi="Times New Roman" w:eastAsia="宋体"/>
                <w:color w:val="auto"/>
                <w:kern w:val="0"/>
                <w:sz w:val="18"/>
                <w:szCs w:val="18"/>
                <w:lang w:eastAsia="zh-CN"/>
              </w:rPr>
            </w:pPr>
            <w:r>
              <w:rPr>
                <w:rFonts w:ascii="Times New Roman" w:hAnsi="Times New Roman"/>
                <w:color w:val="auto"/>
                <w:kern w:val="0"/>
                <w:sz w:val="18"/>
                <w:szCs w:val="18"/>
              </w:rPr>
              <w:t>4</w:t>
            </w:r>
            <w:r>
              <w:rPr>
                <w:rFonts w:hint="eastAsia" w:ascii="Times New Roman" w:hAnsi="Times New Roman"/>
                <w:color w:val="auto"/>
                <w:kern w:val="0"/>
                <w:sz w:val="18"/>
                <w:szCs w:val="18"/>
                <w:lang w:val="en-US" w:eastAsia="zh-CN"/>
              </w:rPr>
              <w:t>4</w:t>
            </w:r>
          </w:p>
        </w:tc>
        <w:tc>
          <w:tcPr>
            <w:tcW w:w="1314" w:type="dxa"/>
            <w:tcBorders>
              <w:top w:val="nil"/>
              <w:left w:val="nil"/>
              <w:bottom w:val="single" w:color="auto" w:sz="12" w:space="0"/>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100%</w:t>
            </w:r>
          </w:p>
        </w:tc>
        <w:tc>
          <w:tcPr>
            <w:tcW w:w="1120" w:type="dxa"/>
            <w:tcBorders>
              <w:top w:val="nil"/>
              <w:left w:val="nil"/>
              <w:bottom w:val="single" w:color="auto" w:sz="12" w:space="0"/>
              <w:right w:val="nil"/>
            </w:tcBorders>
            <w:vAlign w:val="center"/>
          </w:tcPr>
          <w:p>
            <w:pPr>
              <w:widowControl/>
              <w:ind w:right="-21" w:rightChars="-10"/>
              <w:jc w:val="center"/>
              <w:rPr>
                <w:rFonts w:hint="eastAsia" w:ascii="Times New Roman" w:hAnsi="Times New Roman" w:eastAsia="宋体"/>
                <w:color w:val="auto"/>
                <w:kern w:val="0"/>
                <w:sz w:val="18"/>
                <w:szCs w:val="18"/>
                <w:lang w:eastAsia="zh-CN"/>
              </w:rPr>
            </w:pPr>
            <w:r>
              <w:rPr>
                <w:rFonts w:ascii="Times New Roman" w:hAnsi="Times New Roman"/>
                <w:color w:val="auto"/>
                <w:kern w:val="0"/>
                <w:sz w:val="18"/>
                <w:szCs w:val="18"/>
              </w:rPr>
              <w:t>9</w:t>
            </w:r>
            <w:r>
              <w:rPr>
                <w:rFonts w:hint="eastAsia" w:ascii="Times New Roman" w:hAnsi="Times New Roman"/>
                <w:color w:val="auto"/>
                <w:kern w:val="0"/>
                <w:sz w:val="18"/>
                <w:szCs w:val="18"/>
                <w:lang w:val="en-US" w:eastAsia="zh-CN"/>
              </w:rPr>
              <w:t>8</w:t>
            </w:r>
          </w:p>
        </w:tc>
        <w:tc>
          <w:tcPr>
            <w:tcW w:w="1960" w:type="dxa"/>
            <w:tcBorders>
              <w:top w:val="nil"/>
              <w:left w:val="nil"/>
              <w:bottom w:val="single" w:color="auto" w:sz="12" w:space="0"/>
              <w:right w:val="nil"/>
            </w:tcBorders>
            <w:vAlign w:val="center"/>
          </w:tcPr>
          <w:p>
            <w:pPr>
              <w:widowControl/>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100%</w:t>
            </w:r>
          </w:p>
        </w:tc>
      </w:tr>
    </w:tbl>
    <w:p>
      <w:pPr>
        <w:pStyle w:val="119"/>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right="0" w:rightChars="0" w:firstLine="482" w:firstLineChars="200"/>
        <w:textAlignment w:val="auto"/>
        <w:rPr>
          <w:rFonts w:hint="eastAsia" w:ascii="宋体" w:hAnsi="宋体" w:eastAsia="宋体" w:cs="宋体"/>
          <w:b/>
          <w:bCs/>
          <w:color w:val="auto"/>
          <w:kern w:val="0"/>
          <w:sz w:val="24"/>
          <w:szCs w:val="24"/>
        </w:rPr>
      </w:pPr>
      <w:r>
        <w:rPr>
          <w:rFonts w:hint="eastAsia" w:ascii="宋体" w:hAnsi="宋体" w:eastAsia="宋体" w:cs="宋体"/>
          <w:b/>
          <w:bCs/>
          <w:color w:val="auto"/>
          <w:kern w:val="0"/>
          <w:sz w:val="24"/>
          <w:szCs w:val="24"/>
        </w:rPr>
        <w:t>科的分布</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根据上表，分布区内科可划分为7个类型。</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世界分布的有22科，占总科数的5</w:t>
      </w:r>
      <w:r>
        <w:rPr>
          <w:rFonts w:hint="eastAsia" w:ascii="宋体" w:hAnsi="宋体" w:eastAsia="宋体" w:cs="宋体"/>
          <w:color w:val="auto"/>
          <w:kern w:val="0"/>
          <w:sz w:val="24"/>
          <w:szCs w:val="24"/>
          <w:lang w:val="en-US" w:eastAsia="zh-CN"/>
        </w:rPr>
        <w:t>0.00</w:t>
      </w:r>
      <w:r>
        <w:rPr>
          <w:rFonts w:hint="eastAsia" w:ascii="宋体" w:hAnsi="宋体" w:eastAsia="宋体" w:cs="宋体"/>
          <w:color w:val="auto"/>
          <w:kern w:val="0"/>
          <w:sz w:val="24"/>
          <w:szCs w:val="24"/>
        </w:rPr>
        <w:t>%。即桑科Moraceae、蓼科Polygonaceae、藜科Chenopodiaceae、苋科Amaranthaceae、石竹科Caryophyllaceae、毛茛科Ranunculaceae、十字花科Cruciferae、景天科Crassulaceae、蔷薇科Rosaceae、酢浆草科Oxalidaceae、堇菜科Violaceae、伞形科Umbelliferae、报春花科Primulaceae、旋花科Convolvulaceae、唇形科Labiatae、茄科Solanaceae、玄参科Scrophulariaceae、车前科Plantaginaceae、茜草科Rubiaceae、菊科Compositae、禾本科Gramineae、莎草科Cyperaceae。</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热带分布有14科，占总科数的3</w:t>
      </w:r>
      <w:r>
        <w:rPr>
          <w:rFonts w:hint="eastAsia" w:ascii="宋体" w:hAnsi="宋体" w:eastAsia="宋体" w:cs="宋体"/>
          <w:color w:val="auto"/>
          <w:sz w:val="24"/>
          <w:szCs w:val="24"/>
          <w:lang w:val="en-US" w:eastAsia="zh-CN"/>
        </w:rPr>
        <w:t>1.82</w:t>
      </w:r>
      <w:r>
        <w:rPr>
          <w:rFonts w:hint="eastAsia" w:ascii="宋体" w:hAnsi="宋体" w:eastAsia="宋体" w:cs="宋体"/>
          <w:color w:val="auto"/>
          <w:sz w:val="24"/>
          <w:szCs w:val="24"/>
        </w:rPr>
        <w:t>%。其中</w:t>
      </w:r>
      <w:r>
        <w:rPr>
          <w:rFonts w:hint="eastAsia" w:ascii="宋体" w:hAnsi="宋体" w:eastAsia="宋体" w:cs="宋体"/>
          <w:color w:val="auto"/>
          <w:kern w:val="0"/>
          <w:sz w:val="24"/>
          <w:szCs w:val="24"/>
        </w:rPr>
        <w:t>泛热带分布的最多有11科，占总科数的25.58%。即荨麻科Urticaceae、落葵科Basellaceae、豆科Leguminosae、芸香科Rutaceae、大戟科Euphorbiaceae、无患子科Sapindaceae、葡萄科Vitaceae、锦葵科Malvaceae、木犀科Oleaceae、葫芦科Cucurbitaceae、天南星科Araceae。热带亚洲和热带美洲间断分布有2科，</w:t>
      </w:r>
      <w:r>
        <w:rPr>
          <w:rFonts w:hint="eastAsia" w:ascii="宋体" w:hAnsi="宋体" w:eastAsia="宋体" w:cs="宋体"/>
          <w:color w:val="auto"/>
          <w:sz w:val="24"/>
          <w:szCs w:val="24"/>
        </w:rPr>
        <w:t>占总科数的</w:t>
      </w:r>
      <w:r>
        <w:rPr>
          <w:rFonts w:hint="eastAsia" w:ascii="宋体" w:hAnsi="宋体" w:eastAsia="宋体" w:cs="宋体"/>
          <w:color w:val="auto"/>
          <w:kern w:val="0"/>
          <w:sz w:val="24"/>
          <w:szCs w:val="24"/>
        </w:rPr>
        <w:t>4.65%</w:t>
      </w:r>
      <w:r>
        <w:rPr>
          <w:rFonts w:hint="eastAsia" w:ascii="宋体" w:hAnsi="宋体" w:eastAsia="宋体" w:cs="宋体"/>
          <w:color w:val="auto"/>
          <w:sz w:val="24"/>
          <w:szCs w:val="24"/>
        </w:rPr>
        <w:t>，即木通科Lardizabalaceae、马鞭草科Verbenaceae。热带亚洲分布及其变型有1科，占总数的2.33%，即为姜科Zingiberaceae。</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温带分布也较多，有</w:t>
      </w:r>
      <w:r>
        <w:rPr>
          <w:rFonts w:hint="eastAsia" w:ascii="宋体" w:hAnsi="宋体" w:eastAsia="宋体" w:cs="宋体"/>
          <w:color w:val="auto"/>
          <w:kern w:val="0"/>
          <w:sz w:val="24"/>
          <w:szCs w:val="24"/>
          <w:lang w:val="en-US" w:eastAsia="zh-CN"/>
        </w:rPr>
        <w:t>7</w:t>
      </w:r>
      <w:r>
        <w:rPr>
          <w:rFonts w:hint="eastAsia" w:ascii="宋体" w:hAnsi="宋体" w:eastAsia="宋体" w:cs="宋体"/>
          <w:color w:val="auto"/>
          <w:kern w:val="0"/>
          <w:sz w:val="24"/>
          <w:szCs w:val="24"/>
        </w:rPr>
        <w:t>科，占总科数的1</w:t>
      </w:r>
      <w:r>
        <w:rPr>
          <w:rFonts w:hint="eastAsia" w:ascii="宋体" w:hAnsi="宋体" w:eastAsia="宋体" w:cs="宋体"/>
          <w:color w:val="auto"/>
          <w:kern w:val="0"/>
          <w:sz w:val="24"/>
          <w:szCs w:val="24"/>
          <w:lang w:val="en-US" w:eastAsia="zh-CN"/>
        </w:rPr>
        <w:t>5</w:t>
      </w:r>
      <w:r>
        <w:rPr>
          <w:rFonts w:hint="eastAsia" w:ascii="宋体" w:hAnsi="宋体" w:eastAsia="宋体" w:cs="宋体"/>
          <w:color w:val="auto"/>
          <w:kern w:val="0"/>
          <w:sz w:val="24"/>
          <w:szCs w:val="24"/>
        </w:rPr>
        <w:t>.9</w:t>
      </w:r>
      <w:r>
        <w:rPr>
          <w:rFonts w:hint="eastAsia" w:ascii="宋体" w:hAnsi="宋体" w:eastAsia="宋体" w:cs="宋体"/>
          <w:color w:val="auto"/>
          <w:kern w:val="0"/>
          <w:sz w:val="24"/>
          <w:szCs w:val="24"/>
          <w:lang w:val="en-US" w:eastAsia="zh-CN"/>
        </w:rPr>
        <w:t>1</w:t>
      </w:r>
      <w:r>
        <w:rPr>
          <w:rFonts w:hint="eastAsia" w:ascii="宋体" w:hAnsi="宋体" w:eastAsia="宋体" w:cs="宋体"/>
          <w:color w:val="auto"/>
          <w:kern w:val="0"/>
          <w:sz w:val="24"/>
          <w:szCs w:val="24"/>
        </w:rPr>
        <w:t>%，其中北温带分布及其变型分布居多，分布有</w:t>
      </w:r>
      <w:r>
        <w:rPr>
          <w:rFonts w:hint="eastAsia" w:ascii="宋体" w:hAnsi="宋体" w:eastAsia="宋体" w:cs="宋体"/>
          <w:color w:val="auto"/>
          <w:kern w:val="0"/>
          <w:sz w:val="24"/>
          <w:szCs w:val="24"/>
          <w:lang w:val="en-US" w:eastAsia="zh-CN"/>
        </w:rPr>
        <w:t>5</w:t>
      </w:r>
      <w:r>
        <w:rPr>
          <w:rFonts w:hint="eastAsia" w:ascii="宋体" w:hAnsi="宋体" w:eastAsia="宋体" w:cs="宋体"/>
          <w:color w:val="auto"/>
          <w:kern w:val="0"/>
          <w:sz w:val="24"/>
          <w:szCs w:val="24"/>
        </w:rPr>
        <w:t>科，占总科数的</w:t>
      </w:r>
      <w:r>
        <w:rPr>
          <w:rFonts w:hint="eastAsia" w:ascii="宋体" w:hAnsi="宋体" w:eastAsia="宋体" w:cs="宋体"/>
          <w:color w:val="auto"/>
          <w:kern w:val="0"/>
          <w:sz w:val="24"/>
          <w:szCs w:val="24"/>
          <w:lang w:val="en-US" w:eastAsia="zh-CN"/>
        </w:rPr>
        <w:t>11.36</w:t>
      </w:r>
      <w:r>
        <w:rPr>
          <w:rFonts w:hint="eastAsia" w:ascii="宋体" w:hAnsi="宋体" w:eastAsia="宋体" w:cs="宋体"/>
          <w:color w:val="auto"/>
          <w:kern w:val="0"/>
          <w:sz w:val="24"/>
          <w:szCs w:val="24"/>
        </w:rPr>
        <w:t>%，即</w:t>
      </w:r>
      <w:r>
        <w:rPr>
          <w:rFonts w:hint="eastAsia" w:ascii="宋体" w:hAnsi="宋体" w:eastAsia="宋体" w:cs="宋体"/>
          <w:color w:val="auto"/>
          <w:kern w:val="0"/>
          <w:sz w:val="24"/>
          <w:szCs w:val="24"/>
          <w:lang w:val="en-US" w:eastAsia="zh-CN"/>
        </w:rPr>
        <w:t>柏科</w:t>
      </w:r>
      <w:r>
        <w:rPr>
          <w:rFonts w:hint="eastAsia" w:ascii="宋体" w:hAnsi="宋体" w:eastAsia="宋体" w:cs="宋体"/>
          <w:color w:val="auto"/>
          <w:kern w:val="0"/>
          <w:sz w:val="24"/>
          <w:szCs w:val="24"/>
        </w:rPr>
        <w:t>Cupressaceae</w:t>
      </w:r>
      <w:r>
        <w:rPr>
          <w:rFonts w:hint="eastAsia" w:ascii="宋体" w:hAnsi="宋体" w:eastAsia="宋体" w:cs="宋体"/>
          <w:color w:val="auto"/>
          <w:kern w:val="0"/>
          <w:sz w:val="24"/>
          <w:szCs w:val="24"/>
          <w:lang w:eastAsia="zh-CN"/>
        </w:rPr>
        <w:t>、</w:t>
      </w:r>
      <w:r>
        <w:rPr>
          <w:rFonts w:hint="eastAsia" w:ascii="宋体" w:hAnsi="宋体" w:eastAsia="宋体" w:cs="宋体"/>
          <w:color w:val="auto"/>
          <w:kern w:val="0"/>
          <w:sz w:val="24"/>
          <w:szCs w:val="24"/>
        </w:rPr>
        <w:t>罂粟科Papaveraceae、亚麻科Linaceae、忍冬科Caprifoliaceae、百合科Liliaceae。东亚和北美洲间断分布及其变型仅2科，占总科数的4.65%，即三白草科Saururaceae、蓝果树科Nyssaceae。</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中国特有分布仅1科，占总科数的2.</w:t>
      </w:r>
      <w:r>
        <w:rPr>
          <w:rFonts w:hint="eastAsia" w:ascii="宋体" w:hAnsi="宋体" w:eastAsia="宋体" w:cs="宋体"/>
          <w:color w:val="auto"/>
          <w:kern w:val="0"/>
          <w:sz w:val="24"/>
          <w:szCs w:val="24"/>
          <w:lang w:val="en-US" w:eastAsia="zh-CN"/>
        </w:rPr>
        <w:t>27</w:t>
      </w:r>
      <w:r>
        <w:rPr>
          <w:rFonts w:hint="eastAsia" w:ascii="宋体" w:hAnsi="宋体" w:eastAsia="宋体" w:cs="宋体"/>
          <w:color w:val="auto"/>
          <w:kern w:val="0"/>
          <w:sz w:val="24"/>
          <w:szCs w:val="24"/>
        </w:rPr>
        <w:t>%，即银杏科</w:t>
      </w:r>
      <w:r>
        <w:rPr>
          <w:rFonts w:hint="eastAsia" w:ascii="宋体" w:hAnsi="宋体" w:eastAsia="宋体" w:cs="宋体"/>
          <w:color w:val="auto"/>
          <w:sz w:val="24"/>
          <w:szCs w:val="24"/>
        </w:rPr>
        <w:t>Ginkgoaceae。</w:t>
      </w:r>
    </w:p>
    <w:p>
      <w:pPr>
        <w:pStyle w:val="119"/>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right="0" w:rightChars="0" w:firstLine="482" w:firstLineChars="200"/>
        <w:textAlignment w:val="auto"/>
        <w:rPr>
          <w:rFonts w:hint="eastAsia" w:ascii="宋体" w:hAnsi="宋体" w:eastAsia="宋体" w:cs="宋体"/>
          <w:b/>
          <w:bCs/>
          <w:color w:val="auto"/>
          <w:kern w:val="0"/>
          <w:sz w:val="24"/>
          <w:szCs w:val="24"/>
        </w:rPr>
      </w:pPr>
      <w:r>
        <w:rPr>
          <w:rFonts w:hint="eastAsia" w:ascii="宋体" w:hAnsi="宋体" w:eastAsia="宋体" w:cs="宋体"/>
          <w:b/>
          <w:bCs/>
          <w:color w:val="auto"/>
          <w:kern w:val="0"/>
          <w:sz w:val="24"/>
          <w:szCs w:val="24"/>
        </w:rPr>
        <w:t>属的分布</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根据上表，分布区内属可划分为14个类型。</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世界分布20属，占总属数的20.</w:t>
      </w:r>
      <w:r>
        <w:rPr>
          <w:rFonts w:hint="eastAsia" w:ascii="宋体" w:hAnsi="宋体" w:eastAsia="宋体" w:cs="宋体"/>
          <w:color w:val="auto"/>
          <w:kern w:val="0"/>
          <w:sz w:val="24"/>
          <w:szCs w:val="24"/>
          <w:lang w:val="en-US" w:eastAsia="zh-CN"/>
        </w:rPr>
        <w:t>41</w:t>
      </w:r>
      <w:r>
        <w:rPr>
          <w:rFonts w:hint="eastAsia" w:ascii="宋体" w:hAnsi="宋体" w:eastAsia="宋体" w:cs="宋体"/>
          <w:color w:val="auto"/>
          <w:kern w:val="0"/>
          <w:sz w:val="24"/>
          <w:szCs w:val="24"/>
        </w:rPr>
        <w:t>%；热带分布42属，占总属数的4</w:t>
      </w:r>
      <w:r>
        <w:rPr>
          <w:rFonts w:hint="eastAsia" w:ascii="宋体" w:hAnsi="宋体" w:eastAsia="宋体" w:cs="宋体"/>
          <w:color w:val="auto"/>
          <w:kern w:val="0"/>
          <w:sz w:val="24"/>
          <w:szCs w:val="24"/>
          <w:lang w:val="en-US" w:eastAsia="zh-CN"/>
        </w:rPr>
        <w:t>2.86</w:t>
      </w:r>
      <w:r>
        <w:rPr>
          <w:rFonts w:hint="eastAsia" w:ascii="宋体" w:hAnsi="宋体" w:eastAsia="宋体" w:cs="宋体"/>
          <w:color w:val="auto"/>
          <w:kern w:val="0"/>
          <w:sz w:val="24"/>
          <w:szCs w:val="24"/>
        </w:rPr>
        <w:t>%；温带分布2</w:t>
      </w:r>
      <w:r>
        <w:rPr>
          <w:rFonts w:hint="eastAsia" w:ascii="宋体" w:hAnsi="宋体" w:eastAsia="宋体" w:cs="宋体"/>
          <w:color w:val="auto"/>
          <w:kern w:val="0"/>
          <w:sz w:val="24"/>
          <w:szCs w:val="24"/>
          <w:lang w:val="en-US" w:eastAsia="zh-CN"/>
        </w:rPr>
        <w:t>5</w:t>
      </w:r>
      <w:r>
        <w:rPr>
          <w:rFonts w:hint="eastAsia" w:ascii="宋体" w:hAnsi="宋体" w:eastAsia="宋体" w:cs="宋体"/>
          <w:color w:val="auto"/>
          <w:kern w:val="0"/>
          <w:sz w:val="24"/>
          <w:szCs w:val="24"/>
        </w:rPr>
        <w:t>属，占总属数的2</w:t>
      </w:r>
      <w:r>
        <w:rPr>
          <w:rFonts w:hint="eastAsia" w:ascii="宋体" w:hAnsi="宋体" w:eastAsia="宋体" w:cs="宋体"/>
          <w:color w:val="auto"/>
          <w:kern w:val="0"/>
          <w:sz w:val="24"/>
          <w:szCs w:val="24"/>
          <w:lang w:val="en-US" w:eastAsia="zh-CN"/>
        </w:rPr>
        <w:t>5.51</w:t>
      </w:r>
      <w:r>
        <w:rPr>
          <w:rFonts w:hint="eastAsia" w:ascii="宋体" w:hAnsi="宋体" w:eastAsia="宋体" w:cs="宋体"/>
          <w:color w:val="auto"/>
          <w:kern w:val="0"/>
          <w:sz w:val="24"/>
          <w:szCs w:val="24"/>
        </w:rPr>
        <w:t>%；地中海区、西亚至中亚分布及其变型有1属，占总属数的1.0</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%；东亚分布8属，占总属数的8.</w:t>
      </w:r>
      <w:r>
        <w:rPr>
          <w:rFonts w:hint="eastAsia" w:ascii="宋体" w:hAnsi="宋体" w:eastAsia="宋体" w:cs="宋体"/>
          <w:color w:val="auto"/>
          <w:kern w:val="0"/>
          <w:sz w:val="24"/>
          <w:szCs w:val="24"/>
          <w:lang w:val="en-US" w:eastAsia="zh-CN"/>
        </w:rPr>
        <w:t>16</w:t>
      </w:r>
      <w:r>
        <w:rPr>
          <w:rFonts w:hint="eastAsia" w:ascii="宋体" w:hAnsi="宋体" w:eastAsia="宋体" w:cs="宋体"/>
          <w:color w:val="auto"/>
          <w:kern w:val="0"/>
          <w:sz w:val="24"/>
          <w:szCs w:val="24"/>
        </w:rPr>
        <w:t>%；中国特有分布2属，占总种数的2.0</w:t>
      </w:r>
      <w:r>
        <w:rPr>
          <w:rFonts w:hint="eastAsia" w:ascii="宋体" w:hAnsi="宋体" w:eastAsia="宋体" w:cs="宋体"/>
          <w:color w:val="auto"/>
          <w:kern w:val="0"/>
          <w:sz w:val="24"/>
          <w:szCs w:val="24"/>
          <w:lang w:val="en-US" w:eastAsia="zh-CN"/>
        </w:rPr>
        <w:t>4</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由上可知，其中热带带分布所占比例最重，表明该区的区系具有热带区系的特征。</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世界分布20属，占总属数的20.</w:t>
      </w:r>
      <w:r>
        <w:rPr>
          <w:rFonts w:hint="eastAsia" w:ascii="宋体" w:hAnsi="宋体" w:eastAsia="宋体" w:cs="宋体"/>
          <w:color w:val="auto"/>
          <w:kern w:val="0"/>
          <w:sz w:val="24"/>
          <w:szCs w:val="24"/>
          <w:lang w:val="en-US" w:eastAsia="zh-CN"/>
        </w:rPr>
        <w:t>41</w:t>
      </w:r>
      <w:r>
        <w:rPr>
          <w:rFonts w:hint="eastAsia" w:ascii="宋体" w:hAnsi="宋体" w:eastAsia="宋体" w:cs="宋体"/>
          <w:color w:val="auto"/>
          <w:kern w:val="0"/>
          <w:sz w:val="24"/>
          <w:szCs w:val="24"/>
        </w:rPr>
        <w:t>%，即蓼属</w:t>
      </w:r>
      <w:r>
        <w:rPr>
          <w:rFonts w:hint="eastAsia" w:ascii="宋体" w:hAnsi="宋体" w:eastAsia="宋体" w:cs="宋体"/>
          <w:i/>
          <w:color w:val="auto"/>
          <w:kern w:val="0"/>
          <w:sz w:val="24"/>
          <w:szCs w:val="24"/>
        </w:rPr>
        <w:t>Polygonum</w:t>
      </w:r>
      <w:r>
        <w:rPr>
          <w:rFonts w:hint="eastAsia" w:ascii="宋体" w:hAnsi="宋体" w:eastAsia="宋体" w:cs="宋体"/>
          <w:color w:val="auto"/>
          <w:kern w:val="0"/>
          <w:sz w:val="24"/>
          <w:szCs w:val="24"/>
        </w:rPr>
        <w:t>、藜属</w:t>
      </w:r>
      <w:r>
        <w:rPr>
          <w:rFonts w:hint="eastAsia" w:ascii="宋体" w:hAnsi="宋体" w:eastAsia="宋体" w:cs="宋体"/>
          <w:i/>
          <w:color w:val="auto"/>
          <w:kern w:val="0"/>
          <w:sz w:val="24"/>
          <w:szCs w:val="24"/>
        </w:rPr>
        <w:t>Chenopodium</w:t>
      </w:r>
      <w:r>
        <w:rPr>
          <w:rFonts w:hint="eastAsia" w:ascii="宋体" w:hAnsi="宋体" w:eastAsia="宋体" w:cs="宋体"/>
          <w:color w:val="auto"/>
          <w:kern w:val="0"/>
          <w:sz w:val="24"/>
          <w:szCs w:val="24"/>
        </w:rPr>
        <w:t>、苋属</w:t>
      </w:r>
      <w:r>
        <w:rPr>
          <w:rFonts w:hint="eastAsia" w:ascii="宋体" w:hAnsi="宋体" w:eastAsia="宋体" w:cs="宋体"/>
          <w:i/>
          <w:color w:val="auto"/>
          <w:kern w:val="0"/>
          <w:sz w:val="24"/>
          <w:szCs w:val="24"/>
        </w:rPr>
        <w:t>Amaranthus</w:t>
      </w:r>
      <w:r>
        <w:rPr>
          <w:rFonts w:hint="eastAsia" w:ascii="宋体" w:hAnsi="宋体" w:eastAsia="宋体" w:cs="宋体"/>
          <w:color w:val="auto"/>
          <w:kern w:val="0"/>
          <w:sz w:val="24"/>
          <w:szCs w:val="24"/>
        </w:rPr>
        <w:t>、繁缕属</w:t>
      </w:r>
      <w:r>
        <w:rPr>
          <w:rFonts w:hint="eastAsia" w:ascii="宋体" w:hAnsi="宋体" w:eastAsia="宋体" w:cs="宋体"/>
          <w:i/>
          <w:color w:val="auto"/>
          <w:kern w:val="0"/>
          <w:sz w:val="24"/>
          <w:szCs w:val="24"/>
        </w:rPr>
        <w:t>Stellaria</w:t>
      </w:r>
      <w:r>
        <w:rPr>
          <w:rFonts w:hint="eastAsia" w:ascii="宋体" w:hAnsi="宋体" w:eastAsia="宋体" w:cs="宋体"/>
          <w:color w:val="auto"/>
          <w:kern w:val="0"/>
          <w:sz w:val="24"/>
          <w:szCs w:val="24"/>
        </w:rPr>
        <w:t>、银莲花属</w:t>
      </w:r>
      <w:r>
        <w:rPr>
          <w:rFonts w:hint="eastAsia" w:ascii="宋体" w:hAnsi="宋体" w:eastAsia="宋体" w:cs="宋体"/>
          <w:i/>
          <w:color w:val="auto"/>
          <w:kern w:val="0"/>
          <w:sz w:val="24"/>
          <w:szCs w:val="24"/>
        </w:rPr>
        <w:t>Anemone</w:t>
      </w:r>
      <w:r>
        <w:rPr>
          <w:rFonts w:hint="eastAsia" w:ascii="宋体" w:hAnsi="宋体" w:eastAsia="宋体" w:cs="宋体"/>
          <w:color w:val="auto"/>
          <w:kern w:val="0"/>
          <w:sz w:val="24"/>
          <w:szCs w:val="24"/>
        </w:rPr>
        <w:t>、毛茛属</w:t>
      </w:r>
      <w:r>
        <w:rPr>
          <w:rFonts w:hint="eastAsia" w:ascii="宋体" w:hAnsi="宋体" w:eastAsia="宋体" w:cs="宋体"/>
          <w:i/>
          <w:color w:val="auto"/>
          <w:kern w:val="0"/>
          <w:sz w:val="24"/>
          <w:szCs w:val="24"/>
        </w:rPr>
        <w:t>Ranunculus</w:t>
      </w:r>
      <w:r>
        <w:rPr>
          <w:rFonts w:hint="eastAsia" w:ascii="宋体" w:hAnsi="宋体" w:eastAsia="宋体" w:cs="宋体"/>
          <w:color w:val="auto"/>
          <w:kern w:val="0"/>
          <w:sz w:val="24"/>
          <w:szCs w:val="24"/>
        </w:rPr>
        <w:t>、碎米荠属</w:t>
      </w:r>
      <w:r>
        <w:rPr>
          <w:rFonts w:hint="eastAsia" w:ascii="宋体" w:hAnsi="宋体" w:eastAsia="宋体" w:cs="宋体"/>
          <w:i/>
          <w:color w:val="auto"/>
          <w:kern w:val="0"/>
          <w:sz w:val="24"/>
          <w:szCs w:val="24"/>
        </w:rPr>
        <w:t>Cardamine</w:t>
      </w:r>
      <w:r>
        <w:rPr>
          <w:rFonts w:hint="eastAsia" w:ascii="宋体" w:hAnsi="宋体" w:eastAsia="宋体" w:cs="宋体"/>
          <w:color w:val="auto"/>
          <w:kern w:val="0"/>
          <w:sz w:val="24"/>
          <w:szCs w:val="24"/>
        </w:rPr>
        <w:t>、悬钩子属</w:t>
      </w:r>
      <w:r>
        <w:rPr>
          <w:rFonts w:hint="eastAsia" w:ascii="宋体" w:hAnsi="宋体" w:eastAsia="宋体" w:cs="宋体"/>
          <w:i/>
          <w:color w:val="auto"/>
          <w:kern w:val="0"/>
          <w:sz w:val="24"/>
          <w:szCs w:val="24"/>
        </w:rPr>
        <w:t>Rubus</w:t>
      </w:r>
      <w:r>
        <w:rPr>
          <w:rFonts w:hint="eastAsia" w:ascii="宋体" w:hAnsi="宋体" w:eastAsia="宋体" w:cs="宋体"/>
          <w:color w:val="auto"/>
          <w:kern w:val="0"/>
          <w:sz w:val="24"/>
          <w:szCs w:val="24"/>
        </w:rPr>
        <w:t>、酢浆草属</w:t>
      </w:r>
      <w:r>
        <w:rPr>
          <w:rFonts w:hint="eastAsia" w:ascii="宋体" w:hAnsi="宋体" w:eastAsia="宋体" w:cs="宋体"/>
          <w:i/>
          <w:color w:val="auto"/>
          <w:kern w:val="0"/>
          <w:sz w:val="24"/>
          <w:szCs w:val="24"/>
        </w:rPr>
        <w:t>Oxalis</w:t>
      </w:r>
      <w:r>
        <w:rPr>
          <w:rFonts w:hint="eastAsia" w:ascii="宋体" w:hAnsi="宋体" w:eastAsia="宋体" w:cs="宋体"/>
          <w:color w:val="auto"/>
          <w:kern w:val="0"/>
          <w:sz w:val="24"/>
          <w:szCs w:val="24"/>
        </w:rPr>
        <w:t>、堇菜属</w:t>
      </w:r>
      <w:r>
        <w:rPr>
          <w:rFonts w:hint="eastAsia" w:ascii="宋体" w:hAnsi="宋体" w:eastAsia="宋体" w:cs="宋体"/>
          <w:i/>
          <w:color w:val="auto"/>
          <w:kern w:val="0"/>
          <w:sz w:val="24"/>
          <w:szCs w:val="24"/>
        </w:rPr>
        <w:t>Viola</w:t>
      </w:r>
      <w:r>
        <w:rPr>
          <w:rFonts w:hint="eastAsia" w:ascii="宋体" w:hAnsi="宋体" w:eastAsia="宋体" w:cs="宋体"/>
          <w:color w:val="auto"/>
          <w:kern w:val="0"/>
          <w:sz w:val="24"/>
          <w:szCs w:val="24"/>
        </w:rPr>
        <w:t>、茄属</w:t>
      </w:r>
      <w:r>
        <w:rPr>
          <w:rFonts w:hint="eastAsia" w:ascii="宋体" w:hAnsi="宋体" w:eastAsia="宋体" w:cs="宋体"/>
          <w:i/>
          <w:color w:val="auto"/>
          <w:kern w:val="0"/>
          <w:sz w:val="24"/>
          <w:szCs w:val="24"/>
        </w:rPr>
        <w:t>Solanum</w:t>
      </w:r>
      <w:r>
        <w:rPr>
          <w:rFonts w:hint="eastAsia" w:ascii="宋体" w:hAnsi="宋体" w:eastAsia="宋体" w:cs="宋体"/>
          <w:color w:val="auto"/>
          <w:kern w:val="0"/>
          <w:sz w:val="24"/>
          <w:szCs w:val="24"/>
        </w:rPr>
        <w:t>、车前属</w:t>
      </w:r>
      <w:r>
        <w:rPr>
          <w:rFonts w:hint="eastAsia" w:ascii="宋体" w:hAnsi="宋体" w:eastAsia="宋体" w:cs="宋体"/>
          <w:i/>
          <w:color w:val="auto"/>
          <w:kern w:val="0"/>
          <w:sz w:val="24"/>
          <w:szCs w:val="24"/>
        </w:rPr>
        <w:t>Plantago</w:t>
      </w:r>
      <w:r>
        <w:rPr>
          <w:rFonts w:hint="eastAsia" w:ascii="宋体" w:hAnsi="宋体" w:eastAsia="宋体" w:cs="宋体"/>
          <w:color w:val="auto"/>
          <w:kern w:val="0"/>
          <w:sz w:val="24"/>
          <w:szCs w:val="24"/>
        </w:rPr>
        <w:t>、拉拉藤属</w:t>
      </w:r>
      <w:r>
        <w:rPr>
          <w:rFonts w:hint="eastAsia" w:ascii="宋体" w:hAnsi="宋体" w:eastAsia="宋体" w:cs="宋体"/>
          <w:i/>
          <w:color w:val="auto"/>
          <w:kern w:val="0"/>
          <w:sz w:val="24"/>
          <w:szCs w:val="24"/>
        </w:rPr>
        <w:t>Galium</w:t>
      </w:r>
      <w:r>
        <w:rPr>
          <w:rFonts w:hint="eastAsia" w:ascii="宋体" w:hAnsi="宋体" w:eastAsia="宋体" w:cs="宋体"/>
          <w:color w:val="auto"/>
          <w:kern w:val="0"/>
          <w:sz w:val="24"/>
          <w:szCs w:val="24"/>
        </w:rPr>
        <w:t>、鬼针草属</w:t>
      </w:r>
      <w:r>
        <w:rPr>
          <w:rFonts w:hint="eastAsia" w:ascii="宋体" w:hAnsi="宋体" w:eastAsia="宋体" w:cs="宋体"/>
          <w:i/>
          <w:color w:val="auto"/>
          <w:kern w:val="0"/>
          <w:sz w:val="24"/>
          <w:szCs w:val="24"/>
        </w:rPr>
        <w:t>Bidens</w:t>
      </w:r>
      <w:r>
        <w:rPr>
          <w:rFonts w:hint="eastAsia" w:ascii="宋体" w:hAnsi="宋体" w:eastAsia="宋体" w:cs="宋体"/>
          <w:color w:val="auto"/>
          <w:kern w:val="0"/>
          <w:sz w:val="24"/>
          <w:szCs w:val="24"/>
        </w:rPr>
        <w:t>、牛膝菊属</w:t>
      </w:r>
      <w:r>
        <w:rPr>
          <w:rFonts w:hint="eastAsia" w:ascii="宋体" w:hAnsi="宋体" w:eastAsia="宋体" w:cs="宋体"/>
          <w:i/>
          <w:color w:val="auto"/>
          <w:kern w:val="0"/>
          <w:sz w:val="24"/>
          <w:szCs w:val="24"/>
        </w:rPr>
        <w:t>Galinsoga</w:t>
      </w:r>
      <w:r>
        <w:rPr>
          <w:rFonts w:hint="eastAsia" w:ascii="宋体" w:hAnsi="宋体" w:eastAsia="宋体" w:cs="宋体"/>
          <w:color w:val="auto"/>
          <w:kern w:val="0"/>
          <w:sz w:val="24"/>
          <w:szCs w:val="24"/>
        </w:rPr>
        <w:t>、千里光属</w:t>
      </w:r>
      <w:r>
        <w:rPr>
          <w:rFonts w:hint="eastAsia" w:ascii="宋体" w:hAnsi="宋体" w:eastAsia="宋体" w:cs="宋体"/>
          <w:i/>
          <w:color w:val="auto"/>
          <w:kern w:val="0"/>
          <w:sz w:val="24"/>
          <w:szCs w:val="24"/>
        </w:rPr>
        <w:t>Senecio</w:t>
      </w:r>
      <w:r>
        <w:rPr>
          <w:rFonts w:hint="eastAsia" w:ascii="宋体" w:hAnsi="宋体" w:eastAsia="宋体" w:cs="宋体"/>
          <w:color w:val="auto"/>
          <w:kern w:val="0"/>
          <w:sz w:val="24"/>
          <w:szCs w:val="24"/>
        </w:rPr>
        <w:t>、苍耳属</w:t>
      </w:r>
      <w:r>
        <w:rPr>
          <w:rFonts w:hint="eastAsia" w:ascii="宋体" w:hAnsi="宋体" w:eastAsia="宋体" w:cs="宋体"/>
          <w:i/>
          <w:color w:val="auto"/>
          <w:kern w:val="0"/>
          <w:sz w:val="24"/>
          <w:szCs w:val="24"/>
        </w:rPr>
        <w:t>Xanthium</w:t>
      </w:r>
      <w:r>
        <w:rPr>
          <w:rFonts w:hint="eastAsia" w:ascii="宋体" w:hAnsi="宋体" w:eastAsia="宋体" w:cs="宋体"/>
          <w:color w:val="auto"/>
          <w:kern w:val="0"/>
          <w:sz w:val="24"/>
          <w:szCs w:val="24"/>
        </w:rPr>
        <w:t>、剪股颖属</w:t>
      </w:r>
      <w:r>
        <w:rPr>
          <w:rFonts w:hint="eastAsia" w:ascii="宋体" w:hAnsi="宋体" w:eastAsia="宋体" w:cs="宋体"/>
          <w:i/>
          <w:color w:val="auto"/>
          <w:kern w:val="0"/>
          <w:sz w:val="24"/>
          <w:szCs w:val="24"/>
        </w:rPr>
        <w:t>Agrostis</w:t>
      </w:r>
      <w:r>
        <w:rPr>
          <w:rFonts w:hint="eastAsia" w:ascii="宋体" w:hAnsi="宋体" w:eastAsia="宋体" w:cs="宋体"/>
          <w:color w:val="auto"/>
          <w:kern w:val="0"/>
          <w:sz w:val="24"/>
          <w:szCs w:val="24"/>
        </w:rPr>
        <w:t>、马唐属</w:t>
      </w:r>
      <w:r>
        <w:rPr>
          <w:rFonts w:hint="eastAsia" w:ascii="宋体" w:hAnsi="宋体" w:eastAsia="宋体" w:cs="宋体"/>
          <w:i/>
          <w:color w:val="auto"/>
          <w:kern w:val="0"/>
          <w:sz w:val="24"/>
          <w:szCs w:val="24"/>
        </w:rPr>
        <w:t>Digitaria</w:t>
      </w:r>
      <w:r>
        <w:rPr>
          <w:rFonts w:hint="eastAsia" w:ascii="宋体" w:hAnsi="宋体" w:eastAsia="宋体" w:cs="宋体"/>
          <w:color w:val="auto"/>
          <w:kern w:val="0"/>
          <w:sz w:val="24"/>
          <w:szCs w:val="24"/>
        </w:rPr>
        <w:t>、早熟禾属</w:t>
      </w:r>
      <w:r>
        <w:rPr>
          <w:rFonts w:hint="eastAsia" w:ascii="宋体" w:hAnsi="宋体" w:eastAsia="宋体" w:cs="宋体"/>
          <w:i/>
          <w:color w:val="auto"/>
          <w:kern w:val="0"/>
          <w:sz w:val="24"/>
          <w:szCs w:val="24"/>
        </w:rPr>
        <w:t>Poa</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泛热带分布有21属，占总属数的21.</w:t>
      </w:r>
      <w:r>
        <w:rPr>
          <w:rFonts w:hint="eastAsia" w:ascii="宋体" w:hAnsi="宋体" w:eastAsia="宋体" w:cs="宋体"/>
          <w:color w:val="auto"/>
          <w:kern w:val="0"/>
          <w:sz w:val="24"/>
          <w:szCs w:val="24"/>
          <w:lang w:val="en-US" w:eastAsia="zh-CN"/>
        </w:rPr>
        <w:t>43</w:t>
      </w:r>
      <w:r>
        <w:rPr>
          <w:rFonts w:hint="eastAsia" w:ascii="宋体" w:hAnsi="宋体" w:eastAsia="宋体" w:cs="宋体"/>
          <w:color w:val="auto"/>
          <w:kern w:val="0"/>
          <w:sz w:val="24"/>
          <w:szCs w:val="24"/>
        </w:rPr>
        <w:t>%，即榕属</w:t>
      </w:r>
      <w:r>
        <w:rPr>
          <w:rFonts w:hint="eastAsia" w:ascii="宋体" w:hAnsi="宋体" w:eastAsia="宋体" w:cs="宋体"/>
          <w:i/>
          <w:color w:val="auto"/>
          <w:kern w:val="0"/>
          <w:sz w:val="24"/>
          <w:szCs w:val="24"/>
        </w:rPr>
        <w:t>Ficus</w:t>
      </w:r>
      <w:r>
        <w:rPr>
          <w:rFonts w:hint="eastAsia" w:ascii="宋体" w:hAnsi="宋体" w:eastAsia="宋体" w:cs="宋体"/>
          <w:color w:val="auto"/>
          <w:kern w:val="0"/>
          <w:sz w:val="24"/>
          <w:szCs w:val="24"/>
        </w:rPr>
        <w:t>、冷水花属</w:t>
      </w:r>
      <w:r>
        <w:rPr>
          <w:rFonts w:hint="eastAsia" w:ascii="宋体" w:hAnsi="宋体" w:eastAsia="宋体" w:cs="宋体"/>
          <w:i/>
          <w:color w:val="auto"/>
          <w:kern w:val="0"/>
          <w:sz w:val="24"/>
          <w:szCs w:val="24"/>
        </w:rPr>
        <w:t>Pilea</w:t>
      </w:r>
      <w:r>
        <w:rPr>
          <w:rFonts w:hint="eastAsia" w:ascii="宋体" w:hAnsi="宋体" w:eastAsia="宋体" w:cs="宋体"/>
          <w:color w:val="auto"/>
          <w:kern w:val="0"/>
          <w:sz w:val="24"/>
          <w:szCs w:val="24"/>
        </w:rPr>
        <w:t>、牛膝属</w:t>
      </w:r>
      <w:r>
        <w:rPr>
          <w:rFonts w:hint="eastAsia" w:ascii="宋体" w:hAnsi="宋体" w:eastAsia="宋体" w:cs="宋体"/>
          <w:i/>
          <w:color w:val="auto"/>
          <w:kern w:val="0"/>
          <w:sz w:val="24"/>
          <w:szCs w:val="24"/>
        </w:rPr>
        <w:t>Achyranthes</w:t>
      </w:r>
      <w:r>
        <w:rPr>
          <w:rFonts w:hint="eastAsia" w:ascii="宋体" w:hAnsi="宋体" w:eastAsia="宋体" w:cs="宋体"/>
          <w:color w:val="auto"/>
          <w:kern w:val="0"/>
          <w:sz w:val="24"/>
          <w:szCs w:val="24"/>
        </w:rPr>
        <w:t>、莲子草属</w:t>
      </w:r>
      <w:r>
        <w:rPr>
          <w:rFonts w:hint="eastAsia" w:ascii="宋体" w:hAnsi="宋体" w:eastAsia="宋体" w:cs="宋体"/>
          <w:i/>
          <w:color w:val="auto"/>
          <w:kern w:val="0"/>
          <w:sz w:val="24"/>
          <w:szCs w:val="24"/>
        </w:rPr>
        <w:t>Alternanthera</w:t>
      </w:r>
      <w:r>
        <w:rPr>
          <w:rFonts w:hint="eastAsia" w:ascii="宋体" w:hAnsi="宋体" w:eastAsia="宋体" w:cs="宋体"/>
          <w:color w:val="auto"/>
          <w:kern w:val="0"/>
          <w:sz w:val="24"/>
          <w:szCs w:val="24"/>
        </w:rPr>
        <w:t>、刺桐属</w:t>
      </w:r>
      <w:r>
        <w:rPr>
          <w:rFonts w:hint="eastAsia" w:ascii="宋体" w:hAnsi="宋体" w:eastAsia="宋体" w:cs="宋体"/>
          <w:i/>
          <w:color w:val="auto"/>
          <w:kern w:val="0"/>
          <w:sz w:val="24"/>
          <w:szCs w:val="24"/>
        </w:rPr>
        <w:t>Erythrina</w:t>
      </w:r>
      <w:r>
        <w:rPr>
          <w:rFonts w:hint="eastAsia" w:ascii="宋体" w:hAnsi="宋体" w:eastAsia="宋体" w:cs="宋体"/>
          <w:color w:val="auto"/>
          <w:kern w:val="0"/>
          <w:sz w:val="24"/>
          <w:szCs w:val="24"/>
        </w:rPr>
        <w:t>、崖豆藤属</w:t>
      </w:r>
      <w:r>
        <w:rPr>
          <w:rFonts w:hint="eastAsia" w:ascii="宋体" w:hAnsi="宋体" w:eastAsia="宋体" w:cs="宋体"/>
          <w:i/>
          <w:color w:val="auto"/>
          <w:kern w:val="0"/>
          <w:sz w:val="24"/>
          <w:szCs w:val="24"/>
        </w:rPr>
        <w:t>Millettia</w:t>
      </w:r>
      <w:r>
        <w:rPr>
          <w:rFonts w:hint="eastAsia" w:ascii="宋体" w:hAnsi="宋体" w:eastAsia="宋体" w:cs="宋体"/>
          <w:color w:val="auto"/>
          <w:kern w:val="0"/>
          <w:sz w:val="24"/>
          <w:szCs w:val="24"/>
        </w:rPr>
        <w:t>、花椒属</w:t>
      </w:r>
      <w:r>
        <w:rPr>
          <w:rFonts w:hint="eastAsia" w:ascii="宋体" w:hAnsi="宋体" w:eastAsia="宋体" w:cs="宋体"/>
          <w:i/>
          <w:color w:val="auto"/>
          <w:kern w:val="0"/>
          <w:sz w:val="24"/>
          <w:szCs w:val="24"/>
        </w:rPr>
        <w:t>Zanthoxylum</w:t>
      </w:r>
      <w:r>
        <w:rPr>
          <w:rFonts w:hint="eastAsia" w:ascii="宋体" w:hAnsi="宋体" w:eastAsia="宋体" w:cs="宋体"/>
          <w:color w:val="auto"/>
          <w:kern w:val="0"/>
          <w:sz w:val="24"/>
          <w:szCs w:val="24"/>
        </w:rPr>
        <w:t>、大戟属</w:t>
      </w:r>
      <w:r>
        <w:rPr>
          <w:rFonts w:hint="eastAsia" w:ascii="宋体" w:hAnsi="宋体" w:eastAsia="宋体" w:cs="宋体"/>
          <w:i/>
          <w:color w:val="auto"/>
          <w:kern w:val="0"/>
          <w:sz w:val="24"/>
          <w:szCs w:val="24"/>
        </w:rPr>
        <w:t>Euphorbia</w:t>
      </w:r>
      <w:r>
        <w:rPr>
          <w:rFonts w:hint="eastAsia" w:ascii="宋体" w:hAnsi="宋体" w:eastAsia="宋体" w:cs="宋体"/>
          <w:color w:val="auto"/>
          <w:kern w:val="0"/>
          <w:sz w:val="24"/>
          <w:szCs w:val="24"/>
        </w:rPr>
        <w:t>、梵天花属</w:t>
      </w:r>
      <w:r>
        <w:rPr>
          <w:rFonts w:hint="eastAsia" w:ascii="宋体" w:hAnsi="宋体" w:eastAsia="宋体" w:cs="宋体"/>
          <w:i/>
          <w:color w:val="auto"/>
          <w:kern w:val="0"/>
          <w:sz w:val="24"/>
          <w:szCs w:val="24"/>
        </w:rPr>
        <w:t>Urena</w:t>
      </w:r>
      <w:r>
        <w:rPr>
          <w:rFonts w:hint="eastAsia" w:ascii="宋体" w:hAnsi="宋体" w:eastAsia="宋体" w:cs="宋体"/>
          <w:color w:val="auto"/>
          <w:kern w:val="0"/>
          <w:sz w:val="24"/>
          <w:szCs w:val="24"/>
        </w:rPr>
        <w:t>、木槿属</w:t>
      </w:r>
      <w:r>
        <w:rPr>
          <w:rFonts w:hint="eastAsia" w:ascii="宋体" w:hAnsi="宋体" w:eastAsia="宋体" w:cs="宋体"/>
          <w:i/>
          <w:color w:val="auto"/>
          <w:kern w:val="0"/>
          <w:sz w:val="24"/>
          <w:szCs w:val="24"/>
        </w:rPr>
        <w:t>Hibiscus</w:t>
      </w:r>
      <w:r>
        <w:rPr>
          <w:rFonts w:hint="eastAsia" w:ascii="宋体" w:hAnsi="宋体" w:eastAsia="宋体" w:cs="宋体"/>
          <w:color w:val="auto"/>
          <w:kern w:val="0"/>
          <w:sz w:val="24"/>
          <w:szCs w:val="24"/>
        </w:rPr>
        <w:t>、积雪草属</w:t>
      </w:r>
      <w:r>
        <w:rPr>
          <w:rFonts w:hint="eastAsia" w:ascii="宋体" w:hAnsi="宋体" w:eastAsia="宋体" w:cs="宋体"/>
          <w:i/>
          <w:color w:val="auto"/>
          <w:kern w:val="0"/>
          <w:sz w:val="24"/>
          <w:szCs w:val="24"/>
        </w:rPr>
        <w:t>Centella</w:t>
      </w:r>
      <w:r>
        <w:rPr>
          <w:rFonts w:hint="eastAsia" w:ascii="宋体" w:hAnsi="宋体" w:eastAsia="宋体" w:cs="宋体"/>
          <w:color w:val="auto"/>
          <w:kern w:val="0"/>
          <w:sz w:val="24"/>
          <w:szCs w:val="24"/>
        </w:rPr>
        <w:t>、天胡荽属</w:t>
      </w:r>
      <w:r>
        <w:rPr>
          <w:rFonts w:hint="eastAsia" w:ascii="宋体" w:hAnsi="宋体" w:eastAsia="宋体" w:cs="宋体"/>
          <w:i/>
          <w:color w:val="auto"/>
          <w:kern w:val="0"/>
          <w:sz w:val="24"/>
          <w:szCs w:val="24"/>
        </w:rPr>
        <w:t>Hydrocotyle</w:t>
      </w:r>
      <w:r>
        <w:rPr>
          <w:rFonts w:hint="eastAsia" w:ascii="宋体" w:hAnsi="宋体" w:eastAsia="宋体" w:cs="宋体"/>
          <w:color w:val="auto"/>
          <w:kern w:val="0"/>
          <w:sz w:val="24"/>
          <w:szCs w:val="24"/>
        </w:rPr>
        <w:t>、打碗花属</w:t>
      </w:r>
      <w:r>
        <w:rPr>
          <w:rFonts w:hint="eastAsia" w:ascii="宋体" w:hAnsi="宋体" w:eastAsia="宋体" w:cs="宋体"/>
          <w:i/>
          <w:color w:val="auto"/>
          <w:kern w:val="0"/>
          <w:sz w:val="24"/>
          <w:szCs w:val="24"/>
        </w:rPr>
        <w:t>Calystegia</w:t>
      </w:r>
      <w:r>
        <w:rPr>
          <w:rFonts w:hint="eastAsia" w:ascii="宋体" w:hAnsi="宋体" w:eastAsia="宋体" w:cs="宋体"/>
          <w:color w:val="auto"/>
          <w:kern w:val="0"/>
          <w:sz w:val="24"/>
          <w:szCs w:val="24"/>
        </w:rPr>
        <w:t>、马鞭草属</w:t>
      </w:r>
      <w:r>
        <w:rPr>
          <w:rFonts w:hint="eastAsia" w:ascii="宋体" w:hAnsi="宋体" w:eastAsia="宋体" w:cs="宋体"/>
          <w:i/>
          <w:color w:val="auto"/>
          <w:kern w:val="0"/>
          <w:sz w:val="24"/>
          <w:szCs w:val="24"/>
        </w:rPr>
        <w:t>Verbena</w:t>
      </w:r>
      <w:r>
        <w:rPr>
          <w:rFonts w:hint="eastAsia" w:ascii="宋体" w:hAnsi="宋体" w:eastAsia="宋体" w:cs="宋体"/>
          <w:color w:val="auto"/>
          <w:kern w:val="0"/>
          <w:sz w:val="24"/>
          <w:szCs w:val="24"/>
        </w:rPr>
        <w:t>、白酒草属</w:t>
      </w:r>
      <w:r>
        <w:rPr>
          <w:rFonts w:hint="eastAsia" w:ascii="宋体" w:hAnsi="宋体" w:eastAsia="宋体" w:cs="宋体"/>
          <w:i/>
          <w:color w:val="auto"/>
          <w:kern w:val="0"/>
          <w:sz w:val="24"/>
          <w:szCs w:val="24"/>
        </w:rPr>
        <w:t>Conyza</w:t>
      </w:r>
      <w:r>
        <w:rPr>
          <w:rFonts w:hint="eastAsia" w:ascii="宋体" w:hAnsi="宋体" w:eastAsia="宋体" w:cs="宋体"/>
          <w:color w:val="auto"/>
          <w:kern w:val="0"/>
          <w:sz w:val="24"/>
          <w:szCs w:val="24"/>
        </w:rPr>
        <w:t>、鳢肠属</w:t>
      </w:r>
      <w:r>
        <w:rPr>
          <w:rFonts w:hint="eastAsia" w:ascii="宋体" w:hAnsi="宋体" w:eastAsia="宋体" w:cs="宋体"/>
          <w:i/>
          <w:color w:val="auto"/>
          <w:kern w:val="0"/>
          <w:sz w:val="24"/>
          <w:szCs w:val="24"/>
        </w:rPr>
        <w:t>Eclipta</w:t>
      </w:r>
      <w:r>
        <w:rPr>
          <w:rFonts w:hint="eastAsia" w:ascii="宋体" w:hAnsi="宋体" w:eastAsia="宋体" w:cs="宋体"/>
          <w:color w:val="auto"/>
          <w:kern w:val="0"/>
          <w:sz w:val="24"/>
          <w:szCs w:val="24"/>
        </w:rPr>
        <w:t>、芦竹属</w:t>
      </w:r>
      <w:r>
        <w:rPr>
          <w:rFonts w:hint="eastAsia" w:ascii="宋体" w:hAnsi="宋体" w:eastAsia="宋体" w:cs="宋体"/>
          <w:i/>
          <w:color w:val="auto"/>
          <w:kern w:val="0"/>
          <w:sz w:val="24"/>
          <w:szCs w:val="24"/>
        </w:rPr>
        <w:t>Arundo</w:t>
      </w:r>
      <w:r>
        <w:rPr>
          <w:rFonts w:hint="eastAsia" w:ascii="宋体" w:hAnsi="宋体" w:eastAsia="宋体" w:cs="宋体"/>
          <w:color w:val="auto"/>
          <w:kern w:val="0"/>
          <w:sz w:val="24"/>
          <w:szCs w:val="24"/>
        </w:rPr>
        <w:t>、穇属</w:t>
      </w:r>
      <w:r>
        <w:rPr>
          <w:rFonts w:hint="eastAsia" w:ascii="宋体" w:hAnsi="宋体" w:eastAsia="宋体" w:cs="宋体"/>
          <w:i/>
          <w:color w:val="auto"/>
          <w:kern w:val="0"/>
          <w:sz w:val="24"/>
          <w:szCs w:val="24"/>
        </w:rPr>
        <w:t>Eleusine</w:t>
      </w:r>
      <w:r>
        <w:rPr>
          <w:rFonts w:hint="eastAsia" w:ascii="宋体" w:hAnsi="宋体" w:eastAsia="宋体" w:cs="宋体"/>
          <w:color w:val="auto"/>
          <w:kern w:val="0"/>
          <w:sz w:val="24"/>
          <w:szCs w:val="24"/>
        </w:rPr>
        <w:t>、黄茅属</w:t>
      </w:r>
      <w:r>
        <w:rPr>
          <w:rFonts w:hint="eastAsia" w:ascii="宋体" w:hAnsi="宋体" w:eastAsia="宋体" w:cs="宋体"/>
          <w:i/>
          <w:color w:val="auto"/>
          <w:kern w:val="0"/>
          <w:sz w:val="24"/>
          <w:szCs w:val="24"/>
        </w:rPr>
        <w:t>Heteropogon</w:t>
      </w:r>
      <w:r>
        <w:rPr>
          <w:rFonts w:hint="eastAsia" w:ascii="宋体" w:hAnsi="宋体" w:eastAsia="宋体" w:cs="宋体"/>
          <w:color w:val="auto"/>
          <w:kern w:val="0"/>
          <w:sz w:val="24"/>
          <w:szCs w:val="24"/>
        </w:rPr>
        <w:t>、白茅属</w:t>
      </w:r>
      <w:r>
        <w:rPr>
          <w:rFonts w:hint="eastAsia" w:ascii="宋体" w:hAnsi="宋体" w:eastAsia="宋体" w:cs="宋体"/>
          <w:i/>
          <w:color w:val="auto"/>
          <w:kern w:val="0"/>
          <w:sz w:val="24"/>
          <w:szCs w:val="24"/>
        </w:rPr>
        <w:t>Imperata</w:t>
      </w:r>
      <w:r>
        <w:rPr>
          <w:rFonts w:hint="eastAsia" w:ascii="宋体" w:hAnsi="宋体" w:eastAsia="宋体" w:cs="宋体"/>
          <w:color w:val="auto"/>
          <w:kern w:val="0"/>
          <w:sz w:val="24"/>
          <w:szCs w:val="24"/>
        </w:rPr>
        <w:t>、砖子苗属</w:t>
      </w:r>
      <w:r>
        <w:rPr>
          <w:rFonts w:hint="eastAsia" w:ascii="宋体" w:hAnsi="宋体" w:eastAsia="宋体" w:cs="宋体"/>
          <w:i/>
          <w:color w:val="auto"/>
          <w:kern w:val="0"/>
          <w:sz w:val="24"/>
          <w:szCs w:val="24"/>
        </w:rPr>
        <w:t>Mariscus</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热带亚洲和热带美洲间断分布有2属，占总属数的2.0</w:t>
      </w:r>
      <w:r>
        <w:rPr>
          <w:rFonts w:hint="eastAsia" w:ascii="宋体" w:hAnsi="宋体" w:eastAsia="宋体" w:cs="宋体"/>
          <w:color w:val="auto"/>
          <w:kern w:val="0"/>
          <w:sz w:val="24"/>
          <w:szCs w:val="24"/>
          <w:lang w:val="en-US" w:eastAsia="zh-CN"/>
        </w:rPr>
        <w:t>4</w:t>
      </w:r>
      <w:r>
        <w:rPr>
          <w:rFonts w:hint="eastAsia" w:ascii="宋体" w:hAnsi="宋体" w:eastAsia="宋体" w:cs="宋体"/>
          <w:color w:val="auto"/>
          <w:kern w:val="0"/>
          <w:sz w:val="24"/>
          <w:szCs w:val="24"/>
        </w:rPr>
        <w:t>%，分别是落葵薯属</w:t>
      </w:r>
      <w:r>
        <w:rPr>
          <w:rFonts w:hint="eastAsia" w:ascii="宋体" w:hAnsi="宋体" w:eastAsia="宋体" w:cs="宋体"/>
          <w:i/>
          <w:color w:val="auto"/>
          <w:kern w:val="0"/>
          <w:sz w:val="24"/>
          <w:szCs w:val="24"/>
        </w:rPr>
        <w:t>Anredera</w:t>
      </w:r>
      <w:r>
        <w:rPr>
          <w:rFonts w:hint="eastAsia" w:ascii="宋体" w:hAnsi="宋体" w:eastAsia="宋体" w:cs="宋体"/>
          <w:color w:val="auto"/>
          <w:kern w:val="0"/>
          <w:sz w:val="24"/>
          <w:szCs w:val="24"/>
        </w:rPr>
        <w:t>、南瓜属</w:t>
      </w:r>
      <w:r>
        <w:rPr>
          <w:rFonts w:hint="eastAsia" w:ascii="宋体" w:hAnsi="宋体" w:eastAsia="宋体" w:cs="宋体"/>
          <w:i/>
          <w:color w:val="auto"/>
          <w:kern w:val="0"/>
          <w:sz w:val="24"/>
          <w:szCs w:val="24"/>
        </w:rPr>
        <w:t>Cucurbita</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旧世界热带分布及其变型有2属，占总属数的2.0</w:t>
      </w:r>
      <w:r>
        <w:rPr>
          <w:rFonts w:hint="eastAsia" w:ascii="宋体" w:hAnsi="宋体" w:eastAsia="宋体" w:cs="宋体"/>
          <w:color w:val="auto"/>
          <w:kern w:val="0"/>
          <w:sz w:val="24"/>
          <w:szCs w:val="24"/>
          <w:lang w:val="en-US" w:eastAsia="zh-CN"/>
        </w:rPr>
        <w:t>4</w:t>
      </w:r>
      <w:r>
        <w:rPr>
          <w:rFonts w:hint="eastAsia" w:ascii="宋体" w:hAnsi="宋体" w:eastAsia="宋体" w:cs="宋体"/>
          <w:color w:val="auto"/>
          <w:kern w:val="0"/>
          <w:sz w:val="24"/>
          <w:szCs w:val="24"/>
        </w:rPr>
        <w:t>%，即楼梯草属</w:t>
      </w:r>
      <w:r>
        <w:rPr>
          <w:rFonts w:hint="eastAsia" w:ascii="宋体" w:hAnsi="宋体" w:eastAsia="宋体" w:cs="宋体"/>
          <w:i/>
          <w:color w:val="auto"/>
          <w:kern w:val="0"/>
          <w:sz w:val="24"/>
          <w:szCs w:val="24"/>
        </w:rPr>
        <w:t>Elatostema</w:t>
      </w:r>
      <w:r>
        <w:rPr>
          <w:rFonts w:hint="eastAsia" w:ascii="宋体" w:hAnsi="宋体" w:eastAsia="宋体" w:cs="宋体"/>
          <w:color w:val="auto"/>
          <w:kern w:val="0"/>
          <w:sz w:val="24"/>
          <w:szCs w:val="24"/>
        </w:rPr>
        <w:t>、细柄草属</w:t>
      </w:r>
      <w:r>
        <w:rPr>
          <w:rFonts w:hint="eastAsia" w:ascii="宋体" w:hAnsi="宋体" w:eastAsia="宋体" w:cs="宋体"/>
          <w:i/>
          <w:color w:val="auto"/>
          <w:kern w:val="0"/>
          <w:sz w:val="24"/>
          <w:szCs w:val="24"/>
        </w:rPr>
        <w:t>Capillipedium</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热带亚洲至热带大洋洲有4属，占总属数的4.</w:t>
      </w:r>
      <w:r>
        <w:rPr>
          <w:rFonts w:hint="eastAsia" w:ascii="宋体" w:hAnsi="宋体" w:eastAsia="宋体" w:cs="宋体"/>
          <w:color w:val="auto"/>
          <w:kern w:val="0"/>
          <w:sz w:val="24"/>
          <w:szCs w:val="24"/>
          <w:lang w:val="en-US" w:eastAsia="zh-CN"/>
        </w:rPr>
        <w:t>08</w:t>
      </w:r>
      <w:r>
        <w:rPr>
          <w:rFonts w:hint="eastAsia" w:ascii="宋体" w:hAnsi="宋体" w:eastAsia="宋体" w:cs="宋体"/>
          <w:color w:val="auto"/>
          <w:kern w:val="0"/>
          <w:sz w:val="24"/>
          <w:szCs w:val="24"/>
        </w:rPr>
        <w:t>%，分别是崖爬藤属</w:t>
      </w:r>
      <w:r>
        <w:rPr>
          <w:rFonts w:hint="eastAsia" w:ascii="宋体" w:hAnsi="宋体" w:eastAsia="宋体" w:cs="宋体"/>
          <w:i/>
          <w:color w:val="auto"/>
          <w:kern w:val="0"/>
          <w:sz w:val="24"/>
          <w:szCs w:val="24"/>
        </w:rPr>
        <w:t>Tetrastigma</w:t>
      </w:r>
      <w:r>
        <w:rPr>
          <w:rFonts w:hint="eastAsia" w:ascii="宋体" w:hAnsi="宋体" w:eastAsia="宋体" w:cs="宋体"/>
          <w:color w:val="auto"/>
          <w:kern w:val="0"/>
          <w:sz w:val="24"/>
          <w:szCs w:val="24"/>
        </w:rPr>
        <w:t>、通泉草属</w:t>
      </w:r>
      <w:r>
        <w:rPr>
          <w:rFonts w:hint="eastAsia" w:ascii="宋体" w:hAnsi="宋体" w:eastAsia="宋体" w:cs="宋体"/>
          <w:i/>
          <w:color w:val="auto"/>
          <w:kern w:val="0"/>
          <w:sz w:val="24"/>
          <w:szCs w:val="24"/>
        </w:rPr>
        <w:t>Mazus</w:t>
      </w:r>
      <w:r>
        <w:rPr>
          <w:rFonts w:hint="eastAsia" w:ascii="宋体" w:hAnsi="宋体" w:eastAsia="宋体" w:cs="宋体"/>
          <w:color w:val="auto"/>
          <w:kern w:val="0"/>
          <w:sz w:val="24"/>
          <w:szCs w:val="24"/>
        </w:rPr>
        <w:t>、蜈蚣草属</w:t>
      </w:r>
      <w:r>
        <w:rPr>
          <w:rFonts w:hint="eastAsia" w:ascii="宋体" w:hAnsi="宋体" w:eastAsia="宋体" w:cs="宋体"/>
          <w:i/>
          <w:color w:val="auto"/>
          <w:kern w:val="0"/>
          <w:sz w:val="24"/>
          <w:szCs w:val="24"/>
        </w:rPr>
        <w:t>Eremochloa</w:t>
      </w:r>
      <w:r>
        <w:rPr>
          <w:rFonts w:hint="eastAsia" w:ascii="宋体" w:hAnsi="宋体" w:eastAsia="宋体" w:cs="宋体"/>
          <w:color w:val="auto"/>
          <w:kern w:val="0"/>
          <w:sz w:val="24"/>
          <w:szCs w:val="24"/>
        </w:rPr>
        <w:t>、姜属</w:t>
      </w:r>
      <w:r>
        <w:rPr>
          <w:rFonts w:hint="eastAsia" w:ascii="宋体" w:hAnsi="宋体" w:eastAsia="宋体" w:cs="宋体"/>
          <w:i/>
          <w:color w:val="auto"/>
          <w:kern w:val="0"/>
          <w:sz w:val="24"/>
          <w:szCs w:val="24"/>
        </w:rPr>
        <w:t>Zingiber</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热带亚洲至热带非洲有5属，占总属数的5.1</w:t>
      </w:r>
      <w:r>
        <w:rPr>
          <w:rFonts w:hint="eastAsia" w:ascii="宋体" w:hAnsi="宋体" w:eastAsia="宋体" w:cs="宋体"/>
          <w:color w:val="auto"/>
          <w:kern w:val="0"/>
          <w:sz w:val="24"/>
          <w:szCs w:val="24"/>
          <w:lang w:val="en-US" w:eastAsia="zh-CN"/>
        </w:rPr>
        <w:t>0</w:t>
      </w:r>
      <w:r>
        <w:rPr>
          <w:rFonts w:hint="eastAsia" w:ascii="宋体" w:hAnsi="宋体" w:eastAsia="宋体" w:cs="宋体"/>
          <w:color w:val="auto"/>
          <w:kern w:val="0"/>
          <w:sz w:val="24"/>
          <w:szCs w:val="24"/>
        </w:rPr>
        <w:t>%，分别是水麻属</w:t>
      </w:r>
      <w:r>
        <w:rPr>
          <w:rFonts w:hint="eastAsia" w:ascii="宋体" w:hAnsi="宋体" w:eastAsia="宋体" w:cs="宋体"/>
          <w:i/>
          <w:color w:val="auto"/>
          <w:kern w:val="0"/>
          <w:sz w:val="24"/>
          <w:szCs w:val="24"/>
        </w:rPr>
        <w:t>Debregeasia</w:t>
      </w:r>
      <w:r>
        <w:rPr>
          <w:rFonts w:hint="eastAsia" w:ascii="宋体" w:hAnsi="宋体" w:eastAsia="宋体" w:cs="宋体"/>
          <w:color w:val="auto"/>
          <w:kern w:val="0"/>
          <w:sz w:val="24"/>
          <w:szCs w:val="24"/>
        </w:rPr>
        <w:t>、野茼蒿属</w:t>
      </w:r>
      <w:r>
        <w:rPr>
          <w:rFonts w:hint="eastAsia" w:ascii="宋体" w:hAnsi="宋体" w:eastAsia="宋体" w:cs="宋体"/>
          <w:i/>
          <w:color w:val="auto"/>
          <w:kern w:val="0"/>
          <w:sz w:val="24"/>
          <w:szCs w:val="24"/>
        </w:rPr>
        <w:t>Crassocephalum</w:t>
      </w:r>
      <w:r>
        <w:rPr>
          <w:rFonts w:hint="eastAsia" w:ascii="宋体" w:hAnsi="宋体" w:eastAsia="宋体" w:cs="宋体"/>
          <w:color w:val="auto"/>
          <w:kern w:val="0"/>
          <w:sz w:val="24"/>
          <w:szCs w:val="24"/>
        </w:rPr>
        <w:t>、鱼眼草属</w:t>
      </w:r>
      <w:r>
        <w:rPr>
          <w:rFonts w:hint="eastAsia" w:ascii="宋体" w:hAnsi="宋体" w:eastAsia="宋体" w:cs="宋体"/>
          <w:i/>
          <w:color w:val="auto"/>
          <w:kern w:val="0"/>
          <w:sz w:val="24"/>
          <w:szCs w:val="24"/>
        </w:rPr>
        <w:t>Dichrocephala</w:t>
      </w:r>
      <w:r>
        <w:rPr>
          <w:rFonts w:hint="eastAsia" w:ascii="宋体" w:hAnsi="宋体" w:eastAsia="宋体" w:cs="宋体"/>
          <w:color w:val="auto"/>
          <w:kern w:val="0"/>
          <w:sz w:val="24"/>
          <w:szCs w:val="24"/>
        </w:rPr>
        <w:t>、荩草属</w:t>
      </w:r>
      <w:r>
        <w:rPr>
          <w:rFonts w:hint="eastAsia" w:ascii="宋体" w:hAnsi="宋体" w:eastAsia="宋体" w:cs="宋体"/>
          <w:i/>
          <w:color w:val="auto"/>
          <w:kern w:val="0"/>
          <w:sz w:val="24"/>
          <w:szCs w:val="24"/>
        </w:rPr>
        <w:t>Arthraxon</w:t>
      </w:r>
      <w:r>
        <w:rPr>
          <w:rFonts w:hint="eastAsia" w:ascii="宋体" w:hAnsi="宋体" w:eastAsia="宋体" w:cs="宋体"/>
          <w:color w:val="auto"/>
          <w:kern w:val="0"/>
          <w:sz w:val="24"/>
          <w:szCs w:val="24"/>
        </w:rPr>
        <w:t>、牡竹属</w:t>
      </w:r>
      <w:r>
        <w:rPr>
          <w:rFonts w:hint="eastAsia" w:ascii="宋体" w:hAnsi="宋体" w:eastAsia="宋体" w:cs="宋体"/>
          <w:i/>
          <w:color w:val="auto"/>
          <w:kern w:val="0"/>
          <w:sz w:val="24"/>
          <w:szCs w:val="24"/>
        </w:rPr>
        <w:t>Dendrocalamus</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热带亚洲分布及其变型有8属，占总属数的8.</w:t>
      </w:r>
      <w:r>
        <w:rPr>
          <w:rFonts w:hint="eastAsia" w:ascii="宋体" w:hAnsi="宋体" w:eastAsia="宋体" w:cs="宋体"/>
          <w:color w:val="auto"/>
          <w:kern w:val="0"/>
          <w:sz w:val="24"/>
          <w:szCs w:val="24"/>
          <w:lang w:val="en-US" w:eastAsia="zh-CN"/>
        </w:rPr>
        <w:t>16</w:t>
      </w:r>
      <w:r>
        <w:rPr>
          <w:rFonts w:hint="eastAsia" w:ascii="宋体" w:hAnsi="宋体" w:eastAsia="宋体" w:cs="宋体"/>
          <w:color w:val="auto"/>
          <w:kern w:val="0"/>
          <w:sz w:val="24"/>
          <w:szCs w:val="24"/>
        </w:rPr>
        <w:t>%，即构属</w:t>
      </w:r>
      <w:r>
        <w:rPr>
          <w:rFonts w:hint="eastAsia" w:ascii="宋体" w:hAnsi="宋体" w:eastAsia="宋体" w:cs="宋体"/>
          <w:i/>
          <w:color w:val="auto"/>
          <w:kern w:val="0"/>
          <w:sz w:val="24"/>
          <w:szCs w:val="24"/>
        </w:rPr>
        <w:t>Broussonetia</w:t>
      </w:r>
      <w:r>
        <w:rPr>
          <w:rFonts w:hint="eastAsia" w:ascii="宋体" w:hAnsi="宋体" w:eastAsia="宋体" w:cs="宋体"/>
          <w:color w:val="auto"/>
          <w:kern w:val="0"/>
          <w:sz w:val="24"/>
          <w:szCs w:val="24"/>
        </w:rPr>
        <w:t>、蛇莓属</w:t>
      </w:r>
      <w:r>
        <w:rPr>
          <w:rFonts w:hint="eastAsia" w:ascii="宋体" w:hAnsi="宋体" w:eastAsia="宋体" w:cs="宋体"/>
          <w:i/>
          <w:color w:val="auto"/>
          <w:kern w:val="0"/>
          <w:sz w:val="24"/>
          <w:szCs w:val="24"/>
        </w:rPr>
        <w:t>Duchesnea</w:t>
      </w:r>
      <w:r>
        <w:rPr>
          <w:rFonts w:hint="eastAsia" w:ascii="宋体" w:hAnsi="宋体" w:eastAsia="宋体" w:cs="宋体"/>
          <w:color w:val="auto"/>
          <w:kern w:val="0"/>
          <w:sz w:val="24"/>
          <w:szCs w:val="24"/>
        </w:rPr>
        <w:t>、柑橘属</w:t>
      </w:r>
      <w:r>
        <w:rPr>
          <w:rFonts w:hint="eastAsia" w:ascii="宋体" w:hAnsi="宋体" w:eastAsia="宋体" w:cs="宋体"/>
          <w:i/>
          <w:color w:val="auto"/>
          <w:kern w:val="0"/>
          <w:sz w:val="24"/>
          <w:szCs w:val="24"/>
        </w:rPr>
        <w:t>Citrus</w:t>
      </w:r>
      <w:r>
        <w:rPr>
          <w:rFonts w:hint="eastAsia" w:ascii="宋体" w:hAnsi="宋体" w:eastAsia="宋体" w:cs="宋体"/>
          <w:color w:val="auto"/>
          <w:kern w:val="0"/>
          <w:sz w:val="24"/>
          <w:szCs w:val="24"/>
        </w:rPr>
        <w:t>、龙眼属</w:t>
      </w:r>
      <w:r>
        <w:rPr>
          <w:rFonts w:hint="eastAsia" w:ascii="宋体" w:hAnsi="宋体" w:eastAsia="宋体" w:cs="宋体"/>
          <w:i/>
          <w:color w:val="auto"/>
          <w:kern w:val="0"/>
          <w:sz w:val="24"/>
          <w:szCs w:val="24"/>
        </w:rPr>
        <w:t>Dimocarpus</w:t>
      </w:r>
      <w:r>
        <w:rPr>
          <w:rFonts w:hint="eastAsia" w:ascii="宋体" w:hAnsi="宋体" w:eastAsia="宋体" w:cs="宋体"/>
          <w:color w:val="auto"/>
          <w:kern w:val="0"/>
          <w:sz w:val="24"/>
          <w:szCs w:val="24"/>
        </w:rPr>
        <w:t>、鸡矢藤属</w:t>
      </w:r>
      <w:r>
        <w:rPr>
          <w:rFonts w:hint="eastAsia" w:ascii="宋体" w:hAnsi="宋体" w:eastAsia="宋体" w:cs="宋体"/>
          <w:i/>
          <w:color w:val="auto"/>
          <w:kern w:val="0"/>
          <w:sz w:val="24"/>
          <w:szCs w:val="24"/>
        </w:rPr>
        <w:t>Paederia</w:t>
      </w:r>
      <w:r>
        <w:rPr>
          <w:rFonts w:hint="eastAsia" w:ascii="宋体" w:hAnsi="宋体" w:eastAsia="宋体" w:cs="宋体"/>
          <w:color w:val="auto"/>
          <w:kern w:val="0"/>
          <w:sz w:val="24"/>
          <w:szCs w:val="24"/>
        </w:rPr>
        <w:t>绞股蓝属</w:t>
      </w:r>
      <w:r>
        <w:rPr>
          <w:rFonts w:hint="eastAsia" w:ascii="宋体" w:hAnsi="宋体" w:eastAsia="宋体" w:cs="宋体"/>
          <w:i/>
          <w:color w:val="auto"/>
          <w:kern w:val="0"/>
          <w:sz w:val="24"/>
          <w:szCs w:val="24"/>
        </w:rPr>
        <w:t>Gynostemma</w:t>
      </w:r>
      <w:r>
        <w:rPr>
          <w:rFonts w:hint="eastAsia" w:ascii="宋体" w:hAnsi="宋体" w:eastAsia="宋体" w:cs="宋体"/>
          <w:color w:val="auto"/>
          <w:kern w:val="0"/>
          <w:sz w:val="24"/>
          <w:szCs w:val="24"/>
        </w:rPr>
        <w:t>、慈竹属</w:t>
      </w:r>
      <w:r>
        <w:rPr>
          <w:rFonts w:hint="eastAsia" w:ascii="宋体" w:hAnsi="宋体" w:eastAsia="宋体" w:cs="宋体"/>
          <w:i/>
          <w:color w:val="auto"/>
          <w:kern w:val="0"/>
          <w:sz w:val="24"/>
          <w:szCs w:val="24"/>
        </w:rPr>
        <w:t>Sinocalamus</w:t>
      </w:r>
      <w:r>
        <w:rPr>
          <w:rFonts w:hint="eastAsia" w:ascii="宋体" w:hAnsi="宋体" w:eastAsia="宋体" w:cs="宋体"/>
          <w:color w:val="auto"/>
          <w:kern w:val="0"/>
          <w:sz w:val="24"/>
          <w:szCs w:val="24"/>
        </w:rPr>
        <w:t>、海芋属</w:t>
      </w:r>
      <w:r>
        <w:rPr>
          <w:rFonts w:hint="eastAsia" w:ascii="宋体" w:hAnsi="宋体" w:eastAsia="宋体" w:cs="宋体"/>
          <w:i/>
          <w:color w:val="auto"/>
          <w:kern w:val="0"/>
          <w:sz w:val="24"/>
          <w:szCs w:val="24"/>
        </w:rPr>
        <w:t>Alocasia</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北温带分布及其变型有1</w:t>
      </w:r>
      <w:r>
        <w:rPr>
          <w:rFonts w:hint="eastAsia" w:ascii="宋体" w:hAnsi="宋体" w:eastAsia="宋体" w:cs="宋体"/>
          <w:color w:val="auto"/>
          <w:kern w:val="0"/>
          <w:sz w:val="24"/>
          <w:szCs w:val="24"/>
          <w:lang w:val="en-US" w:eastAsia="zh-CN"/>
        </w:rPr>
        <w:t>8</w:t>
      </w:r>
      <w:r>
        <w:rPr>
          <w:rFonts w:hint="eastAsia" w:ascii="宋体" w:hAnsi="宋体" w:eastAsia="宋体" w:cs="宋体"/>
          <w:color w:val="auto"/>
          <w:kern w:val="0"/>
          <w:sz w:val="24"/>
          <w:szCs w:val="24"/>
        </w:rPr>
        <w:t>属，占总属数的1</w:t>
      </w:r>
      <w:r>
        <w:rPr>
          <w:rFonts w:hint="eastAsia" w:ascii="宋体" w:hAnsi="宋体" w:eastAsia="宋体" w:cs="宋体"/>
          <w:color w:val="auto"/>
          <w:kern w:val="0"/>
          <w:sz w:val="24"/>
          <w:szCs w:val="24"/>
          <w:lang w:val="en-US" w:eastAsia="zh-CN"/>
        </w:rPr>
        <w:t>8.37</w:t>
      </w:r>
      <w:r>
        <w:rPr>
          <w:rFonts w:hint="eastAsia" w:ascii="宋体" w:hAnsi="宋体" w:eastAsia="宋体" w:cs="宋体"/>
          <w:color w:val="auto"/>
          <w:kern w:val="0"/>
          <w:sz w:val="24"/>
          <w:szCs w:val="24"/>
        </w:rPr>
        <w:t>%，即</w:t>
      </w:r>
      <w:r>
        <w:rPr>
          <w:rFonts w:hint="eastAsia" w:ascii="宋体" w:hAnsi="宋体" w:eastAsia="宋体" w:cs="宋体"/>
          <w:color w:val="auto"/>
          <w:kern w:val="0"/>
          <w:sz w:val="24"/>
          <w:szCs w:val="24"/>
          <w:lang w:val="en-US" w:eastAsia="zh-CN"/>
        </w:rPr>
        <w:t>柏木属</w:t>
      </w:r>
      <w:r>
        <w:rPr>
          <w:rFonts w:hint="eastAsia" w:ascii="宋体" w:hAnsi="宋体" w:eastAsia="宋体" w:cs="宋体"/>
          <w:i/>
          <w:color w:val="auto"/>
          <w:kern w:val="0"/>
          <w:sz w:val="24"/>
          <w:szCs w:val="24"/>
        </w:rPr>
        <w:t>Cupressus</w:t>
      </w:r>
      <w:r>
        <w:rPr>
          <w:rFonts w:hint="eastAsia" w:ascii="宋体" w:hAnsi="宋体" w:eastAsia="宋体" w:cs="宋体"/>
          <w:color w:val="auto"/>
          <w:kern w:val="0"/>
          <w:sz w:val="24"/>
          <w:szCs w:val="24"/>
          <w:lang w:val="en-US" w:eastAsia="zh-CN"/>
        </w:rPr>
        <w:t>、</w:t>
      </w:r>
      <w:r>
        <w:rPr>
          <w:rFonts w:hint="eastAsia" w:ascii="宋体" w:hAnsi="宋体" w:eastAsia="宋体" w:cs="宋体"/>
          <w:color w:val="auto"/>
          <w:kern w:val="0"/>
          <w:sz w:val="24"/>
          <w:szCs w:val="24"/>
        </w:rPr>
        <w:t>葎草属</w:t>
      </w:r>
      <w:r>
        <w:rPr>
          <w:rFonts w:hint="eastAsia" w:ascii="宋体" w:hAnsi="宋体" w:eastAsia="宋体" w:cs="宋体"/>
          <w:i/>
          <w:color w:val="auto"/>
          <w:kern w:val="0"/>
          <w:sz w:val="24"/>
          <w:szCs w:val="24"/>
        </w:rPr>
        <w:t>Morus</w:t>
      </w:r>
      <w:r>
        <w:rPr>
          <w:rFonts w:hint="eastAsia" w:ascii="宋体" w:hAnsi="宋体" w:eastAsia="宋体" w:cs="宋体"/>
          <w:color w:val="auto"/>
          <w:kern w:val="0"/>
          <w:sz w:val="24"/>
          <w:szCs w:val="24"/>
        </w:rPr>
        <w:t>、桑属</w:t>
      </w:r>
      <w:r>
        <w:rPr>
          <w:rFonts w:hint="eastAsia" w:ascii="宋体" w:hAnsi="宋体" w:eastAsia="宋体" w:cs="宋体"/>
          <w:i/>
          <w:color w:val="auto"/>
          <w:kern w:val="0"/>
          <w:sz w:val="24"/>
          <w:szCs w:val="24"/>
        </w:rPr>
        <w:t>Morus</w:t>
      </w:r>
      <w:r>
        <w:rPr>
          <w:rFonts w:hint="eastAsia" w:ascii="宋体" w:hAnsi="宋体" w:eastAsia="宋体" w:cs="宋体"/>
          <w:color w:val="auto"/>
          <w:kern w:val="0"/>
          <w:sz w:val="24"/>
          <w:szCs w:val="24"/>
        </w:rPr>
        <w:t>、紫堇属</w:t>
      </w:r>
      <w:r>
        <w:rPr>
          <w:rFonts w:hint="eastAsia" w:ascii="宋体" w:hAnsi="宋体" w:eastAsia="宋体" w:cs="宋体"/>
          <w:i/>
          <w:color w:val="auto"/>
          <w:kern w:val="0"/>
          <w:sz w:val="24"/>
          <w:szCs w:val="24"/>
        </w:rPr>
        <w:t>Corydalis</w:t>
      </w:r>
      <w:r>
        <w:rPr>
          <w:rFonts w:hint="eastAsia" w:ascii="宋体" w:hAnsi="宋体" w:eastAsia="宋体" w:cs="宋体"/>
          <w:color w:val="auto"/>
          <w:kern w:val="0"/>
          <w:sz w:val="24"/>
          <w:szCs w:val="24"/>
        </w:rPr>
        <w:t>、荠属</w:t>
      </w:r>
      <w:r>
        <w:rPr>
          <w:rFonts w:hint="eastAsia" w:ascii="宋体" w:hAnsi="宋体" w:eastAsia="宋体" w:cs="宋体"/>
          <w:i/>
          <w:color w:val="auto"/>
          <w:kern w:val="0"/>
          <w:sz w:val="24"/>
          <w:szCs w:val="24"/>
        </w:rPr>
        <w:t>Capsella</w:t>
      </w:r>
      <w:r>
        <w:rPr>
          <w:rFonts w:hint="eastAsia" w:ascii="宋体" w:hAnsi="宋体" w:eastAsia="宋体" w:cs="宋体"/>
          <w:color w:val="auto"/>
          <w:kern w:val="0"/>
          <w:sz w:val="24"/>
          <w:szCs w:val="24"/>
        </w:rPr>
        <w:t>、芸苔属</w:t>
      </w:r>
      <w:r>
        <w:rPr>
          <w:rFonts w:hint="eastAsia" w:ascii="宋体" w:hAnsi="宋体" w:eastAsia="宋体" w:cs="宋体"/>
          <w:i/>
          <w:color w:val="auto"/>
          <w:kern w:val="0"/>
          <w:sz w:val="24"/>
          <w:szCs w:val="24"/>
        </w:rPr>
        <w:t>Brassica</w:t>
      </w:r>
      <w:r>
        <w:rPr>
          <w:rFonts w:hint="eastAsia" w:ascii="宋体" w:hAnsi="宋体" w:eastAsia="宋体" w:cs="宋体"/>
          <w:color w:val="auto"/>
          <w:kern w:val="0"/>
          <w:sz w:val="24"/>
          <w:szCs w:val="24"/>
        </w:rPr>
        <w:t>、景天属</w:t>
      </w:r>
      <w:r>
        <w:rPr>
          <w:rFonts w:hint="eastAsia" w:ascii="宋体" w:hAnsi="宋体" w:eastAsia="宋体" w:cs="宋体"/>
          <w:i/>
          <w:color w:val="auto"/>
          <w:kern w:val="0"/>
          <w:sz w:val="24"/>
          <w:szCs w:val="24"/>
        </w:rPr>
        <w:t>Sedum</w:t>
      </w:r>
      <w:r>
        <w:rPr>
          <w:rFonts w:hint="eastAsia" w:ascii="宋体" w:hAnsi="宋体" w:eastAsia="宋体" w:cs="宋体"/>
          <w:color w:val="auto"/>
          <w:kern w:val="0"/>
          <w:sz w:val="24"/>
          <w:szCs w:val="24"/>
        </w:rPr>
        <w:t>、龙芽草属</w:t>
      </w:r>
      <w:r>
        <w:rPr>
          <w:rFonts w:hint="eastAsia" w:ascii="宋体" w:hAnsi="宋体" w:eastAsia="宋体" w:cs="宋体"/>
          <w:i/>
          <w:color w:val="auto"/>
          <w:kern w:val="0"/>
          <w:sz w:val="24"/>
          <w:szCs w:val="24"/>
        </w:rPr>
        <w:t>Agrimonia</w:t>
      </w:r>
      <w:r>
        <w:rPr>
          <w:rFonts w:hint="eastAsia" w:ascii="宋体" w:hAnsi="宋体" w:eastAsia="宋体" w:cs="宋体"/>
          <w:color w:val="auto"/>
          <w:kern w:val="0"/>
          <w:sz w:val="24"/>
          <w:szCs w:val="24"/>
        </w:rPr>
        <w:t>、委陵菜属</w:t>
      </w:r>
      <w:r>
        <w:rPr>
          <w:rFonts w:hint="eastAsia" w:ascii="宋体" w:hAnsi="宋体" w:eastAsia="宋体" w:cs="宋体"/>
          <w:i/>
          <w:color w:val="auto"/>
          <w:kern w:val="0"/>
          <w:sz w:val="24"/>
          <w:szCs w:val="24"/>
        </w:rPr>
        <w:t>Potentilla</w:t>
      </w:r>
      <w:r>
        <w:rPr>
          <w:rFonts w:hint="eastAsia" w:ascii="宋体" w:hAnsi="宋体" w:eastAsia="宋体" w:cs="宋体"/>
          <w:color w:val="auto"/>
          <w:kern w:val="0"/>
          <w:sz w:val="24"/>
          <w:szCs w:val="24"/>
        </w:rPr>
        <w:t>、野豌豆属</w:t>
      </w:r>
      <w:r>
        <w:rPr>
          <w:rFonts w:hint="eastAsia" w:ascii="宋体" w:hAnsi="宋体" w:eastAsia="宋体" w:cs="宋体"/>
          <w:i/>
          <w:color w:val="auto"/>
          <w:kern w:val="0"/>
          <w:sz w:val="24"/>
          <w:szCs w:val="24"/>
        </w:rPr>
        <w:t>Vicia</w:t>
      </w:r>
      <w:r>
        <w:rPr>
          <w:rFonts w:hint="eastAsia" w:ascii="宋体" w:hAnsi="宋体" w:eastAsia="宋体" w:cs="宋体"/>
          <w:color w:val="auto"/>
          <w:kern w:val="0"/>
          <w:sz w:val="24"/>
          <w:szCs w:val="24"/>
        </w:rPr>
        <w:t>、车轴草属</w:t>
      </w:r>
      <w:r>
        <w:rPr>
          <w:rFonts w:hint="eastAsia" w:ascii="宋体" w:hAnsi="宋体" w:eastAsia="宋体" w:cs="宋体"/>
          <w:i/>
          <w:color w:val="auto"/>
          <w:kern w:val="0"/>
          <w:sz w:val="24"/>
          <w:szCs w:val="24"/>
        </w:rPr>
        <w:t>Trifolium</w:t>
      </w:r>
      <w:r>
        <w:rPr>
          <w:rFonts w:hint="eastAsia" w:ascii="宋体" w:hAnsi="宋体" w:eastAsia="宋体" w:cs="宋体"/>
          <w:color w:val="auto"/>
          <w:kern w:val="0"/>
          <w:sz w:val="24"/>
          <w:szCs w:val="24"/>
        </w:rPr>
        <w:t>、鸭儿芹属</w:t>
      </w:r>
      <w:r>
        <w:rPr>
          <w:rFonts w:hint="eastAsia" w:ascii="宋体" w:hAnsi="宋体" w:eastAsia="宋体" w:cs="宋体"/>
          <w:i/>
          <w:color w:val="auto"/>
          <w:kern w:val="0"/>
          <w:sz w:val="24"/>
          <w:szCs w:val="24"/>
        </w:rPr>
        <w:t>Cryptotaenia</w:t>
      </w:r>
      <w:r>
        <w:rPr>
          <w:rFonts w:hint="eastAsia" w:ascii="宋体" w:hAnsi="宋体" w:eastAsia="宋体" w:cs="宋体"/>
          <w:color w:val="auto"/>
          <w:kern w:val="0"/>
          <w:sz w:val="24"/>
          <w:szCs w:val="24"/>
        </w:rPr>
        <w:t>、风轮菜属</w:t>
      </w:r>
      <w:r>
        <w:rPr>
          <w:rFonts w:hint="eastAsia" w:ascii="宋体" w:hAnsi="宋体" w:eastAsia="宋体" w:cs="宋体"/>
          <w:i/>
          <w:color w:val="auto"/>
          <w:kern w:val="0"/>
          <w:sz w:val="24"/>
          <w:szCs w:val="24"/>
        </w:rPr>
        <w:t>Clinopodium</w:t>
      </w:r>
      <w:r>
        <w:rPr>
          <w:rFonts w:hint="eastAsia" w:ascii="宋体" w:hAnsi="宋体" w:eastAsia="宋体" w:cs="宋体"/>
          <w:color w:val="auto"/>
          <w:kern w:val="0"/>
          <w:sz w:val="24"/>
          <w:szCs w:val="24"/>
        </w:rPr>
        <w:t>、婆婆纳属</w:t>
      </w:r>
      <w:r>
        <w:rPr>
          <w:rFonts w:hint="eastAsia" w:ascii="宋体" w:hAnsi="宋体" w:eastAsia="宋体" w:cs="宋体"/>
          <w:i/>
          <w:color w:val="auto"/>
          <w:kern w:val="0"/>
          <w:sz w:val="24"/>
          <w:szCs w:val="24"/>
        </w:rPr>
        <w:t>Veronica</w:t>
      </w:r>
      <w:r>
        <w:rPr>
          <w:rFonts w:hint="eastAsia" w:ascii="宋体" w:hAnsi="宋体" w:eastAsia="宋体" w:cs="宋体"/>
          <w:color w:val="auto"/>
          <w:kern w:val="0"/>
          <w:sz w:val="24"/>
          <w:szCs w:val="24"/>
        </w:rPr>
        <w:t>、接骨木属</w:t>
      </w:r>
      <w:r>
        <w:rPr>
          <w:rFonts w:hint="eastAsia" w:ascii="宋体" w:hAnsi="宋体" w:eastAsia="宋体" w:cs="宋体"/>
          <w:i/>
          <w:color w:val="auto"/>
          <w:kern w:val="0"/>
          <w:sz w:val="24"/>
          <w:szCs w:val="24"/>
        </w:rPr>
        <w:t>Sambucus</w:t>
      </w:r>
      <w:r>
        <w:rPr>
          <w:rFonts w:hint="eastAsia" w:ascii="宋体" w:hAnsi="宋体" w:eastAsia="宋体" w:cs="宋体"/>
          <w:color w:val="auto"/>
          <w:kern w:val="0"/>
          <w:sz w:val="24"/>
          <w:szCs w:val="24"/>
        </w:rPr>
        <w:t>、蒿属</w:t>
      </w:r>
      <w:r>
        <w:rPr>
          <w:rFonts w:hint="eastAsia" w:ascii="宋体" w:hAnsi="宋体" w:eastAsia="宋体" w:cs="宋体"/>
          <w:i/>
          <w:color w:val="auto"/>
          <w:kern w:val="0"/>
          <w:sz w:val="24"/>
          <w:szCs w:val="24"/>
        </w:rPr>
        <w:t>Artemisia</w:t>
      </w:r>
      <w:r>
        <w:rPr>
          <w:rFonts w:hint="eastAsia" w:ascii="宋体" w:hAnsi="宋体" w:eastAsia="宋体" w:cs="宋体"/>
          <w:color w:val="auto"/>
          <w:kern w:val="0"/>
          <w:sz w:val="24"/>
          <w:szCs w:val="24"/>
        </w:rPr>
        <w:t>、紫菀属</w:t>
      </w:r>
      <w:r>
        <w:rPr>
          <w:rFonts w:hint="eastAsia" w:ascii="宋体" w:hAnsi="宋体" w:eastAsia="宋体" w:cs="宋体"/>
          <w:i/>
          <w:color w:val="auto"/>
          <w:kern w:val="0"/>
          <w:sz w:val="24"/>
          <w:szCs w:val="24"/>
        </w:rPr>
        <w:t>Aster</w:t>
      </w:r>
      <w:r>
        <w:rPr>
          <w:rFonts w:hint="eastAsia" w:ascii="宋体" w:hAnsi="宋体" w:eastAsia="宋体" w:cs="宋体"/>
          <w:color w:val="auto"/>
          <w:kern w:val="0"/>
          <w:sz w:val="24"/>
          <w:szCs w:val="24"/>
        </w:rPr>
        <w:t>、葱属</w:t>
      </w:r>
      <w:r>
        <w:rPr>
          <w:rFonts w:hint="eastAsia" w:ascii="宋体" w:hAnsi="宋体" w:eastAsia="宋体" w:cs="宋体"/>
          <w:i/>
          <w:color w:val="auto"/>
          <w:kern w:val="0"/>
          <w:sz w:val="24"/>
          <w:szCs w:val="24"/>
        </w:rPr>
        <w:t>Allium</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东亚和北美洲间断、分布及其变型有2属，占总属数的2.0</w:t>
      </w:r>
      <w:r>
        <w:rPr>
          <w:rFonts w:hint="eastAsia" w:ascii="宋体" w:hAnsi="宋体" w:eastAsia="宋体" w:cs="宋体"/>
          <w:color w:val="auto"/>
          <w:kern w:val="0"/>
          <w:sz w:val="24"/>
          <w:szCs w:val="24"/>
          <w:lang w:val="en-US" w:eastAsia="zh-CN"/>
        </w:rPr>
        <w:t>4</w:t>
      </w:r>
      <w:r>
        <w:rPr>
          <w:rFonts w:hint="eastAsia" w:ascii="宋体" w:hAnsi="宋体" w:eastAsia="宋体" w:cs="宋体"/>
          <w:color w:val="auto"/>
          <w:kern w:val="0"/>
          <w:sz w:val="24"/>
          <w:szCs w:val="24"/>
        </w:rPr>
        <w:t xml:space="preserve">%，即刺槐属 </w:t>
      </w:r>
      <w:r>
        <w:rPr>
          <w:rFonts w:hint="eastAsia" w:ascii="宋体" w:hAnsi="宋体" w:eastAsia="宋体" w:cs="宋体"/>
          <w:i/>
          <w:color w:val="auto"/>
          <w:kern w:val="0"/>
          <w:sz w:val="24"/>
          <w:szCs w:val="24"/>
        </w:rPr>
        <w:t>Robinia</w:t>
      </w:r>
      <w:r>
        <w:rPr>
          <w:rFonts w:hint="eastAsia" w:ascii="宋体" w:hAnsi="宋体" w:eastAsia="宋体" w:cs="宋体"/>
          <w:color w:val="auto"/>
          <w:kern w:val="0"/>
          <w:sz w:val="24"/>
          <w:szCs w:val="24"/>
        </w:rPr>
        <w:t>、木犀属</w:t>
      </w:r>
      <w:r>
        <w:rPr>
          <w:rFonts w:hint="eastAsia" w:ascii="宋体" w:hAnsi="宋体" w:eastAsia="宋体" w:cs="宋体"/>
          <w:i/>
          <w:color w:val="auto"/>
          <w:kern w:val="0"/>
          <w:sz w:val="24"/>
          <w:szCs w:val="24"/>
        </w:rPr>
        <w:t>Osmanthus</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旧世界温带分布及其变型有4属，占总属数的4.</w:t>
      </w:r>
      <w:r>
        <w:rPr>
          <w:rFonts w:hint="eastAsia" w:ascii="宋体" w:hAnsi="宋体" w:eastAsia="宋体" w:cs="宋体"/>
          <w:color w:val="auto"/>
          <w:kern w:val="0"/>
          <w:sz w:val="24"/>
          <w:szCs w:val="24"/>
          <w:lang w:val="en-US" w:eastAsia="zh-CN"/>
        </w:rPr>
        <w:t>08</w:t>
      </w:r>
      <w:r>
        <w:rPr>
          <w:rFonts w:hint="eastAsia" w:ascii="宋体" w:hAnsi="宋体" w:eastAsia="宋体" w:cs="宋体"/>
          <w:color w:val="auto"/>
          <w:kern w:val="0"/>
          <w:sz w:val="24"/>
          <w:szCs w:val="24"/>
        </w:rPr>
        <w:t>%，即甜菜属</w:t>
      </w:r>
      <w:r>
        <w:rPr>
          <w:rFonts w:hint="eastAsia" w:ascii="宋体" w:hAnsi="宋体" w:eastAsia="宋体" w:cs="宋体"/>
          <w:i/>
          <w:color w:val="auto"/>
          <w:kern w:val="0"/>
          <w:sz w:val="24"/>
          <w:szCs w:val="24"/>
        </w:rPr>
        <w:t>Beta</w:t>
      </w:r>
      <w:r>
        <w:rPr>
          <w:rFonts w:hint="eastAsia" w:ascii="宋体" w:hAnsi="宋体" w:eastAsia="宋体" w:cs="宋体"/>
          <w:color w:val="auto"/>
          <w:kern w:val="0"/>
          <w:sz w:val="24"/>
          <w:szCs w:val="24"/>
        </w:rPr>
        <w:t>、水芹属</w:t>
      </w:r>
      <w:r>
        <w:rPr>
          <w:rFonts w:hint="eastAsia" w:ascii="宋体" w:hAnsi="宋体" w:eastAsia="宋体" w:cs="宋体"/>
          <w:i/>
          <w:color w:val="auto"/>
          <w:kern w:val="0"/>
          <w:sz w:val="24"/>
          <w:szCs w:val="24"/>
        </w:rPr>
        <w:t>Oenanthe</w:t>
      </w:r>
      <w:r>
        <w:rPr>
          <w:rFonts w:hint="eastAsia" w:ascii="宋体" w:hAnsi="宋体" w:eastAsia="宋体" w:cs="宋体"/>
          <w:color w:val="auto"/>
          <w:kern w:val="0"/>
          <w:sz w:val="24"/>
          <w:szCs w:val="24"/>
        </w:rPr>
        <w:t>、窃衣属</w:t>
      </w:r>
      <w:r>
        <w:rPr>
          <w:rFonts w:hint="eastAsia" w:ascii="宋体" w:hAnsi="宋体" w:eastAsia="宋体" w:cs="宋体"/>
          <w:i/>
          <w:color w:val="auto"/>
          <w:kern w:val="0"/>
          <w:sz w:val="24"/>
          <w:szCs w:val="24"/>
        </w:rPr>
        <w:t>Torilis</w:t>
      </w:r>
      <w:r>
        <w:rPr>
          <w:rFonts w:hint="eastAsia" w:ascii="宋体" w:hAnsi="宋体" w:eastAsia="宋体" w:cs="宋体"/>
          <w:color w:val="auto"/>
          <w:kern w:val="0"/>
          <w:sz w:val="24"/>
          <w:szCs w:val="24"/>
        </w:rPr>
        <w:t>、香薷属</w:t>
      </w:r>
      <w:r>
        <w:rPr>
          <w:rFonts w:hint="eastAsia" w:ascii="宋体" w:hAnsi="宋体" w:eastAsia="宋体" w:cs="宋体"/>
          <w:i/>
          <w:color w:val="auto"/>
          <w:kern w:val="0"/>
          <w:sz w:val="24"/>
          <w:szCs w:val="24"/>
        </w:rPr>
        <w:t>Elsholtzi</w:t>
      </w:r>
      <w:r>
        <w:rPr>
          <w:rFonts w:hint="eastAsia" w:ascii="宋体" w:hAnsi="宋体" w:eastAsia="宋体" w:cs="宋体"/>
          <w:color w:val="auto"/>
          <w:kern w:val="0"/>
          <w:sz w:val="24"/>
          <w:szCs w:val="24"/>
        </w:rPr>
        <w:t>a。</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温带亚洲分布有1属，占总属数的1.0</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％，即马兰属</w:t>
      </w:r>
      <w:r>
        <w:rPr>
          <w:rFonts w:hint="eastAsia" w:ascii="宋体" w:hAnsi="宋体" w:eastAsia="宋体" w:cs="宋体"/>
          <w:i/>
          <w:color w:val="auto"/>
          <w:kern w:val="0"/>
          <w:sz w:val="24"/>
          <w:szCs w:val="24"/>
        </w:rPr>
        <w:t>Kalimeris</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kern w:val="0"/>
          <w:sz w:val="24"/>
          <w:szCs w:val="24"/>
        </w:rPr>
        <w:t>地中海区、西亚至中亚分布及其变型有1属，占总属数的1.0</w:t>
      </w:r>
      <w:r>
        <w:rPr>
          <w:rFonts w:hint="eastAsia" w:ascii="宋体" w:hAnsi="宋体" w:eastAsia="宋体" w:cs="宋体"/>
          <w:color w:val="auto"/>
          <w:kern w:val="0"/>
          <w:sz w:val="24"/>
          <w:szCs w:val="24"/>
          <w:lang w:val="en-US" w:eastAsia="zh-CN"/>
        </w:rPr>
        <w:t>2</w:t>
      </w:r>
      <w:r>
        <w:rPr>
          <w:rFonts w:hint="eastAsia" w:ascii="宋体" w:hAnsi="宋体" w:eastAsia="宋体" w:cs="宋体"/>
          <w:color w:val="auto"/>
          <w:kern w:val="0"/>
          <w:sz w:val="24"/>
          <w:szCs w:val="24"/>
        </w:rPr>
        <w:t>%，即豌豆属</w:t>
      </w:r>
      <w:r>
        <w:rPr>
          <w:rFonts w:hint="eastAsia" w:ascii="宋体" w:hAnsi="宋体" w:eastAsia="宋体" w:cs="宋体"/>
          <w:i/>
          <w:color w:val="auto"/>
          <w:kern w:val="0"/>
          <w:sz w:val="24"/>
          <w:szCs w:val="24"/>
        </w:rPr>
        <w:t>Pisum</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rPr>
        <w:t>东亚分布（东喜玛拉雅-日本）有8属，占总属数的8.</w:t>
      </w:r>
      <w:r>
        <w:rPr>
          <w:rFonts w:hint="eastAsia" w:ascii="宋体" w:hAnsi="宋体" w:eastAsia="宋体" w:cs="宋体"/>
          <w:color w:val="auto"/>
          <w:kern w:val="0"/>
          <w:sz w:val="24"/>
          <w:szCs w:val="24"/>
          <w:lang w:val="en-US" w:eastAsia="zh-CN"/>
        </w:rPr>
        <w:t>16</w:t>
      </w:r>
      <w:r>
        <w:rPr>
          <w:rFonts w:hint="eastAsia" w:ascii="宋体" w:hAnsi="宋体" w:eastAsia="宋体" w:cs="宋体"/>
          <w:color w:val="auto"/>
          <w:kern w:val="0"/>
          <w:sz w:val="24"/>
          <w:szCs w:val="24"/>
        </w:rPr>
        <w:t>%，即</w:t>
      </w:r>
      <w:r>
        <w:rPr>
          <w:rFonts w:hint="eastAsia" w:ascii="宋体" w:hAnsi="宋体" w:eastAsia="宋体" w:cs="宋体"/>
          <w:color w:val="auto"/>
          <w:sz w:val="24"/>
          <w:szCs w:val="24"/>
        </w:rPr>
        <w:t>木通属</w:t>
      </w:r>
      <w:r>
        <w:rPr>
          <w:rFonts w:hint="eastAsia" w:ascii="宋体" w:hAnsi="宋体" w:eastAsia="宋体" w:cs="宋体"/>
          <w:i/>
          <w:color w:val="auto"/>
          <w:sz w:val="24"/>
          <w:szCs w:val="24"/>
        </w:rPr>
        <w:t>Akebia</w:t>
      </w:r>
      <w:r>
        <w:rPr>
          <w:rFonts w:hint="eastAsia" w:ascii="宋体" w:hAnsi="宋体" w:eastAsia="宋体" w:cs="宋体"/>
          <w:color w:val="auto"/>
          <w:sz w:val="24"/>
          <w:szCs w:val="24"/>
        </w:rPr>
        <w:t>、蕺菜属</w:t>
      </w:r>
      <w:r>
        <w:rPr>
          <w:rFonts w:hint="eastAsia" w:ascii="宋体" w:hAnsi="宋体" w:eastAsia="宋体" w:cs="宋体"/>
          <w:i/>
          <w:color w:val="auto"/>
          <w:sz w:val="24"/>
          <w:szCs w:val="24"/>
        </w:rPr>
        <w:t>Houttuynia</w:t>
      </w:r>
      <w:r>
        <w:rPr>
          <w:rFonts w:hint="eastAsia" w:ascii="宋体" w:hAnsi="宋体" w:eastAsia="宋体" w:cs="宋体"/>
          <w:color w:val="auto"/>
          <w:sz w:val="24"/>
          <w:szCs w:val="24"/>
        </w:rPr>
        <w:t>、枇杷属</w:t>
      </w:r>
      <w:r>
        <w:rPr>
          <w:rFonts w:hint="eastAsia" w:ascii="宋体" w:hAnsi="宋体" w:eastAsia="宋体" w:cs="宋体"/>
          <w:i/>
          <w:color w:val="auto"/>
          <w:sz w:val="24"/>
          <w:szCs w:val="24"/>
        </w:rPr>
        <w:t>Eriobotrya</w:t>
      </w:r>
      <w:r>
        <w:rPr>
          <w:rFonts w:hint="eastAsia" w:ascii="宋体" w:hAnsi="宋体" w:eastAsia="宋体" w:cs="宋体"/>
          <w:color w:val="auto"/>
          <w:sz w:val="24"/>
          <w:szCs w:val="24"/>
        </w:rPr>
        <w:t>、石海椒属</w:t>
      </w:r>
      <w:r>
        <w:rPr>
          <w:rFonts w:hint="eastAsia" w:ascii="宋体" w:hAnsi="宋体" w:eastAsia="宋体" w:cs="宋体"/>
          <w:i/>
          <w:color w:val="auto"/>
          <w:sz w:val="24"/>
          <w:szCs w:val="24"/>
        </w:rPr>
        <w:t>Reinwardtia</w:t>
      </w:r>
      <w:r>
        <w:rPr>
          <w:rFonts w:hint="eastAsia" w:ascii="宋体" w:hAnsi="宋体" w:eastAsia="宋体" w:cs="宋体"/>
          <w:color w:val="auto"/>
          <w:sz w:val="24"/>
          <w:szCs w:val="24"/>
        </w:rPr>
        <w:t>、紫苏属</w:t>
      </w:r>
      <w:r>
        <w:rPr>
          <w:rFonts w:hint="eastAsia" w:ascii="宋体" w:hAnsi="宋体" w:eastAsia="宋体" w:cs="宋体"/>
          <w:i/>
          <w:color w:val="auto"/>
          <w:sz w:val="24"/>
          <w:szCs w:val="24"/>
        </w:rPr>
        <w:t>Perilla</w:t>
      </w:r>
      <w:r>
        <w:rPr>
          <w:rFonts w:hint="eastAsia" w:ascii="宋体" w:hAnsi="宋体" w:eastAsia="宋体" w:cs="宋体"/>
          <w:color w:val="auto"/>
          <w:sz w:val="24"/>
          <w:szCs w:val="24"/>
        </w:rPr>
        <w:t>、黄鹌菜属</w:t>
      </w:r>
      <w:r>
        <w:rPr>
          <w:rFonts w:hint="eastAsia" w:ascii="宋体" w:hAnsi="宋体" w:eastAsia="宋体" w:cs="宋体"/>
          <w:i/>
          <w:color w:val="auto"/>
          <w:sz w:val="24"/>
          <w:szCs w:val="24"/>
        </w:rPr>
        <w:t>Youngia</w:t>
      </w:r>
      <w:r>
        <w:rPr>
          <w:rFonts w:hint="eastAsia" w:ascii="宋体" w:hAnsi="宋体" w:eastAsia="宋体" w:cs="宋体"/>
          <w:color w:val="auto"/>
          <w:sz w:val="24"/>
          <w:szCs w:val="24"/>
        </w:rPr>
        <w:t>、刚竹属</w:t>
      </w:r>
      <w:r>
        <w:rPr>
          <w:rFonts w:hint="eastAsia" w:ascii="宋体" w:hAnsi="宋体" w:eastAsia="宋体" w:cs="宋体"/>
          <w:i/>
          <w:color w:val="auto"/>
          <w:sz w:val="24"/>
          <w:szCs w:val="24"/>
        </w:rPr>
        <w:t>Phyllostachys</w:t>
      </w:r>
      <w:r>
        <w:rPr>
          <w:rFonts w:hint="eastAsia" w:ascii="宋体" w:hAnsi="宋体" w:eastAsia="宋体" w:cs="宋体"/>
          <w:color w:val="auto"/>
          <w:sz w:val="24"/>
          <w:szCs w:val="24"/>
        </w:rPr>
        <w:t>、大明竹属</w:t>
      </w:r>
      <w:r>
        <w:rPr>
          <w:rFonts w:hint="eastAsia" w:ascii="宋体" w:hAnsi="宋体" w:eastAsia="宋体" w:cs="宋体"/>
          <w:i/>
          <w:color w:val="auto"/>
          <w:sz w:val="24"/>
          <w:szCs w:val="24"/>
        </w:rPr>
        <w:t>Pleioblastus</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rPr>
        <w:t>中国特有分布仅有2属，占总属数的2.</w:t>
      </w:r>
      <w:r>
        <w:rPr>
          <w:rFonts w:hint="eastAsia" w:ascii="宋体" w:hAnsi="宋体" w:eastAsia="宋体" w:cs="宋体"/>
          <w:color w:val="auto"/>
          <w:kern w:val="0"/>
          <w:sz w:val="24"/>
          <w:szCs w:val="24"/>
          <w:lang w:val="en-US" w:eastAsia="zh-CN"/>
        </w:rPr>
        <w:t>04</w:t>
      </w:r>
      <w:r>
        <w:rPr>
          <w:rFonts w:hint="eastAsia" w:ascii="宋体" w:hAnsi="宋体" w:eastAsia="宋体" w:cs="宋体"/>
          <w:color w:val="auto"/>
          <w:kern w:val="0"/>
          <w:sz w:val="24"/>
          <w:szCs w:val="24"/>
        </w:rPr>
        <w:t>%，即</w:t>
      </w:r>
      <w:r>
        <w:rPr>
          <w:rFonts w:hint="eastAsia" w:ascii="宋体" w:hAnsi="宋体" w:eastAsia="宋体" w:cs="宋体"/>
          <w:color w:val="auto"/>
          <w:kern w:val="0"/>
          <w:sz w:val="24"/>
          <w:szCs w:val="24"/>
          <w:highlight w:val="none"/>
        </w:rPr>
        <w:t>银杏属</w:t>
      </w:r>
      <w:r>
        <w:rPr>
          <w:rFonts w:hint="eastAsia" w:ascii="宋体" w:hAnsi="宋体" w:eastAsia="宋体" w:cs="宋体"/>
          <w:i/>
          <w:color w:val="auto"/>
          <w:kern w:val="0"/>
          <w:sz w:val="24"/>
          <w:szCs w:val="24"/>
          <w:highlight w:val="none"/>
        </w:rPr>
        <w:t>Ginkgo</w:t>
      </w:r>
      <w:r>
        <w:rPr>
          <w:rFonts w:hint="eastAsia" w:ascii="宋体" w:hAnsi="宋体" w:eastAsia="宋体" w:cs="宋体"/>
          <w:color w:val="auto"/>
          <w:kern w:val="0"/>
          <w:sz w:val="24"/>
          <w:szCs w:val="24"/>
          <w:highlight w:val="none"/>
        </w:rPr>
        <w:t>、喜树属</w:t>
      </w:r>
      <w:r>
        <w:rPr>
          <w:rFonts w:hint="eastAsia" w:ascii="宋体" w:hAnsi="宋体" w:eastAsia="宋体" w:cs="宋体"/>
          <w:i/>
          <w:color w:val="auto"/>
          <w:kern w:val="0"/>
          <w:sz w:val="24"/>
          <w:szCs w:val="24"/>
          <w:highlight w:val="none"/>
        </w:rPr>
        <w:t>Camptotheca</w:t>
      </w:r>
      <w:r>
        <w:rPr>
          <w:rFonts w:hint="eastAsia" w:ascii="宋体" w:hAnsi="宋体" w:eastAsia="宋体" w:cs="宋体"/>
          <w:color w:val="auto"/>
          <w:kern w:val="0"/>
          <w:sz w:val="24"/>
          <w:szCs w:val="24"/>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rPr>
      </w:pPr>
      <w:r>
        <w:rPr>
          <w:rFonts w:hint="eastAsia" w:ascii="宋体" w:hAnsi="宋体" w:eastAsia="宋体" w:cs="宋体"/>
          <w:color w:val="auto"/>
          <w:sz w:val="24"/>
          <w:szCs w:val="24"/>
        </w:rPr>
        <w:t>由上可知，根据评价区科水平上以世界分布和热带分布为主</w:t>
      </w:r>
      <w:r>
        <w:rPr>
          <w:rFonts w:hint="eastAsia" w:ascii="宋体" w:hAnsi="宋体" w:eastAsia="宋体" w:cs="宋体"/>
          <w:color w:val="auto"/>
          <w:kern w:val="0"/>
          <w:sz w:val="24"/>
          <w:szCs w:val="24"/>
        </w:rPr>
        <w:t>；属级水平上以热带分布为主，其次是</w:t>
      </w:r>
      <w:r>
        <w:rPr>
          <w:rFonts w:hint="eastAsia" w:ascii="宋体" w:hAnsi="宋体" w:eastAsia="宋体" w:cs="宋体"/>
          <w:color w:val="auto"/>
          <w:sz w:val="24"/>
          <w:szCs w:val="24"/>
        </w:rPr>
        <w:t>世界分布及北温带分布</w:t>
      </w:r>
      <w:r>
        <w:rPr>
          <w:rFonts w:hint="eastAsia" w:ascii="宋体" w:hAnsi="宋体" w:eastAsia="宋体" w:cs="宋体"/>
          <w:color w:val="auto"/>
          <w:kern w:val="0"/>
          <w:sz w:val="24"/>
          <w:szCs w:val="24"/>
        </w:rPr>
        <w:t>。总体来说本区以热带分布为主，温带分布、世界分布及东亚分布（东喜玛拉雅-日本）为辅，</w:t>
      </w:r>
      <w:r>
        <w:rPr>
          <w:rFonts w:hint="eastAsia" w:ascii="宋体" w:hAnsi="宋体" w:eastAsia="宋体" w:cs="宋体"/>
          <w:color w:val="auto"/>
          <w:sz w:val="24"/>
          <w:szCs w:val="24"/>
        </w:rPr>
        <w:t>整体植物物种多样性好</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科属的多样性较高，</w:t>
      </w:r>
      <w:r>
        <w:rPr>
          <w:rFonts w:hint="eastAsia" w:ascii="宋体" w:hAnsi="宋体" w:eastAsia="宋体" w:cs="宋体"/>
          <w:color w:val="auto"/>
          <w:kern w:val="0"/>
          <w:sz w:val="24"/>
          <w:szCs w:val="24"/>
        </w:rPr>
        <w:t>区系地理成分较复杂</w:t>
      </w:r>
      <w:r>
        <w:rPr>
          <w:rFonts w:hint="eastAsia" w:ascii="宋体" w:hAnsi="宋体" w:eastAsia="宋体" w:cs="宋体"/>
          <w:color w:val="auto"/>
          <w:sz w:val="24"/>
          <w:szCs w:val="24"/>
          <w:shd w:val="clear" w:color="auto" w:fill="FFFFFF"/>
          <w:lang w:val="zh-TW"/>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2" w:firstLineChars="200"/>
        <w:textAlignment w:val="auto"/>
        <w:rPr>
          <w:rFonts w:hint="eastAsia" w:ascii="宋体" w:hAnsi="宋体" w:eastAsia="宋体" w:cs="宋体"/>
          <w:b/>
          <w:color w:val="auto"/>
          <w:sz w:val="24"/>
          <w:szCs w:val="24"/>
        </w:rPr>
      </w:pPr>
      <w:bookmarkStart w:id="190" w:name="_Toc2080834"/>
      <w:bookmarkStart w:id="191" w:name="_Toc395718840"/>
      <w:bookmarkStart w:id="192" w:name="_Toc466227264"/>
      <w:bookmarkStart w:id="193" w:name="_Toc465108360"/>
      <w:r>
        <w:rPr>
          <w:rFonts w:hint="eastAsia" w:ascii="宋体" w:hAnsi="宋体" w:eastAsia="宋体" w:cs="宋体"/>
          <w:b/>
          <w:color w:val="auto"/>
          <w:sz w:val="24"/>
          <w:szCs w:val="24"/>
        </w:rPr>
        <w:t>3）国家重点保护植物、古树名木与野生资源植物</w:t>
      </w:r>
      <w:bookmarkEnd w:id="190"/>
    </w:p>
    <w:bookmarkEnd w:id="191"/>
    <w:bookmarkEnd w:id="192"/>
    <w:bookmarkEnd w:id="193"/>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rPr>
      </w:pPr>
      <w:bookmarkStart w:id="194" w:name="_Toc2080835"/>
      <w:r>
        <w:rPr>
          <w:rFonts w:hint="eastAsia" w:ascii="宋体" w:hAnsi="宋体" w:eastAsia="宋体" w:cs="宋体"/>
          <w:bCs/>
          <w:color w:val="auto"/>
          <w:sz w:val="24"/>
          <w:szCs w:val="24"/>
        </w:rPr>
        <w:t>①国家重点保护植物和珍稀濒危植物的种类及分布</w:t>
      </w:r>
      <w:bookmarkEnd w:id="194"/>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rPr>
      </w:pPr>
      <w:r>
        <w:rPr>
          <w:rFonts w:hint="eastAsia" w:ascii="宋体" w:hAnsi="宋体" w:eastAsia="宋体" w:cs="宋体"/>
          <w:bCs/>
          <w:color w:val="auto"/>
          <w:sz w:val="24"/>
          <w:szCs w:val="24"/>
        </w:rPr>
        <w:t>根据野外调查和现有国家级保护和珍稀濒危植物资料查证，对比《国家重点保护野生植物名录》和《中国珍稀濒危保护植物名录（第一册）》中所列物种，</w:t>
      </w:r>
      <w:r>
        <w:rPr>
          <w:rFonts w:hint="eastAsia" w:ascii="宋体" w:hAnsi="宋体" w:eastAsia="宋体" w:cs="宋体"/>
          <w:color w:val="auto"/>
          <w:sz w:val="24"/>
          <w:szCs w:val="24"/>
        </w:rPr>
        <w:t>本评价区内</w:t>
      </w:r>
      <w:r>
        <w:rPr>
          <w:rFonts w:hint="eastAsia" w:ascii="宋体" w:hAnsi="宋体" w:eastAsia="宋体" w:cs="宋体"/>
          <w:b/>
          <w:bCs/>
          <w:color w:val="auto"/>
          <w:sz w:val="24"/>
          <w:szCs w:val="24"/>
        </w:rPr>
        <w:t>未发现国家重点保护野生植物</w:t>
      </w:r>
      <w:r>
        <w:rPr>
          <w:rFonts w:hint="eastAsia" w:ascii="宋体" w:hAnsi="宋体" w:eastAsia="宋体" w:cs="宋体"/>
          <w:color w:val="auto"/>
          <w:sz w:val="24"/>
          <w:szCs w:val="24"/>
        </w:rPr>
        <w:t>。银杏（</w:t>
      </w:r>
      <w:r>
        <w:rPr>
          <w:rFonts w:hint="eastAsia" w:ascii="宋体" w:hAnsi="宋体" w:eastAsia="宋体" w:cs="宋体"/>
          <w:i/>
          <w:iCs/>
          <w:color w:val="auto"/>
          <w:kern w:val="0"/>
          <w:sz w:val="24"/>
          <w:szCs w:val="24"/>
        </w:rPr>
        <w:t>Ginkgo biloba</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喜树（</w:t>
      </w:r>
      <w:r>
        <w:rPr>
          <w:rFonts w:hint="eastAsia" w:ascii="宋体" w:hAnsi="宋体" w:eastAsia="宋体" w:cs="宋体"/>
          <w:i/>
          <w:color w:val="auto"/>
          <w:sz w:val="24"/>
          <w:szCs w:val="24"/>
          <w:highlight w:val="none"/>
        </w:rPr>
        <w:t>Camptotheca acuminata</w:t>
      </w:r>
      <w:r>
        <w:rPr>
          <w:rFonts w:hint="eastAsia" w:ascii="宋体" w:hAnsi="宋体" w:eastAsia="宋体" w:cs="宋体"/>
          <w:color w:val="auto"/>
          <w:sz w:val="24"/>
          <w:szCs w:val="24"/>
          <w:lang w:val="en-US" w:eastAsia="zh-CN"/>
        </w:rPr>
        <w:t>）</w:t>
      </w:r>
      <w:r>
        <w:rPr>
          <w:rFonts w:hint="eastAsia" w:ascii="宋体" w:hAnsi="宋体" w:eastAsia="宋体" w:cs="宋体"/>
          <w:color w:val="auto"/>
          <w:sz w:val="24"/>
          <w:szCs w:val="24"/>
        </w:rPr>
        <w:t>在评价区为人工栽培，无野生分布</w:t>
      </w:r>
      <w:r>
        <w:rPr>
          <w:rFonts w:hint="eastAsia" w:ascii="宋体" w:hAnsi="宋体" w:eastAsia="宋体" w:cs="宋体"/>
          <w:bCs/>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rPr>
      </w:pPr>
      <w:bookmarkStart w:id="195" w:name="_Toc2080836"/>
      <w:r>
        <w:rPr>
          <w:rFonts w:hint="eastAsia" w:ascii="宋体" w:hAnsi="宋体" w:eastAsia="宋体" w:cs="宋体"/>
          <w:bCs/>
          <w:color w:val="auto"/>
          <w:sz w:val="24"/>
          <w:szCs w:val="24"/>
        </w:rPr>
        <w:t>②古树名木</w:t>
      </w:r>
      <w:bookmarkEnd w:id="195"/>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rPr>
      </w:pPr>
      <w:r>
        <w:rPr>
          <w:rFonts w:hint="eastAsia" w:ascii="宋体" w:hAnsi="宋体" w:eastAsia="宋体" w:cs="宋体"/>
          <w:bCs/>
          <w:color w:val="auto"/>
          <w:sz w:val="24"/>
          <w:szCs w:val="24"/>
        </w:rPr>
        <w:t>调查发现，评价区域范围内没有古树名木分布。</w:t>
      </w:r>
    </w:p>
    <w:p>
      <w:pPr>
        <w:pStyle w:val="119"/>
        <w:keepNext w:val="0"/>
        <w:keepLines w:val="0"/>
        <w:pageBreakBefore w:val="0"/>
        <w:widowControl w:val="0"/>
        <w:numPr>
          <w:ilvl w:val="0"/>
          <w:numId w:val="6"/>
        </w:numPr>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bookmarkStart w:id="196" w:name="_Toc2080837"/>
      <w:r>
        <w:rPr>
          <w:rFonts w:hint="eastAsia" w:ascii="宋体" w:hAnsi="宋体" w:eastAsia="宋体" w:cs="宋体"/>
          <w:color w:val="auto"/>
          <w:sz w:val="24"/>
          <w:szCs w:val="24"/>
        </w:rPr>
        <w:t>野生资源植物</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评价区内有少量的野生资源植物，其中较重要的有观赏植物、药用植物、野生水果资源等。但是，没有发现具有突出的资源优势种类，这些物种在当地仅有零星分布，且当地群众对这些资源植物的利用仅限于零星的采收或个别利用，没有在他们的经济生活中形成对某种或某类物种的依存关系。</w:t>
      </w:r>
    </w:p>
    <w:bookmarkEnd w:id="196"/>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bookmarkStart w:id="197" w:name="_Toc2080838"/>
      <w:r>
        <w:rPr>
          <w:rFonts w:hint="eastAsia" w:ascii="宋体" w:hAnsi="宋体" w:eastAsia="宋体" w:cs="宋体"/>
          <w:color w:val="auto"/>
          <w:sz w:val="24"/>
          <w:szCs w:val="24"/>
        </w:rPr>
        <w:t>评价区内野生观赏植物较多，常见的如凤尾蕨属</w:t>
      </w:r>
      <w:r>
        <w:rPr>
          <w:rFonts w:hint="eastAsia" w:ascii="宋体" w:hAnsi="宋体" w:eastAsia="宋体" w:cs="宋体"/>
          <w:i/>
          <w:color w:val="auto"/>
          <w:sz w:val="24"/>
          <w:szCs w:val="24"/>
        </w:rPr>
        <w:t>Pteris、</w:t>
      </w:r>
      <w:r>
        <w:rPr>
          <w:rFonts w:hint="eastAsia" w:ascii="宋体" w:hAnsi="宋体" w:eastAsia="宋体" w:cs="宋体"/>
          <w:color w:val="auto"/>
          <w:sz w:val="24"/>
          <w:szCs w:val="24"/>
        </w:rPr>
        <w:t>落葵薯属</w:t>
      </w:r>
      <w:r>
        <w:rPr>
          <w:rFonts w:hint="eastAsia" w:ascii="宋体" w:hAnsi="宋体" w:eastAsia="宋体" w:cs="宋体"/>
          <w:i/>
          <w:iCs/>
          <w:color w:val="auto"/>
          <w:kern w:val="0"/>
          <w:sz w:val="24"/>
          <w:szCs w:val="24"/>
        </w:rPr>
        <w:t>Anredera</w:t>
      </w:r>
      <w:r>
        <w:rPr>
          <w:rFonts w:hint="eastAsia" w:ascii="宋体" w:hAnsi="宋体" w:eastAsia="宋体" w:cs="宋体"/>
          <w:color w:val="auto"/>
          <w:sz w:val="24"/>
          <w:szCs w:val="24"/>
        </w:rPr>
        <w:t>、毛茛属</w:t>
      </w:r>
      <w:r>
        <w:rPr>
          <w:rFonts w:hint="eastAsia" w:ascii="宋体" w:hAnsi="宋体" w:eastAsia="宋体" w:cs="宋体"/>
          <w:i/>
          <w:iCs/>
          <w:color w:val="auto"/>
          <w:kern w:val="0"/>
          <w:sz w:val="24"/>
          <w:szCs w:val="24"/>
        </w:rPr>
        <w:t>Ranunculus</w:t>
      </w:r>
      <w:r>
        <w:rPr>
          <w:rFonts w:hint="eastAsia" w:ascii="宋体" w:hAnsi="宋体" w:eastAsia="宋体" w:cs="宋体"/>
          <w:color w:val="auto"/>
          <w:sz w:val="24"/>
          <w:szCs w:val="24"/>
        </w:rPr>
        <w:t>、蓼属</w:t>
      </w:r>
      <w:r>
        <w:rPr>
          <w:rFonts w:hint="eastAsia" w:ascii="宋体" w:hAnsi="宋体" w:eastAsia="宋体" w:cs="宋体"/>
          <w:i/>
          <w:iCs/>
          <w:color w:val="auto"/>
          <w:kern w:val="0"/>
          <w:sz w:val="24"/>
          <w:szCs w:val="24"/>
        </w:rPr>
        <w:t>Polygonum</w:t>
      </w:r>
      <w:r>
        <w:rPr>
          <w:rFonts w:hint="eastAsia" w:ascii="宋体" w:hAnsi="宋体" w:eastAsia="宋体" w:cs="宋体"/>
          <w:color w:val="auto"/>
          <w:sz w:val="24"/>
          <w:szCs w:val="24"/>
        </w:rPr>
        <w:t>、莲子草属</w:t>
      </w:r>
      <w:r>
        <w:rPr>
          <w:rFonts w:hint="eastAsia" w:ascii="宋体" w:hAnsi="宋体" w:eastAsia="宋体" w:cs="宋体"/>
          <w:i/>
          <w:color w:val="auto"/>
          <w:sz w:val="24"/>
          <w:szCs w:val="24"/>
        </w:rPr>
        <w:t>Alternanthera</w:t>
      </w:r>
      <w:r>
        <w:rPr>
          <w:rFonts w:hint="eastAsia" w:ascii="宋体" w:hAnsi="宋体" w:eastAsia="宋体" w:cs="宋体"/>
          <w:color w:val="auto"/>
          <w:sz w:val="24"/>
          <w:szCs w:val="24"/>
        </w:rPr>
        <w:t>等的植物种及凤尾蕨</w:t>
      </w:r>
      <w:r>
        <w:rPr>
          <w:rFonts w:hint="eastAsia" w:ascii="宋体" w:hAnsi="宋体" w:eastAsia="宋体" w:cs="宋体"/>
          <w:i/>
          <w:iCs/>
          <w:color w:val="auto"/>
          <w:kern w:val="0"/>
          <w:sz w:val="24"/>
          <w:szCs w:val="24"/>
        </w:rPr>
        <w:t>Pteris nervosa</w:t>
      </w:r>
      <w:r>
        <w:rPr>
          <w:rFonts w:hint="eastAsia" w:ascii="宋体" w:hAnsi="宋体" w:eastAsia="宋体" w:cs="宋体"/>
          <w:color w:val="auto"/>
          <w:sz w:val="24"/>
          <w:szCs w:val="24"/>
        </w:rPr>
        <w:t>、千里光</w:t>
      </w:r>
      <w:r>
        <w:rPr>
          <w:rFonts w:hint="eastAsia" w:ascii="宋体" w:hAnsi="宋体" w:eastAsia="宋体" w:cs="宋体"/>
          <w:i/>
          <w:iCs/>
          <w:color w:val="auto"/>
          <w:kern w:val="0"/>
          <w:sz w:val="24"/>
          <w:szCs w:val="24"/>
        </w:rPr>
        <w:t>Senecio candens</w:t>
      </w:r>
      <w:r>
        <w:rPr>
          <w:rFonts w:hint="eastAsia" w:ascii="宋体" w:hAnsi="宋体" w:eastAsia="宋体" w:cs="宋体"/>
          <w:color w:val="auto"/>
          <w:sz w:val="24"/>
          <w:szCs w:val="24"/>
        </w:rPr>
        <w:t>、蜈蚣草</w:t>
      </w:r>
      <w:r>
        <w:rPr>
          <w:rFonts w:hint="eastAsia" w:ascii="宋体" w:hAnsi="宋体" w:eastAsia="宋体" w:cs="宋体"/>
          <w:i/>
          <w:iCs/>
          <w:color w:val="auto"/>
          <w:kern w:val="0"/>
          <w:sz w:val="24"/>
          <w:szCs w:val="24"/>
        </w:rPr>
        <w:t>Pteris vittata</w:t>
      </w:r>
      <w:r>
        <w:rPr>
          <w:rFonts w:hint="eastAsia" w:ascii="宋体" w:hAnsi="宋体" w:eastAsia="宋体" w:cs="宋体"/>
          <w:color w:val="auto"/>
          <w:sz w:val="24"/>
          <w:szCs w:val="24"/>
        </w:rPr>
        <w:t>、酢浆草</w:t>
      </w:r>
      <w:r>
        <w:rPr>
          <w:rFonts w:hint="eastAsia" w:ascii="宋体" w:hAnsi="宋体" w:eastAsia="宋体" w:cs="宋体"/>
          <w:i/>
          <w:color w:val="auto"/>
          <w:sz w:val="24"/>
          <w:szCs w:val="24"/>
        </w:rPr>
        <w:t>Oxalis corniculata</w:t>
      </w:r>
      <w:r>
        <w:rPr>
          <w:rFonts w:hint="eastAsia" w:ascii="宋体" w:hAnsi="宋体" w:eastAsia="宋体" w:cs="宋体"/>
          <w:color w:val="auto"/>
          <w:sz w:val="24"/>
          <w:szCs w:val="24"/>
        </w:rPr>
        <w:t>等多种植物。</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药用植物资源稍多，有蜈蚣草</w:t>
      </w:r>
      <w:r>
        <w:rPr>
          <w:rFonts w:hint="eastAsia" w:ascii="宋体" w:hAnsi="宋体" w:eastAsia="宋体" w:cs="宋体"/>
          <w:i/>
          <w:iCs/>
          <w:color w:val="auto"/>
          <w:kern w:val="0"/>
          <w:sz w:val="24"/>
          <w:szCs w:val="24"/>
        </w:rPr>
        <w:t>Eremochloaciliaris</w:t>
      </w:r>
      <w:r>
        <w:rPr>
          <w:rFonts w:hint="eastAsia" w:ascii="宋体" w:hAnsi="宋体" w:eastAsia="宋体" w:cs="宋体"/>
          <w:color w:val="auto"/>
          <w:sz w:val="24"/>
          <w:szCs w:val="24"/>
        </w:rPr>
        <w:t>、车前</w:t>
      </w:r>
      <w:r>
        <w:rPr>
          <w:rFonts w:hint="eastAsia" w:ascii="宋体" w:hAnsi="宋体" w:eastAsia="宋体" w:cs="宋体"/>
          <w:i/>
          <w:color w:val="auto"/>
          <w:sz w:val="24"/>
          <w:szCs w:val="24"/>
        </w:rPr>
        <w:t>Plantago asiatica</w:t>
      </w:r>
      <w:r>
        <w:rPr>
          <w:rFonts w:hint="eastAsia" w:ascii="宋体" w:hAnsi="宋体" w:eastAsia="宋体" w:cs="宋体"/>
          <w:color w:val="auto"/>
          <w:sz w:val="24"/>
          <w:szCs w:val="24"/>
        </w:rPr>
        <w:t>、山麦冬</w:t>
      </w:r>
      <w:r>
        <w:rPr>
          <w:rFonts w:hint="eastAsia" w:ascii="宋体" w:hAnsi="宋体" w:eastAsia="宋体" w:cs="宋体"/>
          <w:i/>
          <w:color w:val="auto"/>
          <w:sz w:val="24"/>
          <w:szCs w:val="24"/>
        </w:rPr>
        <w:t>Liriope spicata</w:t>
      </w:r>
      <w:r>
        <w:rPr>
          <w:rFonts w:hint="eastAsia" w:ascii="宋体" w:hAnsi="宋体" w:eastAsia="宋体" w:cs="宋体"/>
          <w:color w:val="auto"/>
          <w:sz w:val="24"/>
          <w:szCs w:val="24"/>
        </w:rPr>
        <w:t>、聚花过路黄</w:t>
      </w:r>
      <w:r>
        <w:rPr>
          <w:rFonts w:hint="eastAsia" w:ascii="宋体" w:hAnsi="宋体" w:eastAsia="宋体" w:cs="宋体"/>
          <w:i/>
          <w:iCs/>
          <w:color w:val="auto"/>
          <w:kern w:val="0"/>
          <w:sz w:val="24"/>
          <w:szCs w:val="24"/>
        </w:rPr>
        <w:t>Lysimachiacongestiflora</w:t>
      </w:r>
      <w:r>
        <w:rPr>
          <w:rFonts w:hint="eastAsia" w:ascii="宋体" w:hAnsi="宋体" w:eastAsia="宋体" w:cs="宋体"/>
          <w:iCs/>
          <w:color w:val="auto"/>
          <w:kern w:val="0"/>
          <w:sz w:val="24"/>
          <w:szCs w:val="24"/>
        </w:rPr>
        <w:t>、落葵薯</w:t>
      </w:r>
      <w:r>
        <w:rPr>
          <w:rFonts w:hint="eastAsia" w:ascii="宋体" w:hAnsi="宋体" w:eastAsia="宋体" w:cs="宋体"/>
          <w:i/>
          <w:iCs/>
          <w:color w:val="auto"/>
          <w:kern w:val="0"/>
          <w:sz w:val="24"/>
          <w:szCs w:val="24"/>
        </w:rPr>
        <w:t>Anredera cordifolia</w:t>
      </w:r>
      <w:r>
        <w:rPr>
          <w:rFonts w:hint="eastAsia" w:ascii="宋体" w:hAnsi="宋体" w:eastAsia="宋体" w:cs="宋体"/>
          <w:color w:val="auto"/>
          <w:sz w:val="24"/>
          <w:szCs w:val="24"/>
        </w:rPr>
        <w:t>等。</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野生可食用资源有悬钩子属</w:t>
      </w:r>
      <w:r>
        <w:rPr>
          <w:rFonts w:hint="eastAsia" w:ascii="宋体" w:hAnsi="宋体" w:eastAsia="宋体" w:cs="宋体"/>
          <w:i/>
          <w:iCs/>
          <w:color w:val="auto"/>
          <w:kern w:val="0"/>
          <w:sz w:val="24"/>
          <w:szCs w:val="24"/>
        </w:rPr>
        <w:t>Rubus</w:t>
      </w:r>
      <w:r>
        <w:rPr>
          <w:rFonts w:hint="eastAsia" w:ascii="宋体" w:hAnsi="宋体" w:eastAsia="宋体" w:cs="宋体"/>
          <w:color w:val="auto"/>
          <w:sz w:val="24"/>
          <w:szCs w:val="24"/>
        </w:rPr>
        <w:t>、构树</w:t>
      </w:r>
      <w:r>
        <w:rPr>
          <w:rFonts w:hint="eastAsia" w:ascii="宋体" w:hAnsi="宋体" w:eastAsia="宋体" w:cs="宋体"/>
          <w:i/>
          <w:iCs/>
          <w:color w:val="auto"/>
          <w:kern w:val="0"/>
          <w:sz w:val="24"/>
          <w:szCs w:val="24"/>
        </w:rPr>
        <w:t>Broussonetia papyrifera</w:t>
      </w:r>
      <w:r>
        <w:rPr>
          <w:rFonts w:hint="eastAsia" w:ascii="宋体" w:hAnsi="宋体" w:eastAsia="宋体" w:cs="宋体"/>
          <w:color w:val="auto"/>
          <w:sz w:val="24"/>
          <w:szCs w:val="24"/>
        </w:rPr>
        <w:t>、蛇莓</w:t>
      </w:r>
      <w:r>
        <w:rPr>
          <w:rFonts w:hint="eastAsia" w:ascii="宋体" w:hAnsi="宋体" w:eastAsia="宋体" w:cs="宋体"/>
          <w:i/>
          <w:color w:val="auto"/>
          <w:sz w:val="24"/>
          <w:szCs w:val="24"/>
        </w:rPr>
        <w:t>Duchesnea indica</w:t>
      </w:r>
      <w:r>
        <w:rPr>
          <w:rFonts w:hint="eastAsia" w:ascii="宋体" w:hAnsi="宋体" w:eastAsia="宋体" w:cs="宋体"/>
          <w:color w:val="auto"/>
          <w:sz w:val="24"/>
          <w:szCs w:val="24"/>
        </w:rPr>
        <w:t>、地果</w:t>
      </w:r>
      <w:r>
        <w:rPr>
          <w:rFonts w:hint="eastAsia" w:ascii="宋体" w:hAnsi="宋体" w:eastAsia="宋体" w:cs="宋体"/>
          <w:i/>
          <w:iCs/>
          <w:color w:val="auto"/>
          <w:kern w:val="0"/>
          <w:sz w:val="24"/>
          <w:szCs w:val="24"/>
        </w:rPr>
        <w:t>Ficus tikoua</w:t>
      </w:r>
      <w:r>
        <w:rPr>
          <w:rFonts w:hint="eastAsia" w:ascii="宋体" w:hAnsi="宋体" w:eastAsia="宋体" w:cs="宋体"/>
          <w:color w:val="auto"/>
          <w:sz w:val="24"/>
          <w:szCs w:val="24"/>
        </w:rPr>
        <w:t>等野生果树资源。</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lang w:val="da-DK"/>
        </w:rPr>
      </w:pPr>
      <w:r>
        <w:rPr>
          <w:rFonts w:hint="eastAsia" w:ascii="宋体" w:hAnsi="宋体" w:eastAsia="宋体" w:cs="宋体"/>
          <w:color w:val="auto"/>
          <w:sz w:val="24"/>
          <w:szCs w:val="24"/>
        </w:rPr>
        <w:t>优良牧草资源较为少见，主要分布于河谷两侧和农田附近，以禾本科、</w:t>
      </w:r>
      <w:r>
        <w:rPr>
          <w:rFonts w:hint="eastAsia" w:ascii="宋体" w:hAnsi="宋体" w:eastAsia="宋体" w:cs="宋体"/>
          <w:color w:val="auto"/>
          <w:sz w:val="24"/>
          <w:szCs w:val="24"/>
          <w:lang w:val="da-DK"/>
        </w:rPr>
        <w:t>豆科</w:t>
      </w:r>
      <w:r>
        <w:rPr>
          <w:rFonts w:hint="eastAsia" w:ascii="宋体" w:hAnsi="宋体" w:eastAsia="宋体" w:cs="宋体"/>
          <w:color w:val="auto"/>
          <w:sz w:val="24"/>
          <w:szCs w:val="24"/>
        </w:rPr>
        <w:t>植物、</w:t>
      </w:r>
      <w:r>
        <w:rPr>
          <w:rFonts w:hint="eastAsia" w:ascii="宋体" w:hAnsi="宋体" w:eastAsia="宋体" w:cs="宋体"/>
          <w:color w:val="auto"/>
          <w:sz w:val="24"/>
          <w:szCs w:val="24"/>
          <w:lang w:val="da-DK"/>
        </w:rPr>
        <w:t>莎草科</w:t>
      </w:r>
      <w:r>
        <w:rPr>
          <w:rFonts w:hint="eastAsia" w:ascii="宋体" w:hAnsi="宋体" w:eastAsia="宋体" w:cs="宋体"/>
          <w:color w:val="auto"/>
          <w:sz w:val="24"/>
          <w:szCs w:val="24"/>
        </w:rPr>
        <w:t>为主，常见的种类有</w:t>
      </w:r>
      <w:r>
        <w:rPr>
          <w:rFonts w:hint="eastAsia" w:ascii="宋体" w:hAnsi="宋体" w:eastAsia="宋体" w:cs="宋体"/>
          <w:color w:val="auto"/>
          <w:kern w:val="0"/>
          <w:sz w:val="24"/>
          <w:szCs w:val="24"/>
        </w:rPr>
        <w:t>白茅</w:t>
      </w:r>
      <w:r>
        <w:rPr>
          <w:rFonts w:hint="eastAsia" w:ascii="宋体" w:hAnsi="宋体" w:eastAsia="宋体" w:cs="宋体"/>
          <w:i/>
          <w:iCs/>
          <w:color w:val="auto"/>
          <w:kern w:val="0"/>
          <w:sz w:val="24"/>
          <w:szCs w:val="24"/>
        </w:rPr>
        <w:t>Imperata cylindrica</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早熟禾</w:t>
      </w:r>
      <w:r>
        <w:rPr>
          <w:rFonts w:hint="eastAsia" w:ascii="宋体" w:hAnsi="宋体" w:eastAsia="宋体" w:cs="宋体"/>
          <w:i/>
          <w:iCs/>
          <w:color w:val="auto"/>
          <w:kern w:val="0"/>
          <w:sz w:val="24"/>
          <w:szCs w:val="24"/>
        </w:rPr>
        <w:t>Poa annua</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广布野豌豆</w:t>
      </w:r>
      <w:r>
        <w:rPr>
          <w:rFonts w:hint="eastAsia" w:ascii="宋体" w:hAnsi="宋体" w:eastAsia="宋体" w:cs="宋体"/>
          <w:i/>
          <w:iCs/>
          <w:color w:val="auto"/>
          <w:kern w:val="0"/>
          <w:sz w:val="24"/>
          <w:szCs w:val="24"/>
        </w:rPr>
        <w:t>Vicia cracca</w:t>
      </w:r>
      <w:r>
        <w:rPr>
          <w:rFonts w:hint="eastAsia" w:ascii="宋体" w:hAnsi="宋体" w:eastAsia="宋体" w:cs="宋体"/>
          <w:color w:val="auto"/>
          <w:sz w:val="24"/>
          <w:szCs w:val="24"/>
          <w:lang w:val="da-DK"/>
        </w:rPr>
        <w:t>、</w:t>
      </w:r>
      <w:r>
        <w:rPr>
          <w:rFonts w:hint="eastAsia" w:ascii="宋体" w:hAnsi="宋体" w:eastAsia="宋体" w:cs="宋体"/>
          <w:color w:val="auto"/>
          <w:sz w:val="24"/>
          <w:szCs w:val="24"/>
        </w:rPr>
        <w:t>蓼属</w:t>
      </w:r>
      <w:r>
        <w:rPr>
          <w:rFonts w:hint="eastAsia" w:ascii="宋体" w:hAnsi="宋体" w:eastAsia="宋体" w:cs="宋体"/>
          <w:i/>
          <w:color w:val="auto"/>
          <w:sz w:val="24"/>
          <w:szCs w:val="24"/>
        </w:rPr>
        <w:t>Polygonum</w:t>
      </w:r>
      <w:r>
        <w:rPr>
          <w:rFonts w:hint="eastAsia" w:ascii="宋体" w:hAnsi="宋体" w:eastAsia="宋体" w:cs="宋体"/>
          <w:color w:val="auto"/>
          <w:sz w:val="24"/>
          <w:szCs w:val="24"/>
          <w:lang w:val="da-DK"/>
        </w:rPr>
        <w:t>、蒿属</w:t>
      </w:r>
      <w:r>
        <w:rPr>
          <w:rFonts w:hint="eastAsia" w:ascii="宋体" w:hAnsi="宋体" w:eastAsia="宋体" w:cs="宋体"/>
          <w:i/>
          <w:iCs/>
          <w:color w:val="auto"/>
          <w:kern w:val="0"/>
          <w:sz w:val="24"/>
          <w:szCs w:val="24"/>
        </w:rPr>
        <w:t>Artemisia</w:t>
      </w:r>
      <w:r>
        <w:rPr>
          <w:rFonts w:hint="eastAsia" w:ascii="宋体" w:hAnsi="宋体" w:eastAsia="宋体" w:cs="宋体"/>
          <w:color w:val="auto"/>
          <w:sz w:val="24"/>
          <w:szCs w:val="24"/>
          <w:lang w:val="da-DK"/>
        </w:rPr>
        <w:t>等多种植物。</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lang w:val="da-DK"/>
        </w:rPr>
      </w:pPr>
      <w:r>
        <w:rPr>
          <w:rFonts w:hint="eastAsia" w:ascii="宋体" w:hAnsi="宋体" w:eastAsia="宋体" w:cs="宋体"/>
          <w:color w:val="auto"/>
          <w:sz w:val="24"/>
          <w:szCs w:val="24"/>
        </w:rPr>
        <w:t>用材树种较重要的主要为慈竹</w:t>
      </w:r>
      <w:r>
        <w:rPr>
          <w:rFonts w:hint="eastAsia" w:ascii="宋体" w:hAnsi="宋体" w:eastAsia="宋体" w:cs="宋体"/>
          <w:i/>
          <w:color w:val="auto"/>
          <w:sz w:val="24"/>
          <w:szCs w:val="24"/>
          <w:lang w:val="da-DK"/>
        </w:rPr>
        <w:t>Sinocalamus affinis</w:t>
      </w:r>
      <w:r>
        <w:rPr>
          <w:rFonts w:hint="eastAsia" w:ascii="宋体" w:hAnsi="宋体" w:eastAsia="宋体" w:cs="宋体"/>
          <w:color w:val="auto"/>
          <w:sz w:val="24"/>
          <w:szCs w:val="24"/>
        </w:rPr>
        <w:t>等。</w:t>
      </w:r>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bCs/>
          <w:color w:val="auto"/>
          <w:sz w:val="24"/>
          <w:szCs w:val="24"/>
          <w:lang w:val="da-DK"/>
        </w:rPr>
      </w:pPr>
      <w:r>
        <w:rPr>
          <w:rFonts w:hint="eastAsia" w:ascii="宋体" w:hAnsi="宋体" w:eastAsia="宋体" w:cs="宋体"/>
          <w:bCs/>
          <w:color w:val="auto"/>
          <w:sz w:val="24"/>
          <w:szCs w:val="24"/>
          <w:lang w:val="da-DK"/>
        </w:rPr>
        <w:t>④</w:t>
      </w:r>
      <w:r>
        <w:rPr>
          <w:rFonts w:hint="eastAsia" w:ascii="宋体" w:hAnsi="宋体" w:eastAsia="宋体" w:cs="宋体"/>
          <w:bCs/>
          <w:color w:val="auto"/>
          <w:sz w:val="24"/>
          <w:szCs w:val="24"/>
        </w:rPr>
        <w:t>入侵性有害生物</w:t>
      </w:r>
      <w:bookmarkEnd w:id="197"/>
    </w:p>
    <w:p>
      <w:pPr>
        <w:keepNext w:val="0"/>
        <w:keepLines w:val="0"/>
        <w:pageBreakBefore w:val="0"/>
        <w:widowControl w:val="0"/>
        <w:kinsoku/>
        <w:wordWrap/>
        <w:overflowPunct/>
        <w:topLinePunct w:val="0"/>
        <w:autoSpaceDE/>
        <w:autoSpaceDN/>
        <w:bidi w:val="0"/>
        <w:adjustRightInd/>
        <w:snapToGrid/>
        <w:spacing w:line="360" w:lineRule="auto"/>
        <w:ind w:left="0" w:right="0" w:rightChars="0" w:firstLine="480" w:firstLineChars="200"/>
        <w:textAlignment w:val="auto"/>
        <w:rPr>
          <w:rFonts w:hint="eastAsia" w:ascii="宋体" w:hAnsi="宋体" w:eastAsia="宋体" w:cs="宋体"/>
          <w:color w:val="auto"/>
          <w:sz w:val="24"/>
          <w:szCs w:val="24"/>
          <w:lang w:val="da-DK"/>
        </w:rPr>
      </w:pPr>
      <w:r>
        <w:rPr>
          <w:rFonts w:hint="eastAsia" w:ascii="宋体" w:hAnsi="宋体" w:eastAsia="宋体" w:cs="宋体"/>
          <w:color w:val="auto"/>
          <w:sz w:val="24"/>
          <w:szCs w:val="24"/>
          <w:lang w:val="da-DK"/>
        </w:rPr>
        <w:t>评价区内未发现入侵性有害生物。</w:t>
      </w:r>
    </w:p>
    <w:p>
      <w:pPr>
        <w:pStyle w:val="5"/>
        <w:rPr>
          <w:color w:val="auto"/>
        </w:rPr>
      </w:pPr>
      <w:bookmarkStart w:id="198" w:name="_Toc29078"/>
      <w:r>
        <w:rPr>
          <w:color w:val="auto"/>
        </w:rPr>
        <w:t>植被多样性</w:t>
      </w:r>
      <w:bookmarkEnd w:id="198"/>
    </w:p>
    <w:p>
      <w:pPr>
        <w:pStyle w:val="6"/>
        <w:rPr>
          <w:rFonts w:cs="Times New Roman"/>
          <w:color w:val="auto"/>
        </w:rPr>
      </w:pPr>
      <w:r>
        <w:rPr>
          <w:rFonts w:cs="Times New Roman"/>
          <w:color w:val="auto"/>
        </w:rPr>
        <w:t>样方调查结果</w:t>
      </w:r>
    </w:p>
    <w:p>
      <w:pPr>
        <w:spacing w:line="360" w:lineRule="auto"/>
        <w:ind w:firstLine="480" w:firstLineChars="200"/>
        <w:rPr>
          <w:rFonts w:ascii="Times New Roman" w:hAnsi="Times New Roman"/>
          <w:color w:val="auto"/>
          <w:szCs w:val="21"/>
        </w:rPr>
      </w:pPr>
      <w:r>
        <w:rPr>
          <w:rFonts w:ascii="Times New Roman" w:hAnsi="Times New Roman"/>
          <w:color w:val="auto"/>
          <w:kern w:val="0"/>
          <w:sz w:val="24"/>
          <w:szCs w:val="21"/>
        </w:rPr>
        <w:t>采用线路调查与样地调查的方式进行，即在调查范围内沿道路和工程施工的主要影响区域选择具有代表性的线路进行调查，沿途记载植物种类、观察生境、目测多度等；对集中分布的植物群落进行样地调查。植被调查取样的目的是通过样地的研究准确地推测评价区植被的总体，所选取的样地具有代表性，能通过尽可能少的抽样获得较为准确的有关总体的特征。</w:t>
      </w:r>
      <w:r>
        <w:rPr>
          <w:rFonts w:ascii="Times New Roman" w:hAnsi="Times New Roman"/>
          <w:color w:val="auto"/>
          <w:sz w:val="24"/>
        </w:rPr>
        <w:t>本次评价共设置样方2个，竹林样方调查面积为100m</w:t>
      </w:r>
      <w:r>
        <w:rPr>
          <w:rFonts w:ascii="Times New Roman" w:hAnsi="Times New Roman"/>
          <w:color w:val="auto"/>
          <w:sz w:val="24"/>
          <w:vertAlign w:val="superscript"/>
        </w:rPr>
        <w:t>2</w:t>
      </w:r>
      <w:r>
        <w:rPr>
          <w:rFonts w:ascii="Times New Roman" w:hAnsi="Times New Roman"/>
          <w:color w:val="auto"/>
          <w:sz w:val="24"/>
        </w:rPr>
        <w:t>（10m×10m），草本样方调查面积为1m</w:t>
      </w:r>
      <w:r>
        <w:rPr>
          <w:rFonts w:ascii="Times New Roman" w:hAnsi="Times New Roman"/>
          <w:color w:val="auto"/>
          <w:sz w:val="24"/>
          <w:vertAlign w:val="superscript"/>
        </w:rPr>
        <w:t>2</w:t>
      </w:r>
      <w:r>
        <w:rPr>
          <w:rFonts w:ascii="Times New Roman" w:hAnsi="Times New Roman"/>
          <w:color w:val="auto"/>
          <w:sz w:val="24"/>
        </w:rPr>
        <w:t>（1m×1m），记录样方内的所有植物种类，并利用GPS确定样方位置。</w:t>
      </w:r>
    </w:p>
    <w:bookmarkEnd w:id="188"/>
    <w:bookmarkEnd w:id="189"/>
    <w:p>
      <w:pPr>
        <w:adjustRightInd w:val="0"/>
        <w:snapToGrid w:val="0"/>
        <w:spacing w:line="360" w:lineRule="auto"/>
        <w:ind w:firstLine="482"/>
        <w:rPr>
          <w:rFonts w:ascii="Times New Roman" w:hAnsi="Times New Roman"/>
          <w:color w:val="auto"/>
          <w:sz w:val="24"/>
        </w:rPr>
      </w:pPr>
      <w:bookmarkStart w:id="199" w:name="_Toc517283002"/>
      <w:bookmarkStart w:id="200" w:name="_Toc523688162"/>
      <w:bookmarkStart w:id="201" w:name="_Toc2080831"/>
      <w:r>
        <w:rPr>
          <w:rFonts w:ascii="Times New Roman" w:hAnsi="Times New Roman"/>
          <w:color w:val="auto"/>
          <w:sz w:val="24"/>
        </w:rPr>
        <w:t>调查样方情况见下表。</w:t>
      </w:r>
    </w:p>
    <w:p>
      <w:pPr>
        <w:pStyle w:val="14"/>
        <w:spacing w:line="240" w:lineRule="auto"/>
        <w:rPr>
          <w:rFonts w:hint="eastAsia" w:ascii="宋体" w:hAnsi="宋体" w:eastAsia="宋体" w:cs="宋体"/>
          <w:color w:val="auto"/>
          <w:szCs w:val="21"/>
        </w:rPr>
      </w:pPr>
      <w:r>
        <w:rPr>
          <w:rFonts w:hint="eastAsia" w:ascii="宋体" w:hAnsi="宋体" w:eastAsia="宋体" w:cs="宋体"/>
          <w:color w:val="auto"/>
        </w:rPr>
        <w:t>表6-</w:t>
      </w:r>
      <w:r>
        <w:rPr>
          <w:rFonts w:hint="eastAsia" w:ascii="宋体" w:hAnsi="宋体" w:eastAsia="宋体" w:cs="宋体"/>
          <w:color w:val="auto"/>
        </w:rPr>
        <w:fldChar w:fldCharType="begin"/>
      </w:r>
      <w:r>
        <w:rPr>
          <w:rFonts w:hint="eastAsia" w:ascii="宋体" w:hAnsi="宋体" w:eastAsia="宋体" w:cs="宋体"/>
          <w:color w:val="auto"/>
        </w:rPr>
        <w:instrText xml:space="preserve"> SEQ 表4- \* ARABIC </w:instrText>
      </w:r>
      <w:r>
        <w:rPr>
          <w:rFonts w:hint="eastAsia" w:ascii="宋体" w:hAnsi="宋体" w:eastAsia="宋体" w:cs="宋体"/>
          <w:color w:val="auto"/>
        </w:rPr>
        <w:fldChar w:fldCharType="separate"/>
      </w:r>
      <w:r>
        <w:rPr>
          <w:rFonts w:hint="eastAsia" w:ascii="宋体" w:hAnsi="宋体" w:eastAsia="宋体" w:cs="宋体"/>
          <w:color w:val="auto"/>
        </w:rPr>
        <w:t>3</w:t>
      </w:r>
      <w:r>
        <w:rPr>
          <w:rFonts w:hint="eastAsia" w:ascii="宋体" w:hAnsi="宋体" w:eastAsia="宋体" w:cs="宋体"/>
          <w:color w:val="auto"/>
        </w:rPr>
        <w:fldChar w:fldCharType="end"/>
      </w:r>
      <w:r>
        <w:rPr>
          <w:rFonts w:hint="eastAsia" w:ascii="宋体" w:hAnsi="宋体" w:eastAsia="宋体" w:cs="宋体"/>
          <w:color w:val="auto"/>
        </w:rPr>
        <w:t xml:space="preserve">  </w:t>
      </w:r>
      <w:r>
        <w:rPr>
          <w:rFonts w:hint="eastAsia" w:ascii="宋体" w:hAnsi="宋体" w:eastAsia="宋体" w:cs="宋体"/>
          <w:color w:val="auto"/>
          <w:szCs w:val="21"/>
        </w:rPr>
        <w:t>调查样方表</w:t>
      </w:r>
    </w:p>
    <w:tbl>
      <w:tblPr>
        <w:tblStyle w:val="39"/>
        <w:tblW w:w="5000"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610"/>
        <w:gridCol w:w="1593"/>
        <w:gridCol w:w="1736"/>
        <w:gridCol w:w="1573"/>
        <w:gridCol w:w="944"/>
        <w:gridCol w:w="1100"/>
        <w:gridCol w:w="1731"/>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328"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序号</w:t>
            </w:r>
          </w:p>
        </w:tc>
        <w:tc>
          <w:tcPr>
            <w:tcW w:w="857"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位置</w:t>
            </w:r>
          </w:p>
        </w:tc>
        <w:tc>
          <w:tcPr>
            <w:tcW w:w="934"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纬度</w:t>
            </w:r>
          </w:p>
        </w:tc>
        <w:tc>
          <w:tcPr>
            <w:tcW w:w="846"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经度</w:t>
            </w:r>
          </w:p>
        </w:tc>
        <w:tc>
          <w:tcPr>
            <w:tcW w:w="508"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海拔</w:t>
            </w:r>
          </w:p>
        </w:tc>
        <w:tc>
          <w:tcPr>
            <w:tcW w:w="592"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样地面积</w:t>
            </w:r>
          </w:p>
        </w:tc>
        <w:tc>
          <w:tcPr>
            <w:tcW w:w="931" w:type="pct"/>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
                <w:color w:val="auto"/>
                <w:spacing w:val="2"/>
                <w:sz w:val="18"/>
                <w:szCs w:val="18"/>
              </w:rPr>
              <w:t>植被类型</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328" w:type="pct"/>
            <w:tcBorders>
              <w:tl2br w:val="nil"/>
              <w:tr2bl w:val="nil"/>
            </w:tcBorders>
            <w:vAlign w:val="center"/>
          </w:tcPr>
          <w:p>
            <w:pPr>
              <w:snapToGrid w:val="0"/>
              <w:jc w:val="center"/>
              <w:rPr>
                <w:rFonts w:ascii="Times New Roman" w:hAnsi="Times New Roman"/>
                <w:color w:val="auto"/>
                <w:spacing w:val="2"/>
                <w:sz w:val="18"/>
                <w:szCs w:val="18"/>
              </w:rPr>
            </w:pPr>
            <w:r>
              <w:rPr>
                <w:rFonts w:ascii="Times New Roman" w:hAnsi="Times New Roman"/>
                <w:color w:val="auto"/>
                <w:spacing w:val="2"/>
                <w:sz w:val="18"/>
                <w:szCs w:val="18"/>
              </w:rPr>
              <w:t>1#</w:t>
            </w:r>
          </w:p>
        </w:tc>
        <w:tc>
          <w:tcPr>
            <w:tcW w:w="1593" w:type="dxa"/>
            <w:tcBorders>
              <w:tl2br w:val="nil"/>
              <w:tr2bl w:val="nil"/>
            </w:tcBorders>
            <w:vAlign w:val="center"/>
          </w:tcPr>
          <w:p>
            <w:pPr>
              <w:snapToGrid w:val="0"/>
              <w:jc w:val="center"/>
              <w:rPr>
                <w:rFonts w:ascii="Times New Roman" w:hAnsi="Times New Roman"/>
                <w:bCs/>
                <w:color w:val="auto"/>
                <w:sz w:val="18"/>
                <w:szCs w:val="18"/>
              </w:rPr>
            </w:pPr>
            <w:r>
              <w:rPr>
                <w:rFonts w:ascii="Times New Roman" w:hAnsi="Times New Roman"/>
                <w:bCs/>
                <w:color w:val="auto"/>
                <w:sz w:val="18"/>
                <w:szCs w:val="18"/>
              </w:rPr>
              <w:t>左岸河堤</w:t>
            </w:r>
          </w:p>
        </w:tc>
        <w:tc>
          <w:tcPr>
            <w:tcW w:w="1736" w:type="dxa"/>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Cs/>
                <w:color w:val="auto"/>
                <w:sz w:val="18"/>
                <w:szCs w:val="18"/>
              </w:rPr>
              <w:t>E</w:t>
            </w:r>
            <w:r>
              <w:rPr>
                <w:rFonts w:ascii="Times New Roman" w:hAnsi="Times New Roman"/>
                <w:color w:val="auto"/>
                <w:sz w:val="18"/>
                <w:szCs w:val="18"/>
              </w:rPr>
              <w:t>105.477859059</w:t>
            </w:r>
            <w:r>
              <w:rPr>
                <w:rFonts w:ascii="Times New Roman" w:hAnsi="Times New Roman"/>
                <w:bCs/>
                <w:color w:val="auto"/>
                <w:sz w:val="18"/>
                <w:szCs w:val="18"/>
              </w:rPr>
              <w:t>°</w:t>
            </w:r>
          </w:p>
        </w:tc>
        <w:tc>
          <w:tcPr>
            <w:tcW w:w="1573" w:type="dxa"/>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bCs/>
                <w:color w:val="auto"/>
                <w:sz w:val="18"/>
                <w:szCs w:val="18"/>
              </w:rPr>
              <w:t>N</w:t>
            </w:r>
            <w:r>
              <w:rPr>
                <w:rFonts w:ascii="Times New Roman" w:hAnsi="Times New Roman"/>
                <w:color w:val="auto"/>
                <w:sz w:val="18"/>
                <w:szCs w:val="18"/>
              </w:rPr>
              <w:t>30.342561242</w:t>
            </w:r>
            <w:r>
              <w:rPr>
                <w:rFonts w:ascii="Times New Roman" w:hAnsi="Times New Roman"/>
                <w:bCs/>
                <w:color w:val="auto"/>
                <w:sz w:val="18"/>
                <w:szCs w:val="18"/>
              </w:rPr>
              <w:t>°</w:t>
            </w:r>
          </w:p>
        </w:tc>
        <w:tc>
          <w:tcPr>
            <w:tcW w:w="944" w:type="dxa"/>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color w:val="auto"/>
                <w:sz w:val="18"/>
                <w:szCs w:val="18"/>
              </w:rPr>
              <w:t>273.88m</w:t>
            </w:r>
          </w:p>
        </w:tc>
        <w:tc>
          <w:tcPr>
            <w:tcW w:w="1100" w:type="dxa"/>
            <w:tcBorders>
              <w:tl2br w:val="nil"/>
              <w:tr2bl w:val="nil"/>
            </w:tcBorders>
            <w:vAlign w:val="center"/>
          </w:tcPr>
          <w:p>
            <w:pPr>
              <w:snapToGrid w:val="0"/>
              <w:jc w:val="center"/>
              <w:rPr>
                <w:rFonts w:ascii="Times New Roman" w:hAnsi="Times New Roman"/>
                <w:b/>
                <w:color w:val="auto"/>
                <w:spacing w:val="2"/>
                <w:sz w:val="18"/>
                <w:szCs w:val="18"/>
              </w:rPr>
            </w:pPr>
            <w:r>
              <w:rPr>
                <w:rFonts w:ascii="Times New Roman" w:hAnsi="Times New Roman"/>
                <w:color w:val="auto"/>
                <w:sz w:val="18"/>
                <w:szCs w:val="18"/>
              </w:rPr>
              <w:t>10m×10m</w:t>
            </w:r>
          </w:p>
        </w:tc>
        <w:tc>
          <w:tcPr>
            <w:tcW w:w="1731" w:type="dxa"/>
            <w:tcBorders>
              <w:tl2br w:val="nil"/>
              <w:tr2bl w:val="nil"/>
            </w:tcBorders>
            <w:vAlign w:val="center"/>
          </w:tcPr>
          <w:p>
            <w:pPr>
              <w:snapToGrid w:val="0"/>
              <w:jc w:val="center"/>
              <w:rPr>
                <w:rFonts w:ascii="Times New Roman" w:hAnsi="Times New Roman"/>
                <w:color w:val="auto"/>
                <w:spacing w:val="2"/>
                <w:sz w:val="18"/>
                <w:szCs w:val="18"/>
              </w:rPr>
            </w:pPr>
            <w:r>
              <w:rPr>
                <w:rFonts w:ascii="Times New Roman" w:hAnsi="Times New Roman"/>
                <w:color w:val="auto"/>
                <w:spacing w:val="2"/>
                <w:sz w:val="18"/>
                <w:szCs w:val="18"/>
              </w:rPr>
              <w:t>慈竹林</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328" w:type="pct"/>
            <w:tcBorders>
              <w:tl2br w:val="nil"/>
              <w:tr2bl w:val="nil"/>
            </w:tcBorders>
            <w:vAlign w:val="center"/>
          </w:tcPr>
          <w:p>
            <w:pPr>
              <w:snapToGrid w:val="0"/>
              <w:jc w:val="center"/>
              <w:rPr>
                <w:rFonts w:ascii="Times New Roman" w:hAnsi="Times New Roman"/>
                <w:color w:val="auto"/>
                <w:spacing w:val="2"/>
                <w:sz w:val="18"/>
                <w:szCs w:val="18"/>
              </w:rPr>
            </w:pPr>
            <w:r>
              <w:rPr>
                <w:rFonts w:ascii="Times New Roman" w:hAnsi="Times New Roman"/>
                <w:color w:val="auto"/>
                <w:spacing w:val="2"/>
                <w:sz w:val="18"/>
                <w:szCs w:val="18"/>
              </w:rPr>
              <w:t>2#</w:t>
            </w:r>
          </w:p>
        </w:tc>
        <w:tc>
          <w:tcPr>
            <w:tcW w:w="1593" w:type="dxa"/>
            <w:tcBorders>
              <w:tl2br w:val="nil"/>
              <w:tr2bl w:val="nil"/>
            </w:tcBorders>
            <w:vAlign w:val="center"/>
          </w:tcPr>
          <w:p>
            <w:pPr>
              <w:snapToGrid w:val="0"/>
              <w:jc w:val="center"/>
              <w:rPr>
                <w:rFonts w:ascii="Times New Roman" w:hAnsi="Times New Roman"/>
                <w:bCs/>
                <w:color w:val="auto"/>
                <w:sz w:val="18"/>
                <w:szCs w:val="18"/>
              </w:rPr>
            </w:pPr>
            <w:r>
              <w:rPr>
                <w:rFonts w:ascii="Times New Roman" w:hAnsi="Times New Roman"/>
                <w:bCs/>
                <w:color w:val="auto"/>
                <w:sz w:val="18"/>
                <w:szCs w:val="18"/>
              </w:rPr>
              <w:t>右岸河堤</w:t>
            </w:r>
          </w:p>
        </w:tc>
        <w:tc>
          <w:tcPr>
            <w:tcW w:w="1736" w:type="dxa"/>
            <w:tcBorders>
              <w:tl2br w:val="nil"/>
              <w:tr2bl w:val="nil"/>
            </w:tcBorders>
            <w:vAlign w:val="center"/>
          </w:tcPr>
          <w:p>
            <w:pPr>
              <w:snapToGrid w:val="0"/>
              <w:jc w:val="center"/>
              <w:rPr>
                <w:rFonts w:ascii="Times New Roman" w:hAnsi="Times New Roman"/>
                <w:bCs/>
                <w:color w:val="auto"/>
                <w:sz w:val="18"/>
                <w:szCs w:val="18"/>
              </w:rPr>
            </w:pPr>
            <w:r>
              <w:rPr>
                <w:rFonts w:ascii="Times New Roman" w:hAnsi="Times New Roman"/>
                <w:bCs/>
                <w:color w:val="auto"/>
                <w:sz w:val="18"/>
                <w:szCs w:val="18"/>
              </w:rPr>
              <w:t>E</w:t>
            </w:r>
            <w:r>
              <w:rPr>
                <w:rFonts w:ascii="Times New Roman" w:hAnsi="Times New Roman"/>
                <w:color w:val="auto"/>
                <w:sz w:val="18"/>
                <w:szCs w:val="18"/>
              </w:rPr>
              <w:t>105.476555758</w:t>
            </w:r>
            <w:r>
              <w:rPr>
                <w:rFonts w:ascii="Times New Roman" w:hAnsi="Times New Roman"/>
                <w:bCs/>
                <w:color w:val="auto"/>
                <w:sz w:val="18"/>
                <w:szCs w:val="18"/>
              </w:rPr>
              <w:t>°</w:t>
            </w:r>
          </w:p>
        </w:tc>
        <w:tc>
          <w:tcPr>
            <w:tcW w:w="1573" w:type="dxa"/>
            <w:tcBorders>
              <w:tl2br w:val="nil"/>
              <w:tr2bl w:val="nil"/>
            </w:tcBorders>
            <w:vAlign w:val="center"/>
          </w:tcPr>
          <w:p>
            <w:pPr>
              <w:snapToGrid w:val="0"/>
              <w:jc w:val="center"/>
              <w:rPr>
                <w:rFonts w:ascii="Times New Roman" w:hAnsi="Times New Roman"/>
                <w:bCs/>
                <w:color w:val="auto"/>
                <w:sz w:val="18"/>
                <w:szCs w:val="18"/>
              </w:rPr>
            </w:pPr>
            <w:r>
              <w:rPr>
                <w:rFonts w:ascii="Times New Roman" w:hAnsi="Times New Roman"/>
                <w:bCs/>
                <w:color w:val="auto"/>
                <w:sz w:val="18"/>
                <w:szCs w:val="18"/>
              </w:rPr>
              <w:t>N</w:t>
            </w:r>
            <w:r>
              <w:rPr>
                <w:rFonts w:ascii="Times New Roman" w:hAnsi="Times New Roman"/>
                <w:color w:val="auto"/>
                <w:sz w:val="18"/>
                <w:szCs w:val="18"/>
              </w:rPr>
              <w:t>30.344125785</w:t>
            </w:r>
            <w:r>
              <w:rPr>
                <w:rFonts w:ascii="Times New Roman" w:hAnsi="Times New Roman"/>
                <w:bCs/>
                <w:color w:val="auto"/>
                <w:sz w:val="18"/>
                <w:szCs w:val="18"/>
              </w:rPr>
              <w:t>°</w:t>
            </w:r>
          </w:p>
        </w:tc>
        <w:tc>
          <w:tcPr>
            <w:tcW w:w="944" w:type="dxa"/>
            <w:tcBorders>
              <w:tl2br w:val="nil"/>
              <w:tr2bl w:val="nil"/>
            </w:tcBorders>
            <w:vAlign w:val="center"/>
          </w:tcPr>
          <w:p>
            <w:pPr>
              <w:snapToGrid w:val="0"/>
              <w:jc w:val="center"/>
              <w:rPr>
                <w:rFonts w:ascii="Times New Roman" w:hAnsi="Times New Roman"/>
                <w:bCs/>
                <w:color w:val="auto"/>
                <w:sz w:val="18"/>
                <w:szCs w:val="18"/>
              </w:rPr>
            </w:pPr>
            <w:r>
              <w:rPr>
                <w:rFonts w:ascii="Times New Roman" w:hAnsi="Times New Roman"/>
                <w:color w:val="auto"/>
                <w:kern w:val="0"/>
                <w:sz w:val="18"/>
                <w:szCs w:val="18"/>
              </w:rPr>
              <w:t>272.92m</w:t>
            </w:r>
          </w:p>
        </w:tc>
        <w:tc>
          <w:tcPr>
            <w:tcW w:w="1100" w:type="dxa"/>
            <w:tcBorders>
              <w:tl2br w:val="nil"/>
              <w:tr2bl w:val="nil"/>
            </w:tcBorders>
            <w:vAlign w:val="center"/>
          </w:tcPr>
          <w:p>
            <w:pPr>
              <w:snapToGrid w:val="0"/>
              <w:jc w:val="center"/>
              <w:rPr>
                <w:rFonts w:ascii="Times New Roman" w:hAnsi="Times New Roman"/>
                <w:color w:val="auto"/>
                <w:sz w:val="18"/>
                <w:szCs w:val="18"/>
              </w:rPr>
            </w:pPr>
            <w:r>
              <w:rPr>
                <w:rFonts w:ascii="Times New Roman" w:hAnsi="Times New Roman"/>
                <w:color w:val="auto"/>
                <w:sz w:val="18"/>
                <w:szCs w:val="18"/>
              </w:rPr>
              <w:t>1m×m</w:t>
            </w:r>
          </w:p>
        </w:tc>
        <w:tc>
          <w:tcPr>
            <w:tcW w:w="1731" w:type="dxa"/>
            <w:tcBorders>
              <w:tl2br w:val="nil"/>
              <w:tr2bl w:val="nil"/>
            </w:tcBorders>
            <w:vAlign w:val="center"/>
          </w:tcPr>
          <w:p>
            <w:pPr>
              <w:snapToGrid w:val="0"/>
              <w:jc w:val="center"/>
              <w:rPr>
                <w:rFonts w:ascii="Times New Roman" w:hAnsi="Times New Roman"/>
                <w:color w:val="auto"/>
                <w:spacing w:val="2"/>
                <w:sz w:val="18"/>
                <w:szCs w:val="18"/>
              </w:rPr>
            </w:pPr>
            <w:r>
              <w:rPr>
                <w:rFonts w:ascii="Times New Roman" w:hAnsi="Times New Roman"/>
                <w:color w:val="auto"/>
                <w:spacing w:val="2"/>
                <w:sz w:val="18"/>
                <w:szCs w:val="18"/>
              </w:rPr>
              <w:t>芦竹草丛</w:t>
            </w:r>
          </w:p>
        </w:tc>
      </w:tr>
    </w:tbl>
    <w:p>
      <w:pPr>
        <w:pStyle w:val="13"/>
        <w:spacing w:line="360" w:lineRule="auto"/>
        <w:rPr>
          <w:rFonts w:ascii="Times New Roman" w:hAnsi="Times New Roman"/>
          <w:color w:val="auto"/>
        </w:rPr>
      </w:pPr>
      <w:r>
        <w:rPr>
          <w:rFonts w:ascii="Times New Roman" w:hAnsi="Times New Roman"/>
          <w:color w:val="auto"/>
          <w:sz w:val="24"/>
        </w:rPr>
        <w:t>各样方调查情况见如下表。</w:t>
      </w:r>
    </w:p>
    <w:p>
      <w:pPr>
        <w:pStyle w:val="14"/>
        <w:spacing w:line="240" w:lineRule="auto"/>
        <w:rPr>
          <w:bCs/>
          <w:color w:val="auto"/>
        </w:rPr>
      </w:pPr>
      <w:r>
        <w:rPr>
          <w:color w:val="auto"/>
        </w:rPr>
        <w:t xml:space="preserve">表6- </w:t>
      </w:r>
      <w:r>
        <w:rPr>
          <w:color w:val="auto"/>
        </w:rPr>
        <w:fldChar w:fldCharType="begin"/>
      </w:r>
      <w:r>
        <w:rPr>
          <w:color w:val="auto"/>
        </w:rPr>
        <w:instrText xml:space="preserve"> SEQ 表4- \* ARABIC </w:instrText>
      </w:r>
      <w:r>
        <w:rPr>
          <w:color w:val="auto"/>
        </w:rPr>
        <w:fldChar w:fldCharType="separate"/>
      </w:r>
      <w:r>
        <w:rPr>
          <w:color w:val="auto"/>
        </w:rPr>
        <w:t>4</w:t>
      </w:r>
      <w:r>
        <w:rPr>
          <w:color w:val="auto"/>
        </w:rPr>
        <w:fldChar w:fldCharType="end"/>
      </w:r>
      <w:r>
        <w:rPr>
          <w:color w:val="auto"/>
        </w:rPr>
        <w:t xml:space="preserve">  </w:t>
      </w:r>
      <w:r>
        <w:rPr>
          <w:bCs/>
          <w:color w:val="auto"/>
        </w:rPr>
        <w:t>1#样方调查表</w:t>
      </w:r>
    </w:p>
    <w:tbl>
      <w:tblPr>
        <w:tblStyle w:val="39"/>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5"/>
        <w:gridCol w:w="1622"/>
        <w:gridCol w:w="2265"/>
        <w:gridCol w:w="908"/>
        <w:gridCol w:w="1098"/>
        <w:gridCol w:w="1029"/>
        <w:gridCol w:w="1035"/>
        <w:gridCol w:w="87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67" w:hRule="atLeast"/>
          <w:jc w:val="center"/>
        </w:trPr>
        <w:tc>
          <w:tcPr>
            <w:tcW w:w="2826" w:type="pct"/>
            <w:gridSpan w:val="4"/>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植被类型：慈竹林</w:t>
            </w:r>
          </w:p>
        </w:tc>
        <w:tc>
          <w:tcPr>
            <w:tcW w:w="1145" w:type="pct"/>
            <w:gridSpan w:val="2"/>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样方号：1#</w:t>
            </w:r>
          </w:p>
        </w:tc>
        <w:tc>
          <w:tcPr>
            <w:tcW w:w="1028" w:type="pct"/>
            <w:gridSpan w:val="2"/>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样方面积：10m*10m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种号</w:t>
            </w:r>
          </w:p>
        </w:tc>
        <w:tc>
          <w:tcPr>
            <w:tcW w:w="873"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中文名</w:t>
            </w:r>
          </w:p>
        </w:tc>
        <w:tc>
          <w:tcPr>
            <w:tcW w:w="1219"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拉丁名</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物候期</w:t>
            </w:r>
          </w:p>
        </w:tc>
        <w:tc>
          <w:tcPr>
            <w:tcW w:w="59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丛数</w:t>
            </w:r>
          </w:p>
        </w:tc>
        <w:tc>
          <w:tcPr>
            <w:tcW w:w="554"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平均高度/m</w:t>
            </w:r>
          </w:p>
        </w:tc>
        <w:tc>
          <w:tcPr>
            <w:tcW w:w="557"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盖度/%</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生活型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90"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慈竹（100以上）</w:t>
            </w:r>
          </w:p>
        </w:tc>
        <w:tc>
          <w:tcPr>
            <w:tcW w:w="1219" w:type="pct"/>
            <w:tcBorders>
              <w:tl2br w:val="nil"/>
              <w:tr2bl w:val="nil"/>
            </w:tcBorders>
            <w:vAlign w:val="center"/>
          </w:tcPr>
          <w:p>
            <w:pPr>
              <w:jc w:val="center"/>
              <w:rPr>
                <w:rFonts w:ascii="Times New Roman" w:hAnsi="Times New Roman"/>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8.5</w:t>
            </w:r>
          </w:p>
        </w:tc>
        <w:tc>
          <w:tcPr>
            <w:tcW w:w="557"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45</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慈竹（90-100）</w:t>
            </w:r>
          </w:p>
        </w:tc>
        <w:tc>
          <w:tcPr>
            <w:tcW w:w="1219" w:type="pct"/>
            <w:tcBorders>
              <w:tl2br w:val="nil"/>
              <w:tr2bl w:val="nil"/>
            </w:tcBorders>
            <w:vAlign w:val="center"/>
          </w:tcPr>
          <w:p>
            <w:pPr>
              <w:jc w:val="center"/>
              <w:rPr>
                <w:rFonts w:ascii="Times New Roman" w:hAnsi="Times New Roman"/>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4</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8</w:t>
            </w:r>
          </w:p>
        </w:tc>
        <w:tc>
          <w:tcPr>
            <w:tcW w:w="557"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慈竹（80-90）</w:t>
            </w:r>
          </w:p>
        </w:tc>
        <w:tc>
          <w:tcPr>
            <w:tcW w:w="1219"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6</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7.8</w:t>
            </w:r>
          </w:p>
        </w:tc>
        <w:tc>
          <w:tcPr>
            <w:tcW w:w="557"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2</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慈竹（70-80）</w:t>
            </w:r>
          </w:p>
        </w:tc>
        <w:tc>
          <w:tcPr>
            <w:tcW w:w="1219"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7.2</w:t>
            </w:r>
          </w:p>
        </w:tc>
        <w:tc>
          <w:tcPr>
            <w:tcW w:w="557"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1</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5</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慈竹（60-70）</w:t>
            </w:r>
          </w:p>
        </w:tc>
        <w:tc>
          <w:tcPr>
            <w:tcW w:w="1219" w:type="pct"/>
            <w:tcBorders>
              <w:tl2br w:val="nil"/>
              <w:tr2bl w:val="nil"/>
            </w:tcBorders>
            <w:vAlign w:val="center"/>
          </w:tcPr>
          <w:p>
            <w:pPr>
              <w:jc w:val="center"/>
              <w:textAlignment w:val="bottom"/>
              <w:rPr>
                <w:rFonts w:ascii="Times New Roman" w:hAnsi="Times New Roman"/>
                <w:i/>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3</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7</w:t>
            </w:r>
          </w:p>
        </w:tc>
        <w:tc>
          <w:tcPr>
            <w:tcW w:w="557"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2</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6</w:t>
            </w:r>
          </w:p>
        </w:tc>
        <w:tc>
          <w:tcPr>
            <w:tcW w:w="873" w:type="pct"/>
            <w:tcBorders>
              <w:tl2br w:val="nil"/>
              <w:tr2bl w:val="nil"/>
            </w:tcBorders>
            <w:vAlign w:val="center"/>
          </w:tcPr>
          <w:p>
            <w:pPr>
              <w:jc w:val="center"/>
              <w:textAlignment w:val="bottom"/>
              <w:rPr>
                <w:rFonts w:ascii="Times New Roman" w:hAnsi="Times New Roman"/>
                <w:bCs/>
                <w:color w:val="auto"/>
                <w:sz w:val="18"/>
                <w:szCs w:val="18"/>
              </w:rPr>
            </w:pPr>
            <w:r>
              <w:rPr>
                <w:rFonts w:ascii="Times New Roman" w:hAnsi="Times New Roman"/>
                <w:bCs/>
                <w:color w:val="auto"/>
                <w:sz w:val="18"/>
                <w:szCs w:val="18"/>
              </w:rPr>
              <w:t>慈竹（60以下）</w:t>
            </w:r>
          </w:p>
        </w:tc>
        <w:tc>
          <w:tcPr>
            <w:tcW w:w="1219" w:type="pct"/>
            <w:tcBorders>
              <w:tl2br w:val="nil"/>
              <w:tr2bl w:val="nil"/>
            </w:tcBorders>
            <w:vAlign w:val="center"/>
          </w:tcPr>
          <w:p>
            <w:pPr>
              <w:jc w:val="center"/>
              <w:textAlignment w:val="bottom"/>
              <w:rPr>
                <w:rFonts w:ascii="Times New Roman" w:hAnsi="Times New Roman"/>
                <w:i/>
                <w:iCs/>
                <w:color w:val="auto"/>
                <w:sz w:val="18"/>
                <w:szCs w:val="18"/>
              </w:rPr>
            </w:pPr>
            <w:r>
              <w:rPr>
                <w:rFonts w:ascii="Times New Roman" w:hAnsi="Times New Roman"/>
                <w:i/>
                <w:iCs/>
                <w:color w:val="auto"/>
                <w:kern w:val="0"/>
                <w:sz w:val="18"/>
                <w:szCs w:val="18"/>
              </w:rPr>
              <w:t>Sinocalamus affinis</w:t>
            </w:r>
          </w:p>
        </w:tc>
        <w:tc>
          <w:tcPr>
            <w:tcW w:w="488"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营养期</w:t>
            </w:r>
          </w:p>
        </w:tc>
        <w:tc>
          <w:tcPr>
            <w:tcW w:w="591"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2</w:t>
            </w:r>
          </w:p>
        </w:tc>
        <w:tc>
          <w:tcPr>
            <w:tcW w:w="554" w:type="pct"/>
            <w:tcBorders>
              <w:tl2br w:val="nil"/>
              <w:tr2bl w:val="nil"/>
            </w:tcBorders>
            <w:vAlign w:val="center"/>
          </w:tcPr>
          <w:p>
            <w:pPr>
              <w:spacing w:line="276" w:lineRule="auto"/>
              <w:ind w:right="-21" w:rightChars="-10"/>
              <w:jc w:val="center"/>
              <w:rPr>
                <w:rFonts w:ascii="Times New Roman" w:hAnsi="Times New Roman"/>
                <w:color w:val="auto"/>
                <w:kern w:val="0"/>
                <w:sz w:val="18"/>
                <w:szCs w:val="18"/>
              </w:rPr>
            </w:pPr>
            <w:r>
              <w:rPr>
                <w:rFonts w:ascii="Times New Roman" w:hAnsi="Times New Roman"/>
                <w:color w:val="auto"/>
                <w:kern w:val="0"/>
                <w:sz w:val="18"/>
                <w:szCs w:val="18"/>
              </w:rPr>
              <w:t>6.5</w:t>
            </w:r>
          </w:p>
        </w:tc>
        <w:tc>
          <w:tcPr>
            <w:tcW w:w="557" w:type="pct"/>
            <w:tcBorders>
              <w:tl2br w:val="nil"/>
              <w:tr2bl w:val="nil"/>
            </w:tcBorders>
            <w:vAlign w:val="center"/>
          </w:tcPr>
          <w:p>
            <w:pPr>
              <w:jc w:val="center"/>
              <w:textAlignment w:val="bottom"/>
              <w:rPr>
                <w:rFonts w:ascii="Times New Roman" w:hAnsi="Times New Roman"/>
                <w:color w:val="auto"/>
                <w:sz w:val="18"/>
                <w:szCs w:val="18"/>
              </w:rPr>
            </w:pPr>
            <w:r>
              <w:rPr>
                <w:rFonts w:ascii="Times New Roman" w:hAnsi="Times New Roman"/>
                <w:color w:val="auto"/>
                <w:sz w:val="18"/>
                <w:szCs w:val="18"/>
              </w:rPr>
              <w:t>5</w:t>
            </w:r>
          </w:p>
        </w:tc>
        <w:tc>
          <w:tcPr>
            <w:tcW w:w="471"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竹</w:t>
            </w:r>
          </w:p>
        </w:tc>
      </w:tr>
    </w:tbl>
    <w:p>
      <w:pPr>
        <w:pStyle w:val="14"/>
        <w:spacing w:line="240" w:lineRule="auto"/>
        <w:rPr>
          <w:bCs/>
          <w:color w:val="auto"/>
        </w:rPr>
      </w:pPr>
      <w:r>
        <w:rPr>
          <w:color w:val="auto"/>
        </w:rPr>
        <w:t xml:space="preserve">表6- </w:t>
      </w:r>
      <w:r>
        <w:rPr>
          <w:color w:val="auto"/>
        </w:rPr>
        <w:fldChar w:fldCharType="begin"/>
      </w:r>
      <w:r>
        <w:rPr>
          <w:color w:val="auto"/>
        </w:rPr>
        <w:instrText xml:space="preserve"> SEQ 表4- \* ARABIC </w:instrText>
      </w:r>
      <w:r>
        <w:rPr>
          <w:color w:val="auto"/>
        </w:rPr>
        <w:fldChar w:fldCharType="separate"/>
      </w:r>
      <w:r>
        <w:rPr>
          <w:color w:val="auto"/>
        </w:rPr>
        <w:t>5</w:t>
      </w:r>
      <w:r>
        <w:rPr>
          <w:color w:val="auto"/>
        </w:rPr>
        <w:fldChar w:fldCharType="end"/>
      </w:r>
      <w:r>
        <w:rPr>
          <w:bCs/>
          <w:color w:val="auto"/>
        </w:rPr>
        <w:t xml:space="preserve">  2# 样方调查表</w:t>
      </w:r>
    </w:p>
    <w:tbl>
      <w:tblPr>
        <w:tblStyle w:val="39"/>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5"/>
        <w:gridCol w:w="1416"/>
        <w:gridCol w:w="2220"/>
        <w:gridCol w:w="908"/>
        <w:gridCol w:w="1204"/>
        <w:gridCol w:w="994"/>
        <w:gridCol w:w="1219"/>
        <w:gridCol w:w="87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691" w:type="pct"/>
            <w:gridSpan w:val="4"/>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植被类型：芦竹草丛</w:t>
            </w:r>
          </w:p>
        </w:tc>
        <w:tc>
          <w:tcPr>
            <w:tcW w:w="1183" w:type="pct"/>
            <w:gridSpan w:val="2"/>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样方号：2#</w:t>
            </w:r>
          </w:p>
        </w:tc>
        <w:tc>
          <w:tcPr>
            <w:tcW w:w="1125" w:type="pct"/>
            <w:gridSpan w:val="2"/>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样方面积：1m*1m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种号</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中文名</w:t>
            </w:r>
          </w:p>
        </w:tc>
        <w:tc>
          <w:tcPr>
            <w:tcW w:w="119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拉丁名</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物候期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株（丛）数</w:t>
            </w:r>
          </w:p>
        </w:tc>
        <w:tc>
          <w:tcPr>
            <w:tcW w:w="53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平均高度/cm</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盖度/%</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生活型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芦竹</w:t>
            </w:r>
          </w:p>
        </w:tc>
        <w:tc>
          <w:tcPr>
            <w:tcW w:w="1195" w:type="pct"/>
            <w:tcBorders>
              <w:tl2br w:val="nil"/>
              <w:tr2bl w:val="nil"/>
            </w:tcBorders>
            <w:vAlign w:val="center"/>
          </w:tcPr>
          <w:p>
            <w:pPr>
              <w:jc w:val="center"/>
              <w:rPr>
                <w:rFonts w:ascii="Times New Roman" w:hAnsi="Times New Roman"/>
                <w:color w:val="auto"/>
                <w:sz w:val="18"/>
                <w:szCs w:val="18"/>
              </w:rPr>
            </w:pPr>
            <w:r>
              <w:rPr>
                <w:rFonts w:ascii="Times New Roman" w:hAnsi="Times New Roman"/>
                <w:i/>
                <w:iCs/>
                <w:color w:val="auto"/>
                <w:kern w:val="0"/>
                <w:sz w:val="18"/>
                <w:szCs w:val="18"/>
              </w:rPr>
              <w:t>Arundo donax</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18</w:t>
            </w:r>
          </w:p>
        </w:tc>
        <w:tc>
          <w:tcPr>
            <w:tcW w:w="535" w:type="pct"/>
            <w:tcBorders>
              <w:tl2br w:val="nil"/>
              <w:tr2bl w:val="nil"/>
            </w:tcBorders>
            <w:vAlign w:val="center"/>
          </w:tcPr>
          <w:p>
            <w:pPr>
              <w:spacing w:line="276" w:lineRule="auto"/>
              <w:ind w:left="-393" w:right="-21" w:rightChars="-10"/>
              <w:jc w:val="center"/>
              <w:rPr>
                <w:rFonts w:ascii="Times New Roman" w:hAnsi="Times New Roman"/>
                <w:color w:val="auto"/>
                <w:sz w:val="18"/>
                <w:szCs w:val="18"/>
              </w:rPr>
            </w:pPr>
            <w:r>
              <w:rPr>
                <w:rFonts w:ascii="Times New Roman" w:hAnsi="Times New Roman"/>
                <w:color w:val="auto"/>
                <w:sz w:val="18"/>
                <w:szCs w:val="18"/>
              </w:rPr>
              <w:t>35</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49</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黄花蒿</w:t>
            </w:r>
          </w:p>
        </w:tc>
        <w:tc>
          <w:tcPr>
            <w:tcW w:w="1195" w:type="pct"/>
            <w:tcBorders>
              <w:tl2br w:val="nil"/>
              <w:tr2bl w:val="nil"/>
            </w:tcBorders>
            <w:vAlign w:val="center"/>
          </w:tcPr>
          <w:p>
            <w:pPr>
              <w:jc w:val="center"/>
              <w:rPr>
                <w:rFonts w:ascii="Times New Roman" w:hAnsi="Times New Roman"/>
                <w:i/>
                <w:color w:val="auto"/>
                <w:sz w:val="18"/>
                <w:szCs w:val="18"/>
              </w:rPr>
            </w:pPr>
            <w:r>
              <w:rPr>
                <w:rFonts w:ascii="Times New Roman" w:hAnsi="Times New Roman"/>
                <w:i/>
                <w:iCs/>
                <w:color w:val="auto"/>
                <w:kern w:val="0"/>
                <w:sz w:val="18"/>
                <w:szCs w:val="18"/>
              </w:rPr>
              <w:t>Artemisia annua</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2</w:t>
            </w:r>
          </w:p>
        </w:tc>
        <w:tc>
          <w:tcPr>
            <w:tcW w:w="535" w:type="pct"/>
            <w:tcBorders>
              <w:tl2br w:val="nil"/>
              <w:tr2bl w:val="nil"/>
            </w:tcBorders>
            <w:vAlign w:val="center"/>
          </w:tcPr>
          <w:p>
            <w:pPr>
              <w:spacing w:line="276" w:lineRule="auto"/>
              <w:ind w:left="-393" w:right="-21" w:rightChars="-10"/>
              <w:jc w:val="center"/>
              <w:rPr>
                <w:rFonts w:ascii="Times New Roman" w:hAnsi="Times New Roman"/>
                <w:color w:val="auto"/>
                <w:sz w:val="18"/>
                <w:szCs w:val="18"/>
              </w:rPr>
            </w:pPr>
            <w:r>
              <w:rPr>
                <w:rFonts w:ascii="Times New Roman" w:hAnsi="Times New Roman"/>
                <w:color w:val="auto"/>
                <w:sz w:val="18"/>
                <w:szCs w:val="18"/>
              </w:rPr>
              <w:t>46</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黄茅</w:t>
            </w:r>
          </w:p>
        </w:tc>
        <w:tc>
          <w:tcPr>
            <w:tcW w:w="1195" w:type="pct"/>
            <w:tcBorders>
              <w:tl2br w:val="nil"/>
              <w:tr2bl w:val="nil"/>
            </w:tcBorders>
            <w:vAlign w:val="center"/>
          </w:tcPr>
          <w:p>
            <w:pPr>
              <w:jc w:val="center"/>
              <w:rPr>
                <w:rFonts w:ascii="Times New Roman" w:hAnsi="Times New Roman"/>
                <w:color w:val="auto"/>
                <w:sz w:val="18"/>
                <w:szCs w:val="18"/>
              </w:rPr>
            </w:pPr>
            <w:r>
              <w:rPr>
                <w:rFonts w:ascii="Times New Roman" w:hAnsi="Times New Roman"/>
                <w:i/>
                <w:iCs/>
                <w:color w:val="auto"/>
                <w:kern w:val="0"/>
                <w:sz w:val="18"/>
                <w:szCs w:val="18"/>
              </w:rPr>
              <w:t>Heteropogon contortus</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p>
        </w:tc>
        <w:tc>
          <w:tcPr>
            <w:tcW w:w="535" w:type="pct"/>
            <w:tcBorders>
              <w:tl2br w:val="nil"/>
              <w:tr2bl w:val="nil"/>
            </w:tcBorders>
            <w:vAlign w:val="center"/>
          </w:tcPr>
          <w:p>
            <w:pPr>
              <w:spacing w:line="276" w:lineRule="auto"/>
              <w:ind w:left="-393" w:right="-21" w:rightChars="-10"/>
              <w:jc w:val="center"/>
              <w:rPr>
                <w:rFonts w:ascii="Times New Roman" w:hAnsi="Times New Roman"/>
                <w:color w:val="auto"/>
                <w:sz w:val="18"/>
                <w:szCs w:val="18"/>
              </w:rPr>
            </w:pPr>
            <w:r>
              <w:rPr>
                <w:rFonts w:ascii="Times New Roman" w:hAnsi="Times New Roman"/>
                <w:color w:val="auto"/>
                <w:sz w:val="18"/>
                <w:szCs w:val="18"/>
              </w:rPr>
              <w:t>51</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7</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4</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矛叶荩草</w:t>
            </w:r>
          </w:p>
        </w:tc>
        <w:tc>
          <w:tcPr>
            <w:tcW w:w="1195" w:type="pct"/>
            <w:tcBorders>
              <w:tl2br w:val="nil"/>
              <w:tr2bl w:val="nil"/>
            </w:tcBorders>
            <w:vAlign w:val="center"/>
          </w:tcPr>
          <w:p>
            <w:pPr>
              <w:jc w:val="center"/>
              <w:rPr>
                <w:rFonts w:ascii="Times New Roman" w:hAnsi="Times New Roman"/>
                <w:i/>
                <w:color w:val="auto"/>
                <w:sz w:val="18"/>
                <w:szCs w:val="18"/>
              </w:rPr>
            </w:pPr>
            <w:r>
              <w:rPr>
                <w:rFonts w:ascii="Times New Roman" w:hAnsi="Times New Roman"/>
                <w:i/>
                <w:iCs/>
                <w:color w:val="auto"/>
                <w:kern w:val="0"/>
                <w:sz w:val="18"/>
                <w:szCs w:val="18"/>
              </w:rPr>
              <w:t>Arthraxon lanceoltus</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黄叶期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w:t>
            </w:r>
          </w:p>
        </w:tc>
        <w:tc>
          <w:tcPr>
            <w:tcW w:w="535" w:type="pct"/>
            <w:tcBorders>
              <w:tl2br w:val="nil"/>
              <w:tr2bl w:val="nil"/>
            </w:tcBorders>
            <w:vAlign w:val="center"/>
          </w:tcPr>
          <w:p>
            <w:pPr>
              <w:spacing w:line="276" w:lineRule="auto"/>
              <w:ind w:left="-393" w:right="-21" w:rightChars="-10"/>
              <w:jc w:val="center"/>
              <w:rPr>
                <w:rFonts w:ascii="Times New Roman" w:hAnsi="Times New Roman"/>
                <w:color w:val="auto"/>
                <w:sz w:val="18"/>
                <w:szCs w:val="18"/>
              </w:rPr>
            </w:pPr>
            <w:r>
              <w:rPr>
                <w:rFonts w:ascii="Times New Roman" w:hAnsi="Times New Roman"/>
                <w:color w:val="auto"/>
                <w:sz w:val="18"/>
                <w:szCs w:val="18"/>
              </w:rPr>
              <w:t>40</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6</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5</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马唐</w:t>
            </w:r>
          </w:p>
        </w:tc>
        <w:tc>
          <w:tcPr>
            <w:tcW w:w="1195" w:type="pct"/>
            <w:tcBorders>
              <w:tl2br w:val="nil"/>
              <w:tr2bl w:val="nil"/>
            </w:tcBorders>
            <w:vAlign w:val="center"/>
          </w:tcPr>
          <w:p>
            <w:pPr>
              <w:jc w:val="center"/>
              <w:rPr>
                <w:rFonts w:ascii="Times New Roman" w:hAnsi="Times New Roman"/>
                <w:color w:val="auto"/>
                <w:sz w:val="18"/>
                <w:szCs w:val="18"/>
              </w:rPr>
            </w:pPr>
            <w:r>
              <w:rPr>
                <w:rFonts w:ascii="Times New Roman" w:hAnsi="Times New Roman"/>
                <w:i/>
                <w:iCs/>
                <w:color w:val="auto"/>
                <w:kern w:val="0"/>
                <w:sz w:val="18"/>
                <w:szCs w:val="18"/>
              </w:rPr>
              <w:t>Digitaria sanguinalis</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1</w:t>
            </w:r>
          </w:p>
        </w:tc>
        <w:tc>
          <w:tcPr>
            <w:tcW w:w="535" w:type="pct"/>
            <w:tcBorders>
              <w:tl2br w:val="nil"/>
              <w:tr2bl w:val="nil"/>
            </w:tcBorders>
            <w:vAlign w:val="center"/>
          </w:tcPr>
          <w:p>
            <w:pPr>
              <w:spacing w:line="276" w:lineRule="auto"/>
              <w:ind w:left="-393" w:right="-21" w:rightChars="-10"/>
              <w:jc w:val="center"/>
              <w:rPr>
                <w:rFonts w:ascii="Times New Roman" w:hAnsi="Times New Roman"/>
                <w:color w:val="auto"/>
                <w:sz w:val="18"/>
                <w:szCs w:val="18"/>
              </w:rPr>
            </w:pPr>
            <w:r>
              <w:rPr>
                <w:rFonts w:ascii="Times New Roman" w:hAnsi="Times New Roman"/>
                <w:color w:val="auto"/>
                <w:sz w:val="18"/>
                <w:szCs w:val="18"/>
              </w:rPr>
              <w:t>31</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4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6</w:t>
            </w:r>
          </w:p>
        </w:tc>
        <w:tc>
          <w:tcPr>
            <w:tcW w:w="762"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其他草本</w:t>
            </w:r>
          </w:p>
        </w:tc>
        <w:tc>
          <w:tcPr>
            <w:tcW w:w="1195" w:type="pct"/>
            <w:tcBorders>
              <w:tl2br w:val="nil"/>
              <w:tr2bl w:val="nil"/>
            </w:tcBorders>
            <w:vAlign w:val="center"/>
          </w:tcPr>
          <w:p>
            <w:pPr>
              <w:jc w:val="center"/>
              <w:rPr>
                <w:rFonts w:ascii="Times New Roman" w:hAnsi="Times New Roman"/>
                <w:i/>
                <w:iCs/>
                <w:color w:val="auto"/>
                <w:sz w:val="18"/>
                <w:szCs w:val="18"/>
              </w:rPr>
            </w:pPr>
            <w:r>
              <w:rPr>
                <w:rFonts w:ascii="Times New Roman" w:hAnsi="Times New Roman"/>
                <w:i/>
                <w:color w:val="auto"/>
                <w:sz w:val="18"/>
                <w:szCs w:val="18"/>
              </w:rPr>
              <w:t>/</w:t>
            </w:r>
          </w:p>
        </w:tc>
        <w:tc>
          <w:tcPr>
            <w:tcW w:w="48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营养期</w:t>
            </w:r>
          </w:p>
        </w:tc>
        <w:tc>
          <w:tcPr>
            <w:tcW w:w="64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w:t>
            </w:r>
          </w:p>
        </w:tc>
        <w:tc>
          <w:tcPr>
            <w:tcW w:w="535"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30</w:t>
            </w:r>
          </w:p>
        </w:tc>
        <w:tc>
          <w:tcPr>
            <w:tcW w:w="656"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5</w:t>
            </w:r>
          </w:p>
        </w:tc>
        <w:tc>
          <w:tcPr>
            <w:tcW w:w="468" w:type="pct"/>
            <w:tcBorders>
              <w:tl2br w:val="nil"/>
              <w:tr2bl w:val="nil"/>
            </w:tcBorders>
            <w:vAlign w:val="center"/>
          </w:tcPr>
          <w:p>
            <w:pPr>
              <w:jc w:val="center"/>
              <w:rPr>
                <w:rFonts w:ascii="Times New Roman" w:hAnsi="Times New Roman"/>
                <w:color w:val="auto"/>
                <w:sz w:val="18"/>
                <w:szCs w:val="18"/>
              </w:rPr>
            </w:pPr>
            <w:r>
              <w:rPr>
                <w:rFonts w:ascii="Times New Roman" w:hAnsi="Times New Roman"/>
                <w:color w:val="auto"/>
                <w:sz w:val="18"/>
                <w:szCs w:val="18"/>
              </w:rPr>
              <w:t>草本</w:t>
            </w:r>
          </w:p>
        </w:tc>
      </w:tr>
    </w:tbl>
    <w:p>
      <w:pPr>
        <w:rPr>
          <w:rFonts w:ascii="Times New Roman" w:hAnsi="Times New Roman"/>
          <w:color w:val="auto"/>
        </w:rPr>
      </w:pPr>
    </w:p>
    <w:bookmarkEnd w:id="199"/>
    <w:bookmarkEnd w:id="200"/>
    <w:bookmarkEnd w:id="201"/>
    <w:p>
      <w:pPr>
        <w:pStyle w:val="6"/>
        <w:rPr>
          <w:rFonts w:hint="eastAsia" w:ascii="宋体" w:hAnsi="宋体" w:eastAsia="宋体" w:cs="宋体"/>
          <w:color w:val="auto"/>
        </w:rPr>
      </w:pPr>
      <w:r>
        <w:rPr>
          <w:rFonts w:hint="eastAsia" w:ascii="宋体" w:hAnsi="宋体" w:eastAsia="宋体" w:cs="宋体"/>
          <w:color w:val="auto"/>
        </w:rPr>
        <w:t>植被群系分布及特征</w:t>
      </w:r>
    </w:p>
    <w:p>
      <w:pPr>
        <w:adjustRightInd w:val="0"/>
        <w:snapToGrid w:val="0"/>
        <w:spacing w:line="360" w:lineRule="auto"/>
        <w:ind w:firstLine="482" w:firstLineChars="200"/>
        <w:rPr>
          <w:rFonts w:hint="eastAsia" w:ascii="宋体" w:hAnsi="宋体" w:eastAsia="宋体" w:cs="宋体"/>
          <w:b/>
          <w:bCs/>
          <w:color w:val="auto"/>
          <w:sz w:val="24"/>
        </w:rPr>
      </w:pPr>
      <w:r>
        <w:rPr>
          <w:rFonts w:hint="eastAsia" w:ascii="宋体" w:hAnsi="宋体" w:eastAsia="宋体" w:cs="宋体"/>
          <w:b/>
          <w:bCs/>
          <w:color w:val="auto"/>
          <w:sz w:val="24"/>
        </w:rPr>
        <w:t>（1）植被分类原则及系统</w:t>
      </w:r>
    </w:p>
    <w:p>
      <w:pPr>
        <w:spacing w:line="360" w:lineRule="auto"/>
        <w:ind w:firstLine="480" w:firstLineChars="200"/>
        <w:rPr>
          <w:rFonts w:hint="eastAsia" w:ascii="宋体" w:hAnsi="宋体" w:eastAsia="宋体" w:cs="宋体"/>
          <w:color w:val="auto"/>
          <w:kern w:val="0"/>
          <w:sz w:val="24"/>
        </w:rPr>
      </w:pPr>
      <w:r>
        <w:rPr>
          <w:rFonts w:hint="eastAsia" w:ascii="宋体" w:hAnsi="宋体" w:eastAsia="宋体" w:cs="宋体"/>
          <w:color w:val="auto"/>
          <w:sz w:val="24"/>
        </w:rPr>
        <w:t>依据《中国植被》的分类原则、单位和方法，结合野外实地考察记录，并参考《四川植被》相关部分的描述，评价区属于“亚热带常绿阔叶林区—I川东盆地及西南山地常绿阔叶林地带—IA川东盆地偏湿性常绿阔叶林亚带—IA</w:t>
      </w:r>
      <w:r>
        <w:rPr>
          <w:rFonts w:hint="eastAsia" w:ascii="宋体" w:hAnsi="宋体" w:eastAsia="宋体" w:cs="宋体"/>
          <w:color w:val="auto"/>
          <w:sz w:val="24"/>
          <w:vertAlign w:val="subscript"/>
        </w:rPr>
        <w:t>1</w:t>
      </w:r>
      <w:r>
        <w:rPr>
          <w:rFonts w:hint="eastAsia" w:ascii="宋体" w:hAnsi="宋体" w:eastAsia="宋体" w:cs="宋体"/>
          <w:color w:val="auto"/>
          <w:sz w:val="24"/>
        </w:rPr>
        <w:t>盆边东南部中山植被地区—IA</w:t>
      </w:r>
      <w:r>
        <w:rPr>
          <w:rFonts w:hint="eastAsia" w:ascii="宋体" w:hAnsi="宋体" w:eastAsia="宋体" w:cs="宋体"/>
          <w:color w:val="auto"/>
          <w:sz w:val="24"/>
          <w:vertAlign w:val="subscript"/>
        </w:rPr>
        <w:t>1(2)</w:t>
      </w:r>
      <w:r>
        <w:rPr>
          <w:rFonts w:hint="eastAsia" w:ascii="宋体" w:hAnsi="宋体" w:eastAsia="宋体" w:cs="宋体"/>
          <w:color w:val="auto"/>
          <w:sz w:val="24"/>
        </w:rPr>
        <w:t>七曜山北部植被小区”。</w:t>
      </w:r>
      <w:r>
        <w:rPr>
          <w:rFonts w:hint="eastAsia" w:ascii="宋体" w:hAnsi="宋体" w:eastAsia="宋体" w:cs="宋体"/>
          <w:color w:val="auto"/>
          <w:kern w:val="0"/>
          <w:sz w:val="24"/>
        </w:rPr>
        <w:t>该植被小区位于四川盆地东南部边缘山地的北边。</w:t>
      </w:r>
    </w:p>
    <w:p>
      <w:pPr>
        <w:spacing w:line="360" w:lineRule="auto"/>
        <w:ind w:firstLine="480" w:firstLineChars="200"/>
        <w:rPr>
          <w:rFonts w:hint="eastAsia" w:ascii="宋体" w:hAnsi="宋体" w:eastAsia="宋体" w:cs="宋体"/>
          <w:color w:val="auto"/>
          <w:kern w:val="0"/>
          <w:sz w:val="24"/>
        </w:rPr>
      </w:pPr>
      <w:r>
        <w:rPr>
          <w:rFonts w:hint="eastAsia" w:ascii="宋体" w:hAnsi="宋体" w:eastAsia="宋体" w:cs="宋体"/>
          <w:color w:val="auto"/>
          <w:kern w:val="0"/>
          <w:sz w:val="24"/>
        </w:rPr>
        <w:t>评价区与其所在的植被小区相比，面积较小，且海拔跨度不大，植被垂直分布规律不明显。评价区主要为人工种植的次生林，以常绿针叶林为主。</w:t>
      </w:r>
    </w:p>
    <w:p>
      <w:pPr>
        <w:adjustRightInd w:val="0"/>
        <w:snapToGrid w:val="0"/>
        <w:spacing w:line="360" w:lineRule="auto"/>
        <w:ind w:firstLine="482"/>
        <w:rPr>
          <w:rFonts w:hint="eastAsia" w:ascii="宋体" w:hAnsi="宋体" w:eastAsia="宋体" w:cs="宋体"/>
          <w:color w:val="auto"/>
          <w:sz w:val="24"/>
        </w:rPr>
      </w:pPr>
      <w:r>
        <w:rPr>
          <w:rFonts w:hint="eastAsia" w:ascii="宋体" w:hAnsi="宋体" w:eastAsia="宋体" w:cs="宋体"/>
          <w:color w:val="auto"/>
          <w:sz w:val="24"/>
        </w:rPr>
        <w:t>按照《四川植被》的分类原则，结合当地的植被构成情况，选取植被型、群系组和群系三级分类体系并结合野外调查、整理出的样方和样线资料对项目影响区植被组成进行分类、描述。凡建群种生活型相近，群落外貌相似的植物群落联合的建群植物，对水热条件、生态关系组成一致的植物群落联合成为植被型（Vegetation type），是分类系统中的高级单位，用一、二、三、…… 符号表示；群系纲，用(一）、(二）、（三）、……符号表；在群系纲之下，凡建群种亲缘关系近似（同属或相近属），生活型近似，生态特点相同的植物群落联合为群系组（Formation group），属群系以上的辅助单位，用1、2、3、……符号表示；凡建群种和共建种相同的植被群落联合为群系（Formation），是分类系统中的中级单位，用（1）、（2）、（3）、……符号表示。按上述分类原则将评价区的植被组成分类如下：</w:t>
      </w:r>
    </w:p>
    <w:p>
      <w:pPr>
        <w:pStyle w:val="14"/>
        <w:spacing w:line="240" w:lineRule="auto"/>
        <w:rPr>
          <w:bCs/>
          <w:color w:val="auto"/>
          <w:sz w:val="24"/>
        </w:rPr>
      </w:pPr>
      <w:r>
        <w:rPr>
          <w:color w:val="auto"/>
        </w:rPr>
        <w:t>表</w:t>
      </w:r>
      <w:r>
        <w:rPr>
          <w:rFonts w:hint="eastAsia"/>
          <w:color w:val="auto"/>
        </w:rPr>
        <w:t>6-</w:t>
      </w:r>
      <w:r>
        <w:rPr>
          <w:rFonts w:hint="eastAsia"/>
          <w:color w:val="auto"/>
          <w:lang w:val="en-US" w:eastAsia="zh-CN"/>
        </w:rPr>
        <w:t>6</w:t>
      </w:r>
      <w:r>
        <w:rPr>
          <w:bCs/>
          <w:color w:val="auto"/>
          <w:kern w:val="0"/>
        </w:rPr>
        <w:t xml:space="preserve">  评价区植被分类系统</w:t>
      </w:r>
    </w:p>
    <w:tbl>
      <w:tblPr>
        <w:tblStyle w:val="39"/>
        <w:tblW w:w="4994"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00"/>
        <w:gridCol w:w="2617"/>
        <w:gridCol w:w="2326"/>
        <w:gridCol w:w="303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1" w:type="pct"/>
            <w:tcBorders>
              <w:tl2br w:val="nil"/>
              <w:tr2bl w:val="nil"/>
            </w:tcBorders>
            <w:vAlign w:val="center"/>
          </w:tcPr>
          <w:p>
            <w:pPr>
              <w:adjustRightInd w:val="0"/>
              <w:snapToGrid w:val="0"/>
              <w:jc w:val="center"/>
              <w:rPr>
                <w:rFonts w:ascii="Times New Roman" w:hAnsi="Times New Roman"/>
                <w:b/>
                <w:color w:val="auto"/>
                <w:szCs w:val="21"/>
              </w:rPr>
            </w:pPr>
            <w:r>
              <w:rPr>
                <w:rFonts w:ascii="Times New Roman" w:hAnsi="Times New Roman"/>
                <w:b/>
                <w:color w:val="auto"/>
                <w:szCs w:val="21"/>
              </w:rPr>
              <w:t>植被型</w:t>
            </w:r>
          </w:p>
        </w:tc>
        <w:tc>
          <w:tcPr>
            <w:tcW w:w="1410" w:type="pct"/>
            <w:tcBorders>
              <w:tl2br w:val="nil"/>
              <w:tr2bl w:val="nil"/>
            </w:tcBorders>
            <w:vAlign w:val="center"/>
          </w:tcPr>
          <w:p>
            <w:pPr>
              <w:adjustRightInd w:val="0"/>
              <w:snapToGrid w:val="0"/>
              <w:jc w:val="center"/>
              <w:rPr>
                <w:rFonts w:ascii="Times New Roman" w:hAnsi="Times New Roman"/>
                <w:b/>
                <w:color w:val="auto"/>
                <w:szCs w:val="21"/>
              </w:rPr>
            </w:pPr>
            <w:r>
              <w:rPr>
                <w:rFonts w:ascii="Times New Roman" w:hAnsi="Times New Roman"/>
                <w:b/>
                <w:color w:val="auto"/>
                <w:szCs w:val="21"/>
              </w:rPr>
              <w:t>群系纲</w:t>
            </w:r>
          </w:p>
        </w:tc>
        <w:tc>
          <w:tcPr>
            <w:tcW w:w="1253" w:type="pct"/>
            <w:tcBorders>
              <w:tl2br w:val="nil"/>
              <w:tr2bl w:val="nil"/>
            </w:tcBorders>
            <w:vAlign w:val="center"/>
          </w:tcPr>
          <w:p>
            <w:pPr>
              <w:adjustRightInd w:val="0"/>
              <w:snapToGrid w:val="0"/>
              <w:jc w:val="center"/>
              <w:rPr>
                <w:rFonts w:ascii="Times New Roman" w:hAnsi="Times New Roman"/>
                <w:b/>
                <w:color w:val="auto"/>
                <w:szCs w:val="21"/>
              </w:rPr>
            </w:pPr>
            <w:r>
              <w:rPr>
                <w:rFonts w:ascii="Times New Roman" w:hAnsi="Times New Roman"/>
                <w:b/>
                <w:color w:val="auto"/>
                <w:szCs w:val="21"/>
              </w:rPr>
              <w:t>群系组</w:t>
            </w:r>
          </w:p>
        </w:tc>
        <w:tc>
          <w:tcPr>
            <w:tcW w:w="1634" w:type="pct"/>
            <w:tcBorders>
              <w:tl2br w:val="nil"/>
              <w:tr2bl w:val="nil"/>
            </w:tcBorders>
            <w:vAlign w:val="center"/>
          </w:tcPr>
          <w:p>
            <w:pPr>
              <w:adjustRightInd w:val="0"/>
              <w:snapToGrid w:val="0"/>
              <w:jc w:val="center"/>
              <w:rPr>
                <w:rFonts w:ascii="Times New Roman" w:hAnsi="Times New Roman"/>
                <w:b/>
                <w:color w:val="auto"/>
                <w:szCs w:val="21"/>
              </w:rPr>
            </w:pPr>
            <w:r>
              <w:rPr>
                <w:rFonts w:ascii="Times New Roman" w:hAnsi="Times New Roman"/>
                <w:b/>
                <w:color w:val="auto"/>
                <w:szCs w:val="21"/>
              </w:rPr>
              <w:t>群系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1"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一、竹林</w:t>
            </w:r>
          </w:p>
        </w:tc>
        <w:tc>
          <w:tcPr>
            <w:tcW w:w="1410"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（一）亚热带竹林</w:t>
            </w:r>
          </w:p>
        </w:tc>
        <w:tc>
          <w:tcPr>
            <w:tcW w:w="1253"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1、大茎竹林</w:t>
            </w:r>
          </w:p>
        </w:tc>
        <w:tc>
          <w:tcPr>
            <w:tcW w:w="1634"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（1）*慈竹林</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1"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二、草丛</w:t>
            </w:r>
          </w:p>
        </w:tc>
        <w:tc>
          <w:tcPr>
            <w:tcW w:w="1410"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（二）河滩地草丛</w:t>
            </w:r>
          </w:p>
        </w:tc>
        <w:tc>
          <w:tcPr>
            <w:tcW w:w="1253"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2、禾草草丛</w:t>
            </w:r>
          </w:p>
        </w:tc>
        <w:tc>
          <w:tcPr>
            <w:tcW w:w="1634" w:type="pct"/>
            <w:tcBorders>
              <w:tl2br w:val="nil"/>
              <w:tr2bl w:val="nil"/>
            </w:tcBorders>
            <w:vAlign w:val="center"/>
          </w:tcPr>
          <w:p>
            <w:pPr>
              <w:adjustRightInd w:val="0"/>
              <w:snapToGrid w:val="0"/>
              <w:jc w:val="center"/>
              <w:rPr>
                <w:rFonts w:ascii="Times New Roman" w:hAnsi="Times New Roman"/>
                <w:color w:val="auto"/>
                <w:szCs w:val="21"/>
              </w:rPr>
            </w:pPr>
            <w:r>
              <w:rPr>
                <w:rFonts w:ascii="Times New Roman" w:hAnsi="Times New Roman"/>
                <w:color w:val="auto"/>
                <w:szCs w:val="21"/>
              </w:rPr>
              <w:t>（2）芦竹草丛</w:t>
            </w:r>
          </w:p>
        </w:tc>
      </w:tr>
    </w:tbl>
    <w:p>
      <w:pPr>
        <w:adjustRightInd w:val="0"/>
        <w:snapToGrid w:val="0"/>
        <w:spacing w:line="360" w:lineRule="auto"/>
        <w:ind w:firstLine="420" w:firstLineChars="200"/>
        <w:rPr>
          <w:rFonts w:ascii="Times New Roman" w:hAnsi="Times New Roman"/>
          <w:bCs/>
          <w:color w:val="auto"/>
          <w:szCs w:val="21"/>
        </w:rPr>
      </w:pPr>
      <w:r>
        <w:rPr>
          <w:rFonts w:ascii="Times New Roman" w:hAnsi="Times New Roman"/>
          <w:bCs/>
          <w:color w:val="auto"/>
          <w:szCs w:val="21"/>
        </w:rPr>
        <w:t>*为人工栽种。</w:t>
      </w:r>
    </w:p>
    <w:p>
      <w:pPr>
        <w:adjustRightInd w:val="0"/>
        <w:snapToGrid w:val="0"/>
        <w:spacing w:line="360" w:lineRule="auto"/>
        <w:ind w:firstLine="482" w:firstLineChars="200"/>
        <w:rPr>
          <w:rFonts w:hint="eastAsia" w:ascii="宋体" w:hAnsi="宋体" w:eastAsia="宋体" w:cs="宋体"/>
          <w:b/>
          <w:bCs/>
          <w:color w:val="auto"/>
          <w:sz w:val="24"/>
          <w:szCs w:val="24"/>
        </w:rPr>
      </w:pPr>
      <w:r>
        <w:rPr>
          <w:rFonts w:hint="eastAsia" w:ascii="宋体" w:hAnsi="宋体" w:eastAsia="宋体" w:cs="宋体"/>
          <w:b/>
          <w:bCs/>
          <w:color w:val="auto"/>
          <w:sz w:val="24"/>
          <w:szCs w:val="24"/>
        </w:rPr>
        <w:t>（2）植被概述</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sz w:val="24"/>
          <w:szCs w:val="24"/>
        </w:rPr>
        <w:t>评价区植被共有2类植被型、2类群系纲、2类群系。上述植被类型都是项目评价区有分布且具有一定面积的植被类型，通过现场调查及查阅相关资料，现将各植被类型的分布、组成等特征描述如下：</w:t>
      </w:r>
    </w:p>
    <w:p>
      <w:pPr>
        <w:pStyle w:val="148"/>
        <w:numPr>
          <w:ilvl w:val="0"/>
          <w:numId w:val="7"/>
        </w:numPr>
        <w:adjustRightInd w:val="0"/>
        <w:snapToGrid w:val="0"/>
        <w:ind w:firstLineChars="0"/>
        <w:rPr>
          <w:rFonts w:hint="eastAsia" w:ascii="宋体" w:hAnsi="宋体" w:eastAsia="宋体" w:cs="宋体"/>
          <w:color w:val="auto"/>
          <w:sz w:val="24"/>
          <w:szCs w:val="24"/>
        </w:rPr>
      </w:pPr>
      <w:r>
        <w:rPr>
          <w:rFonts w:hint="eastAsia" w:ascii="宋体" w:hAnsi="宋体" w:eastAsia="宋体" w:cs="宋体"/>
          <w:color w:val="auto"/>
          <w:sz w:val="24"/>
          <w:szCs w:val="24"/>
        </w:rPr>
        <w:t>芦竹草丛</w:t>
      </w:r>
      <w:r>
        <w:rPr>
          <w:rFonts w:hint="eastAsia" w:ascii="宋体" w:hAnsi="宋体" w:eastAsia="宋体" w:cs="宋体"/>
          <w:bCs/>
          <w:color w:val="auto"/>
          <w:sz w:val="24"/>
          <w:szCs w:val="24"/>
        </w:rPr>
        <w:t>（Form.</w:t>
      </w:r>
      <w:r>
        <w:rPr>
          <w:rFonts w:hint="eastAsia" w:ascii="宋体" w:hAnsi="宋体" w:eastAsia="宋体" w:cs="宋体"/>
          <w:color w:val="auto"/>
          <w:sz w:val="24"/>
          <w:szCs w:val="24"/>
        </w:rPr>
        <w:t xml:space="preserve"> </w:t>
      </w:r>
      <w:r>
        <w:rPr>
          <w:rFonts w:hint="eastAsia" w:ascii="宋体" w:hAnsi="宋体" w:eastAsia="宋体" w:cs="宋体"/>
          <w:i/>
          <w:color w:val="auto"/>
          <w:sz w:val="24"/>
          <w:szCs w:val="24"/>
        </w:rPr>
        <w:t>Arundo donax</w:t>
      </w:r>
      <w:r>
        <w:rPr>
          <w:rFonts w:hint="eastAsia" w:ascii="宋体" w:hAnsi="宋体" w:eastAsia="宋体" w:cs="宋体"/>
          <w:bCs/>
          <w:color w:val="auto"/>
          <w:sz w:val="24"/>
          <w:szCs w:val="24"/>
        </w:rPr>
        <w:t>）</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sz w:val="24"/>
          <w:szCs w:val="24"/>
        </w:rPr>
        <w:t>芦竹（</w:t>
      </w:r>
      <w:r>
        <w:rPr>
          <w:rFonts w:hint="eastAsia" w:ascii="宋体" w:hAnsi="宋体" w:eastAsia="宋体" w:cs="宋体"/>
          <w:i/>
          <w:color w:val="auto"/>
          <w:sz w:val="24"/>
          <w:szCs w:val="24"/>
        </w:rPr>
        <w:t>Arundo donax</w:t>
      </w:r>
      <w:r>
        <w:rPr>
          <w:rFonts w:hint="eastAsia" w:ascii="宋体" w:hAnsi="宋体" w:eastAsia="宋体" w:cs="宋体"/>
          <w:color w:val="auto"/>
          <w:sz w:val="24"/>
          <w:szCs w:val="24"/>
        </w:rPr>
        <w:t>）草丛分布在评价区内的河谷两侧的河滩地及农田附近，海拔在235—285米，以芦竹为主，群落无明显层次，结构简单，生长均匀，总盖度多在0.5以上。</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sz w:val="24"/>
          <w:szCs w:val="24"/>
        </w:rPr>
        <w:t>芦竹草丛结构简单，一般只有草本一层，组成草丛的植物种类较多，主要为禾本科植物。常见的种类还有</w:t>
      </w:r>
      <w:r>
        <w:rPr>
          <w:rFonts w:hint="eastAsia" w:ascii="宋体" w:hAnsi="宋体" w:eastAsia="宋体" w:cs="宋体"/>
          <w:color w:val="auto"/>
          <w:kern w:val="0"/>
          <w:sz w:val="24"/>
          <w:szCs w:val="24"/>
        </w:rPr>
        <w:t>矛叶荩草</w:t>
      </w:r>
      <w:r>
        <w:rPr>
          <w:rFonts w:hint="eastAsia" w:ascii="宋体" w:hAnsi="宋体" w:eastAsia="宋体" w:cs="宋体"/>
          <w:i/>
          <w:iCs/>
          <w:color w:val="auto"/>
          <w:sz w:val="24"/>
          <w:szCs w:val="24"/>
        </w:rPr>
        <w:t>Arthraxonlanceolatus</w:t>
      </w:r>
      <w:r>
        <w:rPr>
          <w:rFonts w:hint="eastAsia" w:ascii="宋体" w:hAnsi="宋体" w:eastAsia="宋体" w:cs="宋体"/>
          <w:color w:val="auto"/>
          <w:kern w:val="0"/>
          <w:sz w:val="24"/>
          <w:szCs w:val="24"/>
        </w:rPr>
        <w:t>、黄茅</w:t>
      </w:r>
      <w:r>
        <w:rPr>
          <w:rFonts w:hint="eastAsia" w:ascii="宋体" w:hAnsi="宋体" w:eastAsia="宋体" w:cs="宋体"/>
          <w:i/>
          <w:color w:val="auto"/>
          <w:kern w:val="0"/>
          <w:sz w:val="24"/>
          <w:szCs w:val="24"/>
        </w:rPr>
        <w:t>Heteropogon contortus</w:t>
      </w:r>
      <w:r>
        <w:rPr>
          <w:rFonts w:hint="eastAsia" w:ascii="宋体" w:hAnsi="宋体" w:eastAsia="宋体" w:cs="宋体"/>
          <w:color w:val="auto"/>
          <w:kern w:val="0"/>
          <w:sz w:val="24"/>
          <w:szCs w:val="24"/>
        </w:rPr>
        <w:t>、牛筋草</w:t>
      </w:r>
      <w:r>
        <w:rPr>
          <w:rFonts w:hint="eastAsia" w:ascii="宋体" w:hAnsi="宋体" w:eastAsia="宋体" w:cs="宋体"/>
          <w:i/>
          <w:iCs/>
          <w:color w:val="auto"/>
          <w:sz w:val="24"/>
          <w:szCs w:val="24"/>
        </w:rPr>
        <w:t>Eleusineindica</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狗脊</w:t>
      </w:r>
      <w:r>
        <w:rPr>
          <w:rFonts w:hint="eastAsia" w:ascii="宋体" w:hAnsi="宋体" w:eastAsia="宋体" w:cs="宋体"/>
          <w:i/>
          <w:iCs/>
          <w:color w:val="auto"/>
          <w:sz w:val="24"/>
          <w:szCs w:val="24"/>
        </w:rPr>
        <w:t>Woodwardiajaponica</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黄鹌菜</w:t>
      </w:r>
      <w:r>
        <w:rPr>
          <w:rFonts w:hint="eastAsia" w:ascii="宋体" w:hAnsi="宋体" w:eastAsia="宋体" w:cs="宋体"/>
          <w:i/>
          <w:iCs/>
          <w:color w:val="auto"/>
          <w:sz w:val="24"/>
          <w:szCs w:val="24"/>
        </w:rPr>
        <w:t>Youngiajaponica</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蜈蚣草</w:t>
      </w:r>
      <w:r>
        <w:rPr>
          <w:rFonts w:hint="eastAsia" w:ascii="宋体" w:hAnsi="宋体" w:eastAsia="宋体" w:cs="宋体"/>
          <w:i/>
          <w:iCs/>
          <w:color w:val="auto"/>
          <w:sz w:val="24"/>
          <w:szCs w:val="24"/>
        </w:rPr>
        <w:t>Eremochloaciliaris</w:t>
      </w:r>
      <w:r>
        <w:rPr>
          <w:rFonts w:hint="eastAsia" w:ascii="宋体" w:hAnsi="宋体" w:eastAsia="宋体" w:cs="宋体"/>
          <w:color w:val="auto"/>
          <w:sz w:val="24"/>
          <w:szCs w:val="24"/>
        </w:rPr>
        <w:t>、黄花蒿</w:t>
      </w:r>
      <w:r>
        <w:rPr>
          <w:rFonts w:hint="eastAsia" w:ascii="宋体" w:hAnsi="宋体" w:eastAsia="宋体" w:cs="宋体"/>
          <w:i/>
          <w:color w:val="auto"/>
          <w:sz w:val="24"/>
          <w:szCs w:val="24"/>
        </w:rPr>
        <w:t>Artemisia annua</w:t>
      </w:r>
      <w:r>
        <w:rPr>
          <w:rFonts w:hint="eastAsia" w:ascii="宋体" w:hAnsi="宋体" w:eastAsia="宋体" w:cs="宋体"/>
          <w:color w:val="auto"/>
          <w:sz w:val="24"/>
          <w:szCs w:val="24"/>
        </w:rPr>
        <w:t>、打破碗花花</w:t>
      </w:r>
      <w:r>
        <w:rPr>
          <w:rFonts w:hint="eastAsia" w:ascii="宋体" w:hAnsi="宋体" w:eastAsia="宋体" w:cs="宋体"/>
          <w:i/>
          <w:iCs/>
          <w:color w:val="auto"/>
          <w:sz w:val="24"/>
          <w:szCs w:val="24"/>
        </w:rPr>
        <w:t>Anemonehupehensis</w:t>
      </w:r>
      <w:r>
        <w:rPr>
          <w:rFonts w:hint="eastAsia" w:ascii="宋体" w:hAnsi="宋体" w:eastAsia="宋体" w:cs="宋体"/>
          <w:color w:val="auto"/>
          <w:kern w:val="0"/>
          <w:sz w:val="24"/>
          <w:szCs w:val="24"/>
        </w:rPr>
        <w:t>、马唐</w:t>
      </w:r>
      <w:r>
        <w:rPr>
          <w:rFonts w:hint="eastAsia" w:ascii="宋体" w:hAnsi="宋体" w:eastAsia="宋体" w:cs="宋体"/>
          <w:i/>
          <w:color w:val="auto"/>
          <w:kern w:val="0"/>
          <w:sz w:val="24"/>
          <w:szCs w:val="24"/>
        </w:rPr>
        <w:t>Digitaria sanguinalis</w:t>
      </w:r>
      <w:r>
        <w:rPr>
          <w:rFonts w:hint="eastAsia" w:ascii="宋体" w:hAnsi="宋体" w:eastAsia="宋体" w:cs="宋体"/>
          <w:color w:val="auto"/>
          <w:kern w:val="0"/>
          <w:sz w:val="24"/>
          <w:szCs w:val="24"/>
        </w:rPr>
        <w:t>、三叶鬼针草</w:t>
      </w:r>
      <w:r>
        <w:rPr>
          <w:rFonts w:hint="eastAsia" w:ascii="宋体" w:hAnsi="宋体" w:eastAsia="宋体" w:cs="宋体"/>
          <w:i/>
          <w:iCs/>
          <w:color w:val="auto"/>
          <w:sz w:val="24"/>
          <w:szCs w:val="24"/>
        </w:rPr>
        <w:t>Bidens pilosa</w:t>
      </w:r>
      <w:r>
        <w:rPr>
          <w:rFonts w:hint="eastAsia" w:ascii="宋体" w:hAnsi="宋体" w:eastAsia="宋体" w:cs="宋体"/>
          <w:color w:val="auto"/>
          <w:sz w:val="24"/>
          <w:szCs w:val="24"/>
        </w:rPr>
        <w:t>、酢浆草</w:t>
      </w:r>
      <w:r>
        <w:rPr>
          <w:rFonts w:hint="eastAsia" w:ascii="宋体" w:hAnsi="宋体" w:eastAsia="宋体" w:cs="宋体"/>
          <w:i/>
          <w:iCs/>
          <w:color w:val="auto"/>
          <w:sz w:val="24"/>
          <w:szCs w:val="24"/>
        </w:rPr>
        <w:t>Oxalis corniculata</w:t>
      </w:r>
      <w:r>
        <w:rPr>
          <w:rFonts w:hint="eastAsia" w:ascii="宋体" w:hAnsi="宋体" w:eastAsia="宋体" w:cs="宋体"/>
          <w:color w:val="auto"/>
          <w:sz w:val="24"/>
          <w:szCs w:val="24"/>
        </w:rPr>
        <w:t>、车前</w:t>
      </w:r>
      <w:r>
        <w:rPr>
          <w:rFonts w:hint="eastAsia" w:ascii="宋体" w:hAnsi="宋体" w:eastAsia="宋体" w:cs="宋体"/>
          <w:i/>
          <w:iCs/>
          <w:color w:val="auto"/>
          <w:sz w:val="24"/>
          <w:szCs w:val="24"/>
        </w:rPr>
        <w:t>Plantagoasiatica</w:t>
      </w:r>
      <w:r>
        <w:rPr>
          <w:rFonts w:hint="eastAsia" w:ascii="宋体" w:hAnsi="宋体" w:eastAsia="宋体" w:cs="宋体"/>
          <w:color w:val="auto"/>
          <w:kern w:val="0"/>
          <w:sz w:val="24"/>
          <w:szCs w:val="24"/>
        </w:rPr>
        <w:t>、接骨草</w:t>
      </w:r>
      <w:r>
        <w:rPr>
          <w:rFonts w:hint="eastAsia" w:ascii="宋体" w:hAnsi="宋体" w:eastAsia="宋体" w:cs="宋体"/>
          <w:i/>
          <w:color w:val="auto"/>
          <w:kern w:val="0"/>
          <w:sz w:val="24"/>
          <w:szCs w:val="24"/>
        </w:rPr>
        <w:t>Sambucus chinensis</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鸭儿芹</w:t>
      </w:r>
      <w:r>
        <w:rPr>
          <w:rFonts w:hint="eastAsia" w:ascii="宋体" w:hAnsi="宋体" w:eastAsia="宋体" w:cs="宋体"/>
          <w:i/>
          <w:iCs/>
          <w:color w:val="auto"/>
          <w:sz w:val="24"/>
          <w:szCs w:val="24"/>
        </w:rPr>
        <w:t>Cryptotaeniajaponica</w:t>
      </w:r>
      <w:r>
        <w:rPr>
          <w:rFonts w:hint="eastAsia" w:ascii="宋体" w:hAnsi="宋体" w:eastAsia="宋体" w:cs="宋体"/>
          <w:color w:val="auto"/>
          <w:sz w:val="24"/>
          <w:szCs w:val="24"/>
        </w:rPr>
        <w:t>、鱼眼草</w:t>
      </w:r>
      <w:r>
        <w:rPr>
          <w:rFonts w:hint="eastAsia" w:ascii="宋体" w:hAnsi="宋体" w:eastAsia="宋体" w:cs="宋体"/>
          <w:i/>
          <w:color w:val="auto"/>
          <w:sz w:val="24"/>
          <w:szCs w:val="24"/>
        </w:rPr>
        <w:t>Dichrocephala auriculata</w:t>
      </w:r>
      <w:r>
        <w:rPr>
          <w:rFonts w:hint="eastAsia" w:ascii="宋体" w:hAnsi="宋体" w:eastAsia="宋体" w:cs="宋体"/>
          <w:color w:val="auto"/>
          <w:kern w:val="0"/>
          <w:sz w:val="24"/>
          <w:szCs w:val="24"/>
        </w:rPr>
        <w:t>等。</w:t>
      </w:r>
    </w:p>
    <w:p>
      <w:pPr>
        <w:pStyle w:val="148"/>
        <w:numPr>
          <w:ilvl w:val="0"/>
          <w:numId w:val="7"/>
        </w:numPr>
        <w:adjustRightInd w:val="0"/>
        <w:snapToGrid w:val="0"/>
        <w:ind w:firstLineChars="0"/>
        <w:rPr>
          <w:rFonts w:hint="eastAsia" w:ascii="宋体" w:hAnsi="宋体" w:eastAsia="宋体" w:cs="宋体"/>
          <w:bCs/>
          <w:color w:val="auto"/>
          <w:sz w:val="24"/>
          <w:szCs w:val="24"/>
        </w:rPr>
      </w:pPr>
      <w:r>
        <w:rPr>
          <w:rFonts w:hint="eastAsia" w:ascii="宋体" w:hAnsi="宋体" w:eastAsia="宋体" w:cs="宋体"/>
          <w:color w:val="auto"/>
          <w:sz w:val="24"/>
          <w:szCs w:val="24"/>
        </w:rPr>
        <w:t>慈竹林</w:t>
      </w:r>
      <w:r>
        <w:rPr>
          <w:rFonts w:hint="eastAsia" w:ascii="宋体" w:hAnsi="宋体" w:eastAsia="宋体" w:cs="宋体"/>
          <w:bCs/>
          <w:color w:val="auto"/>
          <w:sz w:val="24"/>
          <w:szCs w:val="24"/>
        </w:rPr>
        <w:t>（Form.</w:t>
      </w:r>
      <w:r>
        <w:rPr>
          <w:rFonts w:hint="eastAsia" w:ascii="宋体" w:hAnsi="宋体" w:eastAsia="宋体" w:cs="宋体"/>
          <w:color w:val="auto"/>
          <w:sz w:val="24"/>
          <w:szCs w:val="24"/>
        </w:rPr>
        <w:t xml:space="preserve"> </w:t>
      </w:r>
      <w:r>
        <w:rPr>
          <w:rFonts w:hint="eastAsia" w:ascii="宋体" w:hAnsi="宋体" w:eastAsia="宋体" w:cs="宋体"/>
          <w:bCs/>
          <w:i/>
          <w:iCs/>
          <w:color w:val="auto"/>
          <w:sz w:val="24"/>
          <w:szCs w:val="24"/>
        </w:rPr>
        <w:t>Cupressus funebris</w:t>
      </w:r>
      <w:r>
        <w:rPr>
          <w:rFonts w:hint="eastAsia" w:ascii="宋体" w:hAnsi="宋体" w:eastAsia="宋体" w:cs="宋体"/>
          <w:bCs/>
          <w:color w:val="auto"/>
          <w:sz w:val="24"/>
          <w:szCs w:val="24"/>
        </w:rPr>
        <w:t>）</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sz w:val="24"/>
          <w:szCs w:val="24"/>
        </w:rPr>
        <w:t>慈竹林属于丛生型大径竹林，主要种植于山坡及河流两旁，硬头黄竹结果单纯，外貌整齐，竹高6-10m，径粗4-7cm，因地下轴合轴丛生，每丛60-100株不等，林分常疏密不均，郁闭度0.7-0.9。慈竹材坚硬、强韧，是竹编工艺的重要材料。竹林</w:t>
      </w:r>
      <w:r>
        <w:rPr>
          <w:rFonts w:hint="eastAsia" w:ascii="宋体" w:hAnsi="宋体" w:eastAsia="宋体" w:cs="宋体"/>
          <w:color w:val="auto"/>
          <w:sz w:val="24"/>
          <w:szCs w:val="24"/>
          <w:highlight w:val="none"/>
        </w:rPr>
        <w:t>内除慈竹外，还间杂有少量苦竹</w:t>
      </w:r>
      <w:r>
        <w:rPr>
          <w:rFonts w:hint="eastAsia" w:ascii="宋体" w:hAnsi="宋体" w:eastAsia="宋体" w:cs="宋体"/>
          <w:i/>
          <w:color w:val="auto"/>
          <w:sz w:val="24"/>
          <w:szCs w:val="24"/>
          <w:highlight w:val="none"/>
        </w:rPr>
        <w:t>Pleioblastus amarus</w:t>
      </w:r>
      <w:r>
        <w:rPr>
          <w:rFonts w:hint="eastAsia" w:ascii="宋体" w:hAnsi="宋体" w:eastAsia="宋体" w:cs="宋体"/>
          <w:color w:val="auto"/>
          <w:sz w:val="24"/>
          <w:szCs w:val="24"/>
          <w:highlight w:val="none"/>
        </w:rPr>
        <w:t>、麻竹</w:t>
      </w:r>
      <w:r>
        <w:rPr>
          <w:rFonts w:hint="eastAsia" w:ascii="宋体" w:hAnsi="宋体" w:eastAsia="宋体" w:cs="宋体"/>
          <w:i/>
          <w:color w:val="auto"/>
          <w:sz w:val="24"/>
          <w:szCs w:val="24"/>
          <w:highlight w:val="none"/>
        </w:rPr>
        <w:t>Dendrocalamus latiflorus</w:t>
      </w:r>
      <w:r>
        <w:rPr>
          <w:rFonts w:hint="eastAsia" w:ascii="宋体" w:hAnsi="宋体" w:eastAsia="宋体" w:cs="宋体"/>
          <w:color w:val="auto"/>
          <w:sz w:val="24"/>
          <w:szCs w:val="24"/>
          <w:highlight w:val="none"/>
        </w:rPr>
        <w:t>、斑竹</w:t>
      </w:r>
      <w:r>
        <w:rPr>
          <w:rFonts w:hint="eastAsia" w:ascii="宋体" w:hAnsi="宋体" w:eastAsia="宋体" w:cs="宋体"/>
          <w:i/>
          <w:color w:val="auto"/>
          <w:kern w:val="0"/>
          <w:sz w:val="24"/>
          <w:szCs w:val="24"/>
          <w:highlight w:val="none"/>
        </w:rPr>
        <w:t>Phyllostachys bambosoides</w:t>
      </w:r>
      <w:r>
        <w:rPr>
          <w:rFonts w:hint="eastAsia" w:ascii="宋体" w:hAnsi="宋体" w:eastAsia="宋体" w:cs="宋体"/>
          <w:color w:val="auto"/>
          <w:sz w:val="24"/>
          <w:szCs w:val="24"/>
        </w:rPr>
        <w:t>等其它竹种及构树</w:t>
      </w:r>
      <w:r>
        <w:rPr>
          <w:rFonts w:hint="eastAsia" w:ascii="宋体" w:hAnsi="宋体" w:eastAsia="宋体" w:cs="宋体"/>
          <w:i/>
          <w:color w:val="auto"/>
          <w:sz w:val="24"/>
          <w:szCs w:val="24"/>
        </w:rPr>
        <w:t>Broussonetia papyrifera</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柑橘</w:t>
      </w:r>
      <w:r>
        <w:rPr>
          <w:rFonts w:hint="eastAsia" w:ascii="宋体" w:hAnsi="宋体" w:eastAsia="宋体" w:cs="宋体"/>
          <w:i/>
          <w:color w:val="auto"/>
          <w:kern w:val="0"/>
          <w:sz w:val="24"/>
          <w:szCs w:val="24"/>
        </w:rPr>
        <w:t>Citrus reticulata</w:t>
      </w:r>
      <w:r>
        <w:rPr>
          <w:rFonts w:hint="eastAsia" w:ascii="宋体" w:hAnsi="宋体" w:eastAsia="宋体" w:cs="宋体"/>
          <w:color w:val="auto"/>
          <w:sz w:val="24"/>
          <w:szCs w:val="24"/>
        </w:rPr>
        <w:t>等阔叶树种。</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sz w:val="24"/>
          <w:szCs w:val="24"/>
        </w:rPr>
        <w:t>林下灌木稀疏，几不构成盖度，常见的种类有地果</w:t>
      </w:r>
      <w:r>
        <w:rPr>
          <w:rFonts w:hint="eastAsia" w:ascii="宋体" w:hAnsi="宋体" w:eastAsia="宋体" w:cs="宋体"/>
          <w:i/>
          <w:color w:val="auto"/>
          <w:sz w:val="24"/>
          <w:szCs w:val="24"/>
        </w:rPr>
        <w:t>Ficus tikoua</w:t>
      </w:r>
      <w:r>
        <w:rPr>
          <w:rFonts w:hint="eastAsia" w:ascii="宋体" w:hAnsi="宋体" w:eastAsia="宋体" w:cs="宋体"/>
          <w:color w:val="auto"/>
          <w:sz w:val="24"/>
          <w:szCs w:val="24"/>
        </w:rPr>
        <w:t>、接骨草</w:t>
      </w:r>
      <w:r>
        <w:rPr>
          <w:rFonts w:hint="eastAsia" w:ascii="宋体" w:hAnsi="宋体" w:eastAsia="宋体" w:cs="宋体"/>
          <w:i/>
          <w:color w:val="auto"/>
          <w:sz w:val="24"/>
          <w:szCs w:val="24"/>
        </w:rPr>
        <w:t>Sambucus chinensis</w:t>
      </w:r>
      <w:r>
        <w:rPr>
          <w:rFonts w:hint="eastAsia" w:ascii="宋体" w:hAnsi="宋体" w:eastAsia="宋体" w:cs="宋体"/>
          <w:color w:val="auto"/>
          <w:sz w:val="24"/>
          <w:szCs w:val="24"/>
        </w:rPr>
        <w:t>、竹叶椒</w:t>
      </w:r>
      <w:r>
        <w:rPr>
          <w:rFonts w:hint="eastAsia" w:ascii="宋体" w:hAnsi="宋体" w:eastAsia="宋体" w:cs="宋体"/>
          <w:i/>
          <w:color w:val="auto"/>
          <w:sz w:val="24"/>
          <w:szCs w:val="24"/>
        </w:rPr>
        <w:t>Zanthoxylum planispinum、</w:t>
      </w:r>
      <w:r>
        <w:rPr>
          <w:rFonts w:hint="eastAsia" w:ascii="宋体" w:hAnsi="宋体" w:eastAsia="宋体" w:cs="宋体"/>
          <w:color w:val="auto"/>
          <w:sz w:val="24"/>
          <w:szCs w:val="24"/>
        </w:rPr>
        <w:t>石海椒</w:t>
      </w:r>
      <w:r>
        <w:rPr>
          <w:rFonts w:hint="eastAsia" w:ascii="宋体" w:hAnsi="宋体" w:eastAsia="宋体" w:cs="宋体"/>
          <w:i/>
          <w:color w:val="auto"/>
          <w:sz w:val="24"/>
          <w:szCs w:val="24"/>
        </w:rPr>
        <w:t>Reinwardtia indica</w:t>
      </w:r>
      <w:r>
        <w:rPr>
          <w:rFonts w:hint="eastAsia" w:ascii="宋体" w:hAnsi="宋体" w:eastAsia="宋体" w:cs="宋体"/>
          <w:color w:val="auto"/>
          <w:sz w:val="24"/>
          <w:szCs w:val="24"/>
        </w:rPr>
        <w:t>等。</w:t>
      </w:r>
    </w:p>
    <w:p>
      <w:pPr>
        <w:spacing w:line="360" w:lineRule="auto"/>
        <w:ind w:firstLine="482"/>
        <w:rPr>
          <w:rFonts w:hint="eastAsia" w:ascii="宋体" w:hAnsi="宋体" w:eastAsia="宋体" w:cs="宋体"/>
          <w:bCs/>
          <w:color w:val="auto"/>
          <w:sz w:val="24"/>
          <w:szCs w:val="24"/>
        </w:rPr>
      </w:pPr>
      <w:r>
        <w:rPr>
          <w:rFonts w:hint="eastAsia" w:ascii="宋体" w:hAnsi="宋体" w:eastAsia="宋体" w:cs="宋体"/>
          <w:color w:val="auto"/>
          <w:sz w:val="24"/>
          <w:szCs w:val="24"/>
        </w:rPr>
        <w:t>草本植物常见的有紫萁</w:t>
      </w:r>
      <w:r>
        <w:rPr>
          <w:rFonts w:hint="eastAsia" w:ascii="宋体" w:hAnsi="宋体" w:eastAsia="宋体" w:cs="宋体"/>
          <w:i/>
          <w:color w:val="auto"/>
          <w:sz w:val="24"/>
          <w:szCs w:val="24"/>
        </w:rPr>
        <w:t>Osmunda japonica</w:t>
      </w:r>
      <w:r>
        <w:rPr>
          <w:rFonts w:hint="eastAsia" w:ascii="宋体" w:hAnsi="宋体" w:eastAsia="宋体" w:cs="宋体"/>
          <w:color w:val="auto"/>
          <w:sz w:val="24"/>
          <w:szCs w:val="24"/>
        </w:rPr>
        <w:t>、凤尾蕨</w:t>
      </w:r>
      <w:r>
        <w:rPr>
          <w:rFonts w:hint="eastAsia" w:ascii="宋体" w:hAnsi="宋体" w:eastAsia="宋体" w:cs="宋体"/>
          <w:i/>
          <w:color w:val="auto"/>
          <w:sz w:val="24"/>
          <w:szCs w:val="24"/>
        </w:rPr>
        <w:t>Pteris nervosa</w:t>
      </w:r>
      <w:r>
        <w:rPr>
          <w:rFonts w:hint="eastAsia" w:ascii="宋体" w:hAnsi="宋体" w:eastAsia="宋体" w:cs="宋体"/>
          <w:color w:val="auto"/>
          <w:sz w:val="24"/>
          <w:szCs w:val="24"/>
        </w:rPr>
        <w:t>、水蓼</w:t>
      </w:r>
      <w:r>
        <w:rPr>
          <w:rFonts w:hint="eastAsia" w:ascii="宋体" w:hAnsi="宋体" w:eastAsia="宋体" w:cs="宋体"/>
          <w:i/>
          <w:color w:val="auto"/>
          <w:sz w:val="24"/>
          <w:szCs w:val="24"/>
        </w:rPr>
        <w:t>Polygonum hydropiper</w:t>
      </w:r>
      <w:r>
        <w:rPr>
          <w:rFonts w:hint="eastAsia" w:ascii="宋体" w:hAnsi="宋体" w:eastAsia="宋体" w:cs="宋体"/>
          <w:color w:val="auto"/>
          <w:sz w:val="24"/>
          <w:szCs w:val="24"/>
        </w:rPr>
        <w:t>、蜈蚣草</w:t>
      </w:r>
      <w:r>
        <w:rPr>
          <w:rFonts w:hint="eastAsia" w:ascii="宋体" w:hAnsi="宋体" w:eastAsia="宋体" w:cs="宋体"/>
          <w:i/>
          <w:color w:val="auto"/>
          <w:sz w:val="24"/>
          <w:szCs w:val="24"/>
        </w:rPr>
        <w:t>Pteris vittata</w:t>
      </w:r>
      <w:r>
        <w:rPr>
          <w:rFonts w:hint="eastAsia" w:ascii="宋体" w:hAnsi="宋体" w:eastAsia="宋体" w:cs="宋体"/>
          <w:color w:val="auto"/>
          <w:sz w:val="24"/>
          <w:szCs w:val="24"/>
        </w:rPr>
        <w:t>、繁缕</w:t>
      </w:r>
      <w:r>
        <w:rPr>
          <w:rFonts w:hint="eastAsia" w:ascii="宋体" w:hAnsi="宋体" w:eastAsia="宋体" w:cs="宋体"/>
          <w:i/>
          <w:color w:val="auto"/>
          <w:sz w:val="24"/>
          <w:szCs w:val="24"/>
        </w:rPr>
        <w:t>Stellaria media</w:t>
      </w:r>
      <w:r>
        <w:rPr>
          <w:rFonts w:hint="eastAsia" w:ascii="宋体" w:hAnsi="宋体" w:eastAsia="宋体" w:cs="宋体"/>
          <w:color w:val="auto"/>
          <w:sz w:val="24"/>
          <w:szCs w:val="24"/>
        </w:rPr>
        <w:t>、龙葵</w:t>
      </w:r>
      <w:r>
        <w:rPr>
          <w:rFonts w:hint="eastAsia" w:ascii="宋体" w:hAnsi="宋体" w:eastAsia="宋体" w:cs="宋体"/>
          <w:i/>
          <w:color w:val="auto"/>
          <w:sz w:val="24"/>
          <w:szCs w:val="24"/>
        </w:rPr>
        <w:t>Solanum nigrum</w:t>
      </w:r>
      <w:r>
        <w:rPr>
          <w:rFonts w:hint="eastAsia" w:ascii="宋体" w:hAnsi="宋体" w:eastAsia="宋体" w:cs="宋体"/>
          <w:color w:val="auto"/>
          <w:sz w:val="24"/>
          <w:szCs w:val="24"/>
        </w:rPr>
        <w:t>、婆婆纳</w:t>
      </w:r>
      <w:r>
        <w:rPr>
          <w:rFonts w:hint="eastAsia" w:ascii="宋体" w:hAnsi="宋体" w:eastAsia="宋体" w:cs="宋体"/>
          <w:i/>
          <w:color w:val="auto"/>
          <w:sz w:val="24"/>
          <w:szCs w:val="24"/>
        </w:rPr>
        <w:t>Veronica didyma</w:t>
      </w:r>
      <w:r>
        <w:rPr>
          <w:rFonts w:hint="eastAsia" w:ascii="宋体" w:hAnsi="宋体" w:eastAsia="宋体" w:cs="宋体"/>
          <w:color w:val="auto"/>
          <w:sz w:val="24"/>
          <w:szCs w:val="24"/>
        </w:rPr>
        <w:t>、白茅</w:t>
      </w:r>
      <w:r>
        <w:rPr>
          <w:rFonts w:hint="eastAsia" w:ascii="宋体" w:hAnsi="宋体" w:eastAsia="宋体" w:cs="宋体"/>
          <w:i/>
          <w:color w:val="auto"/>
          <w:sz w:val="24"/>
          <w:szCs w:val="24"/>
        </w:rPr>
        <w:t>Imperata cylindrica</w:t>
      </w:r>
      <w:r>
        <w:rPr>
          <w:rFonts w:hint="eastAsia" w:ascii="宋体" w:hAnsi="宋体" w:eastAsia="宋体" w:cs="宋体"/>
          <w:color w:val="auto"/>
          <w:kern w:val="0"/>
          <w:sz w:val="24"/>
          <w:szCs w:val="24"/>
        </w:rPr>
        <w:t>、</w:t>
      </w:r>
      <w:r>
        <w:rPr>
          <w:rFonts w:hint="eastAsia" w:ascii="宋体" w:hAnsi="宋体" w:eastAsia="宋体" w:cs="宋体"/>
          <w:color w:val="auto"/>
          <w:sz w:val="24"/>
          <w:szCs w:val="24"/>
        </w:rPr>
        <w:t>间型沿阶草</w:t>
      </w:r>
      <w:r>
        <w:rPr>
          <w:rFonts w:hint="eastAsia" w:ascii="宋体" w:hAnsi="宋体" w:eastAsia="宋体" w:cs="宋体"/>
          <w:i/>
          <w:color w:val="auto"/>
          <w:sz w:val="24"/>
          <w:szCs w:val="24"/>
        </w:rPr>
        <w:t>Ophiopogon infermedius</w:t>
      </w:r>
      <w:r>
        <w:rPr>
          <w:rFonts w:hint="eastAsia" w:ascii="宋体" w:hAnsi="宋体" w:eastAsia="宋体" w:cs="宋体"/>
          <w:color w:val="auto"/>
          <w:sz w:val="24"/>
          <w:szCs w:val="24"/>
        </w:rPr>
        <w:t>、牛筋草</w:t>
      </w:r>
      <w:r>
        <w:rPr>
          <w:rFonts w:hint="eastAsia" w:ascii="宋体" w:hAnsi="宋体" w:eastAsia="宋体" w:cs="宋体"/>
          <w:i/>
          <w:color w:val="auto"/>
          <w:sz w:val="24"/>
          <w:szCs w:val="24"/>
        </w:rPr>
        <w:t>Eleusine indica</w:t>
      </w:r>
      <w:r>
        <w:rPr>
          <w:rFonts w:hint="eastAsia" w:ascii="宋体" w:hAnsi="宋体" w:eastAsia="宋体" w:cs="宋体"/>
          <w:color w:val="auto"/>
          <w:sz w:val="24"/>
          <w:szCs w:val="24"/>
        </w:rPr>
        <w:t>等。</w:t>
      </w:r>
    </w:p>
    <w:p>
      <w:pPr>
        <w:pStyle w:val="148"/>
        <w:numPr>
          <w:ilvl w:val="0"/>
          <w:numId w:val="7"/>
        </w:numPr>
        <w:adjustRightInd w:val="0"/>
        <w:snapToGrid w:val="0"/>
        <w:ind w:firstLineChars="0"/>
        <w:rPr>
          <w:rFonts w:hint="eastAsia" w:ascii="宋体" w:hAnsi="宋体" w:eastAsia="宋体" w:cs="宋体"/>
          <w:color w:val="auto"/>
          <w:sz w:val="24"/>
          <w:szCs w:val="24"/>
        </w:rPr>
      </w:pPr>
      <w:r>
        <w:rPr>
          <w:rFonts w:hint="eastAsia" w:ascii="宋体" w:hAnsi="宋体" w:eastAsia="宋体" w:cs="宋体"/>
          <w:color w:val="auto"/>
          <w:sz w:val="24"/>
          <w:szCs w:val="24"/>
        </w:rPr>
        <w:t>农作物植被</w:t>
      </w:r>
    </w:p>
    <w:p>
      <w:pPr>
        <w:adjustRightInd w:val="0"/>
        <w:snapToGrid w:val="0"/>
        <w:spacing w:line="360" w:lineRule="auto"/>
        <w:ind w:firstLine="540" w:firstLineChars="225"/>
        <w:rPr>
          <w:rFonts w:hint="eastAsia" w:ascii="宋体" w:hAnsi="宋体" w:eastAsia="宋体" w:cs="宋体"/>
          <w:color w:val="auto"/>
          <w:sz w:val="24"/>
          <w:szCs w:val="24"/>
        </w:rPr>
      </w:pPr>
      <w:r>
        <w:rPr>
          <w:rFonts w:hint="eastAsia" w:ascii="宋体" w:hAnsi="宋体" w:eastAsia="宋体" w:cs="宋体"/>
          <w:color w:val="auto"/>
          <w:kern w:val="0"/>
          <w:sz w:val="24"/>
          <w:szCs w:val="24"/>
        </w:rPr>
        <w:t>分布于居民聚居点附近，以人工栽种的牛皮菜</w:t>
      </w:r>
      <w:r>
        <w:rPr>
          <w:rFonts w:hint="eastAsia" w:ascii="宋体" w:hAnsi="宋体" w:eastAsia="宋体" w:cs="宋体"/>
          <w:i/>
          <w:color w:val="auto"/>
          <w:kern w:val="0"/>
          <w:sz w:val="24"/>
          <w:szCs w:val="24"/>
        </w:rPr>
        <w:t>Beta vulgaris</w:t>
      </w:r>
      <w:r>
        <w:rPr>
          <w:rFonts w:hint="eastAsia" w:ascii="宋体" w:hAnsi="宋体" w:eastAsia="宋体" w:cs="宋体"/>
          <w:color w:val="auto"/>
          <w:kern w:val="0"/>
          <w:sz w:val="24"/>
          <w:szCs w:val="24"/>
        </w:rPr>
        <w:t>、卷心菜</w:t>
      </w:r>
      <w:r>
        <w:rPr>
          <w:rFonts w:hint="eastAsia" w:ascii="宋体" w:hAnsi="宋体" w:eastAsia="宋体" w:cs="宋体"/>
          <w:i/>
          <w:color w:val="auto"/>
          <w:kern w:val="0"/>
          <w:sz w:val="24"/>
          <w:szCs w:val="24"/>
        </w:rPr>
        <w:t>Brassica oleracea var. capitata</w:t>
      </w:r>
      <w:r>
        <w:rPr>
          <w:rFonts w:hint="eastAsia" w:ascii="宋体" w:hAnsi="宋体" w:eastAsia="宋体" w:cs="宋体"/>
          <w:color w:val="auto"/>
          <w:kern w:val="0"/>
          <w:sz w:val="24"/>
          <w:szCs w:val="24"/>
        </w:rPr>
        <w:t>、小油菜</w:t>
      </w:r>
      <w:r>
        <w:rPr>
          <w:rFonts w:hint="eastAsia" w:ascii="宋体" w:hAnsi="宋体" w:eastAsia="宋体" w:cs="宋体"/>
          <w:i/>
          <w:color w:val="auto"/>
          <w:kern w:val="0"/>
          <w:sz w:val="24"/>
          <w:szCs w:val="24"/>
        </w:rPr>
        <w:t>Brassica chinensis</w:t>
      </w:r>
      <w:r>
        <w:rPr>
          <w:rFonts w:hint="eastAsia" w:ascii="宋体" w:hAnsi="宋体" w:eastAsia="宋体" w:cs="宋体"/>
          <w:color w:val="auto"/>
          <w:kern w:val="0"/>
          <w:sz w:val="24"/>
          <w:szCs w:val="24"/>
        </w:rPr>
        <w:t>、葱</w:t>
      </w:r>
      <w:r>
        <w:rPr>
          <w:rFonts w:hint="eastAsia" w:ascii="宋体" w:hAnsi="宋体" w:eastAsia="宋体" w:cs="宋体"/>
          <w:i/>
          <w:color w:val="auto"/>
          <w:kern w:val="0"/>
          <w:sz w:val="24"/>
          <w:szCs w:val="24"/>
        </w:rPr>
        <w:t>Allium fistulosum</w:t>
      </w:r>
      <w:r>
        <w:rPr>
          <w:rFonts w:hint="eastAsia" w:ascii="宋体" w:hAnsi="宋体" w:eastAsia="宋体" w:cs="宋体"/>
          <w:color w:val="auto"/>
          <w:kern w:val="0"/>
          <w:sz w:val="24"/>
          <w:szCs w:val="24"/>
        </w:rPr>
        <w:t>、蒜</w:t>
      </w:r>
      <w:r>
        <w:rPr>
          <w:rFonts w:hint="eastAsia" w:ascii="宋体" w:hAnsi="宋体" w:eastAsia="宋体" w:cs="宋体"/>
          <w:i/>
          <w:color w:val="auto"/>
          <w:kern w:val="0"/>
          <w:sz w:val="24"/>
          <w:szCs w:val="24"/>
        </w:rPr>
        <w:t>Allium sativum</w:t>
      </w:r>
      <w:r>
        <w:rPr>
          <w:rFonts w:hint="eastAsia" w:ascii="宋体" w:hAnsi="宋体" w:eastAsia="宋体" w:cs="宋体"/>
          <w:color w:val="auto"/>
          <w:kern w:val="0"/>
          <w:sz w:val="24"/>
          <w:szCs w:val="24"/>
        </w:rPr>
        <w:t>、南瓜</w:t>
      </w:r>
      <w:r>
        <w:rPr>
          <w:rFonts w:hint="eastAsia" w:ascii="宋体" w:hAnsi="宋体" w:eastAsia="宋体" w:cs="宋体"/>
          <w:i/>
          <w:color w:val="auto"/>
          <w:kern w:val="0"/>
          <w:sz w:val="24"/>
          <w:szCs w:val="24"/>
        </w:rPr>
        <w:t>Cucurbita moschata</w:t>
      </w:r>
      <w:r>
        <w:rPr>
          <w:rFonts w:hint="eastAsia" w:ascii="宋体" w:hAnsi="宋体" w:eastAsia="宋体" w:cs="宋体"/>
          <w:color w:val="auto"/>
          <w:kern w:val="0"/>
          <w:sz w:val="24"/>
          <w:szCs w:val="24"/>
        </w:rPr>
        <w:t>等农</w:t>
      </w:r>
      <w:r>
        <w:rPr>
          <w:rFonts w:hint="eastAsia" w:ascii="宋体" w:hAnsi="宋体" w:eastAsia="宋体" w:cs="宋体"/>
          <w:color w:val="auto"/>
          <w:sz w:val="24"/>
          <w:szCs w:val="24"/>
        </w:rPr>
        <w:t>作物为主。</w:t>
      </w:r>
    </w:p>
    <w:p>
      <w:pPr>
        <w:adjustRightInd w:val="0"/>
        <w:snapToGrid w:val="0"/>
        <w:spacing w:line="360" w:lineRule="auto"/>
        <w:ind w:firstLine="540" w:firstLineChars="225"/>
        <w:rPr>
          <w:rFonts w:hint="eastAsia" w:ascii="宋体" w:hAnsi="宋体" w:eastAsia="宋体" w:cs="宋体"/>
          <w:color w:val="auto"/>
          <w:kern w:val="0"/>
          <w:sz w:val="24"/>
          <w:szCs w:val="24"/>
        </w:rPr>
      </w:pPr>
      <w:r>
        <w:rPr>
          <w:rFonts w:hint="eastAsia" w:ascii="宋体" w:hAnsi="宋体" w:eastAsia="宋体" w:cs="宋体"/>
          <w:color w:val="auto"/>
          <w:sz w:val="24"/>
          <w:szCs w:val="24"/>
        </w:rPr>
        <w:t>农田周围尚</w:t>
      </w:r>
      <w:r>
        <w:rPr>
          <w:rFonts w:hint="eastAsia" w:ascii="宋体" w:hAnsi="宋体" w:eastAsia="宋体" w:cs="宋体"/>
          <w:color w:val="auto"/>
          <w:kern w:val="0"/>
          <w:sz w:val="24"/>
          <w:szCs w:val="24"/>
        </w:rPr>
        <w:t>有葎草</w:t>
      </w:r>
      <w:r>
        <w:rPr>
          <w:rFonts w:hint="eastAsia" w:ascii="宋体" w:hAnsi="宋体" w:eastAsia="宋体" w:cs="宋体"/>
          <w:i/>
          <w:color w:val="auto"/>
          <w:kern w:val="0"/>
          <w:sz w:val="24"/>
          <w:szCs w:val="24"/>
        </w:rPr>
        <w:t>Humulus scandens</w:t>
      </w:r>
      <w:r>
        <w:rPr>
          <w:rFonts w:hint="eastAsia" w:ascii="宋体" w:hAnsi="宋体" w:eastAsia="宋体" w:cs="宋体"/>
          <w:color w:val="auto"/>
          <w:kern w:val="0"/>
          <w:sz w:val="24"/>
          <w:szCs w:val="24"/>
        </w:rPr>
        <w:t>、空心莲子草</w:t>
      </w:r>
      <w:r>
        <w:rPr>
          <w:rFonts w:hint="eastAsia" w:ascii="宋体" w:hAnsi="宋体" w:eastAsia="宋体" w:cs="宋体"/>
          <w:i/>
          <w:color w:val="auto"/>
          <w:kern w:val="0"/>
          <w:sz w:val="24"/>
          <w:szCs w:val="24"/>
        </w:rPr>
        <w:t>Alternanthera philoxeroi</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艾蒿</w:t>
      </w:r>
      <w:r>
        <w:rPr>
          <w:rFonts w:hint="eastAsia" w:ascii="宋体" w:hAnsi="宋体" w:eastAsia="宋体" w:cs="宋体"/>
          <w:i/>
          <w:color w:val="auto"/>
          <w:sz w:val="24"/>
          <w:szCs w:val="24"/>
        </w:rPr>
        <w:t>Artemisia arayi</w:t>
      </w:r>
      <w:r>
        <w:rPr>
          <w:rFonts w:hint="eastAsia" w:ascii="宋体" w:hAnsi="宋体" w:eastAsia="宋体" w:cs="宋体"/>
          <w:color w:val="auto"/>
          <w:kern w:val="0"/>
          <w:sz w:val="24"/>
          <w:szCs w:val="24"/>
        </w:rPr>
        <w:t>、矛叶荩草</w:t>
      </w:r>
      <w:r>
        <w:rPr>
          <w:rFonts w:hint="eastAsia" w:ascii="宋体" w:hAnsi="宋体" w:eastAsia="宋体" w:cs="宋体"/>
          <w:i/>
          <w:color w:val="auto"/>
          <w:sz w:val="24"/>
          <w:szCs w:val="24"/>
        </w:rPr>
        <w:t>Arthraxon lanceoltus</w:t>
      </w:r>
      <w:r>
        <w:rPr>
          <w:rFonts w:hint="eastAsia" w:ascii="宋体" w:hAnsi="宋体" w:eastAsia="宋体" w:cs="宋体"/>
          <w:color w:val="auto"/>
          <w:kern w:val="0"/>
          <w:sz w:val="24"/>
          <w:szCs w:val="24"/>
        </w:rPr>
        <w:t>、水蓼</w:t>
      </w:r>
      <w:r>
        <w:rPr>
          <w:rFonts w:hint="eastAsia" w:ascii="宋体" w:hAnsi="宋体" w:eastAsia="宋体" w:cs="宋体"/>
          <w:i/>
          <w:color w:val="auto"/>
          <w:kern w:val="0"/>
          <w:sz w:val="24"/>
          <w:szCs w:val="24"/>
        </w:rPr>
        <w:t>Polygonum hydropiper</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车前</w:t>
      </w:r>
      <w:r>
        <w:rPr>
          <w:rFonts w:hint="eastAsia" w:ascii="宋体" w:hAnsi="宋体" w:eastAsia="宋体" w:cs="宋体"/>
          <w:i/>
          <w:color w:val="auto"/>
          <w:sz w:val="24"/>
          <w:szCs w:val="24"/>
        </w:rPr>
        <w:t>Plantago asiatica</w:t>
      </w:r>
      <w:r>
        <w:rPr>
          <w:rFonts w:hint="eastAsia" w:ascii="宋体" w:hAnsi="宋体" w:eastAsia="宋体" w:cs="宋体"/>
          <w:color w:val="auto"/>
          <w:kern w:val="0"/>
          <w:sz w:val="24"/>
          <w:szCs w:val="24"/>
        </w:rPr>
        <w:t>、马唐</w:t>
      </w:r>
      <w:r>
        <w:rPr>
          <w:rFonts w:hint="eastAsia" w:ascii="宋体" w:hAnsi="宋体" w:eastAsia="宋体" w:cs="宋体"/>
          <w:i/>
          <w:color w:val="auto"/>
          <w:sz w:val="24"/>
          <w:szCs w:val="24"/>
        </w:rPr>
        <w:t>Digitariasanguinalis</w:t>
      </w:r>
      <w:r>
        <w:rPr>
          <w:rFonts w:hint="eastAsia" w:ascii="宋体" w:hAnsi="宋体" w:eastAsia="宋体" w:cs="宋体"/>
          <w:color w:val="auto"/>
          <w:kern w:val="0"/>
          <w:sz w:val="24"/>
          <w:szCs w:val="24"/>
        </w:rPr>
        <w:t>、牛筋草</w:t>
      </w:r>
      <w:r>
        <w:rPr>
          <w:rFonts w:hint="eastAsia" w:ascii="宋体" w:hAnsi="宋体" w:eastAsia="宋体" w:cs="宋体"/>
          <w:i/>
          <w:color w:val="auto"/>
          <w:sz w:val="24"/>
          <w:szCs w:val="24"/>
        </w:rPr>
        <w:t>Eleusineindica</w:t>
      </w:r>
      <w:r>
        <w:rPr>
          <w:rFonts w:hint="eastAsia" w:ascii="宋体" w:hAnsi="宋体" w:eastAsia="宋体" w:cs="宋体"/>
          <w:color w:val="auto"/>
          <w:kern w:val="0"/>
          <w:sz w:val="24"/>
          <w:szCs w:val="24"/>
        </w:rPr>
        <w:t>、杠板归</w:t>
      </w:r>
      <w:r>
        <w:rPr>
          <w:rFonts w:hint="eastAsia" w:ascii="宋体" w:hAnsi="宋体" w:eastAsia="宋体" w:cs="宋体"/>
          <w:i/>
          <w:color w:val="auto"/>
          <w:kern w:val="0"/>
          <w:sz w:val="24"/>
          <w:szCs w:val="24"/>
        </w:rPr>
        <w:t>Polygonum perfoliatum</w:t>
      </w:r>
      <w:r>
        <w:rPr>
          <w:rFonts w:hint="eastAsia" w:ascii="宋体" w:hAnsi="宋体" w:eastAsia="宋体" w:cs="宋体"/>
          <w:color w:val="auto"/>
          <w:kern w:val="0"/>
          <w:sz w:val="24"/>
          <w:szCs w:val="24"/>
        </w:rPr>
        <w:t>、野紫苏</w:t>
      </w:r>
      <w:r>
        <w:rPr>
          <w:rFonts w:hint="eastAsia" w:ascii="宋体" w:hAnsi="宋体" w:eastAsia="宋体" w:cs="宋体"/>
          <w:i/>
          <w:color w:val="auto"/>
          <w:kern w:val="0"/>
          <w:sz w:val="24"/>
          <w:szCs w:val="24"/>
        </w:rPr>
        <w:t>Perilla frutescens</w:t>
      </w:r>
      <w:r>
        <w:rPr>
          <w:rFonts w:hint="eastAsia" w:ascii="宋体" w:hAnsi="宋体" w:eastAsia="宋体" w:cs="宋体"/>
          <w:color w:val="auto"/>
          <w:kern w:val="0"/>
          <w:sz w:val="24"/>
          <w:szCs w:val="24"/>
        </w:rPr>
        <w:t>、野茼蒿</w:t>
      </w:r>
      <w:r>
        <w:rPr>
          <w:rFonts w:hint="eastAsia" w:ascii="宋体" w:hAnsi="宋体" w:eastAsia="宋体" w:cs="宋体"/>
          <w:i/>
          <w:color w:val="auto"/>
          <w:kern w:val="0"/>
          <w:sz w:val="24"/>
          <w:szCs w:val="24"/>
        </w:rPr>
        <w:t>Crassocephalum crepidioides</w:t>
      </w:r>
      <w:r>
        <w:rPr>
          <w:rFonts w:hint="eastAsia" w:ascii="宋体" w:hAnsi="宋体" w:eastAsia="宋体" w:cs="宋体"/>
          <w:color w:val="auto"/>
          <w:kern w:val="0"/>
          <w:sz w:val="24"/>
          <w:szCs w:val="24"/>
        </w:rPr>
        <w:t>、龙葵</w:t>
      </w:r>
      <w:r>
        <w:rPr>
          <w:rFonts w:hint="eastAsia" w:ascii="宋体" w:hAnsi="宋体" w:eastAsia="宋体" w:cs="宋体"/>
          <w:i/>
          <w:color w:val="auto"/>
          <w:kern w:val="0"/>
          <w:sz w:val="24"/>
          <w:szCs w:val="24"/>
        </w:rPr>
        <w:t>Solanum nigrum</w:t>
      </w:r>
      <w:r>
        <w:rPr>
          <w:rFonts w:hint="eastAsia" w:ascii="宋体" w:hAnsi="宋体" w:eastAsia="宋体" w:cs="宋体"/>
          <w:color w:val="auto"/>
          <w:kern w:val="0"/>
          <w:sz w:val="24"/>
          <w:szCs w:val="24"/>
        </w:rPr>
        <w:t>、黄花蒿</w:t>
      </w:r>
      <w:r>
        <w:rPr>
          <w:rFonts w:hint="eastAsia" w:ascii="宋体" w:hAnsi="宋体" w:eastAsia="宋体" w:cs="宋体"/>
          <w:i/>
          <w:iCs/>
          <w:color w:val="auto"/>
          <w:kern w:val="0"/>
          <w:sz w:val="24"/>
          <w:szCs w:val="24"/>
        </w:rPr>
        <w:t>Artemisia annua</w:t>
      </w:r>
      <w:r>
        <w:rPr>
          <w:rFonts w:hint="eastAsia" w:ascii="宋体" w:hAnsi="宋体" w:eastAsia="宋体" w:cs="宋体"/>
          <w:color w:val="auto"/>
          <w:kern w:val="0"/>
          <w:sz w:val="24"/>
          <w:szCs w:val="24"/>
        </w:rPr>
        <w:t>、鱼眼草</w:t>
      </w:r>
      <w:r>
        <w:rPr>
          <w:rFonts w:hint="eastAsia" w:ascii="宋体" w:hAnsi="宋体" w:eastAsia="宋体" w:cs="宋体"/>
          <w:i/>
          <w:color w:val="auto"/>
          <w:kern w:val="0"/>
          <w:sz w:val="24"/>
          <w:szCs w:val="24"/>
        </w:rPr>
        <w:t>Dichrocephala auriculata</w:t>
      </w:r>
      <w:r>
        <w:rPr>
          <w:rFonts w:hint="eastAsia" w:ascii="宋体" w:hAnsi="宋体" w:eastAsia="宋体" w:cs="宋体"/>
          <w:color w:val="auto"/>
          <w:kern w:val="0"/>
          <w:sz w:val="24"/>
          <w:szCs w:val="24"/>
        </w:rPr>
        <w:t>、繁缕</w:t>
      </w:r>
      <w:r>
        <w:rPr>
          <w:rFonts w:hint="eastAsia" w:ascii="宋体" w:hAnsi="宋体" w:eastAsia="宋体" w:cs="宋体"/>
          <w:i/>
          <w:color w:val="auto"/>
          <w:kern w:val="0"/>
          <w:sz w:val="24"/>
          <w:szCs w:val="24"/>
        </w:rPr>
        <w:t>Stellaria media</w:t>
      </w:r>
      <w:r>
        <w:rPr>
          <w:rFonts w:hint="eastAsia" w:ascii="宋体" w:hAnsi="宋体" w:eastAsia="宋体" w:cs="宋体"/>
          <w:color w:val="auto"/>
          <w:kern w:val="0"/>
          <w:sz w:val="24"/>
          <w:szCs w:val="24"/>
        </w:rPr>
        <w:t>、接骨草</w:t>
      </w:r>
      <w:r>
        <w:rPr>
          <w:rFonts w:hint="eastAsia" w:ascii="宋体" w:hAnsi="宋体" w:eastAsia="宋体" w:cs="宋体"/>
          <w:i/>
          <w:color w:val="auto"/>
          <w:sz w:val="24"/>
          <w:szCs w:val="24"/>
        </w:rPr>
        <w:t>Sambucuschinensis</w:t>
      </w:r>
      <w:r>
        <w:rPr>
          <w:rFonts w:hint="eastAsia" w:ascii="宋体" w:hAnsi="宋体" w:eastAsia="宋体" w:cs="宋体"/>
          <w:color w:val="auto"/>
          <w:kern w:val="0"/>
          <w:sz w:val="24"/>
          <w:szCs w:val="24"/>
        </w:rPr>
        <w:t>、黄鹌菜</w:t>
      </w:r>
      <w:r>
        <w:rPr>
          <w:rFonts w:hint="eastAsia" w:ascii="宋体" w:hAnsi="宋体" w:eastAsia="宋体" w:cs="宋体"/>
          <w:i/>
          <w:color w:val="auto"/>
          <w:sz w:val="24"/>
          <w:szCs w:val="24"/>
        </w:rPr>
        <w:t>Youngiajaponica</w:t>
      </w:r>
      <w:r>
        <w:rPr>
          <w:rFonts w:hint="eastAsia" w:ascii="宋体" w:hAnsi="宋体" w:eastAsia="宋体" w:cs="宋体"/>
          <w:color w:val="auto"/>
          <w:kern w:val="0"/>
          <w:sz w:val="24"/>
          <w:szCs w:val="24"/>
        </w:rPr>
        <w:t>、猪殃殃</w:t>
      </w:r>
      <w:r>
        <w:rPr>
          <w:rFonts w:hint="eastAsia" w:ascii="宋体" w:hAnsi="宋体" w:eastAsia="宋体" w:cs="宋体"/>
          <w:i/>
          <w:color w:val="auto"/>
          <w:sz w:val="24"/>
          <w:szCs w:val="24"/>
        </w:rPr>
        <w:t>Galiumaparinevar</w:t>
      </w:r>
      <w:r>
        <w:rPr>
          <w:rFonts w:hint="eastAsia" w:ascii="宋体" w:hAnsi="宋体" w:eastAsia="宋体" w:cs="宋体"/>
          <w:color w:val="auto"/>
          <w:kern w:val="0"/>
          <w:sz w:val="24"/>
          <w:szCs w:val="24"/>
        </w:rPr>
        <w:t xml:space="preserve">. </w:t>
      </w:r>
      <w:r>
        <w:rPr>
          <w:rFonts w:hint="eastAsia" w:ascii="宋体" w:hAnsi="宋体" w:eastAsia="宋体" w:cs="宋体"/>
          <w:i/>
          <w:color w:val="auto"/>
          <w:sz w:val="24"/>
          <w:szCs w:val="24"/>
        </w:rPr>
        <w:t>tenerum</w:t>
      </w:r>
      <w:r>
        <w:rPr>
          <w:rFonts w:hint="eastAsia" w:ascii="宋体" w:hAnsi="宋体" w:eastAsia="宋体" w:cs="宋体"/>
          <w:color w:val="auto"/>
          <w:kern w:val="0"/>
          <w:sz w:val="24"/>
          <w:szCs w:val="24"/>
        </w:rPr>
        <w:t>、野苋菜</w:t>
      </w:r>
      <w:r>
        <w:rPr>
          <w:rFonts w:hint="eastAsia" w:ascii="宋体" w:hAnsi="宋体" w:eastAsia="宋体" w:cs="宋体"/>
          <w:i/>
          <w:color w:val="auto"/>
          <w:kern w:val="0"/>
          <w:sz w:val="24"/>
          <w:szCs w:val="24"/>
        </w:rPr>
        <w:t>Amaranthus viridis</w:t>
      </w:r>
      <w:r>
        <w:rPr>
          <w:rFonts w:hint="eastAsia" w:ascii="宋体" w:hAnsi="宋体" w:eastAsia="宋体" w:cs="宋体"/>
          <w:color w:val="auto"/>
          <w:kern w:val="0"/>
          <w:sz w:val="24"/>
          <w:szCs w:val="24"/>
        </w:rPr>
        <w:t>、蜈蚣草</w:t>
      </w:r>
      <w:r>
        <w:rPr>
          <w:rFonts w:hint="eastAsia" w:ascii="宋体" w:hAnsi="宋体" w:eastAsia="宋体" w:cs="宋体"/>
          <w:i/>
          <w:color w:val="auto"/>
          <w:sz w:val="24"/>
          <w:szCs w:val="24"/>
        </w:rPr>
        <w:t>Eremochloaciliaris</w:t>
      </w:r>
      <w:r>
        <w:rPr>
          <w:rFonts w:hint="eastAsia" w:ascii="宋体" w:hAnsi="宋体" w:eastAsia="宋体" w:cs="宋体"/>
          <w:color w:val="auto"/>
          <w:kern w:val="0"/>
          <w:sz w:val="24"/>
          <w:szCs w:val="24"/>
        </w:rPr>
        <w:t>等植物。</w:t>
      </w:r>
    </w:p>
    <w:p>
      <w:pPr>
        <w:adjustRightInd w:val="0"/>
        <w:snapToGrid w:val="0"/>
        <w:spacing w:line="360" w:lineRule="auto"/>
        <w:ind w:firstLine="602" w:firstLineChars="250"/>
        <w:rPr>
          <w:rFonts w:ascii="Times New Roman" w:hAnsi="Times New Roman"/>
          <w:b/>
          <w:bCs/>
          <w:color w:val="auto"/>
          <w:sz w:val="24"/>
        </w:rPr>
      </w:pPr>
      <w:r>
        <w:rPr>
          <w:rFonts w:ascii="Times New Roman" w:hAnsi="Times New Roman"/>
          <w:b/>
          <w:bCs/>
          <w:color w:val="auto"/>
          <w:sz w:val="24"/>
        </w:rPr>
        <w:t>（3）植被图</w:t>
      </w:r>
    </w:p>
    <w:p>
      <w:pPr>
        <w:adjustRightInd w:val="0"/>
        <w:snapToGrid w:val="0"/>
        <w:spacing w:line="360" w:lineRule="auto"/>
        <w:ind w:firstLine="482"/>
        <w:rPr>
          <w:rFonts w:ascii="Times New Roman" w:hAnsi="Times New Roman"/>
          <w:color w:val="auto"/>
          <w:kern w:val="0"/>
          <w:sz w:val="24"/>
          <w:szCs w:val="21"/>
          <w:highlight w:val="yellow"/>
        </w:rPr>
      </w:pPr>
      <w:r>
        <w:rPr>
          <w:rFonts w:ascii="Times New Roman" w:hAnsi="Times New Roman"/>
          <w:color w:val="auto"/>
          <w:kern w:val="0"/>
          <w:sz w:val="24"/>
          <w:szCs w:val="21"/>
        </w:rPr>
        <w:t>根据收集已有资料及现场调查结果，评价区植被类型分布图</w:t>
      </w:r>
      <w:r>
        <w:rPr>
          <w:rFonts w:hint="eastAsia" w:ascii="Times New Roman" w:hAnsi="Times New Roman"/>
          <w:color w:val="auto"/>
          <w:kern w:val="0"/>
          <w:sz w:val="24"/>
          <w:szCs w:val="21"/>
          <w:lang w:eastAsia="zh-CN"/>
        </w:rPr>
        <w:t>，</w:t>
      </w:r>
      <w:r>
        <w:rPr>
          <w:rFonts w:ascii="Times New Roman" w:hAnsi="Times New Roman"/>
          <w:color w:val="auto"/>
          <w:kern w:val="0"/>
          <w:sz w:val="24"/>
          <w:szCs w:val="21"/>
        </w:rPr>
        <w:t>见附图。</w:t>
      </w:r>
    </w:p>
    <w:p>
      <w:pPr>
        <w:pStyle w:val="4"/>
        <w:spacing w:before="120" w:after="120"/>
        <w:rPr>
          <w:color w:val="auto"/>
        </w:rPr>
      </w:pPr>
      <w:bookmarkStart w:id="202" w:name="_Toc8173"/>
      <w:r>
        <w:rPr>
          <w:color w:val="auto"/>
        </w:rPr>
        <w:t>陆生动物现状调查与评价</w:t>
      </w:r>
      <w:bookmarkEnd w:id="202"/>
    </w:p>
    <w:p>
      <w:pPr>
        <w:adjustRightInd w:val="0"/>
        <w:snapToGrid w:val="0"/>
        <w:spacing w:line="360" w:lineRule="auto"/>
        <w:ind w:firstLine="480" w:firstLineChars="200"/>
        <w:rPr>
          <w:rFonts w:ascii="Times New Roman" w:hAnsi="Times New Roman"/>
          <w:color w:val="auto"/>
          <w:sz w:val="24"/>
          <w:szCs w:val="21"/>
        </w:rPr>
      </w:pPr>
      <w:r>
        <w:rPr>
          <w:rFonts w:ascii="Times New Roman" w:hAnsi="Times New Roman"/>
          <w:color w:val="auto"/>
          <w:sz w:val="24"/>
          <w:szCs w:val="21"/>
        </w:rPr>
        <w:t>根据现场调查、访问和查阅相关资料，评价区共有陆生脊椎动物46种，其中其中两栖类5种，爬行类7种，鸟类约26种，兽类8种，没有国家级重点保护动物。</w:t>
      </w:r>
    </w:p>
    <w:p>
      <w:pPr>
        <w:pStyle w:val="5"/>
        <w:rPr>
          <w:b w:val="0"/>
          <w:bCs w:val="0"/>
          <w:color w:val="auto"/>
          <w:szCs w:val="21"/>
        </w:rPr>
      </w:pPr>
      <w:bookmarkStart w:id="203" w:name="_Toc28422"/>
      <w:bookmarkStart w:id="204" w:name="_Toc2080846"/>
      <w:bookmarkStart w:id="205" w:name="_Toc532302723"/>
      <w:r>
        <w:rPr>
          <w:color w:val="auto"/>
          <w:szCs w:val="21"/>
        </w:rPr>
        <w:t>两栖类</w:t>
      </w:r>
      <w:bookmarkEnd w:id="203"/>
      <w:bookmarkEnd w:id="204"/>
      <w:bookmarkEnd w:id="205"/>
    </w:p>
    <w:p>
      <w:pPr>
        <w:adjustRightInd w:val="0"/>
        <w:snapToGrid w:val="0"/>
        <w:spacing w:line="360" w:lineRule="auto"/>
        <w:ind w:firstLine="540" w:firstLineChars="225"/>
        <w:rPr>
          <w:rFonts w:ascii="Times New Roman" w:hAnsi="Times New Roman"/>
          <w:color w:val="auto"/>
          <w:sz w:val="24"/>
        </w:rPr>
      </w:pPr>
      <w:bookmarkStart w:id="206" w:name="_Toc2080850"/>
      <w:bookmarkStart w:id="207" w:name="_Toc532302724"/>
      <w:r>
        <w:rPr>
          <w:rFonts w:ascii="Times New Roman" w:hAnsi="Times New Roman"/>
          <w:color w:val="auto"/>
          <w:sz w:val="24"/>
        </w:rPr>
        <w:t>评价区内两栖动物主要包括5种，隶属1目2科，仅有</w:t>
      </w:r>
      <w:r>
        <w:rPr>
          <w:rFonts w:ascii="Times New Roman" w:hAnsi="Times New Roman"/>
          <w:color w:val="auto"/>
          <w:kern w:val="0"/>
          <w:sz w:val="24"/>
        </w:rPr>
        <w:t>无尾目，即为黑框蟾蜍、中华蟾蜍、黑斑侧褶</w:t>
      </w:r>
      <w:r>
        <w:rPr>
          <w:rFonts w:ascii="Times New Roman" w:hAnsi="Times New Roman"/>
          <w:color w:val="auto"/>
          <w:sz w:val="24"/>
        </w:rPr>
        <w:t>蛙、泽陆蛙等。评价区无国家级和省级保护野生两栖类。</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生态分布：根据调查区生境分布的特点，并结合两栖类分布的特点，将区内两栖类分布的生境划分成以下几类：</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生境分布：评价区海拔高差较小，生境类型较单一，两栖动物主要分布在河谷或山溪等不同生境中，在主林生境中也有两栖类分布。</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山溪、河流及其两边的河漫滩：该类生境中分布的两栖类较多，本带分布的两栖动物主要是花臭蛙等。</w:t>
      </w:r>
    </w:p>
    <w:p>
      <w:pPr>
        <w:pStyle w:val="5"/>
        <w:rPr>
          <w:b w:val="0"/>
          <w:bCs w:val="0"/>
          <w:color w:val="auto"/>
          <w:szCs w:val="21"/>
        </w:rPr>
      </w:pPr>
      <w:bookmarkStart w:id="208" w:name="_Toc26187"/>
      <w:r>
        <w:rPr>
          <w:color w:val="auto"/>
          <w:szCs w:val="21"/>
        </w:rPr>
        <w:t>爬行类</w:t>
      </w:r>
      <w:bookmarkEnd w:id="206"/>
      <w:bookmarkEnd w:id="207"/>
      <w:bookmarkEnd w:id="208"/>
    </w:p>
    <w:p>
      <w:pPr>
        <w:adjustRightInd w:val="0"/>
        <w:snapToGrid w:val="0"/>
        <w:spacing w:line="360" w:lineRule="auto"/>
        <w:ind w:firstLine="540" w:firstLineChars="225"/>
        <w:rPr>
          <w:rFonts w:ascii="Times New Roman" w:hAnsi="Times New Roman"/>
          <w:color w:val="auto"/>
          <w:sz w:val="24"/>
        </w:rPr>
      </w:pPr>
      <w:bookmarkStart w:id="209" w:name="_Toc2080854"/>
      <w:r>
        <w:rPr>
          <w:rFonts w:ascii="Times New Roman" w:hAnsi="Times New Roman"/>
          <w:color w:val="auto"/>
          <w:sz w:val="24"/>
        </w:rPr>
        <w:t>评价区内爬行动物种类有3科7种，生境广泛。主要有王锦蛇、菜花蛇、乌梢蛇、赤链蛇等种类。</w:t>
      </w:r>
      <w:r>
        <w:rPr>
          <w:rFonts w:ascii="Times New Roman" w:hAnsi="Times New Roman"/>
          <w:color w:val="auto"/>
          <w:sz w:val="24"/>
          <w:szCs w:val="21"/>
        </w:rPr>
        <w:t>评价</w:t>
      </w:r>
      <w:r>
        <w:rPr>
          <w:rFonts w:ascii="Times New Roman" w:hAnsi="Times New Roman"/>
          <w:color w:val="auto"/>
          <w:sz w:val="24"/>
        </w:rPr>
        <w:t>区无国家级和省级保护野生爬行类。</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生态分布：根据评价区生境分布的特点，并结合爬行类分布的特点，将区内爬行类分布的生境划分成以下几类：</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农田、草丛、竹林生境：主要包括稀树草丛、农田这种类型，本带分布的爬行类主要是菜花蛇、乌梢蛇等。</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山溪、河流生境：该类生境主要包括河流及两岸的河滩地，本带分布的爬行动物主要是竹叶青、赤链蛇等。</w:t>
      </w:r>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常见种类介绍如下：</w:t>
      </w:r>
    </w:p>
    <w:p>
      <w:pPr>
        <w:adjustRightInd w:val="0"/>
        <w:snapToGrid w:val="0"/>
        <w:spacing w:line="360" w:lineRule="auto"/>
        <w:ind w:firstLine="542" w:firstLineChars="225"/>
        <w:rPr>
          <w:rFonts w:ascii="Times New Roman" w:hAnsi="Times New Roman"/>
          <w:color w:val="auto"/>
          <w:sz w:val="24"/>
        </w:rPr>
      </w:pPr>
      <w:r>
        <w:rPr>
          <w:rFonts w:ascii="Times New Roman" w:hAnsi="Times New Roman"/>
          <w:b/>
          <w:bCs/>
          <w:color w:val="auto"/>
          <w:sz w:val="24"/>
        </w:rPr>
        <w:t>菜花蛇</w:t>
      </w:r>
      <w:r>
        <w:rPr>
          <w:rFonts w:ascii="Times New Roman" w:hAnsi="Times New Roman"/>
          <w:b/>
          <w:bCs/>
          <w:i/>
          <w:iCs/>
          <w:color w:val="auto"/>
          <w:sz w:val="24"/>
        </w:rPr>
        <w:t>Elaphe taenuira</w:t>
      </w:r>
      <w:r>
        <w:rPr>
          <w:rFonts w:ascii="Times New Roman" w:hAnsi="Times New Roman"/>
          <w:b/>
          <w:bCs/>
          <w:color w:val="auto"/>
          <w:sz w:val="24"/>
        </w:rPr>
        <w:t>:</w:t>
      </w:r>
      <w:r>
        <w:rPr>
          <w:rFonts w:ascii="Times New Roman" w:hAnsi="Times New Roman"/>
          <w:color w:val="auto"/>
          <w:sz w:val="24"/>
        </w:rPr>
        <w:t>隶属于游蛇科锦蛇属。全长一般可达2m左右。通体背面黄绿色或灰褐色。躯干前半有不规则，约等距排列的黑色横纹，颇似梯形。躯干前半两侧黑黄间杂，黄色点俨如菜花，又叫菜花蛇。躯干后半部两侧以黑色为主，间以约等距排列的黄色窄横纹。躯干后部及尾部两侧形成4条黑色纵纹。此蛇多在老旧房宅或庭院洞穴内藏身，又有“家蛇”之称。主要捕吃鼠类，也吃鸟类。</w:t>
      </w:r>
    </w:p>
    <w:p>
      <w:pPr>
        <w:snapToGrid w:val="0"/>
        <w:spacing w:line="360" w:lineRule="auto"/>
        <w:ind w:firstLine="482" w:firstLineChars="200"/>
        <w:rPr>
          <w:rFonts w:ascii="Times New Roman" w:hAnsi="Times New Roman"/>
          <w:color w:val="auto"/>
          <w:sz w:val="24"/>
        </w:rPr>
      </w:pPr>
      <w:r>
        <w:rPr>
          <w:rFonts w:ascii="Times New Roman" w:hAnsi="Times New Roman"/>
          <w:b/>
          <w:color w:val="auto"/>
          <w:sz w:val="24"/>
        </w:rPr>
        <w:t>乌梢蛇</w:t>
      </w:r>
      <w:r>
        <w:rPr>
          <w:rFonts w:ascii="Times New Roman" w:hAnsi="Times New Roman"/>
          <w:b/>
          <w:i/>
          <w:color w:val="auto"/>
          <w:sz w:val="24"/>
        </w:rPr>
        <w:t>Zaocys  dhumnades</w:t>
      </w:r>
      <w:r>
        <w:rPr>
          <w:rFonts w:ascii="Times New Roman" w:hAnsi="Times New Roman"/>
          <w:color w:val="auto"/>
          <w:sz w:val="24"/>
        </w:rPr>
        <w:t>:全长可达2m以上。头扁圆，头部和颈部分界不明显。吻鳞从背面可以看到。鼻间鳞宽大于长，其与吻鳞的缝合线远较与鼻鳞的缝合线为短。前额鳞大，两鳞间的缝合线等于从其前缘至吻端的距离，宽大于长，外缘包至头侧。额鳞前大后小，长与鼻间鳞和前额鳞的和相等。眼上鳞宽大，长与其额鳞前缘至吻端的距离相等。鼻孔椭圆形，位于2鼻鳞中间。颊鳞1片，与第2、3片上唇鳞相接。眼前鳞2片，上缘包至头背。</w:t>
      </w:r>
    </w:p>
    <w:bookmarkEnd w:id="209"/>
    <w:p>
      <w:pPr>
        <w:pStyle w:val="5"/>
        <w:rPr>
          <w:b w:val="0"/>
          <w:bCs w:val="0"/>
          <w:color w:val="auto"/>
          <w:szCs w:val="21"/>
        </w:rPr>
      </w:pPr>
      <w:bookmarkStart w:id="210" w:name="_Toc14843"/>
      <w:bookmarkStart w:id="211" w:name="_Toc532302725"/>
      <w:bookmarkStart w:id="212" w:name="_Toc2080855"/>
      <w:r>
        <w:rPr>
          <w:color w:val="auto"/>
          <w:szCs w:val="21"/>
        </w:rPr>
        <w:t>鸟类</w:t>
      </w:r>
      <w:bookmarkEnd w:id="210"/>
      <w:bookmarkEnd w:id="211"/>
      <w:bookmarkEnd w:id="212"/>
    </w:p>
    <w:p>
      <w:pPr>
        <w:adjustRightInd w:val="0"/>
        <w:snapToGrid w:val="0"/>
        <w:spacing w:line="360" w:lineRule="auto"/>
        <w:ind w:firstLine="540" w:firstLineChars="225"/>
        <w:rPr>
          <w:rFonts w:ascii="Times New Roman" w:hAnsi="Times New Roman"/>
          <w:color w:val="auto"/>
          <w:sz w:val="24"/>
        </w:rPr>
      </w:pPr>
      <w:r>
        <w:rPr>
          <w:rFonts w:ascii="Times New Roman" w:hAnsi="Times New Roman"/>
          <w:color w:val="auto"/>
          <w:sz w:val="24"/>
        </w:rPr>
        <w:t>通过野外实地调查和访问，在该区域共调查到有鸟类2</w:t>
      </w:r>
      <w:r>
        <w:rPr>
          <w:rFonts w:hint="eastAsia" w:ascii="Times New Roman" w:hAnsi="Times New Roman"/>
          <w:color w:val="auto"/>
          <w:sz w:val="24"/>
          <w:lang w:val="en-US" w:eastAsia="zh-CN"/>
        </w:rPr>
        <w:t>5</w:t>
      </w:r>
      <w:r>
        <w:rPr>
          <w:rFonts w:ascii="Times New Roman" w:hAnsi="Times New Roman"/>
          <w:color w:val="auto"/>
          <w:sz w:val="24"/>
        </w:rPr>
        <w:t>种，隶属10目1</w:t>
      </w:r>
      <w:r>
        <w:rPr>
          <w:rFonts w:hint="eastAsia" w:ascii="Times New Roman" w:hAnsi="Times New Roman"/>
          <w:color w:val="auto"/>
          <w:sz w:val="24"/>
          <w:lang w:val="en-US" w:eastAsia="zh-CN"/>
        </w:rPr>
        <w:t>5</w:t>
      </w:r>
      <w:r>
        <w:rPr>
          <w:rFonts w:ascii="Times New Roman" w:hAnsi="Times New Roman"/>
          <w:color w:val="auto"/>
          <w:sz w:val="24"/>
        </w:rPr>
        <w:t>科。其中，从类群构成看，雀形目鸟类1</w:t>
      </w:r>
      <w:r>
        <w:rPr>
          <w:rFonts w:hint="eastAsia" w:ascii="Times New Roman" w:hAnsi="Times New Roman"/>
          <w:color w:val="auto"/>
          <w:sz w:val="24"/>
          <w:lang w:val="en-US" w:eastAsia="zh-CN"/>
        </w:rPr>
        <w:t>1</w:t>
      </w:r>
      <w:r>
        <w:rPr>
          <w:rFonts w:ascii="Times New Roman" w:hAnsi="Times New Roman"/>
          <w:color w:val="auto"/>
          <w:sz w:val="24"/>
        </w:rPr>
        <w:t>种，占评价区实际调查到的鸟类总种数的4</w:t>
      </w:r>
      <w:r>
        <w:rPr>
          <w:rFonts w:hint="eastAsia" w:ascii="Times New Roman" w:hAnsi="Times New Roman"/>
          <w:color w:val="auto"/>
          <w:sz w:val="24"/>
          <w:lang w:val="en-US" w:eastAsia="zh-CN"/>
        </w:rPr>
        <w:t>4</w:t>
      </w:r>
      <w:r>
        <w:rPr>
          <w:rFonts w:ascii="Times New Roman" w:hAnsi="Times New Roman"/>
          <w:color w:val="auto"/>
          <w:sz w:val="24"/>
        </w:rPr>
        <w:t>%，非雀形目鸟类14种，占5</w:t>
      </w:r>
      <w:r>
        <w:rPr>
          <w:rFonts w:hint="eastAsia" w:ascii="Times New Roman" w:hAnsi="Times New Roman"/>
          <w:color w:val="auto"/>
          <w:sz w:val="24"/>
          <w:lang w:val="en-US" w:eastAsia="zh-CN"/>
        </w:rPr>
        <w:t>6</w:t>
      </w:r>
      <w:r>
        <w:rPr>
          <w:rFonts w:ascii="Times New Roman" w:hAnsi="Times New Roman"/>
          <w:color w:val="auto"/>
          <w:sz w:val="24"/>
        </w:rPr>
        <w:t>%。各目、科的种数及所占百分比见下表：</w:t>
      </w:r>
    </w:p>
    <w:p>
      <w:pPr>
        <w:adjustRightInd w:val="0"/>
        <w:snapToGrid w:val="0"/>
        <w:spacing w:line="360" w:lineRule="auto"/>
        <w:ind w:firstLine="474" w:firstLineChars="225"/>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表6-</w:t>
      </w:r>
      <w:r>
        <w:rPr>
          <w:rFonts w:hint="eastAsia" w:ascii="宋体" w:hAnsi="宋体" w:cs="宋体"/>
          <w:b/>
          <w:color w:val="auto"/>
          <w:sz w:val="21"/>
          <w:szCs w:val="21"/>
          <w:lang w:val="en-US" w:eastAsia="zh-CN"/>
        </w:rPr>
        <w:t>7</w:t>
      </w:r>
      <w:r>
        <w:rPr>
          <w:rFonts w:hint="eastAsia" w:ascii="宋体" w:hAnsi="宋体" w:eastAsia="宋体" w:cs="宋体"/>
          <w:b/>
          <w:color w:val="auto"/>
          <w:sz w:val="21"/>
          <w:szCs w:val="21"/>
        </w:rPr>
        <w:t xml:space="preserve"> 评价区鸟类各目、科鸟类种数组成表</w:t>
      </w:r>
    </w:p>
    <w:tbl>
      <w:tblPr>
        <w:tblStyle w:val="39"/>
        <w:tblW w:w="744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5" w:type="dxa"/>
          <w:bottom w:w="0" w:type="dxa"/>
          <w:right w:w="15" w:type="dxa"/>
        </w:tblCellMar>
      </w:tblPr>
      <w:tblGrid>
        <w:gridCol w:w="1935"/>
        <w:gridCol w:w="1680"/>
        <w:gridCol w:w="1139"/>
        <w:gridCol w:w="269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480"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种</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占总种数的百分比%</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480"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鹳形目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鹭科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雁形目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鸭科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00"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鸡形目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雉科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鹤形目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秧鸡科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鸽形目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鸠鸽科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2</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鹃形目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杜鹃科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4</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16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雨燕目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雨燕科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r>
              <w:rPr>
                <w:rFonts w:hint="eastAsia" w:ascii="宋体" w:hAnsi="宋体" w:eastAsia="宋体" w:cs="宋体"/>
                <w:color w:val="auto"/>
                <w:sz w:val="21"/>
                <w:szCs w:val="21"/>
              </w:rPr>
              <w:t>佛法僧目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翠鸟科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啄木鸟科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2</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vMerge w:val="restart"/>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雀形目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燕科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vMerge w:val="continue"/>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鹡鸰科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2</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vMerge w:val="continue"/>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伯劳科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285" w:hRule="atLeast"/>
          <w:jc w:val="center"/>
        </w:trPr>
        <w:tc>
          <w:tcPr>
            <w:tcW w:w="1935" w:type="dxa"/>
            <w:vMerge w:val="continue"/>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鸦科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3</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12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vMerge w:val="continue"/>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山雀科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285" w:hRule="atLeast"/>
          <w:jc w:val="center"/>
        </w:trPr>
        <w:tc>
          <w:tcPr>
            <w:tcW w:w="1935" w:type="dxa"/>
            <w:vMerge w:val="continue"/>
            <w:tcBorders>
              <w:tl2br w:val="nil"/>
              <w:tr2bl w:val="nil"/>
            </w:tcBorders>
            <w:vAlign w:val="center"/>
          </w:tcPr>
          <w:p>
            <w:pPr>
              <w:keepNext w:val="0"/>
              <w:keepLines w:val="0"/>
              <w:pageBreakBefore w:val="0"/>
              <w:widowControl w:val="0"/>
              <w:kinsoku/>
              <w:wordWrap/>
              <w:overflowPunct/>
              <w:topLinePunct w:val="0"/>
              <w:autoSpaceDE/>
              <w:bidi w:val="0"/>
              <w:adjustRightInd w:val="0"/>
              <w:snapToGrid w:val="0"/>
              <w:ind w:right="0" w:rightChars="0"/>
              <w:jc w:val="center"/>
              <w:rPr>
                <w:rFonts w:hint="eastAsia" w:ascii="宋体" w:hAnsi="宋体" w:eastAsia="宋体" w:cs="宋体"/>
                <w:color w:val="auto"/>
                <w:sz w:val="21"/>
                <w:szCs w:val="21"/>
              </w:rPr>
            </w:pP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雀科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3</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12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5" w:type="dxa"/>
            <w:bottom w:w="0" w:type="dxa"/>
            <w:right w:w="15" w:type="dxa"/>
          </w:tblCellMar>
        </w:tblPrEx>
        <w:trPr>
          <w:trHeight w:val="315" w:hRule="atLeast"/>
          <w:jc w:val="center"/>
        </w:trPr>
        <w:tc>
          <w:tcPr>
            <w:tcW w:w="1935"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10目</w:t>
            </w:r>
          </w:p>
        </w:tc>
        <w:tc>
          <w:tcPr>
            <w:tcW w:w="1680"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w:t>
            </w:r>
            <w:r>
              <w:rPr>
                <w:rFonts w:hint="eastAsia" w:ascii="宋体" w:hAnsi="宋体" w:eastAsia="宋体" w:cs="宋体"/>
                <w:color w:val="auto"/>
                <w:sz w:val="21"/>
                <w:szCs w:val="21"/>
                <w:lang w:val="en-US" w:eastAsia="zh-CN"/>
              </w:rPr>
              <w:t>5</w:t>
            </w:r>
            <w:r>
              <w:rPr>
                <w:rFonts w:hint="eastAsia" w:ascii="宋体" w:hAnsi="宋体" w:eastAsia="宋体" w:cs="宋体"/>
                <w:color w:val="auto"/>
                <w:sz w:val="21"/>
                <w:szCs w:val="21"/>
              </w:rPr>
              <w:t>科</w:t>
            </w:r>
          </w:p>
        </w:tc>
        <w:tc>
          <w:tcPr>
            <w:tcW w:w="1139"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rPr>
              <w:t>2</w:t>
            </w:r>
            <w:r>
              <w:rPr>
                <w:rFonts w:hint="eastAsia" w:ascii="宋体" w:hAnsi="宋体" w:eastAsia="宋体" w:cs="宋体"/>
                <w:color w:val="auto"/>
                <w:sz w:val="21"/>
                <w:szCs w:val="21"/>
                <w:lang w:val="en-US" w:eastAsia="zh-CN"/>
              </w:rPr>
              <w:t>5</w:t>
            </w:r>
          </w:p>
        </w:tc>
        <w:tc>
          <w:tcPr>
            <w:tcW w:w="2694" w:type="dxa"/>
            <w:tcBorders>
              <w:tl2br w:val="nil"/>
              <w:tr2bl w:val="nil"/>
            </w:tcBorders>
            <w:vAlign w:val="center"/>
          </w:tcPr>
          <w:p>
            <w:pPr>
              <w:keepNext w:val="0"/>
              <w:keepLines w:val="0"/>
              <w:pageBreakBefore w:val="0"/>
              <w:widowControl w:val="0"/>
              <w:kinsoku/>
              <w:wordWrap/>
              <w:overflowPunct/>
              <w:topLinePunct w:val="0"/>
              <w:autoSpaceDE/>
              <w:autoSpaceDN w:val="0"/>
              <w:bidi w:val="0"/>
              <w:adjustRightInd w:val="0"/>
              <w:snapToGrid w:val="0"/>
              <w:ind w:right="0" w:rightChars="0"/>
              <w:jc w:val="center"/>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100</w:t>
            </w:r>
          </w:p>
        </w:tc>
      </w:tr>
    </w:tbl>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区系分析：评价区的2</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种鸟类中，广布种类有15种，占</w:t>
      </w:r>
      <w:r>
        <w:rPr>
          <w:rFonts w:hint="eastAsia" w:ascii="宋体" w:hAnsi="宋体" w:eastAsia="宋体" w:cs="宋体"/>
          <w:color w:val="auto"/>
          <w:sz w:val="24"/>
          <w:szCs w:val="24"/>
          <w:lang w:val="en-US" w:eastAsia="zh-CN"/>
        </w:rPr>
        <w:t>60</w:t>
      </w:r>
      <w:r>
        <w:rPr>
          <w:rFonts w:hint="eastAsia" w:ascii="宋体" w:hAnsi="宋体" w:eastAsia="宋体" w:cs="宋体"/>
          <w:color w:val="auto"/>
          <w:sz w:val="24"/>
          <w:szCs w:val="24"/>
        </w:rPr>
        <w:t>%；古北界种类有</w:t>
      </w:r>
      <w:r>
        <w:rPr>
          <w:rFonts w:hint="eastAsia" w:ascii="宋体" w:hAnsi="宋体" w:eastAsia="宋体" w:cs="宋体"/>
          <w:color w:val="auto"/>
          <w:sz w:val="24"/>
          <w:szCs w:val="24"/>
          <w:lang w:val="en-US" w:eastAsia="zh-CN"/>
        </w:rPr>
        <w:t>8</w:t>
      </w:r>
      <w:r>
        <w:rPr>
          <w:rFonts w:hint="eastAsia" w:ascii="宋体" w:hAnsi="宋体" w:eastAsia="宋体" w:cs="宋体"/>
          <w:color w:val="auto"/>
          <w:sz w:val="24"/>
          <w:szCs w:val="24"/>
        </w:rPr>
        <w:t>种，占3</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%；以东洋界的种类有2种，占该区总种数的</w:t>
      </w:r>
      <w:r>
        <w:rPr>
          <w:rFonts w:hint="eastAsia" w:ascii="宋体" w:hAnsi="宋体" w:eastAsia="宋体" w:cs="宋体"/>
          <w:color w:val="auto"/>
          <w:sz w:val="24"/>
          <w:szCs w:val="24"/>
          <w:lang w:val="en-US" w:eastAsia="zh-CN"/>
        </w:rPr>
        <w:t>8</w:t>
      </w:r>
      <w:r>
        <w:rPr>
          <w:rFonts w:hint="eastAsia" w:ascii="宋体" w:hAnsi="宋体" w:eastAsia="宋体" w:cs="宋体"/>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生态分布：根据评价区植被分布的特点，将评价区鸟类分布的生境划分为以下几种类型：</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河谷区鸟类：该区域的生境类型主要包括水域、河谷草丛、河谷灌丛等基本类型，分布海拔相对较低，活动于其中的鸟类主要包括鹳形目等的种类。该区的优势种类有</w:t>
      </w:r>
      <w:r>
        <w:rPr>
          <w:rFonts w:hint="eastAsia" w:ascii="宋体" w:hAnsi="宋体" w:eastAsia="宋体" w:cs="宋体"/>
          <w:color w:val="auto"/>
          <w:kern w:val="0"/>
          <w:sz w:val="24"/>
          <w:szCs w:val="24"/>
        </w:rPr>
        <w:t>绿头鸭</w:t>
      </w:r>
      <w:r>
        <w:rPr>
          <w:rFonts w:hint="eastAsia" w:ascii="宋体" w:hAnsi="宋体" w:eastAsia="宋体" w:cs="宋体"/>
          <w:i/>
          <w:iCs/>
          <w:color w:val="auto"/>
          <w:kern w:val="0"/>
          <w:sz w:val="24"/>
          <w:szCs w:val="24"/>
        </w:rPr>
        <w:t>Anas platyrhynchos</w:t>
      </w:r>
      <w:r>
        <w:rPr>
          <w:rFonts w:hint="eastAsia" w:ascii="宋体" w:hAnsi="宋体" w:eastAsia="宋体" w:cs="宋体"/>
          <w:color w:val="auto"/>
          <w:sz w:val="24"/>
          <w:szCs w:val="24"/>
        </w:rPr>
        <w:t>等。</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竹林和经济林区鸟类：竹林和经济林环境在该区域较广泛分布于河流两岸的山坡地区。生活于该区的鸟类较多，主要为</w:t>
      </w:r>
      <w:r>
        <w:rPr>
          <w:rFonts w:hint="eastAsia" w:ascii="宋体" w:hAnsi="宋体" w:eastAsia="宋体" w:cs="宋体"/>
          <w:color w:val="auto"/>
          <w:kern w:val="0"/>
          <w:sz w:val="24"/>
          <w:szCs w:val="24"/>
        </w:rPr>
        <w:t>雉科、</w:t>
      </w:r>
      <w:r>
        <w:rPr>
          <w:rFonts w:hint="eastAsia" w:ascii="宋体" w:hAnsi="宋体" w:eastAsia="宋体" w:cs="宋体"/>
          <w:color w:val="auto"/>
          <w:sz w:val="24"/>
          <w:szCs w:val="24"/>
        </w:rPr>
        <w:t>鸦科、雀科等。优势种类有雉鸡</w:t>
      </w:r>
      <w:r>
        <w:rPr>
          <w:rFonts w:hint="eastAsia" w:ascii="宋体" w:hAnsi="宋体" w:eastAsia="宋体" w:cs="宋体"/>
          <w:i/>
          <w:iCs/>
          <w:color w:val="auto"/>
          <w:kern w:val="0"/>
          <w:sz w:val="24"/>
          <w:szCs w:val="24"/>
        </w:rPr>
        <w:t>Phasianus colchicus</w:t>
      </w:r>
      <w:r>
        <w:rPr>
          <w:rFonts w:hint="eastAsia" w:ascii="宋体" w:hAnsi="宋体" w:eastAsia="宋体" w:cs="宋体"/>
          <w:color w:val="auto"/>
          <w:sz w:val="24"/>
          <w:szCs w:val="24"/>
        </w:rPr>
        <w:t>、山斑鸠</w:t>
      </w:r>
      <w:r>
        <w:rPr>
          <w:rFonts w:hint="eastAsia" w:ascii="宋体" w:hAnsi="宋体" w:eastAsia="宋体" w:cs="宋体"/>
          <w:i/>
          <w:iCs/>
          <w:color w:val="auto"/>
          <w:kern w:val="0"/>
          <w:sz w:val="24"/>
          <w:szCs w:val="24"/>
        </w:rPr>
        <w:t>Streptopelia orientalis</w:t>
      </w:r>
      <w:r>
        <w:rPr>
          <w:rFonts w:hint="eastAsia" w:ascii="宋体" w:hAnsi="宋体" w:eastAsia="宋体" w:cs="宋体"/>
          <w:color w:val="auto"/>
          <w:sz w:val="24"/>
          <w:szCs w:val="24"/>
        </w:rPr>
        <w:t>、大杜鹃</w:t>
      </w:r>
      <w:r>
        <w:rPr>
          <w:rFonts w:hint="eastAsia" w:ascii="宋体" w:hAnsi="宋体" w:eastAsia="宋体" w:cs="宋体"/>
          <w:i/>
          <w:iCs/>
          <w:color w:val="auto"/>
          <w:kern w:val="0"/>
          <w:sz w:val="24"/>
          <w:szCs w:val="24"/>
        </w:rPr>
        <w:t>Cuculus canorus</w:t>
      </w:r>
      <w:r>
        <w:rPr>
          <w:rFonts w:hint="eastAsia" w:ascii="宋体" w:hAnsi="宋体" w:eastAsia="宋体" w:cs="宋体"/>
          <w:color w:val="auto"/>
          <w:sz w:val="24"/>
          <w:szCs w:val="24"/>
        </w:rPr>
        <w:t>、麻雀</w:t>
      </w:r>
      <w:r>
        <w:rPr>
          <w:rFonts w:hint="eastAsia" w:ascii="宋体" w:hAnsi="宋体" w:eastAsia="宋体" w:cs="宋体"/>
          <w:i/>
          <w:iCs/>
          <w:color w:val="auto"/>
          <w:kern w:val="0"/>
          <w:sz w:val="24"/>
          <w:szCs w:val="24"/>
        </w:rPr>
        <w:t>Passer montanus</w:t>
      </w:r>
      <w:r>
        <w:rPr>
          <w:rFonts w:hint="eastAsia" w:ascii="宋体" w:hAnsi="宋体" w:eastAsia="宋体" w:cs="宋体"/>
          <w:color w:val="auto"/>
          <w:sz w:val="24"/>
          <w:szCs w:val="24"/>
        </w:rPr>
        <w:t>、</w:t>
      </w:r>
      <w:r>
        <w:rPr>
          <w:rFonts w:hint="eastAsia" w:ascii="宋体" w:hAnsi="宋体" w:eastAsia="宋体" w:cs="宋体"/>
          <w:color w:val="auto"/>
          <w:kern w:val="0"/>
          <w:sz w:val="24"/>
          <w:szCs w:val="24"/>
        </w:rPr>
        <w:t>山麻雀</w:t>
      </w:r>
      <w:r>
        <w:rPr>
          <w:rFonts w:hint="eastAsia" w:ascii="宋体" w:hAnsi="宋体" w:eastAsia="宋体" w:cs="宋体"/>
          <w:i/>
          <w:iCs/>
          <w:color w:val="auto"/>
          <w:kern w:val="0"/>
          <w:sz w:val="24"/>
          <w:szCs w:val="24"/>
        </w:rPr>
        <w:t>Passer rutilans</w:t>
      </w:r>
      <w:r>
        <w:rPr>
          <w:rFonts w:hint="eastAsia" w:ascii="宋体" w:hAnsi="宋体" w:eastAsia="宋体" w:cs="宋体"/>
          <w:color w:val="auto"/>
          <w:sz w:val="24"/>
          <w:szCs w:val="24"/>
        </w:rPr>
        <w:t>等。</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草丛、农区鸟类：该类生境在评价区内分布较狭窄，主要位于河流沿岸的山坡中下部。该区段生活的鸟类主要是鸡形目、鸽形目及雀形目的部分鸟类。其中的优势种类主要有家燕</w:t>
      </w:r>
      <w:r>
        <w:rPr>
          <w:rFonts w:hint="eastAsia" w:ascii="宋体" w:hAnsi="宋体" w:eastAsia="宋体" w:cs="宋体"/>
          <w:i/>
          <w:iCs/>
          <w:color w:val="auto"/>
          <w:kern w:val="0"/>
          <w:sz w:val="24"/>
          <w:szCs w:val="24"/>
        </w:rPr>
        <w:t>Hirundo rustica</w:t>
      </w:r>
      <w:r>
        <w:rPr>
          <w:rFonts w:hint="eastAsia" w:ascii="宋体" w:hAnsi="宋体" w:eastAsia="宋体" w:cs="宋体"/>
          <w:color w:val="auto"/>
          <w:sz w:val="24"/>
          <w:szCs w:val="24"/>
        </w:rPr>
        <w:t>、普通翠鸟</w:t>
      </w:r>
      <w:r>
        <w:rPr>
          <w:rFonts w:hint="eastAsia" w:ascii="宋体" w:hAnsi="宋体" w:eastAsia="宋体" w:cs="宋体"/>
          <w:i/>
          <w:iCs/>
          <w:color w:val="auto"/>
          <w:kern w:val="0"/>
          <w:sz w:val="24"/>
          <w:szCs w:val="24"/>
        </w:rPr>
        <w:t>Alcedo atthis</w:t>
      </w:r>
      <w:r>
        <w:rPr>
          <w:rFonts w:hint="eastAsia" w:ascii="宋体" w:hAnsi="宋体" w:eastAsia="宋体" w:cs="宋体"/>
          <w:color w:val="auto"/>
          <w:sz w:val="24"/>
          <w:szCs w:val="24"/>
        </w:rPr>
        <w:t>和山麻雀等。</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rPr>
        <w:t>常见种类介绍如</w:t>
      </w:r>
      <w:r>
        <w:rPr>
          <w:rFonts w:hint="eastAsia" w:ascii="宋体" w:hAnsi="宋体" w:eastAsia="宋体" w:cs="宋体"/>
          <w:color w:val="auto"/>
          <w:sz w:val="24"/>
          <w:szCs w:val="24"/>
        </w:rPr>
        <w:t>下：</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雉鸡</w:t>
      </w:r>
      <w:r>
        <w:rPr>
          <w:rFonts w:hint="eastAsia" w:ascii="宋体" w:hAnsi="宋体" w:eastAsia="宋体" w:cs="宋体"/>
          <w:b/>
          <w:i/>
          <w:iCs/>
          <w:color w:val="auto"/>
          <w:kern w:val="0"/>
          <w:sz w:val="24"/>
          <w:szCs w:val="24"/>
        </w:rPr>
        <w:t>Phasianus colchicus</w:t>
      </w:r>
      <w:r>
        <w:rPr>
          <w:rFonts w:hint="eastAsia" w:ascii="宋体" w:hAnsi="宋体" w:eastAsia="宋体" w:cs="宋体"/>
          <w:b/>
          <w:iCs/>
          <w:color w:val="auto"/>
          <w:kern w:val="0"/>
          <w:sz w:val="24"/>
          <w:szCs w:val="24"/>
        </w:rPr>
        <w:t>：</w:t>
      </w:r>
      <w:r>
        <w:rPr>
          <w:rFonts w:hint="eastAsia" w:ascii="宋体" w:hAnsi="宋体" w:eastAsia="宋体" w:cs="宋体"/>
          <w:color w:val="auto"/>
          <w:kern w:val="0"/>
          <w:sz w:val="24"/>
          <w:szCs w:val="24"/>
        </w:rPr>
        <w:t>头部具黑色光泽，有显眼的耳羽簇，宽大的眼周裸皮鲜红色。有些亚种有白色颈圈。身体披金挂彩，满身点缀着发光羽毛，从墨绿色至铜色至金色；两翼灰色，尾长而尖，褐色并带黑色横纹。雌鸟形小（60厘米）而色暗淡，周身密布浅褐色斑纹。被赶时迅速起飞，飞行快，声音大。中国有19个地域型亚种，体羽细</w:t>
      </w:r>
      <w:r>
        <w:rPr>
          <w:rFonts w:hint="eastAsia" w:ascii="宋体" w:hAnsi="宋体" w:eastAsia="宋体" w:cs="宋体"/>
          <w:color w:val="auto"/>
          <w:sz w:val="24"/>
          <w:szCs w:val="24"/>
        </w:rPr>
        <w:t>部差别甚大。</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普通秧鸡</w:t>
      </w:r>
      <w:r>
        <w:rPr>
          <w:rFonts w:hint="eastAsia" w:ascii="宋体" w:hAnsi="宋体" w:eastAsia="宋体" w:cs="宋体"/>
          <w:b/>
          <w:i/>
          <w:iCs/>
          <w:color w:val="auto"/>
          <w:kern w:val="0"/>
          <w:sz w:val="24"/>
          <w:szCs w:val="24"/>
        </w:rPr>
        <w:t>Rallus aquaticus</w:t>
      </w:r>
      <w:r>
        <w:rPr>
          <w:rFonts w:hint="eastAsia" w:ascii="宋体" w:hAnsi="宋体" w:eastAsia="宋体" w:cs="宋体"/>
          <w:b/>
          <w:iCs/>
          <w:color w:val="auto"/>
          <w:kern w:val="0"/>
          <w:sz w:val="24"/>
          <w:szCs w:val="24"/>
        </w:rPr>
        <w:t>：</w:t>
      </w:r>
      <w:r>
        <w:rPr>
          <w:rFonts w:hint="eastAsia" w:ascii="宋体" w:hAnsi="宋体" w:eastAsia="宋体" w:cs="宋体"/>
          <w:color w:val="auto"/>
          <w:sz w:val="24"/>
          <w:szCs w:val="24"/>
        </w:rPr>
        <w:t>上体多纵纹，头顶褐色，脸灰，眉纹浅灰而眼线深灰。颏白，颈及胸灰色，两胁具黑白色横斑。亚成鸟翼上覆羽具不明晰的白斑。</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山</w:t>
      </w:r>
      <w:r>
        <w:rPr>
          <w:rFonts w:hint="eastAsia" w:ascii="宋体" w:hAnsi="宋体" w:eastAsia="宋体" w:cs="宋体"/>
          <w:b/>
          <w:color w:val="auto"/>
          <w:kern w:val="0"/>
          <w:sz w:val="24"/>
          <w:szCs w:val="24"/>
        </w:rPr>
        <w:t>斑鸠</w:t>
      </w:r>
      <w:r>
        <w:rPr>
          <w:rFonts w:hint="eastAsia" w:ascii="宋体" w:hAnsi="宋体" w:eastAsia="宋体" w:cs="宋体"/>
          <w:b/>
          <w:i/>
          <w:color w:val="auto"/>
          <w:kern w:val="0"/>
          <w:sz w:val="24"/>
          <w:szCs w:val="24"/>
        </w:rPr>
        <w:t>Streptopelia orientalis</w:t>
      </w:r>
      <w:r>
        <w:rPr>
          <w:rFonts w:hint="eastAsia" w:ascii="宋体" w:hAnsi="宋体" w:eastAsia="宋体" w:cs="宋体"/>
          <w:b/>
          <w:iCs/>
          <w:color w:val="auto"/>
          <w:kern w:val="0"/>
          <w:sz w:val="24"/>
          <w:szCs w:val="24"/>
        </w:rPr>
        <w:t>：</w:t>
      </w:r>
      <w:r>
        <w:rPr>
          <w:rFonts w:hint="eastAsia" w:ascii="宋体" w:hAnsi="宋体" w:eastAsia="宋体" w:cs="宋体"/>
          <w:color w:val="auto"/>
          <w:kern w:val="0"/>
          <w:sz w:val="24"/>
          <w:szCs w:val="24"/>
        </w:rPr>
        <w:t>中等体型（32厘米）的偏粉色斑鸠，成年个体体重约260～400克，起飞时带有高频“噗噗”声。与珠颈斑鸠在食性、活动区域、夜间栖息环境等方面基本相似，外表区别在于颈侧有带明显黑白色条纹的块状斑。上体的深色扇贝斑纹体羽羽缘棕色，腰灰，尾羽近黑，尾梢浅灰。下体多偏粉色，</w:t>
      </w:r>
      <w:r>
        <w:rPr>
          <w:rFonts w:hint="eastAsia" w:ascii="宋体" w:hAnsi="宋体" w:eastAsia="宋体" w:cs="宋体"/>
          <w:color w:val="auto"/>
          <w:sz w:val="24"/>
          <w:szCs w:val="24"/>
        </w:rPr>
        <w:t>脚红色。</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普通</w:t>
      </w:r>
      <w:r>
        <w:rPr>
          <w:rFonts w:hint="eastAsia" w:ascii="宋体" w:hAnsi="宋体" w:eastAsia="宋体" w:cs="宋体"/>
          <w:b/>
          <w:color w:val="auto"/>
          <w:kern w:val="0"/>
          <w:sz w:val="24"/>
          <w:szCs w:val="24"/>
        </w:rPr>
        <w:t>翠鸟</w:t>
      </w:r>
      <w:r>
        <w:rPr>
          <w:rFonts w:hint="eastAsia" w:ascii="宋体" w:hAnsi="宋体" w:eastAsia="宋体" w:cs="宋体"/>
          <w:b/>
          <w:i/>
          <w:iCs/>
          <w:color w:val="auto"/>
          <w:kern w:val="0"/>
          <w:sz w:val="24"/>
          <w:szCs w:val="24"/>
        </w:rPr>
        <w:t>Alcedo atthis</w:t>
      </w:r>
      <w:r>
        <w:rPr>
          <w:rFonts w:hint="eastAsia" w:ascii="宋体" w:hAnsi="宋体" w:eastAsia="宋体" w:cs="宋体"/>
          <w:b/>
          <w:iCs/>
          <w:color w:val="auto"/>
          <w:kern w:val="0"/>
          <w:sz w:val="24"/>
          <w:szCs w:val="24"/>
        </w:rPr>
        <w:t>：</w:t>
      </w:r>
      <w:r>
        <w:rPr>
          <w:rFonts w:hint="eastAsia" w:ascii="宋体" w:hAnsi="宋体" w:eastAsia="宋体" w:cs="宋体"/>
          <w:color w:val="auto"/>
          <w:kern w:val="0"/>
          <w:sz w:val="24"/>
          <w:szCs w:val="24"/>
        </w:rPr>
        <w:t>全长15厘米左右。体重21～30克。具亮蓝色及棕色的翠鸟。上体金属浅蓝绿色，颈侧具白色点斑；下体橙棕色，颏白。幼鸟色黯淡，具深色胸带。橘黄色条带横贯眼部及耳羽为本种区别于蓝耳翠鸟及斑头大翠鸟的识别</w:t>
      </w:r>
      <w:r>
        <w:rPr>
          <w:rFonts w:hint="eastAsia" w:ascii="宋体" w:hAnsi="宋体" w:eastAsia="宋体" w:cs="宋体"/>
          <w:color w:val="auto"/>
          <w:sz w:val="24"/>
          <w:szCs w:val="24"/>
        </w:rPr>
        <w:t>特征。虹膜－褐色；嘴－黑色(雄鸟)，下颚橘黄色(雌鸟)；脚－红色。</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喜</w:t>
      </w:r>
      <w:r>
        <w:rPr>
          <w:rFonts w:hint="eastAsia" w:ascii="宋体" w:hAnsi="宋体" w:eastAsia="宋体" w:cs="宋体"/>
          <w:b/>
          <w:color w:val="auto"/>
          <w:kern w:val="0"/>
          <w:sz w:val="24"/>
          <w:szCs w:val="24"/>
        </w:rPr>
        <w:t>鹊</w:t>
      </w:r>
      <w:r>
        <w:rPr>
          <w:rFonts w:hint="eastAsia" w:ascii="宋体" w:hAnsi="宋体" w:eastAsia="宋体" w:cs="宋体"/>
          <w:b/>
          <w:i/>
          <w:iCs/>
          <w:color w:val="auto"/>
          <w:kern w:val="0"/>
          <w:sz w:val="24"/>
          <w:szCs w:val="24"/>
        </w:rPr>
        <w:t>Pica pica</w:t>
      </w:r>
      <w:r>
        <w:rPr>
          <w:rFonts w:hint="eastAsia" w:ascii="宋体" w:hAnsi="宋体" w:eastAsia="宋体" w:cs="宋体"/>
          <w:b/>
          <w:iCs/>
          <w:color w:val="auto"/>
          <w:kern w:val="0"/>
          <w:sz w:val="24"/>
          <w:szCs w:val="24"/>
        </w:rPr>
        <w:t>：</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"http://a2.att.hoodong.com/76/19/01200000228632120721192441116.jpg" \t "_blank" \o "点击查看原图"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fldChar w:fldCharType="end"/>
      </w:r>
      <w:r>
        <w:rPr>
          <w:rFonts w:hint="eastAsia" w:ascii="宋体" w:hAnsi="宋体" w:eastAsia="宋体" w:cs="宋体"/>
          <w:color w:val="auto"/>
          <w:kern w:val="0"/>
          <w:sz w:val="24"/>
          <w:szCs w:val="24"/>
        </w:rPr>
        <w:t>喜鹊体形很大，其体长通常可达45－50cm。其头部、颈部、胸部、背部、腰部均为黑色，略显蓝紫色金属光泽；肩羽、上下腹均为洁白色；</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"http://www.hoodong.com/wiki/%E9%A3%9E%E7%BE%BD"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kern w:val="0"/>
          <w:sz w:val="24"/>
          <w:szCs w:val="24"/>
        </w:rPr>
        <w:t>飞羽</w:t>
      </w:r>
      <w:r>
        <w:rPr>
          <w:rFonts w:hint="eastAsia" w:ascii="宋体" w:hAnsi="宋体" w:eastAsia="宋体" w:cs="宋体"/>
          <w:color w:val="auto"/>
          <w:kern w:val="0"/>
          <w:sz w:val="24"/>
          <w:szCs w:val="24"/>
        </w:rPr>
        <w:fldChar w:fldCharType="end"/>
      </w:r>
      <w:r>
        <w:rPr>
          <w:rFonts w:hint="eastAsia" w:ascii="宋体" w:hAnsi="宋体" w:eastAsia="宋体" w:cs="宋体"/>
          <w:color w:val="auto"/>
          <w:kern w:val="0"/>
          <w:sz w:val="24"/>
          <w:szCs w:val="24"/>
        </w:rPr>
        <w:t>和</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"http://www.hoodong.com/wiki/%E5%B0%BE%E7%BE%BD"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kern w:val="0"/>
          <w:sz w:val="24"/>
          <w:szCs w:val="24"/>
        </w:rPr>
        <w:t>尾羽</w:t>
      </w:r>
      <w:r>
        <w:rPr>
          <w:rFonts w:hint="eastAsia" w:ascii="宋体" w:hAnsi="宋体" w:eastAsia="宋体" w:cs="宋体"/>
          <w:color w:val="auto"/>
          <w:kern w:val="0"/>
          <w:sz w:val="24"/>
          <w:szCs w:val="24"/>
        </w:rPr>
        <w:fldChar w:fldCharType="end"/>
      </w:r>
      <w:r>
        <w:rPr>
          <w:rFonts w:hint="eastAsia" w:ascii="宋体" w:hAnsi="宋体" w:eastAsia="宋体" w:cs="宋体"/>
          <w:color w:val="auto"/>
          <w:kern w:val="0"/>
          <w:sz w:val="24"/>
          <w:szCs w:val="24"/>
        </w:rPr>
        <w:t>为近黑色的墨绿色，带绿色的金属光泽;初级飞羽的</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"http://www.hoodong.com/wiki/%E5%86%85%E7%BF%88"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kern w:val="0"/>
          <w:sz w:val="24"/>
          <w:szCs w:val="24"/>
        </w:rPr>
        <w:t>内翈</w:t>
      </w:r>
      <w:r>
        <w:rPr>
          <w:rFonts w:hint="eastAsia" w:ascii="宋体" w:hAnsi="宋体" w:eastAsia="宋体" w:cs="宋体"/>
          <w:color w:val="auto"/>
          <w:kern w:val="0"/>
          <w:sz w:val="24"/>
          <w:szCs w:val="24"/>
        </w:rPr>
        <w:fldChar w:fldCharType="end"/>
      </w:r>
      <w:r>
        <w:rPr>
          <w:rFonts w:hint="eastAsia" w:ascii="宋体" w:hAnsi="宋体" w:eastAsia="宋体" w:cs="宋体"/>
          <w:color w:val="auto"/>
          <w:kern w:val="0"/>
          <w:sz w:val="24"/>
          <w:szCs w:val="24"/>
        </w:rPr>
        <w:t>均为洁白色，飞行时可见双翅端部洁白，另外在飞行中可见本物种背部的白色羽区形成一个V形。幼鸟羽色似成鸟，但黑羽部分染有褐色，金属光泽也不显著。本物种</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"http://www.hoodong.com/wiki/%E8%99%B9%E8%86%9C"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kern w:val="0"/>
          <w:sz w:val="24"/>
          <w:szCs w:val="24"/>
        </w:rPr>
        <w:t>虹膜</w:t>
      </w:r>
      <w:r>
        <w:rPr>
          <w:rFonts w:hint="eastAsia" w:ascii="宋体" w:hAnsi="宋体" w:eastAsia="宋体" w:cs="宋体"/>
          <w:color w:val="auto"/>
          <w:kern w:val="0"/>
          <w:sz w:val="24"/>
          <w:szCs w:val="24"/>
        </w:rPr>
        <w:fldChar w:fldCharType="end"/>
      </w:r>
      <w:r>
        <w:rPr>
          <w:rFonts w:hint="eastAsia" w:ascii="宋体" w:hAnsi="宋体" w:eastAsia="宋体" w:cs="宋体"/>
          <w:color w:val="auto"/>
          <w:kern w:val="0"/>
          <w:sz w:val="24"/>
          <w:szCs w:val="24"/>
        </w:rPr>
        <w:t>为褐色；</w:t>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HYPERLINK "http://www.hoodong.com/wiki/%E5%96%99" \t "_blank" </w:instrText>
      </w:r>
      <w:r>
        <w:rPr>
          <w:rFonts w:hint="eastAsia" w:ascii="宋体" w:hAnsi="宋体" w:eastAsia="宋体" w:cs="宋体"/>
          <w:color w:val="auto"/>
          <w:sz w:val="24"/>
          <w:szCs w:val="24"/>
        </w:rPr>
        <w:fldChar w:fldCharType="separate"/>
      </w:r>
      <w:r>
        <w:rPr>
          <w:rFonts w:hint="eastAsia" w:ascii="宋体" w:hAnsi="宋体" w:eastAsia="宋体" w:cs="宋体"/>
          <w:color w:val="auto"/>
          <w:kern w:val="0"/>
          <w:sz w:val="24"/>
          <w:szCs w:val="24"/>
        </w:rPr>
        <w:t>喙</w:t>
      </w:r>
      <w:r>
        <w:rPr>
          <w:rFonts w:hint="eastAsia" w:ascii="宋体" w:hAnsi="宋体" w:eastAsia="宋体" w:cs="宋体"/>
          <w:color w:val="auto"/>
          <w:kern w:val="0"/>
          <w:sz w:val="24"/>
          <w:szCs w:val="24"/>
        </w:rPr>
        <w:fldChar w:fldCharType="end"/>
      </w:r>
      <w:r>
        <w:rPr>
          <w:rFonts w:hint="eastAsia" w:ascii="宋体" w:hAnsi="宋体" w:eastAsia="宋体" w:cs="宋体"/>
          <w:color w:val="auto"/>
          <w:sz w:val="24"/>
          <w:szCs w:val="24"/>
        </w:rPr>
        <w:t>、足均为黑色。</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color w:val="auto"/>
          <w:kern w:val="0"/>
          <w:sz w:val="24"/>
          <w:szCs w:val="24"/>
        </w:rPr>
      </w:pPr>
      <w:r>
        <w:rPr>
          <w:rFonts w:hint="eastAsia" w:ascii="宋体" w:hAnsi="宋体" w:eastAsia="宋体" w:cs="宋体"/>
          <w:b/>
          <w:bCs/>
          <w:color w:val="auto"/>
          <w:sz w:val="24"/>
          <w:szCs w:val="24"/>
        </w:rPr>
        <w:t>麻</w:t>
      </w:r>
      <w:r>
        <w:rPr>
          <w:rFonts w:hint="eastAsia" w:ascii="宋体" w:hAnsi="宋体" w:eastAsia="宋体" w:cs="宋体"/>
          <w:b/>
          <w:bCs/>
          <w:color w:val="auto"/>
          <w:kern w:val="0"/>
          <w:sz w:val="24"/>
          <w:szCs w:val="24"/>
        </w:rPr>
        <w:t>雀</w:t>
      </w:r>
      <w:r>
        <w:rPr>
          <w:rFonts w:hint="eastAsia" w:ascii="宋体" w:hAnsi="宋体" w:eastAsia="宋体" w:cs="宋体"/>
          <w:b/>
          <w:i/>
          <w:color w:val="auto"/>
          <w:kern w:val="0"/>
          <w:sz w:val="24"/>
          <w:szCs w:val="24"/>
        </w:rPr>
        <w:t>Passer montanus</w:t>
      </w:r>
      <w:r>
        <w:rPr>
          <w:rFonts w:hint="eastAsia" w:ascii="宋体" w:hAnsi="宋体" w:eastAsia="宋体" w:cs="宋体"/>
          <w:color w:val="auto"/>
          <w:kern w:val="0"/>
          <w:sz w:val="24"/>
          <w:szCs w:val="24"/>
        </w:rPr>
        <w:t>:体长为14厘米左右，褐色。雌雄形、色非常接近。喙黑色，呈圆锥状；跗跖为浅褐色；头、颈处栗色较深，背部栗色较浅，饰以黑色条纹。肩羽有两条白色的带状纹。尾呈小叉状，浅褐色。幼鸟喉部为灰色，随着鸟龄的增大此处颜色会越来越深直到呈黑色。雄鸟此处为褐红，雌鸟则为橄榄褐色。</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b w:val="0"/>
          <w:bCs w:val="0"/>
          <w:color w:val="auto"/>
          <w:sz w:val="24"/>
          <w:szCs w:val="24"/>
        </w:rPr>
      </w:pPr>
      <w:bookmarkStart w:id="213" w:name="_Toc7388"/>
      <w:bookmarkStart w:id="214" w:name="_Toc2080861"/>
      <w:bookmarkStart w:id="215" w:name="_Toc532302726"/>
      <w:r>
        <w:rPr>
          <w:rFonts w:hint="eastAsia" w:ascii="宋体" w:hAnsi="宋体" w:eastAsia="宋体" w:cs="宋体"/>
          <w:color w:val="auto"/>
          <w:sz w:val="24"/>
          <w:szCs w:val="24"/>
        </w:rPr>
        <w:t>兽类</w:t>
      </w:r>
      <w:bookmarkEnd w:id="213"/>
      <w:bookmarkEnd w:id="214"/>
      <w:bookmarkEnd w:id="215"/>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评价区所处位置多在丘陵地带、平原，海拔较低，人为活动频繁，区域内没有大型哺乳动物，仅有较小型的一些种类，以啮齿目为主，共有兽类4目5科8种，评价区主要为农耕区，无国家级及省级重点保护野生兽类，各目、科所含种数及百分率见下表：</w:t>
      </w:r>
    </w:p>
    <w:p>
      <w:pPr>
        <w:adjustRightInd w:val="0"/>
        <w:snapToGrid w:val="0"/>
        <w:spacing w:line="360" w:lineRule="auto"/>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表6-</w:t>
      </w:r>
      <w:r>
        <w:rPr>
          <w:rFonts w:hint="eastAsia" w:ascii="宋体" w:hAnsi="宋体" w:cs="宋体"/>
          <w:b/>
          <w:color w:val="auto"/>
          <w:sz w:val="21"/>
          <w:szCs w:val="21"/>
          <w:lang w:val="en-US" w:eastAsia="zh-CN"/>
        </w:rPr>
        <w:t>8</w:t>
      </w:r>
      <w:r>
        <w:rPr>
          <w:rFonts w:hint="eastAsia" w:ascii="宋体" w:hAnsi="宋体" w:eastAsia="宋体" w:cs="宋体"/>
          <w:b/>
          <w:color w:val="auto"/>
          <w:sz w:val="21"/>
          <w:szCs w:val="21"/>
        </w:rPr>
        <w:t xml:space="preserve"> 评价区兽类各目、科所含种数及百分率表</w:t>
      </w:r>
    </w:p>
    <w:tbl>
      <w:tblPr>
        <w:tblStyle w:val="39"/>
        <w:tblW w:w="626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40"/>
        <w:gridCol w:w="1480"/>
        <w:gridCol w:w="1460"/>
        <w:gridCol w:w="198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615" w:hRule="atLeast"/>
          <w:jc w:val="center"/>
        </w:trPr>
        <w:tc>
          <w:tcPr>
            <w:tcW w:w="134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种数</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占总种数的%</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34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食虫目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猬科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34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食肉目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鼬科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7" w:hRule="atLeast"/>
          <w:jc w:val="center"/>
        </w:trPr>
        <w:tc>
          <w:tcPr>
            <w:tcW w:w="1340" w:type="dxa"/>
            <w:vMerge w:val="restart"/>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啮齿目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仓鼠科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340" w:type="dxa"/>
            <w:vMerge w:val="continue"/>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鼠科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4</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50.00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34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兔形目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兔科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34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4目</w:t>
            </w:r>
          </w:p>
        </w:tc>
        <w:tc>
          <w:tcPr>
            <w:tcW w:w="148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5科</w:t>
            </w:r>
          </w:p>
        </w:tc>
        <w:tc>
          <w:tcPr>
            <w:tcW w:w="1460"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8种</w:t>
            </w:r>
          </w:p>
        </w:tc>
        <w:tc>
          <w:tcPr>
            <w:tcW w:w="1982" w:type="dxa"/>
            <w:tcBorders>
              <w:tl2br w:val="nil"/>
              <w:tr2bl w:val="nil"/>
            </w:tcBorders>
            <w:vAlign w:val="center"/>
          </w:tcPr>
          <w:p>
            <w:pPr>
              <w:widowControl/>
              <w:spacing w:line="360" w:lineRule="auto"/>
              <w:ind w:right="-21" w:rightChars="-1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100</w:t>
            </w:r>
          </w:p>
        </w:tc>
      </w:tr>
    </w:tbl>
    <w:p>
      <w:pPr>
        <w:adjustRightInd w:val="0"/>
        <w:snapToGrid w:val="0"/>
        <w:spacing w:line="360" w:lineRule="auto"/>
        <w:ind w:firstLine="540" w:firstLineChars="225"/>
        <w:rPr>
          <w:rFonts w:hint="eastAsia" w:ascii="宋体" w:hAnsi="宋体" w:eastAsia="宋体" w:cs="宋体"/>
          <w:color w:val="auto"/>
          <w:sz w:val="24"/>
        </w:rPr>
      </w:pPr>
      <w:r>
        <w:rPr>
          <w:rFonts w:hint="eastAsia" w:ascii="宋体" w:hAnsi="宋体" w:eastAsia="宋体" w:cs="宋体"/>
          <w:color w:val="auto"/>
          <w:sz w:val="24"/>
        </w:rPr>
        <w:t>区系分析：区内有分布的9种兽类中，东洋界种类有1种，占该区域实际调查到有分布的兽类总种数的12.50%；古北界种类有2种</w:t>
      </w:r>
      <w:r>
        <w:rPr>
          <w:rFonts w:hint="eastAsia" w:ascii="宋体" w:hAnsi="宋体" w:eastAsia="宋体" w:cs="宋体"/>
          <w:color w:val="auto"/>
          <w:sz w:val="24"/>
          <w:lang w:eastAsia="zh-CN"/>
        </w:rPr>
        <w:t>，</w:t>
      </w:r>
      <w:r>
        <w:rPr>
          <w:rFonts w:hint="eastAsia" w:ascii="宋体" w:hAnsi="宋体" w:eastAsia="宋体" w:cs="宋体"/>
          <w:color w:val="auto"/>
          <w:sz w:val="24"/>
        </w:rPr>
        <w:t>占25.00%；广布种分布有5种，占62.50%，可见，该区段兽类以广布种类占优势。</w:t>
      </w:r>
    </w:p>
    <w:p>
      <w:pPr>
        <w:adjustRightInd w:val="0"/>
        <w:snapToGrid w:val="0"/>
        <w:spacing w:line="360" w:lineRule="auto"/>
        <w:ind w:firstLine="540" w:firstLineChars="225"/>
        <w:rPr>
          <w:rFonts w:hint="eastAsia" w:ascii="宋体" w:hAnsi="宋体" w:eastAsia="宋体" w:cs="宋体"/>
          <w:color w:val="auto"/>
          <w:sz w:val="24"/>
        </w:rPr>
      </w:pPr>
      <w:r>
        <w:rPr>
          <w:rFonts w:hint="eastAsia" w:ascii="宋体" w:hAnsi="宋体" w:eastAsia="宋体" w:cs="宋体"/>
          <w:color w:val="auto"/>
          <w:sz w:val="24"/>
        </w:rPr>
        <w:t>生态分布：根据该区域的</w:t>
      </w:r>
      <w:r>
        <w:rPr>
          <w:rFonts w:hint="eastAsia" w:ascii="宋体" w:hAnsi="宋体" w:eastAsia="宋体" w:cs="宋体"/>
          <w:color w:val="auto"/>
          <w:kern w:val="0"/>
          <w:sz w:val="24"/>
        </w:rPr>
        <w:t>环境特征和兽类的生活特性，把该区域兽类分为如下几种</w:t>
      </w:r>
      <w:r>
        <w:rPr>
          <w:rFonts w:hint="eastAsia" w:ascii="宋体" w:hAnsi="宋体" w:eastAsia="宋体" w:cs="宋体"/>
          <w:color w:val="auto"/>
          <w:sz w:val="24"/>
        </w:rPr>
        <w:t>生态类型：</w:t>
      </w:r>
    </w:p>
    <w:p>
      <w:pPr>
        <w:adjustRightInd w:val="0"/>
        <w:snapToGrid w:val="0"/>
        <w:spacing w:line="360" w:lineRule="auto"/>
        <w:ind w:firstLine="540" w:firstLineChars="225"/>
        <w:rPr>
          <w:rFonts w:hint="eastAsia" w:ascii="宋体" w:hAnsi="宋体" w:eastAsia="宋体" w:cs="宋体"/>
          <w:color w:val="auto"/>
          <w:sz w:val="24"/>
        </w:rPr>
      </w:pPr>
      <w:r>
        <w:rPr>
          <w:rFonts w:hint="eastAsia" w:ascii="宋体" w:hAnsi="宋体" w:eastAsia="宋体" w:cs="宋体"/>
          <w:color w:val="auto"/>
          <w:sz w:val="24"/>
        </w:rPr>
        <w:t>河谷区</w:t>
      </w:r>
      <w:r>
        <w:rPr>
          <w:rFonts w:hint="eastAsia" w:ascii="宋体" w:hAnsi="宋体" w:eastAsia="宋体" w:cs="宋体"/>
          <w:color w:val="auto"/>
          <w:kern w:val="0"/>
          <w:sz w:val="24"/>
        </w:rPr>
        <w:t>兽类：指生活在评价区内河流和沿岸的物种，该区域的生境类型主要包括水域、农耕地和河谷草甸等基本类型，分布海拔相对较低，生活于其中的兽类主要包括：黄鼬</w:t>
      </w:r>
      <w:r>
        <w:rPr>
          <w:rFonts w:hint="eastAsia" w:ascii="宋体" w:hAnsi="宋体" w:eastAsia="宋体" w:cs="宋体"/>
          <w:i/>
          <w:color w:val="auto"/>
          <w:kern w:val="0"/>
          <w:sz w:val="24"/>
        </w:rPr>
        <w:t>Mustela sibirica</w:t>
      </w:r>
      <w:r>
        <w:rPr>
          <w:rFonts w:hint="eastAsia" w:ascii="宋体" w:hAnsi="宋体" w:eastAsia="宋体" w:cs="宋体"/>
          <w:color w:val="auto"/>
          <w:kern w:val="0"/>
          <w:sz w:val="24"/>
        </w:rPr>
        <w:t>、草兔</w:t>
      </w:r>
      <w:r>
        <w:rPr>
          <w:rFonts w:hint="eastAsia" w:ascii="宋体" w:hAnsi="宋体" w:eastAsia="宋体" w:cs="宋体"/>
          <w:i/>
          <w:color w:val="auto"/>
          <w:kern w:val="0"/>
          <w:sz w:val="24"/>
        </w:rPr>
        <w:t>Lepus capensis</w:t>
      </w:r>
      <w:r>
        <w:rPr>
          <w:rFonts w:hint="eastAsia" w:ascii="宋体" w:hAnsi="宋体" w:eastAsia="宋体" w:cs="宋体"/>
          <w:color w:val="auto"/>
          <w:kern w:val="0"/>
          <w:sz w:val="24"/>
        </w:rPr>
        <w:t>、小家鼠</w:t>
      </w:r>
      <w:r>
        <w:rPr>
          <w:rFonts w:hint="eastAsia" w:ascii="宋体" w:hAnsi="宋体" w:eastAsia="宋体" w:cs="宋体"/>
          <w:i/>
          <w:color w:val="auto"/>
          <w:kern w:val="0"/>
          <w:sz w:val="24"/>
        </w:rPr>
        <w:t>Mus musculus</w:t>
      </w:r>
      <w:r>
        <w:rPr>
          <w:rFonts w:hint="eastAsia" w:ascii="宋体" w:hAnsi="宋体" w:eastAsia="宋体" w:cs="宋体"/>
          <w:color w:val="auto"/>
          <w:kern w:val="0"/>
          <w:sz w:val="24"/>
        </w:rPr>
        <w:t>等，其中的</w:t>
      </w:r>
      <w:r>
        <w:rPr>
          <w:rFonts w:hint="eastAsia" w:ascii="宋体" w:hAnsi="宋体" w:eastAsia="宋体" w:cs="宋体"/>
          <w:color w:val="auto"/>
          <w:sz w:val="24"/>
        </w:rPr>
        <w:t>优势种类草兔、小家鼠等。</w:t>
      </w:r>
    </w:p>
    <w:p>
      <w:pPr>
        <w:adjustRightInd w:val="0"/>
        <w:snapToGrid w:val="0"/>
        <w:spacing w:line="360" w:lineRule="auto"/>
        <w:ind w:firstLine="540" w:firstLineChars="225"/>
        <w:rPr>
          <w:rFonts w:hint="eastAsia" w:ascii="宋体" w:hAnsi="宋体" w:eastAsia="宋体" w:cs="宋体"/>
          <w:color w:val="auto"/>
          <w:sz w:val="24"/>
        </w:rPr>
      </w:pPr>
      <w:r>
        <w:rPr>
          <w:rFonts w:hint="eastAsia" w:ascii="宋体" w:hAnsi="宋体" w:eastAsia="宋体" w:cs="宋体"/>
          <w:color w:val="auto"/>
          <w:sz w:val="24"/>
        </w:rPr>
        <w:t>林区兽</w:t>
      </w:r>
      <w:r>
        <w:rPr>
          <w:rFonts w:hint="eastAsia" w:ascii="宋体" w:hAnsi="宋体" w:eastAsia="宋体" w:cs="宋体"/>
          <w:color w:val="auto"/>
          <w:kern w:val="0"/>
          <w:sz w:val="24"/>
        </w:rPr>
        <w:t>类：主要是指生活在竹林和经济林环境的物种，竹林和经济林环境环境在该区域主要分布于公路两侧中上部及农田房屋附近。为该区最广的生境类型，主要</w:t>
      </w:r>
      <w:r>
        <w:rPr>
          <w:rFonts w:hint="eastAsia" w:ascii="宋体" w:hAnsi="宋体" w:eastAsia="宋体" w:cs="宋体"/>
          <w:color w:val="auto"/>
          <w:sz w:val="24"/>
        </w:rPr>
        <w:t>分布的兽类有黄鼬Mustela sibirica、社鼠Rattus niviventer等。</w:t>
      </w:r>
    </w:p>
    <w:p>
      <w:pPr>
        <w:adjustRightInd w:val="0"/>
        <w:snapToGrid w:val="0"/>
        <w:spacing w:line="360" w:lineRule="auto"/>
        <w:ind w:firstLine="540" w:firstLineChars="225"/>
        <w:rPr>
          <w:rFonts w:hint="eastAsia" w:ascii="宋体" w:hAnsi="宋体" w:eastAsia="宋体" w:cs="宋体"/>
          <w:color w:val="auto"/>
          <w:sz w:val="24"/>
        </w:rPr>
      </w:pPr>
      <w:r>
        <w:rPr>
          <w:rFonts w:hint="eastAsia" w:ascii="宋体" w:hAnsi="宋体" w:eastAsia="宋体" w:cs="宋体"/>
          <w:color w:val="auto"/>
          <w:sz w:val="24"/>
        </w:rPr>
        <w:t>常见</w:t>
      </w:r>
      <w:r>
        <w:rPr>
          <w:rFonts w:hint="eastAsia" w:ascii="宋体" w:hAnsi="宋体" w:eastAsia="宋体" w:cs="宋体"/>
          <w:color w:val="auto"/>
          <w:kern w:val="0"/>
          <w:sz w:val="24"/>
        </w:rPr>
        <w:t>种类介绍</w:t>
      </w:r>
      <w:r>
        <w:rPr>
          <w:rFonts w:hint="eastAsia" w:ascii="宋体" w:hAnsi="宋体" w:eastAsia="宋体" w:cs="宋体"/>
          <w:color w:val="auto"/>
          <w:sz w:val="24"/>
        </w:rPr>
        <w:t>如下：</w:t>
      </w:r>
    </w:p>
    <w:p>
      <w:pPr>
        <w:adjustRightInd w:val="0"/>
        <w:snapToGrid w:val="0"/>
        <w:spacing w:line="360" w:lineRule="auto"/>
        <w:ind w:firstLine="542" w:firstLineChars="225"/>
        <w:rPr>
          <w:rFonts w:hint="eastAsia" w:ascii="宋体" w:hAnsi="宋体" w:eastAsia="宋体" w:cs="宋体"/>
          <w:color w:val="auto"/>
          <w:sz w:val="24"/>
        </w:rPr>
      </w:pPr>
      <w:r>
        <w:rPr>
          <w:rFonts w:hint="eastAsia" w:ascii="宋体" w:hAnsi="宋体" w:eastAsia="宋体" w:cs="宋体"/>
          <w:b/>
          <w:bCs/>
          <w:color w:val="auto"/>
          <w:sz w:val="24"/>
        </w:rPr>
        <w:t>黄鼬</w:t>
      </w:r>
      <w:r>
        <w:rPr>
          <w:rFonts w:hint="eastAsia" w:ascii="宋体" w:hAnsi="宋体" w:eastAsia="宋体" w:cs="宋体"/>
          <w:b/>
          <w:color w:val="auto"/>
          <w:kern w:val="0"/>
          <w:sz w:val="24"/>
        </w:rPr>
        <w:t>（</w:t>
      </w:r>
      <w:r>
        <w:rPr>
          <w:rFonts w:hint="eastAsia" w:ascii="宋体" w:hAnsi="宋体" w:eastAsia="宋体" w:cs="宋体"/>
          <w:b/>
          <w:i/>
          <w:color w:val="auto"/>
          <w:kern w:val="0"/>
          <w:sz w:val="24"/>
        </w:rPr>
        <w:t>Mustela sibirica</w:t>
      </w:r>
      <w:r>
        <w:rPr>
          <w:rFonts w:hint="eastAsia" w:ascii="宋体" w:hAnsi="宋体" w:eastAsia="宋体" w:cs="宋体"/>
          <w:b/>
          <w:color w:val="auto"/>
          <w:kern w:val="0"/>
          <w:sz w:val="24"/>
        </w:rPr>
        <w:t>）</w:t>
      </w:r>
      <w:r>
        <w:rPr>
          <w:rFonts w:hint="eastAsia" w:ascii="宋体" w:hAnsi="宋体" w:eastAsia="宋体" w:cs="宋体"/>
          <w:color w:val="auto"/>
          <w:kern w:val="0"/>
          <w:sz w:val="24"/>
        </w:rPr>
        <w:t>：又名黄鼠狼。全身背腹被棕褐或棕黄色毛衣，身体细长柔软。尾长约为体长的1/2；耳壳短而宽；四肢短小。雌兽小，6约为雄兽的1/3。头部比颈部稍小略尖，耳壳短而横宽，外侧后缘为双层，形成扁形裂缝。鼻端突出无毛；上唇两侧具粗长的髭毛。颈部较长灵活。躯干长而柔软。四肢短小，各具无指（趾)。指（趾)端具爪，不能伸缩。掌、（足庶)、指（趾)垫无毛。足半（足庶)行性。尾长约为体长之半，冬季尾毛长而蓬松；夏毛较短、不甚</w:t>
      </w:r>
      <w:r>
        <w:rPr>
          <w:rFonts w:hint="eastAsia" w:ascii="宋体" w:hAnsi="宋体" w:eastAsia="宋体" w:cs="宋体"/>
          <w:color w:val="auto"/>
          <w:sz w:val="24"/>
        </w:rPr>
        <w:t>蓬松。</w:t>
      </w:r>
    </w:p>
    <w:p>
      <w:pPr>
        <w:adjustRightInd w:val="0"/>
        <w:snapToGrid w:val="0"/>
        <w:spacing w:line="360" w:lineRule="auto"/>
        <w:ind w:firstLine="542" w:firstLineChars="225"/>
        <w:rPr>
          <w:rFonts w:hint="eastAsia" w:ascii="宋体" w:hAnsi="宋体" w:eastAsia="宋体" w:cs="宋体"/>
          <w:color w:val="auto"/>
          <w:sz w:val="24"/>
        </w:rPr>
      </w:pPr>
      <w:r>
        <w:rPr>
          <w:rFonts w:hint="eastAsia" w:ascii="宋体" w:hAnsi="宋体" w:eastAsia="宋体" w:cs="宋体"/>
          <w:b/>
          <w:bCs/>
          <w:color w:val="auto"/>
          <w:sz w:val="24"/>
        </w:rPr>
        <w:t>田</w:t>
      </w:r>
      <w:r>
        <w:rPr>
          <w:rFonts w:hint="eastAsia" w:ascii="宋体" w:hAnsi="宋体" w:eastAsia="宋体" w:cs="宋体"/>
          <w:b/>
          <w:color w:val="auto"/>
          <w:kern w:val="0"/>
          <w:sz w:val="24"/>
        </w:rPr>
        <w:t>鼠（</w:t>
      </w:r>
      <w:r>
        <w:rPr>
          <w:rFonts w:hint="eastAsia" w:ascii="宋体" w:hAnsi="宋体" w:eastAsia="宋体" w:cs="宋体"/>
          <w:b/>
          <w:i/>
          <w:color w:val="auto"/>
          <w:kern w:val="0"/>
          <w:sz w:val="24"/>
        </w:rPr>
        <w:t>Microtus Phenacomys</w:t>
      </w:r>
      <w:r>
        <w:rPr>
          <w:rFonts w:hint="eastAsia" w:ascii="宋体" w:hAnsi="宋体" w:eastAsia="宋体" w:cs="宋体"/>
          <w:b/>
          <w:color w:val="auto"/>
          <w:kern w:val="0"/>
          <w:sz w:val="24"/>
        </w:rPr>
        <w:t>）</w:t>
      </w:r>
      <w:r>
        <w:rPr>
          <w:rFonts w:hint="eastAsia" w:ascii="宋体" w:hAnsi="宋体" w:eastAsia="宋体" w:cs="宋体"/>
          <w:color w:val="auto"/>
          <w:kern w:val="0"/>
          <w:sz w:val="24"/>
        </w:rPr>
        <w:t>：啮齿目仓鼠科田鼠亚科的通称。田鼠体型粗笨，多数为小型鼠类，个别达中等，如麝鼠，体长约30厘米，体重约1800克；四肢短，眼小，耳壳略显露于毛外；尾短，一般不超过体长之半，旅鼠、兔尾鼠、鼹形田鼠则甚短，不及后足长，麝鼠的尾因适应游泳，侧扁如舵；毛色差别很大，呈灰黄、沙黄、棕褐、棕灰等色；臼齿齿冠平坦，由许多左右交错的三角形齿环</w:t>
      </w:r>
      <w:r>
        <w:rPr>
          <w:rFonts w:hint="eastAsia" w:ascii="宋体" w:hAnsi="宋体" w:eastAsia="宋体" w:cs="宋体"/>
          <w:color w:val="auto"/>
          <w:sz w:val="24"/>
        </w:rPr>
        <w:t>组成。</w:t>
      </w:r>
    </w:p>
    <w:p>
      <w:pPr>
        <w:adjustRightInd w:val="0"/>
        <w:snapToGrid w:val="0"/>
        <w:spacing w:line="360" w:lineRule="auto"/>
        <w:ind w:firstLine="542" w:firstLineChars="225"/>
        <w:rPr>
          <w:rFonts w:hint="eastAsia" w:ascii="宋体" w:hAnsi="宋体" w:eastAsia="宋体" w:cs="宋体"/>
          <w:color w:val="auto"/>
          <w:sz w:val="24"/>
        </w:rPr>
      </w:pPr>
      <w:r>
        <w:rPr>
          <w:rFonts w:hint="eastAsia" w:ascii="宋体" w:hAnsi="宋体" w:eastAsia="宋体" w:cs="宋体"/>
          <w:b/>
          <w:bCs/>
          <w:color w:val="auto"/>
          <w:sz w:val="24"/>
        </w:rPr>
        <w:t>社</w:t>
      </w:r>
      <w:r>
        <w:rPr>
          <w:rFonts w:hint="eastAsia" w:ascii="宋体" w:hAnsi="宋体" w:eastAsia="宋体" w:cs="宋体"/>
          <w:b/>
          <w:color w:val="auto"/>
          <w:kern w:val="0"/>
          <w:sz w:val="24"/>
        </w:rPr>
        <w:t>鼠（</w:t>
      </w:r>
      <w:r>
        <w:rPr>
          <w:rFonts w:hint="eastAsia" w:ascii="宋体" w:hAnsi="宋体" w:eastAsia="宋体" w:cs="宋体"/>
          <w:b/>
          <w:i/>
          <w:color w:val="auto"/>
          <w:kern w:val="0"/>
          <w:sz w:val="24"/>
        </w:rPr>
        <w:t>Rattus niviventer</w:t>
      </w:r>
      <w:r>
        <w:rPr>
          <w:rFonts w:hint="eastAsia" w:ascii="宋体" w:hAnsi="宋体" w:eastAsia="宋体" w:cs="宋体"/>
          <w:b/>
          <w:color w:val="auto"/>
          <w:kern w:val="0"/>
          <w:sz w:val="24"/>
        </w:rPr>
        <w:t>）</w:t>
      </w:r>
      <w:r>
        <w:rPr>
          <w:rFonts w:hint="eastAsia" w:ascii="宋体" w:hAnsi="宋体" w:eastAsia="宋体" w:cs="宋体"/>
          <w:color w:val="auto"/>
          <w:kern w:val="0"/>
          <w:sz w:val="24"/>
        </w:rPr>
        <w:t>：为中型鼠类，体细长。成鼠体长120～190毫米，体重50～85克，尾长152～190毫米，超过或等于体长。耳大而薄，翻向前方可遮住眼部。体背毛棕褐色，中央颜色较深，为黑褐色，头、颈和腹部两侧呈暗棕色或棕黄色。夏季背毛间杂有白色刺状针毛，而冬季缺少。腹部毛呈硫磺色，故称"硫磺腹鼠"。尾毛背面棕褐色，与体背部同色，腹面及尾尖为白色，约占尾长的1／3。前后足掌部的背面，近侧端的2／3部分为棕褐色，余部及指趾部为白色。耳朵背面密生黑棕色细毛，整个耳朵外观为黑</w:t>
      </w:r>
      <w:r>
        <w:rPr>
          <w:rFonts w:hint="eastAsia" w:ascii="宋体" w:hAnsi="宋体" w:eastAsia="宋体" w:cs="宋体"/>
          <w:color w:val="auto"/>
          <w:sz w:val="24"/>
        </w:rPr>
        <w:t>棕色。</w:t>
      </w:r>
    </w:p>
    <w:p>
      <w:pPr>
        <w:adjustRightInd w:val="0"/>
        <w:snapToGrid w:val="0"/>
        <w:spacing w:line="360" w:lineRule="auto"/>
        <w:ind w:firstLine="542" w:firstLineChars="225"/>
        <w:rPr>
          <w:rFonts w:hint="eastAsia" w:ascii="宋体" w:hAnsi="宋体" w:eastAsia="宋体" w:cs="宋体"/>
          <w:color w:val="auto"/>
          <w:kern w:val="0"/>
          <w:sz w:val="24"/>
        </w:rPr>
      </w:pPr>
      <w:r>
        <w:rPr>
          <w:rFonts w:hint="eastAsia" w:ascii="宋体" w:hAnsi="宋体" w:eastAsia="宋体" w:cs="宋体"/>
          <w:b/>
          <w:bCs/>
          <w:color w:val="auto"/>
          <w:sz w:val="24"/>
        </w:rPr>
        <w:t>小家</w:t>
      </w:r>
      <w:r>
        <w:rPr>
          <w:rFonts w:hint="eastAsia" w:ascii="宋体" w:hAnsi="宋体" w:eastAsia="宋体" w:cs="宋体"/>
          <w:b/>
          <w:color w:val="auto"/>
          <w:kern w:val="0"/>
          <w:sz w:val="24"/>
        </w:rPr>
        <w:t>鼠（</w:t>
      </w:r>
      <w:r>
        <w:rPr>
          <w:rFonts w:hint="eastAsia" w:ascii="宋体" w:hAnsi="宋体" w:eastAsia="宋体" w:cs="宋体"/>
          <w:b/>
          <w:i/>
          <w:color w:val="auto"/>
          <w:kern w:val="0"/>
          <w:sz w:val="24"/>
        </w:rPr>
        <w:t>Mus musculus</w:t>
      </w:r>
      <w:r>
        <w:rPr>
          <w:rFonts w:hint="eastAsia" w:ascii="宋体" w:hAnsi="宋体" w:eastAsia="宋体" w:cs="宋体"/>
          <w:b/>
          <w:color w:val="auto"/>
          <w:kern w:val="0"/>
          <w:sz w:val="24"/>
        </w:rPr>
        <w:t>）</w:t>
      </w:r>
      <w:r>
        <w:rPr>
          <w:rFonts w:hint="eastAsia" w:ascii="宋体" w:hAnsi="宋体" w:eastAsia="宋体" w:cs="宋体"/>
          <w:color w:val="auto"/>
          <w:kern w:val="0"/>
          <w:sz w:val="24"/>
        </w:rPr>
        <w:t>：小家鼠为鼠科中的小型鼠，体长60～90毫米，体重7～20克，尾与体长相当或略短于体长。头较小，吻短，耳圆形，明显地露出毛被外。上门齿后缘有一极显著的月形缺刻，为其主要特征。毛色随季节与栖息环境而异。体背</w:t>
      </w:r>
      <w:r>
        <w:rPr>
          <w:rFonts w:hint="eastAsia" w:ascii="宋体" w:hAnsi="宋体" w:eastAsia="宋体" w:cs="宋体"/>
          <w:color w:val="auto"/>
          <w:sz w:val="24"/>
        </w:rPr>
        <w:t>呈现</w:t>
      </w:r>
      <w:r>
        <w:rPr>
          <w:rFonts w:hint="eastAsia" w:ascii="宋体" w:hAnsi="宋体" w:eastAsia="宋体" w:cs="宋体"/>
          <w:color w:val="auto"/>
          <w:kern w:val="0"/>
          <w:sz w:val="24"/>
        </w:rPr>
        <w:t>棕灰色、灰褐色或暗褐色，毛基部黑色。腹面毛白色、灰白色或灰黄色。尾两色，背面为黑褐色，腹面为沙黄色。四足的背面呈暗色或污白色。</w:t>
      </w:r>
    </w:p>
    <w:p>
      <w:pPr>
        <w:pStyle w:val="5"/>
        <w:rPr>
          <w:rFonts w:hint="eastAsia" w:ascii="宋体" w:hAnsi="宋体" w:eastAsia="宋体" w:cs="宋体"/>
          <w:color w:val="auto"/>
        </w:rPr>
      </w:pPr>
      <w:bookmarkStart w:id="216" w:name="_Toc31514"/>
      <w:r>
        <w:rPr>
          <w:rFonts w:hint="eastAsia" w:ascii="宋体" w:hAnsi="宋体" w:eastAsia="宋体" w:cs="宋体"/>
          <w:bCs w:val="0"/>
          <w:color w:val="auto"/>
        </w:rPr>
        <w:t>重点保护动物</w:t>
      </w:r>
      <w:bookmarkEnd w:id="216"/>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szCs w:val="21"/>
        </w:rPr>
        <w:t>在该项目评价区调查中，评价区内没有国家级重点保护动物。</w:t>
      </w:r>
    </w:p>
    <w:p>
      <w:pPr>
        <w:pStyle w:val="4"/>
        <w:spacing w:before="120" w:after="120"/>
        <w:rPr>
          <w:b w:val="0"/>
          <w:bCs w:val="0"/>
          <w:color w:val="auto"/>
          <w:sz w:val="24"/>
        </w:rPr>
      </w:pPr>
      <w:bookmarkStart w:id="217" w:name="_Toc10676"/>
      <w:bookmarkStart w:id="218" w:name="_Toc2080941"/>
      <w:r>
        <w:rPr>
          <w:color w:val="auto"/>
        </w:rPr>
        <w:t>评价区景观生态体系</w:t>
      </w:r>
      <w:bookmarkEnd w:id="217"/>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根据《环境影响评价技术导则 生态影响》（HJ19-20</w:t>
      </w:r>
      <w:r>
        <w:rPr>
          <w:rFonts w:hint="eastAsia" w:ascii="Times New Roman" w:hAnsi="Times New Roman"/>
          <w:color w:val="auto"/>
          <w:sz w:val="24"/>
          <w:lang w:val="en-US" w:eastAsia="zh-CN"/>
        </w:rPr>
        <w:t>22</w:t>
      </w:r>
      <w:r>
        <w:rPr>
          <w:rFonts w:ascii="Times New Roman" w:hAnsi="Times New Roman"/>
          <w:color w:val="auto"/>
          <w:sz w:val="24"/>
        </w:rPr>
        <w:t>），“景观由斑块、基质和廊道组成”。斑块意味着景观类型的多样化，是构成景观的结构和功能单元；廊道是线性的景观单元，具有联通和阻隔的双重作用；基质代表了该景观或区域的最主要的景观类型，是景观的背景地块，是景观中一种可以控制环境质量的结构。景观是有斑块、廊道和基质等景观要素组成的异质性区域，各要素的数量、大小、类型、形状及在空间上的组合形成构成了景观格局。</w:t>
      </w:r>
    </w:p>
    <w:p>
      <w:pPr>
        <w:pStyle w:val="5"/>
        <w:rPr>
          <w:b w:val="0"/>
          <w:bCs w:val="0"/>
          <w:color w:val="auto"/>
        </w:rPr>
      </w:pPr>
      <w:bookmarkStart w:id="219" w:name="_Toc2080943"/>
      <w:bookmarkStart w:id="220" w:name="_Toc26649"/>
      <w:r>
        <w:rPr>
          <w:bCs w:val="0"/>
          <w:color w:val="auto"/>
        </w:rPr>
        <w:t>景观</w:t>
      </w:r>
      <w:bookmarkEnd w:id="219"/>
      <w:r>
        <w:rPr>
          <w:bCs w:val="0"/>
          <w:color w:val="auto"/>
        </w:rPr>
        <w:t>生态类型组成及特征</w:t>
      </w:r>
      <w:bookmarkEnd w:id="220"/>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评价区内景观生态体系由下列组分组成，这些组分可以是不同的生态系统，也可以是生境。由于该区域在底衫丘陵地带，海拔较低，以农田及聚落在评价区内分布面积最大，连通程度也高。据调查，评价区共可以划分景观生态类型4个。各景观类型划分如下：</w:t>
      </w:r>
    </w:p>
    <w:p>
      <w:pPr>
        <w:spacing w:line="360" w:lineRule="auto"/>
        <w:ind w:right="-21" w:rightChars="-10" w:firstLine="480" w:firstLineChars="200"/>
        <w:rPr>
          <w:rFonts w:ascii="Times New Roman" w:hAnsi="Times New Roman"/>
          <w:color w:val="auto"/>
          <w:sz w:val="24"/>
        </w:rPr>
      </w:pPr>
      <w:r>
        <w:rPr>
          <w:rFonts w:ascii="Times New Roman" w:hAnsi="Times New Roman"/>
          <w:color w:val="auto"/>
          <w:sz w:val="24"/>
        </w:rPr>
        <w:t>1、以农田植被为主的农作物植被及聚落景观，在居民聚居点附近分布面积最大，连通程度高，属于人工景观，景观破碎度高，呈规律的几何形状分布。该景观外貌整齐，可塑性高，但人为管理不善时可退化为杂草群落。景观的组成与拼块数量受人为影响极大，是水土流失主要的来源之一。</w:t>
      </w:r>
    </w:p>
    <w:p>
      <w:pPr>
        <w:spacing w:line="360" w:lineRule="auto"/>
        <w:ind w:right="-21" w:rightChars="-10" w:firstLine="480" w:firstLineChars="200"/>
        <w:rPr>
          <w:rFonts w:ascii="Times New Roman" w:hAnsi="Times New Roman"/>
          <w:color w:val="auto"/>
          <w:sz w:val="24"/>
        </w:rPr>
      </w:pPr>
      <w:r>
        <w:rPr>
          <w:rFonts w:ascii="Times New Roman" w:hAnsi="Times New Roman"/>
          <w:color w:val="auto"/>
          <w:sz w:val="24"/>
        </w:rPr>
        <w:t>2、以慈竹林为主的亚热带竹林拼块，这些竹林多为人工种植，有一定的自然更新能力，在居民聚居点附近人为干扰较严重，分布呈较规则的块状或带状。该群落植被覆盖较高，但仅带状分布在农作物植被周围，对水土保持起到重要的作用，是对本区域环境质量起主要动态控制的拼块类型。</w:t>
      </w:r>
    </w:p>
    <w:p>
      <w:pPr>
        <w:spacing w:line="360" w:lineRule="auto"/>
        <w:ind w:right="-21" w:rightChars="-10" w:firstLine="480"/>
        <w:rPr>
          <w:rFonts w:ascii="Times New Roman" w:hAnsi="Times New Roman"/>
          <w:color w:val="auto"/>
          <w:sz w:val="24"/>
        </w:rPr>
      </w:pPr>
      <w:r>
        <w:rPr>
          <w:rFonts w:ascii="Times New Roman" w:hAnsi="Times New Roman"/>
          <w:color w:val="auto"/>
          <w:sz w:val="24"/>
        </w:rPr>
        <w:t>3、以芦竹草丛为主的草丛景观主要分布在评价区内的河滩内及农田四周，山坡边缘，以及</w:t>
      </w:r>
      <w:r>
        <w:rPr>
          <w:rFonts w:ascii="Times New Roman" w:hAnsi="Times New Roman"/>
          <w:bCs/>
          <w:color w:val="auto"/>
          <w:sz w:val="24"/>
        </w:rPr>
        <w:t>河岸</w:t>
      </w:r>
      <w:r>
        <w:rPr>
          <w:rFonts w:ascii="Times New Roman" w:hAnsi="Times New Roman"/>
          <w:color w:val="auto"/>
          <w:sz w:val="24"/>
        </w:rPr>
        <w:t>边坡等。群落外貌较整齐，种类组成丰富，生长均匀，在评价区以小块状分布，对生态环境有一定调控作用。</w:t>
      </w:r>
    </w:p>
    <w:p>
      <w:pPr>
        <w:spacing w:line="360" w:lineRule="auto"/>
        <w:ind w:right="-21" w:rightChars="-10" w:firstLine="480"/>
        <w:rPr>
          <w:rFonts w:ascii="Times New Roman" w:hAnsi="Times New Roman"/>
          <w:color w:val="auto"/>
          <w:sz w:val="24"/>
        </w:rPr>
      </w:pPr>
      <w:r>
        <w:rPr>
          <w:rFonts w:ascii="Times New Roman" w:hAnsi="Times New Roman"/>
          <w:color w:val="auto"/>
          <w:sz w:val="24"/>
        </w:rPr>
        <w:t>4、河流拼块属于环境资源拼块类型，连接度和连通性都很高，但该类型拼块相当脆弱，易受工程建设等外界影响而在结构和功能上发生巨大变化。</w:t>
      </w:r>
    </w:p>
    <w:p>
      <w:pPr>
        <w:spacing w:line="360" w:lineRule="auto"/>
        <w:ind w:right="-21" w:rightChars="-10" w:firstLine="480"/>
        <w:rPr>
          <w:rFonts w:ascii="Times New Roman" w:hAnsi="Times New Roman"/>
          <w:color w:val="auto"/>
          <w:sz w:val="24"/>
        </w:rPr>
      </w:pPr>
      <w:r>
        <w:rPr>
          <w:rFonts w:ascii="Times New Roman" w:hAnsi="Times New Roman"/>
          <w:color w:val="auto"/>
          <w:sz w:val="24"/>
        </w:rPr>
        <w:t>这些景观类型之间有着既相辅相成又相互制约的特点。以栽培植物拼块为特征的人工群落在数量上稍占优势，但其抵御环境干扰能力较弱，对该区域生态环境无维护作用。本区域生态环境质量的主要控制性组分是环境资源拼块，所以环境资源拼块自然生产能力的维护和稳定状况的维护是本区生态环境质量控制的判定因素。</w:t>
      </w:r>
    </w:p>
    <w:p>
      <w:pPr>
        <w:spacing w:line="360" w:lineRule="auto"/>
        <w:ind w:right="-21" w:rightChars="-10" w:firstLine="480"/>
        <w:rPr>
          <w:rFonts w:ascii="Times New Roman" w:hAnsi="Times New Roman"/>
          <w:color w:val="auto"/>
          <w:sz w:val="24"/>
        </w:rPr>
      </w:pPr>
      <w:r>
        <w:rPr>
          <w:rFonts w:ascii="Times New Roman" w:hAnsi="Times New Roman"/>
          <w:color w:val="auto"/>
          <w:sz w:val="24"/>
        </w:rPr>
        <w:t>这些景观类型之间有着既相辅相成又相互制约的特点。评价区以森林拼块为特征的自然群落在数量上占优势，对该区域生态环境有控制性的维护作用。本区域生态环境质量的主要控制性组分是环境资源拼块，所以环境资源拼块自然生产能力的维护和稳定状况的维护是本区生态环境质量控制的判定因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受地貌和人为干扰因素影响，景观类型的分布可分为3种：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（1）规则分布型：受人为和地貌控制，栽培成规则形状的拼块类型。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（2）聚合分布型：受地貌和人类干扰的控制，在居民点附近或山地呈聚合分布。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（3）线状分布型：多出现在道路两边，沿道路走向呈线状分布。</w:t>
      </w:r>
    </w:p>
    <w:p>
      <w:pPr>
        <w:pStyle w:val="5"/>
        <w:rPr>
          <w:color w:val="auto"/>
        </w:rPr>
      </w:pPr>
      <w:bookmarkStart w:id="221" w:name="_Toc7099"/>
      <w:r>
        <w:rPr>
          <w:color w:val="auto"/>
        </w:rPr>
        <w:t>景观生态体系现状</w:t>
      </w:r>
      <w:bookmarkEnd w:id="221"/>
    </w:p>
    <w:p>
      <w:pPr>
        <w:adjustRightInd w:val="0"/>
        <w:snapToGrid w:val="0"/>
        <w:spacing w:line="360" w:lineRule="auto"/>
        <w:ind w:firstLine="482" w:firstLineChars="200"/>
        <w:rPr>
          <w:rFonts w:ascii="Times New Roman" w:hAnsi="Times New Roman"/>
          <w:b/>
          <w:color w:val="auto"/>
          <w:sz w:val="24"/>
        </w:rPr>
      </w:pPr>
      <w:r>
        <w:rPr>
          <w:rFonts w:ascii="Times New Roman" w:hAnsi="Times New Roman"/>
          <w:b/>
          <w:color w:val="auto"/>
          <w:sz w:val="24"/>
        </w:rPr>
        <w:t>（1）斑块</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斑块代表景观类型的多样化。在工程景观评价区内的斑块类型包括农作物植被及聚落景观、竹林、草丛及河流生态系统4种类型。评价区共可以划分景观生态类型4个、图斑82个，评价区各类斑块类型占地面积见下表</w:t>
      </w:r>
      <w:bookmarkEnd w:id="218"/>
      <w:r>
        <w:rPr>
          <w:rFonts w:ascii="Times New Roman" w:hAnsi="Times New Roman"/>
          <w:color w:val="auto"/>
          <w:sz w:val="24"/>
        </w:rPr>
        <w:t>：</w:t>
      </w:r>
    </w:p>
    <w:p>
      <w:pPr>
        <w:pStyle w:val="14"/>
        <w:spacing w:line="240" w:lineRule="auto"/>
        <w:rPr>
          <w:color w:val="auto"/>
          <w:szCs w:val="21"/>
        </w:rPr>
      </w:pPr>
      <w:r>
        <w:rPr>
          <w:color w:val="auto"/>
        </w:rPr>
        <w:t>表</w:t>
      </w:r>
      <w:r>
        <w:rPr>
          <w:rFonts w:hint="eastAsia"/>
          <w:color w:val="auto"/>
        </w:rPr>
        <w:t>6-</w:t>
      </w:r>
      <w:r>
        <w:rPr>
          <w:rFonts w:hint="eastAsia"/>
          <w:color w:val="auto"/>
          <w:lang w:val="en-US" w:eastAsia="zh-CN"/>
        </w:rPr>
        <w:t>9</w:t>
      </w:r>
      <w:r>
        <w:rPr>
          <w:color w:val="auto"/>
          <w:szCs w:val="21"/>
        </w:rPr>
        <w:t xml:space="preserve">  评价区各类斑块类型占地面积</w:t>
      </w:r>
    </w:p>
    <w:tbl>
      <w:tblPr>
        <w:tblStyle w:val="39"/>
        <w:tblW w:w="4731"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0" w:type="dxa"/>
          <w:bottom w:w="0" w:type="dxa"/>
          <w:right w:w="0" w:type="dxa"/>
        </w:tblCellMar>
      </w:tblPr>
      <w:tblGrid>
        <w:gridCol w:w="2495"/>
        <w:gridCol w:w="1680"/>
        <w:gridCol w:w="2115"/>
        <w:gridCol w:w="2312"/>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560" w:hRule="atLeast"/>
          <w:jc w:val="center"/>
        </w:trPr>
        <w:tc>
          <w:tcPr>
            <w:tcW w:w="1450"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b/>
                <w:color w:val="auto"/>
                <w:szCs w:val="21"/>
              </w:rPr>
            </w:pPr>
            <w:r>
              <w:rPr>
                <w:rFonts w:ascii="Times New Roman" w:hAnsi="Times New Roman"/>
                <w:b/>
                <w:color w:val="auto"/>
                <w:kern w:val="0"/>
                <w:szCs w:val="21"/>
              </w:rPr>
              <w:t>斑块类型</w:t>
            </w:r>
          </w:p>
        </w:tc>
        <w:tc>
          <w:tcPr>
            <w:tcW w:w="976"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b/>
                <w:color w:val="auto"/>
                <w:szCs w:val="21"/>
              </w:rPr>
            </w:pPr>
            <w:r>
              <w:rPr>
                <w:rFonts w:ascii="Times New Roman" w:hAnsi="Times New Roman"/>
                <w:b/>
                <w:color w:val="auto"/>
                <w:kern w:val="0"/>
                <w:szCs w:val="21"/>
              </w:rPr>
              <w:t>斑块数（块）</w:t>
            </w:r>
          </w:p>
        </w:tc>
        <w:tc>
          <w:tcPr>
            <w:tcW w:w="1229"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b/>
                <w:color w:val="auto"/>
                <w:szCs w:val="21"/>
              </w:rPr>
            </w:pPr>
            <w:r>
              <w:rPr>
                <w:rFonts w:ascii="Times New Roman" w:hAnsi="Times New Roman"/>
                <w:b/>
                <w:color w:val="auto"/>
                <w:kern w:val="0"/>
                <w:szCs w:val="21"/>
              </w:rPr>
              <w:t>斑块数量比例（%）</w:t>
            </w:r>
          </w:p>
        </w:tc>
        <w:tc>
          <w:tcPr>
            <w:tcW w:w="1343"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b/>
                <w:color w:val="auto"/>
                <w:szCs w:val="21"/>
              </w:rPr>
            </w:pPr>
            <w:r>
              <w:rPr>
                <w:rFonts w:ascii="Times New Roman" w:hAnsi="Times New Roman"/>
                <w:b/>
                <w:color w:val="auto"/>
                <w:kern w:val="0"/>
                <w:szCs w:val="21"/>
              </w:rPr>
              <w:t>斑块面积比例（%）</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50" w:type="pct"/>
            <w:tcBorders>
              <w:tl2br w:val="nil"/>
              <w:tr2bl w:val="nil"/>
            </w:tcBorders>
            <w:tcMar>
              <w:top w:w="10" w:type="dxa"/>
              <w:left w:w="10" w:type="dxa"/>
              <w:right w:w="10" w:type="dxa"/>
            </w:tcMar>
            <w:vAlign w:val="center"/>
          </w:tcPr>
          <w:p>
            <w:pPr>
              <w:widowControl/>
              <w:jc w:val="center"/>
              <w:textAlignment w:val="center"/>
              <w:rPr>
                <w:rStyle w:val="56"/>
                <w:color w:val="auto"/>
                <w:sz w:val="21"/>
                <w:szCs w:val="21"/>
                <w:vertAlign w:val="baseline"/>
              </w:rPr>
            </w:pPr>
            <w:r>
              <w:rPr>
                <w:rStyle w:val="56"/>
                <w:color w:val="auto"/>
                <w:sz w:val="21"/>
                <w:szCs w:val="21"/>
                <w:vertAlign w:val="baseline"/>
              </w:rPr>
              <w:t>农作物植被及聚落景观</w:t>
            </w:r>
          </w:p>
        </w:tc>
        <w:tc>
          <w:tcPr>
            <w:tcW w:w="976"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ascii="Times New Roman" w:hAnsi="Times New Roman"/>
                <w:color w:val="auto"/>
                <w:szCs w:val="21"/>
              </w:rPr>
              <w:t>58</w:t>
            </w:r>
          </w:p>
        </w:tc>
        <w:tc>
          <w:tcPr>
            <w:tcW w:w="1229"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70.73</w:t>
            </w:r>
          </w:p>
        </w:tc>
        <w:tc>
          <w:tcPr>
            <w:tcW w:w="1343"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81.83</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460" w:hRule="atLeast"/>
          <w:jc w:val="center"/>
        </w:trPr>
        <w:tc>
          <w:tcPr>
            <w:tcW w:w="1450" w:type="pct"/>
            <w:tcBorders>
              <w:tl2br w:val="nil"/>
              <w:tr2bl w:val="nil"/>
            </w:tcBorders>
            <w:tcMar>
              <w:top w:w="10" w:type="dxa"/>
              <w:left w:w="10" w:type="dxa"/>
              <w:right w:w="10" w:type="dxa"/>
            </w:tcMar>
            <w:vAlign w:val="center"/>
          </w:tcPr>
          <w:p>
            <w:pPr>
              <w:widowControl/>
              <w:jc w:val="center"/>
              <w:textAlignment w:val="center"/>
              <w:rPr>
                <w:rStyle w:val="56"/>
                <w:color w:val="auto"/>
                <w:sz w:val="21"/>
                <w:szCs w:val="21"/>
                <w:vertAlign w:val="baseline"/>
              </w:rPr>
            </w:pPr>
            <w:r>
              <w:rPr>
                <w:rStyle w:val="56"/>
                <w:color w:val="auto"/>
                <w:sz w:val="21"/>
                <w:szCs w:val="21"/>
                <w:vertAlign w:val="baseline"/>
              </w:rPr>
              <w:t>竹林</w:t>
            </w:r>
          </w:p>
        </w:tc>
        <w:tc>
          <w:tcPr>
            <w:tcW w:w="976"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ascii="Times New Roman" w:hAnsi="Times New Roman"/>
                <w:color w:val="auto"/>
                <w:szCs w:val="21"/>
              </w:rPr>
              <w:t>11</w:t>
            </w:r>
          </w:p>
        </w:tc>
        <w:tc>
          <w:tcPr>
            <w:tcW w:w="1229"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13.41</w:t>
            </w:r>
          </w:p>
        </w:tc>
        <w:tc>
          <w:tcPr>
            <w:tcW w:w="1343"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1.63</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50" w:type="pct"/>
            <w:tcBorders>
              <w:tl2br w:val="nil"/>
              <w:tr2bl w:val="nil"/>
            </w:tcBorders>
            <w:tcMar>
              <w:top w:w="10" w:type="dxa"/>
              <w:left w:w="10" w:type="dxa"/>
              <w:right w:w="10" w:type="dxa"/>
            </w:tcMar>
            <w:vAlign w:val="center"/>
          </w:tcPr>
          <w:p>
            <w:pPr>
              <w:widowControl/>
              <w:jc w:val="center"/>
              <w:textAlignment w:val="center"/>
              <w:rPr>
                <w:rStyle w:val="56"/>
                <w:color w:val="auto"/>
                <w:sz w:val="21"/>
                <w:szCs w:val="21"/>
                <w:vertAlign w:val="baseline"/>
              </w:rPr>
            </w:pPr>
            <w:r>
              <w:rPr>
                <w:rStyle w:val="56"/>
                <w:color w:val="auto"/>
                <w:sz w:val="21"/>
                <w:szCs w:val="21"/>
                <w:vertAlign w:val="baseline"/>
              </w:rPr>
              <w:t>草丛</w:t>
            </w:r>
          </w:p>
        </w:tc>
        <w:tc>
          <w:tcPr>
            <w:tcW w:w="976"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ascii="Times New Roman" w:hAnsi="Times New Roman"/>
                <w:color w:val="auto"/>
                <w:szCs w:val="21"/>
              </w:rPr>
              <w:t>5</w:t>
            </w:r>
          </w:p>
        </w:tc>
        <w:tc>
          <w:tcPr>
            <w:tcW w:w="1229"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6.10</w:t>
            </w:r>
          </w:p>
        </w:tc>
        <w:tc>
          <w:tcPr>
            <w:tcW w:w="1343"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kern w:val="0"/>
                <w:szCs w:val="21"/>
              </w:rPr>
            </w:pPr>
            <w:r>
              <w:rPr>
                <w:rFonts w:hint="eastAsia" w:ascii="Times New Roman" w:hAnsi="Times New Roman"/>
                <w:color w:val="auto"/>
                <w:szCs w:val="21"/>
              </w:rPr>
              <w:t>0.47</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50" w:type="pct"/>
            <w:tcBorders>
              <w:tl2br w:val="nil"/>
              <w:tr2bl w:val="nil"/>
            </w:tcBorders>
            <w:tcMar>
              <w:top w:w="10" w:type="dxa"/>
              <w:left w:w="10" w:type="dxa"/>
              <w:right w:w="10" w:type="dxa"/>
            </w:tcMar>
            <w:vAlign w:val="center"/>
          </w:tcPr>
          <w:p>
            <w:pPr>
              <w:widowControl/>
              <w:jc w:val="center"/>
              <w:textAlignment w:val="center"/>
              <w:rPr>
                <w:rStyle w:val="56"/>
                <w:color w:val="auto"/>
                <w:sz w:val="21"/>
                <w:szCs w:val="21"/>
                <w:vertAlign w:val="baseline"/>
              </w:rPr>
            </w:pPr>
            <w:r>
              <w:rPr>
                <w:rStyle w:val="56"/>
                <w:color w:val="auto"/>
                <w:sz w:val="21"/>
                <w:szCs w:val="21"/>
                <w:vertAlign w:val="baseline"/>
              </w:rPr>
              <w:t>非植被型流域景观</w:t>
            </w:r>
          </w:p>
        </w:tc>
        <w:tc>
          <w:tcPr>
            <w:tcW w:w="976"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ascii="Times New Roman" w:hAnsi="Times New Roman"/>
                <w:color w:val="auto"/>
                <w:szCs w:val="21"/>
              </w:rPr>
              <w:t>8</w:t>
            </w:r>
          </w:p>
        </w:tc>
        <w:tc>
          <w:tcPr>
            <w:tcW w:w="1229"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9.76</w:t>
            </w:r>
          </w:p>
        </w:tc>
        <w:tc>
          <w:tcPr>
            <w:tcW w:w="1343" w:type="pct"/>
            <w:tcBorders>
              <w:tl2br w:val="nil"/>
              <w:tr2bl w:val="nil"/>
            </w:tcBorders>
            <w:tcMar>
              <w:top w:w="10" w:type="dxa"/>
              <w:left w:w="10" w:type="dxa"/>
              <w:right w:w="10" w:type="dxa"/>
            </w:tcMar>
            <w:vAlign w:val="center"/>
          </w:tcPr>
          <w:p>
            <w:pPr>
              <w:widowControl/>
              <w:jc w:val="center"/>
              <w:textAlignment w:val="center"/>
              <w:rPr>
                <w:rFonts w:ascii="Times New Roman" w:hAnsi="Times New Roman"/>
                <w:color w:val="auto"/>
                <w:szCs w:val="21"/>
              </w:rPr>
            </w:pPr>
            <w:r>
              <w:rPr>
                <w:rFonts w:hint="eastAsia" w:ascii="Times New Roman" w:hAnsi="Times New Roman"/>
                <w:color w:val="auto"/>
                <w:szCs w:val="21"/>
              </w:rPr>
              <w:t>16.07</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1450" w:type="pct"/>
            <w:tcBorders>
              <w:tl2br w:val="nil"/>
              <w:tr2bl w:val="nil"/>
            </w:tcBorders>
            <w:tcMar>
              <w:top w:w="10" w:type="dxa"/>
              <w:left w:w="10" w:type="dxa"/>
              <w:right w:w="10" w:type="dxa"/>
            </w:tcMar>
            <w:vAlign w:val="center"/>
          </w:tcPr>
          <w:p>
            <w:pPr>
              <w:widowControl/>
              <w:adjustRightInd w:val="0"/>
              <w:snapToGrid w:val="0"/>
              <w:jc w:val="center"/>
              <w:textAlignment w:val="center"/>
              <w:rPr>
                <w:rFonts w:ascii="Times New Roman" w:hAnsi="Times New Roman"/>
                <w:color w:val="auto"/>
                <w:kern w:val="0"/>
                <w:szCs w:val="21"/>
              </w:rPr>
            </w:pPr>
            <w:r>
              <w:rPr>
                <w:rStyle w:val="57"/>
                <w:rFonts w:hint="default"/>
                <w:color w:val="auto"/>
              </w:rPr>
              <w:t>合计</w:t>
            </w:r>
          </w:p>
        </w:tc>
        <w:tc>
          <w:tcPr>
            <w:tcW w:w="976" w:type="pct"/>
            <w:tcBorders>
              <w:tl2br w:val="nil"/>
              <w:tr2bl w:val="nil"/>
            </w:tcBorders>
            <w:tcMar>
              <w:top w:w="10" w:type="dxa"/>
              <w:left w:w="10" w:type="dxa"/>
              <w:right w:w="10" w:type="dxa"/>
            </w:tcMar>
            <w:vAlign w:val="center"/>
          </w:tcPr>
          <w:p>
            <w:pPr>
              <w:widowControl/>
              <w:adjustRightInd w:val="0"/>
              <w:snapToGrid w:val="0"/>
              <w:jc w:val="center"/>
              <w:textAlignment w:val="center"/>
              <w:rPr>
                <w:rFonts w:ascii="Times New Roman" w:hAnsi="Times New Roman"/>
                <w:color w:val="auto"/>
                <w:kern w:val="0"/>
                <w:szCs w:val="21"/>
              </w:rPr>
            </w:pPr>
            <w:r>
              <w:rPr>
                <w:rFonts w:ascii="Times New Roman" w:hAnsi="Times New Roman"/>
                <w:color w:val="auto"/>
                <w:szCs w:val="21"/>
              </w:rPr>
              <w:t>82</w:t>
            </w:r>
          </w:p>
        </w:tc>
        <w:tc>
          <w:tcPr>
            <w:tcW w:w="1229" w:type="pct"/>
            <w:tcBorders>
              <w:tl2br w:val="nil"/>
              <w:tr2bl w:val="nil"/>
            </w:tcBorders>
            <w:tcMar>
              <w:top w:w="10" w:type="dxa"/>
              <w:left w:w="10" w:type="dxa"/>
              <w:right w:w="10" w:type="dxa"/>
            </w:tcMar>
            <w:vAlign w:val="center"/>
          </w:tcPr>
          <w:p>
            <w:pPr>
              <w:widowControl/>
              <w:adjustRightInd w:val="0"/>
              <w:snapToGrid w:val="0"/>
              <w:jc w:val="center"/>
              <w:textAlignment w:val="center"/>
              <w:rPr>
                <w:rFonts w:ascii="Times New Roman" w:hAnsi="Times New Roman"/>
                <w:color w:val="auto"/>
                <w:kern w:val="0"/>
                <w:szCs w:val="21"/>
              </w:rPr>
            </w:pPr>
            <w:r>
              <w:rPr>
                <w:rFonts w:ascii="Times New Roman" w:hAnsi="Times New Roman"/>
                <w:color w:val="auto"/>
                <w:szCs w:val="21"/>
              </w:rPr>
              <w:t>100</w:t>
            </w:r>
          </w:p>
        </w:tc>
        <w:tc>
          <w:tcPr>
            <w:tcW w:w="1343" w:type="pct"/>
            <w:tcBorders>
              <w:tl2br w:val="nil"/>
              <w:tr2bl w:val="nil"/>
            </w:tcBorders>
            <w:tcMar>
              <w:top w:w="10" w:type="dxa"/>
              <w:left w:w="10" w:type="dxa"/>
              <w:right w:w="10" w:type="dxa"/>
            </w:tcMar>
            <w:vAlign w:val="center"/>
          </w:tcPr>
          <w:p>
            <w:pPr>
              <w:widowControl/>
              <w:adjustRightInd w:val="0"/>
              <w:snapToGrid w:val="0"/>
              <w:jc w:val="center"/>
              <w:textAlignment w:val="center"/>
              <w:rPr>
                <w:rFonts w:ascii="Times New Roman" w:hAnsi="Times New Roman"/>
                <w:color w:val="auto"/>
                <w:kern w:val="0"/>
                <w:szCs w:val="21"/>
              </w:rPr>
            </w:pPr>
            <w:r>
              <w:rPr>
                <w:rFonts w:ascii="Times New Roman" w:hAnsi="Times New Roman"/>
                <w:color w:val="auto"/>
                <w:szCs w:val="21"/>
              </w:rPr>
              <w:t>100</w:t>
            </w:r>
          </w:p>
        </w:tc>
      </w:tr>
    </w:tbl>
    <w:p>
      <w:pPr>
        <w:adjustRightInd w:val="0"/>
        <w:snapToGrid w:val="0"/>
        <w:spacing w:line="360" w:lineRule="auto"/>
        <w:ind w:firstLine="482" w:firstLineChars="200"/>
        <w:rPr>
          <w:rFonts w:ascii="Times New Roman" w:hAnsi="Times New Roman"/>
          <w:b/>
          <w:color w:val="auto"/>
          <w:sz w:val="24"/>
        </w:rPr>
      </w:pPr>
      <w:r>
        <w:rPr>
          <w:rFonts w:ascii="Times New Roman" w:hAnsi="Times New Roman"/>
          <w:b/>
          <w:color w:val="auto"/>
          <w:sz w:val="24"/>
        </w:rPr>
        <w:t>（2）廊道</w:t>
      </w:r>
    </w:p>
    <w:p>
      <w:pPr>
        <w:adjustRightInd w:val="0"/>
        <w:snapToGrid w:val="0"/>
        <w:spacing w:line="360" w:lineRule="auto"/>
        <w:ind w:firstLine="480" w:firstLineChars="200"/>
        <w:rPr>
          <w:rFonts w:ascii="Times New Roman" w:hAnsi="Times New Roman"/>
          <w:color w:val="auto"/>
          <w:sz w:val="24"/>
        </w:rPr>
      </w:pPr>
      <w:r>
        <w:rPr>
          <w:rFonts w:ascii="Times New Roman" w:hAnsi="Times New Roman"/>
          <w:color w:val="auto"/>
          <w:sz w:val="24"/>
        </w:rPr>
        <w:t>廊道作为线性的景观单元除了具有通道和阻隔的作用之外，还有物种过滤器、某些物种的栖息地功能以及对其周围环境与生物生产影响的影响源的作用。廊道一般可以分为线状廊道、带状（窄带）廊道和河流（宽带）廊道3种基本类型，在工程景观评价区内的廊道主要为道路，为带状廊道。评价区内道路作为一种廊道，其阻隔作用已经趋于稳定。</w:t>
      </w:r>
    </w:p>
    <w:p>
      <w:pPr>
        <w:adjustRightInd w:val="0"/>
        <w:snapToGrid w:val="0"/>
        <w:spacing w:line="360" w:lineRule="auto"/>
        <w:ind w:firstLine="482" w:firstLineChars="200"/>
        <w:rPr>
          <w:rFonts w:ascii="Times New Roman" w:hAnsi="Times New Roman"/>
          <w:b/>
          <w:color w:val="auto"/>
          <w:sz w:val="24"/>
        </w:rPr>
      </w:pPr>
      <w:r>
        <w:rPr>
          <w:rFonts w:ascii="Times New Roman" w:hAnsi="Times New Roman"/>
          <w:b/>
          <w:color w:val="auto"/>
          <w:sz w:val="24"/>
        </w:rPr>
        <w:t>（3）基质</w:t>
      </w:r>
    </w:p>
    <w:p>
      <w:pPr>
        <w:adjustRightInd w:val="0"/>
        <w:snapToGrid w:val="0"/>
        <w:spacing w:line="360" w:lineRule="auto"/>
        <w:ind w:firstLine="480" w:firstLineChars="200"/>
        <w:rPr>
          <w:rFonts w:ascii="Times New Roman" w:hAnsi="Times New Roman"/>
          <w:color w:val="auto"/>
          <w:kern w:val="0"/>
          <w:sz w:val="24"/>
          <w:szCs w:val="20"/>
        </w:rPr>
      </w:pPr>
      <w:r>
        <w:rPr>
          <w:rFonts w:ascii="Times New Roman" w:hAnsi="Times New Roman"/>
          <w:color w:val="auto"/>
          <w:kern w:val="0"/>
          <w:sz w:val="24"/>
          <w:szCs w:val="20"/>
        </w:rPr>
        <w:t>基质是景观中面积最大、连通性最好的类型，在景观功能上起着重要作用，影响能流、物流和物种流。判定基质的三个标准是相对面积最大、连通程度最高和对整个景观起到动态调控作用，其中前两个标准都可以通过景观优势度得到较好反映，一般认为满足前两个标准的景观要素即可认为是景观基质。</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采用植被生态学中确定植被重要值的方法来确定斑块在景观中的优势度，具体由3个参数计算而出，即密度（R</w:t>
      </w:r>
      <w:r>
        <w:rPr>
          <w:rFonts w:ascii="Times New Roman" w:hAnsi="Times New Roman"/>
          <w:color w:val="auto"/>
          <w:kern w:val="0"/>
          <w:sz w:val="24"/>
          <w:vertAlign w:val="subscript"/>
        </w:rPr>
        <w:t>d</w:t>
      </w:r>
      <w:r>
        <w:rPr>
          <w:rFonts w:ascii="Times New Roman" w:hAnsi="Times New Roman"/>
          <w:color w:val="auto"/>
          <w:kern w:val="0"/>
          <w:sz w:val="24"/>
        </w:rPr>
        <w:t>）、频率（R</w:t>
      </w:r>
      <w:r>
        <w:rPr>
          <w:rFonts w:ascii="Times New Roman" w:hAnsi="Times New Roman"/>
          <w:color w:val="auto"/>
          <w:kern w:val="0"/>
          <w:sz w:val="24"/>
          <w:vertAlign w:val="subscript"/>
        </w:rPr>
        <w:t>f</w:t>
      </w:r>
      <w:r>
        <w:rPr>
          <w:rFonts w:ascii="Times New Roman" w:hAnsi="Times New Roman"/>
          <w:color w:val="auto"/>
          <w:kern w:val="0"/>
          <w:sz w:val="24"/>
        </w:rPr>
        <w:t>）和景观比例（L</w:t>
      </w:r>
      <w:r>
        <w:rPr>
          <w:rFonts w:ascii="Times New Roman" w:hAnsi="Times New Roman"/>
          <w:color w:val="auto"/>
          <w:kern w:val="0"/>
          <w:sz w:val="24"/>
          <w:vertAlign w:val="subscript"/>
        </w:rPr>
        <w:t>p</w:t>
      </w:r>
      <w:r>
        <w:rPr>
          <w:rFonts w:ascii="Times New Roman" w:hAnsi="Times New Roman"/>
          <w:color w:val="auto"/>
          <w:kern w:val="0"/>
          <w:sz w:val="24"/>
        </w:rPr>
        <w:t>）。前两个参数比较明确时，可认为相对面积较大，连通程度较高的斑块类型即控制着景观质量的基质。</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景观优势度计算的数学表达式如下：</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斑块密度R</w:t>
      </w:r>
      <w:r>
        <w:rPr>
          <w:rFonts w:ascii="Times New Roman" w:hAnsi="Times New Roman"/>
          <w:color w:val="auto"/>
          <w:kern w:val="0"/>
          <w:sz w:val="24"/>
          <w:vertAlign w:val="subscript"/>
        </w:rPr>
        <w:t>d</w:t>
      </w:r>
      <w:r>
        <w:rPr>
          <w:rFonts w:ascii="Times New Roman" w:hAnsi="Times New Roman"/>
          <w:color w:val="auto"/>
          <w:kern w:val="0"/>
          <w:sz w:val="24"/>
        </w:rPr>
        <w:t>=（斑块i数目/斑块总数）×100%</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频率R</w:t>
      </w:r>
      <w:r>
        <w:rPr>
          <w:rFonts w:ascii="Times New Roman" w:hAnsi="Times New Roman"/>
          <w:color w:val="auto"/>
          <w:kern w:val="0"/>
          <w:sz w:val="24"/>
          <w:vertAlign w:val="subscript"/>
        </w:rPr>
        <w:t>f</w:t>
      </w:r>
      <w:r>
        <w:rPr>
          <w:rFonts w:ascii="Times New Roman" w:hAnsi="Times New Roman"/>
          <w:color w:val="auto"/>
          <w:kern w:val="0"/>
          <w:sz w:val="24"/>
        </w:rPr>
        <w:t>=（斑块i出现的样方数/总样方数）×100%</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景观比例L</w:t>
      </w:r>
      <w:r>
        <w:rPr>
          <w:rFonts w:ascii="Times New Roman" w:hAnsi="Times New Roman"/>
          <w:color w:val="auto"/>
          <w:kern w:val="0"/>
          <w:sz w:val="24"/>
          <w:vertAlign w:val="subscript"/>
        </w:rPr>
        <w:t>p</w:t>
      </w:r>
      <w:r>
        <w:rPr>
          <w:rFonts w:ascii="Times New Roman" w:hAnsi="Times New Roman"/>
          <w:color w:val="auto"/>
          <w:kern w:val="0"/>
          <w:sz w:val="24"/>
        </w:rPr>
        <w:t>=（斑块i的面积/样地总面积）×100%</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优势度值的定义是：Do={[（R</w:t>
      </w:r>
      <w:r>
        <w:rPr>
          <w:rFonts w:ascii="Times New Roman" w:hAnsi="Times New Roman"/>
          <w:color w:val="auto"/>
          <w:kern w:val="0"/>
          <w:sz w:val="24"/>
          <w:vertAlign w:val="subscript"/>
        </w:rPr>
        <w:t>d</w:t>
      </w:r>
      <w:r>
        <w:rPr>
          <w:rFonts w:ascii="Times New Roman" w:hAnsi="Times New Roman"/>
          <w:color w:val="auto"/>
          <w:kern w:val="0"/>
          <w:sz w:val="24"/>
        </w:rPr>
        <w:t>+R</w:t>
      </w:r>
      <w:r>
        <w:rPr>
          <w:rFonts w:ascii="Times New Roman" w:hAnsi="Times New Roman"/>
          <w:color w:val="auto"/>
          <w:kern w:val="0"/>
          <w:sz w:val="24"/>
          <w:vertAlign w:val="subscript"/>
        </w:rPr>
        <w:t>f</w:t>
      </w:r>
      <w:r>
        <w:rPr>
          <w:rFonts w:ascii="Times New Roman" w:hAnsi="Times New Roman"/>
          <w:color w:val="auto"/>
          <w:kern w:val="0"/>
          <w:sz w:val="24"/>
        </w:rPr>
        <w:t>）/2+L</w:t>
      </w:r>
      <w:r>
        <w:rPr>
          <w:rFonts w:ascii="Times New Roman" w:hAnsi="Times New Roman"/>
          <w:color w:val="auto"/>
          <w:kern w:val="0"/>
          <w:sz w:val="24"/>
          <w:vertAlign w:val="subscript"/>
        </w:rPr>
        <w:t>p</w:t>
      </w:r>
      <w:r>
        <w:rPr>
          <w:rFonts w:ascii="Times New Roman" w:hAnsi="Times New Roman"/>
          <w:color w:val="auto"/>
          <w:kern w:val="0"/>
          <w:sz w:val="24"/>
        </w:rPr>
        <w:t>]/2}×100%</w:t>
      </w:r>
    </w:p>
    <w:p>
      <w:pPr>
        <w:adjustRightInd w:val="0"/>
        <w:snapToGrid w:val="0"/>
        <w:spacing w:line="360" w:lineRule="auto"/>
        <w:ind w:firstLine="480" w:firstLineChars="200"/>
        <w:rPr>
          <w:rFonts w:ascii="Times New Roman" w:hAnsi="Times New Roman"/>
          <w:color w:val="auto"/>
          <w:kern w:val="0"/>
          <w:sz w:val="24"/>
        </w:rPr>
      </w:pPr>
      <w:r>
        <w:rPr>
          <w:rFonts w:ascii="Times New Roman" w:hAnsi="Times New Roman"/>
          <w:color w:val="auto"/>
          <w:kern w:val="0"/>
          <w:sz w:val="24"/>
        </w:rPr>
        <w:t>评价区内各类斑块的密度（R</w:t>
      </w:r>
      <w:r>
        <w:rPr>
          <w:rFonts w:ascii="Times New Roman" w:hAnsi="Times New Roman"/>
          <w:color w:val="auto"/>
          <w:kern w:val="0"/>
          <w:sz w:val="24"/>
          <w:vertAlign w:val="subscript"/>
        </w:rPr>
        <w:t>d</w:t>
      </w:r>
      <w:r>
        <w:rPr>
          <w:rFonts w:ascii="Times New Roman" w:hAnsi="Times New Roman"/>
          <w:color w:val="auto"/>
          <w:kern w:val="0"/>
          <w:sz w:val="24"/>
        </w:rPr>
        <w:t>）、频率（R</w:t>
      </w:r>
      <w:r>
        <w:rPr>
          <w:rFonts w:ascii="Times New Roman" w:hAnsi="Times New Roman"/>
          <w:color w:val="auto"/>
          <w:kern w:val="0"/>
          <w:sz w:val="24"/>
          <w:vertAlign w:val="subscript"/>
        </w:rPr>
        <w:t>f</w:t>
      </w:r>
      <w:r>
        <w:rPr>
          <w:rFonts w:ascii="Times New Roman" w:hAnsi="Times New Roman"/>
          <w:color w:val="auto"/>
          <w:kern w:val="0"/>
          <w:sz w:val="24"/>
        </w:rPr>
        <w:t>）、景观比例（L</w:t>
      </w:r>
      <w:r>
        <w:rPr>
          <w:rFonts w:ascii="Times New Roman" w:hAnsi="Times New Roman"/>
          <w:color w:val="auto"/>
          <w:kern w:val="0"/>
          <w:sz w:val="24"/>
          <w:vertAlign w:val="subscript"/>
        </w:rPr>
        <w:t>p</w:t>
      </w:r>
      <w:r>
        <w:rPr>
          <w:rFonts w:ascii="Times New Roman" w:hAnsi="Times New Roman"/>
          <w:color w:val="auto"/>
          <w:kern w:val="0"/>
          <w:sz w:val="24"/>
        </w:rPr>
        <w:t>）和优势度值（Do）所计算的优势度值见下表：</w:t>
      </w:r>
    </w:p>
    <w:p>
      <w:pPr>
        <w:pStyle w:val="14"/>
        <w:spacing w:line="240" w:lineRule="auto"/>
        <w:rPr>
          <w:bCs/>
          <w:color w:val="auto"/>
          <w:kern w:val="0"/>
          <w:szCs w:val="21"/>
        </w:rPr>
      </w:pPr>
      <w:r>
        <w:rPr>
          <w:bCs/>
          <w:color w:val="auto"/>
          <w:kern w:val="0"/>
          <w:szCs w:val="21"/>
        </w:rPr>
        <w:t>表</w:t>
      </w:r>
      <w:r>
        <w:rPr>
          <w:rFonts w:hint="eastAsia"/>
          <w:bCs/>
          <w:color w:val="auto"/>
          <w:kern w:val="0"/>
          <w:szCs w:val="21"/>
        </w:rPr>
        <w:t>6-</w:t>
      </w:r>
      <w:r>
        <w:rPr>
          <w:rFonts w:hint="eastAsia"/>
          <w:bCs/>
          <w:color w:val="auto"/>
          <w:kern w:val="0"/>
          <w:szCs w:val="21"/>
          <w:lang w:val="en-US" w:eastAsia="zh-CN"/>
        </w:rPr>
        <w:t>10</w:t>
      </w:r>
      <w:r>
        <w:rPr>
          <w:bCs/>
          <w:color w:val="auto"/>
          <w:kern w:val="0"/>
          <w:szCs w:val="21"/>
        </w:rPr>
        <w:t xml:space="preserve">  评价区景观各类斑块各类斑块的密度、频率、景观比例和优势度值</w:t>
      </w:r>
    </w:p>
    <w:tbl>
      <w:tblPr>
        <w:tblStyle w:val="39"/>
        <w:tblW w:w="5000" w:type="pct"/>
        <w:tblInd w:w="0" w:type="dxa"/>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1451"/>
        <w:gridCol w:w="1744"/>
        <w:gridCol w:w="1742"/>
        <w:gridCol w:w="2325"/>
        <w:gridCol w:w="2025"/>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斑块类型</w:t>
            </w:r>
          </w:p>
        </w:tc>
        <w:tc>
          <w:tcPr>
            <w:tcW w:w="939"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密度Rd（%）</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频率Rf（%）</w:t>
            </w:r>
          </w:p>
        </w:tc>
        <w:tc>
          <w:tcPr>
            <w:tcW w:w="125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景观比例Lp（%）</w:t>
            </w:r>
          </w:p>
        </w:tc>
        <w:tc>
          <w:tcPr>
            <w:tcW w:w="109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优势度值Do（%）</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农作物植被及聚落景观</w:t>
            </w:r>
          </w:p>
        </w:tc>
        <w:tc>
          <w:tcPr>
            <w:tcW w:w="174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70.73</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 xml:space="preserve">75.00 </w:t>
            </w:r>
          </w:p>
        </w:tc>
        <w:tc>
          <w:tcPr>
            <w:tcW w:w="2325"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81.83</w:t>
            </w:r>
          </w:p>
        </w:tc>
        <w:tc>
          <w:tcPr>
            <w:tcW w:w="109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77.35</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竹林</w:t>
            </w:r>
          </w:p>
        </w:tc>
        <w:tc>
          <w:tcPr>
            <w:tcW w:w="174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13.41</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w:t>
            </w:r>
          </w:p>
        </w:tc>
        <w:tc>
          <w:tcPr>
            <w:tcW w:w="2325"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1.63</w:t>
            </w:r>
          </w:p>
        </w:tc>
        <w:tc>
          <w:tcPr>
            <w:tcW w:w="1090" w:type="pct"/>
            <w:tcBorders>
              <w:tl2br w:val="nil"/>
              <w:tr2bl w:val="nil"/>
            </w:tcBorders>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7.29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草丛</w:t>
            </w:r>
          </w:p>
        </w:tc>
        <w:tc>
          <w:tcPr>
            <w:tcW w:w="174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6.10</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12.5</w:t>
            </w:r>
          </w:p>
        </w:tc>
        <w:tc>
          <w:tcPr>
            <w:tcW w:w="2325"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0.47</w:t>
            </w:r>
          </w:p>
        </w:tc>
        <w:tc>
          <w:tcPr>
            <w:tcW w:w="1090" w:type="pct"/>
            <w:tcBorders>
              <w:tl2br w:val="nil"/>
              <w:tr2bl w:val="nil"/>
            </w:tcBorders>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4.89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非植被型流域景观</w:t>
            </w:r>
          </w:p>
        </w:tc>
        <w:tc>
          <w:tcPr>
            <w:tcW w:w="174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9.76</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0</w:t>
            </w:r>
          </w:p>
        </w:tc>
        <w:tc>
          <w:tcPr>
            <w:tcW w:w="2325"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16.07</w:t>
            </w:r>
          </w:p>
        </w:tc>
        <w:tc>
          <w:tcPr>
            <w:tcW w:w="1090" w:type="pct"/>
            <w:tcBorders>
              <w:tl2br w:val="nil"/>
              <w:tr2bl w:val="nil"/>
            </w:tcBorders>
            <w:shd w:val="clear" w:color="auto" w:fill="auto"/>
            <w:vAlign w:val="center"/>
          </w:tcPr>
          <w:p>
            <w:pPr>
              <w:keepNext w:val="0"/>
              <w:keepLines w:val="0"/>
              <w:pageBreakBefore w:val="0"/>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10.48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7" w:hRule="atLeast"/>
        </w:trPr>
        <w:tc>
          <w:tcPr>
            <w:tcW w:w="781"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合计</w:t>
            </w:r>
          </w:p>
        </w:tc>
        <w:tc>
          <w:tcPr>
            <w:tcW w:w="1744" w:type="dxa"/>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textAlignment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100</w:t>
            </w:r>
          </w:p>
        </w:tc>
        <w:tc>
          <w:tcPr>
            <w:tcW w:w="938"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100</w:t>
            </w:r>
          </w:p>
        </w:tc>
        <w:tc>
          <w:tcPr>
            <w:tcW w:w="1252"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100.00</w:t>
            </w:r>
          </w:p>
        </w:tc>
        <w:tc>
          <w:tcPr>
            <w:tcW w:w="1090" w:type="pct"/>
            <w:tcBorders>
              <w:tl2br w:val="nil"/>
              <w:tr2bl w:val="nil"/>
            </w:tcBorders>
            <w:shd w:val="clear" w:color="auto" w:fill="auto"/>
            <w:vAlign w:val="center"/>
          </w:tcPr>
          <w:p>
            <w:pPr>
              <w:keepNext w:val="0"/>
              <w:keepLines w:val="0"/>
              <w:pageBreakBefore w:val="0"/>
              <w:widowControl/>
              <w:kinsoku/>
              <w:wordWrap/>
              <w:overflowPunct/>
              <w:topLinePunct w:val="0"/>
              <w:autoSpaceDE/>
              <w:autoSpaceDN/>
              <w:bidi w:val="0"/>
              <w:adjustRightInd w:val="0"/>
              <w:snapToGrid w:val="0"/>
              <w:jc w:val="center"/>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100.00</w:t>
            </w:r>
          </w:p>
        </w:tc>
      </w:tr>
    </w:tbl>
    <w:p>
      <w:pPr>
        <w:adjustRightInd w:val="0"/>
        <w:snapToGrid w:val="0"/>
        <w:spacing w:line="360" w:lineRule="auto"/>
        <w:ind w:firstLine="480" w:firstLineChars="200"/>
        <w:rPr>
          <w:rFonts w:ascii="Times New Roman" w:hAnsi="Times New Roman"/>
          <w:color w:val="auto"/>
          <w:kern w:val="0"/>
          <w:sz w:val="24"/>
          <w:szCs w:val="20"/>
        </w:rPr>
      </w:pPr>
      <w:r>
        <w:rPr>
          <w:rFonts w:ascii="Times New Roman" w:hAnsi="Times New Roman"/>
          <w:color w:val="auto"/>
          <w:kern w:val="0"/>
          <w:sz w:val="24"/>
          <w:szCs w:val="20"/>
        </w:rPr>
        <w:t>对上表中各斑块类型进行单独分析可得，农作物植被及聚落景观为该评价区内所占面积最大的一类斑块，景观比例达</w:t>
      </w:r>
      <w:r>
        <w:rPr>
          <w:rFonts w:hint="eastAsia" w:ascii="Times New Roman" w:hAnsi="Times New Roman"/>
          <w:color w:val="auto"/>
          <w:kern w:val="0"/>
          <w:sz w:val="24"/>
          <w:szCs w:val="20"/>
        </w:rPr>
        <w:t>81.83</w:t>
      </w:r>
      <w:r>
        <w:rPr>
          <w:rFonts w:ascii="Times New Roman" w:hAnsi="Times New Roman"/>
          <w:color w:val="auto"/>
          <w:kern w:val="0"/>
          <w:sz w:val="24"/>
          <w:szCs w:val="20"/>
        </w:rPr>
        <w:t>%，斑块数量为最多，优势度</w:t>
      </w:r>
      <w:r>
        <w:rPr>
          <w:rFonts w:hint="eastAsia" w:ascii="Times New Roman" w:hAnsi="Times New Roman"/>
          <w:color w:val="auto"/>
          <w:kern w:val="0"/>
          <w:sz w:val="24"/>
          <w:szCs w:val="20"/>
        </w:rPr>
        <w:t>77.35</w:t>
      </w:r>
      <w:r>
        <w:rPr>
          <w:rFonts w:ascii="Times New Roman" w:hAnsi="Times New Roman"/>
          <w:color w:val="auto"/>
          <w:kern w:val="0"/>
          <w:sz w:val="24"/>
          <w:szCs w:val="20"/>
        </w:rPr>
        <w:t>%，这说明了评价区内农作物植被及聚落景观分布范围广，为评价区最主要的景观类型。</w:t>
      </w:r>
    </w:p>
    <w:p>
      <w:pPr>
        <w:adjustRightInd w:val="0"/>
        <w:snapToGrid w:val="0"/>
        <w:spacing w:line="360" w:lineRule="auto"/>
        <w:ind w:firstLine="480" w:firstLineChars="200"/>
        <w:rPr>
          <w:rFonts w:ascii="Times New Roman" w:hAnsi="Times New Roman"/>
          <w:color w:val="auto"/>
          <w:kern w:val="0"/>
          <w:sz w:val="24"/>
          <w:szCs w:val="20"/>
        </w:rPr>
      </w:pPr>
      <w:r>
        <w:rPr>
          <w:rFonts w:hint="eastAsia" w:ascii="Times New Roman" w:hAnsi="Times New Roman"/>
          <w:color w:val="auto"/>
          <w:kern w:val="0"/>
          <w:sz w:val="24"/>
          <w:szCs w:val="20"/>
        </w:rPr>
        <w:t>竹林</w:t>
      </w:r>
      <w:r>
        <w:rPr>
          <w:rFonts w:ascii="Times New Roman" w:hAnsi="Times New Roman"/>
          <w:color w:val="auto"/>
          <w:kern w:val="0"/>
          <w:sz w:val="24"/>
          <w:szCs w:val="20"/>
        </w:rPr>
        <w:t>和草丛在评价区分布少，优势度仅为</w:t>
      </w:r>
      <w:r>
        <w:rPr>
          <w:rFonts w:hint="eastAsia" w:ascii="Times New Roman" w:hAnsi="Times New Roman"/>
          <w:color w:val="auto"/>
          <w:kern w:val="0"/>
          <w:sz w:val="24"/>
          <w:szCs w:val="20"/>
        </w:rPr>
        <w:t>7.29</w:t>
      </w:r>
      <w:r>
        <w:rPr>
          <w:rFonts w:ascii="Times New Roman" w:hAnsi="Times New Roman"/>
          <w:color w:val="auto"/>
          <w:kern w:val="0"/>
          <w:sz w:val="24"/>
          <w:szCs w:val="20"/>
        </w:rPr>
        <w:t>%、</w:t>
      </w:r>
      <w:r>
        <w:rPr>
          <w:rFonts w:hint="eastAsia" w:ascii="Times New Roman" w:hAnsi="Times New Roman"/>
          <w:color w:val="auto"/>
          <w:kern w:val="0"/>
          <w:sz w:val="24"/>
          <w:szCs w:val="20"/>
        </w:rPr>
        <w:t>4.89</w:t>
      </w:r>
      <w:r>
        <w:rPr>
          <w:rFonts w:ascii="Times New Roman" w:hAnsi="Times New Roman"/>
          <w:color w:val="auto"/>
          <w:kern w:val="0"/>
          <w:sz w:val="24"/>
          <w:szCs w:val="20"/>
        </w:rPr>
        <w:t>%，镶嵌分布于农作物植被及聚落景观斑块之间。</w:t>
      </w:r>
    </w:p>
    <w:p>
      <w:pPr>
        <w:adjustRightInd w:val="0"/>
        <w:snapToGrid w:val="0"/>
        <w:spacing w:line="360" w:lineRule="auto"/>
        <w:ind w:firstLine="480" w:firstLineChars="200"/>
        <w:rPr>
          <w:rFonts w:ascii="Times New Roman" w:hAnsi="Times New Roman"/>
          <w:color w:val="auto"/>
          <w:kern w:val="0"/>
          <w:sz w:val="24"/>
          <w:szCs w:val="20"/>
        </w:rPr>
      </w:pPr>
      <w:r>
        <w:rPr>
          <w:rFonts w:ascii="Times New Roman" w:hAnsi="Times New Roman"/>
          <w:color w:val="auto"/>
          <w:kern w:val="0"/>
          <w:sz w:val="24"/>
          <w:szCs w:val="20"/>
        </w:rPr>
        <w:t>总的来说，评价区农作物植被及聚落景观的优势度远高于其他景观要素，具有最大的面积和相对集中的分布，连通性最好，对景观动态具有控制作用，可以认为是评价区的基质。</w:t>
      </w:r>
    </w:p>
    <w:p>
      <w:pPr>
        <w:pStyle w:val="4"/>
        <w:spacing w:before="120" w:after="120"/>
        <w:rPr>
          <w:color w:val="auto"/>
          <w:lang w:val="en-US"/>
        </w:rPr>
      </w:pPr>
      <w:bookmarkStart w:id="222" w:name="_Toc3086"/>
      <w:r>
        <w:rPr>
          <w:color w:val="auto"/>
          <w:lang w:val="en-US"/>
        </w:rPr>
        <w:t>水生生物现状调查与评价</w:t>
      </w:r>
      <w:bookmarkEnd w:id="22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sz w:val="24"/>
          <w:szCs w:val="24"/>
          <w:lang w:val="en-US" w:eastAsia="zh-CN"/>
        </w:rPr>
      </w:pPr>
      <w:r>
        <w:rPr>
          <w:rFonts w:hint="eastAsia"/>
          <w:color w:val="auto"/>
          <w:sz w:val="24"/>
          <w:szCs w:val="24"/>
          <w:lang w:val="en-US" w:eastAsia="zh-CN"/>
        </w:rPr>
        <w:t>本报告水生生态现状调查引用《遂宁市安居区琼江两中心五馆段防洪治理工程对琼江翘嘴红鲌省级水产种质资源保护区影响评价专题报告》中水生生物现状调查成果。</w:t>
      </w:r>
    </w:p>
    <w:p>
      <w:pPr>
        <w:pStyle w:val="5"/>
        <w:rPr>
          <w:color w:val="auto"/>
          <w:lang w:val="en-US"/>
        </w:rPr>
      </w:pPr>
      <w:bookmarkStart w:id="223" w:name="_Toc26179"/>
      <w:bookmarkStart w:id="224" w:name="_Toc21081"/>
      <w:r>
        <w:rPr>
          <w:color w:val="auto"/>
          <w:lang w:val="en-US"/>
        </w:rPr>
        <w:t>调查范围</w:t>
      </w:r>
      <w:bookmarkEnd w:id="223"/>
      <w:bookmarkEnd w:id="224"/>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FF0000"/>
          <w:sz w:val="24"/>
          <w:highlight w:val="none"/>
        </w:rPr>
      </w:pPr>
      <w:r>
        <w:rPr>
          <w:rFonts w:ascii="Times New Roman" w:hAnsi="Times New Roman"/>
          <w:color w:val="auto"/>
          <w:sz w:val="24"/>
        </w:rPr>
        <w:t>野外调查工作采取了重点调查和面上调查相结合的原则，为了准确评价</w:t>
      </w:r>
      <w:r>
        <w:rPr>
          <w:rFonts w:hint="eastAsia" w:ascii="Times New Roman" w:hAnsi="Times New Roman"/>
          <w:color w:val="auto"/>
          <w:sz w:val="24"/>
          <w:lang w:val="en-US" w:eastAsia="zh-CN"/>
        </w:rPr>
        <w:t>本</w:t>
      </w:r>
      <w:r>
        <w:rPr>
          <w:rFonts w:ascii="Times New Roman" w:hAnsi="Times New Roman"/>
          <w:color w:val="auto"/>
          <w:sz w:val="24"/>
          <w:lang w:val="sq-AL"/>
        </w:rPr>
        <w:t>工程对琼江翘嘴红鲌省级水产种质资源保护区</w:t>
      </w:r>
      <w:r>
        <w:rPr>
          <w:rFonts w:ascii="Times New Roman" w:hAnsi="Times New Roman"/>
          <w:color w:val="auto"/>
          <w:sz w:val="24"/>
        </w:rPr>
        <w:t>的影响程度，评价范围的确定主要以</w:t>
      </w:r>
      <w:r>
        <w:rPr>
          <w:rFonts w:hint="eastAsia" w:ascii="Times New Roman" w:hAnsi="Times New Roman"/>
          <w:color w:val="auto"/>
          <w:sz w:val="24"/>
          <w:lang w:val="sq-AL"/>
        </w:rPr>
        <w:t>安居区琼江两中心五馆段防洪治理工程</w:t>
      </w:r>
      <w:r>
        <w:rPr>
          <w:rFonts w:ascii="Times New Roman" w:hAnsi="Times New Roman"/>
          <w:color w:val="auto"/>
          <w:sz w:val="24"/>
        </w:rPr>
        <w:t>的具体特性为依据。</w:t>
      </w:r>
      <w:r>
        <w:rPr>
          <w:rFonts w:hint="eastAsia" w:ascii="宋体" w:hAnsi="宋体" w:eastAsia="宋体" w:cs="宋体"/>
          <w:color w:val="auto"/>
          <w:sz w:val="24"/>
          <w:highlight w:val="none"/>
        </w:rPr>
        <w:t>本次调查范围参照《内陆水域渔业自然资源调查手册》、《淡水浮游生物调查技术规范》和《河流水生生物调查指南》相关要求，并结合项目影响水域特点以及与工程的位置关系，水生生物调查范围详见表3-</w:t>
      </w:r>
      <w:r>
        <w:rPr>
          <w:rFonts w:hint="eastAsia" w:ascii="宋体" w:hAnsi="宋体" w:eastAsia="宋体" w:cs="宋体"/>
          <w:color w:val="auto"/>
          <w:sz w:val="24"/>
          <w:highlight w:val="none"/>
          <w:lang w:val="en-US" w:eastAsia="zh-CN"/>
        </w:rPr>
        <w:t>8</w:t>
      </w:r>
      <w:r>
        <w:rPr>
          <w:rFonts w:hint="eastAsia" w:ascii="宋体" w:hAnsi="宋体" w:eastAsia="宋体" w:cs="宋体"/>
          <w:color w:val="auto"/>
          <w:sz w:val="24"/>
          <w:highlight w:val="none"/>
        </w:rPr>
        <w:t>。鱼类资源调查</w:t>
      </w:r>
      <w:r>
        <w:rPr>
          <w:rFonts w:hint="eastAsia" w:ascii="宋体" w:hAnsi="宋体" w:eastAsia="宋体" w:cs="宋体"/>
          <w:color w:val="auto"/>
          <w:sz w:val="24"/>
          <w:highlight w:val="none"/>
          <w:lang w:val="en-US" w:eastAsia="zh-CN"/>
        </w:rPr>
        <w:t>引用《2023年四川省长江流域重点水域水生生物资源监测-琼江翘嘴红鲌省级水产种质资源保护区监测报告》（四川省水产学校，2023年）调查结果</w:t>
      </w:r>
      <w:r>
        <w:rPr>
          <w:rFonts w:hint="eastAsia" w:ascii="宋体" w:hAnsi="宋体" w:eastAsia="宋体" w:cs="宋体"/>
          <w:color w:val="auto"/>
          <w:sz w:val="24"/>
          <w:highlight w:val="none"/>
        </w:rPr>
        <w:t>。</w:t>
      </w:r>
    </w:p>
    <w:p>
      <w:pPr>
        <w:pStyle w:val="48"/>
        <w:jc w:val="center"/>
        <w:rPr>
          <w:rFonts w:hint="eastAsia" w:ascii="宋体" w:hAnsi="宋体" w:eastAsia="宋体" w:cs="宋体"/>
          <w:b/>
          <w:bCs/>
          <w:color w:val="auto"/>
          <w:sz w:val="21"/>
          <w:szCs w:val="21"/>
          <w:lang w:val="zh-CN"/>
        </w:rPr>
      </w:pPr>
      <w:r>
        <w:rPr>
          <w:rFonts w:hint="eastAsia" w:ascii="宋体" w:hAnsi="宋体" w:eastAsia="宋体" w:cs="宋体"/>
          <w:b/>
          <w:bCs/>
          <w:color w:val="auto"/>
          <w:sz w:val="21"/>
          <w:szCs w:val="21"/>
          <w:lang w:val="zh-CN"/>
        </w:rPr>
        <w:t>表</w:t>
      </w:r>
      <w:r>
        <w:rPr>
          <w:rFonts w:hint="eastAsia" w:ascii="宋体" w:hAnsi="宋体" w:eastAsia="宋体" w:cs="宋体"/>
          <w:b/>
          <w:bCs/>
          <w:color w:val="auto"/>
          <w:sz w:val="21"/>
          <w:szCs w:val="21"/>
        </w:rPr>
        <w:t>6-1</w:t>
      </w:r>
      <w:r>
        <w:rPr>
          <w:rFonts w:hint="eastAsia" w:hAnsi="宋体" w:cs="宋体"/>
          <w:b/>
          <w:bCs/>
          <w:color w:val="auto"/>
          <w:sz w:val="21"/>
          <w:szCs w:val="21"/>
          <w:lang w:val="en-US" w:eastAsia="zh-CN"/>
        </w:rPr>
        <w:t>1</w:t>
      </w:r>
      <w:r>
        <w:rPr>
          <w:rFonts w:hint="eastAsia" w:ascii="宋体" w:hAnsi="宋体" w:eastAsia="宋体" w:cs="宋体"/>
          <w:b/>
          <w:bCs/>
          <w:color w:val="auto"/>
          <w:sz w:val="21"/>
          <w:szCs w:val="21"/>
        </w:rPr>
        <w:t xml:space="preserve"> </w:t>
      </w:r>
      <w:r>
        <w:rPr>
          <w:rFonts w:hint="eastAsia" w:ascii="宋体" w:hAnsi="宋体" w:eastAsia="宋体" w:cs="宋体"/>
          <w:b/>
          <w:bCs/>
          <w:color w:val="auto"/>
          <w:sz w:val="21"/>
          <w:szCs w:val="21"/>
          <w:lang w:val="en-US" w:eastAsia="zh-CN"/>
        </w:rPr>
        <w:t xml:space="preserve"> </w:t>
      </w:r>
      <w:r>
        <w:rPr>
          <w:rFonts w:hint="eastAsia" w:ascii="宋体" w:hAnsi="宋体" w:eastAsia="宋体" w:cs="宋体"/>
          <w:b/>
          <w:bCs/>
          <w:color w:val="auto"/>
          <w:sz w:val="21"/>
          <w:szCs w:val="21"/>
          <w:lang w:val="zh-CN"/>
        </w:rPr>
        <w:t>水生生物采样断面</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17"/>
        <w:gridCol w:w="3036"/>
        <w:gridCol w:w="1366"/>
        <w:gridCol w:w="1127"/>
        <w:gridCol w:w="165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1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采样断面</w:t>
            </w:r>
          </w:p>
        </w:tc>
        <w:tc>
          <w:tcPr>
            <w:tcW w:w="303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坐标</w:t>
            </w:r>
          </w:p>
        </w:tc>
        <w:tc>
          <w:tcPr>
            <w:tcW w:w="136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透明度（cm）</w:t>
            </w:r>
          </w:p>
        </w:tc>
        <w:tc>
          <w:tcPr>
            <w:tcW w:w="112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高程（m）</w:t>
            </w:r>
          </w:p>
        </w:tc>
        <w:tc>
          <w:tcPr>
            <w:tcW w:w="1654"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距离工程（km）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31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白安河大桥</w:t>
            </w:r>
          </w:p>
        </w:tc>
        <w:tc>
          <w:tcPr>
            <w:tcW w:w="303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105°2</w:t>
            </w:r>
            <w:r>
              <w:rPr>
                <w:rFonts w:hint="eastAsia" w:ascii="宋体" w:hAnsi="宋体" w:eastAsia="宋体" w:cs="宋体"/>
                <w:color w:val="auto"/>
                <w:sz w:val="21"/>
                <w:szCs w:val="21"/>
                <w:highlight w:val="none"/>
                <w:lang w:val="en-US" w:eastAsia="zh-CN"/>
              </w:rPr>
              <w:t>6</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33</w:t>
            </w:r>
            <w:r>
              <w:rPr>
                <w:rFonts w:hint="eastAsia" w:ascii="宋体" w:hAnsi="宋体" w:eastAsia="宋体" w:cs="宋体"/>
                <w:color w:val="auto"/>
                <w:sz w:val="21"/>
                <w:szCs w:val="21"/>
                <w:highlight w:val="none"/>
              </w:rPr>
              <w:t>″；30°21′</w:t>
            </w:r>
            <w:r>
              <w:rPr>
                <w:rFonts w:hint="eastAsia" w:ascii="宋体" w:hAnsi="宋体" w:eastAsia="宋体" w:cs="宋体"/>
                <w:color w:val="auto"/>
                <w:sz w:val="21"/>
                <w:szCs w:val="21"/>
                <w:highlight w:val="none"/>
                <w:lang w:val="en-US" w:eastAsia="zh-CN"/>
              </w:rPr>
              <w:t>24</w:t>
            </w:r>
            <w:r>
              <w:rPr>
                <w:rFonts w:hint="eastAsia" w:ascii="宋体" w:hAnsi="宋体" w:eastAsia="宋体" w:cs="宋体"/>
                <w:color w:val="auto"/>
                <w:sz w:val="21"/>
                <w:szCs w:val="21"/>
                <w:highlight w:val="none"/>
              </w:rPr>
              <w:t>″</w:t>
            </w:r>
          </w:p>
        </w:tc>
        <w:tc>
          <w:tcPr>
            <w:tcW w:w="136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49</w:t>
            </w:r>
          </w:p>
        </w:tc>
        <w:tc>
          <w:tcPr>
            <w:tcW w:w="112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277.</w:t>
            </w:r>
            <w:r>
              <w:rPr>
                <w:rFonts w:hint="eastAsia" w:ascii="宋体" w:hAnsi="宋体" w:eastAsia="宋体" w:cs="宋体"/>
                <w:color w:val="auto"/>
                <w:sz w:val="21"/>
                <w:szCs w:val="21"/>
                <w:highlight w:val="none"/>
                <w:lang w:val="en-US" w:eastAsia="zh-CN"/>
              </w:rPr>
              <w:t>9</w:t>
            </w:r>
          </w:p>
        </w:tc>
        <w:tc>
          <w:tcPr>
            <w:tcW w:w="1654"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工程起点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131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双河</w:t>
            </w:r>
          </w:p>
        </w:tc>
        <w:tc>
          <w:tcPr>
            <w:tcW w:w="303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105°2</w:t>
            </w:r>
            <w:r>
              <w:rPr>
                <w:rFonts w:hint="eastAsia" w:ascii="宋体" w:hAnsi="宋体" w:eastAsia="宋体" w:cs="宋体"/>
                <w:color w:val="auto"/>
                <w:sz w:val="21"/>
                <w:szCs w:val="21"/>
                <w:highlight w:val="none"/>
                <w:lang w:val="en-US" w:eastAsia="zh-CN"/>
              </w:rPr>
              <w:t>6</w:t>
            </w: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val="en-US" w:eastAsia="zh-CN"/>
              </w:rPr>
              <w:t>0</w:t>
            </w:r>
            <w:r>
              <w:rPr>
                <w:rFonts w:hint="eastAsia" w:ascii="宋体" w:hAnsi="宋体" w:eastAsia="宋体" w:cs="宋体"/>
                <w:color w:val="auto"/>
                <w:sz w:val="21"/>
                <w:szCs w:val="21"/>
                <w:highlight w:val="none"/>
              </w:rPr>
              <w:t>″；30°2</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val="en-US" w:eastAsia="zh-CN"/>
              </w:rPr>
              <w:t>0</w:t>
            </w:r>
            <w:r>
              <w:rPr>
                <w:rFonts w:hint="eastAsia" w:ascii="宋体" w:hAnsi="宋体" w:eastAsia="宋体" w:cs="宋体"/>
                <w:color w:val="auto"/>
                <w:sz w:val="21"/>
                <w:szCs w:val="21"/>
                <w:highlight w:val="none"/>
              </w:rPr>
              <w:t>″</w:t>
            </w:r>
          </w:p>
        </w:tc>
        <w:tc>
          <w:tcPr>
            <w:tcW w:w="136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45</w:t>
            </w:r>
          </w:p>
        </w:tc>
        <w:tc>
          <w:tcPr>
            <w:tcW w:w="112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27</w:t>
            </w:r>
            <w:r>
              <w:rPr>
                <w:rFonts w:hint="eastAsia" w:ascii="宋体" w:hAnsi="宋体" w:eastAsia="宋体" w:cs="宋体"/>
                <w:color w:val="auto"/>
                <w:sz w:val="21"/>
                <w:szCs w:val="21"/>
                <w:highlight w:val="none"/>
                <w:lang w:val="en-US" w:eastAsia="zh-CN"/>
              </w:rPr>
              <w:t>6.6</w:t>
            </w:r>
          </w:p>
        </w:tc>
        <w:tc>
          <w:tcPr>
            <w:tcW w:w="1654"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工程中点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131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琼江蟠龙河汇口</w:t>
            </w:r>
          </w:p>
        </w:tc>
        <w:tc>
          <w:tcPr>
            <w:tcW w:w="303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105°2</w:t>
            </w:r>
            <w:r>
              <w:rPr>
                <w:rFonts w:hint="eastAsia" w:ascii="宋体" w:hAnsi="宋体" w:eastAsia="宋体" w:cs="宋体"/>
                <w:color w:val="auto"/>
                <w:sz w:val="21"/>
                <w:szCs w:val="21"/>
                <w:highlight w:val="none"/>
                <w:lang w:val="en-US" w:eastAsia="zh-CN"/>
              </w:rPr>
              <w:t>7</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04</w:t>
            </w:r>
            <w:r>
              <w:rPr>
                <w:rFonts w:hint="eastAsia" w:ascii="宋体" w:hAnsi="宋体" w:eastAsia="宋体" w:cs="宋体"/>
                <w:color w:val="auto"/>
                <w:sz w:val="21"/>
                <w:szCs w:val="21"/>
                <w:highlight w:val="none"/>
              </w:rPr>
              <w:t>″；30°</w:t>
            </w:r>
            <w:r>
              <w:rPr>
                <w:rFonts w:hint="eastAsia" w:ascii="宋体" w:hAnsi="宋体" w:eastAsia="宋体" w:cs="宋体"/>
                <w:color w:val="auto"/>
                <w:sz w:val="21"/>
                <w:szCs w:val="21"/>
                <w:highlight w:val="none"/>
                <w:lang w:val="en-US" w:eastAsia="zh-CN"/>
              </w:rPr>
              <w:t>21</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07</w:t>
            </w:r>
            <w:r>
              <w:rPr>
                <w:rFonts w:hint="eastAsia" w:ascii="宋体" w:hAnsi="宋体" w:eastAsia="宋体" w:cs="宋体"/>
                <w:color w:val="auto"/>
                <w:sz w:val="21"/>
                <w:szCs w:val="21"/>
                <w:highlight w:val="none"/>
              </w:rPr>
              <w:t>″</w:t>
            </w:r>
          </w:p>
        </w:tc>
        <w:tc>
          <w:tcPr>
            <w:tcW w:w="1366"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43</w:t>
            </w:r>
          </w:p>
        </w:tc>
        <w:tc>
          <w:tcPr>
            <w:tcW w:w="1127"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27</w:t>
            </w:r>
            <w:r>
              <w:rPr>
                <w:rFonts w:hint="eastAsia" w:ascii="宋体" w:hAnsi="宋体" w:eastAsia="宋体" w:cs="宋体"/>
                <w:color w:val="auto"/>
                <w:sz w:val="21"/>
                <w:szCs w:val="21"/>
                <w:highlight w:val="none"/>
                <w:lang w:val="en-US" w:eastAsia="zh-CN"/>
              </w:rPr>
              <w:t>5.8</w:t>
            </w:r>
          </w:p>
        </w:tc>
        <w:tc>
          <w:tcPr>
            <w:tcW w:w="1654" w:type="dxa"/>
            <w:tcBorders>
              <w:tl2br w:val="nil"/>
              <w:tr2bl w:val="nil"/>
            </w:tcBorders>
            <w:noWrap w:val="0"/>
            <w:vAlign w:val="center"/>
          </w:tcPr>
          <w:p>
            <w:pPr>
              <w:pStyle w:val="13"/>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工程终点</w:t>
            </w:r>
          </w:p>
        </w:tc>
      </w:tr>
    </w:tbl>
    <w:p>
      <w:pPr>
        <w:pStyle w:val="5"/>
        <w:rPr>
          <w:color w:val="auto"/>
          <w:lang w:val="en-US"/>
        </w:rPr>
      </w:pPr>
      <w:bookmarkStart w:id="225" w:name="_Toc4811"/>
      <w:bookmarkStart w:id="226" w:name="_Toc20191"/>
      <w:bookmarkStart w:id="227" w:name="_Toc13356"/>
      <w:bookmarkStart w:id="228" w:name="_Toc6492"/>
      <w:bookmarkStart w:id="229" w:name="_Toc7793"/>
      <w:bookmarkStart w:id="230" w:name="_Toc5500"/>
      <w:bookmarkStart w:id="231" w:name="_Toc13999"/>
      <w:r>
        <w:rPr>
          <w:color w:val="auto"/>
          <w:lang w:val="en-US"/>
        </w:rPr>
        <w:t>调查内容</w:t>
      </w:r>
      <w:bookmarkEnd w:id="225"/>
      <w:bookmarkEnd w:id="226"/>
      <w:bookmarkEnd w:id="227"/>
      <w:bookmarkEnd w:id="228"/>
      <w:bookmarkEnd w:id="229"/>
      <w:bookmarkEnd w:id="230"/>
      <w:bookmarkEnd w:id="231"/>
    </w:p>
    <w:p>
      <w:pPr>
        <w:spacing w:line="360" w:lineRule="auto"/>
        <w:ind w:firstLine="482"/>
        <w:rPr>
          <w:rFonts w:ascii="Times New Roman" w:hAnsi="Times New Roman"/>
          <w:bCs/>
          <w:color w:val="auto"/>
          <w:sz w:val="24"/>
        </w:rPr>
      </w:pPr>
      <w:r>
        <w:rPr>
          <w:rFonts w:hint="eastAsia" w:ascii="Times New Roman" w:hAnsi="Times New Roman"/>
          <w:color w:val="auto"/>
          <w:sz w:val="24"/>
        </w:rPr>
        <w:t>重点调查内容包括：浮游植物、浮游动物、底栖动物和鱼类等种类的组成、分布和鱼类的“三场”等</w:t>
      </w:r>
      <w:r>
        <w:rPr>
          <w:rFonts w:ascii="Times New Roman" w:hAnsi="Times New Roman"/>
          <w:bCs/>
          <w:color w:val="auto"/>
          <w:sz w:val="24"/>
        </w:rPr>
        <w:t>。</w:t>
      </w:r>
    </w:p>
    <w:p>
      <w:pPr>
        <w:pStyle w:val="5"/>
        <w:rPr>
          <w:color w:val="auto"/>
          <w:lang w:val="en-US"/>
        </w:rPr>
      </w:pPr>
      <w:bookmarkStart w:id="232" w:name="_Toc27533"/>
      <w:bookmarkStart w:id="233" w:name="_Toc32145"/>
      <w:bookmarkStart w:id="234" w:name="_Toc17104"/>
      <w:bookmarkStart w:id="235" w:name="_Toc28219"/>
      <w:bookmarkStart w:id="236" w:name="_Toc1012"/>
      <w:bookmarkStart w:id="237" w:name="_Toc18728"/>
      <w:bookmarkStart w:id="238" w:name="_Toc88"/>
      <w:r>
        <w:rPr>
          <w:color w:val="auto"/>
          <w:lang w:val="en-US"/>
        </w:rPr>
        <w:t>采样点设置</w:t>
      </w:r>
      <w:bookmarkEnd w:id="232"/>
      <w:bookmarkEnd w:id="233"/>
      <w:bookmarkEnd w:id="234"/>
      <w:bookmarkEnd w:id="235"/>
      <w:bookmarkEnd w:id="236"/>
      <w:bookmarkEnd w:id="237"/>
      <w:bookmarkEnd w:id="238"/>
    </w:p>
    <w:p>
      <w:pPr>
        <w:pStyle w:val="13"/>
        <w:spacing w:line="360" w:lineRule="auto"/>
        <w:ind w:firstLine="480" w:firstLineChars="200"/>
        <w:rPr>
          <w:rFonts w:ascii="Times New Roman" w:hAnsi="Times New Roman"/>
          <w:color w:val="auto"/>
          <w:sz w:val="24"/>
          <w:szCs w:val="24"/>
        </w:rPr>
      </w:pPr>
      <w:r>
        <w:rPr>
          <w:rFonts w:hint="eastAsia" w:ascii="Times New Roman" w:hAnsi="Times New Roman"/>
          <w:color w:val="auto"/>
          <w:sz w:val="24"/>
        </w:rPr>
        <w:t>水体水生生物的分布通常受多个条件影响，如水体形态、深度、水源、光照、温度和其他环境条件，导致水生生物分布不均匀，同条河流不同河段可能存在巨大差异，因此为保证水生生物调查的准确性和全面性，必须选择有代表性的河段地点进行采样。根据琼江干流的形态特点、水文条件和水生生物特性，为保证达到必要精度和满足统计学样品数，分别设置了3个采样断面，各采样断面位置详见下图</w:t>
      </w:r>
      <w:r>
        <w:rPr>
          <w:rFonts w:ascii="Times New Roman" w:hAnsi="Times New Roman"/>
          <w:color w:val="auto"/>
          <w:sz w:val="24"/>
          <w:szCs w:val="24"/>
        </w:rPr>
        <w:t>。</w:t>
      </w:r>
    </w:p>
    <w:p>
      <w:pPr>
        <w:jc w:val="center"/>
        <w:rPr>
          <w:rFonts w:ascii="Times New Roman" w:hAnsi="Times New Roman"/>
          <w:color w:val="FF0000"/>
        </w:rPr>
      </w:pPr>
      <w:r>
        <w:drawing>
          <wp:inline distT="0" distB="0" distL="114300" distR="114300">
            <wp:extent cx="5471160" cy="3736975"/>
            <wp:effectExtent l="0" t="0" r="2540" b="952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3"/>
                    <a:stretch>
                      <a:fillRect/>
                    </a:stretch>
                  </pic:blipFill>
                  <pic:spPr>
                    <a:xfrm>
                      <a:off x="0" y="0"/>
                      <a:ext cx="5471160" cy="3736975"/>
                    </a:xfrm>
                    <a:prstGeom prst="rect">
                      <a:avLst/>
                    </a:prstGeom>
                    <a:noFill/>
                    <a:ln>
                      <a:noFill/>
                    </a:ln>
                  </pic:spPr>
                </pic:pic>
              </a:graphicData>
            </a:graphic>
          </wp:inline>
        </w:drawing>
      </w:r>
    </w:p>
    <w:p>
      <w:pPr>
        <w:pStyle w:val="32"/>
        <w:jc w:val="center"/>
        <w:rPr>
          <w:rFonts w:ascii="Times New Roman" w:hAnsi="Times New Roman" w:eastAsia="宋体"/>
          <w:b/>
          <w:bCs/>
          <w:color w:val="auto"/>
          <w:sz w:val="21"/>
          <w:szCs w:val="21"/>
        </w:rPr>
      </w:pPr>
      <w:r>
        <w:rPr>
          <w:rFonts w:ascii="Times New Roman" w:hAnsi="Times New Roman" w:eastAsia="宋体"/>
          <w:b/>
          <w:bCs/>
          <w:color w:val="auto"/>
          <w:sz w:val="21"/>
          <w:szCs w:val="21"/>
        </w:rPr>
        <w:t>图</w:t>
      </w:r>
      <w:r>
        <w:rPr>
          <w:rFonts w:hint="eastAsia" w:ascii="Times New Roman" w:hAnsi="Times New Roman" w:eastAsia="宋体"/>
          <w:b/>
          <w:bCs/>
          <w:color w:val="auto"/>
          <w:sz w:val="21"/>
          <w:szCs w:val="21"/>
        </w:rPr>
        <w:t>6-</w:t>
      </w:r>
      <w:r>
        <w:rPr>
          <w:rFonts w:ascii="Times New Roman" w:hAnsi="Times New Roman" w:eastAsia="宋体"/>
          <w:b/>
          <w:bCs/>
          <w:color w:val="auto"/>
          <w:sz w:val="21"/>
          <w:szCs w:val="21"/>
        </w:rPr>
        <w:t>1 水生生物采样点分布示意图</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color w:val="auto"/>
          <w:lang w:val="en-US"/>
        </w:rPr>
      </w:pPr>
      <w:bookmarkStart w:id="239" w:name="_Toc30810"/>
      <w:bookmarkStart w:id="240" w:name="_Toc26192"/>
      <w:bookmarkStart w:id="241" w:name="_Toc32625"/>
      <w:bookmarkStart w:id="242" w:name="_Toc10333"/>
      <w:bookmarkStart w:id="243" w:name="_Toc23129"/>
      <w:bookmarkStart w:id="244" w:name="_Toc4391"/>
      <w:bookmarkStart w:id="245" w:name="_Toc7538"/>
      <w:r>
        <w:rPr>
          <w:color w:val="auto"/>
          <w:lang w:val="en-US"/>
        </w:rPr>
        <w:t>调查时间</w:t>
      </w:r>
      <w:bookmarkEnd w:id="239"/>
      <w:bookmarkEnd w:id="240"/>
      <w:bookmarkEnd w:id="241"/>
      <w:bookmarkEnd w:id="242"/>
      <w:bookmarkEnd w:id="243"/>
      <w:bookmarkEnd w:id="244"/>
      <w:bookmarkEnd w:id="245"/>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ascii="Times New Roman" w:hAnsi="Times New Roman"/>
          <w:color w:val="FF0000"/>
          <w:sz w:val="24"/>
        </w:rPr>
      </w:pPr>
      <w:r>
        <w:rPr>
          <w:rFonts w:hint="eastAsia" w:ascii="宋体" w:hAnsi="宋体" w:eastAsia="宋体" w:cs="宋体"/>
          <w:color w:val="auto"/>
          <w:sz w:val="24"/>
          <w:highlight w:val="none"/>
        </w:rPr>
        <w:t>202</w:t>
      </w:r>
      <w:r>
        <w:rPr>
          <w:rFonts w:hint="eastAsia" w:ascii="宋体" w:hAnsi="宋体" w:eastAsia="宋体" w:cs="宋体"/>
          <w:color w:val="auto"/>
          <w:sz w:val="24"/>
          <w:highlight w:val="none"/>
          <w:lang w:val="en-US" w:eastAsia="zh-CN"/>
        </w:rPr>
        <w:t>4</w:t>
      </w:r>
      <w:r>
        <w:rPr>
          <w:rFonts w:hint="eastAsia" w:ascii="宋体" w:hAnsi="宋体" w:eastAsia="宋体" w:cs="宋体"/>
          <w:color w:val="auto"/>
          <w:sz w:val="24"/>
          <w:highlight w:val="none"/>
        </w:rPr>
        <w:t>年</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月实地对工程</w:t>
      </w:r>
      <w:r>
        <w:rPr>
          <w:rFonts w:hint="eastAsia" w:ascii="宋体" w:hAnsi="宋体" w:eastAsia="宋体" w:cs="宋体"/>
          <w:color w:val="auto"/>
          <w:sz w:val="24"/>
          <w:highlight w:val="none"/>
          <w:lang w:val="en-US" w:eastAsia="zh-CN"/>
        </w:rPr>
        <w:t>河段开展</w:t>
      </w:r>
      <w:r>
        <w:rPr>
          <w:rFonts w:hint="eastAsia" w:ascii="宋体" w:hAnsi="宋体" w:eastAsia="宋体" w:cs="宋体"/>
          <w:color w:val="auto"/>
          <w:sz w:val="24"/>
          <w:highlight w:val="none"/>
        </w:rPr>
        <w:t>了水生生物采集、鱼类资源调查和现场踏勘</w:t>
      </w:r>
      <w:r>
        <w:rPr>
          <w:rFonts w:ascii="Times New Roman" w:hAnsi="Times New Roman"/>
          <w:color w:val="auto"/>
          <w:sz w:val="24"/>
        </w:rPr>
        <w:t>。</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color w:val="auto"/>
          <w:lang w:val="en-US"/>
        </w:rPr>
      </w:pPr>
      <w:bookmarkStart w:id="246" w:name="_Toc22447"/>
      <w:bookmarkStart w:id="247" w:name="_Toc24880"/>
      <w:bookmarkStart w:id="248" w:name="_Toc15581"/>
      <w:bookmarkStart w:id="249" w:name="_Toc29666"/>
      <w:bookmarkStart w:id="250" w:name="_Toc6062"/>
      <w:bookmarkStart w:id="251" w:name="_Toc23285"/>
      <w:bookmarkStart w:id="252" w:name="_Toc15835"/>
      <w:r>
        <w:rPr>
          <w:color w:val="auto"/>
          <w:lang w:val="en-US"/>
        </w:rPr>
        <w:t>调查方法</w:t>
      </w:r>
      <w:bookmarkEnd w:id="246"/>
      <w:bookmarkEnd w:id="247"/>
      <w:bookmarkEnd w:id="248"/>
      <w:bookmarkEnd w:id="249"/>
      <w:bookmarkEnd w:id="250"/>
      <w:bookmarkEnd w:id="251"/>
      <w:bookmarkEnd w:id="252"/>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水生生物调查方法主要依据依据《内陆水域渔业自然资源调查手册》和《淡水浮游生物研究方法》，并参照SL219-2019《水环境监测规范》和《环境影响评价技术导则—生态影响》HJ/T19-2011进行。</w:t>
      </w:r>
    </w:p>
    <w:p>
      <w:pPr>
        <w:pStyle w:val="6"/>
        <w:keepNext/>
        <w:keepLines/>
        <w:pageBreakBefore w:val="0"/>
        <w:widowControl w:val="0"/>
        <w:numPr>
          <w:ilvl w:val="0"/>
          <w:numId w:val="0"/>
        </w:numPr>
        <w:kinsoku/>
        <w:wordWrap/>
        <w:overflowPunct/>
        <w:topLinePunct w:val="0"/>
        <w:autoSpaceDE/>
        <w:autoSpaceDN/>
        <w:bidi w:val="0"/>
        <w:adjustRightInd/>
        <w:snapToGrid/>
        <w:ind w:firstLine="482" w:firstLineChars="200"/>
        <w:textAlignment w:val="auto"/>
        <w:rPr>
          <w:rFonts w:cs="Times New Roman"/>
          <w:color w:val="auto"/>
        </w:rPr>
      </w:pPr>
      <w:bookmarkStart w:id="253" w:name="_Toc23844"/>
      <w:bookmarkStart w:id="254" w:name="_Toc21263"/>
      <w:bookmarkStart w:id="255" w:name="_Toc3412"/>
      <w:bookmarkStart w:id="256" w:name="_Toc32179"/>
      <w:bookmarkStart w:id="257" w:name="_Toc28449"/>
      <w:bookmarkStart w:id="258" w:name="_Toc32352"/>
      <w:bookmarkStart w:id="259" w:name="_Toc32555"/>
      <w:r>
        <w:rPr>
          <w:rFonts w:hint="eastAsia" w:cs="Times New Roman"/>
          <w:color w:val="auto"/>
          <w:lang w:val="en-US" w:eastAsia="zh-CN"/>
        </w:rPr>
        <w:t>6.4.</w:t>
      </w:r>
      <w:r>
        <w:rPr>
          <w:rFonts w:cs="Times New Roman"/>
          <w:color w:val="auto"/>
        </w:rPr>
        <w:t>5.1浮游植物调查方法</w:t>
      </w:r>
      <w:bookmarkEnd w:id="253"/>
      <w:bookmarkEnd w:id="254"/>
      <w:bookmarkEnd w:id="255"/>
      <w:bookmarkEnd w:id="256"/>
      <w:bookmarkEnd w:id="257"/>
      <w:bookmarkEnd w:id="258"/>
      <w:bookmarkEnd w:id="259"/>
    </w:p>
    <w:p>
      <w:pPr>
        <w:spacing w:line="360" w:lineRule="auto"/>
        <w:ind w:firstLine="480" w:firstLineChars="200"/>
        <w:rPr>
          <w:rFonts w:ascii="Times New Roman" w:hAnsi="Times New Roman"/>
          <w:color w:val="auto"/>
          <w:sz w:val="24"/>
        </w:rPr>
      </w:pPr>
      <w:bookmarkStart w:id="260" w:name="_Toc20674"/>
      <w:bookmarkStart w:id="261" w:name="_Toc14972"/>
      <w:bookmarkStart w:id="262" w:name="_Toc2728"/>
      <w:bookmarkStart w:id="263" w:name="_Toc30680"/>
      <w:bookmarkStart w:id="264" w:name="_Toc29305"/>
      <w:bookmarkStart w:id="265" w:name="_Toc5104"/>
      <w:bookmarkStart w:id="266" w:name="_Toc31768"/>
      <w:bookmarkStart w:id="267" w:name="_Toc24269"/>
      <w:bookmarkStart w:id="268" w:name="_Toc21818"/>
      <w:bookmarkStart w:id="269" w:name="_Toc23316"/>
      <w:r>
        <w:rPr>
          <w:rFonts w:ascii="Times New Roman" w:hAnsi="Times New Roman"/>
          <w:color w:val="auto"/>
          <w:sz w:val="24"/>
        </w:rPr>
        <w:t>（1）野外采集</w:t>
      </w:r>
      <w:bookmarkEnd w:id="260"/>
      <w:bookmarkEnd w:id="261"/>
      <w:bookmarkEnd w:id="262"/>
      <w:bookmarkEnd w:id="263"/>
      <w:bookmarkEnd w:id="264"/>
      <w:bookmarkEnd w:id="265"/>
      <w:bookmarkEnd w:id="266"/>
      <w:bookmarkEnd w:id="267"/>
      <w:bookmarkEnd w:id="268"/>
      <w:bookmarkEnd w:id="269"/>
    </w:p>
    <w:p>
      <w:pPr>
        <w:spacing w:line="360" w:lineRule="auto"/>
        <w:ind w:firstLine="480" w:firstLineChars="200"/>
        <w:rPr>
          <w:rFonts w:ascii="Times New Roman" w:hAnsi="Times New Roman"/>
          <w:color w:val="auto"/>
          <w:sz w:val="24"/>
        </w:rPr>
      </w:pPr>
      <w:r>
        <w:rPr>
          <w:rFonts w:ascii="Times New Roman" w:hAnsi="Times New Roman"/>
          <w:color w:val="auto"/>
          <w:sz w:val="24"/>
        </w:rPr>
        <w:t>定性样品采集：用25号浮游生物网在水体中，以每秒20-30cm的速度，作“∞”字形循环缓慢拖网约</w:t>
      </w:r>
      <w:r>
        <w:rPr>
          <w:rFonts w:hint="eastAsia" w:ascii="Times New Roman" w:hAnsi="Times New Roman"/>
          <w:color w:val="auto"/>
          <w:sz w:val="24"/>
          <w:lang w:val="en-US" w:eastAsia="zh-CN"/>
        </w:rPr>
        <w:t>4</w:t>
      </w:r>
      <w:r>
        <w:rPr>
          <w:rFonts w:ascii="Times New Roman" w:hAnsi="Times New Roman"/>
          <w:color w:val="auto"/>
          <w:sz w:val="24"/>
        </w:rPr>
        <w:t>分钟左右采样。将收集的水样装入塑料瓶中，加入</w:t>
      </w:r>
      <w:r>
        <w:rPr>
          <w:rFonts w:hint="eastAsia" w:ascii="Times New Roman" w:hAnsi="Times New Roman"/>
          <w:color w:val="auto"/>
          <w:sz w:val="24"/>
          <w:lang w:val="en-US" w:eastAsia="zh-CN"/>
        </w:rPr>
        <w:t>15ml</w:t>
      </w:r>
      <w:r>
        <w:rPr>
          <w:rFonts w:ascii="Times New Roman" w:hAnsi="Times New Roman"/>
          <w:color w:val="auto"/>
          <w:sz w:val="24"/>
        </w:rPr>
        <w:t>鲁哥氏液（Lugol）固定后，用3-4%的甲醛密封保存。</w:t>
      </w:r>
    </w:p>
    <w:p>
      <w:pPr>
        <w:spacing w:line="360" w:lineRule="auto"/>
        <w:ind w:firstLine="480" w:firstLineChars="200"/>
        <w:rPr>
          <w:rFonts w:ascii="Times New Roman" w:hAnsi="Times New Roman"/>
          <w:color w:val="auto"/>
          <w:sz w:val="24"/>
        </w:rPr>
      </w:pPr>
      <w:r>
        <w:rPr>
          <w:rFonts w:ascii="Times New Roman" w:hAnsi="Times New Roman"/>
          <w:color w:val="auto"/>
          <w:sz w:val="24"/>
        </w:rPr>
        <w:t>定量样品采集：用5L有机玻璃采水桶采水50L，用25号浮游生物网过滤浓缩后，采集水样装入塑料瓶中，加入少量鲁哥氏液固定后，用3-4%的甲醛密封保存。</w:t>
      </w:r>
      <w:bookmarkStart w:id="270" w:name="_Toc19673"/>
      <w:bookmarkStart w:id="271" w:name="_Toc4392"/>
      <w:bookmarkStart w:id="272" w:name="_Toc16286"/>
      <w:bookmarkStart w:id="273" w:name="_Toc30764"/>
      <w:bookmarkStart w:id="274" w:name="_Toc4904"/>
      <w:bookmarkStart w:id="275" w:name="_Toc3057"/>
      <w:bookmarkStart w:id="276" w:name="_Toc7318"/>
      <w:bookmarkStart w:id="277" w:name="_Toc30184"/>
      <w:bookmarkStart w:id="278" w:name="_Toc17048"/>
      <w:bookmarkStart w:id="279" w:name="_Toc3949"/>
    </w:p>
    <w:p>
      <w:pPr>
        <w:spacing w:line="360" w:lineRule="auto"/>
        <w:ind w:firstLine="480" w:firstLineChars="200"/>
        <w:rPr>
          <w:rFonts w:ascii="Times New Roman" w:hAnsi="Times New Roman"/>
          <w:color w:val="auto"/>
          <w:sz w:val="24"/>
        </w:rPr>
      </w:pPr>
      <w:r>
        <w:rPr>
          <w:rFonts w:ascii="Times New Roman" w:hAnsi="Times New Roman"/>
          <w:color w:val="auto"/>
          <w:sz w:val="24"/>
        </w:rPr>
        <w:t>（2）室内鉴定分析</w:t>
      </w:r>
      <w:bookmarkEnd w:id="270"/>
      <w:bookmarkEnd w:id="271"/>
      <w:bookmarkEnd w:id="272"/>
      <w:bookmarkEnd w:id="273"/>
      <w:bookmarkEnd w:id="274"/>
      <w:bookmarkEnd w:id="275"/>
      <w:bookmarkEnd w:id="276"/>
      <w:bookmarkEnd w:id="277"/>
      <w:bookmarkEnd w:id="278"/>
      <w:bookmarkEnd w:id="279"/>
    </w:p>
    <w:p>
      <w:pPr>
        <w:spacing w:line="360" w:lineRule="auto"/>
        <w:ind w:firstLine="480" w:firstLineChars="200"/>
        <w:rPr>
          <w:rFonts w:ascii="Times New Roman" w:hAnsi="Times New Roman"/>
          <w:color w:val="auto"/>
          <w:sz w:val="24"/>
        </w:rPr>
      </w:pPr>
      <w:r>
        <w:rPr>
          <w:rFonts w:ascii="Times New Roman" w:hAnsi="Times New Roman"/>
          <w:color w:val="auto"/>
          <w:sz w:val="24"/>
        </w:rPr>
        <w:t>浮游植物物种鉴定：在显微镜下用16×40倍镜头或16×100倍油镜进行观察，对所采集的浮游植物进行物种鉴定，尽量鉴定到种，有极少数标本因植体不完善等原因，只能鉴定到属。</w:t>
      </w:r>
    </w:p>
    <w:p>
      <w:pPr>
        <w:spacing w:line="360" w:lineRule="auto"/>
        <w:ind w:firstLine="480" w:firstLineChars="200"/>
        <w:rPr>
          <w:rFonts w:ascii="Times New Roman" w:hAnsi="Times New Roman"/>
          <w:color w:val="auto"/>
          <w:sz w:val="24"/>
        </w:rPr>
      </w:pPr>
      <w:r>
        <w:rPr>
          <w:rFonts w:ascii="Times New Roman" w:hAnsi="Times New Roman"/>
          <w:color w:val="auto"/>
          <w:sz w:val="24"/>
        </w:rPr>
        <w:t>浮游植物定量分析：用显微镜计数法排除杂质，鉴别物种，计算出单位水体中浮游植物的个体数量，较准确地换算出单位体积中的生物量，进一步评价水质和了解水体中浮游植物的物种类型和数量变动。</w:t>
      </w:r>
    </w:p>
    <w:p>
      <w:pPr>
        <w:spacing w:line="360" w:lineRule="auto"/>
        <w:ind w:firstLine="480" w:firstLineChars="200"/>
        <w:rPr>
          <w:rFonts w:ascii="Times New Roman" w:hAnsi="Times New Roman"/>
          <w:color w:val="auto"/>
          <w:sz w:val="24"/>
        </w:rPr>
      </w:pPr>
      <w:r>
        <w:rPr>
          <w:rFonts w:ascii="Times New Roman" w:hAnsi="Times New Roman"/>
          <w:color w:val="auto"/>
          <w:sz w:val="24"/>
        </w:rPr>
        <w:t>将浓缩沉淀后的水样充分摇匀，迅速准确吸取0.1ml水样，注入0.1ml玻璃计数框内（20×20mm），盖上盖玻片，在10×40倍显微镜下观察并计数。每瓶标本计数二片取其平均值。同一样品的两片标本计数结果与其平均值之差如不大于10%则为有效计数，否则测第三片，直至符合要求。按以下公式计算出每升水中浮游植物的数量。</w:t>
      </w:r>
    </w:p>
    <w:p>
      <w:pPr>
        <w:spacing w:line="360" w:lineRule="auto"/>
        <w:ind w:firstLine="480" w:firstLineChars="200"/>
        <w:jc w:val="center"/>
        <w:rPr>
          <w:rFonts w:ascii="Times New Roman" w:hAnsi="Times New Roman"/>
          <w:color w:val="auto"/>
          <w:sz w:val="24"/>
        </w:rPr>
      </w:pPr>
      <w:r>
        <w:rPr>
          <w:rFonts w:ascii="Times New Roman" w:hAnsi="Times New Roman"/>
          <w:color w:val="auto"/>
          <w:sz w:val="24"/>
        </w:rPr>
        <w:drawing>
          <wp:inline distT="0" distB="0" distL="114300" distR="114300">
            <wp:extent cx="1363345" cy="586105"/>
            <wp:effectExtent l="0" t="0" r="8255" b="3810"/>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24"/>
                    <a:stretch>
                      <a:fillRect/>
                    </a:stretch>
                  </pic:blipFill>
                  <pic:spPr>
                    <a:xfrm>
                      <a:off x="0" y="0"/>
                      <a:ext cx="1363345" cy="586105"/>
                    </a:xfrm>
                    <a:prstGeom prst="rect">
                      <a:avLst/>
                    </a:prstGeom>
                    <a:noFill/>
                    <a:ln>
                      <a:noFill/>
                    </a:ln>
                  </pic:spPr>
                </pic:pic>
              </a:graphicData>
            </a:graphic>
          </wp:inline>
        </w:drawing>
      </w:r>
      <w:r>
        <w:rPr>
          <w:rFonts w:ascii="Times New Roman" w:hAnsi="Times New Roman"/>
          <w:color w:val="auto"/>
          <w:sz w:val="24"/>
        </w:rPr>
        <w:t>，式中：</w:t>
      </w:r>
    </w:p>
    <w:p>
      <w:pPr>
        <w:spacing w:line="360" w:lineRule="auto"/>
        <w:ind w:firstLine="480" w:firstLineChars="200"/>
        <w:rPr>
          <w:rFonts w:ascii="Times New Roman" w:hAnsi="Times New Roman"/>
          <w:color w:val="auto"/>
          <w:sz w:val="24"/>
        </w:rPr>
      </w:pPr>
      <w:r>
        <w:rPr>
          <w:rFonts w:ascii="Times New Roman" w:hAnsi="Times New Roman"/>
          <w:color w:val="auto"/>
          <w:sz w:val="24"/>
        </w:rPr>
        <w:t>N——每升水样中浮游生物的数量，单位为个每升（个/L）；</w:t>
      </w:r>
    </w:p>
    <w:p>
      <w:pPr>
        <w:spacing w:line="360" w:lineRule="auto"/>
        <w:ind w:firstLine="480" w:firstLineChars="200"/>
        <w:rPr>
          <w:rFonts w:ascii="Times New Roman" w:hAnsi="Times New Roman"/>
          <w:color w:val="auto"/>
          <w:sz w:val="24"/>
        </w:rPr>
      </w:pPr>
      <w:r>
        <w:rPr>
          <w:rFonts w:ascii="Times New Roman" w:hAnsi="Times New Roman"/>
          <w:color w:val="auto"/>
          <w:sz w:val="24"/>
        </w:rPr>
        <w:t>Cs——计算框面积（mm</w:t>
      </w:r>
      <w:r>
        <w:rPr>
          <w:rFonts w:ascii="Times New Roman" w:hAnsi="Times New Roman"/>
          <w:color w:val="auto"/>
          <w:sz w:val="24"/>
          <w:vertAlign w:val="superscript"/>
        </w:rPr>
        <w:t>2</w:t>
      </w:r>
      <w:r>
        <w:rPr>
          <w:rFonts w:ascii="Times New Roman" w:hAnsi="Times New Roman"/>
          <w:color w:val="auto"/>
          <w:sz w:val="24"/>
        </w:rPr>
        <w:t>）；</w:t>
      </w:r>
    </w:p>
    <w:p>
      <w:pPr>
        <w:spacing w:line="360" w:lineRule="auto"/>
        <w:ind w:firstLine="480" w:firstLineChars="200"/>
        <w:rPr>
          <w:rFonts w:ascii="Times New Roman" w:hAnsi="Times New Roman"/>
          <w:color w:val="auto"/>
          <w:sz w:val="24"/>
        </w:rPr>
      </w:pPr>
      <w:r>
        <w:rPr>
          <w:rFonts w:ascii="Times New Roman" w:hAnsi="Times New Roman"/>
          <w:color w:val="auto"/>
          <w:sz w:val="24"/>
        </w:rPr>
        <w:t>Fs——每个视野面积（mm</w:t>
      </w:r>
      <w:r>
        <w:rPr>
          <w:rFonts w:ascii="Times New Roman" w:hAnsi="Times New Roman"/>
          <w:color w:val="auto"/>
          <w:sz w:val="24"/>
          <w:vertAlign w:val="superscript"/>
        </w:rPr>
        <w:t>2</w:t>
      </w:r>
      <w:r>
        <w:rPr>
          <w:rFonts w:ascii="Times New Roman" w:hAnsi="Times New Roman"/>
          <w:color w:val="auto"/>
          <w:sz w:val="24"/>
        </w:rPr>
        <w:t>）；</w:t>
      </w:r>
    </w:p>
    <w:p>
      <w:pPr>
        <w:spacing w:line="360" w:lineRule="auto"/>
        <w:ind w:firstLine="480" w:firstLineChars="200"/>
        <w:rPr>
          <w:rFonts w:ascii="Times New Roman" w:hAnsi="Times New Roman"/>
          <w:color w:val="auto"/>
          <w:sz w:val="24"/>
        </w:rPr>
      </w:pPr>
      <w:r>
        <w:rPr>
          <w:rFonts w:ascii="Times New Roman" w:hAnsi="Times New Roman"/>
          <w:color w:val="auto"/>
          <w:sz w:val="24"/>
        </w:rPr>
        <w:t>Fn——计数过的视野数；</w:t>
      </w:r>
    </w:p>
    <w:p>
      <w:pPr>
        <w:spacing w:line="360" w:lineRule="auto"/>
        <w:ind w:firstLine="480" w:firstLineChars="200"/>
        <w:rPr>
          <w:rFonts w:ascii="Times New Roman" w:hAnsi="Times New Roman"/>
          <w:color w:val="auto"/>
          <w:sz w:val="24"/>
        </w:rPr>
      </w:pPr>
      <w:r>
        <w:rPr>
          <w:rFonts w:ascii="Times New Roman" w:hAnsi="Times New Roman"/>
          <w:color w:val="auto"/>
          <w:sz w:val="24"/>
        </w:rPr>
        <w:t>V——1L水样经浓缩后的体积（ml）；</w:t>
      </w:r>
    </w:p>
    <w:p>
      <w:pPr>
        <w:spacing w:line="360" w:lineRule="auto"/>
        <w:ind w:firstLine="480" w:firstLineChars="200"/>
        <w:rPr>
          <w:rFonts w:ascii="Times New Roman" w:hAnsi="Times New Roman"/>
          <w:color w:val="auto"/>
          <w:sz w:val="24"/>
        </w:rPr>
      </w:pPr>
      <w:r>
        <w:rPr>
          <w:rFonts w:ascii="Times New Roman" w:hAnsi="Times New Roman"/>
          <w:color w:val="auto"/>
          <w:sz w:val="24"/>
        </w:rPr>
        <w:t>v——计数框容积（ml）；</w:t>
      </w:r>
    </w:p>
    <w:p>
      <w:pPr>
        <w:spacing w:line="360" w:lineRule="auto"/>
        <w:ind w:firstLine="480" w:firstLineChars="200"/>
        <w:rPr>
          <w:rFonts w:ascii="Times New Roman" w:hAnsi="Times New Roman"/>
          <w:color w:val="auto"/>
          <w:sz w:val="24"/>
        </w:rPr>
      </w:pPr>
      <w:r>
        <w:rPr>
          <w:rFonts w:ascii="Times New Roman" w:hAnsi="Times New Roman"/>
          <w:color w:val="auto"/>
          <w:sz w:val="24"/>
        </w:rPr>
        <w:t>Pn——计数的浮游植物个数。</w:t>
      </w:r>
    </w:p>
    <w:p>
      <w:pPr>
        <w:spacing w:line="360" w:lineRule="auto"/>
        <w:ind w:firstLine="480" w:firstLineChars="200"/>
        <w:rPr>
          <w:rFonts w:ascii="Times New Roman" w:hAnsi="Times New Roman"/>
          <w:color w:val="auto"/>
          <w:sz w:val="24"/>
        </w:rPr>
      </w:pPr>
      <w:r>
        <w:rPr>
          <w:rFonts w:ascii="Times New Roman" w:hAnsi="Times New Roman"/>
          <w:color w:val="auto"/>
          <w:sz w:val="24"/>
        </w:rPr>
        <w:t>生物量的计算，因浮游植物个体较小，一般是按体积来换算重量的，大多藻类的细胞形状比较规则，可用形状相似的几何体积公式来计算体积。由于浮游植物大多悬浮于水中生活，其比重接近所在水体水的比重，即接近于1，因此体积值（μm</w:t>
      </w:r>
      <w:r>
        <w:rPr>
          <w:rFonts w:ascii="Times New Roman" w:hAnsi="Times New Roman"/>
          <w:color w:val="auto"/>
          <w:sz w:val="24"/>
          <w:vertAlign w:val="superscript"/>
        </w:rPr>
        <w:t>3</w:t>
      </w:r>
      <w:r>
        <w:rPr>
          <w:rFonts w:ascii="Times New Roman" w:hAnsi="Times New Roman"/>
          <w:color w:val="auto"/>
          <w:sz w:val="24"/>
        </w:rPr>
        <w:t>）可换算为重量值（湿重）（10</w:t>
      </w:r>
      <w:r>
        <w:rPr>
          <w:rFonts w:ascii="Times New Roman" w:hAnsi="Times New Roman"/>
          <w:color w:val="auto"/>
          <w:sz w:val="24"/>
          <w:vertAlign w:val="superscript"/>
        </w:rPr>
        <w:t>9</w:t>
      </w:r>
      <w:r>
        <w:rPr>
          <w:rFonts w:ascii="Times New Roman" w:hAnsi="Times New Roman"/>
          <w:color w:val="auto"/>
          <w:sz w:val="24"/>
        </w:rPr>
        <w:t>μm</w:t>
      </w:r>
      <w:r>
        <w:rPr>
          <w:rFonts w:ascii="Times New Roman" w:hAnsi="Times New Roman"/>
          <w:color w:val="auto"/>
          <w:sz w:val="24"/>
          <w:vertAlign w:val="superscript"/>
        </w:rPr>
        <w:t>3</w:t>
      </w:r>
      <w:r>
        <w:rPr>
          <w:rFonts w:ascii="Times New Roman" w:hAnsi="Times New Roman"/>
          <w:color w:val="auto"/>
          <w:sz w:val="24"/>
        </w:rPr>
        <w:t>=1mg）。</w:t>
      </w:r>
    </w:p>
    <w:p>
      <w:pPr>
        <w:pStyle w:val="6"/>
        <w:keepNext/>
        <w:keepLines/>
        <w:pageBreakBefore w:val="0"/>
        <w:widowControl w:val="0"/>
        <w:numPr>
          <w:ilvl w:val="0"/>
          <w:numId w:val="0"/>
        </w:numPr>
        <w:kinsoku/>
        <w:wordWrap/>
        <w:overflowPunct/>
        <w:topLinePunct w:val="0"/>
        <w:autoSpaceDE/>
        <w:autoSpaceDN/>
        <w:bidi w:val="0"/>
        <w:adjustRightInd/>
        <w:snapToGrid/>
        <w:ind w:firstLine="482" w:firstLineChars="200"/>
        <w:textAlignment w:val="auto"/>
        <w:rPr>
          <w:rFonts w:cs="Times New Roman"/>
          <w:color w:val="auto"/>
          <w:szCs w:val="24"/>
        </w:rPr>
      </w:pPr>
      <w:bookmarkStart w:id="280" w:name="_Toc24216"/>
      <w:bookmarkStart w:id="281" w:name="_Toc22600"/>
      <w:r>
        <w:rPr>
          <w:rFonts w:hint="eastAsia" w:cs="Times New Roman"/>
          <w:color w:val="auto"/>
          <w:szCs w:val="24"/>
          <w:lang w:val="en-US" w:eastAsia="zh-CN"/>
        </w:rPr>
        <w:t>6.4</w:t>
      </w:r>
      <w:r>
        <w:rPr>
          <w:rFonts w:cs="Times New Roman"/>
          <w:color w:val="auto"/>
          <w:szCs w:val="24"/>
        </w:rPr>
        <w:t>.5.2浮游动物调查方法</w:t>
      </w:r>
      <w:bookmarkEnd w:id="280"/>
      <w:bookmarkEnd w:id="281"/>
    </w:p>
    <w:p>
      <w:pPr>
        <w:spacing w:line="360" w:lineRule="auto"/>
        <w:ind w:firstLine="480" w:firstLineChars="200"/>
        <w:rPr>
          <w:rFonts w:ascii="Times New Roman" w:hAnsi="Times New Roman"/>
          <w:color w:val="auto"/>
          <w:sz w:val="24"/>
        </w:rPr>
      </w:pPr>
      <w:r>
        <w:rPr>
          <w:rFonts w:ascii="Times New Roman" w:hAnsi="Times New Roman"/>
          <w:color w:val="auto"/>
          <w:sz w:val="24"/>
        </w:rPr>
        <w:t>（1）野外采集</w:t>
      </w:r>
    </w:p>
    <w:p>
      <w:pPr>
        <w:spacing w:line="360" w:lineRule="auto"/>
        <w:ind w:firstLine="480" w:firstLineChars="200"/>
        <w:rPr>
          <w:rFonts w:ascii="Times New Roman" w:hAnsi="Times New Roman"/>
          <w:color w:val="auto"/>
          <w:sz w:val="24"/>
        </w:rPr>
      </w:pPr>
      <w:r>
        <w:rPr>
          <w:rFonts w:ascii="Times New Roman" w:hAnsi="Times New Roman"/>
          <w:color w:val="auto"/>
          <w:sz w:val="24"/>
        </w:rPr>
        <w:t>定性样品采集：选择不同水域区，用13号浮游生物网在水体中作“∞”字形循环缓慢拖网约2-3分钟左右采样。将收集的水样装入塑料瓶中，用3-4%的甲醛密封保存。</w:t>
      </w:r>
    </w:p>
    <w:p>
      <w:pPr>
        <w:spacing w:line="360" w:lineRule="auto"/>
        <w:ind w:firstLine="480" w:firstLineChars="200"/>
        <w:rPr>
          <w:rFonts w:ascii="Times New Roman" w:hAnsi="Times New Roman"/>
          <w:color w:val="auto"/>
          <w:sz w:val="24"/>
        </w:rPr>
      </w:pPr>
      <w:r>
        <w:rPr>
          <w:rFonts w:ascii="Times New Roman" w:hAnsi="Times New Roman"/>
          <w:color w:val="auto"/>
          <w:sz w:val="24"/>
        </w:rPr>
        <w:t>定量样品采集：用5L有机玻璃采水桶采集，因受采样时间限制，浮游动物稀少，故每采样点均采集水样50L，用13号浮游生物网过滤浓缩后，采集水样装入塑料瓶中，用3-4%的甲醛密封保存。</w:t>
      </w:r>
    </w:p>
    <w:p>
      <w:pPr>
        <w:spacing w:line="360" w:lineRule="auto"/>
        <w:ind w:firstLine="480" w:firstLineChars="200"/>
        <w:rPr>
          <w:rFonts w:ascii="Times New Roman" w:hAnsi="Times New Roman"/>
          <w:color w:val="auto"/>
          <w:sz w:val="24"/>
        </w:rPr>
      </w:pPr>
      <w:r>
        <w:rPr>
          <w:rFonts w:ascii="Times New Roman" w:hAnsi="Times New Roman"/>
          <w:color w:val="auto"/>
          <w:sz w:val="24"/>
        </w:rPr>
        <w:t>（2）室内鉴定分析</w:t>
      </w:r>
    </w:p>
    <w:p>
      <w:pPr>
        <w:spacing w:line="360" w:lineRule="auto"/>
        <w:ind w:firstLine="480" w:firstLineChars="200"/>
        <w:rPr>
          <w:rFonts w:ascii="Times New Roman" w:hAnsi="Times New Roman"/>
          <w:color w:val="auto"/>
          <w:sz w:val="24"/>
        </w:rPr>
      </w:pPr>
      <w:r>
        <w:rPr>
          <w:rFonts w:ascii="Times New Roman" w:hAnsi="Times New Roman"/>
          <w:color w:val="auto"/>
          <w:sz w:val="24"/>
        </w:rPr>
        <w:t>将野外采集的水样，倒入沉淀器静置48-72h，让样品自然沉淀，然后用虹吸法吸去上层清水，浓缩至30ml，每样取浓缩液0.1ml于生物计数框中镜检，每样品检查2次。定性样品，物种鉴定到属或种；定量的样品，在10×10倍的显微镜下，逐一统计浮游动物各种类的个体数量，每一水样的浮游动物连续计算2次，如2次计算结果差异很大，则需再计算1-2次，将各次数值平均，按下式计算每升水中的浮游动物数量。</w:t>
      </w:r>
    </w:p>
    <w:p>
      <w:pPr>
        <w:spacing w:line="360" w:lineRule="auto"/>
        <w:ind w:firstLine="480" w:firstLineChars="200"/>
        <w:jc w:val="center"/>
        <w:rPr>
          <w:rFonts w:ascii="Times New Roman" w:hAnsi="Times New Roman"/>
          <w:color w:val="auto"/>
          <w:sz w:val="24"/>
        </w:rPr>
      </w:pPr>
      <w:r>
        <w:rPr>
          <w:rFonts w:ascii="Times New Roman" w:hAnsi="Times New Roman"/>
          <w:color w:val="auto"/>
          <w:sz w:val="24"/>
        </w:rPr>
        <w:drawing>
          <wp:inline distT="0" distB="0" distL="114300" distR="114300">
            <wp:extent cx="984250" cy="537845"/>
            <wp:effectExtent l="0" t="0" r="6350" b="1524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25"/>
                    <a:stretch>
                      <a:fillRect/>
                    </a:stretch>
                  </pic:blipFill>
                  <pic:spPr>
                    <a:xfrm>
                      <a:off x="0" y="0"/>
                      <a:ext cx="984250" cy="537845"/>
                    </a:xfrm>
                    <a:prstGeom prst="rect">
                      <a:avLst/>
                    </a:prstGeom>
                    <a:noFill/>
                    <a:ln>
                      <a:noFill/>
                    </a:ln>
                  </pic:spPr>
                </pic:pic>
              </a:graphicData>
            </a:graphic>
          </wp:inline>
        </w:drawing>
      </w:r>
      <w:r>
        <w:rPr>
          <w:rFonts w:ascii="Times New Roman" w:hAnsi="Times New Roman"/>
          <w:color w:val="auto"/>
          <w:sz w:val="24"/>
        </w:rPr>
        <w:t>，式中：</w:t>
      </w:r>
    </w:p>
    <w:p>
      <w:pPr>
        <w:spacing w:line="360" w:lineRule="auto"/>
        <w:ind w:firstLine="480" w:firstLineChars="200"/>
        <w:rPr>
          <w:rFonts w:ascii="Times New Roman" w:hAnsi="Times New Roman"/>
          <w:color w:val="auto"/>
          <w:sz w:val="24"/>
        </w:rPr>
      </w:pPr>
      <w:r>
        <w:rPr>
          <w:rFonts w:ascii="Times New Roman" w:hAnsi="Times New Roman"/>
          <w:color w:val="auto"/>
          <w:sz w:val="24"/>
        </w:rPr>
        <w:t>N——每升水样中浮游生物的数量，单位为个每升（个/L）；</w:t>
      </w:r>
    </w:p>
    <w:p>
      <w:pPr>
        <w:spacing w:line="360" w:lineRule="auto"/>
        <w:ind w:firstLine="480" w:firstLineChars="200"/>
        <w:rPr>
          <w:rFonts w:ascii="Times New Roman" w:hAnsi="Times New Roman"/>
          <w:color w:val="auto"/>
          <w:sz w:val="24"/>
        </w:rPr>
      </w:pPr>
      <w:r>
        <w:rPr>
          <w:rFonts w:ascii="Times New Roman" w:hAnsi="Times New Roman"/>
          <w:color w:val="auto"/>
          <w:sz w:val="24"/>
        </w:rPr>
        <w:t>Pn——平均每片实际计数的小型浮游动物个数；</w:t>
      </w:r>
    </w:p>
    <w:p>
      <w:pPr>
        <w:spacing w:line="360" w:lineRule="auto"/>
        <w:ind w:firstLine="480" w:firstLineChars="200"/>
        <w:rPr>
          <w:rFonts w:ascii="Times New Roman" w:hAnsi="Times New Roman"/>
          <w:color w:val="auto"/>
          <w:sz w:val="24"/>
        </w:rPr>
      </w:pPr>
      <w:r>
        <w:rPr>
          <w:rFonts w:ascii="Times New Roman" w:hAnsi="Times New Roman"/>
          <w:color w:val="auto"/>
          <w:sz w:val="24"/>
        </w:rPr>
        <w:t>V——最终浓缩水量（ml）；</w:t>
      </w:r>
    </w:p>
    <w:p>
      <w:pPr>
        <w:spacing w:line="360" w:lineRule="auto"/>
        <w:ind w:firstLine="480" w:firstLineChars="200"/>
        <w:rPr>
          <w:rFonts w:ascii="Times New Roman" w:hAnsi="Times New Roman"/>
          <w:color w:val="auto"/>
          <w:sz w:val="24"/>
        </w:rPr>
      </w:pPr>
      <w:r>
        <w:rPr>
          <w:rFonts w:ascii="Times New Roman" w:hAnsi="Times New Roman"/>
          <w:color w:val="auto"/>
          <w:sz w:val="24"/>
        </w:rPr>
        <w:t>v——计数框容积（ml）；</w:t>
      </w:r>
    </w:p>
    <w:p>
      <w:pPr>
        <w:spacing w:line="360" w:lineRule="auto"/>
        <w:ind w:firstLine="480" w:firstLineChars="200"/>
        <w:rPr>
          <w:rFonts w:ascii="Times New Roman" w:hAnsi="Times New Roman"/>
          <w:color w:val="auto"/>
          <w:sz w:val="24"/>
        </w:rPr>
      </w:pPr>
      <w:r>
        <w:rPr>
          <w:rFonts w:ascii="Times New Roman" w:hAnsi="Times New Roman"/>
          <w:color w:val="auto"/>
          <w:sz w:val="24"/>
        </w:rPr>
        <w:t>按下式计算每升水样中某种大型浮游动物的总数量</w:t>
      </w:r>
    </w:p>
    <w:p>
      <w:pPr>
        <w:spacing w:line="360" w:lineRule="auto"/>
        <w:ind w:firstLine="480" w:firstLineChars="200"/>
        <w:jc w:val="center"/>
        <w:rPr>
          <w:rFonts w:ascii="Times New Roman" w:hAnsi="Times New Roman"/>
          <w:color w:val="auto"/>
          <w:sz w:val="24"/>
        </w:rPr>
      </w:pPr>
      <w:r>
        <w:rPr>
          <w:rFonts w:ascii="Times New Roman" w:hAnsi="Times New Roman"/>
          <w:color w:val="auto"/>
          <w:sz w:val="24"/>
        </w:rPr>
        <w:drawing>
          <wp:inline distT="0" distB="0" distL="114300" distR="114300">
            <wp:extent cx="681355" cy="581660"/>
            <wp:effectExtent l="0" t="0" r="0" b="0"/>
            <wp:docPr id="2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9"/>
                    <pic:cNvPicPr>
                      <a:picLocks noChangeAspect="1"/>
                    </pic:cNvPicPr>
                  </pic:nvPicPr>
                  <pic:blipFill>
                    <a:blip r:embed="rId26"/>
                    <a:stretch>
                      <a:fillRect/>
                    </a:stretch>
                  </pic:blipFill>
                  <pic:spPr>
                    <a:xfrm>
                      <a:off x="0" y="0"/>
                      <a:ext cx="681355" cy="581660"/>
                    </a:xfrm>
                    <a:prstGeom prst="rect">
                      <a:avLst/>
                    </a:prstGeom>
                    <a:noFill/>
                    <a:ln>
                      <a:noFill/>
                    </a:ln>
                  </pic:spPr>
                </pic:pic>
              </a:graphicData>
            </a:graphic>
          </wp:inline>
        </w:drawing>
      </w:r>
      <w:r>
        <w:rPr>
          <w:rFonts w:ascii="Times New Roman" w:hAnsi="Times New Roman"/>
          <w:color w:val="auto"/>
          <w:sz w:val="24"/>
        </w:rPr>
        <w:t>，式中：</w:t>
      </w:r>
    </w:p>
    <w:p>
      <w:pPr>
        <w:spacing w:line="360" w:lineRule="auto"/>
        <w:ind w:firstLine="480" w:firstLineChars="200"/>
        <w:rPr>
          <w:rFonts w:ascii="Times New Roman" w:hAnsi="Times New Roman"/>
          <w:color w:val="auto"/>
          <w:sz w:val="24"/>
        </w:rPr>
      </w:pPr>
      <w:r>
        <w:rPr>
          <w:rFonts w:ascii="Times New Roman" w:hAnsi="Times New Roman"/>
          <w:color w:val="auto"/>
          <w:sz w:val="24"/>
        </w:rPr>
        <w:t>N——每升水样中浮游生物的数量，单位为个每升（个/L）；</w:t>
      </w:r>
    </w:p>
    <w:p>
      <w:pPr>
        <w:spacing w:line="360" w:lineRule="auto"/>
        <w:ind w:firstLine="480" w:firstLineChars="200"/>
        <w:rPr>
          <w:rFonts w:ascii="Times New Roman" w:hAnsi="Times New Roman"/>
          <w:color w:val="auto"/>
          <w:sz w:val="24"/>
        </w:rPr>
      </w:pPr>
      <w:r>
        <w:rPr>
          <w:rFonts w:ascii="Times New Roman" w:hAnsi="Times New Roman"/>
          <w:color w:val="auto"/>
          <w:sz w:val="24"/>
        </w:rPr>
        <w:t>P——计数得到的某种大型浮游动物的总数量；</w:t>
      </w:r>
    </w:p>
    <w:p>
      <w:pPr>
        <w:spacing w:line="360" w:lineRule="auto"/>
        <w:ind w:firstLine="480" w:firstLineChars="200"/>
        <w:rPr>
          <w:rFonts w:ascii="Times New Roman" w:hAnsi="Times New Roman"/>
          <w:color w:val="auto"/>
          <w:sz w:val="24"/>
        </w:rPr>
      </w:pPr>
      <w:r>
        <w:rPr>
          <w:rFonts w:ascii="Times New Roman" w:hAnsi="Times New Roman"/>
          <w:color w:val="auto"/>
          <w:sz w:val="24"/>
        </w:rPr>
        <w:t>V——采水量（L）；</w:t>
      </w:r>
    </w:p>
    <w:p>
      <w:pPr>
        <w:spacing w:line="360" w:lineRule="auto"/>
        <w:ind w:firstLine="480" w:firstLineChars="200"/>
        <w:rPr>
          <w:rFonts w:ascii="Times New Roman" w:hAnsi="Times New Roman"/>
          <w:color w:val="auto"/>
          <w:sz w:val="24"/>
        </w:rPr>
      </w:pPr>
      <w:r>
        <w:rPr>
          <w:rFonts w:ascii="Times New Roman" w:hAnsi="Times New Roman"/>
          <w:color w:val="auto"/>
          <w:sz w:val="24"/>
        </w:rPr>
        <w:t>根据每升水中浮游动物的数量，再乘以个体平均湿重，即得到某种浮游动物的生物量（mg/L）。</w:t>
      </w:r>
    </w:p>
    <w:p>
      <w:pPr>
        <w:pStyle w:val="6"/>
        <w:keepNext/>
        <w:keepLines/>
        <w:pageBreakBefore w:val="0"/>
        <w:widowControl w:val="0"/>
        <w:numPr>
          <w:ilvl w:val="0"/>
          <w:numId w:val="0"/>
        </w:numPr>
        <w:kinsoku/>
        <w:wordWrap/>
        <w:overflowPunct/>
        <w:topLinePunct w:val="0"/>
        <w:autoSpaceDE/>
        <w:autoSpaceDN/>
        <w:bidi w:val="0"/>
        <w:adjustRightInd/>
        <w:snapToGrid/>
        <w:ind w:firstLine="482" w:firstLineChars="200"/>
        <w:textAlignment w:val="auto"/>
        <w:rPr>
          <w:rFonts w:cs="Times New Roman"/>
          <w:color w:val="auto"/>
          <w:szCs w:val="24"/>
        </w:rPr>
      </w:pPr>
      <w:bookmarkStart w:id="282" w:name="_Toc6962"/>
      <w:bookmarkStart w:id="283" w:name="_Toc30869"/>
      <w:r>
        <w:rPr>
          <w:rFonts w:hint="eastAsia" w:cs="Times New Roman"/>
          <w:color w:val="auto"/>
          <w:szCs w:val="24"/>
          <w:lang w:val="en-US" w:eastAsia="zh-CN"/>
        </w:rPr>
        <w:t>6.4</w:t>
      </w:r>
      <w:r>
        <w:rPr>
          <w:rFonts w:cs="Times New Roman"/>
          <w:color w:val="auto"/>
          <w:szCs w:val="24"/>
        </w:rPr>
        <w:t>.5.3底栖动物调查方法</w:t>
      </w:r>
      <w:bookmarkEnd w:id="282"/>
      <w:bookmarkEnd w:id="283"/>
    </w:p>
    <w:p>
      <w:pPr>
        <w:spacing w:line="360" w:lineRule="auto"/>
        <w:ind w:firstLine="480" w:firstLineChars="200"/>
        <w:rPr>
          <w:rFonts w:ascii="Times New Roman" w:hAnsi="Times New Roman"/>
          <w:color w:val="auto"/>
          <w:sz w:val="24"/>
        </w:rPr>
      </w:pPr>
      <w:r>
        <w:rPr>
          <w:rFonts w:ascii="Times New Roman" w:hAnsi="Times New Roman"/>
          <w:color w:val="auto"/>
          <w:sz w:val="24"/>
        </w:rPr>
        <w:t>在采样点附近选取具有代表性的河滩，选取区域面积为1m</w:t>
      </w:r>
      <w:r>
        <w:rPr>
          <w:rFonts w:ascii="Times New Roman" w:hAnsi="Times New Roman"/>
          <w:color w:val="auto"/>
          <w:sz w:val="24"/>
          <w:vertAlign w:val="superscript"/>
        </w:rPr>
        <w:t>2</w:t>
      </w:r>
      <w:r>
        <w:rPr>
          <w:rFonts w:ascii="Times New Roman" w:hAnsi="Times New Roman"/>
          <w:color w:val="auto"/>
          <w:sz w:val="24"/>
        </w:rPr>
        <w:t>，将此1m</w:t>
      </w:r>
      <w:r>
        <w:rPr>
          <w:rFonts w:ascii="Times New Roman" w:hAnsi="Times New Roman"/>
          <w:color w:val="auto"/>
          <w:sz w:val="24"/>
          <w:vertAlign w:val="superscript"/>
        </w:rPr>
        <w:t>2</w:t>
      </w:r>
      <w:r>
        <w:rPr>
          <w:rFonts w:ascii="Times New Roman" w:hAnsi="Times New Roman"/>
          <w:color w:val="auto"/>
          <w:sz w:val="24"/>
        </w:rPr>
        <w:t>内的石块捡出，用镊子夹取各种附着在石上的底栖动物，若底质为砂或泥则需用铁铲铲出泥沙，用40目分样筛小心淘洗和筛取出各类标本，如扁蜉等，放入编号瓶中用5%甲醛溶液固定保存。</w:t>
      </w:r>
    </w:p>
    <w:p>
      <w:pPr>
        <w:spacing w:line="360" w:lineRule="auto"/>
        <w:ind w:firstLine="480" w:firstLineChars="200"/>
        <w:rPr>
          <w:rFonts w:ascii="Times New Roman" w:hAnsi="Times New Roman"/>
          <w:color w:val="auto"/>
          <w:sz w:val="24"/>
        </w:rPr>
      </w:pPr>
      <w:r>
        <w:rPr>
          <w:rFonts w:ascii="Times New Roman" w:hAnsi="Times New Roman"/>
          <w:color w:val="auto"/>
          <w:sz w:val="24"/>
        </w:rPr>
        <w:t>将每个断面采集的底栖动物样品，按采集编号逐号进行整理，所采标本鉴定到属或种，再分种逐一进行种类数量统计，继用电子天平称重，称重前需将标本放到吸水纸上，吸去虫体表面的水分，称出每种的湿重量，再换算成以“m</w:t>
      </w:r>
      <w:r>
        <w:rPr>
          <w:rFonts w:ascii="Times New Roman" w:hAnsi="Times New Roman"/>
          <w:color w:val="auto"/>
          <w:sz w:val="24"/>
          <w:vertAlign w:val="superscript"/>
        </w:rPr>
        <w:t>2</w:t>
      </w:r>
      <w:r>
        <w:rPr>
          <w:rFonts w:ascii="Times New Roman" w:hAnsi="Times New Roman"/>
          <w:color w:val="auto"/>
          <w:sz w:val="24"/>
        </w:rPr>
        <w:t>”为单位的种类密度及生物量（湿重）。</w:t>
      </w:r>
    </w:p>
    <w:p>
      <w:pPr>
        <w:pStyle w:val="6"/>
        <w:keepNext/>
        <w:keepLines/>
        <w:pageBreakBefore w:val="0"/>
        <w:widowControl w:val="0"/>
        <w:numPr>
          <w:ilvl w:val="0"/>
          <w:numId w:val="0"/>
        </w:numPr>
        <w:kinsoku/>
        <w:wordWrap/>
        <w:overflowPunct/>
        <w:topLinePunct w:val="0"/>
        <w:autoSpaceDE/>
        <w:autoSpaceDN/>
        <w:bidi w:val="0"/>
        <w:adjustRightInd/>
        <w:snapToGrid/>
        <w:ind w:firstLine="482" w:firstLineChars="200"/>
        <w:textAlignment w:val="auto"/>
        <w:rPr>
          <w:rFonts w:cs="Times New Roman"/>
          <w:color w:val="auto"/>
          <w:szCs w:val="24"/>
        </w:rPr>
      </w:pPr>
      <w:bookmarkStart w:id="284" w:name="_Toc12706"/>
      <w:bookmarkStart w:id="285" w:name="_Toc16151"/>
      <w:r>
        <w:rPr>
          <w:rFonts w:hint="eastAsia" w:cs="Times New Roman"/>
          <w:color w:val="auto"/>
          <w:szCs w:val="24"/>
          <w:lang w:val="en-US" w:eastAsia="zh-CN"/>
        </w:rPr>
        <w:t>6.4.</w:t>
      </w:r>
      <w:r>
        <w:rPr>
          <w:rFonts w:cs="Times New Roman"/>
          <w:color w:val="auto"/>
          <w:szCs w:val="24"/>
        </w:rPr>
        <w:t>5.4鱼类调查方法</w:t>
      </w:r>
      <w:bookmarkEnd w:id="284"/>
      <w:bookmarkEnd w:id="28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sz w:val="24"/>
        </w:rPr>
      </w:pPr>
      <w:r>
        <w:rPr>
          <w:rFonts w:ascii="Times New Roman" w:hAnsi="Times New Roman"/>
          <w:color w:val="auto"/>
          <w:sz w:val="24"/>
        </w:rPr>
        <w:t>（一）鱼类的调查和采集</w:t>
      </w:r>
    </w:p>
    <w:p>
      <w:pPr>
        <w:spacing w:line="360" w:lineRule="auto"/>
        <w:ind w:firstLine="480" w:firstLineChars="200"/>
        <w:rPr>
          <w:rFonts w:ascii="Times New Roman" w:hAnsi="Times New Roman"/>
          <w:color w:val="auto"/>
          <w:sz w:val="24"/>
        </w:rPr>
      </w:pPr>
      <w:r>
        <w:rPr>
          <w:rFonts w:ascii="Times New Roman" w:hAnsi="Times New Roman"/>
          <w:color w:val="auto"/>
          <w:sz w:val="24"/>
        </w:rPr>
        <w:t>鱼类等是调查的重点对象，主要包括鱼类的种类组成、地理分布、产卵场、索饵场和越冬场以及当地的渔业资源现状等，并重点评估</w:t>
      </w:r>
      <w:r>
        <w:rPr>
          <w:rFonts w:hint="eastAsia" w:ascii="Times New Roman" w:hAnsi="Times New Roman"/>
          <w:color w:val="auto"/>
          <w:sz w:val="24"/>
          <w:lang w:val="en-US" w:eastAsia="zh-CN"/>
        </w:rPr>
        <w:t>本</w:t>
      </w:r>
      <w:r>
        <w:rPr>
          <w:rFonts w:ascii="Times New Roman" w:hAnsi="Times New Roman"/>
          <w:color w:val="auto"/>
          <w:sz w:val="24"/>
        </w:rPr>
        <w:t>工程对琼江鱼类的影响。</w:t>
      </w:r>
    </w:p>
    <w:p>
      <w:pPr>
        <w:spacing w:line="360" w:lineRule="auto"/>
        <w:ind w:firstLine="480" w:firstLineChars="200"/>
        <w:rPr>
          <w:rFonts w:ascii="Times New Roman" w:hAnsi="Times New Roman"/>
          <w:color w:val="auto"/>
          <w:sz w:val="24"/>
        </w:rPr>
      </w:pPr>
      <w:r>
        <w:rPr>
          <w:rFonts w:ascii="Times New Roman" w:hAnsi="Times New Roman"/>
          <w:color w:val="auto"/>
          <w:sz w:val="24"/>
        </w:rPr>
        <w:t>采用现场采集和走访调查相结合的方法，了解工程影响河段附近鱼类种类。通过访问当地的渔政部门、居民等渠道收集数据资料，了解鱼类多样性及资源状况。主要经济鱼类的“三场”分布主要通过实地调查，结合鱼类生物学特性和水文学特征，分析出鱼类“三场”分布情况。</w:t>
      </w:r>
    </w:p>
    <w:p>
      <w:pPr>
        <w:spacing w:line="360" w:lineRule="auto"/>
        <w:ind w:firstLine="480" w:firstLineChars="200"/>
        <w:rPr>
          <w:rFonts w:ascii="Times New Roman" w:hAnsi="Times New Roman"/>
          <w:color w:val="auto"/>
          <w:sz w:val="24"/>
        </w:rPr>
      </w:pPr>
      <w:r>
        <w:rPr>
          <w:rFonts w:ascii="Times New Roman" w:hAnsi="Times New Roman"/>
          <w:color w:val="auto"/>
          <w:sz w:val="24"/>
        </w:rPr>
        <w:t>（二）内业分析</w:t>
      </w:r>
    </w:p>
    <w:p>
      <w:pPr>
        <w:spacing w:line="360" w:lineRule="auto"/>
        <w:ind w:firstLine="480" w:firstLineChars="200"/>
        <w:rPr>
          <w:rFonts w:ascii="Times New Roman" w:hAnsi="Times New Roman"/>
          <w:color w:val="auto"/>
          <w:sz w:val="24"/>
        </w:rPr>
      </w:pPr>
      <w:r>
        <w:rPr>
          <w:rFonts w:ascii="Times New Roman" w:hAnsi="Times New Roman"/>
          <w:color w:val="auto"/>
          <w:sz w:val="24"/>
        </w:rPr>
        <w:t>在实验室对采集到的样品进行确认和资料整理，根据所取得的调查数据和文献资料进行报告编写。内业分析工作主要包括以下方面：</w:t>
      </w:r>
    </w:p>
    <w:p>
      <w:pPr>
        <w:spacing w:line="360" w:lineRule="auto"/>
        <w:ind w:firstLine="480" w:firstLineChars="200"/>
        <w:rPr>
          <w:rFonts w:ascii="Times New Roman" w:hAnsi="Times New Roman"/>
          <w:color w:val="auto"/>
          <w:sz w:val="24"/>
        </w:rPr>
      </w:pPr>
      <w:r>
        <w:rPr>
          <w:rFonts w:ascii="Times New Roman" w:hAnsi="Times New Roman"/>
          <w:color w:val="auto"/>
          <w:sz w:val="24"/>
        </w:rPr>
        <w:t>（1）鉴定渔获物种类、查阅有关文献资源，摸清工程影响区鱼类的现状。</w:t>
      </w:r>
    </w:p>
    <w:p>
      <w:pPr>
        <w:spacing w:line="360" w:lineRule="auto"/>
        <w:ind w:firstLine="480" w:firstLineChars="200"/>
        <w:rPr>
          <w:rFonts w:ascii="Times New Roman" w:hAnsi="Times New Roman"/>
          <w:color w:val="auto"/>
          <w:sz w:val="24"/>
        </w:rPr>
      </w:pPr>
      <w:r>
        <w:rPr>
          <w:rFonts w:ascii="Times New Roman" w:hAnsi="Times New Roman"/>
          <w:color w:val="auto"/>
          <w:sz w:val="24"/>
        </w:rPr>
        <w:t>（2）统计鱼类的结构组成，分析资源现状。</w:t>
      </w:r>
    </w:p>
    <w:p>
      <w:pPr>
        <w:spacing w:line="360" w:lineRule="auto"/>
        <w:ind w:firstLine="480" w:firstLineChars="200"/>
        <w:rPr>
          <w:rFonts w:ascii="Times New Roman" w:hAnsi="Times New Roman"/>
          <w:color w:val="auto"/>
          <w:sz w:val="24"/>
        </w:rPr>
      </w:pPr>
      <w:r>
        <w:rPr>
          <w:rFonts w:ascii="Times New Roman" w:hAnsi="Times New Roman"/>
          <w:color w:val="auto"/>
          <w:sz w:val="24"/>
        </w:rPr>
        <w:t>（3）根据工程基本情况及运行特点和工程与周围环境的关系以及调查结果，综合分析</w:t>
      </w:r>
      <w:r>
        <w:rPr>
          <w:rFonts w:hint="eastAsia" w:ascii="Times New Roman" w:hAnsi="Times New Roman"/>
          <w:color w:val="auto"/>
          <w:sz w:val="24"/>
          <w:lang w:val="en-US" w:eastAsia="zh-CN"/>
        </w:rPr>
        <w:t>本</w:t>
      </w:r>
      <w:r>
        <w:rPr>
          <w:rFonts w:ascii="Times New Roman" w:hAnsi="Times New Roman"/>
          <w:color w:val="auto"/>
          <w:sz w:val="24"/>
        </w:rPr>
        <w:t>工程对鱼类的影响程度，提出针对性措施和建议。</w:t>
      </w:r>
    </w:p>
    <w:p>
      <w:pPr>
        <w:pStyle w:val="4"/>
        <w:spacing w:before="120" w:after="120"/>
        <w:rPr>
          <w:color w:val="auto"/>
          <w:sz w:val="24"/>
          <w:szCs w:val="24"/>
          <w:lang w:val="en-US"/>
        </w:rPr>
      </w:pPr>
      <w:bookmarkStart w:id="286" w:name="_Toc938"/>
      <w:bookmarkStart w:id="287" w:name="_Toc15106"/>
      <w:bookmarkStart w:id="288" w:name="_Toc14046"/>
      <w:bookmarkStart w:id="289" w:name="_Toc16588"/>
      <w:bookmarkStart w:id="290" w:name="_Toc24676"/>
      <w:r>
        <w:rPr>
          <w:color w:val="auto"/>
          <w:sz w:val="24"/>
          <w:szCs w:val="24"/>
          <w:lang w:val="en-US"/>
        </w:rPr>
        <w:t>水生生物资源现状</w:t>
      </w:r>
      <w:bookmarkEnd w:id="286"/>
      <w:bookmarkEnd w:id="287"/>
      <w:bookmarkEnd w:id="288"/>
      <w:bookmarkEnd w:id="289"/>
      <w:bookmarkEnd w:id="290"/>
    </w:p>
    <w:p>
      <w:pPr>
        <w:pStyle w:val="5"/>
        <w:rPr>
          <w:color w:val="auto"/>
          <w:lang w:val="en-US"/>
        </w:rPr>
      </w:pPr>
      <w:bookmarkStart w:id="291" w:name="_Toc17849"/>
      <w:bookmarkStart w:id="292" w:name="_Toc28377"/>
      <w:bookmarkStart w:id="293" w:name="_Toc28048"/>
      <w:bookmarkStart w:id="294" w:name="_Toc14004"/>
      <w:bookmarkStart w:id="295" w:name="_Toc12213"/>
      <w:r>
        <w:rPr>
          <w:color w:val="auto"/>
          <w:lang w:val="en-US"/>
        </w:rPr>
        <w:t>浮游植物</w:t>
      </w:r>
      <w:bookmarkEnd w:id="291"/>
      <w:bookmarkEnd w:id="292"/>
      <w:bookmarkEnd w:id="293"/>
      <w:bookmarkEnd w:id="294"/>
      <w:bookmarkEnd w:id="295"/>
    </w:p>
    <w:p>
      <w:pPr>
        <w:spacing w:line="360" w:lineRule="auto"/>
        <w:ind w:firstLine="480" w:firstLineChars="200"/>
        <w:rPr>
          <w:rFonts w:ascii="Times New Roman" w:hAnsi="Times New Roman"/>
          <w:color w:val="auto"/>
          <w:sz w:val="24"/>
        </w:rPr>
      </w:pPr>
      <w:r>
        <w:rPr>
          <w:rFonts w:ascii="Times New Roman" w:hAnsi="Times New Roman"/>
          <w:color w:val="auto"/>
          <w:sz w:val="24"/>
        </w:rPr>
        <w:t>浮游植物（Phytoplankton）是指在水域中能自由悬浮生活的微小植物，通常指的是浮游植物，而不包括细菌和其它植物。在水库生态系统中，浮游植物主要包括蓝藻门（Cyanophyta）、绿藻门（Chlorophyta）、硅藻门（Bacillariophyta）、隐藻门（Cryptophyta）、裸藻门（Euglenophyta）、甲藻门（Cyanophyta）、金藻门（Chrysophyta）和黄藻门（Xanthophyta）等八门。浮游植物作为水体初级生产力最主要的组成部分，是鱼苗和成鱼的天然饵料，在营养结构中起着重要的作用。有些藻类可以直接用作环境监测的指示生物，而且相对于理化条件而言，其密度、生物量、种类组成和多样性能更好地反应出水体的营养水平。</w:t>
      </w:r>
    </w:p>
    <w:p>
      <w:pPr>
        <w:spacing w:line="360" w:lineRule="auto"/>
        <w:ind w:firstLine="480" w:firstLineChars="200"/>
        <w:rPr>
          <w:rFonts w:ascii="Times New Roman" w:hAnsi="Times New Roman"/>
          <w:color w:val="auto"/>
          <w:sz w:val="24"/>
        </w:rPr>
      </w:pPr>
      <w:r>
        <w:rPr>
          <w:rFonts w:ascii="Times New Roman" w:hAnsi="Times New Roman"/>
          <w:color w:val="auto"/>
          <w:sz w:val="24"/>
        </w:rPr>
        <w:t>浮游植物是水体初级生产力最主要的组成部分，是食物链和营养结构的基础环节；也是鱼苗和部分成鱼的天然饵料。有些藻类可以直接用作环境监测的指示生物，而且相对于理化条件而言，其密度、生物量、种类组成和多样性能更好地反映出水体的营养水平。</w:t>
      </w:r>
    </w:p>
    <w:p>
      <w:pPr>
        <w:pStyle w:val="6"/>
        <w:rPr>
          <w:rFonts w:cs="Times New Roman"/>
          <w:color w:val="auto"/>
          <w:szCs w:val="24"/>
        </w:rPr>
      </w:pPr>
      <w:bookmarkStart w:id="296" w:name="_Toc25101"/>
      <w:bookmarkStart w:id="297" w:name="_Toc14349"/>
      <w:r>
        <w:rPr>
          <w:rFonts w:cs="Times New Roman"/>
          <w:color w:val="auto"/>
          <w:szCs w:val="24"/>
        </w:rPr>
        <w:t>浮游植物的种类组成</w:t>
      </w:r>
      <w:bookmarkEnd w:id="296"/>
      <w:bookmarkEnd w:id="297"/>
    </w:p>
    <w:p>
      <w:pPr>
        <w:spacing w:line="360" w:lineRule="auto"/>
        <w:ind w:firstLine="480" w:firstLineChars="200"/>
        <w:rPr>
          <w:color w:val="auto"/>
          <w:sz w:val="24"/>
        </w:rPr>
      </w:pPr>
      <w:r>
        <w:rPr>
          <w:color w:val="auto"/>
          <w:sz w:val="24"/>
          <w:highlight w:val="none"/>
        </w:rPr>
        <w:t>通过对3个采集地的水样分析中，共观察到浮游植物4门</w:t>
      </w:r>
      <w:r>
        <w:rPr>
          <w:rFonts w:hint="eastAsia"/>
          <w:color w:val="auto"/>
          <w:sz w:val="24"/>
          <w:highlight w:val="none"/>
          <w:lang w:val="en-US" w:eastAsia="zh-CN"/>
        </w:rPr>
        <w:t>20</w:t>
      </w:r>
      <w:r>
        <w:rPr>
          <w:color w:val="auto"/>
          <w:sz w:val="24"/>
          <w:highlight w:val="none"/>
        </w:rPr>
        <w:t>科2</w:t>
      </w:r>
      <w:r>
        <w:rPr>
          <w:rFonts w:hint="eastAsia"/>
          <w:color w:val="auto"/>
          <w:sz w:val="24"/>
          <w:highlight w:val="none"/>
          <w:lang w:val="en-US" w:eastAsia="zh-CN"/>
        </w:rPr>
        <w:t>3</w:t>
      </w:r>
      <w:r>
        <w:rPr>
          <w:color w:val="auto"/>
          <w:sz w:val="24"/>
          <w:highlight w:val="none"/>
        </w:rPr>
        <w:t>属</w:t>
      </w:r>
      <w:r>
        <w:rPr>
          <w:rFonts w:hint="eastAsia"/>
          <w:color w:val="auto"/>
          <w:sz w:val="24"/>
          <w:highlight w:val="none"/>
          <w:lang w:val="en-US" w:eastAsia="zh-CN"/>
        </w:rPr>
        <w:t>68</w:t>
      </w:r>
      <w:r>
        <w:rPr>
          <w:color w:val="auto"/>
          <w:sz w:val="24"/>
          <w:highlight w:val="none"/>
        </w:rPr>
        <w:t>种。其中硅藻门最多</w:t>
      </w:r>
      <w:r>
        <w:rPr>
          <w:rFonts w:hint="eastAsia"/>
          <w:color w:val="auto"/>
          <w:sz w:val="24"/>
          <w:highlight w:val="none"/>
          <w:lang w:eastAsia="zh-CN"/>
        </w:rPr>
        <w:t>，</w:t>
      </w:r>
      <w:r>
        <w:rPr>
          <w:color w:val="auto"/>
          <w:sz w:val="24"/>
          <w:highlight w:val="none"/>
        </w:rPr>
        <w:t>有</w:t>
      </w:r>
      <w:r>
        <w:rPr>
          <w:rFonts w:hint="eastAsia"/>
          <w:color w:val="auto"/>
          <w:sz w:val="24"/>
          <w:highlight w:val="none"/>
          <w:lang w:val="en-US" w:eastAsia="zh-CN"/>
        </w:rPr>
        <w:t>4</w:t>
      </w:r>
      <w:r>
        <w:rPr>
          <w:color w:val="auto"/>
          <w:sz w:val="24"/>
          <w:highlight w:val="none"/>
        </w:rPr>
        <w:t>8种，占种类总数的</w:t>
      </w:r>
      <w:r>
        <w:rPr>
          <w:rFonts w:hint="eastAsia"/>
          <w:color w:val="auto"/>
          <w:sz w:val="24"/>
          <w:highlight w:val="none"/>
          <w:lang w:val="en-US" w:eastAsia="zh-CN"/>
        </w:rPr>
        <w:t>70.59</w:t>
      </w:r>
      <w:r>
        <w:rPr>
          <w:color w:val="auto"/>
          <w:sz w:val="24"/>
          <w:highlight w:val="none"/>
        </w:rPr>
        <w:t>%；绿藻门</w:t>
      </w:r>
      <w:r>
        <w:rPr>
          <w:rFonts w:hint="eastAsia"/>
          <w:color w:val="auto"/>
          <w:sz w:val="24"/>
          <w:highlight w:val="none"/>
          <w:lang w:val="en-US" w:eastAsia="zh-CN"/>
        </w:rPr>
        <w:t>11</w:t>
      </w:r>
      <w:r>
        <w:rPr>
          <w:color w:val="auto"/>
          <w:sz w:val="24"/>
          <w:highlight w:val="none"/>
        </w:rPr>
        <w:t>种，占种类总数的1</w:t>
      </w:r>
      <w:r>
        <w:rPr>
          <w:rFonts w:hint="eastAsia"/>
          <w:color w:val="auto"/>
          <w:sz w:val="24"/>
          <w:highlight w:val="none"/>
          <w:lang w:val="en-US" w:eastAsia="zh-CN"/>
        </w:rPr>
        <w:t>6.18</w:t>
      </w:r>
      <w:r>
        <w:rPr>
          <w:color w:val="auto"/>
          <w:sz w:val="24"/>
          <w:highlight w:val="none"/>
        </w:rPr>
        <w:t>%；蓝藻门6种，占种类总数的</w:t>
      </w:r>
      <w:r>
        <w:rPr>
          <w:rFonts w:hint="eastAsia"/>
          <w:color w:val="auto"/>
          <w:sz w:val="24"/>
          <w:highlight w:val="none"/>
          <w:lang w:val="en-US" w:eastAsia="zh-CN"/>
        </w:rPr>
        <w:t>8.82</w:t>
      </w:r>
      <w:r>
        <w:rPr>
          <w:color w:val="auto"/>
          <w:sz w:val="24"/>
          <w:highlight w:val="none"/>
        </w:rPr>
        <w:t>%；黄藻门</w:t>
      </w:r>
      <w:r>
        <w:rPr>
          <w:rFonts w:hint="eastAsia"/>
          <w:color w:val="auto"/>
          <w:sz w:val="24"/>
          <w:highlight w:val="none"/>
          <w:lang w:val="en-US" w:eastAsia="zh-CN"/>
        </w:rPr>
        <w:t>3</w:t>
      </w:r>
      <w:r>
        <w:rPr>
          <w:color w:val="auto"/>
          <w:sz w:val="24"/>
          <w:highlight w:val="none"/>
        </w:rPr>
        <w:t>种，占种类总数的</w:t>
      </w:r>
      <w:r>
        <w:rPr>
          <w:rFonts w:hint="eastAsia"/>
          <w:color w:val="auto"/>
          <w:sz w:val="24"/>
          <w:highlight w:val="none"/>
          <w:lang w:val="en-US" w:eastAsia="zh-CN"/>
        </w:rPr>
        <w:t>4.41</w:t>
      </w:r>
      <w:r>
        <w:rPr>
          <w:color w:val="auto"/>
          <w:sz w:val="24"/>
          <w:highlight w:val="none"/>
        </w:rPr>
        <w:t>%。</w:t>
      </w:r>
    </w:p>
    <w:p>
      <w:pPr>
        <w:pStyle w:val="6"/>
        <w:rPr>
          <w:rFonts w:cs="Times New Roman"/>
          <w:color w:val="auto"/>
        </w:rPr>
      </w:pPr>
      <w:bookmarkStart w:id="298" w:name="_Toc15183"/>
      <w:r>
        <w:rPr>
          <w:rFonts w:cs="Times New Roman"/>
          <w:color w:val="auto"/>
        </w:rPr>
        <w:t>浮游植物密度和生物量</w:t>
      </w:r>
      <w:bookmarkEnd w:id="298"/>
    </w:p>
    <w:p>
      <w:pPr>
        <w:widowControl/>
        <w:spacing w:line="360" w:lineRule="auto"/>
        <w:ind w:right="25" w:firstLine="480" w:firstLineChars="200"/>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3个采样断面水生浮游植物的平均密度为</w:t>
      </w:r>
      <w:r>
        <w:rPr>
          <w:rFonts w:hint="eastAsia" w:ascii="宋体" w:hAnsi="宋体" w:eastAsia="宋体" w:cs="宋体"/>
          <w:color w:val="auto"/>
          <w:sz w:val="24"/>
          <w:highlight w:val="none"/>
          <w:lang w:val="en-US" w:eastAsia="zh-CN"/>
        </w:rPr>
        <w:t>45763.6个</w:t>
      </w:r>
      <w:r>
        <w:rPr>
          <w:rFonts w:hint="eastAsia" w:ascii="宋体" w:hAnsi="宋体" w:eastAsia="宋体" w:cs="宋体"/>
          <w:color w:val="auto"/>
          <w:sz w:val="24"/>
          <w:highlight w:val="none"/>
        </w:rPr>
        <w:t>/L</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平均生物量（湿重）为0.4174mg/L。其中在琼江蟠龙河汇口采样点浮游植物密度和生物量高于其他采样点，保护区调查河段以硅藻门和绿藻门种类为主，这是由于工程河段下游有萝卜园水库，水流较为缓慢，以喜静水的种类和数量为主。</w:t>
      </w:r>
    </w:p>
    <w:p>
      <w:pPr>
        <w:pStyle w:val="6"/>
        <w:numPr>
          <w:ilvl w:val="3"/>
          <w:numId w:val="0"/>
        </w:numPr>
        <w:spacing w:before="0" w:after="0" w:line="360" w:lineRule="auto"/>
        <w:jc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表</w:t>
      </w:r>
      <w:r>
        <w:rPr>
          <w:rFonts w:hint="eastAsia" w:ascii="宋体" w:hAnsi="宋体" w:cs="宋体"/>
          <w:color w:val="auto"/>
          <w:sz w:val="21"/>
          <w:szCs w:val="21"/>
          <w:highlight w:val="none"/>
          <w:lang w:val="en-US" w:eastAsia="zh-CN"/>
        </w:rPr>
        <w:t xml:space="preserve">6-12 </w:t>
      </w:r>
      <w:r>
        <w:rPr>
          <w:rFonts w:hint="eastAsia" w:ascii="宋体" w:hAnsi="宋体" w:eastAsia="宋体" w:cs="宋体"/>
          <w:color w:val="auto"/>
          <w:sz w:val="21"/>
          <w:szCs w:val="21"/>
          <w:highlight w:val="none"/>
          <w:lang w:val="en-US" w:eastAsia="zh-CN"/>
        </w:rPr>
        <w:t>调查区域浮游植物密度和生物量情况</w:t>
      </w:r>
    </w:p>
    <w:tbl>
      <w:tblPr>
        <w:tblStyle w:val="40"/>
        <w:tblW w:w="8621" w:type="dxa"/>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217"/>
        <w:gridCol w:w="1175"/>
        <w:gridCol w:w="1245"/>
        <w:gridCol w:w="1245"/>
        <w:gridCol w:w="1245"/>
        <w:gridCol w:w="1245"/>
        <w:gridCol w:w="124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2392" w:type="dxa"/>
            <w:gridSpan w:val="2"/>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监测点</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硅藻门</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绿藻门</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蓝藻门</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黄藻门</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合计</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restart"/>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白安河大桥</w:t>
            </w:r>
          </w:p>
        </w:tc>
        <w:tc>
          <w:tcPr>
            <w:tcW w:w="117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密度</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25143</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12382</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5317</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3218</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46060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continue"/>
            <w:tcBorders>
              <w:tl2br w:val="nil"/>
              <w:tr2bl w:val="nil"/>
            </w:tcBorders>
            <w:noWrap w:val="0"/>
            <w:vAlign w:val="top"/>
          </w:tcPr>
          <w:p>
            <w:pPr>
              <w:jc w:val="center"/>
              <w:rPr>
                <w:rFonts w:hint="eastAsia" w:ascii="宋体" w:hAnsi="宋体" w:eastAsia="宋体" w:cs="宋体"/>
                <w:vertAlign w:val="baseline"/>
                <w:lang w:val="en-US" w:eastAsia="zh-CN"/>
              </w:rPr>
            </w:pPr>
          </w:p>
        </w:tc>
        <w:tc>
          <w:tcPr>
            <w:tcW w:w="117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生物量</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0.2621</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0.1204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0.0264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0.0048</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0.4137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restart"/>
            <w:tcBorders>
              <w:tl2br w:val="nil"/>
              <w:tr2bl w:val="nil"/>
            </w:tcBorders>
            <w:noWrap w:val="0"/>
            <w:vAlign w:val="center"/>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双河</w:t>
            </w:r>
          </w:p>
        </w:tc>
        <w:tc>
          <w:tcPr>
            <w:tcW w:w="1175" w:type="dxa"/>
            <w:tcBorders>
              <w:tl2br w:val="nil"/>
              <w:tr2bl w:val="nil"/>
            </w:tcBorders>
            <w:noWrap w:val="0"/>
            <w:vAlign w:val="top"/>
          </w:tcPr>
          <w:p>
            <w:pPr>
              <w:jc w:val="center"/>
              <w:rPr>
                <w:rFonts w:hint="eastAsia" w:ascii="宋体" w:hAnsi="宋体" w:eastAsia="宋体" w:cs="宋体"/>
                <w:kern w:val="2"/>
                <w:sz w:val="21"/>
                <w:szCs w:val="24"/>
                <w:vertAlign w:val="baseline"/>
                <w:lang w:val="en-US" w:eastAsia="zh-CN" w:bidi="ar-SA"/>
              </w:rPr>
            </w:pPr>
            <w:r>
              <w:rPr>
                <w:rFonts w:hint="eastAsia" w:ascii="宋体" w:hAnsi="宋体" w:eastAsia="宋体" w:cs="宋体"/>
                <w:vertAlign w:val="baseline"/>
                <w:lang w:val="en-US" w:eastAsia="zh-CN"/>
              </w:rPr>
              <w:t>密度</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21350</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11242</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3624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2841</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39057</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continue"/>
            <w:tcBorders>
              <w:tl2br w:val="nil"/>
              <w:tr2bl w:val="nil"/>
            </w:tcBorders>
            <w:noWrap w:val="0"/>
            <w:vAlign w:val="top"/>
          </w:tcPr>
          <w:p>
            <w:pPr>
              <w:jc w:val="center"/>
              <w:rPr>
                <w:rFonts w:hint="eastAsia" w:ascii="宋体" w:hAnsi="宋体" w:eastAsia="宋体" w:cs="宋体"/>
                <w:vertAlign w:val="baseline"/>
                <w:lang w:val="en-US" w:eastAsia="zh-CN"/>
              </w:rPr>
            </w:pPr>
          </w:p>
        </w:tc>
        <w:tc>
          <w:tcPr>
            <w:tcW w:w="1175" w:type="dxa"/>
            <w:tcBorders>
              <w:tl2br w:val="nil"/>
              <w:tr2bl w:val="nil"/>
            </w:tcBorders>
            <w:noWrap w:val="0"/>
            <w:vAlign w:val="top"/>
          </w:tcPr>
          <w:p>
            <w:pPr>
              <w:jc w:val="center"/>
              <w:rPr>
                <w:rFonts w:hint="eastAsia" w:ascii="宋体" w:hAnsi="宋体" w:eastAsia="宋体" w:cs="宋体"/>
                <w:kern w:val="2"/>
                <w:sz w:val="21"/>
                <w:szCs w:val="24"/>
                <w:vertAlign w:val="baseline"/>
                <w:lang w:val="en-US" w:eastAsia="zh-CN" w:bidi="ar-SA"/>
              </w:rPr>
            </w:pPr>
            <w:r>
              <w:rPr>
                <w:rFonts w:hint="eastAsia" w:ascii="宋体" w:hAnsi="宋体" w:eastAsia="宋体" w:cs="宋体"/>
                <w:vertAlign w:val="baseline"/>
                <w:lang w:val="en-US" w:eastAsia="zh-CN"/>
              </w:rPr>
              <w:t>生物量</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0.1862</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0.113</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0.0275</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0.0029</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0.3296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restart"/>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琼江蟠龙河汇口</w:t>
            </w:r>
          </w:p>
        </w:tc>
        <w:tc>
          <w:tcPr>
            <w:tcW w:w="1175" w:type="dxa"/>
            <w:tcBorders>
              <w:tl2br w:val="nil"/>
              <w:tr2bl w:val="nil"/>
            </w:tcBorders>
            <w:noWrap w:val="0"/>
            <w:vAlign w:val="top"/>
          </w:tcPr>
          <w:p>
            <w:pPr>
              <w:jc w:val="center"/>
              <w:rPr>
                <w:rFonts w:hint="eastAsia" w:ascii="宋体" w:hAnsi="宋体" w:eastAsia="宋体" w:cs="宋体"/>
                <w:kern w:val="2"/>
                <w:sz w:val="21"/>
                <w:szCs w:val="24"/>
                <w:vertAlign w:val="baseline"/>
                <w:lang w:val="en-US" w:eastAsia="zh-CN" w:bidi="ar-SA"/>
              </w:rPr>
            </w:pPr>
            <w:r>
              <w:rPr>
                <w:rFonts w:hint="eastAsia" w:ascii="宋体" w:hAnsi="宋体" w:eastAsia="宋体" w:cs="宋体"/>
                <w:vertAlign w:val="baseline"/>
                <w:lang w:val="en-US" w:eastAsia="zh-CN"/>
              </w:rPr>
              <w:t>密度</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26831</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16241</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6428</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2674</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52174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217" w:type="dxa"/>
            <w:vMerge w:val="continue"/>
            <w:tcBorders>
              <w:tl2br w:val="nil"/>
              <w:tr2bl w:val="nil"/>
            </w:tcBorders>
            <w:noWrap w:val="0"/>
            <w:vAlign w:val="top"/>
          </w:tcPr>
          <w:p>
            <w:pPr>
              <w:jc w:val="center"/>
              <w:rPr>
                <w:rFonts w:hint="eastAsia" w:ascii="宋体" w:hAnsi="宋体" w:eastAsia="宋体" w:cs="宋体"/>
                <w:vertAlign w:val="baseline"/>
                <w:lang w:val="en-US" w:eastAsia="zh-CN"/>
              </w:rPr>
            </w:pPr>
          </w:p>
        </w:tc>
        <w:tc>
          <w:tcPr>
            <w:tcW w:w="1175" w:type="dxa"/>
            <w:tcBorders>
              <w:tl2br w:val="nil"/>
              <w:tr2bl w:val="nil"/>
            </w:tcBorders>
            <w:noWrap w:val="0"/>
            <w:vAlign w:val="top"/>
          </w:tcPr>
          <w:p>
            <w:pPr>
              <w:jc w:val="center"/>
              <w:rPr>
                <w:rFonts w:hint="eastAsia" w:ascii="宋体" w:hAnsi="宋体" w:eastAsia="宋体" w:cs="宋体"/>
                <w:kern w:val="2"/>
                <w:sz w:val="21"/>
                <w:szCs w:val="24"/>
                <w:vertAlign w:val="baseline"/>
                <w:lang w:val="en-US" w:eastAsia="zh-CN" w:bidi="ar-SA"/>
              </w:rPr>
            </w:pPr>
            <w:r>
              <w:rPr>
                <w:rFonts w:hint="eastAsia" w:ascii="宋体" w:hAnsi="宋体" w:eastAsia="宋体" w:cs="宋体"/>
                <w:vertAlign w:val="baseline"/>
                <w:lang w:val="en-US" w:eastAsia="zh-CN"/>
              </w:rPr>
              <w:t>生物量</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0.2964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0.1264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0.0754</w:t>
            </w:r>
          </w:p>
        </w:tc>
        <w:tc>
          <w:tcPr>
            <w:tcW w:w="1245"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0.0107</w:t>
            </w:r>
          </w:p>
        </w:tc>
        <w:tc>
          <w:tcPr>
            <w:tcW w:w="1249" w:type="dxa"/>
            <w:tcBorders>
              <w:tl2br w:val="nil"/>
              <w:tr2bl w:val="nil"/>
            </w:tcBorders>
            <w:noWrap w:val="0"/>
            <w:vAlign w:val="top"/>
          </w:tcPr>
          <w:p>
            <w:pPr>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0.5089</w:t>
            </w:r>
          </w:p>
        </w:tc>
      </w:tr>
    </w:tbl>
    <w:p/>
    <w:p>
      <w:pPr>
        <w:pStyle w:val="5"/>
        <w:rPr>
          <w:color w:val="auto"/>
        </w:rPr>
      </w:pPr>
      <w:bookmarkStart w:id="299" w:name="_Toc309764504"/>
      <w:bookmarkStart w:id="300" w:name="_Toc16307"/>
      <w:bookmarkStart w:id="301" w:name="_Toc16873"/>
      <w:bookmarkStart w:id="302" w:name="_Toc434826335"/>
      <w:bookmarkStart w:id="303" w:name="_Toc2357"/>
      <w:bookmarkStart w:id="304" w:name="_Toc7484"/>
      <w:bookmarkStart w:id="305" w:name="_Toc371240478"/>
      <w:bookmarkStart w:id="306" w:name="_Toc516476712"/>
      <w:bookmarkStart w:id="307" w:name="_Toc373835616"/>
      <w:bookmarkStart w:id="308" w:name="_Toc10583"/>
      <w:r>
        <w:rPr>
          <w:color w:val="auto"/>
        </w:rPr>
        <w:t>浮游动物</w:t>
      </w:r>
      <w:bookmarkEnd w:id="299"/>
      <w:bookmarkEnd w:id="300"/>
      <w:bookmarkEnd w:id="301"/>
      <w:bookmarkEnd w:id="302"/>
      <w:bookmarkEnd w:id="303"/>
      <w:bookmarkEnd w:id="304"/>
      <w:bookmarkEnd w:id="305"/>
      <w:bookmarkEnd w:id="306"/>
      <w:bookmarkEnd w:id="307"/>
      <w:bookmarkEnd w:id="308"/>
    </w:p>
    <w:p>
      <w:pPr>
        <w:spacing w:line="360" w:lineRule="auto"/>
        <w:ind w:firstLine="480" w:firstLineChars="200"/>
        <w:rPr>
          <w:rFonts w:ascii="Times New Roman" w:hAnsi="Times New Roman"/>
          <w:color w:val="auto"/>
          <w:sz w:val="24"/>
        </w:rPr>
      </w:pPr>
      <w:r>
        <w:rPr>
          <w:rFonts w:ascii="Times New Roman" w:hAnsi="Times New Roman"/>
          <w:color w:val="auto"/>
          <w:sz w:val="24"/>
        </w:rPr>
        <w:t>浮游动物（Zooplankton）是指悬浮于水中的水生动物，它们或者完全没有游泳能力，或者游泳能力微弱，不能作远距离移动，也不足以抵抗水的流动力。浮游动物是一个复杂的生态类群，包含无脊椎动物的大部分门类。在淡水水体中研究最多的是原生动物（protozoan）、轮虫（rotifer）、枝角类（cladocera）和桡足类（copepod）四大类。</w:t>
      </w:r>
    </w:p>
    <w:p>
      <w:pPr>
        <w:pStyle w:val="6"/>
        <w:rPr>
          <w:rFonts w:hint="eastAsia" w:cs="Times New Roman"/>
          <w:color w:val="auto"/>
          <w:szCs w:val="24"/>
        </w:rPr>
      </w:pPr>
      <w:bookmarkStart w:id="309" w:name="_Toc18667"/>
      <w:bookmarkStart w:id="310" w:name="_Toc26832"/>
      <w:r>
        <w:rPr>
          <w:rFonts w:hint="eastAsia" w:cs="Times New Roman"/>
          <w:color w:val="auto"/>
          <w:szCs w:val="24"/>
        </w:rPr>
        <w:t>浮游动物的种类组成</w:t>
      </w:r>
      <w:bookmarkEnd w:id="309"/>
      <w:bookmarkEnd w:id="310"/>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通过现场采样和室内鉴定，工程影响河段浮游动物共有4大类1</w:t>
      </w:r>
      <w:r>
        <w:rPr>
          <w:rFonts w:hint="eastAsia" w:ascii="宋体" w:hAnsi="宋体" w:cs="宋体"/>
          <w:color w:val="auto"/>
          <w:sz w:val="24"/>
          <w:lang w:val="en-US" w:eastAsia="zh-CN"/>
        </w:rPr>
        <w:t>8</w:t>
      </w:r>
      <w:r>
        <w:rPr>
          <w:rFonts w:hint="eastAsia" w:ascii="宋体" w:hAnsi="宋体" w:eastAsia="宋体" w:cs="宋体"/>
          <w:color w:val="auto"/>
          <w:sz w:val="24"/>
        </w:rPr>
        <w:t>种，</w:t>
      </w:r>
      <w:r>
        <w:rPr>
          <w:rFonts w:hint="eastAsia" w:ascii="宋体" w:hAnsi="宋体" w:eastAsia="宋体" w:cs="宋体"/>
          <w:color w:val="auto"/>
          <w:sz w:val="24"/>
          <w:highlight w:val="none"/>
        </w:rPr>
        <w:t>其中原生动物</w:t>
      </w:r>
      <w:r>
        <w:rPr>
          <w:rFonts w:hint="eastAsia" w:ascii="宋体" w:hAnsi="宋体" w:cs="宋体"/>
          <w:color w:val="auto"/>
          <w:sz w:val="24"/>
          <w:highlight w:val="none"/>
          <w:lang w:val="en-US" w:eastAsia="zh-CN"/>
        </w:rPr>
        <w:t>4</w:t>
      </w:r>
      <w:r>
        <w:rPr>
          <w:rFonts w:hint="eastAsia" w:ascii="宋体" w:hAnsi="宋体" w:eastAsia="宋体" w:cs="宋体"/>
          <w:color w:val="auto"/>
          <w:sz w:val="24"/>
          <w:highlight w:val="none"/>
        </w:rPr>
        <w:t>种，占总数的</w:t>
      </w:r>
      <w:r>
        <w:rPr>
          <w:rFonts w:hint="eastAsia" w:ascii="宋体" w:hAnsi="宋体" w:cs="宋体"/>
          <w:color w:val="auto"/>
          <w:sz w:val="24"/>
          <w:highlight w:val="none"/>
          <w:lang w:val="en-US" w:eastAsia="zh-CN"/>
        </w:rPr>
        <w:t>22.22</w:t>
      </w:r>
      <w:r>
        <w:rPr>
          <w:rFonts w:hint="eastAsia" w:ascii="宋体" w:hAnsi="宋体" w:eastAsia="宋体" w:cs="宋体"/>
          <w:color w:val="auto"/>
          <w:sz w:val="24"/>
          <w:highlight w:val="none"/>
        </w:rPr>
        <w:t>%；轮虫</w:t>
      </w:r>
      <w:r>
        <w:rPr>
          <w:rFonts w:hint="eastAsia" w:ascii="宋体" w:hAnsi="宋体" w:cs="宋体"/>
          <w:color w:val="auto"/>
          <w:sz w:val="24"/>
          <w:highlight w:val="none"/>
          <w:lang w:val="en-US" w:eastAsia="zh-CN"/>
        </w:rPr>
        <w:t>7</w:t>
      </w:r>
      <w:r>
        <w:rPr>
          <w:rFonts w:hint="eastAsia" w:ascii="宋体" w:hAnsi="宋体" w:eastAsia="宋体" w:cs="宋体"/>
          <w:color w:val="auto"/>
          <w:sz w:val="24"/>
          <w:highlight w:val="none"/>
        </w:rPr>
        <w:t>种，占总数的3</w:t>
      </w:r>
      <w:r>
        <w:rPr>
          <w:rFonts w:hint="eastAsia" w:ascii="宋体" w:hAnsi="宋体" w:cs="宋体"/>
          <w:color w:val="auto"/>
          <w:sz w:val="24"/>
          <w:highlight w:val="none"/>
          <w:lang w:val="en-US" w:eastAsia="zh-CN"/>
        </w:rPr>
        <w:t>8.89</w:t>
      </w:r>
      <w:r>
        <w:rPr>
          <w:rFonts w:hint="eastAsia" w:ascii="宋体" w:hAnsi="宋体" w:eastAsia="宋体" w:cs="宋体"/>
          <w:color w:val="auto"/>
          <w:sz w:val="24"/>
          <w:highlight w:val="none"/>
        </w:rPr>
        <w:t>%；枝角类</w:t>
      </w:r>
      <w:r>
        <w:rPr>
          <w:rFonts w:hint="eastAsia" w:ascii="宋体" w:hAnsi="宋体" w:eastAsia="宋体" w:cs="宋体"/>
          <w:color w:val="auto"/>
          <w:sz w:val="24"/>
          <w:highlight w:val="none"/>
          <w:lang w:val="en-US" w:eastAsia="zh-CN"/>
        </w:rPr>
        <w:t>5</w:t>
      </w:r>
      <w:r>
        <w:rPr>
          <w:rFonts w:hint="eastAsia" w:ascii="宋体" w:hAnsi="宋体" w:eastAsia="宋体" w:cs="宋体"/>
          <w:color w:val="auto"/>
          <w:sz w:val="24"/>
          <w:highlight w:val="none"/>
        </w:rPr>
        <w:t>种，占总数的</w:t>
      </w:r>
      <w:r>
        <w:rPr>
          <w:rFonts w:hint="eastAsia" w:ascii="宋体" w:hAnsi="宋体" w:cs="宋体"/>
          <w:color w:val="auto"/>
          <w:sz w:val="24"/>
          <w:highlight w:val="none"/>
          <w:lang w:val="en-US" w:eastAsia="zh-CN"/>
        </w:rPr>
        <w:t>27.78</w:t>
      </w:r>
      <w:r>
        <w:rPr>
          <w:rFonts w:hint="eastAsia" w:ascii="宋体" w:hAnsi="宋体" w:eastAsia="宋体" w:cs="宋体"/>
          <w:color w:val="auto"/>
          <w:sz w:val="24"/>
          <w:highlight w:val="none"/>
        </w:rPr>
        <w:t>%；桡足类</w:t>
      </w:r>
      <w:r>
        <w:rPr>
          <w:rFonts w:hint="eastAsia" w:ascii="宋体" w:hAnsi="宋体" w:cs="宋体"/>
          <w:color w:val="auto"/>
          <w:sz w:val="24"/>
          <w:highlight w:val="none"/>
          <w:lang w:val="en-US" w:eastAsia="zh-CN"/>
        </w:rPr>
        <w:t>2</w:t>
      </w:r>
      <w:r>
        <w:rPr>
          <w:rFonts w:hint="eastAsia" w:ascii="宋体" w:hAnsi="宋体" w:eastAsia="宋体" w:cs="宋体"/>
          <w:color w:val="auto"/>
          <w:sz w:val="24"/>
          <w:highlight w:val="none"/>
        </w:rPr>
        <w:t>种，占总数的</w:t>
      </w:r>
      <w:r>
        <w:rPr>
          <w:rFonts w:hint="eastAsia" w:ascii="宋体" w:hAnsi="宋体" w:cs="宋体"/>
          <w:color w:val="auto"/>
          <w:sz w:val="24"/>
          <w:highlight w:val="none"/>
          <w:lang w:val="en-US" w:eastAsia="zh-CN"/>
        </w:rPr>
        <w:t>11.11</w:t>
      </w:r>
      <w:r>
        <w:rPr>
          <w:rFonts w:hint="eastAsia" w:ascii="宋体" w:hAnsi="宋体" w:eastAsia="宋体" w:cs="宋体"/>
          <w:color w:val="auto"/>
          <w:sz w:val="24"/>
          <w:highlight w:val="none"/>
        </w:rPr>
        <w:t>%。</w:t>
      </w:r>
    </w:p>
    <w:p>
      <w:pPr>
        <w:pStyle w:val="6"/>
        <w:rPr>
          <w:rFonts w:cs="Times New Roman"/>
          <w:color w:val="auto"/>
          <w:szCs w:val="24"/>
        </w:rPr>
      </w:pPr>
      <w:bookmarkStart w:id="311" w:name="_Toc4624"/>
      <w:bookmarkStart w:id="312" w:name="_Toc12047"/>
      <w:r>
        <w:rPr>
          <w:rFonts w:cs="Times New Roman"/>
          <w:color w:val="auto"/>
          <w:szCs w:val="24"/>
        </w:rPr>
        <w:t>种类组成的水平变化</w:t>
      </w:r>
      <w:bookmarkEnd w:id="311"/>
      <w:bookmarkEnd w:id="312"/>
    </w:p>
    <w:p>
      <w:pPr>
        <w:spacing w:line="360" w:lineRule="auto"/>
        <w:ind w:firstLine="480" w:firstLineChars="200"/>
        <w:rPr>
          <w:rFonts w:ascii="Times New Roman" w:hAnsi="Times New Roman"/>
          <w:color w:val="auto"/>
          <w:sz w:val="24"/>
        </w:rPr>
      </w:pPr>
      <w:r>
        <w:rPr>
          <w:rFonts w:hint="eastAsia"/>
          <w:color w:val="auto"/>
          <w:sz w:val="24"/>
          <w:highlight w:val="none"/>
        </w:rPr>
        <w:t>在白安河大桥、双河和琼江蟠龙河汇口采集到的种类分别为11种</w:t>
      </w:r>
      <w:r>
        <w:rPr>
          <w:rFonts w:hint="eastAsia"/>
          <w:color w:val="auto"/>
          <w:sz w:val="24"/>
          <w:highlight w:val="none"/>
          <w:lang w:eastAsia="zh-CN"/>
        </w:rPr>
        <w:t>、</w:t>
      </w:r>
      <w:r>
        <w:rPr>
          <w:rFonts w:hint="eastAsia"/>
          <w:color w:val="auto"/>
          <w:sz w:val="24"/>
          <w:highlight w:val="none"/>
        </w:rPr>
        <w:t>8种和6种，各采样点之间采集的种类数目差异不大</w:t>
      </w:r>
      <w:r>
        <w:rPr>
          <w:rFonts w:hint="eastAsia"/>
          <w:color w:val="auto"/>
          <w:sz w:val="24"/>
          <w:highlight w:val="none"/>
          <w:lang w:eastAsia="zh-CN"/>
        </w:rPr>
        <w:t>。</w:t>
      </w:r>
      <w:r>
        <w:rPr>
          <w:rFonts w:hint="eastAsia"/>
          <w:color w:val="auto"/>
          <w:sz w:val="24"/>
          <w:highlight w:val="none"/>
        </w:rPr>
        <w:t>从浮游动物种类组成的水平变化来看</w:t>
      </w:r>
      <w:r>
        <w:rPr>
          <w:rFonts w:hint="eastAsia"/>
          <w:color w:val="auto"/>
          <w:sz w:val="24"/>
          <w:highlight w:val="none"/>
          <w:lang w:eastAsia="zh-CN"/>
        </w:rPr>
        <w:t>，</w:t>
      </w:r>
      <w:r>
        <w:rPr>
          <w:rFonts w:hint="eastAsia"/>
          <w:color w:val="auto"/>
          <w:sz w:val="24"/>
          <w:highlight w:val="none"/>
        </w:rPr>
        <w:t>本次调查的3个采样点的浮游动物种数变动不大，白安河大桥浮游动物种类稍高，琼江蟠龙河汇口采样点稍低。</w:t>
      </w:r>
      <w:r>
        <w:rPr>
          <w:rFonts w:ascii="Times New Roman" w:hAnsi="Times New Roman"/>
          <w:color w:val="auto"/>
          <w:sz w:val="24"/>
        </w:rPr>
        <w:t>各断面浮游动物水平分布见表</w:t>
      </w:r>
      <w:r>
        <w:rPr>
          <w:rFonts w:hint="eastAsia" w:ascii="Times New Roman" w:hAnsi="Times New Roman"/>
          <w:color w:val="auto"/>
          <w:sz w:val="24"/>
        </w:rPr>
        <w:t>6-1</w:t>
      </w:r>
      <w:r>
        <w:rPr>
          <w:rFonts w:hint="eastAsia" w:ascii="Times New Roman" w:hAnsi="Times New Roman"/>
          <w:color w:val="auto"/>
          <w:sz w:val="24"/>
          <w:lang w:val="en-US" w:eastAsia="zh-CN"/>
        </w:rPr>
        <w:t>3</w:t>
      </w:r>
      <w:r>
        <w:rPr>
          <w:rFonts w:ascii="Times New Roman" w:hAnsi="Times New Roman"/>
          <w:color w:val="auto"/>
          <w:sz w:val="24"/>
        </w:rPr>
        <w:t>。</w:t>
      </w:r>
    </w:p>
    <w:p>
      <w:pPr>
        <w:pStyle w:val="13"/>
        <w:spacing w:line="360" w:lineRule="auto"/>
        <w:ind w:firstLine="0"/>
        <w:jc w:val="center"/>
        <w:rPr>
          <w:rFonts w:hint="eastAsia" w:ascii="宋体" w:hAnsi="宋体" w:eastAsia="宋体" w:cs="宋体"/>
          <w:b/>
          <w:bCs/>
          <w:color w:val="FF0000"/>
          <w:sz w:val="21"/>
          <w:szCs w:val="21"/>
        </w:rPr>
      </w:pPr>
    </w:p>
    <w:p>
      <w:pPr>
        <w:pStyle w:val="13"/>
        <w:spacing w:line="360" w:lineRule="auto"/>
        <w:ind w:firstLine="0"/>
        <w:jc w:val="center"/>
        <w:rPr>
          <w:rFonts w:hint="eastAsia" w:ascii="宋体" w:hAnsi="宋体" w:eastAsia="宋体" w:cs="宋体"/>
          <w:b/>
          <w:bCs/>
          <w:color w:val="auto"/>
          <w:sz w:val="21"/>
          <w:szCs w:val="21"/>
        </w:rPr>
      </w:pPr>
      <w:r>
        <w:rPr>
          <w:rFonts w:hint="eastAsia" w:ascii="宋体" w:hAnsi="宋体" w:eastAsia="宋体" w:cs="宋体"/>
          <w:b/>
          <w:bCs/>
          <w:color w:val="auto"/>
          <w:sz w:val="21"/>
          <w:szCs w:val="21"/>
        </w:rPr>
        <w:t>表6-1</w:t>
      </w:r>
      <w:r>
        <w:rPr>
          <w:rFonts w:hint="eastAsia" w:ascii="宋体" w:hAnsi="宋体" w:cs="宋体"/>
          <w:b/>
          <w:bCs/>
          <w:color w:val="auto"/>
          <w:sz w:val="21"/>
          <w:szCs w:val="21"/>
          <w:lang w:val="en-US" w:eastAsia="zh-CN"/>
        </w:rPr>
        <w:t>3</w:t>
      </w:r>
      <w:r>
        <w:rPr>
          <w:rFonts w:hint="eastAsia" w:ascii="宋体" w:hAnsi="宋体" w:eastAsia="宋体" w:cs="宋体"/>
          <w:b/>
          <w:bCs/>
          <w:color w:val="auto"/>
          <w:sz w:val="21"/>
          <w:szCs w:val="21"/>
        </w:rPr>
        <w:t xml:space="preserve"> 各采样点浮游动物的水平分布</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32"/>
        <w:gridCol w:w="2075"/>
        <w:gridCol w:w="1738"/>
        <w:gridCol w:w="232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832" w:type="dxa"/>
            <w:tcBorders>
              <w:tl2br w:val="nil"/>
              <w:tr2bl w:val="nil"/>
            </w:tcBorders>
            <w:noWrap w:val="0"/>
            <w:vAlign w:val="center"/>
          </w:tcPr>
          <w:p>
            <w:pPr>
              <w:jc w:val="center"/>
              <w:rPr>
                <w:b/>
                <w:bCs/>
                <w:color w:val="auto"/>
                <w:szCs w:val="21"/>
                <w:highlight w:val="none"/>
              </w:rPr>
            </w:pPr>
            <w:r>
              <w:rPr>
                <w:b/>
                <w:bCs/>
                <w:color w:val="auto"/>
                <w:szCs w:val="21"/>
                <w:highlight w:val="none"/>
              </w:rPr>
              <w:t>门类</w:t>
            </w:r>
          </w:p>
        </w:tc>
        <w:tc>
          <w:tcPr>
            <w:tcW w:w="2075" w:type="dxa"/>
            <w:tcBorders>
              <w:tl2br w:val="nil"/>
              <w:tr2bl w:val="nil"/>
            </w:tcBorders>
            <w:noWrap w:val="0"/>
            <w:tcMar>
              <w:right w:w="170" w:type="dxa"/>
            </w:tcMar>
            <w:vAlign w:val="center"/>
          </w:tcPr>
          <w:p>
            <w:pPr>
              <w:jc w:val="center"/>
              <w:rPr>
                <w:rFonts w:hint="default" w:eastAsia="宋体"/>
                <w:b/>
                <w:bCs/>
                <w:color w:val="auto"/>
                <w:szCs w:val="21"/>
                <w:highlight w:val="none"/>
                <w:lang w:val="en-US" w:eastAsia="zh-CN"/>
              </w:rPr>
            </w:pPr>
            <w:r>
              <w:rPr>
                <w:rFonts w:hint="eastAsia"/>
                <w:b/>
                <w:bCs/>
                <w:color w:val="auto"/>
                <w:szCs w:val="21"/>
                <w:highlight w:val="none"/>
                <w:lang w:val="en-US" w:eastAsia="zh-CN"/>
              </w:rPr>
              <w:t>白安河大桥</w:t>
            </w:r>
          </w:p>
        </w:tc>
        <w:tc>
          <w:tcPr>
            <w:tcW w:w="1738" w:type="dxa"/>
            <w:tcBorders>
              <w:tl2br w:val="nil"/>
              <w:tr2bl w:val="nil"/>
            </w:tcBorders>
            <w:noWrap w:val="0"/>
            <w:tcMar>
              <w:right w:w="170" w:type="dxa"/>
            </w:tcMar>
            <w:vAlign w:val="center"/>
          </w:tcPr>
          <w:p>
            <w:pPr>
              <w:jc w:val="center"/>
              <w:rPr>
                <w:rFonts w:hint="eastAsia" w:eastAsia="宋体"/>
                <w:b/>
                <w:bCs/>
                <w:color w:val="auto"/>
                <w:szCs w:val="21"/>
                <w:highlight w:val="none"/>
                <w:lang w:val="en-US" w:eastAsia="zh-CN"/>
              </w:rPr>
            </w:pPr>
            <w:r>
              <w:rPr>
                <w:rFonts w:hint="eastAsia"/>
                <w:b/>
                <w:bCs/>
                <w:color w:val="auto"/>
                <w:szCs w:val="21"/>
                <w:highlight w:val="none"/>
                <w:lang w:val="en-US" w:eastAsia="zh-CN"/>
              </w:rPr>
              <w:t>双河</w:t>
            </w:r>
          </w:p>
        </w:tc>
        <w:tc>
          <w:tcPr>
            <w:tcW w:w="2322" w:type="dxa"/>
            <w:tcBorders>
              <w:tl2br w:val="nil"/>
              <w:tr2bl w:val="nil"/>
            </w:tcBorders>
            <w:noWrap w:val="0"/>
            <w:tcMar>
              <w:right w:w="170" w:type="dxa"/>
            </w:tcMar>
            <w:vAlign w:val="center"/>
          </w:tcPr>
          <w:p>
            <w:pPr>
              <w:jc w:val="center"/>
              <w:rPr>
                <w:rFonts w:hint="default" w:eastAsia="宋体"/>
                <w:b/>
                <w:bCs/>
                <w:color w:val="auto"/>
                <w:szCs w:val="21"/>
                <w:highlight w:val="none"/>
                <w:lang w:val="en-US" w:eastAsia="zh-CN"/>
              </w:rPr>
            </w:pPr>
            <w:r>
              <w:rPr>
                <w:rFonts w:hint="eastAsia"/>
                <w:b/>
                <w:bCs/>
                <w:color w:val="auto"/>
                <w:szCs w:val="21"/>
                <w:highlight w:val="none"/>
                <w:lang w:val="en-US" w:eastAsia="zh-CN"/>
              </w:rPr>
              <w:t>琼江蟠龙河汇口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832" w:type="dxa"/>
            <w:tcBorders>
              <w:tl2br w:val="nil"/>
              <w:tr2bl w:val="nil"/>
            </w:tcBorders>
            <w:noWrap w:val="0"/>
            <w:vAlign w:val="center"/>
          </w:tcPr>
          <w:p>
            <w:pPr>
              <w:autoSpaceDE w:val="0"/>
              <w:autoSpaceDN w:val="0"/>
              <w:adjustRightInd w:val="0"/>
              <w:jc w:val="center"/>
              <w:rPr>
                <w:color w:val="auto"/>
                <w:szCs w:val="21"/>
                <w:highlight w:val="none"/>
              </w:rPr>
            </w:pPr>
            <w:r>
              <w:rPr>
                <w:color w:val="auto"/>
                <w:szCs w:val="21"/>
                <w:highlight w:val="none"/>
                <w:lang w:val="zh-CN"/>
              </w:rPr>
              <w:t>原生动物</w:t>
            </w:r>
          </w:p>
        </w:tc>
        <w:tc>
          <w:tcPr>
            <w:tcW w:w="2075"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3</w:t>
            </w:r>
          </w:p>
        </w:tc>
        <w:tc>
          <w:tcPr>
            <w:tcW w:w="1738"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2322"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1832" w:type="dxa"/>
            <w:tcBorders>
              <w:tl2br w:val="nil"/>
              <w:tr2bl w:val="nil"/>
            </w:tcBorders>
            <w:noWrap w:val="0"/>
            <w:vAlign w:val="center"/>
          </w:tcPr>
          <w:p>
            <w:pPr>
              <w:autoSpaceDE w:val="0"/>
              <w:autoSpaceDN w:val="0"/>
              <w:adjustRightInd w:val="0"/>
              <w:jc w:val="center"/>
              <w:rPr>
                <w:color w:val="auto"/>
                <w:szCs w:val="21"/>
                <w:highlight w:val="none"/>
              </w:rPr>
            </w:pPr>
            <w:r>
              <w:rPr>
                <w:color w:val="auto"/>
                <w:szCs w:val="21"/>
                <w:highlight w:val="none"/>
                <w:lang w:val="zh-CN"/>
              </w:rPr>
              <w:t>轮虫</w:t>
            </w:r>
          </w:p>
        </w:tc>
        <w:tc>
          <w:tcPr>
            <w:tcW w:w="2075"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3</w:t>
            </w:r>
          </w:p>
        </w:tc>
        <w:tc>
          <w:tcPr>
            <w:tcW w:w="1738"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4</w:t>
            </w:r>
          </w:p>
        </w:tc>
        <w:tc>
          <w:tcPr>
            <w:tcW w:w="2322"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7" w:hRule="atLeast"/>
          <w:jc w:val="center"/>
        </w:trPr>
        <w:tc>
          <w:tcPr>
            <w:tcW w:w="1832" w:type="dxa"/>
            <w:tcBorders>
              <w:tl2br w:val="nil"/>
              <w:tr2bl w:val="nil"/>
            </w:tcBorders>
            <w:noWrap w:val="0"/>
            <w:vAlign w:val="center"/>
          </w:tcPr>
          <w:p>
            <w:pPr>
              <w:autoSpaceDE w:val="0"/>
              <w:autoSpaceDN w:val="0"/>
              <w:adjustRightInd w:val="0"/>
              <w:jc w:val="center"/>
              <w:rPr>
                <w:color w:val="auto"/>
                <w:szCs w:val="21"/>
                <w:highlight w:val="none"/>
              </w:rPr>
            </w:pPr>
            <w:r>
              <w:rPr>
                <w:color w:val="auto"/>
                <w:szCs w:val="21"/>
                <w:highlight w:val="none"/>
                <w:lang w:val="zh-CN"/>
              </w:rPr>
              <w:t>枝角类</w:t>
            </w:r>
          </w:p>
        </w:tc>
        <w:tc>
          <w:tcPr>
            <w:tcW w:w="2075"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4</w:t>
            </w:r>
          </w:p>
        </w:tc>
        <w:tc>
          <w:tcPr>
            <w:tcW w:w="1738"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2</w:t>
            </w:r>
          </w:p>
        </w:tc>
        <w:tc>
          <w:tcPr>
            <w:tcW w:w="2322"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1832" w:type="dxa"/>
            <w:tcBorders>
              <w:tl2br w:val="nil"/>
              <w:tr2bl w:val="nil"/>
            </w:tcBorders>
            <w:noWrap w:val="0"/>
            <w:vAlign w:val="center"/>
          </w:tcPr>
          <w:p>
            <w:pPr>
              <w:autoSpaceDE w:val="0"/>
              <w:autoSpaceDN w:val="0"/>
              <w:adjustRightInd w:val="0"/>
              <w:jc w:val="center"/>
              <w:rPr>
                <w:color w:val="auto"/>
                <w:szCs w:val="21"/>
                <w:highlight w:val="none"/>
              </w:rPr>
            </w:pPr>
            <w:r>
              <w:rPr>
                <w:color w:val="auto"/>
                <w:szCs w:val="21"/>
                <w:highlight w:val="none"/>
                <w:lang w:val="zh-CN"/>
              </w:rPr>
              <w:t>桡足类</w:t>
            </w:r>
          </w:p>
        </w:tc>
        <w:tc>
          <w:tcPr>
            <w:tcW w:w="2075"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1738"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1</w:t>
            </w:r>
          </w:p>
        </w:tc>
        <w:tc>
          <w:tcPr>
            <w:tcW w:w="2322"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832" w:type="dxa"/>
            <w:tcBorders>
              <w:tl2br w:val="nil"/>
              <w:tr2bl w:val="nil"/>
            </w:tcBorders>
            <w:noWrap w:val="0"/>
            <w:vAlign w:val="center"/>
          </w:tcPr>
          <w:p>
            <w:pPr>
              <w:autoSpaceDE w:val="0"/>
              <w:autoSpaceDN w:val="0"/>
              <w:adjustRightInd w:val="0"/>
              <w:jc w:val="center"/>
              <w:rPr>
                <w:color w:val="auto"/>
                <w:szCs w:val="21"/>
                <w:highlight w:val="none"/>
              </w:rPr>
            </w:pPr>
            <w:r>
              <w:rPr>
                <w:color w:val="auto"/>
                <w:szCs w:val="21"/>
                <w:highlight w:val="none"/>
                <w:lang w:val="zh-CN"/>
              </w:rPr>
              <w:t>总计</w:t>
            </w:r>
          </w:p>
        </w:tc>
        <w:tc>
          <w:tcPr>
            <w:tcW w:w="2075" w:type="dxa"/>
            <w:tcBorders>
              <w:tl2br w:val="nil"/>
              <w:tr2bl w:val="nil"/>
            </w:tcBorders>
            <w:noWrap w:val="0"/>
            <w:tcMar>
              <w:right w:w="170" w:type="dxa"/>
            </w:tcMar>
            <w:vAlign w:val="center"/>
          </w:tcPr>
          <w:p>
            <w:pPr>
              <w:jc w:val="center"/>
              <w:rPr>
                <w:rFonts w:hint="default" w:eastAsia="宋体"/>
                <w:color w:val="auto"/>
                <w:szCs w:val="21"/>
                <w:highlight w:val="none"/>
                <w:lang w:val="en-US" w:eastAsia="zh-CN"/>
              </w:rPr>
            </w:pPr>
            <w:r>
              <w:rPr>
                <w:rFonts w:hint="eastAsia"/>
                <w:color w:val="auto"/>
                <w:szCs w:val="21"/>
                <w:highlight w:val="none"/>
                <w:lang w:val="en-US" w:eastAsia="zh-CN"/>
              </w:rPr>
              <w:t>11</w:t>
            </w:r>
          </w:p>
        </w:tc>
        <w:tc>
          <w:tcPr>
            <w:tcW w:w="1738"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8</w:t>
            </w:r>
          </w:p>
        </w:tc>
        <w:tc>
          <w:tcPr>
            <w:tcW w:w="2322" w:type="dxa"/>
            <w:tcBorders>
              <w:tl2br w:val="nil"/>
              <w:tr2bl w:val="nil"/>
            </w:tcBorders>
            <w:noWrap w:val="0"/>
            <w:tcMar>
              <w:right w:w="170" w:type="dxa"/>
            </w:tcMar>
            <w:vAlign w:val="center"/>
          </w:tcPr>
          <w:p>
            <w:pPr>
              <w:jc w:val="center"/>
              <w:rPr>
                <w:rFonts w:hint="eastAsia" w:eastAsia="宋体"/>
                <w:color w:val="auto"/>
                <w:szCs w:val="21"/>
                <w:highlight w:val="none"/>
                <w:lang w:val="en-US" w:eastAsia="zh-CN"/>
              </w:rPr>
            </w:pPr>
            <w:r>
              <w:rPr>
                <w:rFonts w:hint="eastAsia"/>
                <w:color w:val="auto"/>
                <w:szCs w:val="21"/>
                <w:highlight w:val="none"/>
                <w:lang w:val="en-US" w:eastAsia="zh-CN"/>
              </w:rPr>
              <w:t>6</w:t>
            </w:r>
          </w:p>
        </w:tc>
      </w:tr>
    </w:tbl>
    <w:p>
      <w:pPr>
        <w:jc w:val="center"/>
        <w:rPr>
          <w:color w:val="FF0000"/>
        </w:rPr>
      </w:pPr>
    </w:p>
    <w:p>
      <w:pPr>
        <w:pStyle w:val="6"/>
        <w:rPr>
          <w:rFonts w:cs="Times New Roman"/>
          <w:color w:val="auto"/>
        </w:rPr>
      </w:pPr>
      <w:bookmarkStart w:id="313" w:name="_Toc2088"/>
      <w:bookmarkStart w:id="314" w:name="_Toc26710"/>
      <w:r>
        <w:rPr>
          <w:rFonts w:cs="Times New Roman"/>
          <w:color w:val="auto"/>
        </w:rPr>
        <w:t>浮游动物密度和生物量</w:t>
      </w:r>
      <w:bookmarkEnd w:id="313"/>
      <w:bookmarkEnd w:id="314"/>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eastAsia" w:ascii="宋体" w:hAnsi="宋体" w:eastAsia="宋体" w:cs="宋体"/>
          <w:color w:val="FF0000"/>
          <w:sz w:val="24"/>
          <w:highlight w:val="none"/>
        </w:rPr>
      </w:pPr>
      <w:r>
        <w:rPr>
          <w:rFonts w:hint="eastAsia" w:ascii="宋体" w:hAnsi="宋体" w:eastAsia="宋体" w:cs="宋体"/>
          <w:color w:val="auto"/>
          <w:sz w:val="24"/>
          <w:highlight w:val="none"/>
        </w:rPr>
        <w:t>各采样断面浮游动物平均密度为</w:t>
      </w:r>
      <w:r>
        <w:rPr>
          <w:rFonts w:hint="eastAsia" w:ascii="宋体" w:hAnsi="宋体" w:eastAsia="宋体" w:cs="宋体"/>
          <w:color w:val="auto"/>
          <w:sz w:val="24"/>
          <w:highlight w:val="none"/>
          <w:lang w:val="en-US" w:eastAsia="zh-CN"/>
        </w:rPr>
        <w:t>126</w:t>
      </w:r>
      <w:r>
        <w:rPr>
          <w:rFonts w:hint="eastAsia" w:ascii="宋体" w:hAnsi="宋体" w:eastAsia="宋体" w:cs="宋体"/>
          <w:color w:val="auto"/>
          <w:sz w:val="24"/>
          <w:highlight w:val="none"/>
        </w:rPr>
        <w:t>ind/L，平均</w:t>
      </w:r>
      <w:r>
        <w:rPr>
          <w:rFonts w:hint="eastAsia" w:ascii="宋体" w:hAnsi="宋体" w:eastAsia="宋体" w:cs="宋体"/>
          <w:color w:val="auto"/>
          <w:sz w:val="24"/>
          <w:highlight w:val="none"/>
          <w:lang w:val="en-US" w:eastAsia="zh-CN"/>
        </w:rPr>
        <w:t>生物量</w:t>
      </w:r>
      <w:r>
        <w:rPr>
          <w:rFonts w:hint="eastAsia" w:ascii="宋体" w:hAnsi="宋体" w:eastAsia="宋体" w:cs="宋体"/>
          <w:color w:val="auto"/>
          <w:sz w:val="24"/>
          <w:highlight w:val="none"/>
        </w:rPr>
        <w:t>为</w:t>
      </w:r>
      <w:r>
        <w:rPr>
          <w:rFonts w:hint="eastAsia" w:ascii="宋体" w:hAnsi="宋体" w:eastAsia="宋体" w:cs="宋体"/>
          <w:color w:val="auto"/>
          <w:sz w:val="24"/>
          <w:highlight w:val="none"/>
          <w:lang w:val="en-US" w:eastAsia="zh-CN"/>
        </w:rPr>
        <w:t>0.5582mg</w:t>
      </w:r>
      <w:r>
        <w:rPr>
          <w:rFonts w:hint="eastAsia" w:ascii="宋体" w:hAnsi="宋体" w:eastAsia="宋体" w:cs="宋体"/>
          <w:color w:val="auto"/>
          <w:sz w:val="24"/>
          <w:highlight w:val="none"/>
        </w:rPr>
        <w:t>/L</w:t>
      </w:r>
      <w:r>
        <w:rPr>
          <w:rFonts w:hint="eastAsia" w:ascii="宋体" w:hAnsi="宋体" w:eastAsia="宋体" w:cs="宋体"/>
          <w:color w:val="auto"/>
          <w:sz w:val="24"/>
          <w:highlight w:val="none"/>
          <w:lang w:eastAsia="zh-CN"/>
        </w:rPr>
        <w:t>。</w:t>
      </w:r>
    </w:p>
    <w:p>
      <w:pPr>
        <w:autoSpaceDE w:val="0"/>
        <w:autoSpaceDN w:val="0"/>
        <w:adjustRightInd w:val="0"/>
        <w:spacing w:line="360" w:lineRule="auto"/>
        <w:jc w:val="center"/>
        <w:rPr>
          <w:rFonts w:ascii="Times New Roman" w:hAnsi="Times New Roman"/>
          <w:b/>
          <w:color w:val="FF0000"/>
          <w:sz w:val="24"/>
          <w:lang w:val="zh-CN"/>
        </w:rPr>
      </w:pPr>
      <w:r>
        <w:rPr>
          <w:rFonts w:hint="eastAsia" w:ascii="宋体" w:hAnsi="宋体" w:eastAsia="宋体" w:cs="宋体"/>
          <w:b/>
          <w:color w:val="auto"/>
          <w:sz w:val="21"/>
          <w:szCs w:val="21"/>
          <w:lang w:val="en-US" w:eastAsia="zh-CN"/>
        </w:rPr>
        <w:t>表</w:t>
      </w:r>
      <w:r>
        <w:rPr>
          <w:rFonts w:hint="eastAsia" w:ascii="宋体" w:hAnsi="宋体" w:eastAsia="宋体" w:cs="宋体"/>
          <w:b/>
          <w:color w:val="auto"/>
          <w:sz w:val="21"/>
          <w:szCs w:val="21"/>
          <w:lang w:val="zh-CN"/>
        </w:rPr>
        <w:t>6-</w:t>
      </w:r>
      <w:r>
        <w:rPr>
          <w:rFonts w:hint="eastAsia" w:ascii="宋体" w:hAnsi="宋体" w:eastAsia="宋体" w:cs="宋体"/>
          <w:b/>
          <w:color w:val="auto"/>
          <w:sz w:val="21"/>
          <w:szCs w:val="21"/>
          <w:lang w:val="en-US" w:eastAsia="zh-CN"/>
        </w:rPr>
        <w:t>1</w:t>
      </w:r>
      <w:r>
        <w:rPr>
          <w:rFonts w:hint="eastAsia" w:ascii="宋体" w:hAnsi="宋体" w:cs="宋体"/>
          <w:b/>
          <w:color w:val="auto"/>
          <w:sz w:val="21"/>
          <w:szCs w:val="21"/>
          <w:lang w:val="en-US" w:eastAsia="zh-CN"/>
        </w:rPr>
        <w:t>4</w:t>
      </w:r>
      <w:r>
        <w:rPr>
          <w:rFonts w:hint="eastAsia" w:ascii="宋体" w:hAnsi="宋体" w:eastAsia="宋体" w:cs="宋体"/>
          <w:b/>
          <w:color w:val="auto"/>
          <w:sz w:val="21"/>
          <w:szCs w:val="21"/>
          <w:lang w:val="zh-CN"/>
        </w:rPr>
        <w:t xml:space="preserve"> 工程影响区域浮游动物</w:t>
      </w:r>
      <w:r>
        <w:rPr>
          <w:rFonts w:hint="eastAsia" w:ascii="宋体" w:hAnsi="宋体" w:cs="宋体"/>
          <w:b/>
          <w:color w:val="auto"/>
          <w:sz w:val="21"/>
          <w:szCs w:val="21"/>
          <w:lang w:val="en-US" w:eastAsia="zh-CN"/>
        </w:rPr>
        <w:t>密度和生物量情况</w:t>
      </w:r>
      <w:r>
        <w:rPr>
          <w:rFonts w:ascii="Times New Roman" w:hAnsi="Times New Roman"/>
          <w:b/>
          <w:color w:val="FF0000"/>
          <w:sz w:val="24"/>
          <w:lang w:val="zh-CN"/>
        </w:rPr>
        <w:t xml:space="preserve"> </w:t>
      </w:r>
      <w:r>
        <w:rPr>
          <w:rFonts w:hint="eastAsia" w:ascii="Times New Roman" w:hAnsi="Times New Roman" w:eastAsia="宋体"/>
          <w:color w:val="FF0000"/>
          <w:sz w:val="24"/>
          <w:szCs w:val="24"/>
          <w:highlight w:val="none"/>
          <w:lang w:eastAsia="zh-CN"/>
        </w:rPr>
        <w:drawing>
          <wp:inline distT="0" distB="0" distL="114300" distR="114300">
            <wp:extent cx="4811395" cy="1968500"/>
            <wp:effectExtent l="0" t="0" r="1905" b="0"/>
            <wp:docPr id="5" name="图片 4" descr="QQ截图20240410100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QQ截图20240410100841"/>
                    <pic:cNvPicPr>
                      <a:picLocks noChangeAspect="1"/>
                    </pic:cNvPicPr>
                  </pic:nvPicPr>
                  <pic:blipFill>
                    <a:blip r:embed="rId27"/>
                    <a:stretch>
                      <a:fillRect/>
                    </a:stretch>
                  </pic:blipFill>
                  <pic:spPr>
                    <a:xfrm>
                      <a:off x="0" y="0"/>
                      <a:ext cx="4811395" cy="1968500"/>
                    </a:xfrm>
                    <a:prstGeom prst="rect">
                      <a:avLst/>
                    </a:prstGeom>
                    <a:noFill/>
                    <a:ln>
                      <a:noFill/>
                    </a:ln>
                  </pic:spPr>
                </pic:pic>
              </a:graphicData>
            </a:graphic>
          </wp:inline>
        </w:drawing>
      </w:r>
      <w:r>
        <w:rPr>
          <w:rFonts w:ascii="Times New Roman" w:hAnsi="Times New Roman"/>
          <w:b/>
          <w:color w:val="FF0000"/>
          <w:sz w:val="24"/>
          <w:lang w:val="zh-CN"/>
        </w:rPr>
        <w:t xml:space="preserve">  </w:t>
      </w:r>
    </w:p>
    <w:p>
      <w:pPr>
        <w:pStyle w:val="5"/>
        <w:rPr>
          <w:color w:val="auto"/>
        </w:rPr>
      </w:pPr>
      <w:bookmarkStart w:id="315" w:name="_Toc373835617"/>
      <w:bookmarkStart w:id="316" w:name="_Toc434826336"/>
      <w:bookmarkStart w:id="317" w:name="_Toc309764505"/>
      <w:bookmarkStart w:id="318" w:name="_Toc371240479"/>
      <w:bookmarkStart w:id="319" w:name="_Toc18894"/>
      <w:bookmarkStart w:id="320" w:name="_Toc24958"/>
      <w:bookmarkStart w:id="321" w:name="_Toc13576"/>
      <w:bookmarkStart w:id="322" w:name="_Toc516476713"/>
      <w:bookmarkStart w:id="323" w:name="_Toc17338"/>
      <w:bookmarkStart w:id="324" w:name="_Toc32252"/>
      <w:r>
        <w:rPr>
          <w:color w:val="auto"/>
        </w:rPr>
        <w:t>底栖动物</w:t>
      </w:r>
      <w:bookmarkEnd w:id="315"/>
      <w:bookmarkEnd w:id="316"/>
      <w:bookmarkEnd w:id="317"/>
      <w:bookmarkEnd w:id="318"/>
      <w:bookmarkEnd w:id="319"/>
      <w:bookmarkEnd w:id="320"/>
      <w:bookmarkEnd w:id="321"/>
      <w:bookmarkEnd w:id="322"/>
      <w:bookmarkEnd w:id="323"/>
      <w:bookmarkEnd w:id="324"/>
    </w:p>
    <w:p>
      <w:pPr>
        <w:spacing w:line="360" w:lineRule="auto"/>
        <w:ind w:firstLine="480" w:firstLineChars="200"/>
        <w:rPr>
          <w:rFonts w:ascii="Times New Roman" w:hAnsi="Times New Roman"/>
          <w:color w:val="auto"/>
          <w:sz w:val="24"/>
        </w:rPr>
      </w:pPr>
      <w:r>
        <w:rPr>
          <w:rFonts w:ascii="Times New Roman" w:hAnsi="Times New Roman"/>
          <w:color w:val="auto"/>
          <w:sz w:val="24"/>
        </w:rPr>
        <w:t>底栖动物是第三营养级的主要组成，也是原河道形态饵料生物中生物量较大的类群，为江河中多数鱼类的饵料基础，并且与江河鱼类的生态类群和区系组成有密切关系。</w:t>
      </w:r>
    </w:p>
    <w:p>
      <w:pPr>
        <w:pStyle w:val="6"/>
        <w:rPr>
          <w:rFonts w:cs="Times New Roman"/>
          <w:color w:val="auto"/>
          <w:szCs w:val="24"/>
        </w:rPr>
      </w:pPr>
      <w:bookmarkStart w:id="325" w:name="_Toc31755"/>
      <w:bookmarkStart w:id="326" w:name="_Toc8317"/>
      <w:r>
        <w:rPr>
          <w:rFonts w:cs="Times New Roman"/>
          <w:color w:val="auto"/>
          <w:szCs w:val="24"/>
        </w:rPr>
        <w:t>底栖动物的种类组成</w:t>
      </w:r>
      <w:bookmarkEnd w:id="325"/>
      <w:bookmarkEnd w:id="326"/>
    </w:p>
    <w:p>
      <w:pPr>
        <w:spacing w:line="360" w:lineRule="auto"/>
        <w:ind w:firstLine="480" w:firstLineChars="200"/>
        <w:rPr>
          <w:rFonts w:hint="eastAsia" w:ascii="宋体" w:hAnsi="宋体" w:eastAsia="宋体" w:cs="宋体"/>
          <w:color w:val="auto"/>
          <w:sz w:val="24"/>
          <w:highlight w:val="none"/>
        </w:rPr>
      </w:pPr>
      <w:r>
        <w:rPr>
          <w:rFonts w:hint="eastAsia" w:ascii="宋体" w:hAnsi="宋体" w:eastAsia="宋体" w:cs="宋体"/>
          <w:color w:val="auto"/>
          <w:sz w:val="24"/>
          <w:highlight w:val="none"/>
        </w:rPr>
        <w:t>在评价区3个断面的调查中，共收集到底栖动物共4大类1</w:t>
      </w:r>
      <w:r>
        <w:rPr>
          <w:rFonts w:hint="eastAsia" w:ascii="宋体" w:hAnsi="宋体" w:eastAsia="宋体" w:cs="宋体"/>
          <w:color w:val="auto"/>
          <w:sz w:val="24"/>
          <w:highlight w:val="none"/>
          <w:lang w:val="en-US" w:eastAsia="zh-CN"/>
        </w:rPr>
        <w:t>0</w:t>
      </w:r>
      <w:r>
        <w:rPr>
          <w:rFonts w:hint="eastAsia" w:ascii="宋体" w:hAnsi="宋体" w:eastAsia="宋体" w:cs="宋体"/>
          <w:color w:val="auto"/>
          <w:sz w:val="24"/>
          <w:highlight w:val="none"/>
        </w:rPr>
        <w:t>种。其中软体动物门有</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种，占</w:t>
      </w:r>
      <w:r>
        <w:rPr>
          <w:rFonts w:hint="eastAsia" w:ascii="宋体" w:hAnsi="宋体" w:eastAsia="宋体" w:cs="宋体"/>
          <w:color w:val="auto"/>
          <w:sz w:val="24"/>
          <w:highlight w:val="none"/>
          <w:lang w:val="en-US" w:eastAsia="zh-CN"/>
        </w:rPr>
        <w:t>30</w:t>
      </w:r>
      <w:r>
        <w:rPr>
          <w:rFonts w:hint="eastAsia" w:ascii="宋体" w:hAnsi="宋体" w:eastAsia="宋体" w:cs="宋体"/>
          <w:color w:val="auto"/>
          <w:sz w:val="24"/>
          <w:highlight w:val="none"/>
        </w:rPr>
        <w:t>%；环节动物门有</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种，占</w:t>
      </w:r>
      <w:r>
        <w:rPr>
          <w:rFonts w:hint="eastAsia" w:ascii="宋体" w:hAnsi="宋体" w:eastAsia="宋体" w:cs="宋体"/>
          <w:color w:val="auto"/>
          <w:sz w:val="24"/>
          <w:highlight w:val="none"/>
          <w:lang w:val="en-US" w:eastAsia="zh-CN"/>
        </w:rPr>
        <w:t>30</w:t>
      </w:r>
      <w:r>
        <w:rPr>
          <w:rFonts w:hint="eastAsia" w:ascii="宋体" w:hAnsi="宋体" w:eastAsia="宋体" w:cs="宋体"/>
          <w:color w:val="auto"/>
          <w:sz w:val="24"/>
          <w:highlight w:val="none"/>
        </w:rPr>
        <w:t>%；甲壳动物门有</w:t>
      </w:r>
      <w:r>
        <w:rPr>
          <w:rFonts w:hint="eastAsia" w:ascii="宋体" w:hAnsi="宋体" w:eastAsia="宋体" w:cs="宋体"/>
          <w:color w:val="auto"/>
          <w:sz w:val="24"/>
          <w:highlight w:val="none"/>
          <w:lang w:val="en-US" w:eastAsia="zh-CN"/>
        </w:rPr>
        <w:t>1</w:t>
      </w:r>
      <w:r>
        <w:rPr>
          <w:rFonts w:hint="eastAsia" w:ascii="宋体" w:hAnsi="宋体" w:eastAsia="宋体" w:cs="宋体"/>
          <w:color w:val="auto"/>
          <w:sz w:val="24"/>
          <w:highlight w:val="none"/>
        </w:rPr>
        <w:t>种，占1</w:t>
      </w:r>
      <w:r>
        <w:rPr>
          <w:rFonts w:hint="eastAsia" w:ascii="宋体" w:hAnsi="宋体" w:eastAsia="宋体" w:cs="宋体"/>
          <w:color w:val="auto"/>
          <w:sz w:val="24"/>
          <w:highlight w:val="none"/>
          <w:lang w:val="en-US" w:eastAsia="zh-CN"/>
        </w:rPr>
        <w:t>0</w:t>
      </w:r>
      <w:r>
        <w:rPr>
          <w:rFonts w:hint="eastAsia" w:ascii="宋体" w:hAnsi="宋体" w:eastAsia="宋体" w:cs="宋体"/>
          <w:color w:val="auto"/>
          <w:sz w:val="24"/>
          <w:highlight w:val="none"/>
        </w:rPr>
        <w:t>%；节肢动物门有</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种，占总数的</w:t>
      </w:r>
      <w:r>
        <w:rPr>
          <w:rFonts w:hint="eastAsia" w:ascii="宋体" w:hAnsi="宋体" w:eastAsia="宋体" w:cs="宋体"/>
          <w:color w:val="auto"/>
          <w:sz w:val="24"/>
          <w:highlight w:val="none"/>
          <w:lang w:val="en-US" w:eastAsia="zh-CN"/>
        </w:rPr>
        <w:t>30</w:t>
      </w:r>
      <w:r>
        <w:rPr>
          <w:rFonts w:hint="eastAsia" w:ascii="宋体" w:hAnsi="宋体" w:eastAsia="宋体" w:cs="宋体"/>
          <w:color w:val="auto"/>
          <w:sz w:val="24"/>
          <w:highlight w:val="none"/>
        </w:rPr>
        <w:t>%。评价区内常见的种类有</w:t>
      </w:r>
      <w:r>
        <w:rPr>
          <w:rFonts w:hint="eastAsia" w:ascii="宋体" w:hAnsi="宋体" w:eastAsia="宋体" w:cs="宋体"/>
          <w:color w:val="auto"/>
          <w:sz w:val="24"/>
          <w:highlight w:val="none"/>
          <w:lang w:val="en-US" w:eastAsia="zh-CN"/>
        </w:rPr>
        <w:t>摇蚊幼虫、</w:t>
      </w:r>
      <w:r>
        <w:rPr>
          <w:rFonts w:hint="eastAsia" w:ascii="宋体" w:hAnsi="宋体" w:eastAsia="宋体" w:cs="宋体"/>
          <w:color w:val="auto"/>
          <w:sz w:val="24"/>
          <w:highlight w:val="none"/>
        </w:rPr>
        <w:t>中国圆田螺、淡水壳菜和水丝蚓等。</w:t>
      </w:r>
    </w:p>
    <w:p>
      <w:pPr>
        <w:pStyle w:val="6"/>
        <w:rPr>
          <w:rFonts w:hint="eastAsia" w:cs="Times New Roman"/>
          <w:color w:val="auto"/>
          <w:szCs w:val="24"/>
        </w:rPr>
      </w:pPr>
      <w:bookmarkStart w:id="327" w:name="_Toc4053"/>
      <w:bookmarkStart w:id="328" w:name="_Toc28995"/>
      <w:r>
        <w:rPr>
          <w:rFonts w:hint="eastAsia" w:cs="Times New Roman"/>
          <w:color w:val="auto"/>
          <w:szCs w:val="24"/>
        </w:rPr>
        <w:t>种类组成的水平变化</w:t>
      </w:r>
      <w:bookmarkEnd w:id="327"/>
      <w:bookmarkEnd w:id="328"/>
    </w:p>
    <w:p>
      <w:pPr>
        <w:spacing w:line="360" w:lineRule="auto"/>
        <w:ind w:firstLine="480" w:firstLineChars="200"/>
        <w:rPr>
          <w:rFonts w:hint="eastAsia" w:ascii="宋体" w:hAnsi="宋体" w:eastAsia="宋体" w:cs="宋体"/>
          <w:color w:val="auto"/>
          <w:sz w:val="24"/>
        </w:rPr>
      </w:pPr>
      <w:r>
        <w:rPr>
          <w:color w:val="auto"/>
          <w:sz w:val="24"/>
          <w:highlight w:val="none"/>
        </w:rPr>
        <w:t>从底栖动物种类组成的水平变化来看，本次调查的3个采样断面的底栖动物中，在</w:t>
      </w:r>
      <w:r>
        <w:rPr>
          <w:rFonts w:hint="eastAsia"/>
          <w:color w:val="auto"/>
          <w:sz w:val="24"/>
          <w:highlight w:val="none"/>
          <w:lang w:val="en-US" w:eastAsia="zh-CN"/>
        </w:rPr>
        <w:t>白安河</w:t>
      </w:r>
      <w:r>
        <w:rPr>
          <w:color w:val="auto"/>
          <w:sz w:val="24"/>
          <w:highlight w:val="none"/>
        </w:rPr>
        <w:t>大桥采样点有</w:t>
      </w:r>
      <w:r>
        <w:rPr>
          <w:rFonts w:hint="eastAsia"/>
          <w:color w:val="auto"/>
          <w:sz w:val="24"/>
          <w:highlight w:val="none"/>
          <w:lang w:val="en-US" w:eastAsia="zh-CN"/>
        </w:rPr>
        <w:t>7</w:t>
      </w:r>
      <w:r>
        <w:rPr>
          <w:color w:val="auto"/>
          <w:sz w:val="24"/>
          <w:highlight w:val="none"/>
        </w:rPr>
        <w:t>种，</w:t>
      </w:r>
      <w:r>
        <w:rPr>
          <w:rFonts w:hint="eastAsia"/>
          <w:color w:val="auto"/>
          <w:sz w:val="24"/>
          <w:highlight w:val="none"/>
          <w:lang w:val="en-US" w:eastAsia="zh-CN"/>
        </w:rPr>
        <w:t>双河</w:t>
      </w:r>
      <w:r>
        <w:rPr>
          <w:color w:val="auto"/>
          <w:sz w:val="24"/>
          <w:highlight w:val="none"/>
        </w:rPr>
        <w:t>有</w:t>
      </w:r>
      <w:r>
        <w:rPr>
          <w:rFonts w:hint="eastAsia"/>
          <w:color w:val="auto"/>
          <w:sz w:val="24"/>
          <w:highlight w:val="none"/>
          <w:lang w:val="en-US" w:eastAsia="zh-CN"/>
        </w:rPr>
        <w:t>7</w:t>
      </w:r>
      <w:r>
        <w:rPr>
          <w:color w:val="auto"/>
          <w:sz w:val="24"/>
          <w:highlight w:val="none"/>
        </w:rPr>
        <w:t>种</w:t>
      </w:r>
      <w:r>
        <w:rPr>
          <w:rFonts w:hint="eastAsia"/>
          <w:color w:val="auto"/>
          <w:sz w:val="24"/>
          <w:highlight w:val="none"/>
          <w:lang w:eastAsia="zh-CN"/>
        </w:rPr>
        <w:t>，</w:t>
      </w:r>
      <w:r>
        <w:rPr>
          <w:rFonts w:hint="eastAsia"/>
          <w:color w:val="auto"/>
          <w:sz w:val="24"/>
          <w:highlight w:val="none"/>
          <w:lang w:val="en-US" w:eastAsia="zh-CN"/>
        </w:rPr>
        <w:t>琼江蟠龙河汇口</w:t>
      </w:r>
      <w:r>
        <w:rPr>
          <w:color w:val="auto"/>
          <w:sz w:val="24"/>
          <w:highlight w:val="none"/>
        </w:rPr>
        <w:t>采样点有</w:t>
      </w:r>
      <w:r>
        <w:rPr>
          <w:rFonts w:hint="eastAsia"/>
          <w:color w:val="auto"/>
          <w:sz w:val="24"/>
          <w:highlight w:val="none"/>
          <w:lang w:val="en-US" w:eastAsia="zh-CN"/>
        </w:rPr>
        <w:t>4</w:t>
      </w:r>
      <w:r>
        <w:rPr>
          <w:color w:val="auto"/>
          <w:sz w:val="24"/>
          <w:highlight w:val="none"/>
        </w:rPr>
        <w:t>种</w:t>
      </w:r>
      <w:r>
        <w:rPr>
          <w:rFonts w:hint="eastAsia" w:ascii="宋体" w:hAnsi="宋体" w:eastAsia="宋体" w:cs="宋体"/>
          <w:color w:val="auto"/>
          <w:sz w:val="24"/>
          <w:highlight w:val="none"/>
          <w:lang w:val="en-US" w:eastAsia="zh-CN"/>
        </w:rPr>
        <w:t>，</w:t>
      </w:r>
      <w:r>
        <w:rPr>
          <w:rFonts w:hint="eastAsia" w:ascii="宋体" w:hAnsi="宋体" w:eastAsia="宋体" w:cs="宋体"/>
          <w:color w:val="auto"/>
          <w:sz w:val="24"/>
        </w:rPr>
        <w:t>各断面底栖动物水平分布见表6-1</w:t>
      </w:r>
      <w:r>
        <w:rPr>
          <w:rFonts w:hint="eastAsia" w:ascii="宋体" w:hAnsi="宋体" w:cs="宋体"/>
          <w:color w:val="auto"/>
          <w:sz w:val="24"/>
          <w:lang w:val="en-US" w:eastAsia="zh-CN"/>
        </w:rPr>
        <w:t>5</w:t>
      </w:r>
      <w:r>
        <w:rPr>
          <w:rFonts w:hint="eastAsia" w:ascii="宋体" w:hAnsi="宋体" w:eastAsia="宋体" w:cs="宋体"/>
          <w:color w:val="auto"/>
          <w:sz w:val="24"/>
        </w:rPr>
        <w:t>。</w:t>
      </w:r>
    </w:p>
    <w:p>
      <w:pPr>
        <w:pStyle w:val="13"/>
        <w:spacing w:line="360" w:lineRule="auto"/>
        <w:ind w:firstLine="0"/>
        <w:jc w:val="center"/>
        <w:rPr>
          <w:rFonts w:hint="eastAsia" w:ascii="宋体" w:hAnsi="宋体" w:eastAsia="宋体" w:cs="宋体"/>
          <w:b/>
          <w:bCs/>
          <w:color w:val="auto"/>
          <w:sz w:val="21"/>
          <w:szCs w:val="21"/>
        </w:rPr>
      </w:pPr>
      <w:r>
        <w:rPr>
          <w:rFonts w:hint="eastAsia" w:ascii="宋体" w:hAnsi="宋体" w:eastAsia="宋体" w:cs="宋体"/>
          <w:b/>
          <w:bCs/>
          <w:color w:val="auto"/>
          <w:sz w:val="21"/>
          <w:szCs w:val="21"/>
        </w:rPr>
        <w:t>表6-1</w:t>
      </w:r>
      <w:r>
        <w:rPr>
          <w:rFonts w:hint="eastAsia" w:ascii="宋体" w:hAnsi="宋体" w:cs="宋体"/>
          <w:b/>
          <w:bCs/>
          <w:color w:val="auto"/>
          <w:sz w:val="21"/>
          <w:szCs w:val="21"/>
          <w:lang w:val="en-US" w:eastAsia="zh-CN"/>
        </w:rPr>
        <w:t>5</w:t>
      </w:r>
      <w:r>
        <w:rPr>
          <w:rFonts w:hint="eastAsia" w:ascii="宋体" w:hAnsi="宋体" w:eastAsia="宋体" w:cs="宋体"/>
          <w:b/>
          <w:bCs/>
          <w:color w:val="auto"/>
          <w:sz w:val="21"/>
          <w:szCs w:val="21"/>
        </w:rPr>
        <w:t xml:space="preserve"> 各采样点底栖动物的水平分布</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11"/>
        <w:gridCol w:w="1900"/>
        <w:gridCol w:w="1600"/>
        <w:gridCol w:w="221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门类</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白安河大桥</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双河</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琼江蟠龙河汇口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软体动物门</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环节动物门</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甲壳</w:t>
            </w:r>
            <w:r>
              <w:rPr>
                <w:rFonts w:hint="eastAsia" w:ascii="宋体" w:hAnsi="宋体" w:eastAsia="宋体" w:cs="宋体"/>
                <w:color w:val="auto"/>
                <w:sz w:val="21"/>
                <w:szCs w:val="21"/>
                <w:highlight w:val="none"/>
                <w:lang w:val="en-US" w:eastAsia="zh-CN"/>
              </w:rPr>
              <w:t>动物</w:t>
            </w:r>
            <w:r>
              <w:rPr>
                <w:rFonts w:hint="eastAsia" w:ascii="宋体" w:hAnsi="宋体" w:eastAsia="宋体" w:cs="宋体"/>
                <w:color w:val="auto"/>
                <w:sz w:val="21"/>
                <w:szCs w:val="21"/>
                <w:highlight w:val="none"/>
              </w:rPr>
              <w:cr/>
            </w:r>
            <w:r>
              <w:rPr>
                <w:rFonts w:hint="eastAsia" w:ascii="宋体" w:hAnsi="宋体" w:eastAsia="宋体" w:cs="宋体"/>
                <w:color w:val="auto"/>
                <w:sz w:val="21"/>
                <w:szCs w:val="21"/>
                <w:highlight w:val="none"/>
              </w:rPr>
              <w:t>门</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节肢动物门</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2111"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jc w:val="center"/>
              <w:textAlignment w:val="auto"/>
              <w:rPr>
                <w:rFonts w:hint="eastAsia" w:ascii="宋体" w:hAnsi="宋体" w:eastAsia="宋体" w:cs="宋体"/>
                <w:color w:val="auto"/>
                <w:sz w:val="21"/>
                <w:szCs w:val="21"/>
                <w:highlight w:val="none"/>
                <w:lang w:val="zh-CN"/>
              </w:rPr>
            </w:pPr>
            <w:r>
              <w:rPr>
                <w:rFonts w:hint="eastAsia" w:ascii="宋体" w:hAnsi="宋体" w:eastAsia="宋体" w:cs="宋体"/>
                <w:color w:val="auto"/>
                <w:sz w:val="21"/>
                <w:szCs w:val="21"/>
                <w:highlight w:val="none"/>
                <w:lang w:val="zh-CN"/>
              </w:rPr>
              <w:t>总计</w:t>
            </w:r>
          </w:p>
        </w:tc>
        <w:tc>
          <w:tcPr>
            <w:tcW w:w="19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1600"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2214" w:type="dxa"/>
            <w:tcBorders>
              <w:tl2br w:val="nil"/>
              <w:tr2bl w:val="nil"/>
            </w:tcBorders>
            <w:noWrap w:val="0"/>
            <w:tcMar>
              <w:right w:w="170"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r>
    </w:tbl>
    <w:p>
      <w:pPr>
        <w:jc w:val="center"/>
        <w:rPr>
          <w:rFonts w:hint="eastAsia"/>
          <w:color w:val="FF0000"/>
        </w:rPr>
      </w:pPr>
    </w:p>
    <w:p>
      <w:pPr>
        <w:pStyle w:val="6"/>
        <w:rPr>
          <w:rFonts w:hint="eastAsia" w:cs="Times New Roman"/>
          <w:color w:val="auto"/>
          <w:szCs w:val="24"/>
        </w:rPr>
      </w:pPr>
      <w:bookmarkStart w:id="329" w:name="_Toc4563"/>
      <w:bookmarkStart w:id="330" w:name="_Toc32322"/>
      <w:r>
        <w:rPr>
          <w:rFonts w:hint="eastAsia" w:cs="Times New Roman"/>
          <w:color w:val="auto"/>
          <w:szCs w:val="24"/>
        </w:rPr>
        <w:t>底栖动物密度和生物量</w:t>
      </w:r>
      <w:bookmarkEnd w:id="329"/>
      <w:bookmarkEnd w:id="330"/>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rPr>
      </w:pPr>
      <w:r>
        <w:rPr>
          <w:rFonts w:hint="eastAsia" w:ascii="宋体" w:hAnsi="宋体" w:eastAsia="宋体" w:cs="宋体"/>
          <w:color w:val="auto"/>
          <w:sz w:val="24"/>
          <w:highlight w:val="none"/>
        </w:rPr>
        <w:t>各采样断面底栖动物个体密度介于</w:t>
      </w:r>
      <w:r>
        <w:rPr>
          <w:rFonts w:hint="eastAsia" w:ascii="宋体" w:hAnsi="宋体" w:eastAsia="宋体" w:cs="宋体"/>
          <w:color w:val="auto"/>
          <w:sz w:val="24"/>
          <w:highlight w:val="none"/>
          <w:lang w:val="en-US" w:eastAsia="zh-CN"/>
        </w:rPr>
        <w:t>28</w:t>
      </w:r>
      <w:r>
        <w:rPr>
          <w:rFonts w:hint="eastAsia" w:ascii="宋体" w:hAnsi="宋体" w:eastAsia="宋体" w:cs="宋体"/>
          <w:color w:val="auto"/>
          <w:sz w:val="24"/>
          <w:highlight w:val="none"/>
        </w:rPr>
        <w:t>ind/m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vertAlign w:val="baseline"/>
          <w:lang w:val="en-US" w:eastAsia="zh-CN"/>
        </w:rPr>
        <w:t>-</w:t>
      </w:r>
      <w:r>
        <w:rPr>
          <w:rFonts w:hint="eastAsia" w:ascii="宋体" w:hAnsi="宋体" w:eastAsia="宋体" w:cs="宋体"/>
          <w:color w:val="auto"/>
          <w:sz w:val="24"/>
          <w:highlight w:val="none"/>
          <w:lang w:val="en-US" w:eastAsia="zh-CN"/>
        </w:rPr>
        <w:t>42</w:t>
      </w:r>
      <w:r>
        <w:rPr>
          <w:rFonts w:hint="eastAsia" w:ascii="宋体" w:hAnsi="宋体" w:eastAsia="宋体" w:cs="宋体"/>
          <w:color w:val="auto"/>
          <w:sz w:val="24"/>
          <w:highlight w:val="none"/>
        </w:rPr>
        <w:t>ind/m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rPr>
        <w:t>之间</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平均密度</w:t>
      </w:r>
      <w:r>
        <w:rPr>
          <w:rFonts w:hint="eastAsia" w:ascii="宋体" w:hAnsi="宋体" w:eastAsia="宋体" w:cs="宋体"/>
          <w:color w:val="auto"/>
          <w:sz w:val="24"/>
          <w:highlight w:val="none"/>
          <w:lang w:val="en-US" w:eastAsia="zh-CN"/>
        </w:rPr>
        <w:t>33.67</w:t>
      </w:r>
      <w:r>
        <w:rPr>
          <w:rFonts w:hint="eastAsia" w:ascii="宋体" w:hAnsi="宋体" w:eastAsia="宋体" w:cs="宋体"/>
          <w:color w:val="auto"/>
          <w:sz w:val="24"/>
          <w:highlight w:val="none"/>
        </w:rPr>
        <w:t>ind/m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rPr>
        <w:t>。底栖动物密度</w:t>
      </w:r>
      <w:r>
        <w:rPr>
          <w:rFonts w:hint="eastAsia" w:ascii="宋体" w:hAnsi="宋体" w:eastAsia="宋体" w:cs="宋体"/>
          <w:color w:val="auto"/>
          <w:sz w:val="24"/>
          <w:highlight w:val="none"/>
          <w:lang w:val="en-US" w:eastAsia="zh-CN"/>
        </w:rPr>
        <w:t>白安河大桥</w:t>
      </w:r>
      <w:r>
        <w:rPr>
          <w:rFonts w:hint="eastAsia" w:ascii="宋体" w:hAnsi="宋体" w:eastAsia="宋体" w:cs="宋体"/>
          <w:color w:val="auto"/>
          <w:sz w:val="24"/>
          <w:highlight w:val="none"/>
        </w:rPr>
        <w:t>断面最大，其次是</w:t>
      </w:r>
      <w:r>
        <w:rPr>
          <w:rFonts w:hint="eastAsia" w:ascii="宋体" w:hAnsi="宋体" w:eastAsia="宋体" w:cs="宋体"/>
          <w:color w:val="auto"/>
          <w:sz w:val="24"/>
          <w:highlight w:val="none"/>
          <w:lang w:val="en-US" w:eastAsia="zh-CN"/>
        </w:rPr>
        <w:t>琼江蟠龙河汇口</w:t>
      </w:r>
      <w:r>
        <w:rPr>
          <w:rFonts w:hint="eastAsia" w:ascii="宋体" w:hAnsi="宋体" w:eastAsia="宋体" w:cs="宋体"/>
          <w:color w:val="auto"/>
          <w:sz w:val="24"/>
          <w:highlight w:val="none"/>
        </w:rPr>
        <w:t>断面，</w:t>
      </w:r>
      <w:r>
        <w:rPr>
          <w:rFonts w:hint="eastAsia" w:ascii="宋体" w:hAnsi="宋体" w:eastAsia="宋体" w:cs="宋体"/>
          <w:color w:val="auto"/>
          <w:sz w:val="24"/>
          <w:highlight w:val="none"/>
          <w:lang w:val="en-US" w:eastAsia="zh-CN"/>
        </w:rPr>
        <w:t>双河</w:t>
      </w:r>
      <w:r>
        <w:rPr>
          <w:rFonts w:hint="eastAsia" w:ascii="宋体" w:hAnsi="宋体" w:eastAsia="宋体" w:cs="宋体"/>
          <w:color w:val="auto"/>
          <w:sz w:val="24"/>
          <w:highlight w:val="none"/>
        </w:rPr>
        <w:t>断面最小。总体看来，琼江各断面底栖动物密度相差不大。各采样断面底栖动物生物量介于</w:t>
      </w:r>
      <w:r>
        <w:rPr>
          <w:rFonts w:hint="eastAsia" w:ascii="宋体" w:hAnsi="宋体" w:eastAsia="宋体" w:cs="宋体"/>
          <w:color w:val="auto"/>
          <w:sz w:val="24"/>
          <w:highlight w:val="none"/>
          <w:lang w:val="en-US" w:eastAsia="zh-CN"/>
        </w:rPr>
        <w:t>1.953</w:t>
      </w:r>
      <w:r>
        <w:rPr>
          <w:rFonts w:hint="eastAsia" w:ascii="宋体" w:hAnsi="宋体" w:eastAsia="宋体" w:cs="宋体"/>
          <w:color w:val="auto"/>
          <w:sz w:val="24"/>
          <w:highlight w:val="none"/>
        </w:rPr>
        <w:t>g/m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lang w:val="en-US" w:eastAsia="zh-CN"/>
        </w:rPr>
        <w:t>-3.864</w:t>
      </w:r>
      <w:r>
        <w:rPr>
          <w:rFonts w:hint="eastAsia" w:ascii="宋体" w:hAnsi="宋体" w:eastAsia="宋体" w:cs="宋体"/>
          <w:color w:val="auto"/>
          <w:sz w:val="24"/>
          <w:highlight w:val="none"/>
        </w:rPr>
        <w:t>g/m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rPr>
        <w:t>之间，平均生物量为</w:t>
      </w:r>
      <w:r>
        <w:rPr>
          <w:rFonts w:hint="eastAsia" w:ascii="宋体" w:hAnsi="宋体" w:eastAsia="宋体" w:cs="宋体"/>
          <w:color w:val="auto"/>
          <w:sz w:val="24"/>
          <w:highlight w:val="none"/>
          <w:lang w:val="en-US" w:eastAsia="zh-CN"/>
        </w:rPr>
        <w:t>2.917</w:t>
      </w:r>
      <w:r>
        <w:rPr>
          <w:rFonts w:hint="eastAsia" w:ascii="宋体" w:hAnsi="宋体" w:eastAsia="宋体" w:cs="宋体"/>
          <w:color w:val="auto"/>
          <w:sz w:val="24"/>
          <w:highlight w:val="none"/>
        </w:rPr>
        <w:t>g/m</w:t>
      </w:r>
      <w:r>
        <w:rPr>
          <w:rFonts w:hint="eastAsia" w:ascii="宋体" w:hAnsi="宋体" w:eastAsia="宋体" w:cs="宋体"/>
          <w:color w:val="auto"/>
          <w:sz w:val="24"/>
          <w:highlight w:val="none"/>
          <w:vertAlign w:val="superscript"/>
        </w:rPr>
        <w:t>2</w:t>
      </w:r>
      <w:r>
        <w:rPr>
          <w:rFonts w:hint="eastAsia" w:ascii="宋体" w:hAnsi="宋体" w:eastAsia="宋体" w:cs="宋体"/>
          <w:color w:val="auto"/>
          <w:sz w:val="24"/>
          <w:highlight w:val="none"/>
        </w:rPr>
        <w:t>。</w:t>
      </w:r>
    </w:p>
    <w:p>
      <w:pPr>
        <w:pStyle w:val="5"/>
        <w:rPr>
          <w:rFonts w:hint="eastAsia" w:ascii="宋体" w:hAnsi="宋体" w:eastAsia="宋体" w:cs="宋体"/>
          <w:color w:val="auto"/>
          <w:lang w:val="en-US"/>
        </w:rPr>
      </w:pPr>
      <w:bookmarkStart w:id="331" w:name="_Toc23741"/>
      <w:bookmarkStart w:id="332" w:name="_Toc15997"/>
      <w:bookmarkStart w:id="333" w:name="_Toc16773"/>
      <w:bookmarkStart w:id="334" w:name="_Toc32525"/>
      <w:bookmarkStart w:id="335" w:name="_Toc12600"/>
      <w:r>
        <w:rPr>
          <w:rFonts w:hint="eastAsia" w:ascii="宋体" w:hAnsi="宋体" w:eastAsia="宋体" w:cs="宋体"/>
          <w:color w:val="auto"/>
          <w:lang w:val="en-US"/>
        </w:rPr>
        <w:t>鱼类资源</w:t>
      </w:r>
      <w:bookmarkEnd w:id="331"/>
      <w:bookmarkEnd w:id="332"/>
      <w:bookmarkEnd w:id="333"/>
      <w:bookmarkEnd w:id="334"/>
      <w:bookmarkEnd w:id="335"/>
    </w:p>
    <w:p>
      <w:pPr>
        <w:pStyle w:val="6"/>
        <w:rPr>
          <w:rFonts w:hint="eastAsia" w:ascii="Times New Roman" w:hAnsi="Times New Roman" w:cs="Times New Roman"/>
          <w:color w:val="auto"/>
          <w:szCs w:val="24"/>
        </w:rPr>
      </w:pPr>
      <w:bookmarkStart w:id="336" w:name="_Toc303632805"/>
      <w:bookmarkStart w:id="337" w:name="_Toc671"/>
      <w:bookmarkStart w:id="338" w:name="_Toc32415"/>
      <w:r>
        <w:rPr>
          <w:rFonts w:hint="eastAsia" w:ascii="Times New Roman" w:hAnsi="Times New Roman" w:cs="Times New Roman"/>
          <w:color w:val="auto"/>
          <w:szCs w:val="24"/>
        </w:rPr>
        <w:t>鱼类</w:t>
      </w:r>
      <w:bookmarkEnd w:id="336"/>
      <w:r>
        <w:rPr>
          <w:rFonts w:hint="eastAsia" w:ascii="Times New Roman" w:hAnsi="Times New Roman" w:cs="Times New Roman"/>
          <w:color w:val="auto"/>
          <w:szCs w:val="24"/>
        </w:rPr>
        <w:t>组成</w:t>
      </w:r>
      <w:bookmarkEnd w:id="337"/>
      <w:bookmarkEnd w:id="338"/>
    </w:p>
    <w:p>
      <w:pPr>
        <w:pStyle w:val="2"/>
        <w:pageBreakBefore w:val="0"/>
        <w:kinsoku/>
        <w:wordWrap/>
        <w:overflowPunct/>
        <w:topLinePunct w:val="0"/>
        <w:autoSpaceDE/>
        <w:autoSpaceDN/>
        <w:bidi w:val="0"/>
        <w:adjustRightInd/>
        <w:snapToGrid/>
        <w:spacing w:before="0" w:after="0" w:line="360" w:lineRule="auto"/>
        <w:ind w:right="0" w:firstLine="480" w:firstLineChars="200"/>
        <w:textAlignment w:val="auto"/>
        <w:rPr>
          <w:rFonts w:hint="eastAsia" w:ascii="宋体" w:hAnsi="宋体" w:eastAsia="宋体" w:cs="宋体"/>
          <w:color w:val="auto"/>
          <w:sz w:val="24"/>
          <w:szCs w:val="24"/>
          <w:highlight w:val="none"/>
        </w:rPr>
      </w:pPr>
      <w:bookmarkStart w:id="339" w:name="_Toc222298771"/>
      <w:bookmarkStart w:id="340" w:name="_Toc167109411"/>
      <w:bookmarkStart w:id="341" w:name="_Toc29691"/>
      <w:bookmarkStart w:id="342" w:name="_Toc10399"/>
      <w:bookmarkStart w:id="343" w:name="_Toc517945575"/>
      <w:r>
        <w:rPr>
          <w:rFonts w:hint="eastAsia" w:ascii="宋体" w:hAnsi="宋体" w:eastAsia="宋体" w:cs="宋体"/>
          <w:color w:val="auto"/>
          <w:sz w:val="24"/>
          <w:szCs w:val="24"/>
          <w:highlight w:val="none"/>
        </w:rPr>
        <w:t>根据相关文献资料，琼江河安居区段共有鱼类</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9种，隶属于4目</w:t>
      </w:r>
      <w:r>
        <w:rPr>
          <w:rFonts w:hint="eastAsia" w:ascii="宋体" w:hAnsi="宋体" w:eastAsia="宋体" w:cs="宋体"/>
          <w:color w:val="auto"/>
          <w:sz w:val="24"/>
          <w:szCs w:val="24"/>
          <w:highlight w:val="none"/>
          <w:lang w:val="en-US" w:eastAsia="zh-CN"/>
        </w:rPr>
        <w:t>9</w:t>
      </w:r>
      <w:r>
        <w:rPr>
          <w:rFonts w:hint="eastAsia" w:ascii="宋体" w:hAnsi="宋体" w:eastAsia="宋体" w:cs="宋体"/>
          <w:color w:val="auto"/>
          <w:sz w:val="24"/>
          <w:szCs w:val="24"/>
          <w:highlight w:val="none"/>
        </w:rPr>
        <w:t>科</w:t>
      </w:r>
      <w:r>
        <w:rPr>
          <w:rFonts w:hint="eastAsia" w:ascii="宋体" w:hAnsi="宋体" w:eastAsia="宋体" w:cs="宋体"/>
          <w:color w:val="auto"/>
          <w:sz w:val="24"/>
          <w:szCs w:val="24"/>
          <w:highlight w:val="none"/>
          <w:lang w:val="en-US" w:eastAsia="zh-CN"/>
        </w:rPr>
        <w:t>36</w:t>
      </w:r>
      <w:r>
        <w:rPr>
          <w:rFonts w:hint="eastAsia" w:ascii="宋体" w:hAnsi="宋体" w:eastAsia="宋体" w:cs="宋体"/>
          <w:color w:val="auto"/>
          <w:sz w:val="24"/>
          <w:szCs w:val="24"/>
          <w:highlight w:val="none"/>
        </w:rPr>
        <w:t>属，鲤形目为主要类群</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有2科2</w:t>
      </w:r>
      <w:r>
        <w:rPr>
          <w:rFonts w:hint="eastAsia" w:ascii="宋体" w:hAnsi="宋体" w:eastAsia="宋体" w:cs="宋体"/>
          <w:color w:val="auto"/>
          <w:sz w:val="24"/>
          <w:szCs w:val="24"/>
          <w:highlight w:val="none"/>
          <w:lang w:val="en-US" w:eastAsia="zh-CN"/>
        </w:rPr>
        <w:t>9</w:t>
      </w:r>
      <w:r>
        <w:rPr>
          <w:rFonts w:hint="eastAsia" w:ascii="宋体" w:hAnsi="宋体" w:eastAsia="宋体" w:cs="宋体"/>
          <w:color w:val="auto"/>
          <w:sz w:val="24"/>
          <w:szCs w:val="24"/>
          <w:highlight w:val="none"/>
        </w:rPr>
        <w:t>属3</w:t>
      </w:r>
      <w:r>
        <w:rPr>
          <w:rFonts w:hint="eastAsia" w:ascii="宋体" w:hAnsi="宋体" w:eastAsia="宋体" w:cs="宋体"/>
          <w:color w:val="auto"/>
          <w:sz w:val="24"/>
          <w:szCs w:val="24"/>
          <w:highlight w:val="none"/>
          <w:lang w:val="en-US" w:eastAsia="zh-CN"/>
        </w:rPr>
        <w:t>7</w:t>
      </w:r>
      <w:r>
        <w:rPr>
          <w:rFonts w:hint="eastAsia" w:ascii="宋体" w:hAnsi="宋体" w:eastAsia="宋体" w:cs="宋体"/>
          <w:color w:val="auto"/>
          <w:sz w:val="24"/>
          <w:szCs w:val="24"/>
          <w:highlight w:val="none"/>
        </w:rPr>
        <w:t>种，占总数的75.51%</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鲇形目2科2属5种，占总数的10.20%</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鲈形目4科4属6种</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占总数的13.04%</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合鳃目有1科1属1种，各占总种类数的2.04%。</w:t>
      </w:r>
    </w:p>
    <w:p>
      <w:pPr>
        <w:pStyle w:val="6"/>
        <w:rPr>
          <w:rFonts w:cs="Times New Roman"/>
          <w:color w:val="auto"/>
          <w:szCs w:val="24"/>
        </w:rPr>
      </w:pPr>
      <w:r>
        <w:rPr>
          <w:rFonts w:cs="Times New Roman"/>
          <w:color w:val="auto"/>
          <w:szCs w:val="24"/>
        </w:rPr>
        <w:t>珍稀、特有鱼类</w:t>
      </w:r>
      <w:bookmarkEnd w:id="339"/>
      <w:bookmarkEnd w:id="340"/>
      <w:bookmarkEnd w:id="341"/>
      <w:bookmarkEnd w:id="342"/>
      <w:bookmarkEnd w:id="343"/>
    </w:p>
    <w:p>
      <w:pPr>
        <w:spacing w:line="360" w:lineRule="auto"/>
        <w:ind w:firstLine="480"/>
        <w:jc w:val="left"/>
        <w:rPr>
          <w:color w:val="auto"/>
          <w:sz w:val="24"/>
          <w:highlight w:val="none"/>
        </w:rPr>
      </w:pPr>
      <w:bookmarkStart w:id="344" w:name="_Toc2559"/>
      <w:bookmarkStart w:id="345" w:name="_Toc110"/>
      <w:bookmarkStart w:id="346" w:name="_Toc517945577"/>
      <w:r>
        <w:rPr>
          <w:color w:val="auto"/>
          <w:sz w:val="24"/>
          <w:highlight w:val="none"/>
        </w:rPr>
        <w:t>调查水域鱼类中无国家重点保护和省级保护物种。属长江上游特有鱼类的有半䱗、宽口光唇鱼</w:t>
      </w:r>
      <w:r>
        <w:rPr>
          <w:rFonts w:hint="eastAsia"/>
          <w:color w:val="auto"/>
          <w:sz w:val="24"/>
          <w:highlight w:val="none"/>
          <w:lang w:val="en-US" w:eastAsia="zh-CN"/>
        </w:rPr>
        <w:t>和张氏䱗</w:t>
      </w:r>
      <w:r>
        <w:rPr>
          <w:color w:val="auto"/>
          <w:sz w:val="24"/>
          <w:highlight w:val="none"/>
        </w:rPr>
        <w:t>等</w:t>
      </w:r>
      <w:r>
        <w:rPr>
          <w:rFonts w:hint="eastAsia"/>
          <w:color w:val="auto"/>
          <w:sz w:val="24"/>
          <w:highlight w:val="none"/>
          <w:lang w:val="en-US" w:eastAsia="zh-CN"/>
        </w:rPr>
        <w:t>5</w:t>
      </w:r>
      <w:r>
        <w:rPr>
          <w:color w:val="auto"/>
          <w:sz w:val="24"/>
          <w:highlight w:val="none"/>
        </w:rPr>
        <w:t>种。翘嘴鲌、蒙古鲌、乌鳢和黄颡鱼为琼江翘嘴红鲌省级水产种质资源保护区的重点保护物种。</w:t>
      </w:r>
    </w:p>
    <w:p>
      <w:pPr>
        <w:pStyle w:val="6"/>
        <w:rPr>
          <w:rFonts w:cs="Times New Roman"/>
          <w:color w:val="auto"/>
          <w:szCs w:val="24"/>
        </w:rPr>
      </w:pPr>
      <w:r>
        <w:rPr>
          <w:rFonts w:cs="Times New Roman"/>
          <w:color w:val="auto"/>
          <w:szCs w:val="24"/>
        </w:rPr>
        <w:t>影响水域鱼类食性</w:t>
      </w:r>
      <w:bookmarkEnd w:id="344"/>
      <w:bookmarkEnd w:id="345"/>
      <w:bookmarkEnd w:id="346"/>
    </w:p>
    <w:p>
      <w:pPr>
        <w:spacing w:line="360" w:lineRule="auto"/>
        <w:ind w:firstLine="570"/>
        <w:jc w:val="left"/>
        <w:rPr>
          <w:color w:val="auto"/>
          <w:sz w:val="24"/>
          <w:highlight w:val="none"/>
        </w:rPr>
      </w:pPr>
      <w:r>
        <w:rPr>
          <w:color w:val="auto"/>
          <w:sz w:val="24"/>
          <w:highlight w:val="none"/>
        </w:rPr>
        <w:t>工程所在水域有鱼类根据主要摄取的食物类别，可划分为4类：</w:t>
      </w:r>
    </w:p>
    <w:p>
      <w:pPr>
        <w:spacing w:line="360" w:lineRule="auto"/>
        <w:ind w:firstLine="570"/>
        <w:jc w:val="left"/>
        <w:rPr>
          <w:color w:val="auto"/>
          <w:sz w:val="24"/>
          <w:highlight w:val="none"/>
        </w:rPr>
      </w:pPr>
      <w:r>
        <w:rPr>
          <w:color w:val="auto"/>
          <w:sz w:val="24"/>
          <w:highlight w:val="none"/>
        </w:rPr>
        <w:t>（1）以浮游动植物为食的鱼类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在工程影响水域以浮游动植物为食的鱼类，口较大，鳃耙密而长，多栖息于湾沱以及开阔的水面，并且水流较缓，如鲢和鱅等鱼类。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（2）以底栖无脊椎动物为主要食物的鱼类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在工程影响水域以底栖无脊椎动物为主要食物的鱼类，口部常具发达的触须或唇较厚等特点。所摄取的食物主要是毛翅目、蜉蝣目和寡毛类等底栖无脊椎动物。常见的鱼类有鳅科、鲿科等的鱼类。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（3）以小型鱼类为主要食物的鱼类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在工程影响水域以鱼类为主要食物的鱼类，口大，游泳速度快，常见的有近鲌类、南方鲇和鳜类等鱼类。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（4）杂食性鱼类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ascii="Times New Roman" w:hAnsi="Times New Roman"/>
          <w:color w:val="FF0000"/>
          <w:sz w:val="24"/>
        </w:rPr>
      </w:pPr>
      <w:r>
        <w:rPr>
          <w:rFonts w:hint="eastAsia" w:ascii="宋体" w:hAnsi="宋体" w:eastAsia="宋体" w:cs="宋体"/>
          <w:color w:val="auto"/>
          <w:sz w:val="24"/>
          <w:highlight w:val="none"/>
        </w:rPr>
        <w:t>在工程影响水域，杂食性鱼类既食水生昆虫、虾类和淡水壳菜等动物性饵料，也食藻类、植物碎屑和种子等。常见的有鮈亚科的鱼类等。</w:t>
      </w:r>
    </w:p>
    <w:p>
      <w:pPr>
        <w:pStyle w:val="6"/>
        <w:rPr>
          <w:rFonts w:cs="Times New Roman"/>
          <w:color w:val="auto"/>
          <w:szCs w:val="24"/>
        </w:rPr>
      </w:pPr>
      <w:bookmarkStart w:id="347" w:name="_Toc245456774"/>
      <w:bookmarkStart w:id="348" w:name="_Toc517945578"/>
      <w:bookmarkStart w:id="349" w:name="_Toc13848"/>
      <w:bookmarkStart w:id="350" w:name="_Toc22190"/>
      <w:r>
        <w:rPr>
          <w:rFonts w:cs="Times New Roman"/>
          <w:color w:val="auto"/>
          <w:szCs w:val="24"/>
        </w:rPr>
        <w:t>工程河段及相邻河段产卵场、索饵场、越冬场和洄游通道情况</w:t>
      </w:r>
      <w:bookmarkEnd w:id="347"/>
      <w:bookmarkEnd w:id="348"/>
      <w:bookmarkEnd w:id="349"/>
      <w:bookmarkEnd w:id="350"/>
    </w:p>
    <w:p>
      <w:pPr>
        <w:spacing w:line="360" w:lineRule="auto"/>
        <w:ind w:firstLine="480" w:firstLineChars="200"/>
        <w:rPr>
          <w:rFonts w:ascii="Times New Roman" w:hAnsi="Times New Roman"/>
          <w:color w:val="auto"/>
          <w:sz w:val="24"/>
        </w:rPr>
      </w:pPr>
      <w:r>
        <w:rPr>
          <w:rFonts w:ascii="Times New Roman" w:hAnsi="Times New Roman"/>
          <w:color w:val="auto"/>
          <w:sz w:val="24"/>
        </w:rPr>
        <w:t>（1）产卵场</w:t>
      </w:r>
    </w:p>
    <w:p>
      <w:pPr>
        <w:spacing w:line="360" w:lineRule="auto"/>
        <w:ind w:firstLine="480" w:firstLineChars="200"/>
        <w:jc w:val="left"/>
        <w:rPr>
          <w:rFonts w:hint="eastAsia" w:ascii="宋体" w:hAnsi="宋体" w:eastAsia="宋体" w:cs="宋体"/>
          <w:color w:val="auto"/>
          <w:sz w:val="24"/>
        </w:rPr>
      </w:pPr>
      <w:r>
        <w:rPr>
          <w:rFonts w:ascii="Times New Roman" w:hAnsi="Times New Roman"/>
          <w:color w:val="auto"/>
          <w:sz w:val="24"/>
        </w:rPr>
        <w:t>3~6月是该区域鱼类的主要繁殖季节，按其产卵习性不同，各选择不同生态条件完成生殖活动。性成熟早、生长快、适应能力强的鲤、鲫鱼的产卵环境主要分布在凹岸湾沱，沿河水草丰茂区，倒濠内侧以及水工建筑的龙干内浩。本次评价琼江段由于下游萝卜园水库的拦蓄作用，水流平缓，在枯水期内直至产卵盛期，透明度达0.3~0.5m，水生藻类着石而生，为静水型的鲤、鲫等提供了良好的产卵条件。而南方鲇、黄颡鱼等微流水或流水产卵类型则主要在滩上的砾石、卵石间产卵，卵粒粘附在砾石、卵石间上发育。部分卵粒散落到下游江段的砾石间，从而扩大了分布区域。翘嘴鲌产卵场分布较广泛，在琼江河段都有分布，</w:t>
      </w:r>
      <w:r>
        <w:rPr>
          <w:color w:val="auto"/>
          <w:sz w:val="24"/>
        </w:rPr>
        <w:t>主要产卵场在琼江的</w:t>
      </w:r>
      <w:r>
        <w:rPr>
          <w:rFonts w:hint="eastAsia"/>
          <w:color w:val="auto"/>
          <w:sz w:val="24"/>
          <w:lang w:val="en-US" w:eastAsia="zh-CN"/>
        </w:rPr>
        <w:t>油房坝、蟠龙河的管家坝</w:t>
      </w:r>
      <w:r>
        <w:rPr>
          <w:color w:val="auto"/>
          <w:sz w:val="24"/>
        </w:rPr>
        <w:t>等河段</w:t>
      </w:r>
      <w:r>
        <w:rPr>
          <w:rFonts w:hint="eastAsia" w:ascii="宋体" w:hAnsi="宋体" w:eastAsia="宋体" w:cs="宋体"/>
          <w:color w:val="auto"/>
          <w:sz w:val="24"/>
        </w:rPr>
        <w:t>。</w:t>
      </w:r>
    </w:p>
    <w:p>
      <w:pPr>
        <w:pStyle w:val="48"/>
        <w:keepNext w:val="0"/>
        <w:keepLines w:val="0"/>
        <w:pageBreakBefore w:val="0"/>
        <w:widowControl w:val="0"/>
        <w:kinsoku/>
        <w:wordWrap/>
        <w:overflowPunct/>
        <w:topLinePunct w:val="0"/>
        <w:autoSpaceDE w:val="0"/>
        <w:autoSpaceDN w:val="0"/>
        <w:bidi w:val="0"/>
        <w:adjustRightInd/>
        <w:snapToGrid/>
        <w:ind w:firstLine="480" w:firstLineChars="200"/>
        <w:textAlignment w:val="auto"/>
        <w:rPr>
          <w:color w:val="auto"/>
        </w:rPr>
      </w:pPr>
      <w:r>
        <w:rPr>
          <w:color w:val="auto"/>
          <w:sz w:val="24"/>
        </w:rPr>
        <w:t>琼江多数鱼类主要产粘沉性卵，需要砾石、沙砾底质，鱼类产卵后，受精卵落入石砾缝中，在流水的不断冲动中顺利孵化，因此这些鱼类繁殖还需要一定的流水条件。总体来讲，产粘沉性卵的鱼类对产卵场要求并不严格，调查江段水流平缓，河床底质多为泥质，沿岸水草等可为产粘性卵的鱼类提供一定的繁殖的条件。这些鱼类在调查水域的产卵场也较为分散，产卵规模小而不稳定。</w:t>
      </w:r>
    </w:p>
    <w:p>
      <w:pPr>
        <w:spacing w:line="360" w:lineRule="auto"/>
        <w:ind w:firstLine="480" w:firstLineChars="200"/>
        <w:rPr>
          <w:rFonts w:ascii="Times New Roman" w:hAnsi="Times New Roman"/>
          <w:color w:val="auto"/>
          <w:sz w:val="24"/>
        </w:rPr>
      </w:pPr>
      <w:r>
        <w:rPr>
          <w:rFonts w:ascii="Times New Roman" w:hAnsi="Times New Roman"/>
          <w:color w:val="auto"/>
          <w:sz w:val="24"/>
        </w:rPr>
        <w:t>（2）幼鱼索饵场</w:t>
      </w:r>
    </w:p>
    <w:p>
      <w:pPr>
        <w:keepNext w:val="0"/>
        <w:keepLines w:val="0"/>
        <w:pageBreakBefore w:val="0"/>
        <w:widowControl w:val="0"/>
        <w:kinsoku/>
        <w:wordWrap/>
        <w:overflowPunct/>
        <w:topLinePunct w:val="0"/>
        <w:bidi w:val="0"/>
        <w:snapToGrid/>
        <w:spacing w:line="360" w:lineRule="auto"/>
        <w:ind w:right="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一般幼鱼的索饵场环境基本特征是静水或缓流水或微流水，水深在0.5m左右，底质多为卵石、乱石或卵石夹砂，在这些物体之间生长着多种硅藻和丝状绿藻，石隙间常栖虾、蟹、螺类及多种水生昆虫。同时，这些地方敌害生物少，有利于幼鱼的存活。此外，两岸大多数都布满水生草本植物，也是其它鱼类的索饵场。琼江水流相对平缓，两岸水生植物生长茂盛，为幼鱼索饵提供了良好的条件，因此索饵场分布较为广泛。</w:t>
      </w:r>
    </w:p>
    <w:p>
      <w:pPr>
        <w:keepNext w:val="0"/>
        <w:keepLines w:val="0"/>
        <w:pageBreakBefore w:val="0"/>
        <w:widowControl w:val="0"/>
        <w:kinsoku/>
        <w:wordWrap/>
        <w:overflowPunct/>
        <w:topLinePunct w:val="0"/>
        <w:bidi w:val="0"/>
        <w:snapToGrid/>
        <w:spacing w:line="360" w:lineRule="auto"/>
        <w:ind w:right="0" w:firstLine="480" w:firstLineChars="200"/>
        <w:textAlignment w:val="auto"/>
        <w:rPr>
          <w:rFonts w:ascii="Times New Roman" w:hAnsi="Times New Roman"/>
          <w:color w:val="auto"/>
          <w:sz w:val="24"/>
        </w:rPr>
      </w:pPr>
      <w:r>
        <w:rPr>
          <w:rFonts w:ascii="Times New Roman" w:hAnsi="Times New Roman"/>
          <w:color w:val="auto"/>
          <w:sz w:val="24"/>
        </w:rPr>
        <w:t>（3）越冬场</w:t>
      </w:r>
    </w:p>
    <w:p>
      <w:pPr>
        <w:keepNext w:val="0"/>
        <w:keepLines w:val="0"/>
        <w:pageBreakBefore w:val="0"/>
        <w:widowControl w:val="0"/>
        <w:kinsoku/>
        <w:wordWrap/>
        <w:overflowPunct/>
        <w:topLinePunct w:val="0"/>
        <w:bidi w:val="0"/>
        <w:snapToGrid/>
        <w:spacing w:line="360" w:lineRule="auto"/>
        <w:ind w:right="0" w:firstLine="480" w:firstLineChars="200"/>
        <w:textAlignment w:val="auto"/>
        <w:rPr>
          <w:rFonts w:ascii="Times New Roman" w:hAnsi="Times New Roman"/>
          <w:color w:val="auto"/>
          <w:sz w:val="24"/>
        </w:rPr>
      </w:pPr>
      <w:r>
        <w:rPr>
          <w:rFonts w:ascii="Times New Roman" w:hAnsi="Times New Roman"/>
          <w:color w:val="auto"/>
          <w:sz w:val="24"/>
        </w:rPr>
        <w:t>冬季来临之前，鱼类经过夏、秋季的索饵，大都长得身体肥壮，体内贮积大量脂肪，每年入秋以后天气转冷，水温随之下降，而河水流量逐渐减少，水位降低透明度增大，饵料减少，此时，在各不同深度、不同环境中觅食的主要经济鱼类，逐渐受气候等各种外部因素变化的影响进入深水处活动。具有明显越冬习性的种类，“归沱”便是鱼类进入越冬场的开始期。没有越冬习性的种类，受天气变化等不利条件的影响，也可暂时归沱，躲避不利条件。总之，它们都找到冬季适宜的环境条件而栖息越冬。鱼类的活动能力将减低，为了保证在寒冷的季节有适宜的栖息条件，往往进行由浅水环境向深水或由水域的北部向南部移动的越冬洄游，方向稳定。</w:t>
      </w:r>
    </w:p>
    <w:p>
      <w:pPr>
        <w:spacing w:line="360" w:lineRule="auto"/>
        <w:ind w:firstLine="480" w:firstLineChars="200"/>
        <w:rPr>
          <w:rFonts w:ascii="Times New Roman" w:hAnsi="Times New Roman"/>
          <w:color w:val="auto"/>
          <w:sz w:val="24"/>
        </w:rPr>
      </w:pPr>
      <w:r>
        <w:rPr>
          <w:color w:val="auto"/>
          <w:sz w:val="24"/>
        </w:rPr>
        <w:t>鱼类越冬场通常认为位于干流的河床深处或坑穴中，水体要求宽大而深，多为河沱、河槽、湾沱、回水或微流水或流水，底质多为乱石、河槽、湾沱、洄水或微流水式流水、凹凸不平的水域，并常随汛期砾石的堆积、河道改变和泥沙淤积而有所改变。越冬场的一侧大都有1～3m深的流水浅滩和江岸。工程区河道较为顺直，评价江段存在红岩凼水电站、莲花台水电站及黄林滩水电站等几处拦水坝，导致相应河段水位抬升，水体深度增加，流速减缓，是鱼类越冬的理想场所</w:t>
      </w:r>
      <w:r>
        <w:rPr>
          <w:rFonts w:ascii="Times New Roman" w:hAnsi="Times New Roman"/>
          <w:color w:val="auto"/>
          <w:sz w:val="24"/>
        </w:rPr>
        <w:t>。</w:t>
      </w:r>
    </w:p>
    <w:p>
      <w:pPr>
        <w:spacing w:line="360" w:lineRule="auto"/>
        <w:jc w:val="center"/>
        <w:rPr>
          <w:rFonts w:hint="eastAsia" w:ascii="宋体" w:hAnsi="宋体" w:eastAsia="宋体" w:cs="宋体"/>
          <w:b/>
          <w:color w:val="auto"/>
          <w:sz w:val="21"/>
          <w:szCs w:val="21"/>
        </w:rPr>
      </w:pPr>
      <w:r>
        <w:rPr>
          <w:rFonts w:hint="eastAsia" w:ascii="宋体" w:hAnsi="宋体" w:eastAsia="宋体" w:cs="宋体"/>
          <w:b/>
          <w:color w:val="auto"/>
          <w:sz w:val="21"/>
          <w:szCs w:val="21"/>
        </w:rPr>
        <w:t>表6-1</w:t>
      </w:r>
      <w:r>
        <w:rPr>
          <w:rFonts w:hint="eastAsia" w:ascii="宋体" w:hAnsi="宋体" w:cs="宋体"/>
          <w:b/>
          <w:color w:val="auto"/>
          <w:sz w:val="21"/>
          <w:szCs w:val="21"/>
          <w:lang w:val="en-US" w:eastAsia="zh-CN"/>
        </w:rPr>
        <w:t>6</w:t>
      </w:r>
      <w:r>
        <w:rPr>
          <w:rFonts w:hint="eastAsia" w:ascii="宋体" w:hAnsi="宋体" w:eastAsia="宋体" w:cs="宋体"/>
          <w:b/>
          <w:color w:val="auto"/>
          <w:sz w:val="21"/>
          <w:szCs w:val="21"/>
        </w:rPr>
        <w:t xml:space="preserve"> </w:t>
      </w:r>
      <w:r>
        <w:rPr>
          <w:rFonts w:hint="eastAsia" w:ascii="宋体" w:hAnsi="宋体" w:cs="宋体"/>
          <w:b/>
          <w:color w:val="auto"/>
          <w:sz w:val="21"/>
          <w:szCs w:val="21"/>
          <w:lang w:val="en-US" w:eastAsia="zh-CN"/>
        </w:rPr>
        <w:t xml:space="preserve"> </w:t>
      </w:r>
      <w:r>
        <w:rPr>
          <w:rFonts w:hint="eastAsia" w:ascii="宋体" w:hAnsi="宋体" w:eastAsia="宋体" w:cs="宋体"/>
          <w:b/>
          <w:color w:val="auto"/>
          <w:sz w:val="21"/>
          <w:szCs w:val="21"/>
        </w:rPr>
        <w:t>调查水域鱼类“三场”分布</w:t>
      </w:r>
    </w:p>
    <w:tbl>
      <w:tblPr>
        <w:tblStyle w:val="39"/>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518"/>
        <w:gridCol w:w="2196"/>
        <w:gridCol w:w="1782"/>
        <w:gridCol w:w="206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b/>
                <w:color w:val="auto"/>
                <w:szCs w:val="21"/>
                <w:highlight w:val="none"/>
              </w:rPr>
              <w:t>序号</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466" w:leftChars="-222" w:firstLine="468" w:firstLineChars="222"/>
              <w:jc w:val="center"/>
              <w:textAlignment w:val="auto"/>
              <w:rPr>
                <w:rFonts w:hint="eastAsia" w:ascii="宋体" w:hAnsi="宋体" w:eastAsia="宋体" w:cs="宋体"/>
                <w:b/>
                <w:color w:val="auto"/>
                <w:szCs w:val="21"/>
                <w:highlight w:val="none"/>
                <w:lang w:val="zh-CN"/>
              </w:rPr>
            </w:pPr>
            <w:r>
              <w:rPr>
                <w:rFonts w:hint="eastAsia" w:ascii="宋体" w:hAnsi="宋体" w:eastAsia="宋体" w:cs="宋体"/>
                <w:b/>
                <w:color w:val="auto"/>
                <w:szCs w:val="21"/>
                <w:highlight w:val="none"/>
              </w:rPr>
              <w:t>位置</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b/>
                <w:color w:val="auto"/>
                <w:szCs w:val="21"/>
                <w:highlight w:val="none"/>
              </w:rPr>
              <w:t>产卵场或其他功能区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b/>
                <w:color w:val="auto"/>
                <w:szCs w:val="21"/>
                <w:highlight w:val="none"/>
              </w:rPr>
              <w:t>坐标</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b/>
                <w:color w:val="auto"/>
                <w:szCs w:val="21"/>
                <w:highlight w:val="none"/>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color w:val="auto"/>
                <w:szCs w:val="21"/>
                <w:highlight w:val="none"/>
              </w:rPr>
              <w:t>1</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油房坝</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鲤、鲫产卵场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30°</w:t>
            </w:r>
            <w:r>
              <w:rPr>
                <w:rFonts w:hint="eastAsia" w:ascii="宋体" w:hAnsi="宋体" w:eastAsia="宋体" w:cs="宋体"/>
                <w:bCs/>
                <w:color w:val="auto"/>
                <w:szCs w:val="21"/>
                <w:highlight w:val="none"/>
                <w:lang w:val="en-US" w:eastAsia="zh-CN"/>
              </w:rPr>
              <w:t>22</w:t>
            </w:r>
            <w:r>
              <w:rPr>
                <w:rFonts w:hint="eastAsia" w:ascii="宋体" w:hAnsi="宋体" w:eastAsia="宋体" w:cs="宋体"/>
                <w:bCs/>
                <w:color w:val="auto"/>
                <w:szCs w:val="21"/>
                <w:highlight w:val="none"/>
              </w:rPr>
              <w:t>'0</w:t>
            </w:r>
            <w:r>
              <w:rPr>
                <w:rFonts w:hint="eastAsia" w:ascii="宋体" w:hAnsi="宋体" w:eastAsia="宋体" w:cs="宋体"/>
                <w:bCs/>
                <w:color w:val="auto"/>
                <w:szCs w:val="21"/>
                <w:highlight w:val="none"/>
                <w:lang w:val="en-US" w:eastAsia="zh-CN"/>
              </w:rPr>
              <w:t>9</w:t>
            </w:r>
            <w:r>
              <w:rPr>
                <w:rFonts w:hint="eastAsia" w:ascii="宋体" w:hAnsi="宋体" w:eastAsia="宋体" w:cs="宋体"/>
                <w:bCs/>
                <w:color w:val="auto"/>
                <w:szCs w:val="21"/>
                <w:highlight w:val="none"/>
              </w:rPr>
              <w:t>"N</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105°2</w:t>
            </w:r>
            <w:r>
              <w:rPr>
                <w:rFonts w:hint="eastAsia" w:ascii="宋体" w:hAnsi="宋体" w:eastAsia="宋体" w:cs="宋体"/>
                <w:bCs/>
                <w:color w:val="auto"/>
                <w:szCs w:val="21"/>
                <w:highlight w:val="none"/>
                <w:lang w:val="en-US" w:eastAsia="zh-CN"/>
              </w:rPr>
              <w:t>6</w:t>
            </w:r>
            <w:r>
              <w:rPr>
                <w:rFonts w:hint="eastAsia" w:ascii="宋体" w:hAnsi="宋体" w:eastAsia="宋体" w:cs="宋体"/>
                <w:bCs/>
                <w:color w:val="auto"/>
                <w:szCs w:val="21"/>
                <w:highlight w:val="none"/>
              </w:rPr>
              <w:t>'0</w:t>
            </w:r>
            <w:r>
              <w:rPr>
                <w:rFonts w:hint="eastAsia" w:ascii="宋体" w:hAnsi="宋体" w:eastAsia="宋体" w:cs="宋体"/>
                <w:bCs/>
                <w:color w:val="auto"/>
                <w:szCs w:val="21"/>
                <w:highlight w:val="none"/>
                <w:lang w:val="en-US" w:eastAsia="zh-CN"/>
              </w:rPr>
              <w:t>9</w:t>
            </w:r>
            <w:r>
              <w:rPr>
                <w:rFonts w:hint="eastAsia" w:ascii="宋体" w:hAnsi="宋体" w:eastAsia="宋体" w:cs="宋体"/>
                <w:bCs/>
                <w:color w:val="auto"/>
                <w:szCs w:val="21"/>
                <w:highlight w:val="none"/>
              </w:rPr>
              <w:t>"E</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工程起点上游</w:t>
            </w:r>
            <w:r>
              <w:rPr>
                <w:rFonts w:hint="eastAsia" w:ascii="宋体" w:hAnsi="宋体" w:eastAsia="宋体" w:cs="宋体"/>
                <w:color w:val="auto"/>
                <w:szCs w:val="21"/>
                <w:highlight w:val="none"/>
                <w:lang w:val="en-US" w:eastAsia="zh-CN"/>
              </w:rPr>
              <w:t>700</w:t>
            </w:r>
            <w:r>
              <w:rPr>
                <w:rFonts w:hint="eastAsia" w:ascii="宋体" w:hAnsi="宋体" w:eastAsia="宋体" w:cs="宋体"/>
                <w:color w:val="auto"/>
                <w:szCs w:val="21"/>
                <w:highlight w:val="none"/>
              </w:rPr>
              <w:cr/>
            </w:r>
            <w:r>
              <w:rPr>
                <w:rFonts w:hint="eastAsia" w:ascii="宋体" w:hAnsi="宋体" w:eastAsia="宋体" w:cs="宋体"/>
                <w:color w:val="auto"/>
                <w:szCs w:val="21"/>
                <w:highlight w:val="none"/>
              </w:rPr>
              <w:t>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管家坝</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产卵场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30°2</w:t>
            </w:r>
            <w:r>
              <w:rPr>
                <w:rFonts w:hint="eastAsia" w:ascii="宋体" w:hAnsi="宋体" w:eastAsia="宋体" w:cs="宋体"/>
                <w:bCs/>
                <w:color w:val="auto"/>
                <w:szCs w:val="21"/>
                <w:highlight w:val="none"/>
                <w:lang w:val="en-US" w:eastAsia="zh-CN"/>
              </w:rPr>
              <w:t>1</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0</w:t>
            </w:r>
            <w:r>
              <w:rPr>
                <w:rFonts w:hint="eastAsia" w:ascii="宋体" w:hAnsi="宋体" w:eastAsia="宋体" w:cs="宋体"/>
                <w:bCs/>
                <w:color w:val="auto"/>
                <w:szCs w:val="21"/>
                <w:highlight w:val="none"/>
              </w:rPr>
              <w:t>5"N</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105°</w:t>
            </w:r>
            <w:r>
              <w:rPr>
                <w:rFonts w:hint="eastAsia" w:ascii="宋体" w:hAnsi="宋体" w:eastAsia="宋体" w:cs="宋体"/>
                <w:bCs/>
                <w:color w:val="auto"/>
                <w:szCs w:val="21"/>
                <w:highlight w:val="none"/>
                <w:lang w:val="en-US" w:eastAsia="zh-CN"/>
              </w:rPr>
              <w:t>26</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40</w:t>
            </w:r>
            <w:r>
              <w:rPr>
                <w:rFonts w:hint="eastAsia" w:ascii="宋体" w:hAnsi="宋体" w:eastAsia="宋体" w:cs="宋体"/>
                <w:bCs/>
                <w:color w:val="auto"/>
                <w:szCs w:val="21"/>
                <w:highlight w:val="none"/>
              </w:rPr>
              <w:t>"E</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工程起</w:t>
            </w:r>
            <w:r>
              <w:rPr>
                <w:rFonts w:hint="eastAsia" w:ascii="宋体" w:hAnsi="宋体" w:eastAsia="宋体" w:cs="宋体"/>
                <w:color w:val="auto"/>
                <w:szCs w:val="21"/>
                <w:highlight w:val="none"/>
              </w:rPr>
              <w:t>点</w:t>
            </w:r>
            <w:r>
              <w:rPr>
                <w:rFonts w:hint="eastAsia" w:ascii="宋体" w:hAnsi="宋体" w:eastAsia="宋体" w:cs="宋体"/>
                <w:color w:val="auto"/>
                <w:szCs w:val="21"/>
                <w:highlight w:val="none"/>
                <w:lang w:val="en-US" w:eastAsia="zh-CN"/>
              </w:rPr>
              <w:t>上游1.3km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
                <w:color w:val="auto"/>
                <w:szCs w:val="21"/>
                <w:highlight w:val="none"/>
                <w:lang w:val="zh-CN"/>
              </w:rPr>
            </w:pPr>
            <w:r>
              <w:rPr>
                <w:rFonts w:hint="eastAsia" w:ascii="宋体" w:hAnsi="宋体" w:eastAsia="宋体" w:cs="宋体"/>
                <w:color w:val="auto"/>
                <w:szCs w:val="21"/>
                <w:highlight w:val="none"/>
              </w:rPr>
              <w:t>3</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琼江蟠龙河汇口</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索饵场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30°</w:t>
            </w:r>
            <w:r>
              <w:rPr>
                <w:rFonts w:hint="eastAsia" w:ascii="宋体" w:hAnsi="宋体" w:eastAsia="宋体" w:cs="宋体"/>
                <w:bCs/>
                <w:color w:val="auto"/>
                <w:szCs w:val="21"/>
                <w:highlight w:val="none"/>
                <w:lang w:val="en-US" w:eastAsia="zh-CN"/>
              </w:rPr>
              <w:t>21</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06</w:t>
            </w:r>
            <w:r>
              <w:rPr>
                <w:rFonts w:hint="eastAsia" w:ascii="宋体" w:hAnsi="宋体" w:eastAsia="宋体" w:cs="宋体"/>
                <w:bCs/>
                <w:color w:val="auto"/>
                <w:szCs w:val="21"/>
                <w:highlight w:val="none"/>
              </w:rPr>
              <w:t>"N</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105°</w:t>
            </w:r>
            <w:r>
              <w:rPr>
                <w:rFonts w:hint="eastAsia" w:ascii="宋体" w:hAnsi="宋体" w:eastAsia="宋体" w:cs="宋体"/>
                <w:bCs/>
                <w:color w:val="auto"/>
                <w:szCs w:val="21"/>
                <w:highlight w:val="none"/>
                <w:lang w:val="en-US" w:eastAsia="zh-CN"/>
              </w:rPr>
              <w:t>27</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04</w:t>
            </w:r>
            <w:r>
              <w:rPr>
                <w:rFonts w:hint="eastAsia" w:ascii="宋体" w:hAnsi="宋体" w:eastAsia="宋体" w:cs="宋体"/>
                <w:bCs/>
                <w:color w:val="auto"/>
                <w:szCs w:val="21"/>
                <w:highlight w:val="none"/>
              </w:rPr>
              <w:t>"E</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工程止点下游</w:t>
            </w:r>
            <w:r>
              <w:rPr>
                <w:rFonts w:hint="eastAsia" w:ascii="宋体" w:hAnsi="宋体" w:eastAsia="宋体" w:cs="宋体"/>
                <w:color w:val="auto"/>
                <w:szCs w:val="21"/>
                <w:highlight w:val="none"/>
                <w:lang w:val="en-US" w:eastAsia="zh-CN"/>
              </w:rPr>
              <w:t>0</w:t>
            </w:r>
            <w:r>
              <w:rPr>
                <w:rFonts w:hint="eastAsia" w:ascii="宋体" w:hAnsi="宋体" w:eastAsia="宋体" w:cs="宋体"/>
                <w:color w:val="auto"/>
                <w:szCs w:val="21"/>
                <w:highlight w:val="none"/>
              </w:rPr>
              <w:t>km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4</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滨江路</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索饵场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30°</w:t>
            </w:r>
            <w:r>
              <w:rPr>
                <w:rFonts w:hint="eastAsia" w:ascii="宋体" w:hAnsi="宋体" w:eastAsia="宋体" w:cs="宋体"/>
                <w:bCs/>
                <w:color w:val="auto"/>
                <w:szCs w:val="21"/>
                <w:highlight w:val="none"/>
                <w:lang w:val="en-US" w:eastAsia="zh-CN"/>
              </w:rPr>
              <w:t>21</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15</w:t>
            </w:r>
            <w:r>
              <w:rPr>
                <w:rFonts w:hint="eastAsia" w:ascii="宋体" w:hAnsi="宋体" w:eastAsia="宋体" w:cs="宋体"/>
                <w:bCs/>
                <w:color w:val="auto"/>
                <w:szCs w:val="21"/>
                <w:highlight w:val="none"/>
              </w:rPr>
              <w:t>"N</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105°2</w:t>
            </w:r>
            <w:r>
              <w:rPr>
                <w:rFonts w:hint="eastAsia" w:ascii="宋体" w:hAnsi="宋体" w:eastAsia="宋体" w:cs="宋体"/>
                <w:bCs/>
                <w:color w:val="auto"/>
                <w:szCs w:val="21"/>
                <w:highlight w:val="none"/>
                <w:lang w:val="en-US" w:eastAsia="zh-CN"/>
              </w:rPr>
              <w:t>7</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4</w:t>
            </w:r>
            <w:r>
              <w:rPr>
                <w:rFonts w:hint="eastAsia" w:ascii="宋体" w:hAnsi="宋体" w:eastAsia="宋体" w:cs="宋体"/>
                <w:bCs/>
                <w:color w:val="auto"/>
                <w:szCs w:val="21"/>
                <w:highlight w:val="none"/>
              </w:rPr>
              <w:t>3"E</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rPr>
            </w:pPr>
            <w:r>
              <w:rPr>
                <w:rFonts w:hint="eastAsia" w:ascii="宋体" w:hAnsi="宋体" w:eastAsia="宋体" w:cs="宋体"/>
                <w:color w:val="auto"/>
                <w:szCs w:val="21"/>
                <w:highlight w:val="none"/>
              </w:rPr>
              <w:t>工程止点下游</w:t>
            </w:r>
            <w:r>
              <w:rPr>
                <w:rFonts w:hint="eastAsia" w:ascii="宋体" w:hAnsi="宋体" w:eastAsia="宋体" w:cs="宋体"/>
                <w:color w:val="auto"/>
                <w:szCs w:val="21"/>
                <w:highlight w:val="none"/>
                <w:lang w:val="en-US" w:eastAsia="zh-CN"/>
              </w:rPr>
              <w:t>650</w:t>
            </w:r>
            <w:r>
              <w:rPr>
                <w:rFonts w:hint="eastAsia" w:ascii="宋体" w:hAnsi="宋体" w:eastAsia="宋体" w:cs="宋体"/>
                <w:color w:val="auto"/>
                <w:szCs w:val="21"/>
                <w:highlight w:val="none"/>
              </w:rPr>
              <w:t>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5</w:t>
            </w:r>
          </w:p>
        </w:tc>
        <w:tc>
          <w:tcPr>
            <w:tcW w:w="1518"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陶家坝</w:t>
            </w:r>
          </w:p>
        </w:tc>
        <w:tc>
          <w:tcPr>
            <w:tcW w:w="219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越冬场</w:t>
            </w:r>
          </w:p>
        </w:tc>
        <w:tc>
          <w:tcPr>
            <w:tcW w:w="178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30°</w:t>
            </w:r>
            <w:r>
              <w:rPr>
                <w:rFonts w:hint="eastAsia" w:ascii="宋体" w:hAnsi="宋体" w:eastAsia="宋体" w:cs="宋体"/>
                <w:bCs/>
                <w:color w:val="auto"/>
                <w:szCs w:val="21"/>
                <w:highlight w:val="none"/>
                <w:lang w:val="en-US" w:eastAsia="zh-CN"/>
              </w:rPr>
              <w:t>21</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52</w:t>
            </w:r>
            <w:r>
              <w:rPr>
                <w:rFonts w:hint="eastAsia" w:ascii="宋体" w:hAnsi="宋体" w:eastAsia="宋体" w:cs="宋体"/>
                <w:bCs/>
                <w:color w:val="auto"/>
                <w:szCs w:val="21"/>
                <w:highlight w:val="none"/>
              </w:rPr>
              <w:t>"N</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105°2</w:t>
            </w:r>
            <w:r>
              <w:rPr>
                <w:rFonts w:hint="eastAsia" w:ascii="宋体" w:hAnsi="宋体" w:eastAsia="宋体" w:cs="宋体"/>
                <w:bCs/>
                <w:color w:val="auto"/>
                <w:szCs w:val="21"/>
                <w:highlight w:val="none"/>
                <w:lang w:val="en-US" w:eastAsia="zh-CN"/>
              </w:rPr>
              <w:t>8</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17</w:t>
            </w:r>
            <w:r>
              <w:rPr>
                <w:rFonts w:hint="eastAsia" w:ascii="宋体" w:hAnsi="宋体" w:eastAsia="宋体" w:cs="宋体"/>
                <w:bCs/>
                <w:color w:val="auto"/>
                <w:szCs w:val="21"/>
                <w:highlight w:val="none"/>
              </w:rPr>
              <w:t>"E</w:t>
            </w:r>
          </w:p>
        </w:tc>
        <w:tc>
          <w:tcPr>
            <w:tcW w:w="206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工程下游1.6km</w:t>
            </w:r>
          </w:p>
        </w:tc>
      </w:tr>
    </w:tbl>
    <w:p>
      <w:pPr>
        <w:spacing w:line="360" w:lineRule="auto"/>
        <w:jc w:val="center"/>
        <w:rPr>
          <w:rFonts w:ascii="Times New Roman" w:hAnsi="Times New Roman"/>
          <w:b/>
          <w:color w:val="FF0000"/>
          <w:sz w:val="24"/>
        </w:rPr>
      </w:pPr>
    </w:p>
    <w:p>
      <w:pPr>
        <w:jc w:val="center"/>
        <w:rPr>
          <w:rFonts w:ascii="Times New Roman" w:hAnsi="Times New Roman"/>
          <w:color w:val="FF0000"/>
        </w:rPr>
      </w:pPr>
      <w:r>
        <w:drawing>
          <wp:inline distT="0" distB="0" distL="114300" distR="114300">
            <wp:extent cx="5466715" cy="3466465"/>
            <wp:effectExtent l="0" t="0" r="6985" b="63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8"/>
                    <a:stretch>
                      <a:fillRect/>
                    </a:stretch>
                  </pic:blipFill>
                  <pic:spPr>
                    <a:xfrm>
                      <a:off x="0" y="0"/>
                      <a:ext cx="5466715" cy="3466465"/>
                    </a:xfrm>
                    <a:prstGeom prst="rect">
                      <a:avLst/>
                    </a:prstGeom>
                    <a:noFill/>
                    <a:ln>
                      <a:noFill/>
                    </a:ln>
                  </pic:spPr>
                </pic:pic>
              </a:graphicData>
            </a:graphic>
          </wp:inline>
        </w:drawing>
      </w:r>
    </w:p>
    <w:p>
      <w:pPr>
        <w:jc w:val="center"/>
        <w:rPr>
          <w:rFonts w:ascii="Times New Roman" w:hAnsi="Times New Roman"/>
          <w:b/>
          <w:bCs/>
          <w:color w:val="auto"/>
          <w:szCs w:val="21"/>
        </w:rPr>
      </w:pPr>
      <w:r>
        <w:rPr>
          <w:rFonts w:ascii="Times New Roman" w:hAnsi="Times New Roman"/>
          <w:b/>
          <w:bCs/>
          <w:color w:val="auto"/>
          <w:szCs w:val="21"/>
        </w:rPr>
        <w:t>图</w:t>
      </w:r>
      <w:r>
        <w:rPr>
          <w:rFonts w:hint="eastAsia" w:ascii="Times New Roman" w:hAnsi="Times New Roman"/>
          <w:b/>
          <w:bCs/>
          <w:color w:val="auto"/>
          <w:szCs w:val="21"/>
        </w:rPr>
        <w:t>6-</w:t>
      </w:r>
      <w:r>
        <w:rPr>
          <w:rFonts w:hint="eastAsia" w:ascii="Times New Roman" w:hAnsi="Times New Roman"/>
          <w:b/>
          <w:bCs/>
          <w:color w:val="auto"/>
          <w:szCs w:val="21"/>
          <w:lang w:val="en-US" w:eastAsia="zh-CN"/>
        </w:rPr>
        <w:t xml:space="preserve">2 </w:t>
      </w:r>
      <w:r>
        <w:rPr>
          <w:rFonts w:ascii="Times New Roman" w:hAnsi="Times New Roman"/>
          <w:b/>
          <w:bCs/>
          <w:color w:val="auto"/>
          <w:szCs w:val="21"/>
        </w:rPr>
        <w:t>调查水域鱼类“三场”分布图</w:t>
      </w:r>
    </w:p>
    <w:p>
      <w:pPr>
        <w:pStyle w:val="6"/>
        <w:rPr>
          <w:rFonts w:cs="Times New Roman"/>
          <w:color w:val="auto"/>
        </w:rPr>
      </w:pPr>
      <w:bookmarkStart w:id="351" w:name="_Toc13840"/>
      <w:bookmarkStart w:id="352" w:name="_Toc11558"/>
      <w:bookmarkStart w:id="353" w:name="_Toc517945576"/>
      <w:bookmarkStart w:id="354" w:name="_Toc19346"/>
      <w:bookmarkStart w:id="355" w:name="_Toc517945579"/>
      <w:r>
        <w:rPr>
          <w:rFonts w:cs="Times New Roman"/>
          <w:color w:val="auto"/>
        </w:rPr>
        <w:t>鱼类资源现状</w:t>
      </w:r>
      <w:bookmarkEnd w:id="351"/>
      <w:bookmarkEnd w:id="352"/>
      <w:bookmarkEnd w:id="353"/>
    </w:p>
    <w:p>
      <w:pPr>
        <w:spacing w:line="360" w:lineRule="auto"/>
        <w:ind w:firstLine="48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（1）保护区重点保护鱼类现状</w:t>
      </w:r>
    </w:p>
    <w:p>
      <w:pPr>
        <w:spacing w:line="360" w:lineRule="auto"/>
        <w:ind w:firstLine="48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上世纪七、八十年代，栖息在保护区内的翘嘴鲌、蒙古鲌、乌鳢和黄颡鱼等在该江河的渔获物中占有较大比例。在八十年代前，该河段的翘嘴鲌、蒙古鲌、乌鳢、黄颡鱼年产量均在5000kg左右，占鱼获物的15％。九十年代翘嘴鲌、蒙古鲌、乌鳢、黄颡鱼数量明显减少，其它水生野生动物资源也呈逐年下降的趋势。琼江翘嘴红鲌省级水产种质资源保护区建立以后，主管部门加大了对保护区的管护力度，区内渔业资源有所回升。随着保护区全流域禁捕政策的实施，琼江的鱼类会越来越多。</w:t>
      </w:r>
    </w:p>
    <w:p>
      <w:pPr>
        <w:spacing w:line="360" w:lineRule="auto"/>
        <w:ind w:firstLine="480" w:firstLineChars="20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（2）经济鱼类现状</w:t>
      </w:r>
    </w:p>
    <w:p>
      <w:pPr>
        <w:spacing w:line="360" w:lineRule="auto"/>
        <w:ind w:firstLine="480"/>
        <w:jc w:val="left"/>
        <w:rPr>
          <w:rFonts w:hint="eastAsia" w:ascii="宋体" w:hAnsi="宋体" w:eastAsia="宋体" w:cs="宋体"/>
          <w:color w:val="FF0000"/>
          <w:sz w:val="24"/>
          <w:szCs w:val="24"/>
          <w:highlight w:val="none"/>
        </w:rPr>
      </w:pPr>
      <w:r>
        <w:rPr>
          <w:rFonts w:hint="eastAsia" w:ascii="宋体" w:hAnsi="宋体" w:eastAsia="宋体" w:cs="宋体"/>
          <w:color w:val="auto"/>
          <w:sz w:val="24"/>
          <w:szCs w:val="24"/>
          <w:highlight w:val="none"/>
        </w:rPr>
        <w:t>由于保护区特有的生态环境，生活着20多种重要的经济鱼类，在渔获物中占有较大比例，为主要捕捞对象。其中：鲢、鳙、鲤、鲫、草鱼和䱗是目前捕捞的主要品种。翘嘴鲌、蒙古鲌、南方鲇、鳜鱼、黄颡鱼和乌鳢等的产量不大，中华倒剌鲃较少见。</w:t>
      </w:r>
    </w:p>
    <w:p>
      <w:pPr>
        <w:pStyle w:val="1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FF0000"/>
          <w:sz w:val="24"/>
          <w:szCs w:val="24"/>
          <w:highlight w:val="none"/>
        </w:rPr>
      </w:pPr>
      <w:r>
        <w:rPr>
          <w:rFonts w:hint="eastAsia" w:ascii="宋体" w:hAnsi="宋体" w:eastAsia="宋体" w:cs="宋体"/>
          <w:color w:val="auto"/>
          <w:sz w:val="24"/>
          <w:szCs w:val="24"/>
          <w:highlight w:val="none"/>
        </w:rPr>
        <w:t>202</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lang w:val="en-US" w:eastAsia="zh-CN"/>
        </w:rPr>
        <w:t>在本</w:t>
      </w:r>
      <w:r>
        <w:rPr>
          <w:rFonts w:hint="eastAsia" w:ascii="宋体" w:hAnsi="宋体" w:eastAsia="宋体" w:cs="宋体"/>
          <w:color w:val="auto"/>
          <w:sz w:val="24"/>
          <w:szCs w:val="24"/>
          <w:highlight w:val="none"/>
          <w:lang w:val="sq-AL"/>
        </w:rPr>
        <w:t>工程</w:t>
      </w:r>
      <w:r>
        <w:rPr>
          <w:rFonts w:hint="eastAsia" w:ascii="宋体" w:hAnsi="宋体" w:eastAsia="宋体" w:cs="宋体"/>
          <w:color w:val="auto"/>
          <w:sz w:val="24"/>
          <w:szCs w:val="24"/>
          <w:highlight w:val="none"/>
        </w:rPr>
        <w:t>影响河段共采集到</w:t>
      </w:r>
      <w:r>
        <w:rPr>
          <w:rFonts w:hint="eastAsia" w:ascii="宋体" w:hAnsi="宋体" w:eastAsia="宋体" w:cs="宋体"/>
          <w:color w:val="auto"/>
          <w:sz w:val="24"/>
          <w:szCs w:val="24"/>
          <w:highlight w:val="none"/>
          <w:lang w:val="en-US" w:eastAsia="zh-CN"/>
        </w:rPr>
        <w:t>3目5科18属22</w:t>
      </w:r>
      <w:r>
        <w:rPr>
          <w:rFonts w:hint="eastAsia" w:ascii="宋体" w:hAnsi="宋体" w:eastAsia="宋体" w:cs="宋体"/>
          <w:color w:val="auto"/>
          <w:sz w:val="24"/>
          <w:szCs w:val="24"/>
          <w:highlight w:val="none"/>
        </w:rPr>
        <w:t>种鱼类</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共计153尾，总重量为67.91kg。主要</w:t>
      </w:r>
      <w:r>
        <w:rPr>
          <w:rFonts w:hint="eastAsia" w:ascii="宋体" w:hAnsi="宋体" w:eastAsia="宋体" w:cs="宋体"/>
          <w:color w:val="auto"/>
          <w:sz w:val="24"/>
          <w:szCs w:val="24"/>
          <w:highlight w:val="none"/>
        </w:rPr>
        <w:t>为</w:t>
      </w:r>
      <w:r>
        <w:rPr>
          <w:rFonts w:hint="eastAsia" w:ascii="宋体" w:hAnsi="宋体" w:eastAsia="宋体" w:cs="宋体"/>
          <w:color w:val="auto"/>
          <w:sz w:val="24"/>
          <w:szCs w:val="24"/>
          <w:highlight w:val="none"/>
          <w:lang w:val="en-US" w:eastAsia="zh-CN"/>
        </w:rPr>
        <w:t>黄尾鲴、</w:t>
      </w:r>
      <w:r>
        <w:rPr>
          <w:rFonts w:hint="eastAsia" w:ascii="宋体" w:hAnsi="宋体" w:eastAsia="宋体" w:cs="宋体"/>
          <w:color w:val="auto"/>
          <w:sz w:val="24"/>
          <w:szCs w:val="24"/>
          <w:highlight w:val="none"/>
        </w:rPr>
        <w:t>鲫</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䱗和</w:t>
      </w:r>
      <w:r>
        <w:rPr>
          <w:rFonts w:hint="eastAsia" w:ascii="宋体" w:hAnsi="宋体" w:eastAsia="宋体" w:cs="宋体"/>
          <w:color w:val="auto"/>
          <w:sz w:val="24"/>
          <w:szCs w:val="24"/>
          <w:highlight w:val="none"/>
          <w:lang w:val="en-US" w:eastAsia="zh-CN"/>
        </w:rPr>
        <w:t>草鱼</w:t>
      </w:r>
      <w:r>
        <w:rPr>
          <w:rFonts w:hint="eastAsia" w:ascii="宋体" w:hAnsi="宋体" w:eastAsia="宋体" w:cs="宋体"/>
          <w:color w:val="auto"/>
          <w:sz w:val="24"/>
          <w:szCs w:val="24"/>
          <w:highlight w:val="none"/>
        </w:rPr>
        <w:t>等鱼类。渔获物统计结果见下表。</w:t>
      </w:r>
    </w:p>
    <w:p>
      <w:pPr>
        <w:pStyle w:val="13"/>
        <w:spacing w:line="360" w:lineRule="auto"/>
        <w:ind w:firstLine="0"/>
        <w:jc w:val="center"/>
        <w:rPr>
          <w:rFonts w:hint="eastAsia" w:ascii="宋体" w:hAnsi="宋体" w:eastAsia="宋体" w:cs="宋体"/>
          <w:b/>
          <w:bCs/>
          <w:color w:val="FF0000"/>
          <w:sz w:val="21"/>
          <w:szCs w:val="21"/>
        </w:rPr>
      </w:pPr>
    </w:p>
    <w:p>
      <w:pPr>
        <w:pStyle w:val="13"/>
        <w:spacing w:line="360" w:lineRule="auto"/>
        <w:ind w:firstLine="0"/>
        <w:jc w:val="center"/>
        <w:rPr>
          <w:rFonts w:hint="eastAsia" w:ascii="宋体" w:hAnsi="宋体" w:eastAsia="宋体" w:cs="宋体"/>
          <w:b/>
          <w:bCs/>
          <w:color w:val="FF0000"/>
          <w:sz w:val="21"/>
          <w:szCs w:val="21"/>
        </w:rPr>
      </w:pPr>
    </w:p>
    <w:p>
      <w:pPr>
        <w:pStyle w:val="13"/>
        <w:spacing w:line="360" w:lineRule="auto"/>
        <w:ind w:firstLine="0"/>
        <w:jc w:val="center"/>
        <w:rPr>
          <w:rFonts w:hint="eastAsia" w:ascii="宋体" w:hAnsi="宋体" w:eastAsia="宋体" w:cs="宋体"/>
          <w:b/>
          <w:bCs/>
          <w:color w:val="FF0000"/>
          <w:sz w:val="21"/>
          <w:szCs w:val="21"/>
        </w:rPr>
      </w:pPr>
    </w:p>
    <w:p>
      <w:pPr>
        <w:pStyle w:val="13"/>
        <w:spacing w:line="360" w:lineRule="auto"/>
        <w:ind w:firstLine="0"/>
        <w:jc w:val="center"/>
        <w:rPr>
          <w:rFonts w:hint="eastAsia" w:ascii="宋体" w:hAnsi="宋体" w:eastAsia="宋体" w:cs="宋体"/>
          <w:b/>
          <w:bCs/>
          <w:color w:val="FF0000"/>
          <w:sz w:val="21"/>
          <w:szCs w:val="21"/>
        </w:rPr>
      </w:pPr>
    </w:p>
    <w:p>
      <w:pPr>
        <w:pStyle w:val="13"/>
        <w:spacing w:line="360" w:lineRule="auto"/>
        <w:ind w:firstLine="0"/>
        <w:jc w:val="center"/>
        <w:rPr>
          <w:rFonts w:hint="eastAsia" w:ascii="宋体" w:hAnsi="宋体" w:eastAsia="宋体" w:cs="宋体"/>
          <w:b/>
          <w:bCs/>
          <w:color w:val="auto"/>
          <w:sz w:val="21"/>
          <w:szCs w:val="21"/>
          <w:lang w:eastAsia="zh-CN"/>
        </w:rPr>
      </w:pPr>
      <w:r>
        <w:rPr>
          <w:rFonts w:hint="eastAsia" w:ascii="宋体" w:hAnsi="宋体" w:eastAsia="宋体" w:cs="宋体"/>
          <w:b/>
          <w:bCs/>
          <w:color w:val="auto"/>
          <w:sz w:val="21"/>
          <w:szCs w:val="21"/>
        </w:rPr>
        <w:t>表6-1</w:t>
      </w:r>
      <w:r>
        <w:rPr>
          <w:rFonts w:hint="eastAsia" w:ascii="宋体" w:hAnsi="宋体" w:cs="宋体"/>
          <w:b/>
          <w:bCs/>
          <w:color w:val="auto"/>
          <w:sz w:val="21"/>
          <w:szCs w:val="21"/>
          <w:lang w:val="en-US" w:eastAsia="zh-CN"/>
        </w:rPr>
        <w:t>7</w:t>
      </w:r>
      <w:r>
        <w:rPr>
          <w:rFonts w:hint="eastAsia" w:ascii="宋体" w:hAnsi="宋体" w:eastAsia="宋体" w:cs="宋体"/>
          <w:b/>
          <w:bCs/>
          <w:color w:val="auto"/>
          <w:sz w:val="21"/>
          <w:szCs w:val="21"/>
        </w:rPr>
        <w:t xml:space="preserve"> 调查水域渔获物组成</w:t>
      </w:r>
      <w:r>
        <w:rPr>
          <w:rFonts w:hint="eastAsia" w:ascii="宋体" w:hAnsi="宋体" w:cs="宋体"/>
          <w:b/>
          <w:bCs/>
          <w:color w:val="auto"/>
          <w:sz w:val="21"/>
          <w:szCs w:val="21"/>
          <w:lang w:eastAsia="zh-CN"/>
        </w:rPr>
        <w:t>（</w:t>
      </w:r>
      <w:r>
        <w:rPr>
          <w:rFonts w:hint="eastAsia" w:ascii="宋体" w:hAnsi="宋体" w:cs="宋体"/>
          <w:b/>
          <w:bCs/>
          <w:color w:val="auto"/>
          <w:sz w:val="21"/>
          <w:szCs w:val="21"/>
          <w:lang w:val="en-US" w:eastAsia="zh-CN"/>
        </w:rPr>
        <w:t>核心区</w:t>
      </w:r>
      <w:r>
        <w:rPr>
          <w:rFonts w:hint="eastAsia" w:ascii="宋体" w:hAnsi="宋体" w:cs="宋体"/>
          <w:b/>
          <w:bCs/>
          <w:color w:val="auto"/>
          <w:sz w:val="21"/>
          <w:szCs w:val="21"/>
          <w:lang w:eastAsia="zh-CN"/>
        </w:rPr>
        <w:t>）</w:t>
      </w:r>
    </w:p>
    <w:p>
      <w:pPr>
        <w:jc w:val="center"/>
        <w:rPr>
          <w:color w:val="FF0000"/>
        </w:rPr>
      </w:pPr>
      <w:r>
        <w:rPr>
          <w:rFonts w:hint="eastAsia" w:ascii="Times New Roman" w:hAnsi="Times New Roman" w:eastAsia="宋体"/>
          <w:bCs/>
          <w:color w:val="FF0000"/>
          <w:sz w:val="24"/>
          <w:szCs w:val="24"/>
          <w:highlight w:val="none"/>
          <w:lang w:eastAsia="zh-CN"/>
        </w:rPr>
        <w:drawing>
          <wp:inline distT="0" distB="0" distL="114300" distR="114300">
            <wp:extent cx="4596130" cy="5389245"/>
            <wp:effectExtent l="0" t="0" r="1270" b="8255"/>
            <wp:docPr id="7" name="图片 6" descr="QQ截图2024041011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QQ截图20240410112637"/>
                    <pic:cNvPicPr>
                      <a:picLocks noChangeAspect="1"/>
                    </pic:cNvPicPr>
                  </pic:nvPicPr>
                  <pic:blipFill>
                    <a:blip r:embed="rId29"/>
                    <a:stretch>
                      <a:fillRect/>
                    </a:stretch>
                  </pic:blipFill>
                  <pic:spPr>
                    <a:xfrm>
                      <a:off x="0" y="0"/>
                      <a:ext cx="4596130" cy="5389245"/>
                    </a:xfrm>
                    <a:prstGeom prst="rect">
                      <a:avLst/>
                    </a:prstGeom>
                    <a:noFill/>
                    <a:ln>
                      <a:noFill/>
                    </a:ln>
                  </pic:spPr>
                </pic:pic>
              </a:graphicData>
            </a:graphic>
          </wp:inline>
        </w:drawing>
      </w:r>
    </w:p>
    <w:p>
      <w:pPr>
        <w:pStyle w:val="6"/>
        <w:rPr>
          <w:rFonts w:cs="Times New Roman"/>
          <w:color w:val="auto"/>
        </w:rPr>
      </w:pPr>
      <w:bookmarkStart w:id="356" w:name="_Toc32076"/>
      <w:r>
        <w:rPr>
          <w:rFonts w:cs="Times New Roman"/>
          <w:color w:val="auto"/>
        </w:rPr>
        <w:t>工程涉及保护区功能区主要功能分析</w:t>
      </w:r>
      <w:bookmarkEnd w:id="354"/>
      <w:bookmarkEnd w:id="355"/>
      <w:bookmarkEnd w:id="35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防洪堤工程河段涉及琼江翘嘴红鲌省级水产种质资源保护区的核心区。属于白马镇毗庐寺村上马井-安居镇凤凰大桥（核心区第一段）。核心区河流长55km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保</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t>护范围面积410公顷，占整个保护区面积的76%。该段位于安居区城区段，琼江水环境在一定程度上受到安居区城镇发展的影响；中下段萝卜园水库和红岩凼水电站对河道形成阻隔，河道连通性降低，水深增加、流速减缓，区间分布鱼类主要为静水型种类，以䱗等为代表的静水型鱼类在电站库区得到了较大发展，资源量大幅上升。琼江底质以泥底为主，两岸水草发育，同样为静水型产黏性卵的鱼类提供了较好的繁殖和生存条件。</w:t>
      </w:r>
    </w:p>
    <w:p>
      <w:pPr>
        <w:spacing w:line="360" w:lineRule="auto"/>
        <w:ind w:firstLine="480" w:firstLineChars="200"/>
        <w:rPr>
          <w:rFonts w:ascii="Times New Roman" w:hAnsi="Times New Roman"/>
          <w:color w:val="FF0000"/>
          <w:sz w:val="24"/>
        </w:rPr>
      </w:pPr>
      <w:r>
        <w:rPr>
          <w:rFonts w:hint="eastAsia" w:ascii="宋体" w:hAnsi="宋体" w:eastAsia="宋体" w:cs="宋体"/>
          <w:color w:val="auto"/>
          <w:sz w:val="24"/>
          <w:highlight w:val="none"/>
        </w:rPr>
        <w:t>工程河段分布鱼类产卵场分布较为分散，以小型鱼类为主，产卵类型以静水和缓流水为主，多分布在库区两岸水草较为茂盛地带。调查江段无国家重点保护和省级保护物种。属长江上游特有鱼类的有半䱗、宽口光唇鱼等 5 种。翘嘴鲌、蒙古鲌、乌鳢和黄颡鱼为琼江翘嘴红鲌省级水产种质资源保护区的重点保护物种</w:t>
      </w:r>
      <w:r>
        <w:rPr>
          <w:rFonts w:ascii="Times New Roman" w:hAnsi="Times New Roman"/>
          <w:color w:val="FF0000"/>
          <w:sz w:val="24"/>
        </w:rPr>
        <w:t>。</w:t>
      </w:r>
    </w:p>
    <w:p>
      <w:pPr>
        <w:pStyle w:val="4"/>
        <w:spacing w:before="120" w:after="120"/>
        <w:rPr>
          <w:color w:val="auto"/>
          <w:sz w:val="24"/>
          <w:szCs w:val="24"/>
          <w:lang w:val="en-US"/>
        </w:rPr>
      </w:pPr>
      <w:bookmarkStart w:id="357" w:name="_Toc14835"/>
      <w:r>
        <w:rPr>
          <w:color w:val="auto"/>
          <w:sz w:val="24"/>
          <w:szCs w:val="24"/>
          <w:lang w:val="en-US"/>
        </w:rPr>
        <w:t>评价区生态系统现状</w:t>
      </w:r>
      <w:bookmarkEnd w:id="357"/>
    </w:p>
    <w:p>
      <w:pPr>
        <w:pStyle w:val="5"/>
        <w:spacing w:after="100" w:afterAutospacing="1"/>
        <w:ind w:right="-21" w:rightChars="-10"/>
        <w:rPr>
          <w:color w:val="auto"/>
          <w:sz w:val="24"/>
          <w:szCs w:val="24"/>
        </w:rPr>
      </w:pPr>
      <w:bookmarkStart w:id="358" w:name="_Toc448834378"/>
      <w:bookmarkStart w:id="359" w:name="_Toc442380948"/>
      <w:bookmarkStart w:id="360" w:name="_Toc204658197"/>
      <w:bookmarkStart w:id="361" w:name="_Toc206982762"/>
      <w:bookmarkStart w:id="362" w:name="_Toc8451"/>
      <w:bookmarkStart w:id="363" w:name="_Toc240188799"/>
      <w:bookmarkStart w:id="364" w:name="_Toc206982503"/>
      <w:r>
        <w:rPr>
          <w:color w:val="auto"/>
          <w:sz w:val="24"/>
          <w:szCs w:val="24"/>
        </w:rPr>
        <w:t>自然生态系统</w:t>
      </w:r>
      <w:bookmarkEnd w:id="358"/>
      <w:bookmarkEnd w:id="359"/>
      <w:bookmarkEnd w:id="360"/>
      <w:bookmarkEnd w:id="361"/>
      <w:bookmarkEnd w:id="362"/>
      <w:bookmarkEnd w:id="363"/>
      <w:bookmarkEnd w:id="364"/>
    </w:p>
    <w:p>
      <w:pPr>
        <w:pStyle w:val="6"/>
        <w:spacing w:before="120" w:beforeLines="50"/>
        <w:ind w:right="-21" w:rightChars="-10"/>
        <w:rPr>
          <w:rFonts w:cs="Times New Roman"/>
          <w:color w:val="auto"/>
          <w:szCs w:val="24"/>
        </w:rPr>
      </w:pPr>
      <w:r>
        <w:rPr>
          <w:rFonts w:cs="Times New Roman"/>
          <w:color w:val="auto"/>
          <w:szCs w:val="24"/>
        </w:rPr>
        <w:t>草丛生态系统</w:t>
      </w:r>
    </w:p>
    <w:p>
      <w:pPr>
        <w:pStyle w:val="166"/>
        <w:spacing w:beforeLines="0" w:line="360" w:lineRule="auto"/>
        <w:ind w:right="-21" w:rightChars="-10"/>
        <w:rPr>
          <w:rFonts w:ascii="Times New Roman" w:hAnsi="Times New Roman"/>
          <w:color w:val="auto"/>
          <w:sz w:val="24"/>
        </w:rPr>
      </w:pPr>
      <w:r>
        <w:rPr>
          <w:rFonts w:ascii="Times New Roman" w:hAnsi="Times New Roman"/>
          <w:color w:val="auto"/>
          <w:sz w:val="24"/>
        </w:rPr>
        <w:t>草丛生态系统主要包括芦竹草丛。</w:t>
      </w:r>
    </w:p>
    <w:p>
      <w:pPr>
        <w:spacing w:line="360" w:lineRule="auto"/>
        <w:ind w:right="-21" w:rightChars="-10" w:firstLine="480" w:firstLineChars="200"/>
        <w:rPr>
          <w:rFonts w:ascii="Times New Roman" w:hAnsi="Times New Roman"/>
          <w:color w:val="auto"/>
          <w:sz w:val="24"/>
        </w:rPr>
      </w:pPr>
      <w:r>
        <w:rPr>
          <w:rFonts w:ascii="Times New Roman" w:hAnsi="Times New Roman"/>
          <w:color w:val="auto"/>
          <w:sz w:val="24"/>
        </w:rPr>
        <w:t>芦竹草丛分布在评价区内的田间地头未利用地、荒草坡、林缘以及河滩地周围。群落无明显层次，总盖度多在0.6以上。主要植物种类有白茅、黄茅、矛叶荩草、早熟禾、牛筋草、马唐、黄花蒿、三叶木通、葎草、木贼、狗脊、黄鹌菜、蜈蚣草、碎米荠、落葵薯、毛茛、打破碗花花、三叶鬼针草、酢浆草、车前、鸭儿芹、猪殃殃等。</w:t>
      </w:r>
    </w:p>
    <w:p>
      <w:pPr>
        <w:keepNext w:val="0"/>
        <w:keepLines w:val="0"/>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ascii="Times New Roman" w:hAnsi="Times New Roman"/>
          <w:color w:val="auto"/>
          <w:kern w:val="0"/>
          <w:sz w:val="24"/>
        </w:rPr>
      </w:pPr>
      <w:r>
        <w:rPr>
          <w:rFonts w:ascii="Times New Roman" w:hAnsi="Times New Roman"/>
          <w:color w:val="auto"/>
          <w:kern w:val="0"/>
          <w:sz w:val="24"/>
        </w:rPr>
        <w:t>动物种类主要有</w:t>
      </w:r>
      <w:r>
        <w:rPr>
          <w:rFonts w:ascii="Times New Roman" w:hAnsi="Times New Roman"/>
          <w:color w:val="auto"/>
          <w:sz w:val="24"/>
        </w:rPr>
        <w:t>黑框蟾蜍、中华蟾蜍、王锦蛇、菜花蛇、乌梢蛇、褐家鼠、社鼠、小家鼠、草免、大山雀、麻雀</w:t>
      </w:r>
      <w:r>
        <w:rPr>
          <w:rFonts w:ascii="Times New Roman" w:hAnsi="Times New Roman"/>
          <w:color w:val="auto"/>
          <w:kern w:val="0"/>
          <w:sz w:val="24"/>
        </w:rPr>
        <w:t>等。</w:t>
      </w:r>
    </w:p>
    <w:p>
      <w:pPr>
        <w:pStyle w:val="6"/>
        <w:spacing w:before="120" w:beforeLines="50"/>
        <w:ind w:right="-21" w:rightChars="-10"/>
        <w:rPr>
          <w:rFonts w:cs="Times New Roman"/>
          <w:color w:val="auto"/>
          <w:szCs w:val="24"/>
        </w:rPr>
      </w:pPr>
      <w:r>
        <w:rPr>
          <w:rFonts w:cs="Times New Roman"/>
          <w:color w:val="auto"/>
          <w:szCs w:val="24"/>
        </w:rPr>
        <w:t>河流生态系统</w:t>
      </w:r>
    </w:p>
    <w:p>
      <w:pPr>
        <w:spacing w:before="120" w:beforeLines="50" w:line="360" w:lineRule="auto"/>
        <w:ind w:right="-21" w:rightChars="-10" w:firstLine="480" w:firstLineChars="200"/>
        <w:rPr>
          <w:rFonts w:ascii="Times New Roman" w:hAnsi="Times New Roman"/>
          <w:color w:val="auto"/>
          <w:sz w:val="24"/>
        </w:rPr>
      </w:pPr>
      <w:r>
        <w:rPr>
          <w:rFonts w:ascii="Times New Roman" w:hAnsi="Times New Roman"/>
          <w:color w:val="auto"/>
          <w:sz w:val="24"/>
        </w:rPr>
        <w:t>项目区内水系发育，均属于长江水系。本评价区的河流生态系统受到堤坝围堰建设影响河流及河岸生物构成。评价区雨量充沛但季节分配不均，河流生态系统的水量季节波动很大，导致河流生态系统的物流和能流的季节波动明显。</w:t>
      </w:r>
    </w:p>
    <w:p>
      <w:pPr>
        <w:keepNext w:val="0"/>
        <w:keepLines w:val="0"/>
        <w:pageBreakBefore w:val="0"/>
        <w:widowControl w:val="0"/>
        <w:kinsoku/>
        <w:wordWrap/>
        <w:overflowPunct/>
        <w:topLinePunct w:val="0"/>
        <w:autoSpaceDE/>
        <w:autoSpaceDN/>
        <w:bidi w:val="0"/>
        <w:adjustRightInd/>
        <w:snapToGrid/>
        <w:spacing w:afterAutospacing="0" w:line="360" w:lineRule="auto"/>
        <w:ind w:right="0" w:rightChars="0" w:firstLine="480" w:firstLineChars="200"/>
        <w:textAlignment w:val="auto"/>
        <w:rPr>
          <w:rFonts w:ascii="Times New Roman" w:hAnsi="Times New Roman"/>
          <w:color w:val="auto"/>
          <w:sz w:val="24"/>
        </w:rPr>
      </w:pPr>
      <w:r>
        <w:rPr>
          <w:rFonts w:ascii="Times New Roman" w:hAnsi="Times New Roman"/>
          <w:color w:val="auto"/>
          <w:sz w:val="24"/>
        </w:rPr>
        <w:t>主要动物种类有中华蟾蜍、绿头鸭、白腰雨燕、普通翠鸟、雉鸡、普通翠鸟等。</w:t>
      </w:r>
    </w:p>
    <w:p>
      <w:pPr>
        <w:pStyle w:val="5"/>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color w:val="auto"/>
          <w:sz w:val="24"/>
          <w:szCs w:val="24"/>
        </w:rPr>
      </w:pPr>
      <w:bookmarkStart w:id="365" w:name="_Toc442380949"/>
      <w:bookmarkStart w:id="366" w:name="_Toc18797"/>
      <w:bookmarkStart w:id="367" w:name="_Toc448834379"/>
      <w:bookmarkStart w:id="368" w:name="_Toc385842920"/>
      <w:r>
        <w:rPr>
          <w:color w:val="auto"/>
          <w:sz w:val="24"/>
          <w:szCs w:val="24"/>
        </w:rPr>
        <w:t>人工生态系统</w:t>
      </w:r>
      <w:bookmarkEnd w:id="365"/>
      <w:bookmarkEnd w:id="366"/>
      <w:bookmarkEnd w:id="367"/>
      <w:bookmarkEnd w:id="368"/>
    </w:p>
    <w:p>
      <w:pPr>
        <w:pStyle w:val="6"/>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cs="Times New Roman"/>
          <w:color w:val="auto"/>
          <w:szCs w:val="24"/>
        </w:rPr>
      </w:pPr>
      <w:r>
        <w:rPr>
          <w:rFonts w:cs="Times New Roman"/>
          <w:color w:val="auto"/>
          <w:szCs w:val="24"/>
        </w:rPr>
        <w:t>人工竹林生态系统</w:t>
      </w:r>
    </w:p>
    <w:p>
      <w:pPr>
        <w:spacing w:before="120" w:beforeLines="50" w:line="360" w:lineRule="auto"/>
        <w:ind w:right="-21" w:rightChars="-10" w:firstLine="480" w:firstLineChars="200"/>
        <w:rPr>
          <w:rFonts w:ascii="Times New Roman" w:hAnsi="Times New Roman"/>
          <w:color w:val="auto"/>
          <w:sz w:val="24"/>
        </w:rPr>
      </w:pPr>
      <w:r>
        <w:rPr>
          <w:rFonts w:ascii="Times New Roman" w:hAnsi="Times New Roman"/>
          <w:color w:val="auto"/>
          <w:sz w:val="24"/>
        </w:rPr>
        <w:t>评价区内的竹林生态系统主要有慈竹林。</w:t>
      </w:r>
    </w:p>
    <w:p>
      <w:pPr>
        <w:spacing w:line="360" w:lineRule="auto"/>
        <w:ind w:firstLine="570"/>
        <w:jc w:val="left"/>
        <w:rPr>
          <w:rFonts w:ascii="Times New Roman" w:hAnsi="Times New Roman"/>
          <w:color w:val="auto"/>
          <w:sz w:val="24"/>
        </w:rPr>
      </w:pPr>
      <w:r>
        <w:rPr>
          <w:rFonts w:ascii="Times New Roman" w:hAnsi="Times New Roman"/>
          <w:color w:val="auto"/>
          <w:sz w:val="24"/>
        </w:rPr>
        <w:t>慈竹林主要分布于山坡及河流两旁的阴坡下部及低洼处，高6-10m，径粗4-7cm，郁闭度0.7-0.9；群落在夏季呈绿色，丛灌整齐，灌木层植物极少，几乎不构成盖度。慈竹林分布在主要植物种类有慈竹、苦竹、麻竹、白茅、黄茅、接骨草、乌蕨、蜈蚣草、狗脊、白茅、牛筋草、艾蒿、车前、葎草、酢浆草、马唐、风轮菜、马鞭草、杠板归、水蓼等。</w:t>
      </w:r>
    </w:p>
    <w:p>
      <w:pPr>
        <w:spacing w:line="360" w:lineRule="auto"/>
        <w:ind w:firstLine="570"/>
        <w:jc w:val="left"/>
        <w:rPr>
          <w:rFonts w:ascii="Times New Roman" w:hAnsi="Times New Roman"/>
          <w:color w:val="auto"/>
          <w:sz w:val="24"/>
        </w:rPr>
      </w:pPr>
      <w:r>
        <w:rPr>
          <w:rFonts w:ascii="Times New Roman" w:hAnsi="Times New Roman"/>
          <w:color w:val="auto"/>
          <w:sz w:val="24"/>
        </w:rPr>
        <w:t>主要动物种类有中华蟾蜍、王锦蛇、乌梢蛇、竹叶青、田鼠、小家鼠、褐家鼠、雉鸡、普通秧鸡、山斑鸠、家燕、麻雀等。</w:t>
      </w:r>
    </w:p>
    <w:p>
      <w:pPr>
        <w:pStyle w:val="6"/>
        <w:spacing w:before="120" w:beforeLines="50"/>
        <w:ind w:right="-21" w:rightChars="-10"/>
        <w:rPr>
          <w:rFonts w:cs="Times New Roman"/>
          <w:color w:val="auto"/>
          <w:szCs w:val="24"/>
        </w:rPr>
      </w:pPr>
      <w:r>
        <w:rPr>
          <w:rFonts w:cs="Times New Roman"/>
          <w:color w:val="auto"/>
          <w:szCs w:val="24"/>
        </w:rPr>
        <w:t>农田生态系统</w:t>
      </w:r>
    </w:p>
    <w:p>
      <w:pPr>
        <w:spacing w:line="360" w:lineRule="auto"/>
        <w:ind w:firstLine="570"/>
        <w:jc w:val="left"/>
        <w:rPr>
          <w:rFonts w:ascii="Times New Roman" w:hAnsi="Times New Roman"/>
          <w:color w:val="auto"/>
          <w:sz w:val="24"/>
        </w:rPr>
      </w:pPr>
      <w:r>
        <w:rPr>
          <w:rFonts w:ascii="Times New Roman" w:hAnsi="Times New Roman"/>
          <w:color w:val="auto"/>
          <w:sz w:val="24"/>
        </w:rPr>
        <w:t>在评价内广泛分布。土地利用类型多样，由大田作物和蔬菜等组成。种植的作物多为牛皮菜、小油菜、葱、姜、南瓜、卷心菜等。农田生态系统受地理环境限制明显，主要分布在地势较平坦处。</w:t>
      </w:r>
    </w:p>
    <w:p>
      <w:pPr>
        <w:spacing w:line="360" w:lineRule="auto"/>
        <w:ind w:firstLine="570"/>
        <w:jc w:val="left"/>
        <w:rPr>
          <w:rFonts w:ascii="Times New Roman" w:hAnsi="Times New Roman"/>
          <w:color w:val="auto"/>
          <w:kern w:val="0"/>
          <w:sz w:val="24"/>
        </w:rPr>
      </w:pPr>
      <w:r>
        <w:rPr>
          <w:rFonts w:ascii="Times New Roman" w:hAnsi="Times New Roman"/>
          <w:color w:val="auto"/>
          <w:sz w:val="24"/>
        </w:rPr>
        <w:t>动物种类主要有黑框蟾蜍、中华蟾蜍、菜花蛇、乌梢蛇、黄鼬、小家鼠、社鼠、褐家鼠、田鼠、雉鸡、普通秧鸡、山斑鸠、普通翠鸟、家燕、喜鹊、麻雀等。</w:t>
      </w:r>
    </w:p>
    <w:p>
      <w:pPr>
        <w:pStyle w:val="4"/>
        <w:spacing w:before="120" w:after="120"/>
        <w:rPr>
          <w:color w:val="auto"/>
        </w:rPr>
      </w:pPr>
      <w:bookmarkStart w:id="369" w:name="_Toc14734"/>
      <w:r>
        <w:rPr>
          <w:color w:val="auto"/>
        </w:rPr>
        <w:t>评价区生态现状综合评价</w:t>
      </w:r>
      <w:bookmarkEnd w:id="369"/>
    </w:p>
    <w:p>
      <w:pPr>
        <w:adjustRightInd w:val="0"/>
        <w:snapToGrid w:val="0"/>
        <w:spacing w:line="360" w:lineRule="auto"/>
        <w:ind w:firstLine="480" w:firstLineChars="200"/>
        <w:rPr>
          <w:rFonts w:ascii="Times New Roman" w:hAnsi="Times New Roman"/>
          <w:color w:val="auto"/>
          <w:kern w:val="0"/>
          <w:sz w:val="24"/>
          <w:szCs w:val="20"/>
        </w:rPr>
      </w:pPr>
      <w:r>
        <w:rPr>
          <w:rFonts w:ascii="Times New Roman" w:hAnsi="Times New Roman"/>
          <w:color w:val="auto"/>
          <w:kern w:val="0"/>
          <w:sz w:val="24"/>
          <w:szCs w:val="20"/>
        </w:rPr>
        <w:t>根据现状调查结果评价区内生态环境良好，生物多样性较为丰富。项目涉水工程仅</w:t>
      </w:r>
      <w:r>
        <w:rPr>
          <w:rFonts w:hint="eastAsia" w:ascii="Times New Roman" w:hAnsi="Times New Roman"/>
          <w:color w:val="auto"/>
          <w:kern w:val="0"/>
          <w:sz w:val="24"/>
          <w:szCs w:val="20"/>
          <w:lang w:val="en-US" w:eastAsia="zh-CN"/>
        </w:rPr>
        <w:t>1105</w:t>
      </w:r>
      <w:r>
        <w:rPr>
          <w:rFonts w:ascii="Times New Roman" w:hAnsi="Times New Roman"/>
          <w:color w:val="auto"/>
          <w:kern w:val="0"/>
          <w:sz w:val="24"/>
          <w:szCs w:val="20"/>
        </w:rPr>
        <w:t>m围堰工程。</w:t>
      </w:r>
      <w:r>
        <w:rPr>
          <w:rFonts w:ascii="Times New Roman" w:hAnsi="Times New Roman"/>
          <w:color w:val="auto"/>
          <w:sz w:val="24"/>
        </w:rPr>
        <w:t>工程主要影响在施工期，施工时在枯水期进行，施工时涉及地表水的线路主要设置围堰，本项目设置围堰总长度</w:t>
      </w:r>
      <w:r>
        <w:rPr>
          <w:rFonts w:hint="eastAsia" w:ascii="Times New Roman" w:hAnsi="Times New Roman"/>
          <w:color w:val="auto"/>
          <w:sz w:val="24"/>
          <w:lang w:val="en-US" w:eastAsia="zh-CN"/>
        </w:rPr>
        <w:t>1105</w:t>
      </w:r>
      <w:r>
        <w:rPr>
          <w:rFonts w:ascii="Times New Roman" w:hAnsi="Times New Roman"/>
          <w:color w:val="auto"/>
          <w:sz w:val="24"/>
        </w:rPr>
        <w:t>m，工期短，施工结束后围堰即可拆除。施工将小范围的临时性驱赶岸边的鱼类，但是工程施工不会对河流形成永久性阻隔。施工期结束后随之消失，不会对鱼类区系造成改变，不会使区域内鱼类资源降低。项目施工扰动水体时间避</w:t>
      </w:r>
      <w:r>
        <w:rPr>
          <w:rFonts w:hint="eastAsia" w:ascii="Times New Roman" w:hAnsi="Times New Roman"/>
          <w:color w:val="auto"/>
          <w:sz w:val="24"/>
          <w:lang w:val="en-US" w:eastAsia="zh-CN"/>
        </w:rPr>
        <w:t>开</w:t>
      </w:r>
      <w:r>
        <w:rPr>
          <w:rFonts w:ascii="Times New Roman" w:hAnsi="Times New Roman"/>
          <w:color w:val="auto"/>
          <w:sz w:val="24"/>
        </w:rPr>
        <w:t>保护区内鱼类的产卵期。营运期不会对鱼类栖息地造成明显的影响。</w:t>
      </w:r>
      <w:r>
        <w:rPr>
          <w:rFonts w:ascii="Times New Roman" w:hAnsi="Times New Roman"/>
          <w:color w:val="auto"/>
          <w:kern w:val="0"/>
          <w:sz w:val="24"/>
          <w:szCs w:val="20"/>
        </w:rPr>
        <w:t>评价区域农田和聚落面积占据绝对优势，项目完工后</w:t>
      </w:r>
      <w:r>
        <w:rPr>
          <w:rFonts w:hint="eastAsia" w:ascii="Times New Roman" w:hAnsi="Times New Roman"/>
          <w:color w:val="auto"/>
          <w:kern w:val="0"/>
          <w:sz w:val="24"/>
          <w:szCs w:val="20"/>
          <w:lang w:val="en-US" w:eastAsia="zh-CN"/>
        </w:rPr>
        <w:t>已</w:t>
      </w:r>
      <w:r>
        <w:rPr>
          <w:rFonts w:ascii="Times New Roman" w:hAnsi="Times New Roman"/>
          <w:color w:val="auto"/>
          <w:kern w:val="0"/>
          <w:sz w:val="24"/>
          <w:szCs w:val="20"/>
        </w:rPr>
        <w:t>进行生态恢复，不占用永久基本农田。评价区域的主要生态问题是由于施工期对</w:t>
      </w:r>
      <w:r>
        <w:rPr>
          <w:rFonts w:ascii="Times New Roman" w:hAnsi="Times New Roman"/>
          <w:color w:val="auto"/>
          <w:sz w:val="24"/>
        </w:rPr>
        <w:t>琼江翘嘴红鲌省级水产种质资源保护区的影响</w:t>
      </w:r>
      <w:r>
        <w:rPr>
          <w:rFonts w:ascii="Times New Roman" w:hAnsi="Times New Roman"/>
          <w:color w:val="auto"/>
          <w:kern w:val="0"/>
          <w:sz w:val="24"/>
          <w:szCs w:val="20"/>
        </w:rPr>
        <w:t>等。</w:t>
      </w:r>
    </w:p>
    <w:p>
      <w:pPr>
        <w:pStyle w:val="24"/>
        <w:rPr>
          <w:rFonts w:ascii="Times New Roman" w:hAnsi="Times New Roman"/>
          <w:color w:val="FF0000"/>
          <w:kern w:val="0"/>
          <w:sz w:val="24"/>
        </w:rPr>
      </w:pPr>
    </w:p>
    <w:p>
      <w:pPr>
        <w:pStyle w:val="3"/>
        <w:numPr>
          <w:ilvl w:val="0"/>
          <w:numId w:val="8"/>
        </w:numPr>
        <w:tabs>
          <w:tab w:val="left" w:pos="360"/>
          <w:tab w:val="clear" w:pos="425"/>
        </w:tabs>
        <w:ind w:left="0" w:firstLine="0"/>
        <w:rPr>
          <w:color w:val="FF0000"/>
          <w:lang w:val="zh-CN"/>
        </w:rPr>
        <w:sectPr>
          <w:headerReference r:id="rId9" w:type="default"/>
          <w:footerReference r:id="rId10" w:type="default"/>
          <w:pgSz w:w="11907" w:h="16840"/>
          <w:pgMar w:top="1418" w:right="1418" w:bottom="1418" w:left="1418" w:header="851" w:footer="992" w:gutter="0"/>
          <w:pgBorders>
            <w:top w:val="none" w:sz="0" w:space="0"/>
            <w:left w:val="none" w:sz="0" w:space="0"/>
            <w:bottom w:val="none" w:sz="0" w:space="0"/>
            <w:right w:val="none" w:sz="0" w:space="0"/>
          </w:pgBorders>
          <w:cols w:space="720" w:num="1"/>
          <w:docGrid w:linePitch="312" w:charSpace="0"/>
        </w:sectPr>
      </w:pPr>
    </w:p>
    <w:p>
      <w:pPr>
        <w:pStyle w:val="3"/>
        <w:rPr>
          <w:color w:val="auto"/>
        </w:rPr>
      </w:pPr>
      <w:bookmarkStart w:id="370" w:name="_Toc51587128"/>
      <w:bookmarkEnd w:id="370"/>
      <w:bookmarkStart w:id="371" w:name="_Toc54799221"/>
      <w:bookmarkStart w:id="372" w:name="_Toc31598"/>
      <w:bookmarkStart w:id="373" w:name="_Toc54659645"/>
      <w:bookmarkStart w:id="374" w:name="_Toc54657438"/>
      <w:r>
        <w:rPr>
          <w:color w:val="auto"/>
        </w:rPr>
        <w:t>生态环境影响分析</w:t>
      </w:r>
      <w:bookmarkEnd w:id="371"/>
      <w:bookmarkEnd w:id="372"/>
      <w:bookmarkEnd w:id="373"/>
      <w:bookmarkEnd w:id="374"/>
    </w:p>
    <w:p>
      <w:pPr>
        <w:pStyle w:val="4"/>
        <w:spacing w:before="120" w:after="120" w:afterAutospacing="1"/>
        <w:ind w:right="-21" w:rightChars="-10"/>
        <w:rPr>
          <w:color w:val="auto"/>
        </w:rPr>
      </w:pPr>
      <w:bookmarkStart w:id="375" w:name="_Toc28245"/>
      <w:r>
        <w:rPr>
          <w:color w:val="auto"/>
        </w:rPr>
        <w:t>工程对水生生态的影响</w:t>
      </w:r>
      <w:bookmarkEnd w:id="375"/>
    </w:p>
    <w:p>
      <w:pPr>
        <w:pStyle w:val="5"/>
        <w:keepNext w:val="0"/>
        <w:keepLines w:val="0"/>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376" w:name="_Toc12704"/>
      <w:bookmarkStart w:id="377" w:name="_Toc28217"/>
      <w:bookmarkStart w:id="378" w:name="_Toc496004595"/>
      <w:bookmarkStart w:id="379" w:name="_Toc515025211"/>
      <w:bookmarkStart w:id="380" w:name="_Toc8773"/>
      <w:bookmarkStart w:id="381" w:name="_Toc519985624"/>
      <w:r>
        <w:rPr>
          <w:rFonts w:hint="eastAsia" w:ascii="宋体" w:hAnsi="宋体" w:eastAsia="宋体" w:cs="宋体"/>
          <w:color w:val="auto"/>
        </w:rPr>
        <w:t>生活污水的影响分析</w:t>
      </w:r>
      <w:bookmarkEnd w:id="376"/>
      <w:bookmarkEnd w:id="377"/>
      <w:bookmarkEnd w:id="378"/>
      <w:bookmarkEnd w:id="379"/>
      <w:bookmarkEnd w:id="380"/>
      <w:bookmarkEnd w:id="381"/>
    </w:p>
    <w:p>
      <w:pPr>
        <w:keepNext w:val="0"/>
        <w:keepLines w:val="0"/>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本工程</w:t>
      </w:r>
      <w:r>
        <w:rPr>
          <w:rFonts w:hint="eastAsia" w:ascii="宋体" w:hAnsi="宋体" w:eastAsia="宋体" w:cs="宋体"/>
          <w:color w:val="auto"/>
          <w:sz w:val="24"/>
          <w:lang w:val="en-US" w:eastAsia="zh-CN"/>
        </w:rPr>
        <w:t>未</w:t>
      </w:r>
      <w:r>
        <w:rPr>
          <w:rFonts w:hint="eastAsia" w:ascii="宋体" w:hAnsi="宋体" w:eastAsia="宋体" w:cs="宋体"/>
          <w:color w:val="auto"/>
          <w:sz w:val="24"/>
        </w:rPr>
        <w:t>设置施工营地。故无生活污水排放。</w:t>
      </w:r>
    </w:p>
    <w:p>
      <w:pPr>
        <w:pStyle w:val="5"/>
        <w:keepNext w:val="0"/>
        <w:keepLines w:val="0"/>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382" w:name="_Toc16428"/>
      <w:bookmarkStart w:id="383" w:name="_Toc10735"/>
      <w:bookmarkStart w:id="384" w:name="_Toc11139"/>
      <w:r>
        <w:rPr>
          <w:rFonts w:hint="eastAsia" w:ascii="宋体" w:hAnsi="宋体" w:eastAsia="宋体" w:cs="宋体"/>
          <w:color w:val="auto"/>
        </w:rPr>
        <w:t>生产</w:t>
      </w:r>
      <w:r>
        <w:rPr>
          <w:rFonts w:hint="eastAsia" w:ascii="宋体" w:hAnsi="宋体" w:eastAsia="宋体" w:cs="宋体"/>
          <w:color w:val="auto"/>
          <w:lang w:val="en-US" w:eastAsia="zh-CN"/>
        </w:rPr>
        <w:t>废</w:t>
      </w:r>
      <w:r>
        <w:rPr>
          <w:rFonts w:hint="eastAsia" w:ascii="宋体" w:hAnsi="宋体" w:eastAsia="宋体" w:cs="宋体"/>
          <w:color w:val="auto"/>
        </w:rPr>
        <w:t>水的影响分析</w:t>
      </w:r>
      <w:bookmarkEnd w:id="382"/>
      <w:bookmarkEnd w:id="383"/>
      <w:bookmarkEnd w:id="384"/>
    </w:p>
    <w:p>
      <w:pPr>
        <w:widowControl/>
        <w:spacing w:line="360" w:lineRule="auto"/>
        <w:ind w:firstLine="480" w:firstLineChars="200"/>
        <w:rPr>
          <w:bCs/>
          <w:color w:val="auto"/>
          <w:sz w:val="24"/>
          <w:szCs w:val="20"/>
          <w:highlight w:val="none"/>
        </w:rPr>
      </w:pPr>
      <w:r>
        <w:rPr>
          <w:bCs/>
          <w:color w:val="auto"/>
          <w:sz w:val="24"/>
          <w:szCs w:val="20"/>
          <w:highlight w:val="none"/>
        </w:rPr>
        <w:t>生产废水主要是施工产生的施工废水，主要包括基坑废水、机械冲洗废水，主要污染物为pH、SS、COD。基坑废水主要污染物为SS；机械冲洗废水为车辆和施工机械设备的冲洗废水，主要污染物为pH、SS、COD、石油类。</w:t>
      </w:r>
    </w:p>
    <w:p>
      <w:pPr>
        <w:widowControl/>
        <w:spacing w:line="360" w:lineRule="auto"/>
        <w:ind w:firstLine="480" w:firstLineChars="200"/>
        <w:rPr>
          <w:bCs/>
          <w:color w:val="auto"/>
          <w:sz w:val="24"/>
          <w:szCs w:val="20"/>
          <w:highlight w:val="none"/>
        </w:rPr>
      </w:pPr>
      <w:r>
        <w:rPr>
          <w:bCs/>
          <w:color w:val="auto"/>
          <w:sz w:val="24"/>
          <w:szCs w:val="20"/>
          <w:highlight w:val="none"/>
        </w:rPr>
        <w:t>基坑废水通过设置的沉淀池</w:t>
      </w:r>
      <w:r>
        <w:rPr>
          <w:rFonts w:hint="eastAsia"/>
          <w:bCs/>
          <w:color w:val="auto"/>
          <w:sz w:val="24"/>
          <w:szCs w:val="20"/>
          <w:highlight w:val="none"/>
          <w:lang w:eastAsia="zh-CN"/>
        </w:rPr>
        <w:t>（</w:t>
      </w:r>
      <w:r>
        <w:rPr>
          <w:rFonts w:hint="eastAsia"/>
          <w:bCs/>
          <w:color w:val="auto"/>
          <w:sz w:val="24"/>
          <w:szCs w:val="20"/>
          <w:highlight w:val="none"/>
          <w:lang w:val="en-US" w:eastAsia="zh-CN"/>
        </w:rPr>
        <w:t>容积5m</w:t>
      </w:r>
      <w:r>
        <w:rPr>
          <w:rFonts w:hint="eastAsia"/>
          <w:bCs/>
          <w:color w:val="auto"/>
          <w:sz w:val="24"/>
          <w:szCs w:val="20"/>
          <w:highlight w:val="none"/>
          <w:vertAlign w:val="superscript"/>
          <w:lang w:val="en-US" w:eastAsia="zh-CN"/>
        </w:rPr>
        <w:t>3</w:t>
      </w:r>
      <w:r>
        <w:rPr>
          <w:rFonts w:hint="eastAsia"/>
          <w:bCs/>
          <w:color w:val="auto"/>
          <w:sz w:val="24"/>
          <w:szCs w:val="20"/>
          <w:highlight w:val="none"/>
          <w:lang w:eastAsia="zh-CN"/>
        </w:rPr>
        <w:t>）</w:t>
      </w:r>
      <w:r>
        <w:rPr>
          <w:bCs/>
          <w:color w:val="auto"/>
          <w:sz w:val="24"/>
          <w:szCs w:val="20"/>
          <w:highlight w:val="none"/>
        </w:rPr>
        <w:t>，泥沙经沉淀后，上清液</w:t>
      </w:r>
      <w:r>
        <w:rPr>
          <w:rFonts w:hint="eastAsia"/>
          <w:bCs/>
          <w:color w:val="auto"/>
          <w:sz w:val="24"/>
          <w:szCs w:val="20"/>
          <w:highlight w:val="none"/>
          <w:lang w:val="en-US" w:eastAsia="zh-CN"/>
        </w:rPr>
        <w:t>回用于混凝土养护及车辆冲洗用水</w:t>
      </w:r>
      <w:r>
        <w:rPr>
          <w:bCs/>
          <w:color w:val="auto"/>
          <w:sz w:val="24"/>
          <w:szCs w:val="20"/>
          <w:highlight w:val="none"/>
        </w:rPr>
        <w:t>；车辆冲洗废水主要污染物成分为悬浮物和少量石油类，</w:t>
      </w:r>
      <w:r>
        <w:rPr>
          <w:rFonts w:hint="eastAsia"/>
          <w:bCs/>
          <w:color w:val="auto"/>
          <w:sz w:val="24"/>
          <w:szCs w:val="20"/>
          <w:highlight w:val="none"/>
          <w:lang w:val="en-US" w:eastAsia="zh-CN"/>
        </w:rPr>
        <w:t>经上述</w:t>
      </w:r>
      <w:r>
        <w:rPr>
          <w:bCs/>
          <w:color w:val="auto"/>
          <w:sz w:val="24"/>
          <w:szCs w:val="20"/>
          <w:highlight w:val="none"/>
        </w:rPr>
        <w:t>沉淀池</w:t>
      </w:r>
      <w:r>
        <w:rPr>
          <w:rFonts w:hint="eastAsia"/>
          <w:bCs/>
          <w:color w:val="auto"/>
          <w:sz w:val="24"/>
          <w:szCs w:val="20"/>
          <w:highlight w:val="none"/>
          <w:lang w:eastAsia="zh-CN"/>
        </w:rPr>
        <w:t>（</w:t>
      </w:r>
      <w:r>
        <w:rPr>
          <w:rFonts w:hint="eastAsia"/>
          <w:bCs/>
          <w:color w:val="auto"/>
          <w:sz w:val="24"/>
          <w:szCs w:val="20"/>
          <w:highlight w:val="none"/>
          <w:lang w:val="en-US" w:eastAsia="zh-CN"/>
        </w:rPr>
        <w:t>容积5m</w:t>
      </w:r>
      <w:r>
        <w:rPr>
          <w:rFonts w:hint="eastAsia"/>
          <w:bCs/>
          <w:color w:val="auto"/>
          <w:sz w:val="24"/>
          <w:szCs w:val="20"/>
          <w:highlight w:val="none"/>
          <w:vertAlign w:val="superscript"/>
          <w:lang w:val="en-US" w:eastAsia="zh-CN"/>
        </w:rPr>
        <w:t>3</w:t>
      </w:r>
      <w:r>
        <w:rPr>
          <w:rFonts w:hint="eastAsia"/>
          <w:bCs/>
          <w:color w:val="auto"/>
          <w:sz w:val="24"/>
          <w:szCs w:val="20"/>
          <w:highlight w:val="none"/>
          <w:lang w:eastAsia="zh-CN"/>
        </w:rPr>
        <w:t>）</w:t>
      </w:r>
      <w:r>
        <w:rPr>
          <w:rFonts w:hint="eastAsia"/>
          <w:bCs/>
          <w:color w:val="auto"/>
          <w:sz w:val="24"/>
          <w:szCs w:val="20"/>
          <w:highlight w:val="none"/>
          <w:lang w:val="en-US" w:eastAsia="zh-CN"/>
        </w:rPr>
        <w:t>处理后</w:t>
      </w:r>
      <w:r>
        <w:rPr>
          <w:bCs/>
          <w:color w:val="auto"/>
          <w:sz w:val="24"/>
          <w:szCs w:val="20"/>
          <w:highlight w:val="none"/>
        </w:rPr>
        <w:t>，位于施工区场地大门处机械和车辆冲洗废水经相应隔油沉淀处理后循环使用不外排。</w:t>
      </w:r>
    </w:p>
    <w:p>
      <w:pPr>
        <w:spacing w:line="360" w:lineRule="auto"/>
        <w:ind w:firstLine="480" w:firstLineChars="200"/>
        <w:rPr>
          <w:rFonts w:ascii="Times New Roman" w:hAnsi="Times New Roman"/>
          <w:color w:val="auto"/>
          <w:sz w:val="24"/>
        </w:rPr>
      </w:pPr>
      <w:r>
        <w:rPr>
          <w:rFonts w:hint="eastAsia" w:ascii="宋体" w:hAnsi="宋体" w:eastAsia="宋体" w:cs="宋体"/>
          <w:color w:val="auto"/>
          <w:sz w:val="24"/>
        </w:rPr>
        <w:t>工程位于下游</w:t>
      </w:r>
      <w:r>
        <w:rPr>
          <w:rFonts w:hint="eastAsia" w:ascii="宋体" w:hAnsi="宋体" w:cs="宋体"/>
          <w:color w:val="auto"/>
          <w:sz w:val="24"/>
          <w:lang w:val="en-US" w:eastAsia="zh-CN"/>
        </w:rPr>
        <w:t>萝卜园库区</w:t>
      </w:r>
      <w:r>
        <w:rPr>
          <w:rFonts w:hint="eastAsia" w:ascii="宋体" w:hAnsi="宋体" w:eastAsia="宋体" w:cs="宋体"/>
          <w:color w:val="auto"/>
          <w:sz w:val="24"/>
        </w:rPr>
        <w:t>回水</w:t>
      </w:r>
      <w:r>
        <w:rPr>
          <w:rFonts w:hint="eastAsia" w:ascii="宋体" w:hAnsi="宋体" w:eastAsia="宋体" w:cs="宋体"/>
          <w:color w:val="auto"/>
          <w:sz w:val="24"/>
          <w:lang w:val="en-US" w:eastAsia="zh-CN"/>
        </w:rPr>
        <w:t>区</w:t>
      </w:r>
      <w:r>
        <w:rPr>
          <w:rFonts w:hint="eastAsia" w:ascii="宋体" w:hAnsi="宋体" w:eastAsia="宋体" w:cs="宋体"/>
          <w:color w:val="auto"/>
          <w:sz w:val="24"/>
        </w:rPr>
        <w:t>范围内，</w:t>
      </w:r>
      <w:r>
        <w:rPr>
          <w:rFonts w:ascii="Times New Roman" w:hAnsi="Times New Roman"/>
          <w:color w:val="auto"/>
          <w:sz w:val="24"/>
        </w:rPr>
        <w:t>堤基施工时萝卜园水库开闸放水，工程水位低于堤基高程时开始施工，因此本工程围堰长度仅有</w:t>
      </w:r>
      <w:r>
        <w:rPr>
          <w:rFonts w:hint="eastAsia" w:ascii="Times New Roman" w:hAnsi="Times New Roman"/>
          <w:color w:val="auto"/>
          <w:sz w:val="24"/>
          <w:lang w:val="en-US" w:eastAsia="zh-CN"/>
        </w:rPr>
        <w:t>1105</w:t>
      </w:r>
      <w:r>
        <w:rPr>
          <w:rFonts w:ascii="Times New Roman" w:hAnsi="Times New Roman"/>
          <w:color w:val="auto"/>
          <w:sz w:val="24"/>
        </w:rPr>
        <w:t>m。在围堰施工过程中，有渗水和雨水等基肯积水产生，其积水经过沉淀后，作为施工用水，多余积水待沉淀清澈后排入琼江。堤基施工对琼江水体的扰动和影响有限。</w:t>
      </w:r>
    </w:p>
    <w:p>
      <w:pPr>
        <w:spacing w:line="360" w:lineRule="auto"/>
        <w:ind w:firstLine="480" w:firstLineChars="200"/>
        <w:rPr>
          <w:rFonts w:ascii="Times New Roman" w:hAnsi="Times New Roman"/>
          <w:color w:val="auto"/>
          <w:sz w:val="24"/>
        </w:rPr>
      </w:pPr>
      <w:r>
        <w:rPr>
          <w:rFonts w:ascii="Times New Roman" w:hAnsi="Times New Roman"/>
          <w:color w:val="auto"/>
          <w:sz w:val="24"/>
        </w:rPr>
        <w:t>在采取以上环保措施后，项目施工产生施工废水、冲洗废水和基坑积水对沿线水体影响较小。</w:t>
      </w:r>
    </w:p>
    <w:p>
      <w:pPr>
        <w:pStyle w:val="5"/>
        <w:keepNext w:val="0"/>
        <w:keepLines w:val="0"/>
        <w:pageBreakBefore w:val="0"/>
        <w:kinsoku/>
        <w:wordWrap/>
        <w:overflowPunct/>
        <w:topLinePunct w:val="0"/>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385" w:name="_Toc496004596"/>
      <w:bookmarkStart w:id="386" w:name="_Toc22934"/>
      <w:bookmarkStart w:id="387" w:name="_Toc17899"/>
      <w:bookmarkStart w:id="388" w:name="_Toc2975"/>
      <w:bookmarkStart w:id="389" w:name="_Toc519985625"/>
      <w:bookmarkStart w:id="390" w:name="_Toc515025212"/>
      <w:r>
        <w:rPr>
          <w:rFonts w:hint="eastAsia" w:ascii="宋体" w:hAnsi="宋体" w:eastAsia="宋体" w:cs="宋体"/>
          <w:color w:val="auto"/>
        </w:rPr>
        <w:t>固体废弃物的影响分析</w:t>
      </w:r>
      <w:bookmarkEnd w:id="385"/>
      <w:bookmarkEnd w:id="386"/>
      <w:bookmarkEnd w:id="387"/>
      <w:bookmarkEnd w:id="388"/>
      <w:bookmarkEnd w:id="389"/>
      <w:bookmarkEnd w:id="390"/>
    </w:p>
    <w:p>
      <w:pPr>
        <w:autoSpaceDE w:val="0"/>
        <w:autoSpaceDN w:val="0"/>
        <w:adjustRightInd w:val="0"/>
        <w:spacing w:line="360" w:lineRule="auto"/>
        <w:ind w:firstLine="480"/>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施工期产生的固体废物主要为开挖的弃方、建筑垃圾和施工人员生活垃圾。</w:t>
      </w:r>
    </w:p>
    <w:p>
      <w:pPr>
        <w:autoSpaceDE w:val="0"/>
        <w:autoSpaceDN w:val="0"/>
        <w:adjustRightInd w:val="0"/>
        <w:spacing w:line="360" w:lineRule="auto"/>
        <w:ind w:firstLine="480"/>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（1）建筑垃圾</w:t>
      </w:r>
    </w:p>
    <w:p>
      <w:pPr>
        <w:autoSpaceDE w:val="0"/>
        <w:autoSpaceDN w:val="0"/>
        <w:spacing w:line="360" w:lineRule="auto"/>
        <w:ind w:firstLine="480"/>
        <w:rPr>
          <w:rFonts w:hint="eastAsia" w:ascii="宋体" w:hAnsi="宋体" w:eastAsia="宋体" w:cs="宋体"/>
          <w:color w:val="auto"/>
          <w:kern w:val="0"/>
          <w:sz w:val="24"/>
          <w:highlight w:val="none"/>
          <w:lang w:val="en-US" w:eastAsia="zh-CN"/>
        </w:rPr>
      </w:pPr>
      <w:r>
        <w:rPr>
          <w:rFonts w:hint="eastAsia" w:ascii="宋体" w:hAnsi="宋体" w:eastAsia="宋体" w:cs="宋体"/>
          <w:color w:val="auto"/>
          <w:sz w:val="24"/>
          <w:szCs w:val="32"/>
          <w:highlight w:val="none"/>
        </w:rPr>
        <w:t>在工程施工过程中，产生的建筑废料主要为钢筋、钢板、木材等，产生量约为1t，</w:t>
      </w:r>
      <w:r>
        <w:rPr>
          <w:rFonts w:hint="eastAsia" w:ascii="宋体" w:hAnsi="宋体" w:eastAsia="宋体" w:cs="宋体"/>
          <w:color w:val="auto"/>
          <w:kern w:val="0"/>
          <w:sz w:val="24"/>
          <w:highlight w:val="none"/>
          <w:lang w:val="zh-CN"/>
        </w:rPr>
        <w:t>建筑废料分类回收，交废物收购站处理；对不能回收的建筑垃圾</w:t>
      </w:r>
      <w:r>
        <w:rPr>
          <w:rFonts w:hint="eastAsia" w:ascii="宋体" w:hAnsi="宋体" w:eastAsia="宋体" w:cs="宋体"/>
          <w:color w:val="auto"/>
          <w:kern w:val="0"/>
          <w:sz w:val="24"/>
          <w:highlight w:val="none"/>
          <w:lang w:val="en-US" w:eastAsia="zh-CN"/>
        </w:rPr>
        <w:t>及时清运至指定垃圾堆场。</w:t>
      </w:r>
    </w:p>
    <w:p>
      <w:pPr>
        <w:autoSpaceDE w:val="0"/>
        <w:autoSpaceDN w:val="0"/>
        <w:spacing w:line="360" w:lineRule="auto"/>
        <w:ind w:firstLine="480" w:firstLineChars="200"/>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（2）生活垃圾</w:t>
      </w:r>
    </w:p>
    <w:p>
      <w:pPr>
        <w:autoSpaceDE w:val="0"/>
        <w:autoSpaceDN w:val="0"/>
        <w:spacing w:line="360" w:lineRule="auto"/>
        <w:ind w:firstLine="480" w:firstLineChars="200"/>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本工程生活垃圾主要是施工人员产生的生活垃圾，按每人每天产生0.2kg计算，最高施工人数为50人，则施工期生活垃圾产生量约为10kg/d，经袋装收集后，由当地环卫部门统一清运。</w:t>
      </w:r>
    </w:p>
    <w:p>
      <w:pPr>
        <w:spacing w:line="360" w:lineRule="auto"/>
        <w:ind w:firstLine="480" w:firstLineChars="200"/>
        <w:rPr>
          <w:rFonts w:hint="eastAsia" w:ascii="宋体" w:hAnsi="宋体" w:eastAsia="宋体" w:cs="宋体"/>
          <w:bCs/>
          <w:color w:val="auto"/>
          <w:sz w:val="24"/>
          <w:highlight w:val="none"/>
          <w:lang w:val="en-US" w:eastAsia="zh-CN"/>
        </w:rPr>
      </w:pPr>
      <w:r>
        <w:rPr>
          <w:rFonts w:hint="eastAsia" w:ascii="宋体" w:hAnsi="宋体" w:eastAsia="宋体" w:cs="宋体"/>
          <w:bCs/>
          <w:color w:val="auto"/>
          <w:sz w:val="24"/>
          <w:highlight w:val="none"/>
          <w:lang w:eastAsia="zh-CN"/>
        </w:rPr>
        <w:t>（</w:t>
      </w:r>
      <w:r>
        <w:rPr>
          <w:rFonts w:hint="eastAsia" w:ascii="宋体" w:hAnsi="宋体" w:eastAsia="宋体" w:cs="宋体"/>
          <w:bCs/>
          <w:color w:val="auto"/>
          <w:sz w:val="24"/>
          <w:highlight w:val="none"/>
          <w:lang w:val="en-US" w:eastAsia="zh-CN"/>
        </w:rPr>
        <w:t>3</w:t>
      </w:r>
      <w:r>
        <w:rPr>
          <w:rFonts w:hint="eastAsia" w:ascii="宋体" w:hAnsi="宋体" w:eastAsia="宋体" w:cs="宋体"/>
          <w:bCs/>
          <w:color w:val="auto"/>
          <w:sz w:val="24"/>
          <w:highlight w:val="none"/>
          <w:lang w:eastAsia="zh-CN"/>
        </w:rPr>
        <w:t>）</w:t>
      </w:r>
      <w:r>
        <w:rPr>
          <w:rFonts w:hint="eastAsia" w:ascii="宋体" w:hAnsi="宋体" w:eastAsia="宋体" w:cs="宋体"/>
          <w:bCs/>
          <w:color w:val="auto"/>
          <w:sz w:val="24"/>
          <w:highlight w:val="none"/>
          <w:lang w:val="en-US" w:eastAsia="zh-CN"/>
        </w:rPr>
        <w:t>弃方</w:t>
      </w:r>
    </w:p>
    <w:p>
      <w:pPr>
        <w:widowControl/>
        <w:spacing w:line="360" w:lineRule="auto"/>
        <w:ind w:firstLine="480" w:firstLineChars="200"/>
        <w:outlineLvl w:val="2"/>
        <w:rPr>
          <w:rFonts w:hint="eastAsia" w:ascii="宋体" w:hAnsi="宋体" w:eastAsia="宋体" w:cs="宋体"/>
          <w:bCs/>
          <w:color w:val="auto"/>
          <w:sz w:val="24"/>
          <w:highlight w:val="none"/>
        </w:rPr>
      </w:pPr>
      <w:bookmarkStart w:id="391" w:name="_Toc515025213"/>
      <w:bookmarkStart w:id="392" w:name="_Toc496004597"/>
      <w:bookmarkStart w:id="393" w:name="_Toc12676"/>
      <w:bookmarkStart w:id="394" w:name="_Toc519985626"/>
      <w:bookmarkStart w:id="395" w:name="_Toc19428"/>
      <w:r>
        <w:rPr>
          <w:rFonts w:hint="eastAsia" w:ascii="宋体" w:hAnsi="宋体" w:eastAsia="宋体" w:cs="宋体"/>
          <w:bCs/>
          <w:color w:val="auto"/>
          <w:sz w:val="24"/>
          <w:highlight w:val="none"/>
        </w:rPr>
        <w:t>本工程堤防建筑物区土方开挖16.61万m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，石方开挖0.31万m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，拆除料0.01万m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，合计16.93万m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，石渣料场土方开挖0.87万m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，石方开挖12.16万m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，土石开挖共13.03万m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。堤防土方回填利用量1.04万m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，石渣填筑料部分从石渣料场开采，从石渣料场共取料12.16万m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，围堰填筑土方利用量3.09万m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。堤防区弃渣13.84万m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，围堰填筑区弃渣2.58万m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，其余临时施工区无弃渣产生，本工程总共弃渣16.42万m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。本次堤防低洼地带可回填20万m</w:t>
      </w:r>
      <w:r>
        <w:rPr>
          <w:rFonts w:hint="eastAsia" w:ascii="宋体" w:hAnsi="宋体" w:eastAsia="宋体" w:cs="宋体"/>
          <w:bCs/>
          <w:color w:val="auto"/>
          <w:sz w:val="24"/>
          <w:highlight w:val="none"/>
          <w:vertAlign w:val="superscript"/>
        </w:rPr>
        <w:t>3</w:t>
      </w:r>
      <w:r>
        <w:rPr>
          <w:rFonts w:hint="eastAsia" w:ascii="宋体" w:hAnsi="宋体" w:eastAsia="宋体" w:cs="宋体"/>
          <w:bCs/>
          <w:color w:val="auto"/>
          <w:sz w:val="24"/>
          <w:highlight w:val="none"/>
        </w:rPr>
        <w:t>弃渣，满足本工程弃渣要求。故本工程弃渣均回填至堤后低洼地带，不单独设弃渣场。</w:t>
      </w:r>
    </w:p>
    <w:p>
      <w:pPr>
        <w:spacing w:line="360" w:lineRule="auto"/>
        <w:ind w:firstLine="480" w:firstLineChars="200"/>
        <w:rPr>
          <w:bCs/>
          <w:color w:val="auto"/>
          <w:sz w:val="24"/>
          <w:highlight w:val="none"/>
        </w:rPr>
      </w:pPr>
      <w:r>
        <w:rPr>
          <w:rFonts w:hint="eastAsia" w:ascii="宋体" w:hAnsi="宋体" w:eastAsia="宋体" w:cs="宋体"/>
          <w:color w:val="auto"/>
          <w:sz w:val="24"/>
        </w:rPr>
        <w:t>工程回填完成后，在堤后区域进行绿化处理，草种以乡土草种为主，采用混播植草的方式，种植密度采用100kg/hm</w:t>
      </w:r>
      <w:r>
        <w:rPr>
          <w:rFonts w:hint="eastAsia" w:ascii="宋体" w:hAnsi="宋体" w:eastAsia="宋体" w:cs="宋体"/>
          <w:color w:val="auto"/>
          <w:sz w:val="24"/>
          <w:vertAlign w:val="superscript"/>
        </w:rPr>
        <w:t>2</w:t>
      </w:r>
      <w:r>
        <w:rPr>
          <w:rFonts w:hint="eastAsia" w:ascii="宋体" w:hAnsi="宋体" w:eastAsia="宋体" w:cs="宋体"/>
          <w:color w:val="auto"/>
          <w:sz w:val="24"/>
        </w:rPr>
        <w:t>。开挖料经过以上处理后对保护区影响有限。</w:t>
      </w:r>
    </w:p>
    <w:p>
      <w:pPr>
        <w:spacing w:line="360" w:lineRule="auto"/>
        <w:ind w:firstLine="480" w:firstLineChars="200"/>
        <w:rPr>
          <w:bCs/>
          <w:color w:val="FF0000"/>
          <w:sz w:val="24"/>
          <w:highlight w:val="none"/>
        </w:rPr>
      </w:pPr>
      <w:r>
        <w:rPr>
          <w:bCs/>
          <w:color w:val="auto"/>
          <w:sz w:val="24"/>
          <w:highlight w:val="none"/>
        </w:rPr>
        <w:t>在采取以上治理措施后，本项目施工期产生的固体废物均得到妥善处置，不会对区域环境产生不利影响。</w:t>
      </w:r>
    </w:p>
    <w:p>
      <w:pPr>
        <w:pStyle w:val="5"/>
        <w:keepNext w:val="0"/>
        <w:keepLines w:val="0"/>
        <w:pageBreakBefore w:val="0"/>
        <w:kinsoku/>
        <w:wordWrap/>
        <w:overflowPunct/>
        <w:topLinePunct w:val="0"/>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396" w:name="_Toc12405"/>
      <w:r>
        <w:rPr>
          <w:rFonts w:hint="eastAsia" w:ascii="宋体" w:hAnsi="宋体" w:eastAsia="宋体" w:cs="宋体"/>
          <w:color w:val="auto"/>
        </w:rPr>
        <w:t>悬浮物的影响分析</w:t>
      </w:r>
      <w:bookmarkEnd w:id="391"/>
      <w:bookmarkEnd w:id="392"/>
      <w:bookmarkEnd w:id="393"/>
      <w:bookmarkEnd w:id="394"/>
      <w:bookmarkEnd w:id="395"/>
      <w:bookmarkEnd w:id="396"/>
    </w:p>
    <w:p>
      <w:pPr>
        <w:keepNext w:val="0"/>
        <w:keepLines w:val="0"/>
        <w:pageBreakBefore w:val="0"/>
        <w:kinsoku/>
        <w:wordWrap/>
        <w:overflowPunct/>
        <w:topLinePunct w:val="0"/>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悬浮物对鱼类影响有以下几方面：①悬浮的泥沙会造成鱼类机械性损伤、刺激鳃丝、黏膜与堵塞鳃孔。其中影响的程度主要取决于泥沙颗粒的硬度、性质与形状，还决定于鱼类的忍耐性及品种。②干扰鱼类觅食和呼吸。在养殖过程中，过多的悬浮物影响鱼类的正常呼吸。同时，会降低鱼类滤食的效率，影响自然生长率。③有毒物质、重金属吸附在鱼类表面可能造成严重影响。④影响天然的饵料生物正常繁殖。⑤浓度的改变会引起鱼类不适应性。</w:t>
      </w:r>
    </w:p>
    <w:p>
      <w:pPr>
        <w:keepNext w:val="0"/>
        <w:keepLines w:val="0"/>
        <w:pageBreakBefore w:val="0"/>
        <w:kinsoku/>
        <w:wordWrap/>
        <w:overflowPunct/>
        <w:topLinePunct w:val="0"/>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本工程悬浮物颗粒主要的来源是施工时的混凝土养护、围堰、建筑垃圾与</w:t>
      </w:r>
      <w:r>
        <w:rPr>
          <w:rFonts w:hint="eastAsia" w:ascii="宋体" w:hAnsi="宋体" w:eastAsia="宋体" w:cs="宋体"/>
          <w:color w:val="auto"/>
          <w:sz w:val="24"/>
          <w:lang w:val="en-US" w:eastAsia="zh-CN"/>
        </w:rPr>
        <w:t>扬尘</w:t>
      </w:r>
      <w:r>
        <w:rPr>
          <w:rFonts w:hint="eastAsia" w:ascii="宋体" w:hAnsi="宋体" w:eastAsia="宋体" w:cs="宋体"/>
          <w:color w:val="auto"/>
          <w:sz w:val="24"/>
        </w:rPr>
        <w:t>等。SS浓度达5000mg/L，对鱼类的生长、繁殖和饵料等存在一定程度的影响。</w:t>
      </w:r>
      <w:r>
        <w:rPr>
          <w:rFonts w:ascii="Times New Roman" w:hAnsi="Times New Roman"/>
          <w:color w:val="auto"/>
          <w:sz w:val="24"/>
        </w:rPr>
        <w:t>工程堤基施工时萝卜园水库开闸放水，工程水位低于堤基高程时开始施工</w:t>
      </w:r>
      <w:r>
        <w:rPr>
          <w:rFonts w:hint="eastAsia" w:ascii="宋体" w:hAnsi="宋体" w:eastAsia="宋体" w:cs="宋体"/>
          <w:color w:val="auto"/>
          <w:sz w:val="24"/>
        </w:rPr>
        <w:t>，围堰长度仅有</w:t>
      </w:r>
      <w:r>
        <w:rPr>
          <w:rFonts w:hint="eastAsia" w:ascii="宋体" w:hAnsi="宋体" w:cs="宋体"/>
          <w:color w:val="auto"/>
          <w:sz w:val="24"/>
          <w:lang w:val="en-US" w:eastAsia="zh-CN"/>
        </w:rPr>
        <w:t>1105</w:t>
      </w:r>
      <w:r>
        <w:rPr>
          <w:rFonts w:hint="eastAsia" w:ascii="宋体" w:hAnsi="宋体" w:eastAsia="宋体" w:cs="宋体"/>
          <w:color w:val="auto"/>
          <w:sz w:val="24"/>
        </w:rPr>
        <w:t>m。大幅的减少了围堰长度，减少泥浆和废水等的产生，有效的减轻SS对鱼类资源的不利影响。堤基施工不可避免的导致了部分河段的悬浮物增加，部分水体变浑浊。同时大石块的填筑导致了河滩地性质发生改变，破坏了底栖动物的生活环境。使整体浮游动物的生物量下降，对琼江水质有一定的影响。</w:t>
      </w:r>
    </w:p>
    <w:p>
      <w:pPr>
        <w:pStyle w:val="5"/>
        <w:keepNext w:val="0"/>
        <w:keepLines w:val="0"/>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397" w:name="_Toc12694"/>
      <w:bookmarkStart w:id="398" w:name="_Toc677"/>
      <w:bookmarkStart w:id="399" w:name="_Toc323074176"/>
      <w:bookmarkStart w:id="400" w:name="_Toc3508"/>
      <w:bookmarkStart w:id="401" w:name="_Toc327734424"/>
      <w:r>
        <w:rPr>
          <w:rFonts w:hint="eastAsia" w:ascii="宋体" w:hAnsi="宋体" w:eastAsia="宋体" w:cs="宋体"/>
          <w:color w:val="auto"/>
        </w:rPr>
        <w:t>对河床底质的影响</w:t>
      </w:r>
      <w:bookmarkEnd w:id="397"/>
      <w:bookmarkEnd w:id="398"/>
      <w:bookmarkEnd w:id="399"/>
      <w:bookmarkEnd w:id="400"/>
      <w:bookmarkEnd w:id="401"/>
    </w:p>
    <w:p>
      <w:pPr>
        <w:pStyle w:val="104"/>
        <w:keepNext w:val="0"/>
        <w:keepLines w:val="0"/>
        <w:pageBreakBefore w:val="0"/>
        <w:kinsoku/>
        <w:wordWrap/>
        <w:overflowPunct/>
        <w:topLinePunct w:val="0"/>
        <w:bidi w:val="0"/>
        <w:adjustRightInd/>
        <w:snapToGrid/>
        <w:spacing w:afterAutospacing="0" w:line="360" w:lineRule="auto"/>
        <w:ind w:left="0" w:right="0" w:rightChars="0" w:firstLine="480" w:firstLineChars="200"/>
        <w:jc w:val="both"/>
        <w:textAlignment w:val="auto"/>
        <w:rPr>
          <w:rFonts w:hint="eastAsia" w:ascii="宋体" w:hAnsi="宋体" w:eastAsia="宋体" w:cs="宋体"/>
          <w:color w:val="auto"/>
          <w:highlight w:val="yellow"/>
        </w:rPr>
      </w:pPr>
      <w:r>
        <w:rPr>
          <w:rFonts w:hint="eastAsia" w:ascii="宋体" w:hAnsi="宋体" w:eastAsia="宋体" w:cs="宋体"/>
          <w:color w:val="auto"/>
          <w:lang w:val="en-US" w:eastAsia="zh-CN"/>
        </w:rPr>
        <w:t>本</w:t>
      </w:r>
      <w:r>
        <w:rPr>
          <w:rFonts w:hint="eastAsia" w:ascii="宋体" w:hAnsi="宋体" w:eastAsia="宋体" w:cs="宋体"/>
          <w:color w:val="auto"/>
        </w:rPr>
        <w:t>工程位于琼江安居区</w:t>
      </w:r>
      <w:r>
        <w:rPr>
          <w:rFonts w:hint="eastAsia" w:hAnsi="宋体" w:cs="宋体"/>
          <w:color w:val="auto"/>
          <w:lang w:val="en-US" w:eastAsia="zh-CN"/>
        </w:rPr>
        <w:t>城区段</w:t>
      </w:r>
      <w:r>
        <w:rPr>
          <w:rFonts w:hint="eastAsia" w:ascii="宋体" w:hAnsi="宋体" w:eastAsia="宋体" w:cs="宋体"/>
          <w:color w:val="auto"/>
        </w:rPr>
        <w:t>，</w:t>
      </w:r>
      <w:r>
        <w:rPr>
          <w:rFonts w:hint="eastAsia" w:ascii="宋体" w:hAnsi="宋体" w:eastAsia="宋体" w:cs="宋体"/>
          <w:color w:val="auto"/>
          <w:kern w:val="2"/>
        </w:rPr>
        <w:t>新建防洪堤（P=</w:t>
      </w:r>
      <w:r>
        <w:rPr>
          <w:rFonts w:hint="eastAsia" w:hAnsi="宋体" w:cs="宋体"/>
          <w:color w:val="auto"/>
          <w:kern w:val="2"/>
          <w:lang w:val="en-US" w:eastAsia="zh-CN"/>
        </w:rPr>
        <w:t>5</w:t>
      </w:r>
      <w:r>
        <w:rPr>
          <w:rFonts w:hint="eastAsia" w:ascii="宋体" w:hAnsi="宋体" w:eastAsia="宋体" w:cs="宋体"/>
          <w:color w:val="auto"/>
          <w:kern w:val="2"/>
        </w:rPr>
        <w:t>%）堤线总长</w:t>
      </w:r>
      <w:r>
        <w:rPr>
          <w:rFonts w:hint="eastAsia" w:hAnsi="宋体" w:cs="宋体"/>
          <w:color w:val="auto"/>
          <w:kern w:val="2"/>
          <w:lang w:val="en-US" w:eastAsia="zh-CN"/>
        </w:rPr>
        <w:t>2633</w:t>
      </w:r>
      <w:r>
        <w:rPr>
          <w:rFonts w:hint="eastAsia" w:ascii="宋体" w:hAnsi="宋体" w:eastAsia="宋体" w:cs="宋体"/>
          <w:color w:val="auto"/>
          <w:kern w:val="2"/>
        </w:rPr>
        <w:t>m</w:t>
      </w:r>
      <w:r>
        <w:rPr>
          <w:rFonts w:hint="eastAsia" w:hAnsi="宋体" w:cs="宋体"/>
          <w:color w:val="auto"/>
          <w:kern w:val="2"/>
          <w:lang w:eastAsia="zh-CN"/>
        </w:rPr>
        <w:t>。</w:t>
      </w:r>
      <w:r>
        <w:rPr>
          <w:rFonts w:hint="eastAsia" w:ascii="宋体" w:hAnsi="宋体" w:eastAsia="宋体" w:cs="宋体"/>
          <w:color w:val="auto"/>
        </w:rPr>
        <w:t>施工过程中基础开挖扰动破坏工程江段部分河床底质。河床底质是水生生物尤其是底栖动物生长的场所，也是产粘性卵鱼类卵粒附着发育的基质，施工作业会造成近岸水域底栖生物被块石等填压，附着环境发生改变，鱼类饵料生物的种类和分布会出现一些变化。因此，施工期对工程水域河床底质及底栖生物有一定的影响。</w:t>
      </w:r>
    </w:p>
    <w:p>
      <w:pPr>
        <w:pStyle w:val="104"/>
        <w:keepNext w:val="0"/>
        <w:keepLines w:val="0"/>
        <w:pageBreakBefore w:val="0"/>
        <w:kinsoku/>
        <w:wordWrap/>
        <w:overflowPunct/>
        <w:topLinePunct w:val="0"/>
        <w:bidi w:val="0"/>
        <w:adjustRightInd/>
        <w:snapToGrid/>
        <w:spacing w:afterAutospacing="0" w:line="360" w:lineRule="auto"/>
        <w:ind w:left="0" w:right="0" w:rightChars="0" w:firstLine="480" w:firstLineChars="200"/>
        <w:jc w:val="both"/>
        <w:textAlignment w:val="auto"/>
        <w:rPr>
          <w:rFonts w:hint="eastAsia" w:ascii="宋体" w:hAnsi="宋体" w:eastAsia="宋体" w:cs="宋体"/>
          <w:color w:val="auto"/>
        </w:rPr>
      </w:pPr>
      <w:r>
        <w:rPr>
          <w:rFonts w:hint="eastAsia" w:ascii="宋体" w:hAnsi="宋体" w:eastAsia="宋体" w:cs="宋体"/>
          <w:color w:val="auto"/>
        </w:rPr>
        <w:t>本工程位于琼江安居区</w:t>
      </w:r>
      <w:r>
        <w:rPr>
          <w:rFonts w:hint="eastAsia" w:hAnsi="宋体" w:cs="宋体"/>
          <w:color w:val="auto"/>
          <w:lang w:val="en-US" w:eastAsia="zh-CN"/>
        </w:rPr>
        <w:t>城区段</w:t>
      </w:r>
      <w:r>
        <w:rPr>
          <w:rFonts w:hint="eastAsia" w:ascii="宋体" w:hAnsi="宋体" w:eastAsia="宋体" w:cs="宋体"/>
          <w:color w:val="auto"/>
        </w:rPr>
        <w:t>的自然河堤。</w:t>
      </w:r>
      <w:r>
        <w:rPr>
          <w:rFonts w:ascii="Times New Roman" w:hAnsi="Times New Roman" w:cs="Times New Roman"/>
          <w:color w:val="auto"/>
        </w:rPr>
        <w:t>从河流形态分析，水流冲刷不严重。该河段流水断面较上游变宽，属于下游萝卜园水库的库区内，水体流速降低，水中的泥沙易于沉淀，该防洪堤基本上是沿现有自然河堤修建，基本不会改变河床的现状，仅占用了局部河岸，不会影响整个河床的稳定性</w:t>
      </w:r>
      <w:r>
        <w:rPr>
          <w:rFonts w:hint="eastAsia" w:ascii="宋体" w:hAnsi="宋体" w:eastAsia="宋体" w:cs="宋体"/>
          <w:color w:val="auto"/>
        </w:rPr>
        <w:t>。</w:t>
      </w:r>
    </w:p>
    <w:p>
      <w:pPr>
        <w:pStyle w:val="5"/>
        <w:keepNext w:val="0"/>
        <w:keepLines w:val="0"/>
        <w:pageBreakBefore w:val="0"/>
        <w:kinsoku/>
        <w:wordWrap/>
        <w:overflowPunct/>
        <w:topLinePunct w:val="0"/>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402" w:name="_Toc29725"/>
      <w:bookmarkStart w:id="403" w:name="_Toc323074177"/>
      <w:bookmarkStart w:id="404" w:name="_Toc7105"/>
      <w:bookmarkStart w:id="405" w:name="_Toc11983"/>
      <w:bookmarkStart w:id="406" w:name="_Toc327734425"/>
      <w:r>
        <w:rPr>
          <w:rFonts w:hint="eastAsia" w:ascii="宋体" w:hAnsi="宋体" w:eastAsia="宋体" w:cs="宋体"/>
          <w:color w:val="auto"/>
        </w:rPr>
        <w:t>对水文情势的影响</w:t>
      </w:r>
      <w:bookmarkEnd w:id="402"/>
      <w:bookmarkEnd w:id="403"/>
      <w:bookmarkEnd w:id="404"/>
      <w:bookmarkEnd w:id="405"/>
      <w:bookmarkEnd w:id="406"/>
    </w:p>
    <w:p>
      <w:pPr>
        <w:spacing w:line="360" w:lineRule="auto"/>
        <w:ind w:firstLine="480" w:firstLineChars="200"/>
        <w:rPr>
          <w:rFonts w:ascii="Times New Roman" w:hAnsi="Times New Roman"/>
          <w:color w:val="auto"/>
          <w:sz w:val="24"/>
        </w:rPr>
      </w:pPr>
      <w:r>
        <w:rPr>
          <w:rFonts w:ascii="Times New Roman" w:hAnsi="Times New Roman"/>
          <w:color w:val="auto"/>
          <w:sz w:val="24"/>
        </w:rPr>
        <w:t>工程上游有麻子滩水库和跑马滩水库，皆为中型水库，其中麻子滩水库位于白安河上，集雨面积为231.8km</w:t>
      </w:r>
      <w:r>
        <w:rPr>
          <w:rFonts w:ascii="Times New Roman" w:hAnsi="Times New Roman"/>
          <w:color w:val="auto"/>
          <w:sz w:val="24"/>
          <w:vertAlign w:val="superscript"/>
        </w:rPr>
        <w:t>2</w:t>
      </w:r>
      <w:r>
        <w:rPr>
          <w:rFonts w:ascii="Times New Roman" w:hAnsi="Times New Roman"/>
          <w:color w:val="auto"/>
          <w:sz w:val="24"/>
        </w:rPr>
        <w:t>，距离本工程约44km，跑马滩水库位于琼江右岸一级支流蟠龙河上，集雨面积为424.7km</w:t>
      </w:r>
      <w:r>
        <w:rPr>
          <w:rFonts w:ascii="Times New Roman" w:hAnsi="Times New Roman"/>
          <w:color w:val="auto"/>
          <w:sz w:val="24"/>
          <w:vertAlign w:val="superscript"/>
        </w:rPr>
        <w:t>2</w:t>
      </w:r>
      <w:r>
        <w:rPr>
          <w:rFonts w:ascii="Times New Roman" w:hAnsi="Times New Roman"/>
          <w:color w:val="auto"/>
          <w:sz w:val="24"/>
        </w:rPr>
        <w:t>，距离本工程约32km。工程下游有萝卜园水库，是一座以灌溉和农村人畜供水为主，兼有发电、防洪及生态建设等综合利用的小（一）型水利工程。水库正常蓄水位为275.00m，洪水位为276.27m，校核洪水位为278.31m，水库总库容995万m</w:t>
      </w:r>
      <w:r>
        <w:rPr>
          <w:rFonts w:ascii="Times New Roman" w:hAnsi="Times New Roman"/>
          <w:color w:val="auto"/>
          <w:sz w:val="24"/>
          <w:vertAlign w:val="superscript"/>
        </w:rPr>
        <w:t>3</w:t>
      </w:r>
      <w:r>
        <w:rPr>
          <w:rFonts w:ascii="Times New Roman" w:hAnsi="Times New Roman"/>
          <w:color w:val="auto"/>
          <w:sz w:val="24"/>
        </w:rPr>
        <w:t>，距离本工程约5km。</w:t>
      </w:r>
    </w:p>
    <w:p>
      <w:pPr>
        <w:pStyle w:val="104"/>
        <w:spacing w:line="360" w:lineRule="auto"/>
        <w:ind w:firstLine="480"/>
        <w:jc w:val="both"/>
        <w:rPr>
          <w:rFonts w:ascii="Times New Roman" w:hAnsi="Times New Roman" w:cs="Times New Roman"/>
          <w:color w:val="auto"/>
        </w:rPr>
      </w:pPr>
      <w:r>
        <w:rPr>
          <w:rFonts w:ascii="Times New Roman" w:hAnsi="Times New Roman" w:cs="Times New Roman"/>
          <w:color w:val="auto"/>
        </w:rPr>
        <w:t>工程位于萝卜园库区回水范围内，堤基施工是在枯水期进行的。上游2个水库关闸蓄水，同时下游萝卜园水库开闸放水，工程水位低于堤基高程时开始堤基开挖等工序，工程</w:t>
      </w:r>
      <w:r>
        <w:rPr>
          <w:rFonts w:ascii="Times New Roman" w:hAnsi="Times New Roman" w:cs="Times New Roman"/>
          <w:color w:val="auto"/>
          <w:spacing w:val="-1"/>
        </w:rPr>
        <w:t>段</w:t>
      </w:r>
      <w:r>
        <w:rPr>
          <w:rFonts w:ascii="Times New Roman" w:hAnsi="Times New Roman" w:cs="Times New Roman"/>
          <w:color w:val="auto"/>
        </w:rPr>
        <w:t>堤线是顺应河势布置，施工活动主要在枯水期的原有自然河堤或河滩上进行，但部分堤基施工时进行了土石围堰，围堰范围在河道内。等堤基施工结束后，下游萝卜园水库开始蓄水，工程河段的水文情势又恢复至施工前的状况。</w:t>
      </w:r>
    </w:p>
    <w:p>
      <w:pPr>
        <w:spacing w:line="360" w:lineRule="auto"/>
        <w:ind w:firstLine="480" w:firstLineChars="200"/>
        <w:rPr>
          <w:rFonts w:ascii="Times New Roman" w:hAnsi="Times New Roman"/>
          <w:color w:val="auto"/>
          <w:sz w:val="24"/>
        </w:rPr>
      </w:pPr>
      <w:r>
        <w:rPr>
          <w:rFonts w:ascii="Times New Roman" w:hAnsi="Times New Roman"/>
          <w:color w:val="auto"/>
          <w:sz w:val="24"/>
        </w:rPr>
        <w:t>工程完成后，在洪水期可缓解安居地区防洪压力，防洪能力得到提高。洪水经本江段顺畅下泄，在丰水期不会减少通过本江段流入下游江段的水流量。工程主要在河道岸坡施工，工程建设基本不缩窄琼江河面，对天然河床过水断面面积影响很小，建堤前后水位变化较小，因此工程建成后对工程江段的水文情势影响有限。</w:t>
      </w:r>
    </w:p>
    <w:p>
      <w:pPr>
        <w:keepNext w:val="0"/>
        <w:keepLines w:val="0"/>
        <w:pageBreakBefore w:val="0"/>
        <w:kinsoku/>
        <w:wordWrap/>
        <w:overflowPunct/>
        <w:topLinePunct w:val="0"/>
        <w:bidi w:val="0"/>
        <w:adjustRightInd/>
        <w:snapToGrid/>
        <w:spacing w:afterAutospacing="0" w:line="360" w:lineRule="auto"/>
        <w:ind w:left="0" w:right="0" w:rightChars="0" w:firstLine="480" w:firstLineChars="200"/>
        <w:textAlignment w:val="auto"/>
        <w:rPr>
          <w:rFonts w:hint="eastAsia" w:ascii="宋体" w:hAnsi="宋体" w:eastAsia="宋体" w:cs="宋体"/>
          <w:color w:val="FF0000"/>
          <w:sz w:val="24"/>
          <w:lang w:eastAsia="zh-CN"/>
        </w:rPr>
      </w:pPr>
      <w:r>
        <w:rPr>
          <w:rFonts w:ascii="Times New Roman" w:hAnsi="Times New Roman"/>
          <w:color w:val="auto"/>
          <w:sz w:val="24"/>
        </w:rPr>
        <w:t>总之，本工程按天然河势因势利导，与河势流向相适应，与洪水主流线大致平行，上下游水面线衔接自然，减少了对河道的冲刷和淤积。工程建设完成后，安居城区附近洪水流速有所增加，工程修建对该水域淤积幅度有所减小，对防洪、河势均存在一定的影响，但都是局部和有限的</w:t>
      </w:r>
      <w:r>
        <w:rPr>
          <w:rFonts w:hint="eastAsia" w:ascii="Times New Roman" w:hAnsi="Times New Roman"/>
          <w:color w:val="auto"/>
          <w:sz w:val="24"/>
          <w:lang w:eastAsia="zh-CN"/>
        </w:rPr>
        <w:t>。</w:t>
      </w:r>
    </w:p>
    <w:p>
      <w:pPr>
        <w:pStyle w:val="5"/>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407" w:name="_Toc12964"/>
      <w:bookmarkStart w:id="408" w:name="_Toc5473"/>
      <w:bookmarkStart w:id="409" w:name="_Toc27683"/>
      <w:bookmarkStart w:id="410" w:name="_Toc321663905"/>
      <w:bookmarkStart w:id="411" w:name="_Toc314696696"/>
      <w:bookmarkStart w:id="412" w:name="_Toc298318808"/>
      <w:bookmarkStart w:id="413" w:name="_Toc308594022"/>
      <w:r>
        <w:rPr>
          <w:rFonts w:hint="eastAsia" w:ascii="宋体" w:hAnsi="宋体" w:eastAsia="宋体" w:cs="宋体"/>
          <w:color w:val="auto"/>
        </w:rPr>
        <w:t>对水生生物的影响</w:t>
      </w:r>
      <w:bookmarkEnd w:id="407"/>
      <w:bookmarkEnd w:id="408"/>
      <w:bookmarkEnd w:id="409"/>
    </w:p>
    <w:p>
      <w:pPr>
        <w:keepNext w:val="0"/>
        <w:keepLines w:val="0"/>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工程建设对浮游动植物的影响主要在施工阶段。对于浮游植物而言，由于围堰、基础开挖等造成局部水域悬浮物增加，水体透明度降低，降低浮游植物光合作用强度，影响藻类的生长繁殖，因此浮游植物的生物量会有一定程度减少。浮游动物含有丰富的营养物质，是鱼类优质的天然饵料，尤其是早期阶段的仔稚鱼。同浮游植物类似，在早期施工阶段，因围堰、基础开挖产生的悬浮物会影响浮游动物的运动和摄食，甚至阻碍其生长和繁殖。因此，早期施工阶段浮游动物数量有一定程度的减少。</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底栖动物是长期在水域底部泥沙中、石块或其他水底物体上生活的动物，自然水体中底栖动物的种类和数量与底层杂食性鱼类有着极大的关系。基础开挖等对底栖动物有一定的影响，改变了其生活环境，从而使其种类、数量和分布也产生一定的不利影响，并导致施工区域内原本着生的底栖动物随着礁石移除而损失。本护岸工程主体施工主要在枯水期进行，绝大部分施工区域未涉水，施工期对底栖动物的直接损害主要是覆盖了季节性水凼中的底栖动物。</w:t>
      </w:r>
    </w:p>
    <w:p>
      <w:pPr>
        <w:pStyle w:val="171"/>
        <w:pageBreakBefore w:val="0"/>
        <w:widowControl w:val="0"/>
        <w:tabs>
          <w:tab w:val="left" w:pos="2552"/>
        </w:tabs>
        <w:kinsoku/>
        <w:wordWrap/>
        <w:overflowPunct/>
        <w:topLinePunct w:val="0"/>
        <w:autoSpaceDE/>
        <w:autoSpaceDN/>
        <w:bidi w:val="0"/>
        <w:adjustRightInd/>
        <w:snapToGrid/>
        <w:spacing w:afterAutospacing="0"/>
        <w:ind w:left="0" w:right="0" w:rightChars="0" w:firstLine="480" w:firstLineChars="200"/>
        <w:textAlignment w:val="auto"/>
        <w:rPr>
          <w:rFonts w:hint="eastAsia" w:ascii="宋体" w:hAnsi="宋体" w:eastAsia="宋体" w:cs="宋体"/>
          <w:color w:val="FF0000"/>
        </w:rPr>
      </w:pPr>
      <w:bookmarkStart w:id="414" w:name="_Toc496004601"/>
      <w:bookmarkStart w:id="415" w:name="_Toc515025196"/>
      <w:r>
        <w:rPr>
          <w:rFonts w:hint="eastAsia" w:ascii="宋体" w:hAnsi="宋体" w:eastAsia="宋体" w:cs="宋体"/>
          <w:color w:val="auto"/>
        </w:rPr>
        <w:t>同时，防洪堤附近的水文条件也有一定的局部改变，导致了防洪工程近江岸的底栖动物种类和密度有一定的变化。底栖动物原有的栖息地破坏，生境缩小，生物量减少。</w:t>
      </w:r>
      <w:bookmarkEnd w:id="414"/>
      <w:bookmarkEnd w:id="415"/>
    </w:p>
    <w:p>
      <w:pPr>
        <w:pStyle w:val="5"/>
        <w:keepNext w:val="0"/>
        <w:keepLines w:val="0"/>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416" w:name="_Toc31909"/>
      <w:bookmarkStart w:id="417" w:name="_Toc27645"/>
      <w:bookmarkStart w:id="418" w:name="_Toc9295"/>
      <w:r>
        <w:rPr>
          <w:rFonts w:hint="eastAsia" w:ascii="宋体" w:hAnsi="宋体" w:eastAsia="宋体" w:cs="宋体"/>
          <w:color w:val="auto"/>
        </w:rPr>
        <w:t>对鱼类的影响</w:t>
      </w:r>
      <w:bookmarkEnd w:id="410"/>
      <w:bookmarkEnd w:id="411"/>
      <w:bookmarkEnd w:id="412"/>
      <w:bookmarkEnd w:id="416"/>
      <w:bookmarkEnd w:id="417"/>
      <w:bookmarkEnd w:id="418"/>
    </w:p>
    <w:p>
      <w:pPr>
        <w:keepNext w:val="0"/>
        <w:keepLines w:val="0"/>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lang w:val="en-US" w:eastAsia="zh-CN"/>
        </w:rPr>
        <w:t>本</w:t>
      </w:r>
      <w:r>
        <w:rPr>
          <w:rFonts w:hint="eastAsia" w:ascii="宋体" w:hAnsi="宋体" w:eastAsia="宋体" w:cs="宋体"/>
          <w:color w:val="auto"/>
          <w:sz w:val="24"/>
        </w:rPr>
        <w:t>工程涉及</w:t>
      </w:r>
      <w:r>
        <w:rPr>
          <w:rFonts w:hint="eastAsia" w:ascii="宋体" w:hAnsi="宋体" w:eastAsia="宋体" w:cs="宋体"/>
          <w:color w:val="auto"/>
          <w:kern w:val="0"/>
          <w:sz w:val="24"/>
        </w:rPr>
        <w:t>琼江翘嘴红鲌省级水产种质资源保护区的</w:t>
      </w:r>
      <w:r>
        <w:rPr>
          <w:rFonts w:hint="eastAsia" w:ascii="宋体" w:hAnsi="宋体" w:eastAsia="宋体" w:cs="宋体"/>
          <w:color w:val="auto"/>
          <w:kern w:val="0"/>
          <w:sz w:val="24"/>
          <w:lang w:val="en-US" w:eastAsia="zh-CN"/>
        </w:rPr>
        <w:t>核心区</w:t>
      </w:r>
      <w:r>
        <w:rPr>
          <w:rFonts w:hint="eastAsia" w:ascii="宋体" w:hAnsi="宋体" w:eastAsia="宋体" w:cs="宋体"/>
          <w:color w:val="auto"/>
          <w:kern w:val="0"/>
          <w:sz w:val="24"/>
        </w:rPr>
        <w:t>，该江段</w:t>
      </w:r>
      <w:r>
        <w:rPr>
          <w:rFonts w:hint="eastAsia" w:ascii="宋体" w:hAnsi="宋体" w:eastAsia="宋体" w:cs="宋体"/>
          <w:color w:val="auto"/>
          <w:sz w:val="24"/>
        </w:rPr>
        <w:t>紧邻</w:t>
      </w:r>
      <w:r>
        <w:rPr>
          <w:rFonts w:hint="eastAsia" w:ascii="宋体" w:hAnsi="宋体" w:cs="宋体"/>
          <w:color w:val="auto"/>
          <w:sz w:val="24"/>
          <w:lang w:val="en-US" w:eastAsia="zh-CN"/>
        </w:rPr>
        <w:t>安居城区</w:t>
      </w:r>
      <w:r>
        <w:rPr>
          <w:rFonts w:hint="eastAsia" w:ascii="宋体" w:hAnsi="宋体" w:eastAsia="宋体" w:cs="宋体"/>
          <w:color w:val="auto"/>
          <w:sz w:val="24"/>
        </w:rPr>
        <w:t>，该河段因人类活动频繁不具备特有鱼类繁殖和越冬的条件，但可能为小型鱼类提供索饵生境和对产卵条件不甚严格的鲤、鲫提供产卵环境，堤防工程的建设没有破坏鱼类主要的洄游通道和主河道生境，对河流水文情势影响较小，不会影响鱼类在工程河段上下游间的迁移活动。但在施工期间鱼类会因其噪声等因素远离施工区域，造成施工区域的鱼类在短时期内资源量减少。</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工程在进行马道以下堤基开挖和</w:t>
      </w:r>
      <w:r>
        <w:rPr>
          <w:rFonts w:hint="eastAsia" w:ascii="宋体" w:hAnsi="宋体" w:eastAsia="宋体" w:cs="宋体"/>
          <w:color w:val="auto"/>
          <w:kern w:val="0"/>
          <w:sz w:val="24"/>
        </w:rPr>
        <w:t>堤身大石块填筑施工时，部分河段</w:t>
      </w:r>
      <w:r>
        <w:rPr>
          <w:rFonts w:hint="eastAsia" w:ascii="宋体" w:hAnsi="宋体" w:cs="宋体"/>
          <w:color w:val="auto"/>
          <w:kern w:val="0"/>
          <w:sz w:val="24"/>
          <w:lang w:val="en-US" w:eastAsia="zh-CN"/>
        </w:rPr>
        <w:t>将</w:t>
      </w:r>
      <w:r>
        <w:rPr>
          <w:rFonts w:hint="eastAsia" w:ascii="宋体" w:hAnsi="宋体" w:eastAsia="宋体" w:cs="宋体"/>
          <w:color w:val="auto"/>
          <w:kern w:val="0"/>
          <w:sz w:val="24"/>
        </w:rPr>
        <w:t>进行土石围堰，施工活动对水体的扰动</w:t>
      </w:r>
      <w:r>
        <w:rPr>
          <w:rFonts w:hint="eastAsia" w:ascii="宋体" w:hAnsi="宋体" w:cs="宋体"/>
          <w:color w:val="auto"/>
          <w:kern w:val="0"/>
          <w:sz w:val="24"/>
          <w:lang w:val="en-US" w:eastAsia="zh-CN"/>
        </w:rPr>
        <w:t>将</w:t>
      </w:r>
      <w:r>
        <w:rPr>
          <w:rFonts w:hint="eastAsia" w:ascii="宋体" w:hAnsi="宋体" w:eastAsia="宋体" w:cs="宋体"/>
          <w:color w:val="auto"/>
          <w:kern w:val="0"/>
          <w:sz w:val="24"/>
        </w:rPr>
        <w:t>使施工河段及其下游水体透明度降低及溶解氧下降，导致局部水域变浑浊或pH改变。</w:t>
      </w:r>
      <w:r>
        <w:rPr>
          <w:rFonts w:hint="eastAsia" w:ascii="宋体" w:hAnsi="宋体" w:eastAsia="宋体" w:cs="宋体"/>
          <w:color w:val="auto"/>
          <w:sz w:val="24"/>
        </w:rPr>
        <w:t>造成悬浮物在一定范围内形成较高浓度扩散场，致使施工水域鱼类资源量有所降低。部分沿岸的河滩被部分占用，对底栖动物和浮游动植物造成短暂的影响，间接的影响鱼类的饵料生物。</w:t>
      </w:r>
    </w:p>
    <w:bookmarkEnd w:id="413"/>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同时</w:t>
      </w:r>
      <w:r>
        <w:rPr>
          <w:rFonts w:hint="eastAsia" w:ascii="宋体" w:hAnsi="宋体" w:eastAsia="宋体" w:cs="宋体"/>
          <w:color w:val="auto"/>
          <w:sz w:val="24"/>
          <w:lang w:eastAsia="zh-CN"/>
        </w:rPr>
        <w:t>，</w:t>
      </w:r>
      <w:r>
        <w:rPr>
          <w:rFonts w:hint="eastAsia" w:ascii="宋体" w:hAnsi="宋体" w:eastAsia="宋体" w:cs="宋体"/>
          <w:color w:val="auto"/>
          <w:sz w:val="24"/>
        </w:rPr>
        <w:t>施工场地内的施工机械会产生一定的噪声和振动，对该区域内的鱼类分布</w:t>
      </w:r>
      <w:r>
        <w:rPr>
          <w:rFonts w:hint="eastAsia" w:ascii="宋体" w:hAnsi="宋体" w:eastAsia="宋体" w:cs="宋体"/>
          <w:color w:val="auto"/>
          <w:sz w:val="24"/>
          <w:lang w:val="en-US" w:eastAsia="zh-CN"/>
        </w:rPr>
        <w:t>也</w:t>
      </w:r>
      <w:r>
        <w:rPr>
          <w:rFonts w:hint="eastAsia" w:ascii="宋体" w:hAnsi="宋体" w:eastAsia="宋体" w:cs="宋体"/>
          <w:color w:val="auto"/>
          <w:sz w:val="24"/>
        </w:rPr>
        <w:t>有一定的影响，导致鱼类在该区域内分布数量较少。虽然鱼类等对外界刺激能做出主动回避的行为，但是长时间的噪声产生，导致该河段内渔业资源下降。</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jc w:val="left"/>
        <w:textAlignment w:val="auto"/>
        <w:rPr>
          <w:rFonts w:hint="eastAsia" w:ascii="宋体" w:hAnsi="宋体" w:eastAsia="宋体" w:cs="宋体"/>
          <w:color w:val="auto"/>
          <w:sz w:val="24"/>
        </w:rPr>
      </w:pPr>
      <w:r>
        <w:rPr>
          <w:rFonts w:hint="eastAsia" w:ascii="宋体" w:hAnsi="宋体" w:eastAsia="宋体" w:cs="宋体"/>
          <w:color w:val="auto"/>
          <w:sz w:val="24"/>
        </w:rPr>
        <w:t>施工过程中生产废水和固体废弃物对河流水质造成的影响</w:t>
      </w:r>
      <w:r>
        <w:rPr>
          <w:rFonts w:hint="eastAsia" w:ascii="宋体" w:hAnsi="宋体" w:cs="宋体"/>
          <w:color w:val="auto"/>
          <w:sz w:val="24"/>
          <w:lang w:val="en-US" w:eastAsia="zh-CN"/>
        </w:rPr>
        <w:t>将</w:t>
      </w:r>
      <w:r>
        <w:rPr>
          <w:rFonts w:hint="eastAsia" w:ascii="宋体" w:hAnsi="宋体" w:eastAsia="宋体" w:cs="宋体"/>
          <w:color w:val="auto"/>
          <w:sz w:val="24"/>
        </w:rPr>
        <w:t>随着施工的进行而逐渐减小。因此工程对鱼类等水生生物造成的负面影响有限。</w:t>
      </w:r>
    </w:p>
    <w:p>
      <w:pPr>
        <w:pStyle w:val="2"/>
        <w:rPr>
          <w:rFonts w:hint="eastAsia" w:ascii="宋体" w:hAnsi="宋体" w:eastAsia="宋体" w:cs="宋体"/>
          <w:color w:val="auto"/>
          <w:sz w:val="24"/>
        </w:rPr>
      </w:pPr>
    </w:p>
    <w:p>
      <w:pPr>
        <w:pStyle w:val="2"/>
        <w:rPr>
          <w:rFonts w:hint="eastAsia" w:ascii="宋体" w:hAnsi="宋体" w:eastAsia="宋体" w:cs="宋体"/>
          <w:color w:val="auto"/>
          <w:sz w:val="24"/>
        </w:rPr>
      </w:pPr>
    </w:p>
    <w:p>
      <w:pPr>
        <w:pStyle w:val="5"/>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419" w:name="_Toc327734432"/>
      <w:bookmarkStart w:id="420" w:name="_Toc15703"/>
      <w:bookmarkStart w:id="421" w:name="_Toc314696702"/>
      <w:bookmarkStart w:id="422" w:name="_Toc25061479"/>
      <w:bookmarkStart w:id="423" w:name="_Toc304886297"/>
      <w:bookmarkStart w:id="424" w:name="_Toc321663906"/>
      <w:bookmarkStart w:id="425" w:name="_Toc502150767"/>
      <w:bookmarkStart w:id="426" w:name="_Toc300514254"/>
      <w:bookmarkStart w:id="427" w:name="_Toc14412"/>
      <w:r>
        <w:rPr>
          <w:rFonts w:hint="eastAsia" w:ascii="宋体" w:hAnsi="宋体" w:eastAsia="宋体" w:cs="宋体"/>
          <w:color w:val="auto"/>
        </w:rPr>
        <w:t>对生态系统、重点保护物种及其“三场”和洄游通道的影响</w:t>
      </w:r>
      <w:bookmarkEnd w:id="419"/>
      <w:bookmarkEnd w:id="420"/>
      <w:bookmarkEnd w:id="421"/>
      <w:bookmarkEnd w:id="422"/>
      <w:bookmarkEnd w:id="423"/>
      <w:bookmarkEnd w:id="424"/>
      <w:bookmarkEnd w:id="425"/>
      <w:bookmarkEnd w:id="426"/>
      <w:bookmarkEnd w:id="427"/>
    </w:p>
    <w:p>
      <w:pPr>
        <w:pStyle w:val="6"/>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szCs w:val="24"/>
        </w:rPr>
      </w:pPr>
      <w:bookmarkStart w:id="428" w:name="_Toc323074184"/>
      <w:bookmarkStart w:id="429" w:name="_Toc5672"/>
      <w:bookmarkStart w:id="430" w:name="_Toc327734433"/>
      <w:bookmarkStart w:id="431" w:name="_Toc19375"/>
      <w:bookmarkStart w:id="432" w:name="_Toc304886298"/>
      <w:bookmarkStart w:id="433" w:name="_Toc314696703"/>
      <w:r>
        <w:rPr>
          <w:rFonts w:hint="eastAsia" w:ascii="宋体" w:hAnsi="宋体" w:eastAsia="宋体" w:cs="宋体"/>
          <w:color w:val="auto"/>
          <w:szCs w:val="24"/>
        </w:rPr>
        <w:t>工程对保护区生态系统的影响</w:t>
      </w:r>
      <w:bookmarkEnd w:id="428"/>
      <w:bookmarkEnd w:id="429"/>
      <w:bookmarkEnd w:id="430"/>
      <w:bookmarkEnd w:id="431"/>
      <w:bookmarkEnd w:id="432"/>
      <w:bookmarkEnd w:id="433"/>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lang w:val="en-US" w:eastAsia="zh-CN"/>
        </w:rPr>
        <w:t>本</w:t>
      </w:r>
      <w:r>
        <w:rPr>
          <w:rFonts w:hint="eastAsia" w:ascii="宋体" w:hAnsi="宋体" w:eastAsia="宋体" w:cs="宋体"/>
          <w:color w:val="auto"/>
          <w:sz w:val="24"/>
        </w:rPr>
        <w:t>工程位于</w:t>
      </w:r>
      <w:r>
        <w:rPr>
          <w:rFonts w:hint="eastAsia" w:ascii="宋体" w:hAnsi="宋体" w:eastAsia="宋体" w:cs="宋体"/>
          <w:color w:val="auto"/>
          <w:kern w:val="0"/>
          <w:sz w:val="24"/>
        </w:rPr>
        <w:t>琼江翘嘴红鲌省级水产种质资源保护区的</w:t>
      </w:r>
      <w:r>
        <w:rPr>
          <w:rFonts w:hint="eastAsia" w:ascii="宋体" w:hAnsi="宋体" w:eastAsia="宋体" w:cs="宋体"/>
          <w:color w:val="auto"/>
          <w:kern w:val="0"/>
          <w:sz w:val="24"/>
          <w:lang w:val="en-US" w:eastAsia="zh-CN"/>
        </w:rPr>
        <w:t>核心区</w:t>
      </w:r>
      <w:r>
        <w:rPr>
          <w:rFonts w:hint="eastAsia" w:ascii="宋体" w:hAnsi="宋体" w:eastAsia="宋体" w:cs="宋体"/>
          <w:color w:val="auto"/>
          <w:kern w:val="0"/>
          <w:sz w:val="24"/>
        </w:rPr>
        <w:t>，工程的建设和运行</w:t>
      </w:r>
      <w:r>
        <w:rPr>
          <w:rFonts w:hint="eastAsia" w:ascii="宋体" w:hAnsi="宋体" w:cs="宋体"/>
          <w:color w:val="auto"/>
          <w:kern w:val="0"/>
          <w:sz w:val="24"/>
          <w:lang w:val="en-US" w:eastAsia="zh-CN"/>
        </w:rPr>
        <w:t>不会</w:t>
      </w:r>
      <w:r>
        <w:rPr>
          <w:rFonts w:hint="eastAsia" w:ascii="宋体" w:hAnsi="宋体" w:eastAsia="宋体" w:cs="宋体"/>
          <w:color w:val="auto"/>
          <w:kern w:val="0"/>
          <w:sz w:val="24"/>
        </w:rPr>
        <w:t>明显改变河流水质</w:t>
      </w:r>
      <w:r>
        <w:rPr>
          <w:rFonts w:hint="eastAsia" w:ascii="宋体" w:hAnsi="宋体" w:eastAsia="宋体" w:cs="宋体"/>
          <w:color w:val="auto"/>
          <w:sz w:val="24"/>
        </w:rPr>
        <w:t>，</w:t>
      </w:r>
      <w:r>
        <w:rPr>
          <w:rFonts w:hint="eastAsia" w:ascii="宋体" w:hAnsi="宋体" w:cs="宋体"/>
          <w:color w:val="auto"/>
          <w:sz w:val="24"/>
          <w:lang w:val="en-US" w:eastAsia="zh-CN"/>
        </w:rPr>
        <w:t>不会</w:t>
      </w:r>
      <w:r>
        <w:rPr>
          <w:rFonts w:hint="eastAsia" w:ascii="宋体" w:hAnsi="宋体" w:eastAsia="宋体" w:cs="宋体"/>
          <w:color w:val="auto"/>
          <w:sz w:val="24"/>
        </w:rPr>
        <w:t>对浮游生物和底栖动物造成明显的影响。但原有部分自然河岸被硬化，部分河滩被占用，水文情势局部变化，浮游生物、底栖动物和鱼类的栖息生境</w:t>
      </w:r>
      <w:r>
        <w:rPr>
          <w:rFonts w:hint="eastAsia" w:ascii="宋体" w:hAnsi="宋体" w:cs="宋体"/>
          <w:color w:val="auto"/>
          <w:sz w:val="24"/>
          <w:lang w:val="en-US" w:eastAsia="zh-CN"/>
        </w:rPr>
        <w:t>将</w:t>
      </w:r>
      <w:r>
        <w:rPr>
          <w:rFonts w:hint="eastAsia" w:ascii="宋体" w:hAnsi="宋体" w:eastAsia="宋体" w:cs="宋体"/>
          <w:color w:val="auto"/>
          <w:sz w:val="24"/>
        </w:rPr>
        <w:t>受到一定的破坏。</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工程的</w:t>
      </w:r>
      <w:r>
        <w:rPr>
          <w:rFonts w:hint="eastAsia" w:ascii="宋体" w:hAnsi="宋体" w:cs="宋体"/>
          <w:color w:val="auto"/>
          <w:sz w:val="24"/>
          <w:lang w:val="en-US" w:eastAsia="zh-CN"/>
        </w:rPr>
        <w:t>建设将</w:t>
      </w:r>
      <w:r>
        <w:rPr>
          <w:rFonts w:hint="eastAsia" w:ascii="宋体" w:hAnsi="宋体" w:eastAsia="宋体" w:cs="宋体"/>
          <w:color w:val="auto"/>
          <w:sz w:val="24"/>
        </w:rPr>
        <w:t>导致部分河岸硬化，生境多样性下降，对工程涉及的琼江</w:t>
      </w:r>
      <w:r>
        <w:rPr>
          <w:rFonts w:hint="eastAsia" w:ascii="宋体" w:hAnsi="宋体" w:cs="宋体"/>
          <w:color w:val="auto"/>
          <w:sz w:val="24"/>
          <w:lang w:val="en-US" w:eastAsia="zh-CN"/>
        </w:rPr>
        <w:t>安居城区段</w:t>
      </w:r>
      <w:bookmarkStart w:id="559" w:name="_GoBack"/>
      <w:bookmarkEnd w:id="559"/>
      <w:r>
        <w:rPr>
          <w:rFonts w:hint="eastAsia" w:ascii="宋体" w:hAnsi="宋体" w:eastAsia="宋体" w:cs="宋体"/>
          <w:color w:val="auto"/>
          <w:sz w:val="24"/>
        </w:rPr>
        <w:t>的生态系统造成一定的影响。</w:t>
      </w:r>
      <w:r>
        <w:rPr>
          <w:rFonts w:ascii="Times New Roman" w:hAnsi="Times New Roman"/>
          <w:color w:val="auto"/>
          <w:sz w:val="24"/>
        </w:rPr>
        <w:t>工程位于下游萝卜园水库的回水范围内，堤基施工时，水库开闸放水，堤基施工完成后，水库再关闸蓄水，防洪堤的修建导致的消落区面积很小</w:t>
      </w:r>
      <w:r>
        <w:rPr>
          <w:rFonts w:hint="eastAsia" w:ascii="宋体" w:hAnsi="宋体" w:eastAsia="宋体" w:cs="宋体"/>
          <w:color w:val="auto"/>
          <w:sz w:val="24"/>
        </w:rPr>
        <w:t>。</w:t>
      </w:r>
    </w:p>
    <w:p>
      <w:pPr>
        <w:pStyle w:val="6"/>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szCs w:val="24"/>
        </w:rPr>
      </w:pPr>
      <w:bookmarkStart w:id="434" w:name="_Toc3326"/>
      <w:bookmarkStart w:id="435" w:name="_Toc323074185"/>
      <w:bookmarkStart w:id="436" w:name="_Toc31068"/>
      <w:bookmarkStart w:id="437" w:name="_Toc314696704"/>
      <w:bookmarkStart w:id="438" w:name="_Toc327734434"/>
      <w:bookmarkStart w:id="439" w:name="_Toc304886299"/>
      <w:r>
        <w:rPr>
          <w:rFonts w:hint="eastAsia" w:ascii="宋体" w:hAnsi="宋体" w:eastAsia="宋体" w:cs="宋体"/>
          <w:color w:val="auto"/>
          <w:szCs w:val="24"/>
        </w:rPr>
        <w:t>工程对主要保护鱼类及其“三场”的影响</w:t>
      </w:r>
      <w:bookmarkEnd w:id="434"/>
      <w:bookmarkEnd w:id="435"/>
      <w:bookmarkEnd w:id="436"/>
      <w:bookmarkEnd w:id="437"/>
      <w:bookmarkEnd w:id="438"/>
      <w:bookmarkEnd w:id="439"/>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琼江翘嘴红鲌省级水产种质资源保护区的主要保护对象为翘嘴鲌、蒙古鲌、乌鳢和黄颡鱼。</w:t>
      </w:r>
    </w:p>
    <w:p>
      <w:pPr>
        <w:spacing w:line="360" w:lineRule="auto"/>
        <w:ind w:right="27" w:rightChars="13" w:firstLine="480" w:firstLineChars="200"/>
        <w:jc w:val="left"/>
        <w:rPr>
          <w:color w:val="FF0000"/>
          <w:sz w:val="24"/>
          <w:highlight w:val="none"/>
        </w:rPr>
      </w:pPr>
      <w:r>
        <w:rPr>
          <w:rFonts w:hint="eastAsia"/>
          <w:color w:val="auto"/>
          <w:sz w:val="24"/>
          <w:highlight w:val="none"/>
          <w:lang w:val="en-US" w:eastAsia="zh-CN"/>
        </w:rPr>
        <w:t>距离本工程最近的</w:t>
      </w:r>
      <w:r>
        <w:rPr>
          <w:color w:val="auto"/>
          <w:sz w:val="24"/>
          <w:highlight w:val="none"/>
        </w:rPr>
        <w:t>产卵场有</w:t>
      </w:r>
      <w:r>
        <w:rPr>
          <w:rFonts w:hint="eastAsia"/>
          <w:color w:val="auto"/>
          <w:sz w:val="24"/>
          <w:highlight w:val="none"/>
          <w:lang w:val="en-US" w:eastAsia="zh-CN"/>
        </w:rPr>
        <w:t>2</w:t>
      </w:r>
      <w:r>
        <w:rPr>
          <w:color w:val="auto"/>
          <w:sz w:val="24"/>
          <w:highlight w:val="none"/>
        </w:rPr>
        <w:t>个，</w:t>
      </w:r>
      <w:r>
        <w:rPr>
          <w:rFonts w:hint="eastAsia"/>
          <w:color w:val="auto"/>
          <w:sz w:val="24"/>
          <w:highlight w:val="none"/>
          <w:lang w:val="en-US" w:eastAsia="zh-CN"/>
        </w:rPr>
        <w:t>分别位于工程起点上游700m的油房坝附近和工程起点上游1.3km管家坝附近，均为</w:t>
      </w:r>
      <w:r>
        <w:rPr>
          <w:color w:val="auto"/>
          <w:sz w:val="24"/>
          <w:highlight w:val="none"/>
        </w:rPr>
        <w:t>鲤、鲫产卵场，</w:t>
      </w:r>
      <w:r>
        <w:rPr>
          <w:rFonts w:hint="eastAsia"/>
          <w:color w:val="auto"/>
          <w:sz w:val="24"/>
          <w:highlight w:val="none"/>
          <w:lang w:val="en-US" w:eastAsia="zh-CN"/>
        </w:rPr>
        <w:t>但均位于本工程上游</w:t>
      </w:r>
      <w:r>
        <w:rPr>
          <w:color w:val="auto"/>
          <w:sz w:val="24"/>
          <w:highlight w:val="none"/>
        </w:rPr>
        <w:t>，几乎不会受到施工作业的影响。施工江段的鱼类在施工期受干扰和胁迫后，会重新根据水流、河床地形、饵料生物等条件在适宜的江段寻找新的产卵场。从影响的范围角度分析，施工期直接影响水域面积占保护区的比例较小。因此，从工程建设的影响范围看，工程建设对于保护区主要保护鱼类的产卵场及产卵活动的影响是暂时性的。</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szCs w:val="24"/>
          <w:highlight w:val="none"/>
        </w:rPr>
        <w:t>一般幼鱼的索饵场环境是具有静水、缓流水、微流水水文特征等浅滩、水草密集的地方。</w:t>
      </w:r>
      <w:r>
        <w:rPr>
          <w:rFonts w:hint="eastAsia" w:ascii="宋体" w:hAnsi="宋体" w:eastAsia="宋体" w:cs="宋体"/>
          <w:color w:val="auto"/>
          <w:sz w:val="24"/>
          <w:szCs w:val="24"/>
          <w:highlight w:val="none"/>
          <w:lang w:val="en-US" w:eastAsia="zh-CN"/>
        </w:rPr>
        <w:t>距离</w:t>
      </w:r>
      <w:r>
        <w:rPr>
          <w:rFonts w:hint="eastAsia" w:ascii="宋体" w:hAnsi="宋体" w:eastAsia="宋体" w:cs="宋体"/>
          <w:color w:val="auto"/>
          <w:sz w:val="24"/>
          <w:szCs w:val="24"/>
          <w:highlight w:val="none"/>
        </w:rPr>
        <w:t>本工程</w:t>
      </w:r>
      <w:r>
        <w:rPr>
          <w:rFonts w:hint="eastAsia" w:ascii="宋体" w:hAnsi="宋体" w:eastAsia="宋体" w:cs="宋体"/>
          <w:color w:val="auto"/>
          <w:sz w:val="24"/>
          <w:szCs w:val="24"/>
          <w:highlight w:val="none"/>
          <w:lang w:val="en-US" w:eastAsia="zh-CN"/>
        </w:rPr>
        <w:t>最近的</w:t>
      </w:r>
      <w:r>
        <w:rPr>
          <w:rFonts w:hint="eastAsia" w:ascii="宋体" w:hAnsi="宋体" w:eastAsia="宋体" w:cs="宋体"/>
          <w:color w:val="auto"/>
          <w:sz w:val="24"/>
          <w:szCs w:val="24"/>
          <w:highlight w:val="none"/>
        </w:rPr>
        <w:t>鱼类索饵场</w:t>
      </w:r>
      <w:r>
        <w:rPr>
          <w:rFonts w:hint="eastAsia" w:ascii="宋体" w:hAnsi="宋体" w:eastAsia="宋体" w:cs="宋体"/>
          <w:color w:val="auto"/>
          <w:sz w:val="24"/>
          <w:szCs w:val="24"/>
          <w:highlight w:val="none"/>
          <w:lang w:val="en-US" w:eastAsia="zh-CN"/>
        </w:rPr>
        <w:t>有2个，分别位于工程终点下游0m的</w:t>
      </w:r>
      <w:r>
        <w:rPr>
          <w:rFonts w:hint="eastAsia" w:ascii="宋体" w:hAnsi="宋体" w:eastAsia="宋体" w:cs="宋体"/>
          <w:bCs/>
          <w:color w:val="auto"/>
          <w:sz w:val="24"/>
          <w:szCs w:val="24"/>
          <w:highlight w:val="none"/>
          <w:lang w:val="en-US" w:eastAsia="zh-CN"/>
        </w:rPr>
        <w:t>琼江蟠龙河汇口</w:t>
      </w:r>
      <w:r>
        <w:rPr>
          <w:rFonts w:hint="eastAsia" w:ascii="宋体" w:hAnsi="宋体" w:eastAsia="宋体" w:cs="宋体"/>
          <w:color w:val="auto"/>
          <w:sz w:val="24"/>
          <w:szCs w:val="24"/>
          <w:highlight w:val="none"/>
          <w:lang w:val="en-US" w:eastAsia="zh-CN"/>
        </w:rPr>
        <w:t>、650m的滨江路附近</w:t>
      </w:r>
      <w:r>
        <w:rPr>
          <w:color w:val="auto"/>
          <w:sz w:val="24"/>
          <w:highlight w:val="none"/>
        </w:rPr>
        <w:t>。</w:t>
      </w:r>
      <w:r>
        <w:rPr>
          <w:rFonts w:ascii="宋体" w:hAnsi="宋体" w:eastAsia="宋体" w:cs="宋体"/>
          <w:b w:val="0"/>
          <w:bCs w:val="0"/>
          <w:color w:val="000000"/>
          <w:sz w:val="24"/>
          <w:szCs w:val="24"/>
        </w:rPr>
        <w:t>索饵场距离</w:t>
      </w:r>
      <w:r>
        <w:rPr>
          <w:rFonts w:hint="eastAsia" w:ascii="宋体" w:hAnsi="宋体" w:eastAsia="宋体" w:cs="宋体"/>
          <w:b w:val="0"/>
          <w:bCs w:val="0"/>
          <w:color w:val="000000"/>
          <w:sz w:val="24"/>
          <w:szCs w:val="24"/>
          <w:lang w:val="en-US" w:eastAsia="zh-CN"/>
        </w:rPr>
        <w:t>本</w:t>
      </w:r>
      <w:r>
        <w:rPr>
          <w:rFonts w:ascii="宋体" w:hAnsi="宋体" w:eastAsia="宋体" w:cs="宋体"/>
          <w:b w:val="0"/>
          <w:bCs w:val="0"/>
          <w:color w:val="000000"/>
          <w:sz w:val="24"/>
          <w:szCs w:val="24"/>
        </w:rPr>
        <w:t>工程较近，施工产生的悬浮物可能影响该处饵料生物的生物量</w:t>
      </w:r>
      <w:r>
        <w:rPr>
          <w:rFonts w:hint="eastAsia" w:ascii="宋体" w:hAnsi="宋体" w:eastAsia="宋体" w:cs="宋体"/>
          <w:b w:val="0"/>
          <w:bCs w:val="0"/>
          <w:color w:val="000000"/>
          <w:sz w:val="24"/>
          <w:szCs w:val="24"/>
          <w:lang w:eastAsia="zh-CN"/>
        </w:rPr>
        <w:t>。</w:t>
      </w:r>
      <w:r>
        <w:rPr>
          <w:color w:val="auto"/>
          <w:sz w:val="24"/>
          <w:highlight w:val="none"/>
        </w:rPr>
        <w:t>由于</w:t>
      </w:r>
      <w:r>
        <w:rPr>
          <w:rFonts w:ascii="宋体" w:hAnsi="宋体" w:eastAsia="宋体" w:cs="宋体"/>
          <w:b w:val="0"/>
          <w:bCs w:val="0"/>
          <w:color w:val="000000"/>
          <w:sz w:val="24"/>
          <w:szCs w:val="24"/>
        </w:rPr>
        <w:t>琼江水流相对平缓，两岸水生植物生长茂盛，为幼鱼索饵提供了良好的条件</w:t>
      </w:r>
      <w:r>
        <w:rPr>
          <w:rFonts w:hint="eastAsia" w:ascii="宋体" w:hAnsi="宋体" w:eastAsia="宋体" w:cs="宋体"/>
          <w:b w:val="0"/>
          <w:bCs w:val="0"/>
          <w:color w:val="000000"/>
          <w:sz w:val="24"/>
          <w:szCs w:val="24"/>
          <w:lang w:eastAsia="zh-CN"/>
        </w:rPr>
        <w:t>，</w:t>
      </w:r>
      <w:r>
        <w:rPr>
          <w:rFonts w:ascii="宋体" w:hAnsi="宋体" w:eastAsia="宋体" w:cs="宋体"/>
          <w:b w:val="0"/>
          <w:bCs w:val="0"/>
          <w:color w:val="000000"/>
          <w:sz w:val="24"/>
          <w:szCs w:val="24"/>
        </w:rPr>
        <w:t>因此索饵场分布较为广泛</w:t>
      </w:r>
      <w:r>
        <w:rPr>
          <w:rFonts w:hint="eastAsia" w:ascii="宋体" w:hAnsi="宋体" w:eastAsia="宋体" w:cs="宋体"/>
          <w:b w:val="0"/>
          <w:bCs w:val="0"/>
          <w:color w:val="000000"/>
          <w:sz w:val="24"/>
          <w:szCs w:val="24"/>
          <w:lang w:eastAsia="zh-CN"/>
        </w:rPr>
        <w:t>，</w:t>
      </w:r>
      <w:r>
        <w:rPr>
          <w:color w:val="auto"/>
          <w:sz w:val="24"/>
          <w:highlight w:val="none"/>
        </w:rPr>
        <w:t>施工期工程江段鱼类可选择工程上下游适宜水域</w:t>
      </w:r>
      <w:r>
        <w:rPr>
          <w:rFonts w:hint="eastAsia"/>
          <w:color w:val="auto"/>
          <w:sz w:val="24"/>
          <w:highlight w:val="none"/>
          <w:lang w:val="en-US" w:eastAsia="zh-CN"/>
        </w:rPr>
        <w:t>索饵</w:t>
      </w:r>
      <w:r>
        <w:rPr>
          <w:color w:val="auto"/>
          <w:sz w:val="24"/>
          <w:highlight w:val="none"/>
        </w:rPr>
        <w:t>。因此，工程施工对</w:t>
      </w:r>
      <w:r>
        <w:rPr>
          <w:rFonts w:hint="eastAsia"/>
          <w:color w:val="auto"/>
          <w:sz w:val="24"/>
          <w:highlight w:val="none"/>
          <w:lang w:val="en-US" w:eastAsia="zh-CN"/>
        </w:rPr>
        <w:t>鱼类索饵</w:t>
      </w:r>
      <w:r>
        <w:rPr>
          <w:color w:val="auto"/>
          <w:sz w:val="24"/>
          <w:highlight w:val="none"/>
        </w:rPr>
        <w:t>的影响</w:t>
      </w:r>
      <w:r>
        <w:rPr>
          <w:rFonts w:hint="eastAsia"/>
          <w:color w:val="auto"/>
          <w:sz w:val="24"/>
          <w:highlight w:val="none"/>
          <w:lang w:val="en-US" w:eastAsia="zh-CN"/>
        </w:rPr>
        <w:t>不大</w:t>
      </w:r>
      <w:r>
        <w:rPr>
          <w:color w:val="auto"/>
          <w:sz w:val="24"/>
          <w:highlight w:val="none"/>
        </w:rPr>
        <w:t>。</w:t>
      </w:r>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color w:val="auto"/>
          <w:sz w:val="24"/>
          <w:highlight w:val="none"/>
          <w:lang w:val="en-US" w:eastAsia="zh-CN"/>
        </w:rPr>
        <w:t>距离</w:t>
      </w:r>
      <w:r>
        <w:rPr>
          <w:color w:val="auto"/>
          <w:sz w:val="24"/>
          <w:highlight w:val="none"/>
        </w:rPr>
        <w:t>本项目</w:t>
      </w:r>
      <w:r>
        <w:rPr>
          <w:rFonts w:hint="eastAsia"/>
          <w:color w:val="auto"/>
          <w:sz w:val="24"/>
          <w:highlight w:val="none"/>
          <w:lang w:val="en-US" w:eastAsia="zh-CN"/>
        </w:rPr>
        <w:t>最近</w:t>
      </w:r>
      <w:r>
        <w:rPr>
          <w:color w:val="auto"/>
          <w:sz w:val="24"/>
          <w:highlight w:val="none"/>
        </w:rPr>
        <w:t>的越冬场有</w:t>
      </w:r>
      <w:r>
        <w:rPr>
          <w:rFonts w:hint="eastAsia"/>
          <w:color w:val="auto"/>
          <w:sz w:val="24"/>
          <w:highlight w:val="none"/>
          <w:lang w:val="en-US" w:eastAsia="zh-CN"/>
        </w:rPr>
        <w:t>1</w:t>
      </w:r>
      <w:r>
        <w:rPr>
          <w:color w:val="auto"/>
          <w:sz w:val="24"/>
          <w:highlight w:val="none"/>
        </w:rPr>
        <w:t>个，</w:t>
      </w:r>
      <w:r>
        <w:rPr>
          <w:rFonts w:hint="eastAsia"/>
          <w:color w:val="auto"/>
          <w:sz w:val="24"/>
          <w:highlight w:val="none"/>
          <w:lang w:val="en-US" w:eastAsia="zh-CN"/>
        </w:rPr>
        <w:t>位于工程终点下游1.6km陶家坝附近，</w:t>
      </w:r>
      <w:r>
        <w:rPr>
          <w:color w:val="auto"/>
          <w:sz w:val="24"/>
          <w:highlight w:val="none"/>
        </w:rPr>
        <w:t>由于距离较远，本工程施工开挖及机械噪声对此越冬场越冬的鱼类影响有限，由于工程江段水深较大，</w:t>
      </w:r>
      <w:r>
        <w:rPr>
          <w:rFonts w:hint="eastAsia"/>
          <w:color w:val="auto"/>
          <w:sz w:val="24"/>
          <w:highlight w:val="none"/>
          <w:lang w:val="en-US" w:eastAsia="zh-CN"/>
        </w:rPr>
        <w:t>处于萝卜园库区，</w:t>
      </w:r>
      <w:r>
        <w:rPr>
          <w:color w:val="auto"/>
          <w:sz w:val="24"/>
          <w:highlight w:val="none"/>
        </w:rPr>
        <w:t>适合鱼类越冬的场所较多，施工期工程江段鱼类可选择工程上下游适宜水域越冬。因此，工程施工对越冬鱼类的影响很小。</w:t>
      </w:r>
    </w:p>
    <w:p>
      <w:pPr>
        <w:pStyle w:val="6"/>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szCs w:val="24"/>
        </w:rPr>
      </w:pPr>
      <w:bookmarkStart w:id="440" w:name="_Toc323074186"/>
      <w:bookmarkStart w:id="441" w:name="_Toc18932"/>
      <w:bookmarkStart w:id="442" w:name="_Toc314696705"/>
      <w:bookmarkStart w:id="443" w:name="_Toc304886300"/>
      <w:bookmarkStart w:id="444" w:name="_Toc23054"/>
      <w:bookmarkStart w:id="445" w:name="_Toc327734435"/>
      <w:r>
        <w:rPr>
          <w:rFonts w:hint="eastAsia" w:ascii="宋体" w:hAnsi="宋体" w:eastAsia="宋体" w:cs="宋体"/>
          <w:color w:val="auto"/>
          <w:szCs w:val="24"/>
        </w:rPr>
        <w:t>工程对保护区鱼类洄游通道的影响</w:t>
      </w:r>
      <w:bookmarkEnd w:id="440"/>
      <w:bookmarkEnd w:id="441"/>
      <w:bookmarkEnd w:id="442"/>
      <w:bookmarkEnd w:id="443"/>
      <w:bookmarkEnd w:id="444"/>
      <w:bookmarkEnd w:id="445"/>
    </w:p>
    <w:p>
      <w:pPr>
        <w:spacing w:line="360" w:lineRule="auto"/>
        <w:ind w:firstLine="480" w:firstLineChars="200"/>
        <w:rPr>
          <w:rFonts w:ascii="Times New Roman" w:hAnsi="Times New Roman"/>
          <w:color w:val="auto"/>
          <w:sz w:val="24"/>
        </w:rPr>
      </w:pPr>
      <w:bookmarkStart w:id="446" w:name="_Toc314696706"/>
      <w:bookmarkStart w:id="447" w:name="_Toc24984"/>
      <w:bookmarkStart w:id="448" w:name="_Toc321663907"/>
      <w:bookmarkStart w:id="449" w:name="_Toc327734436"/>
      <w:bookmarkStart w:id="450" w:name="_Toc10693"/>
      <w:bookmarkStart w:id="451" w:name="_Toc304886301"/>
      <w:r>
        <w:rPr>
          <w:rFonts w:ascii="Times New Roman" w:hAnsi="Times New Roman"/>
          <w:color w:val="auto"/>
          <w:sz w:val="24"/>
        </w:rPr>
        <w:t>鱼类洄游通道常沿深水河槽分布，工程在两岸的自然河河堤或河滩进行的，本防洪护岸工程主要涉及江段的沿岸水域，不占据河槽，也不会明显改变主流带水流速度与流态，不具有阻断效应，因此不会对主要保护鱼类（翘嘴鲌、蒙古鲌、乌鳢和黄颡鱼）和洄游性鱼类的洄游造成阻碍作用。但是，本工程施工过程中，施工机械、车辆及人员活动产生噪声与振动等会影响鱼类的洄游活动，甚至改变鱼类的洄游路径，但这种影响是暂时的，施工结束后该影响即消失。项目建成后，并未阻隔鱼类的洄游路径或者迫使鱼类改变洄游路径，对其保护区鱼类的洄游影响较小。</w:t>
      </w:r>
    </w:p>
    <w:p>
      <w:pPr>
        <w:pStyle w:val="6"/>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szCs w:val="24"/>
        </w:rPr>
      </w:pPr>
      <w:r>
        <w:rPr>
          <w:rFonts w:hint="eastAsia" w:ascii="宋体" w:hAnsi="宋体" w:eastAsia="宋体" w:cs="宋体"/>
          <w:color w:val="auto"/>
          <w:szCs w:val="24"/>
        </w:rPr>
        <w:t>工程对保护区功能的影响</w:t>
      </w:r>
      <w:bookmarkEnd w:id="446"/>
      <w:bookmarkEnd w:id="447"/>
      <w:bookmarkEnd w:id="448"/>
      <w:bookmarkEnd w:id="449"/>
      <w:bookmarkEnd w:id="450"/>
      <w:bookmarkEnd w:id="451"/>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rPr>
      </w:pPr>
      <w:r>
        <w:rPr>
          <w:rFonts w:hint="eastAsia"/>
          <w:color w:val="auto"/>
          <w:sz w:val="24"/>
          <w:highlight w:val="none"/>
          <w:lang w:val="en-US" w:eastAsia="zh-CN"/>
        </w:rPr>
        <w:t>本</w:t>
      </w:r>
      <w:r>
        <w:rPr>
          <w:color w:val="auto"/>
          <w:sz w:val="24"/>
          <w:highlight w:val="none"/>
        </w:rPr>
        <w:t>工程在施工过程中，特别是基础施工阶段，对保护区产生</w:t>
      </w:r>
      <w:r>
        <w:rPr>
          <w:rFonts w:hint="eastAsia"/>
          <w:color w:val="auto"/>
          <w:sz w:val="24"/>
          <w:highlight w:val="none"/>
          <w:lang w:val="en-US" w:eastAsia="zh-CN"/>
        </w:rPr>
        <w:t>的</w:t>
      </w:r>
      <w:r>
        <w:rPr>
          <w:color w:val="auto"/>
          <w:sz w:val="24"/>
          <w:highlight w:val="none"/>
        </w:rPr>
        <w:t>不利影响，主要包括河岸植被破坏、底栖动物及浮游生物损失、干扰鱼类的索饵等活动，但不会阻断珍稀鱼类洄游通道，工程施工及运行也不会导致鱼类直接死亡。工程建成后，河流水质基本不会发生变化，但是原有自然河岸部分</w:t>
      </w:r>
      <w:r>
        <w:rPr>
          <w:rFonts w:hint="eastAsia"/>
          <w:color w:val="auto"/>
          <w:sz w:val="24"/>
          <w:highlight w:val="none"/>
        </w:rPr>
        <w:t>（河滩地）</w:t>
      </w:r>
      <w:r>
        <w:rPr>
          <w:color w:val="auto"/>
          <w:sz w:val="24"/>
          <w:highlight w:val="none"/>
        </w:rPr>
        <w:t>被硬化，部分河岸带被占用，河道缩窄，水文情势局部变化，浮游生物、底栖动物和鱼类的栖息生境受到一定程度的影响，因而水生生态系统的初级生产力和次级生产力均会由于防洪堤的建成运营而受到一定的影响。总体来看，工程建设对保护区实验区功能影响有限，对保护区整体功能影响不大</w:t>
      </w:r>
      <w:r>
        <w:rPr>
          <w:rFonts w:hint="eastAsia" w:ascii="宋体" w:hAnsi="宋体" w:eastAsia="宋体" w:cs="宋体"/>
          <w:color w:val="auto"/>
          <w:sz w:val="24"/>
        </w:rPr>
        <w:t>。</w:t>
      </w:r>
    </w:p>
    <w:p>
      <w:pPr>
        <w:pStyle w:val="5"/>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rPr>
      </w:pPr>
      <w:bookmarkStart w:id="452" w:name="_Toc398"/>
      <w:r>
        <w:rPr>
          <w:rFonts w:hint="eastAsia" w:ascii="宋体" w:hAnsi="宋体" w:eastAsia="宋体" w:cs="宋体"/>
          <w:color w:val="auto"/>
        </w:rPr>
        <w:t>施工导流的影响</w:t>
      </w:r>
      <w:bookmarkEnd w:id="452"/>
    </w:p>
    <w:p>
      <w:pPr>
        <w:spacing w:line="360" w:lineRule="auto"/>
        <w:ind w:firstLine="480" w:firstLineChars="200"/>
        <w:rPr>
          <w:rFonts w:ascii="Times New Roman" w:hAnsi="Times New Roman"/>
          <w:color w:val="auto"/>
          <w:sz w:val="24"/>
        </w:rPr>
      </w:pPr>
      <w:bookmarkStart w:id="453" w:name="_Toc502150769"/>
      <w:bookmarkStart w:id="454" w:name="_Toc9203"/>
      <w:bookmarkStart w:id="455" w:name="_Toc15023"/>
      <w:bookmarkStart w:id="456" w:name="_Toc25061481"/>
      <w:r>
        <w:rPr>
          <w:rFonts w:ascii="Times New Roman" w:hAnsi="Times New Roman"/>
          <w:color w:val="auto"/>
          <w:sz w:val="24"/>
        </w:rPr>
        <w:t>工程位于下游萝卜园库区回水范围内，堤基施工时萝卜园水库开闸放水，工程水位低于堤基高程时开始施工，因此本工程围堰长度仅</w:t>
      </w:r>
      <w:r>
        <w:rPr>
          <w:rFonts w:hint="eastAsia" w:ascii="Times New Roman" w:hAnsi="Times New Roman"/>
          <w:color w:val="auto"/>
          <w:sz w:val="24"/>
          <w:lang w:val="en-US" w:eastAsia="zh-CN"/>
        </w:rPr>
        <w:t>1105</w:t>
      </w:r>
      <w:r>
        <w:rPr>
          <w:rFonts w:ascii="Times New Roman" w:hAnsi="Times New Roman"/>
          <w:color w:val="auto"/>
          <w:sz w:val="24"/>
        </w:rPr>
        <w:t>m。</w:t>
      </w:r>
    </w:p>
    <w:p>
      <w:pPr>
        <w:spacing w:line="360" w:lineRule="auto"/>
        <w:ind w:firstLine="480" w:firstLineChars="200"/>
        <w:rPr>
          <w:rFonts w:ascii="Times New Roman" w:hAnsi="Times New Roman"/>
          <w:color w:val="auto"/>
          <w:sz w:val="24"/>
        </w:rPr>
      </w:pPr>
      <w:r>
        <w:rPr>
          <w:rFonts w:ascii="Times New Roman" w:hAnsi="Times New Roman"/>
          <w:color w:val="auto"/>
          <w:sz w:val="24"/>
        </w:rPr>
        <w:t>需围堰保护段导流方式采用分段围堰导流，工程枯水期施工导流采用束窄河床，顺岸边填筑围堰，基坑在围堰保护下施工。围堰高于过流水位时即开始堤防的施工，先完成基础开挖；然后进行基础的施工，再进行上部堤体碾压填筑与面板浇筑。本工程没有设置弃渣场，堤基开挖时一部分上部堤底覆盖土层开挖出的土石料就近用于填筑土石围堰，待马道以下堤身砼浇筑完成后，土石料覆盖于砼面板上，然后在覆土上种植水生植物，以达到美化景观和水土保持的目的。另一部分土石料就近运至堤后回填</w:t>
      </w:r>
      <w:r>
        <w:rPr>
          <w:rFonts w:hint="eastAsia" w:ascii="Times New Roman" w:hAnsi="Times New Roman"/>
          <w:color w:val="auto"/>
          <w:sz w:val="24"/>
          <w:lang w:val="en-US" w:eastAsia="zh-CN"/>
        </w:rPr>
        <w:t>区</w:t>
      </w:r>
      <w:r>
        <w:rPr>
          <w:rFonts w:ascii="Times New Roman" w:hAnsi="Times New Roman"/>
          <w:color w:val="auto"/>
          <w:sz w:val="24"/>
        </w:rPr>
        <w:t>，回填高程与堤顶齐平，作为堤顶道路。</w:t>
      </w:r>
    </w:p>
    <w:p>
      <w:pPr>
        <w:spacing w:line="360" w:lineRule="auto"/>
        <w:ind w:firstLine="480" w:firstLineChars="200"/>
        <w:rPr>
          <w:rFonts w:ascii="Times New Roman" w:hAnsi="Times New Roman"/>
          <w:color w:val="auto"/>
          <w:sz w:val="24"/>
        </w:rPr>
      </w:pPr>
      <w:r>
        <w:rPr>
          <w:rFonts w:ascii="Times New Roman" w:hAnsi="Times New Roman"/>
          <w:color w:val="auto"/>
          <w:sz w:val="24"/>
        </w:rPr>
        <w:t>在分段围堰导流时对近岸边的底栖生物有一定的影响，局部改变了其生活环境从而使其种类、数量、分布也产生一定的不利影响，并导致施工区域内原本着生的底栖动物随着礁石移除而损失。同时也会对岸边的小型鱼类产生一定的影响，迫使其受惊吓离开原活动区域，导致该区域鱼类数量减少。但工程围堰导流河段较短，绝大部分堤基施工时不涉水，施工导流对底栖动物和鱼类影响有限。待工程施工完毕后，萝卜园水库开始蓄水，其影响逐渐减小。</w:t>
      </w:r>
    </w:p>
    <w:p>
      <w:pPr>
        <w:pStyle w:val="5"/>
        <w:pageBreakBefore w:val="0"/>
        <w:widowControl w:val="0"/>
        <w:kinsoku/>
        <w:wordWrap/>
        <w:overflowPunct/>
        <w:topLinePunct w:val="0"/>
        <w:autoSpaceDE/>
        <w:autoSpaceDN/>
        <w:bidi w:val="0"/>
        <w:adjustRightInd/>
        <w:snapToGrid/>
        <w:spacing w:afterAutospacing="0"/>
        <w:ind w:left="0" w:right="0" w:rightChars="0" w:firstLine="482"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工程占用保护区的永久性构筑物的位置、面积、形态</w:t>
      </w:r>
      <w:bookmarkEnd w:id="453"/>
      <w:bookmarkEnd w:id="454"/>
      <w:bookmarkEnd w:id="455"/>
      <w:bookmarkEnd w:id="456"/>
    </w:p>
    <w:p>
      <w:pPr>
        <w:pageBreakBefore w:val="0"/>
        <w:widowControl w:val="0"/>
        <w:kinsoku/>
        <w:wordWrap/>
        <w:overflowPunct/>
        <w:topLinePunct w:val="0"/>
        <w:autoSpaceDE/>
        <w:autoSpaceDN/>
        <w:bidi w:val="0"/>
        <w:adjustRightInd/>
        <w:snapToGrid/>
        <w:spacing w:afterAutospacing="0" w:line="360" w:lineRule="auto"/>
        <w:ind w:left="0" w:right="0" w:rightChars="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工程新建防洪堤（P=</w:t>
      </w:r>
      <w:r>
        <w:rPr>
          <w:rFonts w:hint="eastAsia" w:ascii="宋体" w:hAnsi="宋体" w:eastAsia="宋体" w:cs="宋体"/>
          <w:color w:val="auto"/>
          <w:sz w:val="24"/>
          <w:szCs w:val="24"/>
          <w:lang w:val="en-US" w:eastAsia="zh-CN"/>
        </w:rPr>
        <w:t>5</w:t>
      </w:r>
      <w:r>
        <w:rPr>
          <w:rFonts w:hint="eastAsia" w:ascii="宋体" w:hAnsi="宋体" w:eastAsia="宋体" w:cs="宋体"/>
          <w:color w:val="auto"/>
          <w:sz w:val="24"/>
          <w:szCs w:val="24"/>
        </w:rPr>
        <w:t>%）堤线总长</w:t>
      </w:r>
      <w:r>
        <w:rPr>
          <w:rFonts w:hint="eastAsia" w:ascii="宋体" w:hAnsi="宋体" w:eastAsia="宋体" w:cs="宋体"/>
          <w:color w:val="auto"/>
          <w:sz w:val="24"/>
          <w:szCs w:val="24"/>
          <w:lang w:val="en-US" w:eastAsia="zh-CN"/>
        </w:rPr>
        <w:t>2633</w:t>
      </w:r>
      <w:r>
        <w:rPr>
          <w:rFonts w:hint="eastAsia" w:ascii="宋体" w:hAnsi="宋体" w:eastAsia="宋体" w:cs="宋体"/>
          <w:color w:val="auto"/>
          <w:sz w:val="24"/>
          <w:szCs w:val="24"/>
        </w:rPr>
        <w:t>m。堤</w:t>
      </w:r>
      <w:r>
        <w:rPr>
          <w:rFonts w:hint="eastAsia" w:ascii="宋体" w:hAnsi="宋体" w:eastAsia="宋体" w:cs="宋体"/>
          <w:color w:val="auto"/>
          <w:sz w:val="24"/>
          <w:szCs w:val="24"/>
          <w:lang w:val="en-US" w:eastAsia="zh-CN"/>
        </w:rPr>
        <w:t>顶</w:t>
      </w:r>
      <w:r>
        <w:rPr>
          <w:rFonts w:hint="eastAsia" w:ascii="宋体" w:hAnsi="宋体" w:eastAsia="宋体" w:cs="宋体"/>
          <w:color w:val="auto"/>
          <w:sz w:val="24"/>
          <w:szCs w:val="24"/>
        </w:rPr>
        <w:t>高程为</w:t>
      </w:r>
      <w:r>
        <w:rPr>
          <w:rFonts w:hint="eastAsia" w:ascii="宋体" w:hAnsi="宋体" w:eastAsia="宋体" w:cs="宋体"/>
          <w:color w:val="auto"/>
          <w:sz w:val="24"/>
          <w:szCs w:val="24"/>
          <w:highlight w:val="none"/>
        </w:rPr>
        <w:t>281.16-281.72</w:t>
      </w:r>
      <w:r>
        <w:rPr>
          <w:rFonts w:hint="eastAsia" w:ascii="宋体" w:hAnsi="宋体" w:eastAsia="宋体" w:cs="宋体"/>
          <w:color w:val="auto"/>
          <w:sz w:val="24"/>
          <w:szCs w:val="24"/>
          <w:highlight w:val="none"/>
          <w:lang w:val="en-US" w:eastAsia="zh-CN"/>
        </w:rPr>
        <w:t>m</w:t>
      </w:r>
      <w:r>
        <w:rPr>
          <w:rFonts w:hint="eastAsia" w:ascii="宋体" w:hAnsi="宋体" w:eastAsia="宋体" w:cs="宋体"/>
          <w:color w:val="auto"/>
          <w:sz w:val="24"/>
          <w:szCs w:val="24"/>
        </w:rPr>
        <w:t>，工程江段保护区边界以</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0年一遇洪水位为</w:t>
      </w:r>
      <w:r>
        <w:rPr>
          <w:rFonts w:hint="eastAsia" w:ascii="宋体" w:hAnsi="宋体" w:eastAsia="宋体" w:cs="宋体"/>
          <w:color w:val="auto"/>
          <w:sz w:val="24"/>
          <w:szCs w:val="24"/>
          <w:highlight w:val="none"/>
          <w:lang w:val="en-US" w:eastAsia="zh-CN"/>
        </w:rPr>
        <w:t>280.56-281.12</w:t>
      </w:r>
      <w:r>
        <w:rPr>
          <w:rFonts w:hint="eastAsia" w:ascii="宋体" w:hAnsi="宋体" w:eastAsia="宋体" w:cs="宋体"/>
          <w:color w:val="auto"/>
          <w:sz w:val="24"/>
          <w:szCs w:val="24"/>
        </w:rPr>
        <w:t>m。</w:t>
      </w:r>
    </w:p>
    <w:p>
      <w:pPr>
        <w:pStyle w:val="4"/>
        <w:keepNext w:val="0"/>
        <w:keepLines w:val="0"/>
        <w:pageBreakBefore w:val="0"/>
        <w:widowControl w:val="0"/>
        <w:kinsoku/>
        <w:wordWrap/>
        <w:overflowPunct/>
        <w:topLinePunct w:val="0"/>
        <w:autoSpaceDE/>
        <w:autoSpaceDN/>
        <w:bidi w:val="0"/>
        <w:adjustRightInd/>
        <w:snapToGrid/>
        <w:spacing w:beforeLines="0" w:afterLines="0"/>
        <w:ind w:left="0" w:firstLine="482" w:firstLineChars="200"/>
        <w:textAlignment w:val="auto"/>
        <w:rPr>
          <w:rFonts w:hint="eastAsia" w:ascii="宋体" w:hAnsi="宋体" w:eastAsia="宋体" w:cs="宋体"/>
          <w:color w:val="auto"/>
          <w:sz w:val="24"/>
          <w:szCs w:val="24"/>
        </w:rPr>
      </w:pPr>
      <w:bookmarkStart w:id="457" w:name="_Toc29680"/>
      <w:r>
        <w:rPr>
          <w:rFonts w:hint="eastAsia" w:ascii="宋体" w:hAnsi="宋体" w:eastAsia="宋体" w:cs="宋体"/>
          <w:color w:val="auto"/>
          <w:sz w:val="24"/>
          <w:szCs w:val="24"/>
        </w:rPr>
        <w:t>对陆生生态的影响</w:t>
      </w:r>
      <w:bookmarkEnd w:id="457"/>
      <w:r>
        <w:rPr>
          <w:rFonts w:hint="eastAsia" w:ascii="宋体" w:hAnsi="宋体" w:eastAsia="宋体" w:cs="宋体"/>
          <w:color w:val="auto"/>
          <w:sz w:val="24"/>
          <w:szCs w:val="24"/>
        </w:rPr>
        <w:t xml:space="preserve"> </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58" w:name="_Toc30839"/>
      <w:r>
        <w:rPr>
          <w:rFonts w:hint="eastAsia" w:ascii="宋体" w:hAnsi="宋体" w:eastAsia="宋体" w:cs="宋体"/>
          <w:color w:val="auto"/>
          <w:sz w:val="24"/>
          <w:szCs w:val="24"/>
        </w:rPr>
        <w:t>对植物多样性的影响</w:t>
      </w:r>
      <w:bookmarkEnd w:id="458"/>
    </w:p>
    <w:p>
      <w:pPr>
        <w:pStyle w:val="24"/>
        <w:spacing w:after="0" w:line="360" w:lineRule="auto"/>
        <w:ind w:left="0" w:firstLine="480" w:firstLineChars="200"/>
        <w:rPr>
          <w:rFonts w:ascii="Times New Roman" w:hAnsi="Times New Roman"/>
          <w:color w:val="auto"/>
          <w:sz w:val="24"/>
          <w:lang w:val="zh-CN"/>
        </w:rPr>
      </w:pPr>
      <w:r>
        <w:rPr>
          <w:rFonts w:ascii="Times New Roman" w:hAnsi="Times New Roman"/>
          <w:color w:val="auto"/>
          <w:sz w:val="24"/>
          <w:lang w:val="zh-CN"/>
        </w:rPr>
        <w:t>项目施工阶段对评价区植物多样性的影响，主要集中在施工期清理现场、堆场开挖、土石方开挖、填筑、机械碾压等施工活动对植物多样性的影响。因此项目实施过程中应对临时占地和施工迹地及时进行植被恢复措施，确保施工期不会造成植物损失而引起的植物多样性变化。</w:t>
      </w:r>
    </w:p>
    <w:p>
      <w:pPr>
        <w:pStyle w:val="24"/>
        <w:spacing w:after="0" w:line="360" w:lineRule="auto"/>
        <w:ind w:left="0" w:firstLine="480" w:firstLineChars="200"/>
        <w:rPr>
          <w:rFonts w:hint="eastAsia" w:ascii="宋体" w:hAnsi="宋体" w:eastAsia="宋体" w:cs="宋体"/>
          <w:color w:val="auto"/>
          <w:sz w:val="24"/>
          <w:szCs w:val="24"/>
        </w:rPr>
      </w:pPr>
      <w:r>
        <w:rPr>
          <w:rFonts w:ascii="Times New Roman" w:hAnsi="Times New Roman"/>
          <w:color w:val="auto"/>
          <w:sz w:val="24"/>
          <w:lang w:val="zh-CN"/>
        </w:rPr>
        <w:t>项目工程运营期对陆生植物的影响，主要体现在</w:t>
      </w:r>
      <w:r>
        <w:rPr>
          <w:rFonts w:ascii="Times New Roman" w:hAnsi="Times New Roman"/>
          <w:color w:val="auto"/>
          <w:sz w:val="24"/>
        </w:rPr>
        <w:t>各施工点人员、机械设备均撤除现场，临时道路等废弃。除永久占地外，其它区域均将进行植被恢复，对陆生植物的影响将会减弱，部分地区也将恢复到建设前的水平。仅对堤防沿线的植物造成较大的影响，覆盖范围内的植株将被砍伐。堤防建设覆盖的植被均为一般常见种，堤防沿线地带可见到相似的群落，在不同海拔地区均有分布，其被覆盖影响的物种适应性强，不存在因局部植被覆盖而导致种群消失或灭迹。</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59" w:name="_Toc32624"/>
      <w:r>
        <w:rPr>
          <w:rFonts w:hint="eastAsia" w:ascii="宋体" w:hAnsi="宋体" w:eastAsia="宋体" w:cs="宋体"/>
          <w:color w:val="auto"/>
          <w:sz w:val="24"/>
          <w:szCs w:val="24"/>
        </w:rPr>
        <w:t>对植被类型的影响</w:t>
      </w:r>
      <w:bookmarkEnd w:id="459"/>
    </w:p>
    <w:p>
      <w:pPr>
        <w:pStyle w:val="24"/>
        <w:keepNext w:val="0"/>
        <w:keepLines w:val="0"/>
        <w:pageBreakBefore w:val="0"/>
        <w:widowControl w:val="0"/>
        <w:kinsoku/>
        <w:wordWrap/>
        <w:overflowPunct/>
        <w:topLinePunct w:val="0"/>
        <w:autoSpaceDE/>
        <w:autoSpaceDN/>
        <w:bidi w:val="0"/>
        <w:adjustRightInd/>
        <w:snapToGrid/>
        <w:spacing w:after="0" w:line="360" w:lineRule="auto"/>
        <w:ind w:left="0" w:firstLine="480" w:firstLineChars="200"/>
        <w:textAlignment w:val="auto"/>
        <w:rPr>
          <w:rFonts w:hint="eastAsia" w:ascii="宋体" w:hAnsi="宋体" w:eastAsia="宋体" w:cs="宋体"/>
          <w:color w:val="auto"/>
          <w:sz w:val="24"/>
          <w:szCs w:val="24"/>
          <w:lang w:val="zh-CN"/>
        </w:rPr>
      </w:pPr>
      <w:r>
        <w:rPr>
          <w:rFonts w:ascii="Times New Roman" w:hAnsi="Times New Roman"/>
          <w:color w:val="auto"/>
          <w:sz w:val="24"/>
          <w:lang w:val="zh-CN"/>
        </w:rPr>
        <w:t>从植被类型在评价区的空间分布格局来看，评价区的植被类型多属于广泛分布于评价区及其周边区域的常见植被，植被分布格局呈现随机分布的态势，几乎没有发现呈现聚集分布于某一特定生境的植被。由于工程占地的生境具有一定的可替代性，部分土地利用性质的改变不会引起植被的消失。因此，工程建设不会导致分布在该区域的植被消失，故本项目运行对区域植被类型变化的影响较小</w:t>
      </w:r>
      <w:r>
        <w:rPr>
          <w:rFonts w:hint="eastAsia" w:ascii="宋体" w:hAnsi="宋体" w:eastAsia="宋体" w:cs="宋体"/>
          <w:color w:val="auto"/>
          <w:sz w:val="24"/>
          <w:szCs w:val="24"/>
          <w:lang w:val="zh-CN"/>
        </w:rPr>
        <w:t>。</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60" w:name="_Toc31876"/>
      <w:r>
        <w:rPr>
          <w:rFonts w:hint="eastAsia" w:ascii="宋体" w:hAnsi="宋体" w:eastAsia="宋体" w:cs="宋体"/>
          <w:color w:val="auto"/>
          <w:sz w:val="24"/>
          <w:szCs w:val="24"/>
        </w:rPr>
        <w:t>对资源植物的影响</w:t>
      </w:r>
      <w:bookmarkEnd w:id="460"/>
    </w:p>
    <w:p>
      <w:pPr>
        <w:adjustRightInd w:val="0"/>
        <w:snapToGrid w:val="0"/>
        <w:spacing w:line="360" w:lineRule="auto"/>
        <w:ind w:firstLine="482"/>
        <w:rPr>
          <w:rFonts w:ascii="Times New Roman" w:hAnsi="Times New Roman"/>
          <w:color w:val="auto"/>
          <w:sz w:val="24"/>
        </w:rPr>
      </w:pPr>
      <w:r>
        <w:rPr>
          <w:rFonts w:ascii="Times New Roman" w:hAnsi="Times New Roman"/>
          <w:color w:val="auto"/>
          <w:sz w:val="24"/>
        </w:rPr>
        <w:t>评价区域内有一定的野生资源植物，较重要的是药用植物、用材树种、观赏植物、食用类植物及饲用植物等。项目直接占用的主要为河滩地，野生资源植物在该区域没有突出资源优势和潜在开发价值，当地群众对于这些野生植物的利用主要零星的采收，没有对其日常生活和经济来源构成直接的依存关系。本项目不会对这些资源植物开发造成影响；另一方面，这些资源植物物种均属于分布比较广的种类，生境范围并不十分局限，在评价区周边地区较大范围内都有分布，种质资源的可替代性强，因此本项目建设不会对这些资源植物种质资源产生潜在影响。因此，在做好相关保护措施的前提下，本项目开采不会对评价区内的资源植物开发和种质资源保存产生实质性影响。</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61" w:name="_Toc8250"/>
      <w:r>
        <w:rPr>
          <w:rFonts w:hint="eastAsia" w:ascii="宋体" w:hAnsi="宋体" w:eastAsia="宋体" w:cs="宋体"/>
          <w:color w:val="auto"/>
          <w:sz w:val="24"/>
          <w:szCs w:val="24"/>
        </w:rPr>
        <w:t>对名木古树与珍稀濒危保护植物的影响</w:t>
      </w:r>
      <w:bookmarkEnd w:id="461"/>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根据现场调查和现有国家级保护和珍稀濒危植物资料查证，评价区的野生植物中，没有</w:t>
      </w:r>
      <w:r>
        <w:rPr>
          <w:rFonts w:hint="eastAsia" w:ascii="宋体" w:hAnsi="宋体" w:eastAsia="宋体" w:cs="宋体"/>
          <w:color w:val="auto"/>
          <w:sz w:val="24"/>
          <w:szCs w:val="24"/>
          <w:lang w:val="en-US" w:eastAsia="zh-CN"/>
        </w:rPr>
        <w:t>国家林业和草原局2021</w:t>
      </w:r>
      <w:r>
        <w:rPr>
          <w:rFonts w:hint="eastAsia" w:ascii="宋体" w:hAnsi="宋体" w:eastAsia="宋体" w:cs="宋体"/>
          <w:color w:val="auto"/>
          <w:sz w:val="24"/>
          <w:szCs w:val="24"/>
        </w:rPr>
        <w:t>年</w:t>
      </w:r>
      <w:r>
        <w:rPr>
          <w:rFonts w:hint="eastAsia" w:ascii="宋体" w:hAnsi="宋体" w:eastAsia="宋体" w:cs="宋体"/>
          <w:color w:val="auto"/>
          <w:sz w:val="24"/>
          <w:szCs w:val="24"/>
          <w:lang w:val="en-US" w:eastAsia="zh-CN"/>
        </w:rPr>
        <w:t>9</w:t>
      </w:r>
      <w:r>
        <w:rPr>
          <w:rFonts w:hint="eastAsia" w:ascii="宋体" w:hAnsi="宋体" w:eastAsia="宋体" w:cs="宋体"/>
          <w:color w:val="auto"/>
          <w:sz w:val="24"/>
          <w:szCs w:val="24"/>
        </w:rPr>
        <w:t>月</w:t>
      </w:r>
      <w:r>
        <w:rPr>
          <w:rFonts w:hint="eastAsia" w:ascii="宋体" w:hAnsi="宋体" w:eastAsia="宋体" w:cs="宋体"/>
          <w:color w:val="auto"/>
          <w:sz w:val="24"/>
          <w:szCs w:val="24"/>
          <w:lang w:val="en-US" w:eastAsia="zh-CN"/>
        </w:rPr>
        <w:t>7</w:t>
      </w:r>
      <w:r>
        <w:rPr>
          <w:rFonts w:hint="eastAsia" w:ascii="宋体" w:hAnsi="宋体" w:eastAsia="宋体" w:cs="宋体"/>
          <w:color w:val="auto"/>
          <w:sz w:val="24"/>
          <w:szCs w:val="24"/>
        </w:rPr>
        <w:t>日</w:t>
      </w:r>
      <w:r>
        <w:rPr>
          <w:rFonts w:hint="eastAsia" w:ascii="宋体" w:hAnsi="宋体" w:eastAsia="宋体" w:cs="宋体"/>
          <w:color w:val="auto"/>
          <w:sz w:val="24"/>
          <w:szCs w:val="24"/>
          <w:lang w:val="en-US" w:eastAsia="zh-CN"/>
        </w:rPr>
        <w:t>发布的</w:t>
      </w:r>
      <w:r>
        <w:rPr>
          <w:rFonts w:hint="eastAsia" w:ascii="宋体" w:hAnsi="宋体" w:eastAsia="宋体" w:cs="宋体"/>
          <w:color w:val="auto"/>
          <w:sz w:val="24"/>
          <w:szCs w:val="24"/>
        </w:rPr>
        <w:t>《国家重点保护野生植物名录》和《中国珍稀濒危保护植物名录(第一册)》中所列物种</w:t>
      </w:r>
      <w:r>
        <w:rPr>
          <w:rFonts w:hint="eastAsia" w:ascii="宋体" w:hAnsi="宋体" w:eastAsia="宋体" w:cs="宋体"/>
          <w:bCs/>
          <w:color w:val="auto"/>
          <w:kern w:val="0"/>
          <w:sz w:val="24"/>
          <w:szCs w:val="24"/>
        </w:rPr>
        <w:t>。</w:t>
      </w:r>
      <w:r>
        <w:rPr>
          <w:rFonts w:hint="eastAsia" w:ascii="宋体" w:hAnsi="宋体" w:eastAsia="宋体" w:cs="宋体"/>
          <w:color w:val="auto"/>
          <w:sz w:val="24"/>
          <w:szCs w:val="24"/>
        </w:rPr>
        <w:t>因此，本项目不存在对国家野生重点保护植物和珍稀濒危植物的影响。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通过实地调查，评价区范围内未发现有挂牌的古树名木分布。</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62" w:name="_Toc12661"/>
      <w:r>
        <w:rPr>
          <w:rFonts w:hint="eastAsia" w:ascii="宋体" w:hAnsi="宋体" w:eastAsia="宋体" w:cs="宋体"/>
          <w:color w:val="auto"/>
          <w:sz w:val="24"/>
          <w:szCs w:val="24"/>
        </w:rPr>
        <w:t>对陆生动物的影响</w:t>
      </w:r>
      <w:bookmarkEnd w:id="462"/>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工程对陆生动物的影响方式表现为</w:t>
      </w:r>
      <w:r>
        <w:rPr>
          <w:rFonts w:hint="eastAsia" w:ascii="宋体" w:hAnsi="宋体" w:eastAsia="宋体" w:cs="宋体"/>
          <w:color w:val="auto"/>
          <w:sz w:val="24"/>
          <w:szCs w:val="24"/>
          <w:lang w:val="en-US" w:eastAsia="zh-CN"/>
        </w:rPr>
        <w:t>施工区</w:t>
      </w:r>
      <w:r>
        <w:rPr>
          <w:rFonts w:hint="eastAsia" w:ascii="宋体" w:hAnsi="宋体" w:eastAsia="宋体" w:cs="宋体"/>
          <w:color w:val="auto"/>
          <w:sz w:val="24"/>
          <w:szCs w:val="24"/>
        </w:rPr>
        <w:t>周边区域、</w:t>
      </w:r>
      <w:r>
        <w:rPr>
          <w:rFonts w:hint="eastAsia" w:ascii="宋体" w:hAnsi="宋体" w:eastAsia="宋体" w:cs="宋体"/>
          <w:color w:val="auto"/>
          <w:sz w:val="24"/>
          <w:szCs w:val="24"/>
          <w:lang w:val="en-US" w:eastAsia="zh-CN"/>
        </w:rPr>
        <w:t>原材料</w:t>
      </w:r>
      <w:r>
        <w:rPr>
          <w:rFonts w:hint="eastAsia" w:ascii="宋体" w:hAnsi="宋体" w:eastAsia="宋体" w:cs="宋体"/>
          <w:color w:val="auto"/>
          <w:sz w:val="24"/>
          <w:szCs w:val="24"/>
        </w:rPr>
        <w:t>的运输线路两侧动物的噪声影响，</w:t>
      </w:r>
      <w:r>
        <w:rPr>
          <w:rFonts w:hint="eastAsia" w:ascii="宋体" w:hAnsi="宋体" w:eastAsia="宋体" w:cs="宋体"/>
          <w:color w:val="auto"/>
          <w:sz w:val="24"/>
          <w:szCs w:val="24"/>
          <w:lang w:val="en-US" w:eastAsia="zh-CN"/>
        </w:rPr>
        <w:t>施工</w:t>
      </w:r>
      <w:r>
        <w:rPr>
          <w:rFonts w:hint="eastAsia" w:ascii="宋体" w:hAnsi="宋体" w:eastAsia="宋体" w:cs="宋体"/>
          <w:color w:val="auto"/>
          <w:sz w:val="24"/>
          <w:szCs w:val="24"/>
        </w:rPr>
        <w:t>人员生活垃圾，运输车辆产生的尾气和对动物的碾压等。同时，</w:t>
      </w:r>
      <w:r>
        <w:rPr>
          <w:rFonts w:hint="eastAsia" w:ascii="宋体" w:hAnsi="宋体" w:eastAsia="宋体" w:cs="宋体"/>
          <w:color w:val="auto"/>
          <w:sz w:val="24"/>
          <w:szCs w:val="24"/>
          <w:lang w:val="en-US" w:eastAsia="zh-CN"/>
        </w:rPr>
        <w:t>施工</w:t>
      </w:r>
      <w:r>
        <w:rPr>
          <w:rFonts w:hint="eastAsia" w:ascii="宋体" w:hAnsi="宋体" w:eastAsia="宋体" w:cs="宋体"/>
          <w:color w:val="auto"/>
          <w:sz w:val="24"/>
          <w:szCs w:val="24"/>
        </w:rPr>
        <w:t>过程中生境破坏可能占据野生动物栖息和繁殖场所，形成迁移阻碍，影响动物取食、繁殖等行为，使野生动物原有的栖息生境破坏或消失。</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对</w:t>
      </w:r>
      <w:r>
        <w:rPr>
          <w:rFonts w:hint="eastAsia" w:ascii="宋体" w:hAnsi="宋体" w:eastAsia="宋体" w:cs="宋体"/>
          <w:bCs/>
          <w:color w:val="auto"/>
          <w:sz w:val="24"/>
          <w:szCs w:val="24"/>
        </w:rPr>
        <w:t>兽类</w:t>
      </w:r>
      <w:r>
        <w:rPr>
          <w:rFonts w:hint="eastAsia" w:ascii="宋体" w:hAnsi="宋体" w:eastAsia="宋体" w:cs="宋体"/>
          <w:color w:val="auto"/>
          <w:sz w:val="24"/>
          <w:szCs w:val="24"/>
        </w:rPr>
        <w:t>的影响：</w:t>
      </w:r>
      <w:r>
        <w:rPr>
          <w:rFonts w:hint="eastAsia" w:ascii="宋体" w:hAnsi="宋体" w:eastAsia="宋体" w:cs="宋体"/>
          <w:bCs/>
          <w:color w:val="auto"/>
          <w:sz w:val="24"/>
          <w:szCs w:val="24"/>
        </w:rPr>
        <w:t>施工区域活动的动物以小型兽类为主，多是一些小型的啮齿类动物。工程沿线以</w:t>
      </w:r>
      <w:r>
        <w:rPr>
          <w:rFonts w:hint="eastAsia" w:ascii="宋体" w:hAnsi="宋体" w:cs="宋体"/>
          <w:bCs/>
          <w:color w:val="auto"/>
          <w:sz w:val="24"/>
          <w:szCs w:val="24"/>
          <w:lang w:val="en-US" w:eastAsia="zh-CN"/>
        </w:rPr>
        <w:t>农业</w:t>
      </w:r>
      <w:r>
        <w:rPr>
          <w:rFonts w:hint="eastAsia" w:ascii="宋体" w:hAnsi="宋体" w:eastAsia="宋体" w:cs="宋体"/>
          <w:bCs/>
          <w:color w:val="auto"/>
          <w:sz w:val="24"/>
          <w:szCs w:val="24"/>
        </w:rPr>
        <w:t>活动为主，区域附近活动的动物也是以一些小型的啮齿类为主的小型兽类。施工</w:t>
      </w:r>
      <w:r>
        <w:rPr>
          <w:rFonts w:hint="eastAsia" w:ascii="宋体" w:hAnsi="宋体" w:eastAsia="宋体" w:cs="宋体"/>
          <w:color w:val="auto"/>
          <w:sz w:val="24"/>
          <w:szCs w:val="24"/>
        </w:rPr>
        <w:t>建设活动破坏了小型兽类的栖息地，会较大改变小型兽类的分布格局，使建设区域内的小型兽类急剧减少，建设区域外的小型兽类在短时间内会有所增加。如在施工区域人多的地方，可能造成社鼠、褐家鼠数量增加。植被破坏区域，社鼠、褐家鼠等数量会上升，其他种类数量将下降。但总体上，</w:t>
      </w:r>
      <w:r>
        <w:rPr>
          <w:rFonts w:hint="eastAsia" w:ascii="宋体" w:hAnsi="宋体" w:eastAsia="宋体" w:cs="宋体"/>
          <w:bCs/>
          <w:color w:val="auto"/>
          <w:sz w:val="24"/>
          <w:szCs w:val="24"/>
        </w:rPr>
        <w:t>施工活动</w:t>
      </w:r>
      <w:r>
        <w:rPr>
          <w:rFonts w:hint="eastAsia" w:ascii="宋体" w:hAnsi="宋体" w:eastAsia="宋体" w:cs="宋体"/>
          <w:color w:val="auto"/>
          <w:sz w:val="24"/>
          <w:szCs w:val="24"/>
        </w:rPr>
        <w:t>对大多数哺乳动物没有太大的影响，因为哺乳动物有较强的迁徙能力，环境改变了，它们会迁移到适合它们生活的环境中继续生存、繁衍。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对鸟类的影响：施工</w:t>
      </w:r>
      <w:r>
        <w:rPr>
          <w:rFonts w:hint="eastAsia" w:ascii="宋体" w:hAnsi="宋体" w:eastAsia="宋体" w:cs="宋体"/>
          <w:bCs/>
          <w:color w:val="auto"/>
          <w:sz w:val="24"/>
          <w:szCs w:val="24"/>
        </w:rPr>
        <w:t>区</w:t>
      </w:r>
      <w:r>
        <w:rPr>
          <w:rFonts w:hint="eastAsia" w:ascii="宋体" w:hAnsi="宋体" w:eastAsia="宋体" w:cs="宋体"/>
          <w:color w:val="auto"/>
          <w:sz w:val="24"/>
          <w:szCs w:val="24"/>
        </w:rPr>
        <w:t>的建设活动对原在此居留的鸟类有一定干扰，由于建设区域为农田植被，居留于此的多为一些小型雀形目鸟类，植被的破坏可能对其筑巢、育雏有一定影响，施工的噪声、污染等对它们有一定威胁。但总体来看，</w:t>
      </w:r>
      <w:r>
        <w:rPr>
          <w:rFonts w:hint="eastAsia" w:ascii="宋体" w:hAnsi="宋体" w:eastAsia="宋体" w:cs="宋体"/>
          <w:color w:val="auto"/>
          <w:sz w:val="24"/>
          <w:szCs w:val="24"/>
          <w:lang w:val="en-US" w:eastAsia="zh-CN"/>
        </w:rPr>
        <w:t>工程</w:t>
      </w:r>
      <w:r>
        <w:rPr>
          <w:rFonts w:hint="eastAsia" w:ascii="宋体" w:hAnsi="宋体" w:eastAsia="宋体" w:cs="宋体"/>
          <w:color w:val="auto"/>
          <w:sz w:val="24"/>
          <w:szCs w:val="24"/>
        </w:rPr>
        <w:t>建设活动对鸟类影响不大，主要是由于鸟类具有强的迁移能力，无论对食物的寻觅，饮水的获得，</w:t>
      </w:r>
      <w:r>
        <w:rPr>
          <w:rFonts w:hint="eastAsia" w:ascii="宋体" w:hAnsi="宋体" w:eastAsia="宋体" w:cs="宋体"/>
          <w:bCs/>
          <w:color w:val="auto"/>
          <w:sz w:val="24"/>
          <w:szCs w:val="24"/>
          <w:lang w:val="en-US" w:eastAsia="zh-CN"/>
        </w:rPr>
        <w:t>工程</w:t>
      </w:r>
      <w:r>
        <w:rPr>
          <w:rFonts w:hint="eastAsia" w:ascii="宋体" w:hAnsi="宋体" w:eastAsia="宋体" w:cs="宋体"/>
          <w:bCs/>
          <w:color w:val="auto"/>
          <w:sz w:val="24"/>
          <w:szCs w:val="24"/>
        </w:rPr>
        <w:t>建设活动</w:t>
      </w:r>
      <w:r>
        <w:rPr>
          <w:rFonts w:hint="eastAsia" w:ascii="宋体" w:hAnsi="宋体" w:eastAsia="宋体" w:cs="宋体"/>
          <w:color w:val="auto"/>
          <w:sz w:val="24"/>
          <w:szCs w:val="24"/>
        </w:rPr>
        <w:t>对它们都没有太大的影响。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对两栖爬行类的影响：由于爬行类数量较少，施工建设对原生活于此的爬行类动物有直接影响，但采用缓慢开工等方式可以促使它们能较早的迁徙到工程区以外的地方，这样建设活动对它们影响可以减少到最小。工程建设对其周围的两栖动物有着直接的影响，生物多样性会有所减少，此处生活的两栖类主要有中华蟾蜍、黑框蟾蜍等。其影响在施工期间主要有两个方面：其一是河岸施工造成两栖类栖息地减少</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造成两栖类直接死亡，繁殖季节更甚；其二，施工造成的污染破坏了两栖类生存环境，使两栖类繁殖受到影响。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对保护动物的影响：</w:t>
      </w:r>
      <w:r>
        <w:rPr>
          <w:rFonts w:hint="eastAsia" w:ascii="宋体" w:hAnsi="宋体" w:eastAsia="宋体" w:cs="宋体"/>
          <w:bCs/>
          <w:color w:val="auto"/>
          <w:sz w:val="24"/>
          <w:szCs w:val="24"/>
        </w:rPr>
        <w:t>根据实地调查及访问，工程影响区未见国家级保护动物</w:t>
      </w:r>
      <w:r>
        <w:rPr>
          <w:rFonts w:hint="eastAsia" w:ascii="宋体" w:hAnsi="宋体" w:eastAsia="宋体" w:cs="宋体"/>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建设会造成对动物的干扰，会改变动物的分布格局。施工影响区内兽类活动会明显减少，使它们远离施工区域；由于破坏了一定面积的小型兽类、鸟类的栖息地，会较大改变建设影响区小型兽类和鸟类的分布格局，初期它们会迅速减少或有一定死亡，并向周边区域扩散，但它们大多适应环境变化能力较强，在环境稳定后会在新的栖息地内迅速繁殖生存，种群数量又会上升。所以</w:t>
      </w:r>
      <w:r>
        <w:rPr>
          <w:rFonts w:hint="eastAsia" w:ascii="宋体" w:hAnsi="宋体" w:eastAsia="宋体" w:cs="宋体"/>
          <w:color w:val="auto"/>
          <w:sz w:val="24"/>
          <w:szCs w:val="24"/>
          <w:lang w:val="en-US" w:eastAsia="zh-CN"/>
        </w:rPr>
        <w:t>工程</w:t>
      </w:r>
      <w:r>
        <w:rPr>
          <w:rFonts w:hint="eastAsia" w:ascii="宋体" w:hAnsi="宋体" w:eastAsia="宋体" w:cs="宋体"/>
          <w:color w:val="auto"/>
          <w:sz w:val="24"/>
          <w:szCs w:val="24"/>
        </w:rPr>
        <w:t>施工建设对动物的影响是在可承受的范围内的，不会造成物种的灭绝和生态链的断裂。</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总之，由于工程永久占地相对较少，</w:t>
      </w:r>
      <w:r>
        <w:rPr>
          <w:rFonts w:hint="eastAsia" w:ascii="宋体" w:hAnsi="宋体" w:eastAsia="宋体" w:cs="宋体"/>
          <w:color w:val="auto"/>
          <w:sz w:val="24"/>
          <w:szCs w:val="24"/>
          <w:lang w:val="en-US" w:eastAsia="zh-CN"/>
        </w:rPr>
        <w:t>营运期</w:t>
      </w:r>
      <w:r>
        <w:rPr>
          <w:rFonts w:hint="eastAsia" w:ascii="宋体" w:hAnsi="宋体" w:eastAsia="宋体" w:cs="宋体"/>
          <w:color w:val="auto"/>
          <w:sz w:val="24"/>
          <w:szCs w:val="24"/>
        </w:rPr>
        <w:t>评价区域周边</w:t>
      </w:r>
      <w:r>
        <w:rPr>
          <w:rFonts w:hint="eastAsia" w:ascii="宋体" w:hAnsi="宋体" w:eastAsia="宋体" w:cs="宋体"/>
          <w:color w:val="auto"/>
          <w:sz w:val="24"/>
          <w:szCs w:val="24"/>
          <w:lang w:val="en-US" w:eastAsia="zh-CN"/>
        </w:rPr>
        <w:t>又会恢复</w:t>
      </w:r>
      <w:r>
        <w:rPr>
          <w:rFonts w:hint="eastAsia" w:ascii="宋体" w:hAnsi="宋体" w:eastAsia="宋体" w:cs="宋体"/>
          <w:color w:val="auto"/>
          <w:sz w:val="24"/>
          <w:szCs w:val="24"/>
        </w:rPr>
        <w:t>大面积的适宜生境，</w:t>
      </w:r>
      <w:r>
        <w:rPr>
          <w:rFonts w:hint="eastAsia" w:ascii="宋体" w:hAnsi="宋体" w:eastAsia="宋体" w:cs="宋体"/>
          <w:color w:val="auto"/>
          <w:sz w:val="24"/>
          <w:szCs w:val="24"/>
          <w:lang w:val="en-US" w:eastAsia="zh-CN"/>
        </w:rPr>
        <w:t>因此</w:t>
      </w:r>
      <w:r>
        <w:rPr>
          <w:rFonts w:hint="eastAsia" w:ascii="宋体" w:hAnsi="宋体" w:eastAsia="宋体" w:cs="宋体"/>
          <w:color w:val="auto"/>
          <w:sz w:val="24"/>
          <w:szCs w:val="24"/>
        </w:rPr>
        <w:t>工程建设对保护动物影响较小。</w:t>
      </w:r>
    </w:p>
    <w:p>
      <w:pPr>
        <w:pStyle w:val="4"/>
        <w:keepNext w:val="0"/>
        <w:keepLines w:val="0"/>
        <w:pageBreakBefore w:val="0"/>
        <w:widowControl w:val="0"/>
        <w:kinsoku/>
        <w:wordWrap/>
        <w:overflowPunct/>
        <w:topLinePunct w:val="0"/>
        <w:autoSpaceDE/>
        <w:autoSpaceDN/>
        <w:bidi w:val="0"/>
        <w:adjustRightInd/>
        <w:snapToGrid/>
        <w:spacing w:beforeLines="0" w:afterLines="0"/>
        <w:ind w:left="0" w:firstLine="482" w:firstLineChars="200"/>
        <w:textAlignment w:val="auto"/>
        <w:rPr>
          <w:rFonts w:hint="eastAsia" w:ascii="宋体" w:hAnsi="宋体" w:eastAsia="宋体" w:cs="宋体"/>
          <w:color w:val="auto"/>
          <w:sz w:val="24"/>
          <w:szCs w:val="24"/>
        </w:rPr>
      </w:pPr>
      <w:bookmarkStart w:id="463" w:name="_Toc493453012"/>
      <w:bookmarkStart w:id="464" w:name="_Toc24865"/>
      <w:r>
        <w:rPr>
          <w:rFonts w:hint="eastAsia" w:ascii="宋体" w:hAnsi="宋体" w:eastAsia="宋体" w:cs="宋体"/>
          <w:color w:val="auto"/>
          <w:sz w:val="24"/>
          <w:szCs w:val="24"/>
        </w:rPr>
        <w:t>项目运行后对保护区影响评价</w:t>
      </w:r>
      <w:bookmarkEnd w:id="463"/>
      <w:bookmarkEnd w:id="464"/>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65" w:name="_Toc25061483"/>
      <w:bookmarkStart w:id="466" w:name="_Toc502150771"/>
      <w:bookmarkStart w:id="467" w:name="_Toc18724"/>
      <w:bookmarkStart w:id="468" w:name="_Toc24245"/>
      <w:r>
        <w:rPr>
          <w:rFonts w:hint="eastAsia" w:ascii="宋体" w:hAnsi="宋体" w:eastAsia="宋体" w:cs="宋体"/>
          <w:color w:val="auto"/>
          <w:sz w:val="24"/>
          <w:szCs w:val="24"/>
        </w:rPr>
        <w:t>对水生生物的影响</w:t>
      </w:r>
      <w:bookmarkEnd w:id="465"/>
      <w:bookmarkEnd w:id="466"/>
      <w:bookmarkEnd w:id="467"/>
      <w:bookmarkEnd w:id="468"/>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运行期间不产生废水、废气及废渣等污染物，居民在江边活动锻炼时会产生的少量生活垃圾，通过垃圾桶收集后由环卫部门统一清运处置，不会对水质产生明显影响。虽然本工程占用了部分河岸带，降低了河岸带植被对径流污染物的拦截作用，施工时对水质产生一定的不利影响，但是工程全面建成后，堤防范围内大片土地整体防洪标准提高至</w:t>
      </w:r>
      <w:r>
        <w:rPr>
          <w:rFonts w:hint="eastAsia" w:ascii="宋体" w:hAnsi="宋体" w:cs="宋体"/>
          <w:color w:val="auto"/>
          <w:sz w:val="24"/>
          <w:szCs w:val="24"/>
          <w:lang w:val="en-US" w:eastAsia="zh-CN"/>
        </w:rPr>
        <w:t>2</w:t>
      </w:r>
      <w:r>
        <w:rPr>
          <w:rFonts w:hint="eastAsia" w:ascii="宋体" w:hAnsi="宋体" w:eastAsia="宋体" w:cs="宋体"/>
          <w:color w:val="auto"/>
          <w:sz w:val="24"/>
          <w:szCs w:val="24"/>
        </w:rPr>
        <w:t>0年一遇，形成完善的防洪体系，减少了水土流失，有效地防治河岸危岩滑坡。</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在运行期，本项目建成后有利于工程江段的水土保持，本工程江段水体泥沙含量下降，水深也有轻微增加，水体透明度加大，光合作用较强，对浮游动植物的生长繁殖有利。</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该工程使原有的自然河岸被硬化，部分河滩被占用，马道以下的河岸底质被硬化，同时，防洪堤附近的水文条件也有一定的局部改变，这些导致防洪工程近江岸的底栖动物种类和密度有较大的变化。</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69" w:name="_Toc23589"/>
      <w:bookmarkStart w:id="470" w:name="_Toc502150772"/>
      <w:bookmarkStart w:id="471" w:name="_Toc25061484"/>
      <w:bookmarkStart w:id="472" w:name="_Toc10539"/>
      <w:r>
        <w:rPr>
          <w:rFonts w:hint="eastAsia" w:ascii="宋体" w:hAnsi="宋体" w:eastAsia="宋体" w:cs="宋体"/>
          <w:color w:val="auto"/>
          <w:sz w:val="24"/>
          <w:szCs w:val="24"/>
        </w:rPr>
        <w:t>对鱼类物种多样性的影响</w:t>
      </w:r>
      <w:bookmarkEnd w:id="469"/>
      <w:bookmarkEnd w:id="470"/>
      <w:bookmarkEnd w:id="471"/>
      <w:bookmarkEnd w:id="472"/>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工程涉及琼江</w:t>
      </w:r>
      <w:r>
        <w:rPr>
          <w:rFonts w:hint="eastAsia" w:ascii="宋体" w:hAnsi="宋体" w:cs="宋体"/>
          <w:color w:val="auto"/>
          <w:sz w:val="24"/>
          <w:szCs w:val="24"/>
          <w:lang w:val="en-US" w:eastAsia="zh-CN"/>
        </w:rPr>
        <w:t>安居区城区段</w:t>
      </w:r>
      <w:r>
        <w:rPr>
          <w:rFonts w:hint="eastAsia" w:ascii="宋体" w:hAnsi="宋体" w:eastAsia="宋体" w:cs="宋体"/>
          <w:color w:val="auto"/>
          <w:sz w:val="24"/>
          <w:szCs w:val="24"/>
        </w:rPr>
        <w:t>，虽然工程沿自然河岸布置，但也占用部分河滩，部分河滩被硬化，原来在洪水期被淹没成为鱼类索饵的河道部分消失，对鱼类的索饵有一定的影响。</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在运行期内，由于工程占用了部分岸线，沿岸分布的河岸带及植被被破坏，鱼类饵料生物及卵苗粘附基质有所减少，对鱼类索饵及幼苗发育不利，其影响长期存在。</w:t>
      </w:r>
      <w:r>
        <w:rPr>
          <w:rFonts w:hint="eastAsia" w:ascii="宋体" w:hAnsi="宋体" w:eastAsia="宋体" w:cs="宋体"/>
          <w:color w:val="auto"/>
          <w:spacing w:val="-1"/>
          <w:sz w:val="24"/>
          <w:szCs w:val="24"/>
          <w:lang w:val="en-US" w:eastAsia="zh-CN"/>
        </w:rPr>
        <w:t>通过</w:t>
      </w:r>
      <w:r>
        <w:rPr>
          <w:rFonts w:hint="eastAsia" w:ascii="宋体" w:hAnsi="宋体" w:eastAsia="宋体" w:cs="宋体"/>
          <w:color w:val="auto"/>
          <w:spacing w:val="-1"/>
          <w:sz w:val="24"/>
          <w:szCs w:val="24"/>
        </w:rPr>
        <w:t>加强宣传保护和鱼类资源监测等措施，因此工程建设对鱼类多样性的影响不大。</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73" w:name="_Toc25061485"/>
      <w:bookmarkStart w:id="474" w:name="_Toc22672"/>
      <w:bookmarkStart w:id="475" w:name="_Toc28027"/>
      <w:bookmarkStart w:id="476" w:name="_Toc502150773"/>
      <w:r>
        <w:rPr>
          <w:rFonts w:hint="eastAsia" w:ascii="宋体" w:hAnsi="宋体" w:eastAsia="宋体" w:cs="宋体"/>
          <w:color w:val="auto"/>
          <w:sz w:val="24"/>
          <w:szCs w:val="24"/>
        </w:rPr>
        <w:t>工程对保护区生态系统的影响</w:t>
      </w:r>
      <w:bookmarkEnd w:id="473"/>
      <w:bookmarkEnd w:id="474"/>
      <w:bookmarkEnd w:id="475"/>
      <w:bookmarkEnd w:id="476"/>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0"/>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工程涉及</w:t>
      </w:r>
      <w:r>
        <w:rPr>
          <w:rFonts w:hint="eastAsia" w:ascii="宋体" w:hAnsi="宋体" w:eastAsia="宋体" w:cs="宋体"/>
          <w:color w:val="auto"/>
          <w:kern w:val="0"/>
          <w:sz w:val="24"/>
          <w:szCs w:val="24"/>
        </w:rPr>
        <w:t>琼江翘嘴红鲌省级水产种质资源保护区的</w:t>
      </w:r>
      <w:r>
        <w:rPr>
          <w:rFonts w:hint="eastAsia" w:ascii="宋体" w:hAnsi="宋体" w:eastAsia="宋体" w:cs="宋体"/>
          <w:color w:val="auto"/>
          <w:kern w:val="0"/>
          <w:sz w:val="24"/>
          <w:szCs w:val="24"/>
          <w:lang w:val="en-US" w:eastAsia="zh-CN"/>
        </w:rPr>
        <w:t>核心区</w:t>
      </w:r>
      <w:r>
        <w:rPr>
          <w:rFonts w:hint="eastAsia" w:ascii="宋体" w:hAnsi="宋体" w:eastAsia="宋体" w:cs="宋体"/>
          <w:color w:val="auto"/>
          <w:kern w:val="0"/>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rPr>
        <w:t>运行期，工程河段</w:t>
      </w:r>
      <w:r>
        <w:rPr>
          <w:rFonts w:hint="eastAsia" w:ascii="宋体" w:hAnsi="宋体" w:eastAsia="宋体" w:cs="宋体"/>
          <w:color w:val="auto"/>
          <w:sz w:val="24"/>
          <w:szCs w:val="24"/>
        </w:rPr>
        <w:t>河流水质不会发生明显变化，对浮游生物不会造成明显影响。但部分河滩被占用，河道缩窄，水文情势局部变化，浮游生物、底栖动物和鱼类的栖息生境受到一定的破坏，</w:t>
      </w:r>
      <w:r>
        <w:rPr>
          <w:rFonts w:hint="eastAsia" w:ascii="宋体" w:hAnsi="宋体" w:eastAsia="宋体" w:cs="宋体"/>
          <w:bCs/>
          <w:color w:val="auto"/>
          <w:sz w:val="24"/>
          <w:szCs w:val="24"/>
        </w:rPr>
        <w:t>因而水生生态系统的</w:t>
      </w:r>
      <w:r>
        <w:rPr>
          <w:rFonts w:hint="eastAsia" w:ascii="宋体" w:hAnsi="宋体" w:eastAsia="宋体" w:cs="宋体"/>
          <w:color w:val="auto"/>
          <w:sz w:val="24"/>
          <w:szCs w:val="24"/>
        </w:rPr>
        <w:t>初级生产力和次级生产力均会由于防洪堤的建成而受到一定的影响。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虽然</w:t>
      </w:r>
      <w:r>
        <w:rPr>
          <w:rFonts w:hint="eastAsia" w:ascii="宋体" w:hAnsi="宋体" w:eastAsia="宋体" w:cs="宋体"/>
          <w:color w:val="auto"/>
          <w:sz w:val="24"/>
          <w:szCs w:val="24"/>
        </w:rPr>
        <w:t>建成后短时间内改变了河道原有的生境，对工程河段的生态系统有一定的影响，但对保护区整个生态系统影响有限。</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lang w:val="en-US"/>
        </w:rPr>
      </w:pPr>
      <w:bookmarkStart w:id="477" w:name="_Toc502150774"/>
      <w:bookmarkStart w:id="478" w:name="_Toc25061486"/>
      <w:bookmarkStart w:id="479" w:name="_Toc31456"/>
      <w:bookmarkStart w:id="480" w:name="_Toc6129"/>
      <w:r>
        <w:rPr>
          <w:rFonts w:hint="eastAsia" w:ascii="宋体" w:hAnsi="宋体" w:eastAsia="宋体" w:cs="宋体"/>
          <w:color w:val="auto"/>
          <w:sz w:val="24"/>
          <w:szCs w:val="24"/>
        </w:rPr>
        <w:t>对鱼类“三场”及洄游通道的影响</w:t>
      </w:r>
      <w:bookmarkEnd w:id="477"/>
      <w:bookmarkEnd w:id="478"/>
      <w:bookmarkEnd w:id="479"/>
      <w:bookmarkEnd w:id="480"/>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工程直接影响水域无鱼类三场分布，在上下游有产卵场、索饵场</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越冬场</w:t>
      </w:r>
      <w:r>
        <w:rPr>
          <w:rFonts w:hint="eastAsia" w:ascii="宋体" w:hAnsi="宋体" w:eastAsia="宋体" w:cs="宋体"/>
          <w:color w:val="auto"/>
          <w:sz w:val="24"/>
          <w:szCs w:val="24"/>
        </w:rPr>
        <w:t>分布，在做好各项环保措施的情况下，工程在运营期间过程中对产卵场、索饵场</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越冬场</w:t>
      </w:r>
      <w:r>
        <w:rPr>
          <w:rFonts w:hint="eastAsia" w:ascii="宋体" w:hAnsi="宋体" w:eastAsia="宋体" w:cs="宋体"/>
          <w:color w:val="auto"/>
          <w:sz w:val="24"/>
          <w:szCs w:val="24"/>
        </w:rPr>
        <w:t>的影响不大。</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运营期对鱼类“三场”的影响主要表现在施工期影响上的延续，在施工结束后的相当长一段时期，大部分鱼类会重新根据水流、河床地形、饵料生物等条件在适宜的河段来确定“三场”，也有可能回到原来“三场”的位置继续繁衍、栖息。</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本工程没有阻断保护区河道，工程河段的河床演变规律不会发生明显的改变，不会改变现有河道演变趋势。同时，本工程仅占用较小宽度和面积的河道，没有</w:t>
      </w:r>
      <w:r>
        <w:rPr>
          <w:rFonts w:hint="eastAsia" w:ascii="宋体" w:hAnsi="宋体" w:eastAsia="宋体" w:cs="宋体"/>
          <w:color w:val="auto"/>
          <w:kern w:val="0"/>
          <w:sz w:val="24"/>
          <w:szCs w:val="24"/>
        </w:rPr>
        <w:t>破坏鱼类主要的洄游通道和主河道生境，不会改变河流的水文情势，</w:t>
      </w:r>
      <w:r>
        <w:rPr>
          <w:rFonts w:hint="eastAsia" w:ascii="宋体" w:hAnsi="宋体" w:eastAsia="宋体" w:cs="宋体"/>
          <w:color w:val="auto"/>
          <w:sz w:val="24"/>
          <w:szCs w:val="24"/>
        </w:rPr>
        <w:t>不会影响鱼类在工程河段上下游间的迁移活动。</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z w:val="24"/>
          <w:szCs w:val="24"/>
        </w:rPr>
        <w:t>因此，本工程的建设和运行对</w:t>
      </w:r>
      <w:r>
        <w:rPr>
          <w:rFonts w:hint="eastAsia" w:ascii="宋体" w:hAnsi="宋体" w:eastAsia="宋体" w:cs="宋体"/>
          <w:color w:val="auto"/>
          <w:kern w:val="0"/>
          <w:sz w:val="24"/>
          <w:szCs w:val="24"/>
        </w:rPr>
        <w:t>保护区内鱼类的洄游通道没有明显影响。</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81" w:name="_Toc25061487"/>
      <w:bookmarkStart w:id="482" w:name="_Toc26020"/>
      <w:bookmarkStart w:id="483" w:name="_Toc19161"/>
      <w:bookmarkStart w:id="484" w:name="_Toc502150775"/>
      <w:r>
        <w:rPr>
          <w:rFonts w:hint="eastAsia" w:ascii="宋体" w:hAnsi="宋体" w:eastAsia="宋体" w:cs="宋体"/>
          <w:color w:val="auto"/>
          <w:sz w:val="24"/>
          <w:szCs w:val="24"/>
        </w:rPr>
        <w:t>工程对保护区功能的影响</w:t>
      </w:r>
      <w:bookmarkEnd w:id="481"/>
      <w:bookmarkEnd w:id="482"/>
      <w:bookmarkEnd w:id="483"/>
      <w:bookmarkEnd w:id="484"/>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w:t>
      </w:r>
      <w:r>
        <w:rPr>
          <w:rFonts w:hint="eastAsia" w:ascii="宋体" w:hAnsi="宋体" w:eastAsia="宋体" w:cs="宋体"/>
          <w:color w:val="auto"/>
          <w:kern w:val="0"/>
          <w:sz w:val="24"/>
          <w:szCs w:val="24"/>
        </w:rPr>
        <w:t>未对琼江</w:t>
      </w:r>
      <w:r>
        <w:rPr>
          <w:rFonts w:hint="eastAsia" w:ascii="宋体" w:hAnsi="宋体" w:eastAsia="宋体" w:cs="宋体"/>
          <w:color w:val="auto"/>
          <w:sz w:val="24"/>
          <w:szCs w:val="24"/>
        </w:rPr>
        <w:t>河流特性和水文情势等产生显著的改变。因此，本工程未对</w:t>
      </w:r>
      <w:r>
        <w:rPr>
          <w:rFonts w:hint="eastAsia" w:ascii="宋体" w:hAnsi="宋体" w:eastAsia="宋体" w:cs="宋体"/>
          <w:color w:val="auto"/>
          <w:kern w:val="0"/>
          <w:sz w:val="24"/>
          <w:szCs w:val="24"/>
        </w:rPr>
        <w:t>琼江翘嘴红鲌省级水产种质资源保护区的</w:t>
      </w:r>
      <w:r>
        <w:rPr>
          <w:rFonts w:hint="eastAsia" w:ascii="宋体" w:hAnsi="宋体" w:eastAsia="宋体" w:cs="宋体"/>
          <w:color w:val="auto"/>
          <w:kern w:val="0"/>
          <w:sz w:val="24"/>
          <w:szCs w:val="24"/>
          <w:lang w:val="en-US" w:eastAsia="zh-CN"/>
        </w:rPr>
        <w:t>核心区</w:t>
      </w:r>
      <w:r>
        <w:rPr>
          <w:rFonts w:hint="eastAsia" w:ascii="宋体" w:hAnsi="宋体" w:eastAsia="宋体" w:cs="宋体"/>
          <w:color w:val="auto"/>
          <w:sz w:val="24"/>
          <w:szCs w:val="24"/>
        </w:rPr>
        <w:t>的相关功能产生明显的影响，但工程占用了保护区部分的卵石河滩，部分河滩地被硬化，原来在洪水期被淹没成为鱼类索饵的河道部分消失，对一些经济鱼类和小型鱼类的索饵有一定的影响。</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z w:val="24"/>
          <w:szCs w:val="24"/>
        </w:rPr>
        <w:t xml:space="preserve">工程建成后，河流水质基本不会发生变化，但是原有自然河岸部分被硬化，部分河岸带被占用，河道缩窄，水文情势局部变化，浮游生物、底栖动物和鱼类的栖息生境受到一定程度的破坏，因而水生生态系统的初级生产力和次级生产力均会由于防洪堤的建成运营而受到一定的影响。只要保护措施到位，其对保护区功能的影响有限。 </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85" w:name="_Toc25061488"/>
      <w:bookmarkStart w:id="486" w:name="_Toc29238"/>
      <w:bookmarkStart w:id="487" w:name="_Toc18096"/>
      <w:r>
        <w:rPr>
          <w:rFonts w:hint="eastAsia" w:ascii="宋体" w:hAnsi="宋体" w:eastAsia="宋体" w:cs="宋体"/>
          <w:color w:val="auto"/>
          <w:sz w:val="24"/>
          <w:szCs w:val="24"/>
        </w:rPr>
        <w:t>排涝水的影响分析</w:t>
      </w:r>
      <w:bookmarkEnd w:id="485"/>
      <w:bookmarkEnd w:id="486"/>
      <w:bookmarkEnd w:id="487"/>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本工程堤防修建以后，保护区内的洪水通过工程措施排出，因此，排涝是十分必要的。</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本工程共设置8处穿堤涵管及竖井，其中竖井直径为1</w:t>
      </w:r>
      <w:r>
        <w:rPr>
          <w:rFonts w:hint="eastAsia" w:ascii="宋体" w:hAnsi="宋体" w:eastAsia="宋体" w:cs="宋体"/>
          <w:color w:val="auto"/>
          <w:spacing w:val="-1"/>
          <w:sz w:val="24"/>
          <w:szCs w:val="24"/>
          <w:lang w:val="en-US" w:eastAsia="zh-CN"/>
        </w:rPr>
        <w:t>5</w:t>
      </w:r>
      <w:r>
        <w:rPr>
          <w:rFonts w:hint="eastAsia" w:ascii="宋体" w:hAnsi="宋体" w:eastAsia="宋体" w:cs="宋体"/>
          <w:color w:val="auto"/>
          <w:spacing w:val="-1"/>
          <w:sz w:val="24"/>
          <w:szCs w:val="24"/>
        </w:rPr>
        <w:t>0cm，配套穿堤涵管直径为100cm</w:t>
      </w:r>
      <w:r>
        <w:rPr>
          <w:rFonts w:hint="eastAsia" w:ascii="宋体" w:hAnsi="宋体" w:eastAsia="宋体" w:cs="宋体"/>
          <w:color w:val="auto"/>
          <w:spacing w:val="-1"/>
          <w:sz w:val="24"/>
          <w:szCs w:val="24"/>
          <w:lang w:eastAsia="zh-CN"/>
        </w:rPr>
        <w:t>，</w:t>
      </w:r>
      <w:r>
        <w:rPr>
          <w:rFonts w:hint="eastAsia" w:ascii="宋体" w:hAnsi="宋体" w:eastAsia="宋体" w:cs="宋体"/>
          <w:color w:val="auto"/>
          <w:sz w:val="24"/>
          <w:szCs w:val="24"/>
          <w:highlight w:val="none"/>
          <w:lang w:val="en-US" w:eastAsia="zh-CN"/>
        </w:rPr>
        <w:t>竖井进口接城镇排洪沟，涵管进口接竖井，涵管纵坡向河，</w:t>
      </w:r>
      <w:r>
        <w:rPr>
          <w:rFonts w:hint="eastAsia" w:ascii="宋体" w:hAnsi="宋体" w:eastAsia="宋体" w:cs="宋体"/>
          <w:color w:val="auto"/>
          <w:spacing w:val="-1"/>
          <w:sz w:val="24"/>
          <w:szCs w:val="24"/>
        </w:rPr>
        <w:t>工程堤防段排涝</w:t>
      </w:r>
      <w:r>
        <w:rPr>
          <w:rFonts w:hint="eastAsia" w:ascii="宋体" w:hAnsi="宋体" w:eastAsia="宋体" w:cs="宋体"/>
          <w:color w:val="auto"/>
          <w:sz w:val="24"/>
          <w:szCs w:val="24"/>
        </w:rPr>
        <w:t>标准为</w:t>
      </w:r>
      <w:r>
        <w:rPr>
          <w:rFonts w:hint="eastAsia" w:ascii="宋体" w:hAnsi="宋体" w:cs="宋体"/>
          <w:color w:val="auto"/>
          <w:sz w:val="24"/>
          <w:szCs w:val="24"/>
          <w:lang w:val="en-US" w:eastAsia="zh-CN"/>
        </w:rPr>
        <w:t>2</w:t>
      </w:r>
      <w:r>
        <w:rPr>
          <w:rFonts w:hint="eastAsia" w:ascii="宋体" w:hAnsi="宋体" w:eastAsia="宋体" w:cs="宋体"/>
          <w:color w:val="auto"/>
          <w:sz w:val="24"/>
          <w:szCs w:val="24"/>
        </w:rPr>
        <w:t>0年一遇。</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雨水随着穿堤涵管进入琼江，导致排涝口</w:t>
      </w:r>
      <w:r>
        <w:rPr>
          <w:rFonts w:hint="eastAsia" w:ascii="宋体" w:hAnsi="宋体" w:eastAsia="宋体" w:cs="宋体"/>
          <w:color w:val="auto"/>
          <w:spacing w:val="-1"/>
          <w:sz w:val="24"/>
          <w:szCs w:val="24"/>
          <w:lang w:val="en-US" w:eastAsia="zh-CN"/>
        </w:rPr>
        <w:t>附近</w:t>
      </w:r>
      <w:r>
        <w:rPr>
          <w:rFonts w:hint="eastAsia" w:ascii="宋体" w:hAnsi="宋体" w:eastAsia="宋体" w:cs="宋体"/>
          <w:color w:val="auto"/>
          <w:spacing w:val="-1"/>
          <w:sz w:val="24"/>
          <w:szCs w:val="24"/>
        </w:rPr>
        <w:t>水体悬浮物浓度增加，导致局部水体透明度下降，pH值呈弱碱性，并带有少量的油污。使该区域浮游植物的密度和数量下降。硅藻门、绿藻门等喜洁净水体的种类的密度和数量下降，而蓝藻等种类的密度和数量有所上升，水中浮游植物的生物量总体下降。但影响范围很小，同时琼江水体具有一定的自净作用，排涝雨水对琼江水质影响很小。</w:t>
      </w:r>
    </w:p>
    <w:p>
      <w:pPr>
        <w:pStyle w:val="5"/>
        <w:keepNext w:val="0"/>
        <w:keepLines w:val="0"/>
        <w:pageBreakBefore w:val="0"/>
        <w:widowControl w:val="0"/>
        <w:kinsoku/>
        <w:wordWrap/>
        <w:overflowPunct/>
        <w:topLinePunct w:val="0"/>
        <w:autoSpaceDE/>
        <w:autoSpaceDN/>
        <w:bidi w:val="0"/>
        <w:adjustRightInd/>
        <w:snapToGrid/>
        <w:ind w:left="0" w:firstLine="482" w:firstLineChars="200"/>
        <w:textAlignment w:val="auto"/>
        <w:rPr>
          <w:rFonts w:hint="eastAsia" w:ascii="宋体" w:hAnsi="宋体" w:eastAsia="宋体" w:cs="宋体"/>
          <w:color w:val="auto"/>
          <w:sz w:val="24"/>
          <w:szCs w:val="24"/>
        </w:rPr>
      </w:pPr>
      <w:bookmarkStart w:id="488" w:name="_Toc519985622"/>
      <w:bookmarkStart w:id="489" w:name="_Toc25061490"/>
      <w:bookmarkStart w:id="490" w:name="_Toc15413"/>
      <w:bookmarkStart w:id="491" w:name="_Toc30480"/>
      <w:r>
        <w:rPr>
          <w:rFonts w:hint="eastAsia" w:ascii="宋体" w:hAnsi="宋体" w:eastAsia="宋体" w:cs="宋体"/>
          <w:color w:val="auto"/>
          <w:sz w:val="24"/>
          <w:szCs w:val="24"/>
        </w:rPr>
        <w:t>累积性影响分析</w:t>
      </w:r>
      <w:bookmarkEnd w:id="488"/>
      <w:bookmarkEnd w:id="489"/>
      <w:bookmarkEnd w:id="490"/>
      <w:bookmarkEnd w:id="491"/>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在工程</w:t>
      </w:r>
      <w:r>
        <w:rPr>
          <w:rFonts w:hint="eastAsia" w:ascii="宋体" w:hAnsi="宋体" w:cs="宋体"/>
          <w:color w:val="auto"/>
          <w:spacing w:val="-1"/>
          <w:sz w:val="24"/>
          <w:szCs w:val="24"/>
          <w:lang w:val="en-US" w:eastAsia="zh-CN"/>
        </w:rPr>
        <w:t>起点和止点处均有</w:t>
      </w:r>
      <w:r>
        <w:rPr>
          <w:rFonts w:hint="eastAsia" w:ascii="宋体" w:hAnsi="宋体" w:eastAsia="宋体" w:cs="宋体"/>
          <w:color w:val="auto"/>
          <w:spacing w:val="-1"/>
          <w:sz w:val="24"/>
          <w:szCs w:val="24"/>
        </w:rPr>
        <w:t>大桥，</w:t>
      </w:r>
      <w:r>
        <w:rPr>
          <w:rFonts w:ascii="Times New Roman" w:hAnsi="Times New Roman"/>
          <w:color w:val="auto"/>
          <w:spacing w:val="-1"/>
          <w:sz w:val="24"/>
        </w:rPr>
        <w:t>在工程止点下游有已建堤防工程</w:t>
      </w:r>
      <w:r>
        <w:rPr>
          <w:rFonts w:hint="eastAsia" w:ascii="Times New Roman" w:hAnsi="Times New Roman"/>
          <w:color w:val="auto"/>
          <w:spacing w:val="-1"/>
          <w:sz w:val="24"/>
          <w:lang w:eastAsia="zh-CN"/>
        </w:rPr>
        <w:t>，</w:t>
      </w:r>
      <w:r>
        <w:rPr>
          <w:rFonts w:ascii="Times New Roman" w:hAnsi="Times New Roman"/>
          <w:color w:val="auto"/>
          <w:spacing w:val="-1"/>
          <w:sz w:val="24"/>
        </w:rPr>
        <w:t>在工程止点下游</w:t>
      </w:r>
      <w:r>
        <w:rPr>
          <w:rFonts w:hint="eastAsia" w:ascii="Times New Roman" w:hAnsi="Times New Roman"/>
          <w:color w:val="auto"/>
          <w:spacing w:val="-1"/>
          <w:sz w:val="24"/>
          <w:lang w:val="en-US" w:eastAsia="zh-CN"/>
        </w:rPr>
        <w:t>9.5</w:t>
      </w:r>
      <w:r>
        <w:rPr>
          <w:rFonts w:ascii="Times New Roman" w:hAnsi="Times New Roman"/>
          <w:color w:val="auto"/>
          <w:spacing w:val="-1"/>
          <w:sz w:val="24"/>
        </w:rPr>
        <w:t>km处有萝卜园水库</w:t>
      </w:r>
      <w:r>
        <w:rPr>
          <w:rFonts w:hint="eastAsia" w:ascii="宋体" w:hAnsi="宋体" w:eastAsia="宋体" w:cs="宋体"/>
          <w:color w:val="auto"/>
          <w:spacing w:val="-1"/>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这些工程造成了保护区一定面积的损失，损失的区域主要为河流两岸的边坡及河流消落区，因为琼江临近</w:t>
      </w:r>
      <w:r>
        <w:rPr>
          <w:rFonts w:hint="eastAsia" w:ascii="宋体" w:hAnsi="宋体" w:cs="宋体"/>
          <w:color w:val="auto"/>
          <w:spacing w:val="-1"/>
          <w:sz w:val="24"/>
          <w:szCs w:val="24"/>
          <w:lang w:val="en-US" w:eastAsia="zh-CN"/>
        </w:rPr>
        <w:t>安居城区</w:t>
      </w:r>
      <w:r>
        <w:rPr>
          <w:rFonts w:hint="eastAsia" w:ascii="宋体" w:hAnsi="宋体" w:eastAsia="宋体" w:cs="宋体"/>
          <w:color w:val="auto"/>
          <w:spacing w:val="-1"/>
          <w:sz w:val="24"/>
          <w:szCs w:val="24"/>
        </w:rPr>
        <w:t>，长期受人类活动的原因并未栖息有珍稀和保护鱼类。从生物多样性和生态系统服务功能来看，生境的损失对原有底栖动物产生影响，造成底栖动物的损失，并对工程附近河道及边坡的物种分布和鱼类多样性造成一定的影响。</w:t>
      </w:r>
    </w:p>
    <w:p>
      <w:pPr>
        <w:keepNext w:val="0"/>
        <w:keepLines w:val="0"/>
        <w:pageBreakBefore w:val="0"/>
        <w:widowControl w:val="0"/>
        <w:kinsoku/>
        <w:wordWrap/>
        <w:overflowPunct/>
        <w:topLinePunct w:val="0"/>
        <w:autoSpaceDE/>
        <w:autoSpaceDN/>
        <w:bidi w:val="0"/>
        <w:adjustRightInd/>
        <w:snapToGrid/>
        <w:spacing w:line="360" w:lineRule="auto"/>
        <w:ind w:left="0" w:firstLine="476" w:firstLineChars="200"/>
        <w:textAlignment w:val="auto"/>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从</w:t>
      </w:r>
      <w:r>
        <w:rPr>
          <w:rFonts w:hint="eastAsia" w:ascii="宋体" w:hAnsi="宋体" w:eastAsia="宋体" w:cs="宋体"/>
          <w:color w:val="auto"/>
          <w:kern w:val="0"/>
          <w:sz w:val="24"/>
          <w:szCs w:val="24"/>
        </w:rPr>
        <w:t>琼江翘嘴红鲌省级水产种质资源保护区</w:t>
      </w:r>
      <w:r>
        <w:rPr>
          <w:rFonts w:hint="eastAsia" w:ascii="宋体" w:hAnsi="宋体" w:eastAsia="宋体" w:cs="宋体"/>
          <w:color w:val="auto"/>
          <w:spacing w:val="-1"/>
          <w:sz w:val="24"/>
          <w:szCs w:val="24"/>
        </w:rPr>
        <w:t>的生态系统的角度来看，堤防工程占用保护区一定的面积，这种生境的损失对保护区</w:t>
      </w:r>
      <w:r>
        <w:rPr>
          <w:rFonts w:hint="eastAsia" w:ascii="宋体" w:hAnsi="宋体" w:cs="宋体"/>
          <w:color w:val="auto"/>
          <w:spacing w:val="-1"/>
          <w:sz w:val="24"/>
          <w:szCs w:val="24"/>
          <w:lang w:val="en-US" w:eastAsia="zh-CN"/>
        </w:rPr>
        <w:t>安居城区</w:t>
      </w:r>
      <w:r>
        <w:rPr>
          <w:rFonts w:hint="eastAsia" w:ascii="宋体" w:hAnsi="宋体" w:eastAsia="宋体" w:cs="宋体"/>
          <w:color w:val="auto"/>
          <w:spacing w:val="-1"/>
          <w:sz w:val="24"/>
          <w:szCs w:val="24"/>
        </w:rPr>
        <w:t>段局部造成一定的影响，但对琼江翘嘴红鲌省级水产种质资源保护区的生态系统完整性和鱼类多样性并无重大的影响。总体而言，工程造成琼江部分生境的损失，但是不会造成琼江翘嘴红鲌省级水产种质资源保护区生境的重大退化和改变。</w:t>
      </w:r>
    </w:p>
    <w:p>
      <w:pPr>
        <w:spacing w:line="360" w:lineRule="auto"/>
        <w:jc w:val="center"/>
        <w:rPr>
          <w:rFonts w:ascii="Times New Roman" w:hAnsi="Times New Roman"/>
          <w:b/>
          <w:bCs/>
          <w:color w:val="auto"/>
          <w:kern w:val="0"/>
          <w:szCs w:val="21"/>
        </w:rPr>
      </w:pPr>
      <w:r>
        <w:rPr>
          <w:rFonts w:ascii="Times New Roman" w:hAnsi="Times New Roman"/>
          <w:b/>
          <w:bCs/>
          <w:color w:val="auto"/>
          <w:kern w:val="0"/>
          <w:szCs w:val="21"/>
        </w:rPr>
        <w:t>表</w:t>
      </w:r>
      <w:r>
        <w:rPr>
          <w:rFonts w:hint="eastAsia" w:ascii="Times New Roman" w:hAnsi="Times New Roman"/>
          <w:b/>
          <w:bCs/>
          <w:color w:val="auto"/>
          <w:kern w:val="0"/>
          <w:szCs w:val="21"/>
        </w:rPr>
        <w:t>7-1</w:t>
      </w:r>
      <w:r>
        <w:rPr>
          <w:rFonts w:hint="eastAsia" w:ascii="Times New Roman" w:hAnsi="Times New Roman"/>
          <w:b/>
          <w:bCs/>
          <w:color w:val="auto"/>
          <w:kern w:val="0"/>
          <w:szCs w:val="21"/>
          <w:lang w:val="en-US" w:eastAsia="zh-CN"/>
        </w:rPr>
        <w:t xml:space="preserve"> 本</w:t>
      </w:r>
      <w:r>
        <w:rPr>
          <w:rFonts w:ascii="Times New Roman" w:hAnsi="Times New Roman"/>
          <w:b/>
          <w:bCs/>
          <w:color w:val="auto"/>
          <w:kern w:val="0"/>
          <w:szCs w:val="21"/>
        </w:rPr>
        <w:t>工程附近水利工程设施情况表</w:t>
      </w:r>
    </w:p>
    <w:tbl>
      <w:tblPr>
        <w:tblStyle w:val="39"/>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43"/>
        <w:gridCol w:w="3305"/>
        <w:gridCol w:w="2349"/>
        <w:gridCol w:w="1150"/>
        <w:gridCol w:w="174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40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编号</w:t>
            </w:r>
          </w:p>
        </w:tc>
        <w:tc>
          <w:tcPr>
            <w:tcW w:w="17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名称</w:t>
            </w:r>
          </w:p>
        </w:tc>
        <w:tc>
          <w:tcPr>
            <w:tcW w:w="126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位置</w:t>
            </w:r>
          </w:p>
        </w:tc>
        <w:tc>
          <w:tcPr>
            <w:tcW w:w="6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状态</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40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w:t>
            </w:r>
          </w:p>
        </w:tc>
        <w:tc>
          <w:tcPr>
            <w:tcW w:w="17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cs="宋体"/>
                <w:color w:val="auto"/>
                <w:kern w:val="0"/>
                <w:sz w:val="21"/>
                <w:szCs w:val="21"/>
                <w:lang w:val="en-US" w:eastAsia="zh-CN"/>
              </w:rPr>
              <w:t>白安河</w:t>
            </w:r>
            <w:r>
              <w:rPr>
                <w:rFonts w:hint="eastAsia" w:ascii="宋体" w:hAnsi="宋体" w:eastAsia="宋体" w:cs="宋体"/>
                <w:color w:val="auto"/>
                <w:kern w:val="0"/>
                <w:sz w:val="21"/>
                <w:szCs w:val="21"/>
              </w:rPr>
              <w:t>大桥</w:t>
            </w:r>
          </w:p>
        </w:tc>
        <w:tc>
          <w:tcPr>
            <w:tcW w:w="126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eastAsia="宋体" w:cs="宋体"/>
                <w:color w:val="auto"/>
                <w:kern w:val="0"/>
                <w:sz w:val="21"/>
                <w:szCs w:val="21"/>
                <w:lang w:val="en-US" w:eastAsia="zh-CN"/>
              </w:rPr>
            </w:pPr>
            <w:r>
              <w:rPr>
                <w:rFonts w:hint="eastAsia" w:ascii="宋体" w:hAnsi="宋体" w:cs="宋体"/>
                <w:color w:val="auto"/>
                <w:kern w:val="0"/>
                <w:sz w:val="21"/>
                <w:szCs w:val="21"/>
                <w:lang w:val="en-US" w:eastAsia="zh-CN"/>
              </w:rPr>
              <w:t>工程起点</w:t>
            </w:r>
          </w:p>
        </w:tc>
        <w:tc>
          <w:tcPr>
            <w:tcW w:w="6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已完工</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40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lang w:val="en-US" w:eastAsia="zh-CN"/>
              </w:rPr>
            </w:pPr>
            <w:r>
              <w:rPr>
                <w:rFonts w:hint="eastAsia" w:ascii="宋体" w:hAnsi="宋体" w:cs="宋体"/>
                <w:color w:val="auto"/>
                <w:kern w:val="0"/>
                <w:sz w:val="21"/>
                <w:szCs w:val="21"/>
                <w:lang w:val="en-US" w:eastAsia="zh-CN"/>
              </w:rPr>
              <w:t>2</w:t>
            </w:r>
          </w:p>
        </w:tc>
        <w:tc>
          <w:tcPr>
            <w:tcW w:w="17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cs="宋体"/>
                <w:color w:val="auto"/>
                <w:kern w:val="0"/>
                <w:sz w:val="21"/>
                <w:szCs w:val="21"/>
                <w:lang w:val="en-US" w:eastAsia="zh-CN"/>
              </w:rPr>
            </w:pPr>
            <w:r>
              <w:rPr>
                <w:rFonts w:hint="eastAsia" w:ascii="宋体" w:hAnsi="宋体" w:cs="宋体"/>
                <w:color w:val="auto"/>
                <w:kern w:val="0"/>
                <w:sz w:val="21"/>
                <w:szCs w:val="21"/>
                <w:lang w:val="en-US" w:eastAsia="zh-CN"/>
              </w:rPr>
              <w:t>凤凰大桥</w:t>
            </w:r>
          </w:p>
        </w:tc>
        <w:tc>
          <w:tcPr>
            <w:tcW w:w="126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eastAsia="宋体" w:cs="宋体"/>
                <w:color w:val="auto"/>
                <w:spacing w:val="-1"/>
                <w:sz w:val="21"/>
                <w:szCs w:val="21"/>
                <w:lang w:val="en-US" w:eastAsia="zh-CN"/>
              </w:rPr>
            </w:pPr>
            <w:r>
              <w:rPr>
                <w:rFonts w:hint="eastAsia" w:ascii="宋体" w:hAnsi="宋体" w:cs="宋体"/>
                <w:color w:val="auto"/>
                <w:spacing w:val="-1"/>
                <w:sz w:val="21"/>
                <w:szCs w:val="21"/>
                <w:lang w:val="en-US" w:eastAsia="zh-CN"/>
              </w:rPr>
              <w:t>工程止点</w:t>
            </w:r>
          </w:p>
        </w:tc>
        <w:tc>
          <w:tcPr>
            <w:tcW w:w="6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已完工</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40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cs="宋体"/>
                <w:color w:val="auto"/>
                <w:kern w:val="0"/>
                <w:sz w:val="21"/>
                <w:szCs w:val="21"/>
                <w:lang w:val="en-US" w:eastAsia="zh-CN"/>
              </w:rPr>
            </w:pPr>
            <w:r>
              <w:rPr>
                <w:rFonts w:hint="eastAsia" w:ascii="宋体" w:hAnsi="宋体" w:cs="宋体"/>
                <w:color w:val="auto"/>
                <w:kern w:val="0"/>
                <w:sz w:val="21"/>
                <w:szCs w:val="21"/>
                <w:lang w:val="en-US" w:eastAsia="zh-CN"/>
              </w:rPr>
              <w:t>3</w:t>
            </w:r>
          </w:p>
        </w:tc>
        <w:tc>
          <w:tcPr>
            <w:tcW w:w="17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cs="宋体"/>
                <w:color w:val="auto"/>
                <w:kern w:val="0"/>
                <w:sz w:val="21"/>
                <w:szCs w:val="21"/>
                <w:lang w:val="en-US" w:eastAsia="zh-CN"/>
              </w:rPr>
            </w:pPr>
            <w:r>
              <w:rPr>
                <w:rFonts w:hint="eastAsia" w:ascii="宋体" w:hAnsi="宋体" w:cs="宋体"/>
                <w:color w:val="auto"/>
                <w:kern w:val="0"/>
                <w:sz w:val="21"/>
                <w:szCs w:val="21"/>
                <w:lang w:val="en-US" w:eastAsia="zh-CN"/>
              </w:rPr>
              <w:t>涪江右岸安居区城区段堤防工程</w:t>
            </w:r>
          </w:p>
        </w:tc>
        <w:tc>
          <w:tcPr>
            <w:tcW w:w="126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eastAsia="宋体" w:cs="宋体"/>
                <w:color w:val="auto"/>
                <w:spacing w:val="-1"/>
                <w:sz w:val="21"/>
                <w:szCs w:val="21"/>
                <w:lang w:val="en-US" w:eastAsia="zh-CN"/>
              </w:rPr>
            </w:pPr>
            <w:r>
              <w:rPr>
                <w:rFonts w:hint="eastAsia" w:ascii="宋体" w:hAnsi="宋体" w:cs="宋体"/>
                <w:color w:val="auto"/>
                <w:spacing w:val="-1"/>
                <w:sz w:val="21"/>
                <w:szCs w:val="21"/>
                <w:lang w:val="en-US" w:eastAsia="zh-CN"/>
              </w:rPr>
              <w:t>本工程止点以下</w:t>
            </w:r>
          </w:p>
        </w:tc>
        <w:tc>
          <w:tcPr>
            <w:tcW w:w="6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已完工</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ascii="Times New Roman" w:hAnsi="Times New Roman"/>
                <w:color w:val="auto"/>
                <w:kern w:val="0"/>
                <w:sz w:val="21"/>
                <w:szCs w:val="21"/>
              </w:rPr>
              <w:t>顺河堤边坡修建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40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lang w:eastAsia="zh-CN"/>
              </w:rPr>
            </w:pPr>
            <w:r>
              <w:rPr>
                <w:rFonts w:hint="eastAsia" w:ascii="宋体" w:hAnsi="宋体" w:cs="宋体"/>
                <w:color w:val="auto"/>
                <w:kern w:val="0"/>
                <w:sz w:val="21"/>
                <w:szCs w:val="21"/>
                <w:lang w:val="en-US" w:eastAsia="zh-CN"/>
              </w:rPr>
              <w:t>4</w:t>
            </w:r>
          </w:p>
        </w:tc>
        <w:tc>
          <w:tcPr>
            <w:tcW w:w="17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宋体" w:hAnsi="宋体" w:eastAsia="宋体" w:cs="宋体"/>
                <w:color w:val="auto"/>
                <w:kern w:val="0"/>
                <w:sz w:val="21"/>
                <w:szCs w:val="21"/>
                <w:lang w:val="en-US" w:eastAsia="zh-CN"/>
              </w:rPr>
            </w:pPr>
            <w:r>
              <w:rPr>
                <w:rFonts w:hint="eastAsia" w:ascii="宋体" w:hAnsi="宋体" w:cs="宋体"/>
                <w:color w:val="auto"/>
                <w:kern w:val="0"/>
                <w:sz w:val="21"/>
                <w:szCs w:val="21"/>
                <w:lang w:val="en-US" w:eastAsia="zh-CN"/>
              </w:rPr>
              <w:t>萝卜园水库</w:t>
            </w:r>
          </w:p>
        </w:tc>
        <w:tc>
          <w:tcPr>
            <w:tcW w:w="126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在工程止点下游</w:t>
            </w:r>
            <w:r>
              <w:rPr>
                <w:rFonts w:hint="eastAsia" w:ascii="宋体" w:hAnsi="宋体" w:cs="宋体"/>
                <w:color w:val="auto"/>
                <w:kern w:val="0"/>
                <w:sz w:val="21"/>
                <w:szCs w:val="21"/>
                <w:lang w:val="en-US" w:eastAsia="zh-CN"/>
              </w:rPr>
              <w:t>9.5</w:t>
            </w:r>
            <w:r>
              <w:rPr>
                <w:rFonts w:hint="eastAsia" w:ascii="宋体" w:hAnsi="宋体" w:eastAsia="宋体" w:cs="宋体"/>
                <w:color w:val="auto"/>
                <w:kern w:val="0"/>
                <w:sz w:val="21"/>
                <w:szCs w:val="21"/>
              </w:rPr>
              <w:t>km</w:t>
            </w:r>
          </w:p>
        </w:tc>
        <w:tc>
          <w:tcPr>
            <w:tcW w:w="6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已完工</w:t>
            </w:r>
          </w:p>
        </w:tc>
        <w:tc>
          <w:tcPr>
            <w:tcW w:w="93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eastAsia" w:ascii="宋体" w:hAnsi="宋体" w:eastAsia="宋体" w:cs="宋体"/>
                <w:color w:val="auto"/>
                <w:kern w:val="0"/>
                <w:sz w:val="21"/>
                <w:szCs w:val="21"/>
              </w:rPr>
            </w:pPr>
          </w:p>
        </w:tc>
      </w:tr>
    </w:tbl>
    <w:p>
      <w:pPr>
        <w:spacing w:line="360" w:lineRule="auto"/>
        <w:jc w:val="center"/>
        <w:rPr>
          <w:rFonts w:hint="eastAsia"/>
          <w:color w:val="FF0000"/>
          <w:kern w:val="0"/>
          <w:sz w:val="24"/>
          <w:highlight w:val="none"/>
          <w:lang w:val="en-US" w:eastAsia="zh-CN"/>
        </w:rPr>
      </w:pPr>
      <w:r>
        <w:rPr>
          <w:rFonts w:hint="eastAsia"/>
          <w:color w:val="FF0000"/>
          <w:kern w:val="0"/>
          <w:sz w:val="24"/>
          <w:highlight w:val="none"/>
          <w:lang w:val="en-US" w:eastAsia="zh-CN"/>
        </w:rPr>
        <w:drawing>
          <wp:inline distT="0" distB="0" distL="114300" distR="114300">
            <wp:extent cx="5221605" cy="2936875"/>
            <wp:effectExtent l="0" t="0" r="10795" b="9525"/>
            <wp:docPr id="8" name="图片 8" descr="DJI_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JI_0096"/>
                    <pic:cNvPicPr>
                      <a:picLocks noChangeAspect="1"/>
                    </pic:cNvPicPr>
                  </pic:nvPicPr>
                  <pic:blipFill>
                    <a:blip r:embed="rId30"/>
                    <a:stretch>
                      <a:fillRect/>
                    </a:stretch>
                  </pic:blipFill>
                  <pic:spPr>
                    <a:xfrm>
                      <a:off x="0" y="0"/>
                      <a:ext cx="5221605" cy="2936875"/>
                    </a:xfrm>
                    <a:prstGeom prst="rect">
                      <a:avLst/>
                    </a:prstGeom>
                  </pic:spPr>
                </pic:pic>
              </a:graphicData>
            </a:graphic>
          </wp:inline>
        </w:drawing>
      </w:r>
      <w:r>
        <w:rPr>
          <w:rFonts w:hint="eastAsia"/>
          <w:color w:val="FF0000"/>
          <w:kern w:val="0"/>
          <w:sz w:val="24"/>
          <w:highlight w:val="none"/>
          <w:lang w:val="en-US" w:eastAsia="zh-CN"/>
        </w:rPr>
        <w:t xml:space="preserve"> </w:t>
      </w:r>
    </w:p>
    <w:p>
      <w:pPr>
        <w:pStyle w:val="2"/>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lang w:val="en-US"/>
        </w:rPr>
      </w:pPr>
      <w:r>
        <w:rPr>
          <w:rFonts w:hint="eastAsia" w:ascii="Times New Roman" w:hAnsi="Times New Roman"/>
          <w:b/>
          <w:bCs/>
          <w:color w:val="auto"/>
          <w:spacing w:val="-1"/>
          <w:sz w:val="21"/>
          <w:szCs w:val="21"/>
          <w:lang w:val="en-US" w:eastAsia="zh-CN"/>
        </w:rPr>
        <w:t>白安河大桥</w:t>
      </w:r>
    </w:p>
    <w:p>
      <w:pPr>
        <w:spacing w:line="360" w:lineRule="auto"/>
        <w:jc w:val="center"/>
        <w:rPr>
          <w:rFonts w:hint="eastAsia" w:ascii="Times New Roman" w:hAnsi="Times New Roman"/>
          <w:b/>
          <w:bCs/>
          <w:color w:val="auto"/>
          <w:spacing w:val="-1"/>
          <w:sz w:val="21"/>
          <w:szCs w:val="21"/>
          <w:lang w:val="en-US" w:eastAsia="zh-CN"/>
        </w:rPr>
      </w:pPr>
      <w:bookmarkStart w:id="492" w:name="_Toc343712947"/>
      <w:bookmarkStart w:id="493" w:name="_Toc263585276"/>
      <w:bookmarkStart w:id="494" w:name="_Toc318448555"/>
      <w:bookmarkStart w:id="495" w:name="_Toc197829574"/>
      <w:bookmarkStart w:id="496" w:name="_Toc263585490"/>
      <w:r>
        <w:rPr>
          <w:rFonts w:hint="eastAsia" w:ascii="Times New Roman" w:hAnsi="Times New Roman"/>
          <w:b/>
          <w:bCs/>
          <w:color w:val="auto"/>
          <w:spacing w:val="-1"/>
          <w:sz w:val="21"/>
          <w:szCs w:val="21"/>
          <w:lang w:val="en-US" w:eastAsia="zh-CN"/>
        </w:rPr>
        <w:drawing>
          <wp:inline distT="0" distB="0" distL="114300" distR="114300">
            <wp:extent cx="5264785" cy="2961640"/>
            <wp:effectExtent l="0" t="0" r="5715" b="10160"/>
            <wp:docPr id="9" name="图片 9" descr="DJI_0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JI_0086"/>
                    <pic:cNvPicPr>
                      <a:picLocks noChangeAspect="1"/>
                    </pic:cNvPicPr>
                  </pic:nvPicPr>
                  <pic:blipFill>
                    <a:blip r:embed="rId31"/>
                    <a:stretch>
                      <a:fillRect/>
                    </a:stretch>
                  </pic:blipFill>
                  <pic:spPr>
                    <a:xfrm>
                      <a:off x="0" y="0"/>
                      <a:ext cx="5264785" cy="296164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b/>
          <w:bCs/>
          <w:color w:val="auto"/>
          <w:spacing w:val="-1"/>
          <w:sz w:val="21"/>
          <w:szCs w:val="21"/>
          <w:lang w:val="en-US" w:eastAsia="zh-CN"/>
        </w:rPr>
      </w:pPr>
      <w:r>
        <w:rPr>
          <w:rFonts w:hint="eastAsia" w:ascii="Times New Roman" w:hAnsi="Times New Roman"/>
          <w:b/>
          <w:bCs/>
          <w:color w:val="auto"/>
          <w:spacing w:val="-1"/>
          <w:sz w:val="21"/>
          <w:szCs w:val="21"/>
          <w:lang w:val="en-US" w:eastAsia="zh-CN"/>
        </w:rPr>
        <w:t>凤凰大桥及工程止点下游堤防工程</w:t>
      </w:r>
    </w:p>
    <w:p>
      <w:pPr>
        <w:pStyle w:val="2"/>
        <w:ind w:left="0" w:leftChars="0" w:firstLine="0" w:firstLineChars="0"/>
        <w:jc w:val="center"/>
        <w:rPr>
          <w:rFonts w:hint="default"/>
          <w:lang w:val="en-US" w:eastAsia="zh-CN"/>
        </w:rPr>
      </w:pPr>
      <w:r>
        <w:rPr>
          <w:rFonts w:ascii="Times New Roman" w:hAnsi="Times New Roman" w:cs="Times New Roman"/>
          <w:szCs w:val="20"/>
          <w:lang w:bidi="ar"/>
        </w:rPr>
        <w:drawing>
          <wp:inline distT="0" distB="0" distL="114300" distR="114300">
            <wp:extent cx="5313045" cy="2098675"/>
            <wp:effectExtent l="0" t="0" r="8255" b="952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32"/>
                    <a:stretch>
                      <a:fillRect/>
                    </a:stretch>
                  </pic:blipFill>
                  <pic:spPr>
                    <a:xfrm>
                      <a:off x="0" y="0"/>
                      <a:ext cx="5313045" cy="209867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hAnsi="Times New Roman"/>
          <w:color w:val="FF0000"/>
          <w:spacing w:val="-1"/>
          <w:sz w:val="21"/>
          <w:szCs w:val="21"/>
          <w:lang w:val="en-US" w:eastAsia="zh-CN"/>
        </w:rPr>
      </w:pPr>
      <w:r>
        <w:rPr>
          <w:rFonts w:hint="eastAsia"/>
          <w:b/>
          <w:bCs/>
          <w:color w:val="auto"/>
          <w:spacing w:val="-1"/>
          <w:sz w:val="21"/>
          <w:szCs w:val="21"/>
          <w:lang w:val="en-US" w:eastAsia="zh-CN"/>
        </w:rPr>
        <w:t>萝卜园水库坝址</w:t>
      </w:r>
    </w:p>
    <w:p>
      <w:pPr>
        <w:pStyle w:val="2"/>
        <w:rPr>
          <w:rFonts w:hint="default" w:ascii="Times New Roman" w:hAnsi="Times New Roman"/>
          <w:color w:val="FF0000"/>
          <w:spacing w:val="-1"/>
          <w:sz w:val="21"/>
          <w:szCs w:val="21"/>
          <w:lang w:val="en-US" w:eastAsia="zh-CN"/>
        </w:rPr>
        <w:sectPr>
          <w:footerReference r:id="rId11" w:type="default"/>
          <w:pgSz w:w="11907" w:h="16840"/>
          <w:pgMar w:top="1418" w:right="1418" w:bottom="1418" w:left="1418" w:header="851" w:footer="992" w:gutter="0"/>
          <w:pgBorders>
            <w:top w:val="none" w:sz="0" w:space="0"/>
            <w:left w:val="none" w:sz="0" w:space="0"/>
            <w:bottom w:val="none" w:sz="0" w:space="0"/>
            <w:right w:val="none" w:sz="0" w:space="0"/>
          </w:pgBorders>
          <w:cols w:space="720" w:num="1"/>
          <w:docGrid w:linePitch="312" w:charSpace="0"/>
        </w:sectPr>
      </w:pPr>
    </w:p>
    <w:bookmarkEnd w:id="492"/>
    <w:bookmarkEnd w:id="493"/>
    <w:bookmarkEnd w:id="494"/>
    <w:bookmarkEnd w:id="495"/>
    <w:bookmarkEnd w:id="496"/>
    <w:p>
      <w:pPr>
        <w:pStyle w:val="3"/>
        <w:rPr>
          <w:color w:val="auto"/>
        </w:rPr>
      </w:pPr>
      <w:bookmarkStart w:id="497" w:name="_Toc54799231"/>
      <w:bookmarkStart w:id="498" w:name="_Toc54657442"/>
      <w:bookmarkStart w:id="499" w:name="_Toc54659648"/>
      <w:bookmarkStart w:id="500" w:name="_Toc51318171"/>
      <w:bookmarkStart w:id="501" w:name="_Toc1567"/>
      <w:r>
        <w:rPr>
          <w:color w:val="auto"/>
        </w:rPr>
        <w:t>生态保护措施及</w:t>
      </w:r>
      <w:bookmarkEnd w:id="497"/>
      <w:bookmarkEnd w:id="498"/>
      <w:bookmarkEnd w:id="499"/>
      <w:bookmarkEnd w:id="500"/>
      <w:r>
        <w:rPr>
          <w:color w:val="auto"/>
        </w:rPr>
        <w:t>对策建议</w:t>
      </w:r>
      <w:bookmarkEnd w:id="501"/>
    </w:p>
    <w:p>
      <w:pPr>
        <w:pStyle w:val="4"/>
        <w:spacing w:before="156" w:after="156"/>
        <w:rPr>
          <w:rFonts w:hint="eastAsia" w:ascii="宋体" w:hAnsi="宋体" w:eastAsia="宋体" w:cs="宋体"/>
          <w:color w:val="auto"/>
          <w:sz w:val="24"/>
          <w:szCs w:val="24"/>
        </w:rPr>
      </w:pPr>
      <w:bookmarkStart w:id="502" w:name="_Toc19334"/>
      <w:bookmarkStart w:id="503" w:name="_Toc12394"/>
      <w:r>
        <w:rPr>
          <w:color w:val="auto"/>
          <w:sz w:val="24"/>
          <w:szCs w:val="24"/>
        </w:rPr>
        <w:t>施工工区的防护</w:t>
      </w:r>
      <w:bookmarkEnd w:id="502"/>
      <w:bookmarkEnd w:id="503"/>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施工工区内布置有</w:t>
      </w:r>
      <w:r>
        <w:rPr>
          <w:rFonts w:hint="eastAsia" w:ascii="宋体" w:hAnsi="宋体" w:eastAsia="宋体" w:cs="宋体"/>
          <w:color w:val="auto"/>
          <w:sz w:val="24"/>
          <w:lang w:val="en-US" w:eastAsia="zh-CN"/>
        </w:rPr>
        <w:t>临时堆场、仓库</w:t>
      </w:r>
      <w:r>
        <w:rPr>
          <w:rFonts w:hint="eastAsia" w:ascii="宋体" w:hAnsi="宋体" w:eastAsia="宋体" w:cs="宋体"/>
          <w:color w:val="auto"/>
          <w:sz w:val="24"/>
        </w:rPr>
        <w:t>、蓄水池、</w:t>
      </w:r>
      <w:r>
        <w:rPr>
          <w:rFonts w:hint="eastAsia" w:ascii="宋体" w:hAnsi="宋体" w:eastAsia="宋体" w:cs="宋体"/>
          <w:color w:val="auto"/>
          <w:sz w:val="24"/>
          <w:lang w:val="en-US" w:eastAsia="zh-CN"/>
        </w:rPr>
        <w:t>沉淀池</w:t>
      </w:r>
      <w:r>
        <w:rPr>
          <w:rFonts w:hint="eastAsia" w:ascii="宋体" w:hAnsi="宋体" w:eastAsia="宋体" w:cs="宋体"/>
          <w:color w:val="auto"/>
          <w:sz w:val="24"/>
        </w:rPr>
        <w:t>等。</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工程措施：为便于各项生产设施的布置，对场地进行局部平整。为保证施工设施安全，修建排水沟，防止地面径流随雨水进入保护区。</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场地平整前对施工临建设施区进行表土剥离保护，剥离厚度20cm，剥离的表土堆放于临时堆场；施工结束后对裸地进行迹地恢复，回铺表土以备复垦。</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植物措施：在施工完成后施工单位拆除地表建筑物，通过迹地清理，清除杂物。对占地区内土地进行覆土，覆土厚度30cm，栽植沿阶草进行恢复。</w:t>
      </w:r>
    </w:p>
    <w:p>
      <w:pPr>
        <w:pStyle w:val="4"/>
        <w:spacing w:before="156" w:after="156"/>
        <w:rPr>
          <w:rFonts w:hint="eastAsia" w:ascii="宋体" w:hAnsi="宋体" w:eastAsia="宋体" w:cs="宋体"/>
          <w:color w:val="auto"/>
          <w:sz w:val="24"/>
          <w:szCs w:val="24"/>
        </w:rPr>
      </w:pPr>
      <w:bookmarkStart w:id="504" w:name="_Toc10489"/>
      <w:bookmarkStart w:id="505" w:name="_Toc29750"/>
      <w:r>
        <w:rPr>
          <w:rFonts w:hint="eastAsia" w:ascii="宋体" w:hAnsi="宋体" w:eastAsia="宋体" w:cs="宋体"/>
          <w:color w:val="auto"/>
          <w:sz w:val="24"/>
          <w:szCs w:val="24"/>
          <w:lang w:val="en-US" w:eastAsia="zh-CN"/>
        </w:rPr>
        <w:t>施工废水</w:t>
      </w:r>
      <w:r>
        <w:rPr>
          <w:rFonts w:hint="eastAsia" w:ascii="宋体" w:hAnsi="宋体" w:eastAsia="宋体" w:cs="宋体"/>
          <w:color w:val="auto"/>
          <w:sz w:val="24"/>
          <w:szCs w:val="24"/>
        </w:rPr>
        <w:t>处理</w:t>
      </w:r>
      <w:bookmarkEnd w:id="504"/>
      <w:bookmarkEnd w:id="505"/>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由于</w:t>
      </w:r>
      <w:r>
        <w:rPr>
          <w:rFonts w:hint="eastAsia" w:ascii="宋体" w:hAnsi="宋体" w:eastAsia="宋体" w:cs="宋体"/>
          <w:color w:val="auto"/>
          <w:sz w:val="24"/>
          <w:lang w:val="en-US" w:eastAsia="zh-CN"/>
        </w:rPr>
        <w:t>施工</w:t>
      </w:r>
      <w:r>
        <w:rPr>
          <w:rFonts w:hint="eastAsia" w:ascii="宋体" w:hAnsi="宋体" w:eastAsia="宋体" w:cs="宋体"/>
          <w:color w:val="auto"/>
          <w:sz w:val="24"/>
        </w:rPr>
        <w:t>废水</w:t>
      </w:r>
      <w:r>
        <w:rPr>
          <w:rFonts w:hint="eastAsia" w:ascii="宋体" w:hAnsi="宋体" w:eastAsia="宋体" w:cs="宋体"/>
          <w:color w:val="auto"/>
          <w:sz w:val="24"/>
          <w:lang w:val="en-US" w:eastAsia="zh-CN"/>
        </w:rPr>
        <w:t>主要为基坑排水，</w:t>
      </w:r>
      <w:r>
        <w:rPr>
          <w:rFonts w:hint="eastAsia" w:ascii="宋体" w:hAnsi="宋体" w:eastAsia="宋体" w:cs="宋体"/>
          <w:color w:val="auto"/>
          <w:sz w:val="24"/>
        </w:rPr>
        <w:t>废水中</w:t>
      </w:r>
      <w:r>
        <w:rPr>
          <w:rFonts w:hint="eastAsia" w:ascii="宋体" w:hAnsi="宋体" w:eastAsia="宋体" w:cs="宋体"/>
          <w:color w:val="auto"/>
          <w:sz w:val="24"/>
          <w:lang w:val="en-US" w:eastAsia="zh-CN"/>
        </w:rPr>
        <w:t>主要为SS</w:t>
      </w:r>
      <w:r>
        <w:rPr>
          <w:rFonts w:hint="eastAsia" w:ascii="宋体" w:hAnsi="宋体" w:eastAsia="宋体" w:cs="宋体"/>
          <w:color w:val="auto"/>
          <w:sz w:val="24"/>
        </w:rPr>
        <w:t>，采用小型沉淀池处理后循环回用的处理方式。采用砖砌沉淀池，尺寸：2.</w:t>
      </w:r>
      <w:r>
        <w:rPr>
          <w:rFonts w:hint="eastAsia" w:ascii="宋体" w:hAnsi="宋体" w:eastAsia="宋体" w:cs="宋体"/>
          <w:color w:val="auto"/>
          <w:sz w:val="24"/>
          <w:lang w:val="en-US" w:eastAsia="zh-CN"/>
        </w:rPr>
        <w:t>5</w:t>
      </w:r>
      <w:r>
        <w:rPr>
          <w:rFonts w:hint="eastAsia" w:ascii="宋体" w:hAnsi="宋体" w:eastAsia="宋体" w:cs="宋体"/>
          <w:color w:val="auto"/>
          <w:sz w:val="24"/>
        </w:rPr>
        <w:t>m（长）×2.0m（宽）×1.0m（高），有效容积约</w:t>
      </w:r>
      <w:r>
        <w:rPr>
          <w:rFonts w:hint="eastAsia" w:ascii="宋体" w:hAnsi="宋体" w:eastAsia="宋体" w:cs="宋体"/>
          <w:color w:val="auto"/>
          <w:sz w:val="24"/>
          <w:lang w:val="en-US" w:eastAsia="zh-CN"/>
        </w:rPr>
        <w:t>5</w:t>
      </w:r>
      <w:r>
        <w:rPr>
          <w:rFonts w:hint="eastAsia" w:ascii="宋体" w:hAnsi="宋体" w:eastAsia="宋体" w:cs="宋体"/>
          <w:color w:val="auto"/>
          <w:sz w:val="24"/>
        </w:rPr>
        <w:t>m</w:t>
      </w:r>
      <w:r>
        <w:rPr>
          <w:rFonts w:hint="eastAsia" w:ascii="宋体" w:hAnsi="宋体" w:eastAsia="宋体" w:cs="宋体"/>
          <w:color w:val="auto"/>
          <w:sz w:val="24"/>
          <w:vertAlign w:val="superscript"/>
        </w:rPr>
        <w:t>3</w:t>
      </w:r>
      <w:r>
        <w:rPr>
          <w:rFonts w:hint="eastAsia" w:ascii="宋体" w:hAnsi="宋体" w:eastAsia="宋体" w:cs="宋体"/>
          <w:color w:val="auto"/>
          <w:sz w:val="24"/>
        </w:rPr>
        <w:t>，污水停留时间约1～2h，清除污泥周期为10～15d。由于污水</w:t>
      </w:r>
      <w:r>
        <w:rPr>
          <w:rFonts w:hint="eastAsia" w:ascii="宋体" w:hAnsi="宋体" w:eastAsia="宋体" w:cs="宋体"/>
          <w:color w:val="auto"/>
          <w:sz w:val="24"/>
          <w:lang w:val="en-US" w:eastAsia="zh-CN"/>
        </w:rPr>
        <w:t>成分较单一，</w:t>
      </w:r>
      <w:r>
        <w:rPr>
          <w:rFonts w:hint="eastAsia" w:ascii="宋体" w:hAnsi="宋体" w:eastAsia="宋体" w:cs="宋体"/>
          <w:color w:val="auto"/>
          <w:sz w:val="24"/>
        </w:rPr>
        <w:t>处理构筑物简单，没有机械设备维护的问题。</w:t>
      </w:r>
    </w:p>
    <w:p>
      <w:pPr>
        <w:pStyle w:val="4"/>
        <w:spacing w:before="156" w:after="156"/>
        <w:rPr>
          <w:rFonts w:hint="eastAsia" w:ascii="宋体" w:hAnsi="宋体" w:eastAsia="宋体" w:cs="宋体"/>
          <w:color w:val="auto"/>
          <w:sz w:val="24"/>
          <w:szCs w:val="24"/>
        </w:rPr>
      </w:pPr>
      <w:bookmarkStart w:id="506" w:name="_Toc31708"/>
      <w:bookmarkStart w:id="507" w:name="_Toc21217"/>
      <w:r>
        <w:rPr>
          <w:rFonts w:hint="eastAsia" w:ascii="宋体" w:hAnsi="宋体" w:eastAsia="宋体" w:cs="宋体"/>
          <w:color w:val="auto"/>
          <w:sz w:val="24"/>
          <w:szCs w:val="24"/>
        </w:rPr>
        <w:t>围堰施工的防护</w:t>
      </w:r>
      <w:bookmarkEnd w:id="506"/>
      <w:bookmarkEnd w:id="507"/>
    </w:p>
    <w:p>
      <w:pPr>
        <w:pStyle w:val="2"/>
        <w:ind w:firstLine="480"/>
        <w:rPr>
          <w:rFonts w:hint="eastAsia" w:ascii="宋体" w:hAnsi="宋体" w:eastAsia="宋体" w:cs="宋体"/>
          <w:color w:val="auto"/>
        </w:rPr>
      </w:pPr>
      <w:r>
        <w:rPr>
          <w:rFonts w:hint="eastAsia" w:ascii="宋体" w:hAnsi="宋体" w:eastAsia="宋体" w:cs="宋体"/>
          <w:color w:val="auto"/>
          <w:kern w:val="2"/>
        </w:rPr>
        <w:t>部分堤防工程断面的堤基高程低于施工期水位高程，需设置围堰挡水，共有4段，围堰长度为</w:t>
      </w:r>
      <w:r>
        <w:rPr>
          <w:rFonts w:hint="eastAsia" w:ascii="宋体" w:hAnsi="宋体" w:eastAsia="宋体" w:cs="宋体"/>
          <w:color w:val="auto"/>
          <w:kern w:val="2"/>
          <w:lang w:val="en-US" w:eastAsia="zh-CN"/>
        </w:rPr>
        <w:t>1105</w:t>
      </w:r>
      <w:r>
        <w:rPr>
          <w:rFonts w:hint="eastAsia" w:ascii="宋体" w:hAnsi="宋体" w:eastAsia="宋体" w:cs="宋体"/>
          <w:color w:val="auto"/>
          <w:kern w:val="2"/>
        </w:rPr>
        <w:t>m，围堰面积约</w:t>
      </w:r>
      <w:r>
        <w:rPr>
          <w:rFonts w:hint="eastAsia" w:ascii="宋体" w:hAnsi="宋体" w:eastAsia="宋体" w:cs="宋体"/>
          <w:color w:val="auto"/>
          <w:lang w:val="en-US" w:eastAsia="zh-CN"/>
        </w:rPr>
        <w:t>29300</w:t>
      </w:r>
      <w:r>
        <w:rPr>
          <w:rFonts w:hint="eastAsia" w:ascii="宋体" w:hAnsi="宋体" w:eastAsia="宋体" w:cs="宋体"/>
          <w:color w:val="auto"/>
        </w:rPr>
        <w:t>m</w:t>
      </w:r>
      <w:r>
        <w:rPr>
          <w:rFonts w:hint="eastAsia" w:ascii="宋体" w:hAnsi="宋体" w:eastAsia="宋体" w:cs="宋体"/>
          <w:color w:val="auto"/>
          <w:vertAlign w:val="superscript"/>
          <w:lang w:val="en-US" w:eastAsia="zh-CN"/>
        </w:rPr>
        <w:t>2</w:t>
      </w:r>
      <w:r>
        <w:rPr>
          <w:rFonts w:hint="eastAsia" w:ascii="宋体" w:hAnsi="宋体" w:eastAsia="宋体" w:cs="宋体"/>
          <w:color w:val="auto"/>
          <w:kern w:val="2"/>
        </w:rPr>
        <w:t>。</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none"/>
        </w:rPr>
        <w:t>根据初设资料本次围堰超高为0.</w:t>
      </w:r>
      <w:r>
        <w:rPr>
          <w:rFonts w:hint="eastAsia" w:ascii="宋体" w:hAnsi="宋体" w:eastAsia="宋体" w:cs="宋体"/>
          <w:color w:val="auto"/>
          <w:sz w:val="24"/>
          <w:highlight w:val="none"/>
          <w:lang w:val="en-US" w:eastAsia="zh-CN"/>
        </w:rPr>
        <w:t>5</w:t>
      </w:r>
      <w:r>
        <w:rPr>
          <w:rFonts w:hint="eastAsia" w:ascii="宋体" w:hAnsi="宋体" w:eastAsia="宋体" w:cs="宋体"/>
          <w:color w:val="auto"/>
          <w:sz w:val="24"/>
          <w:highlight w:val="none"/>
        </w:rPr>
        <w:t>m。即围堰高度为2.0～4.0m，顶宽为3.5m，迎水面边坡为1:2.5，背水面边坡1:1.5</w:t>
      </w:r>
      <w:r>
        <w:rPr>
          <w:rFonts w:hint="eastAsia" w:ascii="宋体" w:hAnsi="宋体" w:eastAsia="宋体" w:cs="宋体"/>
          <w:color w:val="auto"/>
          <w:sz w:val="24"/>
          <w:highlight w:val="none"/>
          <w:lang w:eastAsia="zh-CN"/>
        </w:rPr>
        <w:t>。</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堰体均采用开挖出的废弃土石料填筑，采用土工膜防渗，编织袋装土压坡。基坑采用明沟排水系统，排水系统布置紧跟基坑开挖主体建筑物施工。本工程主要采用水泵分段抽排水，分段施工。</w:t>
      </w:r>
    </w:p>
    <w:p>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围堰拆除：先拆下游横向围堰，然后拆除纵向围堰，最后再拆除上游横向围堰。采用2m</w:t>
      </w:r>
      <w:r>
        <w:rPr>
          <w:rFonts w:hint="eastAsia" w:ascii="宋体" w:hAnsi="宋体" w:eastAsia="宋体" w:cs="宋体"/>
          <w:color w:val="auto"/>
          <w:sz w:val="24"/>
          <w:vertAlign w:val="superscript"/>
        </w:rPr>
        <w:t>3</w:t>
      </w:r>
      <w:r>
        <w:rPr>
          <w:rFonts w:hint="eastAsia" w:ascii="宋体" w:hAnsi="宋体" w:eastAsia="宋体" w:cs="宋体"/>
          <w:color w:val="auto"/>
          <w:sz w:val="24"/>
        </w:rPr>
        <w:t>挖掘机开挖，并结合人力拆除。拆除后的粘土料编织袋（未被破坏的粘土料编织袋）可再利用。</w:t>
      </w:r>
    </w:p>
    <w:p>
      <w:pPr>
        <w:pStyle w:val="4"/>
        <w:spacing w:before="156" w:after="156"/>
        <w:rPr>
          <w:rFonts w:hint="eastAsia" w:ascii="宋体" w:hAnsi="宋体" w:eastAsia="宋体" w:cs="宋体"/>
          <w:b w:val="0"/>
          <w:bCs w:val="0"/>
          <w:color w:val="auto"/>
          <w:sz w:val="24"/>
          <w:szCs w:val="24"/>
        </w:rPr>
      </w:pPr>
      <w:bookmarkStart w:id="508" w:name="_Toc13075"/>
      <w:r>
        <w:rPr>
          <w:rFonts w:hint="eastAsia" w:ascii="宋体" w:hAnsi="宋体" w:eastAsia="宋体" w:cs="宋体"/>
          <w:color w:val="auto"/>
          <w:sz w:val="24"/>
          <w:szCs w:val="24"/>
        </w:rPr>
        <w:t>水土保持措施</w:t>
      </w:r>
      <w:bookmarkEnd w:id="508"/>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在项目建设中，为防止水土流失，必须严格按照有关项目施工规范进行施工，及时做好各施工区域尤其是护坡等区域防护工程及排水设施。施工中合理安排施工序，分段施工，在先期施工完成后必须立即做好护坡、护脚、边沟、排水沟等防护工程及排水设施建设。在降雨排水相对困难的区域，应加大边沟，将排水集中于边沟排除或蒸发。应妥善处理施工中产生的废弃物及清洗设备的废水及生活污水，严禁直接排入周边。</w:t>
      </w:r>
    </w:p>
    <w:p>
      <w:pPr>
        <w:pStyle w:val="4"/>
        <w:spacing w:before="156" w:after="156"/>
        <w:rPr>
          <w:rFonts w:hint="eastAsia" w:ascii="宋体" w:hAnsi="宋体" w:eastAsia="宋体" w:cs="宋体"/>
          <w:color w:val="auto"/>
          <w:sz w:val="24"/>
          <w:szCs w:val="24"/>
        </w:rPr>
      </w:pPr>
      <w:bookmarkStart w:id="509" w:name="_Toc19115"/>
      <w:r>
        <w:rPr>
          <w:rFonts w:hint="eastAsia" w:ascii="宋体" w:hAnsi="宋体" w:eastAsia="宋体" w:cs="宋体"/>
          <w:color w:val="auto"/>
          <w:sz w:val="24"/>
          <w:szCs w:val="24"/>
        </w:rPr>
        <w:t>植被保护及生态恢复措施</w:t>
      </w:r>
      <w:bookmarkEnd w:id="509"/>
    </w:p>
    <w:p>
      <w:pPr>
        <w:pStyle w:val="5"/>
        <w:rPr>
          <w:rFonts w:hint="eastAsia" w:ascii="宋体" w:hAnsi="宋体" w:eastAsia="宋体" w:cs="宋体"/>
          <w:color w:val="auto"/>
        </w:rPr>
      </w:pPr>
      <w:bookmarkStart w:id="510" w:name="_Toc9613"/>
      <w:r>
        <w:rPr>
          <w:rFonts w:hint="eastAsia" w:ascii="宋体" w:hAnsi="宋体" w:eastAsia="宋体" w:cs="宋体"/>
          <w:color w:val="auto"/>
        </w:rPr>
        <w:t>植被保护措施</w:t>
      </w:r>
      <w:bookmarkEnd w:id="510"/>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（1）优化设计方案，开工前对项目用地进行严格审查，确保对非施工区生态植被无直接影响。</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（2）严格按照设计方案确定占用土地范围，对占用土地的应按照相关手续办理征地手续并获得相应批文后方可实质性施工。</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（3）优化施工方案，严格控制施工作业面，必须避免超挖破坏周边植被。</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（4）做好固体废弃物运输方案，运输过程中，应严格按照施工方案要求将弃土等运往指定场地，禁止在非施工区任何位置随意堆放。</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（5）制定野生动植物保护管理措施条例，要求施工人员严格执行。</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（6）加强防火知识宣传教育，采取综合治理，多措并举，预防为主，积极消灭的方针，增强员工和附近居民的防火意识，杜绝火灾的发生。</w:t>
      </w:r>
    </w:p>
    <w:p>
      <w:pPr>
        <w:pStyle w:val="5"/>
        <w:rPr>
          <w:rFonts w:hint="eastAsia" w:ascii="宋体" w:hAnsi="宋体" w:eastAsia="宋体" w:cs="宋体"/>
          <w:color w:val="auto"/>
        </w:rPr>
      </w:pPr>
      <w:bookmarkStart w:id="511" w:name="_Toc4441"/>
      <w:r>
        <w:rPr>
          <w:rFonts w:hint="eastAsia" w:ascii="宋体" w:hAnsi="宋体" w:eastAsia="宋体" w:cs="宋体"/>
          <w:color w:val="auto"/>
        </w:rPr>
        <w:t>生态恢复措施</w:t>
      </w:r>
      <w:bookmarkEnd w:id="511"/>
    </w:p>
    <w:p>
      <w:pPr>
        <w:adjustRightInd w:val="0"/>
        <w:snapToGrid w:val="0"/>
        <w:spacing w:line="360" w:lineRule="auto"/>
        <w:ind w:firstLine="482" w:firstLineChars="200"/>
        <w:rPr>
          <w:rFonts w:hint="eastAsia" w:ascii="宋体" w:hAnsi="宋体" w:eastAsia="宋体" w:cs="宋体"/>
          <w:b/>
          <w:bCs/>
          <w:color w:val="auto"/>
          <w:sz w:val="24"/>
        </w:rPr>
      </w:pPr>
      <w:r>
        <w:rPr>
          <w:rFonts w:hint="eastAsia" w:ascii="宋体" w:hAnsi="宋体" w:eastAsia="宋体" w:cs="宋体"/>
          <w:b/>
          <w:bCs/>
          <w:color w:val="auto"/>
          <w:sz w:val="24"/>
        </w:rPr>
        <w:t>（1）植被恢复措施</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kern w:val="0"/>
          <w:sz w:val="24"/>
          <w:lang w:val="zh-CN"/>
        </w:rPr>
        <w:t>施工完成后进行绿化复垦，以最大程度的减小项目的实施对区域植被的影响；同时</w:t>
      </w:r>
      <w:r>
        <w:rPr>
          <w:rFonts w:hint="eastAsia" w:ascii="宋体" w:hAnsi="宋体" w:eastAsia="宋体" w:cs="宋体"/>
          <w:color w:val="auto"/>
          <w:kern w:val="0"/>
          <w:sz w:val="24"/>
        </w:rPr>
        <w:t>中转</w:t>
      </w:r>
      <w:r>
        <w:rPr>
          <w:rFonts w:hint="eastAsia" w:ascii="宋体" w:hAnsi="宋体" w:eastAsia="宋体" w:cs="宋体"/>
          <w:color w:val="auto"/>
          <w:kern w:val="0"/>
          <w:sz w:val="24"/>
          <w:lang w:val="zh-CN"/>
        </w:rPr>
        <w:t>堆场、</w:t>
      </w:r>
      <w:r>
        <w:rPr>
          <w:rFonts w:hint="eastAsia" w:ascii="宋体" w:hAnsi="宋体" w:eastAsia="宋体" w:cs="宋体"/>
          <w:color w:val="auto"/>
          <w:kern w:val="0"/>
          <w:sz w:val="24"/>
        </w:rPr>
        <w:t>生活区</w:t>
      </w:r>
      <w:r>
        <w:rPr>
          <w:rFonts w:hint="eastAsia" w:ascii="宋体" w:hAnsi="宋体" w:eastAsia="宋体" w:cs="宋体"/>
          <w:color w:val="auto"/>
          <w:kern w:val="0"/>
          <w:sz w:val="24"/>
          <w:lang w:val="zh-CN"/>
        </w:rPr>
        <w:t>在本项目开采完成后进行植被恢复。</w:t>
      </w:r>
      <w:r>
        <w:rPr>
          <w:rFonts w:hint="eastAsia" w:ascii="宋体" w:hAnsi="宋体" w:eastAsia="宋体" w:cs="宋体"/>
          <w:color w:val="auto"/>
          <w:sz w:val="24"/>
        </w:rPr>
        <w:t>施工迹地的植被恢复应根据具体植物生长及区域植物类型制定生态恢复及物种选择标准。制定要围绕促进植被快速恢复、有利于生态系统顺行演替的思路进行设计，同时充分考虑，乔木、灌木及草本植物的合理搭配及空间资源合理利用，采用短带状、团块状、复式镶嵌等方式合理进行群落结构搭配。合理搭配植物物种，优化物种选择，物种选择的自由度较大，可以充分利用与周围环境相适应的当地常见、适生的乡土物种，选择合理的栽培时间及栽培技术，按照生态位理论遵循不同物种混合种植、密度适宜、杜绝单一物种的原则。使得生境条件、物种丰富度和群落结构与生态系统功能等能够达稳定状态。另外根据工程用地期限和时间选择植物种植时间和时段，对于大面积的植被恢复期，应尽量选择在春秋季节，对于短期占地的区域也可以考虑在初夏开展植被恢复，并注意及时浇水和适度施肥等人工措施。重视植被栽植后的后期管护，及时进行补植，以确保植被恢复达到预期效果。</w:t>
      </w:r>
    </w:p>
    <w:p>
      <w:pPr>
        <w:adjustRightInd w:val="0"/>
        <w:snapToGrid w:val="0"/>
        <w:spacing w:line="360" w:lineRule="auto"/>
        <w:ind w:firstLine="482" w:firstLineChars="200"/>
        <w:rPr>
          <w:rFonts w:hint="eastAsia" w:ascii="宋体" w:hAnsi="宋体" w:eastAsia="宋体" w:cs="宋体"/>
          <w:b/>
          <w:bCs/>
          <w:color w:val="auto"/>
          <w:sz w:val="24"/>
        </w:rPr>
      </w:pPr>
      <w:r>
        <w:rPr>
          <w:rFonts w:hint="eastAsia" w:ascii="宋体" w:hAnsi="宋体" w:eastAsia="宋体" w:cs="宋体"/>
          <w:b/>
          <w:bCs/>
          <w:color w:val="auto"/>
          <w:sz w:val="24"/>
        </w:rPr>
        <w:t>（2）生态修复中避免物种入侵</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物种入侵最根本的原因是人类活动把这些物种带到了它们不应该出现的地方，其往往对原有生态环境造成巨大的破坏。避免外来物种入侵应加强生物安全保护意识，简历引种许可制度，在生态修复具体工作实施中，应严格把关，严格按照相关规定审查、检验，避免“无意引种”情况的发生，更不能“有意引种”，从源头避免外来物种的引进。</w:t>
      </w:r>
    </w:p>
    <w:p>
      <w:pPr>
        <w:pStyle w:val="4"/>
        <w:spacing w:before="156" w:after="156"/>
        <w:rPr>
          <w:rFonts w:hint="eastAsia" w:ascii="宋体" w:hAnsi="宋体" w:eastAsia="宋体" w:cs="宋体"/>
          <w:color w:val="auto"/>
          <w:sz w:val="24"/>
          <w:szCs w:val="24"/>
        </w:rPr>
      </w:pPr>
      <w:bookmarkStart w:id="512" w:name="_Toc29771"/>
      <w:r>
        <w:rPr>
          <w:rFonts w:hint="eastAsia" w:ascii="宋体" w:hAnsi="宋体" w:eastAsia="宋体" w:cs="宋体"/>
          <w:color w:val="auto"/>
          <w:sz w:val="24"/>
          <w:szCs w:val="24"/>
        </w:rPr>
        <w:t>动物保护措施</w:t>
      </w:r>
      <w:bookmarkEnd w:id="512"/>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（1）加强宣传野生动物保护法规，打击捕杀野生动物的行为，提高施工人员的保护意识，施工人员必须遵守《中华人民共和国野生动物保护法》，严禁捕猎保护动物，特别是重点保护野生动物。</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（2）防止动物生境污染</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人类活动的增加，会给环境污染带来新的隐患。从保护生态与环境的角度出发，建议</w:t>
      </w:r>
      <w:r>
        <w:rPr>
          <w:rFonts w:hint="eastAsia" w:ascii="宋体" w:hAnsi="宋体" w:eastAsia="宋体" w:cs="宋体"/>
          <w:color w:val="auto"/>
          <w:sz w:val="24"/>
          <w:lang w:val="en-US" w:eastAsia="zh-CN"/>
        </w:rPr>
        <w:t>施工前</w:t>
      </w:r>
      <w:r>
        <w:rPr>
          <w:rFonts w:hint="eastAsia" w:ascii="宋体" w:hAnsi="宋体" w:eastAsia="宋体" w:cs="宋体"/>
          <w:color w:val="auto"/>
          <w:sz w:val="24"/>
        </w:rPr>
        <w:t>尽量做好前期规划工作，做好</w:t>
      </w:r>
      <w:r>
        <w:rPr>
          <w:rFonts w:hint="eastAsia" w:ascii="宋体" w:hAnsi="宋体" w:eastAsia="宋体" w:cs="宋体"/>
          <w:color w:val="auto"/>
          <w:sz w:val="24"/>
          <w:lang w:val="en-US" w:eastAsia="zh-CN"/>
        </w:rPr>
        <w:t>施工完成</w:t>
      </w:r>
      <w:r>
        <w:rPr>
          <w:rFonts w:hint="eastAsia" w:ascii="宋体" w:hAnsi="宋体" w:eastAsia="宋体" w:cs="宋体"/>
          <w:color w:val="auto"/>
          <w:sz w:val="24"/>
        </w:rPr>
        <w:t>后生态环境的恢复工作，以尽量减少植被破坏对动物栖息地的不利影响。</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（3）杜绝夜间施工，以保证自然生态系统和野生动物栖息地的稳定。</w:t>
      </w:r>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（4）对野生动物具体保护方案</w:t>
      </w:r>
    </w:p>
    <w:p>
      <w:pPr>
        <w:pStyle w:val="4"/>
        <w:spacing w:before="156" w:after="156"/>
        <w:rPr>
          <w:rFonts w:hint="eastAsia" w:ascii="宋体" w:hAnsi="宋体" w:eastAsia="宋体" w:cs="宋体"/>
          <w:color w:val="auto"/>
          <w:sz w:val="24"/>
          <w:szCs w:val="24"/>
        </w:rPr>
      </w:pPr>
      <w:bookmarkStart w:id="513" w:name="_Toc17763"/>
      <w:r>
        <w:rPr>
          <w:rFonts w:hint="eastAsia" w:ascii="宋体" w:hAnsi="宋体" w:eastAsia="宋体" w:cs="宋体"/>
          <w:color w:val="auto"/>
          <w:sz w:val="24"/>
          <w:szCs w:val="24"/>
        </w:rPr>
        <w:t>环境污染治理措施</w:t>
      </w:r>
      <w:bookmarkEnd w:id="513"/>
    </w:p>
    <w:p>
      <w:pPr>
        <w:pStyle w:val="5"/>
        <w:rPr>
          <w:rFonts w:hint="eastAsia" w:ascii="宋体" w:hAnsi="宋体" w:eastAsia="宋体" w:cs="宋体"/>
          <w:color w:val="auto"/>
        </w:rPr>
      </w:pPr>
      <w:bookmarkStart w:id="514" w:name="_Toc23942"/>
      <w:r>
        <w:rPr>
          <w:rFonts w:hint="eastAsia" w:ascii="宋体" w:hAnsi="宋体" w:eastAsia="宋体" w:cs="宋体"/>
          <w:color w:val="auto"/>
        </w:rPr>
        <w:t>废气治理措施</w:t>
      </w:r>
      <w:bookmarkEnd w:id="514"/>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加大作业面的洒水降尘次数；风力扬尘通过固定式喷淋洒水降尘、移动式喷淋洒水降尘，同时表面压实、土工布覆盖及种植植被等；汽车、设备尾气控制主要通过预防为主。对汽车、设备排放的废气应经常检测，燃料使用0#清洁柴油，严禁使用其它污染相对较重的燃料。确保汽车尾气排放达到汽车尾气规定的排放标准。</w:t>
      </w:r>
    </w:p>
    <w:p>
      <w:pPr>
        <w:pStyle w:val="5"/>
        <w:rPr>
          <w:rFonts w:hint="eastAsia" w:ascii="宋体" w:hAnsi="宋体" w:eastAsia="宋体" w:cs="宋体"/>
          <w:color w:val="auto"/>
        </w:rPr>
      </w:pPr>
      <w:bookmarkStart w:id="515" w:name="_Toc18253"/>
      <w:r>
        <w:rPr>
          <w:rFonts w:hint="eastAsia" w:ascii="宋体" w:hAnsi="宋体" w:eastAsia="宋体" w:cs="宋体"/>
          <w:color w:val="auto"/>
        </w:rPr>
        <w:t>废水治理措施</w:t>
      </w:r>
      <w:bookmarkEnd w:id="51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rPr>
      </w:pPr>
      <w:r>
        <w:rPr>
          <w:rFonts w:hint="eastAsia" w:ascii="宋体" w:hAnsi="宋体" w:eastAsia="宋体" w:cs="宋体"/>
          <w:color w:val="auto"/>
          <w:sz w:val="24"/>
        </w:rPr>
        <w:t>施工期废水主要</w:t>
      </w:r>
      <w:r>
        <w:rPr>
          <w:rFonts w:hint="eastAsia" w:ascii="宋体" w:hAnsi="宋体" w:eastAsia="宋体" w:cs="宋体"/>
          <w:color w:val="auto"/>
          <w:sz w:val="24"/>
          <w:lang w:val="en-US" w:eastAsia="zh-CN"/>
        </w:rPr>
        <w:t>为基坑排水</w:t>
      </w:r>
      <w:r>
        <w:rPr>
          <w:rFonts w:hint="eastAsia" w:ascii="宋体" w:hAnsi="宋体" w:eastAsia="宋体" w:cs="宋体"/>
          <w:color w:val="auto"/>
          <w:sz w:val="24"/>
        </w:rPr>
        <w:t>，主要污染物是SS。施工生产废水属无毒废水，但pH值、悬浮物（主要成分是泥沙）含量较高。为控制施工对保护区河流水质的影响，工程区不设置生活区，施工人员的生活安置在周边住户处，生活污水进入城镇污水管网，生活垃圾经集中收集后运送到城镇垃圾处理场处理，不会影响工程</w:t>
      </w:r>
      <w:r>
        <w:rPr>
          <w:rFonts w:hint="eastAsia" w:ascii="宋体" w:hAnsi="宋体" w:eastAsia="宋体" w:cs="宋体"/>
          <w:color w:val="auto"/>
          <w:sz w:val="24"/>
          <w:lang w:val="en-US" w:eastAsia="zh-CN"/>
        </w:rPr>
        <w:t>区域</w:t>
      </w:r>
      <w:r>
        <w:rPr>
          <w:rFonts w:hint="eastAsia" w:ascii="宋体" w:hAnsi="宋体" w:eastAsia="宋体" w:cs="宋体"/>
          <w:color w:val="auto"/>
          <w:sz w:val="24"/>
        </w:rPr>
        <w:t>的</w:t>
      </w:r>
      <w:r>
        <w:rPr>
          <w:rFonts w:hint="eastAsia" w:ascii="宋体" w:hAnsi="宋体" w:eastAsia="宋体" w:cs="宋体"/>
          <w:color w:val="auto"/>
          <w:sz w:val="24"/>
          <w:lang w:val="en-US" w:eastAsia="zh-CN"/>
        </w:rPr>
        <w:t>地表</w:t>
      </w:r>
      <w:r>
        <w:rPr>
          <w:rFonts w:hint="eastAsia" w:ascii="宋体" w:hAnsi="宋体" w:eastAsia="宋体" w:cs="宋体"/>
          <w:color w:val="auto"/>
          <w:sz w:val="24"/>
        </w:rPr>
        <w:t>水体。</w:t>
      </w:r>
    </w:p>
    <w:p>
      <w:pPr>
        <w:pStyle w:val="5"/>
        <w:rPr>
          <w:rFonts w:hint="eastAsia" w:ascii="宋体" w:hAnsi="宋体" w:eastAsia="宋体" w:cs="宋体"/>
          <w:color w:val="auto"/>
        </w:rPr>
      </w:pPr>
      <w:bookmarkStart w:id="516" w:name="_Toc13844"/>
      <w:r>
        <w:rPr>
          <w:rFonts w:hint="eastAsia" w:ascii="宋体" w:hAnsi="宋体" w:eastAsia="宋体" w:cs="宋体"/>
          <w:color w:val="auto"/>
        </w:rPr>
        <w:t>噪声治理措施</w:t>
      </w:r>
      <w:bookmarkEnd w:id="516"/>
    </w:p>
    <w:p>
      <w:pPr>
        <w:adjustRightInd w:val="0"/>
        <w:snapToGrid w:val="0"/>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项目噪声主要为施工期设备噪声，噪声值在80~90dB（A），项目选用低噪声设备，并采取加强操作管理和维护、合理安排工作时间、夜间不生产等措施后，可有效降低项目营运期的设备噪声。对进出的运输汽车加强管理，严禁夜间运输等。</w:t>
      </w:r>
    </w:p>
    <w:p>
      <w:pPr>
        <w:pStyle w:val="4"/>
        <w:spacing w:before="156" w:after="156"/>
        <w:rPr>
          <w:rFonts w:hint="eastAsia" w:ascii="宋体" w:hAnsi="宋体" w:eastAsia="宋体" w:cs="宋体"/>
          <w:color w:val="auto"/>
          <w:sz w:val="24"/>
          <w:szCs w:val="24"/>
        </w:rPr>
      </w:pPr>
      <w:bookmarkStart w:id="517" w:name="_Toc23896"/>
      <w:r>
        <w:rPr>
          <w:rFonts w:hint="eastAsia" w:ascii="宋体" w:hAnsi="宋体" w:eastAsia="宋体" w:cs="宋体"/>
          <w:color w:val="auto"/>
          <w:sz w:val="24"/>
          <w:szCs w:val="24"/>
        </w:rPr>
        <w:t>生态恢复与补偿措施投资保障</w:t>
      </w:r>
      <w:bookmarkEnd w:id="517"/>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FF0000"/>
          <w:sz w:val="24"/>
          <w:szCs w:val="24"/>
        </w:rPr>
      </w:pPr>
      <w:r>
        <w:rPr>
          <w:rFonts w:hint="eastAsia" w:ascii="宋体" w:hAnsi="宋体" w:eastAsia="宋体" w:cs="宋体"/>
          <w:color w:val="auto"/>
          <w:sz w:val="24"/>
        </w:rPr>
        <w:t>设立生态补偿专项经费，水生生物、植被及野生动物的保护和监测费用、生态因子监测费用、工程恢复费用纳入生态补偿费。建设期补偿费用的额度和管理形式，由施工方与业主单位共同协商解决，确保生态恢复资金足额到位。</w:t>
      </w:r>
    </w:p>
    <w:p>
      <w:pPr>
        <w:spacing w:line="360" w:lineRule="auto"/>
        <w:ind w:firstLine="480" w:firstLineChars="200"/>
        <w:rPr>
          <w:rFonts w:ascii="Times New Roman" w:hAnsi="Times New Roman"/>
          <w:color w:val="FF0000"/>
          <w:sz w:val="24"/>
        </w:rPr>
      </w:pPr>
    </w:p>
    <w:p>
      <w:pPr>
        <w:pStyle w:val="24"/>
        <w:spacing w:line="360" w:lineRule="auto"/>
        <w:ind w:left="0"/>
        <w:rPr>
          <w:rFonts w:ascii="Times New Roman" w:hAnsi="Times New Roman"/>
          <w:color w:val="FF0000"/>
        </w:rPr>
        <w:sectPr>
          <w:headerReference r:id="rId12" w:type="default"/>
          <w:footerReference r:id="rId13" w:type="default"/>
          <w:pgSz w:w="11906" w:h="16838"/>
          <w:pgMar w:top="1418" w:right="1418" w:bottom="1418" w:left="1418" w:header="992" w:footer="992" w:gutter="0"/>
          <w:pgBorders>
            <w:top w:val="none" w:sz="0" w:space="0"/>
            <w:left w:val="none" w:sz="0" w:space="0"/>
            <w:bottom w:val="none" w:sz="0" w:space="0"/>
            <w:right w:val="none" w:sz="0" w:space="0"/>
          </w:pgBorders>
          <w:cols w:space="720" w:num="1"/>
          <w:docGrid w:type="lines" w:linePitch="312" w:charSpace="0"/>
        </w:sectPr>
      </w:pPr>
      <w:bookmarkStart w:id="518" w:name="_Toc51318207"/>
    </w:p>
    <w:bookmarkEnd w:id="518"/>
    <w:p>
      <w:pPr>
        <w:pStyle w:val="3"/>
        <w:rPr>
          <w:color w:val="auto"/>
        </w:rPr>
      </w:pPr>
      <w:bookmarkStart w:id="519" w:name="_Toc54799238"/>
      <w:bookmarkStart w:id="520" w:name="_Toc3160"/>
      <w:bookmarkStart w:id="521" w:name="_Toc54659652"/>
      <w:bookmarkStart w:id="522" w:name="_Toc54657450"/>
      <w:bookmarkStart w:id="523" w:name="_Toc9908"/>
      <w:r>
        <w:rPr>
          <w:color w:val="auto"/>
        </w:rPr>
        <w:t>生态环境监测及监理计划</w:t>
      </w:r>
      <w:bookmarkEnd w:id="519"/>
      <w:bookmarkEnd w:id="520"/>
      <w:bookmarkEnd w:id="521"/>
      <w:bookmarkEnd w:id="522"/>
      <w:bookmarkEnd w:id="523"/>
    </w:p>
    <w:p>
      <w:pPr>
        <w:pStyle w:val="4"/>
        <w:keepNext w:val="0"/>
        <w:keepLines w:val="0"/>
        <w:pageBreakBefore w:val="0"/>
        <w:widowControl w:val="0"/>
        <w:kinsoku/>
        <w:wordWrap/>
        <w:overflowPunct/>
        <w:topLinePunct w:val="0"/>
        <w:autoSpaceDE/>
        <w:autoSpaceDN/>
        <w:bidi w:val="0"/>
        <w:adjustRightInd/>
        <w:snapToGrid/>
        <w:spacing w:beforeLines="0" w:afterLines="0"/>
        <w:ind w:left="0" w:firstLine="482" w:firstLineChars="200"/>
        <w:textAlignment w:val="auto"/>
        <w:rPr>
          <w:rFonts w:hint="eastAsia" w:ascii="宋体" w:hAnsi="宋体" w:eastAsia="宋体" w:cs="宋体"/>
          <w:color w:val="auto"/>
          <w:kern w:val="16"/>
          <w:sz w:val="24"/>
          <w:szCs w:val="24"/>
        </w:rPr>
      </w:pPr>
      <w:bookmarkStart w:id="524" w:name="_Toc25104"/>
      <w:r>
        <w:rPr>
          <w:rFonts w:hint="eastAsia" w:ascii="宋体" w:hAnsi="宋体" w:eastAsia="宋体" w:cs="宋体"/>
          <w:color w:val="auto"/>
          <w:kern w:val="16"/>
          <w:sz w:val="24"/>
          <w:szCs w:val="24"/>
        </w:rPr>
        <w:t>水生生态环境</w:t>
      </w:r>
      <w:r>
        <w:rPr>
          <w:rFonts w:hint="eastAsia" w:ascii="宋体" w:hAnsi="宋体" w:eastAsia="宋体" w:cs="宋体"/>
          <w:color w:val="auto"/>
          <w:sz w:val="24"/>
          <w:szCs w:val="24"/>
        </w:rPr>
        <w:t>监测</w:t>
      </w:r>
      <w:r>
        <w:rPr>
          <w:rFonts w:hint="eastAsia" w:ascii="宋体" w:hAnsi="宋体" w:eastAsia="宋体" w:cs="宋体"/>
          <w:color w:val="auto"/>
          <w:kern w:val="16"/>
          <w:sz w:val="24"/>
          <w:szCs w:val="24"/>
        </w:rPr>
        <w:t>计划</w:t>
      </w:r>
      <w:bookmarkEnd w:id="524"/>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根据相关法律法规及工程环评要求，为掌握工程建设及运行对水生生物的影响程度，还需在防洪堤运行后开展持续性的水生生物调查监测工作。水生生物监测能够进一步了解工程运行对该河段水生生物的影响，进一步减缓防洪堤运行时对区域水环境和水生资源的影响。建议业主委托相关单位开展水生生物监测。监测方案设计如下：</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b/>
          <w:bCs/>
          <w:color w:val="auto"/>
          <w:kern w:val="16"/>
          <w:sz w:val="24"/>
          <w:szCs w:val="24"/>
        </w:rPr>
      </w:pPr>
      <w:r>
        <w:rPr>
          <w:rFonts w:hint="eastAsia" w:ascii="宋体" w:hAnsi="宋体" w:eastAsia="宋体" w:cs="宋体"/>
          <w:b/>
          <w:bCs/>
          <w:color w:val="auto"/>
          <w:kern w:val="16"/>
          <w:sz w:val="24"/>
          <w:szCs w:val="24"/>
        </w:rPr>
        <w:t>（1）鱼类监测</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鱼类种类组成、种群结构、资源量的时空分布及累积变化效应，重点监测栖息地保护河段鱼类种群动态及群落构成变化趋势和重要经济鱼类“三场”变化。</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b/>
          <w:bCs/>
          <w:color w:val="auto"/>
          <w:kern w:val="16"/>
          <w:sz w:val="24"/>
          <w:szCs w:val="24"/>
        </w:rPr>
      </w:pPr>
      <w:r>
        <w:rPr>
          <w:rFonts w:hint="eastAsia" w:ascii="宋体" w:hAnsi="宋体" w:eastAsia="宋体" w:cs="宋体"/>
          <w:b/>
          <w:bCs/>
          <w:color w:val="auto"/>
          <w:kern w:val="16"/>
          <w:sz w:val="24"/>
          <w:szCs w:val="24"/>
        </w:rPr>
        <w:t>（2）浮游生物和底栖动物监测</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主要包括浮游植物、浮游动物和底栖动物的种类分布、分布密度、生物量的监测等。</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b/>
          <w:bCs/>
          <w:color w:val="auto"/>
          <w:kern w:val="16"/>
          <w:sz w:val="24"/>
          <w:szCs w:val="24"/>
        </w:rPr>
      </w:pPr>
      <w:r>
        <w:rPr>
          <w:rFonts w:hint="eastAsia" w:ascii="宋体" w:hAnsi="宋体" w:eastAsia="宋体" w:cs="宋体"/>
          <w:b/>
          <w:bCs/>
          <w:color w:val="auto"/>
          <w:kern w:val="16"/>
          <w:sz w:val="24"/>
          <w:szCs w:val="24"/>
        </w:rPr>
        <w:t>（3）水生维管束植物</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定性采集：采集水深2米以内的物种及优势种，生长在岸边的挺水植物和漂浮植物直接用手采集。浮叶植物和沉水植物则用钉耙将它们连根拔起，选择完整的植株，滴去表面水分，夹入植物标本夹内压干，制成腊叶标本，带回实验室鉴定保存。标本按《中国水生高等植物图说》和《中国水生维管植物图谱》进行鉴定。</w:t>
      </w:r>
    </w:p>
    <w:p>
      <w:pPr>
        <w:keepNext w:val="0"/>
        <w:keepLines w:val="0"/>
        <w:pageBreakBefore w:val="0"/>
        <w:widowControl w:val="0"/>
        <w:kinsoku/>
        <w:wordWrap/>
        <w:overflowPunct/>
        <w:topLinePunct w:val="0"/>
        <w:autoSpaceDE/>
        <w:autoSpaceDN/>
        <w:bidi w:val="0"/>
        <w:adjustRightInd/>
        <w:snapToGrid/>
        <w:spacing w:line="360" w:lineRule="auto"/>
        <w:ind w:left="0" w:firstLine="482" w:firstLineChars="200"/>
        <w:textAlignment w:val="auto"/>
        <w:rPr>
          <w:rFonts w:hint="eastAsia" w:ascii="宋体" w:hAnsi="宋体" w:eastAsia="宋体" w:cs="宋体"/>
          <w:b/>
          <w:bCs/>
          <w:color w:val="auto"/>
          <w:kern w:val="16"/>
          <w:sz w:val="24"/>
          <w:szCs w:val="24"/>
        </w:rPr>
      </w:pPr>
      <w:r>
        <w:rPr>
          <w:rFonts w:hint="eastAsia" w:ascii="宋体" w:hAnsi="宋体" w:eastAsia="宋体" w:cs="宋体"/>
          <w:b/>
          <w:bCs/>
          <w:color w:val="auto"/>
          <w:kern w:val="16"/>
          <w:sz w:val="24"/>
          <w:szCs w:val="24"/>
        </w:rPr>
        <w:t>（4）监测断面或范围</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color w:val="auto"/>
          <w:sz w:val="24"/>
          <w:highlight w:val="none"/>
        </w:rPr>
      </w:pPr>
      <w:r>
        <w:rPr>
          <w:color w:val="auto"/>
          <w:sz w:val="24"/>
          <w:highlight w:val="none"/>
        </w:rPr>
        <w:t>主要监测工程江段及其上下游邻近水域，可与本次调查评价时的采样断面一致。鱼类资源监测调查范围为琼江翘嘴红鲌省级水产种质资源保护区的</w:t>
      </w:r>
      <w:r>
        <w:rPr>
          <w:rFonts w:hint="eastAsia"/>
          <w:color w:val="auto"/>
          <w:sz w:val="24"/>
          <w:highlight w:val="none"/>
          <w:lang w:val="en-US" w:eastAsia="zh-CN"/>
        </w:rPr>
        <w:t>核心区</w:t>
      </w:r>
      <w:r>
        <w:rPr>
          <w:color w:val="auto"/>
          <w:sz w:val="24"/>
          <w:highlight w:val="none"/>
        </w:rPr>
        <w:t>江段。</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监测时段：水生生物、鱼类区系和种群动态监测安排在4-6月或10-12月各监测一次。每次10天左右，监测频率：每年1次，工程运行期间连续监测2年。</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rPr>
      </w:pPr>
      <w:r>
        <w:rPr>
          <w:rFonts w:hint="eastAsia" w:ascii="宋体" w:hAnsi="宋体" w:eastAsia="宋体" w:cs="宋体"/>
          <w:color w:val="auto"/>
          <w:kern w:val="16"/>
          <w:sz w:val="24"/>
          <w:szCs w:val="24"/>
        </w:rPr>
        <w:t>监测时段频次及要素构成可根据监测结果作相应调整，如有必要再进一步制定长期的监测计划。</w:t>
      </w:r>
    </w:p>
    <w:p>
      <w:pPr>
        <w:pStyle w:val="4"/>
        <w:keepNext w:val="0"/>
        <w:keepLines w:val="0"/>
        <w:pageBreakBefore w:val="0"/>
        <w:widowControl w:val="0"/>
        <w:kinsoku/>
        <w:wordWrap/>
        <w:overflowPunct/>
        <w:topLinePunct w:val="0"/>
        <w:autoSpaceDE/>
        <w:autoSpaceDN/>
        <w:bidi w:val="0"/>
        <w:adjustRightInd/>
        <w:snapToGrid/>
        <w:spacing w:beforeLines="0" w:afterLines="0"/>
        <w:ind w:left="0" w:firstLine="482" w:firstLineChars="200"/>
        <w:textAlignment w:val="auto"/>
        <w:rPr>
          <w:rFonts w:hint="eastAsia" w:ascii="宋体" w:hAnsi="宋体" w:eastAsia="宋体" w:cs="宋体"/>
          <w:color w:val="auto"/>
          <w:sz w:val="24"/>
          <w:szCs w:val="24"/>
        </w:rPr>
      </w:pPr>
      <w:bookmarkStart w:id="525" w:name="_Toc9169"/>
      <w:r>
        <w:rPr>
          <w:rFonts w:hint="eastAsia" w:ascii="宋体" w:hAnsi="宋体" w:eastAsia="宋体" w:cs="宋体"/>
          <w:color w:val="auto"/>
          <w:sz w:val="24"/>
          <w:szCs w:val="24"/>
        </w:rPr>
        <w:t>生态环境监理计划</w:t>
      </w:r>
      <w:bookmarkEnd w:id="525"/>
    </w:p>
    <w:p>
      <w:pPr>
        <w:adjustRightInd w:val="0"/>
        <w:snapToGrid w:val="0"/>
        <w:spacing w:line="360" w:lineRule="auto"/>
        <w:ind w:firstLine="480" w:firstLineChars="200"/>
        <w:rPr>
          <w:rFonts w:hint="eastAsia" w:ascii="宋体" w:hAnsi="宋体" w:eastAsia="宋体" w:cs="宋体"/>
          <w:color w:val="auto"/>
          <w:kern w:val="16"/>
          <w:sz w:val="24"/>
        </w:rPr>
      </w:pPr>
      <w:r>
        <w:rPr>
          <w:rFonts w:hint="eastAsia" w:ascii="宋体" w:hAnsi="宋体" w:eastAsia="宋体" w:cs="宋体"/>
          <w:color w:val="auto"/>
          <w:kern w:val="16"/>
          <w:sz w:val="24"/>
        </w:rPr>
        <w:t>环境监理是工程监理的重要组成部分，应贯穿工程建设全过程。由专业人员组成环境监理小组监督、审查和评估施工区环境保护措施的执行情况。监理机构的主要工作内容为：</w:t>
      </w:r>
    </w:p>
    <w:p>
      <w:pPr>
        <w:adjustRightInd w:val="0"/>
        <w:snapToGrid w:val="0"/>
        <w:spacing w:line="360" w:lineRule="auto"/>
        <w:ind w:firstLine="480" w:firstLineChars="200"/>
        <w:rPr>
          <w:rFonts w:hint="eastAsia" w:ascii="宋体" w:hAnsi="宋体" w:eastAsia="宋体" w:cs="宋体"/>
          <w:color w:val="auto"/>
          <w:kern w:val="16"/>
          <w:sz w:val="24"/>
        </w:rPr>
      </w:pPr>
      <w:r>
        <w:rPr>
          <w:rFonts w:hint="eastAsia" w:ascii="宋体" w:hAnsi="宋体" w:eastAsia="宋体" w:cs="宋体"/>
          <w:color w:val="auto"/>
          <w:kern w:val="16"/>
          <w:sz w:val="24"/>
        </w:rPr>
        <w:t>（1）监督检查施工过程中的各项环保措施和地方对工程环境保护的意见与处理情况。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kern w:val="16"/>
          <w:sz w:val="24"/>
        </w:rPr>
      </w:pPr>
      <w:r>
        <w:rPr>
          <w:rFonts w:hint="eastAsia" w:ascii="宋体" w:hAnsi="宋体" w:eastAsia="宋体" w:cs="宋体"/>
          <w:color w:val="auto"/>
          <w:kern w:val="16"/>
          <w:sz w:val="24"/>
        </w:rPr>
        <w:t>（2）监督承包商对于合同中的环保条款的执行情况，并负责解释环保条款。对重大环境问题提出处理意见和报告，通过工程总监理工程师责成有关单位限期纠正。</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color w:val="auto"/>
          <w:kern w:val="16"/>
          <w:sz w:val="24"/>
          <w:szCs w:val="24"/>
          <w:lang w:val="en-US" w:eastAsia="zh-CN"/>
        </w:rPr>
      </w:pPr>
      <w:r>
        <w:rPr>
          <w:rFonts w:hint="eastAsia" w:ascii="宋体" w:hAnsi="宋体" w:eastAsia="宋体" w:cs="宋体"/>
          <w:color w:val="auto"/>
          <w:kern w:val="16"/>
          <w:sz w:val="24"/>
        </w:rPr>
        <w:t>（3）参加承包商提出的施工组织设计、施工技术方案和施工进度计划的审查会议，就环境保护方面提出改进意见。审查承包商提出的可能造成污染的施工材料、设备清单及其所列的环保指标。</w:t>
      </w:r>
    </w:p>
    <w:p>
      <w:pPr>
        <w:pStyle w:val="2"/>
        <w:ind w:firstLine="480"/>
        <w:rPr>
          <w:color w:val="FF0000"/>
        </w:rPr>
      </w:pPr>
    </w:p>
    <w:p>
      <w:pPr>
        <w:spacing w:line="360" w:lineRule="auto"/>
        <w:rPr>
          <w:rFonts w:ascii="Times New Roman" w:hAnsi="Times New Roman"/>
          <w:color w:val="FF0000"/>
        </w:rPr>
        <w:sectPr>
          <w:pgSz w:w="11906" w:h="16838"/>
          <w:pgMar w:top="1418" w:right="1418" w:bottom="1418" w:left="1418" w:header="992" w:footer="992" w:gutter="0"/>
          <w:pgBorders>
            <w:top w:val="none" w:sz="0" w:space="0"/>
            <w:left w:val="none" w:sz="0" w:space="0"/>
            <w:bottom w:val="none" w:sz="0" w:space="0"/>
            <w:right w:val="none" w:sz="0" w:space="0"/>
          </w:pgBorders>
          <w:cols w:space="720" w:num="1"/>
          <w:docGrid w:type="lines" w:linePitch="312" w:charSpace="0"/>
        </w:sectPr>
      </w:pPr>
    </w:p>
    <w:p>
      <w:pPr>
        <w:pStyle w:val="3"/>
        <w:rPr>
          <w:color w:val="auto"/>
        </w:rPr>
      </w:pPr>
      <w:bookmarkStart w:id="526" w:name="_Toc32515"/>
      <w:bookmarkStart w:id="527" w:name="_Toc51318223"/>
      <w:bookmarkStart w:id="528" w:name="_Toc54657453"/>
      <w:bookmarkStart w:id="529" w:name="_Toc54799239"/>
      <w:bookmarkStart w:id="530" w:name="_Toc54659653"/>
      <w:r>
        <w:rPr>
          <w:color w:val="auto"/>
        </w:rPr>
        <w:t>评价结论与建议</w:t>
      </w:r>
      <w:bookmarkEnd w:id="526"/>
      <w:bookmarkEnd w:id="527"/>
      <w:bookmarkEnd w:id="528"/>
      <w:bookmarkEnd w:id="529"/>
      <w:bookmarkEnd w:id="530"/>
    </w:p>
    <w:p>
      <w:pPr>
        <w:pStyle w:val="4"/>
        <w:keepNext w:val="0"/>
        <w:keepLines w:val="0"/>
        <w:pageBreakBefore w:val="0"/>
        <w:widowControl w:val="0"/>
        <w:kinsoku/>
        <w:wordWrap/>
        <w:overflowPunct/>
        <w:topLinePunct w:val="0"/>
        <w:autoSpaceDN/>
        <w:bidi w:val="0"/>
        <w:adjustRightInd/>
        <w:snapToGrid/>
        <w:spacing w:beforeLines="0" w:afterLines="0" w:line="360" w:lineRule="auto"/>
        <w:ind w:left="0" w:firstLine="482" w:firstLineChars="200"/>
        <w:textAlignment w:val="auto"/>
        <w:rPr>
          <w:rFonts w:hint="eastAsia" w:ascii="宋体" w:hAnsi="宋体" w:eastAsia="宋体" w:cs="宋体"/>
          <w:color w:val="auto"/>
          <w:sz w:val="24"/>
          <w:szCs w:val="24"/>
        </w:rPr>
      </w:pPr>
      <w:bookmarkStart w:id="531" w:name="_Toc90088887"/>
      <w:bookmarkStart w:id="532" w:name="_Toc89684694"/>
      <w:bookmarkStart w:id="533" w:name="_Toc108490907"/>
      <w:bookmarkStart w:id="534" w:name="_Toc150770889"/>
      <w:bookmarkStart w:id="535" w:name="_Toc54659656"/>
      <w:bookmarkStart w:id="536" w:name="_Toc151355350"/>
      <w:bookmarkStart w:id="537" w:name="_Toc148848833"/>
      <w:bookmarkStart w:id="538" w:name="_Toc51318231"/>
      <w:bookmarkStart w:id="539" w:name="_Toc54799244"/>
      <w:bookmarkStart w:id="540" w:name="_Toc4219"/>
      <w:r>
        <w:rPr>
          <w:rFonts w:hint="eastAsia" w:ascii="宋体" w:hAnsi="宋体" w:eastAsia="宋体" w:cs="宋体"/>
          <w:color w:val="auto"/>
          <w:sz w:val="24"/>
          <w:szCs w:val="24"/>
        </w:rPr>
        <w:t>陆生生态影响评价</w:t>
      </w:r>
      <w:bookmarkEnd w:id="531"/>
      <w:bookmarkEnd w:id="532"/>
      <w:bookmarkEnd w:id="533"/>
      <w:r>
        <w:rPr>
          <w:rFonts w:hint="eastAsia" w:ascii="宋体" w:hAnsi="宋体" w:eastAsia="宋体" w:cs="宋体"/>
          <w:color w:val="auto"/>
          <w:sz w:val="24"/>
          <w:szCs w:val="24"/>
        </w:rPr>
        <w:t>结论</w:t>
      </w:r>
      <w:bookmarkEnd w:id="534"/>
      <w:bookmarkEnd w:id="535"/>
      <w:bookmarkEnd w:id="536"/>
      <w:bookmarkEnd w:id="537"/>
      <w:bookmarkEnd w:id="538"/>
      <w:bookmarkEnd w:id="539"/>
      <w:bookmarkEnd w:id="540"/>
    </w:p>
    <w:p>
      <w:pPr>
        <w:keepNext w:val="0"/>
        <w:keepLines w:val="0"/>
        <w:pageBreakBefore w:val="0"/>
        <w:widowControl w:val="0"/>
        <w:kinsoku/>
        <w:wordWrap/>
        <w:overflowPunct/>
        <w:topLinePunct w:val="0"/>
        <w:autoSpaceDE w:val="0"/>
        <w:autoSpaceDN/>
        <w:bidi w:val="0"/>
        <w:adjustRightInd/>
        <w:snapToGrid/>
        <w:spacing w:line="360" w:lineRule="auto"/>
        <w:ind w:left="0"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项目的建设和运行对评价区生态环境会有一定的影响，但不会显著改变评价区域的植物物种多样性状况、植被组成类型、动物多样性和种群结构组成。工程建设和运行对景观生态系统的影响范围有限，评价区域内各类拼块构成、廊道类型和基质特点、各类环境资源拼块优势度等景观格局和动态不会发生明显变化；灌丛和草地等生态系统的稳定性和景观完整性没有显著影响。在采取植被恢复、水土流失防治措施、野生动植物保护等措施的情况下，本项目对生态环境影响小。</w:t>
      </w:r>
    </w:p>
    <w:p>
      <w:pPr>
        <w:pStyle w:val="4"/>
        <w:keepNext w:val="0"/>
        <w:keepLines w:val="0"/>
        <w:pageBreakBefore w:val="0"/>
        <w:widowControl w:val="0"/>
        <w:kinsoku/>
        <w:wordWrap/>
        <w:overflowPunct/>
        <w:topLinePunct w:val="0"/>
        <w:autoSpaceDN/>
        <w:bidi w:val="0"/>
        <w:adjustRightInd/>
        <w:snapToGrid/>
        <w:spacing w:beforeLines="0" w:afterLines="0" w:line="360" w:lineRule="auto"/>
        <w:ind w:left="0" w:firstLine="482" w:firstLineChars="200"/>
        <w:textAlignment w:val="auto"/>
        <w:rPr>
          <w:rFonts w:hint="eastAsia" w:ascii="宋体" w:hAnsi="宋体" w:eastAsia="宋体" w:cs="宋体"/>
          <w:color w:val="auto"/>
          <w:sz w:val="24"/>
          <w:szCs w:val="24"/>
        </w:rPr>
      </w:pPr>
      <w:bookmarkStart w:id="541" w:name="_Toc25061506"/>
      <w:bookmarkStart w:id="542" w:name="_Toc486448857"/>
      <w:bookmarkStart w:id="543" w:name="_Toc12554"/>
      <w:bookmarkStart w:id="544" w:name="_Toc470089594"/>
      <w:bookmarkStart w:id="545" w:name="_Toc9628"/>
      <w:bookmarkStart w:id="546" w:name="_Toc470091013"/>
      <w:bookmarkStart w:id="547" w:name="_Toc519985650"/>
      <w:r>
        <w:rPr>
          <w:rFonts w:hint="eastAsia" w:ascii="宋体" w:hAnsi="宋体" w:eastAsia="宋体" w:cs="宋体"/>
          <w:color w:val="auto"/>
          <w:sz w:val="24"/>
          <w:szCs w:val="24"/>
        </w:rPr>
        <w:t>对保护区及主要保护对象的影响因素</w:t>
      </w:r>
      <w:bookmarkEnd w:id="541"/>
      <w:bookmarkEnd w:id="542"/>
      <w:bookmarkEnd w:id="543"/>
      <w:bookmarkEnd w:id="544"/>
      <w:bookmarkEnd w:id="545"/>
      <w:bookmarkEnd w:id="546"/>
      <w:bookmarkEnd w:id="547"/>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工程位于</w:t>
      </w:r>
      <w:r>
        <w:rPr>
          <w:rFonts w:hint="eastAsia" w:ascii="宋体" w:hAnsi="宋体" w:cs="宋体"/>
          <w:color w:val="auto"/>
          <w:sz w:val="24"/>
          <w:szCs w:val="24"/>
          <w:lang w:val="en-US" w:eastAsia="zh-CN"/>
        </w:rPr>
        <w:t>琼江安居城区河段</w:t>
      </w:r>
      <w:r>
        <w:rPr>
          <w:rFonts w:hint="eastAsia" w:ascii="宋体" w:hAnsi="宋体" w:eastAsia="宋体" w:cs="宋体"/>
          <w:color w:val="auto"/>
          <w:sz w:val="24"/>
          <w:szCs w:val="24"/>
        </w:rPr>
        <w:t>，本工程新建防洪堤堤线总长</w:t>
      </w:r>
      <w:r>
        <w:rPr>
          <w:rFonts w:hint="eastAsia" w:ascii="宋体" w:hAnsi="宋体" w:cs="宋体"/>
          <w:color w:val="auto"/>
          <w:sz w:val="24"/>
          <w:szCs w:val="24"/>
          <w:lang w:val="en-US" w:eastAsia="zh-CN"/>
        </w:rPr>
        <w:t>2633</w:t>
      </w:r>
      <w:r>
        <w:rPr>
          <w:rFonts w:hint="eastAsia" w:ascii="宋体" w:hAnsi="宋体" w:eastAsia="宋体" w:cs="宋体"/>
          <w:color w:val="auto"/>
          <w:sz w:val="24"/>
          <w:szCs w:val="24"/>
        </w:rPr>
        <w:t>m，共设置</w:t>
      </w:r>
      <w:r>
        <w:rPr>
          <w:rFonts w:hint="eastAsia" w:ascii="宋体" w:hAnsi="宋体" w:cs="宋体"/>
          <w:color w:val="auto"/>
          <w:sz w:val="24"/>
          <w:szCs w:val="24"/>
          <w:lang w:val="en-US" w:eastAsia="zh-CN"/>
        </w:rPr>
        <w:t>12</w:t>
      </w:r>
      <w:r>
        <w:rPr>
          <w:rFonts w:hint="eastAsia" w:ascii="宋体" w:hAnsi="宋体" w:eastAsia="宋体" w:cs="宋体"/>
          <w:color w:val="auto"/>
          <w:sz w:val="24"/>
          <w:szCs w:val="24"/>
        </w:rPr>
        <w:t>处下河梯步</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设置8处穿堤涵管及竖井。</w:t>
      </w:r>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本工程位于琼江翘嘴红鲌省级水产种质资源保护区的</w:t>
      </w:r>
      <w:r>
        <w:rPr>
          <w:rFonts w:hint="eastAsia" w:ascii="宋体" w:hAnsi="宋体" w:eastAsia="宋体" w:cs="宋体"/>
          <w:color w:val="auto"/>
          <w:sz w:val="24"/>
          <w:szCs w:val="24"/>
          <w:lang w:val="en-US" w:eastAsia="zh-CN"/>
        </w:rPr>
        <w:t>核心区</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永久</w:t>
      </w:r>
      <w:r>
        <w:rPr>
          <w:rFonts w:hint="eastAsia" w:ascii="宋体" w:hAnsi="宋体" w:eastAsia="宋体" w:cs="宋体"/>
          <w:color w:val="auto"/>
          <w:sz w:val="24"/>
          <w:szCs w:val="24"/>
        </w:rPr>
        <w:t>占用面积为</w:t>
      </w:r>
      <w:r>
        <w:rPr>
          <w:rFonts w:hint="eastAsia" w:ascii="宋体" w:hAnsi="宋体" w:cs="宋体"/>
          <w:color w:val="auto"/>
          <w:sz w:val="24"/>
          <w:szCs w:val="24"/>
          <w:lang w:val="en-US" w:eastAsia="zh-CN"/>
        </w:rPr>
        <w:t>121360</w:t>
      </w:r>
      <w:r>
        <w:rPr>
          <w:rFonts w:hint="eastAsia" w:ascii="宋体" w:hAnsi="宋体" w:eastAsia="宋体" w:cs="宋体"/>
          <w:color w:val="auto"/>
          <w:sz w:val="24"/>
          <w:szCs w:val="24"/>
          <w:lang w:val="en-US" w:eastAsia="zh-CN"/>
        </w:rPr>
        <w:t>m</w:t>
      </w:r>
      <w:r>
        <w:rPr>
          <w:rFonts w:hint="eastAsia" w:ascii="宋体" w:hAnsi="宋体" w:eastAsia="宋体" w:cs="宋体"/>
          <w:color w:val="auto"/>
          <w:sz w:val="24"/>
          <w:szCs w:val="24"/>
          <w:vertAlign w:val="superscript"/>
          <w:lang w:val="en-US" w:eastAsia="zh-CN"/>
        </w:rPr>
        <w:t>2</w:t>
      </w:r>
      <w:r>
        <w:rPr>
          <w:rFonts w:hint="eastAsia" w:ascii="宋体" w:hAnsi="宋体" w:eastAsia="宋体" w:cs="宋体"/>
          <w:color w:val="auto"/>
          <w:sz w:val="24"/>
          <w:szCs w:val="24"/>
        </w:rPr>
        <w:t>。工程对保护区水域生态环境的主要影响因素是施工噪声、悬浮物、施工废水和固体废弃物，以及项目建设对河漫滩的永久占用等。对主要保护对象的影响因素是水文情势、洄游通道和栖息活动等。</w:t>
      </w:r>
    </w:p>
    <w:p>
      <w:pPr>
        <w:pStyle w:val="4"/>
        <w:keepNext w:val="0"/>
        <w:keepLines w:val="0"/>
        <w:pageBreakBefore w:val="0"/>
        <w:widowControl w:val="0"/>
        <w:kinsoku/>
        <w:wordWrap/>
        <w:overflowPunct/>
        <w:topLinePunct w:val="0"/>
        <w:autoSpaceDN/>
        <w:bidi w:val="0"/>
        <w:adjustRightInd/>
        <w:snapToGrid/>
        <w:spacing w:beforeLines="0" w:afterLines="0" w:line="360" w:lineRule="auto"/>
        <w:ind w:left="0" w:firstLine="482" w:firstLineChars="200"/>
        <w:textAlignment w:val="auto"/>
        <w:rPr>
          <w:rFonts w:hint="eastAsia" w:ascii="宋体" w:hAnsi="宋体" w:eastAsia="宋体" w:cs="宋体"/>
          <w:color w:val="auto"/>
          <w:sz w:val="24"/>
          <w:szCs w:val="24"/>
        </w:rPr>
      </w:pPr>
      <w:bookmarkStart w:id="548" w:name="_Toc470091014"/>
      <w:bookmarkStart w:id="549" w:name="_Toc25061507"/>
      <w:bookmarkStart w:id="550" w:name="_Toc20006"/>
      <w:bookmarkStart w:id="551" w:name="_Toc519985651"/>
      <w:bookmarkStart w:id="552" w:name="_Toc470089595"/>
      <w:bookmarkStart w:id="553" w:name="_Toc486448858"/>
      <w:bookmarkStart w:id="554" w:name="_Toc12685"/>
      <w:r>
        <w:rPr>
          <w:rFonts w:hint="eastAsia" w:ascii="宋体" w:hAnsi="宋体" w:eastAsia="宋体" w:cs="宋体"/>
          <w:color w:val="auto"/>
          <w:sz w:val="24"/>
          <w:szCs w:val="24"/>
        </w:rPr>
        <w:t>对保护区及主要保护对象的影响程度</w:t>
      </w:r>
      <w:bookmarkEnd w:id="548"/>
      <w:bookmarkEnd w:id="549"/>
      <w:bookmarkEnd w:id="550"/>
      <w:bookmarkEnd w:id="551"/>
      <w:bookmarkEnd w:id="552"/>
      <w:bookmarkEnd w:id="553"/>
      <w:bookmarkEnd w:id="554"/>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工程部分河滩被占用，原河岸浅滩的水文条件被改变；原有的自然河道岸坡规则化，局部河道缩窄，汛期的洪水位有所提高，沿岸局部流速略有增大，但工程江段水面开阔，水位的壅高不明显，保护区江段的水文情势不会发生明显改变。防洪堤从阶地的中部穿过，原有的自然耕地、荒地和局部漫滩斜坡被人为改变，对工程区河段的地形地貌造成一定的改变。</w:t>
      </w:r>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项目施工废水、悬浮物及基础开挖会导致施工区毗邻水域浮游生物和底栖动物资源量减少，造成鱼类饵料损失；施工噪音会对施工区毗邻水域的鱼类产生驱离作用，而导致渔业资源暂时性下降；项目施工期产生的噪声对其洄游活动有一定的干扰。</w:t>
      </w:r>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但本工程对保护区及主要保护对象的影响主要集中在施工期，施工结束后影响减小，水生态环境逐渐得到恢复。项目主体工程施工主要安排在枯水期，涉水施工很少。因此，本工程对保护区主要保护对象的影响是有限的，在工程施工期加强宣传教育与监督管理、鱼类资源监测和远程监控等措施后，其影响可有效降低，不会导致保护区主要保护鱼类多样性丧失和鱼类资源衰退。</w:t>
      </w:r>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工程运营对浮游生物、浮游动物种类不会造成明显影响，密度则随河岸硬化和水体透明度增加有所上升。但是穿堤涵管的排涝水可能导致局部水体悬浮物增加，透明度下降，导致近岸的浮游生物和底栖动物种类和密度减小。但其影响面积较小，加上河流本身均有一定的净化作用，对鱼类摄食天然生物饵料影响不大。</w:t>
      </w:r>
    </w:p>
    <w:p>
      <w:pPr>
        <w:pStyle w:val="4"/>
        <w:keepNext w:val="0"/>
        <w:keepLines w:val="0"/>
        <w:pageBreakBefore w:val="0"/>
        <w:widowControl w:val="0"/>
        <w:kinsoku/>
        <w:wordWrap/>
        <w:overflowPunct/>
        <w:topLinePunct w:val="0"/>
        <w:autoSpaceDN/>
        <w:bidi w:val="0"/>
        <w:adjustRightInd/>
        <w:snapToGrid/>
        <w:spacing w:beforeLines="0" w:afterLines="0" w:line="360" w:lineRule="auto"/>
        <w:ind w:left="0" w:firstLine="482" w:firstLineChars="200"/>
        <w:textAlignment w:val="auto"/>
        <w:rPr>
          <w:rFonts w:hint="eastAsia" w:ascii="宋体" w:hAnsi="宋体" w:eastAsia="宋体" w:cs="宋体"/>
          <w:color w:val="auto"/>
          <w:sz w:val="24"/>
          <w:szCs w:val="24"/>
        </w:rPr>
      </w:pPr>
      <w:bookmarkStart w:id="555" w:name="_Toc519985652"/>
      <w:bookmarkStart w:id="556" w:name="_Toc25061510"/>
      <w:bookmarkStart w:id="557" w:name="_Toc954"/>
      <w:bookmarkStart w:id="558" w:name="_Toc9928"/>
      <w:r>
        <w:rPr>
          <w:rFonts w:hint="eastAsia" w:ascii="宋体" w:hAnsi="宋体" w:eastAsia="宋体" w:cs="宋体"/>
          <w:color w:val="auto"/>
          <w:sz w:val="24"/>
          <w:szCs w:val="24"/>
        </w:rPr>
        <w:t>拟采取的主要保护措施及预期效果</w:t>
      </w:r>
      <w:bookmarkEnd w:id="555"/>
      <w:bookmarkEnd w:id="556"/>
      <w:bookmarkEnd w:id="557"/>
      <w:bookmarkEnd w:id="558"/>
    </w:p>
    <w:p>
      <w:pPr>
        <w:keepNext w:val="0"/>
        <w:keepLines w:val="0"/>
        <w:pageBreakBefore w:val="0"/>
        <w:widowControl w:val="0"/>
        <w:kinsoku/>
        <w:wordWrap/>
        <w:overflowPunct/>
        <w:topLinePunct w:val="0"/>
        <w:autoSpaceDN/>
        <w:bidi w:val="0"/>
        <w:adjustRightInd/>
        <w:snapToGrid/>
        <w:spacing w:line="360" w:lineRule="auto"/>
        <w:ind w:left="0" w:firstLine="480" w:firstLineChars="200"/>
        <w:textAlignment w:val="auto"/>
        <w:rPr>
          <w:rFonts w:hint="eastAsia" w:ascii="宋体" w:hAnsi="宋体" w:eastAsia="宋体" w:cs="宋体"/>
          <w:color w:val="FF0000"/>
          <w:sz w:val="24"/>
          <w:szCs w:val="24"/>
        </w:rPr>
      </w:pPr>
      <w:r>
        <w:rPr>
          <w:rFonts w:hint="eastAsia" w:ascii="宋体" w:hAnsi="宋体" w:cs="宋体"/>
          <w:color w:val="auto"/>
          <w:sz w:val="24"/>
          <w:szCs w:val="24"/>
          <w:lang w:val="en-US" w:eastAsia="zh-CN"/>
        </w:rPr>
        <w:t>施工期需</w:t>
      </w:r>
      <w:r>
        <w:rPr>
          <w:rFonts w:hint="eastAsia" w:ascii="宋体" w:hAnsi="宋体" w:eastAsia="宋体" w:cs="宋体"/>
          <w:color w:val="auto"/>
          <w:sz w:val="24"/>
          <w:szCs w:val="24"/>
        </w:rPr>
        <w:t>加强保护对策，如宣传教育与监督管理、鱼类资源监测和远程监控等，使之得到更好保护的目的，实现生态效益、社会效益和经济效益的统一。通过采取这些保护对策，有助于减轻</w:t>
      </w:r>
      <w:r>
        <w:rPr>
          <w:rFonts w:hint="eastAsia" w:ascii="宋体" w:hAnsi="宋体" w:eastAsia="宋体" w:cs="宋体"/>
          <w:color w:val="auto"/>
          <w:sz w:val="24"/>
          <w:szCs w:val="24"/>
          <w:lang w:val="en-US" w:eastAsia="zh-CN"/>
        </w:rPr>
        <w:t>本</w:t>
      </w:r>
      <w:r>
        <w:rPr>
          <w:rFonts w:hint="eastAsia" w:ascii="宋体" w:hAnsi="宋体" w:eastAsia="宋体" w:cs="宋体"/>
          <w:color w:val="auto"/>
          <w:sz w:val="24"/>
          <w:szCs w:val="24"/>
        </w:rPr>
        <w:t>工程对琼江翘嘴红鲌省级水产种质资源保护区鱼类及其保护区功能的影响，其原生态功能能得到最大限度的恢复。</w:t>
      </w: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pStyle w:val="2"/>
        <w:rPr>
          <w:rFonts w:hint="eastAsia" w:ascii="宋体" w:hAnsi="宋体" w:eastAsia="宋体" w:cs="宋体"/>
          <w:b/>
          <w:bCs/>
          <w:color w:val="FF0000"/>
          <w:spacing w:val="0"/>
          <w:sz w:val="21"/>
          <w:szCs w:val="21"/>
          <w:lang w:val="en-US" w:eastAsia="zh-CN"/>
        </w:rPr>
      </w:pPr>
    </w:p>
    <w:p>
      <w:pPr>
        <w:spacing w:before="1" w:line="218" w:lineRule="auto"/>
        <w:jc w:val="center"/>
        <w:rPr>
          <w:rFonts w:hint="eastAsia" w:ascii="宋体" w:hAnsi="宋体" w:eastAsia="宋体" w:cs="宋体"/>
          <w:b/>
          <w:bCs/>
          <w:color w:val="FF0000"/>
          <w:spacing w:val="0"/>
          <w:sz w:val="21"/>
          <w:szCs w:val="21"/>
          <w:lang w:val="en-US" w:eastAsia="zh-CN"/>
        </w:rPr>
      </w:pPr>
    </w:p>
    <w:p>
      <w:pPr>
        <w:spacing w:before="1" w:line="218" w:lineRule="auto"/>
        <w:jc w:val="center"/>
        <w:rPr>
          <w:rFonts w:hint="default" w:ascii="Times New Roman" w:hAnsi="Times New Roman" w:eastAsia="宋体" w:cs="Times New Roman"/>
          <w:b/>
          <w:bCs/>
          <w:color w:val="auto"/>
          <w:spacing w:val="-16"/>
          <w:sz w:val="24"/>
          <w:szCs w:val="24"/>
          <w:lang w:val="en-US" w:eastAsia="zh-CN"/>
        </w:rPr>
      </w:pPr>
      <w:r>
        <w:rPr>
          <w:rFonts w:hint="eastAsia" w:ascii="宋体" w:hAnsi="宋体" w:eastAsia="宋体" w:cs="宋体"/>
          <w:b/>
          <w:bCs/>
          <w:color w:val="auto"/>
          <w:spacing w:val="0"/>
          <w:sz w:val="24"/>
          <w:szCs w:val="24"/>
          <w:lang w:val="en-US" w:eastAsia="zh-CN"/>
        </w:rPr>
        <w:t>生态影响评价自查表</w:t>
      </w:r>
    </w:p>
    <w:tbl>
      <w:tblPr>
        <w:tblStyle w:val="4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65"/>
        <w:gridCol w:w="1225"/>
        <w:gridCol w:w="600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90" w:type="dxa"/>
            <w:gridSpan w:val="2"/>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工作内容</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自查项目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restart"/>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生态影响识别</w:t>
            </w: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生态保护目标</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重要物种</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；国家公园</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；自然保护区</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；自然公园</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；世界自然遗产</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；生态保护红线</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；重要生境</w:t>
            </w:r>
            <w:r>
              <w:rPr>
                <w:rFonts w:hint="eastAsia" w:ascii="宋体" w:hAnsi="宋体" w:eastAsia="宋体" w:cs="宋体"/>
                <w:color w:val="auto"/>
                <w:sz w:val="21"/>
                <w:szCs w:val="21"/>
                <w:lang w:val="en-US" w:eastAsia="zh-CN"/>
              </w:rPr>
              <w:sym w:font="Wingdings" w:char="00FE"/>
            </w:r>
            <w:r>
              <w:rPr>
                <w:rFonts w:hint="eastAsia" w:ascii="宋体" w:hAnsi="宋体" w:eastAsia="宋体" w:cs="宋体"/>
                <w:color w:val="auto"/>
                <w:sz w:val="21"/>
                <w:szCs w:val="21"/>
                <w:lang w:val="en-US" w:eastAsia="zh-CN"/>
              </w:rPr>
              <w:t>；其他具有重要生态功能、对保护生物多样性具有重要意义的区域</w:t>
            </w:r>
            <w:r>
              <w:rPr>
                <w:rFonts w:hint="eastAsia" w:ascii="宋体" w:hAnsi="宋体" w:eastAsia="宋体" w:cs="宋体"/>
                <w:color w:val="auto"/>
                <w:sz w:val="21"/>
                <w:szCs w:val="21"/>
                <w:lang w:val="en-US" w:eastAsia="zh-CN"/>
              </w:rPr>
              <w:sym w:font="Wingdings" w:char="00FE"/>
            </w:r>
            <w:r>
              <w:rPr>
                <w:rFonts w:hint="eastAsia" w:ascii="宋体" w:hAnsi="宋体" w:eastAsia="宋体" w:cs="宋体"/>
                <w:color w:val="auto"/>
                <w:sz w:val="21"/>
                <w:szCs w:val="21"/>
                <w:lang w:val="en-US" w:eastAsia="zh-CN"/>
              </w:rPr>
              <w:t>；其他</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影响方式</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工程占用</w:t>
            </w:r>
            <w:r>
              <w:rPr>
                <w:rFonts w:hint="eastAsia" w:ascii="宋体" w:hAnsi="宋体" w:eastAsia="宋体" w:cs="宋体"/>
                <w:color w:val="auto"/>
                <w:sz w:val="21"/>
                <w:szCs w:val="21"/>
                <w:lang w:val="en-US" w:eastAsia="zh-CN"/>
              </w:rPr>
              <w:sym w:font="Wingdings" w:char="00FE"/>
            </w:r>
            <w:r>
              <w:rPr>
                <w:rFonts w:hint="eastAsia" w:ascii="宋体" w:hAnsi="宋体" w:eastAsia="宋体" w:cs="宋体"/>
                <w:color w:val="auto"/>
                <w:sz w:val="21"/>
                <w:szCs w:val="21"/>
                <w:lang w:val="en-US" w:eastAsia="zh-CN"/>
              </w:rPr>
              <w:t>；施工活动干扰</w:t>
            </w:r>
            <w:r>
              <w:rPr>
                <w:rFonts w:hint="eastAsia" w:ascii="宋体" w:hAnsi="宋体" w:eastAsia="宋体" w:cs="宋体"/>
                <w:color w:val="auto"/>
                <w:sz w:val="21"/>
                <w:szCs w:val="21"/>
                <w:lang w:val="en-US" w:eastAsia="zh-CN"/>
              </w:rPr>
              <w:sym w:font="Wingdings" w:char="00FE"/>
            </w:r>
            <w:r>
              <w:rPr>
                <w:rFonts w:hint="eastAsia" w:ascii="宋体" w:hAnsi="宋体" w:eastAsia="宋体" w:cs="宋体"/>
                <w:color w:val="auto"/>
                <w:sz w:val="21"/>
                <w:szCs w:val="21"/>
                <w:lang w:val="en-US" w:eastAsia="zh-CN"/>
              </w:rPr>
              <w:t>；改变环境条件</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；其他</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评价因子</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物种</w:t>
            </w:r>
            <w:r>
              <w:rPr>
                <w:rFonts w:hint="eastAsia" w:ascii="宋体" w:hAnsi="宋体" w:eastAsia="宋体" w:cs="宋体"/>
                <w:color w:val="auto"/>
                <w:sz w:val="21"/>
                <w:szCs w:val="21"/>
                <w:lang w:val="en-US" w:eastAsia="zh-CN"/>
              </w:rPr>
              <w:sym w:font="Wingdings" w:char="00FE"/>
            </w:r>
            <w:r>
              <w:rPr>
                <w:rFonts w:hint="eastAsia" w:ascii="宋体" w:hAnsi="宋体" w:eastAsia="宋体" w:cs="宋体"/>
                <w:color w:val="auto"/>
                <w:sz w:val="21"/>
                <w:szCs w:val="21"/>
                <w:lang w:val="en-US" w:eastAsia="zh-CN"/>
              </w:rPr>
              <w:t xml:space="preserve">（野生陆生动植物、水生生态等）                       </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生境</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color w:val="auto"/>
                <w:sz w:val="21"/>
                <w:szCs w:val="21"/>
                <w:lang w:val="en-US" w:eastAsia="zh-CN"/>
              </w:rPr>
              <w:t>（</w:t>
            </w:r>
            <w:r>
              <w:rPr>
                <w:rFonts w:hint="eastAsia" w:hAnsi="宋体" w:cs="宋体"/>
                <w:color w:val="auto"/>
                <w:sz w:val="21"/>
                <w:szCs w:val="21"/>
                <w:lang w:val="en-US" w:eastAsia="zh-CN"/>
              </w:rPr>
              <w:t xml:space="preserve">                          </w:t>
            </w:r>
            <w:r>
              <w:rPr>
                <w:rFonts w:hint="eastAsia" w:ascii="宋体" w:hAnsi="宋体" w:eastAsia="宋体" w:cs="宋体"/>
                <w:color w:val="auto"/>
                <w:sz w:val="21"/>
                <w:szCs w:val="21"/>
                <w:lang w:val="en-US" w:eastAsia="zh-CN"/>
              </w:rPr>
              <w:t xml:space="preserve">） </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生物群落</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color w:val="auto"/>
                <w:sz w:val="21"/>
                <w:szCs w:val="21"/>
                <w:lang w:val="en-US" w:eastAsia="zh-CN"/>
              </w:rPr>
              <w:t>（</w:t>
            </w:r>
            <w:r>
              <w:rPr>
                <w:rFonts w:hint="eastAsia" w:hAnsi="宋体" w:cs="宋体"/>
                <w:color w:val="auto"/>
                <w:sz w:val="21"/>
                <w:szCs w:val="21"/>
                <w:lang w:val="en-US" w:eastAsia="zh-CN"/>
              </w:rPr>
              <w:t xml:space="preserve">                      </w:t>
            </w:r>
            <w:r>
              <w:rPr>
                <w:rFonts w:hint="eastAsia" w:ascii="宋体" w:hAnsi="宋体" w:eastAsia="宋体" w:cs="宋体"/>
                <w:color w:val="auto"/>
                <w:sz w:val="21"/>
                <w:szCs w:val="21"/>
                <w:lang w:val="en-US" w:eastAsia="zh-CN"/>
              </w:rPr>
              <w:t xml:space="preserve">） </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生态系统</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                       ）</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生物多样性</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color w:val="auto"/>
                <w:sz w:val="21"/>
                <w:szCs w:val="21"/>
                <w:lang w:val="en-US" w:eastAsia="zh-CN"/>
              </w:rPr>
              <w:t>（野生陆生动植物、水生生态等）</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生态敏感区</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自然景观</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（景观生态等）</w:t>
            </w:r>
          </w:p>
          <w:p>
            <w:pPr>
              <w:pStyle w:val="48"/>
              <w:jc w:val="both"/>
              <w:rPr>
                <w:rFonts w:hint="eastAsia" w:ascii="宋体" w:hAnsi="宋体" w:eastAsia="宋体" w:cs="宋体"/>
                <w:snapToGrid w:val="0"/>
                <w:color w:val="auto"/>
                <w:kern w:val="0"/>
                <w:sz w:val="21"/>
                <w:szCs w:val="21"/>
                <w:lang w:val="en-US" w:eastAsia="zh-CN"/>
              </w:rPr>
            </w:pPr>
            <w:r>
              <w:rPr>
                <w:rFonts w:hint="eastAsia" w:ascii="宋体" w:hAnsi="宋体" w:eastAsia="宋体" w:cs="宋体"/>
                <w:snapToGrid w:val="0"/>
                <w:color w:val="auto"/>
                <w:kern w:val="0"/>
                <w:sz w:val="21"/>
                <w:szCs w:val="21"/>
                <w:lang w:val="en-US" w:eastAsia="zh-CN"/>
              </w:rPr>
              <w:t>自然遗迹</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w:t>
            </w:r>
          </w:p>
          <w:p>
            <w:pPr>
              <w:pStyle w:val="48"/>
              <w:jc w:val="both"/>
              <w:rPr>
                <w:rFonts w:hint="eastAsia" w:ascii="宋体" w:hAnsi="宋体" w:eastAsia="宋体" w:cs="宋体"/>
                <w:color w:val="auto"/>
                <w:sz w:val="21"/>
                <w:szCs w:val="21"/>
                <w:lang w:val="en-US" w:eastAsia="zh-CN"/>
              </w:rPr>
            </w:pP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90" w:type="dxa"/>
            <w:gridSpan w:val="2"/>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评价等级</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一级</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xml:space="preserve">   二级</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xml:space="preserve">    三级</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 xml:space="preserve">    生态影响简单分析</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xml:space="preserve"> </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290" w:type="dxa"/>
            <w:gridSpan w:val="2"/>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评价范围</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陆域面积（</w:t>
            </w:r>
            <w:r>
              <w:rPr>
                <w:rFonts w:hint="eastAsia" w:ascii="宋体" w:hAnsi="宋体" w:cs="宋体"/>
                <w:color w:val="auto"/>
                <w:sz w:val="21"/>
                <w:szCs w:val="21"/>
                <w:lang w:val="en-US" w:eastAsia="zh-CN"/>
              </w:rPr>
              <w:t>新建堤防段外延200m</w:t>
            </w:r>
            <w:r>
              <w:rPr>
                <w:rFonts w:hint="eastAsia" w:ascii="宋体" w:hAnsi="宋体" w:eastAsia="宋体" w:cs="宋体"/>
                <w:color w:val="auto"/>
                <w:sz w:val="21"/>
                <w:szCs w:val="21"/>
                <w:lang w:val="en-US" w:eastAsia="zh-CN"/>
              </w:rPr>
              <w:t>）；水域面积（</w:t>
            </w:r>
            <w:r>
              <w:rPr>
                <w:rFonts w:hint="eastAsia" w:ascii="宋体" w:hAnsi="宋体" w:cs="宋体"/>
                <w:color w:val="auto"/>
                <w:sz w:val="21"/>
                <w:szCs w:val="21"/>
                <w:lang w:val="en-US" w:eastAsia="zh-CN"/>
              </w:rPr>
              <w:t>新建堤防段1600m下游外延1km范围</w:t>
            </w:r>
            <w:r>
              <w:rPr>
                <w:rFonts w:hint="eastAsia" w:ascii="宋体" w:hAnsi="宋体" w:eastAsia="宋体" w:cs="宋体"/>
                <w:color w:val="auto"/>
                <w:sz w:val="21"/>
                <w:szCs w:val="21"/>
                <w:lang w:val="en-US" w:eastAsia="zh-CN"/>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restart"/>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生态现状调查与评价</w:t>
            </w: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调查方法</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资料收集</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；遥感调查</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；调查样方、样线</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；调查点位、断面</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；专家和公众咨询法</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调查时间</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春季</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；夏季</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；秋季</w:t>
            </w:r>
            <w:r>
              <w:rPr>
                <w:rFonts w:hint="eastAsia" w:ascii="宋体" w:hAnsi="宋体" w:eastAsia="宋体" w:cs="宋体"/>
                <w:color w:val="auto"/>
                <w:sz w:val="21"/>
                <w:szCs w:val="21"/>
                <w:lang w:val="en-US" w:eastAsia="zh-CN"/>
              </w:rPr>
              <w:sym w:font="Wingdings" w:char="00A8"/>
            </w:r>
            <w:r>
              <w:rPr>
                <w:rFonts w:hint="eastAsia" w:ascii="宋体" w:hAnsi="宋体" w:eastAsia="宋体" w:cs="宋体"/>
                <w:color w:val="auto"/>
                <w:sz w:val="21"/>
                <w:szCs w:val="21"/>
                <w:lang w:val="en-US" w:eastAsia="zh-CN"/>
              </w:rPr>
              <w:t>；冬季</w:t>
            </w:r>
            <w:r>
              <w:rPr>
                <w:rFonts w:hint="eastAsia" w:ascii="宋体" w:hAnsi="宋体" w:eastAsia="宋体" w:cs="宋体"/>
                <w:color w:val="auto"/>
                <w:sz w:val="21"/>
                <w:szCs w:val="21"/>
                <w:lang w:val="en-US" w:eastAsia="zh-CN"/>
              </w:rPr>
              <w:sym w:font="Wingdings" w:char="00A8"/>
            </w:r>
          </w:p>
          <w:p>
            <w:pPr>
              <w:pStyle w:val="48"/>
              <w:jc w:val="both"/>
              <w:rPr>
                <w:rFonts w:hint="eastAsia" w:ascii="宋体" w:hAnsi="宋体" w:eastAsia="宋体" w:cs="宋体"/>
                <w:color w:val="auto"/>
                <w:sz w:val="21"/>
                <w:szCs w:val="21"/>
                <w:lang w:val="en-US" w:eastAsia="zh-CN"/>
              </w:rPr>
            </w:pPr>
            <w:r>
              <w:rPr>
                <w:rFonts w:hint="eastAsia" w:ascii="宋体" w:hAnsi="宋体" w:eastAsia="宋体" w:cs="宋体"/>
                <w:snapToGrid w:val="0"/>
                <w:color w:val="auto"/>
                <w:kern w:val="0"/>
                <w:sz w:val="21"/>
                <w:szCs w:val="21"/>
                <w:lang w:val="en-US" w:eastAsia="zh-CN"/>
              </w:rPr>
              <w:t>丰水期</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；枯水期</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；平水期</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所在区域的生态问题</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水土流失</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；沙漠化</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；石漠化</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；盐渍化</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；生物入侵</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；污染危害</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FE"/>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评价内容</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植被/植物群落</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；土地利用</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；生态系统</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；生物多样性</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；重要物种</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；生态敏感区</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restart"/>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生态影响预测与评价</w:t>
            </w: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评价方法</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定性</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；定性和定量</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评价内容</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植被/植物群落</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；土地利用</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；生态系统</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；生物多样性</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；重要物种</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；生态敏感区</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；生物入侵风险</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FE"/>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restart"/>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生态保护对策措施</w:t>
            </w: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对策措施</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避让</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；减缓</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；生态修复</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；生态补偿</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；科研</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生态监测计划</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全生命周期</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；长期跟踪</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；常规</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；无</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vMerge w:val="continue"/>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环境管理</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环境监理</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；环境影响后评价</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；其他</w:t>
            </w:r>
            <w:r>
              <w:rPr>
                <w:rFonts w:hint="eastAsia" w:ascii="宋体" w:hAnsi="宋体" w:eastAsia="宋体" w:cs="宋体"/>
                <w:snapToGrid w:val="0"/>
                <w:color w:val="auto"/>
                <w:kern w:val="0"/>
                <w:sz w:val="21"/>
                <w:szCs w:val="21"/>
                <w:lang w:val="en-US" w:eastAsia="zh-CN"/>
              </w:rPr>
              <w:sym w:font="Wingdings" w:char="00FE"/>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6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评价结论</w:t>
            </w:r>
          </w:p>
        </w:tc>
        <w:tc>
          <w:tcPr>
            <w:tcW w:w="1225"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生态影响</w:t>
            </w:r>
          </w:p>
        </w:tc>
        <w:tc>
          <w:tcPr>
            <w:tcW w:w="6004" w:type="dxa"/>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left"/>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可行</w:t>
            </w:r>
            <w:r>
              <w:rPr>
                <w:rFonts w:hint="eastAsia" w:ascii="宋体" w:hAnsi="宋体" w:eastAsia="宋体" w:cs="宋体"/>
                <w:snapToGrid w:val="0"/>
                <w:color w:val="auto"/>
                <w:kern w:val="0"/>
                <w:sz w:val="21"/>
                <w:szCs w:val="21"/>
                <w:lang w:val="en-US" w:eastAsia="zh-CN"/>
              </w:rPr>
              <w:sym w:font="Wingdings" w:char="00FE"/>
            </w:r>
            <w:r>
              <w:rPr>
                <w:rFonts w:hint="eastAsia" w:ascii="宋体" w:hAnsi="宋体" w:eastAsia="宋体" w:cs="宋体"/>
                <w:snapToGrid w:val="0"/>
                <w:color w:val="auto"/>
                <w:kern w:val="0"/>
                <w:sz w:val="21"/>
                <w:szCs w:val="21"/>
                <w:lang w:val="en-US" w:eastAsia="zh-CN"/>
              </w:rPr>
              <w:t>；不可行</w:t>
            </w:r>
            <w:r>
              <w:rPr>
                <w:rFonts w:hint="eastAsia" w:ascii="宋体" w:hAnsi="宋体" w:eastAsia="宋体" w:cs="宋体"/>
                <w:snapToGrid w:val="0"/>
                <w:color w:val="auto"/>
                <w:kern w:val="0"/>
                <w:sz w:val="21"/>
                <w:szCs w:val="21"/>
                <w:lang w:val="en-US" w:eastAsia="zh-CN"/>
              </w:rPr>
              <w:sym w:font="Wingdings" w:char="00A8"/>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294" w:type="dxa"/>
            <w:gridSpan w:val="3"/>
            <w:tcBorders>
              <w:tl2br w:val="nil"/>
              <w:tr2bl w:val="nil"/>
            </w:tcBorders>
            <w:vAlign w:val="center"/>
          </w:tcPr>
          <w:p>
            <w:pPr>
              <w:keepNext w:val="0"/>
              <w:keepLines w:val="0"/>
              <w:pageBreakBefore w:val="0"/>
              <w:widowControl/>
              <w:kinsoku w:val="0"/>
              <w:wordWrap/>
              <w:overflowPunct/>
              <w:topLinePunct w:val="0"/>
              <w:autoSpaceDE w:val="0"/>
              <w:autoSpaceDN w:val="0"/>
              <w:bidi w:val="0"/>
              <w:adjustRightInd w:val="0"/>
              <w:snapToGrid w:val="0"/>
              <w:jc w:val="center"/>
              <w:textAlignment w:val="baseline"/>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注：“</w:t>
            </w:r>
            <w:r>
              <w:rPr>
                <w:rFonts w:hint="eastAsia" w:ascii="宋体" w:hAnsi="宋体" w:eastAsia="宋体" w:cs="宋体"/>
                <w:snapToGrid w:val="0"/>
                <w:color w:val="auto"/>
                <w:kern w:val="0"/>
                <w:sz w:val="21"/>
                <w:szCs w:val="21"/>
                <w:lang w:val="en-US" w:eastAsia="zh-CN"/>
              </w:rPr>
              <w:sym w:font="Wingdings" w:char="00A8"/>
            </w:r>
            <w:r>
              <w:rPr>
                <w:rFonts w:hint="eastAsia" w:ascii="宋体" w:hAnsi="宋体" w:eastAsia="宋体" w:cs="宋体"/>
                <w:snapToGrid w:val="0"/>
                <w:color w:val="auto"/>
                <w:kern w:val="0"/>
                <w:sz w:val="21"/>
                <w:szCs w:val="21"/>
                <w:lang w:val="en-US" w:eastAsia="zh-CN"/>
              </w:rPr>
              <w:t xml:space="preserve"> </w:t>
            </w:r>
            <w:r>
              <w:rPr>
                <w:rFonts w:hint="eastAsia" w:ascii="宋体" w:hAnsi="宋体" w:eastAsia="宋体" w:cs="宋体"/>
                <w:color w:val="auto"/>
                <w:sz w:val="21"/>
                <w:szCs w:val="21"/>
                <w:lang w:val="en-US" w:eastAsia="zh-CN"/>
              </w:rPr>
              <w:t>”为勾选项，可√；“（ ）”为内容填写项。</w:t>
            </w:r>
          </w:p>
        </w:tc>
      </w:tr>
    </w:tbl>
    <w:p>
      <w:pPr>
        <w:pStyle w:val="48"/>
        <w:rPr>
          <w:rFonts w:hint="eastAsia"/>
          <w:color w:val="FF0000"/>
        </w:rPr>
      </w:pPr>
    </w:p>
    <w:sectPr>
      <w:headerReference r:id="rId14" w:type="default"/>
      <w:footerReference r:id="rId15" w:type="default"/>
      <w:pgSz w:w="11906" w:h="16838"/>
      <w:pgMar w:top="1418" w:right="1418" w:bottom="1418" w:left="1418" w:header="851" w:footer="992" w:gutter="0"/>
      <w:pgBorders>
        <w:top w:val="none" w:sz="0" w:space="0"/>
        <w:left w:val="none" w:sz="0" w:space="0"/>
        <w:bottom w:val="none" w:sz="0" w:space="0"/>
        <w:right w:val="none" w:sz="0" w:space="0"/>
      </w:pgBorders>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ymap">
    <w:panose1 w:val="00000400000000000000"/>
    <w:charset w:val="00"/>
    <w:family w:val="auto"/>
    <w:pitch w:val="default"/>
    <w:sig w:usb0="00000001" w:usb1="00000000" w:usb2="00000000" w:usb3="00000000" w:csb0="000001F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10" w:usb3="00000000" w:csb0="00040000" w:csb1="00000000"/>
  </w:font>
  <w:font w:name="TimesNewRomanPSMT">
    <w:altName w:val="黑体"/>
    <w:panose1 w:val="00000000000000000000"/>
    <w:charset w:val="86"/>
    <w:family w:val="auto"/>
    <w:pitch w:val="default"/>
    <w:sig w:usb0="00000000" w:usb1="0000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Microsoft YaHei UI">
    <w:panose1 w:val="020B0503020204020204"/>
    <w:charset w:val="86"/>
    <w:family w:val="swiss"/>
    <w:pitch w:val="default"/>
    <w:sig w:usb0="80000287" w:usb1="2ACF3C50" w:usb2="00000016" w:usb3="00000000" w:csb0="0004001F" w:csb1="00000000"/>
  </w:font>
  <w:font w:name="MingLiU">
    <w:altName w:val="PMingLiU-ExtB"/>
    <w:panose1 w:val="02010609000101010101"/>
    <w:charset w:val="88"/>
    <w:family w:val="modern"/>
    <w:pitch w:val="default"/>
    <w:sig w:usb0="00000000" w:usb1="00000000" w:usb2="00000016" w:usb3="00000000" w:csb0="00100001" w:csb1="00000000"/>
  </w:font>
  <w:font w:name="新宋体">
    <w:panose1 w:val="02010609030101010101"/>
    <w:charset w:val="86"/>
    <w:family w:val="modern"/>
    <w:pitch w:val="default"/>
    <w:sig w:usb0="00000203" w:usb1="288F0000" w:usb2="00000006" w:usb3="00000000" w:csb0="00040001" w:csb1="00000000"/>
  </w:font>
  <w:font w:name="等线 Light">
    <w:panose1 w:val="02010600030101010101"/>
    <w:charset w:val="86"/>
    <w:family w:val="auto"/>
    <w:pitch w:val="default"/>
    <w:sig w:usb0="A00002BF" w:usb1="38CF7CFA" w:usb2="00000016" w:usb3="00000000" w:csb0="0004000F" w:csb1="00000000"/>
  </w:font>
  <w:font w:name="华文新魏">
    <w:altName w:val="宋体"/>
    <w:panose1 w:val="0201080004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spacing w:before="120" w:after="120"/>
      <w:ind w:firstLine="480"/>
      <w:jc w:val="center"/>
      <w:rPr>
        <w:rFonts w:ascii="Times New Roman" w:hAnsi="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84390341"/>
    </w:sdtPr>
    <w:sdtEndPr>
      <w:rPr>
        <w:rFonts w:ascii="Times New Roman" w:hAnsi="Times New Roman"/>
        <w:sz w:val="21"/>
        <w:szCs w:val="21"/>
      </w:rPr>
    </w:sdtEndPr>
    <w:sdtContent>
      <w:p>
        <w:pPr>
          <w:pStyle w:val="26"/>
          <w:jc w:val="center"/>
          <w:rPr>
            <w:rFonts w:ascii="Times New Roman" w:hAnsi="Times New Roman"/>
            <w:sz w:val="21"/>
            <w:szCs w:val="21"/>
          </w:rPr>
        </w:pPr>
        <w:r>
          <w:rPr>
            <w:rFonts w:ascii="Times New Roman" w:hAnsi="Times New Roman"/>
            <w:sz w:val="21"/>
            <w:szCs w:val="21"/>
          </w:rPr>
          <w:fldChar w:fldCharType="begin"/>
        </w:r>
        <w:r>
          <w:rPr>
            <w:rFonts w:ascii="Times New Roman" w:hAnsi="Times New Roman"/>
            <w:sz w:val="21"/>
            <w:szCs w:val="21"/>
          </w:rPr>
          <w:instrText xml:space="preserve">PAGE   \* MERGEFORMAT</w:instrText>
        </w:r>
        <w:r>
          <w:rPr>
            <w:rFonts w:ascii="Times New Roman" w:hAnsi="Times New Roman"/>
            <w:sz w:val="21"/>
            <w:szCs w:val="21"/>
          </w:rPr>
          <w:fldChar w:fldCharType="separate"/>
        </w:r>
        <w:r>
          <w:rPr>
            <w:rFonts w:ascii="Times New Roman" w:hAnsi="Times New Roman"/>
            <w:sz w:val="21"/>
            <w:szCs w:val="21"/>
          </w:rPr>
          <w:t>IV</w:t>
        </w:r>
        <w:r>
          <w:rPr>
            <w:rFonts w:ascii="Times New Roman" w:hAnsi="Times New Roman"/>
            <w:sz w:val="21"/>
            <w:szCs w:val="21"/>
          </w:rPr>
          <w:fldChar w:fldCharType="end"/>
        </w:r>
      </w:p>
    </w:sdtContent>
  </w:sdt>
  <w:p>
    <w:pPr>
      <w:pStyle w:val="2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4338937"/>
    </w:sdtPr>
    <w:sdtEndPr>
      <w:rPr>
        <w:rFonts w:ascii="Times New Roman" w:hAnsi="Times New Roman"/>
      </w:rPr>
    </w:sdtEndPr>
    <w:sdtContent>
      <w:p>
        <w:pPr>
          <w:pStyle w:val="26"/>
          <w:jc w:val="center"/>
          <w:rPr>
            <w:rFonts w:ascii="Times New Roman" w:hAnsi="Times New Roman"/>
          </w:rPr>
        </w:pPr>
        <w:r>
          <w:rPr>
            <w:rFonts w:ascii="Times New Roman" w:hAnsi="Times New Roman"/>
          </w:rPr>
          <w:fldChar w:fldCharType="begin"/>
        </w:r>
        <w:r>
          <w:rPr>
            <w:rFonts w:ascii="Times New Roman" w:hAnsi="Times New Roman"/>
          </w:rPr>
          <w:instrText xml:space="preserve">PAGE   \* MERGEFORMAT</w:instrText>
        </w:r>
        <w:r>
          <w:rPr>
            <w:rFonts w:ascii="Times New Roman" w:hAnsi="Times New Roman"/>
          </w:rPr>
          <w:fldChar w:fldCharType="separate"/>
        </w:r>
        <w:r>
          <w:rPr>
            <w:rFonts w:ascii="Times New Roman" w:hAnsi="Times New Roman"/>
            <w:lang w:val="zh-CN"/>
          </w:rPr>
          <w:t>17</w:t>
        </w:r>
        <w:r>
          <w:rPr>
            <w:rFonts w:ascii="Times New Roman" w:hAnsi="Times New Roman"/>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82420402"/>
    </w:sdtPr>
    <w:sdtContent>
      <w:p>
        <w:pPr>
          <w:pStyle w:val="26"/>
          <w:jc w:val="center"/>
        </w:pPr>
        <w:r>
          <w:fldChar w:fldCharType="begin"/>
        </w:r>
        <w:r>
          <w:instrText xml:space="preserve">PAGE   \* MERGEFORMAT</w:instrText>
        </w:r>
        <w:r>
          <w:fldChar w:fldCharType="separate"/>
        </w:r>
        <w:r>
          <w:rPr>
            <w:lang w:val="zh-CN"/>
          </w:rPr>
          <w:t>19</w:t>
        </w:r>
        <w:r>
          <w:rPr>
            <w:lang w:val="zh-CN"/>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59589589"/>
    </w:sdtPr>
    <w:sdtContent>
      <w:p>
        <w:pPr>
          <w:pStyle w:val="26"/>
          <w:jc w:val="center"/>
        </w:pPr>
        <w:r>
          <w:fldChar w:fldCharType="begin"/>
        </w:r>
        <w:r>
          <w:instrText xml:space="preserve">PAGE   \* MERGEFORMAT</w:instrText>
        </w:r>
        <w:r>
          <w:fldChar w:fldCharType="separate"/>
        </w:r>
        <w:r>
          <w:rPr>
            <w:lang w:val="zh-CN"/>
          </w:rPr>
          <w:t>28</w:t>
        </w:r>
        <w:r>
          <w:rPr>
            <w:lang w:val="zh-CN"/>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99620523"/>
    </w:sdtPr>
    <w:sdtEndPr>
      <w:rPr>
        <w:rFonts w:ascii="Times New Roman" w:hAnsi="Times New Roman"/>
      </w:rPr>
    </w:sdtEndPr>
    <w:sdtContent>
      <w:p>
        <w:pPr>
          <w:pStyle w:val="26"/>
          <w:jc w:val="center"/>
          <w:rPr>
            <w:rFonts w:ascii="Times New Roman" w:hAnsi="Times New Roman"/>
          </w:rPr>
        </w:pPr>
        <w:r>
          <w:rPr>
            <w:rFonts w:ascii="Times New Roman" w:hAnsi="Times New Roman"/>
          </w:rPr>
          <w:fldChar w:fldCharType="begin"/>
        </w:r>
        <w:r>
          <w:rPr>
            <w:rFonts w:ascii="Times New Roman" w:hAnsi="Times New Roman"/>
          </w:rPr>
          <w:instrText xml:space="preserve">PAGE   \* MERGEFORMAT</w:instrText>
        </w:r>
        <w:r>
          <w:rPr>
            <w:rFonts w:ascii="Times New Roman" w:hAnsi="Times New Roman"/>
          </w:rPr>
          <w:fldChar w:fldCharType="separate"/>
        </w:r>
        <w:r>
          <w:rPr>
            <w:rFonts w:ascii="Times New Roman" w:hAnsi="Times New Roman"/>
            <w:lang w:val="zh-CN"/>
          </w:rPr>
          <w:t>78</w:t>
        </w:r>
        <w:r>
          <w:rPr>
            <w:rFonts w:ascii="Times New Roman" w:hAnsi="Times New Roman"/>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10141560"/>
    </w:sdtPr>
    <w:sdtEndPr>
      <w:rPr>
        <w:rFonts w:ascii="Times New Roman" w:hAnsi="Times New Roman"/>
      </w:rPr>
    </w:sdtEndPr>
    <w:sdtContent>
      <w:p>
        <w:pPr>
          <w:pStyle w:val="26"/>
          <w:jc w:val="center"/>
          <w:rPr>
            <w:rFonts w:ascii="Times New Roman" w:hAnsi="Times New Roman"/>
          </w:rPr>
        </w:pPr>
        <w:r>
          <w:rPr>
            <w:rFonts w:ascii="Times New Roman" w:hAnsi="Times New Roman"/>
          </w:rPr>
          <w:fldChar w:fldCharType="begin"/>
        </w:r>
        <w:r>
          <w:rPr>
            <w:rFonts w:ascii="Times New Roman" w:hAnsi="Times New Roman"/>
          </w:rPr>
          <w:instrText xml:space="preserve">PAGE   \* MERGEFORMAT</w:instrText>
        </w:r>
        <w:r>
          <w:rPr>
            <w:rFonts w:ascii="Times New Roman" w:hAnsi="Times New Roman"/>
          </w:rPr>
          <w:fldChar w:fldCharType="separate"/>
        </w:r>
        <w:r>
          <w:rPr>
            <w:rFonts w:ascii="Times New Roman" w:hAnsi="Times New Roman"/>
            <w:lang w:val="zh-CN"/>
          </w:rPr>
          <w:t>85</w:t>
        </w:r>
        <w:r>
          <w:rPr>
            <w:rFonts w:ascii="Times New Roman" w:hAnsi="Times New Roman"/>
          </w:rPr>
          <w:fldChar w:fldCharType="end"/>
        </w:r>
      </w:p>
    </w:sdtContent>
  </w:sdt>
  <w:p>
    <w:pPr>
      <w:pStyle w:val="26"/>
      <w:spacing w:line="360" w:lineRule="auto"/>
      <w:rPr>
        <w:rFonts w:ascii="Times New Roman" w:hAnsi="Times New Roman"/>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rPr>
        <w:rFonts w:ascii="Times New Roman" w:hAnsi="Times New Roman"/>
      </w:rPr>
    </w:pPr>
    <w:r>
      <w:rPr>
        <w:rFonts w:ascii="Times New Roman" w:hAnsi="Times New Roman"/>
      </w:rPr>
      <w:fldChar w:fldCharType="begin"/>
    </w:r>
    <w:r>
      <w:rPr>
        <w:rFonts w:ascii="Times New Roman" w:hAnsi="Times New Roman"/>
      </w:rPr>
      <w:instrText xml:space="preserve">PAGE   \* MERGEFORMAT</w:instrText>
    </w:r>
    <w:r>
      <w:rPr>
        <w:rFonts w:ascii="Times New Roman" w:hAnsi="Times New Roman"/>
      </w:rPr>
      <w:fldChar w:fldCharType="separate"/>
    </w:r>
    <w:r>
      <w:rPr>
        <w:rFonts w:ascii="Times New Roman" w:hAnsi="Times New Roman"/>
        <w:lang w:val="zh-CN"/>
      </w:rPr>
      <w:t>87</w:t>
    </w:r>
    <w:r>
      <w:rPr>
        <w:rFonts w:ascii="Times New Roman" w:hAnsi="Times New Roma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rFonts w:hint="eastAsia"/>
      </w:rPr>
      <w:t>遂宁市安居区琼江两中心五馆段防洪治理工程生态环境影响专项评价</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rFonts w:hint="eastAsia"/>
        <w:szCs w:val="21"/>
      </w:rPr>
      <w:t>遂宁市安居区琼江两中心五馆段防洪治理工程</w:t>
    </w:r>
    <w:r>
      <w:rPr>
        <w:rFonts w:hint="eastAsia"/>
      </w:rPr>
      <w:t>生态环境影响专项评价</w:t>
    </w:r>
  </w:p>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rFonts w:hint="eastAsia"/>
        <w:szCs w:val="21"/>
      </w:rPr>
      <w:t>遂宁市安居区琼江两中心五馆段防洪治理工程</w:t>
    </w:r>
    <w:r>
      <w:rPr>
        <w:rFonts w:hint="eastAsia"/>
      </w:rPr>
      <w:t>生态环境影响专项评价</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rFonts w:hint="eastAsia"/>
        <w:szCs w:val="21"/>
      </w:rPr>
      <w:t>遂宁市安居区琼江两中心五馆段防洪治理工程</w:t>
    </w:r>
    <w:r>
      <w:rPr>
        <w:rFonts w:hint="eastAsia"/>
      </w:rPr>
      <w:t>生态环境影响专项评价</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rFonts w:hint="eastAsia"/>
        <w:szCs w:val="21"/>
        <w:lang w:val="en-US" w:eastAsia="zh-CN"/>
      </w:rPr>
      <w:t>遂宁市安居区琼江两中心五馆段防洪治理工程</w:t>
    </w:r>
    <w:r>
      <w:rPr>
        <w:rFonts w:hint="eastAsia"/>
      </w:rPr>
      <w:t>目生态环境影响专项评价</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9E00FF3"/>
    <w:multiLevelType w:val="multilevel"/>
    <w:tmpl w:val="09E00FF3"/>
    <w:lvl w:ilvl="0" w:tentative="0">
      <w:start w:val="1"/>
      <w:numFmt w:val="decimal"/>
      <w:lvlText w:val="%1"/>
      <w:lvlJc w:val="left"/>
      <w:pPr>
        <w:tabs>
          <w:tab w:val="left" w:pos="425"/>
        </w:tabs>
        <w:ind w:left="425" w:hanging="425"/>
      </w:pPr>
      <w:rPr>
        <w:rFonts w:hint="eastAsia"/>
      </w:rPr>
    </w:lvl>
    <w:lvl w:ilvl="1" w:tentative="0">
      <w:start w:val="1"/>
      <w:numFmt w:val="decimal"/>
      <w:suff w:val="space"/>
      <w:lvlText w:val="%1.%2"/>
      <w:lvlJc w:val="left"/>
      <w:pPr>
        <w:ind w:left="284" w:hanging="284"/>
      </w:pPr>
      <w:rPr>
        <w:rFonts w:hint="default" w:ascii="Times New Roman" w:hAnsi="Times New Roman" w:eastAsia="黑体"/>
        <w:sz w:val="28"/>
        <w:lang w:val="en-US"/>
      </w:rPr>
    </w:lvl>
    <w:lvl w:ilvl="2" w:tentative="0">
      <w:start w:val="1"/>
      <w:numFmt w:val="decimal"/>
      <w:suff w:val="nothing"/>
      <w:lvlText w:val="%1.%2.%3"/>
      <w:lvlJc w:val="left"/>
      <w:pPr>
        <w:ind w:left="284" w:firstLine="0"/>
      </w:pPr>
      <w:rPr>
        <w:rFonts w:hint="eastAsia"/>
        <w:lang w:val="en-US" w:eastAsia="zh-CN"/>
      </w:rPr>
    </w:lvl>
    <w:lvl w:ilvl="3" w:tentative="0">
      <w:start w:val="1"/>
      <w:numFmt w:val="decimal"/>
      <w:suff w:val="nothing"/>
      <w:lvlText w:val="%1.%2.%3.%4"/>
      <w:lvlJc w:val="left"/>
      <w:pPr>
        <w:ind w:left="0" w:firstLine="0"/>
      </w:pPr>
      <w:rPr>
        <w:rFonts w:hint="default" w:ascii="Times New Roman" w:hAnsi="Times New Roman" w:cs="Times New Roman"/>
        <w:b w:val="0"/>
        <w:color w:val="auto"/>
        <w:sz w:val="24"/>
        <w:szCs w:val="24"/>
        <w:lang w:val="en-US" w:eastAsia="zh-CN"/>
      </w:rPr>
    </w:lvl>
    <w:lvl w:ilvl="4" w:tentative="0">
      <w:start w:val="1"/>
      <w:numFmt w:val="decimal"/>
      <w:lvlText w:val="%4%1.%2.%3..%5"/>
      <w:lvlJc w:val="left"/>
      <w:pPr>
        <w:tabs>
          <w:tab w:val="left" w:pos="3501"/>
        </w:tabs>
        <w:ind w:left="2551" w:hanging="850"/>
      </w:pPr>
      <w:rPr>
        <w:rFonts w:hint="eastAsia"/>
      </w:rPr>
    </w:lvl>
    <w:lvl w:ilvl="5" w:tentative="0">
      <w:start w:val="1"/>
      <w:numFmt w:val="decimal"/>
      <w:lvlText w:val="%1.%2.%3.%4.%5.%6"/>
      <w:lvlJc w:val="left"/>
      <w:pPr>
        <w:tabs>
          <w:tab w:val="left" w:pos="4286"/>
        </w:tabs>
        <w:ind w:left="3260" w:hanging="1134"/>
      </w:pPr>
      <w:rPr>
        <w:rFonts w:hint="eastAsia"/>
      </w:rPr>
    </w:lvl>
    <w:lvl w:ilvl="6" w:tentative="0">
      <w:start w:val="1"/>
      <w:numFmt w:val="decimal"/>
      <w:lvlText w:val="%1.%2.%3.%4.%5.%6.%7"/>
      <w:lvlJc w:val="left"/>
      <w:pPr>
        <w:tabs>
          <w:tab w:val="left" w:pos="5071"/>
        </w:tabs>
        <w:ind w:left="3827" w:hanging="1276"/>
      </w:pPr>
      <w:rPr>
        <w:rFonts w:hint="eastAsia"/>
      </w:rPr>
    </w:lvl>
    <w:lvl w:ilvl="7" w:tentative="0">
      <w:start w:val="1"/>
      <w:numFmt w:val="decimal"/>
      <w:lvlText w:val="%1.%2.%3.%4.%5.%6.%7.%8"/>
      <w:lvlJc w:val="left"/>
      <w:pPr>
        <w:tabs>
          <w:tab w:val="left" w:pos="5856"/>
        </w:tabs>
        <w:ind w:left="4394" w:hanging="1418"/>
      </w:pPr>
      <w:rPr>
        <w:rFonts w:hint="eastAsia"/>
      </w:rPr>
    </w:lvl>
    <w:lvl w:ilvl="8" w:tentative="0">
      <w:start w:val="1"/>
      <w:numFmt w:val="decimal"/>
      <w:lvlText w:val="%1.%2.%3.%4.%5.%6.%7.%8.%9"/>
      <w:lvlJc w:val="left"/>
      <w:pPr>
        <w:tabs>
          <w:tab w:val="left" w:pos="6282"/>
        </w:tabs>
        <w:ind w:left="5102" w:hanging="1700"/>
      </w:pPr>
      <w:rPr>
        <w:rFonts w:hint="eastAsia"/>
      </w:rPr>
    </w:lvl>
  </w:abstractNum>
  <w:abstractNum w:abstractNumId="1">
    <w:nsid w:val="1BD63EF6"/>
    <w:multiLevelType w:val="multilevel"/>
    <w:tmpl w:val="1BD63EF6"/>
    <w:lvl w:ilvl="0" w:tentative="0">
      <w:start w:val="1"/>
      <w:numFmt w:val="decimal"/>
      <w:pStyle w:val="3"/>
      <w:lvlText w:val="%1"/>
      <w:lvlJc w:val="left"/>
      <w:pPr>
        <w:ind w:left="432" w:hanging="432"/>
      </w:pPr>
    </w:lvl>
    <w:lvl w:ilvl="1" w:tentative="0">
      <w:start w:val="1"/>
      <w:numFmt w:val="decimal"/>
      <w:pStyle w:val="4"/>
      <w:lvlText w:val="%1.%2"/>
      <w:lvlJc w:val="left"/>
      <w:pPr>
        <w:ind w:left="576" w:hanging="576"/>
      </w:pPr>
      <w:rPr>
        <w:rFonts w:hint="default" w:ascii="Times New Roman" w:hAnsi="Times New Roman" w:cs="Times New Roman"/>
        <w:b/>
        <w:sz w:val="28"/>
        <w:szCs w:val="28"/>
      </w:rPr>
    </w:lvl>
    <w:lvl w:ilvl="2" w:tentative="0">
      <w:start w:val="1"/>
      <w:numFmt w:val="decimal"/>
      <w:pStyle w:val="5"/>
      <w:lvlText w:val="%1.%2.%3"/>
      <w:lvlJc w:val="left"/>
      <w:pPr>
        <w:ind w:left="1560" w:hanging="720"/>
      </w:pPr>
      <w:rPr>
        <w:rFonts w:hint="default" w:ascii="Times New Roman" w:hAnsi="Times New Roman" w:cs="Times New Roman"/>
        <w:b/>
      </w:rPr>
    </w:lvl>
    <w:lvl w:ilvl="3" w:tentative="0">
      <w:start w:val="1"/>
      <w:numFmt w:val="decimal"/>
      <w:pStyle w:val="6"/>
      <w:lvlText w:val="%1.%2.%3.%4"/>
      <w:lvlJc w:val="left"/>
      <w:pPr>
        <w:ind w:left="1290" w:hanging="864"/>
      </w:pPr>
    </w:lvl>
    <w:lvl w:ilvl="4" w:tentative="0">
      <w:start w:val="1"/>
      <w:numFmt w:val="decimal"/>
      <w:pStyle w:val="7"/>
      <w:lvlText w:val="%1.%2.%3.%4.%5"/>
      <w:lvlJc w:val="left"/>
      <w:pPr>
        <w:ind w:left="1008" w:hanging="1008"/>
      </w:pPr>
    </w:lvl>
    <w:lvl w:ilvl="5" w:tentative="0">
      <w:start w:val="1"/>
      <w:numFmt w:val="decimal"/>
      <w:pStyle w:val="8"/>
      <w:lvlText w:val="%1.%2.%3.%4.%5.%6"/>
      <w:lvlJc w:val="left"/>
      <w:pPr>
        <w:ind w:left="1152" w:hanging="1152"/>
      </w:pPr>
    </w:lvl>
    <w:lvl w:ilvl="6" w:tentative="0">
      <w:start w:val="1"/>
      <w:numFmt w:val="decimal"/>
      <w:pStyle w:val="9"/>
      <w:lvlText w:val="%1.%2.%3.%4.%5.%6.%7"/>
      <w:lvlJc w:val="left"/>
      <w:pPr>
        <w:ind w:left="1296" w:hanging="1296"/>
      </w:pPr>
    </w:lvl>
    <w:lvl w:ilvl="7" w:tentative="0">
      <w:start w:val="1"/>
      <w:numFmt w:val="decimal"/>
      <w:pStyle w:val="10"/>
      <w:lvlText w:val="%1.%2.%3.%4.%5.%6.%7.%8"/>
      <w:lvlJc w:val="left"/>
      <w:pPr>
        <w:ind w:left="1440" w:hanging="1440"/>
      </w:pPr>
    </w:lvl>
    <w:lvl w:ilvl="8" w:tentative="0">
      <w:start w:val="1"/>
      <w:numFmt w:val="decimal"/>
      <w:pStyle w:val="11"/>
      <w:lvlText w:val="%1.%2.%3.%4.%5.%6.%7.%8.%9"/>
      <w:lvlJc w:val="left"/>
      <w:pPr>
        <w:ind w:left="1584" w:hanging="1584"/>
      </w:pPr>
    </w:lvl>
  </w:abstractNum>
  <w:abstractNum w:abstractNumId="2">
    <w:nsid w:val="35E269B0"/>
    <w:multiLevelType w:val="multilevel"/>
    <w:tmpl w:val="35E269B0"/>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43263F2F"/>
    <w:multiLevelType w:val="multilevel"/>
    <w:tmpl w:val="43263F2F"/>
    <w:lvl w:ilvl="0" w:tentative="0">
      <w:start w:val="1"/>
      <w:numFmt w:val="decimal"/>
      <w:pStyle w:val="96"/>
      <w:lvlText w:val="(%1)"/>
      <w:lvlJc w:val="left"/>
      <w:pPr>
        <w:tabs>
          <w:tab w:val="left" w:pos="990"/>
        </w:tabs>
        <w:ind w:left="990" w:hanging="51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4">
    <w:nsid w:val="463363BD"/>
    <w:multiLevelType w:val="multilevel"/>
    <w:tmpl w:val="463363BD"/>
    <w:lvl w:ilvl="0" w:tentative="0">
      <w:start w:val="1"/>
      <w:numFmt w:val="decimalEnclosedCircle"/>
      <w:lvlText w:val="%1"/>
      <w:lvlJc w:val="left"/>
      <w:pPr>
        <w:ind w:left="842" w:hanging="360"/>
      </w:pPr>
      <w:rPr>
        <w:rFonts w:hint="default" w:ascii="宋体" w:hAnsi="宋体" w:cs="宋体"/>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56C05099"/>
    <w:multiLevelType w:val="multilevel"/>
    <w:tmpl w:val="56C05099"/>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
    <w:nsid w:val="61A40AED"/>
    <w:multiLevelType w:val="multilevel"/>
    <w:tmpl w:val="61A40AED"/>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765E4AAF"/>
    <w:multiLevelType w:val="multilevel"/>
    <w:tmpl w:val="765E4AAF"/>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1"/>
  </w:num>
  <w:num w:numId="2">
    <w:abstractNumId w:val="3"/>
  </w:num>
  <w:num w:numId="3">
    <w:abstractNumId w:val="5"/>
  </w:num>
  <w:num w:numId="4">
    <w:abstractNumId w:val="6"/>
  </w:num>
  <w:num w:numId="5">
    <w:abstractNumId w:val="7"/>
  </w:num>
  <w:num w:numId="6">
    <w:abstractNumId w:val="2"/>
  </w:num>
  <w:num w:numId="7">
    <w:abstractNumId w:val="4"/>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IwMDAyNmU4ODJmMGY5OGY1Yjg1Mjk1N2Q4ZjRiZjEifQ=="/>
    <w:docVar w:name="KSO_WPS_MARK_KEY" w:val="e39aa782-8e5f-4e19-8ef3-ab21d268904c"/>
  </w:docVars>
  <w:rsids>
    <w:rsidRoot w:val="00172A27"/>
    <w:rsid w:val="00000AF8"/>
    <w:rsid w:val="00000B99"/>
    <w:rsid w:val="000016B2"/>
    <w:rsid w:val="00002001"/>
    <w:rsid w:val="000051D8"/>
    <w:rsid w:val="00005362"/>
    <w:rsid w:val="00005E82"/>
    <w:rsid w:val="000071D2"/>
    <w:rsid w:val="00007BB4"/>
    <w:rsid w:val="000145C3"/>
    <w:rsid w:val="00015081"/>
    <w:rsid w:val="00016720"/>
    <w:rsid w:val="00016AAB"/>
    <w:rsid w:val="00016DA9"/>
    <w:rsid w:val="00017154"/>
    <w:rsid w:val="00020BD9"/>
    <w:rsid w:val="00020D22"/>
    <w:rsid w:val="00021395"/>
    <w:rsid w:val="000242EE"/>
    <w:rsid w:val="000249B6"/>
    <w:rsid w:val="00026634"/>
    <w:rsid w:val="00027009"/>
    <w:rsid w:val="00027992"/>
    <w:rsid w:val="000305DD"/>
    <w:rsid w:val="00032949"/>
    <w:rsid w:val="0003295B"/>
    <w:rsid w:val="00032ED3"/>
    <w:rsid w:val="000343CC"/>
    <w:rsid w:val="0003644C"/>
    <w:rsid w:val="00036876"/>
    <w:rsid w:val="00037049"/>
    <w:rsid w:val="00037725"/>
    <w:rsid w:val="00037BB9"/>
    <w:rsid w:val="000422E8"/>
    <w:rsid w:val="000422F4"/>
    <w:rsid w:val="00043F9B"/>
    <w:rsid w:val="000440F9"/>
    <w:rsid w:val="000458A0"/>
    <w:rsid w:val="00045926"/>
    <w:rsid w:val="00045C18"/>
    <w:rsid w:val="000504E1"/>
    <w:rsid w:val="00050531"/>
    <w:rsid w:val="000510C5"/>
    <w:rsid w:val="00051AF6"/>
    <w:rsid w:val="00051B8A"/>
    <w:rsid w:val="0005352C"/>
    <w:rsid w:val="0005359E"/>
    <w:rsid w:val="000563B6"/>
    <w:rsid w:val="00056578"/>
    <w:rsid w:val="000576EC"/>
    <w:rsid w:val="00057CEF"/>
    <w:rsid w:val="000615E5"/>
    <w:rsid w:val="00061F21"/>
    <w:rsid w:val="00063E86"/>
    <w:rsid w:val="00064055"/>
    <w:rsid w:val="00064074"/>
    <w:rsid w:val="00064663"/>
    <w:rsid w:val="000651C4"/>
    <w:rsid w:val="000659DA"/>
    <w:rsid w:val="00065B20"/>
    <w:rsid w:val="00065B22"/>
    <w:rsid w:val="0007134C"/>
    <w:rsid w:val="00072953"/>
    <w:rsid w:val="00072ECC"/>
    <w:rsid w:val="0007386A"/>
    <w:rsid w:val="00074326"/>
    <w:rsid w:val="0007441E"/>
    <w:rsid w:val="000746A0"/>
    <w:rsid w:val="00075B60"/>
    <w:rsid w:val="00075CA0"/>
    <w:rsid w:val="00076C1A"/>
    <w:rsid w:val="00076E3D"/>
    <w:rsid w:val="00076F9A"/>
    <w:rsid w:val="00077043"/>
    <w:rsid w:val="00081E65"/>
    <w:rsid w:val="00081EE0"/>
    <w:rsid w:val="00081F09"/>
    <w:rsid w:val="00081F9C"/>
    <w:rsid w:val="00082556"/>
    <w:rsid w:val="000837CB"/>
    <w:rsid w:val="000865E8"/>
    <w:rsid w:val="00086D80"/>
    <w:rsid w:val="000872A2"/>
    <w:rsid w:val="00087580"/>
    <w:rsid w:val="0008774F"/>
    <w:rsid w:val="000918B0"/>
    <w:rsid w:val="00091DD8"/>
    <w:rsid w:val="0009281D"/>
    <w:rsid w:val="00093D3B"/>
    <w:rsid w:val="00093D64"/>
    <w:rsid w:val="00096005"/>
    <w:rsid w:val="000A1279"/>
    <w:rsid w:val="000A3A2D"/>
    <w:rsid w:val="000A3F6E"/>
    <w:rsid w:val="000A4F8C"/>
    <w:rsid w:val="000A66D5"/>
    <w:rsid w:val="000A6DCF"/>
    <w:rsid w:val="000B01E2"/>
    <w:rsid w:val="000B0956"/>
    <w:rsid w:val="000B0E70"/>
    <w:rsid w:val="000B26D6"/>
    <w:rsid w:val="000B2B51"/>
    <w:rsid w:val="000B61A1"/>
    <w:rsid w:val="000B6554"/>
    <w:rsid w:val="000C0338"/>
    <w:rsid w:val="000C1C35"/>
    <w:rsid w:val="000C2BA0"/>
    <w:rsid w:val="000C4FCA"/>
    <w:rsid w:val="000C511A"/>
    <w:rsid w:val="000C6BBB"/>
    <w:rsid w:val="000C6C37"/>
    <w:rsid w:val="000C6EBE"/>
    <w:rsid w:val="000C7321"/>
    <w:rsid w:val="000D1245"/>
    <w:rsid w:val="000D157D"/>
    <w:rsid w:val="000D31F1"/>
    <w:rsid w:val="000D3CE1"/>
    <w:rsid w:val="000D48E6"/>
    <w:rsid w:val="000D49EE"/>
    <w:rsid w:val="000D4D78"/>
    <w:rsid w:val="000D6235"/>
    <w:rsid w:val="000D6B3B"/>
    <w:rsid w:val="000E14F1"/>
    <w:rsid w:val="000E1766"/>
    <w:rsid w:val="000E38B0"/>
    <w:rsid w:val="000E4C36"/>
    <w:rsid w:val="000E6987"/>
    <w:rsid w:val="000E7C47"/>
    <w:rsid w:val="000F1EDB"/>
    <w:rsid w:val="000F2321"/>
    <w:rsid w:val="000F45F7"/>
    <w:rsid w:val="000F5645"/>
    <w:rsid w:val="000F7614"/>
    <w:rsid w:val="000F7AB5"/>
    <w:rsid w:val="000F7EE2"/>
    <w:rsid w:val="0010030D"/>
    <w:rsid w:val="00100B0F"/>
    <w:rsid w:val="00100CD8"/>
    <w:rsid w:val="0010137C"/>
    <w:rsid w:val="00102C64"/>
    <w:rsid w:val="00102DB0"/>
    <w:rsid w:val="00105ADA"/>
    <w:rsid w:val="00106269"/>
    <w:rsid w:val="00107063"/>
    <w:rsid w:val="0010708F"/>
    <w:rsid w:val="00111CAD"/>
    <w:rsid w:val="00112733"/>
    <w:rsid w:val="00113602"/>
    <w:rsid w:val="001164A1"/>
    <w:rsid w:val="00117863"/>
    <w:rsid w:val="00120933"/>
    <w:rsid w:val="00121638"/>
    <w:rsid w:val="001223A1"/>
    <w:rsid w:val="00123CAB"/>
    <w:rsid w:val="00124585"/>
    <w:rsid w:val="00125D86"/>
    <w:rsid w:val="001272B0"/>
    <w:rsid w:val="001275EA"/>
    <w:rsid w:val="00127DAB"/>
    <w:rsid w:val="0013059A"/>
    <w:rsid w:val="0013097A"/>
    <w:rsid w:val="00130C8E"/>
    <w:rsid w:val="00131F0C"/>
    <w:rsid w:val="00133250"/>
    <w:rsid w:val="00133593"/>
    <w:rsid w:val="00137A40"/>
    <w:rsid w:val="00140576"/>
    <w:rsid w:val="00140E34"/>
    <w:rsid w:val="00140E66"/>
    <w:rsid w:val="0014115C"/>
    <w:rsid w:val="001428B7"/>
    <w:rsid w:val="00145B5E"/>
    <w:rsid w:val="00146BB5"/>
    <w:rsid w:val="001502A1"/>
    <w:rsid w:val="00152E21"/>
    <w:rsid w:val="0015531B"/>
    <w:rsid w:val="00155A89"/>
    <w:rsid w:val="00156376"/>
    <w:rsid w:val="0016058B"/>
    <w:rsid w:val="00160DE7"/>
    <w:rsid w:val="00161DC1"/>
    <w:rsid w:val="00162DF7"/>
    <w:rsid w:val="00163CB1"/>
    <w:rsid w:val="00163FF0"/>
    <w:rsid w:val="00164C26"/>
    <w:rsid w:val="001659C8"/>
    <w:rsid w:val="00165AAE"/>
    <w:rsid w:val="00166065"/>
    <w:rsid w:val="00166244"/>
    <w:rsid w:val="001665A6"/>
    <w:rsid w:val="0016700B"/>
    <w:rsid w:val="00170548"/>
    <w:rsid w:val="0017070C"/>
    <w:rsid w:val="00170B02"/>
    <w:rsid w:val="00170B5B"/>
    <w:rsid w:val="001713B4"/>
    <w:rsid w:val="00171777"/>
    <w:rsid w:val="00171FB6"/>
    <w:rsid w:val="00172A27"/>
    <w:rsid w:val="00172A92"/>
    <w:rsid w:val="00172B07"/>
    <w:rsid w:val="00172B75"/>
    <w:rsid w:val="00172C68"/>
    <w:rsid w:val="001735EA"/>
    <w:rsid w:val="001737F8"/>
    <w:rsid w:val="00174416"/>
    <w:rsid w:val="00174606"/>
    <w:rsid w:val="00174DDA"/>
    <w:rsid w:val="00174ED3"/>
    <w:rsid w:val="0017536D"/>
    <w:rsid w:val="00176479"/>
    <w:rsid w:val="001804BB"/>
    <w:rsid w:val="0018147D"/>
    <w:rsid w:val="00181F4A"/>
    <w:rsid w:val="001822AE"/>
    <w:rsid w:val="00182534"/>
    <w:rsid w:val="001830F8"/>
    <w:rsid w:val="00184893"/>
    <w:rsid w:val="00185138"/>
    <w:rsid w:val="00185AB3"/>
    <w:rsid w:val="00186165"/>
    <w:rsid w:val="0018738A"/>
    <w:rsid w:val="001930FB"/>
    <w:rsid w:val="0019362D"/>
    <w:rsid w:val="00197389"/>
    <w:rsid w:val="0019741C"/>
    <w:rsid w:val="001A1BA9"/>
    <w:rsid w:val="001A254E"/>
    <w:rsid w:val="001A25A5"/>
    <w:rsid w:val="001A263A"/>
    <w:rsid w:val="001A2F97"/>
    <w:rsid w:val="001A3E95"/>
    <w:rsid w:val="001A4844"/>
    <w:rsid w:val="001A4F04"/>
    <w:rsid w:val="001A618B"/>
    <w:rsid w:val="001A65EE"/>
    <w:rsid w:val="001A667F"/>
    <w:rsid w:val="001A6D9A"/>
    <w:rsid w:val="001A6EB1"/>
    <w:rsid w:val="001A7E13"/>
    <w:rsid w:val="001A7E92"/>
    <w:rsid w:val="001B0DCE"/>
    <w:rsid w:val="001B1310"/>
    <w:rsid w:val="001B13EB"/>
    <w:rsid w:val="001B3D5A"/>
    <w:rsid w:val="001B5C8A"/>
    <w:rsid w:val="001B736F"/>
    <w:rsid w:val="001C05EE"/>
    <w:rsid w:val="001C0DB3"/>
    <w:rsid w:val="001C0F19"/>
    <w:rsid w:val="001C1586"/>
    <w:rsid w:val="001C246A"/>
    <w:rsid w:val="001C4E58"/>
    <w:rsid w:val="001C5343"/>
    <w:rsid w:val="001C6211"/>
    <w:rsid w:val="001C7F50"/>
    <w:rsid w:val="001D1F34"/>
    <w:rsid w:val="001D226F"/>
    <w:rsid w:val="001D2B25"/>
    <w:rsid w:val="001D38B3"/>
    <w:rsid w:val="001D54DA"/>
    <w:rsid w:val="001D6001"/>
    <w:rsid w:val="001D628D"/>
    <w:rsid w:val="001D6FB4"/>
    <w:rsid w:val="001D7A7C"/>
    <w:rsid w:val="001E10C8"/>
    <w:rsid w:val="001E431C"/>
    <w:rsid w:val="001E4D09"/>
    <w:rsid w:val="001E5B34"/>
    <w:rsid w:val="001E752F"/>
    <w:rsid w:val="001E77B2"/>
    <w:rsid w:val="001F0BCB"/>
    <w:rsid w:val="001F0F75"/>
    <w:rsid w:val="001F188B"/>
    <w:rsid w:val="001F3110"/>
    <w:rsid w:val="001F43F7"/>
    <w:rsid w:val="001F6A7B"/>
    <w:rsid w:val="00201B59"/>
    <w:rsid w:val="00202564"/>
    <w:rsid w:val="00202E2A"/>
    <w:rsid w:val="0020413B"/>
    <w:rsid w:val="00204259"/>
    <w:rsid w:val="00205183"/>
    <w:rsid w:val="002052F4"/>
    <w:rsid w:val="0020546A"/>
    <w:rsid w:val="00205E46"/>
    <w:rsid w:val="00205F11"/>
    <w:rsid w:val="00206E6B"/>
    <w:rsid w:val="00211310"/>
    <w:rsid w:val="00213396"/>
    <w:rsid w:val="0021675C"/>
    <w:rsid w:val="002219FF"/>
    <w:rsid w:val="00222C54"/>
    <w:rsid w:val="002263F3"/>
    <w:rsid w:val="0022651A"/>
    <w:rsid w:val="00227F63"/>
    <w:rsid w:val="00232DE0"/>
    <w:rsid w:val="00232E18"/>
    <w:rsid w:val="00233041"/>
    <w:rsid w:val="002352CB"/>
    <w:rsid w:val="00235A4D"/>
    <w:rsid w:val="00235C1A"/>
    <w:rsid w:val="00235D37"/>
    <w:rsid w:val="00236960"/>
    <w:rsid w:val="00236F36"/>
    <w:rsid w:val="00237FD2"/>
    <w:rsid w:val="00240013"/>
    <w:rsid w:val="00240239"/>
    <w:rsid w:val="00243827"/>
    <w:rsid w:val="00243A1C"/>
    <w:rsid w:val="002440F4"/>
    <w:rsid w:val="00245D5B"/>
    <w:rsid w:val="00246D40"/>
    <w:rsid w:val="002477BE"/>
    <w:rsid w:val="00250ED4"/>
    <w:rsid w:val="0025431B"/>
    <w:rsid w:val="00254490"/>
    <w:rsid w:val="00255126"/>
    <w:rsid w:val="00256D4B"/>
    <w:rsid w:val="002619E9"/>
    <w:rsid w:val="002626D4"/>
    <w:rsid w:val="00264E69"/>
    <w:rsid w:val="00265784"/>
    <w:rsid w:val="00265813"/>
    <w:rsid w:val="00266688"/>
    <w:rsid w:val="00267BA0"/>
    <w:rsid w:val="002708E3"/>
    <w:rsid w:val="00272504"/>
    <w:rsid w:val="00272788"/>
    <w:rsid w:val="00272F47"/>
    <w:rsid w:val="00273917"/>
    <w:rsid w:val="00274A2C"/>
    <w:rsid w:val="00275287"/>
    <w:rsid w:val="002756F3"/>
    <w:rsid w:val="0028148F"/>
    <w:rsid w:val="00282370"/>
    <w:rsid w:val="00285072"/>
    <w:rsid w:val="00286F5C"/>
    <w:rsid w:val="00287B17"/>
    <w:rsid w:val="00287B2E"/>
    <w:rsid w:val="0029145D"/>
    <w:rsid w:val="00292136"/>
    <w:rsid w:val="00292EF9"/>
    <w:rsid w:val="0029426A"/>
    <w:rsid w:val="00295184"/>
    <w:rsid w:val="00295A8E"/>
    <w:rsid w:val="00296023"/>
    <w:rsid w:val="002966E7"/>
    <w:rsid w:val="002A245D"/>
    <w:rsid w:val="002A30E4"/>
    <w:rsid w:val="002A3454"/>
    <w:rsid w:val="002A4532"/>
    <w:rsid w:val="002A476E"/>
    <w:rsid w:val="002A5358"/>
    <w:rsid w:val="002B0590"/>
    <w:rsid w:val="002B0E1F"/>
    <w:rsid w:val="002B2EE0"/>
    <w:rsid w:val="002B305C"/>
    <w:rsid w:val="002B3BDB"/>
    <w:rsid w:val="002B4767"/>
    <w:rsid w:val="002B4E5A"/>
    <w:rsid w:val="002B559F"/>
    <w:rsid w:val="002C02D3"/>
    <w:rsid w:val="002C0A84"/>
    <w:rsid w:val="002C1A12"/>
    <w:rsid w:val="002C247A"/>
    <w:rsid w:val="002C2750"/>
    <w:rsid w:val="002C3C8C"/>
    <w:rsid w:val="002C69C8"/>
    <w:rsid w:val="002C75C4"/>
    <w:rsid w:val="002C7FBE"/>
    <w:rsid w:val="002D2160"/>
    <w:rsid w:val="002D30EB"/>
    <w:rsid w:val="002D4457"/>
    <w:rsid w:val="002D4C1F"/>
    <w:rsid w:val="002D6377"/>
    <w:rsid w:val="002D6427"/>
    <w:rsid w:val="002D79D6"/>
    <w:rsid w:val="002D7BD6"/>
    <w:rsid w:val="002E19D2"/>
    <w:rsid w:val="002E4657"/>
    <w:rsid w:val="002E46EA"/>
    <w:rsid w:val="002E52BC"/>
    <w:rsid w:val="002E57F7"/>
    <w:rsid w:val="002E6A89"/>
    <w:rsid w:val="002E7824"/>
    <w:rsid w:val="002F0C70"/>
    <w:rsid w:val="002F281A"/>
    <w:rsid w:val="002F2E15"/>
    <w:rsid w:val="002F4324"/>
    <w:rsid w:val="002F5091"/>
    <w:rsid w:val="002F77B6"/>
    <w:rsid w:val="002F78C6"/>
    <w:rsid w:val="00301BAF"/>
    <w:rsid w:val="00304264"/>
    <w:rsid w:val="0030450E"/>
    <w:rsid w:val="0030482F"/>
    <w:rsid w:val="00306986"/>
    <w:rsid w:val="00307196"/>
    <w:rsid w:val="003107C3"/>
    <w:rsid w:val="00311A5F"/>
    <w:rsid w:val="00312E62"/>
    <w:rsid w:val="00313D88"/>
    <w:rsid w:val="00314124"/>
    <w:rsid w:val="0031470A"/>
    <w:rsid w:val="0031527B"/>
    <w:rsid w:val="0031595D"/>
    <w:rsid w:val="00316375"/>
    <w:rsid w:val="00321012"/>
    <w:rsid w:val="00322168"/>
    <w:rsid w:val="00323E1A"/>
    <w:rsid w:val="00324AAD"/>
    <w:rsid w:val="00326575"/>
    <w:rsid w:val="003319F2"/>
    <w:rsid w:val="00331BA6"/>
    <w:rsid w:val="003327FC"/>
    <w:rsid w:val="00332833"/>
    <w:rsid w:val="00332B4D"/>
    <w:rsid w:val="003344CE"/>
    <w:rsid w:val="003350E5"/>
    <w:rsid w:val="003353FC"/>
    <w:rsid w:val="00335494"/>
    <w:rsid w:val="00335F35"/>
    <w:rsid w:val="0033643A"/>
    <w:rsid w:val="00336470"/>
    <w:rsid w:val="00336964"/>
    <w:rsid w:val="003375B0"/>
    <w:rsid w:val="00340D2A"/>
    <w:rsid w:val="00341F55"/>
    <w:rsid w:val="00342290"/>
    <w:rsid w:val="00342E4B"/>
    <w:rsid w:val="003436F0"/>
    <w:rsid w:val="003441BD"/>
    <w:rsid w:val="00344535"/>
    <w:rsid w:val="0034494C"/>
    <w:rsid w:val="003452A9"/>
    <w:rsid w:val="00346C8E"/>
    <w:rsid w:val="00347675"/>
    <w:rsid w:val="00351DFD"/>
    <w:rsid w:val="00353EFD"/>
    <w:rsid w:val="00353F09"/>
    <w:rsid w:val="00355F15"/>
    <w:rsid w:val="003564B5"/>
    <w:rsid w:val="00357467"/>
    <w:rsid w:val="003639DF"/>
    <w:rsid w:val="00365215"/>
    <w:rsid w:val="00366FEA"/>
    <w:rsid w:val="00371414"/>
    <w:rsid w:val="003743C7"/>
    <w:rsid w:val="00375955"/>
    <w:rsid w:val="003762F8"/>
    <w:rsid w:val="00376CFC"/>
    <w:rsid w:val="00376E94"/>
    <w:rsid w:val="00381010"/>
    <w:rsid w:val="00381710"/>
    <w:rsid w:val="00382A21"/>
    <w:rsid w:val="00382C17"/>
    <w:rsid w:val="00382F64"/>
    <w:rsid w:val="00383F3A"/>
    <w:rsid w:val="0038401C"/>
    <w:rsid w:val="0038613B"/>
    <w:rsid w:val="00387BC9"/>
    <w:rsid w:val="00390116"/>
    <w:rsid w:val="00390EEE"/>
    <w:rsid w:val="0039108D"/>
    <w:rsid w:val="003931CC"/>
    <w:rsid w:val="0039421B"/>
    <w:rsid w:val="003A2573"/>
    <w:rsid w:val="003A3866"/>
    <w:rsid w:val="003A395E"/>
    <w:rsid w:val="003A4469"/>
    <w:rsid w:val="003A4A04"/>
    <w:rsid w:val="003A512E"/>
    <w:rsid w:val="003A572F"/>
    <w:rsid w:val="003A61D2"/>
    <w:rsid w:val="003A6CAD"/>
    <w:rsid w:val="003B01F3"/>
    <w:rsid w:val="003B2249"/>
    <w:rsid w:val="003B254F"/>
    <w:rsid w:val="003B4A7B"/>
    <w:rsid w:val="003B4A8E"/>
    <w:rsid w:val="003B4DF0"/>
    <w:rsid w:val="003B5328"/>
    <w:rsid w:val="003B5778"/>
    <w:rsid w:val="003B5FBF"/>
    <w:rsid w:val="003C12FE"/>
    <w:rsid w:val="003C3906"/>
    <w:rsid w:val="003C4853"/>
    <w:rsid w:val="003C577A"/>
    <w:rsid w:val="003C6B0E"/>
    <w:rsid w:val="003C73F8"/>
    <w:rsid w:val="003D0CF4"/>
    <w:rsid w:val="003D42DA"/>
    <w:rsid w:val="003D4A37"/>
    <w:rsid w:val="003D4A56"/>
    <w:rsid w:val="003D504F"/>
    <w:rsid w:val="003D6301"/>
    <w:rsid w:val="003D6413"/>
    <w:rsid w:val="003D72BA"/>
    <w:rsid w:val="003E0D7E"/>
    <w:rsid w:val="003E1220"/>
    <w:rsid w:val="003E14AA"/>
    <w:rsid w:val="003E1A3B"/>
    <w:rsid w:val="003E279A"/>
    <w:rsid w:val="003E27C6"/>
    <w:rsid w:val="003E3533"/>
    <w:rsid w:val="003E5077"/>
    <w:rsid w:val="003E52EB"/>
    <w:rsid w:val="003E7604"/>
    <w:rsid w:val="003E7C44"/>
    <w:rsid w:val="003F3408"/>
    <w:rsid w:val="003F425F"/>
    <w:rsid w:val="003F5B6B"/>
    <w:rsid w:val="004029F2"/>
    <w:rsid w:val="00403CEF"/>
    <w:rsid w:val="00404475"/>
    <w:rsid w:val="004048D6"/>
    <w:rsid w:val="00404D26"/>
    <w:rsid w:val="004067BB"/>
    <w:rsid w:val="00406C3C"/>
    <w:rsid w:val="00407884"/>
    <w:rsid w:val="00410044"/>
    <w:rsid w:val="00410274"/>
    <w:rsid w:val="004102E9"/>
    <w:rsid w:val="00410BC7"/>
    <w:rsid w:val="00410DC8"/>
    <w:rsid w:val="00411753"/>
    <w:rsid w:val="00411E66"/>
    <w:rsid w:val="00412165"/>
    <w:rsid w:val="00413394"/>
    <w:rsid w:val="00413FA5"/>
    <w:rsid w:val="004156E1"/>
    <w:rsid w:val="00416008"/>
    <w:rsid w:val="0041603B"/>
    <w:rsid w:val="00417ACB"/>
    <w:rsid w:val="00417E62"/>
    <w:rsid w:val="00423665"/>
    <w:rsid w:val="00423C6D"/>
    <w:rsid w:val="00423ED9"/>
    <w:rsid w:val="0042452E"/>
    <w:rsid w:val="00430832"/>
    <w:rsid w:val="0043260F"/>
    <w:rsid w:val="00432C17"/>
    <w:rsid w:val="0043327D"/>
    <w:rsid w:val="0043338B"/>
    <w:rsid w:val="00433F40"/>
    <w:rsid w:val="00434C97"/>
    <w:rsid w:val="00435F90"/>
    <w:rsid w:val="00436BB6"/>
    <w:rsid w:val="0044001E"/>
    <w:rsid w:val="00440B30"/>
    <w:rsid w:val="004435EC"/>
    <w:rsid w:val="00444964"/>
    <w:rsid w:val="004455F9"/>
    <w:rsid w:val="00450A2E"/>
    <w:rsid w:val="00450DD6"/>
    <w:rsid w:val="0045175C"/>
    <w:rsid w:val="00451976"/>
    <w:rsid w:val="004530E8"/>
    <w:rsid w:val="0045532C"/>
    <w:rsid w:val="004569D1"/>
    <w:rsid w:val="00457624"/>
    <w:rsid w:val="00457642"/>
    <w:rsid w:val="00460465"/>
    <w:rsid w:val="00460CF4"/>
    <w:rsid w:val="004613FA"/>
    <w:rsid w:val="00461B87"/>
    <w:rsid w:val="00461D6D"/>
    <w:rsid w:val="0046201C"/>
    <w:rsid w:val="00462573"/>
    <w:rsid w:val="0046276F"/>
    <w:rsid w:val="00463592"/>
    <w:rsid w:val="00464887"/>
    <w:rsid w:val="00465CF3"/>
    <w:rsid w:val="00466A7C"/>
    <w:rsid w:val="004672E7"/>
    <w:rsid w:val="004677B6"/>
    <w:rsid w:val="004677DF"/>
    <w:rsid w:val="0047231D"/>
    <w:rsid w:val="0047262B"/>
    <w:rsid w:val="00472C5B"/>
    <w:rsid w:val="00473897"/>
    <w:rsid w:val="00473F1C"/>
    <w:rsid w:val="00475F28"/>
    <w:rsid w:val="004769E5"/>
    <w:rsid w:val="00480DF3"/>
    <w:rsid w:val="00484620"/>
    <w:rsid w:val="004846AC"/>
    <w:rsid w:val="00484E8D"/>
    <w:rsid w:val="004906EB"/>
    <w:rsid w:val="00490850"/>
    <w:rsid w:val="00492169"/>
    <w:rsid w:val="00496060"/>
    <w:rsid w:val="00497976"/>
    <w:rsid w:val="004A1D5B"/>
    <w:rsid w:val="004A1F6B"/>
    <w:rsid w:val="004A2224"/>
    <w:rsid w:val="004A34BB"/>
    <w:rsid w:val="004A3E52"/>
    <w:rsid w:val="004A474B"/>
    <w:rsid w:val="004A4AD9"/>
    <w:rsid w:val="004A5A52"/>
    <w:rsid w:val="004A5E2F"/>
    <w:rsid w:val="004A7961"/>
    <w:rsid w:val="004A7DFA"/>
    <w:rsid w:val="004B1705"/>
    <w:rsid w:val="004B1F20"/>
    <w:rsid w:val="004B2C72"/>
    <w:rsid w:val="004B2C96"/>
    <w:rsid w:val="004B38B0"/>
    <w:rsid w:val="004B43BF"/>
    <w:rsid w:val="004B47B1"/>
    <w:rsid w:val="004B4902"/>
    <w:rsid w:val="004B5E1D"/>
    <w:rsid w:val="004B6CB8"/>
    <w:rsid w:val="004C0751"/>
    <w:rsid w:val="004C0877"/>
    <w:rsid w:val="004C1603"/>
    <w:rsid w:val="004C2A00"/>
    <w:rsid w:val="004C4810"/>
    <w:rsid w:val="004C5257"/>
    <w:rsid w:val="004C6760"/>
    <w:rsid w:val="004C69C9"/>
    <w:rsid w:val="004C7464"/>
    <w:rsid w:val="004D104B"/>
    <w:rsid w:val="004D2844"/>
    <w:rsid w:val="004D31A7"/>
    <w:rsid w:val="004D5034"/>
    <w:rsid w:val="004D6CA3"/>
    <w:rsid w:val="004D6D05"/>
    <w:rsid w:val="004E03BD"/>
    <w:rsid w:val="004E3002"/>
    <w:rsid w:val="004E5DBD"/>
    <w:rsid w:val="004E69F5"/>
    <w:rsid w:val="004E6D13"/>
    <w:rsid w:val="004E76EC"/>
    <w:rsid w:val="004F16F0"/>
    <w:rsid w:val="004F277B"/>
    <w:rsid w:val="004F2C47"/>
    <w:rsid w:val="004F3E67"/>
    <w:rsid w:val="004F51E5"/>
    <w:rsid w:val="004F5CD2"/>
    <w:rsid w:val="004F5E9B"/>
    <w:rsid w:val="004F7568"/>
    <w:rsid w:val="004F79D3"/>
    <w:rsid w:val="005004CC"/>
    <w:rsid w:val="005022FD"/>
    <w:rsid w:val="00502B26"/>
    <w:rsid w:val="00502C2A"/>
    <w:rsid w:val="0050549A"/>
    <w:rsid w:val="00505B02"/>
    <w:rsid w:val="00505B1E"/>
    <w:rsid w:val="0050628A"/>
    <w:rsid w:val="00507793"/>
    <w:rsid w:val="00511DF1"/>
    <w:rsid w:val="00513B9B"/>
    <w:rsid w:val="00514229"/>
    <w:rsid w:val="00514DF7"/>
    <w:rsid w:val="00516133"/>
    <w:rsid w:val="0052000A"/>
    <w:rsid w:val="00521EC0"/>
    <w:rsid w:val="0052362C"/>
    <w:rsid w:val="00524910"/>
    <w:rsid w:val="00524B49"/>
    <w:rsid w:val="0052569D"/>
    <w:rsid w:val="0052752F"/>
    <w:rsid w:val="00527AC1"/>
    <w:rsid w:val="0053096F"/>
    <w:rsid w:val="00532147"/>
    <w:rsid w:val="005324E1"/>
    <w:rsid w:val="00532C82"/>
    <w:rsid w:val="00533040"/>
    <w:rsid w:val="00535364"/>
    <w:rsid w:val="005353A5"/>
    <w:rsid w:val="005359A2"/>
    <w:rsid w:val="005365BF"/>
    <w:rsid w:val="00536BEC"/>
    <w:rsid w:val="00537224"/>
    <w:rsid w:val="00541BC2"/>
    <w:rsid w:val="00542664"/>
    <w:rsid w:val="00542FF7"/>
    <w:rsid w:val="005430AD"/>
    <w:rsid w:val="00543ABB"/>
    <w:rsid w:val="00543B66"/>
    <w:rsid w:val="005447CF"/>
    <w:rsid w:val="00544E9A"/>
    <w:rsid w:val="00545451"/>
    <w:rsid w:val="00545A02"/>
    <w:rsid w:val="0054639C"/>
    <w:rsid w:val="00551406"/>
    <w:rsid w:val="0055144C"/>
    <w:rsid w:val="00551C67"/>
    <w:rsid w:val="00553848"/>
    <w:rsid w:val="005552EF"/>
    <w:rsid w:val="00555E3A"/>
    <w:rsid w:val="0055731E"/>
    <w:rsid w:val="00557AD4"/>
    <w:rsid w:val="0056084B"/>
    <w:rsid w:val="00561112"/>
    <w:rsid w:val="00561BC2"/>
    <w:rsid w:val="0056257E"/>
    <w:rsid w:val="00562685"/>
    <w:rsid w:val="00563021"/>
    <w:rsid w:val="00563FC1"/>
    <w:rsid w:val="00564413"/>
    <w:rsid w:val="005659FA"/>
    <w:rsid w:val="0056784E"/>
    <w:rsid w:val="00567E9E"/>
    <w:rsid w:val="00567F08"/>
    <w:rsid w:val="00572BE6"/>
    <w:rsid w:val="00573171"/>
    <w:rsid w:val="0057357B"/>
    <w:rsid w:val="0058067D"/>
    <w:rsid w:val="005817DC"/>
    <w:rsid w:val="00581A3E"/>
    <w:rsid w:val="00581C1B"/>
    <w:rsid w:val="00581D8B"/>
    <w:rsid w:val="0058245E"/>
    <w:rsid w:val="00583710"/>
    <w:rsid w:val="00583E6E"/>
    <w:rsid w:val="00586032"/>
    <w:rsid w:val="005860B1"/>
    <w:rsid w:val="005860BD"/>
    <w:rsid w:val="00586F63"/>
    <w:rsid w:val="00587B97"/>
    <w:rsid w:val="00587C80"/>
    <w:rsid w:val="00590929"/>
    <w:rsid w:val="00590CF6"/>
    <w:rsid w:val="00591760"/>
    <w:rsid w:val="005924BF"/>
    <w:rsid w:val="00592D3F"/>
    <w:rsid w:val="005943A9"/>
    <w:rsid w:val="005949E5"/>
    <w:rsid w:val="00595F3B"/>
    <w:rsid w:val="00597635"/>
    <w:rsid w:val="00597E32"/>
    <w:rsid w:val="005A0233"/>
    <w:rsid w:val="005A08C1"/>
    <w:rsid w:val="005A0950"/>
    <w:rsid w:val="005A0CB5"/>
    <w:rsid w:val="005A10FC"/>
    <w:rsid w:val="005A1426"/>
    <w:rsid w:val="005A1D32"/>
    <w:rsid w:val="005A2BF5"/>
    <w:rsid w:val="005A3253"/>
    <w:rsid w:val="005A3278"/>
    <w:rsid w:val="005A3424"/>
    <w:rsid w:val="005A3E33"/>
    <w:rsid w:val="005A5574"/>
    <w:rsid w:val="005A7EAF"/>
    <w:rsid w:val="005B0C72"/>
    <w:rsid w:val="005B113B"/>
    <w:rsid w:val="005B1348"/>
    <w:rsid w:val="005B1B1B"/>
    <w:rsid w:val="005B1B86"/>
    <w:rsid w:val="005B2424"/>
    <w:rsid w:val="005B45D7"/>
    <w:rsid w:val="005B4CA9"/>
    <w:rsid w:val="005B5F98"/>
    <w:rsid w:val="005B6130"/>
    <w:rsid w:val="005B6EBD"/>
    <w:rsid w:val="005B7138"/>
    <w:rsid w:val="005C0788"/>
    <w:rsid w:val="005C112A"/>
    <w:rsid w:val="005C149B"/>
    <w:rsid w:val="005C3681"/>
    <w:rsid w:val="005C44F6"/>
    <w:rsid w:val="005C46A7"/>
    <w:rsid w:val="005C5C7F"/>
    <w:rsid w:val="005C6423"/>
    <w:rsid w:val="005C6F5A"/>
    <w:rsid w:val="005C6F8D"/>
    <w:rsid w:val="005D01E7"/>
    <w:rsid w:val="005D132E"/>
    <w:rsid w:val="005D198D"/>
    <w:rsid w:val="005D5223"/>
    <w:rsid w:val="005D6730"/>
    <w:rsid w:val="005D67C2"/>
    <w:rsid w:val="005D697F"/>
    <w:rsid w:val="005D753D"/>
    <w:rsid w:val="005E079C"/>
    <w:rsid w:val="005E07B7"/>
    <w:rsid w:val="005E11D8"/>
    <w:rsid w:val="005E1656"/>
    <w:rsid w:val="005E1C4D"/>
    <w:rsid w:val="005E1DFA"/>
    <w:rsid w:val="005E2959"/>
    <w:rsid w:val="005E3D06"/>
    <w:rsid w:val="005E4176"/>
    <w:rsid w:val="005E6C01"/>
    <w:rsid w:val="005E758F"/>
    <w:rsid w:val="005E760C"/>
    <w:rsid w:val="005E797D"/>
    <w:rsid w:val="005F0E5D"/>
    <w:rsid w:val="005F1DDE"/>
    <w:rsid w:val="005F29AA"/>
    <w:rsid w:val="005F2B04"/>
    <w:rsid w:val="005F57FA"/>
    <w:rsid w:val="005F5D2B"/>
    <w:rsid w:val="005F5E89"/>
    <w:rsid w:val="0060098A"/>
    <w:rsid w:val="00601047"/>
    <w:rsid w:val="006016FC"/>
    <w:rsid w:val="00601E8A"/>
    <w:rsid w:val="00602652"/>
    <w:rsid w:val="0060272D"/>
    <w:rsid w:val="00602844"/>
    <w:rsid w:val="006037A7"/>
    <w:rsid w:val="00603FF1"/>
    <w:rsid w:val="00604327"/>
    <w:rsid w:val="006045B2"/>
    <w:rsid w:val="00604A68"/>
    <w:rsid w:val="0060562F"/>
    <w:rsid w:val="00605BF6"/>
    <w:rsid w:val="00605ED6"/>
    <w:rsid w:val="00605F0F"/>
    <w:rsid w:val="00606104"/>
    <w:rsid w:val="0060623D"/>
    <w:rsid w:val="00606C31"/>
    <w:rsid w:val="00606D36"/>
    <w:rsid w:val="00606F5F"/>
    <w:rsid w:val="00607CB2"/>
    <w:rsid w:val="00610B5C"/>
    <w:rsid w:val="00611139"/>
    <w:rsid w:val="00614573"/>
    <w:rsid w:val="00616D8A"/>
    <w:rsid w:val="00617B78"/>
    <w:rsid w:val="00617C0B"/>
    <w:rsid w:val="006216F2"/>
    <w:rsid w:val="00621EE3"/>
    <w:rsid w:val="00621FA7"/>
    <w:rsid w:val="0062208B"/>
    <w:rsid w:val="00623E0D"/>
    <w:rsid w:val="00624580"/>
    <w:rsid w:val="00625AE1"/>
    <w:rsid w:val="00630C38"/>
    <w:rsid w:val="00631112"/>
    <w:rsid w:val="00631F17"/>
    <w:rsid w:val="00631FF4"/>
    <w:rsid w:val="00633EF8"/>
    <w:rsid w:val="006360BD"/>
    <w:rsid w:val="0063634C"/>
    <w:rsid w:val="0064036B"/>
    <w:rsid w:val="00640580"/>
    <w:rsid w:val="00640663"/>
    <w:rsid w:val="006414AB"/>
    <w:rsid w:val="00641F5D"/>
    <w:rsid w:val="00643564"/>
    <w:rsid w:val="006435BB"/>
    <w:rsid w:val="0064412C"/>
    <w:rsid w:val="00645FA2"/>
    <w:rsid w:val="00646931"/>
    <w:rsid w:val="00647DE8"/>
    <w:rsid w:val="006523F0"/>
    <w:rsid w:val="00652E0D"/>
    <w:rsid w:val="00653013"/>
    <w:rsid w:val="00653035"/>
    <w:rsid w:val="00654335"/>
    <w:rsid w:val="00655D22"/>
    <w:rsid w:val="0066281C"/>
    <w:rsid w:val="00663CD2"/>
    <w:rsid w:val="006642B4"/>
    <w:rsid w:val="00664B6F"/>
    <w:rsid w:val="00666899"/>
    <w:rsid w:val="00670E48"/>
    <w:rsid w:val="00673043"/>
    <w:rsid w:val="00673917"/>
    <w:rsid w:val="00673FB7"/>
    <w:rsid w:val="006745F9"/>
    <w:rsid w:val="0067460B"/>
    <w:rsid w:val="0067498D"/>
    <w:rsid w:val="00674B00"/>
    <w:rsid w:val="006754E0"/>
    <w:rsid w:val="0067722F"/>
    <w:rsid w:val="0068176E"/>
    <w:rsid w:val="00683668"/>
    <w:rsid w:val="00684F4A"/>
    <w:rsid w:val="00685388"/>
    <w:rsid w:val="0068541D"/>
    <w:rsid w:val="00686362"/>
    <w:rsid w:val="00686B16"/>
    <w:rsid w:val="00690E53"/>
    <w:rsid w:val="006911C0"/>
    <w:rsid w:val="00692288"/>
    <w:rsid w:val="00692E81"/>
    <w:rsid w:val="006933CC"/>
    <w:rsid w:val="00693891"/>
    <w:rsid w:val="0069791F"/>
    <w:rsid w:val="006A214C"/>
    <w:rsid w:val="006A236E"/>
    <w:rsid w:val="006A351F"/>
    <w:rsid w:val="006A4DE9"/>
    <w:rsid w:val="006A69E1"/>
    <w:rsid w:val="006A7533"/>
    <w:rsid w:val="006A7602"/>
    <w:rsid w:val="006A7934"/>
    <w:rsid w:val="006A79EA"/>
    <w:rsid w:val="006B0726"/>
    <w:rsid w:val="006B195F"/>
    <w:rsid w:val="006B2368"/>
    <w:rsid w:val="006B2790"/>
    <w:rsid w:val="006B29F4"/>
    <w:rsid w:val="006B3C53"/>
    <w:rsid w:val="006B3D6C"/>
    <w:rsid w:val="006B3FF3"/>
    <w:rsid w:val="006B4345"/>
    <w:rsid w:val="006B44CA"/>
    <w:rsid w:val="006B4680"/>
    <w:rsid w:val="006B4C39"/>
    <w:rsid w:val="006B6825"/>
    <w:rsid w:val="006C033B"/>
    <w:rsid w:val="006C05DB"/>
    <w:rsid w:val="006C18E0"/>
    <w:rsid w:val="006C228A"/>
    <w:rsid w:val="006C24AB"/>
    <w:rsid w:val="006C3C6C"/>
    <w:rsid w:val="006C4FF8"/>
    <w:rsid w:val="006C550C"/>
    <w:rsid w:val="006C58ED"/>
    <w:rsid w:val="006C5918"/>
    <w:rsid w:val="006C62F9"/>
    <w:rsid w:val="006D02C2"/>
    <w:rsid w:val="006D04F5"/>
    <w:rsid w:val="006D0C28"/>
    <w:rsid w:val="006D226B"/>
    <w:rsid w:val="006D65AF"/>
    <w:rsid w:val="006D6AD8"/>
    <w:rsid w:val="006D7B52"/>
    <w:rsid w:val="006D7E10"/>
    <w:rsid w:val="006D7E5D"/>
    <w:rsid w:val="006E0A8A"/>
    <w:rsid w:val="006E120F"/>
    <w:rsid w:val="006E1DE5"/>
    <w:rsid w:val="006E1F5E"/>
    <w:rsid w:val="006E2F7C"/>
    <w:rsid w:val="006E3639"/>
    <w:rsid w:val="006E43B3"/>
    <w:rsid w:val="006E559C"/>
    <w:rsid w:val="006E595C"/>
    <w:rsid w:val="006E5ACA"/>
    <w:rsid w:val="006E5E90"/>
    <w:rsid w:val="006F1294"/>
    <w:rsid w:val="006F234A"/>
    <w:rsid w:val="006F26D4"/>
    <w:rsid w:val="006F2881"/>
    <w:rsid w:val="006F2E86"/>
    <w:rsid w:val="006F34B9"/>
    <w:rsid w:val="006F374F"/>
    <w:rsid w:val="006F4EEE"/>
    <w:rsid w:val="006F5980"/>
    <w:rsid w:val="006F77DA"/>
    <w:rsid w:val="00700514"/>
    <w:rsid w:val="00700C4D"/>
    <w:rsid w:val="00701803"/>
    <w:rsid w:val="00702169"/>
    <w:rsid w:val="00702626"/>
    <w:rsid w:val="00704566"/>
    <w:rsid w:val="007059B4"/>
    <w:rsid w:val="00707032"/>
    <w:rsid w:val="0070786E"/>
    <w:rsid w:val="007101DF"/>
    <w:rsid w:val="00710FFB"/>
    <w:rsid w:val="007114E3"/>
    <w:rsid w:val="00711975"/>
    <w:rsid w:val="00712AB5"/>
    <w:rsid w:val="00713D4F"/>
    <w:rsid w:val="00714605"/>
    <w:rsid w:val="00714668"/>
    <w:rsid w:val="007149CE"/>
    <w:rsid w:val="00715395"/>
    <w:rsid w:val="00717E2C"/>
    <w:rsid w:val="00720146"/>
    <w:rsid w:val="00720B2C"/>
    <w:rsid w:val="007273C3"/>
    <w:rsid w:val="0072750F"/>
    <w:rsid w:val="00731621"/>
    <w:rsid w:val="00731D3E"/>
    <w:rsid w:val="007325C0"/>
    <w:rsid w:val="00732E19"/>
    <w:rsid w:val="00733410"/>
    <w:rsid w:val="00734CC5"/>
    <w:rsid w:val="0073539F"/>
    <w:rsid w:val="007355A4"/>
    <w:rsid w:val="00735C59"/>
    <w:rsid w:val="00736524"/>
    <w:rsid w:val="00736596"/>
    <w:rsid w:val="00740F28"/>
    <w:rsid w:val="0074187E"/>
    <w:rsid w:val="00741F55"/>
    <w:rsid w:val="007428CE"/>
    <w:rsid w:val="00744348"/>
    <w:rsid w:val="00746378"/>
    <w:rsid w:val="0074746F"/>
    <w:rsid w:val="007476F9"/>
    <w:rsid w:val="0075052B"/>
    <w:rsid w:val="007531FF"/>
    <w:rsid w:val="007541F2"/>
    <w:rsid w:val="0075436F"/>
    <w:rsid w:val="007543FB"/>
    <w:rsid w:val="00756CB1"/>
    <w:rsid w:val="00756F5A"/>
    <w:rsid w:val="00757A19"/>
    <w:rsid w:val="007602CF"/>
    <w:rsid w:val="0076068E"/>
    <w:rsid w:val="00761103"/>
    <w:rsid w:val="00761427"/>
    <w:rsid w:val="00761875"/>
    <w:rsid w:val="00761E47"/>
    <w:rsid w:val="0076338A"/>
    <w:rsid w:val="0076594C"/>
    <w:rsid w:val="007674E6"/>
    <w:rsid w:val="00767921"/>
    <w:rsid w:val="00767C53"/>
    <w:rsid w:val="007700CF"/>
    <w:rsid w:val="00771AAF"/>
    <w:rsid w:val="00772341"/>
    <w:rsid w:val="00772FDC"/>
    <w:rsid w:val="00773EDB"/>
    <w:rsid w:val="00774182"/>
    <w:rsid w:val="00774620"/>
    <w:rsid w:val="007765C4"/>
    <w:rsid w:val="00777158"/>
    <w:rsid w:val="0077782E"/>
    <w:rsid w:val="007808FC"/>
    <w:rsid w:val="007814A5"/>
    <w:rsid w:val="00782B5C"/>
    <w:rsid w:val="00782F7B"/>
    <w:rsid w:val="00782F93"/>
    <w:rsid w:val="00783532"/>
    <w:rsid w:val="007835DA"/>
    <w:rsid w:val="00783EC5"/>
    <w:rsid w:val="00784167"/>
    <w:rsid w:val="00787B5F"/>
    <w:rsid w:val="00787BAC"/>
    <w:rsid w:val="00791F0A"/>
    <w:rsid w:val="007933F2"/>
    <w:rsid w:val="00793E4F"/>
    <w:rsid w:val="007967BA"/>
    <w:rsid w:val="00797888"/>
    <w:rsid w:val="007A0218"/>
    <w:rsid w:val="007A0D79"/>
    <w:rsid w:val="007A0FFC"/>
    <w:rsid w:val="007A1DCC"/>
    <w:rsid w:val="007A210C"/>
    <w:rsid w:val="007A2BB3"/>
    <w:rsid w:val="007A2DFC"/>
    <w:rsid w:val="007A30FB"/>
    <w:rsid w:val="007A40E1"/>
    <w:rsid w:val="007A444E"/>
    <w:rsid w:val="007A498A"/>
    <w:rsid w:val="007A51A3"/>
    <w:rsid w:val="007A60D9"/>
    <w:rsid w:val="007B107E"/>
    <w:rsid w:val="007B183F"/>
    <w:rsid w:val="007B4273"/>
    <w:rsid w:val="007B488B"/>
    <w:rsid w:val="007B5BA1"/>
    <w:rsid w:val="007B5C41"/>
    <w:rsid w:val="007B5C7A"/>
    <w:rsid w:val="007B5F5D"/>
    <w:rsid w:val="007B61A2"/>
    <w:rsid w:val="007B6ECF"/>
    <w:rsid w:val="007B7D7F"/>
    <w:rsid w:val="007C14EA"/>
    <w:rsid w:val="007C1DDD"/>
    <w:rsid w:val="007C2F7F"/>
    <w:rsid w:val="007C2F8C"/>
    <w:rsid w:val="007C39AF"/>
    <w:rsid w:val="007C47D0"/>
    <w:rsid w:val="007C4C74"/>
    <w:rsid w:val="007C51C5"/>
    <w:rsid w:val="007C5BFD"/>
    <w:rsid w:val="007C6679"/>
    <w:rsid w:val="007D19A0"/>
    <w:rsid w:val="007D2E82"/>
    <w:rsid w:val="007D3B48"/>
    <w:rsid w:val="007D5F10"/>
    <w:rsid w:val="007D77CA"/>
    <w:rsid w:val="007D7BD9"/>
    <w:rsid w:val="007D7DE5"/>
    <w:rsid w:val="007E0D87"/>
    <w:rsid w:val="007E0E32"/>
    <w:rsid w:val="007E31B4"/>
    <w:rsid w:val="007E4876"/>
    <w:rsid w:val="007E60C9"/>
    <w:rsid w:val="007E60F6"/>
    <w:rsid w:val="007E70C5"/>
    <w:rsid w:val="007E746F"/>
    <w:rsid w:val="007E7BEB"/>
    <w:rsid w:val="007F1B57"/>
    <w:rsid w:val="007F215D"/>
    <w:rsid w:val="007F4816"/>
    <w:rsid w:val="007F4B7D"/>
    <w:rsid w:val="007F4C3E"/>
    <w:rsid w:val="007F51A6"/>
    <w:rsid w:val="00801366"/>
    <w:rsid w:val="00801D53"/>
    <w:rsid w:val="00804937"/>
    <w:rsid w:val="008062CC"/>
    <w:rsid w:val="00806EAF"/>
    <w:rsid w:val="008111DA"/>
    <w:rsid w:val="00811295"/>
    <w:rsid w:val="00813039"/>
    <w:rsid w:val="0081396A"/>
    <w:rsid w:val="00814CA8"/>
    <w:rsid w:val="008175E6"/>
    <w:rsid w:val="008178AF"/>
    <w:rsid w:val="0082005E"/>
    <w:rsid w:val="00820327"/>
    <w:rsid w:val="0082106B"/>
    <w:rsid w:val="00821684"/>
    <w:rsid w:val="00821B7F"/>
    <w:rsid w:val="00822501"/>
    <w:rsid w:val="00824B2B"/>
    <w:rsid w:val="00824D46"/>
    <w:rsid w:val="00826639"/>
    <w:rsid w:val="00826CA6"/>
    <w:rsid w:val="00831B59"/>
    <w:rsid w:val="00832DBD"/>
    <w:rsid w:val="00834910"/>
    <w:rsid w:val="00835B21"/>
    <w:rsid w:val="008367ED"/>
    <w:rsid w:val="00840CB4"/>
    <w:rsid w:val="00841FD4"/>
    <w:rsid w:val="00846AB3"/>
    <w:rsid w:val="00847DE1"/>
    <w:rsid w:val="008504EF"/>
    <w:rsid w:val="008529A5"/>
    <w:rsid w:val="0085371D"/>
    <w:rsid w:val="00853914"/>
    <w:rsid w:val="00855B82"/>
    <w:rsid w:val="0085670A"/>
    <w:rsid w:val="008605CB"/>
    <w:rsid w:val="00860A71"/>
    <w:rsid w:val="00861623"/>
    <w:rsid w:val="00861C70"/>
    <w:rsid w:val="00872CAA"/>
    <w:rsid w:val="00873638"/>
    <w:rsid w:val="008743A3"/>
    <w:rsid w:val="008745DE"/>
    <w:rsid w:val="008746B1"/>
    <w:rsid w:val="00875214"/>
    <w:rsid w:val="00875CCC"/>
    <w:rsid w:val="00876EED"/>
    <w:rsid w:val="00881E7D"/>
    <w:rsid w:val="00882EC1"/>
    <w:rsid w:val="008839CD"/>
    <w:rsid w:val="0088458C"/>
    <w:rsid w:val="00884FAD"/>
    <w:rsid w:val="0088581A"/>
    <w:rsid w:val="00886FE7"/>
    <w:rsid w:val="00890C4D"/>
    <w:rsid w:val="00890DD4"/>
    <w:rsid w:val="00891A15"/>
    <w:rsid w:val="00891C22"/>
    <w:rsid w:val="00892DBC"/>
    <w:rsid w:val="008937EA"/>
    <w:rsid w:val="008962A9"/>
    <w:rsid w:val="008A2151"/>
    <w:rsid w:val="008A2267"/>
    <w:rsid w:val="008A2BF5"/>
    <w:rsid w:val="008A2E97"/>
    <w:rsid w:val="008A48D0"/>
    <w:rsid w:val="008A4DB0"/>
    <w:rsid w:val="008A5B72"/>
    <w:rsid w:val="008A7533"/>
    <w:rsid w:val="008A75B9"/>
    <w:rsid w:val="008A7716"/>
    <w:rsid w:val="008B146B"/>
    <w:rsid w:val="008B1D9F"/>
    <w:rsid w:val="008B2B28"/>
    <w:rsid w:val="008B3418"/>
    <w:rsid w:val="008B7626"/>
    <w:rsid w:val="008B7761"/>
    <w:rsid w:val="008C0206"/>
    <w:rsid w:val="008C2252"/>
    <w:rsid w:val="008C2666"/>
    <w:rsid w:val="008C394E"/>
    <w:rsid w:val="008C4F34"/>
    <w:rsid w:val="008C5AFD"/>
    <w:rsid w:val="008C77D1"/>
    <w:rsid w:val="008C7A3F"/>
    <w:rsid w:val="008D06B9"/>
    <w:rsid w:val="008D1487"/>
    <w:rsid w:val="008D194A"/>
    <w:rsid w:val="008D200F"/>
    <w:rsid w:val="008D255D"/>
    <w:rsid w:val="008D2F89"/>
    <w:rsid w:val="008D352C"/>
    <w:rsid w:val="008D3D21"/>
    <w:rsid w:val="008D4592"/>
    <w:rsid w:val="008D56DD"/>
    <w:rsid w:val="008D5D12"/>
    <w:rsid w:val="008D6D4E"/>
    <w:rsid w:val="008E3431"/>
    <w:rsid w:val="008E528B"/>
    <w:rsid w:val="008E6C47"/>
    <w:rsid w:val="008E6E52"/>
    <w:rsid w:val="008E7365"/>
    <w:rsid w:val="008E7E10"/>
    <w:rsid w:val="008F060B"/>
    <w:rsid w:val="008F50EE"/>
    <w:rsid w:val="008F50F4"/>
    <w:rsid w:val="008F5C7F"/>
    <w:rsid w:val="008F6AE4"/>
    <w:rsid w:val="008F6BB4"/>
    <w:rsid w:val="0090075B"/>
    <w:rsid w:val="00904895"/>
    <w:rsid w:val="00904B10"/>
    <w:rsid w:val="0090525C"/>
    <w:rsid w:val="00907ABE"/>
    <w:rsid w:val="00910922"/>
    <w:rsid w:val="00911BC3"/>
    <w:rsid w:val="00911C00"/>
    <w:rsid w:val="00913D93"/>
    <w:rsid w:val="009158E6"/>
    <w:rsid w:val="00916769"/>
    <w:rsid w:val="009173DD"/>
    <w:rsid w:val="0092040F"/>
    <w:rsid w:val="00923262"/>
    <w:rsid w:val="009244D1"/>
    <w:rsid w:val="0092452C"/>
    <w:rsid w:val="00924809"/>
    <w:rsid w:val="009249C4"/>
    <w:rsid w:val="009259C1"/>
    <w:rsid w:val="00926EC3"/>
    <w:rsid w:val="009270B9"/>
    <w:rsid w:val="00930892"/>
    <w:rsid w:val="00930B81"/>
    <w:rsid w:val="0093159F"/>
    <w:rsid w:val="009318D5"/>
    <w:rsid w:val="00933D56"/>
    <w:rsid w:val="009343D0"/>
    <w:rsid w:val="00935019"/>
    <w:rsid w:val="0093509A"/>
    <w:rsid w:val="0093575B"/>
    <w:rsid w:val="00936123"/>
    <w:rsid w:val="0093696B"/>
    <w:rsid w:val="00936B88"/>
    <w:rsid w:val="00937D3F"/>
    <w:rsid w:val="00940151"/>
    <w:rsid w:val="009415D0"/>
    <w:rsid w:val="009418CA"/>
    <w:rsid w:val="00941AE9"/>
    <w:rsid w:val="00945774"/>
    <w:rsid w:val="00946412"/>
    <w:rsid w:val="0094724C"/>
    <w:rsid w:val="0095432C"/>
    <w:rsid w:val="009548C2"/>
    <w:rsid w:val="0095513E"/>
    <w:rsid w:val="0095573A"/>
    <w:rsid w:val="00955920"/>
    <w:rsid w:val="00956144"/>
    <w:rsid w:val="00956ED7"/>
    <w:rsid w:val="00961651"/>
    <w:rsid w:val="009616D1"/>
    <w:rsid w:val="009619E7"/>
    <w:rsid w:val="00961A3C"/>
    <w:rsid w:val="00964128"/>
    <w:rsid w:val="00964A15"/>
    <w:rsid w:val="00964BA1"/>
    <w:rsid w:val="0096625E"/>
    <w:rsid w:val="0096680E"/>
    <w:rsid w:val="00967237"/>
    <w:rsid w:val="009674A6"/>
    <w:rsid w:val="00967EC8"/>
    <w:rsid w:val="00973A8E"/>
    <w:rsid w:val="00974207"/>
    <w:rsid w:val="00974670"/>
    <w:rsid w:val="009753FC"/>
    <w:rsid w:val="009757A3"/>
    <w:rsid w:val="009760B8"/>
    <w:rsid w:val="00976CC5"/>
    <w:rsid w:val="009805EF"/>
    <w:rsid w:val="009812EC"/>
    <w:rsid w:val="00981985"/>
    <w:rsid w:val="00981C6F"/>
    <w:rsid w:val="00983889"/>
    <w:rsid w:val="00984571"/>
    <w:rsid w:val="00985074"/>
    <w:rsid w:val="009858AA"/>
    <w:rsid w:val="00990E57"/>
    <w:rsid w:val="0099333E"/>
    <w:rsid w:val="00993903"/>
    <w:rsid w:val="00994903"/>
    <w:rsid w:val="009962D0"/>
    <w:rsid w:val="009973F0"/>
    <w:rsid w:val="00997814"/>
    <w:rsid w:val="00997BE0"/>
    <w:rsid w:val="009A1A99"/>
    <w:rsid w:val="009A2614"/>
    <w:rsid w:val="009A3481"/>
    <w:rsid w:val="009A395F"/>
    <w:rsid w:val="009A4240"/>
    <w:rsid w:val="009A43B3"/>
    <w:rsid w:val="009A53FA"/>
    <w:rsid w:val="009B1AB3"/>
    <w:rsid w:val="009B1B95"/>
    <w:rsid w:val="009B1C60"/>
    <w:rsid w:val="009B1EB7"/>
    <w:rsid w:val="009B50CB"/>
    <w:rsid w:val="009B6433"/>
    <w:rsid w:val="009B6B98"/>
    <w:rsid w:val="009B75B9"/>
    <w:rsid w:val="009B7627"/>
    <w:rsid w:val="009C194F"/>
    <w:rsid w:val="009C1A44"/>
    <w:rsid w:val="009C32FE"/>
    <w:rsid w:val="009C3A56"/>
    <w:rsid w:val="009C54CD"/>
    <w:rsid w:val="009C683A"/>
    <w:rsid w:val="009C6C96"/>
    <w:rsid w:val="009C7381"/>
    <w:rsid w:val="009D0136"/>
    <w:rsid w:val="009D0D6C"/>
    <w:rsid w:val="009D110E"/>
    <w:rsid w:val="009D1F09"/>
    <w:rsid w:val="009D33ED"/>
    <w:rsid w:val="009D4778"/>
    <w:rsid w:val="009D4A08"/>
    <w:rsid w:val="009D5B03"/>
    <w:rsid w:val="009D651A"/>
    <w:rsid w:val="009E04B4"/>
    <w:rsid w:val="009E1FF3"/>
    <w:rsid w:val="009E255D"/>
    <w:rsid w:val="009E327F"/>
    <w:rsid w:val="009F1138"/>
    <w:rsid w:val="009F1A45"/>
    <w:rsid w:val="009F1F87"/>
    <w:rsid w:val="009F2728"/>
    <w:rsid w:val="009F3513"/>
    <w:rsid w:val="009F39A9"/>
    <w:rsid w:val="009F4AD8"/>
    <w:rsid w:val="009F5A20"/>
    <w:rsid w:val="009F7129"/>
    <w:rsid w:val="009F7B04"/>
    <w:rsid w:val="00A00C24"/>
    <w:rsid w:val="00A0352D"/>
    <w:rsid w:val="00A04418"/>
    <w:rsid w:val="00A04B69"/>
    <w:rsid w:val="00A107B9"/>
    <w:rsid w:val="00A12741"/>
    <w:rsid w:val="00A12D9C"/>
    <w:rsid w:val="00A14CA0"/>
    <w:rsid w:val="00A15276"/>
    <w:rsid w:val="00A153DE"/>
    <w:rsid w:val="00A208E9"/>
    <w:rsid w:val="00A218FD"/>
    <w:rsid w:val="00A21AD5"/>
    <w:rsid w:val="00A22EB2"/>
    <w:rsid w:val="00A2326A"/>
    <w:rsid w:val="00A24199"/>
    <w:rsid w:val="00A24C34"/>
    <w:rsid w:val="00A2615B"/>
    <w:rsid w:val="00A27470"/>
    <w:rsid w:val="00A308B1"/>
    <w:rsid w:val="00A325FE"/>
    <w:rsid w:val="00A3294A"/>
    <w:rsid w:val="00A333F8"/>
    <w:rsid w:val="00A33D3A"/>
    <w:rsid w:val="00A34F65"/>
    <w:rsid w:val="00A36078"/>
    <w:rsid w:val="00A420E6"/>
    <w:rsid w:val="00A4288B"/>
    <w:rsid w:val="00A43286"/>
    <w:rsid w:val="00A43747"/>
    <w:rsid w:val="00A44E57"/>
    <w:rsid w:val="00A457FD"/>
    <w:rsid w:val="00A47006"/>
    <w:rsid w:val="00A4775D"/>
    <w:rsid w:val="00A5035F"/>
    <w:rsid w:val="00A50421"/>
    <w:rsid w:val="00A50540"/>
    <w:rsid w:val="00A525A9"/>
    <w:rsid w:val="00A52974"/>
    <w:rsid w:val="00A52D18"/>
    <w:rsid w:val="00A53C42"/>
    <w:rsid w:val="00A5581F"/>
    <w:rsid w:val="00A56486"/>
    <w:rsid w:val="00A577C7"/>
    <w:rsid w:val="00A61BA9"/>
    <w:rsid w:val="00A63253"/>
    <w:rsid w:val="00A63496"/>
    <w:rsid w:val="00A63515"/>
    <w:rsid w:val="00A63847"/>
    <w:rsid w:val="00A63C04"/>
    <w:rsid w:val="00A64734"/>
    <w:rsid w:val="00A64984"/>
    <w:rsid w:val="00A64A3D"/>
    <w:rsid w:val="00A66147"/>
    <w:rsid w:val="00A66158"/>
    <w:rsid w:val="00A66C69"/>
    <w:rsid w:val="00A66E67"/>
    <w:rsid w:val="00A673EB"/>
    <w:rsid w:val="00A70294"/>
    <w:rsid w:val="00A70440"/>
    <w:rsid w:val="00A723CC"/>
    <w:rsid w:val="00A73D58"/>
    <w:rsid w:val="00A744BC"/>
    <w:rsid w:val="00A75DD6"/>
    <w:rsid w:val="00A763E2"/>
    <w:rsid w:val="00A77243"/>
    <w:rsid w:val="00A7749A"/>
    <w:rsid w:val="00A801E2"/>
    <w:rsid w:val="00A80E8A"/>
    <w:rsid w:val="00A81BA6"/>
    <w:rsid w:val="00A8275B"/>
    <w:rsid w:val="00A83AD0"/>
    <w:rsid w:val="00A84431"/>
    <w:rsid w:val="00A85156"/>
    <w:rsid w:val="00A8661D"/>
    <w:rsid w:val="00A8775E"/>
    <w:rsid w:val="00A9082C"/>
    <w:rsid w:val="00A9099D"/>
    <w:rsid w:val="00A92092"/>
    <w:rsid w:val="00A93C2A"/>
    <w:rsid w:val="00A93C66"/>
    <w:rsid w:val="00A957E7"/>
    <w:rsid w:val="00A95B20"/>
    <w:rsid w:val="00A96551"/>
    <w:rsid w:val="00A9753F"/>
    <w:rsid w:val="00AA0005"/>
    <w:rsid w:val="00AA0EB1"/>
    <w:rsid w:val="00AA206D"/>
    <w:rsid w:val="00AA22A7"/>
    <w:rsid w:val="00AA3669"/>
    <w:rsid w:val="00AA3AC7"/>
    <w:rsid w:val="00AA446E"/>
    <w:rsid w:val="00AA6393"/>
    <w:rsid w:val="00AB1453"/>
    <w:rsid w:val="00AB168B"/>
    <w:rsid w:val="00AB17A5"/>
    <w:rsid w:val="00AB1C8E"/>
    <w:rsid w:val="00AB4008"/>
    <w:rsid w:val="00AB52A4"/>
    <w:rsid w:val="00AB5A8D"/>
    <w:rsid w:val="00AB6E00"/>
    <w:rsid w:val="00AB7C63"/>
    <w:rsid w:val="00AC0351"/>
    <w:rsid w:val="00AC0505"/>
    <w:rsid w:val="00AC13B7"/>
    <w:rsid w:val="00AC1C78"/>
    <w:rsid w:val="00AC3367"/>
    <w:rsid w:val="00AC412C"/>
    <w:rsid w:val="00AC559F"/>
    <w:rsid w:val="00AC6539"/>
    <w:rsid w:val="00AD1E3A"/>
    <w:rsid w:val="00AD3414"/>
    <w:rsid w:val="00AD3800"/>
    <w:rsid w:val="00AD3D8D"/>
    <w:rsid w:val="00AD43AF"/>
    <w:rsid w:val="00AD4E7C"/>
    <w:rsid w:val="00AD50C2"/>
    <w:rsid w:val="00AD559B"/>
    <w:rsid w:val="00AD5E9A"/>
    <w:rsid w:val="00AD6389"/>
    <w:rsid w:val="00AD7960"/>
    <w:rsid w:val="00AE1BAA"/>
    <w:rsid w:val="00AE29E2"/>
    <w:rsid w:val="00AE31B1"/>
    <w:rsid w:val="00AE32CB"/>
    <w:rsid w:val="00AE480C"/>
    <w:rsid w:val="00AE52BD"/>
    <w:rsid w:val="00AE5E0B"/>
    <w:rsid w:val="00AE7372"/>
    <w:rsid w:val="00AF0754"/>
    <w:rsid w:val="00AF1112"/>
    <w:rsid w:val="00AF1660"/>
    <w:rsid w:val="00AF256B"/>
    <w:rsid w:val="00AF3E1D"/>
    <w:rsid w:val="00AF405A"/>
    <w:rsid w:val="00AF5E5D"/>
    <w:rsid w:val="00AF6152"/>
    <w:rsid w:val="00AF722C"/>
    <w:rsid w:val="00AF7E89"/>
    <w:rsid w:val="00B00572"/>
    <w:rsid w:val="00B01490"/>
    <w:rsid w:val="00B0182F"/>
    <w:rsid w:val="00B02908"/>
    <w:rsid w:val="00B03A4D"/>
    <w:rsid w:val="00B04F01"/>
    <w:rsid w:val="00B06875"/>
    <w:rsid w:val="00B06A39"/>
    <w:rsid w:val="00B145F4"/>
    <w:rsid w:val="00B14ACB"/>
    <w:rsid w:val="00B14EF5"/>
    <w:rsid w:val="00B16AB9"/>
    <w:rsid w:val="00B20D41"/>
    <w:rsid w:val="00B211E0"/>
    <w:rsid w:val="00B225F1"/>
    <w:rsid w:val="00B25BE2"/>
    <w:rsid w:val="00B26054"/>
    <w:rsid w:val="00B27231"/>
    <w:rsid w:val="00B27D0C"/>
    <w:rsid w:val="00B30145"/>
    <w:rsid w:val="00B306ED"/>
    <w:rsid w:val="00B32DF4"/>
    <w:rsid w:val="00B3325A"/>
    <w:rsid w:val="00B33C52"/>
    <w:rsid w:val="00B35007"/>
    <w:rsid w:val="00B40656"/>
    <w:rsid w:val="00B40804"/>
    <w:rsid w:val="00B41C94"/>
    <w:rsid w:val="00B42E78"/>
    <w:rsid w:val="00B42F30"/>
    <w:rsid w:val="00B435FE"/>
    <w:rsid w:val="00B436E7"/>
    <w:rsid w:val="00B442BD"/>
    <w:rsid w:val="00B443CE"/>
    <w:rsid w:val="00B472AC"/>
    <w:rsid w:val="00B477D0"/>
    <w:rsid w:val="00B50646"/>
    <w:rsid w:val="00B509E8"/>
    <w:rsid w:val="00B50E3A"/>
    <w:rsid w:val="00B516B1"/>
    <w:rsid w:val="00B523FD"/>
    <w:rsid w:val="00B564FA"/>
    <w:rsid w:val="00B57CE7"/>
    <w:rsid w:val="00B6083F"/>
    <w:rsid w:val="00B62262"/>
    <w:rsid w:val="00B62298"/>
    <w:rsid w:val="00B62930"/>
    <w:rsid w:val="00B633B9"/>
    <w:rsid w:val="00B634CA"/>
    <w:rsid w:val="00B648F9"/>
    <w:rsid w:val="00B64AAB"/>
    <w:rsid w:val="00B6524C"/>
    <w:rsid w:val="00B653E3"/>
    <w:rsid w:val="00B65699"/>
    <w:rsid w:val="00B66F45"/>
    <w:rsid w:val="00B67A4F"/>
    <w:rsid w:val="00B71B53"/>
    <w:rsid w:val="00B73342"/>
    <w:rsid w:val="00B74079"/>
    <w:rsid w:val="00B7536C"/>
    <w:rsid w:val="00B758B3"/>
    <w:rsid w:val="00B75B20"/>
    <w:rsid w:val="00B764DE"/>
    <w:rsid w:val="00B76BC2"/>
    <w:rsid w:val="00B80A4C"/>
    <w:rsid w:val="00B81DA3"/>
    <w:rsid w:val="00B829BA"/>
    <w:rsid w:val="00B82DBD"/>
    <w:rsid w:val="00B83CC0"/>
    <w:rsid w:val="00B8687A"/>
    <w:rsid w:val="00B86BFB"/>
    <w:rsid w:val="00B87085"/>
    <w:rsid w:val="00B87A83"/>
    <w:rsid w:val="00B92564"/>
    <w:rsid w:val="00B928ED"/>
    <w:rsid w:val="00B9341D"/>
    <w:rsid w:val="00B93458"/>
    <w:rsid w:val="00B938E7"/>
    <w:rsid w:val="00B94D53"/>
    <w:rsid w:val="00B94F1F"/>
    <w:rsid w:val="00B954FB"/>
    <w:rsid w:val="00BA202D"/>
    <w:rsid w:val="00BA2920"/>
    <w:rsid w:val="00BA71F1"/>
    <w:rsid w:val="00BA77F9"/>
    <w:rsid w:val="00BA7EB4"/>
    <w:rsid w:val="00BB0149"/>
    <w:rsid w:val="00BB1DFA"/>
    <w:rsid w:val="00BB3C73"/>
    <w:rsid w:val="00BB5CE5"/>
    <w:rsid w:val="00BB7AD7"/>
    <w:rsid w:val="00BC03C3"/>
    <w:rsid w:val="00BC15AA"/>
    <w:rsid w:val="00BC225F"/>
    <w:rsid w:val="00BC23CB"/>
    <w:rsid w:val="00BC2928"/>
    <w:rsid w:val="00BC353D"/>
    <w:rsid w:val="00BC3B83"/>
    <w:rsid w:val="00BC5258"/>
    <w:rsid w:val="00BC5D0F"/>
    <w:rsid w:val="00BC5F95"/>
    <w:rsid w:val="00BC5FB0"/>
    <w:rsid w:val="00BC6176"/>
    <w:rsid w:val="00BC7364"/>
    <w:rsid w:val="00BC79DF"/>
    <w:rsid w:val="00BC7C51"/>
    <w:rsid w:val="00BD1965"/>
    <w:rsid w:val="00BD27F6"/>
    <w:rsid w:val="00BD3D19"/>
    <w:rsid w:val="00BD5A98"/>
    <w:rsid w:val="00BD7534"/>
    <w:rsid w:val="00BD777A"/>
    <w:rsid w:val="00BE14DD"/>
    <w:rsid w:val="00BE19A0"/>
    <w:rsid w:val="00BE1A7E"/>
    <w:rsid w:val="00BE451C"/>
    <w:rsid w:val="00BE5CC1"/>
    <w:rsid w:val="00BE5FCD"/>
    <w:rsid w:val="00BE6AD2"/>
    <w:rsid w:val="00BE6AE2"/>
    <w:rsid w:val="00BE7256"/>
    <w:rsid w:val="00BF089C"/>
    <w:rsid w:val="00BF0C06"/>
    <w:rsid w:val="00BF2B69"/>
    <w:rsid w:val="00BF4407"/>
    <w:rsid w:val="00BF5618"/>
    <w:rsid w:val="00BF78C9"/>
    <w:rsid w:val="00C01529"/>
    <w:rsid w:val="00C0174A"/>
    <w:rsid w:val="00C039DE"/>
    <w:rsid w:val="00C04AB8"/>
    <w:rsid w:val="00C101C1"/>
    <w:rsid w:val="00C10EE4"/>
    <w:rsid w:val="00C1121B"/>
    <w:rsid w:val="00C11604"/>
    <w:rsid w:val="00C116E9"/>
    <w:rsid w:val="00C13043"/>
    <w:rsid w:val="00C13BA8"/>
    <w:rsid w:val="00C13F10"/>
    <w:rsid w:val="00C157A5"/>
    <w:rsid w:val="00C16CBB"/>
    <w:rsid w:val="00C2035B"/>
    <w:rsid w:val="00C20885"/>
    <w:rsid w:val="00C20F72"/>
    <w:rsid w:val="00C2135C"/>
    <w:rsid w:val="00C214C5"/>
    <w:rsid w:val="00C24554"/>
    <w:rsid w:val="00C245AF"/>
    <w:rsid w:val="00C25EA4"/>
    <w:rsid w:val="00C264A5"/>
    <w:rsid w:val="00C278B7"/>
    <w:rsid w:val="00C300A6"/>
    <w:rsid w:val="00C30DC0"/>
    <w:rsid w:val="00C3305C"/>
    <w:rsid w:val="00C3311F"/>
    <w:rsid w:val="00C347F4"/>
    <w:rsid w:val="00C36AFB"/>
    <w:rsid w:val="00C37070"/>
    <w:rsid w:val="00C37677"/>
    <w:rsid w:val="00C4160C"/>
    <w:rsid w:val="00C42738"/>
    <w:rsid w:val="00C429C0"/>
    <w:rsid w:val="00C45A03"/>
    <w:rsid w:val="00C46FF0"/>
    <w:rsid w:val="00C47218"/>
    <w:rsid w:val="00C50387"/>
    <w:rsid w:val="00C52FA2"/>
    <w:rsid w:val="00C535C9"/>
    <w:rsid w:val="00C54E8E"/>
    <w:rsid w:val="00C55527"/>
    <w:rsid w:val="00C55DAD"/>
    <w:rsid w:val="00C55F22"/>
    <w:rsid w:val="00C565ED"/>
    <w:rsid w:val="00C575C2"/>
    <w:rsid w:val="00C609E7"/>
    <w:rsid w:val="00C60EC6"/>
    <w:rsid w:val="00C6160A"/>
    <w:rsid w:val="00C65664"/>
    <w:rsid w:val="00C67602"/>
    <w:rsid w:val="00C677AB"/>
    <w:rsid w:val="00C67E88"/>
    <w:rsid w:val="00C73C8F"/>
    <w:rsid w:val="00C744D6"/>
    <w:rsid w:val="00C747CF"/>
    <w:rsid w:val="00C75236"/>
    <w:rsid w:val="00C75798"/>
    <w:rsid w:val="00C7593F"/>
    <w:rsid w:val="00C75CF2"/>
    <w:rsid w:val="00C805F3"/>
    <w:rsid w:val="00C80CFF"/>
    <w:rsid w:val="00C80D54"/>
    <w:rsid w:val="00C812B8"/>
    <w:rsid w:val="00C81DB1"/>
    <w:rsid w:val="00C8211D"/>
    <w:rsid w:val="00C82F8C"/>
    <w:rsid w:val="00C86A3C"/>
    <w:rsid w:val="00C878AD"/>
    <w:rsid w:val="00C87F8A"/>
    <w:rsid w:val="00C901C2"/>
    <w:rsid w:val="00C91F9B"/>
    <w:rsid w:val="00C926B0"/>
    <w:rsid w:val="00C9639B"/>
    <w:rsid w:val="00C96723"/>
    <w:rsid w:val="00C969D5"/>
    <w:rsid w:val="00C96EDF"/>
    <w:rsid w:val="00C9739F"/>
    <w:rsid w:val="00CA07A7"/>
    <w:rsid w:val="00CA2720"/>
    <w:rsid w:val="00CA36B6"/>
    <w:rsid w:val="00CA3734"/>
    <w:rsid w:val="00CA3762"/>
    <w:rsid w:val="00CA463D"/>
    <w:rsid w:val="00CA5B1C"/>
    <w:rsid w:val="00CA5C15"/>
    <w:rsid w:val="00CA75F1"/>
    <w:rsid w:val="00CB2612"/>
    <w:rsid w:val="00CB2E47"/>
    <w:rsid w:val="00CB3C43"/>
    <w:rsid w:val="00CC4B4E"/>
    <w:rsid w:val="00CC50A5"/>
    <w:rsid w:val="00CC56C3"/>
    <w:rsid w:val="00CC67D5"/>
    <w:rsid w:val="00CC6BC0"/>
    <w:rsid w:val="00CC72A5"/>
    <w:rsid w:val="00CD1788"/>
    <w:rsid w:val="00CD2775"/>
    <w:rsid w:val="00CD3CF6"/>
    <w:rsid w:val="00CD5881"/>
    <w:rsid w:val="00CD6519"/>
    <w:rsid w:val="00CE2231"/>
    <w:rsid w:val="00CE3876"/>
    <w:rsid w:val="00CE486E"/>
    <w:rsid w:val="00CF05B0"/>
    <w:rsid w:val="00CF0A3A"/>
    <w:rsid w:val="00CF256C"/>
    <w:rsid w:val="00CF59CB"/>
    <w:rsid w:val="00CF747A"/>
    <w:rsid w:val="00CF798C"/>
    <w:rsid w:val="00D01278"/>
    <w:rsid w:val="00D01769"/>
    <w:rsid w:val="00D024A9"/>
    <w:rsid w:val="00D02AA9"/>
    <w:rsid w:val="00D06FEA"/>
    <w:rsid w:val="00D07536"/>
    <w:rsid w:val="00D10052"/>
    <w:rsid w:val="00D1106A"/>
    <w:rsid w:val="00D1179D"/>
    <w:rsid w:val="00D1273E"/>
    <w:rsid w:val="00D13761"/>
    <w:rsid w:val="00D16AFF"/>
    <w:rsid w:val="00D1703C"/>
    <w:rsid w:val="00D17C2B"/>
    <w:rsid w:val="00D17C71"/>
    <w:rsid w:val="00D21AA7"/>
    <w:rsid w:val="00D21F32"/>
    <w:rsid w:val="00D2233E"/>
    <w:rsid w:val="00D24009"/>
    <w:rsid w:val="00D24042"/>
    <w:rsid w:val="00D24FF7"/>
    <w:rsid w:val="00D25CAC"/>
    <w:rsid w:val="00D26E5B"/>
    <w:rsid w:val="00D30088"/>
    <w:rsid w:val="00D30670"/>
    <w:rsid w:val="00D3197A"/>
    <w:rsid w:val="00D32B73"/>
    <w:rsid w:val="00D356DE"/>
    <w:rsid w:val="00D377C4"/>
    <w:rsid w:val="00D37CEE"/>
    <w:rsid w:val="00D41CB0"/>
    <w:rsid w:val="00D43B09"/>
    <w:rsid w:val="00D43CB8"/>
    <w:rsid w:val="00D43CD2"/>
    <w:rsid w:val="00D44D6F"/>
    <w:rsid w:val="00D46260"/>
    <w:rsid w:val="00D46ACC"/>
    <w:rsid w:val="00D47624"/>
    <w:rsid w:val="00D503A7"/>
    <w:rsid w:val="00D50930"/>
    <w:rsid w:val="00D51C29"/>
    <w:rsid w:val="00D51C4C"/>
    <w:rsid w:val="00D5455B"/>
    <w:rsid w:val="00D578B0"/>
    <w:rsid w:val="00D57E83"/>
    <w:rsid w:val="00D57FF4"/>
    <w:rsid w:val="00D60119"/>
    <w:rsid w:val="00D62E6D"/>
    <w:rsid w:val="00D630EA"/>
    <w:rsid w:val="00D64AE1"/>
    <w:rsid w:val="00D64DCA"/>
    <w:rsid w:val="00D65B7F"/>
    <w:rsid w:val="00D65FA7"/>
    <w:rsid w:val="00D67025"/>
    <w:rsid w:val="00D714FF"/>
    <w:rsid w:val="00D718FF"/>
    <w:rsid w:val="00D75C8A"/>
    <w:rsid w:val="00D75E84"/>
    <w:rsid w:val="00D77F24"/>
    <w:rsid w:val="00D80B16"/>
    <w:rsid w:val="00D81384"/>
    <w:rsid w:val="00D81CFC"/>
    <w:rsid w:val="00D83CBC"/>
    <w:rsid w:val="00D846CA"/>
    <w:rsid w:val="00D857FF"/>
    <w:rsid w:val="00D8638D"/>
    <w:rsid w:val="00D9037C"/>
    <w:rsid w:val="00D9076E"/>
    <w:rsid w:val="00D90C43"/>
    <w:rsid w:val="00D9104C"/>
    <w:rsid w:val="00D9123A"/>
    <w:rsid w:val="00D93569"/>
    <w:rsid w:val="00D9493C"/>
    <w:rsid w:val="00D950AA"/>
    <w:rsid w:val="00D9591A"/>
    <w:rsid w:val="00D976B1"/>
    <w:rsid w:val="00D977B2"/>
    <w:rsid w:val="00D97C4B"/>
    <w:rsid w:val="00DA1E03"/>
    <w:rsid w:val="00DA4E3D"/>
    <w:rsid w:val="00DA57E5"/>
    <w:rsid w:val="00DA7414"/>
    <w:rsid w:val="00DA7A54"/>
    <w:rsid w:val="00DB0690"/>
    <w:rsid w:val="00DB2C36"/>
    <w:rsid w:val="00DB341C"/>
    <w:rsid w:val="00DB4276"/>
    <w:rsid w:val="00DB494B"/>
    <w:rsid w:val="00DB50CF"/>
    <w:rsid w:val="00DB5637"/>
    <w:rsid w:val="00DB65D7"/>
    <w:rsid w:val="00DB698C"/>
    <w:rsid w:val="00DC0033"/>
    <w:rsid w:val="00DC11F8"/>
    <w:rsid w:val="00DC40EF"/>
    <w:rsid w:val="00DC6143"/>
    <w:rsid w:val="00DC6DBB"/>
    <w:rsid w:val="00DC787E"/>
    <w:rsid w:val="00DC7971"/>
    <w:rsid w:val="00DC7C1D"/>
    <w:rsid w:val="00DD0933"/>
    <w:rsid w:val="00DD09D8"/>
    <w:rsid w:val="00DD0AC4"/>
    <w:rsid w:val="00DD221B"/>
    <w:rsid w:val="00DD3A7A"/>
    <w:rsid w:val="00DD3DC8"/>
    <w:rsid w:val="00DD3DD2"/>
    <w:rsid w:val="00DD4EED"/>
    <w:rsid w:val="00DD774A"/>
    <w:rsid w:val="00DE1ABF"/>
    <w:rsid w:val="00DE27E2"/>
    <w:rsid w:val="00DE2F24"/>
    <w:rsid w:val="00DE3C33"/>
    <w:rsid w:val="00DE41DD"/>
    <w:rsid w:val="00DE4730"/>
    <w:rsid w:val="00DE47AC"/>
    <w:rsid w:val="00DE5969"/>
    <w:rsid w:val="00DE60C4"/>
    <w:rsid w:val="00DE6BAF"/>
    <w:rsid w:val="00DE73EA"/>
    <w:rsid w:val="00DE7C09"/>
    <w:rsid w:val="00DF1EEA"/>
    <w:rsid w:val="00DF252A"/>
    <w:rsid w:val="00DF3065"/>
    <w:rsid w:val="00DF37EC"/>
    <w:rsid w:val="00DF3840"/>
    <w:rsid w:val="00DF456A"/>
    <w:rsid w:val="00DF570C"/>
    <w:rsid w:val="00DF583C"/>
    <w:rsid w:val="00DF61C6"/>
    <w:rsid w:val="00DF668C"/>
    <w:rsid w:val="00DF7BB2"/>
    <w:rsid w:val="00E00110"/>
    <w:rsid w:val="00E02310"/>
    <w:rsid w:val="00E031A8"/>
    <w:rsid w:val="00E035E6"/>
    <w:rsid w:val="00E03701"/>
    <w:rsid w:val="00E045EB"/>
    <w:rsid w:val="00E04C41"/>
    <w:rsid w:val="00E056D1"/>
    <w:rsid w:val="00E05AE2"/>
    <w:rsid w:val="00E068D5"/>
    <w:rsid w:val="00E06934"/>
    <w:rsid w:val="00E07C1C"/>
    <w:rsid w:val="00E102E9"/>
    <w:rsid w:val="00E102F9"/>
    <w:rsid w:val="00E11256"/>
    <w:rsid w:val="00E130FA"/>
    <w:rsid w:val="00E13FA2"/>
    <w:rsid w:val="00E163BE"/>
    <w:rsid w:val="00E17A6C"/>
    <w:rsid w:val="00E17E33"/>
    <w:rsid w:val="00E20C7F"/>
    <w:rsid w:val="00E21CE4"/>
    <w:rsid w:val="00E21F0E"/>
    <w:rsid w:val="00E257AD"/>
    <w:rsid w:val="00E26971"/>
    <w:rsid w:val="00E26FF1"/>
    <w:rsid w:val="00E30BCF"/>
    <w:rsid w:val="00E3180A"/>
    <w:rsid w:val="00E31B74"/>
    <w:rsid w:val="00E32396"/>
    <w:rsid w:val="00E339AA"/>
    <w:rsid w:val="00E33C2A"/>
    <w:rsid w:val="00E33EFF"/>
    <w:rsid w:val="00E352FD"/>
    <w:rsid w:val="00E35736"/>
    <w:rsid w:val="00E360D5"/>
    <w:rsid w:val="00E367F1"/>
    <w:rsid w:val="00E36F46"/>
    <w:rsid w:val="00E371FE"/>
    <w:rsid w:val="00E4178A"/>
    <w:rsid w:val="00E419D3"/>
    <w:rsid w:val="00E430B3"/>
    <w:rsid w:val="00E452B7"/>
    <w:rsid w:val="00E45569"/>
    <w:rsid w:val="00E459BE"/>
    <w:rsid w:val="00E474AC"/>
    <w:rsid w:val="00E47F98"/>
    <w:rsid w:val="00E503D1"/>
    <w:rsid w:val="00E50B5B"/>
    <w:rsid w:val="00E51510"/>
    <w:rsid w:val="00E51E7F"/>
    <w:rsid w:val="00E5284B"/>
    <w:rsid w:val="00E54DEA"/>
    <w:rsid w:val="00E5510D"/>
    <w:rsid w:val="00E55F29"/>
    <w:rsid w:val="00E56546"/>
    <w:rsid w:val="00E56A23"/>
    <w:rsid w:val="00E56CEA"/>
    <w:rsid w:val="00E57770"/>
    <w:rsid w:val="00E601D9"/>
    <w:rsid w:val="00E60957"/>
    <w:rsid w:val="00E610AC"/>
    <w:rsid w:val="00E61F30"/>
    <w:rsid w:val="00E62541"/>
    <w:rsid w:val="00E6354E"/>
    <w:rsid w:val="00E637E1"/>
    <w:rsid w:val="00E63AEB"/>
    <w:rsid w:val="00E644FF"/>
    <w:rsid w:val="00E655C2"/>
    <w:rsid w:val="00E65BB1"/>
    <w:rsid w:val="00E6667A"/>
    <w:rsid w:val="00E6667B"/>
    <w:rsid w:val="00E66BDA"/>
    <w:rsid w:val="00E70522"/>
    <w:rsid w:val="00E71555"/>
    <w:rsid w:val="00E72145"/>
    <w:rsid w:val="00E760D0"/>
    <w:rsid w:val="00E7642D"/>
    <w:rsid w:val="00E80B9D"/>
    <w:rsid w:val="00E83C43"/>
    <w:rsid w:val="00E855BF"/>
    <w:rsid w:val="00E85C17"/>
    <w:rsid w:val="00E862A3"/>
    <w:rsid w:val="00E871F8"/>
    <w:rsid w:val="00E90651"/>
    <w:rsid w:val="00E9106A"/>
    <w:rsid w:val="00E91AEB"/>
    <w:rsid w:val="00E93A78"/>
    <w:rsid w:val="00E93D36"/>
    <w:rsid w:val="00E9749B"/>
    <w:rsid w:val="00E975F9"/>
    <w:rsid w:val="00EA058C"/>
    <w:rsid w:val="00EA104D"/>
    <w:rsid w:val="00EA166E"/>
    <w:rsid w:val="00EA22F4"/>
    <w:rsid w:val="00EA3789"/>
    <w:rsid w:val="00EA465C"/>
    <w:rsid w:val="00EA5B20"/>
    <w:rsid w:val="00EA697D"/>
    <w:rsid w:val="00EA69A4"/>
    <w:rsid w:val="00EA6B4B"/>
    <w:rsid w:val="00EA6D86"/>
    <w:rsid w:val="00EA768A"/>
    <w:rsid w:val="00EA7A56"/>
    <w:rsid w:val="00EB0388"/>
    <w:rsid w:val="00EB131A"/>
    <w:rsid w:val="00EB1781"/>
    <w:rsid w:val="00EB1919"/>
    <w:rsid w:val="00EB1D28"/>
    <w:rsid w:val="00EB1E32"/>
    <w:rsid w:val="00EB21BC"/>
    <w:rsid w:val="00EB2CA5"/>
    <w:rsid w:val="00EB391E"/>
    <w:rsid w:val="00EB3C90"/>
    <w:rsid w:val="00EB45D5"/>
    <w:rsid w:val="00EB6EEE"/>
    <w:rsid w:val="00EB7837"/>
    <w:rsid w:val="00EB7E60"/>
    <w:rsid w:val="00EB7E89"/>
    <w:rsid w:val="00EC29B8"/>
    <w:rsid w:val="00EC2A6A"/>
    <w:rsid w:val="00EC2C91"/>
    <w:rsid w:val="00EC3B20"/>
    <w:rsid w:val="00EC4296"/>
    <w:rsid w:val="00EC42D6"/>
    <w:rsid w:val="00EC4AB9"/>
    <w:rsid w:val="00ED0FE8"/>
    <w:rsid w:val="00ED2E9C"/>
    <w:rsid w:val="00ED3AA2"/>
    <w:rsid w:val="00ED3B91"/>
    <w:rsid w:val="00ED4EE3"/>
    <w:rsid w:val="00ED51D3"/>
    <w:rsid w:val="00EE03D0"/>
    <w:rsid w:val="00EE0B0D"/>
    <w:rsid w:val="00EE0BF9"/>
    <w:rsid w:val="00EE0D2E"/>
    <w:rsid w:val="00EE37DE"/>
    <w:rsid w:val="00EE40A8"/>
    <w:rsid w:val="00EE56F6"/>
    <w:rsid w:val="00EE5E33"/>
    <w:rsid w:val="00EE6480"/>
    <w:rsid w:val="00EE6B2F"/>
    <w:rsid w:val="00EE6C39"/>
    <w:rsid w:val="00EF077C"/>
    <w:rsid w:val="00EF15F8"/>
    <w:rsid w:val="00EF27AB"/>
    <w:rsid w:val="00EF281A"/>
    <w:rsid w:val="00EF28F7"/>
    <w:rsid w:val="00EF3321"/>
    <w:rsid w:val="00EF376B"/>
    <w:rsid w:val="00EF3BFC"/>
    <w:rsid w:val="00EF49C8"/>
    <w:rsid w:val="00EF4A1C"/>
    <w:rsid w:val="00EF5E60"/>
    <w:rsid w:val="00EF73CE"/>
    <w:rsid w:val="00EF7A97"/>
    <w:rsid w:val="00F0046A"/>
    <w:rsid w:val="00F019DA"/>
    <w:rsid w:val="00F01D97"/>
    <w:rsid w:val="00F029D3"/>
    <w:rsid w:val="00F030B9"/>
    <w:rsid w:val="00F038FA"/>
    <w:rsid w:val="00F03A26"/>
    <w:rsid w:val="00F1191B"/>
    <w:rsid w:val="00F11B66"/>
    <w:rsid w:val="00F12697"/>
    <w:rsid w:val="00F16FBC"/>
    <w:rsid w:val="00F20149"/>
    <w:rsid w:val="00F217EC"/>
    <w:rsid w:val="00F21852"/>
    <w:rsid w:val="00F22321"/>
    <w:rsid w:val="00F2384E"/>
    <w:rsid w:val="00F24FBB"/>
    <w:rsid w:val="00F257F8"/>
    <w:rsid w:val="00F25801"/>
    <w:rsid w:val="00F25B05"/>
    <w:rsid w:val="00F276DE"/>
    <w:rsid w:val="00F27A30"/>
    <w:rsid w:val="00F30162"/>
    <w:rsid w:val="00F318AA"/>
    <w:rsid w:val="00F33B9A"/>
    <w:rsid w:val="00F3444E"/>
    <w:rsid w:val="00F353C3"/>
    <w:rsid w:val="00F35F86"/>
    <w:rsid w:val="00F43862"/>
    <w:rsid w:val="00F44F67"/>
    <w:rsid w:val="00F451D0"/>
    <w:rsid w:val="00F46EEC"/>
    <w:rsid w:val="00F475F9"/>
    <w:rsid w:val="00F5006D"/>
    <w:rsid w:val="00F50306"/>
    <w:rsid w:val="00F505D3"/>
    <w:rsid w:val="00F5185B"/>
    <w:rsid w:val="00F52144"/>
    <w:rsid w:val="00F54CB3"/>
    <w:rsid w:val="00F54FF1"/>
    <w:rsid w:val="00F5600A"/>
    <w:rsid w:val="00F576E0"/>
    <w:rsid w:val="00F57D41"/>
    <w:rsid w:val="00F6011E"/>
    <w:rsid w:val="00F6310B"/>
    <w:rsid w:val="00F6362A"/>
    <w:rsid w:val="00F636C8"/>
    <w:rsid w:val="00F65046"/>
    <w:rsid w:val="00F65B30"/>
    <w:rsid w:val="00F66521"/>
    <w:rsid w:val="00F66F2D"/>
    <w:rsid w:val="00F67B77"/>
    <w:rsid w:val="00F67BB8"/>
    <w:rsid w:val="00F67D08"/>
    <w:rsid w:val="00F72191"/>
    <w:rsid w:val="00F72240"/>
    <w:rsid w:val="00F72BBC"/>
    <w:rsid w:val="00F73126"/>
    <w:rsid w:val="00F734CC"/>
    <w:rsid w:val="00F740BA"/>
    <w:rsid w:val="00F74DF8"/>
    <w:rsid w:val="00F7572A"/>
    <w:rsid w:val="00F75E6A"/>
    <w:rsid w:val="00F809B7"/>
    <w:rsid w:val="00F80DF8"/>
    <w:rsid w:val="00F81D76"/>
    <w:rsid w:val="00F8251D"/>
    <w:rsid w:val="00F82ADC"/>
    <w:rsid w:val="00F83CEA"/>
    <w:rsid w:val="00F84807"/>
    <w:rsid w:val="00F84AE4"/>
    <w:rsid w:val="00F8510D"/>
    <w:rsid w:val="00F85E97"/>
    <w:rsid w:val="00F85FCF"/>
    <w:rsid w:val="00F86CE0"/>
    <w:rsid w:val="00F90523"/>
    <w:rsid w:val="00F91173"/>
    <w:rsid w:val="00F94F8E"/>
    <w:rsid w:val="00F95E1C"/>
    <w:rsid w:val="00F9611A"/>
    <w:rsid w:val="00F971E1"/>
    <w:rsid w:val="00FA09BC"/>
    <w:rsid w:val="00FA2187"/>
    <w:rsid w:val="00FA373C"/>
    <w:rsid w:val="00FA63D3"/>
    <w:rsid w:val="00FA66E3"/>
    <w:rsid w:val="00FA73AF"/>
    <w:rsid w:val="00FA76F9"/>
    <w:rsid w:val="00FB2304"/>
    <w:rsid w:val="00FB25EA"/>
    <w:rsid w:val="00FB462B"/>
    <w:rsid w:val="00FB4893"/>
    <w:rsid w:val="00FB4EAF"/>
    <w:rsid w:val="00FB6227"/>
    <w:rsid w:val="00FB646F"/>
    <w:rsid w:val="00FB75FD"/>
    <w:rsid w:val="00FB7BE3"/>
    <w:rsid w:val="00FB7E70"/>
    <w:rsid w:val="00FC0D27"/>
    <w:rsid w:val="00FC1116"/>
    <w:rsid w:val="00FC2C45"/>
    <w:rsid w:val="00FC4F8C"/>
    <w:rsid w:val="00FC51BF"/>
    <w:rsid w:val="00FC53BD"/>
    <w:rsid w:val="00FC6D2B"/>
    <w:rsid w:val="00FD0C09"/>
    <w:rsid w:val="00FD1D72"/>
    <w:rsid w:val="00FD301A"/>
    <w:rsid w:val="00FD4BF6"/>
    <w:rsid w:val="00FD53BB"/>
    <w:rsid w:val="00FD551D"/>
    <w:rsid w:val="00FD568E"/>
    <w:rsid w:val="00FD59CA"/>
    <w:rsid w:val="00FE07EE"/>
    <w:rsid w:val="00FE1088"/>
    <w:rsid w:val="00FE14C7"/>
    <w:rsid w:val="00FE33E5"/>
    <w:rsid w:val="00FE3776"/>
    <w:rsid w:val="00FE4176"/>
    <w:rsid w:val="00FE51C7"/>
    <w:rsid w:val="00FE73BC"/>
    <w:rsid w:val="00FE7F00"/>
    <w:rsid w:val="00FF2120"/>
    <w:rsid w:val="00FF2271"/>
    <w:rsid w:val="00FF2F46"/>
    <w:rsid w:val="00FF3C49"/>
    <w:rsid w:val="00FF5433"/>
    <w:rsid w:val="00FF7D53"/>
    <w:rsid w:val="010827C0"/>
    <w:rsid w:val="010F1DA1"/>
    <w:rsid w:val="011A7901"/>
    <w:rsid w:val="011C44BE"/>
    <w:rsid w:val="01203FAE"/>
    <w:rsid w:val="012D2227"/>
    <w:rsid w:val="01374A7D"/>
    <w:rsid w:val="013C690E"/>
    <w:rsid w:val="014001AC"/>
    <w:rsid w:val="014632E9"/>
    <w:rsid w:val="01565C22"/>
    <w:rsid w:val="015675CE"/>
    <w:rsid w:val="01583748"/>
    <w:rsid w:val="016245C6"/>
    <w:rsid w:val="01675739"/>
    <w:rsid w:val="016F283F"/>
    <w:rsid w:val="017240DE"/>
    <w:rsid w:val="01872E84"/>
    <w:rsid w:val="0187402D"/>
    <w:rsid w:val="018F6A3E"/>
    <w:rsid w:val="01916C5A"/>
    <w:rsid w:val="019A362C"/>
    <w:rsid w:val="01A249C3"/>
    <w:rsid w:val="01AC3A93"/>
    <w:rsid w:val="01B85F94"/>
    <w:rsid w:val="01BA1962"/>
    <w:rsid w:val="01BA51E5"/>
    <w:rsid w:val="01E4322D"/>
    <w:rsid w:val="01E81930"/>
    <w:rsid w:val="01E90844"/>
    <w:rsid w:val="01F46C6A"/>
    <w:rsid w:val="01F66ABD"/>
    <w:rsid w:val="02052599"/>
    <w:rsid w:val="020E02AA"/>
    <w:rsid w:val="02223D56"/>
    <w:rsid w:val="02262316"/>
    <w:rsid w:val="022A49B8"/>
    <w:rsid w:val="022C7591"/>
    <w:rsid w:val="02313F99"/>
    <w:rsid w:val="02337D11"/>
    <w:rsid w:val="023B6BC5"/>
    <w:rsid w:val="023C4E17"/>
    <w:rsid w:val="025C1016"/>
    <w:rsid w:val="025D08EA"/>
    <w:rsid w:val="02654C5A"/>
    <w:rsid w:val="026A2A09"/>
    <w:rsid w:val="02777BFD"/>
    <w:rsid w:val="027F2F56"/>
    <w:rsid w:val="02810A7C"/>
    <w:rsid w:val="0283628C"/>
    <w:rsid w:val="028A4921"/>
    <w:rsid w:val="02915DFC"/>
    <w:rsid w:val="029F53A6"/>
    <w:rsid w:val="02A4476B"/>
    <w:rsid w:val="02A44DFB"/>
    <w:rsid w:val="02AE7397"/>
    <w:rsid w:val="02B40E52"/>
    <w:rsid w:val="02BB43E6"/>
    <w:rsid w:val="02BC1AB4"/>
    <w:rsid w:val="02BE378E"/>
    <w:rsid w:val="02C1356F"/>
    <w:rsid w:val="02DE5ECF"/>
    <w:rsid w:val="02EB05EB"/>
    <w:rsid w:val="02F57D74"/>
    <w:rsid w:val="030560A3"/>
    <w:rsid w:val="031C2553"/>
    <w:rsid w:val="032121AE"/>
    <w:rsid w:val="03265180"/>
    <w:rsid w:val="03337748"/>
    <w:rsid w:val="03394EB3"/>
    <w:rsid w:val="033B2207"/>
    <w:rsid w:val="033C0325"/>
    <w:rsid w:val="0341645D"/>
    <w:rsid w:val="034A5312"/>
    <w:rsid w:val="03541CED"/>
    <w:rsid w:val="035937A7"/>
    <w:rsid w:val="035E6D96"/>
    <w:rsid w:val="03655BEF"/>
    <w:rsid w:val="036D482C"/>
    <w:rsid w:val="03772BBD"/>
    <w:rsid w:val="03806F86"/>
    <w:rsid w:val="038F0F77"/>
    <w:rsid w:val="039667A9"/>
    <w:rsid w:val="03A964DC"/>
    <w:rsid w:val="03AF786B"/>
    <w:rsid w:val="03BC4BD4"/>
    <w:rsid w:val="03C350C4"/>
    <w:rsid w:val="03C520CE"/>
    <w:rsid w:val="03CE7CF1"/>
    <w:rsid w:val="03DF5C61"/>
    <w:rsid w:val="03E37CED"/>
    <w:rsid w:val="03EC461B"/>
    <w:rsid w:val="03EF7C67"/>
    <w:rsid w:val="03FF434E"/>
    <w:rsid w:val="04041965"/>
    <w:rsid w:val="041F679F"/>
    <w:rsid w:val="04207E21"/>
    <w:rsid w:val="04253FDA"/>
    <w:rsid w:val="04333C79"/>
    <w:rsid w:val="04333FF8"/>
    <w:rsid w:val="04351B1E"/>
    <w:rsid w:val="04390EE3"/>
    <w:rsid w:val="043A06FC"/>
    <w:rsid w:val="04444720"/>
    <w:rsid w:val="04463D2B"/>
    <w:rsid w:val="04471852"/>
    <w:rsid w:val="04620439"/>
    <w:rsid w:val="04642403"/>
    <w:rsid w:val="04664A43"/>
    <w:rsid w:val="046917C8"/>
    <w:rsid w:val="04714B20"/>
    <w:rsid w:val="047848C7"/>
    <w:rsid w:val="047A5783"/>
    <w:rsid w:val="049031F8"/>
    <w:rsid w:val="0491110B"/>
    <w:rsid w:val="04966335"/>
    <w:rsid w:val="04AC5B58"/>
    <w:rsid w:val="04B1068B"/>
    <w:rsid w:val="04B54A0D"/>
    <w:rsid w:val="04C17856"/>
    <w:rsid w:val="04C5780A"/>
    <w:rsid w:val="04CA0838"/>
    <w:rsid w:val="04E13A54"/>
    <w:rsid w:val="04EE5CCC"/>
    <w:rsid w:val="04F73278"/>
    <w:rsid w:val="04FC263C"/>
    <w:rsid w:val="050369E9"/>
    <w:rsid w:val="05097AD0"/>
    <w:rsid w:val="05105249"/>
    <w:rsid w:val="051C2946"/>
    <w:rsid w:val="05241B93"/>
    <w:rsid w:val="05292583"/>
    <w:rsid w:val="052971A9"/>
    <w:rsid w:val="052F2A11"/>
    <w:rsid w:val="053C512E"/>
    <w:rsid w:val="05432019"/>
    <w:rsid w:val="054F78AC"/>
    <w:rsid w:val="055424CE"/>
    <w:rsid w:val="05597A8E"/>
    <w:rsid w:val="05634469"/>
    <w:rsid w:val="056A6870"/>
    <w:rsid w:val="056B3FF7"/>
    <w:rsid w:val="056F2E0E"/>
    <w:rsid w:val="05746676"/>
    <w:rsid w:val="0588226B"/>
    <w:rsid w:val="059934CE"/>
    <w:rsid w:val="05AA02EA"/>
    <w:rsid w:val="05AD05BE"/>
    <w:rsid w:val="05B41169"/>
    <w:rsid w:val="05C1727E"/>
    <w:rsid w:val="05D13AC9"/>
    <w:rsid w:val="05DB04A3"/>
    <w:rsid w:val="05E155B5"/>
    <w:rsid w:val="05E80E12"/>
    <w:rsid w:val="05F872A7"/>
    <w:rsid w:val="05F9301F"/>
    <w:rsid w:val="06080B3E"/>
    <w:rsid w:val="06085010"/>
    <w:rsid w:val="061816F7"/>
    <w:rsid w:val="061D286A"/>
    <w:rsid w:val="062067FE"/>
    <w:rsid w:val="062318A1"/>
    <w:rsid w:val="062F07EF"/>
    <w:rsid w:val="063127B9"/>
    <w:rsid w:val="06344057"/>
    <w:rsid w:val="06624721"/>
    <w:rsid w:val="06664CF1"/>
    <w:rsid w:val="066B65F3"/>
    <w:rsid w:val="067B57E2"/>
    <w:rsid w:val="067F4A0F"/>
    <w:rsid w:val="06835709"/>
    <w:rsid w:val="06846D8D"/>
    <w:rsid w:val="068E5516"/>
    <w:rsid w:val="068F128E"/>
    <w:rsid w:val="069D39AB"/>
    <w:rsid w:val="069F7723"/>
    <w:rsid w:val="06A44D39"/>
    <w:rsid w:val="06B036DE"/>
    <w:rsid w:val="06B56F46"/>
    <w:rsid w:val="06BD404D"/>
    <w:rsid w:val="06C61153"/>
    <w:rsid w:val="06CA277E"/>
    <w:rsid w:val="06CB0518"/>
    <w:rsid w:val="06CC4290"/>
    <w:rsid w:val="06CF61F5"/>
    <w:rsid w:val="06DC2725"/>
    <w:rsid w:val="06DF3FC3"/>
    <w:rsid w:val="06E573E1"/>
    <w:rsid w:val="06F061D0"/>
    <w:rsid w:val="06F253F2"/>
    <w:rsid w:val="06F537E7"/>
    <w:rsid w:val="07035F04"/>
    <w:rsid w:val="070D0B30"/>
    <w:rsid w:val="070E48A8"/>
    <w:rsid w:val="071A4FFB"/>
    <w:rsid w:val="071F2612"/>
    <w:rsid w:val="072145DC"/>
    <w:rsid w:val="07267E44"/>
    <w:rsid w:val="07482BDC"/>
    <w:rsid w:val="074D53D1"/>
    <w:rsid w:val="074E03C7"/>
    <w:rsid w:val="074E4E7E"/>
    <w:rsid w:val="074F1149"/>
    <w:rsid w:val="07683FB9"/>
    <w:rsid w:val="077E37DC"/>
    <w:rsid w:val="078A2181"/>
    <w:rsid w:val="078E0C06"/>
    <w:rsid w:val="078F59E9"/>
    <w:rsid w:val="07957FC7"/>
    <w:rsid w:val="079A613C"/>
    <w:rsid w:val="079F4C9B"/>
    <w:rsid w:val="07A80859"/>
    <w:rsid w:val="07AA4BA0"/>
    <w:rsid w:val="07B216D8"/>
    <w:rsid w:val="07B40FAC"/>
    <w:rsid w:val="07BC27F4"/>
    <w:rsid w:val="07CB4548"/>
    <w:rsid w:val="07E0545D"/>
    <w:rsid w:val="07E07279"/>
    <w:rsid w:val="07E67863"/>
    <w:rsid w:val="07E850FA"/>
    <w:rsid w:val="07EA570E"/>
    <w:rsid w:val="07EB560A"/>
    <w:rsid w:val="07F13FAE"/>
    <w:rsid w:val="07F95559"/>
    <w:rsid w:val="07FC2953"/>
    <w:rsid w:val="07FE66CB"/>
    <w:rsid w:val="080A5070"/>
    <w:rsid w:val="081128A2"/>
    <w:rsid w:val="08144141"/>
    <w:rsid w:val="08161CD1"/>
    <w:rsid w:val="08202AE5"/>
    <w:rsid w:val="08206641"/>
    <w:rsid w:val="0825634E"/>
    <w:rsid w:val="08323CD4"/>
    <w:rsid w:val="08326375"/>
    <w:rsid w:val="0833207B"/>
    <w:rsid w:val="08332819"/>
    <w:rsid w:val="08343DB7"/>
    <w:rsid w:val="08406CE4"/>
    <w:rsid w:val="08420CAE"/>
    <w:rsid w:val="084F6F27"/>
    <w:rsid w:val="08536A17"/>
    <w:rsid w:val="085602B5"/>
    <w:rsid w:val="08564759"/>
    <w:rsid w:val="085F360E"/>
    <w:rsid w:val="08602EE2"/>
    <w:rsid w:val="08624EAC"/>
    <w:rsid w:val="08670714"/>
    <w:rsid w:val="086C26E0"/>
    <w:rsid w:val="08844E22"/>
    <w:rsid w:val="089A0953"/>
    <w:rsid w:val="08A64B22"/>
    <w:rsid w:val="08B0597E"/>
    <w:rsid w:val="08BA4CE8"/>
    <w:rsid w:val="08C52D6F"/>
    <w:rsid w:val="08D4742C"/>
    <w:rsid w:val="08F86759"/>
    <w:rsid w:val="08F875BE"/>
    <w:rsid w:val="09023F99"/>
    <w:rsid w:val="09061EBF"/>
    <w:rsid w:val="090D12BC"/>
    <w:rsid w:val="091242AB"/>
    <w:rsid w:val="091B505B"/>
    <w:rsid w:val="092255F6"/>
    <w:rsid w:val="09261B0E"/>
    <w:rsid w:val="093F51ED"/>
    <w:rsid w:val="0955056D"/>
    <w:rsid w:val="09572537"/>
    <w:rsid w:val="09581E0B"/>
    <w:rsid w:val="095962AF"/>
    <w:rsid w:val="095E38C5"/>
    <w:rsid w:val="09744D54"/>
    <w:rsid w:val="098350DA"/>
    <w:rsid w:val="0985741A"/>
    <w:rsid w:val="0995305F"/>
    <w:rsid w:val="099C43EE"/>
    <w:rsid w:val="099F5C8C"/>
    <w:rsid w:val="09A12F3D"/>
    <w:rsid w:val="09A17C56"/>
    <w:rsid w:val="09AB1135"/>
    <w:rsid w:val="09BC05EC"/>
    <w:rsid w:val="09BC683E"/>
    <w:rsid w:val="09BE4364"/>
    <w:rsid w:val="09C94B9B"/>
    <w:rsid w:val="09D21BBD"/>
    <w:rsid w:val="09DE12BD"/>
    <w:rsid w:val="09E0252C"/>
    <w:rsid w:val="09E23BA0"/>
    <w:rsid w:val="09E9764E"/>
    <w:rsid w:val="09F31262"/>
    <w:rsid w:val="0A014251"/>
    <w:rsid w:val="0A067AB9"/>
    <w:rsid w:val="0A0A75A9"/>
    <w:rsid w:val="0A14667A"/>
    <w:rsid w:val="0A1755E4"/>
    <w:rsid w:val="0A23066B"/>
    <w:rsid w:val="0A2A393B"/>
    <w:rsid w:val="0A2C5771"/>
    <w:rsid w:val="0A2D14EA"/>
    <w:rsid w:val="0A4A1C71"/>
    <w:rsid w:val="0A4C1970"/>
    <w:rsid w:val="0A5C418C"/>
    <w:rsid w:val="0A664DCA"/>
    <w:rsid w:val="0A724506"/>
    <w:rsid w:val="0A740EC6"/>
    <w:rsid w:val="0A765FB8"/>
    <w:rsid w:val="0A7F7F97"/>
    <w:rsid w:val="0A814349"/>
    <w:rsid w:val="0A943317"/>
    <w:rsid w:val="0A9642EF"/>
    <w:rsid w:val="0A984BB5"/>
    <w:rsid w:val="0AA12680"/>
    <w:rsid w:val="0AA650C4"/>
    <w:rsid w:val="0AAF0151"/>
    <w:rsid w:val="0ABD286D"/>
    <w:rsid w:val="0AC0235E"/>
    <w:rsid w:val="0AC43BFC"/>
    <w:rsid w:val="0AC60DD3"/>
    <w:rsid w:val="0AE95411"/>
    <w:rsid w:val="0AEA6EBA"/>
    <w:rsid w:val="0AFA5870"/>
    <w:rsid w:val="0AFD0EBC"/>
    <w:rsid w:val="0B0264D2"/>
    <w:rsid w:val="0B09160F"/>
    <w:rsid w:val="0B093D05"/>
    <w:rsid w:val="0B1D330C"/>
    <w:rsid w:val="0B2C354F"/>
    <w:rsid w:val="0B2F0BC0"/>
    <w:rsid w:val="0B3C7C36"/>
    <w:rsid w:val="0B446AEB"/>
    <w:rsid w:val="0B4E34C6"/>
    <w:rsid w:val="0B505490"/>
    <w:rsid w:val="0B52745A"/>
    <w:rsid w:val="0B5D195B"/>
    <w:rsid w:val="0B5D1B6E"/>
    <w:rsid w:val="0B5F1D3B"/>
    <w:rsid w:val="0B6401BF"/>
    <w:rsid w:val="0B664CB3"/>
    <w:rsid w:val="0B754EF6"/>
    <w:rsid w:val="0B7A4561"/>
    <w:rsid w:val="0B811AED"/>
    <w:rsid w:val="0B8415DD"/>
    <w:rsid w:val="0B8B64C8"/>
    <w:rsid w:val="0B8E5FB8"/>
    <w:rsid w:val="0B9335CE"/>
    <w:rsid w:val="0B9510F4"/>
    <w:rsid w:val="0B9B6FB8"/>
    <w:rsid w:val="0B9C06D5"/>
    <w:rsid w:val="0B9C302E"/>
    <w:rsid w:val="0BA13F3D"/>
    <w:rsid w:val="0BAB0918"/>
    <w:rsid w:val="0BAB6B6A"/>
    <w:rsid w:val="0BB21CA6"/>
    <w:rsid w:val="0BBA0B5B"/>
    <w:rsid w:val="0BC35C62"/>
    <w:rsid w:val="0BC47C2C"/>
    <w:rsid w:val="0BC6115D"/>
    <w:rsid w:val="0BC76BDF"/>
    <w:rsid w:val="0BC8771C"/>
    <w:rsid w:val="0BD86FB5"/>
    <w:rsid w:val="0BDB744F"/>
    <w:rsid w:val="0BE61950"/>
    <w:rsid w:val="0BE84B95"/>
    <w:rsid w:val="0BEB21FF"/>
    <w:rsid w:val="0BF32F26"/>
    <w:rsid w:val="0BF64289"/>
    <w:rsid w:val="0C000C64"/>
    <w:rsid w:val="0C006EB6"/>
    <w:rsid w:val="0C13125D"/>
    <w:rsid w:val="0C1E558E"/>
    <w:rsid w:val="0C232BA4"/>
    <w:rsid w:val="0C2F779B"/>
    <w:rsid w:val="0C323D10"/>
    <w:rsid w:val="0C41127C"/>
    <w:rsid w:val="0C414F19"/>
    <w:rsid w:val="0C5D5C14"/>
    <w:rsid w:val="0C681B81"/>
    <w:rsid w:val="0C946921"/>
    <w:rsid w:val="0C963376"/>
    <w:rsid w:val="0C965124"/>
    <w:rsid w:val="0C9C460A"/>
    <w:rsid w:val="0C9C64B3"/>
    <w:rsid w:val="0C9D2956"/>
    <w:rsid w:val="0CA06843"/>
    <w:rsid w:val="0CA23AC9"/>
    <w:rsid w:val="0CBF0B1F"/>
    <w:rsid w:val="0CC51EAD"/>
    <w:rsid w:val="0CD22714"/>
    <w:rsid w:val="0CD914B5"/>
    <w:rsid w:val="0CDD2D53"/>
    <w:rsid w:val="0CDE6ACB"/>
    <w:rsid w:val="0CE02843"/>
    <w:rsid w:val="0CE045F1"/>
    <w:rsid w:val="0CE57E5A"/>
    <w:rsid w:val="0D090998"/>
    <w:rsid w:val="0D0B144E"/>
    <w:rsid w:val="0D0C1474"/>
    <w:rsid w:val="0D0C3638"/>
    <w:rsid w:val="0D136775"/>
    <w:rsid w:val="0D246BD4"/>
    <w:rsid w:val="0D3A1F53"/>
    <w:rsid w:val="0D4903E8"/>
    <w:rsid w:val="0D584ACF"/>
    <w:rsid w:val="0D692839"/>
    <w:rsid w:val="0D6E3A97"/>
    <w:rsid w:val="0D7A2C98"/>
    <w:rsid w:val="0D7A4A46"/>
    <w:rsid w:val="0D7C6A10"/>
    <w:rsid w:val="0D7F02AE"/>
    <w:rsid w:val="0D933D59"/>
    <w:rsid w:val="0D9378B6"/>
    <w:rsid w:val="0DA63A8D"/>
    <w:rsid w:val="0DA70AEB"/>
    <w:rsid w:val="0DB241E0"/>
    <w:rsid w:val="0DBA12E6"/>
    <w:rsid w:val="0DBD1757"/>
    <w:rsid w:val="0DBE2B84"/>
    <w:rsid w:val="0DC45CC1"/>
    <w:rsid w:val="0DD51C7C"/>
    <w:rsid w:val="0DE46F59"/>
    <w:rsid w:val="0DF20A80"/>
    <w:rsid w:val="0DFC36AD"/>
    <w:rsid w:val="0DFE7425"/>
    <w:rsid w:val="0E082052"/>
    <w:rsid w:val="0E1338FB"/>
    <w:rsid w:val="0E1C3D4F"/>
    <w:rsid w:val="0E252C04"/>
    <w:rsid w:val="0E320E7D"/>
    <w:rsid w:val="0E3A5F83"/>
    <w:rsid w:val="0E3F3599"/>
    <w:rsid w:val="0E407A3D"/>
    <w:rsid w:val="0E484B44"/>
    <w:rsid w:val="0E48771C"/>
    <w:rsid w:val="0E52758D"/>
    <w:rsid w:val="0E58049A"/>
    <w:rsid w:val="0E5C209B"/>
    <w:rsid w:val="0E6C0832"/>
    <w:rsid w:val="0E6F20D1"/>
    <w:rsid w:val="0E707BF7"/>
    <w:rsid w:val="0E794CFD"/>
    <w:rsid w:val="0E7B2823"/>
    <w:rsid w:val="0E7C659C"/>
    <w:rsid w:val="0E871FE6"/>
    <w:rsid w:val="0E87741A"/>
    <w:rsid w:val="0E9658AF"/>
    <w:rsid w:val="0EA7186A"/>
    <w:rsid w:val="0EA855E3"/>
    <w:rsid w:val="0EA97F9C"/>
    <w:rsid w:val="0EAE0E4B"/>
    <w:rsid w:val="0EB45D35"/>
    <w:rsid w:val="0EBC26D6"/>
    <w:rsid w:val="0ED168E7"/>
    <w:rsid w:val="0ED23F95"/>
    <w:rsid w:val="0ED2440E"/>
    <w:rsid w:val="0ED406C7"/>
    <w:rsid w:val="0ED9579C"/>
    <w:rsid w:val="0EDB09B3"/>
    <w:rsid w:val="0EE02FCE"/>
    <w:rsid w:val="0EEA0A05"/>
    <w:rsid w:val="0EEA1757"/>
    <w:rsid w:val="0EEC1973"/>
    <w:rsid w:val="0EEE56EB"/>
    <w:rsid w:val="0EF425D6"/>
    <w:rsid w:val="0EF97F29"/>
    <w:rsid w:val="0F0267D2"/>
    <w:rsid w:val="0F032819"/>
    <w:rsid w:val="0F0E0BAD"/>
    <w:rsid w:val="0F16254C"/>
    <w:rsid w:val="0F29227F"/>
    <w:rsid w:val="0F31382A"/>
    <w:rsid w:val="0F3E7ACF"/>
    <w:rsid w:val="0F411414"/>
    <w:rsid w:val="0F4E618A"/>
    <w:rsid w:val="0F5117D6"/>
    <w:rsid w:val="0F672DA8"/>
    <w:rsid w:val="0F692FC4"/>
    <w:rsid w:val="0F6C4862"/>
    <w:rsid w:val="0F707EAE"/>
    <w:rsid w:val="0F7F5406"/>
    <w:rsid w:val="0F8971C2"/>
    <w:rsid w:val="0F8A6A96"/>
    <w:rsid w:val="0F931DEF"/>
    <w:rsid w:val="0F9A6246"/>
    <w:rsid w:val="0F9F0C46"/>
    <w:rsid w:val="0F9F2542"/>
    <w:rsid w:val="0FA1450C"/>
    <w:rsid w:val="0FAD1102"/>
    <w:rsid w:val="0FAD1DC8"/>
    <w:rsid w:val="0FAF38BA"/>
    <w:rsid w:val="0FB748D6"/>
    <w:rsid w:val="0FC87CEA"/>
    <w:rsid w:val="0FD7617F"/>
    <w:rsid w:val="0FD81AE7"/>
    <w:rsid w:val="0FDD12BC"/>
    <w:rsid w:val="0FDD312A"/>
    <w:rsid w:val="0FEE2832"/>
    <w:rsid w:val="0FF52AA9"/>
    <w:rsid w:val="0FFA3C1C"/>
    <w:rsid w:val="10022AD1"/>
    <w:rsid w:val="10044A9B"/>
    <w:rsid w:val="10105B18"/>
    <w:rsid w:val="101958FA"/>
    <w:rsid w:val="10196955"/>
    <w:rsid w:val="10263298"/>
    <w:rsid w:val="1029043F"/>
    <w:rsid w:val="1030329B"/>
    <w:rsid w:val="103C5FE2"/>
    <w:rsid w:val="104135F9"/>
    <w:rsid w:val="104B26C9"/>
    <w:rsid w:val="105015D1"/>
    <w:rsid w:val="1054157E"/>
    <w:rsid w:val="105A46BB"/>
    <w:rsid w:val="1061732E"/>
    <w:rsid w:val="10645539"/>
    <w:rsid w:val="10797237"/>
    <w:rsid w:val="107B4D5D"/>
    <w:rsid w:val="10802373"/>
    <w:rsid w:val="10833C11"/>
    <w:rsid w:val="108D4A90"/>
    <w:rsid w:val="1091537A"/>
    <w:rsid w:val="10944070"/>
    <w:rsid w:val="10953945"/>
    <w:rsid w:val="10993435"/>
    <w:rsid w:val="109B71AD"/>
    <w:rsid w:val="10B04B1B"/>
    <w:rsid w:val="10B14C22"/>
    <w:rsid w:val="10BE2E9B"/>
    <w:rsid w:val="10C55FD8"/>
    <w:rsid w:val="10C61D50"/>
    <w:rsid w:val="10C654D3"/>
    <w:rsid w:val="10D34B99"/>
    <w:rsid w:val="10E5667A"/>
    <w:rsid w:val="10E655FE"/>
    <w:rsid w:val="10E82A49"/>
    <w:rsid w:val="10F66AD9"/>
    <w:rsid w:val="10F92125"/>
    <w:rsid w:val="11050ACA"/>
    <w:rsid w:val="11131439"/>
    <w:rsid w:val="11194576"/>
    <w:rsid w:val="112371A2"/>
    <w:rsid w:val="1125116C"/>
    <w:rsid w:val="11290C5D"/>
    <w:rsid w:val="112E6273"/>
    <w:rsid w:val="112F5B47"/>
    <w:rsid w:val="11333889"/>
    <w:rsid w:val="113B28A3"/>
    <w:rsid w:val="114F1D45"/>
    <w:rsid w:val="115832F0"/>
    <w:rsid w:val="116003F7"/>
    <w:rsid w:val="11691059"/>
    <w:rsid w:val="116B779F"/>
    <w:rsid w:val="1173012A"/>
    <w:rsid w:val="117417AC"/>
    <w:rsid w:val="11953E67"/>
    <w:rsid w:val="11A958FA"/>
    <w:rsid w:val="11B03A6A"/>
    <w:rsid w:val="11BA18B5"/>
    <w:rsid w:val="11BF511D"/>
    <w:rsid w:val="11D230A2"/>
    <w:rsid w:val="11D70154"/>
    <w:rsid w:val="11E12C61"/>
    <w:rsid w:val="11E3705D"/>
    <w:rsid w:val="11E608FC"/>
    <w:rsid w:val="11F254F3"/>
    <w:rsid w:val="120A2210"/>
    <w:rsid w:val="121511E1"/>
    <w:rsid w:val="121A67F7"/>
    <w:rsid w:val="121F5BBC"/>
    <w:rsid w:val="122136E2"/>
    <w:rsid w:val="1222745A"/>
    <w:rsid w:val="12241424"/>
    <w:rsid w:val="12256F37"/>
    <w:rsid w:val="12296A3A"/>
    <w:rsid w:val="122B630F"/>
    <w:rsid w:val="123D6042"/>
    <w:rsid w:val="124D097B"/>
    <w:rsid w:val="12555A81"/>
    <w:rsid w:val="125735A8"/>
    <w:rsid w:val="126161D4"/>
    <w:rsid w:val="126366EB"/>
    <w:rsid w:val="126F15CC"/>
    <w:rsid w:val="12744159"/>
    <w:rsid w:val="127B4B94"/>
    <w:rsid w:val="127C300E"/>
    <w:rsid w:val="127E0B34"/>
    <w:rsid w:val="127E6D86"/>
    <w:rsid w:val="127F2171"/>
    <w:rsid w:val="128B4FFF"/>
    <w:rsid w:val="128F7902"/>
    <w:rsid w:val="1292638E"/>
    <w:rsid w:val="12957C2C"/>
    <w:rsid w:val="129E11D6"/>
    <w:rsid w:val="12AA1929"/>
    <w:rsid w:val="12B502CE"/>
    <w:rsid w:val="12BC165D"/>
    <w:rsid w:val="12BE7183"/>
    <w:rsid w:val="12C02EFB"/>
    <w:rsid w:val="12C10A21"/>
    <w:rsid w:val="12C16C73"/>
    <w:rsid w:val="12C30C3D"/>
    <w:rsid w:val="12CF313E"/>
    <w:rsid w:val="12D96091"/>
    <w:rsid w:val="12DC585B"/>
    <w:rsid w:val="12E017EF"/>
    <w:rsid w:val="12E54A8E"/>
    <w:rsid w:val="12F9465F"/>
    <w:rsid w:val="13021765"/>
    <w:rsid w:val="130C4392"/>
    <w:rsid w:val="1310432B"/>
    <w:rsid w:val="132536A6"/>
    <w:rsid w:val="13255454"/>
    <w:rsid w:val="13385187"/>
    <w:rsid w:val="13394A5B"/>
    <w:rsid w:val="1340403C"/>
    <w:rsid w:val="13623FB2"/>
    <w:rsid w:val="13651CF4"/>
    <w:rsid w:val="136C6BDF"/>
    <w:rsid w:val="137361BF"/>
    <w:rsid w:val="137E1789"/>
    <w:rsid w:val="13801B66"/>
    <w:rsid w:val="138A175B"/>
    <w:rsid w:val="138C54D3"/>
    <w:rsid w:val="13936861"/>
    <w:rsid w:val="13961EAE"/>
    <w:rsid w:val="1399374C"/>
    <w:rsid w:val="139D79BC"/>
    <w:rsid w:val="13A85E50"/>
    <w:rsid w:val="13AF1235"/>
    <w:rsid w:val="13AF2F6F"/>
    <w:rsid w:val="13BF31B2"/>
    <w:rsid w:val="13CA3E07"/>
    <w:rsid w:val="13D34EB0"/>
    <w:rsid w:val="13E23345"/>
    <w:rsid w:val="13E250F3"/>
    <w:rsid w:val="13EC5F71"/>
    <w:rsid w:val="13EC7D20"/>
    <w:rsid w:val="14096037"/>
    <w:rsid w:val="140E413A"/>
    <w:rsid w:val="141379A2"/>
    <w:rsid w:val="14164D9C"/>
    <w:rsid w:val="14200F92"/>
    <w:rsid w:val="142676D5"/>
    <w:rsid w:val="143321B1"/>
    <w:rsid w:val="143C2A55"/>
    <w:rsid w:val="143E4A1F"/>
    <w:rsid w:val="1441006B"/>
    <w:rsid w:val="145A112D"/>
    <w:rsid w:val="14624025"/>
    <w:rsid w:val="14636234"/>
    <w:rsid w:val="14681A9C"/>
    <w:rsid w:val="146B50E8"/>
    <w:rsid w:val="147719A1"/>
    <w:rsid w:val="147976DB"/>
    <w:rsid w:val="14830684"/>
    <w:rsid w:val="14835F2F"/>
    <w:rsid w:val="14890660"/>
    <w:rsid w:val="148B12E6"/>
    <w:rsid w:val="14A10B0A"/>
    <w:rsid w:val="14AB20D8"/>
    <w:rsid w:val="14BE16BC"/>
    <w:rsid w:val="14CB3DD9"/>
    <w:rsid w:val="14CD7045"/>
    <w:rsid w:val="14D013EF"/>
    <w:rsid w:val="14D07641"/>
    <w:rsid w:val="14D26F15"/>
    <w:rsid w:val="14D964F6"/>
    <w:rsid w:val="14DC08D0"/>
    <w:rsid w:val="14DF603C"/>
    <w:rsid w:val="14F275B8"/>
    <w:rsid w:val="14F74BCE"/>
    <w:rsid w:val="14F926F4"/>
    <w:rsid w:val="150115A9"/>
    <w:rsid w:val="15051099"/>
    <w:rsid w:val="150C68CB"/>
    <w:rsid w:val="150F2E19"/>
    <w:rsid w:val="151A4A2D"/>
    <w:rsid w:val="1525173B"/>
    <w:rsid w:val="152B4878"/>
    <w:rsid w:val="152D6842"/>
    <w:rsid w:val="15364374"/>
    <w:rsid w:val="1537146E"/>
    <w:rsid w:val="154410F5"/>
    <w:rsid w:val="15477903"/>
    <w:rsid w:val="15520056"/>
    <w:rsid w:val="15565D98"/>
    <w:rsid w:val="15593193"/>
    <w:rsid w:val="155B5497"/>
    <w:rsid w:val="156264EB"/>
    <w:rsid w:val="156A1844"/>
    <w:rsid w:val="156F29B6"/>
    <w:rsid w:val="157224A6"/>
    <w:rsid w:val="15783F61"/>
    <w:rsid w:val="15806B32"/>
    <w:rsid w:val="158B057C"/>
    <w:rsid w:val="15962639"/>
    <w:rsid w:val="15AE1730"/>
    <w:rsid w:val="15BF44EA"/>
    <w:rsid w:val="15C251DC"/>
    <w:rsid w:val="15C46D86"/>
    <w:rsid w:val="15D849FF"/>
    <w:rsid w:val="15E433A4"/>
    <w:rsid w:val="15E9057E"/>
    <w:rsid w:val="15E909BB"/>
    <w:rsid w:val="15ED7568"/>
    <w:rsid w:val="15FB249C"/>
    <w:rsid w:val="15FF1F8C"/>
    <w:rsid w:val="1605021A"/>
    <w:rsid w:val="1606156C"/>
    <w:rsid w:val="16094541"/>
    <w:rsid w:val="161A6585"/>
    <w:rsid w:val="161B48EC"/>
    <w:rsid w:val="161F43DC"/>
    <w:rsid w:val="161F48EC"/>
    <w:rsid w:val="162064D9"/>
    <w:rsid w:val="162177D0"/>
    <w:rsid w:val="162437A1"/>
    <w:rsid w:val="16257519"/>
    <w:rsid w:val="162639BD"/>
    <w:rsid w:val="1626576B"/>
    <w:rsid w:val="162B0FD3"/>
    <w:rsid w:val="16352BFB"/>
    <w:rsid w:val="1635775C"/>
    <w:rsid w:val="163B0AEA"/>
    <w:rsid w:val="16406BFC"/>
    <w:rsid w:val="1642631D"/>
    <w:rsid w:val="164976AB"/>
    <w:rsid w:val="165E3157"/>
    <w:rsid w:val="1663076D"/>
    <w:rsid w:val="166521F4"/>
    <w:rsid w:val="16685D83"/>
    <w:rsid w:val="16687DD6"/>
    <w:rsid w:val="166C5148"/>
    <w:rsid w:val="167160DA"/>
    <w:rsid w:val="16726C02"/>
    <w:rsid w:val="168406E3"/>
    <w:rsid w:val="16900E36"/>
    <w:rsid w:val="16A135AF"/>
    <w:rsid w:val="16A17D2C"/>
    <w:rsid w:val="16A300C5"/>
    <w:rsid w:val="16AF64EE"/>
    <w:rsid w:val="16B45574"/>
    <w:rsid w:val="16B8042E"/>
    <w:rsid w:val="16B965DF"/>
    <w:rsid w:val="16BB694C"/>
    <w:rsid w:val="16BC60CF"/>
    <w:rsid w:val="16CC0064"/>
    <w:rsid w:val="16CE7D9B"/>
    <w:rsid w:val="16E2350D"/>
    <w:rsid w:val="16E24019"/>
    <w:rsid w:val="16E82A20"/>
    <w:rsid w:val="16EA49EA"/>
    <w:rsid w:val="16F7073B"/>
    <w:rsid w:val="16F77107"/>
    <w:rsid w:val="16F83FBE"/>
    <w:rsid w:val="17076D19"/>
    <w:rsid w:val="170A508C"/>
    <w:rsid w:val="170B2BB3"/>
    <w:rsid w:val="1740285C"/>
    <w:rsid w:val="175759E5"/>
    <w:rsid w:val="175A1874"/>
    <w:rsid w:val="175C6F6A"/>
    <w:rsid w:val="176946F7"/>
    <w:rsid w:val="176A78D9"/>
    <w:rsid w:val="178570A5"/>
    <w:rsid w:val="17885FB1"/>
    <w:rsid w:val="17953E20"/>
    <w:rsid w:val="17A032FB"/>
    <w:rsid w:val="17AF1790"/>
    <w:rsid w:val="17AF79E2"/>
    <w:rsid w:val="17B86896"/>
    <w:rsid w:val="17B9616B"/>
    <w:rsid w:val="17C31E10"/>
    <w:rsid w:val="17CC7AF5"/>
    <w:rsid w:val="17CE2693"/>
    <w:rsid w:val="17DD00AB"/>
    <w:rsid w:val="17E458DD"/>
    <w:rsid w:val="17EC4792"/>
    <w:rsid w:val="17EE22B8"/>
    <w:rsid w:val="17FB6783"/>
    <w:rsid w:val="17FF564B"/>
    <w:rsid w:val="18027B12"/>
    <w:rsid w:val="18041ADC"/>
    <w:rsid w:val="18055854"/>
    <w:rsid w:val="1807337A"/>
    <w:rsid w:val="180C6BE2"/>
    <w:rsid w:val="1811250D"/>
    <w:rsid w:val="18115FA7"/>
    <w:rsid w:val="181635BD"/>
    <w:rsid w:val="181C089E"/>
    <w:rsid w:val="182868AE"/>
    <w:rsid w:val="183D6D9C"/>
    <w:rsid w:val="18457FAD"/>
    <w:rsid w:val="18581E27"/>
    <w:rsid w:val="185C229E"/>
    <w:rsid w:val="185C7D7E"/>
    <w:rsid w:val="18700F1F"/>
    <w:rsid w:val="18786026"/>
    <w:rsid w:val="188813DF"/>
    <w:rsid w:val="188E75F7"/>
    <w:rsid w:val="18981CA2"/>
    <w:rsid w:val="18982224"/>
    <w:rsid w:val="189E01DD"/>
    <w:rsid w:val="189E1DAE"/>
    <w:rsid w:val="18A137CE"/>
    <w:rsid w:val="18A17B72"/>
    <w:rsid w:val="18AE37F5"/>
    <w:rsid w:val="18B51028"/>
    <w:rsid w:val="18B51996"/>
    <w:rsid w:val="18C474BD"/>
    <w:rsid w:val="18D86AC4"/>
    <w:rsid w:val="18E67433"/>
    <w:rsid w:val="18E70207"/>
    <w:rsid w:val="190478B9"/>
    <w:rsid w:val="191044B0"/>
    <w:rsid w:val="1910625E"/>
    <w:rsid w:val="19137AFC"/>
    <w:rsid w:val="191971B1"/>
    <w:rsid w:val="191C4C03"/>
    <w:rsid w:val="191E3AF6"/>
    <w:rsid w:val="19266CBF"/>
    <w:rsid w:val="19272AC9"/>
    <w:rsid w:val="19341F4D"/>
    <w:rsid w:val="193E101D"/>
    <w:rsid w:val="19481E9C"/>
    <w:rsid w:val="19483C4A"/>
    <w:rsid w:val="19511902"/>
    <w:rsid w:val="19574DA2"/>
    <w:rsid w:val="195C76F5"/>
    <w:rsid w:val="197902A7"/>
    <w:rsid w:val="197D7D98"/>
    <w:rsid w:val="197D7E4D"/>
    <w:rsid w:val="19801636"/>
    <w:rsid w:val="19882298"/>
    <w:rsid w:val="198932F6"/>
    <w:rsid w:val="198D78AF"/>
    <w:rsid w:val="199D3F96"/>
    <w:rsid w:val="19A30E80"/>
    <w:rsid w:val="19A60971"/>
    <w:rsid w:val="19AD57B1"/>
    <w:rsid w:val="19B1359D"/>
    <w:rsid w:val="19B200B0"/>
    <w:rsid w:val="19BE790A"/>
    <w:rsid w:val="19C37774"/>
    <w:rsid w:val="19CE23A1"/>
    <w:rsid w:val="19D41982"/>
    <w:rsid w:val="19D63004"/>
    <w:rsid w:val="19D8595E"/>
    <w:rsid w:val="19D96F98"/>
    <w:rsid w:val="19E47E89"/>
    <w:rsid w:val="19E82D37"/>
    <w:rsid w:val="19EC0A79"/>
    <w:rsid w:val="19EF621A"/>
    <w:rsid w:val="1A183D13"/>
    <w:rsid w:val="1A187AC0"/>
    <w:rsid w:val="1A1F0E4F"/>
    <w:rsid w:val="1A204BC7"/>
    <w:rsid w:val="1A222683"/>
    <w:rsid w:val="1A293A7B"/>
    <w:rsid w:val="1A2B309E"/>
    <w:rsid w:val="1A402B73"/>
    <w:rsid w:val="1A420699"/>
    <w:rsid w:val="1A46086D"/>
    <w:rsid w:val="1A46462D"/>
    <w:rsid w:val="1A5D1977"/>
    <w:rsid w:val="1A5F56EF"/>
    <w:rsid w:val="1A604FC3"/>
    <w:rsid w:val="1A69031C"/>
    <w:rsid w:val="1A6A4C5B"/>
    <w:rsid w:val="1A6A7BF0"/>
    <w:rsid w:val="1A722FC0"/>
    <w:rsid w:val="1A742084"/>
    <w:rsid w:val="1A7D5B75"/>
    <w:rsid w:val="1A845156"/>
    <w:rsid w:val="1A8675A0"/>
    <w:rsid w:val="1A975C0F"/>
    <w:rsid w:val="1A9B1BB6"/>
    <w:rsid w:val="1AB43D57"/>
    <w:rsid w:val="1ABA0B77"/>
    <w:rsid w:val="1AC11F06"/>
    <w:rsid w:val="1AC437A4"/>
    <w:rsid w:val="1AD216A1"/>
    <w:rsid w:val="1ADA2FC8"/>
    <w:rsid w:val="1ADA4D76"/>
    <w:rsid w:val="1ADF238C"/>
    <w:rsid w:val="1AE6371B"/>
    <w:rsid w:val="1AF42253"/>
    <w:rsid w:val="1AF57CC6"/>
    <w:rsid w:val="1AF82EE7"/>
    <w:rsid w:val="1AFF658A"/>
    <w:rsid w:val="1B010554"/>
    <w:rsid w:val="1B291859"/>
    <w:rsid w:val="1B2A271F"/>
    <w:rsid w:val="1B34092A"/>
    <w:rsid w:val="1B3B1CB8"/>
    <w:rsid w:val="1B3F5132"/>
    <w:rsid w:val="1B486183"/>
    <w:rsid w:val="1B566A66"/>
    <w:rsid w:val="1B5B65FA"/>
    <w:rsid w:val="1B5E7755"/>
    <w:rsid w:val="1B5F527B"/>
    <w:rsid w:val="1B6029D0"/>
    <w:rsid w:val="1B6805D3"/>
    <w:rsid w:val="1B6A3C9A"/>
    <w:rsid w:val="1B6F3710"/>
    <w:rsid w:val="1B703C88"/>
    <w:rsid w:val="1B7072DD"/>
    <w:rsid w:val="1B764D9C"/>
    <w:rsid w:val="1B7C7BDB"/>
    <w:rsid w:val="1B7E7DF7"/>
    <w:rsid w:val="1B811695"/>
    <w:rsid w:val="1B9C64CF"/>
    <w:rsid w:val="1BB13D28"/>
    <w:rsid w:val="1BC2741A"/>
    <w:rsid w:val="1BD619E1"/>
    <w:rsid w:val="1BDC68CC"/>
    <w:rsid w:val="1BE83DD7"/>
    <w:rsid w:val="1BEA548C"/>
    <w:rsid w:val="1BEF2AA3"/>
    <w:rsid w:val="1BF9122C"/>
    <w:rsid w:val="1C0A51E7"/>
    <w:rsid w:val="1C1B73F4"/>
    <w:rsid w:val="1C246FE5"/>
    <w:rsid w:val="1C2E5379"/>
    <w:rsid w:val="1C381D54"/>
    <w:rsid w:val="1C393D1E"/>
    <w:rsid w:val="1C3A255C"/>
    <w:rsid w:val="1C3D380E"/>
    <w:rsid w:val="1C44694B"/>
    <w:rsid w:val="1C485D0F"/>
    <w:rsid w:val="1C4E1577"/>
    <w:rsid w:val="1C511068"/>
    <w:rsid w:val="1C5900F8"/>
    <w:rsid w:val="1C656C23"/>
    <w:rsid w:val="1C6A2129"/>
    <w:rsid w:val="1C7D3C0B"/>
    <w:rsid w:val="1C872CDB"/>
    <w:rsid w:val="1C8C20A0"/>
    <w:rsid w:val="1C980A44"/>
    <w:rsid w:val="1C9A0C60"/>
    <w:rsid w:val="1C9F0B9D"/>
    <w:rsid w:val="1C9F6277"/>
    <w:rsid w:val="1CA13D9D"/>
    <w:rsid w:val="1CB735C0"/>
    <w:rsid w:val="1CBB2985"/>
    <w:rsid w:val="1CD11494"/>
    <w:rsid w:val="1CD7615D"/>
    <w:rsid w:val="1CDD6D9F"/>
    <w:rsid w:val="1CE123EB"/>
    <w:rsid w:val="1CF10155"/>
    <w:rsid w:val="1CF33ECD"/>
    <w:rsid w:val="1CF814E3"/>
    <w:rsid w:val="1D081CB0"/>
    <w:rsid w:val="1D0E51AB"/>
    <w:rsid w:val="1D0F39CD"/>
    <w:rsid w:val="1D1E3E53"/>
    <w:rsid w:val="1D2A77A9"/>
    <w:rsid w:val="1D3A7D4E"/>
    <w:rsid w:val="1D497F91"/>
    <w:rsid w:val="1D4B5AB7"/>
    <w:rsid w:val="1D4D171E"/>
    <w:rsid w:val="1D4D5CD3"/>
    <w:rsid w:val="1D547061"/>
    <w:rsid w:val="1D5520D8"/>
    <w:rsid w:val="1D552DD9"/>
    <w:rsid w:val="1D5C1A72"/>
    <w:rsid w:val="1D5E26BE"/>
    <w:rsid w:val="1D644DCB"/>
    <w:rsid w:val="1D6628F1"/>
    <w:rsid w:val="1D666D95"/>
    <w:rsid w:val="1D69418F"/>
    <w:rsid w:val="1D74500E"/>
    <w:rsid w:val="1D750D86"/>
    <w:rsid w:val="1D80285F"/>
    <w:rsid w:val="1D880AB9"/>
    <w:rsid w:val="1D921938"/>
    <w:rsid w:val="1D954D97"/>
    <w:rsid w:val="1DBA2C3C"/>
    <w:rsid w:val="1DC615E1"/>
    <w:rsid w:val="1DC75A85"/>
    <w:rsid w:val="1DD12460"/>
    <w:rsid w:val="1DD43CFE"/>
    <w:rsid w:val="1DE55F0B"/>
    <w:rsid w:val="1DEA1774"/>
    <w:rsid w:val="1DEB64C1"/>
    <w:rsid w:val="1DEC729A"/>
    <w:rsid w:val="1DEF0B61"/>
    <w:rsid w:val="1DF63B37"/>
    <w:rsid w:val="1DFE0D7B"/>
    <w:rsid w:val="1E0068A1"/>
    <w:rsid w:val="1E016615"/>
    <w:rsid w:val="1E064989"/>
    <w:rsid w:val="1E075E82"/>
    <w:rsid w:val="1E0F4D36"/>
    <w:rsid w:val="1E1265D5"/>
    <w:rsid w:val="1E14059F"/>
    <w:rsid w:val="1E236A34"/>
    <w:rsid w:val="1E2F53D8"/>
    <w:rsid w:val="1E5866DD"/>
    <w:rsid w:val="1E65704C"/>
    <w:rsid w:val="1E6C03DB"/>
    <w:rsid w:val="1E6C3F37"/>
    <w:rsid w:val="1E6F1C79"/>
    <w:rsid w:val="1E780C0D"/>
    <w:rsid w:val="1E7828DC"/>
    <w:rsid w:val="1E786D7F"/>
    <w:rsid w:val="1E7A2AF8"/>
    <w:rsid w:val="1E8219AC"/>
    <w:rsid w:val="1E8C604D"/>
    <w:rsid w:val="1E93077E"/>
    <w:rsid w:val="1E937715"/>
    <w:rsid w:val="1E993340"/>
    <w:rsid w:val="1E9E722A"/>
    <w:rsid w:val="1EA5569B"/>
    <w:rsid w:val="1EA9518B"/>
    <w:rsid w:val="1EAB0F03"/>
    <w:rsid w:val="1EAC4C7B"/>
    <w:rsid w:val="1EAF32E5"/>
    <w:rsid w:val="1EB15DEE"/>
    <w:rsid w:val="1EB51D82"/>
    <w:rsid w:val="1EBB0A1A"/>
    <w:rsid w:val="1EBC2E4F"/>
    <w:rsid w:val="1EBE630B"/>
    <w:rsid w:val="1EC27FFB"/>
    <w:rsid w:val="1ED8781E"/>
    <w:rsid w:val="1EEA12FF"/>
    <w:rsid w:val="1EEB7551"/>
    <w:rsid w:val="1EEE7443"/>
    <w:rsid w:val="1F0B19A2"/>
    <w:rsid w:val="1F111D05"/>
    <w:rsid w:val="1F226CEB"/>
    <w:rsid w:val="1F372797"/>
    <w:rsid w:val="1F3F33F9"/>
    <w:rsid w:val="1F43738D"/>
    <w:rsid w:val="1F536EA5"/>
    <w:rsid w:val="1F5C4703"/>
    <w:rsid w:val="1F6B68E4"/>
    <w:rsid w:val="1F8654CC"/>
    <w:rsid w:val="1F86727A"/>
    <w:rsid w:val="1F890F32"/>
    <w:rsid w:val="1F936DDB"/>
    <w:rsid w:val="1F9C084C"/>
    <w:rsid w:val="1FA44AF7"/>
    <w:rsid w:val="1FB262C1"/>
    <w:rsid w:val="1FBA6F24"/>
    <w:rsid w:val="1FBC4A4A"/>
    <w:rsid w:val="1FBF453A"/>
    <w:rsid w:val="1FCD4EA9"/>
    <w:rsid w:val="1FCF24E6"/>
    <w:rsid w:val="1FD44489"/>
    <w:rsid w:val="1FDA1374"/>
    <w:rsid w:val="1FDE67FC"/>
    <w:rsid w:val="1FE673DA"/>
    <w:rsid w:val="1FEA77EA"/>
    <w:rsid w:val="20014B53"/>
    <w:rsid w:val="2006682F"/>
    <w:rsid w:val="200D34F7"/>
    <w:rsid w:val="20163563"/>
    <w:rsid w:val="2020147D"/>
    <w:rsid w:val="202B0253"/>
    <w:rsid w:val="20384A18"/>
    <w:rsid w:val="2041418D"/>
    <w:rsid w:val="204D5FEA"/>
    <w:rsid w:val="206C46C2"/>
    <w:rsid w:val="206D3F96"/>
    <w:rsid w:val="206D7196"/>
    <w:rsid w:val="20783067"/>
    <w:rsid w:val="2080016D"/>
    <w:rsid w:val="208A0FEC"/>
    <w:rsid w:val="20931C4F"/>
    <w:rsid w:val="20A7394C"/>
    <w:rsid w:val="20A976C4"/>
    <w:rsid w:val="20AA343C"/>
    <w:rsid w:val="20AE4CDA"/>
    <w:rsid w:val="20AE4FA9"/>
    <w:rsid w:val="20B1158E"/>
    <w:rsid w:val="20BD6CCC"/>
    <w:rsid w:val="20C067BC"/>
    <w:rsid w:val="20D14525"/>
    <w:rsid w:val="20E64474"/>
    <w:rsid w:val="20E95D13"/>
    <w:rsid w:val="20E97AC1"/>
    <w:rsid w:val="20FB77F4"/>
    <w:rsid w:val="20FD17BE"/>
    <w:rsid w:val="210963B5"/>
    <w:rsid w:val="210C2A2B"/>
    <w:rsid w:val="210F504D"/>
    <w:rsid w:val="211803A6"/>
    <w:rsid w:val="21240146"/>
    <w:rsid w:val="21240AF9"/>
    <w:rsid w:val="21445C63"/>
    <w:rsid w:val="214473ED"/>
    <w:rsid w:val="21621621"/>
    <w:rsid w:val="216A444C"/>
    <w:rsid w:val="216E6218"/>
    <w:rsid w:val="217A4BBD"/>
    <w:rsid w:val="217A696B"/>
    <w:rsid w:val="217C0935"/>
    <w:rsid w:val="21813E8C"/>
    <w:rsid w:val="218B6DCA"/>
    <w:rsid w:val="218E0668"/>
    <w:rsid w:val="21935C7E"/>
    <w:rsid w:val="219739C1"/>
    <w:rsid w:val="21AA36F4"/>
    <w:rsid w:val="21B55BF5"/>
    <w:rsid w:val="21C83B7A"/>
    <w:rsid w:val="21CB71C6"/>
    <w:rsid w:val="21DD6EFA"/>
    <w:rsid w:val="21E64000"/>
    <w:rsid w:val="21E914AE"/>
    <w:rsid w:val="21F229A5"/>
    <w:rsid w:val="21FA7AAB"/>
    <w:rsid w:val="21FF50C2"/>
    <w:rsid w:val="220628F4"/>
    <w:rsid w:val="2208041A"/>
    <w:rsid w:val="22124DF5"/>
    <w:rsid w:val="22135B75"/>
    <w:rsid w:val="221B014E"/>
    <w:rsid w:val="221E3F06"/>
    <w:rsid w:val="2221328A"/>
    <w:rsid w:val="22235254"/>
    <w:rsid w:val="222766AD"/>
    <w:rsid w:val="222A213F"/>
    <w:rsid w:val="222D7E81"/>
    <w:rsid w:val="22325497"/>
    <w:rsid w:val="223F1EBC"/>
    <w:rsid w:val="224C2E67"/>
    <w:rsid w:val="224F6049"/>
    <w:rsid w:val="22543660"/>
    <w:rsid w:val="225B4E09"/>
    <w:rsid w:val="226E29B9"/>
    <w:rsid w:val="22721D38"/>
    <w:rsid w:val="227635D6"/>
    <w:rsid w:val="22883309"/>
    <w:rsid w:val="22925F36"/>
    <w:rsid w:val="229628CB"/>
    <w:rsid w:val="229F733D"/>
    <w:rsid w:val="22B1460E"/>
    <w:rsid w:val="22B60C01"/>
    <w:rsid w:val="22B8599C"/>
    <w:rsid w:val="22B91715"/>
    <w:rsid w:val="22BE4F7D"/>
    <w:rsid w:val="22BE6D2B"/>
    <w:rsid w:val="22CA1B74"/>
    <w:rsid w:val="22D60519"/>
    <w:rsid w:val="22D93B65"/>
    <w:rsid w:val="22E24F49"/>
    <w:rsid w:val="22E776A0"/>
    <w:rsid w:val="22F4274D"/>
    <w:rsid w:val="22FA4207"/>
    <w:rsid w:val="23001DC1"/>
    <w:rsid w:val="23076924"/>
    <w:rsid w:val="232674C5"/>
    <w:rsid w:val="23305E7B"/>
    <w:rsid w:val="2335523F"/>
    <w:rsid w:val="23377B6D"/>
    <w:rsid w:val="23443CE8"/>
    <w:rsid w:val="234C07DB"/>
    <w:rsid w:val="23517B9F"/>
    <w:rsid w:val="2355768F"/>
    <w:rsid w:val="2359040B"/>
    <w:rsid w:val="236773C3"/>
    <w:rsid w:val="23696C97"/>
    <w:rsid w:val="237613B4"/>
    <w:rsid w:val="238C6E29"/>
    <w:rsid w:val="23952182"/>
    <w:rsid w:val="23963804"/>
    <w:rsid w:val="239E4B94"/>
    <w:rsid w:val="23A93537"/>
    <w:rsid w:val="23BA3996"/>
    <w:rsid w:val="23BD6FE3"/>
    <w:rsid w:val="23CB16FF"/>
    <w:rsid w:val="23CD191B"/>
    <w:rsid w:val="23DC390D"/>
    <w:rsid w:val="23DC5161"/>
    <w:rsid w:val="23F24EDE"/>
    <w:rsid w:val="23FC690F"/>
    <w:rsid w:val="240167EB"/>
    <w:rsid w:val="24030727"/>
    <w:rsid w:val="240F6DE3"/>
    <w:rsid w:val="24165F51"/>
    <w:rsid w:val="24170DE9"/>
    <w:rsid w:val="241C63FF"/>
    <w:rsid w:val="241F1A4B"/>
    <w:rsid w:val="242877DE"/>
    <w:rsid w:val="242B219E"/>
    <w:rsid w:val="2446347C"/>
    <w:rsid w:val="244871F4"/>
    <w:rsid w:val="244F484B"/>
    <w:rsid w:val="24507E57"/>
    <w:rsid w:val="24572F93"/>
    <w:rsid w:val="2464368E"/>
    <w:rsid w:val="246A716A"/>
    <w:rsid w:val="246C2EE2"/>
    <w:rsid w:val="24724271"/>
    <w:rsid w:val="24771887"/>
    <w:rsid w:val="2480698E"/>
    <w:rsid w:val="24A106B2"/>
    <w:rsid w:val="24A51F50"/>
    <w:rsid w:val="24AC5084"/>
    <w:rsid w:val="24BC54EC"/>
    <w:rsid w:val="24C67C8C"/>
    <w:rsid w:val="24D9609E"/>
    <w:rsid w:val="24DD5D3D"/>
    <w:rsid w:val="24E16D01"/>
    <w:rsid w:val="24F37160"/>
    <w:rsid w:val="24F75A1E"/>
    <w:rsid w:val="24FB512B"/>
    <w:rsid w:val="25034EC9"/>
    <w:rsid w:val="25052E69"/>
    <w:rsid w:val="25070E5D"/>
    <w:rsid w:val="25117A4F"/>
    <w:rsid w:val="251315B0"/>
    <w:rsid w:val="2513335E"/>
    <w:rsid w:val="25171665"/>
    <w:rsid w:val="25186BC6"/>
    <w:rsid w:val="25272410"/>
    <w:rsid w:val="252C160A"/>
    <w:rsid w:val="25302162"/>
    <w:rsid w:val="25387269"/>
    <w:rsid w:val="253A408D"/>
    <w:rsid w:val="254259F1"/>
    <w:rsid w:val="2547125A"/>
    <w:rsid w:val="254C40BE"/>
    <w:rsid w:val="254E083A"/>
    <w:rsid w:val="25675458"/>
    <w:rsid w:val="256D58AD"/>
    <w:rsid w:val="25775B44"/>
    <w:rsid w:val="257928E7"/>
    <w:rsid w:val="257A33DD"/>
    <w:rsid w:val="25832019"/>
    <w:rsid w:val="25873D4C"/>
    <w:rsid w:val="25981AB5"/>
    <w:rsid w:val="259F4BF2"/>
    <w:rsid w:val="25B6018D"/>
    <w:rsid w:val="25B84A72"/>
    <w:rsid w:val="25BD73D6"/>
    <w:rsid w:val="25BD776E"/>
    <w:rsid w:val="25C42A83"/>
    <w:rsid w:val="25DA2A28"/>
    <w:rsid w:val="25DD571A"/>
    <w:rsid w:val="25E1345C"/>
    <w:rsid w:val="25EB6089"/>
    <w:rsid w:val="25FC2044"/>
    <w:rsid w:val="260929B3"/>
    <w:rsid w:val="26215F4F"/>
    <w:rsid w:val="26261822"/>
    <w:rsid w:val="263317DE"/>
    <w:rsid w:val="26396775"/>
    <w:rsid w:val="263E265D"/>
    <w:rsid w:val="264F6618"/>
    <w:rsid w:val="26505EEA"/>
    <w:rsid w:val="2652435A"/>
    <w:rsid w:val="26541E80"/>
    <w:rsid w:val="26633E71"/>
    <w:rsid w:val="266F6CBA"/>
    <w:rsid w:val="26720558"/>
    <w:rsid w:val="267963BF"/>
    <w:rsid w:val="267C6B2D"/>
    <w:rsid w:val="2681079B"/>
    <w:rsid w:val="2685028B"/>
    <w:rsid w:val="2694227D"/>
    <w:rsid w:val="269A4809"/>
    <w:rsid w:val="269E30FB"/>
    <w:rsid w:val="26A34BB6"/>
    <w:rsid w:val="26A61FB0"/>
    <w:rsid w:val="26A86578"/>
    <w:rsid w:val="26B40B71"/>
    <w:rsid w:val="26C11862"/>
    <w:rsid w:val="26C16DEA"/>
    <w:rsid w:val="26C37006"/>
    <w:rsid w:val="26D42FC1"/>
    <w:rsid w:val="26D905D7"/>
    <w:rsid w:val="26E34FB2"/>
    <w:rsid w:val="26E36D60"/>
    <w:rsid w:val="26EA6341"/>
    <w:rsid w:val="2700750D"/>
    <w:rsid w:val="271909D4"/>
    <w:rsid w:val="271B34F6"/>
    <w:rsid w:val="272C0707"/>
    <w:rsid w:val="273121C1"/>
    <w:rsid w:val="273F35F4"/>
    <w:rsid w:val="274954EA"/>
    <w:rsid w:val="27547C5E"/>
    <w:rsid w:val="27624129"/>
    <w:rsid w:val="276C144B"/>
    <w:rsid w:val="27764078"/>
    <w:rsid w:val="27893DAB"/>
    <w:rsid w:val="27930786"/>
    <w:rsid w:val="27952750"/>
    <w:rsid w:val="27A75FE0"/>
    <w:rsid w:val="27BA21B7"/>
    <w:rsid w:val="27BA3F65"/>
    <w:rsid w:val="27BF5A1F"/>
    <w:rsid w:val="27C4285D"/>
    <w:rsid w:val="27C76682"/>
    <w:rsid w:val="27CA4388"/>
    <w:rsid w:val="27D112AE"/>
    <w:rsid w:val="27D760BC"/>
    <w:rsid w:val="27D95488"/>
    <w:rsid w:val="27DA4607"/>
    <w:rsid w:val="27F14303"/>
    <w:rsid w:val="27F37477"/>
    <w:rsid w:val="28060F58"/>
    <w:rsid w:val="280E7144"/>
    <w:rsid w:val="281778A7"/>
    <w:rsid w:val="28233866"/>
    <w:rsid w:val="28237D5C"/>
    <w:rsid w:val="28305FD5"/>
    <w:rsid w:val="283E4B96"/>
    <w:rsid w:val="28433F5A"/>
    <w:rsid w:val="285443B9"/>
    <w:rsid w:val="285E6FE6"/>
    <w:rsid w:val="28650375"/>
    <w:rsid w:val="28687E65"/>
    <w:rsid w:val="286F11F3"/>
    <w:rsid w:val="28757E8C"/>
    <w:rsid w:val="287A4275"/>
    <w:rsid w:val="288307FB"/>
    <w:rsid w:val="288F719F"/>
    <w:rsid w:val="28902F18"/>
    <w:rsid w:val="28913E9A"/>
    <w:rsid w:val="289B3D96"/>
    <w:rsid w:val="289C222B"/>
    <w:rsid w:val="28A32C4B"/>
    <w:rsid w:val="28B01054"/>
    <w:rsid w:val="28B018E3"/>
    <w:rsid w:val="28BC1F5F"/>
    <w:rsid w:val="28C668F3"/>
    <w:rsid w:val="28DC43AF"/>
    <w:rsid w:val="28DC615D"/>
    <w:rsid w:val="28E409A6"/>
    <w:rsid w:val="28E64C29"/>
    <w:rsid w:val="28ED2118"/>
    <w:rsid w:val="28F17E5A"/>
    <w:rsid w:val="28F46B87"/>
    <w:rsid w:val="28FE2577"/>
    <w:rsid w:val="28FE73D4"/>
    <w:rsid w:val="2907735C"/>
    <w:rsid w:val="290A0F1C"/>
    <w:rsid w:val="290F208E"/>
    <w:rsid w:val="29121B7F"/>
    <w:rsid w:val="291D7302"/>
    <w:rsid w:val="291E0523"/>
    <w:rsid w:val="29220014"/>
    <w:rsid w:val="29283150"/>
    <w:rsid w:val="293F655C"/>
    <w:rsid w:val="294206B6"/>
    <w:rsid w:val="29491A44"/>
    <w:rsid w:val="294A30C6"/>
    <w:rsid w:val="295C29C8"/>
    <w:rsid w:val="29657F00"/>
    <w:rsid w:val="296E14AB"/>
    <w:rsid w:val="2973261D"/>
    <w:rsid w:val="2979318F"/>
    <w:rsid w:val="297D6742"/>
    <w:rsid w:val="298505A2"/>
    <w:rsid w:val="29883BEF"/>
    <w:rsid w:val="29A749BD"/>
    <w:rsid w:val="29B449E4"/>
    <w:rsid w:val="29B80978"/>
    <w:rsid w:val="29DB4666"/>
    <w:rsid w:val="29DE0AE8"/>
    <w:rsid w:val="29E21551"/>
    <w:rsid w:val="29EF3C6E"/>
    <w:rsid w:val="29FA2D3E"/>
    <w:rsid w:val="2A04596B"/>
    <w:rsid w:val="2A077209"/>
    <w:rsid w:val="2A0E0598"/>
    <w:rsid w:val="2A21651D"/>
    <w:rsid w:val="2A2D713F"/>
    <w:rsid w:val="2A2E0C3A"/>
    <w:rsid w:val="2A380D53"/>
    <w:rsid w:val="2A3854D0"/>
    <w:rsid w:val="2A385615"/>
    <w:rsid w:val="2A3C1140"/>
    <w:rsid w:val="2A44220C"/>
    <w:rsid w:val="2A4915D0"/>
    <w:rsid w:val="2A4D5475"/>
    <w:rsid w:val="2A5102BF"/>
    <w:rsid w:val="2A573CED"/>
    <w:rsid w:val="2A5A558B"/>
    <w:rsid w:val="2A71789D"/>
    <w:rsid w:val="2A742AF1"/>
    <w:rsid w:val="2A77613D"/>
    <w:rsid w:val="2A7A79DB"/>
    <w:rsid w:val="2A7E6069"/>
    <w:rsid w:val="2A7F3244"/>
    <w:rsid w:val="2A930A9D"/>
    <w:rsid w:val="2A9A007E"/>
    <w:rsid w:val="2A9F46A5"/>
    <w:rsid w:val="2AA9206F"/>
    <w:rsid w:val="2AAD7DB1"/>
    <w:rsid w:val="2AAF1D7B"/>
    <w:rsid w:val="2AC72840"/>
    <w:rsid w:val="2AC84BEB"/>
    <w:rsid w:val="2ACA5624"/>
    <w:rsid w:val="2ACF41CB"/>
    <w:rsid w:val="2AE15CAC"/>
    <w:rsid w:val="2AE568ED"/>
    <w:rsid w:val="2AE80DE9"/>
    <w:rsid w:val="2AE8703B"/>
    <w:rsid w:val="2AEB08D9"/>
    <w:rsid w:val="2AFB6893"/>
    <w:rsid w:val="2B231E21"/>
    <w:rsid w:val="2B2F07C6"/>
    <w:rsid w:val="2B3043E2"/>
    <w:rsid w:val="2B41674B"/>
    <w:rsid w:val="2B470F10"/>
    <w:rsid w:val="2B471FB3"/>
    <w:rsid w:val="2B485D2C"/>
    <w:rsid w:val="2B4C2DE2"/>
    <w:rsid w:val="2B4C581C"/>
    <w:rsid w:val="2B595843"/>
    <w:rsid w:val="2B5B780D"/>
    <w:rsid w:val="2B620B9B"/>
    <w:rsid w:val="2B6C37C8"/>
    <w:rsid w:val="2B78054E"/>
    <w:rsid w:val="2B795F12"/>
    <w:rsid w:val="2B7E174D"/>
    <w:rsid w:val="2B7E34FB"/>
    <w:rsid w:val="2B8054C5"/>
    <w:rsid w:val="2B91322F"/>
    <w:rsid w:val="2B927FEA"/>
    <w:rsid w:val="2B9E191F"/>
    <w:rsid w:val="2BA87CB0"/>
    <w:rsid w:val="2BB46F1D"/>
    <w:rsid w:val="2BB92785"/>
    <w:rsid w:val="2BBB64FD"/>
    <w:rsid w:val="2BBE6A94"/>
    <w:rsid w:val="2BBF5FEE"/>
    <w:rsid w:val="2BC01D66"/>
    <w:rsid w:val="2BC453B2"/>
    <w:rsid w:val="2BC5112A"/>
    <w:rsid w:val="2BC730F4"/>
    <w:rsid w:val="2BEF7F55"/>
    <w:rsid w:val="2C0A417D"/>
    <w:rsid w:val="2C1A3224"/>
    <w:rsid w:val="2C2045B2"/>
    <w:rsid w:val="2C2B1183"/>
    <w:rsid w:val="2C2E3173"/>
    <w:rsid w:val="2C3167C0"/>
    <w:rsid w:val="2C324A12"/>
    <w:rsid w:val="2C362D97"/>
    <w:rsid w:val="2C3D33B6"/>
    <w:rsid w:val="2C3F712F"/>
    <w:rsid w:val="2C414C55"/>
    <w:rsid w:val="2C4464F3"/>
    <w:rsid w:val="2C4604BD"/>
    <w:rsid w:val="2C5129BE"/>
    <w:rsid w:val="2C526E62"/>
    <w:rsid w:val="2C5A1872"/>
    <w:rsid w:val="2C616E89"/>
    <w:rsid w:val="2C7566AC"/>
    <w:rsid w:val="2C7E7C57"/>
    <w:rsid w:val="2C8608B9"/>
    <w:rsid w:val="2C8763E0"/>
    <w:rsid w:val="2C8D37A6"/>
    <w:rsid w:val="2C9A25B7"/>
    <w:rsid w:val="2C9D5C03"/>
    <w:rsid w:val="2CB160A0"/>
    <w:rsid w:val="2CBF5B79"/>
    <w:rsid w:val="2CCE420F"/>
    <w:rsid w:val="2CD31625"/>
    <w:rsid w:val="2CD535EF"/>
    <w:rsid w:val="2CDF7FCA"/>
    <w:rsid w:val="2CEF2903"/>
    <w:rsid w:val="2CFC0B7C"/>
    <w:rsid w:val="2CFE48F4"/>
    <w:rsid w:val="2D0637A8"/>
    <w:rsid w:val="2D0F4C79"/>
    <w:rsid w:val="2D1265F1"/>
    <w:rsid w:val="2D202ABC"/>
    <w:rsid w:val="2D263E4A"/>
    <w:rsid w:val="2D2A5DE1"/>
    <w:rsid w:val="2D3C541C"/>
    <w:rsid w:val="2D4D07B9"/>
    <w:rsid w:val="2D5269EE"/>
    <w:rsid w:val="2D55028C"/>
    <w:rsid w:val="2D595FCE"/>
    <w:rsid w:val="2D5A7676"/>
    <w:rsid w:val="2D5B72F6"/>
    <w:rsid w:val="2D60735C"/>
    <w:rsid w:val="2D6A01DB"/>
    <w:rsid w:val="2D7B7CF2"/>
    <w:rsid w:val="2D88240F"/>
    <w:rsid w:val="2DA03BFD"/>
    <w:rsid w:val="2DA33405"/>
    <w:rsid w:val="2DA428D7"/>
    <w:rsid w:val="2DA51213"/>
    <w:rsid w:val="2DA52FC1"/>
    <w:rsid w:val="2DB94CBF"/>
    <w:rsid w:val="2DBB4593"/>
    <w:rsid w:val="2DC55411"/>
    <w:rsid w:val="2DCF003E"/>
    <w:rsid w:val="2DD12008"/>
    <w:rsid w:val="2DD227B8"/>
    <w:rsid w:val="2DD2603B"/>
    <w:rsid w:val="2DE0224B"/>
    <w:rsid w:val="2E070A94"/>
    <w:rsid w:val="2E073C7C"/>
    <w:rsid w:val="2E0F48DF"/>
    <w:rsid w:val="2E114AFB"/>
    <w:rsid w:val="2E1D524D"/>
    <w:rsid w:val="2E2C723F"/>
    <w:rsid w:val="2E383E35"/>
    <w:rsid w:val="2E3B56D4"/>
    <w:rsid w:val="2E3D144C"/>
    <w:rsid w:val="2E5844D8"/>
    <w:rsid w:val="2E6115DE"/>
    <w:rsid w:val="2E6A04C0"/>
    <w:rsid w:val="2E6C3ADF"/>
    <w:rsid w:val="2E7F0376"/>
    <w:rsid w:val="2E7F5DD9"/>
    <w:rsid w:val="2E807459"/>
    <w:rsid w:val="2E813A2E"/>
    <w:rsid w:val="2E813B76"/>
    <w:rsid w:val="2E840E29"/>
    <w:rsid w:val="2E8E614B"/>
    <w:rsid w:val="2E9B6172"/>
    <w:rsid w:val="2E9C2616"/>
    <w:rsid w:val="2E9D1EEA"/>
    <w:rsid w:val="2EA20AE0"/>
    <w:rsid w:val="2EA96AE1"/>
    <w:rsid w:val="2EB07E70"/>
    <w:rsid w:val="2EBB093F"/>
    <w:rsid w:val="2EBC1DA9"/>
    <w:rsid w:val="2EBD258D"/>
    <w:rsid w:val="2EC44DB8"/>
    <w:rsid w:val="2EC658E5"/>
    <w:rsid w:val="2ED00512"/>
    <w:rsid w:val="2ED51684"/>
    <w:rsid w:val="2EE1627B"/>
    <w:rsid w:val="2EF53AD4"/>
    <w:rsid w:val="2F000DF7"/>
    <w:rsid w:val="2F0401BB"/>
    <w:rsid w:val="2F097580"/>
    <w:rsid w:val="2F0D2540"/>
    <w:rsid w:val="2F155F25"/>
    <w:rsid w:val="2F1808D1"/>
    <w:rsid w:val="2F19693F"/>
    <w:rsid w:val="2F1A178D"/>
    <w:rsid w:val="2F2820FC"/>
    <w:rsid w:val="2F285C58"/>
    <w:rsid w:val="2F3C5BA7"/>
    <w:rsid w:val="2F5C7FF7"/>
    <w:rsid w:val="2F62334D"/>
    <w:rsid w:val="2F6A001E"/>
    <w:rsid w:val="2F6F3887"/>
    <w:rsid w:val="2F723377"/>
    <w:rsid w:val="2F77098D"/>
    <w:rsid w:val="2F7964B4"/>
    <w:rsid w:val="2F7B66D0"/>
    <w:rsid w:val="2F882CC5"/>
    <w:rsid w:val="2F8F1C84"/>
    <w:rsid w:val="2F911A4F"/>
    <w:rsid w:val="2F9C6646"/>
    <w:rsid w:val="2F9E416C"/>
    <w:rsid w:val="2FA8323D"/>
    <w:rsid w:val="2FAF0127"/>
    <w:rsid w:val="2FB27C17"/>
    <w:rsid w:val="2FB614B6"/>
    <w:rsid w:val="2FB83480"/>
    <w:rsid w:val="2FBB2F70"/>
    <w:rsid w:val="2FC51CEF"/>
    <w:rsid w:val="2FFC43C7"/>
    <w:rsid w:val="2FFD0E93"/>
    <w:rsid w:val="30006BD5"/>
    <w:rsid w:val="300F506A"/>
    <w:rsid w:val="3011436C"/>
    <w:rsid w:val="30155782"/>
    <w:rsid w:val="3018455A"/>
    <w:rsid w:val="301937F3"/>
    <w:rsid w:val="301B756B"/>
    <w:rsid w:val="301F52AD"/>
    <w:rsid w:val="30316E1F"/>
    <w:rsid w:val="30395C43"/>
    <w:rsid w:val="303C2E40"/>
    <w:rsid w:val="303D1BD7"/>
    <w:rsid w:val="304C1E1A"/>
    <w:rsid w:val="305667F5"/>
    <w:rsid w:val="30580361"/>
    <w:rsid w:val="305D5DD5"/>
    <w:rsid w:val="305F1B4D"/>
    <w:rsid w:val="3069477A"/>
    <w:rsid w:val="306B04F2"/>
    <w:rsid w:val="306C426A"/>
    <w:rsid w:val="30850E88"/>
    <w:rsid w:val="308A649E"/>
    <w:rsid w:val="30915A7F"/>
    <w:rsid w:val="309F7453"/>
    <w:rsid w:val="30AE03DF"/>
    <w:rsid w:val="30B023A9"/>
    <w:rsid w:val="30B26121"/>
    <w:rsid w:val="30BF083E"/>
    <w:rsid w:val="30C96FC7"/>
    <w:rsid w:val="30CA30C1"/>
    <w:rsid w:val="30DC2F18"/>
    <w:rsid w:val="30E87D95"/>
    <w:rsid w:val="30EB624E"/>
    <w:rsid w:val="30EE4405"/>
    <w:rsid w:val="30F67E62"/>
    <w:rsid w:val="30FC739C"/>
    <w:rsid w:val="30FD3114"/>
    <w:rsid w:val="31010E56"/>
    <w:rsid w:val="3106646D"/>
    <w:rsid w:val="310A0D01"/>
    <w:rsid w:val="310F3573"/>
    <w:rsid w:val="31175F84"/>
    <w:rsid w:val="312B1A2F"/>
    <w:rsid w:val="312B7C81"/>
    <w:rsid w:val="312F7772"/>
    <w:rsid w:val="3138414C"/>
    <w:rsid w:val="313B4368"/>
    <w:rsid w:val="31487F49"/>
    <w:rsid w:val="314B3E80"/>
    <w:rsid w:val="314C4FED"/>
    <w:rsid w:val="31552F50"/>
    <w:rsid w:val="31576C02"/>
    <w:rsid w:val="316D029A"/>
    <w:rsid w:val="316E7B6E"/>
    <w:rsid w:val="3187290B"/>
    <w:rsid w:val="3189183B"/>
    <w:rsid w:val="318D4498"/>
    <w:rsid w:val="318E12DA"/>
    <w:rsid w:val="318F6462"/>
    <w:rsid w:val="319B6BB5"/>
    <w:rsid w:val="31A6555A"/>
    <w:rsid w:val="31A979E6"/>
    <w:rsid w:val="31B163D9"/>
    <w:rsid w:val="31BB1005"/>
    <w:rsid w:val="31DE2F46"/>
    <w:rsid w:val="31DE4CF4"/>
    <w:rsid w:val="31E41CE9"/>
    <w:rsid w:val="31F664E1"/>
    <w:rsid w:val="31FD161E"/>
    <w:rsid w:val="32026C34"/>
    <w:rsid w:val="320C360F"/>
    <w:rsid w:val="32180206"/>
    <w:rsid w:val="322272D6"/>
    <w:rsid w:val="3236068C"/>
    <w:rsid w:val="32382656"/>
    <w:rsid w:val="32432DA9"/>
    <w:rsid w:val="32460A89"/>
    <w:rsid w:val="324C6101"/>
    <w:rsid w:val="32584AA6"/>
    <w:rsid w:val="326630DC"/>
    <w:rsid w:val="326A2A2B"/>
    <w:rsid w:val="32715B68"/>
    <w:rsid w:val="327836E2"/>
    <w:rsid w:val="3281224F"/>
    <w:rsid w:val="32827D75"/>
    <w:rsid w:val="328622EF"/>
    <w:rsid w:val="328C3E21"/>
    <w:rsid w:val="329E7986"/>
    <w:rsid w:val="32A001FB"/>
    <w:rsid w:val="32A77828"/>
    <w:rsid w:val="32AC094E"/>
    <w:rsid w:val="32B1066A"/>
    <w:rsid w:val="32B83797"/>
    <w:rsid w:val="32B905F0"/>
    <w:rsid w:val="32C15A1E"/>
    <w:rsid w:val="32C501E3"/>
    <w:rsid w:val="32D14858"/>
    <w:rsid w:val="32D3237F"/>
    <w:rsid w:val="32E1144E"/>
    <w:rsid w:val="32E26A66"/>
    <w:rsid w:val="32EA036E"/>
    <w:rsid w:val="32EE540A"/>
    <w:rsid w:val="32FA3DAF"/>
    <w:rsid w:val="33114C55"/>
    <w:rsid w:val="33332E1D"/>
    <w:rsid w:val="333C43C8"/>
    <w:rsid w:val="333F17C2"/>
    <w:rsid w:val="333F4524"/>
    <w:rsid w:val="33644712"/>
    <w:rsid w:val="33686F3D"/>
    <w:rsid w:val="33884F17"/>
    <w:rsid w:val="338B0EAB"/>
    <w:rsid w:val="33995376"/>
    <w:rsid w:val="33A87367"/>
    <w:rsid w:val="33B679E6"/>
    <w:rsid w:val="33CD5020"/>
    <w:rsid w:val="33E67E90"/>
    <w:rsid w:val="33F22CD8"/>
    <w:rsid w:val="33F7209D"/>
    <w:rsid w:val="34012F1B"/>
    <w:rsid w:val="340547BA"/>
    <w:rsid w:val="341D5FA7"/>
    <w:rsid w:val="34311A53"/>
    <w:rsid w:val="34390907"/>
    <w:rsid w:val="343926B5"/>
    <w:rsid w:val="343E1A7A"/>
    <w:rsid w:val="344352E2"/>
    <w:rsid w:val="34480B4A"/>
    <w:rsid w:val="3454129D"/>
    <w:rsid w:val="346534AA"/>
    <w:rsid w:val="3474193F"/>
    <w:rsid w:val="3482405C"/>
    <w:rsid w:val="348E2A01"/>
    <w:rsid w:val="34993154"/>
    <w:rsid w:val="34A22009"/>
    <w:rsid w:val="34A73AC3"/>
    <w:rsid w:val="34B800A1"/>
    <w:rsid w:val="34C12DD7"/>
    <w:rsid w:val="34C5219B"/>
    <w:rsid w:val="34D15BB4"/>
    <w:rsid w:val="34D50630"/>
    <w:rsid w:val="34DB551B"/>
    <w:rsid w:val="34F34F5A"/>
    <w:rsid w:val="350D601C"/>
    <w:rsid w:val="35154ED0"/>
    <w:rsid w:val="351729F7"/>
    <w:rsid w:val="351849C1"/>
    <w:rsid w:val="352944D8"/>
    <w:rsid w:val="353121E7"/>
    <w:rsid w:val="353467A4"/>
    <w:rsid w:val="3538471B"/>
    <w:rsid w:val="353D7F83"/>
    <w:rsid w:val="354B26A0"/>
    <w:rsid w:val="354F2DD5"/>
    <w:rsid w:val="355157DD"/>
    <w:rsid w:val="355C212B"/>
    <w:rsid w:val="3581411C"/>
    <w:rsid w:val="358B5193"/>
    <w:rsid w:val="35942299"/>
    <w:rsid w:val="359F479A"/>
    <w:rsid w:val="35B71AE4"/>
    <w:rsid w:val="35BE10C4"/>
    <w:rsid w:val="35BF34BD"/>
    <w:rsid w:val="35C13564"/>
    <w:rsid w:val="35C44201"/>
    <w:rsid w:val="35CD7559"/>
    <w:rsid w:val="35CF32D1"/>
    <w:rsid w:val="35D11805"/>
    <w:rsid w:val="35D24B6F"/>
    <w:rsid w:val="35D501BC"/>
    <w:rsid w:val="35D94150"/>
    <w:rsid w:val="35DB7EC8"/>
    <w:rsid w:val="35DC779C"/>
    <w:rsid w:val="35E548A3"/>
    <w:rsid w:val="35E93C67"/>
    <w:rsid w:val="35F17BE5"/>
    <w:rsid w:val="35FC2757"/>
    <w:rsid w:val="360D204B"/>
    <w:rsid w:val="36160F00"/>
    <w:rsid w:val="361C228F"/>
    <w:rsid w:val="3621205E"/>
    <w:rsid w:val="3627310D"/>
    <w:rsid w:val="36312015"/>
    <w:rsid w:val="3639699D"/>
    <w:rsid w:val="36422DD4"/>
    <w:rsid w:val="364C66D0"/>
    <w:rsid w:val="36513CE6"/>
    <w:rsid w:val="366B04D8"/>
    <w:rsid w:val="366C42F2"/>
    <w:rsid w:val="366D0E58"/>
    <w:rsid w:val="36783969"/>
    <w:rsid w:val="367E2601"/>
    <w:rsid w:val="368045CB"/>
    <w:rsid w:val="368340BC"/>
    <w:rsid w:val="36853990"/>
    <w:rsid w:val="368A369C"/>
    <w:rsid w:val="368F6E0E"/>
    <w:rsid w:val="369A2D7A"/>
    <w:rsid w:val="36A52284"/>
    <w:rsid w:val="36AC3612"/>
    <w:rsid w:val="36B21BE2"/>
    <w:rsid w:val="36B97ADD"/>
    <w:rsid w:val="36C24BE4"/>
    <w:rsid w:val="36D52B69"/>
    <w:rsid w:val="36E508D2"/>
    <w:rsid w:val="36E7464B"/>
    <w:rsid w:val="36E92171"/>
    <w:rsid w:val="36EA5EE9"/>
    <w:rsid w:val="36FB3F3F"/>
    <w:rsid w:val="370522D0"/>
    <w:rsid w:val="37133692"/>
    <w:rsid w:val="371B42F4"/>
    <w:rsid w:val="3720190B"/>
    <w:rsid w:val="372907BF"/>
    <w:rsid w:val="372E4027"/>
    <w:rsid w:val="372E5DD5"/>
    <w:rsid w:val="373C022C"/>
    <w:rsid w:val="374244D2"/>
    <w:rsid w:val="374C0952"/>
    <w:rsid w:val="3751494E"/>
    <w:rsid w:val="375B2943"/>
    <w:rsid w:val="37691503"/>
    <w:rsid w:val="3769389B"/>
    <w:rsid w:val="3776777C"/>
    <w:rsid w:val="377834F5"/>
    <w:rsid w:val="377E4FAF"/>
    <w:rsid w:val="37875B1D"/>
    <w:rsid w:val="37B36F71"/>
    <w:rsid w:val="37BA3B0D"/>
    <w:rsid w:val="37C329C2"/>
    <w:rsid w:val="37D42E21"/>
    <w:rsid w:val="37DA7D0B"/>
    <w:rsid w:val="37DC7F27"/>
    <w:rsid w:val="37EB016A"/>
    <w:rsid w:val="37ED3EE3"/>
    <w:rsid w:val="37EF7C5B"/>
    <w:rsid w:val="37F94635"/>
    <w:rsid w:val="37FF15EF"/>
    <w:rsid w:val="38003C16"/>
    <w:rsid w:val="380940FC"/>
    <w:rsid w:val="380B4369"/>
    <w:rsid w:val="382B20B3"/>
    <w:rsid w:val="3834566E"/>
    <w:rsid w:val="383513E6"/>
    <w:rsid w:val="38381F49"/>
    <w:rsid w:val="38425D50"/>
    <w:rsid w:val="385360B8"/>
    <w:rsid w:val="38604B0B"/>
    <w:rsid w:val="3869495B"/>
    <w:rsid w:val="38697580"/>
    <w:rsid w:val="387243E8"/>
    <w:rsid w:val="387542FC"/>
    <w:rsid w:val="387939C8"/>
    <w:rsid w:val="38822AC1"/>
    <w:rsid w:val="388C7258"/>
    <w:rsid w:val="388D2FD0"/>
    <w:rsid w:val="3894610C"/>
    <w:rsid w:val="38961E84"/>
    <w:rsid w:val="38972A67"/>
    <w:rsid w:val="389771E3"/>
    <w:rsid w:val="38A345A1"/>
    <w:rsid w:val="38BB18EB"/>
    <w:rsid w:val="38C5276A"/>
    <w:rsid w:val="38C74734"/>
    <w:rsid w:val="38D12B30"/>
    <w:rsid w:val="38D46E50"/>
    <w:rsid w:val="38DB3D3B"/>
    <w:rsid w:val="38EC7CF6"/>
    <w:rsid w:val="390239BE"/>
    <w:rsid w:val="39086B8A"/>
    <w:rsid w:val="390C677B"/>
    <w:rsid w:val="391D07F7"/>
    <w:rsid w:val="392B4CC2"/>
    <w:rsid w:val="393578EF"/>
    <w:rsid w:val="393873DF"/>
    <w:rsid w:val="393D0552"/>
    <w:rsid w:val="394C69E7"/>
    <w:rsid w:val="39537D75"/>
    <w:rsid w:val="39551D3F"/>
    <w:rsid w:val="39561614"/>
    <w:rsid w:val="395D33E0"/>
    <w:rsid w:val="396226AE"/>
    <w:rsid w:val="39697599"/>
    <w:rsid w:val="396B3311"/>
    <w:rsid w:val="3971644D"/>
    <w:rsid w:val="397321C6"/>
    <w:rsid w:val="39736669"/>
    <w:rsid w:val="39754190"/>
    <w:rsid w:val="39755F3E"/>
    <w:rsid w:val="397D215D"/>
    <w:rsid w:val="397D3044"/>
    <w:rsid w:val="39844C63"/>
    <w:rsid w:val="398C14D9"/>
    <w:rsid w:val="39902C7F"/>
    <w:rsid w:val="39974106"/>
    <w:rsid w:val="39987E7E"/>
    <w:rsid w:val="399B1010"/>
    <w:rsid w:val="39A86313"/>
    <w:rsid w:val="39AC56D7"/>
    <w:rsid w:val="39B10FB5"/>
    <w:rsid w:val="39BF365D"/>
    <w:rsid w:val="39C24EFB"/>
    <w:rsid w:val="39C7038F"/>
    <w:rsid w:val="39CD3FCC"/>
    <w:rsid w:val="39CE1AF2"/>
    <w:rsid w:val="39D013C6"/>
    <w:rsid w:val="39D215E2"/>
    <w:rsid w:val="39D34E13"/>
    <w:rsid w:val="39D4535A"/>
    <w:rsid w:val="39DA2245"/>
    <w:rsid w:val="39DD52FC"/>
    <w:rsid w:val="39ED01CA"/>
    <w:rsid w:val="39F204E9"/>
    <w:rsid w:val="39FB25CF"/>
    <w:rsid w:val="39FC0ADD"/>
    <w:rsid w:val="39FE23D7"/>
    <w:rsid w:val="3A053765"/>
    <w:rsid w:val="3A06303A"/>
    <w:rsid w:val="3A175247"/>
    <w:rsid w:val="3A241712"/>
    <w:rsid w:val="3A287454"/>
    <w:rsid w:val="3A396F6B"/>
    <w:rsid w:val="3A543DA5"/>
    <w:rsid w:val="3A5B15D7"/>
    <w:rsid w:val="3A60099C"/>
    <w:rsid w:val="3A655FB2"/>
    <w:rsid w:val="3A695377"/>
    <w:rsid w:val="3A7B7DBF"/>
    <w:rsid w:val="3A7E7074"/>
    <w:rsid w:val="3A8D72B7"/>
    <w:rsid w:val="3A96260F"/>
    <w:rsid w:val="3A9B19D4"/>
    <w:rsid w:val="3A9C74FA"/>
    <w:rsid w:val="3A9D4560"/>
    <w:rsid w:val="3AA27206"/>
    <w:rsid w:val="3AB42A96"/>
    <w:rsid w:val="3AB6545F"/>
    <w:rsid w:val="3AB97A67"/>
    <w:rsid w:val="3ABB2076"/>
    <w:rsid w:val="3ABE56C2"/>
    <w:rsid w:val="3AD153F6"/>
    <w:rsid w:val="3AD60D98"/>
    <w:rsid w:val="3ADA30C5"/>
    <w:rsid w:val="3AE13095"/>
    <w:rsid w:val="3AE3337B"/>
    <w:rsid w:val="3AE8273F"/>
    <w:rsid w:val="3B084B8F"/>
    <w:rsid w:val="3B0A6B5A"/>
    <w:rsid w:val="3B0D21A6"/>
    <w:rsid w:val="3B170421"/>
    <w:rsid w:val="3B1D063B"/>
    <w:rsid w:val="3B312338"/>
    <w:rsid w:val="3B5322AF"/>
    <w:rsid w:val="3B5378D0"/>
    <w:rsid w:val="3B5B73B5"/>
    <w:rsid w:val="3B653D90"/>
    <w:rsid w:val="3B7A5A8D"/>
    <w:rsid w:val="3B8234B9"/>
    <w:rsid w:val="3B8406BA"/>
    <w:rsid w:val="3B985F13"/>
    <w:rsid w:val="3B9968D7"/>
    <w:rsid w:val="3BA64AD4"/>
    <w:rsid w:val="3BA66882"/>
    <w:rsid w:val="3BB97D8D"/>
    <w:rsid w:val="3BC16B45"/>
    <w:rsid w:val="3BC46D08"/>
    <w:rsid w:val="3BD258C9"/>
    <w:rsid w:val="3BD72515"/>
    <w:rsid w:val="3BE92C13"/>
    <w:rsid w:val="3BF5780A"/>
    <w:rsid w:val="3BFF5F92"/>
    <w:rsid w:val="3C017F5D"/>
    <w:rsid w:val="3C0D06AF"/>
    <w:rsid w:val="3C123F18"/>
    <w:rsid w:val="3C157564"/>
    <w:rsid w:val="3C1C7DAA"/>
    <w:rsid w:val="3C3976F6"/>
    <w:rsid w:val="3C414629"/>
    <w:rsid w:val="3C495460"/>
    <w:rsid w:val="3C4A1903"/>
    <w:rsid w:val="3C526A0A"/>
    <w:rsid w:val="3C681D8A"/>
    <w:rsid w:val="3C7A386B"/>
    <w:rsid w:val="3C8447A8"/>
    <w:rsid w:val="3C8A3B4D"/>
    <w:rsid w:val="3C8D4AA7"/>
    <w:rsid w:val="3C8F37BA"/>
    <w:rsid w:val="3C925059"/>
    <w:rsid w:val="3C94492D"/>
    <w:rsid w:val="3C94676F"/>
    <w:rsid w:val="3CB13731"/>
    <w:rsid w:val="3CB7061B"/>
    <w:rsid w:val="3CC33464"/>
    <w:rsid w:val="3CCA65A0"/>
    <w:rsid w:val="3CCB2319"/>
    <w:rsid w:val="3CD4741F"/>
    <w:rsid w:val="3CED228F"/>
    <w:rsid w:val="3CEE59C0"/>
    <w:rsid w:val="3D0106F2"/>
    <w:rsid w:val="3D023F8C"/>
    <w:rsid w:val="3D0C0967"/>
    <w:rsid w:val="3D0F66A9"/>
    <w:rsid w:val="3D153845"/>
    <w:rsid w:val="3D2B37EA"/>
    <w:rsid w:val="3D2C2DB7"/>
    <w:rsid w:val="3D3B40EC"/>
    <w:rsid w:val="3D605157"/>
    <w:rsid w:val="3D6407A3"/>
    <w:rsid w:val="3D70539A"/>
    <w:rsid w:val="3D7804A8"/>
    <w:rsid w:val="3D9077EA"/>
    <w:rsid w:val="3D98059B"/>
    <w:rsid w:val="3D994F0A"/>
    <w:rsid w:val="3DAC3EF8"/>
    <w:rsid w:val="3DCE0312"/>
    <w:rsid w:val="3DDA2813"/>
    <w:rsid w:val="3DEA67CE"/>
    <w:rsid w:val="3DEF0FAA"/>
    <w:rsid w:val="3DF77869"/>
    <w:rsid w:val="3DFB09DB"/>
    <w:rsid w:val="3E067AAC"/>
    <w:rsid w:val="3E0930F8"/>
    <w:rsid w:val="3E2148E6"/>
    <w:rsid w:val="3E2919ED"/>
    <w:rsid w:val="3E3208A1"/>
    <w:rsid w:val="3E3C34CE"/>
    <w:rsid w:val="3E3F4D6C"/>
    <w:rsid w:val="3E4619B8"/>
    <w:rsid w:val="3E530817"/>
    <w:rsid w:val="3E5E3444"/>
    <w:rsid w:val="3E66054B"/>
    <w:rsid w:val="3E6622F9"/>
    <w:rsid w:val="3E75253C"/>
    <w:rsid w:val="3E7C4091"/>
    <w:rsid w:val="3E815385"/>
    <w:rsid w:val="3E8310FD"/>
    <w:rsid w:val="3E9125D0"/>
    <w:rsid w:val="3E9C5D1B"/>
    <w:rsid w:val="3E9E1A93"/>
    <w:rsid w:val="3E9E7CE5"/>
    <w:rsid w:val="3EA11583"/>
    <w:rsid w:val="3EA13331"/>
    <w:rsid w:val="3EAD7F28"/>
    <w:rsid w:val="3EB412B6"/>
    <w:rsid w:val="3EBC4E7A"/>
    <w:rsid w:val="3EC139D3"/>
    <w:rsid w:val="3EC15781"/>
    <w:rsid w:val="3ED07FCD"/>
    <w:rsid w:val="3ED24E20"/>
    <w:rsid w:val="3EDC6A5F"/>
    <w:rsid w:val="3EEA4CD8"/>
    <w:rsid w:val="3EF01E51"/>
    <w:rsid w:val="3EF618CF"/>
    <w:rsid w:val="3EF66B94"/>
    <w:rsid w:val="3F0538C0"/>
    <w:rsid w:val="3F081602"/>
    <w:rsid w:val="3F0B0CD8"/>
    <w:rsid w:val="3F0F473E"/>
    <w:rsid w:val="3F147C7F"/>
    <w:rsid w:val="3F1E7077"/>
    <w:rsid w:val="3F277CDA"/>
    <w:rsid w:val="3F32042D"/>
    <w:rsid w:val="3F3441A5"/>
    <w:rsid w:val="3F397A0D"/>
    <w:rsid w:val="3F3D05BD"/>
    <w:rsid w:val="3F3F1BD0"/>
    <w:rsid w:val="3F407AB1"/>
    <w:rsid w:val="3F4A359A"/>
    <w:rsid w:val="3F516B05"/>
    <w:rsid w:val="3F5605BF"/>
    <w:rsid w:val="3F5860E5"/>
    <w:rsid w:val="3F656A54"/>
    <w:rsid w:val="3F732F1F"/>
    <w:rsid w:val="3F796A02"/>
    <w:rsid w:val="3F7B1DD4"/>
    <w:rsid w:val="3F85289A"/>
    <w:rsid w:val="3F994854"/>
    <w:rsid w:val="3F9A7568"/>
    <w:rsid w:val="3F9B06C8"/>
    <w:rsid w:val="3F9D61EE"/>
    <w:rsid w:val="3F9F1F66"/>
    <w:rsid w:val="3FA330D9"/>
    <w:rsid w:val="3FA4757D"/>
    <w:rsid w:val="3FA550A3"/>
    <w:rsid w:val="3FAA26B9"/>
    <w:rsid w:val="3FAE03FB"/>
    <w:rsid w:val="3FBE7F13"/>
    <w:rsid w:val="3FC01EDD"/>
    <w:rsid w:val="3FC419CD"/>
    <w:rsid w:val="3FC6532D"/>
    <w:rsid w:val="3FCF7AFB"/>
    <w:rsid w:val="3FD414E4"/>
    <w:rsid w:val="3FD768CC"/>
    <w:rsid w:val="3FE77469"/>
    <w:rsid w:val="3FF83425"/>
    <w:rsid w:val="400224F5"/>
    <w:rsid w:val="4006103B"/>
    <w:rsid w:val="40086981"/>
    <w:rsid w:val="401D732F"/>
    <w:rsid w:val="40250618"/>
    <w:rsid w:val="402C30CE"/>
    <w:rsid w:val="40316936"/>
    <w:rsid w:val="403A57EB"/>
    <w:rsid w:val="403D52DB"/>
    <w:rsid w:val="40464160"/>
    <w:rsid w:val="404E5A36"/>
    <w:rsid w:val="405939A2"/>
    <w:rsid w:val="406E1939"/>
    <w:rsid w:val="407056B1"/>
    <w:rsid w:val="40750F19"/>
    <w:rsid w:val="4081166C"/>
    <w:rsid w:val="408F27F7"/>
    <w:rsid w:val="4090365D"/>
    <w:rsid w:val="40A37834"/>
    <w:rsid w:val="40A56901"/>
    <w:rsid w:val="40B57568"/>
    <w:rsid w:val="40C17CBA"/>
    <w:rsid w:val="40C559FD"/>
    <w:rsid w:val="40CA3013"/>
    <w:rsid w:val="40CF23D7"/>
    <w:rsid w:val="40D479EE"/>
    <w:rsid w:val="40D95004"/>
    <w:rsid w:val="40DA0D7C"/>
    <w:rsid w:val="40E2747B"/>
    <w:rsid w:val="40E63206"/>
    <w:rsid w:val="40F938F8"/>
    <w:rsid w:val="40F956A6"/>
    <w:rsid w:val="40FD3F31"/>
    <w:rsid w:val="41126768"/>
    <w:rsid w:val="411303EE"/>
    <w:rsid w:val="41151DB4"/>
    <w:rsid w:val="411918A4"/>
    <w:rsid w:val="412C3DFF"/>
    <w:rsid w:val="4134048C"/>
    <w:rsid w:val="41466412"/>
    <w:rsid w:val="414A4154"/>
    <w:rsid w:val="41586871"/>
    <w:rsid w:val="416C5E78"/>
    <w:rsid w:val="4177481D"/>
    <w:rsid w:val="417E7F01"/>
    <w:rsid w:val="41894C7C"/>
    <w:rsid w:val="418C2076"/>
    <w:rsid w:val="41984EBF"/>
    <w:rsid w:val="41A43864"/>
    <w:rsid w:val="41C061C4"/>
    <w:rsid w:val="41C37A62"/>
    <w:rsid w:val="41CA257F"/>
    <w:rsid w:val="41D103D1"/>
    <w:rsid w:val="41D50910"/>
    <w:rsid w:val="41DD28D2"/>
    <w:rsid w:val="41E625EB"/>
    <w:rsid w:val="41EE2D31"/>
    <w:rsid w:val="42014C57"/>
    <w:rsid w:val="420E33D3"/>
    <w:rsid w:val="421019EE"/>
    <w:rsid w:val="421570DA"/>
    <w:rsid w:val="42204EB5"/>
    <w:rsid w:val="42206C63"/>
    <w:rsid w:val="42212F8E"/>
    <w:rsid w:val="42293D69"/>
    <w:rsid w:val="423063D8"/>
    <w:rsid w:val="42417305"/>
    <w:rsid w:val="424358EA"/>
    <w:rsid w:val="42440BA3"/>
    <w:rsid w:val="42446DF5"/>
    <w:rsid w:val="42462B6D"/>
    <w:rsid w:val="424961B9"/>
    <w:rsid w:val="42507548"/>
    <w:rsid w:val="425C5EED"/>
    <w:rsid w:val="4262727B"/>
    <w:rsid w:val="4269060A"/>
    <w:rsid w:val="426E5C20"/>
    <w:rsid w:val="42701998"/>
    <w:rsid w:val="42772D26"/>
    <w:rsid w:val="427A6373"/>
    <w:rsid w:val="4286740D"/>
    <w:rsid w:val="42925DB2"/>
    <w:rsid w:val="42927B60"/>
    <w:rsid w:val="4298644F"/>
    <w:rsid w:val="429F402B"/>
    <w:rsid w:val="42A15FF5"/>
    <w:rsid w:val="42A258CA"/>
    <w:rsid w:val="42A31D6D"/>
    <w:rsid w:val="42AB29D0"/>
    <w:rsid w:val="42B71375"/>
    <w:rsid w:val="42CF43AB"/>
    <w:rsid w:val="42D24E02"/>
    <w:rsid w:val="42D67AF4"/>
    <w:rsid w:val="42D9273C"/>
    <w:rsid w:val="42D9578F"/>
    <w:rsid w:val="42DC702D"/>
    <w:rsid w:val="42E47C90"/>
    <w:rsid w:val="42E753F3"/>
    <w:rsid w:val="42E934F8"/>
    <w:rsid w:val="42EB256B"/>
    <w:rsid w:val="42F500EF"/>
    <w:rsid w:val="42FB4E6F"/>
    <w:rsid w:val="43140575"/>
    <w:rsid w:val="43144A19"/>
    <w:rsid w:val="43210EE4"/>
    <w:rsid w:val="432602A9"/>
    <w:rsid w:val="432A7D99"/>
    <w:rsid w:val="432B58BF"/>
    <w:rsid w:val="43302ED5"/>
    <w:rsid w:val="43362BE2"/>
    <w:rsid w:val="43374264"/>
    <w:rsid w:val="433A31B9"/>
    <w:rsid w:val="434774ED"/>
    <w:rsid w:val="43482915"/>
    <w:rsid w:val="434846C3"/>
    <w:rsid w:val="434C77E3"/>
    <w:rsid w:val="43503578"/>
    <w:rsid w:val="436B215F"/>
    <w:rsid w:val="43811983"/>
    <w:rsid w:val="438356FB"/>
    <w:rsid w:val="438F22F2"/>
    <w:rsid w:val="43972F54"/>
    <w:rsid w:val="439C056B"/>
    <w:rsid w:val="43A23DD3"/>
    <w:rsid w:val="43AD2778"/>
    <w:rsid w:val="43AF64F0"/>
    <w:rsid w:val="43BC2963"/>
    <w:rsid w:val="43BD29AF"/>
    <w:rsid w:val="43C7383A"/>
    <w:rsid w:val="43CA50D8"/>
    <w:rsid w:val="43CC70A2"/>
    <w:rsid w:val="43D24A45"/>
    <w:rsid w:val="43D85A47"/>
    <w:rsid w:val="43DE2931"/>
    <w:rsid w:val="43E73EDC"/>
    <w:rsid w:val="43F4090A"/>
    <w:rsid w:val="43F6757C"/>
    <w:rsid w:val="43FE4D82"/>
    <w:rsid w:val="43FF1225"/>
    <w:rsid w:val="44024872"/>
    <w:rsid w:val="440A08B0"/>
    <w:rsid w:val="440A7BCA"/>
    <w:rsid w:val="441433BD"/>
    <w:rsid w:val="44150A49"/>
    <w:rsid w:val="441538D8"/>
    <w:rsid w:val="441F5424"/>
    <w:rsid w:val="442C5D93"/>
    <w:rsid w:val="44316F05"/>
    <w:rsid w:val="443A04B0"/>
    <w:rsid w:val="444C01E3"/>
    <w:rsid w:val="445826E4"/>
    <w:rsid w:val="445F1CC4"/>
    <w:rsid w:val="445F7F16"/>
    <w:rsid w:val="44625310"/>
    <w:rsid w:val="446B3DCC"/>
    <w:rsid w:val="446B764F"/>
    <w:rsid w:val="44703ED1"/>
    <w:rsid w:val="44753296"/>
    <w:rsid w:val="447659E0"/>
    <w:rsid w:val="447F2366"/>
    <w:rsid w:val="447F5EC2"/>
    <w:rsid w:val="448B4867"/>
    <w:rsid w:val="44A1052F"/>
    <w:rsid w:val="44A43B7B"/>
    <w:rsid w:val="44A75419"/>
    <w:rsid w:val="44B4496C"/>
    <w:rsid w:val="44C147DB"/>
    <w:rsid w:val="44C2005E"/>
    <w:rsid w:val="44C22253"/>
    <w:rsid w:val="44CC6C2E"/>
    <w:rsid w:val="44D37FBC"/>
    <w:rsid w:val="44DC1567"/>
    <w:rsid w:val="44E73A68"/>
    <w:rsid w:val="44F20D8A"/>
    <w:rsid w:val="44F529B8"/>
    <w:rsid w:val="45050ABD"/>
    <w:rsid w:val="4505535A"/>
    <w:rsid w:val="45091C30"/>
    <w:rsid w:val="45236DFE"/>
    <w:rsid w:val="45240818"/>
    <w:rsid w:val="452D3B70"/>
    <w:rsid w:val="45392515"/>
    <w:rsid w:val="453E5D7D"/>
    <w:rsid w:val="45401AF6"/>
    <w:rsid w:val="45441531"/>
    <w:rsid w:val="45476DEF"/>
    <w:rsid w:val="454D5FC1"/>
    <w:rsid w:val="455A14D6"/>
    <w:rsid w:val="455A248C"/>
    <w:rsid w:val="45660E30"/>
    <w:rsid w:val="45701CAF"/>
    <w:rsid w:val="457079DA"/>
    <w:rsid w:val="45723C79"/>
    <w:rsid w:val="45763769"/>
    <w:rsid w:val="457B7A6B"/>
    <w:rsid w:val="457E43CC"/>
    <w:rsid w:val="45800144"/>
    <w:rsid w:val="45961716"/>
    <w:rsid w:val="459E681C"/>
    <w:rsid w:val="45A63B54"/>
    <w:rsid w:val="45A858ED"/>
    <w:rsid w:val="45B147A1"/>
    <w:rsid w:val="45B55914"/>
    <w:rsid w:val="45B93656"/>
    <w:rsid w:val="45C81AEB"/>
    <w:rsid w:val="45D71D2E"/>
    <w:rsid w:val="45DC10F2"/>
    <w:rsid w:val="45E14D6B"/>
    <w:rsid w:val="45EC3A2B"/>
    <w:rsid w:val="45ED50AE"/>
    <w:rsid w:val="45F60406"/>
    <w:rsid w:val="45F621B4"/>
    <w:rsid w:val="45FC3543"/>
    <w:rsid w:val="46004DE1"/>
    <w:rsid w:val="460D74FE"/>
    <w:rsid w:val="46256F3D"/>
    <w:rsid w:val="46317690"/>
    <w:rsid w:val="463A4797"/>
    <w:rsid w:val="464060FB"/>
    <w:rsid w:val="464473C4"/>
    <w:rsid w:val="464E7B4F"/>
    <w:rsid w:val="46537607"/>
    <w:rsid w:val="465869CB"/>
    <w:rsid w:val="465F5FAB"/>
    <w:rsid w:val="4663652A"/>
    <w:rsid w:val="466C06C8"/>
    <w:rsid w:val="46713F31"/>
    <w:rsid w:val="46780E1B"/>
    <w:rsid w:val="467A1037"/>
    <w:rsid w:val="468A3DC6"/>
    <w:rsid w:val="468E063F"/>
    <w:rsid w:val="469043B7"/>
    <w:rsid w:val="4698326B"/>
    <w:rsid w:val="469D0882"/>
    <w:rsid w:val="46A41C10"/>
    <w:rsid w:val="46AD3ACE"/>
    <w:rsid w:val="46B02CAB"/>
    <w:rsid w:val="46B53D11"/>
    <w:rsid w:val="46BB51AC"/>
    <w:rsid w:val="46D00C57"/>
    <w:rsid w:val="46D52711"/>
    <w:rsid w:val="46DA3884"/>
    <w:rsid w:val="46E840F4"/>
    <w:rsid w:val="46E91D19"/>
    <w:rsid w:val="46E93AC7"/>
    <w:rsid w:val="47213261"/>
    <w:rsid w:val="473751E4"/>
    <w:rsid w:val="473C62ED"/>
    <w:rsid w:val="473D6B6F"/>
    <w:rsid w:val="4740402F"/>
    <w:rsid w:val="47426DF8"/>
    <w:rsid w:val="474D04FA"/>
    <w:rsid w:val="47555600"/>
    <w:rsid w:val="4759319A"/>
    <w:rsid w:val="47613CF0"/>
    <w:rsid w:val="476A2E5A"/>
    <w:rsid w:val="477914D1"/>
    <w:rsid w:val="47797541"/>
    <w:rsid w:val="47867568"/>
    <w:rsid w:val="478F0B12"/>
    <w:rsid w:val="47905C32"/>
    <w:rsid w:val="4792415F"/>
    <w:rsid w:val="47953C4F"/>
    <w:rsid w:val="479C322F"/>
    <w:rsid w:val="47A3636C"/>
    <w:rsid w:val="47A67C0A"/>
    <w:rsid w:val="47B75973"/>
    <w:rsid w:val="47C14A44"/>
    <w:rsid w:val="47D61232"/>
    <w:rsid w:val="47D633FE"/>
    <w:rsid w:val="47DA0270"/>
    <w:rsid w:val="47EB386F"/>
    <w:rsid w:val="47F70466"/>
    <w:rsid w:val="47F72214"/>
    <w:rsid w:val="48077A78"/>
    <w:rsid w:val="480D1DBA"/>
    <w:rsid w:val="48147269"/>
    <w:rsid w:val="4826706B"/>
    <w:rsid w:val="483416BA"/>
    <w:rsid w:val="48384D06"/>
    <w:rsid w:val="483C62C7"/>
    <w:rsid w:val="48463D90"/>
    <w:rsid w:val="484E555F"/>
    <w:rsid w:val="48516FB5"/>
    <w:rsid w:val="4860425D"/>
    <w:rsid w:val="486D24D6"/>
    <w:rsid w:val="487216E8"/>
    <w:rsid w:val="48733F90"/>
    <w:rsid w:val="487565D5"/>
    <w:rsid w:val="487A531F"/>
    <w:rsid w:val="488F069E"/>
    <w:rsid w:val="48965ED0"/>
    <w:rsid w:val="48AB372A"/>
    <w:rsid w:val="48B63D1B"/>
    <w:rsid w:val="48C742DC"/>
    <w:rsid w:val="48CB3DCC"/>
    <w:rsid w:val="48CB5B7A"/>
    <w:rsid w:val="48CE7418"/>
    <w:rsid w:val="48DF209C"/>
    <w:rsid w:val="48DF5182"/>
    <w:rsid w:val="48E508E5"/>
    <w:rsid w:val="48E9042E"/>
    <w:rsid w:val="48E96000"/>
    <w:rsid w:val="48EC3D42"/>
    <w:rsid w:val="48F66DD6"/>
    <w:rsid w:val="48FC132D"/>
    <w:rsid w:val="48FD385A"/>
    <w:rsid w:val="491D5CAA"/>
    <w:rsid w:val="49437E06"/>
    <w:rsid w:val="494B2C0D"/>
    <w:rsid w:val="495C2C76"/>
    <w:rsid w:val="495F2766"/>
    <w:rsid w:val="496658A3"/>
    <w:rsid w:val="49690EEF"/>
    <w:rsid w:val="496F29A9"/>
    <w:rsid w:val="49753D38"/>
    <w:rsid w:val="49793828"/>
    <w:rsid w:val="49861AA1"/>
    <w:rsid w:val="49940F29"/>
    <w:rsid w:val="49957F36"/>
    <w:rsid w:val="499C12C5"/>
    <w:rsid w:val="49A3785C"/>
    <w:rsid w:val="49A40179"/>
    <w:rsid w:val="49B20AE8"/>
    <w:rsid w:val="49BA174B"/>
    <w:rsid w:val="49BE12C9"/>
    <w:rsid w:val="49BF6D61"/>
    <w:rsid w:val="49C32CF5"/>
    <w:rsid w:val="49CD129E"/>
    <w:rsid w:val="49CD147E"/>
    <w:rsid w:val="49CD76D0"/>
    <w:rsid w:val="49D22F38"/>
    <w:rsid w:val="49D93D12"/>
    <w:rsid w:val="49DE368B"/>
    <w:rsid w:val="49E33EC9"/>
    <w:rsid w:val="49F370C0"/>
    <w:rsid w:val="49F42D40"/>
    <w:rsid w:val="49FC5A88"/>
    <w:rsid w:val="4A003601"/>
    <w:rsid w:val="4A113A61"/>
    <w:rsid w:val="4A203CA4"/>
    <w:rsid w:val="4A225C6E"/>
    <w:rsid w:val="4A273284"/>
    <w:rsid w:val="4A3C6604"/>
    <w:rsid w:val="4A4A6F73"/>
    <w:rsid w:val="4A4D0811"/>
    <w:rsid w:val="4A4F0FFA"/>
    <w:rsid w:val="4A5751EC"/>
    <w:rsid w:val="4A6537BE"/>
    <w:rsid w:val="4A6946CB"/>
    <w:rsid w:val="4A6E4759"/>
    <w:rsid w:val="4A6F4C2B"/>
    <w:rsid w:val="4A7730B7"/>
    <w:rsid w:val="4A7D10F6"/>
    <w:rsid w:val="4A8E2399"/>
    <w:rsid w:val="4A991E77"/>
    <w:rsid w:val="4A9E066B"/>
    <w:rsid w:val="4AB10DA0"/>
    <w:rsid w:val="4AB663B6"/>
    <w:rsid w:val="4AB82E60"/>
    <w:rsid w:val="4AC758B9"/>
    <w:rsid w:val="4ACE54AE"/>
    <w:rsid w:val="4AD30D16"/>
    <w:rsid w:val="4AE5022F"/>
    <w:rsid w:val="4AE820F1"/>
    <w:rsid w:val="4AF62C56"/>
    <w:rsid w:val="4B031C95"/>
    <w:rsid w:val="4B0B4954"/>
    <w:rsid w:val="4B0D06CC"/>
    <w:rsid w:val="4B105AC6"/>
    <w:rsid w:val="4B1F21AD"/>
    <w:rsid w:val="4B222B39"/>
    <w:rsid w:val="4B296C14"/>
    <w:rsid w:val="4B2B0B52"/>
    <w:rsid w:val="4B321EE0"/>
    <w:rsid w:val="4B35377F"/>
    <w:rsid w:val="4B38501D"/>
    <w:rsid w:val="4B3F2B00"/>
    <w:rsid w:val="4B55797D"/>
    <w:rsid w:val="4B614574"/>
    <w:rsid w:val="4B6E4EE3"/>
    <w:rsid w:val="4B736055"/>
    <w:rsid w:val="4B7F06E4"/>
    <w:rsid w:val="4B893ACB"/>
    <w:rsid w:val="4B8A1D1C"/>
    <w:rsid w:val="4B9009B5"/>
    <w:rsid w:val="4B985ABC"/>
    <w:rsid w:val="4B9A7A86"/>
    <w:rsid w:val="4BA206E8"/>
    <w:rsid w:val="4BA80A71"/>
    <w:rsid w:val="4BBC5C4E"/>
    <w:rsid w:val="4BCE772F"/>
    <w:rsid w:val="4BD27220"/>
    <w:rsid w:val="4BDF193C"/>
    <w:rsid w:val="4BEA27BB"/>
    <w:rsid w:val="4BEB2E2E"/>
    <w:rsid w:val="4C003E71"/>
    <w:rsid w:val="4C0575F5"/>
    <w:rsid w:val="4C06511B"/>
    <w:rsid w:val="4C080E93"/>
    <w:rsid w:val="4C226976"/>
    <w:rsid w:val="4C2365F6"/>
    <w:rsid w:val="4C2A2BB8"/>
    <w:rsid w:val="4C304D42"/>
    <w:rsid w:val="4C312198"/>
    <w:rsid w:val="4C330C87"/>
    <w:rsid w:val="4C365A00"/>
    <w:rsid w:val="4C3954F1"/>
    <w:rsid w:val="4C39659B"/>
    <w:rsid w:val="4C416153"/>
    <w:rsid w:val="4C43052C"/>
    <w:rsid w:val="4C4C6FD2"/>
    <w:rsid w:val="4C4E2CBD"/>
    <w:rsid w:val="4C547C35"/>
    <w:rsid w:val="4C583BC9"/>
    <w:rsid w:val="4C59524B"/>
    <w:rsid w:val="4C687B84"/>
    <w:rsid w:val="4C760506"/>
    <w:rsid w:val="4C787385"/>
    <w:rsid w:val="4C7E1155"/>
    <w:rsid w:val="4C87000A"/>
    <w:rsid w:val="4C8F5111"/>
    <w:rsid w:val="4C9D15DC"/>
    <w:rsid w:val="4CAF1A5D"/>
    <w:rsid w:val="4CBB5F06"/>
    <w:rsid w:val="4CC052CA"/>
    <w:rsid w:val="4CC21042"/>
    <w:rsid w:val="4CC96874"/>
    <w:rsid w:val="4CCE5C39"/>
    <w:rsid w:val="4CE06773"/>
    <w:rsid w:val="4CF03E01"/>
    <w:rsid w:val="4CF15D4A"/>
    <w:rsid w:val="4CFF4044"/>
    <w:rsid w:val="4D06246C"/>
    <w:rsid w:val="4D0C050F"/>
    <w:rsid w:val="4D0D77FD"/>
    <w:rsid w:val="4D115B26"/>
    <w:rsid w:val="4D225F85"/>
    <w:rsid w:val="4D2B308B"/>
    <w:rsid w:val="4D2E492A"/>
    <w:rsid w:val="4D371A30"/>
    <w:rsid w:val="4D381304"/>
    <w:rsid w:val="4D3A507C"/>
    <w:rsid w:val="4D3B0DF4"/>
    <w:rsid w:val="4D3C7046"/>
    <w:rsid w:val="4D495813"/>
    <w:rsid w:val="4D565C2E"/>
    <w:rsid w:val="4D5D0D6B"/>
    <w:rsid w:val="4D645D82"/>
    <w:rsid w:val="4D6640C3"/>
    <w:rsid w:val="4D6E71F7"/>
    <w:rsid w:val="4D717CF4"/>
    <w:rsid w:val="4D7367E0"/>
    <w:rsid w:val="4D7D31BB"/>
    <w:rsid w:val="4D7F0CE1"/>
    <w:rsid w:val="4D7F5185"/>
    <w:rsid w:val="4D88228C"/>
    <w:rsid w:val="4D926C66"/>
    <w:rsid w:val="4DA846DC"/>
    <w:rsid w:val="4DAE5A6A"/>
    <w:rsid w:val="4DB33889"/>
    <w:rsid w:val="4DC1579E"/>
    <w:rsid w:val="4DC94652"/>
    <w:rsid w:val="4DCD4142"/>
    <w:rsid w:val="4DCF5FFB"/>
    <w:rsid w:val="4DD454D1"/>
    <w:rsid w:val="4DEA5F62"/>
    <w:rsid w:val="4DEB6377"/>
    <w:rsid w:val="4E0A4298"/>
    <w:rsid w:val="4E233D62"/>
    <w:rsid w:val="4E2865E1"/>
    <w:rsid w:val="4E2B70BB"/>
    <w:rsid w:val="4E2C224E"/>
    <w:rsid w:val="4E30022D"/>
    <w:rsid w:val="4E361CE8"/>
    <w:rsid w:val="4E465CA3"/>
    <w:rsid w:val="4E50267E"/>
    <w:rsid w:val="4E524648"/>
    <w:rsid w:val="4E634927"/>
    <w:rsid w:val="4E656129"/>
    <w:rsid w:val="4E666967"/>
    <w:rsid w:val="4E6D3230"/>
    <w:rsid w:val="4E9133C2"/>
    <w:rsid w:val="4E9764FE"/>
    <w:rsid w:val="4E98737F"/>
    <w:rsid w:val="4EA01857"/>
    <w:rsid w:val="4EB856B6"/>
    <w:rsid w:val="4EC07803"/>
    <w:rsid w:val="4EC20C4B"/>
    <w:rsid w:val="4EC436C7"/>
    <w:rsid w:val="4ECC264C"/>
    <w:rsid w:val="4EE5393D"/>
    <w:rsid w:val="4EFD2805"/>
    <w:rsid w:val="4F041DE6"/>
    <w:rsid w:val="4F0E2A8F"/>
    <w:rsid w:val="4F38383D"/>
    <w:rsid w:val="4F3B1580"/>
    <w:rsid w:val="4F3E697A"/>
    <w:rsid w:val="4F4641AC"/>
    <w:rsid w:val="4F5E7A96"/>
    <w:rsid w:val="4F610FE6"/>
    <w:rsid w:val="4F6939F7"/>
    <w:rsid w:val="4F764366"/>
    <w:rsid w:val="4F7A3CCF"/>
    <w:rsid w:val="4F874A89"/>
    <w:rsid w:val="4F9111A0"/>
    <w:rsid w:val="4FA64C4B"/>
    <w:rsid w:val="4FA7753C"/>
    <w:rsid w:val="4FBA06F6"/>
    <w:rsid w:val="4FBF3F5F"/>
    <w:rsid w:val="4FC6692A"/>
    <w:rsid w:val="4FD33566"/>
    <w:rsid w:val="4FF05EC6"/>
    <w:rsid w:val="4FF97471"/>
    <w:rsid w:val="4FFC0D0F"/>
    <w:rsid w:val="50016325"/>
    <w:rsid w:val="500D0826"/>
    <w:rsid w:val="500E459E"/>
    <w:rsid w:val="502A762A"/>
    <w:rsid w:val="503E1327"/>
    <w:rsid w:val="5054095A"/>
    <w:rsid w:val="505428F9"/>
    <w:rsid w:val="506F7733"/>
    <w:rsid w:val="5075461D"/>
    <w:rsid w:val="508807F5"/>
    <w:rsid w:val="509176A9"/>
    <w:rsid w:val="50942CF5"/>
    <w:rsid w:val="50964CC0"/>
    <w:rsid w:val="509F35AF"/>
    <w:rsid w:val="50B11AF9"/>
    <w:rsid w:val="50C20F8E"/>
    <w:rsid w:val="50CC06E1"/>
    <w:rsid w:val="50D650BC"/>
    <w:rsid w:val="50D756B0"/>
    <w:rsid w:val="50DB6B76"/>
    <w:rsid w:val="50EB6512"/>
    <w:rsid w:val="50EF2622"/>
    <w:rsid w:val="50F1639A"/>
    <w:rsid w:val="50FE2865"/>
    <w:rsid w:val="510D4856"/>
    <w:rsid w:val="51183927"/>
    <w:rsid w:val="51220301"/>
    <w:rsid w:val="512344AA"/>
    <w:rsid w:val="51273B6A"/>
    <w:rsid w:val="512F2A1E"/>
    <w:rsid w:val="514C537E"/>
    <w:rsid w:val="5153495F"/>
    <w:rsid w:val="515709F3"/>
    <w:rsid w:val="51622DF4"/>
    <w:rsid w:val="51644DBE"/>
    <w:rsid w:val="516528E4"/>
    <w:rsid w:val="51735001"/>
    <w:rsid w:val="5176064D"/>
    <w:rsid w:val="51764AF1"/>
    <w:rsid w:val="5176689F"/>
    <w:rsid w:val="517726CF"/>
    <w:rsid w:val="518E5997"/>
    <w:rsid w:val="51932FAD"/>
    <w:rsid w:val="519A2DB6"/>
    <w:rsid w:val="519B1A8F"/>
    <w:rsid w:val="519F5DF6"/>
    <w:rsid w:val="51AF590D"/>
    <w:rsid w:val="51B0094E"/>
    <w:rsid w:val="51BC0756"/>
    <w:rsid w:val="51DC4954"/>
    <w:rsid w:val="51E11D57"/>
    <w:rsid w:val="51E11F6A"/>
    <w:rsid w:val="51E2466D"/>
    <w:rsid w:val="51F2145C"/>
    <w:rsid w:val="51F24178"/>
    <w:rsid w:val="51F37EF0"/>
    <w:rsid w:val="51F53C68"/>
    <w:rsid w:val="51FD48CA"/>
    <w:rsid w:val="5201260D"/>
    <w:rsid w:val="520143BB"/>
    <w:rsid w:val="520E2660"/>
    <w:rsid w:val="521C2FA3"/>
    <w:rsid w:val="522956BF"/>
    <w:rsid w:val="52304CA0"/>
    <w:rsid w:val="524644C3"/>
    <w:rsid w:val="52467195"/>
    <w:rsid w:val="5249428D"/>
    <w:rsid w:val="52495D62"/>
    <w:rsid w:val="525A6150"/>
    <w:rsid w:val="5272350A"/>
    <w:rsid w:val="527E3C5D"/>
    <w:rsid w:val="528943B0"/>
    <w:rsid w:val="52974D1F"/>
    <w:rsid w:val="529A65BD"/>
    <w:rsid w:val="529B480F"/>
    <w:rsid w:val="52AA2CA4"/>
    <w:rsid w:val="52B04A2E"/>
    <w:rsid w:val="52B54C41"/>
    <w:rsid w:val="52CC1E87"/>
    <w:rsid w:val="52CF44B9"/>
    <w:rsid w:val="52D10231"/>
    <w:rsid w:val="52D25D57"/>
    <w:rsid w:val="52D4387D"/>
    <w:rsid w:val="52D715BF"/>
    <w:rsid w:val="52DE64AA"/>
    <w:rsid w:val="52E71802"/>
    <w:rsid w:val="52EA12F3"/>
    <w:rsid w:val="52F61E27"/>
    <w:rsid w:val="52F65EE9"/>
    <w:rsid w:val="53004672"/>
    <w:rsid w:val="53013A3B"/>
    <w:rsid w:val="531B14AC"/>
    <w:rsid w:val="531D3476"/>
    <w:rsid w:val="5322283B"/>
    <w:rsid w:val="532240A8"/>
    <w:rsid w:val="53242298"/>
    <w:rsid w:val="532A7941"/>
    <w:rsid w:val="532C5467"/>
    <w:rsid w:val="53334A48"/>
    <w:rsid w:val="533407C0"/>
    <w:rsid w:val="53364538"/>
    <w:rsid w:val="534D2836"/>
    <w:rsid w:val="53583495"/>
    <w:rsid w:val="53590226"/>
    <w:rsid w:val="535A6478"/>
    <w:rsid w:val="536270DB"/>
    <w:rsid w:val="53772781"/>
    <w:rsid w:val="537A6DB9"/>
    <w:rsid w:val="53820B12"/>
    <w:rsid w:val="538C4158"/>
    <w:rsid w:val="538D7C23"/>
    <w:rsid w:val="538E6B22"/>
    <w:rsid w:val="53933738"/>
    <w:rsid w:val="53937294"/>
    <w:rsid w:val="539C2601"/>
    <w:rsid w:val="53A771E4"/>
    <w:rsid w:val="53B35B89"/>
    <w:rsid w:val="53B37937"/>
    <w:rsid w:val="53B813F1"/>
    <w:rsid w:val="53BA2E6A"/>
    <w:rsid w:val="53BA6F17"/>
    <w:rsid w:val="53C5766A"/>
    <w:rsid w:val="53C61946"/>
    <w:rsid w:val="53D53D51"/>
    <w:rsid w:val="53D61877"/>
    <w:rsid w:val="53DD49B3"/>
    <w:rsid w:val="53E47AF0"/>
    <w:rsid w:val="53EE096F"/>
    <w:rsid w:val="53F02939"/>
    <w:rsid w:val="53F266B1"/>
    <w:rsid w:val="53FD0BB2"/>
    <w:rsid w:val="541505F1"/>
    <w:rsid w:val="541C1C0A"/>
    <w:rsid w:val="541C2BF6"/>
    <w:rsid w:val="541C54DC"/>
    <w:rsid w:val="542919A7"/>
    <w:rsid w:val="542B1BC3"/>
    <w:rsid w:val="543A1E06"/>
    <w:rsid w:val="54462559"/>
    <w:rsid w:val="544662D1"/>
    <w:rsid w:val="544754CC"/>
    <w:rsid w:val="5452714F"/>
    <w:rsid w:val="54590717"/>
    <w:rsid w:val="54684287"/>
    <w:rsid w:val="54716286"/>
    <w:rsid w:val="54790B80"/>
    <w:rsid w:val="54813591"/>
    <w:rsid w:val="54817A35"/>
    <w:rsid w:val="5486329D"/>
    <w:rsid w:val="548D0188"/>
    <w:rsid w:val="54992FD0"/>
    <w:rsid w:val="549F173E"/>
    <w:rsid w:val="54A159E1"/>
    <w:rsid w:val="54AE00FE"/>
    <w:rsid w:val="54B24092"/>
    <w:rsid w:val="54B55930"/>
    <w:rsid w:val="54BB0A45"/>
    <w:rsid w:val="54BC281B"/>
    <w:rsid w:val="54C16083"/>
    <w:rsid w:val="54CF07A0"/>
    <w:rsid w:val="54D97871"/>
    <w:rsid w:val="54E9135D"/>
    <w:rsid w:val="54EA55DA"/>
    <w:rsid w:val="54F226E1"/>
    <w:rsid w:val="54FD516B"/>
    <w:rsid w:val="54FE72D7"/>
    <w:rsid w:val="55020B76"/>
    <w:rsid w:val="55081F04"/>
    <w:rsid w:val="55142EA5"/>
    <w:rsid w:val="55175CA3"/>
    <w:rsid w:val="55342CF9"/>
    <w:rsid w:val="553B5E36"/>
    <w:rsid w:val="554F368F"/>
    <w:rsid w:val="554F7B33"/>
    <w:rsid w:val="555667CB"/>
    <w:rsid w:val="556E620B"/>
    <w:rsid w:val="557042D2"/>
    <w:rsid w:val="557E5DA8"/>
    <w:rsid w:val="55AE4859"/>
    <w:rsid w:val="55C51BA3"/>
    <w:rsid w:val="55DD513F"/>
    <w:rsid w:val="55EC35D4"/>
    <w:rsid w:val="55ED318A"/>
    <w:rsid w:val="55F45FE4"/>
    <w:rsid w:val="55FC3817"/>
    <w:rsid w:val="56051FA0"/>
    <w:rsid w:val="560F58BD"/>
    <w:rsid w:val="56116B96"/>
    <w:rsid w:val="56150435"/>
    <w:rsid w:val="561A74D1"/>
    <w:rsid w:val="564156CE"/>
    <w:rsid w:val="564B20A8"/>
    <w:rsid w:val="56551179"/>
    <w:rsid w:val="56576C9F"/>
    <w:rsid w:val="56680EAC"/>
    <w:rsid w:val="566E5D97"/>
    <w:rsid w:val="56707EE0"/>
    <w:rsid w:val="567B29ED"/>
    <w:rsid w:val="56811F6E"/>
    <w:rsid w:val="5684380C"/>
    <w:rsid w:val="56847492"/>
    <w:rsid w:val="568E01E7"/>
    <w:rsid w:val="56941CA1"/>
    <w:rsid w:val="569C2904"/>
    <w:rsid w:val="569F0646"/>
    <w:rsid w:val="56A30136"/>
    <w:rsid w:val="56B0015D"/>
    <w:rsid w:val="56B04601"/>
    <w:rsid w:val="56B7773E"/>
    <w:rsid w:val="56CF44D7"/>
    <w:rsid w:val="56DF0A43"/>
    <w:rsid w:val="56E85B49"/>
    <w:rsid w:val="56EB388B"/>
    <w:rsid w:val="56EE0C86"/>
    <w:rsid w:val="56F73FDE"/>
    <w:rsid w:val="56FA762A"/>
    <w:rsid w:val="57030BD5"/>
    <w:rsid w:val="5705494D"/>
    <w:rsid w:val="571701DC"/>
    <w:rsid w:val="571F7091"/>
    <w:rsid w:val="57246252"/>
    <w:rsid w:val="57283E0B"/>
    <w:rsid w:val="572A6162"/>
    <w:rsid w:val="57314C22"/>
    <w:rsid w:val="57387C5F"/>
    <w:rsid w:val="573B036F"/>
    <w:rsid w:val="573F3A30"/>
    <w:rsid w:val="575651A9"/>
    <w:rsid w:val="57572CCF"/>
    <w:rsid w:val="57596A47"/>
    <w:rsid w:val="576D24F2"/>
    <w:rsid w:val="57790E97"/>
    <w:rsid w:val="577E025B"/>
    <w:rsid w:val="57882E88"/>
    <w:rsid w:val="578A6C00"/>
    <w:rsid w:val="57923D07"/>
    <w:rsid w:val="57945CD1"/>
    <w:rsid w:val="57961A49"/>
    <w:rsid w:val="57A06424"/>
    <w:rsid w:val="57A852D8"/>
    <w:rsid w:val="57AA647A"/>
    <w:rsid w:val="57C00B06"/>
    <w:rsid w:val="57C02622"/>
    <w:rsid w:val="57C06AC6"/>
    <w:rsid w:val="57CC1813"/>
    <w:rsid w:val="57D460CD"/>
    <w:rsid w:val="57D65228"/>
    <w:rsid w:val="57EA3B43"/>
    <w:rsid w:val="57EB51CE"/>
    <w:rsid w:val="58052749"/>
    <w:rsid w:val="581A600A"/>
    <w:rsid w:val="581F1A3E"/>
    <w:rsid w:val="58226E39"/>
    <w:rsid w:val="58276B45"/>
    <w:rsid w:val="583059FA"/>
    <w:rsid w:val="583077A8"/>
    <w:rsid w:val="583848AE"/>
    <w:rsid w:val="583C439E"/>
    <w:rsid w:val="584F41FB"/>
    <w:rsid w:val="585B059D"/>
    <w:rsid w:val="586631C9"/>
    <w:rsid w:val="586C66E9"/>
    <w:rsid w:val="58711B6E"/>
    <w:rsid w:val="587A6C75"/>
    <w:rsid w:val="587C29ED"/>
    <w:rsid w:val="58831FCD"/>
    <w:rsid w:val="58847AF3"/>
    <w:rsid w:val="588D58A4"/>
    <w:rsid w:val="588E44CE"/>
    <w:rsid w:val="58900246"/>
    <w:rsid w:val="589046EA"/>
    <w:rsid w:val="58922210"/>
    <w:rsid w:val="5898359F"/>
    <w:rsid w:val="589A626B"/>
    <w:rsid w:val="589C1993"/>
    <w:rsid w:val="589C308F"/>
    <w:rsid w:val="589E6E07"/>
    <w:rsid w:val="589F492D"/>
    <w:rsid w:val="58AB5080"/>
    <w:rsid w:val="58AC1B04"/>
    <w:rsid w:val="58B02697"/>
    <w:rsid w:val="58B33F35"/>
    <w:rsid w:val="58BF7467"/>
    <w:rsid w:val="58CD4FF7"/>
    <w:rsid w:val="58DB6CD4"/>
    <w:rsid w:val="58DC348C"/>
    <w:rsid w:val="58F702C5"/>
    <w:rsid w:val="59044790"/>
    <w:rsid w:val="5911172D"/>
    <w:rsid w:val="591946E0"/>
    <w:rsid w:val="59205A6E"/>
    <w:rsid w:val="592D018B"/>
    <w:rsid w:val="59396B30"/>
    <w:rsid w:val="59406843"/>
    <w:rsid w:val="59413C36"/>
    <w:rsid w:val="59513E7A"/>
    <w:rsid w:val="59525A19"/>
    <w:rsid w:val="59537B09"/>
    <w:rsid w:val="59617E35"/>
    <w:rsid w:val="5967213C"/>
    <w:rsid w:val="596D2336"/>
    <w:rsid w:val="59701E26"/>
    <w:rsid w:val="59741916"/>
    <w:rsid w:val="5976568E"/>
    <w:rsid w:val="597933D0"/>
    <w:rsid w:val="597C07CB"/>
    <w:rsid w:val="597D20E1"/>
    <w:rsid w:val="597E01B2"/>
    <w:rsid w:val="59A541C5"/>
    <w:rsid w:val="59A70222"/>
    <w:rsid w:val="59B44408"/>
    <w:rsid w:val="59B86753"/>
    <w:rsid w:val="59BA2F21"/>
    <w:rsid w:val="59C3739A"/>
    <w:rsid w:val="59C52172"/>
    <w:rsid w:val="59CB5746"/>
    <w:rsid w:val="59CD7278"/>
    <w:rsid w:val="59D2488F"/>
    <w:rsid w:val="59E036D4"/>
    <w:rsid w:val="59E6355E"/>
    <w:rsid w:val="59E720E8"/>
    <w:rsid w:val="5A0013FC"/>
    <w:rsid w:val="5A025174"/>
    <w:rsid w:val="5A032C9A"/>
    <w:rsid w:val="5A1631D9"/>
    <w:rsid w:val="5A1924BD"/>
    <w:rsid w:val="5A2450EA"/>
    <w:rsid w:val="5A3D7F5A"/>
    <w:rsid w:val="5A4442D3"/>
    <w:rsid w:val="5A490FF5"/>
    <w:rsid w:val="5A494B51"/>
    <w:rsid w:val="5A560835"/>
    <w:rsid w:val="5A615BD7"/>
    <w:rsid w:val="5A6229A3"/>
    <w:rsid w:val="5A655703"/>
    <w:rsid w:val="5A6B2D19"/>
    <w:rsid w:val="5A75460A"/>
    <w:rsid w:val="5A7F4A16"/>
    <w:rsid w:val="5A9164F8"/>
    <w:rsid w:val="5A955FE8"/>
    <w:rsid w:val="5A9B4182"/>
    <w:rsid w:val="5AA004E9"/>
    <w:rsid w:val="5AA12BDF"/>
    <w:rsid w:val="5AA20705"/>
    <w:rsid w:val="5AA71877"/>
    <w:rsid w:val="5AB04BD0"/>
    <w:rsid w:val="5AB126F6"/>
    <w:rsid w:val="5AB67D0C"/>
    <w:rsid w:val="5AC266B1"/>
    <w:rsid w:val="5AD703AE"/>
    <w:rsid w:val="5AE8436A"/>
    <w:rsid w:val="5AEE394A"/>
    <w:rsid w:val="5AEE56F8"/>
    <w:rsid w:val="5AEF0CBE"/>
    <w:rsid w:val="5B0311A3"/>
    <w:rsid w:val="5B0B1E06"/>
    <w:rsid w:val="5B0B44FC"/>
    <w:rsid w:val="5B151E8B"/>
    <w:rsid w:val="5B1769FD"/>
    <w:rsid w:val="5B1E5FDD"/>
    <w:rsid w:val="5B2E3D47"/>
    <w:rsid w:val="5B3B333C"/>
    <w:rsid w:val="5B5437AD"/>
    <w:rsid w:val="5B637E94"/>
    <w:rsid w:val="5B6A7475"/>
    <w:rsid w:val="5B77749C"/>
    <w:rsid w:val="5B7B51DE"/>
    <w:rsid w:val="5B7C71A8"/>
    <w:rsid w:val="5B9B5880"/>
    <w:rsid w:val="5B9C5154"/>
    <w:rsid w:val="5BA109BC"/>
    <w:rsid w:val="5BAB5397"/>
    <w:rsid w:val="5BAF6C35"/>
    <w:rsid w:val="5BB10BFF"/>
    <w:rsid w:val="5BB3647D"/>
    <w:rsid w:val="5BB406F0"/>
    <w:rsid w:val="5BC22E0D"/>
    <w:rsid w:val="5BCE7A03"/>
    <w:rsid w:val="5BD90156"/>
    <w:rsid w:val="5BDE576D"/>
    <w:rsid w:val="5BE04D73"/>
    <w:rsid w:val="5BE74621"/>
    <w:rsid w:val="5BFD2097"/>
    <w:rsid w:val="5C14521D"/>
    <w:rsid w:val="5C186ED1"/>
    <w:rsid w:val="5C1916A5"/>
    <w:rsid w:val="5C425CFC"/>
    <w:rsid w:val="5C5A2ACD"/>
    <w:rsid w:val="5C6077DD"/>
    <w:rsid w:val="5C6B5C2C"/>
    <w:rsid w:val="5C7B2FBB"/>
    <w:rsid w:val="5C7D6D34"/>
    <w:rsid w:val="5C805BD1"/>
    <w:rsid w:val="5C961BA3"/>
    <w:rsid w:val="5C966047"/>
    <w:rsid w:val="5C974299"/>
    <w:rsid w:val="5CAB2299"/>
    <w:rsid w:val="5CB85FBE"/>
    <w:rsid w:val="5CBA7F88"/>
    <w:rsid w:val="5CBC308C"/>
    <w:rsid w:val="5CBD1826"/>
    <w:rsid w:val="5CD01559"/>
    <w:rsid w:val="5CD03307"/>
    <w:rsid w:val="5CD64696"/>
    <w:rsid w:val="5CE24971"/>
    <w:rsid w:val="5CE648D9"/>
    <w:rsid w:val="5CE70651"/>
    <w:rsid w:val="5CFC234E"/>
    <w:rsid w:val="5D011713"/>
    <w:rsid w:val="5D0E3E30"/>
    <w:rsid w:val="5D1D22C5"/>
    <w:rsid w:val="5D283143"/>
    <w:rsid w:val="5D29597E"/>
    <w:rsid w:val="5D303DA6"/>
    <w:rsid w:val="5D385380"/>
    <w:rsid w:val="5D42314C"/>
    <w:rsid w:val="5D443390"/>
    <w:rsid w:val="5D4A130C"/>
    <w:rsid w:val="5D50269A"/>
    <w:rsid w:val="5D5C103F"/>
    <w:rsid w:val="5D5E6B65"/>
    <w:rsid w:val="5D5F1CB0"/>
    <w:rsid w:val="5D7A166C"/>
    <w:rsid w:val="5D845EA0"/>
    <w:rsid w:val="5D9E6F62"/>
    <w:rsid w:val="5DA14CA4"/>
    <w:rsid w:val="5DA64068"/>
    <w:rsid w:val="5DAF116F"/>
    <w:rsid w:val="5DD067F8"/>
    <w:rsid w:val="5DD706C5"/>
    <w:rsid w:val="5DDB01B6"/>
    <w:rsid w:val="5DDB6408"/>
    <w:rsid w:val="5DDC5CDC"/>
    <w:rsid w:val="5DE352BC"/>
    <w:rsid w:val="5DE66B5A"/>
    <w:rsid w:val="5DEF1EB3"/>
    <w:rsid w:val="5DF247AE"/>
    <w:rsid w:val="5DF76B5F"/>
    <w:rsid w:val="5DFD6560"/>
    <w:rsid w:val="5E021BE6"/>
    <w:rsid w:val="5E0302CC"/>
    <w:rsid w:val="5E127950"/>
    <w:rsid w:val="5E1E62F4"/>
    <w:rsid w:val="5E20206C"/>
    <w:rsid w:val="5E21648D"/>
    <w:rsid w:val="5E227B93"/>
    <w:rsid w:val="5E282CCF"/>
    <w:rsid w:val="5E2A08B6"/>
    <w:rsid w:val="5E3C677A"/>
    <w:rsid w:val="5E3D71AC"/>
    <w:rsid w:val="5E413D91"/>
    <w:rsid w:val="5E435D5B"/>
    <w:rsid w:val="5E4F64AE"/>
    <w:rsid w:val="5E5742FD"/>
    <w:rsid w:val="5E5835B4"/>
    <w:rsid w:val="5E5E18DF"/>
    <w:rsid w:val="5E6261E1"/>
    <w:rsid w:val="5E6301AB"/>
    <w:rsid w:val="5E671269"/>
    <w:rsid w:val="5E693A13"/>
    <w:rsid w:val="5E6F4DA2"/>
    <w:rsid w:val="5E6F6B50"/>
    <w:rsid w:val="5E7E7C15"/>
    <w:rsid w:val="5E8720EC"/>
    <w:rsid w:val="5E8C5954"/>
    <w:rsid w:val="5E9C444A"/>
    <w:rsid w:val="5EB01642"/>
    <w:rsid w:val="5EB153BA"/>
    <w:rsid w:val="5EB822A5"/>
    <w:rsid w:val="5EBF067F"/>
    <w:rsid w:val="5EC7073A"/>
    <w:rsid w:val="5ED115B9"/>
    <w:rsid w:val="5EDD1D0C"/>
    <w:rsid w:val="5EE906B0"/>
    <w:rsid w:val="5EEB4428"/>
    <w:rsid w:val="5EEC01A1"/>
    <w:rsid w:val="5EEC1F4F"/>
    <w:rsid w:val="5EF77271"/>
    <w:rsid w:val="5EFF6126"/>
    <w:rsid w:val="5F071397"/>
    <w:rsid w:val="5F092B01"/>
    <w:rsid w:val="5F16108D"/>
    <w:rsid w:val="5F1A2F60"/>
    <w:rsid w:val="5F1F0576"/>
    <w:rsid w:val="5F200B07"/>
    <w:rsid w:val="5F351B48"/>
    <w:rsid w:val="5F37766E"/>
    <w:rsid w:val="5F381638"/>
    <w:rsid w:val="5F3A53B0"/>
    <w:rsid w:val="5F434264"/>
    <w:rsid w:val="5F4D3766"/>
    <w:rsid w:val="5F5B5E76"/>
    <w:rsid w:val="5F6B7317"/>
    <w:rsid w:val="5F6D308F"/>
    <w:rsid w:val="5F71535D"/>
    <w:rsid w:val="5F724B4A"/>
    <w:rsid w:val="5F7F1015"/>
    <w:rsid w:val="5F816B3B"/>
    <w:rsid w:val="5F887EC9"/>
    <w:rsid w:val="5F93061C"/>
    <w:rsid w:val="5F986147"/>
    <w:rsid w:val="5FA016B7"/>
    <w:rsid w:val="5FA32F55"/>
    <w:rsid w:val="5FA62A45"/>
    <w:rsid w:val="5FB32A6C"/>
    <w:rsid w:val="5FC01AAC"/>
    <w:rsid w:val="5FC5111D"/>
    <w:rsid w:val="5FCD3B2E"/>
    <w:rsid w:val="5FD6772B"/>
    <w:rsid w:val="5FDB26EF"/>
    <w:rsid w:val="5FDE21DF"/>
    <w:rsid w:val="5FE315A4"/>
    <w:rsid w:val="5FF27A39"/>
    <w:rsid w:val="5FF732A1"/>
    <w:rsid w:val="60065292"/>
    <w:rsid w:val="60107EBF"/>
    <w:rsid w:val="60114363"/>
    <w:rsid w:val="60116111"/>
    <w:rsid w:val="6014175D"/>
    <w:rsid w:val="60194FC5"/>
    <w:rsid w:val="601C2B39"/>
    <w:rsid w:val="6025484D"/>
    <w:rsid w:val="60261490"/>
    <w:rsid w:val="602816AC"/>
    <w:rsid w:val="60467201"/>
    <w:rsid w:val="60522285"/>
    <w:rsid w:val="60600E46"/>
    <w:rsid w:val="607246D5"/>
    <w:rsid w:val="60805044"/>
    <w:rsid w:val="608E7761"/>
    <w:rsid w:val="60934D78"/>
    <w:rsid w:val="60936B26"/>
    <w:rsid w:val="60A12DEE"/>
    <w:rsid w:val="60B92304"/>
    <w:rsid w:val="60BA0556"/>
    <w:rsid w:val="60C413D5"/>
    <w:rsid w:val="60C602A6"/>
    <w:rsid w:val="60D62EB6"/>
    <w:rsid w:val="60D809DC"/>
    <w:rsid w:val="60D86C2E"/>
    <w:rsid w:val="60DF083A"/>
    <w:rsid w:val="60E6759D"/>
    <w:rsid w:val="60EC26DA"/>
    <w:rsid w:val="60F01468"/>
    <w:rsid w:val="60FB46CB"/>
    <w:rsid w:val="61001CE1"/>
    <w:rsid w:val="610231C7"/>
    <w:rsid w:val="61023CAB"/>
    <w:rsid w:val="610E43FE"/>
    <w:rsid w:val="610F0176"/>
    <w:rsid w:val="61146955"/>
    <w:rsid w:val="612260FC"/>
    <w:rsid w:val="61357BDD"/>
    <w:rsid w:val="61447E20"/>
    <w:rsid w:val="614E30D2"/>
    <w:rsid w:val="615A7643"/>
    <w:rsid w:val="615F10FE"/>
    <w:rsid w:val="61695AD8"/>
    <w:rsid w:val="617821BF"/>
    <w:rsid w:val="61783F6D"/>
    <w:rsid w:val="61842912"/>
    <w:rsid w:val="61844C5B"/>
    <w:rsid w:val="619568CD"/>
    <w:rsid w:val="6198016C"/>
    <w:rsid w:val="61AD242D"/>
    <w:rsid w:val="61B41449"/>
    <w:rsid w:val="61B56F70"/>
    <w:rsid w:val="61CB22EF"/>
    <w:rsid w:val="61CE1DDF"/>
    <w:rsid w:val="61CE3B8D"/>
    <w:rsid w:val="61D218D0"/>
    <w:rsid w:val="61DC62AA"/>
    <w:rsid w:val="61EC61BE"/>
    <w:rsid w:val="61F25ACE"/>
    <w:rsid w:val="61F54FE7"/>
    <w:rsid w:val="61F730E4"/>
    <w:rsid w:val="6200468F"/>
    <w:rsid w:val="62035F2D"/>
    <w:rsid w:val="620B4DE2"/>
    <w:rsid w:val="62141EE8"/>
    <w:rsid w:val="621912AD"/>
    <w:rsid w:val="621C2B4B"/>
    <w:rsid w:val="6220263B"/>
    <w:rsid w:val="622B7232"/>
    <w:rsid w:val="623065F6"/>
    <w:rsid w:val="62392EB4"/>
    <w:rsid w:val="623A1223"/>
    <w:rsid w:val="623F6839"/>
    <w:rsid w:val="6245254A"/>
    <w:rsid w:val="62685D90"/>
    <w:rsid w:val="626A5FAC"/>
    <w:rsid w:val="62744735"/>
    <w:rsid w:val="627807A5"/>
    <w:rsid w:val="627D7A8D"/>
    <w:rsid w:val="628232F6"/>
    <w:rsid w:val="629B43B7"/>
    <w:rsid w:val="62A36DC8"/>
    <w:rsid w:val="62A52B40"/>
    <w:rsid w:val="62B01BF9"/>
    <w:rsid w:val="62B86D17"/>
    <w:rsid w:val="62B92A90"/>
    <w:rsid w:val="62B965EC"/>
    <w:rsid w:val="62BB2364"/>
    <w:rsid w:val="62BC7C0A"/>
    <w:rsid w:val="62CF4061"/>
    <w:rsid w:val="62F37D50"/>
    <w:rsid w:val="62FF4946"/>
    <w:rsid w:val="6305317D"/>
    <w:rsid w:val="63100901"/>
    <w:rsid w:val="63147CC6"/>
    <w:rsid w:val="63185A08"/>
    <w:rsid w:val="632E7EA5"/>
    <w:rsid w:val="632F62F8"/>
    <w:rsid w:val="63302D52"/>
    <w:rsid w:val="63316ACA"/>
    <w:rsid w:val="63365E8E"/>
    <w:rsid w:val="633D546F"/>
    <w:rsid w:val="6348477D"/>
    <w:rsid w:val="634B4390"/>
    <w:rsid w:val="63512CC8"/>
    <w:rsid w:val="63534C92"/>
    <w:rsid w:val="63612F0B"/>
    <w:rsid w:val="63743CD0"/>
    <w:rsid w:val="63807109"/>
    <w:rsid w:val="638A735E"/>
    <w:rsid w:val="638C3D00"/>
    <w:rsid w:val="63984009"/>
    <w:rsid w:val="639A01CB"/>
    <w:rsid w:val="639C03E7"/>
    <w:rsid w:val="639D7CBB"/>
    <w:rsid w:val="63A13700"/>
    <w:rsid w:val="63A4729C"/>
    <w:rsid w:val="63B84AF5"/>
    <w:rsid w:val="63BC45E5"/>
    <w:rsid w:val="63C811DC"/>
    <w:rsid w:val="63C82F8A"/>
    <w:rsid w:val="63D66158"/>
    <w:rsid w:val="63DF6526"/>
    <w:rsid w:val="63E1229E"/>
    <w:rsid w:val="63E61662"/>
    <w:rsid w:val="63EB0A27"/>
    <w:rsid w:val="63EF49BB"/>
    <w:rsid w:val="6400742D"/>
    <w:rsid w:val="64144421"/>
    <w:rsid w:val="64287ECD"/>
    <w:rsid w:val="642E71D9"/>
    <w:rsid w:val="643407A7"/>
    <w:rsid w:val="64382DDF"/>
    <w:rsid w:val="643E4FFA"/>
    <w:rsid w:val="64406FC4"/>
    <w:rsid w:val="64414AEB"/>
    <w:rsid w:val="644A7E43"/>
    <w:rsid w:val="644E4B1D"/>
    <w:rsid w:val="645111D2"/>
    <w:rsid w:val="64513D0C"/>
    <w:rsid w:val="645A795A"/>
    <w:rsid w:val="645B1C4D"/>
    <w:rsid w:val="646F78AA"/>
    <w:rsid w:val="64833CBA"/>
    <w:rsid w:val="648D5F82"/>
    <w:rsid w:val="649C7F73"/>
    <w:rsid w:val="64A5151D"/>
    <w:rsid w:val="64A5552C"/>
    <w:rsid w:val="64AB56D3"/>
    <w:rsid w:val="64B82FFF"/>
    <w:rsid w:val="64BB664B"/>
    <w:rsid w:val="64CA2D32"/>
    <w:rsid w:val="64CA4AE0"/>
    <w:rsid w:val="64D12312"/>
    <w:rsid w:val="64D76984"/>
    <w:rsid w:val="64E57B6C"/>
    <w:rsid w:val="64E75692"/>
    <w:rsid w:val="64EF4547"/>
    <w:rsid w:val="65071890"/>
    <w:rsid w:val="650A1380"/>
    <w:rsid w:val="65150451"/>
    <w:rsid w:val="651548E6"/>
    <w:rsid w:val="65155D05"/>
    <w:rsid w:val="65183A9D"/>
    <w:rsid w:val="65270A7A"/>
    <w:rsid w:val="65273CE0"/>
    <w:rsid w:val="652A557F"/>
    <w:rsid w:val="65362175"/>
    <w:rsid w:val="653B3C30"/>
    <w:rsid w:val="653B59DE"/>
    <w:rsid w:val="653B687D"/>
    <w:rsid w:val="65493C57"/>
    <w:rsid w:val="654A5C21"/>
    <w:rsid w:val="65532D27"/>
    <w:rsid w:val="65724C80"/>
    <w:rsid w:val="657333CA"/>
    <w:rsid w:val="65766A16"/>
    <w:rsid w:val="658A1110"/>
    <w:rsid w:val="65927733"/>
    <w:rsid w:val="659473B3"/>
    <w:rsid w:val="659A6BA8"/>
    <w:rsid w:val="659C25B2"/>
    <w:rsid w:val="659D3FA3"/>
    <w:rsid w:val="65A2780B"/>
    <w:rsid w:val="65A93AD5"/>
    <w:rsid w:val="65A96DEB"/>
    <w:rsid w:val="65C21C5B"/>
    <w:rsid w:val="65C840EA"/>
    <w:rsid w:val="65C94D98"/>
    <w:rsid w:val="65D57BE0"/>
    <w:rsid w:val="65DA5DB7"/>
    <w:rsid w:val="65E816C2"/>
    <w:rsid w:val="65F362B8"/>
    <w:rsid w:val="65FE7137"/>
    <w:rsid w:val="660E618C"/>
    <w:rsid w:val="66106E6A"/>
    <w:rsid w:val="6612373B"/>
    <w:rsid w:val="66146D35"/>
    <w:rsid w:val="6615622F"/>
    <w:rsid w:val="661F2C0A"/>
    <w:rsid w:val="66327A78"/>
    <w:rsid w:val="663527BF"/>
    <w:rsid w:val="664D3C1B"/>
    <w:rsid w:val="66501015"/>
    <w:rsid w:val="66540B05"/>
    <w:rsid w:val="6655487D"/>
    <w:rsid w:val="66570776"/>
    <w:rsid w:val="66794A10"/>
    <w:rsid w:val="669453A6"/>
    <w:rsid w:val="669730E8"/>
    <w:rsid w:val="66975D41"/>
    <w:rsid w:val="669811DF"/>
    <w:rsid w:val="66A979FF"/>
    <w:rsid w:val="66AD1184"/>
    <w:rsid w:val="66AD46B9"/>
    <w:rsid w:val="66B43C9A"/>
    <w:rsid w:val="66B477F6"/>
    <w:rsid w:val="66B912B0"/>
    <w:rsid w:val="66BE72C1"/>
    <w:rsid w:val="66C043ED"/>
    <w:rsid w:val="66C1772D"/>
    <w:rsid w:val="66C814F3"/>
    <w:rsid w:val="66CB4B3F"/>
    <w:rsid w:val="66E005EB"/>
    <w:rsid w:val="67006EDF"/>
    <w:rsid w:val="67024A05"/>
    <w:rsid w:val="67112E9A"/>
    <w:rsid w:val="6712481A"/>
    <w:rsid w:val="671571E5"/>
    <w:rsid w:val="6716225F"/>
    <w:rsid w:val="6717355F"/>
    <w:rsid w:val="671962B5"/>
    <w:rsid w:val="671E1113"/>
    <w:rsid w:val="673E5311"/>
    <w:rsid w:val="67456D79"/>
    <w:rsid w:val="674768BC"/>
    <w:rsid w:val="67492634"/>
    <w:rsid w:val="674A351B"/>
    <w:rsid w:val="67584625"/>
    <w:rsid w:val="67616BD1"/>
    <w:rsid w:val="6764121C"/>
    <w:rsid w:val="676520A4"/>
    <w:rsid w:val="67661D67"/>
    <w:rsid w:val="676A25AA"/>
    <w:rsid w:val="676F196F"/>
    <w:rsid w:val="677C5CC3"/>
    <w:rsid w:val="677D409D"/>
    <w:rsid w:val="677E3350"/>
    <w:rsid w:val="677F699B"/>
    <w:rsid w:val="678371C8"/>
    <w:rsid w:val="678418BE"/>
    <w:rsid w:val="678A0557"/>
    <w:rsid w:val="67A05FCC"/>
    <w:rsid w:val="67A27F96"/>
    <w:rsid w:val="67A40F40"/>
    <w:rsid w:val="67A4786A"/>
    <w:rsid w:val="67B850C4"/>
    <w:rsid w:val="67BC5ABE"/>
    <w:rsid w:val="67C20113"/>
    <w:rsid w:val="67CE48E7"/>
    <w:rsid w:val="67D356E3"/>
    <w:rsid w:val="67D55C76"/>
    <w:rsid w:val="67D839B8"/>
    <w:rsid w:val="67DC5256"/>
    <w:rsid w:val="67E4235D"/>
    <w:rsid w:val="67F307F2"/>
    <w:rsid w:val="681317F8"/>
    <w:rsid w:val="68344483"/>
    <w:rsid w:val="68354966"/>
    <w:rsid w:val="683F7593"/>
    <w:rsid w:val="684B23DC"/>
    <w:rsid w:val="685C0145"/>
    <w:rsid w:val="68692862"/>
    <w:rsid w:val="686D2352"/>
    <w:rsid w:val="686E1C26"/>
    <w:rsid w:val="6875012C"/>
    <w:rsid w:val="68751207"/>
    <w:rsid w:val="68757459"/>
    <w:rsid w:val="687731D1"/>
    <w:rsid w:val="68784853"/>
    <w:rsid w:val="68863414"/>
    <w:rsid w:val="688D6550"/>
    <w:rsid w:val="6894168D"/>
    <w:rsid w:val="68972598"/>
    <w:rsid w:val="68994EF5"/>
    <w:rsid w:val="689C2C37"/>
    <w:rsid w:val="68AB69D7"/>
    <w:rsid w:val="68B41D2F"/>
    <w:rsid w:val="68B910F3"/>
    <w:rsid w:val="68C14587"/>
    <w:rsid w:val="68CD4B9F"/>
    <w:rsid w:val="68CF43EA"/>
    <w:rsid w:val="68D45F2D"/>
    <w:rsid w:val="68D66149"/>
    <w:rsid w:val="68E85E7D"/>
    <w:rsid w:val="68EC771B"/>
    <w:rsid w:val="68ED6FEF"/>
    <w:rsid w:val="68F62348"/>
    <w:rsid w:val="69023BD7"/>
    <w:rsid w:val="690305C1"/>
    <w:rsid w:val="69034A64"/>
    <w:rsid w:val="69054339"/>
    <w:rsid w:val="69083C17"/>
    <w:rsid w:val="69150313"/>
    <w:rsid w:val="69166546"/>
    <w:rsid w:val="691B43CA"/>
    <w:rsid w:val="691E53FA"/>
    <w:rsid w:val="69224EEB"/>
    <w:rsid w:val="692769A5"/>
    <w:rsid w:val="692E7F1E"/>
    <w:rsid w:val="69303EF8"/>
    <w:rsid w:val="694110E9"/>
    <w:rsid w:val="69456E2B"/>
    <w:rsid w:val="694766FF"/>
    <w:rsid w:val="69482477"/>
    <w:rsid w:val="694A61EF"/>
    <w:rsid w:val="694C01BA"/>
    <w:rsid w:val="694E29D2"/>
    <w:rsid w:val="69547A1A"/>
    <w:rsid w:val="6958090C"/>
    <w:rsid w:val="695F6A02"/>
    <w:rsid w:val="696E0D08"/>
    <w:rsid w:val="6971484A"/>
    <w:rsid w:val="69747710"/>
    <w:rsid w:val="697C5A9F"/>
    <w:rsid w:val="69821E2D"/>
    <w:rsid w:val="698257CF"/>
    <w:rsid w:val="69966ABD"/>
    <w:rsid w:val="699833FF"/>
    <w:rsid w:val="699A504F"/>
    <w:rsid w:val="69A63060"/>
    <w:rsid w:val="69A973BA"/>
    <w:rsid w:val="69AA4F44"/>
    <w:rsid w:val="69C04704"/>
    <w:rsid w:val="69EA2A1E"/>
    <w:rsid w:val="69F10D61"/>
    <w:rsid w:val="6A050368"/>
    <w:rsid w:val="6A06480C"/>
    <w:rsid w:val="6A0B3BD1"/>
    <w:rsid w:val="6A114F5F"/>
    <w:rsid w:val="6A164324"/>
    <w:rsid w:val="6A1707C7"/>
    <w:rsid w:val="6A1A02B8"/>
    <w:rsid w:val="6A3F7D1E"/>
    <w:rsid w:val="6A440E91"/>
    <w:rsid w:val="6A4610AD"/>
    <w:rsid w:val="6A484E25"/>
    <w:rsid w:val="6A4E3ABD"/>
    <w:rsid w:val="6A535578"/>
    <w:rsid w:val="6A58493C"/>
    <w:rsid w:val="6A5C61DA"/>
    <w:rsid w:val="6A935267"/>
    <w:rsid w:val="6A955B90"/>
    <w:rsid w:val="6A9C6F1F"/>
    <w:rsid w:val="6AA9520C"/>
    <w:rsid w:val="6AB203B9"/>
    <w:rsid w:val="6AB57FE0"/>
    <w:rsid w:val="6ACA31C3"/>
    <w:rsid w:val="6AD22940"/>
    <w:rsid w:val="6AD2649C"/>
    <w:rsid w:val="6ADF78E5"/>
    <w:rsid w:val="6AE54422"/>
    <w:rsid w:val="6AF91C7B"/>
    <w:rsid w:val="6AFA59F3"/>
    <w:rsid w:val="6AFB1E97"/>
    <w:rsid w:val="6B056872"/>
    <w:rsid w:val="6B1271E1"/>
    <w:rsid w:val="6B15282D"/>
    <w:rsid w:val="6B1940CB"/>
    <w:rsid w:val="6B1C1E0E"/>
    <w:rsid w:val="6B225676"/>
    <w:rsid w:val="6B2667E8"/>
    <w:rsid w:val="6B2D401B"/>
    <w:rsid w:val="6B364C7D"/>
    <w:rsid w:val="6B3B2294"/>
    <w:rsid w:val="6B441808"/>
    <w:rsid w:val="6B4C1F3D"/>
    <w:rsid w:val="6B511AB7"/>
    <w:rsid w:val="6B521F17"/>
    <w:rsid w:val="6B5C220A"/>
    <w:rsid w:val="6B694F11"/>
    <w:rsid w:val="6B6A0DCB"/>
    <w:rsid w:val="6B7834E8"/>
    <w:rsid w:val="6B7D28AC"/>
    <w:rsid w:val="6B8005EE"/>
    <w:rsid w:val="6B822971"/>
    <w:rsid w:val="6B826114"/>
    <w:rsid w:val="6B8462BD"/>
    <w:rsid w:val="6B8471F4"/>
    <w:rsid w:val="6B8974A3"/>
    <w:rsid w:val="6BA047ED"/>
    <w:rsid w:val="6BA240C1"/>
    <w:rsid w:val="6BAE6CB9"/>
    <w:rsid w:val="6BBE2717"/>
    <w:rsid w:val="6BCF0C2E"/>
    <w:rsid w:val="6BDB3A77"/>
    <w:rsid w:val="6BDB75D3"/>
    <w:rsid w:val="6BE8520F"/>
    <w:rsid w:val="6BEE2337"/>
    <w:rsid w:val="6BF07722"/>
    <w:rsid w:val="6BF54B38"/>
    <w:rsid w:val="6BFF59B7"/>
    <w:rsid w:val="6C0576C7"/>
    <w:rsid w:val="6C172D01"/>
    <w:rsid w:val="6C225202"/>
    <w:rsid w:val="6C303D8F"/>
    <w:rsid w:val="6C3607BE"/>
    <w:rsid w:val="6C3F7B62"/>
    <w:rsid w:val="6C423AF6"/>
    <w:rsid w:val="6C44786E"/>
    <w:rsid w:val="6C47110C"/>
    <w:rsid w:val="6C4909E0"/>
    <w:rsid w:val="6C496C32"/>
    <w:rsid w:val="6C517895"/>
    <w:rsid w:val="6C7812C6"/>
    <w:rsid w:val="6C8E6D3B"/>
    <w:rsid w:val="6C9F1808"/>
    <w:rsid w:val="6CA3061C"/>
    <w:rsid w:val="6CA43E69"/>
    <w:rsid w:val="6CA57B86"/>
    <w:rsid w:val="6CB25261"/>
    <w:rsid w:val="6CB467A2"/>
    <w:rsid w:val="6CBA18DE"/>
    <w:rsid w:val="6CC20BF3"/>
    <w:rsid w:val="6CC664D5"/>
    <w:rsid w:val="6CE626D3"/>
    <w:rsid w:val="6CEC0824"/>
    <w:rsid w:val="6CF50B68"/>
    <w:rsid w:val="6D0D4104"/>
    <w:rsid w:val="6D194857"/>
    <w:rsid w:val="6D254FA9"/>
    <w:rsid w:val="6D266F73"/>
    <w:rsid w:val="6D293FA7"/>
    <w:rsid w:val="6D2B0699"/>
    <w:rsid w:val="6D30394E"/>
    <w:rsid w:val="6D351FB7"/>
    <w:rsid w:val="6D413DAD"/>
    <w:rsid w:val="6D4D5F91"/>
    <w:rsid w:val="6D54763D"/>
    <w:rsid w:val="6D601F02"/>
    <w:rsid w:val="6D6261FE"/>
    <w:rsid w:val="6D657A9C"/>
    <w:rsid w:val="6D6655C2"/>
    <w:rsid w:val="6D6830E8"/>
    <w:rsid w:val="6D6A50B2"/>
    <w:rsid w:val="6D6F4477"/>
    <w:rsid w:val="6D7B106D"/>
    <w:rsid w:val="6D7B72BF"/>
    <w:rsid w:val="6D855A48"/>
    <w:rsid w:val="6D9640F9"/>
    <w:rsid w:val="6DA1296C"/>
    <w:rsid w:val="6DAA54AF"/>
    <w:rsid w:val="6DBE53FE"/>
    <w:rsid w:val="6DE210EC"/>
    <w:rsid w:val="6DE333D5"/>
    <w:rsid w:val="6DE67CF2"/>
    <w:rsid w:val="6DE85FD7"/>
    <w:rsid w:val="6DED1766"/>
    <w:rsid w:val="6DF42BCE"/>
    <w:rsid w:val="6DF8337A"/>
    <w:rsid w:val="6DFF1C9E"/>
    <w:rsid w:val="6E0E0133"/>
    <w:rsid w:val="6E1D2124"/>
    <w:rsid w:val="6E1F40EF"/>
    <w:rsid w:val="6E236EB2"/>
    <w:rsid w:val="6E26547D"/>
    <w:rsid w:val="6E2A4841"/>
    <w:rsid w:val="6E361438"/>
    <w:rsid w:val="6E386F5E"/>
    <w:rsid w:val="6E3D27C7"/>
    <w:rsid w:val="6E3D4575"/>
    <w:rsid w:val="6E4E6782"/>
    <w:rsid w:val="6E7064BC"/>
    <w:rsid w:val="6E8757E4"/>
    <w:rsid w:val="6E881C94"/>
    <w:rsid w:val="6E8977BA"/>
    <w:rsid w:val="6E8B1784"/>
    <w:rsid w:val="6E8E4DD0"/>
    <w:rsid w:val="6E9323E7"/>
    <w:rsid w:val="6E9A3775"/>
    <w:rsid w:val="6E9F2B3A"/>
    <w:rsid w:val="6EA2087C"/>
    <w:rsid w:val="6EA50F15"/>
    <w:rsid w:val="6EAE5472"/>
    <w:rsid w:val="6EBC069A"/>
    <w:rsid w:val="6ED07197"/>
    <w:rsid w:val="6EDA30B5"/>
    <w:rsid w:val="6EF472F7"/>
    <w:rsid w:val="6EFC4430"/>
    <w:rsid w:val="6F0A08FB"/>
    <w:rsid w:val="6F1352D6"/>
    <w:rsid w:val="6F1572A0"/>
    <w:rsid w:val="6F1C418A"/>
    <w:rsid w:val="6F235519"/>
    <w:rsid w:val="6F26325B"/>
    <w:rsid w:val="6F2D6397"/>
    <w:rsid w:val="6F333FFC"/>
    <w:rsid w:val="6F345978"/>
    <w:rsid w:val="6F347726"/>
    <w:rsid w:val="6F3A0AB4"/>
    <w:rsid w:val="6F525DFE"/>
    <w:rsid w:val="6F59718C"/>
    <w:rsid w:val="6F5A2F04"/>
    <w:rsid w:val="6F632D80"/>
    <w:rsid w:val="6F7246F2"/>
    <w:rsid w:val="6F745D74"/>
    <w:rsid w:val="6F7E4E45"/>
    <w:rsid w:val="6F834209"/>
    <w:rsid w:val="6F8A4A0A"/>
    <w:rsid w:val="6F9E4E89"/>
    <w:rsid w:val="6F9E7295"/>
    <w:rsid w:val="6FAA342C"/>
    <w:rsid w:val="6FAD572A"/>
    <w:rsid w:val="6FC14FBC"/>
    <w:rsid w:val="6FCF38F2"/>
    <w:rsid w:val="6FD9207B"/>
    <w:rsid w:val="6FF2313D"/>
    <w:rsid w:val="6FF9096F"/>
    <w:rsid w:val="6FF944CB"/>
    <w:rsid w:val="7007308C"/>
    <w:rsid w:val="700F1F41"/>
    <w:rsid w:val="700F3CEF"/>
    <w:rsid w:val="70135A4D"/>
    <w:rsid w:val="701F03D6"/>
    <w:rsid w:val="701F36E7"/>
    <w:rsid w:val="7020414E"/>
    <w:rsid w:val="702C7A97"/>
    <w:rsid w:val="703716AB"/>
    <w:rsid w:val="704A2F79"/>
    <w:rsid w:val="704A4D27"/>
    <w:rsid w:val="704B11CB"/>
    <w:rsid w:val="705D0EFE"/>
    <w:rsid w:val="7060279C"/>
    <w:rsid w:val="70691D55"/>
    <w:rsid w:val="70787AE6"/>
    <w:rsid w:val="708D3FEF"/>
    <w:rsid w:val="708F3A70"/>
    <w:rsid w:val="70950790"/>
    <w:rsid w:val="70983CE4"/>
    <w:rsid w:val="70984BC8"/>
    <w:rsid w:val="7099044B"/>
    <w:rsid w:val="70A97C9F"/>
    <w:rsid w:val="70B12FF8"/>
    <w:rsid w:val="70B86797"/>
    <w:rsid w:val="70C04FE9"/>
    <w:rsid w:val="70C40F7D"/>
    <w:rsid w:val="70CE3BAA"/>
    <w:rsid w:val="70D54F38"/>
    <w:rsid w:val="70F76C5D"/>
    <w:rsid w:val="70FA7913"/>
    <w:rsid w:val="71014508"/>
    <w:rsid w:val="710C022E"/>
    <w:rsid w:val="710E21F8"/>
    <w:rsid w:val="711B191E"/>
    <w:rsid w:val="712F289B"/>
    <w:rsid w:val="713954C7"/>
    <w:rsid w:val="713A4D9B"/>
    <w:rsid w:val="71416653"/>
    <w:rsid w:val="71467BE4"/>
    <w:rsid w:val="714B6FA9"/>
    <w:rsid w:val="714D4ACF"/>
    <w:rsid w:val="715220E5"/>
    <w:rsid w:val="715440AF"/>
    <w:rsid w:val="71556D1F"/>
    <w:rsid w:val="715E0A8A"/>
    <w:rsid w:val="71653017"/>
    <w:rsid w:val="71673F9B"/>
    <w:rsid w:val="71804EA4"/>
    <w:rsid w:val="718304F0"/>
    <w:rsid w:val="718524BB"/>
    <w:rsid w:val="71881404"/>
    <w:rsid w:val="71881FAB"/>
    <w:rsid w:val="718C1A9B"/>
    <w:rsid w:val="71900E5F"/>
    <w:rsid w:val="71997D14"/>
    <w:rsid w:val="719C15B2"/>
    <w:rsid w:val="71A359F0"/>
    <w:rsid w:val="71BC1C54"/>
    <w:rsid w:val="71C034F3"/>
    <w:rsid w:val="71D00A9E"/>
    <w:rsid w:val="71D074AE"/>
    <w:rsid w:val="71D21478"/>
    <w:rsid w:val="71D376CA"/>
    <w:rsid w:val="71DE606F"/>
    <w:rsid w:val="71E35433"/>
    <w:rsid w:val="71EC43A2"/>
    <w:rsid w:val="72001B41"/>
    <w:rsid w:val="72045B36"/>
    <w:rsid w:val="720D425E"/>
    <w:rsid w:val="721455EC"/>
    <w:rsid w:val="721553B9"/>
    <w:rsid w:val="722A4E10"/>
    <w:rsid w:val="722A535E"/>
    <w:rsid w:val="722F2426"/>
    <w:rsid w:val="72330169"/>
    <w:rsid w:val="723932A5"/>
    <w:rsid w:val="72401A80"/>
    <w:rsid w:val="724539F8"/>
    <w:rsid w:val="72477770"/>
    <w:rsid w:val="725230E2"/>
    <w:rsid w:val="725400DF"/>
    <w:rsid w:val="72730565"/>
    <w:rsid w:val="7274672D"/>
    <w:rsid w:val="7275252F"/>
    <w:rsid w:val="727C5D65"/>
    <w:rsid w:val="72802C82"/>
    <w:rsid w:val="728C5ACB"/>
    <w:rsid w:val="729F16E9"/>
    <w:rsid w:val="72A5093A"/>
    <w:rsid w:val="72A82C25"/>
    <w:rsid w:val="72A93F87"/>
    <w:rsid w:val="72AA7CFF"/>
    <w:rsid w:val="72AB41A3"/>
    <w:rsid w:val="72AD517D"/>
    <w:rsid w:val="72B34E05"/>
    <w:rsid w:val="72C2329A"/>
    <w:rsid w:val="72D37256"/>
    <w:rsid w:val="72D66D46"/>
    <w:rsid w:val="72DF209E"/>
    <w:rsid w:val="72DF5BFA"/>
    <w:rsid w:val="72E96A79"/>
    <w:rsid w:val="72EB0A43"/>
    <w:rsid w:val="72EF0B24"/>
    <w:rsid w:val="72F51391"/>
    <w:rsid w:val="72FA2A34"/>
    <w:rsid w:val="73047240"/>
    <w:rsid w:val="731F06ED"/>
    <w:rsid w:val="732C709D"/>
    <w:rsid w:val="73306456"/>
    <w:rsid w:val="73320420"/>
    <w:rsid w:val="733C4DFB"/>
    <w:rsid w:val="734463A5"/>
    <w:rsid w:val="73465C7A"/>
    <w:rsid w:val="734737A0"/>
    <w:rsid w:val="734F0FD2"/>
    <w:rsid w:val="735F1ED8"/>
    <w:rsid w:val="736507F6"/>
    <w:rsid w:val="73661E78"/>
    <w:rsid w:val="736A5E0C"/>
    <w:rsid w:val="737427E7"/>
    <w:rsid w:val="73750FEF"/>
    <w:rsid w:val="737722D7"/>
    <w:rsid w:val="73780BB9"/>
    <w:rsid w:val="737A1DC7"/>
    <w:rsid w:val="737C169B"/>
    <w:rsid w:val="73813156"/>
    <w:rsid w:val="73873F96"/>
    <w:rsid w:val="738E25D9"/>
    <w:rsid w:val="73927111"/>
    <w:rsid w:val="739651D4"/>
    <w:rsid w:val="73BC69EE"/>
    <w:rsid w:val="73C1083E"/>
    <w:rsid w:val="73C51294"/>
    <w:rsid w:val="73C70602"/>
    <w:rsid w:val="73CA68AB"/>
    <w:rsid w:val="73D019E7"/>
    <w:rsid w:val="73D913D8"/>
    <w:rsid w:val="73E0173B"/>
    <w:rsid w:val="73F43927"/>
    <w:rsid w:val="73F73418"/>
    <w:rsid w:val="73FF6D01"/>
    <w:rsid w:val="74055B35"/>
    <w:rsid w:val="741155BD"/>
    <w:rsid w:val="7416564C"/>
    <w:rsid w:val="74257F85"/>
    <w:rsid w:val="74335733"/>
    <w:rsid w:val="743453B3"/>
    <w:rsid w:val="743F6E02"/>
    <w:rsid w:val="74471CA9"/>
    <w:rsid w:val="745B39A7"/>
    <w:rsid w:val="747D391D"/>
    <w:rsid w:val="748B5DC2"/>
    <w:rsid w:val="74956EB9"/>
    <w:rsid w:val="74964153"/>
    <w:rsid w:val="74A215D5"/>
    <w:rsid w:val="74AC7D5E"/>
    <w:rsid w:val="74B35591"/>
    <w:rsid w:val="74B9247B"/>
    <w:rsid w:val="74BA691F"/>
    <w:rsid w:val="74BD640F"/>
    <w:rsid w:val="74D472B5"/>
    <w:rsid w:val="74DB6895"/>
    <w:rsid w:val="74F160B9"/>
    <w:rsid w:val="74F636CF"/>
    <w:rsid w:val="750556C0"/>
    <w:rsid w:val="750571FA"/>
    <w:rsid w:val="7507768A"/>
    <w:rsid w:val="75104791"/>
    <w:rsid w:val="7510653F"/>
    <w:rsid w:val="75271ADB"/>
    <w:rsid w:val="75295853"/>
    <w:rsid w:val="75365D38"/>
    <w:rsid w:val="753A5616"/>
    <w:rsid w:val="753C37D8"/>
    <w:rsid w:val="7544443B"/>
    <w:rsid w:val="755C1784"/>
    <w:rsid w:val="755E374E"/>
    <w:rsid w:val="755E6196"/>
    <w:rsid w:val="755F1275"/>
    <w:rsid w:val="756B5E6B"/>
    <w:rsid w:val="757F1917"/>
    <w:rsid w:val="75840CDB"/>
    <w:rsid w:val="758E3908"/>
    <w:rsid w:val="75A90742"/>
    <w:rsid w:val="75B557CB"/>
    <w:rsid w:val="75CB690A"/>
    <w:rsid w:val="75CD61DE"/>
    <w:rsid w:val="75CD6C5C"/>
    <w:rsid w:val="75D73501"/>
    <w:rsid w:val="75DB4D9F"/>
    <w:rsid w:val="760342F6"/>
    <w:rsid w:val="760616F0"/>
    <w:rsid w:val="760630B0"/>
    <w:rsid w:val="761958C7"/>
    <w:rsid w:val="76197675"/>
    <w:rsid w:val="761B163F"/>
    <w:rsid w:val="76200BC8"/>
    <w:rsid w:val="762878B8"/>
    <w:rsid w:val="762A53DF"/>
    <w:rsid w:val="763273F7"/>
    <w:rsid w:val="76424E1E"/>
    <w:rsid w:val="76473B19"/>
    <w:rsid w:val="76612DCA"/>
    <w:rsid w:val="76761669"/>
    <w:rsid w:val="76816FC9"/>
    <w:rsid w:val="76880357"/>
    <w:rsid w:val="76911902"/>
    <w:rsid w:val="76A9613C"/>
    <w:rsid w:val="76AE24B4"/>
    <w:rsid w:val="76AE4262"/>
    <w:rsid w:val="76C70E7F"/>
    <w:rsid w:val="76C75323"/>
    <w:rsid w:val="76DD4B47"/>
    <w:rsid w:val="76E41A31"/>
    <w:rsid w:val="76E47C83"/>
    <w:rsid w:val="76EE28B0"/>
    <w:rsid w:val="76F05964"/>
    <w:rsid w:val="76F65C09"/>
    <w:rsid w:val="76F854DD"/>
    <w:rsid w:val="76FA4298"/>
    <w:rsid w:val="76FA522A"/>
    <w:rsid w:val="76FD6F97"/>
    <w:rsid w:val="770C71DA"/>
    <w:rsid w:val="770F2826"/>
    <w:rsid w:val="77277B70"/>
    <w:rsid w:val="772B58B2"/>
    <w:rsid w:val="77324E93"/>
    <w:rsid w:val="774249AA"/>
    <w:rsid w:val="7742600D"/>
    <w:rsid w:val="77470212"/>
    <w:rsid w:val="77495D38"/>
    <w:rsid w:val="77514BED"/>
    <w:rsid w:val="77771C8D"/>
    <w:rsid w:val="777A05E8"/>
    <w:rsid w:val="778238A1"/>
    <w:rsid w:val="778B6351"/>
    <w:rsid w:val="778D00E7"/>
    <w:rsid w:val="779C3850"/>
    <w:rsid w:val="779C40BA"/>
    <w:rsid w:val="77A13DC6"/>
    <w:rsid w:val="77B43AFA"/>
    <w:rsid w:val="77C74EAF"/>
    <w:rsid w:val="77CD4BBB"/>
    <w:rsid w:val="77D31B2E"/>
    <w:rsid w:val="77D90A2D"/>
    <w:rsid w:val="77DC6BAC"/>
    <w:rsid w:val="77E21C30"/>
    <w:rsid w:val="77E67A2B"/>
    <w:rsid w:val="780320E0"/>
    <w:rsid w:val="7803238B"/>
    <w:rsid w:val="781400F4"/>
    <w:rsid w:val="781B5927"/>
    <w:rsid w:val="78397B5B"/>
    <w:rsid w:val="784513E1"/>
    <w:rsid w:val="784F7772"/>
    <w:rsid w:val="7856695F"/>
    <w:rsid w:val="7863107C"/>
    <w:rsid w:val="78680440"/>
    <w:rsid w:val="78736567"/>
    <w:rsid w:val="787768D5"/>
    <w:rsid w:val="787D038F"/>
    <w:rsid w:val="789B03B4"/>
    <w:rsid w:val="78A376CA"/>
    <w:rsid w:val="78A60180"/>
    <w:rsid w:val="78A82F32"/>
    <w:rsid w:val="78AD0549"/>
    <w:rsid w:val="78AE679B"/>
    <w:rsid w:val="78B2790D"/>
    <w:rsid w:val="78BE2756"/>
    <w:rsid w:val="78D1399C"/>
    <w:rsid w:val="78D14237"/>
    <w:rsid w:val="78D244C8"/>
    <w:rsid w:val="78DD2BDC"/>
    <w:rsid w:val="78DE0702"/>
    <w:rsid w:val="78E026CC"/>
    <w:rsid w:val="78E813FD"/>
    <w:rsid w:val="78F227FE"/>
    <w:rsid w:val="78F32400"/>
    <w:rsid w:val="78F45852"/>
    <w:rsid w:val="78F47F26"/>
    <w:rsid w:val="78FE2B52"/>
    <w:rsid w:val="79022643"/>
    <w:rsid w:val="79096BA0"/>
    <w:rsid w:val="790C526F"/>
    <w:rsid w:val="79183C14"/>
    <w:rsid w:val="7919798C"/>
    <w:rsid w:val="792151BF"/>
    <w:rsid w:val="7923774A"/>
    <w:rsid w:val="792D4DB3"/>
    <w:rsid w:val="792E51E6"/>
    <w:rsid w:val="79314CD6"/>
    <w:rsid w:val="79343267"/>
    <w:rsid w:val="793B5B55"/>
    <w:rsid w:val="793B7903"/>
    <w:rsid w:val="793D1B4C"/>
    <w:rsid w:val="79406AC7"/>
    <w:rsid w:val="7945650A"/>
    <w:rsid w:val="79537342"/>
    <w:rsid w:val="79586707"/>
    <w:rsid w:val="79654980"/>
    <w:rsid w:val="796706F8"/>
    <w:rsid w:val="79674B9C"/>
    <w:rsid w:val="796926C2"/>
    <w:rsid w:val="79782905"/>
    <w:rsid w:val="797D616D"/>
    <w:rsid w:val="798968C0"/>
    <w:rsid w:val="798B2638"/>
    <w:rsid w:val="79971C87"/>
    <w:rsid w:val="79982FA7"/>
    <w:rsid w:val="79A25BD4"/>
    <w:rsid w:val="79B17BC5"/>
    <w:rsid w:val="79C1634F"/>
    <w:rsid w:val="79C773E8"/>
    <w:rsid w:val="79D00993"/>
    <w:rsid w:val="79D044EF"/>
    <w:rsid w:val="79D0629D"/>
    <w:rsid w:val="79E34305"/>
    <w:rsid w:val="79F20909"/>
    <w:rsid w:val="7A1F0FD2"/>
    <w:rsid w:val="7A2111EE"/>
    <w:rsid w:val="7A2250EE"/>
    <w:rsid w:val="7A2465E9"/>
    <w:rsid w:val="7A262361"/>
    <w:rsid w:val="7A2F7467"/>
    <w:rsid w:val="7A3507F6"/>
    <w:rsid w:val="7A3902E6"/>
    <w:rsid w:val="7A3B22B0"/>
    <w:rsid w:val="7A410F49"/>
    <w:rsid w:val="7A545120"/>
    <w:rsid w:val="7A546ECE"/>
    <w:rsid w:val="7A5C3FD5"/>
    <w:rsid w:val="7A6B246A"/>
    <w:rsid w:val="7A715CD2"/>
    <w:rsid w:val="7A765096"/>
    <w:rsid w:val="7A8F43AA"/>
    <w:rsid w:val="7A8F5AA2"/>
    <w:rsid w:val="7A94376E"/>
    <w:rsid w:val="7A97325F"/>
    <w:rsid w:val="7A9C2623"/>
    <w:rsid w:val="7A9E283F"/>
    <w:rsid w:val="7AA634A2"/>
    <w:rsid w:val="7AA65250"/>
    <w:rsid w:val="7AB001D5"/>
    <w:rsid w:val="7AB14320"/>
    <w:rsid w:val="7AB160CE"/>
    <w:rsid w:val="7AB43E11"/>
    <w:rsid w:val="7ABE2599"/>
    <w:rsid w:val="7AC5601E"/>
    <w:rsid w:val="7ACD0A2E"/>
    <w:rsid w:val="7AD0650C"/>
    <w:rsid w:val="7AE71AF0"/>
    <w:rsid w:val="7AF1296F"/>
    <w:rsid w:val="7B070BE4"/>
    <w:rsid w:val="7B0F54EB"/>
    <w:rsid w:val="7B272834"/>
    <w:rsid w:val="7B2E5971"/>
    <w:rsid w:val="7B30343B"/>
    <w:rsid w:val="7B334D35"/>
    <w:rsid w:val="7B334F2B"/>
    <w:rsid w:val="7B3665D4"/>
    <w:rsid w:val="7B3B008E"/>
    <w:rsid w:val="7B3D5BB4"/>
    <w:rsid w:val="7B3F192C"/>
    <w:rsid w:val="7B424F78"/>
    <w:rsid w:val="7B484ED1"/>
    <w:rsid w:val="7B5A6766"/>
    <w:rsid w:val="7B6273C9"/>
    <w:rsid w:val="7B640898"/>
    <w:rsid w:val="7B683207"/>
    <w:rsid w:val="7B6E0463"/>
    <w:rsid w:val="7B7A6E08"/>
    <w:rsid w:val="7B7B048A"/>
    <w:rsid w:val="7B8E4662"/>
    <w:rsid w:val="7B963516"/>
    <w:rsid w:val="7BA67BFD"/>
    <w:rsid w:val="7BA936B9"/>
    <w:rsid w:val="7BB35E76"/>
    <w:rsid w:val="7BB42002"/>
    <w:rsid w:val="7BC15590"/>
    <w:rsid w:val="7BD55DED"/>
    <w:rsid w:val="7BD858DD"/>
    <w:rsid w:val="7BDC361F"/>
    <w:rsid w:val="7BDD1145"/>
    <w:rsid w:val="7BE06349"/>
    <w:rsid w:val="7BE424D4"/>
    <w:rsid w:val="7BE44282"/>
    <w:rsid w:val="7BEE5100"/>
    <w:rsid w:val="7BF72207"/>
    <w:rsid w:val="7C042B76"/>
    <w:rsid w:val="7C044924"/>
    <w:rsid w:val="7C0641F8"/>
    <w:rsid w:val="7C0A78A1"/>
    <w:rsid w:val="7C183F2B"/>
    <w:rsid w:val="7C1E3C37"/>
    <w:rsid w:val="7C2B3C5E"/>
    <w:rsid w:val="7C3C5E6C"/>
    <w:rsid w:val="7C541407"/>
    <w:rsid w:val="7C55517F"/>
    <w:rsid w:val="7C6C1F48"/>
    <w:rsid w:val="7C6E3F53"/>
    <w:rsid w:val="7C961A20"/>
    <w:rsid w:val="7C9C2DAE"/>
    <w:rsid w:val="7C9C690A"/>
    <w:rsid w:val="7CAF2AE1"/>
    <w:rsid w:val="7CB1685A"/>
    <w:rsid w:val="7CB65C1E"/>
    <w:rsid w:val="7CBE2D25"/>
    <w:rsid w:val="7CC16371"/>
    <w:rsid w:val="7CD04806"/>
    <w:rsid w:val="7CD9190C"/>
    <w:rsid w:val="7CDD6FB6"/>
    <w:rsid w:val="7CE34539"/>
    <w:rsid w:val="7CE85FF3"/>
    <w:rsid w:val="7CEA1D6C"/>
    <w:rsid w:val="7CEC1640"/>
    <w:rsid w:val="7CEF35A8"/>
    <w:rsid w:val="7CF42B99"/>
    <w:rsid w:val="7CF46746"/>
    <w:rsid w:val="7CF6426C"/>
    <w:rsid w:val="7CF77FE5"/>
    <w:rsid w:val="7D00333D"/>
    <w:rsid w:val="7D020E63"/>
    <w:rsid w:val="7D056BA5"/>
    <w:rsid w:val="7D086284"/>
    <w:rsid w:val="7D1B284D"/>
    <w:rsid w:val="7D376633"/>
    <w:rsid w:val="7D466F15"/>
    <w:rsid w:val="7D513B99"/>
    <w:rsid w:val="7D584CFF"/>
    <w:rsid w:val="7D5B0573"/>
    <w:rsid w:val="7D5D078F"/>
    <w:rsid w:val="7D621902"/>
    <w:rsid w:val="7D66524B"/>
    <w:rsid w:val="7D684ECB"/>
    <w:rsid w:val="7D7653AD"/>
    <w:rsid w:val="7D787377"/>
    <w:rsid w:val="7D913F95"/>
    <w:rsid w:val="7D921593"/>
    <w:rsid w:val="7DB163E5"/>
    <w:rsid w:val="7DBB1012"/>
    <w:rsid w:val="7DCD375D"/>
    <w:rsid w:val="7DCE6F97"/>
    <w:rsid w:val="7DD30A52"/>
    <w:rsid w:val="7DD31FFC"/>
    <w:rsid w:val="7DD37512"/>
    <w:rsid w:val="7DDD367E"/>
    <w:rsid w:val="7DE92023"/>
    <w:rsid w:val="7DEB7B49"/>
    <w:rsid w:val="7DEC566F"/>
    <w:rsid w:val="7DF06F0E"/>
    <w:rsid w:val="7DF52776"/>
    <w:rsid w:val="7DF82266"/>
    <w:rsid w:val="7E066731"/>
    <w:rsid w:val="7E074257"/>
    <w:rsid w:val="7E0E1A8A"/>
    <w:rsid w:val="7E0E3838"/>
    <w:rsid w:val="7E130E4E"/>
    <w:rsid w:val="7E1A21DD"/>
    <w:rsid w:val="7E20398C"/>
    <w:rsid w:val="7E2272E3"/>
    <w:rsid w:val="7E2B43EA"/>
    <w:rsid w:val="7E3F1C43"/>
    <w:rsid w:val="7E464E59"/>
    <w:rsid w:val="7E484F9C"/>
    <w:rsid w:val="7E4A0D41"/>
    <w:rsid w:val="7E4B702A"/>
    <w:rsid w:val="7E4E00D8"/>
    <w:rsid w:val="7E5A082B"/>
    <w:rsid w:val="7E6150E3"/>
    <w:rsid w:val="7E6B2A38"/>
    <w:rsid w:val="7E7713DD"/>
    <w:rsid w:val="7E924469"/>
    <w:rsid w:val="7E991353"/>
    <w:rsid w:val="7E9C0E44"/>
    <w:rsid w:val="7EB048EF"/>
    <w:rsid w:val="7EB10D93"/>
    <w:rsid w:val="7EB20667"/>
    <w:rsid w:val="7EBA751C"/>
    <w:rsid w:val="7EBE525E"/>
    <w:rsid w:val="7ECD5A97"/>
    <w:rsid w:val="7ED00AED"/>
    <w:rsid w:val="7ED06D3F"/>
    <w:rsid w:val="7EDC56E4"/>
    <w:rsid w:val="7EED78F1"/>
    <w:rsid w:val="7EF96296"/>
    <w:rsid w:val="7F030EC3"/>
    <w:rsid w:val="7F052E8D"/>
    <w:rsid w:val="7F194892"/>
    <w:rsid w:val="7F1B620C"/>
    <w:rsid w:val="7F2257ED"/>
    <w:rsid w:val="7F2350C1"/>
    <w:rsid w:val="7F2D7CEE"/>
    <w:rsid w:val="7F34107C"/>
    <w:rsid w:val="7F460DAF"/>
    <w:rsid w:val="7F6A2CF0"/>
    <w:rsid w:val="7F7B6CAB"/>
    <w:rsid w:val="7F7D6EC7"/>
    <w:rsid w:val="7F7E49ED"/>
    <w:rsid w:val="7F945FBF"/>
    <w:rsid w:val="7F9D4E73"/>
    <w:rsid w:val="7FA53D28"/>
    <w:rsid w:val="7FB328E9"/>
    <w:rsid w:val="7FBC791E"/>
    <w:rsid w:val="7FBF128D"/>
    <w:rsid w:val="7FCE14D1"/>
    <w:rsid w:val="7FD13DE3"/>
    <w:rsid w:val="7FD30895"/>
    <w:rsid w:val="7FD50AB1"/>
    <w:rsid w:val="7FD60385"/>
    <w:rsid w:val="7FD85B0F"/>
    <w:rsid w:val="7FDC1E3F"/>
    <w:rsid w:val="7FEC09EB"/>
    <w:rsid w:val="7FEC5DFB"/>
    <w:rsid w:val="7FFA4074"/>
    <w:rsid w:val="7FFD591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0"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iPriority="99" w:name="index 1"/>
    <w:lsdException w:uiPriority="99" w:name="index 2"/>
    <w:lsdException w:uiPriority="99" w:name="index 3"/>
    <w:lsdException w:uiPriority="99" w:name="index 4"/>
    <w:lsdException w:qFormat="1" w:uiPriority="99" w:semiHidden="0"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iPriority="0" w:semiHidden="0" w:name="Normal Indent"/>
    <w:lsdException w:uiPriority="99" w:name="footnote text"/>
    <w:lsdException w:qFormat="1" w:unhideWhenUsed="0" w:uiPriority="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99" w:semiHidden="0" w:name="Body Text First Indent 2"/>
    <w:lsdException w:uiPriority="99" w:name="Note Heading"/>
    <w:lsdException w:qFormat="1" w:uiPriority="99" w:semiHidden="0" w:name="Body Text 2"/>
    <w:lsdException w:uiPriority="99" w:name="Body Text 3"/>
    <w:lsdException w:qFormat="1" w:uiPriority="99" w:semiHidden="0" w:name="Body Text Indent 2"/>
    <w:lsdException w:qFormat="1" w:uiPriority="99" w:semiHidden="0" w:name="Body Text Indent 3"/>
    <w:lsdException w:qFormat="1" w:unhideWhenUsed="0" w:uiPriority="0" w:semiHidden="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name="Document Map"/>
    <w:lsdException w:qFormat="1" w:unhideWhenUsed="0"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99"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autoRedefine/>
    <w:qFormat/>
    <w:uiPriority w:val="9"/>
    <w:pPr>
      <w:keepNext/>
      <w:keepLines/>
      <w:numPr>
        <w:ilvl w:val="0"/>
        <w:numId w:val="1"/>
      </w:numPr>
      <w:adjustRightInd w:val="0"/>
      <w:snapToGrid w:val="0"/>
      <w:spacing w:line="360" w:lineRule="auto"/>
      <w:jc w:val="center"/>
      <w:outlineLvl w:val="0"/>
    </w:pPr>
    <w:rPr>
      <w:rFonts w:ascii="Times New Roman" w:hAnsi="Times New Roman"/>
      <w:b/>
      <w:bCs/>
      <w:kern w:val="44"/>
      <w:sz w:val="32"/>
      <w:szCs w:val="32"/>
    </w:rPr>
  </w:style>
  <w:style w:type="paragraph" w:styleId="4">
    <w:name w:val="heading 2"/>
    <w:basedOn w:val="1"/>
    <w:next w:val="1"/>
    <w:link w:val="132"/>
    <w:qFormat/>
    <w:uiPriority w:val="9"/>
    <w:pPr>
      <w:numPr>
        <w:ilvl w:val="1"/>
        <w:numId w:val="1"/>
      </w:numPr>
      <w:adjustRightInd w:val="0"/>
      <w:snapToGrid w:val="0"/>
      <w:spacing w:beforeLines="50" w:afterLines="50" w:line="360" w:lineRule="auto"/>
      <w:jc w:val="left"/>
      <w:outlineLvl w:val="1"/>
    </w:pPr>
    <w:rPr>
      <w:rFonts w:ascii="Times New Roman" w:hAnsi="Times New Roman"/>
      <w:b/>
      <w:bCs/>
      <w:kern w:val="0"/>
      <w:sz w:val="28"/>
      <w:szCs w:val="28"/>
      <w:lang w:val="zh-CN"/>
    </w:rPr>
  </w:style>
  <w:style w:type="paragraph" w:styleId="5">
    <w:name w:val="heading 3"/>
    <w:basedOn w:val="1"/>
    <w:next w:val="1"/>
    <w:link w:val="125"/>
    <w:autoRedefine/>
    <w:qFormat/>
    <w:uiPriority w:val="9"/>
    <w:pPr>
      <w:numPr>
        <w:ilvl w:val="2"/>
        <w:numId w:val="1"/>
      </w:numPr>
      <w:adjustRightInd w:val="0"/>
      <w:snapToGrid w:val="0"/>
      <w:spacing w:line="360" w:lineRule="auto"/>
      <w:outlineLvl w:val="2"/>
    </w:pPr>
    <w:rPr>
      <w:rFonts w:ascii="Times New Roman" w:hAnsi="Times New Roman"/>
      <w:b/>
      <w:bCs/>
      <w:kern w:val="0"/>
      <w:sz w:val="24"/>
      <w:lang w:val="zh-CN"/>
    </w:rPr>
  </w:style>
  <w:style w:type="paragraph" w:styleId="6">
    <w:name w:val="heading 4"/>
    <w:basedOn w:val="1"/>
    <w:next w:val="1"/>
    <w:link w:val="59"/>
    <w:autoRedefine/>
    <w:qFormat/>
    <w:uiPriority w:val="0"/>
    <w:pPr>
      <w:keepNext/>
      <w:keepLines/>
      <w:numPr>
        <w:ilvl w:val="3"/>
        <w:numId w:val="1"/>
      </w:numPr>
      <w:adjustRightInd w:val="0"/>
      <w:snapToGrid w:val="0"/>
      <w:spacing w:line="360" w:lineRule="auto"/>
      <w:outlineLvl w:val="3"/>
    </w:pPr>
    <w:rPr>
      <w:rFonts w:ascii="Times New Roman" w:hAnsi="Times New Roman" w:cs="Symap"/>
      <w:b/>
      <w:bCs/>
      <w:sz w:val="24"/>
      <w:szCs w:val="28"/>
    </w:rPr>
  </w:style>
  <w:style w:type="paragraph" w:styleId="7">
    <w:name w:val="heading 5"/>
    <w:basedOn w:val="1"/>
    <w:next w:val="1"/>
    <w:link w:val="151"/>
    <w:autoRedefine/>
    <w:qFormat/>
    <w:uiPriority w:val="9"/>
    <w:pPr>
      <w:keepNext/>
      <w:keepLines/>
      <w:numPr>
        <w:ilvl w:val="4"/>
        <w:numId w:val="1"/>
      </w:numPr>
      <w:autoSpaceDE w:val="0"/>
      <w:autoSpaceDN w:val="0"/>
      <w:adjustRightInd w:val="0"/>
      <w:snapToGrid w:val="0"/>
      <w:spacing w:line="360" w:lineRule="auto"/>
      <w:textAlignment w:val="baseline"/>
      <w:outlineLvl w:val="4"/>
    </w:pPr>
    <w:rPr>
      <w:rFonts w:ascii="Times New Roman" w:hAnsi="Times New Roman"/>
      <w:b/>
      <w:spacing w:val="30"/>
      <w:kern w:val="0"/>
      <w:sz w:val="24"/>
      <w:szCs w:val="20"/>
    </w:rPr>
  </w:style>
  <w:style w:type="paragraph" w:styleId="8">
    <w:name w:val="heading 6"/>
    <w:basedOn w:val="1"/>
    <w:next w:val="1"/>
    <w:qFormat/>
    <w:uiPriority w:val="9"/>
    <w:pPr>
      <w:keepNext/>
      <w:keepLines/>
      <w:numPr>
        <w:ilvl w:val="5"/>
        <w:numId w:val="1"/>
      </w:numPr>
      <w:spacing w:before="240" w:after="64" w:line="317" w:lineRule="auto"/>
      <w:outlineLvl w:val="5"/>
    </w:pPr>
    <w:rPr>
      <w:rFonts w:ascii="Arial" w:hAnsi="Arial" w:eastAsia="黑体"/>
      <w:b/>
      <w:sz w:val="24"/>
    </w:rPr>
  </w:style>
  <w:style w:type="paragraph" w:styleId="9">
    <w:name w:val="heading 7"/>
    <w:basedOn w:val="1"/>
    <w:next w:val="1"/>
    <w:autoRedefine/>
    <w:qFormat/>
    <w:uiPriority w:val="9"/>
    <w:pPr>
      <w:keepNext/>
      <w:keepLines/>
      <w:numPr>
        <w:ilvl w:val="6"/>
        <w:numId w:val="1"/>
      </w:numPr>
      <w:spacing w:before="240" w:after="64" w:line="317" w:lineRule="auto"/>
      <w:outlineLvl w:val="6"/>
    </w:pPr>
    <w:rPr>
      <w:b/>
      <w:sz w:val="24"/>
    </w:rPr>
  </w:style>
  <w:style w:type="paragraph" w:styleId="10">
    <w:name w:val="heading 8"/>
    <w:basedOn w:val="1"/>
    <w:next w:val="1"/>
    <w:autoRedefine/>
    <w:qFormat/>
    <w:uiPriority w:val="9"/>
    <w:pPr>
      <w:keepNext/>
      <w:keepLines/>
      <w:numPr>
        <w:ilvl w:val="7"/>
        <w:numId w:val="1"/>
      </w:numPr>
      <w:spacing w:before="240" w:after="64" w:line="317" w:lineRule="auto"/>
      <w:outlineLvl w:val="7"/>
    </w:pPr>
    <w:rPr>
      <w:rFonts w:ascii="Arial" w:hAnsi="Arial" w:eastAsia="黑体"/>
      <w:sz w:val="24"/>
    </w:rPr>
  </w:style>
  <w:style w:type="paragraph" w:styleId="11">
    <w:name w:val="heading 9"/>
    <w:basedOn w:val="1"/>
    <w:next w:val="1"/>
    <w:autoRedefine/>
    <w:qFormat/>
    <w:uiPriority w:val="9"/>
    <w:pPr>
      <w:keepNext/>
      <w:keepLines/>
      <w:numPr>
        <w:ilvl w:val="8"/>
        <w:numId w:val="1"/>
      </w:numPr>
      <w:spacing w:before="240" w:after="64" w:line="317" w:lineRule="auto"/>
      <w:outlineLvl w:val="8"/>
    </w:pPr>
    <w:rPr>
      <w:rFonts w:ascii="Arial" w:hAnsi="Arial" w:eastAsia="黑体"/>
    </w:rPr>
  </w:style>
  <w:style w:type="character" w:default="1" w:styleId="42">
    <w:name w:val="Default Paragraph Font"/>
    <w:autoRedefine/>
    <w:semiHidden/>
    <w:unhideWhenUsed/>
    <w:qFormat/>
    <w:uiPriority w:val="1"/>
  </w:style>
  <w:style w:type="table" w:default="1" w:styleId="39">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51"/>
    <w:autoRedefine/>
    <w:unhideWhenUsed/>
    <w:qFormat/>
    <w:uiPriority w:val="99"/>
    <w:pPr>
      <w:adjustRightInd w:val="0"/>
      <w:snapToGrid w:val="0"/>
      <w:spacing w:line="360" w:lineRule="auto"/>
      <w:ind w:firstLine="1044" w:firstLineChars="200"/>
    </w:pPr>
    <w:rPr>
      <w:rFonts w:ascii="Times New Roman" w:hAnsi="Times New Roman"/>
      <w:kern w:val="16"/>
      <w:sz w:val="24"/>
    </w:rPr>
  </w:style>
  <w:style w:type="paragraph" w:styleId="12">
    <w:name w:val="toc 7"/>
    <w:basedOn w:val="1"/>
    <w:next w:val="1"/>
    <w:autoRedefine/>
    <w:unhideWhenUsed/>
    <w:qFormat/>
    <w:uiPriority w:val="39"/>
    <w:pPr>
      <w:ind w:left="1260"/>
      <w:jc w:val="left"/>
    </w:pPr>
    <w:rPr>
      <w:rFonts w:asciiTheme="minorHAnsi" w:eastAsiaTheme="minorHAnsi"/>
      <w:sz w:val="20"/>
      <w:szCs w:val="20"/>
    </w:rPr>
  </w:style>
  <w:style w:type="paragraph" w:styleId="13">
    <w:name w:val="Normal Indent"/>
    <w:basedOn w:val="1"/>
    <w:link w:val="52"/>
    <w:autoRedefine/>
    <w:unhideWhenUsed/>
    <w:qFormat/>
    <w:uiPriority w:val="0"/>
    <w:pPr>
      <w:ind w:firstLine="420"/>
    </w:pPr>
    <w:rPr>
      <w:szCs w:val="20"/>
    </w:rPr>
  </w:style>
  <w:style w:type="paragraph" w:styleId="14">
    <w:name w:val="caption"/>
    <w:basedOn w:val="1"/>
    <w:next w:val="1"/>
    <w:link w:val="60"/>
    <w:autoRedefine/>
    <w:qFormat/>
    <w:uiPriority w:val="0"/>
    <w:pPr>
      <w:adjustRightInd w:val="0"/>
      <w:snapToGrid w:val="0"/>
      <w:spacing w:line="360" w:lineRule="auto"/>
      <w:jc w:val="center"/>
      <w:outlineLvl w:val="5"/>
    </w:pPr>
    <w:rPr>
      <w:rFonts w:ascii="Times New Roman" w:hAnsi="Times New Roman"/>
      <w:b/>
      <w:szCs w:val="20"/>
    </w:rPr>
  </w:style>
  <w:style w:type="paragraph" w:styleId="15">
    <w:name w:val="index 5"/>
    <w:basedOn w:val="1"/>
    <w:next w:val="1"/>
    <w:autoRedefine/>
    <w:unhideWhenUsed/>
    <w:qFormat/>
    <w:uiPriority w:val="99"/>
    <w:pPr>
      <w:ind w:left="800" w:leftChars="800"/>
    </w:pPr>
  </w:style>
  <w:style w:type="paragraph" w:styleId="16">
    <w:name w:val="Document Map"/>
    <w:basedOn w:val="1"/>
    <w:link w:val="165"/>
    <w:autoRedefine/>
    <w:semiHidden/>
    <w:unhideWhenUsed/>
    <w:qFormat/>
    <w:uiPriority w:val="99"/>
    <w:rPr>
      <w:rFonts w:ascii="宋体"/>
      <w:sz w:val="18"/>
      <w:szCs w:val="18"/>
    </w:rPr>
  </w:style>
  <w:style w:type="paragraph" w:styleId="17">
    <w:name w:val="annotation text"/>
    <w:basedOn w:val="1"/>
    <w:link w:val="153"/>
    <w:autoRedefine/>
    <w:semiHidden/>
    <w:qFormat/>
    <w:uiPriority w:val="0"/>
    <w:pPr>
      <w:adjustRightInd w:val="0"/>
      <w:spacing w:line="312" w:lineRule="atLeast"/>
      <w:jc w:val="left"/>
      <w:textAlignment w:val="baseline"/>
    </w:pPr>
    <w:rPr>
      <w:kern w:val="0"/>
      <w:szCs w:val="20"/>
    </w:rPr>
  </w:style>
  <w:style w:type="paragraph" w:styleId="18">
    <w:name w:val="Body Text Indent"/>
    <w:basedOn w:val="1"/>
    <w:link w:val="163"/>
    <w:autoRedefine/>
    <w:unhideWhenUsed/>
    <w:qFormat/>
    <w:uiPriority w:val="99"/>
    <w:pPr>
      <w:spacing w:after="120"/>
      <w:ind w:left="420"/>
    </w:pPr>
  </w:style>
  <w:style w:type="paragraph" w:styleId="19">
    <w:name w:val="Block Text"/>
    <w:basedOn w:val="1"/>
    <w:autoRedefine/>
    <w:qFormat/>
    <w:uiPriority w:val="0"/>
    <w:pPr>
      <w:ind w:left="420" w:right="-175" w:rightChars="-73"/>
    </w:pPr>
    <w:rPr>
      <w:rFonts w:ascii="宋体" w:hAnsi="Arial"/>
      <w:sz w:val="24"/>
      <w:szCs w:val="20"/>
    </w:rPr>
  </w:style>
  <w:style w:type="paragraph" w:styleId="20">
    <w:name w:val="toc 5"/>
    <w:basedOn w:val="1"/>
    <w:next w:val="1"/>
    <w:autoRedefine/>
    <w:unhideWhenUsed/>
    <w:qFormat/>
    <w:uiPriority w:val="39"/>
    <w:pPr>
      <w:ind w:left="840"/>
      <w:jc w:val="left"/>
    </w:pPr>
    <w:rPr>
      <w:rFonts w:asciiTheme="minorHAnsi" w:eastAsiaTheme="minorHAnsi"/>
      <w:sz w:val="20"/>
      <w:szCs w:val="20"/>
    </w:rPr>
  </w:style>
  <w:style w:type="paragraph" w:styleId="21">
    <w:name w:val="toc 3"/>
    <w:basedOn w:val="1"/>
    <w:next w:val="1"/>
    <w:autoRedefine/>
    <w:unhideWhenUsed/>
    <w:qFormat/>
    <w:uiPriority w:val="39"/>
    <w:pPr>
      <w:ind w:left="420"/>
      <w:jc w:val="left"/>
    </w:pPr>
    <w:rPr>
      <w:rFonts w:asciiTheme="minorHAnsi" w:eastAsiaTheme="minorHAnsi"/>
      <w:sz w:val="20"/>
      <w:szCs w:val="20"/>
    </w:rPr>
  </w:style>
  <w:style w:type="paragraph" w:styleId="22">
    <w:name w:val="Plain Text"/>
    <w:basedOn w:val="1"/>
    <w:autoRedefine/>
    <w:qFormat/>
    <w:uiPriority w:val="99"/>
    <w:rPr>
      <w:rFonts w:ascii="宋体" w:hAnsi="Courier New"/>
    </w:rPr>
  </w:style>
  <w:style w:type="paragraph" w:styleId="23">
    <w:name w:val="toc 8"/>
    <w:basedOn w:val="1"/>
    <w:next w:val="1"/>
    <w:autoRedefine/>
    <w:unhideWhenUsed/>
    <w:qFormat/>
    <w:uiPriority w:val="39"/>
    <w:pPr>
      <w:ind w:left="1470"/>
      <w:jc w:val="left"/>
    </w:pPr>
    <w:rPr>
      <w:rFonts w:asciiTheme="minorHAnsi" w:eastAsiaTheme="minorHAnsi"/>
      <w:sz w:val="20"/>
      <w:szCs w:val="20"/>
    </w:rPr>
  </w:style>
  <w:style w:type="paragraph" w:styleId="24">
    <w:name w:val="Body Text Indent 2"/>
    <w:basedOn w:val="1"/>
    <w:next w:val="1"/>
    <w:link w:val="138"/>
    <w:autoRedefine/>
    <w:unhideWhenUsed/>
    <w:qFormat/>
    <w:uiPriority w:val="99"/>
    <w:pPr>
      <w:spacing w:after="120" w:line="480" w:lineRule="auto"/>
      <w:ind w:left="420"/>
    </w:pPr>
  </w:style>
  <w:style w:type="paragraph" w:styleId="25">
    <w:name w:val="Balloon Text"/>
    <w:basedOn w:val="1"/>
    <w:link w:val="71"/>
    <w:autoRedefine/>
    <w:unhideWhenUsed/>
    <w:qFormat/>
    <w:uiPriority w:val="99"/>
    <w:rPr>
      <w:sz w:val="18"/>
      <w:szCs w:val="18"/>
    </w:rPr>
  </w:style>
  <w:style w:type="paragraph" w:styleId="26">
    <w:name w:val="footer"/>
    <w:basedOn w:val="1"/>
    <w:link w:val="55"/>
    <w:autoRedefine/>
    <w:unhideWhenUsed/>
    <w:qFormat/>
    <w:uiPriority w:val="99"/>
    <w:pPr>
      <w:tabs>
        <w:tab w:val="center" w:pos="4153"/>
        <w:tab w:val="right" w:pos="8306"/>
      </w:tabs>
      <w:snapToGrid w:val="0"/>
      <w:jc w:val="left"/>
    </w:pPr>
    <w:rPr>
      <w:sz w:val="18"/>
      <w:szCs w:val="18"/>
    </w:rPr>
  </w:style>
  <w:style w:type="paragraph" w:styleId="27">
    <w:name w:val="header"/>
    <w:basedOn w:val="1"/>
    <w:link w:val="149"/>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28">
    <w:name w:val="toc 1"/>
    <w:basedOn w:val="1"/>
    <w:next w:val="1"/>
    <w:autoRedefine/>
    <w:unhideWhenUsed/>
    <w:qFormat/>
    <w:uiPriority w:val="39"/>
    <w:pPr>
      <w:spacing w:before="120"/>
      <w:jc w:val="left"/>
    </w:pPr>
    <w:rPr>
      <w:rFonts w:asciiTheme="minorHAnsi" w:eastAsiaTheme="minorHAnsi"/>
      <w:b/>
      <w:bCs/>
      <w:i/>
      <w:iCs/>
      <w:sz w:val="24"/>
    </w:rPr>
  </w:style>
  <w:style w:type="paragraph" w:styleId="29">
    <w:name w:val="toc 4"/>
    <w:basedOn w:val="1"/>
    <w:next w:val="1"/>
    <w:autoRedefine/>
    <w:unhideWhenUsed/>
    <w:qFormat/>
    <w:uiPriority w:val="39"/>
    <w:pPr>
      <w:ind w:left="630"/>
      <w:jc w:val="left"/>
    </w:pPr>
    <w:rPr>
      <w:rFonts w:asciiTheme="minorHAnsi" w:eastAsiaTheme="minorHAnsi"/>
      <w:sz w:val="20"/>
      <w:szCs w:val="20"/>
    </w:rPr>
  </w:style>
  <w:style w:type="paragraph" w:styleId="30">
    <w:name w:val="toc 6"/>
    <w:basedOn w:val="1"/>
    <w:next w:val="1"/>
    <w:autoRedefine/>
    <w:unhideWhenUsed/>
    <w:qFormat/>
    <w:uiPriority w:val="39"/>
    <w:pPr>
      <w:ind w:left="1050"/>
      <w:jc w:val="left"/>
    </w:pPr>
    <w:rPr>
      <w:rFonts w:asciiTheme="minorHAnsi" w:eastAsiaTheme="minorHAnsi"/>
      <w:sz w:val="20"/>
      <w:szCs w:val="20"/>
    </w:rPr>
  </w:style>
  <w:style w:type="paragraph" w:styleId="31">
    <w:name w:val="Body Text Indent 3"/>
    <w:basedOn w:val="1"/>
    <w:autoRedefine/>
    <w:unhideWhenUsed/>
    <w:qFormat/>
    <w:uiPriority w:val="99"/>
    <w:pPr>
      <w:spacing w:line="360" w:lineRule="auto"/>
      <w:ind w:firstLine="480" w:firstLineChars="200"/>
    </w:pPr>
    <w:rPr>
      <w:rFonts w:ascii="仿宋_GB2312" w:hAnsi="宋体"/>
      <w:color w:val="000000"/>
      <w:kern w:val="0"/>
      <w:sz w:val="24"/>
    </w:rPr>
  </w:style>
  <w:style w:type="paragraph" w:styleId="32">
    <w:name w:val="table of figures"/>
    <w:basedOn w:val="1"/>
    <w:next w:val="1"/>
    <w:autoRedefine/>
    <w:qFormat/>
    <w:uiPriority w:val="0"/>
    <w:pPr>
      <w:spacing w:line="360" w:lineRule="auto"/>
      <w:ind w:left="720" w:hanging="720"/>
      <w:jc w:val="left"/>
    </w:pPr>
    <w:rPr>
      <w:rFonts w:eastAsia="黑体"/>
      <w:smallCaps/>
      <w:sz w:val="20"/>
    </w:rPr>
  </w:style>
  <w:style w:type="paragraph" w:styleId="33">
    <w:name w:val="toc 2"/>
    <w:basedOn w:val="1"/>
    <w:next w:val="1"/>
    <w:autoRedefine/>
    <w:unhideWhenUsed/>
    <w:qFormat/>
    <w:uiPriority w:val="39"/>
    <w:pPr>
      <w:spacing w:before="120"/>
      <w:ind w:left="210"/>
      <w:jc w:val="left"/>
    </w:pPr>
    <w:rPr>
      <w:rFonts w:asciiTheme="minorHAnsi" w:eastAsiaTheme="minorHAnsi"/>
      <w:b/>
      <w:bCs/>
      <w:sz w:val="22"/>
      <w:szCs w:val="22"/>
    </w:rPr>
  </w:style>
  <w:style w:type="paragraph" w:styleId="34">
    <w:name w:val="toc 9"/>
    <w:basedOn w:val="1"/>
    <w:next w:val="1"/>
    <w:autoRedefine/>
    <w:unhideWhenUsed/>
    <w:qFormat/>
    <w:uiPriority w:val="39"/>
    <w:pPr>
      <w:ind w:left="1680"/>
      <w:jc w:val="left"/>
    </w:pPr>
    <w:rPr>
      <w:rFonts w:asciiTheme="minorHAnsi" w:eastAsiaTheme="minorHAnsi"/>
      <w:sz w:val="20"/>
      <w:szCs w:val="20"/>
    </w:rPr>
  </w:style>
  <w:style w:type="paragraph" w:styleId="35">
    <w:name w:val="Body Text 2"/>
    <w:basedOn w:val="1"/>
    <w:autoRedefine/>
    <w:unhideWhenUsed/>
    <w:qFormat/>
    <w:uiPriority w:val="99"/>
    <w:pPr>
      <w:spacing w:after="120" w:line="480" w:lineRule="auto"/>
    </w:pPr>
  </w:style>
  <w:style w:type="paragraph" w:styleId="36">
    <w:name w:val="Normal (Web)"/>
    <w:basedOn w:val="1"/>
    <w:autoRedefine/>
    <w:unhideWhenUsed/>
    <w:qFormat/>
    <w:uiPriority w:val="99"/>
    <w:pPr>
      <w:widowControl/>
      <w:spacing w:before="100" w:beforeAutospacing="1" w:after="100" w:afterAutospacing="1"/>
      <w:jc w:val="left"/>
    </w:pPr>
    <w:rPr>
      <w:kern w:val="0"/>
      <w:sz w:val="24"/>
    </w:rPr>
  </w:style>
  <w:style w:type="paragraph" w:styleId="37">
    <w:name w:val="annotation subject"/>
    <w:basedOn w:val="17"/>
    <w:next w:val="17"/>
    <w:link w:val="154"/>
    <w:autoRedefine/>
    <w:semiHidden/>
    <w:unhideWhenUsed/>
    <w:qFormat/>
    <w:uiPriority w:val="99"/>
    <w:pPr>
      <w:adjustRightInd/>
      <w:spacing w:line="240" w:lineRule="auto"/>
      <w:textAlignment w:val="auto"/>
    </w:pPr>
    <w:rPr>
      <w:b/>
      <w:bCs/>
      <w:kern w:val="2"/>
      <w:szCs w:val="24"/>
    </w:rPr>
  </w:style>
  <w:style w:type="paragraph" w:styleId="38">
    <w:name w:val="Body Text First Indent 2"/>
    <w:basedOn w:val="18"/>
    <w:autoRedefine/>
    <w:qFormat/>
    <w:uiPriority w:val="99"/>
    <w:pPr>
      <w:ind w:firstLine="420" w:firstLineChars="200"/>
    </w:pPr>
  </w:style>
  <w:style w:type="table" w:styleId="40">
    <w:name w:val="Table Grid"/>
    <w:basedOn w:val="39"/>
    <w:autoRedefine/>
    <w:unhideWhenUsed/>
    <w:qFormat/>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41">
    <w:name w:val="Table Theme"/>
    <w:basedOn w:val="39"/>
    <w:autoRedefine/>
    <w:qFormat/>
    <w:uiPriority w:val="0"/>
    <w:pPr>
      <w:widowControl w:val="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3">
    <w:name w:val="page number"/>
    <w:basedOn w:val="42"/>
    <w:autoRedefine/>
    <w:unhideWhenUsed/>
    <w:qFormat/>
    <w:uiPriority w:val="99"/>
  </w:style>
  <w:style w:type="character" w:styleId="44">
    <w:name w:val="FollowedHyperlink"/>
    <w:basedOn w:val="42"/>
    <w:autoRedefine/>
    <w:unhideWhenUsed/>
    <w:qFormat/>
    <w:uiPriority w:val="99"/>
    <w:rPr>
      <w:color w:val="333333"/>
      <w:u w:val="none"/>
    </w:rPr>
  </w:style>
  <w:style w:type="character" w:styleId="45">
    <w:name w:val="Emphasis"/>
    <w:autoRedefine/>
    <w:qFormat/>
    <w:uiPriority w:val="20"/>
  </w:style>
  <w:style w:type="character" w:styleId="46">
    <w:name w:val="Hyperlink"/>
    <w:basedOn w:val="42"/>
    <w:autoRedefine/>
    <w:unhideWhenUsed/>
    <w:qFormat/>
    <w:uiPriority w:val="99"/>
    <w:rPr>
      <w:color w:val="333333"/>
      <w:u w:val="none"/>
    </w:rPr>
  </w:style>
  <w:style w:type="character" w:styleId="47">
    <w:name w:val="annotation reference"/>
    <w:basedOn w:val="42"/>
    <w:autoRedefine/>
    <w:semiHidden/>
    <w:unhideWhenUsed/>
    <w:qFormat/>
    <w:uiPriority w:val="99"/>
    <w:rPr>
      <w:sz w:val="21"/>
      <w:szCs w:val="21"/>
    </w:rPr>
  </w:style>
  <w:style w:type="paragraph" w:customStyle="1" w:styleId="48">
    <w:name w:val="Default1"/>
    <w:autoRedefine/>
    <w:qFormat/>
    <w:uiPriority w:val="0"/>
    <w:pPr>
      <w:widowControl w:val="0"/>
      <w:autoSpaceDE w:val="0"/>
      <w:autoSpaceDN w:val="0"/>
      <w:adjustRightInd w:val="0"/>
      <w:spacing w:line="360" w:lineRule="auto"/>
      <w:jc w:val="both"/>
    </w:pPr>
    <w:rPr>
      <w:rFonts w:ascii="宋体" w:hAnsi="Times New Roman" w:eastAsia="宋体" w:cs="宋体"/>
      <w:color w:val="000000"/>
      <w:kern w:val="2"/>
      <w:sz w:val="24"/>
      <w:szCs w:val="24"/>
      <w:lang w:val="en-US" w:eastAsia="zh-CN" w:bidi="ar-SA"/>
    </w:rPr>
  </w:style>
  <w:style w:type="character" w:customStyle="1" w:styleId="49">
    <w:name w:val="磷矿正文 Char"/>
    <w:link w:val="50"/>
    <w:autoRedefine/>
    <w:qFormat/>
    <w:uiPriority w:val="0"/>
    <w:rPr>
      <w:kern w:val="2"/>
      <w:sz w:val="24"/>
      <w:szCs w:val="24"/>
    </w:rPr>
  </w:style>
  <w:style w:type="paragraph" w:customStyle="1" w:styleId="50">
    <w:name w:val="磷矿正文"/>
    <w:basedOn w:val="1"/>
    <w:link w:val="49"/>
    <w:autoRedefine/>
    <w:qFormat/>
    <w:uiPriority w:val="0"/>
    <w:pPr>
      <w:autoSpaceDE w:val="0"/>
      <w:autoSpaceDN w:val="0"/>
      <w:adjustRightInd w:val="0"/>
      <w:ind w:firstLine="200" w:firstLineChars="200"/>
    </w:pPr>
    <w:rPr>
      <w:rFonts w:ascii="Times New Roman" w:hAnsi="Times New Roman"/>
      <w:sz w:val="24"/>
    </w:rPr>
  </w:style>
  <w:style w:type="character" w:customStyle="1" w:styleId="51">
    <w:name w:val="正文文本 字符"/>
    <w:link w:val="2"/>
    <w:autoRedefine/>
    <w:qFormat/>
    <w:uiPriority w:val="99"/>
    <w:rPr>
      <w:rFonts w:ascii="Times New Roman" w:hAnsi="Times New Roman" w:eastAsia="宋体"/>
      <w:kern w:val="16"/>
      <w:sz w:val="24"/>
    </w:rPr>
  </w:style>
  <w:style w:type="character" w:customStyle="1" w:styleId="52">
    <w:name w:val="正文缩进 字符"/>
    <w:link w:val="13"/>
    <w:autoRedefine/>
    <w:qFormat/>
    <w:uiPriority w:val="0"/>
    <w:rPr>
      <w:kern w:val="2"/>
      <w:sz w:val="21"/>
    </w:rPr>
  </w:style>
  <w:style w:type="character" w:customStyle="1" w:styleId="53">
    <w:name w:val="font31"/>
    <w:autoRedefine/>
    <w:qFormat/>
    <w:uiPriority w:val="0"/>
    <w:rPr>
      <w:rFonts w:hint="eastAsia" w:ascii="Times New Roman" w:hAnsi="Times New Roman" w:cs="Times New Roman"/>
      <w:color w:val="000000"/>
      <w:sz w:val="21"/>
      <w:szCs w:val="21"/>
      <w:u w:val="none"/>
    </w:rPr>
  </w:style>
  <w:style w:type="character" w:customStyle="1" w:styleId="54">
    <w:name w:val="bsharetext"/>
    <w:basedOn w:val="42"/>
    <w:autoRedefine/>
    <w:qFormat/>
    <w:uiPriority w:val="0"/>
  </w:style>
  <w:style w:type="character" w:customStyle="1" w:styleId="55">
    <w:name w:val="页脚 字符"/>
    <w:link w:val="26"/>
    <w:autoRedefine/>
    <w:qFormat/>
    <w:uiPriority w:val="99"/>
    <w:rPr>
      <w:kern w:val="2"/>
      <w:sz w:val="18"/>
      <w:szCs w:val="18"/>
    </w:rPr>
  </w:style>
  <w:style w:type="character" w:customStyle="1" w:styleId="56">
    <w:name w:val="font01"/>
    <w:autoRedefine/>
    <w:qFormat/>
    <w:uiPriority w:val="0"/>
    <w:rPr>
      <w:rFonts w:hint="default" w:ascii="Times New Roman" w:hAnsi="Times New Roman" w:cs="Times New Roman"/>
      <w:color w:val="000000"/>
      <w:sz w:val="18"/>
      <w:szCs w:val="18"/>
      <w:u w:val="none"/>
      <w:vertAlign w:val="superscript"/>
    </w:rPr>
  </w:style>
  <w:style w:type="character" w:customStyle="1" w:styleId="57">
    <w:name w:val="font21"/>
    <w:autoRedefine/>
    <w:qFormat/>
    <w:uiPriority w:val="0"/>
    <w:rPr>
      <w:rFonts w:hint="eastAsia" w:ascii="Times New Roman" w:hAnsi="Times New Roman" w:cs="Times New Roman"/>
      <w:color w:val="000000"/>
      <w:sz w:val="21"/>
      <w:szCs w:val="21"/>
      <w:u w:val="none"/>
    </w:rPr>
  </w:style>
  <w:style w:type="character" w:customStyle="1" w:styleId="58">
    <w:name w:val="fontstyle21"/>
    <w:autoRedefine/>
    <w:qFormat/>
    <w:uiPriority w:val="0"/>
    <w:rPr>
      <w:rFonts w:hint="default" w:ascii="TimesNewRomanPSMT" w:hAnsi="TimesNewRomanPSMT"/>
      <w:color w:val="000000"/>
      <w:sz w:val="24"/>
      <w:szCs w:val="24"/>
    </w:rPr>
  </w:style>
  <w:style w:type="character" w:customStyle="1" w:styleId="59">
    <w:name w:val="标题 4 字符"/>
    <w:link w:val="6"/>
    <w:autoRedefine/>
    <w:qFormat/>
    <w:uiPriority w:val="0"/>
    <w:rPr>
      <w:rFonts w:cs="Symap"/>
      <w:b/>
      <w:bCs/>
      <w:kern w:val="2"/>
      <w:sz w:val="24"/>
      <w:szCs w:val="28"/>
    </w:rPr>
  </w:style>
  <w:style w:type="character" w:customStyle="1" w:styleId="60">
    <w:name w:val="题注 字符"/>
    <w:link w:val="14"/>
    <w:autoRedefine/>
    <w:qFormat/>
    <w:uiPriority w:val="0"/>
    <w:rPr>
      <w:rFonts w:ascii="Times New Roman" w:hAnsi="Times New Roman" w:eastAsia="宋体"/>
      <w:b/>
      <w:kern w:val="2"/>
      <w:sz w:val="21"/>
    </w:rPr>
  </w:style>
  <w:style w:type="character" w:customStyle="1" w:styleId="61">
    <w:name w:val="font11"/>
    <w:autoRedefine/>
    <w:qFormat/>
    <w:uiPriority w:val="0"/>
    <w:rPr>
      <w:rFonts w:hint="eastAsia" w:ascii="Times New Roman" w:hAnsi="Times New Roman" w:cs="Times New Roman"/>
      <w:color w:val="000000"/>
      <w:sz w:val="21"/>
      <w:szCs w:val="21"/>
      <w:u w:val="none"/>
      <w:vertAlign w:val="superscript"/>
    </w:rPr>
  </w:style>
  <w:style w:type="character" w:customStyle="1" w:styleId="62">
    <w:name w:val="font51"/>
    <w:autoRedefine/>
    <w:qFormat/>
    <w:uiPriority w:val="0"/>
    <w:rPr>
      <w:rFonts w:hint="eastAsia" w:ascii="宋体" w:hAnsi="宋体" w:eastAsia="宋体" w:cs="宋体"/>
      <w:color w:val="000000"/>
      <w:sz w:val="20"/>
      <w:szCs w:val="20"/>
      <w:u w:val="none"/>
    </w:rPr>
  </w:style>
  <w:style w:type="character" w:customStyle="1" w:styleId="63">
    <w:name w:val="font71"/>
    <w:autoRedefine/>
    <w:qFormat/>
    <w:uiPriority w:val="0"/>
    <w:rPr>
      <w:rFonts w:hint="eastAsia" w:ascii="宋体" w:hAnsi="宋体" w:eastAsia="宋体" w:cs="宋体"/>
      <w:color w:val="000000"/>
      <w:sz w:val="21"/>
      <w:szCs w:val="21"/>
      <w:u w:val="none"/>
      <w:vertAlign w:val="superscript"/>
    </w:rPr>
  </w:style>
  <w:style w:type="character" w:customStyle="1" w:styleId="64">
    <w:name w:val="fontstyle01"/>
    <w:autoRedefine/>
    <w:qFormat/>
    <w:uiPriority w:val="0"/>
    <w:rPr>
      <w:rFonts w:hint="eastAsia" w:ascii="宋体" w:hAnsi="宋体" w:eastAsia="宋体"/>
      <w:color w:val="000000"/>
      <w:sz w:val="24"/>
      <w:szCs w:val="24"/>
    </w:rPr>
  </w:style>
  <w:style w:type="character" w:customStyle="1" w:styleId="65">
    <w:name w:val="font61"/>
    <w:autoRedefine/>
    <w:qFormat/>
    <w:uiPriority w:val="0"/>
    <w:rPr>
      <w:rFonts w:hint="eastAsia" w:ascii="宋体" w:hAnsi="宋体" w:eastAsia="宋体" w:cs="宋体"/>
      <w:color w:val="000000"/>
      <w:sz w:val="21"/>
      <w:szCs w:val="21"/>
      <w:u w:val="none"/>
    </w:rPr>
  </w:style>
  <w:style w:type="character" w:customStyle="1" w:styleId="66">
    <w:name w:val="font81"/>
    <w:autoRedefine/>
    <w:qFormat/>
    <w:uiPriority w:val="0"/>
    <w:rPr>
      <w:rFonts w:hint="eastAsia" w:ascii="宋体" w:hAnsi="宋体" w:eastAsia="宋体" w:cs="宋体"/>
      <w:color w:val="FF0000"/>
      <w:sz w:val="20"/>
      <w:szCs w:val="20"/>
      <w:u w:val="none"/>
    </w:rPr>
  </w:style>
  <w:style w:type="character" w:customStyle="1" w:styleId="67">
    <w:name w:val="font41"/>
    <w:autoRedefine/>
    <w:qFormat/>
    <w:uiPriority w:val="0"/>
    <w:rPr>
      <w:rFonts w:hint="eastAsia" w:ascii="宋体" w:hAnsi="宋体" w:eastAsia="宋体" w:cs="宋体"/>
      <w:color w:val="000000"/>
      <w:sz w:val="21"/>
      <w:szCs w:val="21"/>
      <w:u w:val="none"/>
      <w:vertAlign w:val="superscript"/>
    </w:rPr>
  </w:style>
  <w:style w:type="character" w:customStyle="1" w:styleId="68">
    <w:name w:val="style91"/>
    <w:autoRedefine/>
    <w:qFormat/>
    <w:uiPriority w:val="0"/>
    <w:rPr>
      <w:sz w:val="27"/>
      <w:szCs w:val="27"/>
    </w:rPr>
  </w:style>
  <w:style w:type="character" w:customStyle="1" w:styleId="69">
    <w:name w:val="样式 样式 样式 黑色 行距: 1.5 倍行距 + 首行缩进:  2 字符 + 自动设置 Char"/>
    <w:link w:val="70"/>
    <w:autoRedefine/>
    <w:qFormat/>
    <w:uiPriority w:val="0"/>
    <w:rPr>
      <w:rFonts w:ascii="Times New Roman" w:hAnsi="Times New Roman" w:eastAsia="宋体" w:cs="宋体"/>
      <w:sz w:val="24"/>
      <w:szCs w:val="20"/>
    </w:rPr>
  </w:style>
  <w:style w:type="paragraph" w:customStyle="1" w:styleId="70">
    <w:name w:val="样式 样式 样式 黑色 行距: 1.5 倍行距 + 首行缩进:  2 字符 + 自动设置"/>
    <w:basedOn w:val="1"/>
    <w:link w:val="69"/>
    <w:autoRedefine/>
    <w:qFormat/>
    <w:uiPriority w:val="0"/>
    <w:pPr>
      <w:spacing w:line="312" w:lineRule="auto"/>
      <w:ind w:firstLine="200" w:firstLineChars="200"/>
    </w:pPr>
    <w:rPr>
      <w:rFonts w:ascii="Times New Roman" w:hAnsi="Times New Roman" w:cs="宋体"/>
      <w:sz w:val="24"/>
      <w:szCs w:val="20"/>
    </w:rPr>
  </w:style>
  <w:style w:type="character" w:customStyle="1" w:styleId="71">
    <w:name w:val="批注框文本 字符"/>
    <w:link w:val="25"/>
    <w:autoRedefine/>
    <w:semiHidden/>
    <w:qFormat/>
    <w:uiPriority w:val="99"/>
    <w:rPr>
      <w:kern w:val="2"/>
      <w:sz w:val="18"/>
      <w:szCs w:val="18"/>
    </w:rPr>
  </w:style>
  <w:style w:type="paragraph" w:customStyle="1" w:styleId="72">
    <w:name w:val="样式 小四 行距: 固定值 25 磅"/>
    <w:basedOn w:val="1"/>
    <w:autoRedefine/>
    <w:qFormat/>
    <w:uiPriority w:val="0"/>
    <w:pPr>
      <w:spacing w:line="500" w:lineRule="exact"/>
      <w:ind w:firstLine="480" w:firstLineChars="200"/>
    </w:pPr>
    <w:rPr>
      <w:rFonts w:cs="宋体"/>
      <w:sz w:val="24"/>
      <w:szCs w:val="20"/>
    </w:rPr>
  </w:style>
  <w:style w:type="paragraph" w:customStyle="1" w:styleId="73">
    <w:name w:val="小表文居中"/>
    <w:basedOn w:val="1"/>
    <w:autoRedefine/>
    <w:qFormat/>
    <w:uiPriority w:val="0"/>
    <w:pPr>
      <w:autoSpaceDE w:val="0"/>
      <w:autoSpaceDN w:val="0"/>
      <w:adjustRightInd w:val="0"/>
      <w:jc w:val="center"/>
      <w:textAlignment w:val="baseline"/>
    </w:pPr>
    <w:rPr>
      <w:kern w:val="0"/>
      <w:sz w:val="18"/>
      <w:szCs w:val="20"/>
    </w:rPr>
  </w:style>
  <w:style w:type="paragraph" w:customStyle="1" w:styleId="74">
    <w:name w:val="标题 51"/>
    <w:basedOn w:val="1"/>
    <w:autoRedefine/>
    <w:qFormat/>
    <w:uiPriority w:val="0"/>
    <w:pPr>
      <w:widowControl/>
      <w:autoSpaceDE w:val="0"/>
      <w:autoSpaceDN w:val="0"/>
      <w:adjustRightInd w:val="0"/>
      <w:spacing w:after="200" w:line="276" w:lineRule="auto"/>
      <w:ind w:left="240"/>
      <w:jc w:val="left"/>
      <w:outlineLvl w:val="4"/>
    </w:pPr>
    <w:rPr>
      <w:rFonts w:ascii="黑体" w:hAnsi="Times New Roman" w:eastAsia="黑体" w:cs="黑体"/>
      <w:b/>
      <w:bCs/>
      <w:kern w:val="0"/>
      <w:sz w:val="24"/>
      <w:szCs w:val="22"/>
    </w:rPr>
  </w:style>
  <w:style w:type="paragraph" w:customStyle="1" w:styleId="75">
    <w:name w:val="正文文字1"/>
    <w:basedOn w:val="1"/>
    <w:autoRedefine/>
    <w:qFormat/>
    <w:uiPriority w:val="0"/>
    <w:pPr>
      <w:snapToGrid w:val="0"/>
      <w:spacing w:line="324" w:lineRule="auto"/>
      <w:ind w:firstLine="480" w:firstLineChars="200"/>
    </w:pPr>
    <w:rPr>
      <w:rFonts w:eastAsia="华文中宋"/>
      <w:sz w:val="24"/>
    </w:rPr>
  </w:style>
  <w:style w:type="paragraph" w:customStyle="1" w:styleId="76">
    <w:name w:val="正文1"/>
    <w:basedOn w:val="1"/>
    <w:autoRedefine/>
    <w:qFormat/>
    <w:uiPriority w:val="0"/>
    <w:pPr>
      <w:spacing w:line="500" w:lineRule="atLeast"/>
      <w:ind w:firstLine="200" w:firstLineChars="200"/>
    </w:pPr>
    <w:rPr>
      <w:rFonts w:hint="eastAsia" w:ascii="宋体" w:hAnsi="宋体"/>
      <w:sz w:val="24"/>
    </w:rPr>
  </w:style>
  <w:style w:type="paragraph" w:customStyle="1" w:styleId="77">
    <w:name w:val="表格标题"/>
    <w:basedOn w:val="7"/>
    <w:autoRedefine/>
    <w:qFormat/>
    <w:uiPriority w:val="0"/>
    <w:pPr>
      <w:keepNext w:val="0"/>
      <w:keepLines w:val="0"/>
      <w:numPr>
        <w:ilvl w:val="0"/>
        <w:numId w:val="0"/>
      </w:numPr>
      <w:autoSpaceDE/>
      <w:autoSpaceDN/>
      <w:adjustRightInd/>
      <w:spacing w:line="480" w:lineRule="exact"/>
      <w:jc w:val="center"/>
      <w:textAlignment w:val="auto"/>
      <w:outlineLvl w:val="9"/>
    </w:pPr>
    <w:rPr>
      <w:rFonts w:ascii="黑体" w:hAnsi="黑体" w:eastAsia="黑体"/>
      <w:b w:val="0"/>
      <w:bCs/>
      <w:color w:val="000000"/>
      <w:spacing w:val="0"/>
      <w:kern w:val="2"/>
      <w:szCs w:val="24"/>
    </w:rPr>
  </w:style>
  <w:style w:type="paragraph" w:customStyle="1" w:styleId="78">
    <w:name w:val="表格字"/>
    <w:basedOn w:val="79"/>
    <w:autoRedefine/>
    <w:qFormat/>
    <w:uiPriority w:val="0"/>
    <w:pPr>
      <w:adjustRightInd w:val="0"/>
      <w:snapToGrid w:val="0"/>
      <w:spacing w:line="0" w:lineRule="atLeast"/>
      <w:ind w:firstLine="0"/>
      <w:jc w:val="center"/>
    </w:pPr>
    <w:rPr>
      <w:rFonts w:ascii="Times New Roman" w:hAnsi="Times New Roman"/>
      <w:sz w:val="21"/>
    </w:rPr>
  </w:style>
  <w:style w:type="paragraph" w:customStyle="1" w:styleId="79">
    <w:name w:val="正文格式"/>
    <w:basedOn w:val="1"/>
    <w:autoRedefine/>
    <w:qFormat/>
    <w:uiPriority w:val="0"/>
    <w:pPr>
      <w:widowControl/>
      <w:spacing w:line="360" w:lineRule="auto"/>
      <w:ind w:firstLine="482"/>
      <w:jc w:val="left"/>
    </w:pPr>
    <w:rPr>
      <w:rFonts w:ascii="宋体" w:hAnsi="宋体"/>
      <w:kern w:val="0"/>
      <w:sz w:val="24"/>
    </w:rPr>
  </w:style>
  <w:style w:type="paragraph" w:customStyle="1" w:styleId="80">
    <w:name w:val="表头文字小"/>
    <w:basedOn w:val="1"/>
    <w:autoRedefine/>
    <w:qFormat/>
    <w:uiPriority w:val="0"/>
    <w:rPr>
      <w:rFonts w:ascii="宋体"/>
      <w:szCs w:val="21"/>
    </w:rPr>
  </w:style>
  <w:style w:type="paragraph" w:customStyle="1" w:styleId="81">
    <w:name w:val="样式 样式 正文缩进 + (符号) 宋体 小四 首行缩进:  2 字符 行距: 固定值 22 磅1 + 首行缩进:  2 字符"/>
    <w:basedOn w:val="1"/>
    <w:autoRedefine/>
    <w:qFormat/>
    <w:uiPriority w:val="0"/>
    <w:pPr>
      <w:spacing w:line="420" w:lineRule="exact"/>
      <w:ind w:firstLine="432" w:firstLineChars="200"/>
    </w:pPr>
    <w:rPr>
      <w:rFonts w:ascii="宋体" w:hAnsi="宋体"/>
      <w:sz w:val="24"/>
    </w:rPr>
  </w:style>
  <w:style w:type="paragraph" w:customStyle="1" w:styleId="82">
    <w:name w:val="表题"/>
    <w:basedOn w:val="1"/>
    <w:autoRedefine/>
    <w:qFormat/>
    <w:uiPriority w:val="0"/>
    <w:pPr>
      <w:autoSpaceDE w:val="0"/>
      <w:autoSpaceDN w:val="0"/>
      <w:adjustRightInd w:val="0"/>
      <w:spacing w:line="480" w:lineRule="atLeast"/>
      <w:jc w:val="center"/>
      <w:textAlignment w:val="baseline"/>
    </w:pPr>
    <w:rPr>
      <w:rFonts w:ascii="黑体" w:eastAsia="黑体"/>
      <w:kern w:val="16"/>
    </w:rPr>
  </w:style>
  <w:style w:type="paragraph" w:customStyle="1" w:styleId="83">
    <w:name w:val="正文 标准"/>
    <w:basedOn w:val="1"/>
    <w:autoRedefine/>
    <w:qFormat/>
    <w:uiPriority w:val="0"/>
    <w:pPr>
      <w:adjustRightInd w:val="0"/>
      <w:spacing w:line="360" w:lineRule="auto"/>
      <w:ind w:firstLine="200" w:firstLineChars="200"/>
      <w:textAlignment w:val="baseline"/>
    </w:pPr>
    <w:rPr>
      <w:kern w:val="0"/>
      <w:sz w:val="24"/>
    </w:rPr>
  </w:style>
  <w:style w:type="paragraph" w:customStyle="1" w:styleId="84">
    <w:name w:val="样式 标题 3 + 四号 段前: 7.8 磅 段后: 7.8 磅 行距: 固定值 27 磅"/>
    <w:basedOn w:val="5"/>
    <w:autoRedefine/>
    <w:qFormat/>
    <w:uiPriority w:val="0"/>
    <w:pPr>
      <w:adjustRightInd/>
      <w:spacing w:before="120" w:after="120"/>
    </w:pPr>
    <w:rPr>
      <w:rFonts w:eastAsia="黑体" w:cs="宋体"/>
    </w:rPr>
  </w:style>
  <w:style w:type="paragraph" w:customStyle="1" w:styleId="85">
    <w:name w:val="表格文字1"/>
    <w:basedOn w:val="1"/>
    <w:autoRedefine/>
    <w:qFormat/>
    <w:uiPriority w:val="0"/>
    <w:pPr>
      <w:adjustRightInd w:val="0"/>
      <w:spacing w:line="0" w:lineRule="atLeast"/>
      <w:jc w:val="center"/>
      <w:textAlignment w:val="baseline"/>
    </w:pPr>
    <w:rPr>
      <w:kern w:val="0"/>
      <w:sz w:val="24"/>
    </w:rPr>
  </w:style>
  <w:style w:type="paragraph" w:customStyle="1" w:styleId="86">
    <w:name w:val="表格文字内容"/>
    <w:basedOn w:val="1"/>
    <w:autoRedefine/>
    <w:qFormat/>
    <w:uiPriority w:val="0"/>
    <w:pPr>
      <w:spacing w:line="240" w:lineRule="exact"/>
      <w:jc w:val="center"/>
    </w:pPr>
    <w:rPr>
      <w:sz w:val="18"/>
      <w:szCs w:val="20"/>
    </w:rPr>
  </w:style>
  <w:style w:type="paragraph" w:customStyle="1" w:styleId="87">
    <w:name w:val="表文"/>
    <w:basedOn w:val="1"/>
    <w:next w:val="1"/>
    <w:autoRedefine/>
    <w:qFormat/>
    <w:uiPriority w:val="0"/>
    <w:pPr>
      <w:widowControl/>
      <w:adjustRightInd w:val="0"/>
      <w:snapToGrid w:val="0"/>
      <w:jc w:val="center"/>
    </w:pPr>
    <w:rPr>
      <w:rFonts w:cs="宋体"/>
      <w:kern w:val="0"/>
      <w:sz w:val="18"/>
      <w:szCs w:val="18"/>
    </w:rPr>
  </w:style>
  <w:style w:type="paragraph" w:customStyle="1" w:styleId="88">
    <w:name w:val="表内容"/>
    <w:basedOn w:val="89"/>
    <w:autoRedefine/>
    <w:qFormat/>
    <w:uiPriority w:val="0"/>
    <w:pPr>
      <w:tabs>
        <w:tab w:val="left" w:pos="13662"/>
      </w:tabs>
      <w:adjustRightInd w:val="0"/>
      <w:snapToGrid w:val="0"/>
      <w:textAlignment w:val="baseline"/>
      <w:outlineLvl w:val="9"/>
    </w:pPr>
    <w:rPr>
      <w:snapToGrid w:val="0"/>
      <w:sz w:val="24"/>
      <w:szCs w:val="21"/>
    </w:rPr>
  </w:style>
  <w:style w:type="paragraph" w:customStyle="1" w:styleId="89">
    <w:name w:val="表名"/>
    <w:basedOn w:val="15"/>
    <w:autoRedefine/>
    <w:qFormat/>
    <w:uiPriority w:val="0"/>
    <w:pPr>
      <w:ind w:left="0" w:leftChars="0"/>
      <w:jc w:val="center"/>
      <w:outlineLvl w:val="4"/>
    </w:pPr>
    <w:rPr>
      <w:rFonts w:eastAsia="黑体"/>
      <w:b/>
      <w:sz w:val="28"/>
    </w:rPr>
  </w:style>
  <w:style w:type="paragraph" w:customStyle="1" w:styleId="90">
    <w:name w:val="表格文字+正文"/>
    <w:basedOn w:val="1"/>
    <w:autoRedefine/>
    <w:qFormat/>
    <w:uiPriority w:val="0"/>
    <w:pPr>
      <w:jc w:val="center"/>
    </w:pPr>
    <w:rPr>
      <w:rFonts w:hAnsi="宋体" w:cs="宋体"/>
      <w:bCs/>
      <w:kern w:val="0"/>
      <w:szCs w:val="20"/>
    </w:rPr>
  </w:style>
  <w:style w:type="paragraph" w:customStyle="1" w:styleId="91">
    <w:name w:val="标、图注"/>
    <w:basedOn w:val="1"/>
    <w:autoRedefine/>
    <w:qFormat/>
    <w:uiPriority w:val="0"/>
    <w:pPr>
      <w:spacing w:line="240" w:lineRule="exact"/>
      <w:ind w:left="200" w:hanging="200" w:hangingChars="200"/>
    </w:pPr>
    <w:rPr>
      <w:rFonts w:cs="宋体"/>
      <w:sz w:val="18"/>
      <w:szCs w:val="20"/>
    </w:rPr>
  </w:style>
  <w:style w:type="paragraph" w:customStyle="1" w:styleId="92">
    <w:name w:val="表文字"/>
    <w:basedOn w:val="1"/>
    <w:autoRedefine/>
    <w:qFormat/>
    <w:uiPriority w:val="0"/>
    <w:pPr>
      <w:spacing w:line="360" w:lineRule="auto"/>
      <w:jc w:val="center"/>
    </w:pPr>
  </w:style>
  <w:style w:type="paragraph" w:customStyle="1" w:styleId="93">
    <w:name w:val="样式 正文(小) + 宋体 小四 行距: 多倍行距 1.25 字行"/>
    <w:basedOn w:val="1"/>
    <w:autoRedefine/>
    <w:qFormat/>
    <w:uiPriority w:val="0"/>
    <w:pPr>
      <w:autoSpaceDE w:val="0"/>
      <w:autoSpaceDN w:val="0"/>
      <w:adjustRightInd w:val="0"/>
      <w:spacing w:line="360" w:lineRule="auto"/>
      <w:ind w:left="210" w:leftChars="100" w:firstLine="480" w:firstLineChars="200"/>
      <w:textAlignment w:val="baseline"/>
    </w:pPr>
    <w:rPr>
      <w:kern w:val="0"/>
      <w:sz w:val="24"/>
    </w:rPr>
  </w:style>
  <w:style w:type="paragraph" w:customStyle="1" w:styleId="94">
    <w:name w:val="正文缩进1"/>
    <w:basedOn w:val="1"/>
    <w:autoRedefine/>
    <w:qFormat/>
    <w:uiPriority w:val="0"/>
    <w:pPr>
      <w:ind w:firstLine="200" w:firstLineChars="200"/>
    </w:pPr>
    <w:rPr>
      <w:szCs w:val="20"/>
    </w:rPr>
  </w:style>
  <w:style w:type="paragraph" w:customStyle="1" w:styleId="95">
    <w:name w:val="报告书正文"/>
    <w:basedOn w:val="1"/>
    <w:autoRedefine/>
    <w:qFormat/>
    <w:uiPriority w:val="0"/>
    <w:pPr>
      <w:spacing w:line="460" w:lineRule="exact"/>
      <w:ind w:firstLine="200" w:firstLineChars="200"/>
      <w:jc w:val="left"/>
    </w:pPr>
    <w:rPr>
      <w:rFonts w:ascii="Times New Roman" w:hAnsi="Times New Roman"/>
      <w:kern w:val="0"/>
    </w:rPr>
  </w:style>
  <w:style w:type="paragraph" w:customStyle="1" w:styleId="96">
    <w:name w:val="d 编号"/>
    <w:autoRedefine/>
    <w:qFormat/>
    <w:uiPriority w:val="0"/>
    <w:pPr>
      <w:numPr>
        <w:ilvl w:val="0"/>
        <w:numId w:val="2"/>
      </w:numPr>
      <w:tabs>
        <w:tab w:val="left" w:pos="480"/>
        <w:tab w:val="clear" w:pos="990"/>
      </w:tabs>
      <w:spacing w:line="360" w:lineRule="auto"/>
    </w:pPr>
    <w:rPr>
      <w:rFonts w:ascii="Calibri" w:hAnsi="Calibri" w:eastAsia="宋体" w:cs="Times New Roman"/>
      <w:snapToGrid w:val="0"/>
      <w:kern w:val="2"/>
      <w:sz w:val="24"/>
      <w:szCs w:val="24"/>
      <w:lang w:val="en-US" w:eastAsia="zh-CN" w:bidi="ar-SA"/>
    </w:rPr>
  </w:style>
  <w:style w:type="paragraph" w:customStyle="1" w:styleId="97">
    <w:name w:val="样式 小四 行距: 1.5 倍行距 首行缩进:  2 字符"/>
    <w:basedOn w:val="1"/>
    <w:autoRedefine/>
    <w:qFormat/>
    <w:uiPriority w:val="99"/>
    <w:pPr>
      <w:spacing w:line="360" w:lineRule="auto"/>
      <w:ind w:firstLine="480" w:firstLineChars="200"/>
    </w:pPr>
    <w:rPr>
      <w:rFonts w:ascii="Times New Roman" w:hAnsi="Times New Roman" w:cs="宋体"/>
      <w:sz w:val="24"/>
      <w:szCs w:val="20"/>
    </w:rPr>
  </w:style>
  <w:style w:type="paragraph" w:customStyle="1" w:styleId="98">
    <w:name w:val="报告正文"/>
    <w:basedOn w:val="13"/>
    <w:autoRedefine/>
    <w:qFormat/>
    <w:uiPriority w:val="0"/>
    <w:pPr>
      <w:spacing w:line="300" w:lineRule="auto"/>
      <w:ind w:firstLine="200" w:firstLineChars="200"/>
    </w:pPr>
    <w:rPr>
      <w:sz w:val="28"/>
    </w:rPr>
  </w:style>
  <w:style w:type="paragraph" w:customStyle="1" w:styleId="99">
    <w:name w:val="p0"/>
    <w:basedOn w:val="1"/>
    <w:autoRedefine/>
    <w:qFormat/>
    <w:uiPriority w:val="0"/>
    <w:pPr>
      <w:widowControl/>
    </w:pPr>
    <w:rPr>
      <w:kern w:val="0"/>
      <w:szCs w:val="21"/>
    </w:rPr>
  </w:style>
  <w:style w:type="paragraph" w:customStyle="1" w:styleId="100">
    <w:name w:val="表头"/>
    <w:basedOn w:val="1"/>
    <w:autoRedefine/>
    <w:qFormat/>
    <w:uiPriority w:val="0"/>
    <w:pPr>
      <w:autoSpaceDE w:val="0"/>
      <w:autoSpaceDN w:val="0"/>
      <w:adjustRightInd w:val="0"/>
      <w:spacing w:beforeLines="100"/>
      <w:jc w:val="center"/>
    </w:pPr>
    <w:rPr>
      <w:rFonts w:eastAsia="黑体"/>
      <w:kern w:val="0"/>
      <w:szCs w:val="21"/>
    </w:rPr>
  </w:style>
  <w:style w:type="paragraph" w:customStyle="1" w:styleId="101">
    <w:name w:val="目录1"/>
    <w:basedOn w:val="1"/>
    <w:next w:val="1"/>
    <w:autoRedefine/>
    <w:qFormat/>
    <w:uiPriority w:val="0"/>
    <w:pPr>
      <w:widowControl/>
      <w:tabs>
        <w:tab w:val="left" w:pos="840"/>
      </w:tabs>
      <w:adjustRightInd w:val="0"/>
      <w:snapToGrid w:val="0"/>
      <w:spacing w:line="480" w:lineRule="auto"/>
      <w:ind w:left="840" w:hanging="420"/>
      <w:jc w:val="left"/>
    </w:pPr>
    <w:rPr>
      <w:rFonts w:ascii="宋体" w:hAnsi="宋体" w:cs="宋体"/>
      <w:b/>
      <w:bCs/>
      <w:kern w:val="0"/>
      <w:sz w:val="32"/>
    </w:rPr>
  </w:style>
  <w:style w:type="paragraph" w:customStyle="1" w:styleId="102">
    <w:name w:val="样式14"/>
    <w:basedOn w:val="1"/>
    <w:autoRedefine/>
    <w:qFormat/>
    <w:uiPriority w:val="0"/>
    <w:pPr>
      <w:tabs>
        <w:tab w:val="left" w:pos="1140"/>
      </w:tabs>
      <w:spacing w:beforeLines="50" w:afterLines="50"/>
    </w:pPr>
    <w:rPr>
      <w:rFonts w:eastAsia="黑体"/>
      <w:sz w:val="28"/>
      <w:szCs w:val="28"/>
    </w:rPr>
  </w:style>
  <w:style w:type="paragraph" w:customStyle="1" w:styleId="103">
    <w:name w:val="表号文字"/>
    <w:basedOn w:val="1"/>
    <w:autoRedefine/>
    <w:qFormat/>
    <w:uiPriority w:val="0"/>
    <w:pPr>
      <w:adjustRightInd w:val="0"/>
      <w:snapToGrid w:val="0"/>
      <w:spacing w:before="120" w:line="300" w:lineRule="auto"/>
      <w:jc w:val="left"/>
    </w:pPr>
    <w:rPr>
      <w:rFonts w:eastAsia="黑体"/>
      <w:sz w:val="24"/>
    </w:rPr>
  </w:style>
  <w:style w:type="paragraph" w:customStyle="1" w:styleId="104">
    <w:name w:val="Default"/>
    <w:autoRedefine/>
    <w:qFormat/>
    <w:uiPriority w:val="0"/>
    <w:pPr>
      <w:autoSpaceDE w:val="0"/>
      <w:autoSpaceDN w:val="0"/>
      <w:adjustRightInd w:val="0"/>
    </w:pPr>
    <w:rPr>
      <w:rFonts w:ascii="宋体" w:hAnsi="Calibri" w:eastAsia="宋体" w:cs="宋体"/>
      <w:color w:val="000000"/>
      <w:sz w:val="24"/>
      <w:szCs w:val="24"/>
      <w:lang w:val="en-US" w:eastAsia="zh-CN" w:bidi="ar-SA"/>
    </w:rPr>
  </w:style>
  <w:style w:type="paragraph" w:customStyle="1" w:styleId="105">
    <w:name w:val="正文标准"/>
    <w:basedOn w:val="18"/>
    <w:autoRedefine/>
    <w:qFormat/>
    <w:uiPriority w:val="0"/>
    <w:pPr>
      <w:adjustRightInd w:val="0"/>
      <w:snapToGrid w:val="0"/>
      <w:spacing w:after="0" w:line="400" w:lineRule="exact"/>
      <w:ind w:left="0" w:firstLine="200" w:firstLineChars="200"/>
    </w:pPr>
    <w:rPr>
      <w:color w:val="0000FF"/>
      <w:sz w:val="24"/>
    </w:rPr>
  </w:style>
  <w:style w:type="paragraph" w:customStyle="1" w:styleId="106">
    <w:name w:val="!正文(alt+c)"/>
    <w:autoRedefine/>
    <w:qFormat/>
    <w:uiPriority w:val="0"/>
    <w:pPr>
      <w:spacing w:line="460" w:lineRule="exact"/>
      <w:ind w:firstLine="480" w:firstLineChars="200"/>
      <w:jc w:val="both"/>
    </w:pPr>
    <w:rPr>
      <w:rFonts w:ascii="宋体" w:hAnsi="宋体" w:eastAsia="宋体" w:cs="Times New Roman"/>
      <w:color w:val="000000"/>
      <w:kern w:val="2"/>
      <w:sz w:val="24"/>
      <w:szCs w:val="24"/>
      <w:lang w:val="en-US" w:eastAsia="zh-CN" w:bidi="ar-SA"/>
    </w:rPr>
  </w:style>
  <w:style w:type="paragraph" w:customStyle="1" w:styleId="107">
    <w:name w:val="公式说明"/>
    <w:basedOn w:val="1"/>
    <w:autoRedefine/>
    <w:qFormat/>
    <w:uiPriority w:val="0"/>
    <w:pPr>
      <w:ind w:firstLine="500" w:firstLineChars="500"/>
    </w:pPr>
  </w:style>
  <w:style w:type="paragraph" w:customStyle="1" w:styleId="108">
    <w:name w:val="表格文字"/>
    <w:link w:val="120"/>
    <w:autoRedefine/>
    <w:qFormat/>
    <w:uiPriority w:val="0"/>
    <w:pPr>
      <w:widowControl w:val="0"/>
      <w:autoSpaceDE w:val="0"/>
      <w:autoSpaceDN w:val="0"/>
      <w:adjustRightInd w:val="0"/>
      <w:spacing w:line="240" w:lineRule="atLeast"/>
      <w:jc w:val="center"/>
      <w:textAlignment w:val="baseline"/>
    </w:pPr>
    <w:rPr>
      <w:rFonts w:ascii="Calibri" w:hAnsi="Calibri" w:eastAsia="宋体" w:cs="Times New Roman"/>
      <w:color w:val="000000"/>
      <w:sz w:val="21"/>
      <w:lang w:val="en-US" w:eastAsia="zh-CN" w:bidi="ar-SA"/>
    </w:rPr>
  </w:style>
  <w:style w:type="paragraph" w:customStyle="1" w:styleId="109">
    <w:name w:val="0"/>
    <w:basedOn w:val="1"/>
    <w:autoRedefine/>
    <w:qFormat/>
    <w:uiPriority w:val="0"/>
    <w:pPr>
      <w:spacing w:line="360" w:lineRule="auto"/>
      <w:ind w:firstLine="480" w:firstLineChars="200"/>
    </w:pPr>
    <w:rPr>
      <w:rFonts w:ascii="Times New Roman" w:hAnsi="宋体"/>
      <w:kern w:val="0"/>
      <w:sz w:val="24"/>
      <w:lang w:val="zh-CN"/>
    </w:rPr>
  </w:style>
  <w:style w:type="paragraph" w:customStyle="1" w:styleId="110">
    <w:name w:val="彩云湾表格标题"/>
    <w:basedOn w:val="1"/>
    <w:autoRedefine/>
    <w:qFormat/>
    <w:uiPriority w:val="0"/>
    <w:pPr>
      <w:adjustRightInd w:val="0"/>
      <w:snapToGrid w:val="0"/>
      <w:spacing w:line="360" w:lineRule="auto"/>
      <w:jc w:val="left"/>
      <w:textAlignment w:val="baseline"/>
    </w:pPr>
    <w:rPr>
      <w:rFonts w:eastAsia="黑体"/>
      <w:kern w:val="0"/>
      <w:sz w:val="24"/>
    </w:rPr>
  </w:style>
  <w:style w:type="paragraph" w:customStyle="1" w:styleId="111">
    <w:name w:val="表格编号"/>
    <w:basedOn w:val="1"/>
    <w:autoRedefine/>
    <w:qFormat/>
    <w:uiPriority w:val="0"/>
    <w:rPr>
      <w:sz w:val="18"/>
      <w:szCs w:val="20"/>
    </w:rPr>
  </w:style>
  <w:style w:type="paragraph" w:customStyle="1" w:styleId="112">
    <w:name w:val="表格标题1"/>
    <w:basedOn w:val="1"/>
    <w:autoRedefine/>
    <w:qFormat/>
    <w:uiPriority w:val="0"/>
    <w:pPr>
      <w:adjustRightInd w:val="0"/>
      <w:spacing w:after="80" w:line="560" w:lineRule="exact"/>
      <w:jc w:val="center"/>
      <w:textAlignment w:val="baseline"/>
    </w:pPr>
    <w:rPr>
      <w:rFonts w:ascii="黑体" w:eastAsia="黑体"/>
      <w:b/>
      <w:bCs/>
      <w:color w:val="000000"/>
      <w:kern w:val="0"/>
      <w:sz w:val="24"/>
    </w:rPr>
  </w:style>
  <w:style w:type="paragraph" w:customStyle="1" w:styleId="113">
    <w:name w:val="Table Paragraph"/>
    <w:basedOn w:val="1"/>
    <w:autoRedefine/>
    <w:qFormat/>
    <w:uiPriority w:val="0"/>
    <w:pPr>
      <w:widowControl/>
      <w:autoSpaceDE w:val="0"/>
      <w:autoSpaceDN w:val="0"/>
      <w:adjustRightInd w:val="0"/>
      <w:spacing w:after="200" w:line="276" w:lineRule="auto"/>
      <w:jc w:val="left"/>
    </w:pPr>
    <w:rPr>
      <w:rFonts w:ascii="Times New Roman" w:hAnsi="Times New Roman"/>
      <w:kern w:val="0"/>
      <w:sz w:val="24"/>
      <w:szCs w:val="22"/>
    </w:rPr>
  </w:style>
  <w:style w:type="paragraph" w:customStyle="1" w:styleId="114">
    <w:name w:val="公式"/>
    <w:basedOn w:val="1"/>
    <w:autoRedefine/>
    <w:qFormat/>
    <w:uiPriority w:val="0"/>
    <w:pPr>
      <w:jc w:val="center"/>
    </w:pPr>
    <w:rPr>
      <w:rFonts w:cs="宋体"/>
      <w:szCs w:val="20"/>
    </w:rPr>
  </w:style>
  <w:style w:type="table" w:customStyle="1" w:styleId="115">
    <w:name w:val="网格型2"/>
    <w:basedOn w:val="39"/>
    <w:autoRedefine/>
    <w:qFormat/>
    <w:uiPriority w:val="39"/>
    <w:rPr>
      <w:rFonts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6">
    <w:name w:val="题注 字符1"/>
    <w:autoRedefine/>
    <w:qFormat/>
    <w:uiPriority w:val="0"/>
    <w:rPr>
      <w:b/>
      <w:kern w:val="2"/>
      <w:sz w:val="21"/>
    </w:rPr>
  </w:style>
  <w:style w:type="paragraph" w:customStyle="1" w:styleId="117">
    <w:name w:val="标题 511"/>
    <w:basedOn w:val="1"/>
    <w:autoRedefine/>
    <w:qFormat/>
    <w:uiPriority w:val="0"/>
    <w:pPr>
      <w:widowControl/>
      <w:autoSpaceDE w:val="0"/>
      <w:autoSpaceDN w:val="0"/>
      <w:adjustRightInd w:val="0"/>
      <w:spacing w:after="200" w:line="276" w:lineRule="auto"/>
      <w:ind w:left="240"/>
      <w:jc w:val="left"/>
      <w:outlineLvl w:val="4"/>
    </w:pPr>
    <w:rPr>
      <w:rFonts w:ascii="黑体" w:hAnsi="Times New Roman" w:eastAsia="黑体" w:cs="黑体"/>
      <w:b/>
      <w:bCs/>
      <w:kern w:val="0"/>
      <w:sz w:val="24"/>
      <w:szCs w:val="22"/>
    </w:rPr>
  </w:style>
  <w:style w:type="paragraph" w:customStyle="1" w:styleId="118">
    <w:name w:val="正文缩进11"/>
    <w:basedOn w:val="1"/>
    <w:autoRedefine/>
    <w:qFormat/>
    <w:uiPriority w:val="0"/>
    <w:pPr>
      <w:ind w:firstLine="200" w:firstLineChars="200"/>
    </w:pPr>
    <w:rPr>
      <w:szCs w:val="20"/>
    </w:rPr>
  </w:style>
  <w:style w:type="paragraph" w:styleId="119">
    <w:name w:val="List Paragraph"/>
    <w:basedOn w:val="1"/>
    <w:autoRedefine/>
    <w:qFormat/>
    <w:uiPriority w:val="99"/>
    <w:pPr>
      <w:adjustRightInd w:val="0"/>
      <w:snapToGrid w:val="0"/>
      <w:ind w:firstLine="200" w:firstLineChars="200"/>
    </w:pPr>
  </w:style>
  <w:style w:type="character" w:customStyle="1" w:styleId="120">
    <w:name w:val="表格文字 Char"/>
    <w:link w:val="108"/>
    <w:autoRedefine/>
    <w:qFormat/>
    <w:uiPriority w:val="0"/>
    <w:rPr>
      <w:color w:val="000000"/>
      <w:sz w:val="21"/>
    </w:rPr>
  </w:style>
  <w:style w:type="paragraph" w:customStyle="1" w:styleId="121">
    <w:name w:val="表格标题-1"/>
    <w:basedOn w:val="1"/>
    <w:next w:val="1"/>
    <w:autoRedefine/>
    <w:qFormat/>
    <w:uiPriority w:val="99"/>
    <w:pPr>
      <w:adjustRightInd w:val="0"/>
      <w:snapToGrid w:val="0"/>
      <w:spacing w:line="360" w:lineRule="auto"/>
      <w:ind w:left="360" w:hanging="360"/>
      <w:jc w:val="center"/>
    </w:pPr>
    <w:rPr>
      <w:rFonts w:ascii="Times New Roman" w:hAnsi="Times New Roman" w:eastAsia="黑体"/>
      <w:sz w:val="24"/>
    </w:rPr>
  </w:style>
  <w:style w:type="paragraph" w:customStyle="1" w:styleId="122">
    <w:name w:val="正文-欣欣"/>
    <w:basedOn w:val="1"/>
    <w:link w:val="123"/>
    <w:autoRedefine/>
    <w:qFormat/>
    <w:uiPriority w:val="0"/>
    <w:pPr>
      <w:adjustRightInd w:val="0"/>
      <w:snapToGrid w:val="0"/>
      <w:spacing w:line="360" w:lineRule="auto"/>
      <w:ind w:firstLine="200" w:firstLineChars="200"/>
    </w:pPr>
    <w:rPr>
      <w:rFonts w:ascii="Times New Roman" w:hAnsi="Times New Roman"/>
      <w:sz w:val="24"/>
      <w:szCs w:val="30"/>
    </w:rPr>
  </w:style>
  <w:style w:type="character" w:customStyle="1" w:styleId="123">
    <w:name w:val="正文-欣欣 Char"/>
    <w:link w:val="122"/>
    <w:autoRedefine/>
    <w:qFormat/>
    <w:uiPriority w:val="0"/>
    <w:rPr>
      <w:rFonts w:ascii="Times New Roman" w:hAnsi="Times New Roman"/>
      <w:kern w:val="2"/>
      <w:sz w:val="24"/>
      <w:szCs w:val="30"/>
    </w:rPr>
  </w:style>
  <w:style w:type="paragraph" w:customStyle="1" w:styleId="124">
    <w:name w:val="L正文"/>
    <w:basedOn w:val="1"/>
    <w:autoRedefine/>
    <w:qFormat/>
    <w:uiPriority w:val="0"/>
    <w:pPr>
      <w:adjustRightInd w:val="0"/>
      <w:snapToGrid w:val="0"/>
      <w:spacing w:line="360" w:lineRule="auto"/>
      <w:ind w:firstLine="200" w:firstLineChars="200"/>
    </w:pPr>
    <w:rPr>
      <w:rFonts w:ascii="Times New Roman" w:hAnsi="Times New Roman"/>
      <w:sz w:val="24"/>
    </w:rPr>
  </w:style>
  <w:style w:type="character" w:customStyle="1" w:styleId="125">
    <w:name w:val="标题 3 字符"/>
    <w:link w:val="5"/>
    <w:autoRedefine/>
    <w:qFormat/>
    <w:uiPriority w:val="9"/>
    <w:rPr>
      <w:b/>
      <w:bCs/>
      <w:sz w:val="24"/>
      <w:szCs w:val="24"/>
      <w:lang w:val="zh-CN"/>
    </w:rPr>
  </w:style>
  <w:style w:type="paragraph" w:customStyle="1" w:styleId="126">
    <w:name w:val="正文缩进2"/>
    <w:basedOn w:val="1"/>
    <w:autoRedefine/>
    <w:qFormat/>
    <w:uiPriority w:val="0"/>
    <w:pPr>
      <w:ind w:firstLine="200" w:firstLineChars="200"/>
    </w:pPr>
    <w:rPr>
      <w:szCs w:val="20"/>
    </w:rPr>
  </w:style>
  <w:style w:type="paragraph" w:customStyle="1" w:styleId="127">
    <w:name w:val="报告"/>
    <w:basedOn w:val="1"/>
    <w:autoRedefine/>
    <w:qFormat/>
    <w:uiPriority w:val="0"/>
    <w:pPr>
      <w:adjustRightInd w:val="0"/>
      <w:spacing w:line="360" w:lineRule="auto"/>
      <w:ind w:firstLine="480" w:firstLineChars="200"/>
      <w:textAlignment w:val="baseline"/>
    </w:pPr>
    <w:rPr>
      <w:kern w:val="0"/>
      <w:sz w:val="24"/>
    </w:rPr>
  </w:style>
  <w:style w:type="paragraph" w:customStyle="1" w:styleId="128">
    <w:name w:val="标题 52"/>
    <w:basedOn w:val="1"/>
    <w:autoRedefine/>
    <w:qFormat/>
    <w:uiPriority w:val="0"/>
    <w:pPr>
      <w:widowControl/>
      <w:autoSpaceDE w:val="0"/>
      <w:autoSpaceDN w:val="0"/>
      <w:adjustRightInd w:val="0"/>
      <w:spacing w:after="200" w:line="276" w:lineRule="auto"/>
      <w:ind w:left="240"/>
      <w:jc w:val="left"/>
      <w:outlineLvl w:val="4"/>
    </w:pPr>
    <w:rPr>
      <w:rFonts w:ascii="黑体" w:hAnsi="Times New Roman" w:eastAsia="黑体" w:cs="黑体"/>
      <w:b/>
      <w:bCs/>
      <w:kern w:val="0"/>
      <w:sz w:val="24"/>
      <w:szCs w:val="22"/>
    </w:rPr>
  </w:style>
  <w:style w:type="table" w:customStyle="1" w:styleId="129">
    <w:name w:val="Table Normal"/>
    <w:autoRedefine/>
    <w:unhideWhenUsed/>
    <w:qFormat/>
    <w:uiPriority w:val="2"/>
    <w:pPr>
      <w:widowControl w:val="0"/>
    </w:pPr>
    <w:rPr>
      <w:sz w:val="22"/>
      <w:szCs w:val="22"/>
      <w:lang w:eastAsia="en-US"/>
    </w:rPr>
    <w:tblPr>
      <w:tblCellMar>
        <w:top w:w="0" w:type="dxa"/>
        <w:left w:w="0" w:type="dxa"/>
        <w:bottom w:w="0" w:type="dxa"/>
        <w:right w:w="0" w:type="dxa"/>
      </w:tblCellMar>
    </w:tblPr>
  </w:style>
  <w:style w:type="character" w:customStyle="1" w:styleId="130">
    <w:name w:val="正文文本 字符1"/>
    <w:basedOn w:val="42"/>
    <w:autoRedefine/>
    <w:qFormat/>
    <w:uiPriority w:val="0"/>
    <w:rPr>
      <w:kern w:val="2"/>
      <w:sz w:val="21"/>
      <w:szCs w:val="24"/>
    </w:rPr>
  </w:style>
  <w:style w:type="character" w:customStyle="1" w:styleId="131">
    <w:name w:val="font101"/>
    <w:basedOn w:val="42"/>
    <w:autoRedefine/>
    <w:qFormat/>
    <w:uiPriority w:val="0"/>
    <w:rPr>
      <w:rFonts w:hint="default" w:ascii="Times New Roman" w:hAnsi="Times New Roman" w:cs="Times New Roman"/>
      <w:i/>
      <w:color w:val="000000"/>
      <w:sz w:val="21"/>
      <w:szCs w:val="21"/>
      <w:u w:val="none"/>
    </w:rPr>
  </w:style>
  <w:style w:type="character" w:customStyle="1" w:styleId="132">
    <w:name w:val="标题 2 字符"/>
    <w:basedOn w:val="42"/>
    <w:link w:val="4"/>
    <w:autoRedefine/>
    <w:qFormat/>
    <w:uiPriority w:val="9"/>
    <w:rPr>
      <w:b/>
      <w:bCs/>
      <w:sz w:val="28"/>
      <w:szCs w:val="28"/>
      <w:lang w:val="zh-CN"/>
    </w:rPr>
  </w:style>
  <w:style w:type="character" w:customStyle="1" w:styleId="133">
    <w:name w:val="font141"/>
    <w:basedOn w:val="42"/>
    <w:autoRedefine/>
    <w:qFormat/>
    <w:uiPriority w:val="0"/>
    <w:rPr>
      <w:rFonts w:ascii="Microsoft YaHei UI" w:hAnsi="Microsoft YaHei UI" w:eastAsia="Microsoft YaHei UI" w:cs="Microsoft YaHei UI"/>
      <w:b/>
      <w:color w:val="000000"/>
      <w:sz w:val="21"/>
      <w:szCs w:val="21"/>
      <w:u w:val="none"/>
    </w:rPr>
  </w:style>
  <w:style w:type="character" w:customStyle="1" w:styleId="134">
    <w:name w:val="font131"/>
    <w:basedOn w:val="42"/>
    <w:autoRedefine/>
    <w:qFormat/>
    <w:uiPriority w:val="0"/>
    <w:rPr>
      <w:rFonts w:hint="default" w:ascii="Times New Roman" w:hAnsi="Times New Roman" w:cs="Times New Roman"/>
      <w:i/>
      <w:color w:val="auto"/>
      <w:sz w:val="21"/>
      <w:szCs w:val="21"/>
      <w:u w:val="none"/>
    </w:rPr>
  </w:style>
  <w:style w:type="character" w:customStyle="1" w:styleId="135">
    <w:name w:val="font161"/>
    <w:basedOn w:val="42"/>
    <w:autoRedefine/>
    <w:qFormat/>
    <w:uiPriority w:val="0"/>
    <w:rPr>
      <w:rFonts w:hint="eastAsia" w:ascii="宋体" w:hAnsi="宋体" w:eastAsia="宋体" w:cs="宋体"/>
      <w:color w:val="auto"/>
      <w:sz w:val="21"/>
      <w:szCs w:val="21"/>
      <w:u w:val="none"/>
    </w:rPr>
  </w:style>
  <w:style w:type="character" w:customStyle="1" w:styleId="136">
    <w:name w:val="正文文本 (2)_"/>
    <w:link w:val="137"/>
    <w:autoRedefine/>
    <w:qFormat/>
    <w:uiPriority w:val="99"/>
    <w:rPr>
      <w:rFonts w:ascii="MingLiU" w:eastAsia="MingLiU"/>
      <w:sz w:val="19"/>
      <w:szCs w:val="19"/>
      <w:shd w:val="clear" w:color="auto" w:fill="FFFFFF"/>
    </w:rPr>
  </w:style>
  <w:style w:type="paragraph" w:customStyle="1" w:styleId="137">
    <w:name w:val="正文文本 (2)1"/>
    <w:basedOn w:val="1"/>
    <w:link w:val="136"/>
    <w:autoRedefine/>
    <w:qFormat/>
    <w:uiPriority w:val="99"/>
    <w:pPr>
      <w:shd w:val="clear" w:color="auto" w:fill="FFFFFF"/>
      <w:spacing w:after="480" w:line="240" w:lineRule="atLeast"/>
      <w:jc w:val="center"/>
    </w:pPr>
    <w:rPr>
      <w:rFonts w:ascii="MingLiU" w:eastAsia="MingLiU"/>
      <w:kern w:val="0"/>
      <w:sz w:val="19"/>
      <w:szCs w:val="19"/>
    </w:rPr>
  </w:style>
  <w:style w:type="character" w:customStyle="1" w:styleId="138">
    <w:name w:val="正文文本缩进 2 字符"/>
    <w:basedOn w:val="42"/>
    <w:link w:val="24"/>
    <w:autoRedefine/>
    <w:qFormat/>
    <w:uiPriority w:val="99"/>
    <w:rPr>
      <w:kern w:val="2"/>
      <w:sz w:val="21"/>
      <w:szCs w:val="24"/>
    </w:rPr>
  </w:style>
  <w:style w:type="character" w:customStyle="1" w:styleId="139">
    <w:name w:val="font91"/>
    <w:basedOn w:val="42"/>
    <w:autoRedefine/>
    <w:qFormat/>
    <w:uiPriority w:val="0"/>
    <w:rPr>
      <w:rFonts w:hint="eastAsia" w:ascii="宋体" w:hAnsi="宋体" w:eastAsia="宋体" w:cs="宋体"/>
      <w:b/>
      <w:color w:val="000000"/>
      <w:sz w:val="21"/>
      <w:szCs w:val="21"/>
      <w:u w:val="none"/>
    </w:rPr>
  </w:style>
  <w:style w:type="character" w:customStyle="1" w:styleId="140">
    <w:name w:val="font111"/>
    <w:basedOn w:val="42"/>
    <w:autoRedefine/>
    <w:qFormat/>
    <w:uiPriority w:val="0"/>
    <w:rPr>
      <w:rFonts w:hint="eastAsia" w:ascii="宋体" w:hAnsi="宋体" w:eastAsia="宋体" w:cs="宋体"/>
      <w:b/>
      <w:color w:val="auto"/>
      <w:sz w:val="21"/>
      <w:szCs w:val="21"/>
      <w:u w:val="none"/>
    </w:rPr>
  </w:style>
  <w:style w:type="character" w:customStyle="1" w:styleId="141">
    <w:name w:val="font121"/>
    <w:basedOn w:val="42"/>
    <w:autoRedefine/>
    <w:qFormat/>
    <w:uiPriority w:val="0"/>
    <w:rPr>
      <w:rFonts w:hint="eastAsia" w:ascii="宋体" w:hAnsi="宋体" w:eastAsia="宋体" w:cs="宋体"/>
      <w:color w:val="000000"/>
      <w:sz w:val="21"/>
      <w:szCs w:val="21"/>
      <w:u w:val="none"/>
    </w:rPr>
  </w:style>
  <w:style w:type="character" w:customStyle="1" w:styleId="142">
    <w:name w:val="font151"/>
    <w:basedOn w:val="42"/>
    <w:autoRedefine/>
    <w:qFormat/>
    <w:uiPriority w:val="0"/>
    <w:rPr>
      <w:rFonts w:hint="default" w:ascii="Times New Roman" w:hAnsi="Times New Roman" w:cs="Times New Roman"/>
      <w:b/>
      <w:i/>
      <w:color w:val="000000"/>
      <w:sz w:val="21"/>
      <w:szCs w:val="21"/>
      <w:u w:val="none"/>
    </w:rPr>
  </w:style>
  <w:style w:type="paragraph" w:customStyle="1" w:styleId="143">
    <w:name w:val="正文缩进3"/>
    <w:basedOn w:val="1"/>
    <w:autoRedefine/>
    <w:qFormat/>
    <w:uiPriority w:val="0"/>
    <w:pPr>
      <w:ind w:firstLine="200" w:firstLineChars="200"/>
    </w:pPr>
    <w:rPr>
      <w:rFonts w:ascii="Times New Roman" w:hAnsi="Times New Roman"/>
      <w:szCs w:val="20"/>
    </w:rPr>
  </w:style>
  <w:style w:type="paragraph" w:customStyle="1" w:styleId="144">
    <w:name w:val="简单回函地址"/>
    <w:next w:val="145"/>
    <w:autoRedefine/>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5">
    <w:name w:val="正文2"/>
    <w:basedOn w:val="1"/>
    <w:autoRedefine/>
    <w:qFormat/>
    <w:uiPriority w:val="0"/>
    <w:pPr>
      <w:tabs>
        <w:tab w:val="left" w:pos="720"/>
      </w:tabs>
      <w:adjustRightInd w:val="0"/>
      <w:spacing w:line="500" w:lineRule="atLeast"/>
    </w:pPr>
    <w:rPr>
      <w:rFonts w:ascii="Times New Roman" w:hAnsi="Times New Roman" w:eastAsia="华文中宋"/>
      <w:sz w:val="18"/>
      <w:szCs w:val="20"/>
    </w:rPr>
  </w:style>
  <w:style w:type="paragraph" w:customStyle="1" w:styleId="146">
    <w:name w:val="3、正文"/>
    <w:basedOn w:val="1"/>
    <w:autoRedefine/>
    <w:qFormat/>
    <w:uiPriority w:val="0"/>
    <w:pPr>
      <w:spacing w:line="360" w:lineRule="auto"/>
      <w:ind w:firstLine="480" w:firstLineChars="200"/>
    </w:pPr>
    <w:rPr>
      <w:rFonts w:ascii="Times New Roman" w:hAnsi="Times New Roman" w:eastAsia="新宋体"/>
      <w:sz w:val="24"/>
    </w:rPr>
  </w:style>
  <w:style w:type="paragraph" w:customStyle="1" w:styleId="147">
    <w:name w:val="标题 53"/>
    <w:basedOn w:val="1"/>
    <w:autoRedefine/>
    <w:qFormat/>
    <w:uiPriority w:val="0"/>
    <w:pPr>
      <w:widowControl/>
      <w:autoSpaceDE w:val="0"/>
      <w:autoSpaceDN w:val="0"/>
      <w:adjustRightInd w:val="0"/>
      <w:spacing w:after="200" w:line="276" w:lineRule="auto"/>
      <w:ind w:left="240"/>
      <w:jc w:val="left"/>
      <w:outlineLvl w:val="4"/>
    </w:pPr>
    <w:rPr>
      <w:rFonts w:ascii="黑体" w:hAnsi="Times New Roman" w:eastAsia="黑体" w:cs="黑体"/>
      <w:b/>
      <w:bCs/>
      <w:kern w:val="0"/>
      <w:sz w:val="24"/>
      <w:szCs w:val="22"/>
    </w:rPr>
  </w:style>
  <w:style w:type="paragraph" w:customStyle="1" w:styleId="148">
    <w:name w:val="标题6"/>
    <w:basedOn w:val="8"/>
    <w:next w:val="1"/>
    <w:autoRedefine/>
    <w:qFormat/>
    <w:uiPriority w:val="0"/>
    <w:pPr>
      <w:numPr>
        <w:ilvl w:val="0"/>
        <w:numId w:val="0"/>
      </w:numPr>
      <w:spacing w:before="0" w:after="0" w:line="360" w:lineRule="auto"/>
      <w:ind w:firstLine="1044" w:firstLineChars="200"/>
    </w:pPr>
    <w:rPr>
      <w:rFonts w:ascii="Times New Roman" w:hAnsi="Times New Roman" w:eastAsia="宋体"/>
    </w:rPr>
  </w:style>
  <w:style w:type="character" w:customStyle="1" w:styleId="149">
    <w:name w:val="页眉 字符"/>
    <w:basedOn w:val="42"/>
    <w:link w:val="27"/>
    <w:autoRedefine/>
    <w:qFormat/>
    <w:uiPriority w:val="99"/>
    <w:rPr>
      <w:kern w:val="2"/>
      <w:sz w:val="18"/>
      <w:szCs w:val="18"/>
    </w:rPr>
  </w:style>
  <w:style w:type="paragraph" w:customStyle="1" w:styleId="150">
    <w:name w:val="TOC 标题1"/>
    <w:basedOn w:val="3"/>
    <w:next w:val="1"/>
    <w:autoRedefine/>
    <w:unhideWhenUsed/>
    <w:qFormat/>
    <w:uiPriority w:val="39"/>
    <w:pPr>
      <w:widowControl/>
      <w:numPr>
        <w:numId w:val="0"/>
      </w:numPr>
      <w:adjustRightInd/>
      <w:snapToGrid/>
      <w:spacing w:before="240" w:line="259" w:lineRule="auto"/>
      <w:jc w:val="left"/>
      <w:outlineLvl w:val="9"/>
    </w:pPr>
    <w:rPr>
      <w:rFonts w:asciiTheme="majorHAnsi" w:hAnsiTheme="majorHAnsi" w:eastAsiaTheme="majorEastAsia" w:cstheme="majorBidi"/>
      <w:b w:val="0"/>
      <w:bCs w:val="0"/>
      <w:color w:val="2E75B6" w:themeColor="accent1" w:themeShade="BF"/>
      <w:kern w:val="0"/>
    </w:rPr>
  </w:style>
  <w:style w:type="character" w:customStyle="1" w:styleId="151">
    <w:name w:val="标题 5 字符"/>
    <w:basedOn w:val="42"/>
    <w:link w:val="7"/>
    <w:autoRedefine/>
    <w:qFormat/>
    <w:uiPriority w:val="9"/>
    <w:rPr>
      <w:rFonts w:ascii="Times New Roman" w:hAnsi="Times New Roman" w:eastAsia="宋体"/>
      <w:b/>
      <w:spacing w:val="30"/>
      <w:sz w:val="24"/>
    </w:rPr>
  </w:style>
  <w:style w:type="character" w:customStyle="1" w:styleId="152">
    <w:name w:val="正文文本 Char"/>
    <w:autoRedefine/>
    <w:qFormat/>
    <w:uiPriority w:val="99"/>
    <w:rPr>
      <w:rFonts w:ascii="Times New Roman" w:hAnsi="Times New Roman" w:eastAsia="宋体"/>
      <w:kern w:val="16"/>
      <w:sz w:val="24"/>
    </w:rPr>
  </w:style>
  <w:style w:type="character" w:customStyle="1" w:styleId="153">
    <w:name w:val="批注文字 字符"/>
    <w:basedOn w:val="42"/>
    <w:link w:val="17"/>
    <w:autoRedefine/>
    <w:semiHidden/>
    <w:qFormat/>
    <w:uiPriority w:val="0"/>
    <w:rPr>
      <w:sz w:val="21"/>
    </w:rPr>
  </w:style>
  <w:style w:type="character" w:customStyle="1" w:styleId="154">
    <w:name w:val="批注主题 字符"/>
    <w:basedOn w:val="153"/>
    <w:link w:val="37"/>
    <w:autoRedefine/>
    <w:semiHidden/>
    <w:qFormat/>
    <w:uiPriority w:val="99"/>
    <w:rPr>
      <w:b/>
      <w:bCs/>
      <w:kern w:val="2"/>
      <w:sz w:val="21"/>
      <w:szCs w:val="24"/>
    </w:rPr>
  </w:style>
  <w:style w:type="paragraph" w:customStyle="1" w:styleId="155">
    <w:name w:val="TOC 标题2"/>
    <w:basedOn w:val="3"/>
    <w:next w:val="1"/>
    <w:autoRedefine/>
    <w:unhideWhenUsed/>
    <w:qFormat/>
    <w:uiPriority w:val="39"/>
    <w:pPr>
      <w:widowControl/>
      <w:numPr>
        <w:numId w:val="0"/>
      </w:numPr>
      <w:adjustRightInd/>
      <w:snapToGrid/>
      <w:spacing w:before="240" w:line="259" w:lineRule="auto"/>
      <w:jc w:val="left"/>
      <w:outlineLvl w:val="9"/>
    </w:pPr>
    <w:rPr>
      <w:rFonts w:asciiTheme="majorHAnsi" w:hAnsiTheme="majorHAnsi" w:eastAsiaTheme="majorEastAsia" w:cstheme="majorBidi"/>
      <w:b w:val="0"/>
      <w:bCs w:val="0"/>
      <w:color w:val="2E75B6" w:themeColor="accent1" w:themeShade="BF"/>
      <w:kern w:val="0"/>
    </w:rPr>
  </w:style>
  <w:style w:type="paragraph" w:customStyle="1" w:styleId="156">
    <w:name w:val="正文3"/>
    <w:autoRedefine/>
    <w:qFormat/>
    <w:uiPriority w:val="0"/>
    <w:pPr>
      <w:jc w:val="both"/>
    </w:pPr>
    <w:rPr>
      <w:rFonts w:ascii="Times New Roman" w:hAnsi="Times New Roman" w:eastAsia="宋体" w:cs="Times New Roman"/>
      <w:kern w:val="2"/>
      <w:sz w:val="21"/>
      <w:szCs w:val="21"/>
      <w:lang w:val="en-US" w:eastAsia="zh-CN" w:bidi="ar-SA"/>
    </w:rPr>
  </w:style>
  <w:style w:type="paragraph" w:customStyle="1" w:styleId="157">
    <w:name w:val="二级标题"/>
    <w:basedOn w:val="1"/>
    <w:autoRedefine/>
    <w:qFormat/>
    <w:uiPriority w:val="0"/>
    <w:pPr>
      <w:widowControl/>
      <w:spacing w:before="100" w:beforeAutospacing="1" w:line="460" w:lineRule="exact"/>
      <w:jc w:val="left"/>
      <w:outlineLvl w:val="1"/>
    </w:pPr>
    <w:rPr>
      <w:rFonts w:ascii="宋体" w:hAnsi="宋体" w:cs="宋体"/>
      <w:b/>
      <w:bCs/>
      <w:kern w:val="0"/>
      <w:sz w:val="28"/>
      <w:szCs w:val="28"/>
    </w:rPr>
  </w:style>
  <w:style w:type="character" w:customStyle="1" w:styleId="158">
    <w:name w:val="15"/>
    <w:basedOn w:val="42"/>
    <w:autoRedefine/>
    <w:qFormat/>
    <w:uiPriority w:val="0"/>
    <w:rPr>
      <w:rFonts w:hint="default" w:ascii="Times New Roman" w:hAnsi="Times New Roman" w:cs="Times New Roman"/>
      <w:color w:val="CC0033"/>
    </w:rPr>
  </w:style>
  <w:style w:type="character" w:customStyle="1" w:styleId="159">
    <w:name w:val="font20"/>
    <w:basedOn w:val="42"/>
    <w:autoRedefine/>
    <w:qFormat/>
    <w:uiPriority w:val="0"/>
  </w:style>
  <w:style w:type="character" w:customStyle="1" w:styleId="160">
    <w:name w:val="16"/>
    <w:basedOn w:val="42"/>
    <w:autoRedefine/>
    <w:qFormat/>
    <w:uiPriority w:val="0"/>
    <w:rPr>
      <w:rFonts w:hint="default" w:ascii="Times New Roman" w:hAnsi="Times New Roman" w:cs="Times New Roman"/>
      <w:b/>
      <w:bCs/>
      <w:sz w:val="18"/>
      <w:szCs w:val="18"/>
    </w:rPr>
  </w:style>
  <w:style w:type="paragraph" w:customStyle="1" w:styleId="161">
    <w:name w:val="正文首行缩进1"/>
    <w:basedOn w:val="2"/>
    <w:autoRedefine/>
    <w:semiHidden/>
    <w:qFormat/>
    <w:uiPriority w:val="0"/>
    <w:pPr>
      <w:ind w:firstLine="200"/>
    </w:pPr>
    <w:rPr>
      <w:rFonts w:ascii="宋体" w:hAnsi="宋体" w:cs="宋体"/>
      <w:kern w:val="0"/>
    </w:rPr>
  </w:style>
  <w:style w:type="paragraph" w:customStyle="1" w:styleId="162">
    <w:name w:val="表格"/>
    <w:basedOn w:val="1"/>
    <w:autoRedefine/>
    <w:qFormat/>
    <w:uiPriority w:val="0"/>
    <w:pPr>
      <w:spacing w:line="240" w:lineRule="atLeast"/>
      <w:jc w:val="center"/>
    </w:pPr>
    <w:rPr>
      <w:rFonts w:ascii="宋体" w:hAnsi="宋体" w:cs="宋体"/>
      <w:kern w:val="0"/>
      <w:sz w:val="18"/>
      <w:szCs w:val="18"/>
    </w:rPr>
  </w:style>
  <w:style w:type="character" w:customStyle="1" w:styleId="163">
    <w:name w:val="正文文本缩进 字符"/>
    <w:basedOn w:val="42"/>
    <w:link w:val="18"/>
    <w:autoRedefine/>
    <w:qFormat/>
    <w:uiPriority w:val="99"/>
    <w:rPr>
      <w:rFonts w:ascii="Calibri" w:hAnsi="Calibri" w:eastAsia="宋体"/>
      <w:kern w:val="2"/>
      <w:sz w:val="21"/>
      <w:szCs w:val="24"/>
    </w:rPr>
  </w:style>
  <w:style w:type="paragraph" w:customStyle="1" w:styleId="164">
    <w:name w:val="列出段落1"/>
    <w:basedOn w:val="1"/>
    <w:autoRedefine/>
    <w:qFormat/>
    <w:uiPriority w:val="0"/>
    <w:pPr>
      <w:ind w:firstLine="420" w:firstLineChars="200"/>
    </w:pPr>
    <w:rPr>
      <w:rFonts w:ascii="Times New Roman" w:hAnsi="Times New Roman"/>
      <w:szCs w:val="21"/>
    </w:rPr>
  </w:style>
  <w:style w:type="character" w:customStyle="1" w:styleId="165">
    <w:name w:val="文档结构图 字符"/>
    <w:basedOn w:val="42"/>
    <w:link w:val="16"/>
    <w:autoRedefine/>
    <w:semiHidden/>
    <w:qFormat/>
    <w:uiPriority w:val="99"/>
    <w:rPr>
      <w:rFonts w:ascii="宋体" w:hAnsi="Calibri"/>
      <w:kern w:val="2"/>
      <w:sz w:val="18"/>
      <w:szCs w:val="18"/>
    </w:rPr>
  </w:style>
  <w:style w:type="paragraph" w:customStyle="1" w:styleId="166">
    <w:name w:val="正文文本缩进1"/>
    <w:basedOn w:val="1"/>
    <w:link w:val="170"/>
    <w:autoRedefine/>
    <w:qFormat/>
    <w:uiPriority w:val="0"/>
    <w:pPr>
      <w:adjustRightInd w:val="0"/>
      <w:spacing w:beforeLines="50" w:line="324" w:lineRule="auto"/>
      <w:ind w:firstLine="480" w:firstLineChars="200"/>
    </w:pPr>
  </w:style>
  <w:style w:type="paragraph" w:customStyle="1" w:styleId="167">
    <w:name w:val="H表格样式"/>
    <w:basedOn w:val="1"/>
    <w:autoRedefine/>
    <w:qFormat/>
    <w:uiPriority w:val="0"/>
    <w:pPr>
      <w:jc w:val="center"/>
    </w:pPr>
  </w:style>
  <w:style w:type="paragraph" w:customStyle="1" w:styleId="168">
    <w:name w:val="H表头"/>
    <w:basedOn w:val="1"/>
    <w:autoRedefine/>
    <w:qFormat/>
    <w:uiPriority w:val="0"/>
    <w:pPr>
      <w:keepNext/>
      <w:jc w:val="center"/>
    </w:pPr>
    <w:rPr>
      <w:rFonts w:eastAsia="黑体"/>
      <w:b/>
      <w:lang w:bidi="en-US"/>
    </w:rPr>
  </w:style>
  <w:style w:type="paragraph" w:customStyle="1" w:styleId="169">
    <w:name w:val="正文文本缩进3"/>
    <w:basedOn w:val="1"/>
    <w:autoRedefine/>
    <w:qFormat/>
    <w:uiPriority w:val="0"/>
    <w:pPr>
      <w:adjustRightInd w:val="0"/>
      <w:spacing w:line="324" w:lineRule="auto"/>
      <w:ind w:firstLine="480" w:firstLineChars="200"/>
    </w:pPr>
    <w:rPr>
      <w:sz w:val="24"/>
    </w:rPr>
  </w:style>
  <w:style w:type="character" w:customStyle="1" w:styleId="170">
    <w:name w:val="正文文本缩进 Char1"/>
    <w:link w:val="166"/>
    <w:autoRedefine/>
    <w:qFormat/>
    <w:uiPriority w:val="0"/>
    <w:rPr>
      <w:rFonts w:ascii="Calibri" w:hAnsi="Calibri"/>
      <w:kern w:val="2"/>
      <w:sz w:val="21"/>
      <w:szCs w:val="24"/>
    </w:rPr>
  </w:style>
  <w:style w:type="paragraph" w:customStyle="1" w:styleId="171">
    <w:name w:val="A-正文"/>
    <w:basedOn w:val="1"/>
    <w:autoRedefine/>
    <w:qFormat/>
    <w:uiPriority w:val="0"/>
    <w:pPr>
      <w:spacing w:line="360" w:lineRule="auto"/>
      <w:ind w:firstLine="200" w:firstLineChars="200"/>
    </w:pPr>
    <w:rPr>
      <w:rFonts w:ascii="Times New Roman" w:hAnsi="Times New Roman"/>
      <w:kern w:val="0"/>
      <w:sz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5" Type="http://schemas.openxmlformats.org/officeDocument/2006/relationships/fontTable" Target="fontTable.xml"/><Relationship Id="rId34" Type="http://schemas.openxmlformats.org/officeDocument/2006/relationships/customXml" Target="../customXml/item1.xml"/><Relationship Id="rId33" Type="http://schemas.openxmlformats.org/officeDocument/2006/relationships/numbering" Target="numbering.xml"/><Relationship Id="rId32" Type="http://schemas.openxmlformats.org/officeDocument/2006/relationships/image" Target="media/image15.png"/><Relationship Id="rId31" Type="http://schemas.openxmlformats.org/officeDocument/2006/relationships/image" Target="media/image14.jpeg"/><Relationship Id="rId30" Type="http://schemas.openxmlformats.org/officeDocument/2006/relationships/image" Target="media/image13.jpeg"/><Relationship Id="rId3" Type="http://schemas.openxmlformats.org/officeDocument/2006/relationships/footer" Target="footer1.xml"/><Relationship Id="rId29" Type="http://schemas.openxmlformats.org/officeDocument/2006/relationships/image" Target="media/image12.png"/><Relationship Id="rId28" Type="http://schemas.openxmlformats.org/officeDocument/2006/relationships/image" Target="media/image11.png"/><Relationship Id="rId27" Type="http://schemas.openxmlformats.org/officeDocument/2006/relationships/image" Target="media/image10.png"/><Relationship Id="rId26" Type="http://schemas.openxmlformats.org/officeDocument/2006/relationships/image" Target="media/image9.wmf"/><Relationship Id="rId25" Type="http://schemas.openxmlformats.org/officeDocument/2006/relationships/image" Target="media/image8.wmf"/><Relationship Id="rId24" Type="http://schemas.openxmlformats.org/officeDocument/2006/relationships/image" Target="media/image7.wmf"/><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wmf"/><Relationship Id="rId18" Type="http://schemas.openxmlformats.org/officeDocument/2006/relationships/oleObject" Target="embeddings/oleObject1.bin"/><Relationship Id="rId17" Type="http://schemas.openxmlformats.org/officeDocument/2006/relationships/image" Target="media/image1.wmf"/><Relationship Id="rId16" Type="http://schemas.openxmlformats.org/officeDocument/2006/relationships/theme" Target="theme/theme1.xml"/><Relationship Id="rId15" Type="http://schemas.openxmlformats.org/officeDocument/2006/relationships/footer" Target="footer8.xml"/><Relationship Id="rId14" Type="http://schemas.openxmlformats.org/officeDocument/2006/relationships/header" Target="header5.xml"/><Relationship Id="rId13" Type="http://schemas.openxmlformats.org/officeDocument/2006/relationships/footer" Target="footer7.xml"/><Relationship Id="rId12" Type="http://schemas.openxmlformats.org/officeDocument/2006/relationships/header" Target="header4.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CF791D3-541C-4701-8700-851B3C7B7A6A}">
  <ds:schemaRefs/>
</ds:datastoreItem>
</file>

<file path=docProps/app.xml><?xml version="1.0" encoding="utf-8"?>
<Properties xmlns="http://schemas.openxmlformats.org/officeDocument/2006/extended-properties" xmlns:vt="http://schemas.openxmlformats.org/officeDocument/2006/docPropsVTypes">
  <Template>Normal</Template>
  <Company>http://sdwm.org</Company>
  <Pages>78</Pages>
  <Words>53561</Words>
  <Characters>61685</Characters>
  <Lines>539</Lines>
  <Paragraphs>151</Paragraphs>
  <TotalTime>0</TotalTime>
  <ScaleCrop>false</ScaleCrop>
  <LinksUpToDate>false</LinksUpToDate>
  <CharactersWithSpaces>62335</CharactersWithSpaces>
  <Application>WPS Office_12.1.0.16399_F1E327BC-269C-435d-A152-05C5408002CA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2020-12-08T08:44:00Z</dcterms:created>
  <dc:creator>Administrator</dc:creator>
  <cp:lastModifiedBy>淘の11</cp:lastModifiedBy>
  <cp:lastPrinted>2020-12-09T07:43:00Z</cp:lastPrinted>
  <dcterms:modified xsi:type="dcterms:W3CDTF">2024-04-12T01:05:52Z</dcterms:modified>
  <dc:title>工程概况</dc:title>
  <cp:revision>129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2052-12.1.0.16399</vt:lpwstr>
  </property>
  <property fmtid="{D5CDD505-2E9C-101B-9397-08002B2CF9AE}" pid="3" name="ICV">
    <vt:lpwstr>0EC4453A7ACD406EAC8BFF0F7E461DE4</vt:lpwstr>
  </property>
</Properties>
</file>