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eastAsia="zh-CN"/>
        </w:rPr>
        <w:t>遂宁市安居区</w:t>
      </w:r>
      <w:r>
        <w:rPr>
          <w:rFonts w:hint="default" w:ascii="Times New Roman" w:hAnsi="Times New Roman" w:eastAsia="方正小标宋简体" w:cs="Times New Roman"/>
          <w:color w:val="000000"/>
          <w:sz w:val="44"/>
          <w:szCs w:val="44"/>
          <w:lang w:val="en-US" w:eastAsia="zh-CN"/>
        </w:rPr>
        <w:t>商务局部分行政权力事项调整情况表</w:t>
      </w:r>
    </w:p>
    <w:p>
      <w:pPr>
        <w:rPr>
          <w:rFonts w:hint="default"/>
          <w:lang w:val="en-US" w:eastAsia="zh-CN"/>
        </w:rPr>
      </w:pPr>
    </w:p>
    <w:tbl>
      <w:tblPr>
        <w:tblStyle w:val="10"/>
        <w:tblW w:w="52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596"/>
        <w:gridCol w:w="578"/>
        <w:gridCol w:w="578"/>
        <w:gridCol w:w="564"/>
        <w:gridCol w:w="1073"/>
        <w:gridCol w:w="997"/>
        <w:gridCol w:w="572"/>
        <w:gridCol w:w="4421"/>
        <w:gridCol w:w="1303"/>
        <w:gridCol w:w="1375"/>
        <w:gridCol w:w="550"/>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序号</w:t>
            </w:r>
          </w:p>
        </w:tc>
        <w:tc>
          <w:tcPr>
            <w:tcW w:w="217"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对应区直部门</w:t>
            </w: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清单序号</w:t>
            </w:r>
          </w:p>
        </w:tc>
        <w:tc>
          <w:tcPr>
            <w:tcW w:w="959" w:type="pct"/>
            <w:gridSpan w:val="3"/>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权力清单</w:t>
            </w:r>
          </w:p>
        </w:tc>
        <w:tc>
          <w:tcPr>
            <w:tcW w:w="2995" w:type="pct"/>
            <w:gridSpan w:val="5"/>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责任清单</w:t>
            </w:r>
          </w:p>
        </w:tc>
        <w:tc>
          <w:tcPr>
            <w:tcW w:w="271"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7"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权力类型</w:t>
            </w: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权力名称</w:t>
            </w:r>
          </w:p>
        </w:tc>
        <w:tc>
          <w:tcPr>
            <w:tcW w:w="363"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设定依据</w:t>
            </w:r>
          </w:p>
        </w:tc>
        <w:tc>
          <w:tcPr>
            <w:tcW w:w="208"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责任主体</w:t>
            </w:r>
          </w:p>
        </w:tc>
        <w:tc>
          <w:tcPr>
            <w:tcW w:w="161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责任事项</w:t>
            </w:r>
          </w:p>
        </w:tc>
        <w:tc>
          <w:tcPr>
            <w:tcW w:w="474"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问责依据</w:t>
            </w:r>
          </w:p>
        </w:tc>
        <w:tc>
          <w:tcPr>
            <w:tcW w:w="50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追责情形及免责情形</w:t>
            </w:r>
          </w:p>
        </w:tc>
        <w:tc>
          <w:tcPr>
            <w:tcW w:w="20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监督方式</w:t>
            </w:r>
          </w:p>
        </w:tc>
        <w:tc>
          <w:tcPr>
            <w:tcW w:w="271"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1</w:t>
            </w: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both"/>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调整前情况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snapToGrid w:val="0"/>
                <w:color w:val="000000"/>
                <w:spacing w:val="0"/>
                <w:kern w:val="0"/>
                <w:sz w:val="16"/>
                <w:szCs w:val="16"/>
                <w:lang w:val="en-US" w:eastAsia="zh-CN"/>
              </w:rPr>
            </w:pP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363"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208"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161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474"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50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20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27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调整方式</w:t>
            </w:r>
          </w:p>
        </w:tc>
        <w:tc>
          <w:tcPr>
            <w:tcW w:w="4648" w:type="pct"/>
            <w:gridSpan w:val="11"/>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调整后情况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区商务局</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行政处罚</w:t>
            </w:r>
          </w:p>
        </w:tc>
        <w:tc>
          <w:tcPr>
            <w:tcW w:w="39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b w:val="0"/>
                <w:snapToGrid w:val="0"/>
                <w:color w:val="000000"/>
                <w:spacing w:val="0"/>
                <w:kern w:val="0"/>
                <w:sz w:val="16"/>
                <w:szCs w:val="16"/>
                <w:lang w:val="en-US" w:eastAsia="zh-CN"/>
              </w:rPr>
              <w:t>对商务领域经营者未遵守禁止、限制使用一次性塑料制品有关规定的行政处罚</w:t>
            </w: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《中华人民共和国固体废物污染环境防治法》第一百零六条</w:t>
            </w:r>
          </w:p>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0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市场体系建设和运行股（安全生产监督股）</w:t>
            </w:r>
          </w:p>
        </w:tc>
        <w:tc>
          <w:tcPr>
            <w:tcW w:w="1611" w:type="pct"/>
            <w:tcBorders>
              <w:tl2br w:val="nil"/>
              <w:tr2bl w:val="nil"/>
            </w:tcBorders>
            <w:noWrap/>
            <w:vAlign w:val="center"/>
          </w:tcPr>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 w:eastAsia="zh-CN"/>
              </w:rPr>
              <w:t>1.立案责任</w:t>
            </w:r>
            <w:r>
              <w:rPr>
                <w:rFonts w:hint="default" w:ascii="Times New Roman" w:hAnsi="Times New Roman" w:eastAsia="方正仿宋简体" w:cs="Times New Roman"/>
                <w:color w:val="000000"/>
                <w:kern w:val="0"/>
                <w:sz w:val="16"/>
                <w:szCs w:val="16"/>
                <w:lang w:val="en-US" w:eastAsia="zh-CN"/>
              </w:rPr>
              <w:t>：发现企业以外的单位和个人涉嫌作特许人的违法行为（或者通过接收举报投诉或其他机关移送的违法案件等），予以审查，决定是否立案。</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 w:eastAsia="zh-CN"/>
              </w:rPr>
              <w:t>2.调查责任</w:t>
            </w:r>
            <w:r>
              <w:rPr>
                <w:rFonts w:hint="default" w:ascii="Times New Roman" w:hAnsi="Times New Roman" w:eastAsia="方正仿宋简体" w:cs="Times New Roman"/>
                <w:color w:val="000000"/>
                <w:kern w:val="0"/>
                <w:sz w:val="16"/>
                <w:szCs w:val="16"/>
                <w:lang w:val="en-US" w:eastAsia="zh-CN"/>
              </w:rPr>
              <w:t>：商务部门对立案的案件，指定专人负责，及时组织调查取证，与当事人有直接利害关系的应当回避。执法人员不得少于两人，调查时应出示证件，允许当事人辩解。</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3.审查责任：审理案件调查报告，对案件违法事实、证据、调查取证程序、法律适用、处罚种类和幅度、当事人陈述和申辩，提出处理意见。</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4.告知责任：制作《商务行政处罚告知书》，书面告知当事人拟作出行政处罚的事实、理由及依据，并告知当事人依法享有陈述、申辩的权利。符合听证规定的，书面告知当事人有要求举行听证的权利。</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5.决定责任：制作《行政处罚决定书》，载明行政处罚告知、当事人陈述申辩或者听证情况等内容。</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6.送达责任：行政处罚决定书按法律规定的方式送达当事人。</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7.执行责任：监督当事人在决定的期限内，履行生效的行政处罚决定，当事人申请行政复议或提</w:t>
            </w:r>
            <w:r>
              <w:rPr>
                <w:rFonts w:hint="eastAsia" w:eastAsia="方正仿宋简体" w:cs="Times New Roman"/>
                <w:color w:val="000000"/>
                <w:kern w:val="0"/>
                <w:sz w:val="16"/>
                <w:szCs w:val="16"/>
                <w:lang w:val="en-US" w:eastAsia="zh-CN"/>
              </w:rPr>
              <w:t>起</w:t>
            </w:r>
            <w:r>
              <w:rPr>
                <w:rFonts w:hint="default" w:ascii="Times New Roman" w:hAnsi="Times New Roman" w:eastAsia="方正仿宋简体" w:cs="Times New Roman"/>
                <w:color w:val="000000"/>
                <w:kern w:val="0"/>
                <w:sz w:val="16"/>
                <w:szCs w:val="16"/>
                <w:lang w:val="en-US" w:eastAsia="zh-CN"/>
              </w:rPr>
              <w:t>行政诉讼的，按法律规定执行。</w:t>
            </w:r>
            <w:bookmarkStart w:id="0" w:name="_GoBack"/>
            <w:bookmarkEnd w:id="0"/>
            <w:r>
              <w:rPr>
                <w:rFonts w:hint="default" w:ascii="Times New Roman" w:hAnsi="Times New Roman" w:eastAsia="方正仿宋简体" w:cs="Times New Roman"/>
                <w:color w:val="000000"/>
                <w:kern w:val="0"/>
                <w:sz w:val="16"/>
                <w:szCs w:val="16"/>
                <w:lang w:val="en-US" w:eastAsia="zh-CN"/>
              </w:rPr>
              <w:t>当事人逾期不履行行政处罚决定的，依法强制执法或者申请人民法院强制执行。</w:t>
            </w:r>
          </w:p>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8.其他责任：法律法规规章文件规定应履行的其他责任。</w:t>
            </w: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《中华人民共和国固体废物污染环境防治法》《商务领域经营者使用、报告一次性塑料制品管理办法》《中华人民共和国行政监察法》《中华人民共和国行政处罚法》</w:t>
            </w:r>
            <w:r>
              <w:rPr>
                <w:rFonts w:hint="eastAsia" w:eastAsia="方正仿宋简体" w:cs="Times New Roman"/>
                <w:color w:val="000000"/>
                <w:kern w:val="0"/>
                <w:sz w:val="16"/>
                <w:szCs w:val="16"/>
                <w:lang w:val="en-US" w:eastAsia="zh-CN"/>
              </w:rPr>
              <w:t>《中华人民共和国行政强制法》</w:t>
            </w:r>
            <w:r>
              <w:rPr>
                <w:rFonts w:hint="default" w:ascii="Times New Roman" w:hAnsi="Times New Roman" w:eastAsia="方正仿宋简体" w:cs="Times New Roman"/>
                <w:color w:val="000000"/>
                <w:kern w:val="0"/>
                <w:sz w:val="16"/>
                <w:szCs w:val="16"/>
                <w:lang w:val="en-US" w:eastAsia="zh-CN"/>
              </w:rPr>
              <w:t>《中华人民共和国公职人员政务处分法》《行政机关公务员处分条例》</w:t>
            </w:r>
          </w:p>
        </w:tc>
        <w:tc>
          <w:tcPr>
            <w:tcW w:w="50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追责情形：对不履行或不正确履行行政职责的行政机关及其工作人员，依据《中华人民共和国监察法》《中华人民共和国行政处罚法》《行政机关公务员处分条例》追究相应的责任。</w:t>
            </w:r>
          </w:p>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免责情形：按照《中华人民共和国公职人员政务处分法》规定的情形，以及其他依法应当免责的情形。</w:t>
            </w:r>
          </w:p>
        </w:tc>
        <w:tc>
          <w:tcPr>
            <w:tcW w:w="20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0825-8663833</w:t>
            </w:r>
          </w:p>
        </w:tc>
        <w:tc>
          <w:tcPr>
            <w:tcW w:w="27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序号</w:t>
            </w:r>
          </w:p>
        </w:tc>
        <w:tc>
          <w:tcPr>
            <w:tcW w:w="217"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对应区直部门</w:t>
            </w: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清单序号</w:t>
            </w:r>
          </w:p>
        </w:tc>
        <w:tc>
          <w:tcPr>
            <w:tcW w:w="959" w:type="pct"/>
            <w:gridSpan w:val="3"/>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权力清单</w:t>
            </w:r>
          </w:p>
        </w:tc>
        <w:tc>
          <w:tcPr>
            <w:tcW w:w="2995" w:type="pct"/>
            <w:gridSpan w:val="5"/>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责任清单</w:t>
            </w:r>
          </w:p>
        </w:tc>
        <w:tc>
          <w:tcPr>
            <w:tcW w:w="271"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7"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权力类型</w:t>
            </w: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权力名称</w:t>
            </w:r>
          </w:p>
        </w:tc>
        <w:tc>
          <w:tcPr>
            <w:tcW w:w="363"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设定依据</w:t>
            </w:r>
          </w:p>
        </w:tc>
        <w:tc>
          <w:tcPr>
            <w:tcW w:w="208"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责任主体</w:t>
            </w:r>
          </w:p>
        </w:tc>
        <w:tc>
          <w:tcPr>
            <w:tcW w:w="161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责任事项</w:t>
            </w:r>
          </w:p>
        </w:tc>
        <w:tc>
          <w:tcPr>
            <w:tcW w:w="474"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问责依据</w:t>
            </w:r>
          </w:p>
        </w:tc>
        <w:tc>
          <w:tcPr>
            <w:tcW w:w="50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追责情形及免责情形</w:t>
            </w:r>
          </w:p>
        </w:tc>
        <w:tc>
          <w:tcPr>
            <w:tcW w:w="20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监督方式</w:t>
            </w:r>
          </w:p>
        </w:tc>
        <w:tc>
          <w:tcPr>
            <w:tcW w:w="271"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2</w:t>
            </w: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both"/>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调整前情况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snapToGrid w:val="0"/>
                <w:color w:val="000000"/>
                <w:spacing w:val="0"/>
                <w:kern w:val="0"/>
                <w:sz w:val="16"/>
                <w:szCs w:val="16"/>
                <w:lang w:val="en-US" w:eastAsia="zh-CN"/>
              </w:rPr>
            </w:pP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363"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208"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161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474"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50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20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c>
          <w:tcPr>
            <w:tcW w:w="27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调整方式</w:t>
            </w:r>
          </w:p>
        </w:tc>
        <w:tc>
          <w:tcPr>
            <w:tcW w:w="4648" w:type="pct"/>
            <w:gridSpan w:val="11"/>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0"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调整后情况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区商务局</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行政处罚</w:t>
            </w:r>
          </w:p>
        </w:tc>
        <w:tc>
          <w:tcPr>
            <w:tcW w:w="39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b w:val="0"/>
                <w:snapToGrid w:val="0"/>
                <w:color w:val="000000"/>
                <w:spacing w:val="0"/>
                <w:kern w:val="0"/>
                <w:sz w:val="16"/>
                <w:szCs w:val="16"/>
                <w:lang w:val="en-US" w:eastAsia="zh-CN"/>
              </w:rPr>
              <w:t>对商务领域有关经营者未按照有关要求报告一次性塑料制品使用情况的行政处罚</w:t>
            </w: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《中华人民共和国固体废物污染环境防治法》第一百零六条、《商务领域经营者使用、报告一次性塑料制品管理办法》第十六条、第十七条、第十八条第一款和第二款、第十九条、第二十六条</w:t>
            </w:r>
          </w:p>
        </w:tc>
        <w:tc>
          <w:tcPr>
            <w:tcW w:w="208"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市场体系建设和运行股（安全生产监督股）</w:t>
            </w:r>
          </w:p>
        </w:tc>
        <w:tc>
          <w:tcPr>
            <w:tcW w:w="1611" w:type="pct"/>
            <w:tcBorders>
              <w:tl2br w:val="nil"/>
              <w:tr2bl w:val="nil"/>
            </w:tcBorders>
            <w:noWrap/>
            <w:vAlign w:val="center"/>
          </w:tcPr>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 w:eastAsia="zh-CN"/>
              </w:rPr>
              <w:t>1.立案责任</w:t>
            </w:r>
            <w:r>
              <w:rPr>
                <w:rFonts w:hint="default" w:ascii="Times New Roman" w:hAnsi="Times New Roman" w:eastAsia="方正仿宋简体" w:cs="Times New Roman"/>
                <w:color w:val="000000"/>
                <w:kern w:val="0"/>
                <w:sz w:val="16"/>
                <w:szCs w:val="16"/>
                <w:lang w:val="en-US" w:eastAsia="zh-CN"/>
              </w:rPr>
              <w:t>：发现企业以外的单位和个人涉嫌作特许人的违法行为（或者通过接收举报投诉或其他机关移送的违法案件等），予以审查，决定是否立案。</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 w:eastAsia="zh-CN"/>
              </w:rPr>
              <w:t>2.调查责任</w:t>
            </w:r>
            <w:r>
              <w:rPr>
                <w:rFonts w:hint="default" w:ascii="Times New Roman" w:hAnsi="Times New Roman" w:eastAsia="方正仿宋简体" w:cs="Times New Roman"/>
                <w:color w:val="000000"/>
                <w:kern w:val="0"/>
                <w:sz w:val="16"/>
                <w:szCs w:val="16"/>
                <w:lang w:val="en-US" w:eastAsia="zh-CN"/>
              </w:rPr>
              <w:t>：商务部门对立案的案件，指定专人负责，及时组织调查取证，与当事人有直接利害关系的应当回避。执法人员不得少于两人，调查时应出示证件，允许当事人辩解。</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3.审查责任：审理案件调查报告，对案件违法事实、证据、调查取证程序、法律适用、处罚种类和幅度、当事人陈述和申辩，提出处理意见。</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4.告知责任：制作《商务行政处罚告知书》，书面告知当事人拟作出行政处罚的事实、理由及依据，并告知当事人依法享有陈述、申辩的权利。符合听证规定的，书面告知当事人有要求举行听证的权利。</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5.决定责任：制作《行政处罚决定书》，载明行政处罚告知、当事人陈述申辩或者听证情况等内容。</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6.送达责任：行政处罚决定书按法律规定的方式送达当事人。</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7.执行责任：监督当事人在决定的期限内，履行生效的行政处罚决定，当事人申请行政复议或</w:t>
            </w:r>
            <w:r>
              <w:rPr>
                <w:rFonts w:hint="eastAsia" w:eastAsia="方正仿宋简体" w:cs="Times New Roman"/>
                <w:color w:val="000000"/>
                <w:kern w:val="0"/>
                <w:sz w:val="16"/>
                <w:szCs w:val="16"/>
                <w:lang w:val="en-US" w:eastAsia="zh-CN"/>
              </w:rPr>
              <w:t>提起行政诉讼</w:t>
            </w:r>
            <w:r>
              <w:rPr>
                <w:rFonts w:hint="default" w:ascii="Times New Roman" w:hAnsi="Times New Roman" w:eastAsia="方正仿宋简体" w:cs="Times New Roman"/>
                <w:color w:val="000000"/>
                <w:kern w:val="0"/>
                <w:sz w:val="16"/>
                <w:szCs w:val="16"/>
                <w:lang w:val="en-US" w:eastAsia="zh-CN"/>
              </w:rPr>
              <w:t>的，按法律规定执行。当事人逾期不履行行政处罚决定的，依法强制执法或者申请人民法院强制执行。</w:t>
            </w:r>
          </w:p>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8.其他责任：法律法规规章文件规定应履行的其他责任。</w:t>
            </w: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《中华人民共和国固体废物污染环境防治法》《商务领域经营者使用、报告一次性塑料制品管理办法》《中华人民共和国行政监察法》《中华人民共和国行政处罚法》</w:t>
            </w:r>
            <w:r>
              <w:rPr>
                <w:rFonts w:hint="eastAsia" w:eastAsia="方正仿宋简体" w:cs="Times New Roman"/>
                <w:color w:val="000000"/>
                <w:kern w:val="0"/>
                <w:sz w:val="16"/>
                <w:szCs w:val="16"/>
                <w:lang w:val="en-US" w:eastAsia="zh-CN"/>
              </w:rPr>
              <w:t>《中华人民共和国行政强制法》</w:t>
            </w:r>
            <w:r>
              <w:rPr>
                <w:rFonts w:hint="default" w:ascii="Times New Roman" w:hAnsi="Times New Roman" w:eastAsia="方正仿宋简体" w:cs="Times New Roman"/>
                <w:color w:val="000000"/>
                <w:kern w:val="0"/>
                <w:sz w:val="16"/>
                <w:szCs w:val="16"/>
                <w:lang w:val="en-US" w:eastAsia="zh-CN"/>
              </w:rPr>
              <w:t>《中华人民共和国公职人员政务处分法》《行政机关公务员处分条例》</w:t>
            </w:r>
          </w:p>
        </w:tc>
        <w:tc>
          <w:tcPr>
            <w:tcW w:w="50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追责情形：对不履行或不正确履行行政职责的行政机关及其工作人员，依据《中华人民共和国监察法》《中华人民共和国行政处罚法》《行政机关公务员处分条例》追究相应的责任。</w:t>
            </w:r>
          </w:p>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免责情形：按照《中华人民共和国公职人员政务处分法》规定的情形，以及其他依法应当免责的情形。</w:t>
            </w:r>
          </w:p>
        </w:tc>
        <w:tc>
          <w:tcPr>
            <w:tcW w:w="20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0825-8663833</w:t>
            </w:r>
          </w:p>
        </w:tc>
        <w:tc>
          <w:tcPr>
            <w:tcW w:w="27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序号</w:t>
            </w:r>
          </w:p>
        </w:tc>
        <w:tc>
          <w:tcPr>
            <w:tcW w:w="217"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对应区直部门</w:t>
            </w: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清单序号</w:t>
            </w:r>
          </w:p>
        </w:tc>
        <w:tc>
          <w:tcPr>
            <w:tcW w:w="959" w:type="pct"/>
            <w:gridSpan w:val="3"/>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权力清单</w:t>
            </w:r>
          </w:p>
        </w:tc>
        <w:tc>
          <w:tcPr>
            <w:tcW w:w="2995" w:type="pct"/>
            <w:gridSpan w:val="5"/>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责任清单</w:t>
            </w:r>
          </w:p>
        </w:tc>
        <w:tc>
          <w:tcPr>
            <w:tcW w:w="271"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7"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权力类型</w:t>
            </w: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权力名称</w:t>
            </w:r>
          </w:p>
        </w:tc>
        <w:tc>
          <w:tcPr>
            <w:tcW w:w="363"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设定依据</w:t>
            </w:r>
          </w:p>
        </w:tc>
        <w:tc>
          <w:tcPr>
            <w:tcW w:w="208"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责任主体</w:t>
            </w:r>
          </w:p>
        </w:tc>
        <w:tc>
          <w:tcPr>
            <w:tcW w:w="161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责任事项</w:t>
            </w:r>
          </w:p>
        </w:tc>
        <w:tc>
          <w:tcPr>
            <w:tcW w:w="474"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问责依据</w:t>
            </w:r>
          </w:p>
        </w:tc>
        <w:tc>
          <w:tcPr>
            <w:tcW w:w="50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追责情形及免责情形</w:t>
            </w:r>
          </w:p>
        </w:tc>
        <w:tc>
          <w:tcPr>
            <w:tcW w:w="20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监督方式</w:t>
            </w:r>
          </w:p>
        </w:tc>
        <w:tc>
          <w:tcPr>
            <w:tcW w:w="271"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3</w:t>
            </w: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both"/>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调整前情况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区商务局</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r>
              <w:rPr>
                <w:rFonts w:hint="default" w:ascii="Times New Roman" w:hAnsi="Times New Roman" w:eastAsia="方正仿宋简体" w:cs="Times New Roman"/>
                <w:color w:val="000000"/>
                <w:kern w:val="0"/>
                <w:sz w:val="16"/>
                <w:szCs w:val="16"/>
                <w:lang w:val="en-US" w:eastAsia="zh-CN"/>
              </w:rPr>
              <w:t>行政检查</w:t>
            </w:r>
          </w:p>
        </w:tc>
        <w:tc>
          <w:tcPr>
            <w:tcW w:w="39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对报废机动车回收拆解活动实施日常监督检查</w:t>
            </w: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《报废机动车回收管理办法实施细则》第三十二条</w:t>
            </w:r>
          </w:p>
        </w:tc>
        <w:tc>
          <w:tcPr>
            <w:tcW w:w="208"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市场体系建设和运行股（安全生产监督股）</w:t>
            </w:r>
          </w:p>
        </w:tc>
        <w:tc>
          <w:tcPr>
            <w:tcW w:w="1611" w:type="pct"/>
            <w:tcBorders>
              <w:tl2br w:val="nil"/>
              <w:tr2bl w:val="nil"/>
            </w:tcBorders>
            <w:noWrap/>
            <w:vAlign w:val="center"/>
          </w:tcPr>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1.检查责任：商务部门监督检查人员依法履行监督检查职责时，应当出示执法证件，有权采取下列措施：要求被检查单位或者个人提供有关文件、证照、资料；要求被检查单位或个人就相关问题作说明；进入现场进行调查、取证。</w:t>
            </w:r>
          </w:p>
          <w:p>
            <w:pPr>
              <w:widowControl/>
              <w:spacing w:line="240" w:lineRule="exact"/>
              <w:ind w:firstLine="320" w:firstLineChars="20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2.处置责任：被检查单位或个人就存在问题拒不整改的，报经商务主管部门批准，可以罚款、责令停业整改等。</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3.移送责任：按照相关法律法规规定进行移送。</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4.其他责任：法律法规规章文件规定应履行的其他责任。</w:t>
            </w: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《报废机动车回收管理办法实施细则》《中华人民共和国行政监察法》《中华人民共和国行政处罚法》《中华人民共和国行政强制法》《中华人民共和国公职人员政务处分法》《行政机关公务员处分条例》</w:t>
            </w:r>
          </w:p>
        </w:tc>
        <w:tc>
          <w:tcPr>
            <w:tcW w:w="5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追责情形：对不履行或不正确履行行政职责的行政机关及其工作人员，依据《中华人民共和国监察法》《中华人民共和国行政处罚法》《行政机关公务员处分条例》追究相应的责任。</w:t>
            </w:r>
          </w:p>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免责情形：按照《中华人民共和国公职人员政务处分法》规定的情形，以及其他依法应当免责的情形。</w:t>
            </w:r>
          </w:p>
        </w:tc>
        <w:tc>
          <w:tcPr>
            <w:tcW w:w="200"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0825-8663833</w:t>
            </w:r>
          </w:p>
        </w:tc>
        <w:tc>
          <w:tcPr>
            <w:tcW w:w="27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160" w:lineRule="exact"/>
              <w:ind w:left="0" w:leftChars="0" w:firstLine="0" w:firstLineChars="0"/>
              <w:jc w:val="both"/>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与发改局、经信、公安、生态环境、交通运输和市场监管等部门按职责分工联合开展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调整方式</w:t>
            </w:r>
          </w:p>
        </w:tc>
        <w:tc>
          <w:tcPr>
            <w:tcW w:w="4648" w:type="pct"/>
            <w:gridSpan w:val="11"/>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4"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调整后情况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区商务局</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b w:val="0"/>
                <w:snapToGrid w:val="0"/>
                <w:color w:val="000000"/>
                <w:spacing w:val="0"/>
                <w:kern w:val="0"/>
                <w:sz w:val="16"/>
                <w:szCs w:val="16"/>
                <w:lang w:val="en-US" w:eastAsia="zh-CN"/>
              </w:rPr>
              <w:t>51</w:t>
            </w: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行政检查</w:t>
            </w:r>
          </w:p>
        </w:tc>
        <w:tc>
          <w:tcPr>
            <w:tcW w:w="39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对报废机动车回收拆解活动实施日常监督检查</w:t>
            </w: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《报废机动车回收管理办法实施细则》第三十二条</w:t>
            </w:r>
          </w:p>
        </w:tc>
        <w:tc>
          <w:tcPr>
            <w:tcW w:w="208"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市场体系建设和运行股（安全生产监督股）</w:t>
            </w:r>
          </w:p>
        </w:tc>
        <w:tc>
          <w:tcPr>
            <w:tcW w:w="1611" w:type="pct"/>
            <w:tcBorders>
              <w:tl2br w:val="nil"/>
              <w:tr2bl w:val="nil"/>
            </w:tcBorders>
            <w:noWrap/>
            <w:vAlign w:val="center"/>
          </w:tcPr>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1.检查责任：商务部门监督检查人员依法履行监督检查职责时，应当出示执法证件，有权采取下列措施：要求被检查单位或者个人提供有关文件、证照、资料；要求被检查单位或个人就相关问题作说明；进入现场进行调查、取证。</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2.处置责任：被检查单位或个人就存在问题拒不整改的，报经商务主管部门批准，可以罚款、责令停业整改等。</w:t>
            </w:r>
          </w:p>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3.移送责任：按照相关法律法规规定进行移送。</w:t>
            </w:r>
          </w:p>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4.其他责任：法律法规规章文件规定应履行的其他责任。</w:t>
            </w: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《报废机动车回收管理办法实施细则》《中华人民共和国行政监察法》《中华人民共和国行政处罚法》《中华人民共和国行政强制法》《中华人民共和国公职人员政务处分法》《行政机关公务员处分条例》</w:t>
            </w:r>
          </w:p>
        </w:tc>
        <w:tc>
          <w:tcPr>
            <w:tcW w:w="50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追责情形：对不履行或不正确履行行政职责的行政机关及其工作人员，依据《中华人民共和国监察法》《中华人民共和国行政处罚法》《行政机关公务员处分条例》追究相应的责任。</w:t>
            </w:r>
          </w:p>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免责情形：按照《中华人民共和国公职人员政务处分法》规定的情形，以及其他依法应当免责的情形。</w:t>
            </w:r>
          </w:p>
        </w:tc>
        <w:tc>
          <w:tcPr>
            <w:tcW w:w="200"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r>
              <w:rPr>
                <w:rFonts w:hint="default" w:ascii="Times New Roman" w:hAnsi="Times New Roman" w:eastAsia="方正仿宋简体" w:cs="Times New Roman"/>
                <w:color w:val="000000"/>
                <w:kern w:val="0"/>
                <w:sz w:val="16"/>
                <w:szCs w:val="16"/>
                <w:lang w:val="en-US" w:eastAsia="zh-CN"/>
              </w:rPr>
              <w:t>0825-8663833</w:t>
            </w:r>
          </w:p>
        </w:tc>
        <w:tc>
          <w:tcPr>
            <w:tcW w:w="27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序号</w:t>
            </w:r>
          </w:p>
        </w:tc>
        <w:tc>
          <w:tcPr>
            <w:tcW w:w="217"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对应区直部门</w:t>
            </w: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清单序号</w:t>
            </w:r>
          </w:p>
        </w:tc>
        <w:tc>
          <w:tcPr>
            <w:tcW w:w="959" w:type="pct"/>
            <w:gridSpan w:val="3"/>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权力清单</w:t>
            </w:r>
          </w:p>
        </w:tc>
        <w:tc>
          <w:tcPr>
            <w:tcW w:w="2995" w:type="pct"/>
            <w:gridSpan w:val="5"/>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责任清单</w:t>
            </w:r>
          </w:p>
        </w:tc>
        <w:tc>
          <w:tcPr>
            <w:tcW w:w="271"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7"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权力类型</w:t>
            </w: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权力名称</w:t>
            </w:r>
          </w:p>
        </w:tc>
        <w:tc>
          <w:tcPr>
            <w:tcW w:w="363"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设定依据</w:t>
            </w:r>
          </w:p>
        </w:tc>
        <w:tc>
          <w:tcPr>
            <w:tcW w:w="208"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责任主体</w:t>
            </w:r>
          </w:p>
        </w:tc>
        <w:tc>
          <w:tcPr>
            <w:tcW w:w="161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责任事项</w:t>
            </w:r>
          </w:p>
        </w:tc>
        <w:tc>
          <w:tcPr>
            <w:tcW w:w="474"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问责依据</w:t>
            </w:r>
          </w:p>
        </w:tc>
        <w:tc>
          <w:tcPr>
            <w:tcW w:w="50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追责情形及免责情形</w:t>
            </w:r>
          </w:p>
        </w:tc>
        <w:tc>
          <w:tcPr>
            <w:tcW w:w="20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监督方式</w:t>
            </w:r>
          </w:p>
        </w:tc>
        <w:tc>
          <w:tcPr>
            <w:tcW w:w="271"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4</w:t>
            </w: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both"/>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调整前情况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区商务局</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eastAsia="zh-CN"/>
              </w:rPr>
            </w:pPr>
            <w:r>
              <w:rPr>
                <w:rFonts w:hint="default" w:ascii="Times New Roman" w:hAnsi="Times New Roman" w:eastAsia="方正仿宋简体" w:cs="Times New Roman"/>
                <w:b w:val="0"/>
                <w:snapToGrid w:val="0"/>
                <w:color w:val="000000"/>
                <w:spacing w:val="0"/>
                <w:kern w:val="0"/>
                <w:sz w:val="16"/>
                <w:szCs w:val="16"/>
                <w:lang w:eastAsia="zh-CN"/>
              </w:rPr>
              <w:t>行政处罚</w:t>
            </w: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r>
              <w:rPr>
                <w:rFonts w:hint="default" w:ascii="Times New Roman" w:hAnsi="Times New Roman" w:eastAsia="方正仿宋简体" w:cs="Times New Roman"/>
                <w:b w:val="0"/>
                <w:snapToGrid w:val="0"/>
                <w:color w:val="000000"/>
                <w:spacing w:val="0"/>
                <w:kern w:val="0"/>
                <w:sz w:val="16"/>
                <w:szCs w:val="16"/>
              </w:rPr>
              <w:t>对擅自从事或不按照许可的经营范围从事对外劳务经营活动的行政处罚</w:t>
            </w: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《对外劳务合作管理条例》第三十九条</w:t>
            </w:r>
          </w:p>
        </w:tc>
        <w:tc>
          <w:tcPr>
            <w:tcW w:w="208"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对外经济贸易股</w:t>
            </w:r>
          </w:p>
        </w:tc>
        <w:tc>
          <w:tcPr>
            <w:tcW w:w="1611" w:type="pct"/>
            <w:tcBorders>
              <w:tl2br w:val="nil"/>
              <w:tr2bl w:val="nil"/>
            </w:tcBorders>
            <w:noWrap/>
            <w:vAlign w:val="center"/>
          </w:tcPr>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 w:eastAsia="zh-CN"/>
              </w:rPr>
              <w:t>1.立案责任</w:t>
            </w:r>
            <w:r>
              <w:rPr>
                <w:rFonts w:hint="default" w:ascii="Times New Roman" w:hAnsi="Times New Roman" w:eastAsia="方正仿宋简体" w:cs="Times New Roman"/>
                <w:color w:val="000000"/>
                <w:kern w:val="0"/>
                <w:sz w:val="16"/>
                <w:szCs w:val="16"/>
                <w:lang w:val="en-US" w:eastAsia="zh-CN"/>
              </w:rPr>
              <w:t>：发现企业或个人涉嫌未依法取得对外劳务合作经营资格证书擅自开展与对外劳务合作相关的咨询、宣传、组织等活动的违法行为（或者通过接收举报投诉或其他机关移送的违法案件等），予以审查，决定是否立案。</w:t>
            </w:r>
          </w:p>
          <w:p>
            <w:pPr>
              <w:widowControl/>
              <w:spacing w:line="240" w:lineRule="exact"/>
              <w:ind w:firstLine="320" w:firstLineChars="20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 w:eastAsia="zh-CN"/>
              </w:rPr>
              <w:t>2.调查责任</w:t>
            </w:r>
            <w:r>
              <w:rPr>
                <w:rFonts w:hint="default" w:ascii="Times New Roman" w:hAnsi="Times New Roman" w:eastAsia="方正仿宋简体" w:cs="Times New Roman"/>
                <w:color w:val="000000"/>
                <w:kern w:val="0"/>
                <w:sz w:val="16"/>
                <w:szCs w:val="16"/>
                <w:lang w:val="en-US" w:eastAsia="zh-CN"/>
              </w:rPr>
              <w:t>：商务部门对立案的案件，指定专人负责，及时组织调查取证，与当事人有直接利害关系的应当回避。执法人员不得少于两人，调查时应出示证件，允许当事人辩解。</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3.审查责任：审理案件调查报告，对案件违法事实、证据、调查取证程序、法律适用、处罚种类和幅度、当事人陈述和申辩，提出处理意见。</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4.告知责任：制作《商务行政处罚告知书》，书面告知当事人拟作出行政处罚的事实、理由及依据，并告知当事人依法享有陈述、申辩的权利。符合听证规定的，书面告知当事人有要求举行听证的权利。</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5.决定责任：制作《行政处罚决定书》，载明行政处罚告知、当事人陈述申辩或者听证情况等内容。</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6.送达责任：行政处罚决定书按法律规定的方式送达当事人。</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7.执行责任：监督当事人在决定的期限内，履行生效的行政处罚决定，当事人申请行政复议或提起行政诉讼的，按法律规定执行；当事人逾期不履行行政处罚决定的，依法强制执法或者申请人民法院强制执行。</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8.其他责任：法律法规规章文件规定应履行的其他责任。</w:t>
            </w: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《对外劳务合作管理条例》《中华人民共和国行政监察法》《中华人民共和国行政处罚法》《中华人民共和国行政强制法》《中华人民共和国公职人员政务处分法》《行政机关公务员处分条例》</w:t>
            </w:r>
          </w:p>
        </w:tc>
        <w:tc>
          <w:tcPr>
            <w:tcW w:w="5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追责情形：对不履行或不正确履行行政职责的行政机关及其工作人员，依据《中华人民共和国监察法》《中华人民共和国行政处罚法》《行政机关公务员处分条例》追究相应的责任。</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免责情形：按照《中华人民共和国公职人员政务处分法》规定的情形，以及其他依法应当免责的情形。</w:t>
            </w:r>
          </w:p>
        </w:tc>
        <w:tc>
          <w:tcPr>
            <w:tcW w:w="20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0825-8663833</w:t>
            </w:r>
          </w:p>
        </w:tc>
        <w:tc>
          <w:tcPr>
            <w:tcW w:w="27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调整方式</w:t>
            </w:r>
          </w:p>
        </w:tc>
        <w:tc>
          <w:tcPr>
            <w:tcW w:w="4648" w:type="pct"/>
            <w:gridSpan w:val="11"/>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调整后情况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39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b w:val="0"/>
                <w:snapToGrid w:val="0"/>
                <w:color w:val="000000"/>
                <w:spacing w:val="0"/>
                <w:kern w:val="0"/>
                <w:sz w:val="16"/>
                <w:szCs w:val="16"/>
                <w:lang w:val="en-US" w:eastAsia="zh-CN"/>
              </w:rPr>
            </w:pP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08"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1611" w:type="pct"/>
            <w:tcBorders>
              <w:tl2br w:val="nil"/>
              <w:tr2bl w:val="nil"/>
            </w:tcBorders>
            <w:noWrap/>
            <w:vAlign w:val="center"/>
          </w:tcPr>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50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0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7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序号</w:t>
            </w:r>
          </w:p>
        </w:tc>
        <w:tc>
          <w:tcPr>
            <w:tcW w:w="217"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对应区直部门</w:t>
            </w: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清单序号</w:t>
            </w:r>
          </w:p>
        </w:tc>
        <w:tc>
          <w:tcPr>
            <w:tcW w:w="959" w:type="pct"/>
            <w:gridSpan w:val="3"/>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权力清单</w:t>
            </w:r>
          </w:p>
        </w:tc>
        <w:tc>
          <w:tcPr>
            <w:tcW w:w="2995" w:type="pct"/>
            <w:gridSpan w:val="5"/>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责任清单</w:t>
            </w:r>
          </w:p>
        </w:tc>
        <w:tc>
          <w:tcPr>
            <w:tcW w:w="271"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7"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权力类型</w:t>
            </w: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权力名称</w:t>
            </w:r>
          </w:p>
        </w:tc>
        <w:tc>
          <w:tcPr>
            <w:tcW w:w="363"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设定依据</w:t>
            </w:r>
          </w:p>
        </w:tc>
        <w:tc>
          <w:tcPr>
            <w:tcW w:w="208"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责任主体</w:t>
            </w:r>
          </w:p>
        </w:tc>
        <w:tc>
          <w:tcPr>
            <w:tcW w:w="161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责任事项</w:t>
            </w:r>
          </w:p>
        </w:tc>
        <w:tc>
          <w:tcPr>
            <w:tcW w:w="474"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问责依据</w:t>
            </w:r>
          </w:p>
        </w:tc>
        <w:tc>
          <w:tcPr>
            <w:tcW w:w="50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追责情形及免责情形</w:t>
            </w:r>
          </w:p>
        </w:tc>
        <w:tc>
          <w:tcPr>
            <w:tcW w:w="20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监督方式</w:t>
            </w:r>
          </w:p>
        </w:tc>
        <w:tc>
          <w:tcPr>
            <w:tcW w:w="271"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5</w:t>
            </w: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both"/>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调整前情况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区商务局</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r>
              <w:rPr>
                <w:rFonts w:hint="default" w:ascii="Times New Roman" w:hAnsi="Times New Roman" w:eastAsia="方正仿宋简体" w:cs="Times New Roman"/>
                <w:i w:val="0"/>
                <w:iCs w:val="0"/>
                <w:color w:val="000000"/>
                <w:kern w:val="0"/>
                <w:sz w:val="16"/>
                <w:szCs w:val="16"/>
                <w:u w:val="none"/>
                <w:lang w:val="en-US" w:eastAsia="zh-CN" w:bidi="ar"/>
              </w:rPr>
              <w:t>行政处罚</w:t>
            </w:r>
          </w:p>
        </w:tc>
        <w:tc>
          <w:tcPr>
            <w:tcW w:w="39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对取得报废机动车回收资质认定的企业不再具备相关规定条件的行政处罚</w:t>
            </w: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《报废机动车回收管理办法实施细则》第三十四条</w:t>
            </w:r>
          </w:p>
        </w:tc>
        <w:tc>
          <w:tcPr>
            <w:tcW w:w="208"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市场体系建设和运行股（安全生产监督股）</w:t>
            </w:r>
          </w:p>
        </w:tc>
        <w:tc>
          <w:tcPr>
            <w:tcW w:w="1611" w:type="pct"/>
            <w:tcBorders>
              <w:tl2br w:val="nil"/>
              <w:tr2bl w:val="nil"/>
            </w:tcBorders>
            <w:noWrap/>
            <w:vAlign w:val="center"/>
          </w:tcPr>
          <w:p>
            <w:pPr>
              <w:widowControl/>
              <w:spacing w:line="240" w:lineRule="exact"/>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 w:eastAsia="zh-CN"/>
              </w:rPr>
              <w:t>1.立案责任</w:t>
            </w:r>
            <w:r>
              <w:rPr>
                <w:rFonts w:hint="default" w:ascii="Times New Roman" w:hAnsi="Times New Roman" w:eastAsia="方正仿宋简体" w:cs="Times New Roman"/>
                <w:color w:val="000000"/>
                <w:kern w:val="0"/>
                <w:sz w:val="16"/>
                <w:szCs w:val="16"/>
                <w:lang w:val="en-US" w:eastAsia="zh-CN"/>
              </w:rPr>
              <w:t>：发现企业以外的单位和个人涉嫌作特许人的违法行为（或者通过接收举报投诉或其他机关移送的违法案件等），予以审查，决定是否立案。</w:t>
            </w:r>
          </w:p>
          <w:p>
            <w:pPr>
              <w:widowControl/>
              <w:spacing w:line="240" w:lineRule="exact"/>
              <w:ind w:firstLine="320" w:firstLineChars="20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 w:eastAsia="zh-CN"/>
              </w:rPr>
              <w:t>2.调查责任</w:t>
            </w:r>
            <w:r>
              <w:rPr>
                <w:rFonts w:hint="default" w:ascii="Times New Roman" w:hAnsi="Times New Roman" w:eastAsia="方正仿宋简体" w:cs="Times New Roman"/>
                <w:color w:val="000000"/>
                <w:kern w:val="0"/>
                <w:sz w:val="16"/>
                <w:szCs w:val="16"/>
                <w:lang w:val="en-US" w:eastAsia="zh-CN"/>
              </w:rPr>
              <w:t>：商务部门对立案的案件，指定专人负责，及时组织调查取证，与当事人有直接利害关系的应当回避。执法人员不得少于两人，调查时应出示证件，允许当事人辩解。</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3.审查责任：审理案件调查报告，对案件违法事实、证据、调查取证程序、法律适用、处罚种类和幅度、当事人陈述和申辩，提出处理意见。</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4.告知责任：制作《商务行政处罚告知书》，书面告知当事人拟作出行政处罚的事实、理由及依据，并告知当事人依法享有陈述、申辩的权利。符合听证规定的，书面告知当事人有要求举行听证的权利。</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5.决定责任：制作《行政处罚决定书》，载明行政处罚告知、当事人陈述申辩或者听证情况等内容。</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6.送达责任：行政处罚决定书按法律规定的方式送达当事人。</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7.执行责任：监督当事人在决定的期限内，履行生效的行政处罚决定，当事人申请行政复议或提起行政诉讼的，按法律规定执行；当事人逾期不履行行政处罚决定的，依法强制执法或者申请人民法院强制执行。</w:t>
            </w:r>
            <w:r>
              <w:rPr>
                <w:rFonts w:hint="default" w:ascii="Times New Roman" w:hAnsi="Times New Roman" w:eastAsia="方正仿宋简体" w:cs="Times New Roman"/>
                <w:color w:val="000000"/>
                <w:kern w:val="0"/>
                <w:sz w:val="16"/>
                <w:szCs w:val="16"/>
                <w:lang w:val="en-US" w:eastAsia="zh-CN"/>
              </w:rPr>
              <w:br w:type="textWrapping"/>
            </w:r>
            <w:r>
              <w:rPr>
                <w:rFonts w:hint="default" w:ascii="Times New Roman" w:hAnsi="Times New Roman" w:eastAsia="方正仿宋简体" w:cs="Times New Roman"/>
                <w:color w:val="000000"/>
                <w:kern w:val="0"/>
                <w:sz w:val="16"/>
                <w:szCs w:val="16"/>
                <w:lang w:val="en-US" w:eastAsia="zh-CN"/>
              </w:rPr>
              <w:t xml:space="preserve">    8.其他责任：法律法规规章文件规定应履行的其他责任。</w:t>
            </w: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《报废机动车回收管理办法实施细则》《中华人民共和国行政监察法》《中华人民共和国行政处罚法》《中华人民共和国行政强制法》《中华人民共和国公职人员政务处分法》《行政机关公务员处分条例》</w:t>
            </w:r>
          </w:p>
        </w:tc>
        <w:tc>
          <w:tcPr>
            <w:tcW w:w="5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rPr>
            </w:pPr>
            <w:r>
              <w:rPr>
                <w:rFonts w:hint="default" w:ascii="Times New Roman" w:hAnsi="Times New Roman" w:eastAsia="方正仿宋简体" w:cs="Times New Roman"/>
                <w:color w:val="000000"/>
                <w:kern w:val="0"/>
                <w:sz w:val="16"/>
                <w:szCs w:val="16"/>
                <w:lang w:val="en-US" w:eastAsia="zh-CN"/>
              </w:rPr>
              <w:t>追责情形：对不履行或不正确履行行政职责的行政机关及其工作人员，依据《中华人民共和国监察法》《中华人民共和国行政处罚法》《行政机关公务员处分条例》追究相应的责任。</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免责情形：按照《中华人民共和国公职人员政务处分法》规定的情形，以及其他依法应当免责的情形。</w:t>
            </w:r>
          </w:p>
        </w:tc>
        <w:tc>
          <w:tcPr>
            <w:tcW w:w="20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color w:val="000000"/>
                <w:kern w:val="0"/>
                <w:sz w:val="16"/>
                <w:szCs w:val="16"/>
                <w:lang w:val="en-US" w:eastAsia="zh-CN" w:bidi="ar-SA"/>
              </w:rPr>
            </w:pPr>
            <w:r>
              <w:rPr>
                <w:rFonts w:hint="default" w:ascii="Times New Roman" w:hAnsi="Times New Roman" w:eastAsia="方正仿宋简体" w:cs="Times New Roman"/>
                <w:color w:val="000000"/>
                <w:kern w:val="0"/>
                <w:sz w:val="16"/>
                <w:szCs w:val="16"/>
                <w:lang w:val="en-US" w:eastAsia="zh-CN"/>
              </w:rPr>
              <w:t>0825-8663833</w:t>
            </w:r>
          </w:p>
        </w:tc>
        <w:tc>
          <w:tcPr>
            <w:tcW w:w="27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调整方式</w:t>
            </w:r>
          </w:p>
        </w:tc>
        <w:tc>
          <w:tcPr>
            <w:tcW w:w="4648" w:type="pct"/>
            <w:gridSpan w:val="11"/>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调整后情况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39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b w:val="0"/>
                <w:snapToGrid w:val="0"/>
                <w:color w:val="000000"/>
                <w:spacing w:val="0"/>
                <w:kern w:val="0"/>
                <w:sz w:val="16"/>
                <w:szCs w:val="16"/>
                <w:lang w:val="en-US" w:eastAsia="zh-CN"/>
              </w:rPr>
            </w:pPr>
          </w:p>
        </w:tc>
        <w:tc>
          <w:tcPr>
            <w:tcW w:w="36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0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1611" w:type="pct"/>
            <w:tcBorders>
              <w:tl2br w:val="nil"/>
              <w:tr2bl w:val="nil"/>
            </w:tcBorders>
            <w:noWrap/>
            <w:vAlign w:val="center"/>
          </w:tcPr>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474" w:type="pct"/>
            <w:tcBorders>
              <w:tl2br w:val="nil"/>
              <w:tr2bl w:val="nil"/>
            </w:tcBorders>
            <w:noWrap/>
            <w:vAlign w:val="center"/>
          </w:tcPr>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501" w:type="pct"/>
            <w:tcBorders>
              <w:tl2br w:val="nil"/>
              <w:tr2bl w:val="nil"/>
            </w:tcBorders>
            <w:noWrap/>
            <w:vAlign w:val="center"/>
          </w:tcPr>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0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7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序号</w:t>
            </w:r>
          </w:p>
        </w:tc>
        <w:tc>
          <w:tcPr>
            <w:tcW w:w="217"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对应区直部门</w:t>
            </w:r>
          </w:p>
        </w:tc>
        <w:tc>
          <w:tcPr>
            <w:tcW w:w="210"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清单序号</w:t>
            </w:r>
          </w:p>
        </w:tc>
        <w:tc>
          <w:tcPr>
            <w:tcW w:w="959" w:type="pct"/>
            <w:gridSpan w:val="3"/>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权力清单</w:t>
            </w:r>
          </w:p>
        </w:tc>
        <w:tc>
          <w:tcPr>
            <w:tcW w:w="2995" w:type="pct"/>
            <w:gridSpan w:val="5"/>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责任清单</w:t>
            </w:r>
          </w:p>
        </w:tc>
        <w:tc>
          <w:tcPr>
            <w:tcW w:w="271"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7"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10"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权力类型</w:t>
            </w:r>
          </w:p>
        </w:tc>
        <w:tc>
          <w:tcPr>
            <w:tcW w:w="39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权力名称</w:t>
            </w:r>
          </w:p>
        </w:tc>
        <w:tc>
          <w:tcPr>
            <w:tcW w:w="363"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设定依据</w:t>
            </w:r>
          </w:p>
        </w:tc>
        <w:tc>
          <w:tcPr>
            <w:tcW w:w="208"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责任主体</w:t>
            </w:r>
          </w:p>
        </w:tc>
        <w:tc>
          <w:tcPr>
            <w:tcW w:w="161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责任事项</w:t>
            </w:r>
          </w:p>
        </w:tc>
        <w:tc>
          <w:tcPr>
            <w:tcW w:w="474"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问责依据</w:t>
            </w:r>
          </w:p>
        </w:tc>
        <w:tc>
          <w:tcPr>
            <w:tcW w:w="50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追责情形及免责情形</w:t>
            </w:r>
          </w:p>
        </w:tc>
        <w:tc>
          <w:tcPr>
            <w:tcW w:w="20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rPr>
            </w:pPr>
            <w:r>
              <w:rPr>
                <w:rFonts w:hint="default" w:ascii="Times New Roman" w:hAnsi="Times New Roman" w:eastAsia="黑体" w:cs="Times New Roman"/>
                <w:b w:val="0"/>
                <w:snapToGrid w:val="0"/>
                <w:color w:val="000000"/>
                <w:spacing w:val="0"/>
                <w:kern w:val="0"/>
                <w:sz w:val="16"/>
                <w:szCs w:val="16"/>
              </w:rPr>
              <w:t>监督方式</w:t>
            </w:r>
          </w:p>
        </w:tc>
        <w:tc>
          <w:tcPr>
            <w:tcW w:w="271"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4" w:type="pct"/>
            <w:vMerge w:val="restart"/>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6</w:t>
            </w: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both"/>
              <w:textAlignment w:val="center"/>
              <w:rPr>
                <w:rFonts w:hint="default" w:ascii="Times New Roman" w:hAnsi="Times New Roman" w:eastAsia="黑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调整前情况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bidi="ar-SA"/>
              </w:rPr>
            </w:pPr>
            <w:r>
              <w:rPr>
                <w:rFonts w:hint="default" w:ascii="Times New Roman" w:hAnsi="Times New Roman" w:eastAsia="方正仿宋简体" w:cs="Times New Roman"/>
                <w:i w:val="0"/>
                <w:iCs w:val="0"/>
                <w:color w:val="000000"/>
                <w:kern w:val="0"/>
                <w:sz w:val="16"/>
                <w:szCs w:val="16"/>
                <w:u w:val="none"/>
                <w:lang w:val="en-US" w:eastAsia="zh-CN" w:bidi="ar"/>
              </w:rPr>
              <w:t>区商务局</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bidi="ar-SA"/>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bidi="ar-SA"/>
              </w:rPr>
            </w:pPr>
            <w:r>
              <w:rPr>
                <w:rFonts w:hint="default" w:ascii="Times New Roman" w:hAnsi="Times New Roman" w:eastAsia="方正仿宋简体" w:cs="Times New Roman"/>
                <w:i w:val="0"/>
                <w:iCs w:val="0"/>
                <w:color w:val="000000"/>
                <w:kern w:val="0"/>
                <w:sz w:val="16"/>
                <w:szCs w:val="16"/>
                <w:u w:val="none"/>
                <w:lang w:val="en-US" w:eastAsia="zh-CN" w:bidi="ar"/>
              </w:rPr>
              <w:t>其他行政权力</w:t>
            </w:r>
          </w:p>
        </w:tc>
        <w:tc>
          <w:tcPr>
            <w:tcW w:w="39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b w:val="0"/>
                <w:bCs w:val="0"/>
                <w:color w:val="000000"/>
                <w:kern w:val="0"/>
                <w:sz w:val="16"/>
                <w:szCs w:val="16"/>
                <w:lang w:val="en-US" w:eastAsia="zh-CN" w:bidi="ar-SA"/>
              </w:rPr>
            </w:pPr>
            <w:r>
              <w:rPr>
                <w:rFonts w:hint="default" w:ascii="Times New Roman" w:hAnsi="Times New Roman" w:eastAsia="方正仿宋简体" w:cs="Times New Roman"/>
                <w:b w:val="0"/>
                <w:bCs w:val="0"/>
                <w:color w:val="000000"/>
                <w:kern w:val="0"/>
                <w:sz w:val="16"/>
                <w:szCs w:val="16"/>
                <w:lang w:val="en-US" w:eastAsia="zh-CN"/>
              </w:rPr>
              <w:t>对外贸易经营者备案登记</w:t>
            </w: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b w:val="0"/>
                <w:bCs w:val="0"/>
                <w:color w:val="000000"/>
                <w:kern w:val="0"/>
                <w:sz w:val="16"/>
                <w:szCs w:val="16"/>
                <w:lang w:val="en-US" w:eastAsia="zh-CN" w:bidi="ar-SA"/>
              </w:rPr>
            </w:pPr>
            <w:r>
              <w:rPr>
                <w:rFonts w:hint="default" w:ascii="Times New Roman" w:hAnsi="Times New Roman" w:eastAsia="方正仿宋简体" w:cs="Times New Roman"/>
                <w:b w:val="0"/>
                <w:bCs w:val="0"/>
                <w:color w:val="000000"/>
                <w:kern w:val="0"/>
                <w:sz w:val="16"/>
                <w:szCs w:val="16"/>
                <w:lang w:val="en-US" w:eastAsia="zh-CN"/>
              </w:rPr>
              <w:t>《中华人民共和国对外贸易法》第九条</w:t>
            </w:r>
          </w:p>
        </w:tc>
        <w:tc>
          <w:tcPr>
            <w:tcW w:w="208"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b w:val="0"/>
                <w:bCs w:val="0"/>
                <w:color w:val="000000"/>
                <w:kern w:val="0"/>
                <w:sz w:val="16"/>
                <w:szCs w:val="16"/>
                <w:lang w:val="en-US" w:eastAsia="zh-CN" w:bidi="ar-SA"/>
              </w:rPr>
            </w:pPr>
            <w:r>
              <w:rPr>
                <w:rFonts w:hint="default" w:ascii="Times New Roman" w:hAnsi="Times New Roman" w:eastAsia="方正仿宋简体" w:cs="Times New Roman"/>
                <w:b w:val="0"/>
                <w:bCs w:val="0"/>
                <w:color w:val="000000"/>
                <w:kern w:val="0"/>
                <w:sz w:val="16"/>
                <w:szCs w:val="16"/>
                <w:lang w:val="en-US" w:eastAsia="zh-CN"/>
              </w:rPr>
              <w:t>对外经济贸易股</w:t>
            </w:r>
          </w:p>
        </w:tc>
        <w:tc>
          <w:tcPr>
            <w:tcW w:w="1611" w:type="pct"/>
            <w:tcBorders>
              <w:tl2br w:val="nil"/>
              <w:tr2bl w:val="nil"/>
            </w:tcBorders>
            <w:noWrap/>
            <w:vAlign w:val="center"/>
          </w:tcPr>
          <w:p>
            <w:pPr>
              <w:widowControl/>
              <w:spacing w:line="240" w:lineRule="exact"/>
              <w:jc w:val="left"/>
              <w:textAlignment w:val="center"/>
              <w:rPr>
                <w:rFonts w:hint="default" w:ascii="Times New Roman" w:hAnsi="Times New Roman" w:eastAsia="方正仿宋简体" w:cs="Times New Roman"/>
                <w:b w:val="0"/>
                <w:bCs w:val="0"/>
                <w:color w:val="000000"/>
                <w:kern w:val="0"/>
                <w:sz w:val="16"/>
                <w:szCs w:val="16"/>
                <w:lang w:val="en-US" w:eastAsia="zh-CN"/>
              </w:rPr>
            </w:pPr>
            <w:r>
              <w:rPr>
                <w:rFonts w:hint="default" w:ascii="Times New Roman" w:hAnsi="Times New Roman" w:eastAsia="方正仿宋简体" w:cs="Times New Roman"/>
                <w:b w:val="0"/>
                <w:bCs w:val="0"/>
                <w:color w:val="000000"/>
                <w:kern w:val="0"/>
                <w:sz w:val="16"/>
                <w:szCs w:val="16"/>
                <w:lang w:val="en-US" w:eastAsia="zh-CN"/>
              </w:rPr>
              <w:t>1.受理责任：公示依法应当提交的材料；一次性告知补正材料；依法受理或不予受理（不予受理的告知理由）。</w:t>
            </w:r>
          </w:p>
          <w:p>
            <w:pPr>
              <w:widowControl/>
              <w:spacing w:line="240" w:lineRule="exact"/>
              <w:ind w:firstLine="320" w:firstLineChars="200"/>
              <w:jc w:val="left"/>
              <w:textAlignment w:val="center"/>
              <w:rPr>
                <w:rFonts w:hint="default" w:ascii="Times New Roman" w:hAnsi="Times New Roman" w:eastAsia="方正仿宋简体" w:cs="Times New Roman"/>
                <w:b w:val="0"/>
                <w:bCs w:val="0"/>
                <w:color w:val="000000"/>
                <w:kern w:val="0"/>
                <w:sz w:val="16"/>
                <w:szCs w:val="16"/>
                <w:lang w:val="en-US" w:eastAsia="zh-CN" w:bidi="ar-SA"/>
              </w:rPr>
            </w:pPr>
            <w:r>
              <w:rPr>
                <w:rFonts w:hint="default" w:ascii="Times New Roman" w:hAnsi="Times New Roman" w:eastAsia="方正仿宋简体" w:cs="Times New Roman"/>
                <w:b w:val="0"/>
                <w:bCs w:val="0"/>
                <w:color w:val="000000"/>
                <w:kern w:val="0"/>
                <w:sz w:val="16"/>
                <w:szCs w:val="16"/>
                <w:lang w:val="en-US" w:eastAsia="zh-CN"/>
              </w:rPr>
              <w:t>2.审查责任：通过零售商提交的资料，审查在促销活动中是否有相关安全设备和管理措施，明示的促销内容是否真实、合法、清晰，以及促销方式、规则、期限和范围等。</w:t>
            </w:r>
            <w:r>
              <w:rPr>
                <w:rFonts w:hint="default" w:ascii="Times New Roman" w:hAnsi="Times New Roman" w:eastAsia="方正仿宋简体" w:cs="Times New Roman"/>
                <w:b w:val="0"/>
                <w:bCs w:val="0"/>
                <w:color w:val="000000"/>
                <w:kern w:val="0"/>
                <w:sz w:val="16"/>
                <w:szCs w:val="16"/>
                <w:lang w:val="en-US" w:eastAsia="zh-CN"/>
              </w:rPr>
              <w:br w:type="textWrapping"/>
            </w:r>
            <w:r>
              <w:rPr>
                <w:rFonts w:hint="default" w:ascii="Times New Roman" w:hAnsi="Times New Roman" w:eastAsia="方正仿宋简体" w:cs="Times New Roman"/>
                <w:b w:val="0"/>
                <w:bCs w:val="0"/>
                <w:color w:val="000000"/>
                <w:kern w:val="0"/>
                <w:sz w:val="16"/>
                <w:szCs w:val="16"/>
                <w:lang w:val="en-US" w:eastAsia="zh-CN"/>
              </w:rPr>
              <w:t xml:space="preserve">    3．备案责任：零售商结束促销活动之后到商务局予以备案。</w:t>
            </w:r>
            <w:r>
              <w:rPr>
                <w:rFonts w:hint="default" w:ascii="Times New Roman" w:hAnsi="Times New Roman" w:eastAsia="方正仿宋简体" w:cs="Times New Roman"/>
                <w:b w:val="0"/>
                <w:bCs w:val="0"/>
                <w:color w:val="000000"/>
                <w:kern w:val="0"/>
                <w:sz w:val="16"/>
                <w:szCs w:val="16"/>
                <w:lang w:val="en-US" w:eastAsia="zh-CN"/>
              </w:rPr>
              <w:br w:type="textWrapping"/>
            </w:r>
            <w:r>
              <w:rPr>
                <w:rFonts w:hint="default" w:ascii="Times New Roman" w:hAnsi="Times New Roman" w:eastAsia="方正仿宋简体" w:cs="Times New Roman"/>
                <w:b w:val="0"/>
                <w:bCs w:val="0"/>
                <w:color w:val="000000"/>
                <w:kern w:val="0"/>
                <w:sz w:val="16"/>
                <w:szCs w:val="16"/>
                <w:lang w:val="en-US" w:eastAsia="zh-CN"/>
              </w:rPr>
              <w:t xml:space="preserve">    4.其他法律法规规章文件规定应履行的责任。</w:t>
            </w: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b w:val="0"/>
                <w:bCs w:val="0"/>
                <w:color w:val="000000"/>
                <w:kern w:val="0"/>
                <w:sz w:val="16"/>
                <w:szCs w:val="16"/>
                <w:lang w:val="en-US" w:eastAsia="zh-CN" w:bidi="ar-SA"/>
              </w:rPr>
            </w:pPr>
            <w:r>
              <w:rPr>
                <w:rFonts w:hint="eastAsia" w:eastAsia="方正仿宋简体" w:cs="Times New Roman"/>
                <w:b w:val="0"/>
                <w:bCs w:val="0"/>
                <w:color w:val="000000"/>
                <w:kern w:val="0"/>
                <w:sz w:val="16"/>
                <w:szCs w:val="16"/>
                <w:lang w:val="en-US" w:eastAsia="zh-CN"/>
              </w:rPr>
              <w:t>《中华人民共和国对外贸易法》</w:t>
            </w:r>
            <w:r>
              <w:rPr>
                <w:rFonts w:hint="default" w:ascii="Times New Roman" w:hAnsi="Times New Roman" w:eastAsia="方正仿宋简体" w:cs="Times New Roman"/>
                <w:b w:val="0"/>
                <w:bCs w:val="0"/>
                <w:color w:val="000000"/>
                <w:kern w:val="0"/>
                <w:sz w:val="16"/>
                <w:szCs w:val="16"/>
                <w:lang w:val="en-US" w:eastAsia="zh-CN"/>
              </w:rPr>
              <w:t>《中华人民共和国行政监察法》《中华人民共和国行政许可法》《中华人民共和国公职人员政务处分法》《行政机关公务员处分条例》《四川省行政审批违法违纪行为责任追究办法》</w:t>
            </w:r>
          </w:p>
        </w:tc>
        <w:tc>
          <w:tcPr>
            <w:tcW w:w="5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b w:val="0"/>
                <w:bCs w:val="0"/>
                <w:color w:val="000000"/>
                <w:kern w:val="0"/>
                <w:sz w:val="16"/>
                <w:szCs w:val="16"/>
                <w:lang w:val="en-US" w:eastAsia="zh-CN"/>
              </w:rPr>
            </w:pPr>
            <w:r>
              <w:rPr>
                <w:rFonts w:hint="default" w:ascii="Times New Roman" w:hAnsi="Times New Roman" w:eastAsia="方正仿宋简体" w:cs="Times New Roman"/>
                <w:b w:val="0"/>
                <w:bCs w:val="0"/>
                <w:color w:val="000000"/>
                <w:kern w:val="0"/>
                <w:sz w:val="16"/>
                <w:szCs w:val="16"/>
                <w:lang w:val="en-US" w:eastAsia="zh-CN"/>
              </w:rPr>
              <w:t>追责情形：对不履行或不正确履行行政职责的行政机关及其工作人员，依据《中华人民共和国监察法》《中华人民共和国行政处罚法》《行政机关公务员处分条例》追究相应的责任。</w:t>
            </w:r>
          </w:p>
          <w:p>
            <w:pPr>
              <w:widowControl/>
              <w:spacing w:line="240" w:lineRule="exact"/>
              <w:ind w:left="0" w:leftChars="0" w:firstLine="0" w:firstLineChars="0"/>
              <w:jc w:val="left"/>
              <w:textAlignment w:val="center"/>
              <w:rPr>
                <w:rFonts w:hint="default" w:ascii="Times New Roman" w:hAnsi="Times New Roman" w:eastAsia="方正仿宋简体" w:cs="Times New Roman"/>
                <w:b w:val="0"/>
                <w:bCs w:val="0"/>
                <w:color w:val="000000"/>
                <w:kern w:val="0"/>
                <w:sz w:val="16"/>
                <w:szCs w:val="16"/>
                <w:lang w:val="en-US" w:eastAsia="zh-CN" w:bidi="ar-SA"/>
              </w:rPr>
            </w:pPr>
            <w:r>
              <w:rPr>
                <w:rFonts w:hint="default" w:ascii="Times New Roman" w:hAnsi="Times New Roman" w:eastAsia="方正仿宋简体" w:cs="Times New Roman"/>
                <w:b w:val="0"/>
                <w:bCs w:val="0"/>
                <w:color w:val="000000"/>
                <w:kern w:val="0"/>
                <w:sz w:val="16"/>
                <w:szCs w:val="16"/>
                <w:lang w:val="en-US" w:eastAsia="zh-CN"/>
              </w:rPr>
              <w:t>免责情形：按照《中华人民共和国公职人员政务处分法》规定的情形，以及其他依法应当免责的情形。</w:t>
            </w:r>
          </w:p>
        </w:tc>
        <w:tc>
          <w:tcPr>
            <w:tcW w:w="200"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b w:val="0"/>
                <w:bCs w:val="0"/>
                <w:color w:val="000000"/>
                <w:kern w:val="0"/>
                <w:sz w:val="16"/>
                <w:szCs w:val="16"/>
                <w:lang w:val="en-US" w:eastAsia="zh-CN" w:bidi="ar-SA"/>
              </w:rPr>
            </w:pPr>
            <w:r>
              <w:rPr>
                <w:rFonts w:hint="default" w:ascii="Times New Roman" w:hAnsi="Times New Roman" w:eastAsia="方正仿宋简体" w:cs="Times New Roman"/>
                <w:b w:val="0"/>
                <w:bCs w:val="0"/>
                <w:color w:val="000000"/>
                <w:kern w:val="0"/>
                <w:sz w:val="16"/>
                <w:szCs w:val="16"/>
                <w:lang w:val="en-US" w:eastAsia="zh-CN"/>
              </w:rPr>
              <w:t>0825-8663833</w:t>
            </w:r>
          </w:p>
        </w:tc>
        <w:tc>
          <w:tcPr>
            <w:tcW w:w="271"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调整方式</w:t>
            </w:r>
          </w:p>
        </w:tc>
        <w:tc>
          <w:tcPr>
            <w:tcW w:w="4648" w:type="pct"/>
            <w:gridSpan w:val="11"/>
            <w:tcBorders>
              <w:tl2br w:val="nil"/>
              <w:tr2bl w:val="nil"/>
            </w:tcBorders>
            <w:noWrap/>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方正仿宋简体" w:cs="Times New Roman"/>
                <w:i w:val="0"/>
                <w:iCs w:val="0"/>
                <w:color w:val="000000"/>
                <w:kern w:val="0"/>
                <w:sz w:val="16"/>
                <w:szCs w:val="16"/>
                <w:u w:val="none"/>
                <w:lang w:val="en-US" w:eastAsia="zh-CN" w:bidi="ar"/>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134" w:type="pct"/>
            <w:vMerge w:val="continue"/>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黑体" w:cs="Times New Roman"/>
                <w:b w:val="0"/>
                <w:snapToGrid w:val="0"/>
                <w:color w:val="000000"/>
                <w:spacing w:val="0"/>
                <w:kern w:val="0"/>
                <w:sz w:val="16"/>
                <w:szCs w:val="16"/>
                <w:lang w:val="en-US" w:eastAsia="zh-CN"/>
              </w:rPr>
            </w:pPr>
          </w:p>
        </w:tc>
        <w:tc>
          <w:tcPr>
            <w:tcW w:w="217"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r>
              <w:rPr>
                <w:rFonts w:hint="default" w:ascii="Times New Roman" w:hAnsi="Times New Roman" w:eastAsia="黑体" w:cs="Times New Roman"/>
                <w:b w:val="0"/>
                <w:snapToGrid w:val="0"/>
                <w:color w:val="000000"/>
                <w:spacing w:val="0"/>
                <w:kern w:val="0"/>
                <w:sz w:val="16"/>
                <w:szCs w:val="16"/>
                <w:lang w:val="en-US" w:eastAsia="zh-CN"/>
              </w:rPr>
              <w:t>调整后情况</w:t>
            </w: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210"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205" w:type="pct"/>
            <w:tcBorders>
              <w:tl2br w:val="nil"/>
              <w:tr2bl w:val="nil"/>
            </w:tcBorders>
            <w:noWrap/>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方正仿宋简体" w:cs="Times New Roman"/>
                <w:b w:val="0"/>
                <w:snapToGrid w:val="0"/>
                <w:color w:val="000000"/>
                <w:spacing w:val="0"/>
                <w:kern w:val="0"/>
                <w:sz w:val="16"/>
                <w:szCs w:val="16"/>
                <w:lang w:val="en-US" w:eastAsia="zh-CN"/>
              </w:rPr>
            </w:pPr>
          </w:p>
        </w:tc>
        <w:tc>
          <w:tcPr>
            <w:tcW w:w="39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b w:val="0"/>
                <w:snapToGrid w:val="0"/>
                <w:color w:val="000000"/>
                <w:spacing w:val="0"/>
                <w:kern w:val="0"/>
                <w:sz w:val="16"/>
                <w:szCs w:val="16"/>
                <w:lang w:val="en-US" w:eastAsia="zh-CN"/>
              </w:rPr>
            </w:pPr>
          </w:p>
        </w:tc>
        <w:tc>
          <w:tcPr>
            <w:tcW w:w="363"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08"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1611" w:type="pct"/>
            <w:tcBorders>
              <w:tl2br w:val="nil"/>
              <w:tr2bl w:val="nil"/>
            </w:tcBorders>
            <w:noWrap/>
            <w:vAlign w:val="center"/>
          </w:tcPr>
          <w:p>
            <w:pPr>
              <w:widowControl/>
              <w:spacing w:line="240" w:lineRule="exact"/>
              <w:ind w:firstLine="320" w:firstLineChars="20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474"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501" w:type="pct"/>
            <w:tcBorders>
              <w:tl2br w:val="nil"/>
              <w:tr2bl w:val="nil"/>
            </w:tcBorders>
            <w:noWrap/>
            <w:vAlign w:val="center"/>
          </w:tcPr>
          <w:p>
            <w:pPr>
              <w:widowControl/>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00"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c>
          <w:tcPr>
            <w:tcW w:w="27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方正仿宋简体" w:cs="Times New Roman"/>
                <w:i w:val="0"/>
                <w:iCs w:val="0"/>
                <w:color w:val="000000"/>
                <w:kern w:val="0"/>
                <w:sz w:val="16"/>
                <w:szCs w:val="16"/>
                <w:u w:val="none"/>
                <w:lang w:val="en-US" w:eastAsia="zh-CN" w:bidi="ar"/>
              </w:rPr>
            </w:pPr>
          </w:p>
        </w:tc>
      </w:tr>
    </w:tbl>
    <w:p>
      <w:pPr>
        <w:pStyle w:val="17"/>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cs="Times New Roman"/>
          <w:lang w:val="en-US" w:eastAsia="zh-CN"/>
        </w:rPr>
      </w:pPr>
    </w:p>
    <w:sectPr>
      <w:footerReference r:id="rId3" w:type="default"/>
      <w:pgSz w:w="16838" w:h="11906" w:orient="landscape"/>
      <w:pgMar w:top="1587" w:right="2098" w:bottom="1474" w:left="1984" w:header="851" w:footer="144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A0000287" w:usb1="28C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E6665"/>
    <w:multiLevelType w:val="singleLevel"/>
    <w:tmpl w:val="93CE6665"/>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96EDA"/>
    <w:rsid w:val="020874E3"/>
    <w:rsid w:val="06774B7B"/>
    <w:rsid w:val="06B07FE6"/>
    <w:rsid w:val="08AC53F4"/>
    <w:rsid w:val="0DE549DB"/>
    <w:rsid w:val="105728C1"/>
    <w:rsid w:val="11E638BC"/>
    <w:rsid w:val="12D347B7"/>
    <w:rsid w:val="12DF0837"/>
    <w:rsid w:val="1B0B005D"/>
    <w:rsid w:val="1C1F23FA"/>
    <w:rsid w:val="2164083D"/>
    <w:rsid w:val="220B6185"/>
    <w:rsid w:val="26087576"/>
    <w:rsid w:val="28A24622"/>
    <w:rsid w:val="2CCD493E"/>
    <w:rsid w:val="2EF160C2"/>
    <w:rsid w:val="32546F95"/>
    <w:rsid w:val="39DA7DE0"/>
    <w:rsid w:val="3EFC00F1"/>
    <w:rsid w:val="3FC84618"/>
    <w:rsid w:val="40956E43"/>
    <w:rsid w:val="442D5EAB"/>
    <w:rsid w:val="4A38285E"/>
    <w:rsid w:val="4D8027B5"/>
    <w:rsid w:val="505F66A2"/>
    <w:rsid w:val="537936F3"/>
    <w:rsid w:val="56444FDF"/>
    <w:rsid w:val="57470128"/>
    <w:rsid w:val="59E6307E"/>
    <w:rsid w:val="5CA475D0"/>
    <w:rsid w:val="5DB96EDA"/>
    <w:rsid w:val="60EA501E"/>
    <w:rsid w:val="62BA0CAF"/>
    <w:rsid w:val="634C0797"/>
    <w:rsid w:val="650E632D"/>
    <w:rsid w:val="660D0D02"/>
    <w:rsid w:val="668A16BC"/>
    <w:rsid w:val="67F56426"/>
    <w:rsid w:val="67FB209D"/>
    <w:rsid w:val="689B25B6"/>
    <w:rsid w:val="68AD08CA"/>
    <w:rsid w:val="6E3F0AE5"/>
    <w:rsid w:val="70A07621"/>
    <w:rsid w:val="72193814"/>
    <w:rsid w:val="78B45445"/>
    <w:rsid w:val="796330EB"/>
    <w:rsid w:val="79F73DDA"/>
    <w:rsid w:val="7C0C7AD4"/>
    <w:rsid w:val="7CAF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before="0" w:beforeAutospacing="0" w:after="0" w:afterAutospacing="0" w:line="576" w:lineRule="exact"/>
      <w:ind w:firstLine="640" w:firstLineChars="200"/>
      <w:jc w:val="left"/>
      <w:outlineLvl w:val="0"/>
    </w:pPr>
    <w:rPr>
      <w:rFonts w:hint="eastAsia" w:ascii="宋体" w:hAnsi="宋体" w:eastAsia="黑体" w:cs="宋体"/>
      <w:bCs/>
      <w:snapToGrid w:val="0"/>
      <w:color w:val="000000"/>
      <w:kern w:val="44"/>
      <w:sz w:val="32"/>
      <w:szCs w:val="48"/>
      <w:lang w:eastAsia="en-US" w:bidi="ar"/>
    </w:rPr>
  </w:style>
  <w:style w:type="paragraph" w:styleId="4">
    <w:name w:val="heading 2"/>
    <w:basedOn w:val="1"/>
    <w:next w:val="1"/>
    <w:link w:val="13"/>
    <w:semiHidden/>
    <w:unhideWhenUsed/>
    <w:qFormat/>
    <w:uiPriority w:val="0"/>
    <w:pPr>
      <w:keepNext w:val="0"/>
      <w:keepLines w:val="0"/>
      <w:spacing w:beforeLines="0" w:beforeAutospacing="0" w:afterLines="0" w:afterAutospacing="0" w:line="576" w:lineRule="exact"/>
      <w:ind w:firstLine="640" w:firstLineChars="200"/>
      <w:jc w:val="left"/>
      <w:outlineLvl w:val="1"/>
    </w:pPr>
    <w:rPr>
      <w:rFonts w:ascii="Arial" w:hAnsi="Arial" w:eastAsia="楷体_GB2312" w:cs="Times New Roman"/>
      <w:b/>
      <w:sz w:val="32"/>
    </w:rPr>
  </w:style>
  <w:style w:type="paragraph" w:styleId="5">
    <w:name w:val="heading 3"/>
    <w:basedOn w:val="1"/>
    <w:next w:val="1"/>
    <w:link w:val="12"/>
    <w:semiHidden/>
    <w:unhideWhenUsed/>
    <w:qFormat/>
    <w:uiPriority w:val="0"/>
    <w:pPr>
      <w:keepNext/>
      <w:keepLines w:val="0"/>
      <w:spacing w:beforeLines="0" w:beforeAutospacing="0" w:afterLines="0" w:afterAutospacing="0" w:line="576" w:lineRule="exact"/>
      <w:ind w:firstLine="640" w:firstLineChars="200"/>
      <w:jc w:val="left"/>
      <w:outlineLvl w:val="2"/>
    </w:pPr>
    <w:rPr>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6">
    <w:name w:val="Body Text Indent"/>
    <w:basedOn w:val="1"/>
    <w:qFormat/>
    <w:uiPriority w:val="0"/>
    <w:pPr>
      <w:spacing w:after="120"/>
      <w:ind w:left="420" w:leftChars="200"/>
    </w:pPr>
  </w:style>
  <w:style w:type="paragraph" w:styleId="7">
    <w:name w:val="footer"/>
    <w:basedOn w:val="1"/>
    <w:next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spacing w:after="0"/>
      <w:ind w:firstLine="420" w:firstLineChars="200"/>
    </w:pPr>
    <w:rPr>
      <w:rFonts w:ascii="Times New Roman" w:hAnsi="Times New Roman" w:cs="Times New Roman"/>
    </w:rPr>
  </w:style>
  <w:style w:type="character" w:customStyle="1" w:styleId="12">
    <w:name w:val="标题 3 Char"/>
    <w:link w:val="5"/>
    <w:qFormat/>
    <w:uiPriority w:val="0"/>
    <w:rPr>
      <w:rFonts w:eastAsia="仿宋_GB2312"/>
      <w:b/>
    </w:rPr>
  </w:style>
  <w:style w:type="character" w:customStyle="1" w:styleId="13">
    <w:name w:val="标题 2 Char"/>
    <w:link w:val="4"/>
    <w:qFormat/>
    <w:uiPriority w:val="0"/>
    <w:rPr>
      <w:rFonts w:ascii="Arial" w:hAnsi="Arial" w:eastAsia="楷体_GB2312" w:cs="Times New Roman"/>
      <w:b/>
      <w:sz w:val="32"/>
    </w:rPr>
  </w:style>
  <w:style w:type="paragraph" w:customStyle="1" w:styleId="14">
    <w:name w:val="图表目录1"/>
    <w:basedOn w:val="15"/>
    <w:next w:val="1"/>
    <w:qFormat/>
    <w:uiPriority w:val="99"/>
    <w:pPr>
      <w:spacing w:before="100" w:beforeAutospacing="1" w:after="100" w:afterAutospacing="1"/>
      <w:ind w:left="200" w:leftChars="200" w:hanging="200" w:hangingChars="200"/>
    </w:pPr>
    <w:rPr>
      <w:rFonts w:ascii="Times New Roman" w:hAnsi="Times New Roman" w:eastAsia="宋体" w:cs="Times New Roman"/>
      <w:sz w:val="21"/>
      <w:szCs w:val="21"/>
    </w:rPr>
  </w:style>
  <w:style w:type="paragraph" w:customStyle="1" w:styleId="15">
    <w:name w:val="正文 New"/>
    <w:next w:val="14"/>
    <w:qFormat/>
    <w:uiPriority w:val="0"/>
    <w:pPr>
      <w:widowControl w:val="0"/>
    </w:pPr>
    <w:rPr>
      <w:rFonts w:ascii="Arial Unicode MS" w:hAnsi="Arial Unicode MS" w:eastAsia="Arial Unicode MS" w:cs="Arial Unicode MS"/>
      <w:color w:val="000000"/>
      <w:sz w:val="24"/>
      <w:szCs w:val="24"/>
      <w:lang w:val="zh-CN" w:eastAsia="zh-CN" w:bidi="ar-SA"/>
    </w:rPr>
  </w:style>
  <w:style w:type="character" w:customStyle="1" w:styleId="16">
    <w:name w:val="NormalCharacter"/>
    <w:qFormat/>
    <w:uiPriority w:val="0"/>
  </w:style>
  <w:style w:type="paragraph" w:customStyle="1" w:styleId="17">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2024-05-30T07:46:00Z</dcterms:created>
  <dc:creator>青瓦飞烟</dc:creator>
  <cp:lastModifiedBy>Admin</cp:lastModifiedBy>
  <cp:lastPrinted>2024-05-31T06:39:00Z</cp:lastPrinted>
  <dcterms:modified xsi:type="dcterms:W3CDTF">2024-06-07T07:52:17Z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9FA2A1C83BE048D999BC012A88606A09</vt:lpwstr>
  </property>
</Properties>
</file>