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bookmarkStart w:id="0" w:name="_GoBack"/>
      <w:bookmarkEnd w:id="0"/>
      <w:r>
        <w:rPr>
          <w:rFonts w:hint="eastAsia" w:ascii="黑体" w:hAnsi="黑体" w:eastAsia="黑体" w:cs="黑体"/>
          <w:color w:val="000000" w:themeColor="text1"/>
          <w:sz w:val="32"/>
          <w:szCs w:val="32"/>
          <w:lang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14:textFill>
            <w14:solidFill>
              <w14:schemeClr w14:val="tx1"/>
            </w14:solidFill>
          </w14:textFill>
        </w:rPr>
        <w:t>遂宁市安居区禁捕水域休闲垂钓管理办法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为贯彻落实中、省、市、区关于长江流域重点水域禁捕工作决策部署，保护我区天然水域水生生物资源，</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维护禁捕管理秩序，</w:t>
      </w:r>
      <w:r>
        <w:rPr>
          <w:rFonts w:hint="default" w:ascii="Times New Roman" w:hAnsi="Times New Roman" w:eastAsia="方正仿宋简体" w:cs="Times New Roman"/>
          <w:color w:val="000000" w:themeColor="text1"/>
          <w:sz w:val="32"/>
          <w:szCs w:val="32"/>
          <w14:textFill>
            <w14:solidFill>
              <w14:schemeClr w14:val="tx1"/>
            </w14:solidFill>
          </w14:textFill>
        </w:rPr>
        <w:t>规范广大人民群众休闲垂钓行为，根据《中华人民共和国长江保护法》《中华人民共和国渔业法》《中华人民共和国野生动物保护法》《长江水生生物保护管理规定》《四川省&lt;中华人民共和</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国渔业法&gt;实施办法》等法律法规规定及《最高人民法院</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最高人民检察院</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公安部</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农业农村部关于印发&lt;依法惩治长江流域非法捕捞等违法犯罪的意见&gt;的通知》</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公通字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2020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17号</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、《农业农村部办公厅关于进一步加强长江流域垂钓管理工作的</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意见</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农办长渔</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2020</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3号</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、农业农村部长江流域渔政监督管理办公室《关于加强和规范长江流域垂钓管理工作的通知》</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长渔发</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2020</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12号</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、《四川省农业农村厅关于印发</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四川省长江流域禁捕水域休闲垂钓管理办法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的通知》</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川农规</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202</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号</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、《遂宁市农业农村局关于印发</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遂宁市禁捕水域休闲垂钓管理办法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的通知》</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遂农发</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202</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19</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号</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）有关要求</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，结合我区实际，制定本办法。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第一条 本办法适用于我区禁捕水域范围内通过使用钓具、钓法获取钓获物的行为。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第二条  遂宁市安居区农业农村局牵头负责全区禁捕水域休闲垂钓管理工作，各镇人民政府、街道办事处负责所属辖区范围内禁捕水域休闲垂钓管理工作，会同区直有关部门加强禁捕水域休闲垂钓管理，依法查处非法垂钓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第三条  本办法所指禁捕水域为琼江河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上游源头白马镇毗庐寺村上马井，下至三家镇明星村半边河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、白家河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上游源头安居区西眉镇东岳庙村东岳庙水库出口处，下至安居区磨溪镇廖家坝村与重庆市潼南区白云村交界处)、蟠龙河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上游源头安居区东禅镇魔芋湾村跑马滩水库出口处，下至安居区凤凰街道书院沟社区两河口处</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、白家河左支</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上游源头船山区复桥镇寨子村，下至安居区磨溪镇永灵村汇入白家河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、玉丰河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上游源头聚贤镇万古桥村，下至安居区凤凰街道陷马堰社区汇入琼江河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、会龙河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上游源头安居区常理镇双古井村，下至安居区凤凰街道梧桐社区汇入玉丰河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、石洞河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上游源头安居区保石镇界碑村与乐至县交界处，下至安居区石洞镇梓潼庙村汇入琼江河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、开善河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上游源头安居区横山镇福海村，下至安居区横山镇檬子村与船山区交界处</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、桅杆溪</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上游源头安居区白马镇回龙寺村与大英县交界处，下至安居区白马镇治平寺村汇入琼江河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、新桥河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上游源头安居区常理镇迎龙村，下至安居区常理镇迎龙村与船山区交界处</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、黄腊溪</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上游源头安居区横山镇鸡叫山村,下至安居区常理镇沿河村</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等区内所有天然河流。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FF"/>
          <w:sz w:val="32"/>
          <w:szCs w:val="32"/>
        </w:rPr>
      </w:pPr>
      <w:r>
        <w:rPr>
          <w:rFonts w:hint="default" w:ascii="Times New Roman" w:hAnsi="Times New Roman" w:eastAsia="方正仿宋简体" w:cs="Times New Roman"/>
          <w:color w:val="000000" w:themeColor="text1"/>
          <w:sz w:val="32"/>
          <w:szCs w:val="32"/>
          <w14:textFill>
            <w14:solidFill>
              <w14:schemeClr w14:val="tx1"/>
            </w14:solidFill>
          </w14:textFill>
        </w:rPr>
        <w:t>第四条  各镇、街道办事处</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应当</w:t>
      </w:r>
      <w:r>
        <w:rPr>
          <w:rFonts w:hint="default" w:ascii="Times New Roman" w:hAnsi="Times New Roman" w:eastAsia="方正仿宋简体" w:cs="Times New Roman"/>
          <w:color w:val="000000" w:themeColor="text1"/>
          <w:sz w:val="32"/>
          <w:szCs w:val="32"/>
          <w14:textFill>
            <w14:solidFill>
              <w14:schemeClr w14:val="tx1"/>
            </w14:solidFill>
          </w14:textFill>
        </w:rPr>
        <w:t>制定符合本地实际的休闲垂钓管理制度，引导垂钓人员遵守法律法规</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和</w:t>
      </w:r>
      <w:r>
        <w:rPr>
          <w:rFonts w:hint="default" w:ascii="Times New Roman" w:hAnsi="Times New Roman" w:eastAsia="方正仿宋简体" w:cs="Times New Roman"/>
          <w:color w:val="000000" w:themeColor="text1"/>
          <w:sz w:val="32"/>
          <w:szCs w:val="32"/>
          <w14:textFill>
            <w14:solidFill>
              <w14:schemeClr w14:val="tx1"/>
            </w14:solidFill>
          </w14:textFill>
        </w:rPr>
        <w:t>相关规定，安全垂钓、文明垂钓。鼓励建立休闲垂钓行业协会组织和行业征信体系，充分发挥行业协会组织的自律自治、相互监督作用，对垂钓人员进行文明垂钓教育，规范垂钓行为；探索建立垂钓人员实名登记备案制，建立登记备案信息系统，</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便于垂钓个人提交登记备案信息，</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将垂钓行为纳入社会信用管理；</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要</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加大垂钓管理政策法规的宣传，设立标识标牌，公布举报电话，探索建立有奖举报制度，引导公众积极参与对垂钓行为的监督。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第五条  禁钓区、禁钓期内禁止垂钓。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FF"/>
          <w:sz w:val="32"/>
          <w:szCs w:val="32"/>
        </w:rPr>
      </w:pPr>
      <w:r>
        <w:rPr>
          <w:rFonts w:hint="default" w:ascii="Times New Roman" w:hAnsi="Times New Roman" w:eastAsia="方正仿宋简体" w:cs="Times New Roman"/>
          <w:color w:val="000000" w:themeColor="text1"/>
          <w:sz w:val="32"/>
          <w:szCs w:val="32"/>
          <w14:textFill>
            <w14:solidFill>
              <w14:schemeClr w14:val="tx1"/>
            </w14:solidFill>
          </w14:textFill>
        </w:rPr>
        <w:t>禁钓区、禁钓期之外，可以进行休闲垂钓。休闲垂钓是指以不破坏渔业资源为准则，以休闲娱乐为目的，钓具、钓法、钓获物符合规定，且钓获物不用于交易获利的垂钓行为。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禁钓区、禁钓期之外，每名垂钓者只能使用一根鱼竿、一线，鱼钩钩尖总数不超过两个的钓具进行垂钓，不得使用不符合规定的钓法、饵料、窝料进行垂钓。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第六条  本办法所称禁钓区为常年禁止垂钓的水域，包括：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一</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安居琼江翘嘴红鲌省级水产种质资源保护区，保护区位于琼江流经的白马镇毗庐寺村上马井</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安居镇凤凰大桥-三家镇三家大桥-三家镇明星村半边河；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二</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安居城区蟠龙河大桥至凤凰大桥、玉丰河大桥至玉丰河与琼江河汇合处；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三</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安居区桥梁、高速公路、建筑设施、输电线路、电站保护区域、饮用水源保护区和其它有明显或潜在危险的区域；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四</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法律法规规定的其它禁止垂钓的水域</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各镇</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街道</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应当在禁钓区设置明显标识标牌，标明禁钓区范围。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第七条  本办法所称禁钓期为每年3月1日0时至6月30日24时，期间全区天然水域禁止一切垂钓活动。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第八条  禁止使用下列工具或方法进行垂钓：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一</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一人多</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杆</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、多线多钩、长线多钩、单线多钩、锚</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挂</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鱼等方式进行垂钓</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二</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使用各类探鱼设备、视频辅助装置等进行垂钓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三</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使用船艇、排筏等水上漂浮物离岸垂钓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四</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使用含有毒有害物质的钓饵、窝料和添加剂进行垂钓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五</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使用鱼虾类等活体水生生物作为饵料、窝料进行垂钓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六</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使用钓钩钩宽超过2cm的鱼钩</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钩宽是指钩尖到钩柄的最小距离</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进行垂钓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七</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使用国家和我省公布的禁用渔</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具、禁用方法及其他法律法规禁用的钓具、钓法、钓饵进行垂钓。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第九条  禁止钓获《国家重点保护水生野生动物名录》和《四川省重点保护水生野生动物名录》中的水生野生动物，若有误钓，应当立即放回原水体。若误钓的重点保护水生野生动物受伤严重的，应及时报告属地渔业行政主管部门，开展收容救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在垂钓中应主动避让幼体，如误钓小于《四川省天然水域有重要经济价值水生野生动物名录及其采捕标准》规定的最低可捕标准的，须立即放回原水体</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外来入侵物种除外</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FF"/>
          <w:sz w:val="32"/>
          <w:szCs w:val="32"/>
        </w:rPr>
      </w:pPr>
      <w:r>
        <w:rPr>
          <w:rFonts w:hint="default" w:ascii="Times New Roman" w:hAnsi="Times New Roman" w:eastAsia="方正仿宋简体" w:cs="Times New Roman"/>
          <w:color w:val="auto"/>
          <w:sz w:val="32"/>
          <w:szCs w:val="32"/>
        </w:rPr>
        <w:t xml:space="preserve">第十条 </w:t>
      </w:r>
      <w:r>
        <w:rPr>
          <w:rFonts w:hint="default" w:ascii="Times New Roman" w:hAnsi="Times New Roman" w:eastAsia="方正仿宋简体" w:cs="Times New Roman"/>
          <w:color w:val="0000FF"/>
          <w:sz w:val="32"/>
          <w:szCs w:val="32"/>
        </w:rPr>
        <w:t xml:space="preserve"> </w:t>
      </w:r>
      <w:r>
        <w:rPr>
          <w:rFonts w:hint="default" w:ascii="Times New Roman" w:hAnsi="Times New Roman" w:eastAsia="仿宋_GB2312" w:cs="Times New Roman"/>
          <w:i w:val="0"/>
          <w:iCs w:val="0"/>
          <w:caps w:val="0"/>
          <w:color w:val="000000"/>
          <w:spacing w:val="0"/>
          <w:sz w:val="32"/>
          <w:szCs w:val="32"/>
          <w:shd w:val="clear" w:fill="FFFFFF"/>
        </w:rPr>
        <w:t>垂钓者每人每天垂钓期间，留取的钓获物总重量不得超过2.5千克，超出部分应当立即放回原水体。钓获单尾（只）重量超过2.5千克的，可以留取，其他钓获物应当立即放回原水体。列入《国家重点管理外来入侵物种名录》《中国外来入侵物种名单》的种类不纳入钓获物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第十一条  禁止丢弃、分散、隐藏应当立即放回原水体的钓获物。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第十二条  禁止销售、收购禁捕水域钓获物及其制品，有交易行为的视同非法捕捞。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第十三条  垂钓人员应当具有安全意识，具备从事野外垂钓活动的身体条件，自觉携带必要的水上救生设备，主动识别和避开危险区域。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垂钓人员应加强环保意识，自觉维护垂钓水域、沿岸自然生态环境，不得损坏岸边树木、不得向河道内或岸边乱扔垃圾、投放其他有毒有害物质、过量投放饵料，离开垂钓区时，应当及时将垂钓产生的废弃物回收带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第十四 违反本办法规定，在禁钓区、禁钓期进行垂钓的，按照《中华人民共和国渔业法》《四川省&lt;中华人民共和国渔业法&gt;实施办法》等法律法规进行处罚。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第十五条  违反本办法规定，钓获国家、省级重点保护水生野生动物，拒不放回原水体的，按照《中华人民共和国野生动物保护法》等法律法规进行处罚。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第十六</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条</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 违反本办法规定，使用本办法第八条禁止的工具、方法进行垂钓的，按照《中华人民共和国渔业法》《四川省&lt;中华人民共和国渔业法&gt;实施办法》等法律法规进行处罚。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第十七条 违反本办法规定，销售、收购禁捕水域垂钓渔获物及其制品的，按照《中华人民共和国长江保护法》《中华人民共和国渔业法》《四川省&lt;中华人民共和国渔业法&gt;实施办法》等法律法规进行处罚。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第十八条  在禁钓区、禁钓期需以垂钓方式开展科研教学、调查监测、探捕，须按《中华人民共和国渔业法实施细则》第十九条规定，按照《四川省长江流域重点水域禁捕期间因特殊需要采集水生生物管理办法》执行。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第十九条  本办法由遂宁市安居区农业农村局具体负责解释。</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第二十条  本办法自</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2024年7月30日</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起实施，有效期</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年。实施期间，若中、省、市出台新的规定，与本办法不一致的，以中、省</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市规定为准，并适时修订完善。</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原</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《遂宁市安居区农业农村局</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关于印发</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&lt;</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遂宁市安居区禁捕水域休闲垂钓管理办法（试行）</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&gt;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的通知</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遂安农</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〔2022〕</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241</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号）因有效期届满自动失效。</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ZDBhZjFkOTQ3ZGM1YmZhZWI4MjNjYWVkNjFhYWYifQ=="/>
  </w:docVars>
  <w:rsids>
    <w:rsidRoot w:val="68B7442D"/>
    <w:rsid w:val="004E43BF"/>
    <w:rsid w:val="0199177D"/>
    <w:rsid w:val="01A73D87"/>
    <w:rsid w:val="022C24DE"/>
    <w:rsid w:val="02EE3C38"/>
    <w:rsid w:val="04BD38C2"/>
    <w:rsid w:val="05B4741B"/>
    <w:rsid w:val="0765096C"/>
    <w:rsid w:val="082D6FB0"/>
    <w:rsid w:val="094576C5"/>
    <w:rsid w:val="0B8E1251"/>
    <w:rsid w:val="1182211B"/>
    <w:rsid w:val="12647216"/>
    <w:rsid w:val="12AA1929"/>
    <w:rsid w:val="14104F23"/>
    <w:rsid w:val="1499367D"/>
    <w:rsid w:val="14BE4647"/>
    <w:rsid w:val="150D43F1"/>
    <w:rsid w:val="15747FCD"/>
    <w:rsid w:val="15973113"/>
    <w:rsid w:val="19094ED0"/>
    <w:rsid w:val="19A35324"/>
    <w:rsid w:val="1A846F04"/>
    <w:rsid w:val="1ADF413A"/>
    <w:rsid w:val="1BF94053"/>
    <w:rsid w:val="1DB7314C"/>
    <w:rsid w:val="1DCD4D95"/>
    <w:rsid w:val="1DEC729A"/>
    <w:rsid w:val="1E8D66D5"/>
    <w:rsid w:val="1EA2417A"/>
    <w:rsid w:val="1FAE326A"/>
    <w:rsid w:val="20571F42"/>
    <w:rsid w:val="237044C9"/>
    <w:rsid w:val="26993D37"/>
    <w:rsid w:val="269B185D"/>
    <w:rsid w:val="286372BA"/>
    <w:rsid w:val="2D485B6F"/>
    <w:rsid w:val="2E496043"/>
    <w:rsid w:val="2EDE2C2F"/>
    <w:rsid w:val="35120308"/>
    <w:rsid w:val="37144D14"/>
    <w:rsid w:val="38BA189F"/>
    <w:rsid w:val="393B0C7E"/>
    <w:rsid w:val="3B710987"/>
    <w:rsid w:val="3BA448B8"/>
    <w:rsid w:val="3BE455FD"/>
    <w:rsid w:val="3C8B7826"/>
    <w:rsid w:val="3EBD34B2"/>
    <w:rsid w:val="3ECB004A"/>
    <w:rsid w:val="42D3348C"/>
    <w:rsid w:val="44633023"/>
    <w:rsid w:val="45A31B87"/>
    <w:rsid w:val="495A0CAC"/>
    <w:rsid w:val="4DCF1E9B"/>
    <w:rsid w:val="4DF12D42"/>
    <w:rsid w:val="52BB0A0D"/>
    <w:rsid w:val="54CC41A2"/>
    <w:rsid w:val="556B629F"/>
    <w:rsid w:val="56A444D4"/>
    <w:rsid w:val="57671894"/>
    <w:rsid w:val="57D1482F"/>
    <w:rsid w:val="59547C85"/>
    <w:rsid w:val="5BD23C25"/>
    <w:rsid w:val="5DAA1DAA"/>
    <w:rsid w:val="5E1D07CE"/>
    <w:rsid w:val="60255718"/>
    <w:rsid w:val="605325BC"/>
    <w:rsid w:val="605361DC"/>
    <w:rsid w:val="60966616"/>
    <w:rsid w:val="62116EE1"/>
    <w:rsid w:val="6378433E"/>
    <w:rsid w:val="643409D8"/>
    <w:rsid w:val="659D2AED"/>
    <w:rsid w:val="67173AD1"/>
    <w:rsid w:val="678E0EF4"/>
    <w:rsid w:val="68B7442D"/>
    <w:rsid w:val="69C87C7D"/>
    <w:rsid w:val="6A2E5B11"/>
    <w:rsid w:val="6A667059"/>
    <w:rsid w:val="6AF428B7"/>
    <w:rsid w:val="70480FAF"/>
    <w:rsid w:val="71396DD3"/>
    <w:rsid w:val="73CC2623"/>
    <w:rsid w:val="753B10E2"/>
    <w:rsid w:val="769B008A"/>
    <w:rsid w:val="76A01B45"/>
    <w:rsid w:val="78A27DF6"/>
    <w:rsid w:val="7AD16771"/>
    <w:rsid w:val="7EC34622"/>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仿宋_GB2312" w:hAnsi="仿宋_GB2312" w:eastAsia="仿宋_GB2312" w:cs="仿宋_GB2312"/>
      <w:sz w:val="32"/>
      <w:szCs w:val="32"/>
      <w:lang w:val="zh-CN" w:eastAsia="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qFormat/>
    <w:uiPriority w:val="0"/>
    <w:rPr>
      <w:rFonts w:ascii="宋体" w:hAnsi="Courier New" w:eastAsia="宋体" w:cs="宋体"/>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autoRedefine/>
    <w:qFormat/>
    <w:uiPriority w:val="99"/>
    <w:pPr>
      <w:widowControl w:val="0"/>
      <w:kinsoku/>
      <w:autoSpaceDE/>
      <w:autoSpaceDN/>
      <w:adjustRightInd/>
      <w:snapToGrid/>
      <w:spacing w:after="0"/>
      <w:ind w:left="0" w:leftChars="0" w:firstLine="640" w:firstLineChars="200"/>
      <w:jc w:val="both"/>
      <w:textAlignment w:val="auto"/>
    </w:pPr>
    <w:rPr>
      <w:rFonts w:ascii="Times New Roman" w:hAnsi="Times New Roman" w:eastAsia="宋体" w:cs="Times New Roman"/>
      <w:snapToGrid/>
      <w:color w:val="auto"/>
      <w:kern w:val="2"/>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paragraph" w:customStyle="1" w:styleId="14">
    <w:name w:val="footer1"/>
    <w:basedOn w:val="1"/>
    <w:autoRedefine/>
    <w:qFormat/>
    <w:uiPriority w:val="0"/>
    <w:pPr>
      <w:tabs>
        <w:tab w:val="center" w:pos="4153"/>
        <w:tab w:val="right" w:pos="8306"/>
      </w:tabs>
      <w:snapToGrid w:val="0"/>
      <w:jc w:val="left"/>
    </w:pPr>
    <w:rPr>
      <w:rFonts w:hint="eastAsia"/>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2604</Words>
  <Characters>2639</Characters>
  <Lines>0</Lines>
  <Paragraphs>0</Paragraphs>
  <TotalTime>13</TotalTime>
  <ScaleCrop>false</ScaleCrop>
  <LinksUpToDate>false</LinksUpToDate>
  <CharactersWithSpaces>2667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2021-11-18T02:14:00Z</dcterms:created>
  <dc:creator>张二哥</dc:creator>
  <cp:lastModifiedBy>*.*傻''得冒泡~^.^</cp:lastModifiedBy>
  <dcterms:modified xsi:type="dcterms:W3CDTF">2024-06-21T06:52:44Z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E27E332331054611882464167EBB25D2</vt:lpwstr>
  </property>
</Properties>
</file>