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30" w:lineRule="auto"/>
        <w:rPr>
          <w:rFonts w:hint="eastAsia" w:ascii="方正黑体简体" w:hAnsi="方正黑体简体" w:eastAsia="方正黑体简体" w:cs="方正黑体简体"/>
          <w:spacing w:val="-4"/>
          <w:sz w:val="32"/>
          <w:szCs w:val="32"/>
        </w:rPr>
      </w:pPr>
      <w:r>
        <w:rPr>
          <w:rFonts w:hint="eastAsia" w:ascii="方正黑体简体" w:hAnsi="方正黑体简体" w:eastAsia="方正黑体简体" w:cs="方正黑体简体"/>
          <w:spacing w:val="-4"/>
          <w:sz w:val="32"/>
          <w:szCs w:val="32"/>
        </w:rPr>
        <w:t>附件</w:t>
      </w:r>
      <w:r>
        <w:rPr>
          <w:rFonts w:hint="default" w:ascii="Times New Roman" w:hAnsi="Times New Roman" w:eastAsia="方正黑体简体" w:cs="Times New Roman"/>
          <w:spacing w:val="-4"/>
          <w:sz w:val="32"/>
          <w:szCs w:val="32"/>
        </w:rPr>
        <w:t>2</w:t>
      </w:r>
    </w:p>
    <w:p>
      <w:pPr>
        <w:spacing w:before="156" w:line="653" w:lineRule="exact"/>
        <w:ind w:left="4058"/>
        <w:rPr>
          <w:rFonts w:ascii="宋体" w:hAnsi="宋体" w:cs="宋体"/>
          <w:sz w:val="48"/>
          <w:szCs w:val="48"/>
        </w:rPr>
      </w:pPr>
      <w:r>
        <w:rPr>
          <w:rFonts w:hint="eastAsia" w:ascii="方正小标宋简体" w:hAnsi="方正小标宋简体" w:eastAsia="方正小标宋简体" w:cs="方正小标宋简体"/>
          <w:b w:val="0"/>
          <w:bCs w:val="0"/>
          <w:spacing w:val="-7"/>
          <w:position w:val="2"/>
          <w:sz w:val="44"/>
          <w:szCs w:val="44"/>
        </w:rPr>
        <w:t>医疗器械经营环节检查要点</w:t>
      </w:r>
    </w:p>
    <w:p>
      <w:pPr>
        <w:spacing w:line="65" w:lineRule="exact"/>
      </w:pPr>
    </w:p>
    <w:tbl>
      <w:tblPr>
        <w:tblStyle w:val="8"/>
        <w:tblW w:w="13830"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982"/>
        <w:gridCol w:w="109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854" w:type="dxa"/>
            <w:noWrap w:val="0"/>
            <w:vAlign w:val="top"/>
          </w:tcPr>
          <w:p>
            <w:pPr>
              <w:spacing w:before="288" w:line="224" w:lineRule="auto"/>
              <w:ind w:left="155"/>
              <w:rPr>
                <w:rFonts w:ascii="黑体" w:hAnsi="黑体" w:eastAsia="黑体" w:cs="黑体"/>
                <w:sz w:val="28"/>
                <w:szCs w:val="28"/>
              </w:rPr>
            </w:pPr>
            <w:r>
              <w:rPr>
                <w:rFonts w:ascii="黑体" w:hAnsi="黑体" w:eastAsia="黑体" w:cs="黑体"/>
                <w:spacing w:val="-3"/>
                <w:sz w:val="28"/>
                <w:szCs w:val="28"/>
              </w:rPr>
              <w:t>序号</w:t>
            </w:r>
          </w:p>
        </w:tc>
        <w:tc>
          <w:tcPr>
            <w:tcW w:w="1982" w:type="dxa"/>
            <w:noWrap w:val="0"/>
            <w:vAlign w:val="top"/>
          </w:tcPr>
          <w:p>
            <w:pPr>
              <w:spacing w:before="288" w:line="224" w:lineRule="auto"/>
              <w:ind w:left="443"/>
              <w:rPr>
                <w:rFonts w:ascii="黑体" w:hAnsi="黑体" w:eastAsia="黑体" w:cs="黑体"/>
                <w:sz w:val="28"/>
                <w:szCs w:val="28"/>
              </w:rPr>
            </w:pPr>
            <w:r>
              <w:rPr>
                <w:rFonts w:ascii="黑体" w:hAnsi="黑体" w:eastAsia="黑体" w:cs="黑体"/>
                <w:spacing w:val="-4"/>
                <w:sz w:val="28"/>
                <w:szCs w:val="28"/>
              </w:rPr>
              <w:t>重点环节</w:t>
            </w:r>
          </w:p>
        </w:tc>
        <w:tc>
          <w:tcPr>
            <w:tcW w:w="10994" w:type="dxa"/>
            <w:noWrap w:val="0"/>
            <w:vAlign w:val="top"/>
          </w:tcPr>
          <w:p>
            <w:pPr>
              <w:spacing w:before="288" w:line="223" w:lineRule="auto"/>
              <w:ind w:left="4940"/>
              <w:rPr>
                <w:rFonts w:ascii="黑体" w:hAnsi="黑体" w:eastAsia="黑体" w:cs="黑体"/>
                <w:sz w:val="28"/>
                <w:szCs w:val="28"/>
              </w:rPr>
            </w:pPr>
            <w:r>
              <w:rPr>
                <w:rFonts w:ascii="黑体" w:hAnsi="黑体" w:eastAsia="黑体" w:cs="黑体"/>
                <w:spacing w:val="-2"/>
                <w:sz w:val="28"/>
                <w:szCs w:val="28"/>
              </w:rPr>
              <w:t>检查要点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6" w:hRule="atLeast"/>
        </w:trPr>
        <w:tc>
          <w:tcPr>
            <w:tcW w:w="854" w:type="dxa"/>
            <w:vMerge w:val="restart"/>
            <w:tcBorders>
              <w:bottom w:val="nil"/>
            </w:tcBorders>
            <w:noWrap w:val="0"/>
            <w:vAlign w:val="top"/>
          </w:tcPr>
          <w:p>
            <w:pPr>
              <w:keepNext w:val="0"/>
              <w:keepLines w:val="0"/>
              <w:pageBreakBefore w:val="0"/>
              <w:wordWrap/>
              <w:overflowPunct/>
              <w:topLinePunct w:val="0"/>
              <w:bidi w:val="0"/>
              <w:spacing w:before="66" w:line="300" w:lineRule="exact"/>
              <w:ind w:left="393"/>
              <w:rPr>
                <w:rFonts w:eastAsia="Times New Roman"/>
                <w:sz w:val="23"/>
                <w:szCs w:val="23"/>
              </w:rPr>
            </w:pPr>
            <w:r>
              <w:rPr>
                <w:rFonts w:hint="default" w:ascii="Times New Roman" w:hAnsi="Times New Roman" w:eastAsia="Times New Roman" w:cs="Times New Roman"/>
                <w:sz w:val="23"/>
                <w:szCs w:val="23"/>
              </w:rPr>
              <w:t>1</w:t>
            </w:r>
          </w:p>
        </w:tc>
        <w:tc>
          <w:tcPr>
            <w:tcW w:w="1982" w:type="dxa"/>
            <w:vMerge w:val="restart"/>
            <w:tcBorders>
              <w:bottom w:val="nil"/>
            </w:tcBorders>
            <w:noWrap w:val="0"/>
            <w:vAlign w:val="top"/>
          </w:tcPr>
          <w:p>
            <w:pPr>
              <w:pStyle w:val="15"/>
              <w:keepNext w:val="0"/>
              <w:keepLines w:val="0"/>
              <w:pageBreakBefore w:val="0"/>
              <w:wordWrap/>
              <w:overflowPunct/>
              <w:topLinePunct w:val="0"/>
              <w:bidi w:val="0"/>
              <w:spacing w:before="74" w:line="300" w:lineRule="exact"/>
              <w:ind w:left="120" w:right="106" w:hanging="1"/>
              <w:jc w:val="both"/>
            </w:pPr>
            <w:r>
              <w:rPr>
                <w:spacing w:val="20"/>
                <w:lang w:eastAsia="zh-CN"/>
              </w:rPr>
              <w:t>经营不符合法定</w:t>
            </w:r>
            <w:r>
              <w:rPr>
                <w:spacing w:val="19"/>
                <w:lang w:eastAsia="zh-CN"/>
              </w:rPr>
              <w:t>要</w:t>
            </w:r>
            <w:r>
              <w:rPr>
                <w:rFonts w:hint="eastAsia"/>
                <w:spacing w:val="19"/>
                <w:lang w:eastAsia="zh-CN"/>
              </w:rPr>
              <w:t>求的</w:t>
            </w:r>
            <w:r>
              <w:rPr>
                <w:spacing w:val="19"/>
                <w:lang w:eastAsia="zh-CN"/>
              </w:rPr>
              <w:t>医疗器械行</w:t>
            </w:r>
            <w:r>
              <w:t>为</w:t>
            </w:r>
          </w:p>
        </w:tc>
        <w:tc>
          <w:tcPr>
            <w:tcW w:w="10994" w:type="dxa"/>
            <w:noWrap w:val="0"/>
            <w:vAlign w:val="top"/>
          </w:tcPr>
          <w:p>
            <w:pPr>
              <w:pStyle w:val="15"/>
              <w:keepNext w:val="0"/>
              <w:keepLines w:val="0"/>
              <w:pageBreakBefore w:val="0"/>
              <w:wordWrap/>
              <w:overflowPunct/>
              <w:topLinePunct w:val="0"/>
              <w:bidi w:val="0"/>
              <w:spacing w:before="285" w:line="300" w:lineRule="exact"/>
              <w:ind w:left="132"/>
              <w:rPr>
                <w:lang w:eastAsia="zh-CN"/>
              </w:rPr>
            </w:pPr>
            <w:r>
              <w:rPr>
                <w:rFonts w:hint="default"/>
                <w:spacing w:val="10"/>
                <w:position w:val="15"/>
                <w:lang w:eastAsia="zh-CN"/>
              </w:rPr>
              <w:t>1</w:t>
            </w:r>
            <w:r>
              <w:rPr>
                <w:spacing w:val="10"/>
                <w:position w:val="15"/>
                <w:lang w:eastAsia="zh-CN"/>
              </w:rPr>
              <w:t>.经营未经备案的第一类医疗器械，或者经营未取得医疗器械注册证的第二类、第三类医疗器械。经营过期、失效、淘汰的医疗器械；进口过期、失效、淘汰等已使用过的医疗器械。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854" w:type="dxa"/>
            <w:vMerge w:val="continue"/>
            <w:tcBorders>
              <w:top w:val="nil"/>
            </w:tcBorders>
            <w:noWrap w:val="0"/>
            <w:vAlign w:val="top"/>
          </w:tcPr>
          <w:p>
            <w:pPr>
              <w:keepNext w:val="0"/>
              <w:keepLines w:val="0"/>
              <w:pageBreakBefore w:val="0"/>
              <w:wordWrap/>
              <w:overflowPunct/>
              <w:topLinePunct w:val="0"/>
              <w:bidi w:val="0"/>
              <w:spacing w:line="300" w:lineRule="exact"/>
            </w:pPr>
          </w:p>
        </w:tc>
        <w:tc>
          <w:tcPr>
            <w:tcW w:w="1982" w:type="dxa"/>
            <w:vMerge w:val="continue"/>
            <w:tcBorders>
              <w:top w:val="nil"/>
            </w:tcBorders>
            <w:noWrap w:val="0"/>
            <w:vAlign w:val="top"/>
          </w:tcPr>
          <w:p>
            <w:pPr>
              <w:keepNext w:val="0"/>
              <w:keepLines w:val="0"/>
              <w:pageBreakBefore w:val="0"/>
              <w:wordWrap/>
              <w:overflowPunct/>
              <w:topLinePunct w:val="0"/>
              <w:bidi w:val="0"/>
              <w:spacing w:line="300" w:lineRule="exact"/>
            </w:pPr>
          </w:p>
        </w:tc>
        <w:tc>
          <w:tcPr>
            <w:tcW w:w="10994" w:type="dxa"/>
            <w:noWrap w:val="0"/>
            <w:vAlign w:val="top"/>
          </w:tcPr>
          <w:p>
            <w:pPr>
              <w:keepNext w:val="0"/>
              <w:keepLines w:val="0"/>
              <w:pageBreakBefore w:val="0"/>
              <w:wordWrap/>
              <w:overflowPunct/>
              <w:topLinePunct w:val="0"/>
              <w:bidi w:val="0"/>
              <w:spacing w:line="300" w:lineRule="exact"/>
            </w:pPr>
          </w:p>
          <w:p>
            <w:pPr>
              <w:pStyle w:val="15"/>
              <w:keepNext w:val="0"/>
              <w:keepLines w:val="0"/>
              <w:pageBreakBefore w:val="0"/>
              <w:wordWrap/>
              <w:overflowPunct/>
              <w:topLinePunct w:val="0"/>
              <w:bidi w:val="0"/>
              <w:spacing w:before="75" w:line="300" w:lineRule="exact"/>
              <w:ind w:left="109"/>
              <w:rPr>
                <w:lang w:eastAsia="zh-CN"/>
              </w:rPr>
            </w:pPr>
            <w:r>
              <w:rPr>
                <w:rFonts w:hint="default"/>
                <w:spacing w:val="10"/>
                <w:position w:val="15"/>
                <w:lang w:eastAsia="zh-CN"/>
              </w:rPr>
              <w:t>2</w:t>
            </w:r>
            <w:r>
              <w:rPr>
                <w:spacing w:val="10"/>
                <w:position w:val="15"/>
                <w:lang w:eastAsia="zh-CN"/>
              </w:rPr>
              <w:t>.经营无合格证明文件的医疗器械。经营不符合强制性标准或者不符合经注册或者备案的产品技术要求的医疗器械。经营的医疗器械的说明书、标签不符合有关规定</w:t>
            </w:r>
            <w:r>
              <w:rPr>
                <w:rFonts w:hint="eastAsia"/>
                <w:spacing w:val="10"/>
                <w:position w:val="15"/>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8" w:hRule="atLeast"/>
        </w:trPr>
        <w:tc>
          <w:tcPr>
            <w:tcW w:w="854" w:type="dxa"/>
            <w:vMerge w:val="restart"/>
            <w:tcBorders>
              <w:bottom w:val="nil"/>
            </w:tcBorders>
            <w:noWrap w:val="0"/>
            <w:vAlign w:val="top"/>
          </w:tcPr>
          <w:p>
            <w:pPr>
              <w:keepNext w:val="0"/>
              <w:keepLines w:val="0"/>
              <w:pageBreakBefore w:val="0"/>
              <w:wordWrap/>
              <w:overflowPunct/>
              <w:topLinePunct w:val="0"/>
              <w:bidi w:val="0"/>
              <w:spacing w:before="66" w:line="300" w:lineRule="exact"/>
              <w:ind w:left="370"/>
              <w:rPr>
                <w:rFonts w:eastAsia="Times New Roman"/>
                <w:sz w:val="23"/>
                <w:szCs w:val="23"/>
              </w:rPr>
            </w:pPr>
            <w:r>
              <w:rPr>
                <w:rFonts w:hint="default" w:ascii="Times New Roman" w:hAnsi="Times New Roman" w:eastAsia="Times New Roman" w:cs="Times New Roman"/>
                <w:sz w:val="23"/>
                <w:szCs w:val="23"/>
              </w:rPr>
              <w:t>2</w:t>
            </w:r>
          </w:p>
        </w:tc>
        <w:tc>
          <w:tcPr>
            <w:tcW w:w="1982" w:type="dxa"/>
            <w:vMerge w:val="restart"/>
            <w:tcBorders>
              <w:bottom w:val="nil"/>
            </w:tcBorders>
            <w:noWrap w:val="0"/>
            <w:vAlign w:val="top"/>
          </w:tcPr>
          <w:p>
            <w:pPr>
              <w:pStyle w:val="15"/>
              <w:keepNext w:val="0"/>
              <w:keepLines w:val="0"/>
              <w:pageBreakBefore w:val="0"/>
              <w:wordWrap/>
              <w:overflowPunct/>
              <w:topLinePunct w:val="0"/>
              <w:bidi w:val="0"/>
              <w:spacing w:before="75" w:line="300" w:lineRule="exact"/>
              <w:ind w:left="116"/>
              <w:rPr>
                <w:lang w:eastAsia="zh-CN"/>
              </w:rPr>
            </w:pPr>
            <w:r>
              <w:rPr>
                <w:spacing w:val="20"/>
                <w:lang w:eastAsia="zh-CN"/>
              </w:rPr>
              <w:t>违反经营许可或者备案管理行为</w:t>
            </w:r>
          </w:p>
        </w:tc>
        <w:tc>
          <w:tcPr>
            <w:tcW w:w="10994" w:type="dxa"/>
            <w:noWrap w:val="0"/>
            <w:vAlign w:val="top"/>
          </w:tcPr>
          <w:p>
            <w:pPr>
              <w:pStyle w:val="15"/>
              <w:keepNext w:val="0"/>
              <w:keepLines w:val="0"/>
              <w:pageBreakBefore w:val="0"/>
              <w:wordWrap/>
              <w:overflowPunct/>
              <w:topLinePunct w:val="0"/>
              <w:bidi w:val="0"/>
              <w:spacing w:before="271" w:line="300" w:lineRule="exact"/>
              <w:ind w:left="124" w:right="106" w:firstLine="8"/>
              <w:jc w:val="both"/>
              <w:rPr>
                <w:lang w:eastAsia="zh-CN"/>
              </w:rPr>
            </w:pPr>
            <w:r>
              <w:rPr>
                <w:rFonts w:hint="default"/>
                <w:spacing w:val="10"/>
                <w:position w:val="15"/>
                <w:lang w:eastAsia="zh-CN"/>
              </w:rPr>
              <w:t>1</w:t>
            </w:r>
            <w:r>
              <w:rPr>
                <w:spacing w:val="10"/>
                <w:position w:val="15"/>
                <w:lang w:eastAsia="zh-CN"/>
              </w:rPr>
              <w:t>.未办理备案或者经营许可，从事第二类、第三类医疗器械经营活动。第二类、第三类医疗器械经营企业未按规定办理企业名称、法定代表人、企业负责人变更。医疗器械经营许可证有效期届满后，未依法办理延续手续仍继续从事医疗器械经营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8" w:hRule="atLeast"/>
        </w:trPr>
        <w:tc>
          <w:tcPr>
            <w:tcW w:w="854" w:type="dxa"/>
            <w:vMerge w:val="continue"/>
            <w:tcBorders>
              <w:top w:val="nil"/>
              <w:bottom w:val="nil"/>
            </w:tcBorders>
            <w:noWrap w:val="0"/>
            <w:vAlign w:val="top"/>
          </w:tcPr>
          <w:p>
            <w:pPr>
              <w:keepNext w:val="0"/>
              <w:keepLines w:val="0"/>
              <w:pageBreakBefore w:val="0"/>
              <w:wordWrap/>
              <w:overflowPunct/>
              <w:topLinePunct w:val="0"/>
              <w:bidi w:val="0"/>
              <w:spacing w:line="300" w:lineRule="exact"/>
            </w:pPr>
          </w:p>
        </w:tc>
        <w:tc>
          <w:tcPr>
            <w:tcW w:w="1982" w:type="dxa"/>
            <w:vMerge w:val="continue"/>
            <w:tcBorders>
              <w:top w:val="nil"/>
              <w:bottom w:val="nil"/>
            </w:tcBorders>
            <w:noWrap w:val="0"/>
            <w:vAlign w:val="top"/>
          </w:tcPr>
          <w:p>
            <w:pPr>
              <w:keepNext w:val="0"/>
              <w:keepLines w:val="0"/>
              <w:pageBreakBefore w:val="0"/>
              <w:wordWrap/>
              <w:overflowPunct/>
              <w:topLinePunct w:val="0"/>
              <w:bidi w:val="0"/>
              <w:spacing w:line="300" w:lineRule="exact"/>
            </w:pPr>
          </w:p>
        </w:tc>
        <w:tc>
          <w:tcPr>
            <w:tcW w:w="10994" w:type="dxa"/>
            <w:noWrap w:val="0"/>
            <w:vAlign w:val="top"/>
          </w:tcPr>
          <w:p>
            <w:pPr>
              <w:pStyle w:val="15"/>
              <w:keepNext w:val="0"/>
              <w:keepLines w:val="0"/>
              <w:pageBreakBefore w:val="0"/>
              <w:wordWrap/>
              <w:overflowPunct/>
              <w:topLinePunct w:val="0"/>
              <w:bidi w:val="0"/>
              <w:spacing w:before="239" w:line="300" w:lineRule="exact"/>
              <w:ind w:left="109"/>
              <w:rPr>
                <w:lang w:eastAsia="zh-CN"/>
              </w:rPr>
            </w:pPr>
            <w:r>
              <w:rPr>
                <w:rFonts w:hint="default"/>
                <w:spacing w:val="10"/>
                <w:position w:val="15"/>
                <w:lang w:eastAsia="zh-CN"/>
              </w:rPr>
              <w:t>2</w:t>
            </w:r>
            <w:r>
              <w:rPr>
                <w:spacing w:val="10"/>
                <w:position w:val="15"/>
                <w:lang w:eastAsia="zh-CN"/>
              </w:rPr>
              <w:t>.提供虚假资料或者采取其他欺骗手段取得医疗器械经营备案凭证或者医疗器械经营许可证。伪造、变造、买卖、出租、出借医疗器械经营许可证或者医疗器械经营备案凭证。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854" w:type="dxa"/>
            <w:vMerge w:val="continue"/>
            <w:tcBorders>
              <w:top w:val="nil"/>
            </w:tcBorders>
            <w:noWrap w:val="0"/>
            <w:vAlign w:val="top"/>
          </w:tcPr>
          <w:p/>
        </w:tc>
        <w:tc>
          <w:tcPr>
            <w:tcW w:w="1982" w:type="dxa"/>
            <w:vMerge w:val="continue"/>
            <w:tcBorders>
              <w:top w:val="nil"/>
            </w:tcBorders>
            <w:noWrap w:val="0"/>
            <w:vAlign w:val="top"/>
          </w:tcPr>
          <w:p/>
        </w:tc>
        <w:tc>
          <w:tcPr>
            <w:tcW w:w="10994" w:type="dxa"/>
            <w:noWrap w:val="0"/>
            <w:vAlign w:val="top"/>
          </w:tcPr>
          <w:p>
            <w:pPr>
              <w:pStyle w:val="15"/>
              <w:spacing w:before="75" w:line="225" w:lineRule="auto"/>
              <w:rPr>
                <w:lang w:eastAsia="zh-CN"/>
              </w:rPr>
            </w:pPr>
            <w:r>
              <w:rPr>
                <w:rFonts w:hint="default" w:ascii="仿宋" w:hAnsi="仿宋" w:eastAsia="仿宋" w:cs="仿宋"/>
                <w:snapToGrid w:val="0"/>
                <w:color w:val="000000"/>
                <w:spacing w:val="10"/>
                <w:kern w:val="0"/>
                <w:position w:val="15"/>
                <w:sz w:val="23"/>
                <w:szCs w:val="23"/>
                <w:lang w:val="en-US" w:eastAsia="zh-CN" w:bidi="ar-SA"/>
              </w:rPr>
              <w:t>3.擅自变更经营场所、经营方式、经营范围、库房地址。</w:t>
            </w:r>
          </w:p>
        </w:tc>
      </w:tr>
    </w:tbl>
    <w:p/>
    <w:p>
      <w:pPr>
        <w:spacing w:before="23"/>
      </w:pPr>
    </w:p>
    <w:p>
      <w:pPr>
        <w:spacing w:before="22"/>
      </w:pPr>
    </w:p>
    <w:tbl>
      <w:tblPr>
        <w:tblStyle w:val="8"/>
        <w:tblW w:w="13830"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982"/>
        <w:gridCol w:w="109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3" w:hRule="atLeast"/>
        </w:trPr>
        <w:tc>
          <w:tcPr>
            <w:tcW w:w="854" w:type="dxa"/>
            <w:vMerge w:val="restart"/>
            <w:tcBorders>
              <w:bottom w:val="nil"/>
            </w:tcBorders>
            <w:noWrap w:val="0"/>
            <w:vAlign w:val="top"/>
          </w:tcPr>
          <w:p>
            <w:pPr>
              <w:spacing w:before="66" w:line="194" w:lineRule="auto"/>
              <w:ind w:left="375"/>
              <w:rPr>
                <w:rFonts w:eastAsia="Times New Roman"/>
                <w:sz w:val="23"/>
                <w:szCs w:val="23"/>
              </w:rPr>
            </w:pPr>
            <w:r>
              <w:rPr>
                <w:rFonts w:hint="default" w:ascii="Times New Roman" w:hAnsi="Times New Roman" w:eastAsia="Times New Roman" w:cs="Times New Roman"/>
                <w:sz w:val="23"/>
                <w:szCs w:val="23"/>
              </w:rPr>
              <w:t>3</w:t>
            </w:r>
          </w:p>
        </w:tc>
        <w:tc>
          <w:tcPr>
            <w:tcW w:w="1982" w:type="dxa"/>
            <w:vMerge w:val="restart"/>
            <w:tcBorders>
              <w:bottom w:val="nil"/>
            </w:tcBorders>
            <w:noWrap w:val="0"/>
            <w:vAlign w:val="top"/>
          </w:tcPr>
          <w:p>
            <w:pPr>
              <w:pStyle w:val="15"/>
              <w:spacing w:before="75" w:line="353" w:lineRule="auto"/>
              <w:ind w:left="113" w:right="106"/>
              <w:jc w:val="both"/>
            </w:pPr>
            <w:r>
              <w:rPr>
                <w:spacing w:val="21"/>
                <w:lang w:eastAsia="zh-CN"/>
              </w:rPr>
              <w:t>未按要求开展医疗器械质量管理</w:t>
            </w:r>
            <w:r>
              <w:rPr>
                <w:spacing w:val="5"/>
              </w:rPr>
              <w:t>行为</w:t>
            </w:r>
          </w:p>
        </w:tc>
        <w:tc>
          <w:tcPr>
            <w:tcW w:w="10994" w:type="dxa"/>
            <w:noWrap w:val="0"/>
            <w:vAlign w:val="top"/>
          </w:tcPr>
          <w:p>
            <w:pPr>
              <w:pStyle w:val="15"/>
              <w:spacing w:before="224" w:line="439" w:lineRule="exact"/>
              <w:ind w:left="132"/>
              <w:rPr>
                <w:lang w:eastAsia="zh-CN"/>
              </w:rPr>
            </w:pPr>
            <w:r>
              <w:rPr>
                <w:rFonts w:hint="default"/>
                <w:spacing w:val="10"/>
                <w:position w:val="15"/>
                <w:lang w:eastAsia="zh-CN"/>
              </w:rPr>
              <w:t>1</w:t>
            </w:r>
            <w:r>
              <w:rPr>
                <w:spacing w:val="10"/>
                <w:position w:val="15"/>
                <w:lang w:eastAsia="zh-CN"/>
              </w:rPr>
              <w:t>.经营条件发生变化，不再符合医疗器械经营质量管理体系要求， 未按照规定进行整改。未按照要求提交经营质量管理自查报告。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854" w:type="dxa"/>
            <w:vMerge w:val="continue"/>
            <w:tcBorders>
              <w:top w:val="nil"/>
              <w:bottom w:val="nil"/>
            </w:tcBorders>
            <w:noWrap w:val="0"/>
            <w:vAlign w:val="top"/>
          </w:tcPr>
          <w:p/>
        </w:tc>
        <w:tc>
          <w:tcPr>
            <w:tcW w:w="1982" w:type="dxa"/>
            <w:vMerge w:val="continue"/>
            <w:tcBorders>
              <w:top w:val="nil"/>
              <w:bottom w:val="nil"/>
            </w:tcBorders>
            <w:noWrap w:val="0"/>
            <w:vAlign w:val="top"/>
          </w:tcPr>
          <w:p/>
        </w:tc>
        <w:tc>
          <w:tcPr>
            <w:tcW w:w="10994" w:type="dxa"/>
            <w:noWrap w:val="0"/>
            <w:vAlign w:val="top"/>
          </w:tcPr>
          <w:p>
            <w:pPr>
              <w:pStyle w:val="15"/>
              <w:spacing w:before="147" w:line="353" w:lineRule="auto"/>
              <w:ind w:left="141" w:right="105" w:hanging="32"/>
              <w:jc w:val="both"/>
            </w:pPr>
            <w:r>
              <w:rPr>
                <w:rFonts w:hint="default"/>
                <w:spacing w:val="10"/>
                <w:position w:val="15"/>
                <w:lang w:eastAsia="zh-CN"/>
              </w:rPr>
              <w:t>2.未按规定建立并执行医疗器械进货查验记录制度。从事第二类、第三类医疗器械批发业务以及第三类医疗器械零售业务的经营企业未按规定建立并执行销售记录制度。从不具备合法资质的供货者购进医疗器械。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854" w:type="dxa"/>
            <w:vMerge w:val="continue"/>
            <w:tcBorders>
              <w:top w:val="nil"/>
            </w:tcBorders>
            <w:noWrap w:val="0"/>
            <w:vAlign w:val="top"/>
          </w:tcPr>
          <w:p/>
        </w:tc>
        <w:tc>
          <w:tcPr>
            <w:tcW w:w="1982" w:type="dxa"/>
            <w:vMerge w:val="continue"/>
            <w:tcBorders>
              <w:top w:val="nil"/>
            </w:tcBorders>
            <w:noWrap w:val="0"/>
            <w:vAlign w:val="top"/>
          </w:tcPr>
          <w:p/>
        </w:tc>
        <w:tc>
          <w:tcPr>
            <w:tcW w:w="10994" w:type="dxa"/>
            <w:noWrap w:val="0"/>
            <w:vAlign w:val="top"/>
          </w:tcPr>
          <w:p>
            <w:pPr>
              <w:pStyle w:val="15"/>
              <w:spacing w:before="233" w:line="439" w:lineRule="exact"/>
              <w:ind w:left="114"/>
              <w:rPr>
                <w:lang w:eastAsia="zh-CN"/>
              </w:rPr>
            </w:pPr>
            <w:r>
              <w:rPr>
                <w:rFonts w:hint="default"/>
                <w:spacing w:val="10"/>
                <w:position w:val="15"/>
                <w:lang w:eastAsia="zh-CN"/>
              </w:rPr>
              <w:t>3.未按照医疗器械说明书和标签标示要求运输、贮存医疗器械，特别是未对需要低温、冷藏医疗器械进行全链条冷链管理。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854" w:type="dxa"/>
            <w:vMerge w:val="restart"/>
            <w:tcBorders>
              <w:bottom w:val="nil"/>
            </w:tcBorders>
            <w:noWrap w:val="0"/>
            <w:vAlign w:val="top"/>
          </w:tcPr>
          <w:p>
            <w:pPr>
              <w:spacing w:line="250" w:lineRule="auto"/>
            </w:pPr>
          </w:p>
          <w:p>
            <w:pPr>
              <w:spacing w:line="251" w:lineRule="auto"/>
            </w:pPr>
          </w:p>
          <w:p>
            <w:pPr>
              <w:spacing w:line="251" w:lineRule="auto"/>
            </w:pPr>
          </w:p>
          <w:p>
            <w:pPr>
              <w:spacing w:before="81" w:line="189" w:lineRule="auto"/>
              <w:ind w:left="360"/>
              <w:rPr>
                <w:rFonts w:eastAsia="Times New Roman"/>
                <w:sz w:val="28"/>
                <w:szCs w:val="28"/>
              </w:rPr>
            </w:pPr>
            <w:r>
              <w:rPr>
                <w:rFonts w:hint="default" w:ascii="Times New Roman" w:hAnsi="Times New Roman" w:eastAsia="Times New Roman" w:cs="Times New Roman"/>
                <w:sz w:val="23"/>
                <w:szCs w:val="23"/>
              </w:rPr>
              <w:t>4</w:t>
            </w:r>
          </w:p>
        </w:tc>
        <w:tc>
          <w:tcPr>
            <w:tcW w:w="1982" w:type="dxa"/>
            <w:vMerge w:val="restart"/>
            <w:tcBorders>
              <w:bottom w:val="nil"/>
            </w:tcBorders>
            <w:noWrap w:val="0"/>
            <w:vAlign w:val="top"/>
          </w:tcPr>
          <w:p>
            <w:pPr>
              <w:spacing w:line="308" w:lineRule="auto"/>
            </w:pPr>
          </w:p>
          <w:p>
            <w:pPr>
              <w:pStyle w:val="15"/>
              <w:spacing w:before="75" w:line="353" w:lineRule="auto"/>
              <w:ind w:left="113" w:right="193"/>
              <w:jc w:val="both"/>
            </w:pPr>
            <w:r>
              <w:rPr>
                <w:spacing w:val="8"/>
                <w:lang w:eastAsia="zh-CN"/>
              </w:rPr>
              <w:t>未按要求开展医疗器械网络销售</w:t>
            </w:r>
            <w:r>
              <w:rPr>
                <w:spacing w:val="5"/>
              </w:rPr>
              <w:t>行为</w:t>
            </w:r>
          </w:p>
        </w:tc>
        <w:tc>
          <w:tcPr>
            <w:tcW w:w="10994" w:type="dxa"/>
            <w:noWrap w:val="0"/>
            <w:vAlign w:val="top"/>
          </w:tcPr>
          <w:p>
            <w:pPr>
              <w:pStyle w:val="15"/>
              <w:spacing w:before="280" w:line="224" w:lineRule="auto"/>
              <w:ind w:left="132"/>
              <w:rPr>
                <w:lang w:eastAsia="zh-CN"/>
              </w:rPr>
            </w:pPr>
            <w:r>
              <w:rPr>
                <w:rFonts w:hint="default" w:ascii="Times New Roman" w:hAnsi="Times New Roman" w:eastAsia="Times New Roman" w:cs="Times New Roman"/>
                <w:spacing w:val="6"/>
                <w:lang w:eastAsia="zh-CN"/>
              </w:rPr>
              <w:t>1</w:t>
            </w:r>
            <w:r>
              <w:rPr>
                <w:rFonts w:ascii="Times New Roman" w:hAnsi="Times New Roman" w:eastAsia="Times New Roman" w:cs="Times New Roman"/>
                <w:spacing w:val="6"/>
                <w:lang w:eastAsia="zh-CN"/>
              </w:rPr>
              <w:t>.</w:t>
            </w:r>
            <w:r>
              <w:rPr>
                <w:spacing w:val="6"/>
                <w:lang w:eastAsia="zh-CN"/>
              </w:rPr>
              <w:t>从事医疗器械网络销售未按规定告知药品监管部门。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854" w:type="dxa"/>
            <w:vMerge w:val="continue"/>
            <w:tcBorders>
              <w:top w:val="nil"/>
            </w:tcBorders>
            <w:noWrap w:val="0"/>
            <w:vAlign w:val="top"/>
          </w:tcPr>
          <w:p/>
        </w:tc>
        <w:tc>
          <w:tcPr>
            <w:tcW w:w="1982" w:type="dxa"/>
            <w:vMerge w:val="continue"/>
            <w:tcBorders>
              <w:top w:val="nil"/>
            </w:tcBorders>
            <w:noWrap w:val="0"/>
            <w:vAlign w:val="top"/>
          </w:tcPr>
          <w:p/>
        </w:tc>
        <w:tc>
          <w:tcPr>
            <w:tcW w:w="10994" w:type="dxa"/>
            <w:noWrap w:val="0"/>
            <w:vAlign w:val="top"/>
          </w:tcPr>
          <w:p>
            <w:pPr>
              <w:pStyle w:val="15"/>
              <w:spacing w:before="248" w:line="439" w:lineRule="exact"/>
              <w:ind w:left="109"/>
              <w:rPr>
                <w:lang w:eastAsia="zh-CN"/>
              </w:rPr>
            </w:pPr>
            <w:r>
              <w:rPr>
                <w:rFonts w:hint="default"/>
                <w:spacing w:val="10"/>
                <w:position w:val="15"/>
                <w:lang w:eastAsia="zh-CN"/>
              </w:rPr>
              <w:t>2.从事医疗器械网络销售未按规定展示企业相关医疗器械生产经营许可或者备案信息、所售医疗器械产品注册或者备案信息，以及发布的信息与医疗器械经注册或者备案的相关内容不一致。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4" w:hRule="atLeast"/>
        </w:trPr>
        <w:tc>
          <w:tcPr>
            <w:tcW w:w="854" w:type="dxa"/>
            <w:noWrap w:val="0"/>
            <w:vAlign w:val="top"/>
          </w:tcPr>
          <w:p>
            <w:pPr>
              <w:spacing w:line="285" w:lineRule="auto"/>
            </w:pPr>
          </w:p>
          <w:p>
            <w:pPr>
              <w:spacing w:line="285" w:lineRule="auto"/>
            </w:pPr>
          </w:p>
          <w:p>
            <w:pPr>
              <w:spacing w:line="285" w:lineRule="auto"/>
            </w:pPr>
          </w:p>
          <w:p>
            <w:pPr>
              <w:spacing w:line="286" w:lineRule="auto"/>
            </w:pPr>
          </w:p>
          <w:p>
            <w:pPr>
              <w:spacing w:before="81" w:line="186" w:lineRule="auto"/>
              <w:ind w:left="369"/>
              <w:rPr>
                <w:rFonts w:eastAsia="Times New Roman"/>
                <w:sz w:val="28"/>
                <w:szCs w:val="28"/>
              </w:rPr>
            </w:pPr>
            <w:r>
              <w:rPr>
                <w:rFonts w:hint="default" w:ascii="Times New Roman" w:hAnsi="Times New Roman" w:eastAsia="Times New Roman" w:cs="Times New Roman"/>
                <w:sz w:val="23"/>
                <w:szCs w:val="23"/>
              </w:rPr>
              <w:t>5</w:t>
            </w:r>
          </w:p>
        </w:tc>
        <w:tc>
          <w:tcPr>
            <w:tcW w:w="1982" w:type="dxa"/>
            <w:noWrap w:val="0"/>
            <w:vAlign w:val="top"/>
          </w:tcPr>
          <w:p>
            <w:pPr>
              <w:pStyle w:val="15"/>
              <w:spacing w:before="74" w:line="353" w:lineRule="auto"/>
              <w:ind w:right="106"/>
              <w:jc w:val="both"/>
              <w:rPr>
                <w:spacing w:val="21"/>
                <w:lang w:eastAsia="zh-CN"/>
              </w:rPr>
            </w:pPr>
          </w:p>
          <w:p>
            <w:pPr>
              <w:pStyle w:val="15"/>
              <w:spacing w:before="74" w:line="353" w:lineRule="auto"/>
              <w:ind w:right="106"/>
              <w:jc w:val="both"/>
            </w:pPr>
            <w:r>
              <w:rPr>
                <w:spacing w:val="21"/>
                <w:lang w:eastAsia="zh-CN"/>
              </w:rPr>
              <w:t>未按要求开展跨</w:t>
            </w:r>
            <w:r>
              <w:rPr>
                <w:spacing w:val="16"/>
                <w:lang w:eastAsia="zh-CN"/>
              </w:rPr>
              <w:t>区设库质量管理</w:t>
            </w:r>
            <w:r>
              <w:rPr>
                <w:spacing w:val="5"/>
              </w:rPr>
              <w:t>行为</w:t>
            </w:r>
          </w:p>
        </w:tc>
        <w:tc>
          <w:tcPr>
            <w:tcW w:w="10994" w:type="dxa"/>
            <w:noWrap w:val="0"/>
            <w:vAlign w:val="top"/>
          </w:tcPr>
          <w:p>
            <w:pPr>
              <w:pStyle w:val="15"/>
              <w:spacing w:before="284" w:line="224" w:lineRule="auto"/>
              <w:ind w:left="118"/>
              <w:rPr>
                <w:lang w:eastAsia="zh-CN"/>
              </w:rPr>
            </w:pPr>
            <w:r>
              <w:rPr>
                <w:rFonts w:hint="default"/>
                <w:spacing w:val="10"/>
                <w:position w:val="15"/>
                <w:lang w:eastAsia="zh-CN"/>
              </w:rPr>
              <w:t>对于跨行政区域设置仓库的经营企业：（一）未建立与其规模相适应的质量管理制度；（二）未配备与其规模相适应的质量管理人员、设施设备；（三）未配备与经营企业本部互联互通、能够实时交互医疗器械贮存、出入库数据的计算机信息系统；（四）无法满足医疗器械贮存与追溯质量管理要求。</w:t>
            </w:r>
          </w:p>
        </w:tc>
      </w:tr>
    </w:tbl>
    <w:p/>
    <w:p>
      <w:pPr>
        <w:spacing w:before="100" w:line="230" w:lineRule="auto"/>
        <w:rPr>
          <w:rFonts w:ascii="Arial" w:hAnsi="Arial" w:eastAsia="Arial" w:cs="Arial"/>
          <w:szCs w:val="21"/>
        </w:rPr>
      </w:pPr>
    </w:p>
    <w:p>
      <w:pPr>
        <w:spacing w:before="101" w:line="230" w:lineRule="auto"/>
        <w:rPr>
          <w:rFonts w:hint="eastAsia" w:ascii="方正黑体简体" w:hAnsi="方正黑体简体" w:eastAsia="方正黑体简体" w:cs="方正黑体简体"/>
          <w:spacing w:val="-4"/>
          <w:sz w:val="32"/>
          <w:szCs w:val="32"/>
        </w:rPr>
      </w:pPr>
    </w:p>
    <w:p>
      <w:pPr>
        <w:spacing w:before="101" w:line="230" w:lineRule="auto"/>
        <w:rPr>
          <w:rFonts w:hint="eastAsia" w:ascii="方正黑体简体" w:hAnsi="方正黑体简体" w:eastAsia="方正黑体简体" w:cs="方正黑体简体"/>
          <w:spacing w:val="-4"/>
          <w:sz w:val="32"/>
          <w:szCs w:val="32"/>
        </w:rPr>
      </w:pPr>
    </w:p>
    <w:p>
      <w:pPr>
        <w:spacing w:before="101" w:line="230" w:lineRule="auto"/>
        <w:rPr>
          <w:rFonts w:hint="eastAsia" w:ascii="方正黑体简体" w:hAnsi="方正黑体简体" w:eastAsia="方正黑体简体" w:cs="方正黑体简体"/>
          <w:spacing w:val="-4"/>
          <w:sz w:val="32"/>
          <w:szCs w:val="32"/>
        </w:rPr>
      </w:pPr>
    </w:p>
    <w:p>
      <w:pPr>
        <w:spacing w:before="101" w:line="230" w:lineRule="auto"/>
        <w:rPr>
          <w:rFonts w:hint="eastAsia" w:ascii="方正黑体简体" w:hAnsi="方正黑体简体" w:eastAsia="方正黑体简体" w:cs="方正黑体简体"/>
          <w:spacing w:val="-4"/>
          <w:sz w:val="32"/>
          <w:szCs w:val="32"/>
        </w:rPr>
      </w:pPr>
    </w:p>
    <w:p>
      <w:pPr>
        <w:spacing w:before="101" w:line="230" w:lineRule="auto"/>
        <w:rPr>
          <w:rFonts w:hint="eastAsia" w:ascii="方正黑体简体" w:hAnsi="方正黑体简体" w:eastAsia="方正黑体简体" w:cs="方正黑体简体"/>
          <w:spacing w:val="-4"/>
          <w:sz w:val="32"/>
          <w:szCs w:val="32"/>
        </w:rPr>
      </w:pPr>
    </w:p>
    <w:p>
      <w:pPr>
        <w:spacing w:before="101" w:line="230" w:lineRule="auto"/>
        <w:rPr>
          <w:rFonts w:hint="eastAsia" w:ascii="方正黑体简体" w:hAnsi="方正黑体简体" w:eastAsia="方正黑体简体" w:cs="方正黑体简体"/>
          <w:spacing w:val="-4"/>
          <w:sz w:val="32"/>
          <w:szCs w:val="32"/>
        </w:rPr>
      </w:pPr>
    </w:p>
    <w:p>
      <w:pPr>
        <w:spacing w:before="101" w:line="230" w:lineRule="auto"/>
        <w:rPr>
          <w:rFonts w:hint="eastAsia" w:ascii="方正黑体简体" w:hAnsi="方正黑体简体" w:eastAsia="方正黑体简体" w:cs="方正黑体简体"/>
          <w:spacing w:val="-4"/>
          <w:sz w:val="32"/>
          <w:szCs w:val="32"/>
        </w:rPr>
      </w:pPr>
    </w:p>
    <w:p>
      <w:pPr>
        <w:spacing w:before="101" w:line="230" w:lineRule="auto"/>
        <w:rPr>
          <w:rFonts w:hint="eastAsia" w:ascii="方正黑体简体" w:hAnsi="方正黑体简体" w:eastAsia="方正黑体简体" w:cs="方正黑体简体"/>
          <w:spacing w:val="-4"/>
          <w:sz w:val="32"/>
          <w:szCs w:val="32"/>
        </w:rPr>
      </w:pPr>
    </w:p>
    <w:p>
      <w:pPr>
        <w:spacing w:beforeAutospacing="0" w:line="240" w:lineRule="auto"/>
        <w:ind w:firstLine="320" w:firstLineChars="100"/>
        <w:rPr>
          <w:rFonts w:hint="default" w:ascii="方正仿宋简体" w:hAnsi="方正仿宋简体" w:eastAsia="方正仿宋简体" w:cs="方正仿宋简体"/>
          <w:b w:val="0"/>
          <w:bCs w:val="0"/>
          <w:sz w:val="32"/>
          <w:szCs w:val="32"/>
          <w:lang w:val="en-US" w:eastAsia="zh-CN"/>
        </w:rPr>
      </w:pPr>
      <w:bookmarkStart w:id="0" w:name="_GoBack"/>
      <w:bookmarkEnd w:id="0"/>
    </w:p>
    <w:sectPr>
      <w:footerReference r:id="rId3" w:type="default"/>
      <w:pgSz w:w="16838" w:h="11906" w:orient="landscape"/>
      <w:pgMar w:top="1587" w:right="2098" w:bottom="1474"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249031A-8B5F-40D2-A4ED-4D9CFE29F22D}"/>
  </w:font>
  <w:font w:name="黑体">
    <w:panose1 w:val="02010609060101010101"/>
    <w:charset w:val="86"/>
    <w:family w:val="auto"/>
    <w:pitch w:val="default"/>
    <w:sig w:usb0="800002BF" w:usb1="38CF7CFA" w:usb2="00000016" w:usb3="00000000" w:csb0="00040001" w:csb1="00000000"/>
    <w:embedRegular r:id="rId2" w:fontKey="{98395AA5-79BB-4E5C-AB29-DFE049DA8AA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 T 1 F 1o 00">
    <w:altName w:val="宋体"/>
    <w:panose1 w:val="00000000000000000000"/>
    <w:charset w:val="86"/>
    <w:family w:val="swiss"/>
    <w:pitch w:val="default"/>
    <w:sig w:usb0="00000000" w:usb1="00000000" w:usb2="00000010" w:usb3="00000000" w:csb0="00040000" w:csb1="00000000"/>
  </w:font>
  <w:font w:name="方正仿宋简体">
    <w:panose1 w:val="03000509000000000000"/>
    <w:charset w:val="86"/>
    <w:family w:val="auto"/>
    <w:pitch w:val="default"/>
    <w:sig w:usb0="00000001" w:usb1="080E0000" w:usb2="00000000" w:usb3="00000000" w:csb0="00040000" w:csb1="00000000"/>
    <w:embedRegular r:id="rId3" w:fontKey="{47FF97AF-6261-494B-A7E4-29B6DC7BECFF}"/>
  </w:font>
  <w:font w:name="仿宋">
    <w:panose1 w:val="02010609060101010101"/>
    <w:charset w:val="86"/>
    <w:family w:val="auto"/>
    <w:pitch w:val="default"/>
    <w:sig w:usb0="800002BF" w:usb1="38CF7CFA" w:usb2="00000016" w:usb3="00000000" w:csb0="00040001" w:csb1="00000000"/>
    <w:embedRegular r:id="rId4" w:fontKey="{16A0B1A1-3954-4C95-9727-49CC99A77E44}"/>
  </w:font>
  <w:font w:name="方正黑体简体">
    <w:panose1 w:val="03000509000000000000"/>
    <w:charset w:val="86"/>
    <w:family w:val="auto"/>
    <w:pitch w:val="default"/>
    <w:sig w:usb0="00000001" w:usb1="080E0000" w:usb2="00000000" w:usb3="00000000" w:csb0="00040000" w:csb1="00000000"/>
    <w:embedRegular r:id="rId5" w:fontKey="{33B733B9-CE11-491F-8F52-5F70B59A404E}"/>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-466725</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6.75pt;height:144pt;width:144pt;mso-position-horizontal:outside;mso-position-horizontal-relative:margin;mso-wrap-style:none;z-index:251659264;mso-width-relative:page;mso-height-relative:page;" filled="f" stroked="f" coordsize="21600,21600" o:gfxdata="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5FSAnWAAAACAEAAA8AAAAAAAAAAQAgAAAAIgAAAGRycy9kb3ducmV2LnhtbFBL&#10;AQIUABQAAAAIAIdO4kC989aEMQIAAGMEAAAOAAAAAAAAAAEAIAAAACUBAABkcnMvZTJvRG9jLnht&#10;bFBLBQYAAAAABgAGAFkBAADI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2E502"/>
    <w:multiLevelType w:val="singleLevel"/>
    <w:tmpl w:val="AEF2E502"/>
    <w:lvl w:ilvl="0" w:tentative="0">
      <w:start w:val="1"/>
      <w:numFmt w:val="decimal"/>
      <w:pStyle w:val="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1YTBiNjg3MTc3OTI5NDI4YjExMGIzMmU1NjQzZmQifQ=="/>
  </w:docVars>
  <w:rsids>
    <w:rsidRoot w:val="64451D73"/>
    <w:rsid w:val="01890756"/>
    <w:rsid w:val="08CD1371"/>
    <w:rsid w:val="08E720CC"/>
    <w:rsid w:val="0D4A4EFA"/>
    <w:rsid w:val="18422487"/>
    <w:rsid w:val="18A95E47"/>
    <w:rsid w:val="1A655789"/>
    <w:rsid w:val="1CD06430"/>
    <w:rsid w:val="21AE657D"/>
    <w:rsid w:val="29C535B7"/>
    <w:rsid w:val="2ADB5CCE"/>
    <w:rsid w:val="2F8A4194"/>
    <w:rsid w:val="326F62AB"/>
    <w:rsid w:val="32985CB4"/>
    <w:rsid w:val="36E93404"/>
    <w:rsid w:val="39161008"/>
    <w:rsid w:val="3C4B4E86"/>
    <w:rsid w:val="3EB44C26"/>
    <w:rsid w:val="43C833A6"/>
    <w:rsid w:val="475244A0"/>
    <w:rsid w:val="4A384674"/>
    <w:rsid w:val="572851B5"/>
    <w:rsid w:val="59946464"/>
    <w:rsid w:val="604007A4"/>
    <w:rsid w:val="64451D73"/>
    <w:rsid w:val="69FA3DC2"/>
    <w:rsid w:val="6B0F27AC"/>
    <w:rsid w:val="7D9F5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List Number"/>
    <w:basedOn w:val="1"/>
    <w:autoRedefine/>
    <w:qFormat/>
    <w:uiPriority w:val="0"/>
    <w:pPr>
      <w:numPr>
        <w:ilvl w:val="0"/>
        <w:numId w:val="1"/>
      </w:numPr>
    </w:pPr>
  </w:style>
  <w:style w:type="paragraph" w:styleId="3">
    <w:name w:val="Normal Indent"/>
    <w:basedOn w:val="1"/>
    <w:autoRedefine/>
    <w:qFormat/>
    <w:uiPriority w:val="0"/>
    <w:pPr>
      <w:ind w:firstLine="420" w:firstLineChars="200"/>
    </w:pPr>
    <w:rPr>
      <w:rFonts w:ascii="Calibri" w:hAnsi="Calibri" w:eastAsia="宋体" w:cs="Times New Roman"/>
      <w:kern w:val="0"/>
      <w:sz w:val="21"/>
      <w:szCs w:val="24"/>
    </w:rPr>
  </w:style>
  <w:style w:type="paragraph" w:styleId="4">
    <w:name w:val="Body Text"/>
    <w:basedOn w:val="1"/>
    <w:qFormat/>
    <w:uiPriority w:val="0"/>
    <w:pPr>
      <w:autoSpaceDE w:val="0"/>
      <w:autoSpaceDN w:val="0"/>
      <w:jc w:val="left"/>
    </w:pPr>
    <w:rPr>
      <w:rFonts w:ascii="宋体" w:hAnsi="宋体" w:cs="宋体"/>
      <w:kern w:val="0"/>
      <w:sz w:val="32"/>
      <w:szCs w:val="32"/>
      <w:lang w:eastAsia="en-US"/>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page number"/>
    <w:basedOn w:val="10"/>
    <w:qFormat/>
    <w:uiPriority w:val="0"/>
  </w:style>
  <w:style w:type="paragraph" w:customStyle="1" w:styleId="13">
    <w:name w:val="Default"/>
    <w:qFormat/>
    <w:uiPriority w:val="0"/>
    <w:pPr>
      <w:widowControl w:val="0"/>
      <w:autoSpaceDE w:val="0"/>
      <w:autoSpaceDN w:val="0"/>
      <w:adjustRightInd w:val="0"/>
    </w:pPr>
    <w:rPr>
      <w:rFonts w:ascii="T T 1 F 1o 00" w:hAnsi="Calibri" w:eastAsia="T T 1 F 1o 00" w:cs="T T 1 F 1o 00"/>
      <w:color w:val="000000"/>
      <w:sz w:val="24"/>
      <w:szCs w:val="24"/>
      <w:lang w:val="en-US" w:eastAsia="zh-CN" w:bidi="ar-SA"/>
    </w:rPr>
  </w:style>
  <w:style w:type="paragraph" w:customStyle="1" w:styleId="14">
    <w:name w:val="p0"/>
    <w:basedOn w:val="1"/>
    <w:autoRedefine/>
    <w:qFormat/>
    <w:uiPriority w:val="0"/>
    <w:pPr>
      <w:widowControl/>
      <w:spacing w:before="100" w:beforeAutospacing="1" w:after="100" w:afterAutospacing="1"/>
      <w:jc w:val="left"/>
    </w:pPr>
    <w:rPr>
      <w:rFonts w:ascii="宋体" w:hAnsi="宋体" w:eastAsia="方正仿宋简体" w:cs="宋体"/>
      <w:kern w:val="0"/>
      <w:sz w:val="24"/>
      <w:szCs w:val="24"/>
    </w:rPr>
  </w:style>
  <w:style w:type="paragraph" w:customStyle="1" w:styleId="15">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3"/>
      <w:szCs w:val="23"/>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1276</Words>
  <Characters>1315</Characters>
  <Lines>0</Lines>
  <Paragraphs>0</Paragraphs>
  <TotalTime>48</TotalTime>
  <ScaleCrop>false</ScaleCrop>
  <LinksUpToDate>false</LinksUpToDate>
  <CharactersWithSpaces>1477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2024-03-14T03:08:00Z</dcterms:created>
  <dc:creator>椋朙</dc:creator>
  <cp:lastModifiedBy>WPS_428334989</cp:lastModifiedBy>
  <cp:lastPrinted>2024-05-08T02:05:00Z</cp:lastPrinted>
  <dcterms:modified xsi:type="dcterms:W3CDTF">2024-07-24T08:48:53Z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2FAD87F37804496CA364AEA6DCE8C13D_11</vt:lpwstr>
  </property>
</Properties>
</file>