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pacing w:val="-4"/>
          <w:sz w:val="32"/>
          <w:szCs w:val="32"/>
        </w:rPr>
        <w:t>附件</w:t>
      </w:r>
      <w:r>
        <w:rPr>
          <w:rFonts w:hint="default" w:ascii="Times New Roman" w:hAnsi="Times New Roman" w:eastAsia="方正黑体简体" w:cs="Times New Roman"/>
          <w:spacing w:val="-4"/>
          <w:sz w:val="32"/>
          <w:szCs w:val="32"/>
        </w:rPr>
        <w:t>1</w:t>
      </w:r>
    </w:p>
    <w:p>
      <w:pPr>
        <w:spacing w:before="129" w:line="634" w:lineRule="exact"/>
        <w:ind w:left="4058"/>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7"/>
          <w:position w:val="2"/>
          <w:sz w:val="44"/>
          <w:szCs w:val="44"/>
        </w:rPr>
        <w:t>医疗器械经营企业自查要点</w:t>
      </w:r>
    </w:p>
    <w:tbl>
      <w:tblPr>
        <w:tblStyle w:val="8"/>
        <w:tblW w:w="13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10796"/>
        <w:gridCol w:w="1240"/>
        <w:gridCol w:w="12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592" w:type="dxa"/>
            <w:noWrap w:val="0"/>
            <w:vAlign w:val="center"/>
          </w:tcPr>
          <w:p>
            <w:pPr>
              <w:spacing w:before="247" w:line="300" w:lineRule="exact"/>
              <w:ind w:left="153"/>
              <w:rPr>
                <w:rFonts w:ascii="黑体" w:hAnsi="黑体" w:eastAsia="黑体" w:cs="黑体"/>
                <w:sz w:val="23"/>
                <w:szCs w:val="23"/>
              </w:rPr>
            </w:pPr>
            <w:r>
              <w:rPr>
                <w:rFonts w:ascii="黑体" w:hAnsi="黑体" w:eastAsia="黑体" w:cs="黑体"/>
                <w:spacing w:val="5"/>
                <w:sz w:val="23"/>
                <w:szCs w:val="23"/>
              </w:rPr>
              <w:t>序号</w:t>
            </w:r>
          </w:p>
        </w:tc>
        <w:tc>
          <w:tcPr>
            <w:tcW w:w="10796" w:type="dxa"/>
            <w:noWrap w:val="0"/>
            <w:vAlign w:val="center"/>
          </w:tcPr>
          <w:p>
            <w:pPr>
              <w:spacing w:before="247" w:line="300" w:lineRule="exact"/>
              <w:ind w:left="5040"/>
              <w:rPr>
                <w:rFonts w:ascii="黑体" w:hAnsi="黑体" w:eastAsia="黑体" w:cs="黑体"/>
                <w:sz w:val="23"/>
                <w:szCs w:val="23"/>
              </w:rPr>
            </w:pPr>
            <w:r>
              <w:rPr>
                <w:rFonts w:ascii="黑体" w:hAnsi="黑体" w:eastAsia="黑体" w:cs="黑体"/>
                <w:sz w:val="23"/>
                <w:szCs w:val="23"/>
              </w:rPr>
              <w:t>自查要点</w:t>
            </w:r>
          </w:p>
        </w:tc>
        <w:tc>
          <w:tcPr>
            <w:tcW w:w="1240" w:type="dxa"/>
            <w:noWrap w:val="0"/>
            <w:vAlign w:val="center"/>
          </w:tcPr>
          <w:p>
            <w:pPr>
              <w:spacing w:before="247" w:line="300" w:lineRule="exact"/>
              <w:ind w:left="148"/>
              <w:rPr>
                <w:rFonts w:ascii="黑体" w:hAnsi="黑体" w:eastAsia="黑体" w:cs="黑体"/>
                <w:sz w:val="23"/>
                <w:szCs w:val="23"/>
              </w:rPr>
            </w:pPr>
            <w:r>
              <w:rPr>
                <w:rFonts w:ascii="黑体" w:hAnsi="黑体" w:eastAsia="黑体" w:cs="黑体"/>
                <w:spacing w:val="7"/>
                <w:sz w:val="23"/>
                <w:szCs w:val="23"/>
              </w:rPr>
              <w:t>合规情况</w:t>
            </w:r>
          </w:p>
        </w:tc>
        <w:tc>
          <w:tcPr>
            <w:tcW w:w="1201" w:type="dxa"/>
            <w:noWrap w:val="0"/>
            <w:vAlign w:val="center"/>
          </w:tcPr>
          <w:p>
            <w:pPr>
              <w:spacing w:before="247" w:line="300" w:lineRule="exact"/>
              <w:ind w:left="370"/>
              <w:rPr>
                <w:rFonts w:ascii="黑体" w:hAnsi="黑体" w:eastAsia="黑体" w:cs="黑体"/>
                <w:sz w:val="23"/>
                <w:szCs w:val="23"/>
              </w:rPr>
            </w:pPr>
            <w:r>
              <w:rPr>
                <w:rFonts w:ascii="黑体" w:hAnsi="黑体" w:eastAsia="黑体" w:cs="黑体"/>
                <w:spacing w:val="3"/>
                <w:sz w:val="23"/>
                <w:szCs w:val="23"/>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3829" w:type="dxa"/>
            <w:gridSpan w:val="4"/>
            <w:noWrap w:val="0"/>
            <w:vAlign w:val="center"/>
          </w:tcPr>
          <w:p>
            <w:pPr>
              <w:spacing w:before="243" w:line="300" w:lineRule="exact"/>
              <w:rPr>
                <w:rFonts w:ascii="黑体" w:hAnsi="黑体" w:eastAsia="黑体" w:cs="黑体"/>
                <w:sz w:val="23"/>
                <w:szCs w:val="23"/>
              </w:rPr>
            </w:pPr>
            <w:r>
              <w:rPr>
                <w:rFonts w:ascii="黑体" w:hAnsi="黑体" w:eastAsia="黑体" w:cs="黑体"/>
                <w:spacing w:val="7"/>
                <w:sz w:val="23"/>
                <w:szCs w:val="23"/>
              </w:rPr>
              <w:t>一、经营许可或者备案方面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92" w:type="dxa"/>
            <w:noWrap w:val="0"/>
            <w:vAlign w:val="center"/>
          </w:tcPr>
          <w:p>
            <w:pPr>
              <w:spacing w:before="287" w:line="300" w:lineRule="exact"/>
              <w:ind w:left="352"/>
              <w:rPr>
                <w:rFonts w:eastAsia="Times New Roman"/>
                <w:sz w:val="23"/>
                <w:szCs w:val="23"/>
              </w:rPr>
            </w:pPr>
            <w:r>
              <w:rPr>
                <w:rFonts w:hint="default" w:ascii="Times New Roman" w:hAnsi="Times New Roman" w:eastAsia="Times New Roman" w:cs="Times New Roman"/>
                <w:sz w:val="23"/>
                <w:szCs w:val="23"/>
              </w:rPr>
              <w:t>1</w:t>
            </w:r>
          </w:p>
        </w:tc>
        <w:tc>
          <w:tcPr>
            <w:tcW w:w="10796" w:type="dxa"/>
            <w:noWrap w:val="0"/>
            <w:vAlign w:val="center"/>
          </w:tcPr>
          <w:p>
            <w:pPr>
              <w:pStyle w:val="15"/>
              <w:spacing w:before="293" w:line="300" w:lineRule="exact"/>
              <w:jc w:val="both"/>
              <w:rPr>
                <w:lang w:eastAsia="zh-CN"/>
              </w:rPr>
            </w:pPr>
            <w:r>
              <w:rPr>
                <w:spacing w:val="6"/>
                <w:lang w:eastAsia="zh-CN"/>
              </w:rPr>
              <w:t>未经许可不得从事第三类医疗器械经营活动。</w:t>
            </w:r>
          </w:p>
        </w:tc>
        <w:tc>
          <w:tcPr>
            <w:tcW w:w="1240" w:type="dxa"/>
            <w:noWrap w:val="0"/>
            <w:vAlign w:val="center"/>
          </w:tcPr>
          <w:p>
            <w:pPr>
              <w:pStyle w:val="15"/>
              <w:spacing w:before="272"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92" w:type="dxa"/>
            <w:noWrap w:val="0"/>
            <w:vAlign w:val="center"/>
          </w:tcPr>
          <w:p>
            <w:pPr>
              <w:spacing w:before="279" w:line="300" w:lineRule="exact"/>
              <w:ind w:left="329"/>
              <w:rPr>
                <w:rFonts w:eastAsia="Times New Roman"/>
                <w:sz w:val="23"/>
                <w:szCs w:val="23"/>
              </w:rPr>
            </w:pPr>
            <w:r>
              <w:rPr>
                <w:rFonts w:hint="default" w:ascii="Times New Roman" w:hAnsi="Times New Roman" w:eastAsia="Times New Roman" w:cs="Times New Roman"/>
                <w:sz w:val="23"/>
                <w:szCs w:val="23"/>
              </w:rPr>
              <w:t>2</w:t>
            </w:r>
          </w:p>
        </w:tc>
        <w:tc>
          <w:tcPr>
            <w:tcW w:w="10796" w:type="dxa"/>
            <w:noWrap w:val="0"/>
            <w:vAlign w:val="center"/>
          </w:tcPr>
          <w:p>
            <w:pPr>
              <w:pStyle w:val="15"/>
              <w:spacing w:before="287" w:line="300" w:lineRule="exact"/>
              <w:jc w:val="both"/>
              <w:rPr>
                <w:lang w:eastAsia="zh-CN"/>
              </w:rPr>
            </w:pPr>
            <w:r>
              <w:rPr>
                <w:spacing w:val="7"/>
                <w:lang w:eastAsia="zh-CN"/>
              </w:rPr>
              <w:t>申请医疗器械经营许可时不得提供虚假材料或</w:t>
            </w:r>
            <w:r>
              <w:rPr>
                <w:spacing w:val="6"/>
                <w:lang w:eastAsia="zh-CN"/>
              </w:rPr>
              <w:t>者采取其他欺骗手段。</w:t>
            </w:r>
          </w:p>
        </w:tc>
        <w:tc>
          <w:tcPr>
            <w:tcW w:w="1240" w:type="dxa"/>
            <w:noWrap w:val="0"/>
            <w:vAlign w:val="center"/>
          </w:tcPr>
          <w:p>
            <w:pPr>
              <w:pStyle w:val="15"/>
              <w:spacing w:before="263"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92" w:type="dxa"/>
            <w:noWrap w:val="0"/>
            <w:vAlign w:val="center"/>
          </w:tcPr>
          <w:p>
            <w:pPr>
              <w:spacing w:before="306" w:line="300" w:lineRule="exact"/>
              <w:ind w:left="334"/>
              <w:rPr>
                <w:rFonts w:eastAsia="Times New Roman"/>
                <w:sz w:val="23"/>
                <w:szCs w:val="23"/>
              </w:rPr>
            </w:pPr>
            <w:r>
              <w:rPr>
                <w:rFonts w:hint="default" w:ascii="Times New Roman" w:hAnsi="Times New Roman" w:eastAsia="Times New Roman" w:cs="Times New Roman"/>
                <w:sz w:val="23"/>
                <w:szCs w:val="23"/>
              </w:rPr>
              <w:t>3</w:t>
            </w:r>
          </w:p>
        </w:tc>
        <w:tc>
          <w:tcPr>
            <w:tcW w:w="10796" w:type="dxa"/>
            <w:noWrap w:val="0"/>
            <w:vAlign w:val="center"/>
          </w:tcPr>
          <w:p>
            <w:pPr>
              <w:pStyle w:val="15"/>
              <w:spacing w:before="311" w:line="300" w:lineRule="exact"/>
              <w:jc w:val="both"/>
              <w:rPr>
                <w:lang w:eastAsia="zh-CN"/>
              </w:rPr>
            </w:pPr>
            <w:r>
              <w:rPr>
                <w:spacing w:val="9"/>
                <w:lang w:eastAsia="zh-CN"/>
              </w:rPr>
              <w:t>第三类医疗器械经营企业不得擅自变更经营场所、经营范围、经营方式、库房地址。</w:t>
            </w:r>
          </w:p>
        </w:tc>
        <w:tc>
          <w:tcPr>
            <w:tcW w:w="1240" w:type="dxa"/>
            <w:noWrap w:val="0"/>
            <w:vAlign w:val="center"/>
          </w:tcPr>
          <w:p>
            <w:pPr>
              <w:pStyle w:val="15"/>
              <w:spacing w:before="290"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92" w:type="dxa"/>
            <w:noWrap w:val="0"/>
            <w:vAlign w:val="center"/>
          </w:tcPr>
          <w:p>
            <w:pPr>
              <w:spacing w:before="66" w:line="300" w:lineRule="exact"/>
              <w:ind w:left="328"/>
              <w:rPr>
                <w:rFonts w:eastAsia="Times New Roman"/>
                <w:sz w:val="23"/>
                <w:szCs w:val="23"/>
              </w:rPr>
            </w:pPr>
            <w:r>
              <w:rPr>
                <w:rFonts w:hint="default" w:ascii="Times New Roman" w:hAnsi="Times New Roman" w:eastAsia="Times New Roman" w:cs="Times New Roman"/>
                <w:spacing w:val="1"/>
                <w:sz w:val="23"/>
                <w:szCs w:val="23"/>
              </w:rPr>
              <w:t>4</w:t>
            </w:r>
          </w:p>
        </w:tc>
        <w:tc>
          <w:tcPr>
            <w:tcW w:w="10796" w:type="dxa"/>
            <w:noWrap w:val="0"/>
            <w:vAlign w:val="center"/>
          </w:tcPr>
          <w:p>
            <w:pPr>
              <w:pStyle w:val="15"/>
              <w:spacing w:before="75" w:line="300" w:lineRule="exact"/>
              <w:jc w:val="both"/>
              <w:rPr>
                <w:lang w:eastAsia="zh-CN"/>
              </w:rPr>
            </w:pPr>
            <w:r>
              <w:rPr>
                <w:spacing w:val="9"/>
                <w:lang w:eastAsia="zh-CN"/>
              </w:rPr>
              <w:t>第三类医疗器械经营企业应当按照规定办理企业名称、法定代表人、企业负责人变更。</w:t>
            </w:r>
          </w:p>
        </w:tc>
        <w:tc>
          <w:tcPr>
            <w:tcW w:w="1240" w:type="dxa"/>
            <w:noWrap w:val="0"/>
            <w:vAlign w:val="center"/>
          </w:tcPr>
          <w:p>
            <w:pPr>
              <w:pStyle w:val="15"/>
              <w:spacing w:before="311"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92" w:type="dxa"/>
            <w:noWrap w:val="0"/>
            <w:vAlign w:val="center"/>
          </w:tcPr>
          <w:p>
            <w:pPr>
              <w:spacing w:before="278" w:line="300" w:lineRule="exact"/>
              <w:ind w:left="335"/>
              <w:rPr>
                <w:rFonts w:eastAsia="Times New Roman"/>
                <w:sz w:val="23"/>
                <w:szCs w:val="23"/>
              </w:rPr>
            </w:pPr>
            <w:r>
              <w:rPr>
                <w:rFonts w:hint="default" w:ascii="Times New Roman" w:hAnsi="Times New Roman" w:eastAsia="Times New Roman" w:cs="Times New Roman"/>
                <w:sz w:val="23"/>
                <w:szCs w:val="23"/>
              </w:rPr>
              <w:t>5</w:t>
            </w:r>
          </w:p>
        </w:tc>
        <w:tc>
          <w:tcPr>
            <w:tcW w:w="10796" w:type="dxa"/>
            <w:noWrap w:val="0"/>
            <w:vAlign w:val="center"/>
          </w:tcPr>
          <w:p>
            <w:pPr>
              <w:pStyle w:val="15"/>
              <w:spacing w:before="281" w:line="300" w:lineRule="exact"/>
              <w:jc w:val="both"/>
              <w:rPr>
                <w:lang w:eastAsia="zh-CN"/>
              </w:rPr>
            </w:pPr>
            <w:r>
              <w:rPr>
                <w:spacing w:val="9"/>
                <w:lang w:eastAsia="zh-CN"/>
              </w:rPr>
              <w:t>医疗器械经营许可证有效期届满后，未依法办理延续手续不得继续从事医疗</w:t>
            </w:r>
            <w:r>
              <w:rPr>
                <w:spacing w:val="8"/>
                <w:lang w:eastAsia="zh-CN"/>
              </w:rPr>
              <w:t>器械经营活动。</w:t>
            </w:r>
          </w:p>
        </w:tc>
        <w:tc>
          <w:tcPr>
            <w:tcW w:w="1240" w:type="dxa"/>
            <w:noWrap w:val="0"/>
            <w:vAlign w:val="center"/>
          </w:tcPr>
          <w:p>
            <w:pPr>
              <w:pStyle w:val="15"/>
              <w:spacing w:before="258" w:line="300" w:lineRule="exact"/>
              <w:ind w:left="124"/>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92" w:type="dxa"/>
            <w:noWrap w:val="0"/>
            <w:vAlign w:val="center"/>
          </w:tcPr>
          <w:p>
            <w:pPr>
              <w:spacing w:before="295" w:line="300" w:lineRule="exact"/>
              <w:ind w:left="334"/>
              <w:rPr>
                <w:rFonts w:eastAsia="Times New Roman"/>
                <w:sz w:val="23"/>
                <w:szCs w:val="23"/>
              </w:rPr>
            </w:pPr>
            <w:r>
              <w:rPr>
                <w:rFonts w:hint="default" w:ascii="Times New Roman" w:hAnsi="Times New Roman" w:eastAsia="Times New Roman" w:cs="Times New Roman"/>
                <w:sz w:val="23"/>
                <w:szCs w:val="23"/>
              </w:rPr>
              <w:t>6</w:t>
            </w:r>
          </w:p>
        </w:tc>
        <w:tc>
          <w:tcPr>
            <w:tcW w:w="10796" w:type="dxa"/>
            <w:noWrap w:val="0"/>
            <w:vAlign w:val="center"/>
          </w:tcPr>
          <w:p>
            <w:pPr>
              <w:pStyle w:val="15"/>
              <w:spacing w:before="302" w:line="300" w:lineRule="exact"/>
              <w:jc w:val="both"/>
              <w:rPr>
                <w:lang w:eastAsia="zh-CN"/>
              </w:rPr>
            </w:pPr>
            <w:r>
              <w:rPr>
                <w:spacing w:val="7"/>
                <w:lang w:eastAsia="zh-CN"/>
              </w:rPr>
              <w:t>不得伪造、变造、买卖、出租、出借医疗器械经营许可证件。</w:t>
            </w:r>
          </w:p>
        </w:tc>
        <w:tc>
          <w:tcPr>
            <w:tcW w:w="1240" w:type="dxa"/>
            <w:noWrap w:val="0"/>
            <w:vAlign w:val="center"/>
          </w:tcPr>
          <w:p>
            <w:pPr>
              <w:pStyle w:val="15"/>
              <w:spacing w:before="278" w:line="300" w:lineRule="exact"/>
              <w:ind w:left="124"/>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92" w:type="dxa"/>
            <w:noWrap w:val="0"/>
            <w:vAlign w:val="center"/>
          </w:tcPr>
          <w:p>
            <w:pPr>
              <w:spacing w:before="293" w:line="300" w:lineRule="exact"/>
              <w:ind w:left="333"/>
              <w:rPr>
                <w:rFonts w:eastAsia="Times New Roman"/>
                <w:sz w:val="23"/>
                <w:szCs w:val="23"/>
              </w:rPr>
            </w:pPr>
            <w:r>
              <w:rPr>
                <w:rFonts w:hint="default" w:ascii="Times New Roman" w:hAnsi="Times New Roman" w:eastAsia="Times New Roman" w:cs="Times New Roman"/>
                <w:sz w:val="23"/>
                <w:szCs w:val="23"/>
              </w:rPr>
              <w:t>7</w:t>
            </w:r>
          </w:p>
        </w:tc>
        <w:tc>
          <w:tcPr>
            <w:tcW w:w="10796" w:type="dxa"/>
            <w:noWrap w:val="0"/>
            <w:vAlign w:val="center"/>
          </w:tcPr>
          <w:p>
            <w:pPr>
              <w:pStyle w:val="15"/>
              <w:spacing w:before="291" w:line="300" w:lineRule="exact"/>
              <w:jc w:val="both"/>
              <w:rPr>
                <w:lang w:eastAsia="zh-CN"/>
              </w:rPr>
            </w:pPr>
            <w:r>
              <w:rPr>
                <w:spacing w:val="7"/>
                <w:lang w:eastAsia="zh-CN"/>
              </w:rPr>
              <w:t>经营第二类医疗器械，不得存在应当备案但未备案的情形。</w:t>
            </w:r>
          </w:p>
        </w:tc>
        <w:tc>
          <w:tcPr>
            <w:tcW w:w="1240" w:type="dxa"/>
            <w:noWrap w:val="0"/>
            <w:vAlign w:val="center"/>
          </w:tcPr>
          <w:p>
            <w:pPr>
              <w:pStyle w:val="15"/>
              <w:spacing w:before="271"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96" w:line="300" w:lineRule="exact"/>
              <w:ind w:left="339"/>
              <w:rPr>
                <w:rFonts w:eastAsia="Times New Roman"/>
                <w:sz w:val="23"/>
                <w:szCs w:val="23"/>
              </w:rPr>
            </w:pPr>
            <w:r>
              <w:rPr>
                <w:rFonts w:hint="default" w:ascii="Times New Roman" w:hAnsi="Times New Roman" w:eastAsia="Times New Roman" w:cs="Times New Roman"/>
                <w:sz w:val="23"/>
                <w:szCs w:val="23"/>
              </w:rPr>
              <w:t>8</w:t>
            </w:r>
          </w:p>
        </w:tc>
        <w:tc>
          <w:tcPr>
            <w:tcW w:w="10796" w:type="dxa"/>
            <w:noWrap w:val="0"/>
            <w:vAlign w:val="center"/>
          </w:tcPr>
          <w:p>
            <w:pPr>
              <w:pStyle w:val="15"/>
              <w:spacing w:before="300" w:line="300" w:lineRule="exact"/>
              <w:jc w:val="both"/>
              <w:rPr>
                <w:lang w:eastAsia="zh-CN"/>
              </w:rPr>
            </w:pPr>
            <w:r>
              <w:rPr>
                <w:spacing w:val="7"/>
                <w:lang w:eastAsia="zh-CN"/>
              </w:rPr>
              <w:t>不得在第二类医疗器械经营备案时提供虚假</w:t>
            </w:r>
            <w:r>
              <w:rPr>
                <w:spacing w:val="6"/>
                <w:lang w:eastAsia="zh-CN"/>
              </w:rPr>
              <w:t>资料。</w:t>
            </w:r>
          </w:p>
        </w:tc>
        <w:tc>
          <w:tcPr>
            <w:tcW w:w="1240" w:type="dxa"/>
            <w:noWrap w:val="0"/>
            <w:vAlign w:val="center"/>
          </w:tcPr>
          <w:p>
            <w:pPr>
              <w:pStyle w:val="15"/>
              <w:spacing w:before="279"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829" w:type="dxa"/>
            <w:gridSpan w:val="4"/>
            <w:noWrap w:val="0"/>
            <w:vAlign w:val="center"/>
          </w:tcPr>
          <w:p>
            <w:pPr>
              <w:spacing w:line="300" w:lineRule="exact"/>
            </w:pPr>
            <w:r>
              <w:rPr>
                <w:rFonts w:ascii="黑体" w:hAnsi="黑体" w:eastAsia="黑体" w:cs="黑体"/>
                <w:spacing w:val="7"/>
                <w:sz w:val="23"/>
                <w:szCs w:val="23"/>
              </w:rPr>
              <w:t>二、产品合法性方面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04" w:line="300" w:lineRule="exact"/>
              <w:ind w:left="333"/>
              <w:rPr>
                <w:rFonts w:eastAsia="Times New Roman"/>
                <w:sz w:val="23"/>
                <w:szCs w:val="23"/>
              </w:rPr>
            </w:pPr>
            <w:r>
              <w:rPr>
                <w:rFonts w:hint="default" w:ascii="Times New Roman" w:hAnsi="Times New Roman" w:eastAsia="Times New Roman" w:cs="Times New Roman"/>
                <w:sz w:val="23"/>
                <w:szCs w:val="23"/>
              </w:rPr>
              <w:t>9</w:t>
            </w:r>
          </w:p>
        </w:tc>
        <w:tc>
          <w:tcPr>
            <w:tcW w:w="10796" w:type="dxa"/>
            <w:noWrap w:val="0"/>
            <w:vAlign w:val="center"/>
          </w:tcPr>
          <w:p>
            <w:pPr>
              <w:pStyle w:val="15"/>
              <w:spacing w:before="300" w:line="300" w:lineRule="exact"/>
              <w:ind w:left="118"/>
              <w:jc w:val="both"/>
              <w:rPr>
                <w:spacing w:val="7"/>
                <w:lang w:eastAsia="zh-CN"/>
              </w:rPr>
            </w:pPr>
            <w:r>
              <w:rPr>
                <w:spacing w:val="7"/>
                <w:lang w:eastAsia="zh-CN"/>
              </w:rPr>
              <w:t>不得经营未取得医疗器械注册证的第二类、第三类医疗器械。</w:t>
            </w:r>
          </w:p>
        </w:tc>
        <w:tc>
          <w:tcPr>
            <w:tcW w:w="1240" w:type="dxa"/>
            <w:noWrap w:val="0"/>
            <w:vAlign w:val="center"/>
          </w:tcPr>
          <w:p>
            <w:pPr>
              <w:pStyle w:val="15"/>
              <w:spacing w:before="279" w:line="300" w:lineRule="exact"/>
              <w:ind w:left="131"/>
              <w:jc w:val="both"/>
              <w:rPr>
                <w:rFonts w:ascii="Times New Roman" w:hAnsi="Times New Roman" w:eastAsia="Times New Roman" w:cs="Times New Roman"/>
                <w:spacing w:val="-4"/>
              </w:rPr>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05" w:line="300" w:lineRule="exact"/>
              <w:ind w:left="292"/>
              <w:rPr>
                <w:rFonts w:eastAsia="Times New Roman"/>
                <w:sz w:val="23"/>
                <w:szCs w:val="23"/>
              </w:rPr>
            </w:pPr>
            <w:r>
              <w:rPr>
                <w:rFonts w:hint="default" w:ascii="Times New Roman" w:hAnsi="Times New Roman" w:eastAsia="Times New Roman" w:cs="Times New Roman"/>
                <w:spacing w:val="-11"/>
                <w:sz w:val="23"/>
                <w:szCs w:val="23"/>
              </w:rPr>
              <w:t>10</w:t>
            </w:r>
          </w:p>
        </w:tc>
        <w:tc>
          <w:tcPr>
            <w:tcW w:w="10796" w:type="dxa"/>
            <w:noWrap w:val="0"/>
            <w:vAlign w:val="center"/>
          </w:tcPr>
          <w:p>
            <w:pPr>
              <w:pStyle w:val="15"/>
              <w:spacing w:before="300" w:line="300" w:lineRule="exact"/>
              <w:ind w:left="118"/>
              <w:jc w:val="both"/>
              <w:rPr>
                <w:spacing w:val="7"/>
                <w:lang w:eastAsia="zh-CN"/>
              </w:rPr>
            </w:pPr>
            <w:r>
              <w:rPr>
                <w:spacing w:val="6"/>
                <w:lang w:eastAsia="zh-CN"/>
              </w:rPr>
              <w:t>不得经营未经备案的第一类医疗器械。</w:t>
            </w:r>
          </w:p>
        </w:tc>
        <w:tc>
          <w:tcPr>
            <w:tcW w:w="1240" w:type="dxa"/>
            <w:noWrap w:val="0"/>
            <w:vAlign w:val="center"/>
          </w:tcPr>
          <w:p>
            <w:pPr>
              <w:spacing w:before="279" w:line="300" w:lineRule="exact"/>
              <w:ind w:left="131"/>
              <w:rPr>
                <w:rFonts w:eastAsia="Times New Roman"/>
                <w:spacing w:val="-4"/>
              </w:rPr>
            </w:pPr>
            <w:r>
              <w:rPr>
                <w:rFonts w:eastAsia="Times New Roman"/>
                <w:spacing w:val="-4"/>
              </w:rPr>
              <w:t>□</w:t>
            </w:r>
            <w:r>
              <w:rPr>
                <w:spacing w:val="-4"/>
              </w:rPr>
              <w:t>是</w:t>
            </w:r>
            <w:r>
              <w:rPr>
                <w:spacing w:val="14"/>
              </w:rPr>
              <w:t xml:space="preserve">  </w:t>
            </w:r>
            <w:r>
              <w:rPr>
                <w:rFonts w:eastAsia="Times New Roman"/>
                <w:spacing w:val="-4"/>
              </w:rPr>
              <w:t>□</w:t>
            </w:r>
            <w:r>
              <w:rPr>
                <w:rFonts w:eastAsia="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05" w:line="300" w:lineRule="exact"/>
              <w:ind w:left="292"/>
              <w:rPr>
                <w:rFonts w:eastAsia="Times New Roman"/>
                <w:sz w:val="23"/>
                <w:szCs w:val="23"/>
              </w:rPr>
            </w:pPr>
            <w:r>
              <w:rPr>
                <w:rFonts w:hint="default" w:ascii="Times New Roman" w:hAnsi="Times New Roman" w:eastAsia="Times New Roman" w:cs="Times New Roman"/>
                <w:spacing w:val="-11"/>
                <w:sz w:val="23"/>
                <w:szCs w:val="23"/>
              </w:rPr>
              <w:t>11</w:t>
            </w:r>
          </w:p>
        </w:tc>
        <w:tc>
          <w:tcPr>
            <w:tcW w:w="10796" w:type="dxa"/>
            <w:noWrap w:val="0"/>
            <w:vAlign w:val="center"/>
          </w:tcPr>
          <w:p>
            <w:pPr>
              <w:pStyle w:val="15"/>
              <w:spacing w:before="300" w:line="300" w:lineRule="exact"/>
              <w:ind w:left="118"/>
              <w:jc w:val="both"/>
              <w:rPr>
                <w:spacing w:val="7"/>
                <w:lang w:eastAsia="zh-CN"/>
              </w:rPr>
            </w:pPr>
            <w:r>
              <w:rPr>
                <w:spacing w:val="9"/>
                <w:lang w:eastAsia="zh-CN"/>
              </w:rPr>
              <w:t>不得经营不符合强制性标准或者不符合经注册或者备案的产品技术要求的医疗器械。</w:t>
            </w:r>
          </w:p>
        </w:tc>
        <w:tc>
          <w:tcPr>
            <w:tcW w:w="1240" w:type="dxa"/>
            <w:noWrap w:val="0"/>
            <w:vAlign w:val="center"/>
          </w:tcPr>
          <w:p>
            <w:pPr>
              <w:spacing w:before="279" w:line="300" w:lineRule="exact"/>
              <w:ind w:left="131"/>
              <w:rPr>
                <w:rFonts w:eastAsia="Times New Roman"/>
                <w:spacing w:val="-4"/>
              </w:rPr>
            </w:pPr>
            <w:r>
              <w:rPr>
                <w:rFonts w:eastAsia="Times New Roman"/>
                <w:spacing w:val="-4"/>
              </w:rPr>
              <w:t>□</w:t>
            </w:r>
            <w:r>
              <w:rPr>
                <w:spacing w:val="-4"/>
              </w:rPr>
              <w:t>是</w:t>
            </w:r>
            <w:r>
              <w:rPr>
                <w:spacing w:val="14"/>
              </w:rPr>
              <w:t xml:space="preserve">  </w:t>
            </w:r>
            <w:r>
              <w:rPr>
                <w:rFonts w:eastAsia="Times New Roman"/>
                <w:spacing w:val="-4"/>
              </w:rPr>
              <w:t>□</w:t>
            </w:r>
            <w:r>
              <w:rPr>
                <w:rFonts w:eastAsia="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05" w:line="300" w:lineRule="exact"/>
              <w:ind w:left="292"/>
              <w:rPr>
                <w:rFonts w:eastAsia="Times New Roman"/>
                <w:sz w:val="23"/>
                <w:szCs w:val="23"/>
              </w:rPr>
            </w:pPr>
            <w:r>
              <w:rPr>
                <w:rFonts w:hint="default" w:ascii="Times New Roman" w:hAnsi="Times New Roman" w:eastAsia="Times New Roman" w:cs="Times New Roman"/>
                <w:spacing w:val="-11"/>
                <w:sz w:val="23"/>
                <w:szCs w:val="23"/>
              </w:rPr>
              <w:t>12</w:t>
            </w:r>
          </w:p>
        </w:tc>
        <w:tc>
          <w:tcPr>
            <w:tcW w:w="10796" w:type="dxa"/>
            <w:noWrap w:val="0"/>
            <w:vAlign w:val="center"/>
          </w:tcPr>
          <w:p>
            <w:pPr>
              <w:pStyle w:val="15"/>
              <w:spacing w:before="300" w:line="300" w:lineRule="exact"/>
              <w:ind w:left="118"/>
              <w:jc w:val="both"/>
              <w:rPr>
                <w:spacing w:val="7"/>
                <w:lang w:eastAsia="zh-CN"/>
              </w:rPr>
            </w:pPr>
            <w:r>
              <w:rPr>
                <w:spacing w:val="7"/>
                <w:lang w:eastAsia="zh-CN"/>
              </w:rPr>
              <w:t>不得经营无合格证明文件、过期、失效、淘汰的医疗器械。</w:t>
            </w:r>
          </w:p>
        </w:tc>
        <w:tc>
          <w:tcPr>
            <w:tcW w:w="1240" w:type="dxa"/>
            <w:noWrap w:val="0"/>
            <w:vAlign w:val="center"/>
          </w:tcPr>
          <w:p>
            <w:pPr>
              <w:spacing w:before="279" w:line="300" w:lineRule="exact"/>
              <w:ind w:left="131"/>
              <w:rPr>
                <w:rFonts w:eastAsia="Times New Roman"/>
                <w:spacing w:val="-4"/>
              </w:rPr>
            </w:pPr>
            <w:r>
              <w:rPr>
                <w:rFonts w:eastAsia="Times New Roman"/>
                <w:spacing w:val="-4"/>
              </w:rPr>
              <w:t>□</w:t>
            </w:r>
            <w:r>
              <w:rPr>
                <w:spacing w:val="-4"/>
              </w:rPr>
              <w:t>是</w:t>
            </w:r>
            <w:r>
              <w:rPr>
                <w:spacing w:val="14"/>
              </w:rPr>
              <w:t xml:space="preserve">  </w:t>
            </w:r>
            <w:r>
              <w:rPr>
                <w:rFonts w:eastAsia="Times New Roman"/>
                <w:spacing w:val="-4"/>
              </w:rPr>
              <w:t>□</w:t>
            </w:r>
            <w:r>
              <w:rPr>
                <w:rFonts w:eastAsia="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05" w:line="300" w:lineRule="exact"/>
              <w:ind w:left="292"/>
              <w:rPr>
                <w:rFonts w:eastAsia="Times New Roman"/>
                <w:sz w:val="23"/>
                <w:szCs w:val="23"/>
              </w:rPr>
            </w:pPr>
            <w:r>
              <w:rPr>
                <w:rFonts w:hint="default" w:ascii="Times New Roman" w:hAnsi="Times New Roman" w:eastAsia="Times New Roman" w:cs="Times New Roman"/>
                <w:spacing w:val="-11"/>
                <w:sz w:val="23"/>
                <w:szCs w:val="23"/>
              </w:rPr>
              <w:t>13</w:t>
            </w:r>
          </w:p>
        </w:tc>
        <w:tc>
          <w:tcPr>
            <w:tcW w:w="10796" w:type="dxa"/>
            <w:noWrap w:val="0"/>
            <w:vAlign w:val="center"/>
          </w:tcPr>
          <w:p>
            <w:pPr>
              <w:pStyle w:val="15"/>
              <w:spacing w:before="300" w:line="300" w:lineRule="exact"/>
              <w:ind w:left="118"/>
              <w:jc w:val="both"/>
              <w:rPr>
                <w:spacing w:val="7"/>
                <w:lang w:eastAsia="zh-CN"/>
              </w:rPr>
            </w:pPr>
            <w:r>
              <w:rPr>
                <w:spacing w:val="7"/>
                <w:lang w:eastAsia="zh-CN"/>
              </w:rPr>
              <w:t>不得进口、销售过期、失效、淘汰等已使用过的医疗器械。</w:t>
            </w:r>
          </w:p>
        </w:tc>
        <w:tc>
          <w:tcPr>
            <w:tcW w:w="1240" w:type="dxa"/>
            <w:noWrap w:val="0"/>
            <w:vAlign w:val="center"/>
          </w:tcPr>
          <w:p>
            <w:pPr>
              <w:spacing w:before="279" w:line="300" w:lineRule="exact"/>
              <w:ind w:left="131"/>
              <w:rPr>
                <w:rFonts w:eastAsia="Times New Roman"/>
                <w:spacing w:val="-4"/>
              </w:rPr>
            </w:pPr>
            <w:r>
              <w:rPr>
                <w:rFonts w:eastAsia="Times New Roman"/>
                <w:spacing w:val="-4"/>
              </w:rPr>
              <w:t>□</w:t>
            </w:r>
            <w:r>
              <w:rPr>
                <w:spacing w:val="-4"/>
              </w:rPr>
              <w:t>是</w:t>
            </w:r>
            <w:r>
              <w:rPr>
                <w:spacing w:val="14"/>
              </w:rPr>
              <w:t xml:space="preserve">  </w:t>
            </w:r>
            <w:r>
              <w:rPr>
                <w:rFonts w:eastAsia="Times New Roman"/>
                <w:spacing w:val="-4"/>
              </w:rPr>
              <w:t>□</w:t>
            </w:r>
            <w:r>
              <w:rPr>
                <w:rFonts w:eastAsia="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06" w:line="300" w:lineRule="exact"/>
              <w:ind w:left="292"/>
              <w:rPr>
                <w:rFonts w:eastAsia="Times New Roman"/>
                <w:sz w:val="23"/>
                <w:szCs w:val="23"/>
              </w:rPr>
            </w:pPr>
            <w:r>
              <w:rPr>
                <w:rFonts w:hint="default" w:ascii="Times New Roman" w:hAnsi="Times New Roman" w:eastAsia="Times New Roman" w:cs="Times New Roman"/>
                <w:spacing w:val="-11"/>
                <w:sz w:val="23"/>
                <w:szCs w:val="23"/>
              </w:rPr>
              <w:t>14</w:t>
            </w:r>
          </w:p>
        </w:tc>
        <w:tc>
          <w:tcPr>
            <w:tcW w:w="10796" w:type="dxa"/>
            <w:noWrap w:val="0"/>
            <w:vAlign w:val="center"/>
          </w:tcPr>
          <w:p>
            <w:pPr>
              <w:pStyle w:val="15"/>
              <w:spacing w:before="300" w:line="300" w:lineRule="exact"/>
              <w:ind w:left="118"/>
              <w:jc w:val="both"/>
              <w:rPr>
                <w:spacing w:val="7"/>
                <w:lang w:eastAsia="zh-CN"/>
              </w:rPr>
            </w:pPr>
            <w:r>
              <w:rPr>
                <w:spacing w:val="6"/>
                <w:lang w:eastAsia="zh-CN"/>
              </w:rPr>
              <w:t>不得经营说明书、标签不符合规定的医疗器械。</w:t>
            </w:r>
          </w:p>
        </w:tc>
        <w:tc>
          <w:tcPr>
            <w:tcW w:w="1240" w:type="dxa"/>
            <w:noWrap w:val="0"/>
            <w:vAlign w:val="center"/>
          </w:tcPr>
          <w:p>
            <w:pPr>
              <w:spacing w:before="279" w:line="300" w:lineRule="exact"/>
              <w:ind w:left="131"/>
              <w:rPr>
                <w:rFonts w:eastAsia="Times New Roman"/>
                <w:spacing w:val="-4"/>
              </w:rPr>
            </w:pPr>
            <w:r>
              <w:rPr>
                <w:rFonts w:eastAsia="Times New Roman"/>
                <w:spacing w:val="-4"/>
              </w:rPr>
              <w:t>□</w:t>
            </w:r>
            <w:r>
              <w:rPr>
                <w:spacing w:val="-4"/>
              </w:rPr>
              <w:t>是</w:t>
            </w:r>
            <w:r>
              <w:rPr>
                <w:spacing w:val="14"/>
              </w:rPr>
              <w:t xml:space="preserve">  </w:t>
            </w:r>
            <w:r>
              <w:rPr>
                <w:rFonts w:eastAsia="Times New Roman"/>
                <w:spacing w:val="-4"/>
              </w:rPr>
              <w:t>□</w:t>
            </w:r>
            <w:r>
              <w:rPr>
                <w:rFonts w:eastAsia="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07" w:line="300" w:lineRule="exact"/>
              <w:ind w:left="292"/>
              <w:rPr>
                <w:rFonts w:eastAsia="Times New Roman"/>
                <w:sz w:val="23"/>
                <w:szCs w:val="23"/>
              </w:rPr>
            </w:pPr>
            <w:r>
              <w:rPr>
                <w:rFonts w:hint="default" w:ascii="Times New Roman" w:hAnsi="Times New Roman" w:eastAsia="Times New Roman" w:cs="Times New Roman"/>
                <w:spacing w:val="-11"/>
                <w:sz w:val="23"/>
                <w:szCs w:val="23"/>
              </w:rPr>
              <w:t>15</w:t>
            </w:r>
          </w:p>
        </w:tc>
        <w:tc>
          <w:tcPr>
            <w:tcW w:w="10796" w:type="dxa"/>
            <w:noWrap w:val="0"/>
            <w:vAlign w:val="center"/>
          </w:tcPr>
          <w:p>
            <w:pPr>
              <w:pStyle w:val="15"/>
              <w:spacing w:before="300" w:line="300" w:lineRule="exact"/>
              <w:ind w:left="118"/>
              <w:jc w:val="both"/>
              <w:rPr>
                <w:spacing w:val="7"/>
                <w:lang w:eastAsia="zh-CN"/>
              </w:rPr>
            </w:pPr>
            <w:r>
              <w:rPr>
                <w:spacing w:val="9"/>
                <w:lang w:eastAsia="zh-CN"/>
              </w:rPr>
              <w:t>不得在负责药品监督管理部门责令停止或者暂停进口、经营后，继续进口、经营医疗器械。</w:t>
            </w:r>
          </w:p>
        </w:tc>
        <w:tc>
          <w:tcPr>
            <w:tcW w:w="1240" w:type="dxa"/>
            <w:noWrap w:val="0"/>
            <w:vAlign w:val="center"/>
          </w:tcPr>
          <w:p>
            <w:pPr>
              <w:spacing w:before="279" w:line="300" w:lineRule="exact"/>
              <w:ind w:left="131"/>
              <w:rPr>
                <w:rFonts w:eastAsia="Times New Roman"/>
                <w:spacing w:val="-4"/>
              </w:rPr>
            </w:pPr>
            <w:r>
              <w:rPr>
                <w:rFonts w:eastAsia="Times New Roman"/>
                <w:spacing w:val="-4"/>
              </w:rPr>
              <w:t>□</w:t>
            </w:r>
            <w:r>
              <w:rPr>
                <w:spacing w:val="-4"/>
              </w:rPr>
              <w:t>是</w:t>
            </w:r>
            <w:r>
              <w:rPr>
                <w:spacing w:val="14"/>
              </w:rPr>
              <w:t xml:space="preserve">  </w:t>
            </w:r>
            <w:r>
              <w:rPr>
                <w:rFonts w:eastAsia="Times New Roman"/>
                <w:spacing w:val="-4"/>
              </w:rPr>
              <w:t>□</w:t>
            </w:r>
            <w:r>
              <w:rPr>
                <w:rFonts w:eastAsia="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829" w:type="dxa"/>
            <w:gridSpan w:val="4"/>
            <w:noWrap w:val="0"/>
            <w:vAlign w:val="center"/>
          </w:tcPr>
          <w:p>
            <w:pPr>
              <w:spacing w:line="300" w:lineRule="exact"/>
            </w:pPr>
            <w:r>
              <w:rPr>
                <w:rFonts w:ascii="黑体" w:hAnsi="黑体" w:eastAsia="黑体" w:cs="黑体"/>
                <w:spacing w:val="8"/>
                <w:sz w:val="23"/>
                <w:szCs w:val="23"/>
              </w:rPr>
              <w:t>三、质量管理体系方面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07" w:line="300" w:lineRule="exact"/>
              <w:ind w:left="292"/>
              <w:rPr>
                <w:rFonts w:eastAsia="Times New Roman"/>
                <w:sz w:val="23"/>
                <w:szCs w:val="23"/>
              </w:rPr>
            </w:pPr>
            <w:r>
              <w:rPr>
                <w:rFonts w:hint="default" w:ascii="Times New Roman" w:hAnsi="Times New Roman" w:eastAsia="Times New Roman" w:cs="Times New Roman"/>
                <w:spacing w:val="-11"/>
                <w:sz w:val="23"/>
                <w:szCs w:val="23"/>
              </w:rPr>
              <w:t>16</w:t>
            </w:r>
          </w:p>
        </w:tc>
        <w:tc>
          <w:tcPr>
            <w:tcW w:w="10796" w:type="dxa"/>
            <w:noWrap w:val="0"/>
            <w:vAlign w:val="center"/>
          </w:tcPr>
          <w:p>
            <w:pPr>
              <w:pStyle w:val="15"/>
              <w:spacing w:before="214" w:line="300" w:lineRule="exact"/>
              <w:ind w:left="119"/>
              <w:jc w:val="both"/>
              <w:rPr>
                <w:lang w:eastAsia="zh-CN"/>
              </w:rPr>
            </w:pPr>
            <w:r>
              <w:rPr>
                <w:spacing w:val="7"/>
                <w:lang w:eastAsia="zh-CN"/>
              </w:rPr>
              <w:t>应当依照规定建立质量管理体系并保证其有效运行。</w:t>
            </w:r>
          </w:p>
        </w:tc>
        <w:tc>
          <w:tcPr>
            <w:tcW w:w="1240" w:type="dxa"/>
            <w:noWrap w:val="0"/>
            <w:vAlign w:val="center"/>
          </w:tcPr>
          <w:p>
            <w:pPr>
              <w:pStyle w:val="15"/>
              <w:spacing w:before="279" w:line="300" w:lineRule="exact"/>
              <w:ind w:left="131"/>
              <w:jc w:val="both"/>
              <w:rPr>
                <w:rFonts w:ascii="Times New Roman" w:hAnsi="Times New Roman" w:eastAsia="Times New Roman" w:cs="Times New Roman"/>
                <w:spacing w:val="-4"/>
              </w:rPr>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06" w:line="300" w:lineRule="exact"/>
              <w:ind w:left="292"/>
              <w:rPr>
                <w:rFonts w:eastAsia="Times New Roman"/>
                <w:sz w:val="23"/>
                <w:szCs w:val="23"/>
              </w:rPr>
            </w:pPr>
            <w:r>
              <w:rPr>
                <w:rFonts w:hint="default" w:ascii="Times New Roman" w:hAnsi="Times New Roman" w:eastAsia="Times New Roman" w:cs="Times New Roman"/>
                <w:spacing w:val="-11"/>
                <w:sz w:val="23"/>
                <w:szCs w:val="23"/>
              </w:rPr>
              <w:t>17</w:t>
            </w:r>
          </w:p>
        </w:tc>
        <w:tc>
          <w:tcPr>
            <w:tcW w:w="10796" w:type="dxa"/>
            <w:noWrap w:val="0"/>
            <w:vAlign w:val="center"/>
          </w:tcPr>
          <w:p>
            <w:pPr>
              <w:pStyle w:val="15"/>
              <w:spacing w:before="214" w:line="300" w:lineRule="exact"/>
              <w:ind w:left="119"/>
              <w:jc w:val="both"/>
              <w:rPr>
                <w:lang w:eastAsia="zh-CN"/>
              </w:rPr>
            </w:pPr>
            <w:r>
              <w:rPr>
                <w:spacing w:val="6"/>
                <w:lang w:eastAsia="zh-CN"/>
              </w:rPr>
              <w:t>应当按照要求提交质量管理体系年度自查报告。</w:t>
            </w:r>
          </w:p>
        </w:tc>
        <w:tc>
          <w:tcPr>
            <w:tcW w:w="1240" w:type="dxa"/>
            <w:noWrap w:val="0"/>
            <w:vAlign w:val="center"/>
          </w:tcPr>
          <w:p>
            <w:pPr>
              <w:pStyle w:val="15"/>
              <w:spacing w:before="279" w:line="300" w:lineRule="exact"/>
              <w:ind w:left="131"/>
              <w:jc w:val="both"/>
              <w:rPr>
                <w:rFonts w:ascii="Times New Roman" w:hAnsi="Times New Roman" w:eastAsia="Times New Roman" w:cs="Times New Roman"/>
                <w:spacing w:val="-4"/>
              </w:rPr>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829" w:type="dxa"/>
            <w:gridSpan w:val="4"/>
            <w:noWrap w:val="0"/>
            <w:vAlign w:val="center"/>
          </w:tcPr>
          <w:p>
            <w:pPr>
              <w:spacing w:line="300" w:lineRule="exact"/>
            </w:pPr>
            <w:r>
              <w:rPr>
                <w:rFonts w:ascii="黑体" w:hAnsi="黑体" w:eastAsia="黑体" w:cs="黑体"/>
                <w:spacing w:val="8"/>
                <w:sz w:val="23"/>
                <w:szCs w:val="23"/>
              </w:rPr>
              <w:t>四、质量管理制度方面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96" w:line="300" w:lineRule="exact"/>
              <w:ind w:left="339"/>
              <w:rPr>
                <w:sz w:val="23"/>
                <w:szCs w:val="23"/>
              </w:rPr>
            </w:pPr>
            <w:r>
              <w:rPr>
                <w:rFonts w:hint="default" w:ascii="Times New Roman" w:hAnsi="Times New Roman" w:cs="Times New Roman"/>
                <w:sz w:val="23"/>
                <w:szCs w:val="23"/>
              </w:rPr>
              <w:t>18</w:t>
            </w:r>
          </w:p>
        </w:tc>
        <w:tc>
          <w:tcPr>
            <w:tcW w:w="10796" w:type="dxa"/>
            <w:noWrap w:val="0"/>
            <w:vAlign w:val="center"/>
          </w:tcPr>
          <w:p>
            <w:pPr>
              <w:pStyle w:val="15"/>
              <w:spacing w:line="340" w:lineRule="exact"/>
              <w:jc w:val="both"/>
              <w:rPr>
                <w:rFonts w:hint="eastAsia" w:ascii="仿宋_GB2312" w:eastAsia="仿宋_GB2312"/>
                <w:spacing w:val="9"/>
                <w:lang w:eastAsia="zh-CN"/>
              </w:rPr>
            </w:pPr>
            <w:r>
              <w:rPr>
                <w:rFonts w:hint="eastAsia"/>
                <w:spacing w:val="9"/>
                <w:lang w:eastAsia="zh-CN"/>
              </w:rPr>
              <w:t>应当依照规范建立覆盖医疗器械经营全过程的质量记录。质量记录包括下列内容：（一）供货者和产品资质审核记录；（二）医疗器械采购合同或者协议、采购记录；（三）医疗器械进货查验记录（包括留存随货同行单据）；（四）医疗器械入库记录；（五）医疗器械在库检查记录、各库区温湿度记录；（六）医疗器械库存记录；（七）医疗器械销售记录；（八）医疗器械出库复核记录、出库记录；（九）医疗器械运输记录、冷链产品运输过程温度记录；（十）医疗器械售后服务记录或者管理记录；（十一）医疗器械退货记录；（十二）医疗器械召回和不良事件处理记录；（十三）医疗器械质量投诉、事故调查的相关记录和档案；（十四）医疗器械不合格品处理记录、销毁记录；（十五）企业年度自查报告档案；（十六）员工档案及人员资质证明、培训记录、直接接触医疗器械产品人员的健康档案（十七）设施设备档案、维护维修记录；（十八）计量器具校准或者检定记录、冷链设施验证记录；（十九）医疗器械质量安全风险会商相关记录；（二十）其他质量管理过程生成的相关质量记录。从事第二类、第三类医疗器械批发业务的，企业还应当建立购货者档案。</w:t>
            </w:r>
          </w:p>
        </w:tc>
        <w:tc>
          <w:tcPr>
            <w:tcW w:w="1240" w:type="dxa"/>
            <w:noWrap w:val="0"/>
            <w:vAlign w:val="center"/>
          </w:tcPr>
          <w:p>
            <w:pPr>
              <w:pStyle w:val="15"/>
              <w:spacing w:before="279" w:line="300" w:lineRule="exact"/>
              <w:ind w:left="131"/>
              <w:jc w:val="both"/>
              <w:rPr>
                <w:rFonts w:ascii="Times New Roman" w:hAnsi="Times New Roman" w:eastAsia="Times New Roman" w:cs="Times New Roman"/>
                <w:spacing w:val="-4"/>
              </w:rPr>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96" w:line="300" w:lineRule="exact"/>
              <w:ind w:left="339"/>
              <w:rPr>
                <w:sz w:val="23"/>
                <w:szCs w:val="23"/>
              </w:rPr>
            </w:pPr>
            <w:r>
              <w:rPr>
                <w:rFonts w:hint="default" w:ascii="Times New Roman" w:hAnsi="Times New Roman" w:cs="Times New Roman"/>
                <w:sz w:val="23"/>
                <w:szCs w:val="23"/>
              </w:rPr>
              <w:t>19</w:t>
            </w:r>
          </w:p>
        </w:tc>
        <w:tc>
          <w:tcPr>
            <w:tcW w:w="10796" w:type="dxa"/>
            <w:noWrap w:val="0"/>
            <w:vAlign w:val="center"/>
          </w:tcPr>
          <w:p>
            <w:pPr>
              <w:pStyle w:val="15"/>
              <w:spacing w:before="101" w:line="360" w:lineRule="exact"/>
              <w:ind w:left="108" w:right="45" w:firstLine="11"/>
              <w:jc w:val="both"/>
              <w:rPr>
                <w:rFonts w:hint="eastAsia" w:ascii="仿宋_GB2312" w:eastAsia="仿宋_GB2312"/>
                <w:spacing w:val="7"/>
                <w:lang w:eastAsia="zh-CN"/>
              </w:rPr>
            </w:pPr>
            <w:r>
              <w:rPr>
                <w:rFonts w:hint="eastAsia"/>
                <w:spacing w:val="9"/>
                <w:lang w:eastAsia="zh-CN"/>
              </w:rPr>
              <w:t>应当依照规范建立覆盖医疗器械经营全过程的质量管理体系文件。质量管理体系文件符合企业实际，并实施动态管理且持续有效。质量管理体系文件由企业负责人批准后实施，并至少包括下列内容：（一）质量管理机构或者质量管理人员管理职责；（二）质量安全关键岗位人员岗位说明；（三）质量文件审核批准管理制度；（四）质量记录管理制度；（五）质量管理自查制度；（六）医疗器械供货者和产品资质审核制度；（七）医疗器械采购管理制度；（八）医疗器械收货和验收管理制度；（九）医疗器械贮存（陈列）和在库检查管理制度；（十）医疗器械出入库管理制度；（十一）医疗器械有效期管理制度；（十二）医疗器械运输管理制度；（十三）医疗器械销售和售后服务管理制度；（十四）医疗器械不合格产品管理制度；（十五）医疗器械退货管理制度；（十六）医疗器械不良事件监测和报告制度；（十七）医疗器械产品召回管理制度；（十八）医疗器械追溯管理制度；（十九）医疗器械质量投诉、事故调查和处理报告制度；（二十）设施设备维护和验证校准管理制度；（二十一）环境卫生和人员健康管理制度；（二十二）质量管理培训和考核制度；（二十三）医疗器械质量安全风险会商管理制度；（二十四）医疗器械采购、收货、验收、贮存、销售、出库、运输等环节的工作程序。</w:t>
            </w:r>
          </w:p>
        </w:tc>
        <w:tc>
          <w:tcPr>
            <w:tcW w:w="1240" w:type="dxa"/>
            <w:noWrap w:val="0"/>
            <w:vAlign w:val="center"/>
          </w:tcPr>
          <w:p>
            <w:pPr>
              <w:pStyle w:val="15"/>
              <w:spacing w:before="279" w:line="300" w:lineRule="exact"/>
              <w:ind w:left="131"/>
              <w:jc w:val="both"/>
              <w:rPr>
                <w:rFonts w:ascii="Times New Roman" w:hAnsi="Times New Roman" w:eastAsia="Times New Roman" w:cs="Times New Roman"/>
                <w:spacing w:val="-4"/>
              </w:rPr>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96" w:line="300" w:lineRule="exact"/>
              <w:ind w:left="339"/>
              <w:rPr>
                <w:sz w:val="23"/>
                <w:szCs w:val="23"/>
              </w:rPr>
            </w:pPr>
            <w:r>
              <w:rPr>
                <w:rFonts w:hint="default" w:ascii="Times New Roman" w:hAnsi="Times New Roman" w:cs="Times New Roman"/>
                <w:sz w:val="23"/>
                <w:szCs w:val="23"/>
              </w:rPr>
              <w:t>20</w:t>
            </w:r>
          </w:p>
        </w:tc>
        <w:tc>
          <w:tcPr>
            <w:tcW w:w="10796" w:type="dxa"/>
            <w:noWrap w:val="0"/>
            <w:vAlign w:val="center"/>
          </w:tcPr>
          <w:p>
            <w:pPr>
              <w:pStyle w:val="15"/>
              <w:spacing w:before="135" w:line="360" w:lineRule="exact"/>
              <w:ind w:left="119"/>
              <w:rPr>
                <w:rFonts w:hint="eastAsia" w:ascii="仿宋_GB2312" w:eastAsia="仿宋_GB2312"/>
                <w:spacing w:val="7"/>
                <w:lang w:eastAsia="zh-CN"/>
              </w:rPr>
            </w:pPr>
            <w:r>
              <w:rPr>
                <w:rFonts w:hint="eastAsia"/>
                <w:spacing w:val="9"/>
                <w:lang w:eastAsia="zh-CN"/>
              </w:rPr>
              <w:t>应当具有与经营范围和经营规模相适应的质量管理机构或者质量管理人员。质量管理机构或者质量管理人员履行下列职责：（一）负责收集和管理与医疗器械经营相关的法律法规、规章、规范和有关规定等与质量管理相关的信息，建立医疗器械质量档案，实施动态管理，并督促相关部门和岗位人员执行；（二）负责组织制定质量管理制度， 指导、监督制度的执行， 并对质量管理制度的执行情况进行检查、纠正和持续改进；（三）负责对医疗器械经营相关的计算机信息系统的质量控制功能和操作权限进行管理；（四）负责实施医疗器械追溯管理，推进医疗器械唯一标识制度实施；（五）负责对医疗器械供货者、产品、购货者资质的审核，并实施动态管理；（六）负责不合格医疗器械的确认，对不合格医疗器械的处理过程实施监督；（七）负责医疗器械质量投诉和质量事故的调查、处理及报告；（八）负责医疗器械召回的管理；（九）负责医疗器械质量安全风险会商的组织实施；（十）组织医疗器械不良事件的收集与报告；（十一）组织验证、校准相关设施设备；（十二）组织对受托运输承运方进行质量保障能力审核及质量监督；（十三）组织对专门提供医疗器械运输、贮存服务的企业质量保障能力审核及产品质量监督；（十四）组织对医疗器械网络销售相关过程进行质量保障能力审核以及质量监督；（十五）组织质量管理自查和各项专项自查，按时提交自查报告；（十六）组织或者协助开展质量管理培训；（十七）其他应当由质量管理机构或者质量管理人员履行的职责。</w:t>
            </w:r>
          </w:p>
        </w:tc>
        <w:tc>
          <w:tcPr>
            <w:tcW w:w="1240" w:type="dxa"/>
            <w:noWrap w:val="0"/>
            <w:vAlign w:val="center"/>
          </w:tcPr>
          <w:p>
            <w:pPr>
              <w:pStyle w:val="15"/>
              <w:spacing w:before="279" w:line="300" w:lineRule="exact"/>
              <w:ind w:left="131"/>
              <w:jc w:val="both"/>
              <w:rPr>
                <w:rFonts w:ascii="Times New Roman" w:hAnsi="Times New Roman" w:eastAsia="Times New Roman" w:cs="Times New Roman"/>
                <w:spacing w:val="-4"/>
              </w:rPr>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3829" w:type="dxa"/>
            <w:gridSpan w:val="4"/>
            <w:noWrap w:val="0"/>
            <w:vAlign w:val="center"/>
          </w:tcPr>
          <w:p>
            <w:pPr>
              <w:spacing w:line="300" w:lineRule="exact"/>
            </w:pPr>
            <w:r>
              <w:rPr>
                <w:rFonts w:ascii="黑体" w:hAnsi="黑体" w:eastAsia="黑体" w:cs="黑体"/>
                <w:spacing w:val="8"/>
                <w:sz w:val="23"/>
                <w:szCs w:val="23"/>
              </w:rPr>
              <w:t>五、人员管理方面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69"/>
              <w:rPr>
                <w:rFonts w:eastAsia="Times New Roman"/>
                <w:sz w:val="23"/>
                <w:szCs w:val="23"/>
              </w:rPr>
            </w:pPr>
            <w:r>
              <w:rPr>
                <w:rFonts w:hint="default" w:ascii="Times New Roman" w:hAnsi="Times New Roman" w:eastAsia="Times New Roman" w:cs="Times New Roman"/>
                <w:spacing w:val="1"/>
                <w:sz w:val="23"/>
                <w:szCs w:val="23"/>
              </w:rPr>
              <w:t>21</w:t>
            </w:r>
          </w:p>
        </w:tc>
        <w:tc>
          <w:tcPr>
            <w:tcW w:w="10796" w:type="dxa"/>
            <w:noWrap w:val="0"/>
            <w:vAlign w:val="center"/>
          </w:tcPr>
          <w:p>
            <w:pPr>
              <w:pStyle w:val="15"/>
              <w:spacing w:before="148" w:line="300" w:lineRule="exact"/>
              <w:ind w:left="116"/>
              <w:jc w:val="both"/>
              <w:rPr>
                <w:lang w:eastAsia="zh-CN"/>
              </w:rPr>
            </w:pPr>
            <w:r>
              <w:rPr>
                <w:rFonts w:hint="eastAsia"/>
                <w:spacing w:val="9"/>
                <w:lang w:eastAsia="zh-CN"/>
              </w:rPr>
              <w:t>企业质量负责人负责医疗器械质量管理工作，应当独立履行职责，在企业内部对医疗器械质量管理具有裁决权，承担相应的质量管理责任。</w:t>
            </w:r>
          </w:p>
        </w:tc>
        <w:tc>
          <w:tcPr>
            <w:tcW w:w="1240" w:type="dxa"/>
            <w:noWrap w:val="0"/>
            <w:vAlign w:val="center"/>
          </w:tcPr>
          <w:p>
            <w:pPr>
              <w:spacing w:line="300" w:lineRule="exact"/>
            </w:pPr>
          </w:p>
          <w:p>
            <w:pPr>
              <w:pStyle w:val="15"/>
              <w:spacing w:before="74"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47" w:line="300" w:lineRule="exact"/>
              <w:ind w:left="269"/>
              <w:rPr>
                <w:rFonts w:eastAsia="Times New Roman"/>
                <w:sz w:val="23"/>
                <w:szCs w:val="23"/>
              </w:rPr>
            </w:pPr>
            <w:r>
              <w:rPr>
                <w:rFonts w:hint="default" w:ascii="Times New Roman" w:hAnsi="Times New Roman" w:eastAsia="Times New Roman" w:cs="Times New Roman"/>
                <w:spacing w:val="1"/>
                <w:sz w:val="23"/>
                <w:szCs w:val="23"/>
              </w:rPr>
              <w:t>22</w:t>
            </w:r>
          </w:p>
        </w:tc>
        <w:tc>
          <w:tcPr>
            <w:tcW w:w="10796" w:type="dxa"/>
            <w:noWrap w:val="0"/>
            <w:vAlign w:val="center"/>
          </w:tcPr>
          <w:p>
            <w:pPr>
              <w:pStyle w:val="15"/>
              <w:spacing w:before="253" w:line="300" w:lineRule="exact"/>
              <w:ind w:left="118"/>
              <w:jc w:val="both"/>
              <w:rPr>
                <w:lang w:eastAsia="zh-CN"/>
              </w:rPr>
            </w:pPr>
            <w:r>
              <w:rPr>
                <w:spacing w:val="6"/>
                <w:lang w:eastAsia="zh-CN"/>
              </w:rPr>
              <w:t>不得使用禁止从事医疗器械经营活动的人员。</w:t>
            </w:r>
          </w:p>
        </w:tc>
        <w:tc>
          <w:tcPr>
            <w:tcW w:w="1240" w:type="dxa"/>
            <w:noWrap w:val="0"/>
            <w:vAlign w:val="center"/>
          </w:tcPr>
          <w:p>
            <w:pPr>
              <w:pStyle w:val="15"/>
              <w:spacing w:before="232"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3829" w:type="dxa"/>
            <w:gridSpan w:val="4"/>
            <w:noWrap w:val="0"/>
            <w:vAlign w:val="center"/>
          </w:tcPr>
          <w:p>
            <w:pPr>
              <w:spacing w:line="300" w:lineRule="exact"/>
            </w:pPr>
            <w:r>
              <w:rPr>
                <w:rFonts w:ascii="黑体" w:hAnsi="黑体" w:eastAsia="黑体" w:cs="黑体"/>
                <w:spacing w:val="7"/>
                <w:sz w:val="23"/>
                <w:szCs w:val="23"/>
              </w:rPr>
              <w:t>六、设施设备方面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69"/>
              <w:rPr>
                <w:rFonts w:eastAsia="Times New Roman"/>
                <w:sz w:val="23"/>
                <w:szCs w:val="23"/>
              </w:rPr>
            </w:pPr>
            <w:r>
              <w:rPr>
                <w:rFonts w:hint="default" w:ascii="Times New Roman" w:hAnsi="Times New Roman" w:eastAsia="Times New Roman" w:cs="Times New Roman"/>
                <w:spacing w:val="1"/>
                <w:sz w:val="23"/>
                <w:szCs w:val="23"/>
              </w:rPr>
              <w:t>23</w:t>
            </w:r>
          </w:p>
        </w:tc>
        <w:tc>
          <w:tcPr>
            <w:tcW w:w="10796" w:type="dxa"/>
            <w:noWrap w:val="0"/>
            <w:vAlign w:val="center"/>
          </w:tcPr>
          <w:p>
            <w:pPr>
              <w:pStyle w:val="15"/>
              <w:spacing w:before="148" w:line="300" w:lineRule="exact"/>
              <w:ind w:left="119"/>
              <w:jc w:val="both"/>
              <w:rPr>
                <w:lang w:eastAsia="zh-CN"/>
              </w:rPr>
            </w:pPr>
            <w:r>
              <w:rPr>
                <w:rFonts w:hint="eastAsia"/>
                <w:spacing w:val="9"/>
                <w:lang w:eastAsia="zh-CN"/>
              </w:rPr>
              <w:t>应当具有与经营范围和经营规模相适应的经营场所和库房，经营场所和库房的面积满足经营与质量管理的要求。</w:t>
            </w:r>
          </w:p>
        </w:tc>
        <w:tc>
          <w:tcPr>
            <w:tcW w:w="1240" w:type="dxa"/>
            <w:noWrap w:val="0"/>
            <w:vAlign w:val="center"/>
          </w:tcPr>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7" w:line="300" w:lineRule="exact"/>
              <w:ind w:left="269"/>
              <w:rPr>
                <w:rFonts w:eastAsia="Times New Roman"/>
                <w:sz w:val="23"/>
                <w:szCs w:val="23"/>
              </w:rPr>
            </w:pPr>
            <w:r>
              <w:rPr>
                <w:rFonts w:hint="default" w:ascii="Times New Roman" w:hAnsi="Times New Roman" w:eastAsia="Times New Roman" w:cs="Times New Roman"/>
                <w:spacing w:val="1"/>
                <w:sz w:val="23"/>
                <w:szCs w:val="23"/>
              </w:rPr>
              <w:t>24</w:t>
            </w:r>
          </w:p>
        </w:tc>
        <w:tc>
          <w:tcPr>
            <w:tcW w:w="10796" w:type="dxa"/>
            <w:noWrap w:val="0"/>
            <w:vAlign w:val="center"/>
          </w:tcPr>
          <w:p>
            <w:pPr>
              <w:pStyle w:val="15"/>
              <w:spacing w:before="149" w:line="300" w:lineRule="exact"/>
              <w:ind w:left="110"/>
              <w:jc w:val="both"/>
              <w:rPr>
                <w:lang w:eastAsia="zh-CN"/>
              </w:rPr>
            </w:pPr>
            <w:r>
              <w:rPr>
                <w:rFonts w:hint="eastAsia"/>
                <w:spacing w:val="9"/>
                <w:lang w:eastAsia="zh-CN"/>
              </w:rPr>
              <w:t>库房的选址、设计、布局、建造、改造和维护应当符合医疗器械贮存要求，防止医疗器械的混淆、差错或者被污损，并具有符合医疗器械产品特性要求的贮存设施设备。</w:t>
            </w:r>
          </w:p>
        </w:tc>
        <w:tc>
          <w:tcPr>
            <w:tcW w:w="1240" w:type="dxa"/>
            <w:noWrap w:val="0"/>
            <w:vAlign w:val="center"/>
          </w:tcPr>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199" w:line="300" w:lineRule="exact"/>
              <w:ind w:left="269"/>
              <w:rPr>
                <w:rFonts w:eastAsia="Times New Roman"/>
                <w:sz w:val="23"/>
                <w:szCs w:val="23"/>
              </w:rPr>
            </w:pPr>
            <w:r>
              <w:rPr>
                <w:rFonts w:hint="default" w:ascii="Times New Roman" w:hAnsi="Times New Roman" w:eastAsia="Times New Roman" w:cs="Times New Roman"/>
                <w:spacing w:val="1"/>
                <w:sz w:val="23"/>
                <w:szCs w:val="23"/>
              </w:rPr>
              <w:t>25</w:t>
            </w:r>
          </w:p>
        </w:tc>
        <w:tc>
          <w:tcPr>
            <w:tcW w:w="10796" w:type="dxa"/>
            <w:noWrap w:val="0"/>
            <w:vAlign w:val="center"/>
          </w:tcPr>
          <w:p>
            <w:pPr>
              <w:pStyle w:val="15"/>
              <w:spacing w:before="194" w:line="300" w:lineRule="exact"/>
              <w:ind w:left="119"/>
              <w:jc w:val="both"/>
              <w:rPr>
                <w:lang w:eastAsia="zh-CN"/>
              </w:rPr>
            </w:pPr>
            <w:r>
              <w:rPr>
                <w:rFonts w:hint="eastAsia"/>
                <w:spacing w:val="9"/>
                <w:lang w:eastAsia="zh-CN"/>
              </w:rPr>
              <w:t>经营场所和库房不得设在居民住宅内等不适合开展经营活动的场所。</w:t>
            </w:r>
          </w:p>
        </w:tc>
        <w:tc>
          <w:tcPr>
            <w:tcW w:w="1240" w:type="dxa"/>
            <w:noWrap w:val="0"/>
            <w:vAlign w:val="center"/>
          </w:tcPr>
          <w:p>
            <w:pPr>
              <w:pStyle w:val="15"/>
              <w:spacing w:before="182"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69"/>
              <w:rPr>
                <w:rFonts w:eastAsia="Times New Roman"/>
                <w:sz w:val="23"/>
                <w:szCs w:val="23"/>
              </w:rPr>
            </w:pPr>
            <w:r>
              <w:rPr>
                <w:rFonts w:hint="default" w:ascii="Times New Roman" w:hAnsi="Times New Roman" w:eastAsia="Times New Roman" w:cs="Times New Roman"/>
                <w:spacing w:val="1"/>
                <w:sz w:val="23"/>
                <w:szCs w:val="23"/>
              </w:rPr>
              <w:t>26</w:t>
            </w:r>
          </w:p>
        </w:tc>
        <w:tc>
          <w:tcPr>
            <w:tcW w:w="10796" w:type="dxa"/>
            <w:noWrap w:val="0"/>
            <w:vAlign w:val="center"/>
          </w:tcPr>
          <w:p>
            <w:pPr>
              <w:pStyle w:val="15"/>
              <w:spacing w:before="119" w:line="300" w:lineRule="exact"/>
              <w:ind w:left="118" w:right="34"/>
              <w:jc w:val="both"/>
              <w:rPr>
                <w:lang w:eastAsia="zh-CN"/>
              </w:rPr>
            </w:pPr>
            <w:r>
              <w:rPr>
                <w:rFonts w:hint="eastAsia"/>
                <w:spacing w:val="9"/>
                <w:lang w:eastAsia="zh-CN"/>
              </w:rPr>
              <w:t>应当根据所经营医疗器械产品的质量特性和管理要求，合理设置满足不同质量状态、贮存环境要求 的库区与库位。库房温度、湿度以及其他贮存条件符合所经营医疗器械说明书或者标签标示的要求。对有特殊温湿度贮存要求的，配备有效调控及监测温湿度的设施设备或者仪器。</w:t>
            </w:r>
          </w:p>
        </w:tc>
        <w:tc>
          <w:tcPr>
            <w:tcW w:w="1240" w:type="dxa"/>
            <w:noWrap w:val="0"/>
            <w:vAlign w:val="center"/>
          </w:tcPr>
          <w:p>
            <w:pPr>
              <w:spacing w:line="300" w:lineRule="exact"/>
            </w:pPr>
          </w:p>
          <w:p>
            <w:pPr>
              <w:pStyle w:val="15"/>
              <w:spacing w:before="74"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69"/>
              <w:rPr>
                <w:rFonts w:eastAsia="Times New Roman"/>
                <w:sz w:val="23"/>
                <w:szCs w:val="23"/>
              </w:rPr>
            </w:pPr>
            <w:r>
              <w:rPr>
                <w:rFonts w:hint="default" w:ascii="Times New Roman" w:hAnsi="Times New Roman" w:eastAsia="Times New Roman" w:cs="Times New Roman"/>
                <w:spacing w:val="1"/>
                <w:sz w:val="23"/>
                <w:szCs w:val="23"/>
              </w:rPr>
              <w:t>27</w:t>
            </w:r>
          </w:p>
        </w:tc>
        <w:tc>
          <w:tcPr>
            <w:tcW w:w="10796" w:type="dxa"/>
            <w:noWrap w:val="0"/>
            <w:vAlign w:val="center"/>
          </w:tcPr>
          <w:p>
            <w:pPr>
              <w:pStyle w:val="15"/>
              <w:spacing w:before="123" w:line="300" w:lineRule="exact"/>
              <w:ind w:left="118"/>
              <w:jc w:val="both"/>
              <w:rPr>
                <w:lang w:eastAsia="zh-CN"/>
              </w:rPr>
            </w:pPr>
            <w:r>
              <w:rPr>
                <w:rFonts w:hint="eastAsia"/>
                <w:spacing w:val="9"/>
                <w:lang w:eastAsia="zh-CN"/>
              </w:rPr>
              <w:t>对库房的基础设施以及相关设备进行保养、维护与维修，并对设施设备状态进行定期检查，相关记录应当妥善存放至设施设备档案中。</w:t>
            </w:r>
          </w:p>
        </w:tc>
        <w:tc>
          <w:tcPr>
            <w:tcW w:w="1240" w:type="dxa"/>
            <w:noWrap w:val="0"/>
            <w:vAlign w:val="center"/>
          </w:tcPr>
          <w:p>
            <w:pPr>
              <w:pStyle w:val="15"/>
              <w:spacing w:before="316"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592" w:type="dxa"/>
            <w:noWrap w:val="0"/>
            <w:vAlign w:val="center"/>
          </w:tcPr>
          <w:p>
            <w:pPr>
              <w:spacing w:before="66" w:line="300" w:lineRule="exact"/>
              <w:ind w:left="269"/>
              <w:rPr>
                <w:rFonts w:eastAsia="Times New Roman"/>
                <w:sz w:val="23"/>
                <w:szCs w:val="23"/>
              </w:rPr>
            </w:pPr>
            <w:r>
              <w:rPr>
                <w:rFonts w:hint="default" w:ascii="Times New Roman" w:hAnsi="Times New Roman" w:eastAsia="Times New Roman" w:cs="Times New Roman"/>
                <w:spacing w:val="1"/>
                <w:sz w:val="23"/>
                <w:szCs w:val="23"/>
              </w:rPr>
              <w:t>28</w:t>
            </w:r>
          </w:p>
        </w:tc>
        <w:tc>
          <w:tcPr>
            <w:tcW w:w="10796" w:type="dxa"/>
            <w:noWrap w:val="0"/>
            <w:vAlign w:val="center"/>
          </w:tcPr>
          <w:p>
            <w:pPr>
              <w:pStyle w:val="15"/>
              <w:spacing w:before="123" w:line="300" w:lineRule="exact"/>
              <w:ind w:left="118"/>
              <w:jc w:val="both"/>
              <w:rPr>
                <w:lang w:eastAsia="zh-CN"/>
              </w:rPr>
            </w:pPr>
            <w:r>
              <w:rPr>
                <w:rFonts w:hint="eastAsia"/>
                <w:spacing w:val="9"/>
                <w:lang w:eastAsia="zh-CN"/>
              </w:rPr>
              <w:t>使用计算机信息系统存储的质量记录，应当采用安全可靠的方式存储各类数据，定期备份并确保备份数据存储安全，防止损坏和丢失。</w:t>
            </w:r>
          </w:p>
        </w:tc>
        <w:tc>
          <w:tcPr>
            <w:tcW w:w="1240" w:type="dxa"/>
            <w:noWrap w:val="0"/>
            <w:vAlign w:val="center"/>
          </w:tcPr>
          <w:p>
            <w:pPr>
              <w:pStyle w:val="15"/>
              <w:spacing w:before="308"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69"/>
              <w:rPr>
                <w:rFonts w:eastAsia="Times New Roman"/>
                <w:sz w:val="23"/>
                <w:szCs w:val="23"/>
              </w:rPr>
            </w:pPr>
            <w:r>
              <w:rPr>
                <w:rFonts w:hint="default" w:ascii="Times New Roman" w:hAnsi="Times New Roman" w:eastAsia="Times New Roman" w:cs="Times New Roman"/>
                <w:spacing w:val="1"/>
                <w:sz w:val="23"/>
                <w:szCs w:val="23"/>
              </w:rPr>
              <w:t>29</w:t>
            </w:r>
          </w:p>
        </w:tc>
        <w:tc>
          <w:tcPr>
            <w:tcW w:w="10796" w:type="dxa"/>
            <w:noWrap w:val="0"/>
            <w:vAlign w:val="center"/>
          </w:tcPr>
          <w:p>
            <w:pPr>
              <w:pStyle w:val="15"/>
              <w:spacing w:before="287" w:line="300" w:lineRule="exact"/>
              <w:jc w:val="both"/>
              <w:rPr>
                <w:lang w:eastAsia="zh-CN"/>
              </w:rPr>
            </w:pPr>
            <w:r>
              <w:rPr>
                <w:rFonts w:hint="eastAsia"/>
                <w:spacing w:val="9"/>
                <w:lang w:eastAsia="zh-CN"/>
              </w:rPr>
              <w:t>经营实施唯一标识医疗器械的企业，计算机信息系统应当具备采集、记录医疗器械唯一标识的功能。</w:t>
            </w:r>
          </w:p>
        </w:tc>
        <w:tc>
          <w:tcPr>
            <w:tcW w:w="1240" w:type="dxa"/>
            <w:noWrap w:val="0"/>
            <w:vAlign w:val="center"/>
          </w:tcPr>
          <w:p>
            <w:pPr>
              <w:pStyle w:val="15"/>
              <w:spacing w:before="2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3829" w:type="dxa"/>
            <w:gridSpan w:val="4"/>
            <w:noWrap w:val="0"/>
            <w:vAlign w:val="center"/>
          </w:tcPr>
          <w:p>
            <w:pPr>
              <w:spacing w:line="300" w:lineRule="exact"/>
            </w:pPr>
            <w:r>
              <w:rPr>
                <w:rFonts w:ascii="黑体" w:hAnsi="黑体" w:eastAsia="黑体" w:cs="黑体"/>
                <w:spacing w:val="8"/>
                <w:sz w:val="23"/>
                <w:szCs w:val="23"/>
              </w:rPr>
              <w:t>七、采购方面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74"/>
              <w:rPr>
                <w:rFonts w:eastAsia="Times New Roman"/>
                <w:sz w:val="23"/>
                <w:szCs w:val="23"/>
              </w:rPr>
            </w:pPr>
            <w:r>
              <w:rPr>
                <w:rFonts w:hint="default" w:ascii="Times New Roman" w:hAnsi="Times New Roman" w:eastAsia="Times New Roman" w:cs="Times New Roman"/>
                <w:spacing w:val="-2"/>
                <w:sz w:val="23"/>
                <w:szCs w:val="23"/>
              </w:rPr>
              <w:t>30</w:t>
            </w:r>
          </w:p>
        </w:tc>
        <w:tc>
          <w:tcPr>
            <w:tcW w:w="10796" w:type="dxa"/>
            <w:noWrap w:val="0"/>
            <w:vAlign w:val="center"/>
          </w:tcPr>
          <w:p>
            <w:pPr>
              <w:pStyle w:val="15"/>
              <w:spacing w:before="246" w:line="300" w:lineRule="exact"/>
              <w:ind w:left="118"/>
              <w:jc w:val="both"/>
              <w:rPr>
                <w:lang w:eastAsia="zh-CN"/>
              </w:rPr>
            </w:pPr>
            <w:r>
              <w:rPr>
                <w:lang w:eastAsia="zh-CN"/>
              </w:rPr>
              <w:t>不得从不具备合法资质的供货者购进医疗器械。</w:t>
            </w:r>
          </w:p>
        </w:tc>
        <w:tc>
          <w:tcPr>
            <w:tcW w:w="1240" w:type="dxa"/>
            <w:noWrap w:val="0"/>
            <w:vAlign w:val="center"/>
          </w:tcPr>
          <w:p>
            <w:pPr>
              <w:pStyle w:val="15"/>
              <w:spacing w:before="234"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74"/>
              <w:rPr>
                <w:rFonts w:eastAsia="Times New Roman"/>
                <w:sz w:val="23"/>
                <w:szCs w:val="23"/>
              </w:rPr>
            </w:pPr>
            <w:r>
              <w:rPr>
                <w:rFonts w:hint="default" w:ascii="Times New Roman" w:hAnsi="Times New Roman" w:eastAsia="Times New Roman" w:cs="Times New Roman"/>
                <w:spacing w:val="-2"/>
                <w:sz w:val="23"/>
                <w:szCs w:val="23"/>
              </w:rPr>
              <w:t>31</w:t>
            </w:r>
          </w:p>
        </w:tc>
        <w:tc>
          <w:tcPr>
            <w:tcW w:w="10796" w:type="dxa"/>
            <w:noWrap w:val="0"/>
            <w:vAlign w:val="center"/>
          </w:tcPr>
          <w:p>
            <w:pPr>
              <w:pStyle w:val="15"/>
              <w:spacing w:before="123" w:line="300" w:lineRule="exact"/>
              <w:ind w:left="118"/>
              <w:jc w:val="both"/>
              <w:rPr>
                <w:rFonts w:hint="eastAsia"/>
                <w:spacing w:val="9"/>
                <w:lang w:eastAsia="zh-CN"/>
              </w:rPr>
            </w:pPr>
            <w:r>
              <w:rPr>
                <w:rFonts w:hint="eastAsia"/>
                <w:spacing w:val="9"/>
                <w:lang w:eastAsia="zh-CN"/>
              </w:rPr>
              <w:t>在与医疗器械注册人、备案人或者经营企业首次发生采购前，应当获取加盖供货者公章的相关资料复印件或者扫描件，进行资质的合法性审核并建立供货者档案，内容至少包括：</w:t>
            </w:r>
          </w:p>
          <w:p>
            <w:pPr>
              <w:pStyle w:val="15"/>
              <w:spacing w:before="123" w:line="300" w:lineRule="exact"/>
              <w:ind w:left="118"/>
              <w:jc w:val="both"/>
              <w:rPr>
                <w:rFonts w:hint="eastAsia"/>
                <w:spacing w:val="9"/>
                <w:lang w:eastAsia="zh-CN"/>
              </w:rPr>
            </w:pPr>
            <w:r>
              <w:rPr>
                <w:rFonts w:hint="eastAsia"/>
                <w:spacing w:val="9"/>
                <w:lang w:eastAsia="zh-CN"/>
              </w:rPr>
              <w:t>（一）营业执照；</w:t>
            </w:r>
          </w:p>
          <w:p>
            <w:pPr>
              <w:pStyle w:val="15"/>
              <w:spacing w:before="123" w:line="300" w:lineRule="exact"/>
              <w:ind w:left="118"/>
              <w:jc w:val="both"/>
              <w:rPr>
                <w:rFonts w:hint="eastAsia"/>
                <w:spacing w:val="9"/>
                <w:lang w:eastAsia="zh-CN"/>
              </w:rPr>
            </w:pPr>
            <w:r>
              <w:rPr>
                <w:rFonts w:hint="eastAsia"/>
                <w:spacing w:val="9"/>
                <w:lang w:eastAsia="zh-CN"/>
              </w:rPr>
              <w:t>（二）医疗器械注册人、备案人证明文件及受托医疗器械生产厂家的生产许可证或者备案凭证，或者医疗器械经营企业的经营许可证或者备案凭证；</w:t>
            </w:r>
          </w:p>
          <w:p>
            <w:pPr>
              <w:pStyle w:val="15"/>
              <w:spacing w:before="123" w:line="300" w:lineRule="exact"/>
              <w:ind w:left="118"/>
              <w:jc w:val="both"/>
              <w:rPr>
                <w:rFonts w:hint="eastAsia"/>
                <w:spacing w:val="9"/>
                <w:lang w:eastAsia="zh-CN"/>
              </w:rPr>
            </w:pPr>
            <w:r>
              <w:rPr>
                <w:rFonts w:hint="eastAsia"/>
                <w:spacing w:val="9"/>
                <w:lang w:eastAsia="zh-CN"/>
              </w:rPr>
              <w:t>（三）载明授权销售的品种、地域、期限、销售人员身份证件号码的授权书，以及销售人员身份证件复印件；</w:t>
            </w:r>
          </w:p>
          <w:p>
            <w:pPr>
              <w:pStyle w:val="15"/>
              <w:spacing w:before="123" w:line="300" w:lineRule="exact"/>
              <w:ind w:left="118"/>
              <w:jc w:val="both"/>
              <w:rPr>
                <w:rFonts w:hint="eastAsia"/>
                <w:spacing w:val="9"/>
                <w:lang w:eastAsia="zh-CN"/>
              </w:rPr>
            </w:pPr>
            <w:r>
              <w:rPr>
                <w:rFonts w:hint="eastAsia"/>
                <w:spacing w:val="9"/>
                <w:lang w:eastAsia="zh-CN"/>
              </w:rPr>
              <w:t>（四）随货同行单样式（含企业样章或者出库样章）。</w:t>
            </w:r>
          </w:p>
          <w:p>
            <w:pPr>
              <w:pStyle w:val="15"/>
              <w:spacing w:before="123" w:line="300" w:lineRule="exact"/>
              <w:ind w:left="118"/>
              <w:jc w:val="both"/>
              <w:rPr>
                <w:lang w:eastAsia="zh-CN"/>
              </w:rPr>
            </w:pPr>
            <w:r>
              <w:rPr>
                <w:rFonts w:hint="eastAsia"/>
                <w:spacing w:val="9"/>
                <w:lang w:eastAsia="zh-CN"/>
              </w:rPr>
              <w:t>发现供货者存在违法违规经营行为时，及时向企业所在地市县级药品监督管理部门报告。</w:t>
            </w:r>
          </w:p>
        </w:tc>
        <w:tc>
          <w:tcPr>
            <w:tcW w:w="1240" w:type="dxa"/>
            <w:noWrap w:val="0"/>
            <w:vAlign w:val="center"/>
          </w:tcPr>
          <w:p>
            <w:pPr>
              <w:pStyle w:val="15"/>
              <w:spacing w:before="74"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74"/>
              <w:rPr>
                <w:rFonts w:eastAsia="Times New Roman"/>
                <w:sz w:val="23"/>
                <w:szCs w:val="23"/>
              </w:rPr>
            </w:pPr>
            <w:r>
              <w:rPr>
                <w:rFonts w:hint="default" w:ascii="Times New Roman" w:hAnsi="Times New Roman" w:eastAsia="Times New Roman" w:cs="Times New Roman"/>
                <w:spacing w:val="-2"/>
                <w:sz w:val="23"/>
                <w:szCs w:val="23"/>
              </w:rPr>
              <w:t>32</w:t>
            </w:r>
          </w:p>
        </w:tc>
        <w:tc>
          <w:tcPr>
            <w:tcW w:w="10796" w:type="dxa"/>
            <w:noWrap w:val="0"/>
            <w:vAlign w:val="center"/>
          </w:tcPr>
          <w:p>
            <w:pPr>
              <w:pStyle w:val="15"/>
              <w:spacing w:before="123" w:line="300" w:lineRule="exact"/>
              <w:ind w:left="118"/>
              <w:jc w:val="both"/>
            </w:pPr>
            <w:r>
              <w:rPr>
                <w:rFonts w:hint="eastAsia"/>
                <w:spacing w:val="9"/>
                <w:lang w:eastAsia="zh-CN"/>
              </w:rPr>
              <w:t>在采购医疗器械时，建立采购记录， 记录包括： 医疗器械的名称、型号、规格、医疗器械注册人或者备案人名称、医疗器械注册证编号或者备案编号，单位、数量、单价、金额、供货者、购货日期等。</w:t>
            </w:r>
          </w:p>
        </w:tc>
        <w:tc>
          <w:tcPr>
            <w:tcW w:w="1240" w:type="dxa"/>
            <w:noWrap w:val="0"/>
            <w:vAlign w:val="center"/>
          </w:tcPr>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22" w:line="300" w:lineRule="exact"/>
              <w:ind w:left="274"/>
              <w:rPr>
                <w:rFonts w:eastAsia="Times New Roman"/>
                <w:sz w:val="23"/>
                <w:szCs w:val="23"/>
              </w:rPr>
            </w:pPr>
            <w:r>
              <w:rPr>
                <w:rFonts w:hint="default" w:ascii="Times New Roman" w:hAnsi="Times New Roman" w:eastAsia="Times New Roman" w:cs="Times New Roman"/>
                <w:spacing w:val="-2"/>
                <w:sz w:val="23"/>
                <w:szCs w:val="23"/>
              </w:rPr>
              <w:t>33</w:t>
            </w:r>
          </w:p>
        </w:tc>
        <w:tc>
          <w:tcPr>
            <w:tcW w:w="10796" w:type="dxa"/>
            <w:noWrap w:val="0"/>
            <w:vAlign w:val="center"/>
          </w:tcPr>
          <w:p>
            <w:pPr>
              <w:pStyle w:val="15"/>
              <w:spacing w:before="159" w:line="300" w:lineRule="exact"/>
              <w:ind w:left="119"/>
              <w:jc w:val="both"/>
              <w:rPr>
                <w:lang w:eastAsia="zh-CN"/>
              </w:rPr>
            </w:pPr>
            <w:r>
              <w:rPr>
                <w:rFonts w:hint="eastAsia"/>
                <w:spacing w:val="9"/>
                <w:lang w:eastAsia="zh-CN"/>
              </w:rPr>
              <w:t>应当依照规定建立并执行医疗器械进货查验记录制度。</w:t>
            </w:r>
          </w:p>
        </w:tc>
        <w:tc>
          <w:tcPr>
            <w:tcW w:w="1240" w:type="dxa"/>
            <w:noWrap w:val="0"/>
            <w:vAlign w:val="center"/>
          </w:tcPr>
          <w:p>
            <w:pPr>
              <w:pStyle w:val="15"/>
              <w:spacing w:before="147"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74"/>
              <w:rPr>
                <w:rFonts w:eastAsia="Times New Roman"/>
                <w:sz w:val="23"/>
                <w:szCs w:val="23"/>
              </w:rPr>
            </w:pPr>
            <w:r>
              <w:rPr>
                <w:rFonts w:hint="default" w:ascii="Times New Roman" w:hAnsi="Times New Roman" w:eastAsia="Times New Roman" w:cs="Times New Roman"/>
                <w:spacing w:val="-2"/>
                <w:sz w:val="23"/>
                <w:szCs w:val="23"/>
              </w:rPr>
              <w:t>34</w:t>
            </w:r>
          </w:p>
        </w:tc>
        <w:tc>
          <w:tcPr>
            <w:tcW w:w="10796" w:type="dxa"/>
            <w:noWrap w:val="0"/>
            <w:vAlign w:val="center"/>
          </w:tcPr>
          <w:p>
            <w:pPr>
              <w:pStyle w:val="15"/>
              <w:spacing w:before="103" w:line="300" w:lineRule="exact"/>
              <w:ind w:left="124" w:right="100" w:hanging="9"/>
              <w:jc w:val="both"/>
              <w:rPr>
                <w:lang w:eastAsia="zh-CN"/>
              </w:rPr>
            </w:pPr>
            <w:r>
              <w:rPr>
                <w:rFonts w:hint="eastAsia"/>
                <w:spacing w:val="9"/>
                <w:lang w:eastAsia="zh-CN"/>
              </w:rPr>
              <w:t>验收人员对医疗器械的外观、包装、标签以及合格证明文件等进行检查、核对，并做好进货查验记录。</w:t>
            </w:r>
          </w:p>
        </w:tc>
        <w:tc>
          <w:tcPr>
            <w:tcW w:w="1240" w:type="dxa"/>
            <w:noWrap w:val="0"/>
            <w:vAlign w:val="center"/>
          </w:tcPr>
          <w:p>
            <w:pPr>
              <w:pStyle w:val="15"/>
              <w:spacing w:before="286"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74"/>
              <w:rPr>
                <w:rFonts w:eastAsia="Times New Roman"/>
                <w:sz w:val="23"/>
                <w:szCs w:val="23"/>
              </w:rPr>
            </w:pPr>
            <w:r>
              <w:rPr>
                <w:rFonts w:hint="default" w:ascii="Times New Roman" w:hAnsi="Times New Roman" w:eastAsia="Times New Roman" w:cs="Times New Roman"/>
                <w:spacing w:val="-2"/>
                <w:sz w:val="23"/>
                <w:szCs w:val="23"/>
              </w:rPr>
              <w:t>35</w:t>
            </w:r>
          </w:p>
        </w:tc>
        <w:tc>
          <w:tcPr>
            <w:tcW w:w="10796" w:type="dxa"/>
            <w:noWrap w:val="0"/>
            <w:vAlign w:val="center"/>
          </w:tcPr>
          <w:p>
            <w:pPr>
              <w:pStyle w:val="15"/>
              <w:spacing w:before="86" w:line="300" w:lineRule="exact"/>
              <w:ind w:left="115" w:right="100" w:firstLine="3"/>
              <w:jc w:val="both"/>
              <w:rPr>
                <w:lang w:eastAsia="zh-CN"/>
              </w:rPr>
            </w:pPr>
            <w:r>
              <w:rPr>
                <w:rFonts w:hint="eastAsia"/>
                <w:spacing w:val="9"/>
                <w:lang w:eastAsia="zh-CN"/>
              </w:rPr>
              <w:t>对需要冷藏、冷冻管理的医疗器械进行验收时，对其运输方式及运输过程的温度记录、运输时间、到货温度以及外观、包装、标签等质量状况进行重点检查并记录；对销售后退回的需要冷藏、冷冻管理的医疗器械，核实售出期间的温度记录，不符合温度要求的应当拒收。验收不合格的，注明不合格事项及处置措施。</w:t>
            </w:r>
          </w:p>
        </w:tc>
        <w:tc>
          <w:tcPr>
            <w:tcW w:w="1240" w:type="dxa"/>
            <w:noWrap w:val="0"/>
            <w:vAlign w:val="center"/>
          </w:tcPr>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74"/>
              <w:rPr>
                <w:rFonts w:eastAsia="Times New Roman"/>
                <w:sz w:val="23"/>
                <w:szCs w:val="23"/>
              </w:rPr>
            </w:pPr>
            <w:r>
              <w:rPr>
                <w:rFonts w:hint="default" w:ascii="Times New Roman" w:hAnsi="Times New Roman" w:eastAsia="Times New Roman" w:cs="Times New Roman"/>
                <w:spacing w:val="-2"/>
                <w:sz w:val="23"/>
                <w:szCs w:val="23"/>
              </w:rPr>
              <w:t>36</w:t>
            </w:r>
          </w:p>
        </w:tc>
        <w:tc>
          <w:tcPr>
            <w:tcW w:w="10796" w:type="dxa"/>
            <w:noWrap w:val="0"/>
            <w:vAlign w:val="center"/>
          </w:tcPr>
          <w:p>
            <w:pPr>
              <w:pStyle w:val="15"/>
              <w:spacing w:before="118" w:line="300" w:lineRule="exact"/>
              <w:ind w:left="114"/>
              <w:jc w:val="both"/>
              <w:rPr>
                <w:lang w:eastAsia="zh-CN"/>
              </w:rPr>
            </w:pPr>
            <w:r>
              <w:rPr>
                <w:rFonts w:hint="eastAsia"/>
                <w:spacing w:val="9"/>
                <w:lang w:eastAsia="zh-CN"/>
              </w:rPr>
              <w:t>进货查验记录应当保存至医疗器械有效期满后</w:t>
            </w:r>
            <w:r>
              <w:rPr>
                <w:rFonts w:hint="default"/>
                <w:spacing w:val="9"/>
                <w:lang w:eastAsia="zh-CN"/>
              </w:rPr>
              <w:t>2</w:t>
            </w:r>
            <w:r>
              <w:rPr>
                <w:rFonts w:hint="eastAsia"/>
                <w:spacing w:val="9"/>
                <w:lang w:eastAsia="zh-CN"/>
              </w:rPr>
              <w:t>年；没有有效期的，保存不少于</w:t>
            </w:r>
            <w:r>
              <w:rPr>
                <w:rFonts w:hint="default"/>
                <w:spacing w:val="9"/>
                <w:lang w:eastAsia="zh-CN"/>
              </w:rPr>
              <w:t>5</w:t>
            </w:r>
            <w:r>
              <w:rPr>
                <w:rFonts w:hint="eastAsia"/>
                <w:spacing w:val="9"/>
                <w:lang w:eastAsia="zh-CN"/>
              </w:rPr>
              <w:t>年。植入类医疗器械的进货查验记录应当永久保存。</w:t>
            </w:r>
          </w:p>
        </w:tc>
        <w:tc>
          <w:tcPr>
            <w:tcW w:w="1240" w:type="dxa"/>
            <w:noWrap w:val="0"/>
            <w:vAlign w:val="center"/>
          </w:tcPr>
          <w:p>
            <w:pPr>
              <w:pStyle w:val="15"/>
              <w:spacing w:before="308"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88" w:line="300" w:lineRule="exact"/>
              <w:ind w:left="274"/>
              <w:rPr>
                <w:rFonts w:eastAsia="Times New Roman"/>
                <w:sz w:val="23"/>
                <w:szCs w:val="23"/>
              </w:rPr>
            </w:pPr>
            <w:r>
              <w:rPr>
                <w:rFonts w:hint="default" w:ascii="Times New Roman" w:hAnsi="Times New Roman" w:eastAsia="Times New Roman" w:cs="Times New Roman"/>
                <w:spacing w:val="-2"/>
                <w:sz w:val="23"/>
                <w:szCs w:val="23"/>
              </w:rPr>
              <w:t>37</w:t>
            </w:r>
          </w:p>
        </w:tc>
        <w:tc>
          <w:tcPr>
            <w:tcW w:w="10796" w:type="dxa"/>
            <w:noWrap w:val="0"/>
            <w:vAlign w:val="center"/>
          </w:tcPr>
          <w:p>
            <w:pPr>
              <w:pStyle w:val="15"/>
              <w:spacing w:before="226" w:line="300" w:lineRule="exact"/>
              <w:ind w:left="114"/>
              <w:jc w:val="both"/>
              <w:rPr>
                <w:lang w:eastAsia="zh-CN"/>
              </w:rPr>
            </w:pPr>
            <w:r>
              <w:rPr>
                <w:rFonts w:hint="eastAsia"/>
                <w:spacing w:val="9"/>
                <w:lang w:eastAsia="zh-CN"/>
              </w:rPr>
              <w:t>进行医疗器械直调购销的，应当制定医疗器械直调管理制度。</w:t>
            </w:r>
          </w:p>
        </w:tc>
        <w:tc>
          <w:tcPr>
            <w:tcW w:w="1240" w:type="dxa"/>
            <w:noWrap w:val="0"/>
            <w:vAlign w:val="center"/>
          </w:tcPr>
          <w:p>
            <w:pPr>
              <w:pStyle w:val="15"/>
              <w:spacing w:before="214"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3829" w:type="dxa"/>
            <w:gridSpan w:val="4"/>
            <w:noWrap w:val="0"/>
            <w:vAlign w:val="center"/>
          </w:tcPr>
          <w:p>
            <w:pPr>
              <w:spacing w:line="300" w:lineRule="exact"/>
            </w:pPr>
            <w:r>
              <w:rPr>
                <w:rFonts w:ascii="黑体" w:hAnsi="黑体" w:eastAsia="黑体" w:cs="黑体"/>
                <w:spacing w:val="8"/>
                <w:sz w:val="23"/>
                <w:szCs w:val="23"/>
              </w:rPr>
              <w:t>八、运输贮存方面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21" w:line="300" w:lineRule="exact"/>
              <w:ind w:left="274"/>
              <w:rPr>
                <w:rFonts w:eastAsia="Times New Roman"/>
                <w:sz w:val="23"/>
                <w:szCs w:val="23"/>
              </w:rPr>
            </w:pPr>
            <w:r>
              <w:rPr>
                <w:rFonts w:hint="default" w:ascii="Times New Roman" w:hAnsi="Times New Roman" w:eastAsia="Times New Roman" w:cs="Times New Roman"/>
                <w:spacing w:val="-2"/>
                <w:sz w:val="23"/>
                <w:szCs w:val="23"/>
              </w:rPr>
              <w:t>38</w:t>
            </w:r>
          </w:p>
        </w:tc>
        <w:tc>
          <w:tcPr>
            <w:tcW w:w="10796" w:type="dxa"/>
            <w:noWrap w:val="0"/>
            <w:vAlign w:val="center"/>
          </w:tcPr>
          <w:p>
            <w:pPr>
              <w:pStyle w:val="15"/>
              <w:spacing w:before="151" w:line="300" w:lineRule="exact"/>
              <w:ind w:left="119"/>
              <w:jc w:val="both"/>
              <w:rPr>
                <w:lang w:eastAsia="zh-CN"/>
              </w:rPr>
            </w:pPr>
            <w:r>
              <w:rPr>
                <w:rFonts w:hint="eastAsia"/>
                <w:spacing w:val="9"/>
                <w:lang w:eastAsia="zh-CN"/>
              </w:rPr>
              <w:t>应当按照医疗器械说明书和标签标示要求运输、贮存医疗器械。</w:t>
            </w:r>
          </w:p>
        </w:tc>
        <w:tc>
          <w:tcPr>
            <w:tcW w:w="1240" w:type="dxa"/>
            <w:noWrap w:val="0"/>
            <w:vAlign w:val="center"/>
          </w:tcPr>
          <w:p>
            <w:pPr>
              <w:pStyle w:val="15"/>
              <w:spacing w:before="144"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line="300" w:lineRule="exact"/>
            </w:pPr>
          </w:p>
          <w:p>
            <w:pPr>
              <w:spacing w:before="66" w:line="300" w:lineRule="exact"/>
              <w:ind w:left="274"/>
              <w:rPr>
                <w:rFonts w:eastAsia="Times New Roman"/>
                <w:sz w:val="23"/>
                <w:szCs w:val="23"/>
              </w:rPr>
            </w:pPr>
            <w:r>
              <w:rPr>
                <w:rFonts w:hint="default" w:ascii="Times New Roman" w:hAnsi="Times New Roman" w:eastAsia="Times New Roman" w:cs="Times New Roman"/>
                <w:spacing w:val="-2"/>
                <w:sz w:val="23"/>
                <w:szCs w:val="23"/>
              </w:rPr>
              <w:t>39</w:t>
            </w:r>
          </w:p>
        </w:tc>
        <w:tc>
          <w:tcPr>
            <w:tcW w:w="10796" w:type="dxa"/>
            <w:noWrap w:val="0"/>
            <w:vAlign w:val="center"/>
          </w:tcPr>
          <w:p>
            <w:pPr>
              <w:pStyle w:val="15"/>
              <w:spacing w:before="101" w:line="300" w:lineRule="exact"/>
              <w:ind w:left="108" w:right="182" w:firstLine="1"/>
              <w:jc w:val="both"/>
              <w:rPr>
                <w:lang w:eastAsia="zh-CN"/>
              </w:rPr>
            </w:pPr>
            <w:r>
              <w:rPr>
                <w:rFonts w:hint="eastAsia"/>
                <w:spacing w:val="9"/>
                <w:lang w:eastAsia="zh-CN"/>
              </w:rPr>
              <w:t>库房贮存产品包含非医疗器械产品时，应当做好库房分区管理，充分评估非医疗器械产品对贮存环境与人员的污染风险，制定措施确保医疗器械贮存环境安全。</w:t>
            </w:r>
          </w:p>
        </w:tc>
        <w:tc>
          <w:tcPr>
            <w:tcW w:w="1240" w:type="dxa"/>
            <w:noWrap w:val="0"/>
            <w:vAlign w:val="center"/>
          </w:tcPr>
          <w:p>
            <w:pPr>
              <w:pStyle w:val="15"/>
              <w:spacing w:before="266"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22" w:line="300" w:lineRule="exact"/>
              <w:ind w:left="268"/>
              <w:rPr>
                <w:rFonts w:eastAsia="Times New Roman"/>
                <w:sz w:val="23"/>
                <w:szCs w:val="23"/>
              </w:rPr>
            </w:pPr>
            <w:r>
              <w:rPr>
                <w:rFonts w:hint="default" w:ascii="Times New Roman" w:hAnsi="Times New Roman" w:eastAsia="Times New Roman" w:cs="Times New Roman"/>
                <w:spacing w:val="1"/>
                <w:sz w:val="23"/>
                <w:szCs w:val="23"/>
              </w:rPr>
              <w:t>40</w:t>
            </w:r>
          </w:p>
        </w:tc>
        <w:tc>
          <w:tcPr>
            <w:tcW w:w="10796" w:type="dxa"/>
            <w:noWrap w:val="0"/>
            <w:vAlign w:val="center"/>
          </w:tcPr>
          <w:p>
            <w:pPr>
              <w:pStyle w:val="15"/>
              <w:spacing w:before="166" w:line="300" w:lineRule="exact"/>
              <w:ind w:left="111"/>
              <w:jc w:val="both"/>
              <w:rPr>
                <w:lang w:eastAsia="zh-CN"/>
              </w:rPr>
            </w:pPr>
            <w:r>
              <w:rPr>
                <w:rFonts w:hint="eastAsia"/>
                <w:spacing w:val="9"/>
                <w:lang w:eastAsia="zh-CN"/>
              </w:rPr>
              <w:t>根据库房条件、外部环境、产品有效期要求等，对医疗器械进行定期检查，建立在库检查记录。</w:t>
            </w:r>
          </w:p>
        </w:tc>
        <w:tc>
          <w:tcPr>
            <w:tcW w:w="1240" w:type="dxa"/>
            <w:noWrap w:val="0"/>
            <w:vAlign w:val="center"/>
          </w:tcPr>
          <w:p>
            <w:pPr>
              <w:pStyle w:val="15"/>
              <w:spacing w:before="14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68"/>
              <w:rPr>
                <w:rFonts w:eastAsia="Times New Roman"/>
                <w:sz w:val="23"/>
                <w:szCs w:val="23"/>
              </w:rPr>
            </w:pPr>
            <w:r>
              <w:rPr>
                <w:rFonts w:hint="default" w:ascii="Times New Roman" w:hAnsi="Times New Roman" w:eastAsia="Times New Roman" w:cs="Times New Roman"/>
                <w:spacing w:val="1"/>
                <w:sz w:val="23"/>
                <w:szCs w:val="23"/>
              </w:rPr>
              <w:t>41</w:t>
            </w:r>
          </w:p>
        </w:tc>
        <w:tc>
          <w:tcPr>
            <w:tcW w:w="10796" w:type="dxa"/>
            <w:noWrap w:val="0"/>
            <w:vAlign w:val="center"/>
          </w:tcPr>
          <w:p>
            <w:pPr>
              <w:pStyle w:val="15"/>
              <w:spacing w:before="166" w:line="300" w:lineRule="exact"/>
              <w:ind w:left="111"/>
              <w:jc w:val="both"/>
              <w:rPr>
                <w:rFonts w:hint="eastAsia"/>
                <w:spacing w:val="9"/>
                <w:lang w:eastAsia="zh-CN"/>
              </w:rPr>
            </w:pPr>
            <w:r>
              <w:rPr>
                <w:rFonts w:hint="eastAsia"/>
                <w:spacing w:val="9"/>
                <w:lang w:eastAsia="zh-CN"/>
              </w:rPr>
              <w:t>医疗器械出库前，进行出库复核，并建立出库复核记录。发现有下列情况之一的不得出库，并报告质量管理机构或者质量管理人员处理：（一）医疗器械包装出现破损、污染、封口不牢、封条损坏等问题；（二）标签脱落、字迹模糊不清或者标示内容与实物不符；（三）医疗器械超过有效期；</w:t>
            </w:r>
          </w:p>
          <w:p>
            <w:pPr>
              <w:pStyle w:val="15"/>
              <w:spacing w:before="166" w:line="300" w:lineRule="exact"/>
              <w:jc w:val="both"/>
              <w:rPr>
                <w:lang w:eastAsia="zh-CN"/>
              </w:rPr>
            </w:pPr>
            <w:r>
              <w:rPr>
                <w:rFonts w:hint="eastAsia"/>
                <w:spacing w:val="9"/>
                <w:lang w:eastAsia="zh-CN"/>
              </w:rPr>
              <w:t>（四）存在其他异常情况的。</w:t>
            </w:r>
          </w:p>
        </w:tc>
        <w:tc>
          <w:tcPr>
            <w:tcW w:w="1240" w:type="dxa"/>
            <w:noWrap w:val="0"/>
            <w:vAlign w:val="center"/>
          </w:tcPr>
          <w:p>
            <w:pPr>
              <w:spacing w:line="300" w:lineRule="exact"/>
            </w:pPr>
          </w:p>
          <w:p>
            <w:pPr>
              <w:spacing w:line="300" w:lineRule="exact"/>
            </w:pPr>
          </w:p>
          <w:p>
            <w:pPr>
              <w:spacing w:line="300" w:lineRule="exact"/>
            </w:pPr>
          </w:p>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7" w:line="300" w:lineRule="exact"/>
              <w:ind w:left="268"/>
              <w:rPr>
                <w:rFonts w:eastAsia="Times New Roman"/>
                <w:sz w:val="23"/>
                <w:szCs w:val="23"/>
              </w:rPr>
            </w:pPr>
            <w:r>
              <w:rPr>
                <w:rFonts w:hint="default" w:ascii="Times New Roman" w:hAnsi="Times New Roman" w:eastAsia="Times New Roman" w:cs="Times New Roman"/>
                <w:spacing w:val="1"/>
                <w:sz w:val="23"/>
                <w:szCs w:val="23"/>
              </w:rPr>
              <w:t>42</w:t>
            </w:r>
          </w:p>
        </w:tc>
        <w:tc>
          <w:tcPr>
            <w:tcW w:w="10796" w:type="dxa"/>
            <w:noWrap w:val="0"/>
            <w:vAlign w:val="center"/>
          </w:tcPr>
          <w:p>
            <w:pPr>
              <w:pStyle w:val="15"/>
              <w:spacing w:before="166" w:line="300" w:lineRule="exact"/>
              <w:ind w:left="111"/>
              <w:jc w:val="both"/>
              <w:rPr>
                <w:lang w:eastAsia="zh-CN"/>
              </w:rPr>
            </w:pPr>
            <w:r>
              <w:rPr>
                <w:rFonts w:hint="eastAsia"/>
                <w:spacing w:val="9"/>
                <w:lang w:eastAsia="zh-CN"/>
              </w:rPr>
              <w:t>需要冷藏、冷冻管理的医疗器械装箱、装车作业时，由专人负责，并符合下列要求：（一）车载冷藏冷冻箱或者保温箱在使用前应当达到相应的温度要求；（二）包装、装箱、封箱工作应当在符合医疗器械说明书或者标签标示的温度范围内的环境下完成；（三）装车前应当检查冷藏车辆的启动、运行状态，达到规定温度后方可装车。</w:t>
            </w:r>
          </w:p>
        </w:tc>
        <w:tc>
          <w:tcPr>
            <w:tcW w:w="1240" w:type="dxa"/>
            <w:noWrap w:val="0"/>
            <w:vAlign w:val="center"/>
          </w:tcPr>
          <w:p>
            <w:pPr>
              <w:spacing w:line="300" w:lineRule="exact"/>
            </w:pPr>
          </w:p>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68"/>
              <w:rPr>
                <w:rFonts w:eastAsia="Times New Roman"/>
                <w:sz w:val="23"/>
                <w:szCs w:val="23"/>
              </w:rPr>
            </w:pPr>
            <w:r>
              <w:rPr>
                <w:rFonts w:hint="default" w:ascii="Times New Roman" w:hAnsi="Times New Roman" w:eastAsia="Times New Roman" w:cs="Times New Roman"/>
                <w:spacing w:val="1"/>
                <w:sz w:val="23"/>
                <w:szCs w:val="23"/>
              </w:rPr>
              <w:t>43</w:t>
            </w:r>
          </w:p>
        </w:tc>
        <w:tc>
          <w:tcPr>
            <w:tcW w:w="10796" w:type="dxa"/>
            <w:noWrap w:val="0"/>
            <w:vAlign w:val="center"/>
          </w:tcPr>
          <w:p>
            <w:pPr>
              <w:pStyle w:val="15"/>
              <w:spacing w:before="105" w:line="300" w:lineRule="exact"/>
              <w:ind w:left="116" w:right="182" w:hanging="1"/>
              <w:jc w:val="both"/>
              <w:rPr>
                <w:lang w:eastAsia="zh-CN"/>
              </w:rPr>
            </w:pPr>
            <w:r>
              <w:rPr>
                <w:rFonts w:hint="eastAsia"/>
                <w:spacing w:val="9"/>
                <w:lang w:eastAsia="zh-CN"/>
              </w:rPr>
              <w:t>运输需要冷藏、冷冻管理的医疗器械，根据运输的产品数量、距离、时间以及温度要求、外部环境温度等情况，选择合理的运输工具和温控方式，确保运输过程中温度控制符合要求。冷藏车、车载冷藏冷冻箱、保温箱符合医疗器械运输过程中对温度控制的要求。</w:t>
            </w:r>
          </w:p>
        </w:tc>
        <w:tc>
          <w:tcPr>
            <w:tcW w:w="1240" w:type="dxa"/>
            <w:noWrap w:val="0"/>
            <w:vAlign w:val="center"/>
          </w:tcPr>
          <w:p>
            <w:pPr>
              <w:spacing w:line="300" w:lineRule="exact"/>
            </w:pPr>
          </w:p>
          <w:p>
            <w:pPr>
              <w:pStyle w:val="15"/>
              <w:spacing w:before="75" w:line="300" w:lineRule="exact"/>
              <w:ind w:left="124"/>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269" w:line="300" w:lineRule="exact"/>
              <w:ind w:left="268"/>
              <w:rPr>
                <w:rFonts w:eastAsia="Times New Roman"/>
                <w:sz w:val="23"/>
                <w:szCs w:val="23"/>
              </w:rPr>
            </w:pPr>
            <w:r>
              <w:rPr>
                <w:rFonts w:hint="default" w:ascii="Times New Roman" w:hAnsi="Times New Roman" w:eastAsia="Times New Roman" w:cs="Times New Roman"/>
                <w:spacing w:val="1"/>
                <w:sz w:val="23"/>
                <w:szCs w:val="23"/>
              </w:rPr>
              <w:t>44</w:t>
            </w:r>
          </w:p>
        </w:tc>
        <w:tc>
          <w:tcPr>
            <w:tcW w:w="10796" w:type="dxa"/>
            <w:noWrap w:val="0"/>
            <w:vAlign w:val="center"/>
          </w:tcPr>
          <w:p>
            <w:pPr>
              <w:pStyle w:val="15"/>
              <w:spacing w:before="200" w:line="300" w:lineRule="exact"/>
              <w:ind w:left="118"/>
              <w:jc w:val="both"/>
              <w:rPr>
                <w:lang w:eastAsia="zh-CN"/>
              </w:rPr>
            </w:pPr>
            <w:r>
              <w:rPr>
                <w:spacing w:val="8"/>
                <w:lang w:eastAsia="zh-CN"/>
              </w:rPr>
              <w:t>不得违反规定为其他医疗器械生产经营企业专门提供贮</w:t>
            </w:r>
            <w:r>
              <w:rPr>
                <w:spacing w:val="7"/>
                <w:lang w:eastAsia="zh-CN"/>
              </w:rPr>
              <w:t>存、运输服务。</w:t>
            </w:r>
          </w:p>
        </w:tc>
        <w:tc>
          <w:tcPr>
            <w:tcW w:w="1240" w:type="dxa"/>
            <w:noWrap w:val="0"/>
            <w:vAlign w:val="center"/>
          </w:tcPr>
          <w:p>
            <w:pPr>
              <w:pStyle w:val="15"/>
              <w:spacing w:before="20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68"/>
              <w:rPr>
                <w:rFonts w:eastAsia="Times New Roman"/>
                <w:sz w:val="23"/>
                <w:szCs w:val="23"/>
              </w:rPr>
            </w:pPr>
            <w:r>
              <w:rPr>
                <w:rFonts w:hint="default" w:ascii="Times New Roman" w:hAnsi="Times New Roman" w:eastAsia="Times New Roman" w:cs="Times New Roman"/>
                <w:spacing w:val="1"/>
                <w:sz w:val="23"/>
                <w:szCs w:val="23"/>
              </w:rPr>
              <w:t>45</w:t>
            </w:r>
          </w:p>
        </w:tc>
        <w:tc>
          <w:tcPr>
            <w:tcW w:w="10796" w:type="dxa"/>
            <w:noWrap w:val="0"/>
            <w:vAlign w:val="center"/>
          </w:tcPr>
          <w:p>
            <w:pPr>
              <w:pStyle w:val="15"/>
              <w:spacing w:before="99" w:line="300" w:lineRule="exact"/>
              <w:ind w:left="128" w:right="182" w:hanging="9"/>
              <w:jc w:val="both"/>
              <w:rPr>
                <w:lang w:eastAsia="zh-CN"/>
              </w:rPr>
            </w:pPr>
            <w:r>
              <w:rPr>
                <w:spacing w:val="10"/>
                <w:lang w:eastAsia="zh-CN"/>
              </w:rPr>
              <w:t>从事医疗器械批发和专门提供医疗器械运输、贮存服务的企业，其</w:t>
            </w:r>
            <w:r>
              <w:rPr>
                <w:spacing w:val="9"/>
                <w:lang w:eastAsia="zh-CN"/>
              </w:rPr>
              <w:t>经营或者运输、贮存的医疗器械</w:t>
            </w:r>
            <w:r>
              <w:rPr>
                <w:spacing w:val="5"/>
                <w:lang w:eastAsia="zh-CN"/>
              </w:rPr>
              <w:t>涉及需要冷藏、冷冻管理的，配备下列设施设备：</w:t>
            </w:r>
            <w:r>
              <w:rPr>
                <w:spacing w:val="7"/>
                <w:lang w:eastAsia="zh-CN"/>
              </w:rPr>
              <w:t>（一）与其经营规模和经营品种相适应的冷藏、冷冻设施设备；</w:t>
            </w:r>
            <w:r>
              <w:rPr>
                <w:spacing w:val="10"/>
                <w:lang w:eastAsia="zh-CN"/>
              </w:rPr>
              <w:t>（二）用于冷藏、冷冻设施设备的温湿度自动监测、</w:t>
            </w:r>
            <w:r>
              <w:rPr>
                <w:spacing w:val="9"/>
                <w:lang w:eastAsia="zh-CN"/>
              </w:rPr>
              <w:t>显示、记录、调控、报警的设备；</w:t>
            </w:r>
            <w:r>
              <w:rPr>
                <w:spacing w:val="8"/>
                <w:lang w:eastAsia="zh-CN"/>
              </w:rPr>
              <w:t>（三）</w:t>
            </w:r>
            <w:r>
              <w:rPr>
                <w:spacing w:val="-62"/>
                <w:lang w:eastAsia="zh-CN"/>
              </w:rPr>
              <w:t xml:space="preserve"> </w:t>
            </w:r>
            <w:r>
              <w:rPr>
                <w:spacing w:val="8"/>
                <w:lang w:eastAsia="zh-CN"/>
              </w:rPr>
              <w:t>能够确保制冷设备正常运转的不间断的供电设备（如双回路供电系统或者备用发电机</w:t>
            </w:r>
            <w:r>
              <w:rPr>
                <w:spacing w:val="7"/>
                <w:lang w:eastAsia="zh-CN"/>
              </w:rPr>
              <w:t>组等</w:t>
            </w:r>
            <w:r>
              <w:rPr>
                <w:spacing w:val="-30"/>
                <w:lang w:eastAsia="zh-CN"/>
              </w:rPr>
              <w:t>）；</w:t>
            </w:r>
            <w:r>
              <w:rPr>
                <w:spacing w:val="10"/>
                <w:lang w:eastAsia="zh-CN"/>
              </w:rPr>
              <w:t>（四）根据相应的运输规模和运输环境要求配备冷藏车、保温车，或者冷藏（冷冻）箱、</w:t>
            </w:r>
            <w:r>
              <w:rPr>
                <w:spacing w:val="9"/>
                <w:lang w:eastAsia="zh-CN"/>
              </w:rPr>
              <w:t>保温箱等</w:t>
            </w:r>
            <w:r>
              <w:rPr>
                <w:spacing w:val="8"/>
                <w:lang w:eastAsia="zh-CN"/>
              </w:rPr>
              <w:t>设备；冷藏车应当具有自动显示温度、调控温度、报警、存储和读取温度监测数据的功能；</w:t>
            </w:r>
            <w:r>
              <w:rPr>
                <w:spacing w:val="9"/>
                <w:lang w:eastAsia="zh-CN"/>
              </w:rPr>
              <w:t>（五）对有特殊温湿度要求的，应当配备符合其贮存、运输要求的设施设备。</w:t>
            </w:r>
          </w:p>
        </w:tc>
        <w:tc>
          <w:tcPr>
            <w:tcW w:w="1240" w:type="dxa"/>
            <w:noWrap w:val="0"/>
            <w:vAlign w:val="center"/>
          </w:tcPr>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92" w:type="dxa"/>
            <w:noWrap w:val="0"/>
            <w:vAlign w:val="center"/>
          </w:tcPr>
          <w:p>
            <w:pPr>
              <w:spacing w:before="66" w:line="300" w:lineRule="exact"/>
              <w:ind w:left="268"/>
              <w:rPr>
                <w:rFonts w:eastAsia="Times New Roman"/>
                <w:sz w:val="23"/>
                <w:szCs w:val="23"/>
              </w:rPr>
            </w:pPr>
            <w:r>
              <w:rPr>
                <w:rFonts w:hint="default" w:ascii="Times New Roman" w:hAnsi="Times New Roman" w:eastAsia="Times New Roman" w:cs="Times New Roman"/>
                <w:spacing w:val="1"/>
                <w:sz w:val="23"/>
                <w:szCs w:val="23"/>
              </w:rPr>
              <w:t>46</w:t>
            </w:r>
          </w:p>
        </w:tc>
        <w:tc>
          <w:tcPr>
            <w:tcW w:w="10796" w:type="dxa"/>
            <w:noWrap w:val="0"/>
            <w:vAlign w:val="center"/>
          </w:tcPr>
          <w:p>
            <w:pPr>
              <w:pStyle w:val="15"/>
              <w:spacing w:before="101" w:line="300" w:lineRule="exact"/>
              <w:ind w:left="146" w:right="182" w:hanging="27"/>
              <w:jc w:val="both"/>
              <w:rPr>
                <w:lang w:eastAsia="zh-CN"/>
              </w:rPr>
            </w:pPr>
            <w:r>
              <w:rPr>
                <w:spacing w:val="10"/>
                <w:lang w:eastAsia="zh-CN"/>
              </w:rPr>
              <w:t>通过跨行政区域设置仓库或者委托专门提供医疗器械运输贮存服务</w:t>
            </w:r>
            <w:r>
              <w:rPr>
                <w:spacing w:val="9"/>
                <w:lang w:eastAsia="zh-CN"/>
              </w:rPr>
              <w:t>企业贮存等方式，构建全国或者</w:t>
            </w:r>
            <w:r>
              <w:rPr>
                <w:spacing w:val="5"/>
                <w:lang w:eastAsia="zh-CN"/>
              </w:rPr>
              <w:t>区域多仓协同物流管理模式，对跨行政区域设置的仓库：</w:t>
            </w:r>
            <w:r>
              <w:rPr>
                <w:spacing w:val="6"/>
                <w:lang w:eastAsia="zh-CN"/>
              </w:rPr>
              <w:t>（一）建立与其规模相适应的质量管理制度；</w:t>
            </w:r>
            <w:r>
              <w:rPr>
                <w:spacing w:val="7"/>
                <w:lang w:eastAsia="zh-CN"/>
              </w:rPr>
              <w:t>（二）配备与其规模相适应的质量管理人员、设施设备；</w:t>
            </w:r>
            <w:r>
              <w:rPr>
                <w:spacing w:val="8"/>
                <w:lang w:eastAsia="zh-CN"/>
              </w:rPr>
              <w:t>（三）配备与经营企业本部互联互通、能够</w:t>
            </w:r>
            <w:r>
              <w:rPr>
                <w:spacing w:val="7"/>
                <w:lang w:eastAsia="zh-CN"/>
              </w:rPr>
              <w:t>实时交互医疗器械贮存、出入库数据的计算机信息系统；（四）满足医疗器械贮存与追溯质量管理要求。</w:t>
            </w:r>
          </w:p>
        </w:tc>
        <w:tc>
          <w:tcPr>
            <w:tcW w:w="1240" w:type="dxa"/>
            <w:noWrap w:val="0"/>
            <w:vAlign w:val="center"/>
          </w:tcPr>
          <w:p>
            <w:pPr>
              <w:spacing w:line="300" w:lineRule="exact"/>
            </w:pPr>
          </w:p>
          <w:p>
            <w:pPr>
              <w:spacing w:line="300" w:lineRule="exact"/>
            </w:pPr>
          </w:p>
          <w:p>
            <w:pPr>
              <w:spacing w:line="300" w:lineRule="exact"/>
            </w:pPr>
          </w:p>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3829" w:type="dxa"/>
            <w:gridSpan w:val="4"/>
            <w:noWrap w:val="0"/>
            <w:vAlign w:val="center"/>
          </w:tcPr>
          <w:p>
            <w:pPr>
              <w:spacing w:line="300" w:lineRule="exact"/>
            </w:pPr>
            <w:r>
              <w:rPr>
                <w:rFonts w:ascii="黑体" w:hAnsi="黑体" w:eastAsia="黑体" w:cs="黑体"/>
                <w:spacing w:val="8"/>
                <w:sz w:val="23"/>
                <w:szCs w:val="23"/>
              </w:rPr>
              <w:t>九、销售和售后方面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66" w:line="300" w:lineRule="exact"/>
              <w:ind w:left="268"/>
              <w:rPr>
                <w:rFonts w:eastAsia="Times New Roman"/>
                <w:sz w:val="23"/>
                <w:szCs w:val="23"/>
              </w:rPr>
            </w:pPr>
            <w:r>
              <w:rPr>
                <w:rFonts w:hint="default" w:ascii="Times New Roman" w:hAnsi="Times New Roman" w:eastAsia="Times New Roman" w:cs="Times New Roman"/>
                <w:spacing w:val="3"/>
                <w:sz w:val="23"/>
                <w:szCs w:val="23"/>
              </w:rPr>
              <w:t>47</w:t>
            </w:r>
          </w:p>
        </w:tc>
        <w:tc>
          <w:tcPr>
            <w:tcW w:w="10796" w:type="dxa"/>
            <w:noWrap w:val="0"/>
            <w:vAlign w:val="center"/>
          </w:tcPr>
          <w:p>
            <w:pPr>
              <w:pStyle w:val="15"/>
              <w:spacing w:before="300" w:line="300" w:lineRule="exact"/>
              <w:ind w:left="119"/>
              <w:jc w:val="both"/>
              <w:rPr>
                <w:lang w:eastAsia="zh-CN"/>
              </w:rPr>
            </w:pPr>
            <w:r>
              <w:rPr>
                <w:spacing w:val="9"/>
                <w:lang w:eastAsia="zh-CN"/>
              </w:rPr>
              <w:t>从事第二类、第三类医疗器械批发业务的，应当建立并执行购货者资格审核制度。</w:t>
            </w:r>
          </w:p>
        </w:tc>
        <w:tc>
          <w:tcPr>
            <w:tcW w:w="1240" w:type="dxa"/>
            <w:noWrap w:val="0"/>
            <w:vAlign w:val="center"/>
          </w:tcPr>
          <w:p>
            <w:pPr>
              <w:pStyle w:val="15"/>
              <w:spacing w:before="307"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66" w:line="300" w:lineRule="exact"/>
              <w:ind w:left="268"/>
              <w:rPr>
                <w:rFonts w:eastAsia="Times New Roman"/>
                <w:sz w:val="23"/>
                <w:szCs w:val="23"/>
              </w:rPr>
            </w:pPr>
            <w:r>
              <w:rPr>
                <w:rFonts w:hint="default" w:ascii="Times New Roman" w:hAnsi="Times New Roman" w:eastAsia="Times New Roman" w:cs="Times New Roman"/>
                <w:spacing w:val="3"/>
                <w:sz w:val="23"/>
                <w:szCs w:val="23"/>
              </w:rPr>
              <w:t>48</w:t>
            </w:r>
          </w:p>
        </w:tc>
        <w:tc>
          <w:tcPr>
            <w:tcW w:w="10796" w:type="dxa"/>
            <w:noWrap w:val="0"/>
            <w:vAlign w:val="center"/>
          </w:tcPr>
          <w:p>
            <w:pPr>
              <w:pStyle w:val="15"/>
              <w:spacing w:before="101" w:line="300" w:lineRule="exact"/>
              <w:ind w:left="114" w:right="182" w:firstLine="5"/>
              <w:jc w:val="both"/>
              <w:rPr>
                <w:lang w:eastAsia="zh-CN"/>
              </w:rPr>
            </w:pPr>
            <w:r>
              <w:rPr>
                <w:spacing w:val="10"/>
                <w:lang w:eastAsia="zh-CN"/>
              </w:rPr>
              <w:t>从事第二类、第三类医疗器械批发业务的，应当将医疗器械销售给</w:t>
            </w:r>
            <w:r>
              <w:rPr>
                <w:spacing w:val="9"/>
                <w:lang w:eastAsia="zh-CN"/>
              </w:rPr>
              <w:t>医疗器械生产企业、医疗器械经</w:t>
            </w:r>
            <w:r>
              <w:rPr>
                <w:lang w:eastAsia="zh-CN"/>
              </w:rPr>
              <w:t xml:space="preserve"> </w:t>
            </w:r>
            <w:r>
              <w:rPr>
                <w:spacing w:val="10"/>
                <w:lang w:eastAsia="zh-CN"/>
              </w:rPr>
              <w:t>营企业、医疗器械使用单位或者其他有合理使用需求的单位。向其他有合理使用</w:t>
            </w:r>
            <w:r>
              <w:rPr>
                <w:spacing w:val="9"/>
                <w:lang w:eastAsia="zh-CN"/>
              </w:rPr>
              <w:t>需求的单位销售医</w:t>
            </w:r>
            <w:r>
              <w:rPr>
                <w:lang w:eastAsia="zh-CN"/>
              </w:rPr>
              <w:t xml:space="preserve"> </w:t>
            </w:r>
            <w:r>
              <w:rPr>
                <w:spacing w:val="8"/>
                <w:lang w:eastAsia="zh-CN"/>
              </w:rPr>
              <w:t>疗器械的，销售前索取购货者对所采购医疗器械的</w:t>
            </w:r>
            <w:r>
              <w:rPr>
                <w:spacing w:val="7"/>
                <w:lang w:eastAsia="zh-CN"/>
              </w:rPr>
              <w:t>使用需求说明。</w:t>
            </w:r>
          </w:p>
        </w:tc>
        <w:tc>
          <w:tcPr>
            <w:tcW w:w="1240" w:type="dxa"/>
            <w:noWrap w:val="0"/>
            <w:vAlign w:val="center"/>
          </w:tcPr>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66" w:line="300" w:lineRule="exact"/>
              <w:ind w:left="268"/>
              <w:rPr>
                <w:rFonts w:eastAsia="Times New Roman"/>
                <w:sz w:val="23"/>
                <w:szCs w:val="23"/>
              </w:rPr>
            </w:pPr>
            <w:r>
              <w:rPr>
                <w:rFonts w:hint="default" w:ascii="Times New Roman" w:hAnsi="Times New Roman" w:eastAsia="Times New Roman" w:cs="Times New Roman"/>
                <w:spacing w:val="3"/>
                <w:sz w:val="23"/>
                <w:szCs w:val="23"/>
              </w:rPr>
              <w:t>49</w:t>
            </w:r>
          </w:p>
        </w:tc>
        <w:tc>
          <w:tcPr>
            <w:tcW w:w="10796" w:type="dxa"/>
            <w:noWrap w:val="0"/>
            <w:vAlign w:val="center"/>
          </w:tcPr>
          <w:p>
            <w:pPr>
              <w:pStyle w:val="15"/>
              <w:spacing w:before="103" w:line="300" w:lineRule="exact"/>
              <w:ind w:left="116" w:right="182" w:firstLine="3"/>
              <w:jc w:val="both"/>
              <w:rPr>
                <w:lang w:eastAsia="zh-CN"/>
              </w:rPr>
            </w:pPr>
            <w:r>
              <w:rPr>
                <w:spacing w:val="10"/>
                <w:lang w:eastAsia="zh-CN"/>
              </w:rPr>
              <w:t>从事第二类、第三类医疗器械批发业务的，应当在首次发生销售前</w:t>
            </w:r>
            <w:r>
              <w:rPr>
                <w:spacing w:val="9"/>
                <w:lang w:eastAsia="zh-CN"/>
              </w:rPr>
              <w:t>，获取购货者相关资料复印件或</w:t>
            </w:r>
            <w:r>
              <w:rPr>
                <w:spacing w:val="10"/>
                <w:lang w:eastAsia="zh-CN"/>
              </w:rPr>
              <w:t>者扫描件，对购货者的证明文件、经营范围进行核实，并建立购货者档案，</w:t>
            </w:r>
            <w:r>
              <w:rPr>
                <w:spacing w:val="9"/>
                <w:lang w:eastAsia="zh-CN"/>
              </w:rPr>
              <w:t>保证医疗器械销售流向</w:t>
            </w:r>
            <w:r>
              <w:rPr>
                <w:spacing w:val="4"/>
                <w:lang w:eastAsia="zh-CN"/>
              </w:rPr>
              <w:t>真实、准确、完整和可追溯。</w:t>
            </w:r>
          </w:p>
        </w:tc>
        <w:tc>
          <w:tcPr>
            <w:tcW w:w="1240" w:type="dxa"/>
            <w:noWrap w:val="0"/>
            <w:vAlign w:val="center"/>
          </w:tcPr>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66" w:line="300" w:lineRule="exact"/>
              <w:ind w:left="275"/>
              <w:rPr>
                <w:rFonts w:eastAsia="Times New Roman"/>
                <w:sz w:val="23"/>
                <w:szCs w:val="23"/>
              </w:rPr>
            </w:pPr>
            <w:r>
              <w:rPr>
                <w:rFonts w:hint="default" w:ascii="Times New Roman" w:hAnsi="Times New Roman" w:eastAsia="Times New Roman" w:cs="Times New Roman"/>
                <w:spacing w:val="-2"/>
                <w:sz w:val="23"/>
                <w:szCs w:val="23"/>
              </w:rPr>
              <w:t>50</w:t>
            </w:r>
          </w:p>
        </w:tc>
        <w:tc>
          <w:tcPr>
            <w:tcW w:w="10796" w:type="dxa"/>
            <w:noWrap w:val="0"/>
            <w:vAlign w:val="center"/>
          </w:tcPr>
          <w:p>
            <w:pPr>
              <w:pStyle w:val="15"/>
              <w:spacing w:before="97" w:line="300" w:lineRule="exact"/>
              <w:ind w:left="110" w:right="236" w:firstLine="9"/>
              <w:jc w:val="both"/>
              <w:rPr>
                <w:lang w:eastAsia="zh-CN"/>
              </w:rPr>
            </w:pPr>
            <w:r>
              <w:rPr>
                <w:spacing w:val="8"/>
                <w:lang w:eastAsia="zh-CN"/>
              </w:rPr>
              <w:t>从事第二类、第三类医疗器械批发业务以及第三类医疗器械零售业务的，应当实施销售记录制度。</w:t>
            </w:r>
            <w:r>
              <w:rPr>
                <w:spacing w:val="-1"/>
                <w:lang w:eastAsia="zh-CN"/>
              </w:rPr>
              <w:t>销售记录包括：</w:t>
            </w:r>
            <w:r>
              <w:rPr>
                <w:spacing w:val="8"/>
                <w:lang w:eastAsia="zh-CN"/>
              </w:rPr>
              <w:t>（一）医疗器械的名称、型号、规格、注册证编号或者备案编号、数量、单价、金额；</w:t>
            </w:r>
            <w:r>
              <w:rPr>
                <w:spacing w:val="3"/>
                <w:lang w:eastAsia="zh-CN"/>
              </w:rPr>
              <w:t>（</w:t>
            </w:r>
            <w:r>
              <w:rPr>
                <w:spacing w:val="9"/>
                <w:lang w:eastAsia="zh-CN"/>
              </w:rPr>
              <w:t>二）医疗器械的生产批号或者序列号、使用期限或者失效日期、销售日期；</w:t>
            </w:r>
            <w:r>
              <w:rPr>
                <w:spacing w:val="10"/>
                <w:lang w:eastAsia="zh-CN"/>
              </w:rPr>
              <w:t>（三）医疗器械注册人、备案人和受托生产企业名称</w:t>
            </w:r>
            <w:r>
              <w:rPr>
                <w:spacing w:val="9"/>
                <w:lang w:eastAsia="zh-CN"/>
              </w:rPr>
              <w:t>、生产许可证编号或者备案编号。从事第二类、第三类医疗器械批发业务的，销售记录</w:t>
            </w:r>
            <w:r>
              <w:rPr>
                <w:spacing w:val="8"/>
                <w:lang w:eastAsia="zh-CN"/>
              </w:rPr>
              <w:t>还包括购货者的名称、收货地址、联系方式、</w:t>
            </w:r>
            <w:r>
              <w:rPr>
                <w:spacing w:val="6"/>
                <w:lang w:eastAsia="zh-CN"/>
              </w:rPr>
              <w:t>相关许可证明文件编号或者备案编号等。</w:t>
            </w:r>
          </w:p>
        </w:tc>
        <w:tc>
          <w:tcPr>
            <w:tcW w:w="1240" w:type="dxa"/>
            <w:noWrap w:val="0"/>
            <w:vAlign w:val="center"/>
          </w:tcPr>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66" w:line="300" w:lineRule="exact"/>
              <w:ind w:left="275"/>
              <w:rPr>
                <w:rFonts w:eastAsia="Times New Roman"/>
                <w:sz w:val="23"/>
                <w:szCs w:val="23"/>
              </w:rPr>
            </w:pPr>
            <w:r>
              <w:rPr>
                <w:rFonts w:hint="default" w:ascii="Times New Roman" w:hAnsi="Times New Roman" w:eastAsia="Times New Roman" w:cs="Times New Roman"/>
                <w:spacing w:val="-2"/>
                <w:sz w:val="23"/>
                <w:szCs w:val="23"/>
              </w:rPr>
              <w:t>51</w:t>
            </w:r>
          </w:p>
        </w:tc>
        <w:tc>
          <w:tcPr>
            <w:tcW w:w="10796" w:type="dxa"/>
            <w:noWrap w:val="0"/>
            <w:vAlign w:val="center"/>
          </w:tcPr>
          <w:p>
            <w:pPr>
              <w:pStyle w:val="15"/>
              <w:spacing w:before="97" w:line="300" w:lineRule="exact"/>
              <w:ind w:left="134" w:right="185" w:hanging="24"/>
              <w:jc w:val="both"/>
              <w:rPr>
                <w:lang w:eastAsia="zh-CN"/>
              </w:rPr>
            </w:pPr>
            <w:r>
              <w:rPr>
                <w:spacing w:val="9"/>
                <w:lang w:eastAsia="zh-CN"/>
              </w:rPr>
              <w:t>销售记录应当保存至医疗器械有效期满后</w:t>
            </w:r>
            <w:r>
              <w:rPr>
                <w:spacing w:val="-50"/>
                <w:lang w:eastAsia="zh-CN"/>
              </w:rPr>
              <w:t xml:space="preserve"> </w:t>
            </w:r>
            <w:r>
              <w:rPr>
                <w:rFonts w:hint="default" w:ascii="Times New Roman" w:hAnsi="Times New Roman" w:eastAsia="Times New Roman" w:cs="Times New Roman"/>
                <w:spacing w:val="9"/>
                <w:lang w:eastAsia="zh-CN"/>
              </w:rPr>
              <w:t>2</w:t>
            </w:r>
            <w:r>
              <w:rPr>
                <w:spacing w:val="9"/>
                <w:lang w:eastAsia="zh-CN"/>
              </w:rPr>
              <w:t>年；没有有效期的，保存不少于</w:t>
            </w:r>
            <w:r>
              <w:rPr>
                <w:spacing w:val="-43"/>
                <w:lang w:eastAsia="zh-CN"/>
              </w:rPr>
              <w:t xml:space="preserve"> </w:t>
            </w:r>
            <w:r>
              <w:rPr>
                <w:rFonts w:hint="default" w:ascii="Times New Roman" w:hAnsi="Times New Roman" w:eastAsia="Times New Roman" w:cs="Times New Roman"/>
                <w:spacing w:val="9"/>
                <w:lang w:eastAsia="zh-CN"/>
              </w:rPr>
              <w:t>5</w:t>
            </w:r>
            <w:r>
              <w:rPr>
                <w:spacing w:val="9"/>
                <w:lang w:eastAsia="zh-CN"/>
              </w:rPr>
              <w:t>年。植入类</w:t>
            </w:r>
            <w:r>
              <w:rPr>
                <w:spacing w:val="8"/>
                <w:lang w:eastAsia="zh-CN"/>
              </w:rPr>
              <w:t>医疗器械</w:t>
            </w:r>
            <w:r>
              <w:rPr>
                <w:spacing w:val="3"/>
                <w:lang w:eastAsia="zh-CN"/>
              </w:rPr>
              <w:t>的销售记录应当永久保存。</w:t>
            </w:r>
          </w:p>
        </w:tc>
        <w:tc>
          <w:tcPr>
            <w:tcW w:w="1240" w:type="dxa"/>
            <w:noWrap w:val="0"/>
            <w:vAlign w:val="center"/>
          </w:tcPr>
          <w:p>
            <w:pPr>
              <w:pStyle w:val="15"/>
              <w:spacing w:before="297"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66" w:line="300" w:lineRule="exact"/>
              <w:ind w:left="275"/>
              <w:rPr>
                <w:rFonts w:eastAsia="Times New Roman"/>
                <w:sz w:val="23"/>
                <w:szCs w:val="23"/>
              </w:rPr>
            </w:pPr>
            <w:r>
              <w:rPr>
                <w:rFonts w:hint="default" w:ascii="Times New Roman" w:hAnsi="Times New Roman" w:eastAsia="Times New Roman" w:cs="Times New Roman"/>
                <w:spacing w:val="-2"/>
                <w:sz w:val="23"/>
                <w:szCs w:val="23"/>
              </w:rPr>
              <w:t>52</w:t>
            </w:r>
          </w:p>
        </w:tc>
        <w:tc>
          <w:tcPr>
            <w:tcW w:w="10796" w:type="dxa"/>
            <w:noWrap w:val="0"/>
            <w:vAlign w:val="center"/>
          </w:tcPr>
          <w:p>
            <w:pPr>
              <w:pStyle w:val="15"/>
              <w:spacing w:before="122" w:line="300" w:lineRule="exact"/>
              <w:ind w:left="114" w:right="182" w:firstLine="5"/>
              <w:jc w:val="both"/>
              <w:rPr>
                <w:lang w:eastAsia="zh-CN"/>
              </w:rPr>
            </w:pPr>
            <w:r>
              <w:rPr>
                <w:spacing w:val="10"/>
                <w:lang w:eastAsia="zh-CN"/>
              </w:rPr>
              <w:t>应当依照规定开展医疗器械不良事件监测，按照要求报告不良事件</w:t>
            </w:r>
            <w:r>
              <w:rPr>
                <w:spacing w:val="9"/>
                <w:lang w:eastAsia="zh-CN"/>
              </w:rPr>
              <w:t>，或者配合医疗器械不良事件调</w:t>
            </w:r>
            <w:r>
              <w:rPr>
                <w:spacing w:val="-11"/>
                <w:lang w:eastAsia="zh-CN"/>
              </w:rPr>
              <w:t>查。</w:t>
            </w:r>
          </w:p>
        </w:tc>
        <w:tc>
          <w:tcPr>
            <w:tcW w:w="1240" w:type="dxa"/>
            <w:noWrap w:val="0"/>
            <w:vAlign w:val="center"/>
          </w:tcPr>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66" w:line="300" w:lineRule="exact"/>
              <w:ind w:left="275"/>
              <w:rPr>
                <w:rFonts w:eastAsia="Times New Roman"/>
                <w:sz w:val="23"/>
                <w:szCs w:val="23"/>
              </w:rPr>
            </w:pPr>
            <w:r>
              <w:rPr>
                <w:rFonts w:hint="default" w:ascii="Times New Roman" w:hAnsi="Times New Roman" w:eastAsia="Times New Roman" w:cs="Times New Roman"/>
                <w:spacing w:val="-1"/>
                <w:sz w:val="23"/>
                <w:szCs w:val="23"/>
              </w:rPr>
              <w:t>53</w:t>
            </w:r>
          </w:p>
        </w:tc>
        <w:tc>
          <w:tcPr>
            <w:tcW w:w="10796" w:type="dxa"/>
            <w:noWrap w:val="0"/>
            <w:vAlign w:val="center"/>
          </w:tcPr>
          <w:p>
            <w:pPr>
              <w:pStyle w:val="15"/>
              <w:spacing w:before="156" w:line="300" w:lineRule="exact"/>
              <w:ind w:left="114" w:right="182"/>
              <w:jc w:val="both"/>
              <w:rPr>
                <w:lang w:eastAsia="zh-CN"/>
              </w:rPr>
            </w:pPr>
            <w:r>
              <w:rPr>
                <w:spacing w:val="10"/>
                <w:lang w:eastAsia="zh-CN"/>
              </w:rPr>
              <w:t>发现其经营的医疗器械有严重质量安全问题，或者不符合强制性标准、不符合经</w:t>
            </w:r>
            <w:r>
              <w:rPr>
                <w:spacing w:val="9"/>
                <w:lang w:eastAsia="zh-CN"/>
              </w:rPr>
              <w:t>注册或者备案的医</w:t>
            </w:r>
            <w:r>
              <w:rPr>
                <w:spacing w:val="10"/>
                <w:lang w:eastAsia="zh-CN"/>
              </w:rPr>
              <w:t>疗器械产品技术要求的，立即停止经营，通知相关医疗器械注册人、备案人、生</w:t>
            </w:r>
            <w:r>
              <w:rPr>
                <w:spacing w:val="9"/>
                <w:lang w:eastAsia="zh-CN"/>
              </w:rPr>
              <w:t>产经营企业、使用</w:t>
            </w:r>
            <w:r>
              <w:rPr>
                <w:spacing w:val="10"/>
                <w:lang w:eastAsia="zh-CN"/>
              </w:rPr>
              <w:t>单位、购货者，记录停止经营和通知情况，并立即向企业</w:t>
            </w:r>
            <w:r>
              <w:rPr>
                <w:spacing w:val="9"/>
                <w:lang w:eastAsia="zh-CN"/>
              </w:rPr>
              <w:t>所在地市县级负责药品监管的部门报告。</w:t>
            </w:r>
          </w:p>
        </w:tc>
        <w:tc>
          <w:tcPr>
            <w:tcW w:w="1240" w:type="dxa"/>
            <w:noWrap w:val="0"/>
            <w:vAlign w:val="center"/>
          </w:tcPr>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3829" w:type="dxa"/>
            <w:gridSpan w:val="4"/>
            <w:noWrap w:val="0"/>
            <w:vAlign w:val="center"/>
          </w:tcPr>
          <w:p>
            <w:pPr>
              <w:spacing w:line="300" w:lineRule="exact"/>
            </w:pPr>
            <w:r>
              <w:rPr>
                <w:rFonts w:ascii="黑体" w:hAnsi="黑体" w:eastAsia="黑体" w:cs="黑体"/>
                <w:spacing w:val="8"/>
                <w:sz w:val="23"/>
                <w:szCs w:val="23"/>
              </w:rPr>
              <w:t>十、网络销售方面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267" w:line="300" w:lineRule="exact"/>
              <w:ind w:left="275"/>
              <w:rPr>
                <w:rFonts w:eastAsia="Times New Roman"/>
                <w:sz w:val="23"/>
                <w:szCs w:val="23"/>
              </w:rPr>
            </w:pPr>
            <w:r>
              <w:rPr>
                <w:rFonts w:hint="default" w:ascii="Times New Roman" w:hAnsi="Times New Roman" w:eastAsia="Times New Roman" w:cs="Times New Roman"/>
                <w:spacing w:val="-1"/>
                <w:sz w:val="23"/>
                <w:szCs w:val="23"/>
              </w:rPr>
              <w:t>54</w:t>
            </w:r>
          </w:p>
        </w:tc>
        <w:tc>
          <w:tcPr>
            <w:tcW w:w="10796" w:type="dxa"/>
            <w:noWrap w:val="0"/>
            <w:vAlign w:val="center"/>
          </w:tcPr>
          <w:p>
            <w:pPr>
              <w:pStyle w:val="15"/>
              <w:spacing w:before="207" w:line="300" w:lineRule="exact"/>
              <w:ind w:left="119"/>
              <w:jc w:val="both"/>
              <w:rPr>
                <w:lang w:eastAsia="zh-CN"/>
              </w:rPr>
            </w:pPr>
            <w:r>
              <w:rPr>
                <w:spacing w:val="8"/>
                <w:lang w:eastAsia="zh-CN"/>
              </w:rPr>
              <w:t>从事医疗器械网络销售的，应</w:t>
            </w:r>
            <w:r>
              <w:rPr>
                <w:rFonts w:hint="eastAsia"/>
                <w:spacing w:val="8"/>
                <w:lang w:eastAsia="zh-CN"/>
              </w:rPr>
              <w:t>当按</w:t>
            </w:r>
            <w:r>
              <w:rPr>
                <w:spacing w:val="8"/>
                <w:lang w:eastAsia="zh-CN"/>
              </w:rPr>
              <w:t>照规定告知负责药品</w:t>
            </w:r>
            <w:r>
              <w:rPr>
                <w:spacing w:val="7"/>
                <w:lang w:eastAsia="zh-CN"/>
              </w:rPr>
              <w:t>监督管理的部门。</w:t>
            </w:r>
          </w:p>
        </w:tc>
        <w:tc>
          <w:tcPr>
            <w:tcW w:w="1240" w:type="dxa"/>
            <w:noWrap w:val="0"/>
            <w:vAlign w:val="center"/>
          </w:tcPr>
          <w:p>
            <w:pPr>
              <w:pStyle w:val="15"/>
              <w:spacing w:before="169"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67" w:line="300" w:lineRule="exact"/>
              <w:ind w:left="275"/>
              <w:rPr>
                <w:rFonts w:eastAsia="Times New Roman"/>
                <w:sz w:val="23"/>
                <w:szCs w:val="23"/>
              </w:rPr>
            </w:pPr>
            <w:r>
              <w:rPr>
                <w:rFonts w:hint="default" w:ascii="Times New Roman" w:hAnsi="Times New Roman" w:eastAsia="Times New Roman" w:cs="Times New Roman"/>
                <w:spacing w:val="-1"/>
                <w:sz w:val="23"/>
                <w:szCs w:val="23"/>
              </w:rPr>
              <w:t>55</w:t>
            </w:r>
          </w:p>
        </w:tc>
        <w:tc>
          <w:tcPr>
            <w:tcW w:w="10796" w:type="dxa"/>
            <w:noWrap w:val="0"/>
            <w:vAlign w:val="center"/>
          </w:tcPr>
          <w:p>
            <w:pPr>
              <w:pStyle w:val="15"/>
              <w:spacing w:before="151" w:line="300" w:lineRule="exact"/>
              <w:ind w:left="119"/>
              <w:jc w:val="both"/>
              <w:rPr>
                <w:lang w:eastAsia="zh-CN"/>
              </w:rPr>
            </w:pPr>
            <w:r>
              <w:rPr>
                <w:spacing w:val="10"/>
                <w:position w:val="15"/>
                <w:lang w:eastAsia="zh-CN"/>
              </w:rPr>
              <w:t>从事医疗器械网络销售的企业应当按照要求展示医疗器械生产经营</w:t>
            </w:r>
            <w:r>
              <w:rPr>
                <w:spacing w:val="9"/>
                <w:position w:val="15"/>
                <w:lang w:eastAsia="zh-CN"/>
              </w:rPr>
              <w:t>许可证或者备案凭证、医疗器械</w:t>
            </w:r>
            <w:r>
              <w:rPr>
                <w:spacing w:val="3"/>
                <w:lang w:eastAsia="zh-CN"/>
              </w:rPr>
              <w:t>注册证或者备案凭证。</w:t>
            </w:r>
          </w:p>
        </w:tc>
        <w:tc>
          <w:tcPr>
            <w:tcW w:w="1240" w:type="dxa"/>
            <w:noWrap w:val="0"/>
            <w:vAlign w:val="center"/>
          </w:tcPr>
          <w:p>
            <w:pPr>
              <w:spacing w:line="300" w:lineRule="exact"/>
            </w:pPr>
          </w:p>
          <w:p>
            <w:pPr>
              <w:pStyle w:val="15"/>
              <w:spacing w:before="7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267" w:line="300" w:lineRule="exact"/>
              <w:ind w:left="275"/>
              <w:rPr>
                <w:rFonts w:eastAsia="Times New Roman"/>
                <w:sz w:val="23"/>
                <w:szCs w:val="23"/>
              </w:rPr>
            </w:pPr>
            <w:r>
              <w:rPr>
                <w:rFonts w:hint="default" w:ascii="Times New Roman" w:hAnsi="Times New Roman" w:eastAsia="Times New Roman" w:cs="Times New Roman"/>
                <w:spacing w:val="-1"/>
                <w:sz w:val="23"/>
                <w:szCs w:val="23"/>
              </w:rPr>
              <w:t>56</w:t>
            </w:r>
          </w:p>
        </w:tc>
        <w:tc>
          <w:tcPr>
            <w:tcW w:w="10796" w:type="dxa"/>
            <w:noWrap w:val="0"/>
            <w:vAlign w:val="center"/>
          </w:tcPr>
          <w:p>
            <w:pPr>
              <w:pStyle w:val="15"/>
              <w:spacing w:before="214" w:line="300" w:lineRule="exact"/>
              <w:ind w:left="119"/>
              <w:jc w:val="both"/>
              <w:rPr>
                <w:lang w:eastAsia="zh-CN"/>
              </w:rPr>
            </w:pPr>
            <w:r>
              <w:rPr>
                <w:spacing w:val="8"/>
                <w:lang w:eastAsia="zh-CN"/>
              </w:rPr>
              <w:t>从事医疗器械网络销售的企业应当按规定建立</w:t>
            </w:r>
            <w:r>
              <w:rPr>
                <w:spacing w:val="7"/>
                <w:lang w:eastAsia="zh-CN"/>
              </w:rPr>
              <w:t>并执行质量管理制度。</w:t>
            </w:r>
          </w:p>
        </w:tc>
        <w:tc>
          <w:tcPr>
            <w:tcW w:w="1240" w:type="dxa"/>
            <w:noWrap w:val="0"/>
            <w:vAlign w:val="center"/>
          </w:tcPr>
          <w:p>
            <w:pPr>
              <w:pStyle w:val="15"/>
              <w:spacing w:before="169"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267" w:line="300" w:lineRule="exact"/>
              <w:ind w:left="275"/>
              <w:rPr>
                <w:rFonts w:eastAsia="Times New Roman"/>
                <w:sz w:val="23"/>
                <w:szCs w:val="23"/>
              </w:rPr>
            </w:pPr>
            <w:r>
              <w:rPr>
                <w:rFonts w:hint="default" w:ascii="Times New Roman" w:hAnsi="Times New Roman" w:eastAsia="Times New Roman" w:cs="Times New Roman"/>
                <w:spacing w:val="-1"/>
                <w:sz w:val="23"/>
                <w:szCs w:val="23"/>
              </w:rPr>
              <w:t>57</w:t>
            </w:r>
          </w:p>
        </w:tc>
        <w:tc>
          <w:tcPr>
            <w:tcW w:w="10796" w:type="dxa"/>
            <w:noWrap w:val="0"/>
            <w:vAlign w:val="center"/>
          </w:tcPr>
          <w:p>
            <w:pPr>
              <w:pStyle w:val="15"/>
              <w:spacing w:before="210" w:line="300" w:lineRule="exact"/>
              <w:ind w:left="119"/>
              <w:jc w:val="both"/>
              <w:rPr>
                <w:lang w:eastAsia="zh-CN"/>
              </w:rPr>
            </w:pPr>
            <w:r>
              <w:rPr>
                <w:spacing w:val="7"/>
                <w:lang w:eastAsia="zh-CN"/>
              </w:rPr>
              <w:t>从事医疗器械网络销售的企业不得超出经营范围销售。</w:t>
            </w:r>
          </w:p>
        </w:tc>
        <w:tc>
          <w:tcPr>
            <w:tcW w:w="1240" w:type="dxa"/>
            <w:noWrap w:val="0"/>
            <w:vAlign w:val="center"/>
          </w:tcPr>
          <w:p>
            <w:pPr>
              <w:pStyle w:val="15"/>
              <w:spacing w:before="165" w:line="300" w:lineRule="exact"/>
              <w:ind w:left="131"/>
              <w:jc w:val="both"/>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92" w:type="dxa"/>
            <w:noWrap w:val="0"/>
            <w:vAlign w:val="center"/>
          </w:tcPr>
          <w:p>
            <w:pPr>
              <w:spacing w:before="66" w:line="300" w:lineRule="exact"/>
              <w:ind w:left="268"/>
              <w:rPr>
                <w:spacing w:val="1"/>
                <w:sz w:val="23"/>
                <w:szCs w:val="23"/>
              </w:rPr>
            </w:pPr>
            <w:r>
              <w:rPr>
                <w:rFonts w:hint="default" w:ascii="Times New Roman" w:hAnsi="Times New Roman" w:cs="Times New Roman"/>
                <w:spacing w:val="1"/>
                <w:sz w:val="23"/>
                <w:szCs w:val="23"/>
              </w:rPr>
              <w:t>58</w:t>
            </w:r>
          </w:p>
        </w:tc>
        <w:tc>
          <w:tcPr>
            <w:tcW w:w="10796" w:type="dxa"/>
            <w:noWrap w:val="0"/>
            <w:vAlign w:val="center"/>
          </w:tcPr>
          <w:p>
            <w:pPr>
              <w:pStyle w:val="15"/>
              <w:spacing w:before="151" w:line="300" w:lineRule="exact"/>
              <w:ind w:left="119"/>
              <w:jc w:val="both"/>
              <w:rPr>
                <w:lang w:eastAsia="zh-CN"/>
              </w:rPr>
            </w:pPr>
            <w:r>
              <w:rPr>
                <w:spacing w:val="5"/>
                <w:position w:val="15"/>
                <w:lang w:eastAsia="zh-CN"/>
              </w:rPr>
              <w:t>从事医疗器械网络销售的企业应当配合药品监督管理部门的监督检查，不得拒绝、隐瞒、不如实提</w:t>
            </w:r>
          </w:p>
          <w:p>
            <w:pPr>
              <w:pStyle w:val="15"/>
              <w:spacing w:line="300" w:lineRule="exact"/>
              <w:ind w:left="109"/>
              <w:jc w:val="both"/>
              <w:rPr>
                <w:spacing w:val="5"/>
              </w:rPr>
            </w:pPr>
            <w:r>
              <w:rPr>
                <w:spacing w:val="3"/>
              </w:rPr>
              <w:t>供相关材料和数据。</w:t>
            </w:r>
          </w:p>
        </w:tc>
        <w:tc>
          <w:tcPr>
            <w:tcW w:w="1240" w:type="dxa"/>
            <w:noWrap w:val="0"/>
            <w:vAlign w:val="center"/>
          </w:tcPr>
          <w:p>
            <w:pPr>
              <w:pStyle w:val="15"/>
              <w:spacing w:before="75" w:line="300" w:lineRule="exact"/>
              <w:ind w:left="131"/>
              <w:jc w:val="both"/>
              <w:rPr>
                <w:rFonts w:ascii="Times New Roman" w:hAnsi="Times New Roman" w:eastAsia="Times New Roman" w:cs="Times New Roman"/>
                <w:spacing w:val="-4"/>
              </w:rPr>
            </w:pPr>
            <w:r>
              <w:rPr>
                <w:rFonts w:ascii="Times New Roman" w:hAnsi="Times New Roman" w:eastAsia="Times New Roman" w:cs="Times New Roman"/>
                <w:spacing w:val="-4"/>
              </w:rPr>
              <w:t>□</w:t>
            </w:r>
            <w:r>
              <w:rPr>
                <w:spacing w:val="-4"/>
              </w:rPr>
              <w:t>是</w:t>
            </w:r>
            <w:r>
              <w:rPr>
                <w:spacing w:val="1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否</w:t>
            </w:r>
          </w:p>
        </w:tc>
        <w:tc>
          <w:tcPr>
            <w:tcW w:w="1201" w:type="dxa"/>
            <w:noWrap w:val="0"/>
            <w:vAlign w:val="center"/>
          </w:tcPr>
          <w:p>
            <w:pPr>
              <w:spacing w:line="300" w:lineRule="exact"/>
            </w:pPr>
          </w:p>
        </w:tc>
      </w:tr>
    </w:tbl>
    <w:p>
      <w:pPr>
        <w:spacing w:line="300" w:lineRule="exact"/>
        <w:rPr>
          <w:rFonts w:hint="eastAsia" w:ascii="仿宋_GB2312" w:eastAsia="仿宋_GB2312"/>
        </w:rPr>
        <w:sectPr>
          <w:footerReference r:id="rId3" w:type="default"/>
          <w:pgSz w:w="16848" w:h="11916"/>
          <w:pgMar w:top="2098" w:right="1474" w:bottom="1984" w:left="1587" w:header="0" w:footer="953" w:gutter="0"/>
          <w:pgNumType w:fmt="decimal"/>
          <w:cols w:space="720" w:num="1"/>
        </w:sectPr>
      </w:pPr>
      <w:r>
        <w:rPr>
          <w:rFonts w:hint="eastAsia" w:ascii="仿宋_GB2312" w:eastAsia="仿宋_GB2312"/>
        </w:rPr>
        <w:t>备注：</w:t>
      </w:r>
      <w:r>
        <w:rPr>
          <w:rFonts w:hint="eastAsia" w:ascii="仿宋_GB2312" w:eastAsia="仿宋_GB2312"/>
          <w:spacing w:val="10"/>
          <w:sz w:val="23"/>
          <w:szCs w:val="23"/>
        </w:rPr>
        <w:t>企业根据实际勾选合规情况，有需要说明</w:t>
      </w:r>
      <w:r>
        <w:rPr>
          <w:rFonts w:hint="eastAsia" w:ascii="仿宋_GB2312" w:eastAsia="仿宋_GB2312"/>
          <w:spacing w:val="9"/>
          <w:sz w:val="23"/>
          <w:szCs w:val="23"/>
        </w:rPr>
        <w:t>的（包括涉及合理缺项的），在说明栏目中进行备注。</w:t>
      </w:r>
    </w:p>
    <w:p>
      <w:pPr>
        <w:spacing w:beforeAutospacing="0" w:line="240" w:lineRule="auto"/>
        <w:ind w:firstLine="320" w:firstLineChars="100"/>
        <w:rPr>
          <w:rFonts w:hint="default" w:ascii="方正仿宋简体" w:hAnsi="方正仿宋简体" w:eastAsia="方正仿宋简体" w:cs="方正仿宋简体"/>
          <w:b w:val="0"/>
          <w:bCs w:val="0"/>
          <w:sz w:val="32"/>
          <w:szCs w:val="32"/>
          <w:lang w:val="en-US" w:eastAsia="zh-CN"/>
        </w:rPr>
      </w:pPr>
      <w:bookmarkStart w:id="0" w:name="_GoBack"/>
      <w:bookmarkEnd w:id="0"/>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4DEE3D-613F-42B1-9250-47A2849DAA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 T 1 F 1o 00">
    <w:altName w:val="宋体"/>
    <w:panose1 w:val="00000000000000000000"/>
    <w:charset w:val="86"/>
    <w:family w:val="swiss"/>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44A5FEFE-8CAE-4107-A729-2E70A915C0C9}"/>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embedRegular r:id="rId3" w:fontKey="{26C329CC-7DD6-4BF5-B731-EFE21BF4442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037E503C-8A92-4BE4-95AC-D895A95DC3B1}"/>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宋体" w:hAnsi="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59264;mso-width-relative:page;mso-height-relative:page;" filled="f" stroked="f" coordsize="21600,21600" o:gfxdata="UEsDBAoAAAAAAIdO4kAAAAAAAAAAAAAAAAAEAAAAZHJzL1BLAwQUAAAACACHTuJAnkVICd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DYrbcgWF5lGV9OPKSb&#10;LciykP8LlD9QSwMEFAAAAAgAh07iQGGthHIzAgAAYwQAAA4AAABkcnMvZTJvRG9jLnhtbK1UzY7T&#10;MBC+I/EOlu80bdGuqqrpqmxVhFSxKy2Is+s4TST/yXablAeAN+DEhTvP1efYz07SRQuHPXBxxp7x&#10;N/6+mcniplWSHIXztdE5nYzGlAjNTVHrfU4/f9q8mVHiA9MFk0aLnJ6EpzfL168WjZ2LqamMLIQj&#10;ANF+3ticViHYeZZ5XgnF/MhYoeEsjVMsYOv2WeFYA3Qls+l4fJ01xhXWGS68x+m6c9Ie0b0E0JRl&#10;zcXa8IMSOnSoTkgWQMlXtfV0mV5bloKHu7L0IhCZUzANaUUS2Lu4ZssFm+8ds1XN+yewlzzhGSfF&#10;ao2kF6g1C4wcXP0XlKq5M96UYcSNyjoiSRGwmIyfafNQMSsSF0jt7UV0//9g+cfjvSN1gU64okQz&#10;hYqff3w///x9/vWN4AwCNdbPEfdgERnad6ZF8HDucRh5t6VT8QtGBH7Ie7rIK9pAeLw0m85mY7g4&#10;fMMG+NnTdet8eC+MItHIqUP9kqzsuPWhCx1CYjZtNrWUqYZSkyan12+vxunCxQNwqZEjkugeG63Q&#10;7tqe2c4UJxBzpusNb/mmRvIt8+GeOTQDHoxxCXdYSmmQxPQWJZVxX/91HuNRI3gpadBcOdWYJUrk&#10;B43aATAMhhuM3WDog7o16NYJxtDyZOKCC3IwS2fUF8zQKuaAi2mOTDkNg3kbugbHDHKxWqWgg3X1&#10;vuouoPMsC1v9YHlME4X0dnUIEDNpHAXqVOl1Q++lKvVzEpv7z32Kevo3LB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kVICdYAAAAIAQAADwAAAAAAAAABACAAAAAiAAAAZHJzL2Rvd25yZXYueG1s&#10;UEsBAhQAFAAAAAgAh07iQGGthHIzAgAAYwQAAA4AAAAAAAAAAQAgAAAAJQEAAGRycy9lMm9Eb2Mu&#10;eG1sUEsFBgAAAAAGAAYAWQEAAMo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60288;mso-width-relative:page;mso-height-relative:page;" filled="f" stroked="f" coordsize="21600,21600" o:gfxdata="UEsDBAoAAAAAAIdO4kAAAAAAAAAAAAAAAAAEAAAAZHJzL1BLAwQUAAAACACHTuJAnkVICd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DYrbcgWF5lGV9OPKSb&#10;LciykP8LlD9QSwMEFAAAAAgAh07iQL3z1oQ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upumEbF&#10;L9+/XX78uvz8SnAGgWoX5ojbOUTG5q1tEDycBxwm3k3pdfqCEYEf8p6v8oomEp4uzaaz2RguDt+w&#10;AX72eN35EN8Jq0kycupRv1ZWdtqG2IUOISmbsRupVFtDZUid05vXb8bthasH4MogRyLRPTZZsdk3&#10;PbO9Lc4g5m3XG8HxjUTyLQvxgXk0Ax6McYn3WEplkcT2FiWV9V/+dZ7iUSN4KanRXDk1mCVK1HuD&#10;2gEwDoYfjP1gmKO+s+jWCcbQ8dbEBR/VYJbe6s+YoVXKARczHJlyGgfzLnYNjhnkYrVqg47Oy0PV&#10;XUDnORa3Zud4SpOEDG51jBCz1TgJ1KnS64bea6vUz0lq7j/3bdTj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5FSAnWAAAACAEAAA8AAAAAAAAAAQAgAAAAIgAAAGRycy9kb3ducmV2LnhtbFBL&#10;AQIUABQAAAAIAIdO4kC989aEMQIAAGMEAAAOAAAAAAAAAAEAIAAAACUBAABkcnMvZTJvRG9jLnht&#10;bFBLBQYAAAAABgAGAFkBAADI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2E502"/>
    <w:multiLevelType w:val="singleLevel"/>
    <w:tmpl w:val="AEF2E502"/>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YTBiNjg3MTc3OTI5NDI4YjExMGIzMmU1NjQzZmQifQ=="/>
  </w:docVars>
  <w:rsids>
    <w:rsidRoot w:val="64451D73"/>
    <w:rsid w:val="01890756"/>
    <w:rsid w:val="08CD1371"/>
    <w:rsid w:val="08E720CC"/>
    <w:rsid w:val="0D4A4EFA"/>
    <w:rsid w:val="178C3431"/>
    <w:rsid w:val="18422487"/>
    <w:rsid w:val="18A95E47"/>
    <w:rsid w:val="1A655789"/>
    <w:rsid w:val="1CD06430"/>
    <w:rsid w:val="21AE657D"/>
    <w:rsid w:val="2ADB5CCE"/>
    <w:rsid w:val="2F8A4194"/>
    <w:rsid w:val="326F62AB"/>
    <w:rsid w:val="32985CB4"/>
    <w:rsid w:val="36E93404"/>
    <w:rsid w:val="39161008"/>
    <w:rsid w:val="3EB44C26"/>
    <w:rsid w:val="43C833A6"/>
    <w:rsid w:val="475244A0"/>
    <w:rsid w:val="4A384674"/>
    <w:rsid w:val="572851B5"/>
    <w:rsid w:val="59946464"/>
    <w:rsid w:val="604007A4"/>
    <w:rsid w:val="64451D73"/>
    <w:rsid w:val="69FA3DC2"/>
    <w:rsid w:val="6B0F27AC"/>
    <w:rsid w:val="7D9F5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List Number"/>
    <w:basedOn w:val="1"/>
    <w:autoRedefine/>
    <w:qFormat/>
    <w:uiPriority w:val="0"/>
    <w:pPr>
      <w:numPr>
        <w:ilvl w:val="0"/>
        <w:numId w:val="1"/>
      </w:numPr>
    </w:pPr>
  </w:style>
  <w:style w:type="paragraph" w:styleId="3">
    <w:name w:val="Normal Indent"/>
    <w:basedOn w:val="1"/>
    <w:autoRedefine/>
    <w:qFormat/>
    <w:uiPriority w:val="0"/>
    <w:pPr>
      <w:ind w:firstLine="420" w:firstLineChars="200"/>
    </w:pPr>
    <w:rPr>
      <w:rFonts w:ascii="Calibri" w:hAnsi="Calibri" w:eastAsia="宋体" w:cs="Times New Roman"/>
      <w:kern w:val="0"/>
      <w:sz w:val="21"/>
      <w:szCs w:val="24"/>
    </w:rPr>
  </w:style>
  <w:style w:type="paragraph" w:styleId="4">
    <w:name w:val="Body Text"/>
    <w:basedOn w:val="1"/>
    <w:qFormat/>
    <w:uiPriority w:val="0"/>
    <w:pPr>
      <w:autoSpaceDE w:val="0"/>
      <w:autoSpaceDN w:val="0"/>
      <w:jc w:val="left"/>
    </w:pPr>
    <w:rPr>
      <w:rFonts w:ascii="宋体" w:hAnsi="宋体" w:cs="宋体"/>
      <w:kern w:val="0"/>
      <w:sz w:val="32"/>
      <w:szCs w:val="32"/>
      <w:lang w:eastAsia="en-US"/>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Default"/>
    <w:qFormat/>
    <w:uiPriority w:val="0"/>
    <w:pPr>
      <w:widowControl w:val="0"/>
      <w:autoSpaceDE w:val="0"/>
      <w:autoSpaceDN w:val="0"/>
      <w:adjustRightInd w:val="0"/>
    </w:pPr>
    <w:rPr>
      <w:rFonts w:ascii="T T 1 F 1o 00" w:hAnsi="Calibri" w:eastAsia="T T 1 F 1o 00" w:cs="T T 1 F 1o 00"/>
      <w:color w:val="000000"/>
      <w:sz w:val="24"/>
      <w:szCs w:val="24"/>
      <w:lang w:val="en-US" w:eastAsia="zh-CN" w:bidi="ar-SA"/>
    </w:rPr>
  </w:style>
  <w:style w:type="paragraph" w:customStyle="1" w:styleId="14">
    <w:name w:val="p0"/>
    <w:basedOn w:val="1"/>
    <w:autoRedefine/>
    <w:qFormat/>
    <w:uiPriority w:val="0"/>
    <w:pPr>
      <w:widowControl/>
      <w:spacing w:before="100" w:beforeAutospacing="1" w:after="100" w:afterAutospacing="1"/>
      <w:jc w:val="left"/>
    </w:pPr>
    <w:rPr>
      <w:rFonts w:ascii="宋体" w:hAnsi="宋体" w:eastAsia="方正仿宋简体" w:cs="宋体"/>
      <w:kern w:val="0"/>
      <w:sz w:val="24"/>
      <w:szCs w:val="24"/>
    </w:r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3"/>
      <w:szCs w:val="23"/>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6944</Words>
  <Characters>7032</Characters>
  <Lines>0</Lines>
  <Paragraphs>0</Paragraphs>
  <TotalTime>48</TotalTime>
  <ScaleCrop>false</ScaleCrop>
  <LinksUpToDate>false</LinksUpToDate>
  <CharactersWithSpaces>7378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2024-03-14T03:08:00Z</dcterms:created>
  <dc:creator>椋朙</dc:creator>
  <cp:lastModifiedBy>WPS_428334989</cp:lastModifiedBy>
  <cp:lastPrinted>2024-05-08T02:05:00Z</cp:lastPrinted>
  <dcterms:modified xsi:type="dcterms:W3CDTF">2024-07-24T08:47:37Z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2FAD87F37804496CA364AEA6DCE8C13D_11</vt:lpwstr>
  </property>
</Properties>
</file>