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jc w:val="lef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附件1</w:t>
      </w:r>
    </w:p>
    <w:p>
      <w:pPr>
        <w:wordWrap w:val="0"/>
        <w:spacing w:line="600" w:lineRule="exact"/>
        <w:jc w:val="center"/>
        <w:rPr>
          <w:rFonts w:ascii="仿宋_GB2312" w:hAnsi="Calibri" w:eastAsia="仿宋_GB2312"/>
          <w:kern w:val="0"/>
          <w:sz w:val="24"/>
        </w:rPr>
      </w:pPr>
      <w:r>
        <w:rPr>
          <w:rFonts w:hint="default" w:ascii="Times New Roman" w:hAnsi="Times New Roman" w:eastAsia="方正小标宋简体" w:cs="Times New Roman"/>
          <w:spacing w:val="-6"/>
          <w:sz w:val="44"/>
          <w:szCs w:val="44"/>
        </w:rPr>
        <w:t>2024</w:t>
      </w:r>
      <w:r>
        <w:rPr>
          <w:rFonts w:ascii="方正小标宋简体" w:hAnsi="方正小标宋简体" w:eastAsia="方正小标宋简体" w:cs="方正小标宋简体"/>
          <w:spacing w:val="-6"/>
          <w:sz w:val="44"/>
          <w:szCs w:val="44"/>
        </w:rPr>
        <w:t>年安居区医疗器械领域行政执法与纪检监察监督贯通协同情况统计表</w:t>
      </w:r>
    </w:p>
    <w:tbl>
      <w:tblPr>
        <w:tblStyle w:val="7"/>
        <w:tblW w:w="14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901"/>
        <w:gridCol w:w="850"/>
        <w:gridCol w:w="1276"/>
        <w:gridCol w:w="1134"/>
        <w:gridCol w:w="1518"/>
        <w:gridCol w:w="1317"/>
        <w:gridCol w:w="1376"/>
        <w:gridCol w:w="1418"/>
        <w:gridCol w:w="1417"/>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4262" w:type="dxa"/>
            <w:gridSpan w:val="11"/>
            <w:vAlign w:val="center"/>
          </w:tcPr>
          <w:p>
            <w:pPr>
              <w:spacing w:line="240" w:lineRule="exact"/>
              <w:jc w:val="left"/>
              <w:rPr>
                <w:rFonts w:ascii="仿宋_GB2312" w:eastAsia="仿宋_GB2312"/>
                <w:kern w:val="0"/>
                <w:sz w:val="24"/>
                <w:szCs w:val="21"/>
              </w:rPr>
            </w:pPr>
            <w:r>
              <w:rPr>
                <w:rFonts w:hint="eastAsia" w:ascii="仿宋_GB2312" w:eastAsia="仿宋_GB2312"/>
                <w:kern w:val="0"/>
                <w:sz w:val="24"/>
              </w:rPr>
              <w:t>填表单位（盖章）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596" w:type="dxa"/>
            <w:vAlign w:val="center"/>
          </w:tcPr>
          <w:p>
            <w:pPr>
              <w:spacing w:line="240" w:lineRule="exact"/>
              <w:jc w:val="center"/>
              <w:rPr>
                <w:rFonts w:ascii="仿宋_GB2312" w:eastAsia="仿宋_GB2312"/>
                <w:kern w:val="0"/>
                <w:sz w:val="24"/>
                <w:szCs w:val="21"/>
              </w:rPr>
            </w:pPr>
            <w:r>
              <w:rPr>
                <w:rFonts w:hint="eastAsia" w:ascii="仿宋_GB2312" w:eastAsia="仿宋_GB2312"/>
                <w:kern w:val="0"/>
                <w:sz w:val="24"/>
                <w:szCs w:val="21"/>
              </w:rPr>
              <w:t>所在县、区</w:t>
            </w:r>
          </w:p>
        </w:tc>
        <w:tc>
          <w:tcPr>
            <w:tcW w:w="901" w:type="dxa"/>
            <w:tcBorders>
              <w:left w:val="single" w:color="auto" w:sz="4" w:space="0"/>
            </w:tcBorders>
            <w:vAlign w:val="center"/>
          </w:tcPr>
          <w:p>
            <w:pPr>
              <w:spacing w:line="240" w:lineRule="exact"/>
              <w:jc w:val="center"/>
              <w:rPr>
                <w:rFonts w:ascii="仿宋_GB2312" w:eastAsia="仿宋_GB2312"/>
                <w:kern w:val="0"/>
                <w:sz w:val="24"/>
                <w:szCs w:val="21"/>
              </w:rPr>
            </w:pPr>
            <w:r>
              <w:rPr>
                <w:rFonts w:hint="eastAsia" w:ascii="仿宋_GB2312" w:eastAsia="仿宋_GB2312"/>
                <w:kern w:val="0"/>
                <w:sz w:val="24"/>
                <w:szCs w:val="21"/>
              </w:rPr>
              <w:t>移送部门</w:t>
            </w:r>
          </w:p>
        </w:tc>
        <w:tc>
          <w:tcPr>
            <w:tcW w:w="850" w:type="dxa"/>
            <w:vAlign w:val="center"/>
          </w:tcPr>
          <w:p>
            <w:pPr>
              <w:spacing w:line="240" w:lineRule="exact"/>
              <w:jc w:val="center"/>
              <w:rPr>
                <w:rFonts w:ascii="仿宋_GB2312" w:eastAsia="仿宋_GB2312"/>
                <w:kern w:val="0"/>
                <w:sz w:val="24"/>
                <w:szCs w:val="21"/>
              </w:rPr>
            </w:pPr>
            <w:r>
              <w:rPr>
                <w:rFonts w:hint="eastAsia" w:ascii="仿宋_GB2312" w:eastAsia="仿宋_GB2312"/>
                <w:kern w:val="0"/>
                <w:sz w:val="24"/>
                <w:szCs w:val="21"/>
              </w:rPr>
              <w:t>移送时间</w:t>
            </w:r>
          </w:p>
        </w:tc>
        <w:tc>
          <w:tcPr>
            <w:tcW w:w="1276" w:type="dxa"/>
            <w:vAlign w:val="center"/>
          </w:tcPr>
          <w:p>
            <w:pPr>
              <w:spacing w:line="240" w:lineRule="exact"/>
              <w:jc w:val="center"/>
              <w:rPr>
                <w:rFonts w:ascii="仿宋_GB2312" w:eastAsia="仿宋_GB2312"/>
                <w:kern w:val="0"/>
                <w:sz w:val="24"/>
              </w:rPr>
            </w:pPr>
            <w:r>
              <w:rPr>
                <w:rFonts w:hint="eastAsia" w:ascii="仿宋_GB2312" w:eastAsia="仿宋_GB2312"/>
                <w:kern w:val="0"/>
                <w:sz w:val="24"/>
              </w:rPr>
              <w:t>线索来源</w:t>
            </w:r>
          </w:p>
        </w:tc>
        <w:tc>
          <w:tcPr>
            <w:tcW w:w="1134" w:type="dxa"/>
            <w:vAlign w:val="center"/>
          </w:tcPr>
          <w:p>
            <w:pPr>
              <w:spacing w:line="240" w:lineRule="exact"/>
              <w:jc w:val="center"/>
              <w:rPr>
                <w:rFonts w:ascii="仿宋_GB2312" w:eastAsia="仿宋_GB2312"/>
                <w:kern w:val="0"/>
                <w:sz w:val="24"/>
              </w:rPr>
            </w:pPr>
            <w:r>
              <w:rPr>
                <w:rFonts w:hint="eastAsia" w:ascii="仿宋_GB2312" w:eastAsia="仿宋_GB2312"/>
                <w:kern w:val="0"/>
                <w:sz w:val="24"/>
              </w:rPr>
              <w:t>涉嫌人员/部门</w:t>
            </w:r>
          </w:p>
        </w:tc>
        <w:tc>
          <w:tcPr>
            <w:tcW w:w="1518" w:type="dxa"/>
            <w:vAlign w:val="center"/>
          </w:tcPr>
          <w:p>
            <w:pPr>
              <w:spacing w:line="240" w:lineRule="exact"/>
              <w:jc w:val="center"/>
              <w:rPr>
                <w:rFonts w:ascii="仿宋_GB2312" w:eastAsia="仿宋_GB2312"/>
                <w:kern w:val="0"/>
                <w:sz w:val="24"/>
              </w:rPr>
            </w:pPr>
            <w:r>
              <w:rPr>
                <w:rFonts w:hint="eastAsia" w:ascii="仿宋_GB2312" w:eastAsia="仿宋_GB2312"/>
                <w:kern w:val="0"/>
                <w:sz w:val="24"/>
              </w:rPr>
              <w:t>发现的问题</w:t>
            </w:r>
          </w:p>
        </w:tc>
        <w:tc>
          <w:tcPr>
            <w:tcW w:w="1317" w:type="dxa"/>
            <w:vAlign w:val="center"/>
          </w:tcPr>
          <w:p>
            <w:pPr>
              <w:spacing w:line="240" w:lineRule="exact"/>
              <w:jc w:val="center"/>
              <w:rPr>
                <w:rFonts w:ascii="仿宋_GB2312" w:eastAsia="仿宋_GB2312"/>
                <w:kern w:val="0"/>
                <w:sz w:val="24"/>
              </w:rPr>
            </w:pPr>
            <w:r>
              <w:rPr>
                <w:rFonts w:hint="eastAsia" w:ascii="仿宋_GB2312" w:eastAsia="仿宋_GB2312"/>
                <w:kern w:val="0"/>
                <w:sz w:val="24"/>
              </w:rPr>
              <w:t>问题性质</w:t>
            </w:r>
          </w:p>
        </w:tc>
        <w:tc>
          <w:tcPr>
            <w:tcW w:w="1376" w:type="dxa"/>
            <w:vAlign w:val="center"/>
          </w:tcPr>
          <w:p>
            <w:pPr>
              <w:spacing w:line="240" w:lineRule="exact"/>
              <w:jc w:val="center"/>
              <w:rPr>
                <w:rFonts w:ascii="仿宋_GB2312" w:eastAsia="仿宋_GB2312"/>
                <w:kern w:val="0"/>
                <w:sz w:val="24"/>
              </w:rPr>
            </w:pPr>
            <w:r>
              <w:rPr>
                <w:rFonts w:hint="eastAsia" w:ascii="仿宋_GB2312" w:eastAsia="仿宋_GB2312"/>
                <w:kern w:val="0"/>
                <w:sz w:val="24"/>
              </w:rPr>
              <w:t>接受部门</w:t>
            </w:r>
          </w:p>
        </w:tc>
        <w:tc>
          <w:tcPr>
            <w:tcW w:w="1418" w:type="dxa"/>
            <w:vAlign w:val="center"/>
          </w:tcPr>
          <w:p>
            <w:pPr>
              <w:spacing w:line="240" w:lineRule="exact"/>
              <w:jc w:val="center"/>
              <w:rPr>
                <w:rFonts w:ascii="仿宋_GB2312" w:eastAsia="仿宋_GB2312"/>
                <w:kern w:val="0"/>
                <w:sz w:val="24"/>
              </w:rPr>
            </w:pPr>
            <w:r>
              <w:rPr>
                <w:rFonts w:hint="eastAsia" w:ascii="仿宋_GB2312" w:eastAsia="仿宋_GB2312"/>
                <w:kern w:val="0"/>
                <w:sz w:val="24"/>
              </w:rPr>
              <w:t>查实情况</w:t>
            </w:r>
          </w:p>
        </w:tc>
        <w:tc>
          <w:tcPr>
            <w:tcW w:w="1417" w:type="dxa"/>
            <w:vAlign w:val="center"/>
          </w:tcPr>
          <w:p>
            <w:pPr>
              <w:spacing w:line="240" w:lineRule="exact"/>
              <w:jc w:val="center"/>
              <w:rPr>
                <w:rFonts w:ascii="仿宋_GB2312" w:eastAsia="仿宋_GB2312"/>
                <w:kern w:val="0"/>
                <w:sz w:val="24"/>
              </w:rPr>
            </w:pPr>
            <w:r>
              <w:rPr>
                <w:rFonts w:hint="eastAsia" w:ascii="仿宋_GB2312" w:eastAsia="仿宋_GB2312"/>
                <w:kern w:val="0"/>
                <w:sz w:val="24"/>
              </w:rPr>
              <w:t>是否立案</w:t>
            </w:r>
          </w:p>
        </w:tc>
        <w:tc>
          <w:tcPr>
            <w:tcW w:w="1459" w:type="dxa"/>
            <w:vAlign w:val="center"/>
          </w:tcPr>
          <w:p>
            <w:pPr>
              <w:spacing w:line="240" w:lineRule="exact"/>
              <w:jc w:val="center"/>
              <w:rPr>
                <w:rFonts w:ascii="仿宋_GB2312" w:eastAsia="仿宋_GB2312"/>
                <w:kern w:val="0"/>
                <w:sz w:val="24"/>
              </w:rPr>
            </w:pPr>
            <w:r>
              <w:rPr>
                <w:rFonts w:hint="eastAsia" w:ascii="仿宋_GB2312" w:eastAsia="仿宋_GB2312"/>
                <w:kern w:val="0"/>
                <w:sz w:val="24"/>
              </w:rPr>
              <w:t>处理/处分情况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596" w:type="dxa"/>
            <w:vAlign w:val="center"/>
          </w:tcPr>
          <w:p>
            <w:pPr>
              <w:spacing w:line="280" w:lineRule="exact"/>
              <w:jc w:val="center"/>
              <w:rPr>
                <w:rFonts w:ascii="仿宋_GB2312" w:eastAsia="仿宋_GB2312"/>
                <w:kern w:val="0"/>
                <w:sz w:val="24"/>
                <w:szCs w:val="21"/>
              </w:rPr>
            </w:pPr>
          </w:p>
        </w:tc>
        <w:tc>
          <w:tcPr>
            <w:tcW w:w="901" w:type="dxa"/>
            <w:vAlign w:val="center"/>
          </w:tcPr>
          <w:p>
            <w:pPr>
              <w:spacing w:line="280" w:lineRule="exact"/>
              <w:jc w:val="center"/>
              <w:rPr>
                <w:rFonts w:ascii="仿宋_GB2312" w:eastAsia="仿宋_GB2312"/>
                <w:kern w:val="0"/>
                <w:sz w:val="24"/>
                <w:szCs w:val="21"/>
              </w:rPr>
            </w:pPr>
          </w:p>
        </w:tc>
        <w:tc>
          <w:tcPr>
            <w:tcW w:w="850" w:type="dxa"/>
            <w:vAlign w:val="center"/>
          </w:tcPr>
          <w:p>
            <w:pPr>
              <w:spacing w:line="280" w:lineRule="exact"/>
              <w:jc w:val="center"/>
              <w:rPr>
                <w:rFonts w:ascii="仿宋_GB2312" w:eastAsia="仿宋_GB2312"/>
                <w:kern w:val="0"/>
                <w:sz w:val="24"/>
                <w:szCs w:val="21"/>
              </w:rPr>
            </w:pPr>
          </w:p>
        </w:tc>
        <w:tc>
          <w:tcPr>
            <w:tcW w:w="1276" w:type="dxa"/>
            <w:vAlign w:val="center"/>
          </w:tcPr>
          <w:p>
            <w:pPr>
              <w:spacing w:line="280" w:lineRule="exact"/>
              <w:jc w:val="center"/>
              <w:rPr>
                <w:rFonts w:ascii="仿宋_GB2312" w:eastAsia="仿宋_GB2312"/>
                <w:kern w:val="0"/>
                <w:sz w:val="24"/>
                <w:szCs w:val="21"/>
              </w:rPr>
            </w:pPr>
          </w:p>
        </w:tc>
        <w:tc>
          <w:tcPr>
            <w:tcW w:w="1134" w:type="dxa"/>
            <w:vAlign w:val="center"/>
          </w:tcPr>
          <w:p>
            <w:pPr>
              <w:spacing w:line="280" w:lineRule="exact"/>
              <w:jc w:val="center"/>
              <w:rPr>
                <w:rFonts w:ascii="仿宋_GB2312" w:hAnsi="仿宋_GB2312" w:eastAsia="仿宋_GB2312" w:cs="仿宋_GB2312"/>
                <w:kern w:val="0"/>
                <w:sz w:val="24"/>
                <w:szCs w:val="21"/>
              </w:rPr>
            </w:pPr>
          </w:p>
        </w:tc>
        <w:tc>
          <w:tcPr>
            <w:tcW w:w="1518" w:type="dxa"/>
            <w:vAlign w:val="center"/>
          </w:tcPr>
          <w:p>
            <w:pPr>
              <w:spacing w:line="280" w:lineRule="exact"/>
              <w:jc w:val="center"/>
              <w:rPr>
                <w:rFonts w:ascii="仿宋_GB2312" w:eastAsia="仿宋_GB2312"/>
                <w:kern w:val="0"/>
                <w:sz w:val="24"/>
                <w:szCs w:val="21"/>
              </w:rPr>
            </w:pPr>
          </w:p>
        </w:tc>
        <w:tc>
          <w:tcPr>
            <w:tcW w:w="1317" w:type="dxa"/>
            <w:vAlign w:val="center"/>
          </w:tcPr>
          <w:p>
            <w:pPr>
              <w:spacing w:line="280" w:lineRule="exact"/>
              <w:jc w:val="center"/>
              <w:rPr>
                <w:rFonts w:ascii="仿宋_GB2312" w:eastAsia="仿宋_GB2312"/>
                <w:kern w:val="0"/>
                <w:sz w:val="24"/>
                <w:szCs w:val="21"/>
              </w:rPr>
            </w:pPr>
          </w:p>
        </w:tc>
        <w:tc>
          <w:tcPr>
            <w:tcW w:w="1376" w:type="dxa"/>
            <w:vAlign w:val="center"/>
          </w:tcPr>
          <w:p>
            <w:pPr>
              <w:spacing w:line="280" w:lineRule="exact"/>
              <w:jc w:val="center"/>
              <w:rPr>
                <w:rFonts w:ascii="仿宋_GB2312" w:hAnsi="仿宋_GB2312" w:eastAsia="仿宋_GB2312" w:cs="仿宋_GB2312"/>
                <w:kern w:val="0"/>
                <w:sz w:val="24"/>
                <w:szCs w:val="21"/>
              </w:rPr>
            </w:pPr>
          </w:p>
        </w:tc>
        <w:tc>
          <w:tcPr>
            <w:tcW w:w="1418" w:type="dxa"/>
            <w:vAlign w:val="center"/>
          </w:tcPr>
          <w:p>
            <w:pPr>
              <w:spacing w:line="240" w:lineRule="exact"/>
              <w:jc w:val="center"/>
              <w:rPr>
                <w:rFonts w:ascii="仿宋_GB2312" w:eastAsia="仿宋_GB2312"/>
                <w:kern w:val="0"/>
                <w:sz w:val="24"/>
                <w:szCs w:val="21"/>
              </w:rPr>
            </w:pPr>
          </w:p>
        </w:tc>
        <w:tc>
          <w:tcPr>
            <w:tcW w:w="1417" w:type="dxa"/>
            <w:vAlign w:val="center"/>
          </w:tcPr>
          <w:p>
            <w:pPr>
              <w:spacing w:line="240" w:lineRule="exact"/>
              <w:jc w:val="center"/>
              <w:rPr>
                <w:rFonts w:ascii="仿宋_GB2312" w:eastAsia="仿宋_GB2312"/>
                <w:kern w:val="0"/>
                <w:sz w:val="24"/>
                <w:szCs w:val="21"/>
              </w:rPr>
            </w:pPr>
          </w:p>
        </w:tc>
        <w:tc>
          <w:tcPr>
            <w:tcW w:w="1459" w:type="dxa"/>
            <w:vAlign w:val="center"/>
          </w:tcPr>
          <w:p>
            <w:pPr>
              <w:spacing w:line="240" w:lineRule="exact"/>
              <w:jc w:val="center"/>
              <w:rPr>
                <w:rFonts w:ascii="仿宋_GB2312" w:eastAsia="仿宋_GB2312"/>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96" w:type="dxa"/>
            <w:tcBorders>
              <w:bottom w:val="single" w:color="auto" w:sz="4" w:space="0"/>
            </w:tcBorders>
            <w:vAlign w:val="center"/>
          </w:tcPr>
          <w:p>
            <w:pPr>
              <w:spacing w:line="280" w:lineRule="exact"/>
              <w:jc w:val="center"/>
              <w:rPr>
                <w:rFonts w:ascii="仿宋_GB2312" w:eastAsia="仿宋_GB2312"/>
                <w:kern w:val="0"/>
                <w:sz w:val="24"/>
                <w:szCs w:val="21"/>
              </w:rPr>
            </w:pPr>
          </w:p>
        </w:tc>
        <w:tc>
          <w:tcPr>
            <w:tcW w:w="901" w:type="dxa"/>
            <w:vAlign w:val="center"/>
          </w:tcPr>
          <w:p>
            <w:pPr>
              <w:spacing w:line="280" w:lineRule="exact"/>
              <w:jc w:val="center"/>
              <w:rPr>
                <w:rFonts w:ascii="仿宋_GB2312" w:eastAsia="仿宋_GB2312"/>
                <w:kern w:val="0"/>
                <w:sz w:val="24"/>
                <w:szCs w:val="21"/>
              </w:rPr>
            </w:pPr>
          </w:p>
        </w:tc>
        <w:tc>
          <w:tcPr>
            <w:tcW w:w="850" w:type="dxa"/>
            <w:vAlign w:val="center"/>
          </w:tcPr>
          <w:p>
            <w:pPr>
              <w:spacing w:line="280" w:lineRule="exact"/>
              <w:jc w:val="center"/>
              <w:rPr>
                <w:rFonts w:ascii="仿宋_GB2312" w:eastAsia="仿宋_GB2312"/>
                <w:kern w:val="0"/>
                <w:sz w:val="24"/>
                <w:szCs w:val="21"/>
              </w:rPr>
            </w:pPr>
          </w:p>
        </w:tc>
        <w:tc>
          <w:tcPr>
            <w:tcW w:w="1276" w:type="dxa"/>
            <w:vAlign w:val="center"/>
          </w:tcPr>
          <w:p>
            <w:pPr>
              <w:spacing w:line="280" w:lineRule="exact"/>
              <w:jc w:val="center"/>
              <w:rPr>
                <w:rFonts w:ascii="仿宋_GB2312" w:eastAsia="仿宋_GB2312"/>
                <w:kern w:val="0"/>
                <w:sz w:val="24"/>
                <w:szCs w:val="21"/>
              </w:rPr>
            </w:pPr>
          </w:p>
        </w:tc>
        <w:tc>
          <w:tcPr>
            <w:tcW w:w="1134" w:type="dxa"/>
            <w:vAlign w:val="center"/>
          </w:tcPr>
          <w:p>
            <w:pPr>
              <w:spacing w:line="280" w:lineRule="exact"/>
              <w:jc w:val="center"/>
              <w:rPr>
                <w:rFonts w:ascii="仿宋_GB2312" w:hAnsi="仿宋_GB2312" w:eastAsia="仿宋_GB2312" w:cs="仿宋_GB2312"/>
                <w:kern w:val="0"/>
                <w:sz w:val="24"/>
                <w:szCs w:val="21"/>
              </w:rPr>
            </w:pPr>
          </w:p>
        </w:tc>
        <w:tc>
          <w:tcPr>
            <w:tcW w:w="1518" w:type="dxa"/>
            <w:vAlign w:val="center"/>
          </w:tcPr>
          <w:p>
            <w:pPr>
              <w:spacing w:line="280" w:lineRule="exact"/>
              <w:jc w:val="center"/>
              <w:rPr>
                <w:rFonts w:ascii="仿宋_GB2312" w:eastAsia="仿宋_GB2312"/>
                <w:kern w:val="0"/>
                <w:sz w:val="24"/>
                <w:szCs w:val="21"/>
              </w:rPr>
            </w:pPr>
          </w:p>
        </w:tc>
        <w:tc>
          <w:tcPr>
            <w:tcW w:w="1317" w:type="dxa"/>
            <w:vAlign w:val="center"/>
          </w:tcPr>
          <w:p>
            <w:pPr>
              <w:spacing w:line="280" w:lineRule="exact"/>
              <w:jc w:val="center"/>
              <w:rPr>
                <w:rFonts w:ascii="仿宋_GB2312" w:eastAsia="仿宋_GB2312"/>
                <w:kern w:val="0"/>
                <w:sz w:val="24"/>
                <w:szCs w:val="21"/>
              </w:rPr>
            </w:pPr>
          </w:p>
        </w:tc>
        <w:tc>
          <w:tcPr>
            <w:tcW w:w="1376" w:type="dxa"/>
            <w:vAlign w:val="center"/>
          </w:tcPr>
          <w:p>
            <w:pPr>
              <w:spacing w:line="280" w:lineRule="exact"/>
              <w:jc w:val="center"/>
              <w:rPr>
                <w:rFonts w:ascii="仿宋_GB2312" w:hAnsi="仿宋_GB2312" w:eastAsia="仿宋_GB2312" w:cs="仿宋_GB2312"/>
                <w:kern w:val="0"/>
                <w:sz w:val="24"/>
                <w:szCs w:val="21"/>
              </w:rPr>
            </w:pPr>
          </w:p>
        </w:tc>
        <w:tc>
          <w:tcPr>
            <w:tcW w:w="1418" w:type="dxa"/>
            <w:vAlign w:val="center"/>
          </w:tcPr>
          <w:p>
            <w:pPr>
              <w:spacing w:line="240" w:lineRule="exact"/>
              <w:jc w:val="center"/>
              <w:rPr>
                <w:rFonts w:ascii="仿宋_GB2312" w:eastAsia="仿宋_GB2312"/>
                <w:kern w:val="0"/>
                <w:sz w:val="24"/>
                <w:szCs w:val="21"/>
              </w:rPr>
            </w:pPr>
          </w:p>
        </w:tc>
        <w:tc>
          <w:tcPr>
            <w:tcW w:w="1417" w:type="dxa"/>
            <w:vAlign w:val="center"/>
          </w:tcPr>
          <w:p>
            <w:pPr>
              <w:spacing w:line="240" w:lineRule="exact"/>
              <w:jc w:val="center"/>
              <w:rPr>
                <w:rFonts w:ascii="仿宋_GB2312" w:eastAsia="仿宋_GB2312"/>
                <w:kern w:val="0"/>
                <w:sz w:val="24"/>
                <w:szCs w:val="21"/>
              </w:rPr>
            </w:pPr>
          </w:p>
        </w:tc>
        <w:tc>
          <w:tcPr>
            <w:tcW w:w="1459" w:type="dxa"/>
            <w:vAlign w:val="center"/>
          </w:tcPr>
          <w:p>
            <w:pPr>
              <w:spacing w:line="240" w:lineRule="exact"/>
              <w:jc w:val="center"/>
              <w:rPr>
                <w:rFonts w:ascii="仿宋_GB2312" w:eastAsia="仿宋_GB2312"/>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4" w:hRule="atLeast"/>
          <w:jc w:val="center"/>
        </w:trPr>
        <w:tc>
          <w:tcPr>
            <w:tcW w:w="14262" w:type="dxa"/>
            <w:gridSpan w:val="11"/>
            <w:vAlign w:val="center"/>
          </w:tcPr>
          <w:p>
            <w:pPr>
              <w:spacing w:line="360" w:lineRule="exact"/>
              <w:rPr>
                <w:rFonts w:ascii="仿宋_GB2312" w:eastAsia="仿宋_GB2312"/>
                <w:kern w:val="0"/>
                <w:sz w:val="24"/>
              </w:rPr>
            </w:pPr>
            <w:r>
              <w:rPr>
                <w:rFonts w:hint="eastAsia" w:ascii="仿宋_GB2312" w:eastAsia="仿宋_GB2312"/>
                <w:kern w:val="0"/>
                <w:sz w:val="24"/>
              </w:rPr>
              <w:t>第一栏“所在市（州）”，填写线索移送所在市（州）名称。</w:t>
            </w:r>
          </w:p>
          <w:p>
            <w:pPr>
              <w:spacing w:line="360" w:lineRule="exact"/>
              <w:rPr>
                <w:rFonts w:ascii="仿宋_GB2312" w:eastAsia="仿宋_GB2312"/>
                <w:kern w:val="0"/>
                <w:sz w:val="24"/>
              </w:rPr>
            </w:pPr>
            <w:r>
              <w:rPr>
                <w:rFonts w:hint="eastAsia" w:ascii="仿宋_GB2312" w:eastAsia="仿宋_GB2312"/>
                <w:kern w:val="0"/>
                <w:sz w:val="24"/>
              </w:rPr>
              <w:t>第二栏“移送部门”，填写移送线索案件的具体行政部门。</w:t>
            </w:r>
          </w:p>
          <w:p>
            <w:pPr>
              <w:spacing w:line="360" w:lineRule="exact"/>
              <w:rPr>
                <w:rFonts w:ascii="仿宋_GB2312" w:eastAsia="仿宋_GB2312"/>
                <w:kern w:val="0"/>
                <w:sz w:val="24"/>
              </w:rPr>
            </w:pPr>
            <w:r>
              <w:rPr>
                <w:rFonts w:hint="eastAsia" w:ascii="仿宋_GB2312" w:eastAsia="仿宋_GB2312"/>
                <w:kern w:val="0"/>
                <w:sz w:val="24"/>
              </w:rPr>
              <w:t>第三栏“移送时间”，用数字填写如：</w:t>
            </w:r>
            <w:r>
              <w:rPr>
                <w:rFonts w:hint="default" w:ascii="Times New Roman" w:hAnsi="Times New Roman" w:eastAsia="仿宋_GB2312" w:cs="Times New Roman"/>
                <w:kern w:val="0"/>
                <w:sz w:val="24"/>
              </w:rPr>
              <w:t>2024</w:t>
            </w:r>
            <w:r>
              <w:rPr>
                <w:rFonts w:hint="eastAsia" w:ascii="仿宋_GB2312" w:eastAsia="仿宋_GB2312"/>
                <w:kern w:val="0"/>
                <w:sz w:val="24"/>
              </w:rPr>
              <w:t>.</w:t>
            </w:r>
            <w:r>
              <w:rPr>
                <w:rFonts w:hint="default" w:ascii="Times New Roman" w:hAnsi="Times New Roman" w:eastAsia="仿宋_GB2312" w:cs="Times New Roman"/>
                <w:kern w:val="0"/>
                <w:sz w:val="24"/>
              </w:rPr>
              <w:t>3</w:t>
            </w:r>
            <w:r>
              <w:rPr>
                <w:rFonts w:hint="eastAsia" w:ascii="仿宋_GB2312" w:eastAsia="仿宋_GB2312"/>
                <w:kern w:val="0"/>
                <w:sz w:val="24"/>
              </w:rPr>
              <w:t>.</w:t>
            </w:r>
            <w:r>
              <w:rPr>
                <w:rFonts w:hint="default" w:ascii="Times New Roman" w:hAnsi="Times New Roman" w:eastAsia="仿宋_GB2312" w:cs="Times New Roman"/>
                <w:kern w:val="0"/>
                <w:sz w:val="24"/>
              </w:rPr>
              <w:t>19</w:t>
            </w:r>
            <w:r>
              <w:rPr>
                <w:rFonts w:hint="eastAsia" w:ascii="仿宋_GB2312" w:eastAsia="仿宋_GB2312"/>
                <w:kern w:val="0"/>
                <w:sz w:val="24"/>
              </w:rPr>
              <w:t>。</w:t>
            </w:r>
          </w:p>
          <w:p>
            <w:pPr>
              <w:spacing w:line="360" w:lineRule="exact"/>
              <w:rPr>
                <w:rFonts w:ascii="仿宋_GB2312" w:eastAsia="仿宋_GB2312"/>
                <w:kern w:val="0"/>
                <w:sz w:val="24"/>
              </w:rPr>
            </w:pPr>
            <w:r>
              <w:rPr>
                <w:rFonts w:hint="eastAsia" w:ascii="仿宋_GB2312" w:eastAsia="仿宋_GB2312"/>
                <w:kern w:val="0"/>
                <w:sz w:val="24"/>
              </w:rPr>
              <w:t>第四栏“线索来源”，可以填写“XXX 专项工作检查”“投诉举报”“媒体报道”等。</w:t>
            </w:r>
          </w:p>
          <w:p>
            <w:pPr>
              <w:spacing w:line="360" w:lineRule="exact"/>
              <w:rPr>
                <w:rFonts w:ascii="仿宋_GB2312" w:eastAsia="仿宋_GB2312"/>
                <w:kern w:val="0"/>
                <w:sz w:val="24"/>
              </w:rPr>
            </w:pPr>
            <w:r>
              <w:rPr>
                <w:rFonts w:hint="eastAsia" w:ascii="仿宋_GB2312" w:eastAsia="仿宋_GB2312"/>
                <w:kern w:val="0"/>
                <w:sz w:val="24"/>
              </w:rPr>
              <w:t xml:space="preserve">第五栏“涉嫌人员/部门”，填写涉嫌违法违纪的公职人员（填写到单位、部门、职务和姓名），其他具有中国共产党党员身份的人员，具体到单位、职务和姓名。 </w:t>
            </w:r>
          </w:p>
          <w:p>
            <w:pPr>
              <w:spacing w:line="360" w:lineRule="exact"/>
              <w:rPr>
                <w:rFonts w:ascii="仿宋_GB2312" w:eastAsia="仿宋_GB2312"/>
                <w:kern w:val="0"/>
                <w:sz w:val="24"/>
              </w:rPr>
            </w:pPr>
            <w:r>
              <w:rPr>
                <w:rFonts w:hint="eastAsia" w:ascii="仿宋_GB2312" w:eastAsia="仿宋_GB2312"/>
                <w:kern w:val="0"/>
                <w:sz w:val="24"/>
              </w:rPr>
              <w:t>第六栏“发现的问题”，填写“接受宴请”“违规审批”“索要财物”“收受贿赂”等。</w:t>
            </w:r>
          </w:p>
          <w:p>
            <w:pPr>
              <w:spacing w:line="360" w:lineRule="exact"/>
              <w:rPr>
                <w:rFonts w:ascii="仿宋_GB2312" w:eastAsia="仿宋_GB2312"/>
                <w:kern w:val="0"/>
                <w:sz w:val="24"/>
              </w:rPr>
            </w:pPr>
            <w:r>
              <w:rPr>
                <w:rFonts w:hint="eastAsia" w:ascii="仿宋_GB2312" w:eastAsia="仿宋_GB2312"/>
                <w:kern w:val="0"/>
                <w:sz w:val="24"/>
              </w:rPr>
              <w:t>第七栏“问题性质”，填写“失职失责”“涉嫌违反党纪”“涉嫌职务违法”“涉嫌职务犯罪”或“其他”。</w:t>
            </w:r>
          </w:p>
          <w:p>
            <w:pPr>
              <w:spacing w:line="360" w:lineRule="exact"/>
              <w:rPr>
                <w:rFonts w:ascii="仿宋_GB2312" w:eastAsia="仿宋_GB2312"/>
                <w:kern w:val="0"/>
                <w:sz w:val="24"/>
              </w:rPr>
            </w:pPr>
            <w:r>
              <w:rPr>
                <w:rFonts w:hint="eastAsia" w:ascii="仿宋_GB2312" w:eastAsia="仿宋_GB2312"/>
                <w:kern w:val="0"/>
                <w:sz w:val="24"/>
              </w:rPr>
              <w:t>第八栏“接收部门”，填写接受线索的具体纪检部门。</w:t>
            </w:r>
          </w:p>
          <w:p>
            <w:pPr>
              <w:spacing w:line="360" w:lineRule="exact"/>
              <w:rPr>
                <w:rFonts w:ascii="仿宋_GB2312" w:eastAsia="仿宋_GB2312"/>
                <w:kern w:val="0"/>
                <w:sz w:val="24"/>
              </w:rPr>
            </w:pPr>
            <w:r>
              <w:rPr>
                <w:rFonts w:hint="eastAsia" w:ascii="仿宋_GB2312" w:eastAsia="仿宋_GB2312"/>
                <w:kern w:val="0"/>
                <w:sz w:val="24"/>
              </w:rPr>
              <w:t>第九栏“查实情况”，填写线索移送后的调查情况。</w:t>
            </w:r>
          </w:p>
          <w:p>
            <w:pPr>
              <w:spacing w:line="360" w:lineRule="exact"/>
              <w:rPr>
                <w:rFonts w:ascii="仿宋_GB2312" w:eastAsia="仿宋_GB2312"/>
                <w:kern w:val="0"/>
                <w:sz w:val="24"/>
              </w:rPr>
            </w:pPr>
            <w:r>
              <w:rPr>
                <w:rFonts w:hint="eastAsia" w:ascii="仿宋_GB2312" w:eastAsia="仿宋_GB2312"/>
                <w:kern w:val="0"/>
                <w:sz w:val="24"/>
              </w:rPr>
              <w:t>第十栏 “是否立案”，是指纪检部门是否立案，填写“是”或者“否”。</w:t>
            </w:r>
          </w:p>
          <w:p>
            <w:pPr>
              <w:spacing w:line="360" w:lineRule="exact"/>
              <w:rPr>
                <w:rFonts w:ascii="仿宋_GB2312" w:eastAsia="仿宋_GB2312"/>
                <w:kern w:val="0"/>
                <w:sz w:val="24"/>
                <w:szCs w:val="21"/>
              </w:rPr>
            </w:pPr>
            <w:r>
              <w:rPr>
                <w:rFonts w:hint="eastAsia" w:ascii="仿宋_GB2312" w:eastAsia="仿宋_GB2312"/>
                <w:kern w:val="0"/>
                <w:sz w:val="24"/>
              </w:rPr>
              <w:t>第十一栏“处理/处分情况”，填写做出处置的纪检等部门对线索的处置情况。</w:t>
            </w:r>
          </w:p>
        </w:tc>
      </w:tr>
    </w:tbl>
    <w:p>
      <w:pPr>
        <w:spacing w:beforeAutospacing="0" w:line="240" w:lineRule="auto"/>
        <w:ind w:firstLine="320" w:firstLineChars="100"/>
        <w:rPr>
          <w:rFonts w:hint="eastAsia" w:ascii="Times New Roman" w:hAnsi="Times New Roman" w:eastAsia="仿宋_GB2312" w:cs="Times New Roman"/>
          <w:sz w:val="32"/>
          <w:szCs w:val="32"/>
        </w:rPr>
      </w:pPr>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B486C4B-00A4-4777-AB4E-A544C13BADCD}"/>
  </w:font>
  <w:font w:name="仿宋_GB2312">
    <w:panose1 w:val="02010609030101010101"/>
    <w:charset w:val="86"/>
    <w:family w:val="auto"/>
    <w:pitch w:val="default"/>
    <w:sig w:usb0="00000001" w:usb1="080E0000" w:usb2="00000000" w:usb3="00000000" w:csb0="00040000" w:csb1="00000000"/>
    <w:embedRegular r:id="rId2" w:fontKey="{9B46A969-5D30-4CD0-86AA-3C57EC94FE62}"/>
  </w:font>
  <w:font w:name="方正黑体简体">
    <w:panose1 w:val="03000509000000000000"/>
    <w:charset w:val="86"/>
    <w:family w:val="auto"/>
    <w:pitch w:val="default"/>
    <w:sig w:usb0="00000001" w:usb1="080E0000" w:usb2="00000000" w:usb3="00000000" w:csb0="00040000" w:csb1="00000000"/>
    <w:embedRegular r:id="rId3" w:fontKey="{0AFF4C74-9C43-4261-91CA-30B8B01BAB18}"/>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2S/1o9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jd3zKwvMlzhiNDtlUg&#10;q1L+H1D9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S/1o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YTBiNjg3MTc3OTI5NDI4YjExMGIzMmU1NjQzZmQifQ=="/>
    <w:docVar w:name="KGWebUrl" w:val="http://10.8.200.17:8899/seeyon/officeservlet"/>
  </w:docVars>
  <w:rsids>
    <w:rsidRoot w:val="5A924E56"/>
    <w:rsid w:val="00FF1C97"/>
    <w:rsid w:val="039A65F4"/>
    <w:rsid w:val="04CF7152"/>
    <w:rsid w:val="0A4800D1"/>
    <w:rsid w:val="0C5E6319"/>
    <w:rsid w:val="10DA5F85"/>
    <w:rsid w:val="113015F5"/>
    <w:rsid w:val="118D31D7"/>
    <w:rsid w:val="15C00432"/>
    <w:rsid w:val="16FE3EDE"/>
    <w:rsid w:val="19BD9010"/>
    <w:rsid w:val="1F795AB7"/>
    <w:rsid w:val="21564CC5"/>
    <w:rsid w:val="224419B2"/>
    <w:rsid w:val="230B60D3"/>
    <w:rsid w:val="236D0773"/>
    <w:rsid w:val="27A25897"/>
    <w:rsid w:val="2B134450"/>
    <w:rsid w:val="2E3C29CA"/>
    <w:rsid w:val="30926D86"/>
    <w:rsid w:val="34321327"/>
    <w:rsid w:val="37530E9A"/>
    <w:rsid w:val="37746AFD"/>
    <w:rsid w:val="37EF2397"/>
    <w:rsid w:val="39094DA7"/>
    <w:rsid w:val="3DF9F9D6"/>
    <w:rsid w:val="3F394C12"/>
    <w:rsid w:val="40BB4120"/>
    <w:rsid w:val="44C63AF1"/>
    <w:rsid w:val="48F12399"/>
    <w:rsid w:val="491B0ED5"/>
    <w:rsid w:val="4BD514C7"/>
    <w:rsid w:val="4C0162C8"/>
    <w:rsid w:val="4D7105B0"/>
    <w:rsid w:val="4FDB4513"/>
    <w:rsid w:val="516C0A71"/>
    <w:rsid w:val="51994605"/>
    <w:rsid w:val="51AA4AC3"/>
    <w:rsid w:val="5A924E56"/>
    <w:rsid w:val="5D9871FC"/>
    <w:rsid w:val="5DC8410A"/>
    <w:rsid w:val="5DFC351B"/>
    <w:rsid w:val="6F357D39"/>
    <w:rsid w:val="70263421"/>
    <w:rsid w:val="709E5592"/>
    <w:rsid w:val="722637A1"/>
    <w:rsid w:val="767D7FB3"/>
    <w:rsid w:val="77AFA8FD"/>
    <w:rsid w:val="795D6C79"/>
    <w:rsid w:val="7AC31230"/>
    <w:rsid w:val="7BFF839D"/>
    <w:rsid w:val="7D555024"/>
    <w:rsid w:val="7EAD57CA"/>
    <w:rsid w:val="7FBEE626"/>
    <w:rsid w:val="7FFFD7CF"/>
    <w:rsid w:val="92BCE7B6"/>
    <w:rsid w:val="BDF19478"/>
    <w:rsid w:val="EAF60BC7"/>
    <w:rsid w:val="EFFD7EC6"/>
    <w:rsid w:val="F77E3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autoRedefine/>
    <w:qFormat/>
    <w:uiPriority w:val="0"/>
  </w:style>
  <w:style w:type="character" w:styleId="10">
    <w:name w:val="Hyperlink"/>
    <w:basedOn w:val="8"/>
    <w:autoRedefine/>
    <w:qFormat/>
    <w:uiPriority w:val="0"/>
    <w:rPr>
      <w:color w:val="0000FF"/>
      <w:u w:val="single"/>
    </w:rPr>
  </w:style>
  <w:style w:type="paragraph" w:customStyle="1" w:styleId="11">
    <w:name w:val="TOC1"/>
    <w:basedOn w:val="1"/>
    <w:next w:val="1"/>
    <w:autoRedefine/>
    <w:unhideWhenUsed/>
    <w:qFormat/>
    <w:uiPriority w:val="0"/>
    <w:pPr>
      <w:snapToGrid w:val="0"/>
      <w:spacing w:beforeLines="0" w:afterLines="0" w:line="640" w:lineRule="exact"/>
      <w:ind w:firstLine="705"/>
    </w:pPr>
    <w:rPr>
      <w:rFonts w:hint="eastAsia" w:ascii="仿宋_GB2312" w:eastAsia="仿宋_GB2312"/>
      <w:color w:val="000000"/>
      <w:sz w:val="36"/>
      <w:szCs w:val="36"/>
    </w:rPr>
  </w:style>
  <w:style w:type="character" w:customStyle="1" w:styleId="12">
    <w:name w:val="ca-11"/>
    <w:autoRedefine/>
    <w:unhideWhenUsed/>
    <w:qFormat/>
    <w:uiPriority w:val="0"/>
    <w:rPr>
      <w:rFonts w:hint="eastAsia" w:ascii="仿宋_GB2312" w:hAnsi="Times New Roman" w:eastAsia="仿宋_GB2312"/>
      <w:sz w:val="28"/>
      <w:szCs w:val="24"/>
    </w:rPr>
  </w:style>
  <w:style w:type="paragraph" w:customStyle="1" w:styleId="13">
    <w:name w:val="常用样式（方正仿宋简）"/>
    <w:basedOn w:val="1"/>
    <w:autoRedefine/>
    <w:unhideWhenUsed/>
    <w:qFormat/>
    <w:uiPriority w:val="99"/>
    <w:pPr>
      <w:spacing w:beforeLines="0" w:afterLines="0" w:line="560" w:lineRule="exact"/>
      <w:ind w:firstLine="640" w:firstLineChars="200"/>
    </w:pPr>
    <w:rPr>
      <w:rFonts w:hint="eastAsia" w:ascii="Times New Roman" w:eastAsia="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1651</Words>
  <Characters>1683</Characters>
  <Lines>0</Lines>
  <Paragraphs>0</Paragraphs>
  <TotalTime>29</TotalTime>
  <ScaleCrop>false</ScaleCrop>
  <LinksUpToDate>false</LinksUpToDate>
  <CharactersWithSpaces>2063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2024-04-09T01:26:00Z</dcterms:created>
  <dc:creator>黄博</dc:creator>
  <cp:lastModifiedBy>WPS_428334989</cp:lastModifiedBy>
  <cp:lastPrinted>2024-04-23T01:39:00Z</cp:lastPrinted>
  <dcterms:modified xsi:type="dcterms:W3CDTF">2024-07-24T07:58:02Z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5D9EE2C881474FB69600264D7D02AC8A_13</vt:lpwstr>
  </property>
</Properties>
</file>