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78441"/>
      <w:bookmarkStart w:id="2" w:name="_Toc15396475"/>
      <w:bookmarkStart w:id="3" w:name="_Toc15396597"/>
      <w:bookmarkStart w:id="4" w:name="_Toc15377425"/>
      <w:bookmarkStart w:id="5" w:name="_Toc15377193"/>
      <w:r>
        <w:rPr>
          <w:rFonts w:hint="eastAsia" w:ascii="方正小标宋简体" w:hAnsi="方正小标宋简体" w:eastAsia="方正小标宋简体" w:cs="方正小标宋简体"/>
          <w:sz w:val="52"/>
          <w:szCs w:val="52"/>
        </w:rPr>
        <w:t>2023年度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78442"/>
      <w:bookmarkStart w:id="7" w:name="_Toc15377426"/>
      <w:bookmarkStart w:id="8" w:name="_Toc15377194"/>
      <w:bookmarkStart w:id="9" w:name="_Toc15396598"/>
      <w:bookmarkStart w:id="10" w:name="_Toc15396476"/>
      <w:r>
        <w:rPr>
          <w:rFonts w:hint="eastAsia" w:ascii="方正小标宋简体" w:hAnsi="方正小标宋简体" w:eastAsia="方正小标宋简体" w:cs="方正小标宋简体"/>
          <w:sz w:val="52"/>
          <w:szCs w:val="52"/>
        </w:rPr>
        <w:t>四川省</w:t>
      </w:r>
      <w:bookmarkEnd w:id="0"/>
      <w:bookmarkStart w:id="11" w:name="_Toc15306268"/>
      <w:r>
        <w:rPr>
          <w:rFonts w:hint="eastAsia" w:ascii="方正小标宋简体" w:hAnsi="方正小标宋简体" w:eastAsia="方正小标宋简体" w:cs="方正小标宋简体"/>
          <w:sz w:val="52"/>
          <w:szCs w:val="52"/>
        </w:rPr>
        <w:t>遂宁市安居区横山镇初级中学校单位决算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公开时间：2024年8月2</w:t>
      </w:r>
      <w:r>
        <w:rPr>
          <w:rFonts w:hint="eastAsia"/>
          <w:lang w:val="en-US" w:eastAsia="zh-CN"/>
        </w:rPr>
        <w:t>7</w:t>
      </w:r>
      <w:r>
        <w:rPr>
          <w:rFonts w:hint="eastAsia"/>
        </w:rPr>
        <w:t>日</w:t>
      </w:r>
    </w:p>
    <w:p/>
    <w:p>
      <w:pPr>
        <w:pStyle w:val="14"/>
        <w:adjustRightInd w:val="0"/>
        <w:snapToGrid w:val="0"/>
        <w:spacing w:before="0" w:line="440" w:lineRule="exact"/>
        <w:jc w:val="left"/>
        <w:rPr>
          <w:rFonts w:cstheme="minorBidi"/>
          <w:sz w:val="24"/>
          <w:szCs w:val="24"/>
        </w:rPr>
      </w:pPr>
      <w:r>
        <w:rPr>
          <w:rFonts w:hint="eastAsia"/>
          <w:b/>
        </w:rPr>
        <w:t>第一部分单位概况</w:t>
      </w:r>
      <w:r>
        <w:tab/>
      </w:r>
      <w:r>
        <w:rPr>
          <w:rFonts w:hint="eastAsia"/>
        </w:rPr>
        <w:t>4</w:t>
      </w:r>
    </w:p>
    <w:p>
      <w:pPr>
        <w:pStyle w:val="15"/>
        <w:adjustRightInd w:val="0"/>
        <w:snapToGrid w:val="0"/>
        <w:spacing w:line="440" w:lineRule="exact"/>
        <w:jc w:val="left"/>
        <w:rPr>
          <w:sz w:val="24"/>
        </w:rPr>
      </w:pPr>
      <w:r>
        <w:rPr>
          <w:rFonts w:hint="eastAsia"/>
          <w:sz w:val="24"/>
        </w:rPr>
        <w:t>一、主要职责</w:t>
      </w:r>
      <w:r>
        <w:tab/>
      </w:r>
      <w:r>
        <w:rPr>
          <w:rFonts w:hint="eastAsia"/>
        </w:rPr>
        <w:t>4</w:t>
      </w:r>
    </w:p>
    <w:p>
      <w:pPr>
        <w:pStyle w:val="15"/>
        <w:adjustRightInd w:val="0"/>
        <w:snapToGrid w:val="0"/>
        <w:spacing w:line="440" w:lineRule="exact"/>
        <w:jc w:val="left"/>
      </w:pPr>
      <w:r>
        <w:rPr>
          <w:rFonts w:hint="eastAsia"/>
          <w:sz w:val="24"/>
        </w:rPr>
        <w:t>二、机构设置</w:t>
      </w:r>
      <w:r>
        <w:tab/>
      </w:r>
      <w:r>
        <w:rPr>
          <w:rFonts w:hint="eastAsia"/>
        </w:rPr>
        <w:t>4</w:t>
      </w:r>
    </w:p>
    <w:p>
      <w:pPr>
        <w:pStyle w:val="14"/>
        <w:adjustRightInd w:val="0"/>
        <w:snapToGrid w:val="0"/>
        <w:spacing w:before="0" w:line="440" w:lineRule="exact"/>
        <w:jc w:val="left"/>
        <w:rPr>
          <w:sz w:val="24"/>
          <w:szCs w:val="24"/>
        </w:rPr>
      </w:pPr>
      <w:r>
        <w:rPr>
          <w:rFonts w:hint="eastAsia"/>
          <w:b/>
        </w:rPr>
        <w:t>第二部分</w:t>
      </w:r>
      <w:r>
        <w:rPr>
          <w:b/>
        </w:rPr>
        <w:t xml:space="preserve"> 2023年度单位决算情况说明</w:t>
      </w:r>
      <w:r>
        <w:tab/>
      </w:r>
      <w:r>
        <w:rPr>
          <w:rFonts w:hint="eastAsia"/>
        </w:rPr>
        <w:t>5</w:t>
      </w:r>
    </w:p>
    <w:p>
      <w:pPr>
        <w:pStyle w:val="15"/>
        <w:adjustRightInd w:val="0"/>
        <w:snapToGrid w:val="0"/>
        <w:spacing w:line="440" w:lineRule="exact"/>
        <w:jc w:val="left"/>
        <w:rPr>
          <w:rFonts w:ascii="仿宋" w:hAnsi="仿宋" w:eastAsia="仿宋" w:cstheme="minorBidi"/>
          <w:sz w:val="24"/>
        </w:rPr>
      </w:pPr>
      <w:r>
        <w:rPr>
          <w:rFonts w:hint="eastAsia"/>
          <w:sz w:val="24"/>
        </w:rPr>
        <w:t>一、收入支出决算总体情况说明</w:t>
      </w:r>
      <w:r>
        <w:tab/>
      </w:r>
      <w:r>
        <w:rPr>
          <w:rFonts w:hint="eastAsia"/>
        </w:rPr>
        <w:t>5</w:t>
      </w:r>
    </w:p>
    <w:p>
      <w:pPr>
        <w:pStyle w:val="15"/>
        <w:adjustRightInd w:val="0"/>
        <w:snapToGrid w:val="0"/>
        <w:spacing w:line="440" w:lineRule="exact"/>
        <w:jc w:val="left"/>
        <w:rPr>
          <w:rFonts w:ascii="仿宋" w:hAnsi="仿宋" w:eastAsia="仿宋" w:cstheme="minorBidi"/>
          <w:sz w:val="24"/>
        </w:rPr>
      </w:pPr>
      <w:r>
        <w:rPr>
          <w:rFonts w:hint="eastAsia"/>
          <w:sz w:val="24"/>
        </w:rPr>
        <w:t>二、收入决算情况说明</w:t>
      </w:r>
      <w:r>
        <w:tab/>
      </w:r>
      <w:r>
        <w:rPr>
          <w:rFonts w:hint="eastAsia"/>
        </w:rPr>
        <w:t>5</w:t>
      </w:r>
    </w:p>
    <w:p>
      <w:pPr>
        <w:pStyle w:val="15"/>
        <w:adjustRightInd w:val="0"/>
        <w:snapToGrid w:val="0"/>
        <w:spacing w:line="440" w:lineRule="exact"/>
        <w:jc w:val="left"/>
        <w:rPr>
          <w:rFonts w:ascii="仿宋" w:hAnsi="仿宋" w:eastAsia="仿宋" w:cstheme="minorBidi"/>
          <w:sz w:val="24"/>
        </w:rPr>
      </w:pPr>
      <w:r>
        <w:rPr>
          <w:rFonts w:hint="eastAsia"/>
          <w:sz w:val="24"/>
        </w:rPr>
        <w:t>三、支出决算情况说明</w:t>
      </w:r>
      <w:r>
        <w:tab/>
      </w:r>
      <w:r>
        <w:rPr>
          <w:rFonts w:hint="eastAsia"/>
        </w:rPr>
        <w:t>6</w:t>
      </w:r>
    </w:p>
    <w:p>
      <w:pPr>
        <w:pStyle w:val="15"/>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tab/>
      </w:r>
      <w:r>
        <w:rPr>
          <w:rFonts w:hint="eastAsia"/>
        </w:rPr>
        <w:t>7</w:t>
      </w:r>
    </w:p>
    <w:p>
      <w:pPr>
        <w:pStyle w:val="15"/>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tab/>
      </w:r>
      <w:r>
        <w:t>7</w:t>
      </w:r>
    </w:p>
    <w:p>
      <w:pPr>
        <w:pStyle w:val="15"/>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tab/>
      </w:r>
      <w:r>
        <w:rPr>
          <w:rFonts w:hint="eastAsia"/>
        </w:rPr>
        <w:t>9</w:t>
      </w:r>
    </w:p>
    <w:p>
      <w:pPr>
        <w:pStyle w:val="15"/>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tab/>
      </w:r>
      <w:r>
        <w:rPr>
          <w:rFonts w:hint="eastAsia"/>
        </w:rPr>
        <w:t>10</w:t>
      </w:r>
    </w:p>
    <w:p>
      <w:pPr>
        <w:pStyle w:val="15"/>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tab/>
      </w:r>
      <w:r>
        <w:rPr>
          <w:rFonts w:hint="eastAsia"/>
        </w:rPr>
        <w:t>1</w:t>
      </w:r>
      <w:r>
        <w:t>1</w:t>
      </w:r>
    </w:p>
    <w:p>
      <w:pPr>
        <w:pStyle w:val="15"/>
        <w:adjustRightInd w:val="0"/>
        <w:snapToGrid w:val="0"/>
        <w:spacing w:line="440" w:lineRule="exact"/>
        <w:jc w:val="left"/>
        <w:rPr>
          <w:sz w:val="24"/>
        </w:rPr>
      </w:pPr>
      <w:r>
        <w:rPr>
          <w:rFonts w:hint="eastAsia"/>
          <w:sz w:val="24"/>
        </w:rPr>
        <w:t>九、国有资本经营预算支出决算情况说明</w:t>
      </w:r>
      <w:r>
        <w:tab/>
      </w:r>
      <w:r>
        <w:rPr>
          <w:rFonts w:hint="eastAsia"/>
        </w:rPr>
        <w:t>1</w:t>
      </w:r>
      <w:r>
        <w:t>1</w:t>
      </w:r>
    </w:p>
    <w:p>
      <w:pPr>
        <w:pStyle w:val="15"/>
        <w:adjustRightInd w:val="0"/>
        <w:snapToGrid w:val="0"/>
        <w:spacing w:line="440" w:lineRule="exact"/>
        <w:jc w:val="left"/>
        <w:rPr>
          <w:sz w:val="24"/>
        </w:rPr>
      </w:pPr>
      <w:r>
        <w:rPr>
          <w:rFonts w:hint="eastAsia"/>
          <w:sz w:val="24"/>
        </w:rPr>
        <w:t>十、其他重要事项的情况说明</w:t>
      </w:r>
      <w:r>
        <w:tab/>
      </w:r>
      <w:r>
        <w:rPr>
          <w:rFonts w:hint="eastAsia"/>
        </w:rPr>
        <w:t>11</w:t>
      </w:r>
    </w:p>
    <w:p>
      <w:pPr>
        <w:pStyle w:val="14"/>
        <w:adjustRightInd w:val="0"/>
        <w:snapToGrid w:val="0"/>
        <w:spacing w:before="0" w:line="440" w:lineRule="exact"/>
        <w:jc w:val="left"/>
        <w:rPr>
          <w:rFonts w:cstheme="minorBidi"/>
          <w:sz w:val="24"/>
          <w:szCs w:val="24"/>
        </w:rPr>
      </w:pPr>
      <w:r>
        <w:rPr>
          <w:rFonts w:hint="eastAsia"/>
          <w:b/>
        </w:rPr>
        <w:t>第三部分名词解释</w:t>
      </w:r>
      <w:r>
        <w:tab/>
      </w:r>
      <w:r>
        <w:rPr>
          <w:rFonts w:hint="eastAsia"/>
        </w:rPr>
        <w:t>1</w:t>
      </w:r>
      <w:r>
        <w:t>3</w:t>
      </w:r>
    </w:p>
    <w:p>
      <w:pPr>
        <w:pStyle w:val="14"/>
        <w:adjustRightInd w:val="0"/>
        <w:snapToGrid w:val="0"/>
        <w:spacing w:before="0" w:line="440" w:lineRule="exact"/>
        <w:jc w:val="left"/>
        <w:rPr>
          <w:rFonts w:cstheme="minorBidi"/>
          <w:sz w:val="24"/>
          <w:szCs w:val="24"/>
        </w:rPr>
      </w:pPr>
      <w:r>
        <w:rPr>
          <w:rFonts w:hint="eastAsia"/>
          <w:b/>
        </w:rPr>
        <w:t>第四部分附件</w:t>
      </w:r>
      <w:r>
        <w:tab/>
      </w:r>
      <w:r>
        <w:rPr>
          <w:rFonts w:hint="eastAsia"/>
        </w:rPr>
        <w:t>1</w:t>
      </w:r>
      <w:r>
        <w:t>5</w:t>
      </w:r>
    </w:p>
    <w:p>
      <w:pPr>
        <w:pStyle w:val="14"/>
        <w:adjustRightInd w:val="0"/>
        <w:snapToGrid w:val="0"/>
        <w:spacing w:before="0" w:line="440" w:lineRule="exact"/>
        <w:jc w:val="left"/>
        <w:rPr>
          <w:rFonts w:cstheme="minorBidi"/>
          <w:sz w:val="24"/>
          <w:szCs w:val="24"/>
        </w:rPr>
      </w:pPr>
      <w:r>
        <w:rPr>
          <w:rFonts w:hint="eastAsia"/>
          <w:b/>
        </w:rPr>
        <w:t>第五部分附表</w:t>
      </w:r>
      <w:r>
        <w:tab/>
      </w:r>
      <w:r>
        <w:t>30</w:t>
      </w:r>
    </w:p>
    <w:p>
      <w:pPr>
        <w:pStyle w:val="15"/>
        <w:adjustRightInd w:val="0"/>
        <w:snapToGrid w:val="0"/>
        <w:spacing w:line="440" w:lineRule="exact"/>
        <w:jc w:val="left"/>
        <w:rPr>
          <w:sz w:val="24"/>
        </w:rPr>
      </w:pPr>
      <w:r>
        <w:rPr>
          <w:rFonts w:hint="eastAsia"/>
          <w:sz w:val="24"/>
        </w:rPr>
        <w:t>一、收入支出决算总表</w:t>
      </w:r>
    </w:p>
    <w:p>
      <w:pPr>
        <w:pStyle w:val="15"/>
        <w:adjustRightInd w:val="0"/>
        <w:snapToGrid w:val="0"/>
        <w:spacing w:line="440" w:lineRule="exact"/>
        <w:jc w:val="left"/>
        <w:rPr>
          <w:sz w:val="24"/>
        </w:rPr>
      </w:pPr>
      <w:r>
        <w:rPr>
          <w:rFonts w:hint="eastAsia"/>
          <w:sz w:val="24"/>
        </w:rPr>
        <w:t>二、收入决算表</w:t>
      </w:r>
    </w:p>
    <w:p>
      <w:pPr>
        <w:pStyle w:val="15"/>
        <w:adjustRightInd w:val="0"/>
        <w:snapToGrid w:val="0"/>
        <w:spacing w:line="440" w:lineRule="exact"/>
        <w:jc w:val="left"/>
        <w:rPr>
          <w:sz w:val="24"/>
        </w:rPr>
      </w:pPr>
      <w:r>
        <w:rPr>
          <w:rFonts w:hint="eastAsia"/>
          <w:sz w:val="24"/>
        </w:rPr>
        <w:t>三、支出决算表</w:t>
      </w:r>
    </w:p>
    <w:p>
      <w:pPr>
        <w:pStyle w:val="15"/>
        <w:adjustRightInd w:val="0"/>
        <w:snapToGrid w:val="0"/>
        <w:spacing w:line="440" w:lineRule="exact"/>
        <w:jc w:val="left"/>
        <w:rPr>
          <w:sz w:val="24"/>
        </w:rPr>
      </w:pPr>
      <w:r>
        <w:rPr>
          <w:rFonts w:hint="eastAsia"/>
          <w:sz w:val="24"/>
        </w:rPr>
        <w:t>四、财政拨款收入支出决算总表</w:t>
      </w:r>
    </w:p>
    <w:p>
      <w:pPr>
        <w:pStyle w:val="15"/>
        <w:adjustRightInd w:val="0"/>
        <w:snapToGrid w:val="0"/>
        <w:spacing w:line="440" w:lineRule="exact"/>
        <w:jc w:val="left"/>
        <w:rPr>
          <w:sz w:val="24"/>
        </w:rPr>
      </w:pPr>
      <w:r>
        <w:rPr>
          <w:rFonts w:hint="eastAsia"/>
          <w:sz w:val="24"/>
        </w:rPr>
        <w:t>五、财政拨款支出决算明细表</w:t>
      </w:r>
    </w:p>
    <w:p>
      <w:pPr>
        <w:pStyle w:val="15"/>
        <w:adjustRightInd w:val="0"/>
        <w:snapToGrid w:val="0"/>
        <w:spacing w:line="440" w:lineRule="exact"/>
        <w:jc w:val="left"/>
        <w:rPr>
          <w:sz w:val="24"/>
        </w:rPr>
      </w:pPr>
      <w:r>
        <w:rPr>
          <w:rFonts w:hint="eastAsia"/>
          <w:sz w:val="24"/>
        </w:rPr>
        <w:t>六、一般公共预算财政拨款支出决算表</w:t>
      </w:r>
    </w:p>
    <w:p>
      <w:pPr>
        <w:pStyle w:val="15"/>
        <w:adjustRightInd w:val="0"/>
        <w:snapToGrid w:val="0"/>
        <w:spacing w:line="440" w:lineRule="exact"/>
        <w:jc w:val="left"/>
        <w:rPr>
          <w:sz w:val="24"/>
        </w:rPr>
      </w:pPr>
      <w:r>
        <w:rPr>
          <w:rFonts w:hint="eastAsia"/>
          <w:sz w:val="24"/>
        </w:rPr>
        <w:t>七、一般公共预算财政拨款支出决算明细表</w:t>
      </w:r>
    </w:p>
    <w:p>
      <w:pPr>
        <w:pStyle w:val="15"/>
        <w:adjustRightInd w:val="0"/>
        <w:snapToGrid w:val="0"/>
        <w:spacing w:line="440" w:lineRule="exact"/>
        <w:jc w:val="left"/>
        <w:rPr>
          <w:sz w:val="24"/>
        </w:rPr>
      </w:pPr>
      <w:r>
        <w:rPr>
          <w:rFonts w:hint="eastAsia"/>
          <w:sz w:val="24"/>
        </w:rPr>
        <w:t>八、一般公共预算财政拨款基本支出决算明细表</w:t>
      </w:r>
    </w:p>
    <w:p>
      <w:pPr>
        <w:pStyle w:val="15"/>
        <w:adjustRightInd w:val="0"/>
        <w:snapToGrid w:val="0"/>
        <w:spacing w:line="440" w:lineRule="exact"/>
        <w:jc w:val="left"/>
        <w:rPr>
          <w:sz w:val="24"/>
        </w:rPr>
      </w:pPr>
      <w:r>
        <w:rPr>
          <w:rFonts w:hint="eastAsia"/>
          <w:sz w:val="24"/>
        </w:rPr>
        <w:t>九、一般公共预算财政拨款项目支出决算表</w:t>
      </w:r>
    </w:p>
    <w:p>
      <w:pPr>
        <w:pStyle w:val="15"/>
        <w:adjustRightInd w:val="0"/>
        <w:snapToGrid w:val="0"/>
        <w:spacing w:line="440" w:lineRule="exact"/>
        <w:jc w:val="left"/>
        <w:rPr>
          <w:sz w:val="24"/>
        </w:rPr>
      </w:pPr>
      <w:r>
        <w:rPr>
          <w:rFonts w:hint="eastAsia"/>
          <w:sz w:val="24"/>
        </w:rPr>
        <w:t>十、政府性基金预算财政拨款收入支出决算表</w:t>
      </w:r>
    </w:p>
    <w:p>
      <w:pPr>
        <w:pStyle w:val="15"/>
        <w:adjustRightInd w:val="0"/>
        <w:snapToGrid w:val="0"/>
        <w:spacing w:line="440" w:lineRule="exact"/>
        <w:jc w:val="left"/>
        <w:rPr>
          <w:sz w:val="24"/>
        </w:rPr>
      </w:pPr>
      <w:r>
        <w:rPr>
          <w:rFonts w:hint="eastAsia"/>
          <w:sz w:val="24"/>
        </w:rPr>
        <w:t>十一、国有资本经营预算财政拨款收入支出决算表</w:t>
      </w:r>
    </w:p>
    <w:p>
      <w:pPr>
        <w:pStyle w:val="15"/>
        <w:adjustRightInd w:val="0"/>
        <w:snapToGrid w:val="0"/>
        <w:spacing w:line="440" w:lineRule="exact"/>
        <w:jc w:val="left"/>
        <w:rPr>
          <w:sz w:val="24"/>
        </w:rPr>
      </w:pPr>
      <w:r>
        <w:rPr>
          <w:rFonts w:hint="eastAsia"/>
          <w:sz w:val="24"/>
        </w:rPr>
        <w:t>十二、国有资本经营预算财政拨款支出决算表</w:t>
      </w:r>
    </w:p>
    <w:p>
      <w:pPr>
        <w:pStyle w:val="15"/>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5"/>
        <w:jc w:val="center"/>
        <w:rPr>
          <w:rStyle w:val="30"/>
          <w:rFonts w:ascii="黑体" w:hAnsi="黑体" w:eastAsia="黑体"/>
          <w:b/>
          <w:bCs w:val="0"/>
        </w:rPr>
      </w:pPr>
      <w:r>
        <w:rPr>
          <w:rFonts w:hint="eastAsia" w:ascii="黑体" w:hAnsi="黑体" w:eastAsia="黑体"/>
          <w:b w:val="0"/>
        </w:rPr>
        <w:t>第一部分 单位</w:t>
      </w:r>
      <w:r>
        <w:rPr>
          <w:rStyle w:val="30"/>
          <w:rFonts w:hint="eastAsia" w:ascii="黑体" w:hAnsi="黑体" w:eastAsia="黑体"/>
          <w:b w:val="0"/>
          <w:bCs w:val="0"/>
        </w:rPr>
        <w:t>概况</w:t>
      </w:r>
      <w:bookmarkEnd w:id="12"/>
      <w:bookmarkEnd w:id="13"/>
    </w:p>
    <w:p>
      <w:pPr>
        <w:widowControl/>
        <w:jc w:val="left"/>
        <w:rPr>
          <w:rFonts w:ascii="黑体" w:eastAsia="黑体"/>
          <w:sz w:val="32"/>
          <w:szCs w:val="32"/>
        </w:rPr>
      </w:pPr>
    </w:p>
    <w:p>
      <w:pPr>
        <w:pStyle w:val="6"/>
        <w:numPr>
          <w:ilvl w:val="0"/>
          <w:numId w:val="1"/>
        </w:numPr>
        <w:rPr>
          <w:rStyle w:val="31"/>
          <w:rFonts w:ascii="黑体" w:hAnsi="黑体" w:eastAsia="黑体"/>
          <w:b w:val="0"/>
          <w:bCs w:val="0"/>
        </w:rPr>
      </w:pPr>
      <w:bookmarkStart w:id="14" w:name="_Toc15377197"/>
      <w:bookmarkStart w:id="15" w:name="_Toc15396600"/>
      <w:r>
        <w:rPr>
          <w:rStyle w:val="31"/>
          <w:rFonts w:hint="eastAsia" w:ascii="黑体" w:hAnsi="黑体" w:eastAsia="黑体"/>
          <w:b w:val="0"/>
          <w:bCs w:val="0"/>
        </w:rPr>
        <w:t>主要职责</w:t>
      </w:r>
      <w:bookmarkStart w:id="16" w:name="_Toc15378445"/>
      <w:bookmarkStart w:id="17" w:name="_Toc15377198"/>
    </w:p>
    <w:p>
      <w:pPr>
        <w:pStyle w:val="9"/>
        <w:adjustRightInd w:val="0"/>
        <w:snapToGrid w:val="0"/>
        <w:spacing w:before="93" w:line="600" w:lineRule="exact"/>
        <w:outlineLvl w:val="2"/>
        <w:rPr>
          <w:rFonts w:ascii="仿宋" w:hAnsi="仿宋" w:eastAsia="仿宋"/>
          <w:b/>
          <w:bCs/>
          <w:color w:val="000000"/>
        </w:rPr>
      </w:pPr>
      <w:r>
        <w:rPr>
          <w:rFonts w:hint="eastAsia" w:ascii="仿宋" w:hAnsi="仿宋" w:eastAsia="仿宋"/>
          <w:bCs/>
          <w:color w:val="000000"/>
          <w:sz w:val="32"/>
          <w:szCs w:val="32"/>
        </w:rPr>
        <w:t>（一）主要职能。</w:t>
      </w:r>
      <w:bookmarkEnd w:id="16"/>
      <w:bookmarkEnd w:id="17"/>
      <w:bookmarkStart w:id="18" w:name="_Toc15378446"/>
      <w:bookmarkStart w:id="19" w:name="_Toc15377199"/>
    </w:p>
    <w:p>
      <w:pPr>
        <w:spacing w:line="600" w:lineRule="exact"/>
        <w:ind w:left="640" w:leftChars="305" w:firstLine="640" w:firstLineChars="200"/>
        <w:rPr>
          <w:rFonts w:ascii="仿宋" w:hAnsi="仿宋" w:eastAsia="仿宋"/>
          <w:color w:val="000000"/>
          <w:sz w:val="32"/>
          <w:szCs w:val="32"/>
        </w:rPr>
      </w:pPr>
      <w:r>
        <w:rPr>
          <w:rFonts w:hint="eastAsia" w:ascii="仿宋" w:hAnsi="仿宋" w:eastAsia="仿宋"/>
          <w:color w:val="000000"/>
          <w:sz w:val="32"/>
          <w:szCs w:val="32"/>
        </w:rPr>
        <w:t>实施初中义务教育，促进教育发展，负责初中学历教育和相关服务。</w:t>
      </w:r>
    </w:p>
    <w:p>
      <w:pPr>
        <w:pStyle w:val="9"/>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rPr>
        <w:t>3年重点工作完成情况。</w:t>
      </w:r>
      <w:bookmarkEnd w:id="18"/>
      <w:bookmarkEnd w:id="19"/>
    </w:p>
    <w:p>
      <w:pPr>
        <w:spacing w:line="600" w:lineRule="exact"/>
        <w:ind w:left="640" w:leftChars="305" w:firstLine="640" w:firstLineChars="200"/>
        <w:rPr>
          <w:rFonts w:ascii="仿宋" w:hAnsi="仿宋" w:eastAsia="仿宋"/>
          <w:color w:val="000000"/>
          <w:sz w:val="32"/>
          <w:szCs w:val="32"/>
        </w:rPr>
      </w:pPr>
      <w:r>
        <w:rPr>
          <w:rFonts w:hint="eastAsia" w:ascii="仿宋" w:hAnsi="仿宋" w:eastAsia="仿宋"/>
          <w:color w:val="000000"/>
          <w:sz w:val="32"/>
          <w:szCs w:val="32"/>
        </w:rPr>
        <w:t>在区党委、政府的领导下，贯彻执行党和国家的教育方针、政策、法规；维护学校的教学秩序，为学生创造了良好的学习环境；积极稳妥地推进教育改革，按教育规律办事，不断提高教育质量；坚持教书育人，服务育人，环境育人方针，加强对学生的思想品德教育，促使学生的德智体全面发展；抓好教师队伍建设，使每个教师都热心于教育事业。</w:t>
      </w:r>
    </w:p>
    <w:p>
      <w:pPr>
        <w:pStyle w:val="9"/>
        <w:adjustRightInd w:val="0"/>
        <w:snapToGrid w:val="0"/>
        <w:spacing w:before="93" w:line="600" w:lineRule="exact"/>
        <w:outlineLvl w:val="2"/>
        <w:rPr>
          <w:rFonts w:ascii="黑体" w:hAnsi="黑体" w:eastAsia="黑体"/>
        </w:rPr>
      </w:pPr>
      <w:r>
        <w:rPr>
          <w:rFonts w:hint="eastAsia" w:ascii="黑体" w:hAnsi="黑体" w:eastAsia="黑体"/>
        </w:rPr>
        <w:t>二、机构设置</w:t>
      </w:r>
    </w:p>
    <w:p>
      <w:pPr>
        <w:spacing w:line="600" w:lineRule="exact"/>
        <w:ind w:left="640" w:leftChars="305" w:firstLine="640" w:firstLineChars="200"/>
        <w:rPr>
          <w:rFonts w:ascii="仿宋" w:hAnsi="仿宋" w:eastAsia="仿宋"/>
          <w:color w:val="000000"/>
          <w:sz w:val="32"/>
          <w:szCs w:val="32"/>
        </w:rPr>
      </w:pPr>
      <w:r>
        <w:rPr>
          <w:rFonts w:hint="eastAsia" w:ascii="仿宋" w:hAnsi="仿宋" w:eastAsia="仿宋"/>
          <w:color w:val="000000"/>
          <w:sz w:val="32"/>
          <w:szCs w:val="32"/>
        </w:rPr>
        <w:t>遂宁市安居区横山镇初级中学校属于公益一类事业单位，无下属二级预算单位。学校的主管部门为四川省遂宁市安居区教育和体育局。</w:t>
      </w:r>
    </w:p>
    <w:p>
      <w:pPr>
        <w:pStyle w:val="9"/>
        <w:adjustRightInd w:val="0"/>
        <w:snapToGrid w:val="0"/>
        <w:spacing w:before="93" w:line="600" w:lineRule="exact"/>
        <w:outlineLvl w:val="2"/>
        <w:rPr>
          <w:rFonts w:ascii="仿宋" w:hAnsi="仿宋" w:eastAsia="仿宋"/>
          <w:bCs/>
          <w:color w:val="000000"/>
          <w:sz w:val="32"/>
          <w:szCs w:val="32"/>
        </w:rPr>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30"/>
          <w:rFonts w:ascii="黑体" w:hAnsi="黑体" w:eastAsia="黑体"/>
          <w:b w:val="0"/>
          <w:bCs/>
        </w:rPr>
      </w:pPr>
      <w:bookmarkStart w:id="20" w:name="_Toc15396602"/>
      <w:bookmarkStart w:id="21" w:name="_Toc15377204"/>
      <w:r>
        <w:rPr>
          <w:rFonts w:hint="eastAsia" w:ascii="黑体" w:hAnsi="黑体" w:eastAsia="黑体"/>
          <w:b w:val="0"/>
        </w:rPr>
        <w:t>第二部分 2023年度</w:t>
      </w:r>
      <w:r>
        <w:rPr>
          <w:rStyle w:val="30"/>
          <w:rFonts w:hint="eastAsia" w:ascii="黑体" w:hAnsi="黑体" w:eastAsia="黑体"/>
          <w:b w:val="0"/>
          <w:bCs/>
        </w:rPr>
        <w:t>单位决算情况说明</w:t>
      </w:r>
      <w:bookmarkEnd w:id="20"/>
      <w:bookmarkEnd w:id="21"/>
    </w:p>
    <w:p/>
    <w:p>
      <w:pPr>
        <w:pStyle w:val="29"/>
        <w:numPr>
          <w:ilvl w:val="0"/>
          <w:numId w:val="2"/>
        </w:numPr>
        <w:spacing w:line="600" w:lineRule="exact"/>
        <w:ind w:firstLineChars="0"/>
        <w:outlineLvl w:val="1"/>
        <w:rPr>
          <w:rStyle w:val="31"/>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3年度收入1380.65万元，与</w:t>
      </w:r>
      <w:r>
        <w:rPr>
          <w:rFonts w:ascii="仿宋" w:hAnsi="仿宋" w:eastAsia="仿宋"/>
          <w:color w:val="000000"/>
          <w:sz w:val="32"/>
          <w:szCs w:val="32"/>
        </w:rPr>
        <w:t>20</w:t>
      </w:r>
      <w:r>
        <w:rPr>
          <w:rFonts w:hint="eastAsia" w:ascii="仿宋" w:hAnsi="仿宋" w:eastAsia="仿宋"/>
          <w:color w:val="000000"/>
          <w:sz w:val="32"/>
          <w:szCs w:val="32"/>
        </w:rPr>
        <w:t>22年相比，较上年收入增加158.09</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rPr>
        <w:t>增幅12.93</w:t>
      </w:r>
      <w:r>
        <w:rPr>
          <w:rFonts w:ascii="仿宋_GB2312" w:hAnsi="仿宋" w:eastAsia="仿宋_GB2312"/>
          <w:sz w:val="32"/>
          <w:szCs w:val="32"/>
        </w:rPr>
        <w:t>%</w:t>
      </w:r>
      <w:r>
        <w:rPr>
          <w:rFonts w:hint="eastAsia" w:ascii="仿宋_GB2312" w:hAnsi="仿宋" w:eastAsia="仿宋_GB2312"/>
          <w:sz w:val="32"/>
          <w:szCs w:val="32"/>
        </w:rPr>
        <w:t>；</w:t>
      </w:r>
      <w:r>
        <w:rPr>
          <w:rFonts w:ascii="仿宋" w:hAnsi="仿宋" w:eastAsia="仿宋"/>
          <w:color w:val="000000"/>
          <w:sz w:val="32"/>
          <w:szCs w:val="32"/>
        </w:rPr>
        <w:t>202</w:t>
      </w:r>
      <w:r>
        <w:rPr>
          <w:rFonts w:hint="eastAsia" w:ascii="仿宋" w:hAnsi="仿宋" w:eastAsia="仿宋"/>
          <w:color w:val="000000"/>
          <w:sz w:val="32"/>
          <w:szCs w:val="32"/>
        </w:rPr>
        <w:t>3年度支出总计1380.65万元，较上年支出增加158.09</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rPr>
        <w:t>增幅12.93</w:t>
      </w:r>
      <w:r>
        <w:rPr>
          <w:rFonts w:ascii="仿宋_GB2312" w:hAnsi="仿宋" w:eastAsia="仿宋_GB2312"/>
          <w:sz w:val="32"/>
          <w:szCs w:val="32"/>
        </w:rPr>
        <w:t>%</w:t>
      </w:r>
      <w:r>
        <w:rPr>
          <w:rFonts w:hint="eastAsia" w:ascii="仿宋" w:hAnsi="仿宋" w:eastAsia="仿宋"/>
          <w:color w:val="000000"/>
          <w:sz w:val="32"/>
          <w:szCs w:val="32"/>
        </w:rPr>
        <w:t>。主要变动原因是：政策性调资，人员经费增加，教师退休等。</w:t>
      </w:r>
    </w:p>
    <w:p>
      <w:pPr>
        <w:pStyle w:val="9"/>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9"/>
        <w:numPr>
          <w:ilvl w:val="0"/>
          <w:numId w:val="2"/>
        </w:numPr>
        <w:spacing w:line="600" w:lineRule="exact"/>
        <w:ind w:firstLineChars="0"/>
        <w:outlineLvl w:val="1"/>
        <w:rPr>
          <w:rStyle w:val="31"/>
          <w:rFonts w:ascii="黑体" w:hAnsi="黑体" w:eastAsia="黑体"/>
          <w:b w:val="0"/>
        </w:rPr>
      </w:pPr>
      <w:bookmarkStart w:id="24" w:name="_Toc15396604"/>
      <w:bookmarkStart w:id="25" w:name="_Toc15377206"/>
      <w:r>
        <w:rPr>
          <w:rFonts w:hint="eastAsia" w:ascii="黑体" w:hAnsi="黑体" w:eastAsia="黑体"/>
          <w:sz w:val="32"/>
          <w:szCs w:val="32"/>
        </w:rPr>
        <w:t>收</w:t>
      </w:r>
      <w:r>
        <w:rPr>
          <w:rStyle w:val="31"/>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3年本年收入合计1380.65万元，其中：一般公共预算财政拨款收入1380.65万元，占100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1"/>
        <w:rPr>
          <w:rFonts w:ascii="仿宋" w:hAnsi="仿宋" w:eastAsia="仿宋"/>
          <w:b/>
          <w:sz w:val="32"/>
          <w:szCs w:val="32"/>
        </w:rPr>
      </w:pPr>
      <w:r>
        <w:rPr>
          <w:rFonts w:ascii="仿宋" w:hAnsi="仿宋" w:eastAsia="仿宋"/>
          <w:b/>
          <w:sz w:val="32"/>
          <w:szCs w:val="32"/>
        </w:rPr>
        <w:drawing>
          <wp:anchor distT="0" distB="0" distL="114300" distR="114300" simplePos="0" relativeHeight="251652096" behindDoc="0" locked="0" layoutInCell="1" allowOverlap="1">
            <wp:simplePos x="0" y="0"/>
            <wp:positionH relativeFrom="column">
              <wp:posOffset>100330</wp:posOffset>
            </wp:positionH>
            <wp:positionV relativeFrom="paragraph">
              <wp:posOffset>197485</wp:posOffset>
            </wp:positionV>
            <wp:extent cx="5113655" cy="3032760"/>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spacing w:line="600" w:lineRule="exact"/>
        <w:ind w:firstLine="960" w:firstLineChars="300"/>
        <w:rPr>
          <w:rFonts w:ascii="仿宋" w:hAnsi="仿宋" w:eastAsia="仿宋"/>
          <w:sz w:val="32"/>
          <w:szCs w:val="32"/>
        </w:rPr>
      </w:pPr>
      <w:r>
        <w:rPr>
          <w:rFonts w:hint="eastAsia" w:ascii="仿宋" w:hAnsi="仿宋" w:eastAsia="仿宋"/>
          <w:sz w:val="32"/>
          <w:szCs w:val="32"/>
        </w:rPr>
        <w:t>（图2：收入决算结构图）（饼状图）</w:t>
      </w:r>
    </w:p>
    <w:p>
      <w:pPr>
        <w:pStyle w:val="29"/>
        <w:numPr>
          <w:ilvl w:val="0"/>
          <w:numId w:val="2"/>
        </w:numPr>
        <w:spacing w:line="600" w:lineRule="exact"/>
        <w:ind w:firstLineChars="0"/>
        <w:outlineLvl w:val="1"/>
        <w:rPr>
          <w:rStyle w:val="31"/>
          <w:rFonts w:ascii="黑体" w:hAnsi="黑体" w:eastAsia="黑体"/>
          <w:b w:val="0"/>
        </w:rPr>
      </w:pPr>
      <w:bookmarkStart w:id="26" w:name="_Toc15377207"/>
      <w:bookmarkStart w:id="27" w:name="_Toc15396605"/>
      <w:r>
        <w:rPr>
          <w:rFonts w:hint="eastAsia" w:ascii="黑体" w:hAnsi="黑体" w:eastAsia="黑体"/>
          <w:sz w:val="32"/>
          <w:szCs w:val="32"/>
        </w:rPr>
        <w:t>支</w:t>
      </w:r>
      <w:r>
        <w:rPr>
          <w:rStyle w:val="31"/>
          <w:rFonts w:hint="eastAsia" w:ascii="黑体" w:hAnsi="黑体" w:eastAsia="黑体"/>
          <w:b w:val="0"/>
        </w:rPr>
        <w:t>出决算情况说明</w:t>
      </w:r>
      <w:bookmarkEnd w:id="26"/>
      <w:bookmarkEnd w:id="27"/>
    </w:p>
    <w:p>
      <w:pPr>
        <w:pStyle w:val="9"/>
        <w:spacing w:before="93"/>
        <w:ind w:firstLine="640" w:firstLineChars="200"/>
        <w:jc w:val="left"/>
      </w:pPr>
      <w:r>
        <w:rPr>
          <w:rFonts w:ascii="仿宋" w:hAnsi="仿宋" w:eastAsia="仿宋"/>
          <w:color w:val="000000"/>
          <w:sz w:val="32"/>
          <w:szCs w:val="32"/>
        </w:rPr>
        <w:t>2023年度本年支出合计1380.65</w:t>
      </w:r>
      <w:r>
        <w:rPr>
          <w:rFonts w:hint="eastAsia" w:ascii="仿宋" w:hAnsi="仿宋" w:eastAsia="仿宋"/>
          <w:color w:val="000000"/>
          <w:sz w:val="32"/>
          <w:szCs w:val="32"/>
        </w:rPr>
        <w:t>万元，其中：基本支出</w:t>
      </w:r>
      <w:r>
        <w:rPr>
          <w:rFonts w:ascii="仿宋" w:hAnsi="仿宋" w:eastAsia="仿宋"/>
          <w:color w:val="000000"/>
          <w:sz w:val="32"/>
          <w:szCs w:val="32"/>
        </w:rPr>
        <w:t>1258.42</w:t>
      </w:r>
      <w:r>
        <w:rPr>
          <w:rFonts w:hint="eastAsia" w:ascii="仿宋" w:hAnsi="仿宋" w:eastAsia="仿宋"/>
          <w:color w:val="000000"/>
          <w:sz w:val="32"/>
          <w:szCs w:val="32"/>
        </w:rPr>
        <w:t>万元，占</w:t>
      </w:r>
      <w:r>
        <w:rPr>
          <w:rFonts w:ascii="仿宋" w:hAnsi="仿宋" w:eastAsia="仿宋"/>
          <w:color w:val="000000"/>
          <w:sz w:val="32"/>
          <w:szCs w:val="32"/>
        </w:rPr>
        <w:t>91.14%</w:t>
      </w:r>
      <w:r>
        <w:rPr>
          <w:rFonts w:hint="eastAsia" w:ascii="仿宋" w:hAnsi="仿宋" w:eastAsia="仿宋"/>
          <w:color w:val="000000"/>
          <w:sz w:val="32"/>
          <w:szCs w:val="32"/>
        </w:rPr>
        <w:t>；项目支出</w:t>
      </w:r>
      <w:r>
        <w:rPr>
          <w:rFonts w:ascii="仿宋" w:hAnsi="仿宋" w:eastAsia="仿宋"/>
          <w:color w:val="000000"/>
          <w:sz w:val="32"/>
          <w:szCs w:val="32"/>
        </w:rPr>
        <w:t>122.23</w:t>
      </w:r>
      <w:r>
        <w:rPr>
          <w:rFonts w:hint="eastAsia" w:ascii="仿宋" w:hAnsi="仿宋" w:eastAsia="仿宋"/>
          <w:color w:val="000000"/>
          <w:sz w:val="32"/>
          <w:szCs w:val="32"/>
        </w:rPr>
        <w:t>万元，占</w:t>
      </w:r>
      <w:r>
        <w:rPr>
          <w:rFonts w:ascii="仿宋" w:hAnsi="仿宋" w:eastAsia="仿宋"/>
          <w:color w:val="000000"/>
          <w:sz w:val="32"/>
          <w:szCs w:val="32"/>
        </w:rPr>
        <w:t>8.86%</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r>
        <w:drawing>
          <wp:inline distT="0" distB="0" distL="0" distR="0">
            <wp:extent cx="5171440" cy="25050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31"/>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8"/>
      <w:bookmarkEnd w:id="2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23年财政拨款</w:t>
      </w:r>
      <w:r>
        <w:rPr>
          <w:rFonts w:eastAsia="仿宋_GB2312"/>
          <w:color w:val="000000"/>
          <w:sz w:val="32"/>
          <w:szCs w:val="32"/>
        </w:rPr>
        <w:t>收入合计</w:t>
      </w:r>
      <w:r>
        <w:rPr>
          <w:rFonts w:hint="eastAsia" w:ascii="仿宋" w:hAnsi="仿宋" w:eastAsia="仿宋"/>
          <w:color w:val="000000"/>
          <w:sz w:val="32"/>
          <w:szCs w:val="32"/>
        </w:rPr>
        <w:t>1380.65</w:t>
      </w:r>
      <w:r>
        <w:rPr>
          <w:rFonts w:hint="eastAsia" w:eastAsia="仿宋_GB2312"/>
          <w:color w:val="000000"/>
          <w:sz w:val="32"/>
          <w:szCs w:val="32"/>
        </w:rPr>
        <w:t>万元，支出合计</w:t>
      </w:r>
      <w:r>
        <w:rPr>
          <w:rFonts w:hint="eastAsia" w:ascii="仿宋" w:hAnsi="仿宋" w:eastAsia="仿宋"/>
          <w:color w:val="000000"/>
          <w:sz w:val="32"/>
          <w:szCs w:val="32"/>
        </w:rPr>
        <w:t>1380.65</w:t>
      </w:r>
      <w:r>
        <w:rPr>
          <w:rFonts w:hint="eastAsia" w:eastAsia="仿宋_GB2312"/>
          <w:color w:val="000000"/>
          <w:sz w:val="32"/>
          <w:szCs w:val="32"/>
        </w:rPr>
        <w:t>万元</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22年相比，财政拨款收入总计增加158.09万元、支出总计增加158.09万元，收入总计增加12.93%，支出总计增加12.93%。主要变动原因是：政策性调资，人员经费增加，教师退休等。</w:t>
      </w:r>
    </w:p>
    <w:p>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1312"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480" w:firstLineChars="15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160" w:firstLineChars="50"/>
        <w:outlineLvl w:val="1"/>
        <w:rPr>
          <w:rStyle w:val="31"/>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23年一般公共预算财政拨款支出1380.65万元，占本年支出合计的100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22年相比，一般公共预算财政拨款增加158.09万元，增加12.93%。主要变动原因是：政策性调资，人员经费增加，教师退休等。</w:t>
      </w:r>
    </w:p>
    <w:p>
      <w:pPr>
        <w:spacing w:line="600" w:lineRule="exact"/>
        <w:rPr>
          <w:rFonts w:ascii="仿宋" w:hAnsi="仿宋" w:eastAsia="仿宋"/>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19685</wp:posOffset>
            </wp:positionH>
            <wp:positionV relativeFrom="paragraph">
              <wp:posOffset>94615</wp:posOffset>
            </wp:positionV>
            <wp:extent cx="5252085" cy="300291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（图5：一般公共预算财政拨款支出决算变动情况）（柱状图）</w:t>
      </w:r>
    </w:p>
    <w:p>
      <w:pPr>
        <w:spacing w:line="600" w:lineRule="exact"/>
        <w:ind w:firstLine="321" w:firstLineChars="1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23年一般公共预算财政拨款支出1380.65万元，主要用于以下方面</w:t>
      </w:r>
      <w:r>
        <w:rPr>
          <w:rFonts w:ascii="仿宋" w:hAnsi="仿宋" w:eastAsia="仿宋"/>
          <w:color w:val="000000"/>
          <w:sz w:val="32"/>
          <w:szCs w:val="32"/>
        </w:rPr>
        <w:t>:</w:t>
      </w:r>
      <w:r>
        <w:rPr>
          <w:rFonts w:hint="eastAsia" w:ascii="仿宋" w:hAnsi="仿宋" w:eastAsia="仿宋"/>
          <w:color w:val="000000"/>
          <w:sz w:val="32"/>
          <w:szCs w:val="32"/>
        </w:rPr>
        <w:t>教育支出1088.09万元，占78.81</w:t>
      </w:r>
      <w:r>
        <w:rPr>
          <w:rFonts w:ascii="仿宋" w:hAnsi="仿宋" w:eastAsia="仿宋"/>
          <w:color w:val="000000"/>
          <w:sz w:val="32"/>
          <w:szCs w:val="32"/>
        </w:rPr>
        <w:t>%</w:t>
      </w:r>
      <w:r>
        <w:rPr>
          <w:rFonts w:hint="eastAsia" w:ascii="仿宋" w:hAnsi="仿宋" w:eastAsia="仿宋"/>
          <w:color w:val="000000"/>
          <w:sz w:val="32"/>
          <w:szCs w:val="32"/>
        </w:rPr>
        <w:t>；社会保障和就业支出133.57万元，占9.67</w:t>
      </w:r>
      <w:r>
        <w:rPr>
          <w:rFonts w:ascii="仿宋" w:hAnsi="仿宋" w:eastAsia="仿宋"/>
          <w:color w:val="000000"/>
          <w:sz w:val="32"/>
          <w:szCs w:val="32"/>
        </w:rPr>
        <w:t>%</w:t>
      </w:r>
      <w:r>
        <w:rPr>
          <w:rFonts w:hint="eastAsia" w:ascii="仿宋" w:hAnsi="仿宋" w:eastAsia="仿宋"/>
          <w:color w:val="000000"/>
          <w:sz w:val="32"/>
          <w:szCs w:val="32"/>
        </w:rPr>
        <w:t>；卫生健康支出57.12万元，占4.14</w:t>
      </w:r>
      <w:r>
        <w:rPr>
          <w:rFonts w:ascii="仿宋" w:hAnsi="仿宋" w:eastAsia="仿宋"/>
          <w:color w:val="000000"/>
          <w:sz w:val="32"/>
          <w:szCs w:val="32"/>
        </w:rPr>
        <w:t>%</w:t>
      </w:r>
      <w:r>
        <w:rPr>
          <w:rFonts w:hint="eastAsia" w:ascii="仿宋" w:hAnsi="仿宋" w:eastAsia="仿宋"/>
          <w:color w:val="000000"/>
          <w:sz w:val="32"/>
          <w:szCs w:val="32"/>
        </w:rPr>
        <w:t>；住房保障支出101.87万元，占7.38</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5408" behindDoc="0" locked="0" layoutInCell="1" allowOverlap="1">
            <wp:simplePos x="0" y="0"/>
            <wp:positionH relativeFrom="column">
              <wp:posOffset>41910</wp:posOffset>
            </wp:positionH>
            <wp:positionV relativeFrom="paragraph">
              <wp:posOffset>118745</wp:posOffset>
            </wp:positionV>
            <wp:extent cx="5179060" cy="2984500"/>
            <wp:effectExtent l="0" t="0" r="0" b="0"/>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sz w:val="32"/>
          <w:szCs w:val="32"/>
        </w:rPr>
      </w:pPr>
      <w:bookmarkStart w:id="35" w:name="_Toc15377444"/>
      <w:bookmarkStart w:id="36" w:name="_Toc15377213"/>
      <w:bookmarkStart w:id="37" w:name="_Toc15378460"/>
      <w:r>
        <w:rPr>
          <w:rFonts w:hint="eastAsia" w:ascii="仿宋" w:hAnsi="仿宋" w:eastAsia="仿宋"/>
          <w:b/>
          <w:sz w:val="32"/>
          <w:szCs w:val="32"/>
        </w:rPr>
        <w:t>2023年一般公共预算支出决算数为</w:t>
      </w:r>
      <w:r>
        <w:rPr>
          <w:rFonts w:hint="eastAsia" w:ascii="仿宋" w:hAnsi="仿宋" w:eastAsia="仿宋"/>
          <w:color w:val="000000"/>
          <w:sz w:val="32"/>
          <w:szCs w:val="32"/>
        </w:rPr>
        <w:t>1380.65万元</w:t>
      </w:r>
      <w:r>
        <w:rPr>
          <w:rFonts w:hint="eastAsia" w:ascii="仿宋" w:hAnsi="仿宋" w:eastAsia="仿宋"/>
          <w:sz w:val="32"/>
          <w:szCs w:val="32"/>
        </w:rPr>
        <w:t>，</w:t>
      </w:r>
      <w:r>
        <w:rPr>
          <w:rStyle w:val="18"/>
          <w:rFonts w:hint="eastAsia" w:ascii="仿宋" w:hAnsi="仿宋" w:eastAsia="仿宋"/>
          <w:bCs/>
          <w:sz w:val="32"/>
          <w:szCs w:val="32"/>
        </w:rPr>
        <w:t>完成预算100</w:t>
      </w:r>
      <w:r>
        <w:rPr>
          <w:rStyle w:val="18"/>
          <w:rFonts w:ascii="仿宋" w:hAnsi="仿宋" w:eastAsia="仿宋"/>
          <w:bCs/>
          <w:sz w:val="32"/>
          <w:szCs w:val="32"/>
        </w:rPr>
        <w:t>%</w:t>
      </w:r>
      <w:r>
        <w:rPr>
          <w:rStyle w:val="18"/>
          <w:rFonts w:hint="eastAsia" w:ascii="仿宋" w:hAnsi="仿宋" w:eastAsia="仿宋"/>
          <w:bCs/>
          <w:sz w:val="32"/>
          <w:szCs w:val="32"/>
        </w:rPr>
        <w:t>。其中：</w:t>
      </w:r>
      <w:bookmarkEnd w:id="35"/>
      <w:bookmarkEnd w:id="36"/>
      <w:bookmarkEnd w:id="37"/>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1</w:t>
      </w:r>
      <w:r>
        <w:rPr>
          <w:rStyle w:val="18"/>
          <w:rFonts w:ascii="仿宋" w:hAnsi="仿宋" w:eastAsia="仿宋"/>
          <w:bCs/>
          <w:sz w:val="32"/>
          <w:szCs w:val="32"/>
        </w:rPr>
        <w:t>.</w:t>
      </w:r>
      <w:r>
        <w:rPr>
          <w:rStyle w:val="18"/>
          <w:rFonts w:hint="eastAsia" w:ascii="仿宋" w:hAnsi="仿宋" w:eastAsia="仿宋"/>
          <w:bCs/>
          <w:sz w:val="32"/>
          <w:szCs w:val="32"/>
        </w:rPr>
        <w:t>教育（205类）普通教育（02款）初中教育（03项）</w:t>
      </w:r>
      <w:r>
        <w:rPr>
          <w:rStyle w:val="18"/>
          <w:rFonts w:ascii="仿宋" w:hAnsi="仿宋" w:eastAsia="仿宋"/>
          <w:bCs/>
          <w:sz w:val="32"/>
          <w:szCs w:val="32"/>
        </w:rPr>
        <w:t>:</w:t>
      </w:r>
      <w:r>
        <w:rPr>
          <w:rStyle w:val="18"/>
          <w:rFonts w:hint="eastAsia" w:ascii="仿宋" w:hAnsi="仿宋" w:eastAsia="仿宋"/>
          <w:b w:val="0"/>
          <w:bCs/>
          <w:sz w:val="32"/>
          <w:szCs w:val="32"/>
        </w:rPr>
        <w:t>支出决算为1088.09万元，完成预算100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2</w:t>
      </w:r>
      <w:r>
        <w:rPr>
          <w:rStyle w:val="18"/>
          <w:rFonts w:ascii="仿宋" w:hAnsi="仿宋" w:eastAsia="仿宋"/>
          <w:bCs/>
          <w:sz w:val="32"/>
          <w:szCs w:val="32"/>
        </w:rPr>
        <w:t>.</w:t>
      </w:r>
      <w:r>
        <w:rPr>
          <w:rStyle w:val="18"/>
          <w:rFonts w:hint="eastAsia" w:ascii="仿宋" w:hAnsi="仿宋" w:eastAsia="仿宋"/>
          <w:bCs/>
          <w:sz w:val="32"/>
          <w:szCs w:val="32"/>
        </w:rPr>
        <w:t>社会保障和就业（208类）行政事业单位养老支出（05款）机关事业单位基本养老保险缴费支出（05项）</w:t>
      </w:r>
      <w:r>
        <w:rPr>
          <w:rStyle w:val="18"/>
          <w:rFonts w:ascii="仿宋" w:hAnsi="仿宋" w:eastAsia="仿宋"/>
          <w:bCs/>
          <w:sz w:val="32"/>
          <w:szCs w:val="32"/>
        </w:rPr>
        <w:t>:</w:t>
      </w:r>
      <w:r>
        <w:rPr>
          <w:rStyle w:val="18"/>
          <w:rFonts w:hint="eastAsia" w:ascii="仿宋" w:hAnsi="仿宋" w:eastAsia="仿宋"/>
          <w:b w:val="0"/>
          <w:bCs/>
          <w:sz w:val="32"/>
          <w:szCs w:val="32"/>
        </w:rPr>
        <w:t>支出决算为133.57万元，完成预算100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3</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（210类）行政事业单位医疗（11款）事业单位医疗（02项）</w:t>
      </w:r>
      <w:r>
        <w:rPr>
          <w:rStyle w:val="18"/>
          <w:rFonts w:ascii="仿宋" w:hAnsi="仿宋" w:eastAsia="仿宋"/>
          <w:bCs/>
          <w:sz w:val="32"/>
          <w:szCs w:val="32"/>
        </w:rPr>
        <w:t>:</w:t>
      </w:r>
      <w:r>
        <w:rPr>
          <w:rStyle w:val="18"/>
          <w:rFonts w:hint="eastAsia" w:ascii="仿宋" w:hAnsi="仿宋" w:eastAsia="仿宋"/>
          <w:b w:val="0"/>
          <w:bCs/>
          <w:sz w:val="32"/>
          <w:szCs w:val="32"/>
        </w:rPr>
        <w:t>支出决算为57.12万元，完成预算100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4</w:t>
      </w:r>
      <w:r>
        <w:rPr>
          <w:rStyle w:val="18"/>
          <w:rFonts w:ascii="仿宋" w:hAnsi="仿宋" w:eastAsia="仿宋"/>
          <w:bCs/>
          <w:sz w:val="32"/>
          <w:szCs w:val="32"/>
        </w:rPr>
        <w:t>.</w:t>
      </w:r>
      <w:r>
        <w:rPr>
          <w:rFonts w:hint="eastAsia" w:ascii="仿宋" w:hAnsi="仿宋" w:eastAsia="仿宋"/>
          <w:b/>
          <w:bCs/>
          <w:sz w:val="32"/>
          <w:szCs w:val="32"/>
        </w:rPr>
        <w:t>住房保障</w:t>
      </w:r>
      <w:r>
        <w:rPr>
          <w:rStyle w:val="18"/>
          <w:rFonts w:hint="eastAsia" w:ascii="仿宋" w:hAnsi="仿宋" w:eastAsia="仿宋"/>
          <w:bCs/>
          <w:sz w:val="32"/>
          <w:szCs w:val="32"/>
        </w:rPr>
        <w:t>（221类）住房改革支出（02款）住房公积金（01项）</w:t>
      </w:r>
      <w:r>
        <w:rPr>
          <w:rStyle w:val="18"/>
          <w:rFonts w:ascii="仿宋" w:hAnsi="仿宋" w:eastAsia="仿宋"/>
          <w:bCs/>
          <w:sz w:val="32"/>
          <w:szCs w:val="32"/>
        </w:rPr>
        <w:t>:</w:t>
      </w:r>
      <w:r>
        <w:rPr>
          <w:rStyle w:val="18"/>
          <w:rFonts w:hint="eastAsia" w:ascii="仿宋" w:hAnsi="仿宋" w:eastAsia="仿宋"/>
          <w:b w:val="0"/>
          <w:bCs/>
          <w:sz w:val="32"/>
          <w:szCs w:val="32"/>
        </w:rPr>
        <w:t>支出决算为101.87万元，完成预算100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outlineLvl w:val="1"/>
        <w:rPr>
          <w:rStyle w:val="31"/>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8"/>
      <w:bookmarkEnd w:id="39"/>
      <w:r>
        <w:rPr>
          <w:rStyle w:val="31"/>
          <w:rFonts w:ascii="黑体" w:hAnsi="黑体" w:eastAsia="黑体"/>
          <w:b w:val="0"/>
        </w:rPr>
        <w:tab/>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3年一般公共预算财政拨款基本支出1380.65万元，其中：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1159.08万元，主要包括：基本工资、津贴补贴、绩效工资、机关事业单位基本养老保险缴费、职业年金缴费、其他社会保障缴费、其他工资福利支出、抚恤金、生活补助、医疗费补助、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120.46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outlineLvl w:val="1"/>
        <w:rPr>
          <w:rFonts w:ascii="黑体" w:hAnsi="黑体" w:eastAsia="黑体" w:cstheme="majorBidi"/>
          <w:bCs/>
          <w:sz w:val="32"/>
          <w:szCs w:val="32"/>
        </w:rPr>
      </w:pPr>
      <w:bookmarkStart w:id="40" w:name="_Toc15396609"/>
      <w:bookmarkStart w:id="41" w:name="_Toc15377215"/>
      <w:r>
        <w:rPr>
          <w:rFonts w:hint="eastAsia" w:ascii="黑体" w:eastAsia="黑体"/>
          <w:sz w:val="32"/>
          <w:szCs w:val="32"/>
        </w:rPr>
        <w:t>七、</w:t>
      </w:r>
      <w:r>
        <w:rPr>
          <w:rFonts w:hint="eastAsia" w:ascii="黑体" w:hAnsi="黑体" w:eastAsia="黑体" w:cstheme="majorBidi"/>
          <w:b/>
          <w:bCs/>
          <w:sz w:val="32"/>
          <w:szCs w:val="32"/>
        </w:rPr>
        <w:t>财政拨款“三公”经费支出决算情况说明</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0"/>
        <w:outlineLvl w:val="2"/>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宋体" w:hAnsi="宋体" w:cs="宋体"/>
          <w:sz w:val="24"/>
        </w:rPr>
        <w:t>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Fonts w:hint="eastAsia" w:ascii="仿宋" w:hAnsi="仿宋" w:eastAsia="仿宋"/>
          <w:b/>
          <w:bCs/>
          <w:sz w:val="32"/>
          <w:szCs w:val="32"/>
        </w:rPr>
        <w:t>完成预算</w:t>
      </w:r>
      <w:r>
        <w:rPr>
          <w:sz w:val="32"/>
          <w:szCs w:val="32"/>
        </w:rPr>
        <w:t>0</w:t>
      </w:r>
      <w:r>
        <w:rPr>
          <w:rFonts w:hint="eastAsia" w:ascii="仿宋" w:hAnsi="仿宋" w:eastAsia="仿宋"/>
          <w:b/>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Fonts w:hint="eastAsia" w:ascii="仿宋" w:hAnsi="仿宋" w:eastAsia="仿宋"/>
          <w:b/>
          <w:bCs/>
          <w:sz w:val="32"/>
          <w:szCs w:val="32"/>
        </w:rPr>
        <w:t>完成预算</w:t>
      </w:r>
      <w:r>
        <w:rPr>
          <w:sz w:val="32"/>
          <w:szCs w:val="32"/>
        </w:rPr>
        <w:t>0</w:t>
      </w:r>
      <w:r>
        <w:rPr>
          <w:rFonts w:hint="eastAsia" w:ascii="仿宋" w:hAnsi="仿宋" w:eastAsia="仿宋"/>
          <w:b/>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numPr>
          <w:ilvl w:val="0"/>
          <w:numId w:val="3"/>
        </w:numPr>
        <w:spacing w:line="600" w:lineRule="exact"/>
        <w:rPr>
          <w:rFonts w:ascii="仿宋_GB2312" w:eastAsia="仿宋_GB2312"/>
          <w:b/>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完成预算100%。公务接待费支出决算与2022年度持平。其中：</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rPr>
        <w:t xml:space="preserve">   外事接待支出0万元。外事接待0批次，0人次（不包括陪同人员），共计支出0万元。</w:t>
      </w:r>
    </w:p>
    <w:p>
      <w:pPr>
        <w:spacing w:line="600" w:lineRule="exact"/>
        <w:ind w:firstLine="480" w:firstLineChars="150"/>
        <w:outlineLvl w:val="1"/>
        <w:rPr>
          <w:rFonts w:ascii="黑体" w:hAnsi="黑体" w:eastAsia="黑体" w:cstheme="majorBidi"/>
          <w:b/>
          <w:bCs/>
          <w:sz w:val="32"/>
          <w:szCs w:val="32"/>
        </w:rPr>
      </w:pPr>
      <w:r>
        <w:rPr>
          <w:rFonts w:hint="eastAsia" w:ascii="黑体" w:eastAsia="黑体"/>
          <w:sz w:val="32"/>
          <w:szCs w:val="32"/>
        </w:rPr>
        <w:t>八、</w:t>
      </w:r>
      <w:r>
        <w:rPr>
          <w:rFonts w:hint="eastAsia" w:ascii="黑体" w:hAnsi="黑体" w:eastAsia="黑体" w:cstheme="majorBidi"/>
          <w:b/>
          <w:bCs/>
          <w:sz w:val="32"/>
          <w:szCs w:val="32"/>
        </w:rPr>
        <w:t>政府性基金预算支出决算情况说明</w:t>
      </w:r>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4"/>
        </w:numPr>
        <w:spacing w:line="600" w:lineRule="exact"/>
        <w:ind w:firstLine="640"/>
        <w:outlineLvl w:val="1"/>
        <w:rPr>
          <w:rFonts w:ascii="黑体" w:hAnsi="黑体" w:eastAsia="黑体" w:cstheme="majorBidi"/>
          <w:bCs/>
          <w:sz w:val="32"/>
          <w:szCs w:val="32"/>
        </w:rPr>
      </w:pPr>
      <w:r>
        <w:rPr>
          <w:rFonts w:hint="eastAsia" w:ascii="黑体" w:hAnsi="黑体" w:eastAsia="黑体" w:cstheme="majorBidi"/>
          <w:b/>
          <w:bCs/>
          <w:sz w:val="32"/>
          <w:szCs w:val="32"/>
        </w:rPr>
        <w:t>国有资本经营预算支出决算情况说明</w:t>
      </w:r>
    </w:p>
    <w:p>
      <w:pPr>
        <w:spacing w:line="600" w:lineRule="exact"/>
        <w:ind w:left="36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23年国有资本经营预算财政拨款支出0万元。</w:t>
      </w:r>
    </w:p>
    <w:p>
      <w:pPr>
        <w:spacing w:line="600" w:lineRule="exact"/>
        <w:ind w:left="360" w:firstLine="321" w:firstLineChars="100"/>
        <w:outlineLvl w:val="1"/>
        <w:rPr>
          <w:rFonts w:ascii="黑体" w:hAnsi="黑体" w:eastAsia="黑体" w:cstheme="majorBidi"/>
          <w:bCs/>
          <w:sz w:val="32"/>
          <w:szCs w:val="32"/>
        </w:rPr>
      </w:pPr>
      <w:r>
        <w:rPr>
          <w:rFonts w:hint="eastAsia" w:ascii="黑体" w:hAnsi="黑体" w:eastAsia="黑体" w:cstheme="majorBidi"/>
          <w:b/>
          <w:bCs/>
          <w:sz w:val="32"/>
          <w:szCs w:val="32"/>
        </w:rPr>
        <w:t>十</w:t>
      </w:r>
      <w:r>
        <w:rPr>
          <w:rFonts w:ascii="黑体" w:hAnsi="黑体" w:eastAsia="黑体" w:cstheme="majorBidi"/>
          <w:b/>
          <w:bCs/>
          <w:sz w:val="32"/>
          <w:szCs w:val="32"/>
        </w:rPr>
        <w:t>、</w:t>
      </w:r>
      <w:r>
        <w:rPr>
          <w:rFonts w:hint="eastAsia" w:ascii="黑体" w:hAnsi="黑体" w:eastAsia="黑体" w:cstheme="majorBidi"/>
          <w:b/>
          <w:bCs/>
          <w:sz w:val="32"/>
          <w:szCs w:val="32"/>
        </w:rPr>
        <w:t>其他重要事项的情况说明</w:t>
      </w:r>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23年，学校机关运行经费支出0万元。</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2023年度，遂宁市安居区横山</w:t>
      </w:r>
      <w:r>
        <w:rPr>
          <w:rFonts w:ascii="仿宋_GB2312" w:eastAsia="仿宋_GB2312"/>
          <w:sz w:val="32"/>
          <w:szCs w:val="32"/>
        </w:rPr>
        <w:t>镇初级中学校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截至2023年12月31日，遂宁市安居区横山</w:t>
      </w:r>
      <w:r>
        <w:rPr>
          <w:rFonts w:ascii="仿宋_GB2312" w:eastAsia="仿宋_GB2312"/>
          <w:sz w:val="32"/>
          <w:szCs w:val="32"/>
        </w:rPr>
        <w:t>镇初级中学校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bookmarkEnd w:id="40"/>
    <w:bookmarkEnd w:id="41"/>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本单位按要求对2023年部门整体支出开展绩效自评，从评价情况来看</w:t>
      </w:r>
      <w:r>
        <w:rPr>
          <w:rFonts w:hint="eastAsia" w:ascii="仿宋_GB2312" w:eastAsia="仿宋_GB2312"/>
          <w:sz w:val="32"/>
          <w:szCs w:val="32"/>
        </w:rPr>
        <w:t>遂宁市安居区横山镇初级中学校</w:t>
      </w:r>
      <w:r>
        <w:rPr>
          <w:rFonts w:ascii="仿宋_GB2312" w:eastAsia="仿宋_GB2312"/>
          <w:sz w:val="32"/>
          <w:szCs w:val="32"/>
        </w:rPr>
        <w:t>将部门整体支出绩效评价作为财政预算资金使用管理的一项重要工作，切实加强预算收支管理，全面梳理内部管理流程，建立健全内部管理制度，有效提升了部门整体支出管理水平</w:t>
      </w:r>
      <w:r>
        <w:rPr>
          <w:rFonts w:hint="eastAsia" w:ascii="仿宋_GB2312" w:eastAsia="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《遂宁市安居区横山镇初级中学校</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30"/>
          <w:rFonts w:ascii="黑体" w:hAnsi="黑体" w:eastAsia="黑体"/>
          <w:b w:val="0"/>
        </w:rPr>
      </w:pPr>
      <w:bookmarkStart w:id="42" w:name="_Toc15377225"/>
      <w:bookmarkStart w:id="43" w:name="_Toc15396613"/>
      <w:r>
        <w:rPr>
          <w:rFonts w:hint="eastAsia" w:ascii="黑体" w:hAnsi="黑体" w:eastAsia="黑体"/>
          <w:sz w:val="44"/>
          <w:szCs w:val="44"/>
        </w:rPr>
        <w:t>名</w:t>
      </w:r>
      <w:r>
        <w:rPr>
          <w:rStyle w:val="30"/>
          <w:rFonts w:hint="eastAsia" w:ascii="黑体" w:hAnsi="黑体" w:eastAsia="黑体"/>
          <w:b w:val="0"/>
        </w:rPr>
        <w:t>词解释</w:t>
      </w:r>
      <w:bookmarkEnd w:id="42"/>
      <w:bookmarkEnd w:id="43"/>
    </w:p>
    <w:p>
      <w:pPr>
        <w:spacing w:line="600" w:lineRule="exact"/>
        <w:jc w:val="left"/>
        <w:rPr>
          <w:rFonts w:ascii="宋体"/>
          <w:b/>
          <w:sz w:val="44"/>
          <w:szCs w:val="44"/>
        </w:rPr>
      </w:pP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社会保障和就业（208类）行政事业单位离退休（05款）机关事业单位基本养老保险缴费支出（05项）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社会保障和就业（208类）抚恤（08款）死亡抚恤（01项）</w:t>
      </w:r>
      <w:r>
        <w:rPr>
          <w:rFonts w:ascii="仿宋" w:hAnsi="仿宋" w:eastAsia="仿宋"/>
          <w:sz w:val="32"/>
          <w:szCs w:val="32"/>
        </w:rPr>
        <w:t xml:space="preserve">: </w:t>
      </w:r>
      <w:r>
        <w:rPr>
          <w:rFonts w:hint="eastAsia" w:ascii="仿宋" w:hAnsi="仿宋" w:eastAsia="仿宋"/>
          <w:sz w:val="32"/>
          <w:szCs w:val="32"/>
        </w:rPr>
        <w:t>反映按规定用于烈士和牺牲、病故人员家属的一次性和定期抚恤金以及丧葬补助费。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w:t>
      </w:r>
      <w:bookmarkStart w:id="60" w:name="_GoBack"/>
      <w:bookmarkEnd w:id="60"/>
      <w:r>
        <w:rPr>
          <w:rFonts w:hint="eastAsia" w:ascii="仿宋" w:hAnsi="仿宋" w:eastAsia="仿宋"/>
          <w:sz w:val="32"/>
          <w:szCs w:val="32"/>
        </w:rPr>
        <w:t>用于社会保障和就业方面的支出。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30"/>
          <w:rFonts w:ascii="黑体" w:hAnsi="黑体" w:eastAsia="黑体"/>
          <w:b w:val="0"/>
        </w:rPr>
      </w:pPr>
      <w:bookmarkStart w:id="44" w:name="_Toc15396614"/>
      <w:bookmarkStart w:id="45" w:name="_Toc15377226"/>
      <w:r>
        <w:rPr>
          <w:rFonts w:hint="eastAsia" w:ascii="黑体" w:hAnsi="黑体" w:eastAsia="黑体"/>
          <w:sz w:val="44"/>
          <w:szCs w:val="44"/>
        </w:rPr>
        <w:t>第</w:t>
      </w:r>
      <w:r>
        <w:rPr>
          <w:rStyle w:val="30"/>
          <w:rFonts w:hint="eastAsia" w:ascii="黑体" w:hAnsi="黑体" w:eastAsia="黑体"/>
          <w:b w:val="0"/>
        </w:rPr>
        <w:t>四部分 附件</w:t>
      </w:r>
      <w:bookmarkEnd w:id="44"/>
    </w:p>
    <w:p>
      <w:pPr>
        <w:spacing w:line="600" w:lineRule="exact"/>
        <w:jc w:val="left"/>
        <w:outlineLvl w:val="0"/>
        <w:rPr>
          <w:rFonts w:ascii="方正小标宋简体" w:hAnsi="方正小标宋简体" w:eastAsia="方正小标宋简体" w:cs="方正小标宋简体"/>
          <w:sz w:val="32"/>
          <w:szCs w:val="32"/>
        </w:rPr>
      </w:pPr>
      <w:bookmarkStart w:id="46" w:name="_Toc15396618"/>
      <w:r>
        <w:rPr>
          <w:rFonts w:hint="eastAsia" w:ascii="黑体" w:hAnsi="黑体" w:eastAsia="黑体" w:cs="黑体"/>
          <w:sz w:val="32"/>
          <w:szCs w:val="32"/>
        </w:rPr>
        <w:t>附件</w:t>
      </w:r>
      <w:r>
        <w:rPr>
          <w:rFonts w:ascii="黑体" w:hAnsi="黑体" w:eastAsia="黑体" w:cs="黑体"/>
          <w:sz w:val="32"/>
          <w:szCs w:val="32"/>
        </w:rPr>
        <w:t>1</w:t>
      </w:r>
    </w:p>
    <w:p>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遂宁市安居区横山镇初级中学校共设有7个内设部门。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pPr>
        <w:jc w:val="center"/>
        <w:rPr>
          <w:rFonts w:ascii="仿宋" w:hAnsi="仿宋" w:eastAsia="仿宋"/>
          <w:sz w:val="32"/>
          <w:szCs w:val="32"/>
        </w:rPr>
      </w:pPr>
      <w:r>
        <w:rPr>
          <w:rFonts w:ascii="仿宋" w:hAnsi="仿宋" w:eastAsia="仿宋"/>
          <w:sz w:val="32"/>
          <w:szCs w:val="32"/>
        </w:rPr>
        <w:t>行政办公室工作职责</w:t>
      </w:r>
    </w:p>
    <w:p>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jc w:val="center"/>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w:t>
      </w:r>
      <w:r>
        <w:rPr>
          <w:rFonts w:hint="eastAsia" w:ascii="仿宋" w:hAnsi="仿宋" w:eastAsia="仿宋"/>
          <w:sz w:val="32"/>
          <w:szCs w:val="32"/>
          <w:lang w:eastAsia="zh-CN"/>
        </w:rPr>
        <w:t>其他</w:t>
      </w:r>
      <w:r>
        <w:rPr>
          <w:rFonts w:ascii="仿宋" w:hAnsi="仿宋" w:eastAsia="仿宋"/>
          <w:sz w:val="32"/>
          <w:szCs w:val="32"/>
        </w:rPr>
        <w:t>工作。</w:t>
      </w:r>
    </w:p>
    <w:p>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w:t>
      </w:r>
      <w:r>
        <w:rPr>
          <w:rFonts w:hint="eastAsia" w:ascii="仿宋" w:hAnsi="仿宋" w:eastAsia="仿宋"/>
          <w:sz w:val="32"/>
          <w:szCs w:val="32"/>
          <w:lang w:eastAsia="zh-CN"/>
        </w:rPr>
        <w:t>其他</w:t>
      </w:r>
      <w:r>
        <w:rPr>
          <w:rFonts w:ascii="仿宋" w:hAnsi="仿宋" w:eastAsia="仿宋"/>
          <w:sz w:val="32"/>
          <w:szCs w:val="32"/>
        </w:rPr>
        <w:t>研究课题的申报、立项、督办及管理。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lang w:eastAsia="zh-CN"/>
        </w:rPr>
        <w:t>其他</w:t>
      </w:r>
      <w:r>
        <w:rPr>
          <w:rFonts w:ascii="仿宋" w:hAnsi="仿宋" w:eastAsia="仿宋"/>
          <w:sz w:val="32"/>
          <w:szCs w:val="32"/>
        </w:rPr>
        <w:t>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jc w:val="center"/>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pPr>
        <w:spacing w:line="580" w:lineRule="exact"/>
        <w:jc w:val="center"/>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w:t>
      </w:r>
      <w:r>
        <w:rPr>
          <w:rFonts w:ascii="仿宋" w:hAnsi="仿宋" w:eastAsia="仿宋"/>
          <w:sz w:val="32"/>
          <w:szCs w:val="32"/>
        </w:rPr>
        <w:t>宣传教育，增强师生员工</w:t>
      </w:r>
      <w:r>
        <w:rPr>
          <w:rFonts w:hint="eastAsia" w:ascii="仿宋" w:hAnsi="仿宋" w:eastAsia="仿宋"/>
          <w:sz w:val="32"/>
          <w:szCs w:val="32"/>
          <w:lang w:eastAsia="zh-CN"/>
        </w:rPr>
        <w:t>法治</w:t>
      </w:r>
      <w:r>
        <w:rPr>
          <w:rFonts w:ascii="仿宋" w:hAnsi="仿宋" w:eastAsia="仿宋"/>
          <w:sz w:val="32"/>
          <w:szCs w:val="32"/>
        </w:rPr>
        <w:t>观念，预防和减少违法犯罪行为。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遂宁市安居区横山镇初级中</w:t>
      </w:r>
      <w:r>
        <w:rPr>
          <w:rFonts w:ascii="仿宋" w:hAnsi="仿宋" w:eastAsia="仿宋"/>
          <w:sz w:val="32"/>
          <w:szCs w:val="32"/>
        </w:rPr>
        <w:t>学校</w:t>
      </w:r>
      <w:r>
        <w:rPr>
          <w:rFonts w:hint="eastAsia" w:ascii="仿宋" w:hAnsi="仿宋" w:eastAsia="仿宋"/>
          <w:sz w:val="32"/>
          <w:szCs w:val="32"/>
        </w:rPr>
        <w:t>年初在职教师71</w:t>
      </w:r>
      <w:r>
        <w:rPr>
          <w:rFonts w:ascii="仿宋" w:hAnsi="仿宋" w:eastAsia="仿宋"/>
          <w:sz w:val="32"/>
          <w:szCs w:val="32"/>
        </w:rPr>
        <w:t>人，</w:t>
      </w:r>
      <w:r>
        <w:rPr>
          <w:rFonts w:hint="eastAsia" w:ascii="仿宋" w:hAnsi="仿宋" w:eastAsia="仿宋"/>
          <w:sz w:val="32"/>
          <w:szCs w:val="32"/>
        </w:rPr>
        <w:t>年末在职教师64</w:t>
      </w:r>
      <w:r>
        <w:rPr>
          <w:rFonts w:ascii="仿宋" w:hAnsi="仿宋" w:eastAsia="仿宋"/>
          <w:sz w:val="32"/>
          <w:szCs w:val="32"/>
        </w:rPr>
        <w:t>人</w:t>
      </w:r>
      <w:r>
        <w:rPr>
          <w:rFonts w:hint="eastAsia" w:ascii="仿宋" w:hAnsi="仿宋" w:eastAsia="仿宋"/>
          <w:sz w:val="32"/>
          <w:szCs w:val="32"/>
        </w:rPr>
        <w:t>，退休4人，调出3人,年初退休教师29人，死亡1人,年末退休教师32人</w:t>
      </w:r>
      <w:r>
        <w:rPr>
          <w:rFonts w:ascii="仿宋" w:hAnsi="仿宋" w:eastAsia="仿宋"/>
          <w:sz w:val="32"/>
          <w:szCs w:val="32"/>
        </w:rPr>
        <w:t>。</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3年本年收入合计1380.65万元，其中：一般公共预算财政拨款收入1380.65万元，占100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widowControl/>
        <w:numPr>
          <w:ilvl w:val="0"/>
          <w:numId w:val="6"/>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pPr>
        <w:spacing w:line="600" w:lineRule="exact"/>
        <w:ind w:firstLine="640" w:firstLineChars="200"/>
        <w:outlineLvl w:val="1"/>
        <w:rPr>
          <w:rFonts w:ascii="仿宋" w:hAnsi="仿宋" w:eastAsia="仿宋"/>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3年本年支出合计1380.65万元，其中：教育支出1088.09万元，占78.81</w:t>
      </w:r>
      <w:r>
        <w:rPr>
          <w:rFonts w:ascii="仿宋" w:hAnsi="仿宋" w:eastAsia="仿宋"/>
          <w:color w:val="000000"/>
          <w:sz w:val="32"/>
          <w:szCs w:val="32"/>
        </w:rPr>
        <w:t>%</w:t>
      </w:r>
      <w:r>
        <w:rPr>
          <w:rFonts w:hint="eastAsia" w:ascii="仿宋" w:hAnsi="仿宋" w:eastAsia="仿宋"/>
          <w:color w:val="000000"/>
          <w:sz w:val="32"/>
          <w:szCs w:val="32"/>
        </w:rPr>
        <w:t>；社会保障和就业支出133.57万元，占9.67</w:t>
      </w:r>
      <w:r>
        <w:rPr>
          <w:rFonts w:ascii="仿宋" w:hAnsi="仿宋" w:eastAsia="仿宋"/>
          <w:color w:val="000000"/>
          <w:sz w:val="32"/>
          <w:szCs w:val="32"/>
        </w:rPr>
        <w:t>%</w:t>
      </w:r>
      <w:r>
        <w:rPr>
          <w:rFonts w:hint="eastAsia" w:ascii="仿宋" w:hAnsi="仿宋" w:eastAsia="仿宋"/>
          <w:color w:val="000000"/>
          <w:sz w:val="32"/>
          <w:szCs w:val="32"/>
        </w:rPr>
        <w:t>；卫生健康支出57.12万元，占4.14</w:t>
      </w:r>
      <w:r>
        <w:rPr>
          <w:rFonts w:ascii="仿宋" w:hAnsi="仿宋" w:eastAsia="仿宋"/>
          <w:color w:val="000000"/>
          <w:sz w:val="32"/>
          <w:szCs w:val="32"/>
        </w:rPr>
        <w:t>%</w:t>
      </w:r>
      <w:r>
        <w:rPr>
          <w:rFonts w:hint="eastAsia" w:ascii="仿宋" w:hAnsi="仿宋" w:eastAsia="仿宋"/>
          <w:color w:val="000000"/>
          <w:sz w:val="32"/>
          <w:szCs w:val="32"/>
        </w:rPr>
        <w:t>；住房保障支出101.87万元，占7.38</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三、部门整体预算绩效管理情况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遂宁市安居区横山镇初级中</w:t>
      </w:r>
      <w:r>
        <w:rPr>
          <w:rFonts w:ascii="仿宋" w:hAnsi="仿宋" w:eastAsia="仿宋"/>
          <w:sz w:val="32"/>
          <w:szCs w:val="32"/>
        </w:rPr>
        <w:t>学校</w:t>
      </w:r>
      <w:r>
        <w:rPr>
          <w:rFonts w:hint="eastAsia" w:ascii="仿宋" w:hAnsi="仿宋" w:eastAsia="仿宋"/>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遂宁市安居区横山镇初级中</w:t>
      </w:r>
      <w:r>
        <w:rPr>
          <w:rFonts w:ascii="仿宋" w:hAnsi="仿宋" w:eastAsia="仿宋"/>
          <w:sz w:val="32"/>
          <w:szCs w:val="32"/>
        </w:rPr>
        <w:t>学校</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认真履职尽责，认真完成项目任务，所有项目均开展绩效评价，评价效果良好，对于财政预算资金多次接受省、市、区的检查，所有资金的支出，接受财政部门的监督管理，圆满完成2023年的目标任务。</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pPr>
        <w:pStyle w:val="28"/>
        <w:spacing w:line="560" w:lineRule="exact"/>
        <w:ind w:firstLine="640" w:firstLineChars="200"/>
        <w:rPr>
          <w:rFonts w:ascii="仿宋_GB2312" w:eastAsia="仿宋_GB2312"/>
          <w:sz w:val="32"/>
          <w:szCs w:val="32"/>
        </w:rPr>
      </w:pPr>
      <w:r>
        <w:rPr>
          <w:rFonts w:hint="eastAsia" w:hAnsi="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w:t>
      </w:r>
      <w:r>
        <w:rPr>
          <w:rFonts w:ascii="仿宋_GB2312" w:eastAsia="仿宋_GB2312"/>
          <w:sz w:val="32"/>
          <w:szCs w:val="32"/>
        </w:rPr>
        <w:t>部门整体支出绩效自评得分</w:t>
      </w:r>
      <w:r>
        <w:rPr>
          <w:rFonts w:hint="eastAsia" w:ascii="仿宋_GB2312" w:eastAsia="仿宋_GB2312"/>
          <w:sz w:val="32"/>
          <w:szCs w:val="32"/>
        </w:rPr>
        <w:t>100分</w:t>
      </w:r>
      <w:r>
        <w:rPr>
          <w:rFonts w:ascii="仿宋_GB2312" w:eastAsia="仿宋_GB2312"/>
          <w:sz w:val="32"/>
          <w:szCs w:val="32"/>
        </w:rPr>
        <w:t xml:space="preserve"> 。</w:t>
      </w:r>
    </w:p>
    <w:tbl>
      <w:tblPr>
        <w:tblStyle w:val="16"/>
        <w:tblW w:w="8359" w:type="dxa"/>
        <w:tblInd w:w="113" w:type="dxa"/>
        <w:tblLayout w:type="autofit"/>
        <w:tblCellMar>
          <w:top w:w="0" w:type="dxa"/>
          <w:left w:w="108" w:type="dxa"/>
          <w:bottom w:w="0" w:type="dxa"/>
          <w:right w:w="108" w:type="dxa"/>
        </w:tblCellMar>
      </w:tblPr>
      <w:tblGrid>
        <w:gridCol w:w="689"/>
        <w:gridCol w:w="1341"/>
        <w:gridCol w:w="960"/>
        <w:gridCol w:w="960"/>
        <w:gridCol w:w="686"/>
        <w:gridCol w:w="576"/>
        <w:gridCol w:w="846"/>
        <w:gridCol w:w="566"/>
        <w:gridCol w:w="486"/>
        <w:gridCol w:w="1249"/>
      </w:tblGrid>
      <w:tr>
        <w:tblPrEx>
          <w:tblCellMar>
            <w:top w:w="0" w:type="dxa"/>
            <w:left w:w="108" w:type="dxa"/>
            <w:bottom w:w="0" w:type="dxa"/>
            <w:right w:w="108" w:type="dxa"/>
          </w:tblCellMar>
        </w:tblPrEx>
        <w:trPr>
          <w:trHeight w:val="904" w:hRule="atLeast"/>
        </w:trPr>
        <w:tc>
          <w:tcPr>
            <w:tcW w:w="83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6329"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51090422T000006815845-义务教育家庭经济困难学生生活补助</w:t>
            </w:r>
          </w:p>
        </w:tc>
      </w:tr>
      <w:tr>
        <w:tblPrEx>
          <w:tblCellMar>
            <w:top w:w="0" w:type="dxa"/>
            <w:left w:w="108" w:type="dxa"/>
            <w:bottom w:w="0" w:type="dxa"/>
            <w:right w:w="108" w:type="dxa"/>
          </w:tblCellMar>
        </w:tblPrEx>
        <w:trPr>
          <w:trHeight w:val="514" w:hRule="atLeast"/>
        </w:trPr>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遂宁市安居区横山镇初级中学校部门</w:t>
            </w:r>
          </w:p>
        </w:tc>
        <w:tc>
          <w:tcPr>
            <w:tcW w:w="846" w:type="dxa"/>
            <w:tcBorders>
              <w:top w:val="nil"/>
              <w:left w:val="nil"/>
              <w:bottom w:val="nil"/>
              <w:right w:val="nil"/>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遂宁市安居区横山镇初级中学校</w:t>
            </w:r>
          </w:p>
        </w:tc>
      </w:tr>
      <w:tr>
        <w:tblPrEx>
          <w:tblCellMar>
            <w:top w:w="0" w:type="dxa"/>
            <w:left w:w="108" w:type="dxa"/>
            <w:bottom w:w="0" w:type="dxa"/>
            <w:right w:w="108" w:type="dxa"/>
          </w:tblCellMar>
        </w:tblPrEx>
        <w:trPr>
          <w:trHeight w:val="285"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34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47"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对贫困学生进行生活补助</w:t>
            </w:r>
          </w:p>
        </w:tc>
        <w:tc>
          <w:tcPr>
            <w:tcW w:w="3147"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按上级文件要求全额发放到学生社保卡</w:t>
            </w:r>
          </w:p>
        </w:tc>
      </w:tr>
      <w:tr>
        <w:tblPrEx>
          <w:tblCellMar>
            <w:top w:w="0" w:type="dxa"/>
            <w:left w:w="108" w:type="dxa"/>
            <w:bottom w:w="0" w:type="dxa"/>
            <w:right w:w="108" w:type="dxa"/>
          </w:tblCellMar>
        </w:tblPrEx>
        <w:trPr>
          <w:trHeight w:val="694"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329"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根据上级文件进行评审，发放</w:t>
            </w:r>
          </w:p>
        </w:tc>
      </w:tr>
      <w:tr>
        <w:tblPrEx>
          <w:tblCellMar>
            <w:top w:w="0" w:type="dxa"/>
            <w:left w:w="108" w:type="dxa"/>
            <w:bottom w:w="0" w:type="dxa"/>
            <w:right w:w="108" w:type="dxa"/>
          </w:tblCellMar>
        </w:tblPrEx>
        <w:trPr>
          <w:trHeight w:val="495"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14.13</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14.13</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4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39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14.13</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14.13</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9"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学生人数</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375</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375</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家长及学生</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8"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家长及学生</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0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24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tblPrEx>
          <w:tblCellMar>
            <w:top w:w="0" w:type="dxa"/>
            <w:left w:w="108" w:type="dxa"/>
            <w:bottom w:w="0" w:type="dxa"/>
            <w:right w:w="108" w:type="dxa"/>
          </w:tblCellMar>
        </w:tblPrEx>
        <w:trPr>
          <w:trHeight w:val="57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46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项目负责人：陈修文</w:t>
            </w:r>
          </w:p>
        </w:tc>
        <w:tc>
          <w:tcPr>
            <w:tcW w:w="372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财务负责人：陈修文</w:t>
            </w:r>
          </w:p>
        </w:tc>
      </w:tr>
      <w:tr>
        <w:tblPrEx>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p>
        </w:tc>
        <w:tc>
          <w:tcPr>
            <w:tcW w:w="1341"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68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7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84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6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24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904" w:hRule="atLeast"/>
        </w:trPr>
        <w:tc>
          <w:tcPr>
            <w:tcW w:w="83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6329"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51090422T000007203223-校舍维修</w:t>
            </w:r>
          </w:p>
        </w:tc>
      </w:tr>
      <w:tr>
        <w:tblPrEx>
          <w:tblCellMar>
            <w:top w:w="0" w:type="dxa"/>
            <w:left w:w="108" w:type="dxa"/>
            <w:bottom w:w="0" w:type="dxa"/>
            <w:right w:w="108" w:type="dxa"/>
          </w:tblCellMar>
        </w:tblPrEx>
        <w:trPr>
          <w:trHeight w:val="514" w:hRule="atLeast"/>
        </w:trPr>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遂宁市安居区横山镇初级中学校部门</w:t>
            </w:r>
          </w:p>
        </w:tc>
        <w:tc>
          <w:tcPr>
            <w:tcW w:w="846" w:type="dxa"/>
            <w:tcBorders>
              <w:top w:val="nil"/>
              <w:left w:val="nil"/>
              <w:bottom w:val="nil"/>
              <w:right w:val="nil"/>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遂宁市安居区横山镇初级中学校</w:t>
            </w:r>
          </w:p>
        </w:tc>
      </w:tr>
      <w:tr>
        <w:tblPrEx>
          <w:tblCellMar>
            <w:top w:w="0" w:type="dxa"/>
            <w:left w:w="108" w:type="dxa"/>
            <w:bottom w:w="0" w:type="dxa"/>
            <w:right w:w="108" w:type="dxa"/>
          </w:tblCellMar>
        </w:tblPrEx>
        <w:trPr>
          <w:trHeight w:val="285"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34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47"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学校会议室，教室改造等</w:t>
            </w:r>
          </w:p>
        </w:tc>
        <w:tc>
          <w:tcPr>
            <w:tcW w:w="3147"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已完成</w:t>
            </w:r>
          </w:p>
        </w:tc>
      </w:tr>
      <w:tr>
        <w:tblPrEx>
          <w:tblCellMar>
            <w:top w:w="0" w:type="dxa"/>
            <w:left w:w="108" w:type="dxa"/>
            <w:bottom w:w="0" w:type="dxa"/>
            <w:right w:w="108" w:type="dxa"/>
          </w:tblCellMar>
        </w:tblPrEx>
        <w:trPr>
          <w:trHeight w:val="694"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329"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按照要求，已完成，验收合格，已投入使用</w:t>
            </w:r>
          </w:p>
        </w:tc>
      </w:tr>
      <w:tr>
        <w:tblPrEx>
          <w:tblCellMar>
            <w:top w:w="0" w:type="dxa"/>
            <w:left w:w="108" w:type="dxa"/>
            <w:bottom w:w="0" w:type="dxa"/>
            <w:right w:w="108" w:type="dxa"/>
          </w:tblCellMar>
        </w:tblPrEx>
        <w:trPr>
          <w:trHeight w:val="360"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18.39</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38.39</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38.39</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4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39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18.39</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38.39</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38.39</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9"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支付率</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70</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4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家长及学生</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81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家长及学生</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0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24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tblPrEx>
          <w:tblCellMar>
            <w:top w:w="0" w:type="dxa"/>
            <w:left w:w="108" w:type="dxa"/>
            <w:bottom w:w="0" w:type="dxa"/>
            <w:right w:w="108" w:type="dxa"/>
          </w:tblCellMar>
        </w:tblPrEx>
        <w:trPr>
          <w:trHeight w:val="57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46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项目负责人：陈修文</w:t>
            </w:r>
          </w:p>
        </w:tc>
        <w:tc>
          <w:tcPr>
            <w:tcW w:w="372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财务负责人：陈修文</w:t>
            </w:r>
          </w:p>
        </w:tc>
      </w:tr>
      <w:tr>
        <w:tblPrEx>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p>
        </w:tc>
        <w:tc>
          <w:tcPr>
            <w:tcW w:w="1341"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68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7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84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6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24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904" w:hRule="atLeast"/>
        </w:trPr>
        <w:tc>
          <w:tcPr>
            <w:tcW w:w="83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6329"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51090423T000008612092-义务教育课后服务支出</w:t>
            </w:r>
          </w:p>
        </w:tc>
      </w:tr>
      <w:tr>
        <w:tblPrEx>
          <w:tblCellMar>
            <w:top w:w="0" w:type="dxa"/>
            <w:left w:w="108" w:type="dxa"/>
            <w:bottom w:w="0" w:type="dxa"/>
            <w:right w:w="108" w:type="dxa"/>
          </w:tblCellMar>
        </w:tblPrEx>
        <w:trPr>
          <w:trHeight w:val="514" w:hRule="atLeast"/>
        </w:trPr>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遂宁市安居区横山镇初级中学校部门</w:t>
            </w:r>
          </w:p>
        </w:tc>
        <w:tc>
          <w:tcPr>
            <w:tcW w:w="846" w:type="dxa"/>
            <w:tcBorders>
              <w:top w:val="nil"/>
              <w:left w:val="nil"/>
              <w:bottom w:val="nil"/>
              <w:right w:val="nil"/>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遂宁市安居区横山镇初级中学校</w:t>
            </w:r>
          </w:p>
        </w:tc>
      </w:tr>
      <w:tr>
        <w:tblPrEx>
          <w:tblCellMar>
            <w:top w:w="0" w:type="dxa"/>
            <w:left w:w="108" w:type="dxa"/>
            <w:bottom w:w="0" w:type="dxa"/>
            <w:right w:w="108" w:type="dxa"/>
          </w:tblCellMar>
        </w:tblPrEx>
        <w:trPr>
          <w:trHeight w:val="285"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34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47"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2023年学校为学生提供课后服务费用</w:t>
            </w:r>
          </w:p>
        </w:tc>
        <w:tc>
          <w:tcPr>
            <w:tcW w:w="3147"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严格按学校方案考核，公示，发放</w:t>
            </w:r>
          </w:p>
        </w:tc>
      </w:tr>
      <w:tr>
        <w:tblPrEx>
          <w:tblCellMar>
            <w:top w:w="0" w:type="dxa"/>
            <w:left w:w="108" w:type="dxa"/>
            <w:bottom w:w="0" w:type="dxa"/>
            <w:right w:w="108" w:type="dxa"/>
          </w:tblCellMar>
        </w:tblPrEx>
        <w:trPr>
          <w:trHeight w:val="694"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329"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根据学校教导处安排，核算进行公示</w:t>
            </w:r>
          </w:p>
        </w:tc>
      </w:tr>
      <w:tr>
        <w:tblPrEx>
          <w:tblCellMar>
            <w:top w:w="0" w:type="dxa"/>
            <w:left w:w="108" w:type="dxa"/>
            <w:bottom w:w="0" w:type="dxa"/>
            <w:right w:w="108" w:type="dxa"/>
          </w:tblCellMar>
        </w:tblPrEx>
        <w:trPr>
          <w:trHeight w:val="360"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32.64</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32.64</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25.87</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79.27%</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4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39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9"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32.64</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32.64</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25.87</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79.27%</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每周每班提供规定时数课后服务</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课后服务</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1280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40</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0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24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tblPrEx>
          <w:tblCellMar>
            <w:top w:w="0" w:type="dxa"/>
            <w:left w:w="108" w:type="dxa"/>
            <w:bottom w:w="0" w:type="dxa"/>
            <w:right w:w="108" w:type="dxa"/>
          </w:tblCellMar>
        </w:tblPrEx>
        <w:trPr>
          <w:trHeight w:val="57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46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项目负责人：陈修文</w:t>
            </w:r>
          </w:p>
        </w:tc>
        <w:tc>
          <w:tcPr>
            <w:tcW w:w="372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财务负责人：陈修文</w:t>
            </w:r>
          </w:p>
        </w:tc>
      </w:tr>
      <w:tr>
        <w:tblPrEx>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p>
        </w:tc>
        <w:tc>
          <w:tcPr>
            <w:tcW w:w="1341"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68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7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84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6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24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904" w:hRule="atLeast"/>
        </w:trPr>
        <w:tc>
          <w:tcPr>
            <w:tcW w:w="83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6329"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51090423T000009404312-城乡义务教育-免作业本费</w:t>
            </w:r>
          </w:p>
        </w:tc>
      </w:tr>
      <w:tr>
        <w:tblPrEx>
          <w:tblCellMar>
            <w:top w:w="0" w:type="dxa"/>
            <w:left w:w="108" w:type="dxa"/>
            <w:bottom w:w="0" w:type="dxa"/>
            <w:right w:w="108" w:type="dxa"/>
          </w:tblCellMar>
        </w:tblPrEx>
        <w:trPr>
          <w:trHeight w:val="514" w:hRule="atLeast"/>
        </w:trPr>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遂宁市安居区横山镇初级中学校部门</w:t>
            </w:r>
          </w:p>
        </w:tc>
        <w:tc>
          <w:tcPr>
            <w:tcW w:w="846" w:type="dxa"/>
            <w:tcBorders>
              <w:top w:val="nil"/>
              <w:left w:val="nil"/>
              <w:bottom w:val="nil"/>
              <w:right w:val="nil"/>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遂宁市安居区横山镇初级中学校</w:t>
            </w:r>
          </w:p>
        </w:tc>
      </w:tr>
      <w:tr>
        <w:tblPrEx>
          <w:tblCellMar>
            <w:top w:w="0" w:type="dxa"/>
            <w:left w:w="108" w:type="dxa"/>
            <w:bottom w:w="0" w:type="dxa"/>
            <w:right w:w="108" w:type="dxa"/>
          </w:tblCellMar>
        </w:tblPrEx>
        <w:trPr>
          <w:trHeight w:val="285"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34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47"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18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支付学生作业本</w:t>
            </w:r>
          </w:p>
        </w:tc>
        <w:tc>
          <w:tcPr>
            <w:tcW w:w="3147"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已完成</w:t>
            </w:r>
          </w:p>
        </w:tc>
      </w:tr>
      <w:tr>
        <w:tblPrEx>
          <w:tblCellMar>
            <w:top w:w="0" w:type="dxa"/>
            <w:left w:w="108" w:type="dxa"/>
            <w:bottom w:w="0" w:type="dxa"/>
            <w:right w:w="108" w:type="dxa"/>
          </w:tblCellMar>
        </w:tblPrEx>
        <w:trPr>
          <w:trHeight w:val="694"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329"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根据学生人数，及时支付到公司</w:t>
            </w:r>
          </w:p>
        </w:tc>
      </w:tr>
      <w:tr>
        <w:tblPrEx>
          <w:tblCellMar>
            <w:top w:w="0" w:type="dxa"/>
            <w:left w:w="108" w:type="dxa"/>
            <w:bottom w:w="0" w:type="dxa"/>
            <w:right w:w="108" w:type="dxa"/>
          </w:tblCellMar>
        </w:tblPrEx>
        <w:trPr>
          <w:trHeight w:val="360"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1.27</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1.27</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4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39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1.27</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1.27</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9"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4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服务质量</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6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20" w:hRule="atLeast"/>
        </w:trPr>
        <w:tc>
          <w:tcPr>
            <w:tcW w:w="6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4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学生及家长满意</w:t>
            </w:r>
          </w:p>
        </w:tc>
        <w:tc>
          <w:tcPr>
            <w:tcW w:w="6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0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5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4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tblPrEx>
          <w:tblCellMar>
            <w:top w:w="0" w:type="dxa"/>
            <w:left w:w="108" w:type="dxa"/>
            <w:bottom w:w="0" w:type="dxa"/>
            <w:right w:w="108" w:type="dxa"/>
          </w:tblCellMar>
        </w:tblPrEx>
        <w:trPr>
          <w:trHeight w:val="57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8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767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46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项目负责人：陈修文</w:t>
            </w:r>
          </w:p>
        </w:tc>
        <w:tc>
          <w:tcPr>
            <w:tcW w:w="372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财务负责人：陈修文</w:t>
            </w:r>
          </w:p>
        </w:tc>
      </w:tr>
    </w:tbl>
    <w:p>
      <w:pPr>
        <w:pStyle w:val="28"/>
        <w:spacing w:line="560" w:lineRule="exact"/>
        <w:ind w:firstLine="640" w:firstLineChars="200"/>
        <w:rPr>
          <w:rFonts w:ascii="仿宋_GB2312" w:eastAsia="仿宋_GB2312"/>
          <w:sz w:val="32"/>
          <w:szCs w:val="32"/>
        </w:rPr>
      </w:pP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(二)存在问题。</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学校地处农村，生源少。</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（三）改进建议。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向主管部门汇报情况，争取上级或本级资金，加快校园建设，完善教学基础设施，更新教学理念。提高学生的竞争能力，保住生源。</w:t>
      </w:r>
    </w:p>
    <w:p>
      <w:pPr>
        <w:pStyle w:val="9"/>
        <w:spacing w:before="93"/>
        <w:rPr>
          <w:rFonts w:hint="eastAsia" w:hAnsi="Calibri" w:cs="仿宋"/>
          <w:sz w:val="15"/>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0"/>
          <w:rFonts w:hint="eastAsia" w:ascii="黑体" w:hAnsi="黑体" w:eastAsia="黑体"/>
          <w:b w:val="0"/>
        </w:rPr>
        <w:t>五部分 附表</w:t>
      </w:r>
      <w:bookmarkEnd w:id="45"/>
      <w:bookmarkEnd w:id="46"/>
      <w:bookmarkStart w:id="47" w:name="_Toc15396619"/>
    </w:p>
    <w:p>
      <w:pPr>
        <w:pStyle w:val="6"/>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47"/>
    </w:p>
    <w:p>
      <w:pPr>
        <w:pStyle w:val="6"/>
        <w:rPr>
          <w:rFonts w:ascii="仿宋" w:hAnsi="仿宋" w:eastAsia="仿宋"/>
        </w:rPr>
      </w:pPr>
      <w:bookmarkStart w:id="48" w:name="_Toc15396620"/>
      <w:r>
        <w:rPr>
          <w:rFonts w:hint="eastAsia" w:ascii="仿宋" w:hAnsi="仿宋" w:eastAsia="仿宋"/>
          <w:b w:val="0"/>
        </w:rPr>
        <w:t>二、收</w:t>
      </w:r>
      <w:r>
        <w:rPr>
          <w:rStyle w:val="31"/>
          <w:rFonts w:hint="eastAsia" w:ascii="仿宋" w:hAnsi="仿宋" w:eastAsia="仿宋"/>
          <w:b w:val="0"/>
          <w:bCs w:val="0"/>
        </w:rPr>
        <w:t>入决算表</w:t>
      </w:r>
      <w:bookmarkEnd w:id="48"/>
    </w:p>
    <w:p>
      <w:pPr>
        <w:pStyle w:val="6"/>
        <w:rPr>
          <w:rFonts w:ascii="仿宋" w:hAnsi="仿宋" w:eastAsia="仿宋"/>
        </w:rPr>
      </w:pPr>
      <w:bookmarkStart w:id="49"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49"/>
    </w:p>
    <w:p>
      <w:pPr>
        <w:pStyle w:val="6"/>
        <w:rPr>
          <w:rFonts w:ascii="仿宋" w:hAnsi="仿宋" w:eastAsia="仿宋"/>
          <w:b w:val="0"/>
        </w:rPr>
      </w:pPr>
      <w:bookmarkStart w:id="50"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50"/>
    </w:p>
    <w:p>
      <w:pPr>
        <w:pStyle w:val="6"/>
        <w:rPr>
          <w:rStyle w:val="31"/>
          <w:rFonts w:ascii="仿宋" w:hAnsi="仿宋" w:eastAsia="仿宋"/>
          <w:b w:val="0"/>
          <w:bCs w:val="0"/>
        </w:rPr>
      </w:pPr>
      <w:bookmarkStart w:id="51"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51"/>
      <w:bookmarkStart w:id="52" w:name="_Toc15396624"/>
    </w:p>
    <w:p>
      <w:pPr>
        <w:pStyle w:val="6"/>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52"/>
    </w:p>
    <w:p>
      <w:pPr>
        <w:pStyle w:val="6"/>
        <w:rPr>
          <w:rFonts w:ascii="仿宋" w:hAnsi="仿宋" w:eastAsia="仿宋"/>
        </w:rPr>
      </w:pPr>
      <w:bookmarkStart w:id="53"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53"/>
    </w:p>
    <w:p>
      <w:pPr>
        <w:pStyle w:val="6"/>
        <w:rPr>
          <w:rFonts w:ascii="仿宋" w:hAnsi="仿宋" w:eastAsia="仿宋"/>
        </w:rPr>
      </w:pPr>
      <w:bookmarkStart w:id="54"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54"/>
    </w:p>
    <w:p>
      <w:pPr>
        <w:pStyle w:val="6"/>
        <w:rPr>
          <w:rFonts w:ascii="仿宋" w:hAnsi="仿宋" w:eastAsia="仿宋"/>
        </w:rPr>
      </w:pPr>
      <w:bookmarkStart w:id="55"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55"/>
    </w:p>
    <w:p>
      <w:pPr>
        <w:pStyle w:val="6"/>
        <w:rPr>
          <w:rFonts w:ascii="仿宋" w:hAnsi="仿宋" w:eastAsia="仿宋"/>
        </w:rPr>
      </w:pPr>
      <w:bookmarkStart w:id="56" w:name="_Toc15396628"/>
      <w:r>
        <w:rPr>
          <w:rStyle w:val="31"/>
          <w:rFonts w:hint="eastAsia" w:ascii="仿宋" w:hAnsi="仿宋" w:eastAsia="仿宋"/>
          <w:b w:val="0"/>
          <w:bCs w:val="0"/>
        </w:rPr>
        <w:t>十、</w:t>
      </w:r>
      <w:bookmarkEnd w:id="56"/>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6"/>
        <w:rPr>
          <w:rFonts w:ascii="仿宋" w:hAnsi="仿宋" w:eastAsia="仿宋"/>
        </w:rPr>
      </w:pPr>
      <w:bookmarkStart w:id="57" w:name="_Toc15396629"/>
      <w:r>
        <w:rPr>
          <w:rStyle w:val="31"/>
          <w:rFonts w:hint="eastAsia" w:ascii="仿宋" w:hAnsi="仿宋" w:eastAsia="仿宋"/>
          <w:b w:val="0"/>
          <w:bCs w:val="0"/>
        </w:rPr>
        <w:t>十一、</w:t>
      </w:r>
      <w:bookmarkEnd w:id="57"/>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6"/>
        <w:rPr>
          <w:rFonts w:ascii="仿宋" w:hAnsi="仿宋" w:eastAsia="仿宋"/>
        </w:rPr>
      </w:pPr>
      <w:bookmarkStart w:id="58" w:name="_Toc15396630"/>
      <w:r>
        <w:rPr>
          <w:rStyle w:val="31"/>
          <w:rFonts w:hint="eastAsia" w:ascii="仿宋" w:hAnsi="仿宋" w:eastAsia="仿宋"/>
          <w:b w:val="0"/>
          <w:bCs w:val="0"/>
        </w:rPr>
        <w:t>十二、</w:t>
      </w:r>
      <w:bookmarkEnd w:id="58"/>
      <w:r>
        <w:rPr>
          <w:rStyle w:val="31"/>
          <w:rFonts w:hint="eastAsia" w:ascii="仿宋" w:hAnsi="仿宋" w:eastAsia="仿宋"/>
          <w:b w:val="0"/>
          <w:bCs w:val="0"/>
        </w:rPr>
        <w:t>国有资本经营预算财政拨款支出决算表</w:t>
      </w:r>
    </w:p>
    <w:p>
      <w:pPr>
        <w:pStyle w:val="6"/>
        <w:rPr>
          <w:rFonts w:eastAsia="仿宋"/>
        </w:rPr>
      </w:pPr>
      <w:bookmarkStart w:id="59" w:name="_Toc15396631"/>
      <w:r>
        <w:rPr>
          <w:rStyle w:val="31"/>
          <w:rFonts w:hint="eastAsia" w:ascii="仿宋" w:hAnsi="仿宋" w:eastAsia="仿宋"/>
          <w:b w:val="0"/>
          <w:bCs w:val="0"/>
        </w:rPr>
        <w:t>十三、</w:t>
      </w:r>
      <w:bookmarkEnd w:id="59"/>
      <w:r>
        <w:rPr>
          <w:rStyle w:val="31"/>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小标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21</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3818A09A"/>
    <w:multiLevelType w:val="singleLevel"/>
    <w:tmpl w:val="3818A09A"/>
    <w:lvl w:ilvl="0" w:tentative="0">
      <w:start w:val="1"/>
      <w:numFmt w:val="chineseCounting"/>
      <w:suff w:val="nothing"/>
      <w:lvlText w:val="%1、"/>
      <w:lvlJc w:val="left"/>
      <w:rPr>
        <w:rFonts w:hint="eastAsia"/>
        <w:lang w:val="en-US"/>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5ZWI2NmExODE0ZWQ1ZTY2NzIyNWIwNGIzZmMzZTE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57D6"/>
    <w:rsid w:val="00114E9B"/>
    <w:rsid w:val="00137013"/>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01A5"/>
    <w:rsid w:val="003620B0"/>
    <w:rsid w:val="0036561B"/>
    <w:rsid w:val="0037013F"/>
    <w:rsid w:val="00380C92"/>
    <w:rsid w:val="00387A45"/>
    <w:rsid w:val="003A484F"/>
    <w:rsid w:val="003A4883"/>
    <w:rsid w:val="003B04A4"/>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0D7"/>
    <w:rsid w:val="00452CA2"/>
    <w:rsid w:val="00471401"/>
    <w:rsid w:val="00473F31"/>
    <w:rsid w:val="0048263A"/>
    <w:rsid w:val="00487E5D"/>
    <w:rsid w:val="00491AB5"/>
    <w:rsid w:val="004937A8"/>
    <w:rsid w:val="004A711F"/>
    <w:rsid w:val="004B199D"/>
    <w:rsid w:val="004B4690"/>
    <w:rsid w:val="004C3AA8"/>
    <w:rsid w:val="004E0A2D"/>
    <w:rsid w:val="004E206B"/>
    <w:rsid w:val="004E4364"/>
    <w:rsid w:val="004E6DF7"/>
    <w:rsid w:val="004F0FBD"/>
    <w:rsid w:val="004F2B6A"/>
    <w:rsid w:val="00505A47"/>
    <w:rsid w:val="00512FDA"/>
    <w:rsid w:val="00520DA0"/>
    <w:rsid w:val="00526A65"/>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E3DFA"/>
    <w:rsid w:val="005F1A4C"/>
    <w:rsid w:val="00605688"/>
    <w:rsid w:val="006070AF"/>
    <w:rsid w:val="00607277"/>
    <w:rsid w:val="00607E6C"/>
    <w:rsid w:val="006101B1"/>
    <w:rsid w:val="00613D08"/>
    <w:rsid w:val="00614E44"/>
    <w:rsid w:val="0062270A"/>
    <w:rsid w:val="00622830"/>
    <w:rsid w:val="00623DA0"/>
    <w:rsid w:val="00625A63"/>
    <w:rsid w:val="00630AEF"/>
    <w:rsid w:val="006325F8"/>
    <w:rsid w:val="00633463"/>
    <w:rsid w:val="00634C9A"/>
    <w:rsid w:val="0064367F"/>
    <w:rsid w:val="006440E4"/>
    <w:rsid w:val="00646350"/>
    <w:rsid w:val="00650A86"/>
    <w:rsid w:val="00660BC5"/>
    <w:rsid w:val="0066343B"/>
    <w:rsid w:val="00664777"/>
    <w:rsid w:val="006748A4"/>
    <w:rsid w:val="00677FF5"/>
    <w:rsid w:val="00681A31"/>
    <w:rsid w:val="00683E73"/>
    <w:rsid w:val="00692F6A"/>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4F67"/>
    <w:rsid w:val="008253BB"/>
    <w:rsid w:val="0083706E"/>
    <w:rsid w:val="008408F6"/>
    <w:rsid w:val="008423A5"/>
    <w:rsid w:val="008450BA"/>
    <w:rsid w:val="00850625"/>
    <w:rsid w:val="00853718"/>
    <w:rsid w:val="00855221"/>
    <w:rsid w:val="00860645"/>
    <w:rsid w:val="00871F71"/>
    <w:rsid w:val="00872FD8"/>
    <w:rsid w:val="0088314B"/>
    <w:rsid w:val="00885AF4"/>
    <w:rsid w:val="00891713"/>
    <w:rsid w:val="008939CD"/>
    <w:rsid w:val="008A7BE5"/>
    <w:rsid w:val="008B0E49"/>
    <w:rsid w:val="008B768C"/>
    <w:rsid w:val="008C4DB1"/>
    <w:rsid w:val="008C4EAF"/>
    <w:rsid w:val="008C5176"/>
    <w:rsid w:val="008C7FD0"/>
    <w:rsid w:val="008D29C1"/>
    <w:rsid w:val="008E1DE7"/>
    <w:rsid w:val="008E707C"/>
    <w:rsid w:val="008F7B08"/>
    <w:rsid w:val="00900B08"/>
    <w:rsid w:val="00901ED1"/>
    <w:rsid w:val="00902155"/>
    <w:rsid w:val="00902FA3"/>
    <w:rsid w:val="00923564"/>
    <w:rsid w:val="0092392E"/>
    <w:rsid w:val="00927BD5"/>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118B"/>
    <w:rsid w:val="00A733B2"/>
    <w:rsid w:val="00A741C2"/>
    <w:rsid w:val="00A91760"/>
    <w:rsid w:val="00A93B00"/>
    <w:rsid w:val="00A93C21"/>
    <w:rsid w:val="00AB64C9"/>
    <w:rsid w:val="00AC3C6A"/>
    <w:rsid w:val="00AC4D74"/>
    <w:rsid w:val="00AD5620"/>
    <w:rsid w:val="00AD656B"/>
    <w:rsid w:val="00AD7C1B"/>
    <w:rsid w:val="00AE16BA"/>
    <w:rsid w:val="00AE1EBE"/>
    <w:rsid w:val="00B03C9D"/>
    <w:rsid w:val="00B051EE"/>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D25FA"/>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57DB0"/>
    <w:rsid w:val="00D7035F"/>
    <w:rsid w:val="00D97B8E"/>
    <w:rsid w:val="00DA634F"/>
    <w:rsid w:val="00DA65AC"/>
    <w:rsid w:val="00DB1913"/>
    <w:rsid w:val="00DC410D"/>
    <w:rsid w:val="00DC54E5"/>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17AE"/>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29D2"/>
    <w:rsid w:val="00FF30B4"/>
    <w:rsid w:val="053A62B5"/>
    <w:rsid w:val="0A2032A3"/>
    <w:rsid w:val="0B8A37D8"/>
    <w:rsid w:val="10C055FF"/>
    <w:rsid w:val="118107EC"/>
    <w:rsid w:val="11DD6519"/>
    <w:rsid w:val="16BB723D"/>
    <w:rsid w:val="18015F3F"/>
    <w:rsid w:val="1BE8440E"/>
    <w:rsid w:val="1D155CEE"/>
    <w:rsid w:val="20F57F95"/>
    <w:rsid w:val="2243015B"/>
    <w:rsid w:val="240371BF"/>
    <w:rsid w:val="25711CC6"/>
    <w:rsid w:val="25C741E6"/>
    <w:rsid w:val="27842671"/>
    <w:rsid w:val="29FD04D3"/>
    <w:rsid w:val="2AB27FBA"/>
    <w:rsid w:val="2ABE7A3E"/>
    <w:rsid w:val="2CA234A8"/>
    <w:rsid w:val="2EE975F2"/>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5BA9462D"/>
    <w:rsid w:val="64CA39A1"/>
    <w:rsid w:val="69630ADE"/>
    <w:rsid w:val="6C4A05C8"/>
    <w:rsid w:val="6D386E79"/>
    <w:rsid w:val="6D3B1A89"/>
    <w:rsid w:val="71BF4EC2"/>
    <w:rsid w:val="72734D90"/>
    <w:rsid w:val="7412278C"/>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uiPriority w:val="99"/>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FollowedHyperlink"/>
    <w:basedOn w:val="17"/>
    <w:semiHidden/>
    <w:unhideWhenUsed/>
    <w:qFormat/>
    <w:uiPriority w:val="99"/>
    <w:rPr>
      <w:color w:val="800080"/>
      <w:u w:val="single"/>
    </w:rPr>
  </w:style>
  <w:style w:type="character" w:styleId="20">
    <w:name w:val="Hyperlink"/>
    <w:basedOn w:val="17"/>
    <w:unhideWhenUsed/>
    <w:qFormat/>
    <w:uiPriority w:val="99"/>
    <w:rPr>
      <w:color w:val="0000FF" w:themeColor="hyperlink"/>
      <w:u w:val="single"/>
    </w:rPr>
  </w:style>
  <w:style w:type="character" w:styleId="21">
    <w:name w:val="annotation reference"/>
    <w:basedOn w:val="17"/>
    <w:semiHidden/>
    <w:unhideWhenUsed/>
    <w:uiPriority w:val="99"/>
    <w:rPr>
      <w:sz w:val="21"/>
      <w:szCs w:val="21"/>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3"/>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2"/>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7"/>
    <w:link w:val="5"/>
    <w:qFormat/>
    <w:uiPriority w:val="9"/>
    <w:rPr>
      <w:rFonts w:ascii="Times New Roman" w:hAnsi="Times New Roman"/>
      <w:b/>
      <w:bCs/>
      <w:kern w:val="44"/>
      <w:sz w:val="44"/>
      <w:szCs w:val="44"/>
    </w:rPr>
  </w:style>
  <w:style w:type="character" w:customStyle="1" w:styleId="31">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字符"/>
    <w:basedOn w:val="17"/>
    <w:link w:val="11"/>
    <w:semiHidden/>
    <w:qFormat/>
    <w:uiPriority w:val="99"/>
    <w:rPr>
      <w:rFonts w:ascii="Times New Roman" w:hAnsi="Times New Roman"/>
      <w:kern w:val="2"/>
      <w:sz w:val="18"/>
      <w:szCs w:val="18"/>
    </w:rPr>
  </w:style>
  <w:style w:type="character" w:customStyle="1" w:styleId="34">
    <w:name w:val="标题 3 字符"/>
    <w:basedOn w:val="17"/>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7">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8">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3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0">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1">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3">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4">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5">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6">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7">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8">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49">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0">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1222.56</c:v>
                </c:pt>
                <c:pt idx="1">
                  <c:v>1222.56</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1380.65</c:v>
                </c:pt>
                <c:pt idx="1">
                  <c:v>1380.65</c:v>
                </c:pt>
              </c:numCache>
            </c:numRef>
          </c:val>
        </c:ser>
        <c:dLbls>
          <c:showLegendKey val="0"/>
          <c:showVal val="0"/>
          <c:showCatName val="0"/>
          <c:showSerName val="0"/>
          <c:showPercent val="0"/>
          <c:showBubbleSize val="0"/>
        </c:dLbls>
        <c:gapWidth val="219"/>
        <c:overlap val="-27"/>
        <c:axId val="84638720"/>
        <c:axId val="84691200"/>
      </c:barChart>
      <c:catAx>
        <c:axId val="8463872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91200"/>
        <c:crosses val="autoZero"/>
        <c:auto val="1"/>
        <c:lblAlgn val="ctr"/>
        <c:lblOffset val="100"/>
        <c:noMultiLvlLbl val="0"/>
      </c:catAx>
      <c:valAx>
        <c:axId val="8469120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38720"/>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附属单位上级收入</c:v>
                </c:pt>
                <c:pt idx="6">
                  <c:v>其他收入</c:v>
                </c:pt>
              </c:strCache>
            </c:strRef>
          </c:cat>
          <c:val>
            <c:numRef>
              <c:f>Sheet1!$B$2:$B$8</c:f>
              <c:numCache>
                <c:formatCode>General</c:formatCode>
                <c:ptCount val="7"/>
                <c:pt idx="0">
                  <c:v>1380.65</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1258.42</c:v>
                </c:pt>
                <c:pt idx="1">
                  <c:v>122.23</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1222.56</c:v>
                </c:pt>
                <c:pt idx="1">
                  <c:v>1222.56</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1380.65</c:v>
                </c:pt>
                <c:pt idx="1">
                  <c:v>1380.65</c:v>
                </c:pt>
              </c:numCache>
            </c:numRef>
          </c:val>
        </c:ser>
        <c:dLbls>
          <c:showLegendKey val="0"/>
          <c:showVal val="0"/>
          <c:showCatName val="0"/>
          <c:showSerName val="0"/>
          <c:showPercent val="0"/>
          <c:showBubbleSize val="0"/>
        </c:dLbls>
        <c:gapWidth val="219"/>
        <c:overlap val="-27"/>
        <c:axId val="85404288"/>
        <c:axId val="85407232"/>
      </c:barChart>
      <c:catAx>
        <c:axId val="8540428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407232"/>
        <c:crosses val="autoZero"/>
        <c:auto val="1"/>
        <c:lblAlgn val="ctr"/>
        <c:lblOffset val="100"/>
        <c:noMultiLvlLbl val="0"/>
      </c:catAx>
      <c:valAx>
        <c:axId val="854072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404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manualLayout>
          <c:xMode val="edge"/>
          <c:yMode val="edge"/>
          <c:x val="0.106597640260053"/>
          <c:y val="0.0206398348813209"/>
        </c:manualLayout>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1222.56</c:v>
                </c:pt>
                <c:pt idx="1">
                  <c:v>1380.65</c:v>
                </c:pt>
              </c:numCache>
            </c:numRef>
          </c:val>
        </c:ser>
        <c:dLbls>
          <c:showLegendKey val="0"/>
          <c:showVal val="0"/>
          <c:showCatName val="0"/>
          <c:showSerName val="0"/>
          <c:showPercent val="0"/>
          <c:showBubbleSize val="0"/>
        </c:dLbls>
        <c:gapWidth val="219"/>
        <c:overlap val="-27"/>
        <c:axId val="120378880"/>
        <c:axId val="131666688"/>
      </c:barChart>
      <c:catAx>
        <c:axId val="12037888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666688"/>
        <c:crosses val="autoZero"/>
        <c:auto val="1"/>
        <c:lblAlgn val="ctr"/>
        <c:lblOffset val="100"/>
        <c:noMultiLvlLbl val="0"/>
      </c:catAx>
      <c:valAx>
        <c:axId val="13166668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378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1088.09</c:v>
                </c:pt>
                <c:pt idx="1">
                  <c:v>133.57</c:v>
                </c:pt>
                <c:pt idx="2">
                  <c:v>57.12</c:v>
                </c:pt>
                <c:pt idx="3">
                  <c:v>101.87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676DB-228C-4FB7-9FB6-14CE7D24F4B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1911</Words>
  <Characters>10899</Characters>
  <Lines>90</Lines>
  <Paragraphs>25</Paragraphs>
  <TotalTime>53</TotalTime>
  <ScaleCrop>false</ScaleCrop>
  <LinksUpToDate>false</LinksUpToDate>
  <CharactersWithSpaces>12785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2024-08-25T08:43:00Z</dcterms:created>
  <dc:creator>曹颖</dc:creator>
  <cp:lastModifiedBy>Lenovo</cp:lastModifiedBy>
  <cp:lastPrinted>2023-07-31T02:35:00Z</cp:lastPrinted>
  <dcterms:modified xsi:type="dcterms:W3CDTF">2024-08-27T02:12:00Z</dcterms:modified>
  <dc:title>四川省***</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1E66CB5FFAFD4003A1F1AFC41C24DBF1_12</vt:lpwstr>
  </property>
</Properties>
</file>