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000000"/>
          <w:sz w:val="72"/>
          <w:szCs w:val="72"/>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52"/>
          <w:szCs w:val="52"/>
          <w:lang w:eastAsia="zh-CN"/>
        </w:rPr>
      </w:pPr>
      <w:bookmarkStart w:id="1" w:name="_Toc15377193"/>
      <w:bookmarkStart w:id="2" w:name="_Toc15378441"/>
      <w:bookmarkStart w:id="3" w:name="_Toc11480"/>
      <w:bookmarkStart w:id="4" w:name="_Toc4432"/>
      <w:bookmarkStart w:id="5" w:name="_Toc15396475"/>
      <w:bookmarkStart w:id="6" w:name="_Toc1445"/>
      <w:bookmarkStart w:id="7" w:name="_Toc11737"/>
      <w:bookmarkStart w:id="8" w:name="_Toc15377425"/>
      <w:bookmarkStart w:id="9" w:name="_Toc12885"/>
      <w:bookmarkStart w:id="10" w:name="_Toc15396597"/>
      <w:r>
        <w:rPr>
          <w:rFonts w:hint="eastAsia" w:ascii="方正小标宋简体" w:hAnsi="方正小标宋简体" w:eastAsia="方正小标宋简体" w:cs="方正小标宋简体"/>
          <w:color w:val="000000"/>
          <w:sz w:val="52"/>
          <w:szCs w:val="52"/>
          <w:lang w:eastAsia="zh-CN"/>
        </w:rPr>
        <w:t>2023</w:t>
      </w:r>
      <w:r>
        <w:rPr>
          <w:rFonts w:hint="eastAsia" w:ascii="方正小标宋简体" w:hAnsi="方正小标宋简体" w:eastAsia="方正小标宋简体" w:cs="方正小标宋简体"/>
          <w:color w:val="000000"/>
          <w:sz w:val="52"/>
          <w:szCs w:val="52"/>
        </w:rPr>
        <w:t>年</w:t>
      </w:r>
      <w:r>
        <w:rPr>
          <w:rFonts w:hint="eastAsia" w:ascii="方正小标宋简体" w:hAnsi="方正小标宋简体" w:eastAsia="方正小标宋简体" w:cs="方正小标宋简体"/>
          <w:color w:val="000000"/>
          <w:sz w:val="52"/>
          <w:szCs w:val="52"/>
          <w:lang w:eastAsia="zh-CN"/>
        </w:rPr>
        <w:t>度</w:t>
      </w:r>
      <w:bookmarkEnd w:id="1"/>
      <w:bookmarkEnd w:id="2"/>
      <w:bookmarkEnd w:id="3"/>
      <w:bookmarkEnd w:id="4"/>
      <w:bookmarkEnd w:id="5"/>
      <w:bookmarkEnd w:id="6"/>
      <w:bookmarkEnd w:id="7"/>
      <w:bookmarkEnd w:id="8"/>
      <w:bookmarkEnd w:id="9"/>
      <w:bookmarkEnd w:id="10"/>
      <w:bookmarkStart w:id="11" w:name="_Toc10156"/>
      <w:bookmarkStart w:id="12" w:name="_Toc31161"/>
      <w:bookmarkStart w:id="13" w:name="_Toc7510"/>
      <w:bookmarkStart w:id="14" w:name="_Toc11205"/>
      <w:bookmarkStart w:id="15" w:name="_Toc641"/>
      <w:bookmarkStart w:id="16" w:name="_Toc15377426"/>
      <w:bookmarkStart w:id="17" w:name="_Toc15396476"/>
      <w:bookmarkStart w:id="18" w:name="_Toc15396598"/>
      <w:bookmarkStart w:id="19" w:name="_Toc15377194"/>
      <w:bookmarkStart w:id="20" w:name="_Toc15378442"/>
    </w:p>
    <w:p>
      <w:pPr>
        <w:adjustRightInd w:val="0"/>
        <w:snapToGrid w:val="0"/>
        <w:spacing w:line="360" w:lineRule="auto"/>
        <w:jc w:val="center"/>
        <w:outlineLvl w:val="0"/>
        <w:rPr>
          <w:rFonts w:hint="eastAsia" w:ascii="方正小标宋简体" w:hAnsi="方正小标宋简体" w:eastAsia="方正小标宋简体" w:cs="方正小标宋简体"/>
          <w:color w:val="000000"/>
          <w:sz w:val="52"/>
          <w:szCs w:val="52"/>
          <w:lang w:eastAsia="zh-CN"/>
        </w:rPr>
      </w:pPr>
      <w:r>
        <w:rPr>
          <w:rFonts w:hint="eastAsia" w:ascii="方正小标宋简体" w:hAnsi="方正小标宋简体" w:eastAsia="方正小标宋简体" w:cs="方正小标宋简体"/>
          <w:color w:val="000000"/>
          <w:sz w:val="52"/>
          <w:szCs w:val="52"/>
          <w:lang w:eastAsia="zh-CN"/>
        </w:rPr>
        <w:t>四川省</w:t>
      </w:r>
      <w:bookmarkEnd w:id="0"/>
      <w:bookmarkStart w:id="21" w:name="_Toc15306268"/>
      <w:r>
        <w:rPr>
          <w:rFonts w:hint="eastAsia" w:ascii="方正小标宋简体" w:hAnsi="方正小标宋简体" w:eastAsia="方正小标宋简体" w:cs="方正小标宋简体"/>
          <w:color w:val="000000"/>
          <w:sz w:val="52"/>
          <w:szCs w:val="52"/>
          <w:lang w:eastAsia="zh-CN"/>
        </w:rPr>
        <w:t>遂宁市安居区社会保险事业管理局</w:t>
      </w:r>
      <w:bookmarkEnd w:id="11"/>
      <w:bookmarkEnd w:id="12"/>
      <w:bookmarkEnd w:id="13"/>
      <w:bookmarkEnd w:id="14"/>
      <w:bookmarkEnd w:id="15"/>
      <w:bookmarkStart w:id="22" w:name="_Toc8096"/>
      <w:bookmarkStart w:id="23" w:name="_Toc27677"/>
      <w:bookmarkStart w:id="24" w:name="_Toc4039"/>
      <w:bookmarkStart w:id="25" w:name="_Toc15220"/>
      <w:bookmarkStart w:id="26" w:name="_Toc29796"/>
      <w:r>
        <w:rPr>
          <w:rFonts w:hint="eastAsia" w:ascii="方正小标宋简体" w:hAnsi="方正小标宋简体" w:eastAsia="方正小标宋简体" w:cs="方正小标宋简体"/>
          <w:color w:val="000000"/>
          <w:sz w:val="52"/>
          <w:szCs w:val="52"/>
          <w:lang w:eastAsia="zh-CN"/>
        </w:rPr>
        <w:t>部门决算</w:t>
      </w:r>
      <w:bookmarkEnd w:id="16"/>
      <w:bookmarkEnd w:id="17"/>
      <w:bookmarkEnd w:id="18"/>
      <w:bookmarkEnd w:id="19"/>
      <w:bookmarkEnd w:id="20"/>
      <w:bookmarkEnd w:id="21"/>
      <w:bookmarkEnd w:id="22"/>
      <w:bookmarkEnd w:id="23"/>
      <w:bookmarkEnd w:id="24"/>
      <w:bookmarkEnd w:id="25"/>
      <w:bookmarkEnd w:id="26"/>
    </w:p>
    <w:p>
      <w:pPr>
        <w:adjustRightInd w:val="0"/>
        <w:snapToGrid w:val="0"/>
        <w:spacing w:line="360" w:lineRule="auto"/>
        <w:jc w:val="center"/>
        <w:outlineLvl w:val="9"/>
        <w:rPr>
          <w:rFonts w:hint="eastAsia" w:ascii="黑体" w:hAnsi="黑体" w:eastAsia="黑体"/>
          <w:color w:val="000000"/>
          <w:sz w:val="72"/>
          <w:szCs w:val="72"/>
          <w:lang w:eastAsia="zh-CN"/>
        </w:rPr>
        <w:sectPr>
          <w:footerReference r:id="rId7" w:type="first"/>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4"/>
        <w:rPr>
          <w:rFonts w:hint="eastAsia"/>
        </w:rPr>
      </w:pPr>
      <w:r>
        <w:rPr>
          <w:rFonts w:hint="eastAsia"/>
        </w:rPr>
        <w:t>公开时间：202</w:t>
      </w:r>
      <w:r>
        <w:rPr>
          <w:rFonts w:hint="eastAsia"/>
          <w:lang w:val="en-US" w:eastAsia="zh-CN"/>
        </w:rPr>
        <w:t>4</w:t>
      </w:r>
      <w:r>
        <w:rPr>
          <w:rFonts w:hint="eastAsia"/>
        </w:rPr>
        <w:t>年</w:t>
      </w:r>
      <w:r>
        <w:rPr>
          <w:rFonts w:hint="eastAsia"/>
          <w:lang w:val="en-US" w:eastAsia="zh-CN"/>
        </w:rPr>
        <w:t>8</w:t>
      </w:r>
      <w:r>
        <w:rPr>
          <w:rFonts w:hint="eastAsia"/>
        </w:rPr>
        <w:t>月</w:t>
      </w:r>
      <w:r>
        <w:rPr>
          <w:rFonts w:hint="eastAsia"/>
          <w:lang w:val="en-US" w:eastAsia="zh-CN"/>
        </w:rPr>
        <w:t>27</w:t>
      </w:r>
      <w:r>
        <w:rPr>
          <w:rFonts w:hint="eastAsia"/>
        </w:rPr>
        <w:t>日</w:t>
      </w:r>
      <w:r>
        <w:commentReference w:id="0"/>
      </w:r>
    </w:p>
    <w:sdt>
      <w:sdtPr>
        <w:rPr>
          <w:rFonts w:ascii="宋体" w:hAnsi="宋体" w:eastAsia="宋体" w:cs="Times New Roman"/>
          <w:kern w:val="2"/>
          <w:sz w:val="21"/>
          <w:szCs w:val="24"/>
          <w:lang w:val="en-US" w:eastAsia="zh-CN" w:bidi="ar-SA"/>
        </w:rPr>
        <w:id w:val="147451316"/>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8"/>
            <w:tabs>
              <w:tab w:val="right" w:leader="dot" w:pos="8306"/>
            </w:tabs>
            <w:rPr>
              <w:b/>
            </w:rPr>
          </w:pPr>
          <w:r>
            <w:fldChar w:fldCharType="begin"/>
          </w:r>
          <w:r>
            <w:instrText xml:space="preserve">TOC \o "1-2" \h \u </w:instrText>
          </w:r>
          <w:r>
            <w:fldChar w:fldCharType="separate"/>
          </w:r>
        </w:p>
        <w:p>
          <w:pPr>
            <w:pStyle w:val="38"/>
            <w:tabs>
              <w:tab w:val="right" w:leader="dot" w:pos="8306"/>
            </w:tabs>
            <w:rPr>
              <w:b/>
            </w:rPr>
          </w:pPr>
          <w:r>
            <w:rPr>
              <w:b/>
            </w:rPr>
            <w:fldChar w:fldCharType="begin"/>
          </w:r>
          <w:r>
            <w:rPr>
              <w:b/>
            </w:rPr>
            <w:instrText xml:space="preserve"> HYPERLINK \l _Toc5181 </w:instrText>
          </w:r>
          <w:r>
            <w:rPr>
              <w:b/>
            </w:rPr>
            <w:fldChar w:fldCharType="separate"/>
          </w:r>
          <w:r>
            <w:rPr>
              <w:rFonts w:hint="eastAsia" w:ascii="黑体" w:hAnsi="黑体" w:eastAsia="黑体"/>
              <w:b/>
            </w:rPr>
            <w:t xml:space="preserve">第一部分 </w:t>
          </w:r>
          <w:r>
            <w:rPr>
              <w:rFonts w:hint="eastAsia" w:ascii="黑体" w:hAnsi="黑体" w:eastAsia="黑体"/>
              <w:b/>
              <w:bCs w:val="0"/>
              <w:lang w:eastAsia="zh-CN"/>
            </w:rPr>
            <w:t>部门</w:t>
          </w:r>
          <w:r>
            <w:rPr>
              <w:rFonts w:hint="eastAsia" w:ascii="黑体" w:hAnsi="黑体" w:eastAsia="黑体"/>
              <w:b/>
              <w:bCs w:val="0"/>
            </w:rPr>
            <w:t>概况</w:t>
          </w:r>
          <w:r>
            <w:rPr>
              <w:b/>
            </w:rPr>
            <w:tab/>
          </w:r>
          <w:r>
            <w:rPr>
              <w:b/>
            </w:rPr>
            <w:fldChar w:fldCharType="begin"/>
          </w:r>
          <w:r>
            <w:rPr>
              <w:b/>
            </w:rPr>
            <w:instrText xml:space="preserve"> PAGEREF _Toc5181 \h </w:instrText>
          </w:r>
          <w:r>
            <w:rPr>
              <w:b/>
            </w:rPr>
            <w:fldChar w:fldCharType="separate"/>
          </w:r>
          <w:r>
            <w:rPr>
              <w:b/>
            </w:rPr>
            <w:t>3</w:t>
          </w:r>
          <w:r>
            <w:rPr>
              <w:b/>
            </w:rPr>
            <w:fldChar w:fldCharType="end"/>
          </w:r>
          <w:r>
            <w:rPr>
              <w:b/>
            </w:rPr>
            <w:fldChar w:fldCharType="end"/>
          </w:r>
        </w:p>
        <w:p>
          <w:pPr>
            <w:pStyle w:val="39"/>
            <w:tabs>
              <w:tab w:val="right" w:leader="dot" w:pos="8306"/>
            </w:tabs>
          </w:pPr>
          <w:r>
            <w:fldChar w:fldCharType="begin"/>
          </w:r>
          <w:r>
            <w:instrText xml:space="preserve"> HYPERLINK \l _Toc23024 </w:instrText>
          </w:r>
          <w:r>
            <w:fldChar w:fldCharType="separate"/>
          </w:r>
          <w:r>
            <w:rPr>
              <w:rFonts w:hint="eastAsia" w:ascii="黑体" w:hAnsi="黑体" w:eastAsia="黑体"/>
              <w:highlight w:val="none"/>
            </w:rPr>
            <w:t>一、</w:t>
          </w:r>
          <w:r>
            <w:rPr>
              <w:rFonts w:hint="eastAsia" w:ascii="黑体" w:hAnsi="黑体" w:eastAsia="黑体"/>
              <w:highlight w:val="none"/>
              <w:lang w:eastAsia="zh-CN"/>
            </w:rPr>
            <w:t>主要职责</w:t>
          </w:r>
          <w:r>
            <w:tab/>
          </w:r>
          <w:r>
            <w:fldChar w:fldCharType="begin"/>
          </w:r>
          <w:r>
            <w:instrText xml:space="preserve"> PAGEREF _Toc23024 \h </w:instrText>
          </w:r>
          <w:r>
            <w:fldChar w:fldCharType="separate"/>
          </w:r>
          <w:r>
            <w:t>3</w:t>
          </w:r>
          <w:r>
            <w:fldChar w:fldCharType="end"/>
          </w:r>
          <w:r>
            <w:fldChar w:fldCharType="end"/>
          </w:r>
        </w:p>
        <w:p>
          <w:pPr>
            <w:pStyle w:val="39"/>
            <w:tabs>
              <w:tab w:val="right" w:leader="dot" w:pos="8306"/>
            </w:tabs>
          </w:pPr>
          <w:r>
            <w:fldChar w:fldCharType="begin"/>
          </w:r>
          <w:r>
            <w:instrText xml:space="preserve"> HYPERLINK \l _Toc13140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_Toc13140 \h </w:instrText>
          </w:r>
          <w:r>
            <w:fldChar w:fldCharType="separate"/>
          </w:r>
          <w:r>
            <w:t>4</w:t>
          </w:r>
          <w:r>
            <w:fldChar w:fldCharType="end"/>
          </w:r>
          <w:r>
            <w:fldChar w:fldCharType="end"/>
          </w:r>
        </w:p>
        <w:p>
          <w:pPr>
            <w:pStyle w:val="38"/>
            <w:tabs>
              <w:tab w:val="right" w:leader="dot" w:pos="8306"/>
            </w:tabs>
            <w:rPr>
              <w:b/>
            </w:rPr>
          </w:pPr>
          <w:r>
            <w:rPr>
              <w:b/>
            </w:rPr>
            <w:fldChar w:fldCharType="begin"/>
          </w:r>
          <w:r>
            <w:rPr>
              <w:b/>
            </w:rPr>
            <w:instrText xml:space="preserve"> HYPERLINK \l _Toc14756 </w:instrText>
          </w:r>
          <w:r>
            <w:rPr>
              <w:b/>
            </w:rPr>
            <w:fldChar w:fldCharType="separate"/>
          </w:r>
          <w:r>
            <w:rPr>
              <w:rFonts w:hint="eastAsia" w:ascii="黑体" w:hAnsi="黑体" w:eastAsia="黑体"/>
              <w:b/>
            </w:rPr>
            <w:t xml:space="preserve">第二部分 </w:t>
          </w:r>
          <w:r>
            <w:rPr>
              <w:rFonts w:hint="eastAsia" w:ascii="黑体" w:hAnsi="黑体" w:eastAsia="黑体"/>
              <w:b/>
              <w:bCs w:val="0"/>
              <w:lang w:eastAsia="zh-CN"/>
            </w:rPr>
            <w:t>2023</w:t>
          </w:r>
          <w:r>
            <w:rPr>
              <w:rFonts w:hint="eastAsia" w:ascii="黑体" w:hAnsi="黑体" w:eastAsia="黑体"/>
              <w:b/>
              <w:bCs w:val="0"/>
            </w:rPr>
            <w:t>年度</w:t>
          </w:r>
          <w:r>
            <w:rPr>
              <w:rFonts w:hint="eastAsia" w:ascii="黑体" w:hAnsi="黑体" w:eastAsia="黑体"/>
              <w:b/>
              <w:bCs w:val="0"/>
              <w:lang w:eastAsia="zh-CN"/>
            </w:rPr>
            <w:t>部门</w:t>
          </w:r>
          <w:r>
            <w:rPr>
              <w:rFonts w:hint="eastAsia" w:ascii="黑体" w:hAnsi="黑体" w:eastAsia="黑体"/>
              <w:b/>
              <w:bCs w:val="0"/>
            </w:rPr>
            <w:t>决算情况说明</w:t>
          </w:r>
          <w:r>
            <w:rPr>
              <w:b/>
            </w:rPr>
            <w:tab/>
          </w:r>
          <w:r>
            <w:rPr>
              <w:b/>
            </w:rPr>
            <w:fldChar w:fldCharType="begin"/>
          </w:r>
          <w:r>
            <w:rPr>
              <w:b/>
            </w:rPr>
            <w:instrText xml:space="preserve"> PAGEREF _Toc14756 \h </w:instrText>
          </w:r>
          <w:r>
            <w:rPr>
              <w:b/>
            </w:rPr>
            <w:fldChar w:fldCharType="separate"/>
          </w:r>
          <w:r>
            <w:rPr>
              <w:b/>
            </w:rPr>
            <w:t>5</w:t>
          </w:r>
          <w:r>
            <w:rPr>
              <w:b/>
            </w:rPr>
            <w:fldChar w:fldCharType="end"/>
          </w:r>
          <w:r>
            <w:rPr>
              <w:b/>
            </w:rPr>
            <w:fldChar w:fldCharType="end"/>
          </w:r>
        </w:p>
        <w:p>
          <w:pPr>
            <w:pStyle w:val="39"/>
            <w:tabs>
              <w:tab w:val="right" w:leader="dot" w:pos="8306"/>
            </w:tabs>
          </w:pPr>
          <w:r>
            <w:fldChar w:fldCharType="begin"/>
          </w:r>
          <w:r>
            <w:instrText xml:space="preserve"> HYPERLINK \l _Toc31084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_Toc31084 \h </w:instrText>
          </w:r>
          <w:r>
            <w:fldChar w:fldCharType="separate"/>
          </w:r>
          <w:r>
            <w:t>5</w:t>
          </w:r>
          <w:r>
            <w:fldChar w:fldCharType="end"/>
          </w:r>
          <w:r>
            <w:fldChar w:fldCharType="end"/>
          </w:r>
        </w:p>
        <w:p>
          <w:pPr>
            <w:pStyle w:val="39"/>
            <w:tabs>
              <w:tab w:val="right" w:leader="dot" w:pos="8306"/>
            </w:tabs>
          </w:pPr>
          <w:r>
            <w:fldChar w:fldCharType="begin"/>
          </w:r>
          <w:r>
            <w:instrText xml:space="preserve"> HYPERLINK \l _Toc25433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_Toc25433 \h </w:instrText>
          </w:r>
          <w:r>
            <w:fldChar w:fldCharType="separate"/>
          </w:r>
          <w:r>
            <w:t>5</w:t>
          </w:r>
          <w:r>
            <w:fldChar w:fldCharType="end"/>
          </w:r>
          <w:r>
            <w:fldChar w:fldCharType="end"/>
          </w:r>
        </w:p>
        <w:p>
          <w:pPr>
            <w:pStyle w:val="39"/>
            <w:tabs>
              <w:tab w:val="right" w:leader="dot" w:pos="8306"/>
            </w:tabs>
          </w:pPr>
          <w:r>
            <w:fldChar w:fldCharType="begin"/>
          </w:r>
          <w:r>
            <w:instrText xml:space="preserve"> HYPERLINK \l _Toc1399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_Toc1399 \h </w:instrText>
          </w:r>
          <w:r>
            <w:fldChar w:fldCharType="separate"/>
          </w:r>
          <w:r>
            <w:t>6</w:t>
          </w:r>
          <w:r>
            <w:fldChar w:fldCharType="end"/>
          </w:r>
          <w:r>
            <w:fldChar w:fldCharType="end"/>
          </w:r>
        </w:p>
        <w:p>
          <w:pPr>
            <w:pStyle w:val="39"/>
            <w:tabs>
              <w:tab w:val="right" w:leader="dot" w:pos="8306"/>
            </w:tabs>
          </w:pPr>
          <w:r>
            <w:fldChar w:fldCharType="begin"/>
          </w:r>
          <w:r>
            <w:instrText xml:space="preserve"> HYPERLINK \l _Toc11353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_Toc11353 \h </w:instrText>
          </w:r>
          <w:r>
            <w:fldChar w:fldCharType="separate"/>
          </w:r>
          <w:r>
            <w:t>7</w:t>
          </w:r>
          <w:r>
            <w:fldChar w:fldCharType="end"/>
          </w:r>
          <w:r>
            <w:fldChar w:fldCharType="end"/>
          </w:r>
        </w:p>
        <w:p>
          <w:pPr>
            <w:pStyle w:val="39"/>
            <w:tabs>
              <w:tab w:val="right" w:leader="dot" w:pos="8306"/>
            </w:tabs>
          </w:pPr>
          <w:r>
            <w:fldChar w:fldCharType="begin"/>
          </w:r>
          <w:r>
            <w:instrText xml:space="preserve"> HYPERLINK \l _Toc18734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_Toc18734 \h </w:instrText>
          </w:r>
          <w:r>
            <w:fldChar w:fldCharType="separate"/>
          </w:r>
          <w:r>
            <w:t>8</w:t>
          </w:r>
          <w:r>
            <w:fldChar w:fldCharType="end"/>
          </w:r>
          <w:r>
            <w:fldChar w:fldCharType="end"/>
          </w:r>
        </w:p>
        <w:p>
          <w:pPr>
            <w:pStyle w:val="39"/>
            <w:tabs>
              <w:tab w:val="right" w:leader="dot" w:pos="8306"/>
            </w:tabs>
          </w:pPr>
          <w:r>
            <w:fldChar w:fldCharType="begin"/>
          </w:r>
          <w:r>
            <w:instrText xml:space="preserve"> HYPERLINK \l _Toc21170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_Toc21170 \h </w:instrText>
          </w:r>
          <w:r>
            <w:fldChar w:fldCharType="separate"/>
          </w:r>
          <w:r>
            <w:t>11</w:t>
          </w:r>
          <w:r>
            <w:fldChar w:fldCharType="end"/>
          </w:r>
          <w:r>
            <w:fldChar w:fldCharType="end"/>
          </w:r>
        </w:p>
        <w:p>
          <w:pPr>
            <w:pStyle w:val="39"/>
            <w:tabs>
              <w:tab w:val="right" w:leader="dot" w:pos="8306"/>
            </w:tabs>
          </w:pPr>
          <w:r>
            <w:fldChar w:fldCharType="begin"/>
          </w:r>
          <w:r>
            <w:instrText xml:space="preserve"> HYPERLINK \l _Toc6355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_Toc6355 \h </w:instrText>
          </w:r>
          <w:r>
            <w:fldChar w:fldCharType="separate"/>
          </w:r>
          <w:r>
            <w:t>11</w:t>
          </w:r>
          <w:r>
            <w:fldChar w:fldCharType="end"/>
          </w:r>
          <w:r>
            <w:fldChar w:fldCharType="end"/>
          </w:r>
        </w:p>
        <w:p>
          <w:pPr>
            <w:pStyle w:val="39"/>
            <w:tabs>
              <w:tab w:val="right" w:leader="dot" w:pos="8306"/>
            </w:tabs>
          </w:pPr>
          <w:r>
            <w:fldChar w:fldCharType="begin"/>
          </w:r>
          <w:r>
            <w:instrText xml:space="preserve"> HYPERLINK \l _Toc22103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_Toc22103 \h </w:instrText>
          </w:r>
          <w:r>
            <w:fldChar w:fldCharType="separate"/>
          </w:r>
          <w:r>
            <w:t>13</w:t>
          </w:r>
          <w:r>
            <w:fldChar w:fldCharType="end"/>
          </w:r>
          <w:r>
            <w:fldChar w:fldCharType="end"/>
          </w:r>
        </w:p>
        <w:p>
          <w:pPr>
            <w:pStyle w:val="39"/>
            <w:tabs>
              <w:tab w:val="right" w:leader="dot" w:pos="8306"/>
            </w:tabs>
          </w:pPr>
          <w:r>
            <w:fldChar w:fldCharType="begin"/>
          </w:r>
          <w:r>
            <w:instrText xml:space="preserve"> HYPERLINK \l _Toc1602 </w:instrText>
          </w:r>
          <w:r>
            <w:fldChar w:fldCharType="separate"/>
          </w:r>
          <w:r>
            <w:rPr>
              <w:rFonts w:hint="eastAsia" w:ascii="黑体" w:hAnsi="黑体" w:eastAsia="黑体"/>
              <w:lang w:eastAsia="zh-CN"/>
            </w:rPr>
            <w:t>九、</w:t>
          </w:r>
          <w:r>
            <w:rPr>
              <w:rFonts w:hint="eastAsia" w:ascii="黑体" w:hAnsi="黑体" w:eastAsia="黑体"/>
            </w:rPr>
            <w:t>国有资本经营预算支出决算情况说明</w:t>
          </w:r>
          <w:r>
            <w:tab/>
          </w:r>
          <w:r>
            <w:fldChar w:fldCharType="begin"/>
          </w:r>
          <w:r>
            <w:instrText xml:space="preserve"> PAGEREF _Toc1602 \h </w:instrText>
          </w:r>
          <w:r>
            <w:fldChar w:fldCharType="separate"/>
          </w:r>
          <w:r>
            <w:t>13</w:t>
          </w:r>
          <w:r>
            <w:fldChar w:fldCharType="end"/>
          </w:r>
          <w:r>
            <w:fldChar w:fldCharType="end"/>
          </w:r>
        </w:p>
        <w:p>
          <w:pPr>
            <w:pStyle w:val="39"/>
            <w:tabs>
              <w:tab w:val="right" w:leader="dot" w:pos="8306"/>
            </w:tabs>
          </w:pPr>
          <w:r>
            <w:fldChar w:fldCharType="begin"/>
          </w:r>
          <w:r>
            <w:instrText xml:space="preserve"> HYPERLINK \l _Toc13452 </w:instrText>
          </w:r>
          <w:r>
            <w:fldChar w:fldCharType="separate"/>
          </w:r>
          <w:r>
            <w:rPr>
              <w:rFonts w:hint="eastAsia" w:ascii="黑体" w:hAnsi="黑体" w:eastAsia="黑体"/>
              <w:szCs w:val="32"/>
            </w:rPr>
            <w:t>十</w:t>
          </w:r>
          <w:r>
            <w:rPr>
              <w:rFonts w:hint="eastAsia" w:ascii="黑体" w:hAnsi="黑体" w:eastAsia="黑体"/>
            </w:rPr>
            <w:t>、其他重要事项的情况说明</w:t>
          </w:r>
          <w:r>
            <w:tab/>
          </w:r>
          <w:r>
            <w:fldChar w:fldCharType="begin"/>
          </w:r>
          <w:r>
            <w:instrText xml:space="preserve"> PAGEREF _Toc13452 \h </w:instrText>
          </w:r>
          <w:r>
            <w:fldChar w:fldCharType="separate"/>
          </w:r>
          <w:r>
            <w:t>13</w:t>
          </w:r>
          <w:r>
            <w:fldChar w:fldCharType="end"/>
          </w:r>
          <w:r>
            <w:fldChar w:fldCharType="end"/>
          </w:r>
        </w:p>
        <w:p>
          <w:pPr>
            <w:pStyle w:val="38"/>
            <w:tabs>
              <w:tab w:val="right" w:leader="dot" w:pos="8306"/>
            </w:tabs>
            <w:rPr>
              <w:b/>
            </w:rPr>
          </w:pPr>
          <w:r>
            <w:rPr>
              <w:b/>
            </w:rPr>
            <w:fldChar w:fldCharType="begin"/>
          </w:r>
          <w:r>
            <w:rPr>
              <w:b/>
            </w:rPr>
            <w:instrText xml:space="preserve"> HYPERLINK \l _Toc18749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_Toc18749 \h </w:instrText>
          </w:r>
          <w:r>
            <w:rPr>
              <w:b/>
            </w:rPr>
            <w:fldChar w:fldCharType="separate"/>
          </w:r>
          <w:r>
            <w:rPr>
              <w:b/>
            </w:rPr>
            <w:t>16</w:t>
          </w:r>
          <w:r>
            <w:rPr>
              <w:b/>
            </w:rPr>
            <w:fldChar w:fldCharType="end"/>
          </w:r>
          <w:r>
            <w:rPr>
              <w:b/>
            </w:rPr>
            <w:fldChar w:fldCharType="end"/>
          </w:r>
        </w:p>
        <w:p>
          <w:pPr>
            <w:pStyle w:val="38"/>
            <w:tabs>
              <w:tab w:val="right" w:leader="dot" w:pos="8306"/>
            </w:tabs>
            <w:rPr>
              <w:b/>
            </w:rPr>
          </w:pPr>
          <w:r>
            <w:rPr>
              <w:b/>
            </w:rPr>
            <w:fldChar w:fldCharType="begin"/>
          </w:r>
          <w:r>
            <w:rPr>
              <w:b/>
            </w:rPr>
            <w:instrText xml:space="preserve"> HYPERLINK \l _Toc18260 </w:instrText>
          </w:r>
          <w:r>
            <w:rPr>
              <w:b/>
            </w:rPr>
            <w:fldChar w:fldCharType="separate"/>
          </w:r>
          <w:r>
            <w:rPr>
              <w:rFonts w:hint="default" w:ascii="Times New Roman" w:hAnsi="Times New Roman" w:eastAsia="方正小标宋简体" w:cs="Times New Roman"/>
              <w:b/>
              <w:bCs w:val="0"/>
              <w:i w:val="0"/>
              <w:iCs w:val="0"/>
              <w:szCs w:val="44"/>
              <w:highlight w:val="none"/>
            </w:rPr>
            <w:t>第</w:t>
          </w:r>
          <w:r>
            <w:rPr>
              <w:rFonts w:hint="default" w:ascii="Times New Roman" w:hAnsi="Times New Roman" w:eastAsia="方正小标宋简体" w:cs="Times New Roman"/>
              <w:b/>
              <w:bCs w:val="0"/>
              <w:i w:val="0"/>
              <w:iCs w:val="0"/>
              <w:highlight w:val="none"/>
            </w:rPr>
            <w:t>四部分 附件</w:t>
          </w:r>
          <w:r>
            <w:rPr>
              <w:b/>
            </w:rPr>
            <w:tab/>
          </w:r>
          <w:r>
            <w:rPr>
              <w:b/>
            </w:rPr>
            <w:fldChar w:fldCharType="begin"/>
          </w:r>
          <w:r>
            <w:rPr>
              <w:b/>
            </w:rPr>
            <w:instrText xml:space="preserve"> PAGEREF _Toc18260 \h </w:instrText>
          </w:r>
          <w:r>
            <w:rPr>
              <w:b/>
            </w:rPr>
            <w:fldChar w:fldCharType="separate"/>
          </w:r>
          <w:r>
            <w:rPr>
              <w:b/>
            </w:rPr>
            <w:t>20</w:t>
          </w:r>
          <w:r>
            <w:rPr>
              <w:b/>
            </w:rPr>
            <w:fldChar w:fldCharType="end"/>
          </w:r>
          <w:r>
            <w:rPr>
              <w:b/>
            </w:rPr>
            <w:fldChar w:fldCharType="end"/>
          </w:r>
        </w:p>
        <w:p>
          <w:pPr>
            <w:pStyle w:val="38"/>
            <w:tabs>
              <w:tab w:val="right" w:leader="dot" w:pos="8306"/>
            </w:tabs>
            <w:rPr>
              <w:b/>
            </w:rPr>
          </w:pPr>
          <w:r>
            <w:rPr>
              <w:b/>
            </w:rPr>
            <w:fldChar w:fldCharType="begin"/>
          </w:r>
          <w:r>
            <w:rPr>
              <w:b/>
            </w:rPr>
            <w:instrText xml:space="preserve"> HYPERLINK \l _Toc8155 </w:instrText>
          </w:r>
          <w:r>
            <w:rPr>
              <w:b/>
            </w:rPr>
            <w:fldChar w:fldCharType="separate"/>
          </w:r>
          <w:r>
            <w:rPr>
              <w:rFonts w:hint="default" w:ascii="Times New Roman" w:hAnsi="Times New Roman" w:eastAsia="方正小标宋简体" w:cs="Times New Roman"/>
              <w:b/>
              <w:bCs w:val="0"/>
              <w:i w:val="0"/>
              <w:iCs w:val="0"/>
              <w:szCs w:val="44"/>
              <w:highlight w:val="none"/>
            </w:rPr>
            <w:t>第</w:t>
          </w:r>
          <w:r>
            <w:rPr>
              <w:rFonts w:hint="default" w:ascii="Times New Roman" w:hAnsi="Times New Roman" w:eastAsia="方正小标宋简体" w:cs="Times New Roman"/>
              <w:b/>
              <w:bCs w:val="0"/>
              <w:i w:val="0"/>
              <w:iCs w:val="0"/>
              <w:highlight w:val="none"/>
            </w:rPr>
            <w:t>五部分 附表</w:t>
          </w:r>
          <w:r>
            <w:rPr>
              <w:b/>
            </w:rPr>
            <w:tab/>
          </w:r>
          <w:r>
            <w:rPr>
              <w:b/>
            </w:rPr>
            <w:fldChar w:fldCharType="begin"/>
          </w:r>
          <w:r>
            <w:rPr>
              <w:b/>
            </w:rPr>
            <w:instrText xml:space="preserve"> PAGEREF _Toc8155 \h </w:instrText>
          </w:r>
          <w:r>
            <w:rPr>
              <w:b/>
            </w:rPr>
            <w:fldChar w:fldCharType="separate"/>
          </w:r>
          <w:r>
            <w:rPr>
              <w:b/>
            </w:rPr>
            <w:t>54</w:t>
          </w:r>
          <w:r>
            <w:rPr>
              <w:b/>
            </w:rPr>
            <w:fldChar w:fldCharType="end"/>
          </w:r>
          <w:r>
            <w:rPr>
              <w:b/>
            </w:rPr>
            <w:fldChar w:fldCharType="end"/>
          </w:r>
        </w:p>
        <w:p>
          <w:pPr>
            <w:pStyle w:val="39"/>
            <w:tabs>
              <w:tab w:val="right" w:leader="dot" w:pos="8306"/>
            </w:tabs>
          </w:pPr>
          <w:r>
            <w:fldChar w:fldCharType="begin"/>
          </w:r>
          <w:r>
            <w:instrText xml:space="preserve"> HYPERLINK \l _Toc28788 </w:instrText>
          </w:r>
          <w:r>
            <w:fldChar w:fldCharType="separate"/>
          </w:r>
          <w:r>
            <w:rPr>
              <w:rFonts w:hint="default" w:ascii="Times New Roman" w:hAnsi="Times New Roman" w:eastAsia="仿宋_GB2312" w:cs="Times New Roman"/>
              <w:bCs w:val="0"/>
              <w:i w:val="0"/>
              <w:iCs w:val="0"/>
              <w:highlight w:val="none"/>
            </w:rPr>
            <w:t>一、收入支出决算总表</w:t>
          </w:r>
          <w:r>
            <w:tab/>
          </w:r>
          <w:r>
            <w:fldChar w:fldCharType="begin"/>
          </w:r>
          <w:r>
            <w:instrText xml:space="preserve"> PAGEREF _Toc28788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_Toc1230 </w:instrText>
          </w:r>
          <w:r>
            <w:fldChar w:fldCharType="separate"/>
          </w:r>
          <w:r>
            <w:rPr>
              <w:rFonts w:hint="default" w:ascii="Times New Roman" w:hAnsi="Times New Roman" w:eastAsia="仿宋_GB2312" w:cs="Times New Roman"/>
              <w:bCs w:val="0"/>
              <w:i w:val="0"/>
              <w:iCs w:val="0"/>
              <w:highlight w:val="none"/>
            </w:rPr>
            <w:t>二、收入决算表</w:t>
          </w:r>
          <w:r>
            <w:tab/>
          </w:r>
          <w:r>
            <w:fldChar w:fldCharType="begin"/>
          </w:r>
          <w:r>
            <w:instrText xml:space="preserve"> PAGEREF _Toc1230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_Toc17089 </w:instrText>
          </w:r>
          <w:r>
            <w:fldChar w:fldCharType="separate"/>
          </w:r>
          <w:r>
            <w:rPr>
              <w:rFonts w:hint="default" w:ascii="Times New Roman" w:hAnsi="Times New Roman" w:eastAsia="仿宋_GB2312" w:cs="Times New Roman"/>
              <w:bCs w:val="0"/>
              <w:i w:val="0"/>
              <w:iCs w:val="0"/>
              <w:highlight w:val="none"/>
            </w:rPr>
            <w:t>三、支出决算表</w:t>
          </w:r>
          <w:r>
            <w:tab/>
          </w:r>
          <w:r>
            <w:fldChar w:fldCharType="begin"/>
          </w:r>
          <w:r>
            <w:instrText xml:space="preserve"> PAGEREF _Toc17089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_Toc12179 </w:instrText>
          </w:r>
          <w:r>
            <w:fldChar w:fldCharType="separate"/>
          </w:r>
          <w:r>
            <w:rPr>
              <w:rFonts w:hint="default" w:ascii="Times New Roman" w:hAnsi="Times New Roman" w:eastAsia="仿宋_GB2312" w:cs="Times New Roman"/>
              <w:bCs w:val="0"/>
              <w:i w:val="0"/>
              <w:iCs w:val="0"/>
              <w:highlight w:val="none"/>
            </w:rPr>
            <w:t>四、财政拨款收入支出决算总表</w:t>
          </w:r>
          <w:r>
            <w:tab/>
          </w:r>
          <w:r>
            <w:fldChar w:fldCharType="begin"/>
          </w:r>
          <w:r>
            <w:instrText xml:space="preserve"> PAGEREF _Toc12179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_Toc28175 </w:instrText>
          </w:r>
          <w:r>
            <w:fldChar w:fldCharType="separate"/>
          </w:r>
          <w:r>
            <w:rPr>
              <w:rFonts w:hint="default" w:ascii="Times New Roman" w:hAnsi="Times New Roman" w:eastAsia="仿宋_GB2312" w:cs="Times New Roman"/>
              <w:bCs w:val="0"/>
              <w:i w:val="0"/>
              <w:iCs w:val="0"/>
              <w:highlight w:val="none"/>
            </w:rPr>
            <w:t>五、财政拨款支出决算明细表</w:t>
          </w:r>
          <w:r>
            <w:tab/>
          </w:r>
          <w:r>
            <w:fldChar w:fldCharType="begin"/>
          </w:r>
          <w:r>
            <w:instrText xml:space="preserve"> PAGEREF _Toc28175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_Toc30962 </w:instrText>
          </w:r>
          <w:r>
            <w:fldChar w:fldCharType="separate"/>
          </w:r>
          <w:r>
            <w:rPr>
              <w:rFonts w:hint="default" w:ascii="Times New Roman" w:hAnsi="Times New Roman" w:eastAsia="仿宋_GB2312" w:cs="Times New Roman"/>
              <w:bCs w:val="0"/>
              <w:i w:val="0"/>
              <w:iCs w:val="0"/>
              <w:highlight w:val="none"/>
            </w:rPr>
            <w:t>六、一般公共预算财政拨款支出决算表</w:t>
          </w:r>
          <w:r>
            <w:tab/>
          </w:r>
          <w:r>
            <w:fldChar w:fldCharType="begin"/>
          </w:r>
          <w:r>
            <w:instrText xml:space="preserve"> PAGEREF _Toc30962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_Toc17849 </w:instrText>
          </w:r>
          <w:r>
            <w:fldChar w:fldCharType="separate"/>
          </w:r>
          <w:r>
            <w:rPr>
              <w:rFonts w:hint="default" w:ascii="Times New Roman" w:hAnsi="Times New Roman" w:eastAsia="仿宋_GB2312" w:cs="Times New Roman"/>
              <w:bCs w:val="0"/>
              <w:i w:val="0"/>
              <w:iCs w:val="0"/>
              <w:highlight w:val="none"/>
            </w:rPr>
            <w:t>七、一般公共预算财政拨款支出决算明细表</w:t>
          </w:r>
          <w:r>
            <w:tab/>
          </w:r>
          <w:r>
            <w:fldChar w:fldCharType="begin"/>
          </w:r>
          <w:r>
            <w:instrText xml:space="preserve"> PAGEREF _Toc17849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_Toc5571 </w:instrText>
          </w:r>
          <w:r>
            <w:fldChar w:fldCharType="separate"/>
          </w:r>
          <w:r>
            <w:rPr>
              <w:rFonts w:hint="default" w:ascii="Times New Roman" w:hAnsi="Times New Roman" w:eastAsia="仿宋_GB2312" w:cs="Times New Roman"/>
              <w:bCs w:val="0"/>
              <w:i w:val="0"/>
              <w:iCs w:val="0"/>
              <w:highlight w:val="none"/>
            </w:rPr>
            <w:t>八、一般公共预算财政拨款基本支出决算表</w:t>
          </w:r>
          <w:r>
            <w:tab/>
          </w:r>
          <w:r>
            <w:fldChar w:fldCharType="begin"/>
          </w:r>
          <w:r>
            <w:instrText xml:space="preserve"> PAGEREF _Toc5571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_Toc18035 </w:instrText>
          </w:r>
          <w:r>
            <w:fldChar w:fldCharType="separate"/>
          </w:r>
          <w:r>
            <w:rPr>
              <w:rFonts w:hint="default" w:ascii="Times New Roman" w:hAnsi="Times New Roman" w:eastAsia="仿宋_GB2312" w:cs="Times New Roman"/>
              <w:bCs w:val="0"/>
              <w:i w:val="0"/>
              <w:iCs w:val="0"/>
              <w:highlight w:val="none"/>
            </w:rPr>
            <w:t>九、一般公共预算财政拨款项目支出决算表</w:t>
          </w:r>
          <w:r>
            <w:tab/>
          </w:r>
          <w:r>
            <w:fldChar w:fldCharType="begin"/>
          </w:r>
          <w:r>
            <w:instrText xml:space="preserve"> PAGEREF _Toc18035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_Toc17958 </w:instrText>
          </w:r>
          <w:r>
            <w:fldChar w:fldCharType="separate"/>
          </w:r>
          <w:r>
            <w:rPr>
              <w:rFonts w:hint="default" w:ascii="Times New Roman" w:hAnsi="Times New Roman" w:eastAsia="仿宋_GB2312" w:cs="Times New Roman"/>
              <w:bCs w:val="0"/>
              <w:i w:val="0"/>
              <w:iCs w:val="0"/>
              <w:highlight w:val="none"/>
            </w:rPr>
            <w:t>十、政府性基金预算财政拨款收入支出决算表</w:t>
          </w:r>
          <w:r>
            <w:tab/>
          </w:r>
          <w:r>
            <w:fldChar w:fldCharType="begin"/>
          </w:r>
          <w:r>
            <w:instrText xml:space="preserve"> PAGEREF _Toc17958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_Toc30008 </w:instrText>
          </w:r>
          <w:r>
            <w:fldChar w:fldCharType="separate"/>
          </w:r>
          <w:r>
            <w:rPr>
              <w:rFonts w:hint="default" w:ascii="Times New Roman" w:hAnsi="Times New Roman" w:eastAsia="仿宋_GB2312" w:cs="Times New Roman"/>
              <w:bCs w:val="0"/>
              <w:i w:val="0"/>
              <w:iCs w:val="0"/>
              <w:highlight w:val="none"/>
            </w:rPr>
            <w:t>十一、国有资本经营预算</w:t>
          </w:r>
          <w:r>
            <w:rPr>
              <w:rFonts w:hint="default" w:ascii="Times New Roman" w:hAnsi="Times New Roman" w:eastAsia="仿宋_GB2312" w:cs="Times New Roman"/>
              <w:bCs w:val="0"/>
              <w:i w:val="0"/>
              <w:iCs w:val="0"/>
              <w:highlight w:val="none"/>
              <w:lang w:eastAsia="zh-CN"/>
            </w:rPr>
            <w:t>财政拨款收入</w:t>
          </w:r>
          <w:r>
            <w:rPr>
              <w:rFonts w:hint="default" w:ascii="Times New Roman" w:hAnsi="Times New Roman" w:eastAsia="仿宋_GB2312" w:cs="Times New Roman"/>
              <w:bCs w:val="0"/>
              <w:i w:val="0"/>
              <w:iCs w:val="0"/>
              <w:highlight w:val="none"/>
            </w:rPr>
            <w:t>支出决算表</w:t>
          </w:r>
          <w:r>
            <w:tab/>
          </w:r>
          <w:r>
            <w:fldChar w:fldCharType="begin"/>
          </w:r>
          <w:r>
            <w:instrText xml:space="preserve"> PAGEREF _Toc30008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_Toc29491 </w:instrText>
          </w:r>
          <w:r>
            <w:fldChar w:fldCharType="separate"/>
          </w:r>
          <w:r>
            <w:rPr>
              <w:rFonts w:hint="default" w:ascii="Times New Roman" w:hAnsi="Times New Roman" w:eastAsia="仿宋_GB2312" w:cs="Times New Roman"/>
              <w:bCs w:val="0"/>
              <w:i w:val="0"/>
              <w:iCs w:val="0"/>
              <w:highlight w:val="none"/>
            </w:rPr>
            <w:t>十二、</w:t>
          </w:r>
          <w:r>
            <w:rPr>
              <w:rFonts w:hint="default" w:ascii="Times New Roman" w:hAnsi="Times New Roman" w:eastAsia="仿宋_GB2312" w:cs="Times New Roman"/>
              <w:bCs w:val="0"/>
              <w:i w:val="0"/>
              <w:iCs w:val="0"/>
              <w:highlight w:val="none"/>
              <w:lang w:eastAsia="zh-CN"/>
            </w:rPr>
            <w:t>国有资本经营预算财政拨款支出决算表</w:t>
          </w:r>
          <w:r>
            <w:tab/>
          </w:r>
          <w:r>
            <w:fldChar w:fldCharType="begin"/>
          </w:r>
          <w:r>
            <w:instrText xml:space="preserve"> PAGEREF _Toc29491 \h </w:instrText>
          </w:r>
          <w:r>
            <w:fldChar w:fldCharType="separate"/>
          </w:r>
          <w:r>
            <w:t>54</w:t>
          </w:r>
          <w:r>
            <w:fldChar w:fldCharType="end"/>
          </w:r>
          <w:r>
            <w:fldChar w:fldCharType="end"/>
          </w:r>
        </w:p>
        <w:p>
          <w:pPr>
            <w:pStyle w:val="39"/>
            <w:tabs>
              <w:tab w:val="right" w:leader="dot" w:pos="8306"/>
            </w:tabs>
          </w:pPr>
          <w:r>
            <w:fldChar w:fldCharType="begin"/>
          </w:r>
          <w:r>
            <w:instrText xml:space="preserve"> HYPERLINK \l _Toc22171 </w:instrText>
          </w:r>
          <w:r>
            <w:fldChar w:fldCharType="separate"/>
          </w:r>
          <w:r>
            <w:rPr>
              <w:rFonts w:hint="default" w:ascii="Times New Roman" w:hAnsi="Times New Roman" w:eastAsia="仿宋_GB2312" w:cs="Times New Roman"/>
              <w:bCs w:val="0"/>
              <w:i w:val="0"/>
              <w:iCs w:val="0"/>
              <w:highlight w:val="none"/>
            </w:rPr>
            <w:t>十三、</w:t>
          </w:r>
          <w:r>
            <w:rPr>
              <w:rFonts w:hint="default" w:ascii="Times New Roman" w:hAnsi="Times New Roman" w:eastAsia="仿宋_GB2312" w:cs="Times New Roman"/>
              <w:bCs w:val="0"/>
              <w:i w:val="0"/>
              <w:iCs w:val="0"/>
              <w:highlight w:val="none"/>
              <w:lang w:eastAsia="zh-CN"/>
            </w:rPr>
            <w:t>财政拨款“三公”经费支出决算表</w:t>
          </w:r>
          <w:r>
            <w:tab/>
          </w:r>
          <w:r>
            <w:fldChar w:fldCharType="begin"/>
          </w:r>
          <w:r>
            <w:instrText xml:space="preserve"> PAGEREF _Toc22171 \h </w:instrText>
          </w:r>
          <w:r>
            <w:fldChar w:fldCharType="separate"/>
          </w:r>
          <w:r>
            <w:t>54</w:t>
          </w:r>
          <w:r>
            <w:fldChar w:fldCharType="end"/>
          </w:r>
          <w:r>
            <w:fldChar w:fldCharType="end"/>
          </w:r>
        </w:p>
        <w:p>
          <w:pPr>
            <w:rPr>
              <w:b/>
            </w:rPr>
          </w:pPr>
          <w:r>
            <w:rPr>
              <w:b/>
            </w:rPr>
            <w:fldChar w:fldCharType="end"/>
          </w:r>
        </w:p>
      </w:sdtContent>
    </w:sdt>
    <w:p>
      <w:pPr>
        <w:rPr>
          <w:b/>
        </w:rPr>
      </w:pPr>
    </w:p>
    <w:p>
      <w:pPr>
        <w:rPr>
          <w:rFonts w:hint="eastAsia" w:ascii="黑体" w:hAnsi="黑体" w:eastAsia="黑体"/>
          <w:b w:val="0"/>
        </w:rPr>
      </w:pPr>
      <w:r>
        <w:rPr>
          <w:rFonts w:hint="eastAsia" w:ascii="黑体" w:hAnsi="黑体" w:eastAsia="黑体"/>
          <w:b w:val="0"/>
        </w:rPr>
        <w:br w:type="page"/>
      </w:r>
    </w:p>
    <w:p>
      <w:pPr>
        <w:pStyle w:val="5"/>
        <w:jc w:val="center"/>
        <w:rPr>
          <w:rStyle w:val="31"/>
          <w:rFonts w:ascii="黑体" w:hAnsi="黑体" w:eastAsia="黑体"/>
          <w:b/>
          <w:bCs w:val="0"/>
        </w:rPr>
      </w:pPr>
      <w:bookmarkStart w:id="27" w:name="_Toc5181"/>
      <w:r>
        <w:rPr>
          <w:rFonts w:hint="eastAsia" w:ascii="黑体" w:hAnsi="黑体" w:eastAsia="黑体"/>
          <w:b w:val="0"/>
        </w:rPr>
        <w:t xml:space="preserve">第一部分 </w:t>
      </w:r>
      <w:r>
        <w:rPr>
          <w:rStyle w:val="31"/>
          <w:rFonts w:hint="eastAsia" w:ascii="黑体" w:hAnsi="黑体" w:eastAsia="黑体"/>
          <w:b w:val="0"/>
          <w:bCs w:val="0"/>
          <w:lang w:eastAsia="zh-CN"/>
        </w:rPr>
        <w:t>部门</w:t>
      </w:r>
      <w:r>
        <w:rPr>
          <w:rStyle w:val="31"/>
          <w:rFonts w:hint="eastAsia" w:ascii="黑体" w:hAnsi="黑体" w:eastAsia="黑体"/>
          <w:b w:val="0"/>
          <w:bCs w:val="0"/>
        </w:rPr>
        <w:t>概况</w:t>
      </w:r>
      <w:bookmarkEnd w:id="27"/>
    </w:p>
    <w:p>
      <w:pPr>
        <w:widowControl/>
        <w:jc w:val="left"/>
        <w:rPr>
          <w:rFonts w:ascii="黑体" w:eastAsia="黑体"/>
          <w:color w:val="000000"/>
          <w:sz w:val="32"/>
          <w:szCs w:val="32"/>
        </w:rPr>
      </w:pPr>
    </w:p>
    <w:p>
      <w:pPr>
        <w:pStyle w:val="6"/>
        <w:rPr>
          <w:rFonts w:hint="eastAsia" w:ascii="仿宋_GB2312" w:hAnsi="Times New Roman" w:eastAsia="仿宋_GB2312" w:cs="Times New Roman"/>
          <w:kern w:val="2"/>
          <w:sz w:val="32"/>
          <w:szCs w:val="32"/>
          <w:lang w:val="en-US" w:eastAsia="zh-CN" w:bidi="ar-SA"/>
        </w:rPr>
      </w:pPr>
      <w:bookmarkStart w:id="28" w:name="_Toc15396600"/>
      <w:bookmarkStart w:id="29" w:name="_Toc15377197"/>
      <w:bookmarkStart w:id="30" w:name="_Toc23024"/>
      <w:bookmarkStart w:id="31" w:name="_Toc14540"/>
      <w:bookmarkStart w:id="32" w:name="_Toc15377198"/>
      <w:bookmarkStart w:id="33" w:name="_Toc32355"/>
      <w:bookmarkStart w:id="34" w:name="_Toc30103_WPSOffice_Level2"/>
      <w:bookmarkStart w:id="35" w:name="_Toc15378445"/>
      <w:r>
        <w:rPr>
          <w:rFonts w:hint="eastAsia" w:ascii="黑体" w:hAnsi="黑体" w:eastAsia="黑体"/>
          <w:b w:val="0"/>
          <w:color w:val="auto"/>
          <w:highlight w:val="none"/>
        </w:rPr>
        <w:t>一、</w:t>
      </w:r>
      <w:bookmarkEnd w:id="28"/>
      <w:bookmarkEnd w:id="29"/>
      <w:r>
        <w:rPr>
          <w:rFonts w:hint="eastAsia" w:ascii="黑体" w:hAnsi="黑体" w:eastAsia="黑体"/>
          <w:b w:val="0"/>
          <w:color w:val="auto"/>
          <w:highlight w:val="none"/>
          <w:lang w:eastAsia="zh-CN"/>
        </w:rPr>
        <w:t>主要职责</w:t>
      </w:r>
      <w:bookmarkEnd w:id="30"/>
      <w:bookmarkEnd w:id="31"/>
      <w:bookmarkEnd w:id="32"/>
      <w:bookmarkEnd w:id="33"/>
      <w:bookmarkEnd w:id="34"/>
      <w:bookmarkEnd w:id="35"/>
    </w:p>
    <w:p>
      <w:pPr>
        <w:ind w:firstLine="736" w:firstLineChars="230"/>
        <w:rPr>
          <w:rFonts w:hint="eastAsia" w:ascii="仿宋_GB2312" w:hAnsi="Times New Roman" w:eastAsia="仿宋_GB2312" w:cs="Times New Roman"/>
          <w:kern w:val="2"/>
          <w:sz w:val="32"/>
          <w:szCs w:val="32"/>
          <w:lang w:val="en-US" w:eastAsia="zh-CN" w:bidi="ar-SA"/>
        </w:rPr>
      </w:pPr>
      <w:bookmarkStart w:id="36" w:name="_Toc15377199"/>
      <w:bookmarkStart w:id="37" w:name="_Toc15378446"/>
      <w:r>
        <w:rPr>
          <w:rFonts w:hint="eastAsia" w:ascii="仿宋_GB2312" w:hAnsi="Times New Roman" w:eastAsia="仿宋_GB2312" w:cs="Times New Roman"/>
          <w:kern w:val="2"/>
          <w:sz w:val="32"/>
          <w:szCs w:val="32"/>
          <w:lang w:val="en-US" w:eastAsia="zh-CN" w:bidi="ar-SA"/>
        </w:rPr>
        <w:t>1、组织《</w:t>
      </w:r>
      <w:r>
        <w:rPr>
          <w:rFonts w:hint="eastAsia" w:ascii="仿宋_GB2312" w:eastAsia="仿宋_GB2312" w:cs="Times New Roman"/>
          <w:kern w:val="2"/>
          <w:sz w:val="32"/>
          <w:szCs w:val="32"/>
          <w:lang w:val="en-US" w:eastAsia="zh-CN" w:bidi="ar-SA"/>
        </w:rPr>
        <w:t>中华人民共和国</w:t>
      </w:r>
      <w:r>
        <w:rPr>
          <w:rFonts w:hint="eastAsia" w:ascii="仿宋_GB2312" w:hAnsi="Times New Roman" w:eastAsia="仿宋_GB2312" w:cs="Times New Roman"/>
          <w:kern w:val="2"/>
          <w:sz w:val="32"/>
          <w:szCs w:val="32"/>
          <w:lang w:val="en-US" w:eastAsia="zh-CN" w:bidi="ar-SA"/>
        </w:rPr>
        <w:t>社会保险法》《社会保险费征缴暂行条例》及国发2号《国务院关于机关事业单位工作人员养老保险制度改革的决定》和《城乡养老保险制度衔接暂行办法》《四川省被征地失地农民养老保障实施办法》等在全区的宣传和贯彻实施。</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2、负责单位社保登记工作，企业、机关事业单位以及城乡居民参保人员的参保登记及权益记录查询工作。</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3、推动全民参保计划的实施，负责全区养老保险参保扩面工作，努力实现社会养老保险全覆盖。</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4、负责全区企业职工基本养老保险、工伤保险、失业保险费的征缴工作；负责全区机关事业单位养老保险费、职业年金的征缴工作；负责全区城乡居民基本养老保险费的征缴工作。</w:t>
      </w:r>
    </w:p>
    <w:p>
      <w:pPr>
        <w:ind w:firstLine="736" w:firstLineChars="23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5、负责全区企业职工基本养老保险、工伤保险、机关事业单位养老保险、职业年金、城乡居民基本养老保险待遇的计算、核定、调增及发放工作。</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6、加强对单位离退休人员的管理，研究制定开展社区服务的措施及办法，组织开展退管服务活动，丰富离退休人员的生活。</w:t>
      </w:r>
    </w:p>
    <w:p>
      <w:pPr>
        <w:ind w:firstLine="217" w:firstLineChars="68"/>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7、负责社会保险基金的管理工作，负责对单位参保缴费及社会保险待遇支付的稽核工作，维护参保人员的合法权益，确保基金安全。</w:t>
      </w:r>
    </w:p>
    <w:p>
      <w:pPr>
        <w:ind w:firstLine="736" w:firstLineChars="23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8、负责机关事业单位、企业职工及城乡居民社会保险关系的转移接续工作。</w:t>
      </w:r>
    </w:p>
    <w:p>
      <w:pPr>
        <w:ind w:firstLine="736" w:firstLineChars="23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9、负责被征地失地农民养老保障经办工作，负责中心内失地农民基本</w:t>
      </w:r>
      <w:r>
        <w:rPr>
          <w:rFonts w:hint="eastAsia" w:ascii="仿宋_GB2312" w:eastAsia="仿宋_GB2312" w:cs="Times New Roman"/>
          <w:kern w:val="2"/>
          <w:sz w:val="32"/>
          <w:szCs w:val="32"/>
          <w:lang w:val="en-US" w:eastAsia="zh-CN" w:bidi="ar-SA"/>
        </w:rPr>
        <w:t>困难</w:t>
      </w:r>
      <w:r>
        <w:rPr>
          <w:rFonts w:hint="eastAsia" w:ascii="仿宋_GB2312" w:hAnsi="Times New Roman" w:eastAsia="仿宋_GB2312" w:cs="Times New Roman"/>
          <w:kern w:val="2"/>
          <w:sz w:val="32"/>
          <w:szCs w:val="32"/>
          <w:lang w:val="en-US" w:eastAsia="zh-CN" w:bidi="ar-SA"/>
        </w:rPr>
        <w:t>补助保障费的筹集、管理和发放工作。</w:t>
      </w:r>
    </w:p>
    <w:p>
      <w:pPr>
        <w:ind w:firstLine="736" w:firstLineChars="23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10、完成区委、区政府交办的</w:t>
      </w:r>
      <w:r>
        <w:rPr>
          <w:rFonts w:hint="eastAsia" w:ascii="仿宋_GB2312" w:eastAsia="仿宋_GB2312" w:cs="Times New Roman"/>
          <w:kern w:val="2"/>
          <w:sz w:val="32"/>
          <w:szCs w:val="32"/>
          <w:lang w:val="en-US" w:eastAsia="zh-CN" w:bidi="ar-SA"/>
        </w:rPr>
        <w:t>其他。</w:t>
      </w:r>
    </w:p>
    <w:p>
      <w:pPr>
        <w:ind w:firstLine="640"/>
        <w:rPr>
          <w:rFonts w:hint="eastAsia" w:ascii="仿宋_GB2312" w:hAnsi="仿宋_GB2312" w:eastAsia="仿宋_GB2312" w:cs="仿宋_GB2312"/>
          <w:sz w:val="32"/>
          <w:szCs w:val="32"/>
        </w:rPr>
      </w:pPr>
    </w:p>
    <w:bookmarkEnd w:id="36"/>
    <w:bookmarkEnd w:id="37"/>
    <w:p>
      <w:pPr>
        <w:pStyle w:val="6"/>
        <w:rPr>
          <w:rStyle w:val="32"/>
          <w:b w:val="0"/>
          <w:bCs w:val="0"/>
        </w:rPr>
      </w:pPr>
      <w:bookmarkStart w:id="38" w:name="_Toc15396601"/>
      <w:bookmarkStart w:id="39" w:name="_Toc15377200"/>
      <w:r>
        <w:rPr>
          <w:rFonts w:hint="default" w:ascii="黑体" w:eastAsia="黑体"/>
          <w:b w:val="0"/>
          <w:color w:val="000000"/>
        </w:rPr>
        <w:t xml:space="preserve">    </w:t>
      </w:r>
      <w:bookmarkStart w:id="40" w:name="_Toc16821_WPSOffice_Level2"/>
      <w:bookmarkStart w:id="41" w:name="_Toc13140"/>
      <w:bookmarkStart w:id="42" w:name="_Toc21817"/>
      <w:bookmarkStart w:id="43" w:name="_Toc9164"/>
      <w:bookmarkStart w:id="44" w:name="_Toc8324"/>
      <w:r>
        <w:rPr>
          <w:rFonts w:hint="eastAsia" w:ascii="黑体" w:eastAsia="黑体"/>
          <w:b w:val="0"/>
          <w:color w:val="000000"/>
        </w:rPr>
        <w:t>二、</w:t>
      </w:r>
      <w:r>
        <w:rPr>
          <w:rFonts w:hint="eastAsia" w:ascii="黑体" w:hAnsi="黑体" w:eastAsia="黑体"/>
          <w:b w:val="0"/>
          <w:color w:val="000000"/>
        </w:rPr>
        <w:t>机</w:t>
      </w:r>
      <w:r>
        <w:rPr>
          <w:rStyle w:val="32"/>
          <w:rFonts w:hint="eastAsia" w:ascii="黑体" w:hAnsi="黑体" w:eastAsia="黑体"/>
          <w:b w:val="0"/>
          <w:bCs w:val="0"/>
        </w:rPr>
        <w:t>构设置</w:t>
      </w:r>
      <w:bookmarkEnd w:id="38"/>
      <w:bookmarkEnd w:id="39"/>
      <w:bookmarkEnd w:id="40"/>
      <w:bookmarkEnd w:id="41"/>
      <w:bookmarkEnd w:id="42"/>
      <w:bookmarkEnd w:id="43"/>
      <w:bookmarkEnd w:id="44"/>
    </w:p>
    <w:p>
      <w:pPr>
        <w:pStyle w:val="9"/>
        <w:shd w:val="clear"/>
        <w:adjustRightInd w:val="0"/>
        <w:snapToGrid w:val="0"/>
        <w:spacing w:beforeLines="0"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我局为区人社局下属二级局。区社保局下属二级单位0个，其中行政单位0个，参照公务员法管理的事业单位0个，其他事业单位0个</w:t>
      </w:r>
    </w:p>
    <w:p>
      <w:pPr>
        <w:pStyle w:val="9"/>
        <w:shd w:val="clear"/>
        <w:adjustRightInd w:val="0"/>
        <w:snapToGrid w:val="0"/>
        <w:spacing w:beforeLines="0" w:line="56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纳入区社保局2023</w:t>
      </w:r>
      <w:r>
        <w:rPr>
          <w:rFonts w:hint="eastAsia" w:ascii="仿宋_GB2312" w:hAnsi="Times New Roman" w:eastAsia="仿宋_GB2312" w:cs="Times New Roman"/>
          <w:kern w:val="2"/>
          <w:sz w:val="32"/>
          <w:szCs w:val="32"/>
          <w:lang w:val="en-US" w:eastAsia="zh-CN" w:bidi="ar-SA"/>
        </w:rPr>
        <w:t>年度单位</w:t>
      </w:r>
      <w:r>
        <w:rPr>
          <w:rFonts w:hint="eastAsia" w:ascii="仿宋_GB2312" w:hAnsi="Times New Roman" w:eastAsia="仿宋_GB2312" w:cs="Times New Roman"/>
          <w:kern w:val="2"/>
          <w:sz w:val="32"/>
          <w:szCs w:val="32"/>
          <w:lang w:val="en-US" w:eastAsia="zh-CN" w:bidi="ar-SA"/>
        </w:rPr>
        <w:t>决算编制范围的二级预算单位包括：无。</w:t>
      </w:r>
    </w:p>
    <w:p>
      <w:pPr>
        <w:widowControl/>
        <w:jc w:val="left"/>
        <w:rPr>
          <w:rFonts w:ascii="仿宋" w:hAnsi="仿宋" w:eastAsia="仿宋"/>
          <w:color w:val="000000"/>
          <w:kern w:val="0"/>
          <w:sz w:val="32"/>
          <w:szCs w:val="32"/>
        </w:rPr>
      </w:pPr>
    </w:p>
    <w:p>
      <w:pPr>
        <w:pStyle w:val="6"/>
        <w:outlineLvl w:val="9"/>
      </w:pPr>
    </w:p>
    <w:p>
      <w:pPr>
        <w:pStyle w:val="5"/>
        <w:ind w:right="440"/>
        <w:jc w:val="right"/>
        <w:rPr>
          <w:rStyle w:val="31"/>
          <w:rFonts w:ascii="黑体" w:hAnsi="黑体" w:eastAsia="黑体"/>
          <w:b w:val="0"/>
          <w:bCs w:val="0"/>
        </w:rPr>
      </w:pPr>
      <w:bookmarkStart w:id="45" w:name="_Toc15396602"/>
      <w:bookmarkStart w:id="46" w:name="_Toc31188"/>
      <w:bookmarkStart w:id="47" w:name="_Toc15377204"/>
      <w:bookmarkStart w:id="48" w:name="_Toc31007"/>
      <w:bookmarkStart w:id="49" w:name="_Toc30103_WPSOffice_Level1"/>
      <w:bookmarkStart w:id="50" w:name="_Toc702_WPSOffice_Level1"/>
      <w:bookmarkStart w:id="51" w:name="_Toc14756"/>
      <w:bookmarkStart w:id="52" w:name="_Toc24165"/>
      <w:r>
        <w:rPr>
          <w:rFonts w:hint="eastAsia" w:ascii="黑体" w:hAnsi="黑体" w:eastAsia="黑体"/>
          <w:b w:val="0"/>
          <w:color w:val="000000"/>
        </w:rPr>
        <w:t>第二部分</w:t>
      </w:r>
      <w:r>
        <w:rPr>
          <w:rFonts w:hint="eastAsia" w:ascii="黑体" w:hAnsi="黑体" w:eastAsia="黑体"/>
          <w:color w:val="000000"/>
        </w:rPr>
        <w:t xml:space="preserve"> </w:t>
      </w:r>
      <w:r>
        <w:rPr>
          <w:rStyle w:val="31"/>
          <w:rFonts w:hint="eastAsia" w:ascii="黑体" w:hAnsi="黑体" w:eastAsia="黑体"/>
          <w:b w:val="0"/>
          <w:bCs w:val="0"/>
          <w:lang w:eastAsia="zh-CN"/>
        </w:rPr>
        <w:t>2023</w:t>
      </w:r>
      <w:r>
        <w:rPr>
          <w:rStyle w:val="31"/>
          <w:rFonts w:hint="eastAsia" w:ascii="黑体" w:hAnsi="黑体" w:eastAsia="黑体"/>
          <w:b w:val="0"/>
          <w:bCs w:val="0"/>
        </w:rPr>
        <w:t>年度</w:t>
      </w:r>
      <w:r>
        <w:rPr>
          <w:rStyle w:val="31"/>
          <w:rFonts w:hint="eastAsia" w:ascii="黑体" w:hAnsi="黑体" w:eastAsia="黑体"/>
          <w:b w:val="0"/>
          <w:bCs w:val="0"/>
          <w:lang w:eastAsia="zh-CN"/>
        </w:rPr>
        <w:t>部门</w:t>
      </w:r>
      <w:r>
        <w:rPr>
          <w:rStyle w:val="31"/>
          <w:rFonts w:hint="eastAsia" w:ascii="黑体" w:hAnsi="黑体" w:eastAsia="黑体"/>
          <w:b w:val="0"/>
          <w:bCs w:val="0"/>
        </w:rPr>
        <w:t>决算情况说明</w:t>
      </w:r>
      <w:bookmarkEnd w:id="45"/>
      <w:bookmarkEnd w:id="46"/>
      <w:bookmarkEnd w:id="47"/>
      <w:bookmarkEnd w:id="48"/>
      <w:bookmarkEnd w:id="49"/>
      <w:bookmarkEnd w:id="50"/>
      <w:bookmarkEnd w:id="51"/>
      <w:bookmarkEnd w:id="52"/>
    </w:p>
    <w:p/>
    <w:p>
      <w:pPr>
        <w:pStyle w:val="30"/>
        <w:numPr>
          <w:ilvl w:val="0"/>
          <w:numId w:val="1"/>
        </w:numPr>
        <w:spacing w:line="600" w:lineRule="exact"/>
        <w:ind w:firstLineChars="0"/>
        <w:outlineLvl w:val="1"/>
        <w:rPr>
          <w:rStyle w:val="32"/>
          <w:rFonts w:ascii="黑体" w:hAnsi="黑体" w:eastAsia="黑体"/>
          <w:b w:val="0"/>
        </w:rPr>
      </w:pPr>
      <w:bookmarkStart w:id="53" w:name="_Toc15377205"/>
      <w:bookmarkStart w:id="54" w:name="_Toc8225"/>
      <w:bookmarkStart w:id="55" w:name="_Toc19553"/>
      <w:bookmarkStart w:id="56" w:name="_Toc15396603"/>
      <w:bookmarkStart w:id="57" w:name="_Toc12997"/>
      <w:bookmarkStart w:id="58" w:name="_Toc31084"/>
      <w:bookmarkStart w:id="59" w:name="_Toc4333_WPSOffice_Level2"/>
      <w:r>
        <w:rPr>
          <w:rFonts w:hint="eastAsia" w:ascii="黑体" w:hAnsi="黑体" w:eastAsia="黑体"/>
          <w:color w:val="000000"/>
          <w:sz w:val="32"/>
          <w:szCs w:val="32"/>
        </w:rPr>
        <w:t>收</w:t>
      </w:r>
      <w:r>
        <w:rPr>
          <w:rStyle w:val="32"/>
          <w:rFonts w:hint="eastAsia" w:ascii="黑体" w:hAnsi="黑体" w:eastAsia="黑体"/>
          <w:b w:val="0"/>
        </w:rPr>
        <w:t>入支出决算总体情况说明</w:t>
      </w:r>
      <w:bookmarkEnd w:id="53"/>
      <w:bookmarkEnd w:id="54"/>
      <w:bookmarkEnd w:id="55"/>
      <w:bookmarkEnd w:id="56"/>
      <w:bookmarkEnd w:id="57"/>
      <w:bookmarkEnd w:id="58"/>
      <w:bookmarkEnd w:id="59"/>
    </w:p>
    <w:p>
      <w:pPr>
        <w:ind w:firstLine="640" w:firstLineChars="200"/>
        <w:rPr>
          <w:rFonts w:hint="eastAsia" w:ascii="仿宋_GB2312" w:hAnsi="Times New Roman" w:eastAsia="仿宋"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2023</w:t>
      </w:r>
      <w:r>
        <w:rPr>
          <w:rFonts w:hint="eastAsia" w:ascii="仿宋_GB2312" w:hAnsi="Times New Roman" w:eastAsia="仿宋_GB2312" w:cs="Times New Roman"/>
          <w:kern w:val="2"/>
          <w:sz w:val="32"/>
          <w:szCs w:val="32"/>
          <w:lang w:val="en-US" w:eastAsia="zh-CN" w:bidi="ar-SA"/>
        </w:rPr>
        <w:t>年度收、支总计</w:t>
      </w:r>
      <w:r>
        <w:rPr>
          <w:rFonts w:hint="eastAsia" w:ascii="仿宋_GB2312" w:eastAsia="仿宋_GB2312" w:cs="Times New Roman"/>
          <w:kern w:val="2"/>
          <w:sz w:val="32"/>
          <w:szCs w:val="32"/>
          <w:lang w:val="en-US" w:eastAsia="zh-CN" w:bidi="ar-SA"/>
        </w:rPr>
        <w:t>均为1,727.58</w:t>
      </w:r>
      <w:r>
        <w:rPr>
          <w:rFonts w:hint="eastAsia" w:ascii="仿宋_GB2312" w:hAnsi="Times New Roman" w:eastAsia="仿宋_GB2312" w:cs="Times New Roman"/>
          <w:kern w:val="2"/>
          <w:sz w:val="32"/>
          <w:szCs w:val="32"/>
          <w:lang w:val="en-US" w:eastAsia="zh-CN" w:bidi="ar-SA"/>
        </w:rPr>
        <w:t>万元，与</w:t>
      </w:r>
      <w:r>
        <w:rPr>
          <w:rFonts w:hint="eastAsia" w:ascii="仿宋_GB2312" w:eastAsia="仿宋_GB2312" w:cs="Times New Roman"/>
          <w:kern w:val="2"/>
          <w:sz w:val="32"/>
          <w:szCs w:val="32"/>
          <w:lang w:val="en-US" w:eastAsia="zh-CN" w:bidi="ar-SA"/>
        </w:rPr>
        <w:t>2022</w:t>
      </w:r>
      <w:r>
        <w:rPr>
          <w:rFonts w:hint="eastAsia" w:ascii="仿宋_GB2312" w:hAnsi="Times New Roman" w:eastAsia="仿宋_GB2312" w:cs="Times New Roman"/>
          <w:kern w:val="2"/>
          <w:sz w:val="32"/>
          <w:szCs w:val="32"/>
          <w:lang w:val="en-US" w:eastAsia="zh-CN" w:bidi="ar-SA"/>
        </w:rPr>
        <w:t>年相比，收、支总计各</w:t>
      </w:r>
      <w:r>
        <w:rPr>
          <w:rFonts w:hint="eastAsia" w:ascii="仿宋_GB2312" w:eastAsia="仿宋_GB2312" w:cs="Times New Roman"/>
          <w:kern w:val="2"/>
          <w:sz w:val="32"/>
          <w:szCs w:val="32"/>
          <w:lang w:val="en-US" w:eastAsia="zh-CN" w:bidi="ar-SA"/>
        </w:rPr>
        <w:t>增加542.05</w:t>
      </w:r>
      <w:r>
        <w:rPr>
          <w:rFonts w:hint="eastAsia" w:ascii="仿宋_GB2312" w:hAnsi="Times New Roman" w:eastAsia="仿宋_GB2312" w:cs="Times New Roman"/>
          <w:kern w:val="2"/>
          <w:sz w:val="32"/>
          <w:szCs w:val="32"/>
          <w:lang w:val="en-US" w:eastAsia="zh-CN" w:bidi="ar-SA"/>
        </w:rPr>
        <w:t>万元，</w:t>
      </w:r>
      <w:r>
        <w:rPr>
          <w:rFonts w:hint="eastAsia" w:ascii="仿宋_GB2312" w:eastAsia="仿宋_GB2312" w:cs="Times New Roman"/>
          <w:kern w:val="2"/>
          <w:sz w:val="32"/>
          <w:szCs w:val="32"/>
          <w:lang w:val="en-US" w:eastAsia="zh-CN" w:bidi="ar-SA"/>
        </w:rPr>
        <w:t>增长45.72%</w:t>
      </w:r>
      <w:r>
        <w:rPr>
          <w:rFonts w:hint="eastAsia" w:ascii="仿宋_GB2312" w:hAnsi="Times New Roman" w:eastAsia="仿宋_GB2312" w:cs="Times New Roman"/>
          <w:kern w:val="2"/>
          <w:sz w:val="32"/>
          <w:szCs w:val="32"/>
          <w:lang w:val="en-US" w:eastAsia="zh-CN" w:bidi="ar-SA"/>
        </w:rPr>
        <w:t>，</w:t>
      </w:r>
      <w:r>
        <w:rPr>
          <w:rFonts w:hint="eastAsia" w:ascii="仿宋" w:hAnsi="仿宋" w:eastAsia="仿宋"/>
          <w:color w:val="auto"/>
          <w:sz w:val="32"/>
          <w:szCs w:val="32"/>
          <w:highlight w:val="none"/>
          <w:lang w:eastAsia="zh-CN"/>
        </w:rPr>
        <w:t>主要变动原因是抚恤金资金增加。</w:t>
      </w:r>
    </w:p>
    <w:p>
      <w:pPr>
        <w:rPr>
          <w:rFonts w:hint="eastAsia" w:eastAsia="宋体"/>
          <w:lang w:val="en-US" w:eastAsia="zh-CN"/>
        </w:rPr>
      </w:pPr>
      <w:r>
        <w:rPr>
          <w:rFonts w:hint="eastAsia"/>
          <w:lang w:val="en-US" w:eastAsia="zh-CN"/>
        </w:rPr>
        <w:t xml:space="preserve">                                                       </w:t>
      </w:r>
      <w:r>
        <w:rPr>
          <w:rFonts w:hint="eastAsia" w:ascii="仿宋" w:hAnsi="仿宋" w:eastAsia="仿宋"/>
          <w:color w:val="auto"/>
          <w:sz w:val="32"/>
          <w:szCs w:val="32"/>
          <w:highlight w:val="none"/>
          <w:lang w:val="en-US" w:eastAsia="zh-CN"/>
        </w:rPr>
        <w:t xml:space="preserve"> </w:t>
      </w:r>
    </w:p>
    <w:p>
      <w:r>
        <w:rPr>
          <w:rFonts w:hint="eastAsia" w:ascii="仿宋" w:hAnsi="仿宋" w:eastAsia="仿宋"/>
          <w:color w:val="000000" w:themeColor="text1"/>
          <w:sz w:val="32"/>
          <w:szCs w:val="32"/>
          <w:highlight w:val="none"/>
          <w14:textFill>
            <w14:solidFill>
              <w14:schemeClr w14:val="tx1"/>
            </w14:solidFill>
          </w14:textFill>
        </w:rPr>
        <w:drawing>
          <wp:inline distT="0" distB="0" distL="114300" distR="114300">
            <wp:extent cx="4581525" cy="2466975"/>
            <wp:effectExtent l="4445" t="4445" r="16510" b="1270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：收、支决算总计变动情况图）（柱状图</w:t>
      </w:r>
      <w:r>
        <w:rPr>
          <w:rFonts w:hint="eastAsia" w:ascii="仿宋" w:hAnsi="仿宋" w:eastAsia="仿宋"/>
          <w:color w:val="auto"/>
          <w:sz w:val="32"/>
          <w:szCs w:val="32"/>
          <w:highlight w:val="none"/>
          <w:lang w:val="en-US" w:eastAsia="zh-CN"/>
        </w:rPr>
        <w:t>单位：万元</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firstLineChars="200"/>
        <w:jc w:val="left"/>
        <w:rPr>
          <w:rFonts w:ascii="仿宋_GB2312" w:eastAsia="仿宋_GB2312"/>
          <w:color w:val="000000"/>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60" w:name="_Toc14427"/>
      <w:bookmarkStart w:id="61" w:name="_Toc25433"/>
      <w:bookmarkStart w:id="62" w:name="_Toc14591_WPSOffice_Level2"/>
      <w:bookmarkStart w:id="63" w:name="_Toc8335"/>
      <w:bookmarkStart w:id="64" w:name="_Toc15054"/>
      <w:bookmarkStart w:id="65" w:name="_Toc15377206"/>
      <w:bookmarkStart w:id="66" w:name="_Toc15396604"/>
      <w:r>
        <w:rPr>
          <w:rFonts w:hint="eastAsia" w:ascii="黑体" w:hAnsi="黑体" w:eastAsia="黑体"/>
          <w:color w:val="000000"/>
          <w:sz w:val="32"/>
          <w:szCs w:val="32"/>
        </w:rPr>
        <w:t>收</w:t>
      </w:r>
      <w:r>
        <w:rPr>
          <w:rStyle w:val="32"/>
          <w:rFonts w:hint="eastAsia" w:ascii="黑体" w:hAnsi="黑体" w:eastAsia="黑体"/>
          <w:b w:val="0"/>
        </w:rPr>
        <w:t>入决算情况说明</w:t>
      </w:r>
      <w:bookmarkEnd w:id="60"/>
      <w:bookmarkEnd w:id="61"/>
      <w:bookmarkEnd w:id="62"/>
      <w:bookmarkEnd w:id="63"/>
      <w:bookmarkEnd w:id="64"/>
      <w:bookmarkEnd w:id="65"/>
      <w:bookmarkEnd w:id="66"/>
    </w:p>
    <w:p>
      <w:pPr>
        <w:ind w:firstLine="640" w:firstLineChars="200"/>
        <w:rPr>
          <w:rFonts w:hint="eastAsia" w:ascii="仿宋_GB2312" w:hAnsi="Times New Roman" w:eastAsia="仿宋_GB2312" w:cs="仿宋_GB2312"/>
          <w:kern w:val="0"/>
          <w:sz w:val="30"/>
          <w:szCs w:val="30"/>
          <w:lang w:val="en-US" w:eastAsia="zh-CN" w:bidi="ar-SA"/>
        </w:rPr>
      </w:pPr>
      <w:bookmarkStart w:id="67" w:name="_Toc8372"/>
      <w:r>
        <w:rPr>
          <w:rFonts w:hint="eastAsia" w:ascii="仿宋_GB2312" w:eastAsia="仿宋_GB2312" w:cs="Times New Roman"/>
          <w:kern w:val="2"/>
          <w:sz w:val="32"/>
          <w:szCs w:val="32"/>
          <w:lang w:val="en-US" w:eastAsia="zh-CN" w:bidi="ar-SA"/>
        </w:rPr>
        <w:t>2023</w:t>
      </w:r>
      <w:r>
        <w:rPr>
          <w:rFonts w:hint="eastAsia" w:ascii="仿宋_GB2312" w:hAnsi="Times New Roman" w:eastAsia="仿宋_GB2312" w:cs="Times New Roman"/>
          <w:kern w:val="2"/>
          <w:sz w:val="32"/>
          <w:szCs w:val="32"/>
          <w:lang w:val="en-US" w:eastAsia="zh-CN" w:bidi="ar-SA"/>
        </w:rPr>
        <w:t>年本年收入合计</w:t>
      </w:r>
      <w:r>
        <w:rPr>
          <w:rFonts w:hint="eastAsia" w:ascii="仿宋_GB2312" w:eastAsia="仿宋_GB2312" w:cs="Times New Roman"/>
          <w:kern w:val="2"/>
          <w:sz w:val="32"/>
          <w:szCs w:val="32"/>
          <w:lang w:val="en-US" w:eastAsia="zh-CN" w:bidi="ar-SA"/>
        </w:rPr>
        <w:t>1,727.58</w:t>
      </w:r>
      <w:r>
        <w:rPr>
          <w:rFonts w:hint="eastAsia" w:ascii="仿宋_GB2312" w:hAnsi="Times New Roman" w:eastAsia="仿宋_GB2312" w:cs="Times New Roman"/>
          <w:kern w:val="2"/>
          <w:sz w:val="32"/>
          <w:szCs w:val="32"/>
          <w:lang w:val="en-US" w:eastAsia="zh-CN" w:bidi="ar-SA"/>
        </w:rPr>
        <w:t>万元，其中：</w:t>
      </w:r>
      <w:r>
        <w:rPr>
          <w:rFonts w:hint="eastAsia" w:ascii="仿宋_GB2312" w:eastAsia="仿宋_GB2312" w:cs="Times New Roman"/>
          <w:kern w:val="2"/>
          <w:sz w:val="32"/>
          <w:szCs w:val="32"/>
          <w:lang w:val="en-US" w:eastAsia="zh-CN" w:bidi="ar-SA"/>
        </w:rPr>
        <w:t>一般公共预算财政拨款收入1727.58万元</w:t>
      </w:r>
      <w:r>
        <w:rPr>
          <w:rFonts w:hint="eastAsia" w:ascii="仿宋_GB2312" w:hAnsi="Times New Roman" w:eastAsia="仿宋_GB2312" w:cs="Times New Roman"/>
          <w:kern w:val="2"/>
          <w:sz w:val="32"/>
          <w:szCs w:val="32"/>
          <w:lang w:val="en-US" w:eastAsia="zh-CN" w:bidi="ar-SA"/>
        </w:rPr>
        <w:t>，占</w:t>
      </w:r>
      <w:r>
        <w:rPr>
          <w:rFonts w:hint="eastAsia" w:ascii="仿宋_GB2312" w:eastAsia="仿宋_GB2312" w:cs="Times New Roman"/>
          <w:kern w:val="2"/>
          <w:sz w:val="32"/>
          <w:szCs w:val="32"/>
          <w:lang w:val="en-US" w:eastAsia="zh-CN" w:bidi="ar-SA"/>
        </w:rPr>
        <w:t>100%</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政府性基金预算财政拨款收入0万元</w:t>
      </w:r>
      <w:r>
        <w:rPr>
          <w:rFonts w:hint="eastAsia" w:ascii="仿宋_GB2312" w:hAnsi="Times New Roman" w:eastAsia="仿宋_GB2312" w:cs="Times New Roman"/>
          <w:kern w:val="2"/>
          <w:sz w:val="32"/>
          <w:szCs w:val="32"/>
          <w:lang w:val="en-US" w:eastAsia="zh-CN" w:bidi="ar-SA"/>
        </w:rPr>
        <w:t>，占</w:t>
      </w:r>
      <w:r>
        <w:rPr>
          <w:rFonts w:hint="eastAsia" w:ascii="仿宋_GB2312" w:eastAsia="仿宋_GB2312" w:cs="Times New Roman"/>
          <w:kern w:val="2"/>
          <w:sz w:val="32"/>
          <w:szCs w:val="32"/>
          <w:lang w:val="en-US" w:eastAsia="zh-CN" w:bidi="ar-SA"/>
        </w:rPr>
        <w:t>0%</w:t>
      </w:r>
      <w:r>
        <w:rPr>
          <w:rFonts w:hint="eastAsia" w:ascii="仿宋_GB2312" w:hAnsi="Times New Roman" w:eastAsia="仿宋_GB2312" w:cs="Times New Roman"/>
          <w:kern w:val="2"/>
          <w:sz w:val="32"/>
          <w:szCs w:val="32"/>
          <w:lang w:val="en-US" w:eastAsia="zh-CN" w:bidi="ar-SA"/>
        </w:rPr>
        <w:t>；国有资本经营预算财政拨款收入0万元，占0%；事业收入0万元，占0%；经营收入0万元，占0%；附属单位上缴收入0万元，占0%；其他收入0万元，占0%。</w:t>
      </w:r>
      <w:bookmarkEnd w:id="67"/>
    </w:p>
    <w:p>
      <w:pPr>
        <w:jc w:val="right"/>
        <w:rPr>
          <w:rFonts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0288" behindDoc="0" locked="0" layoutInCell="1" allowOverlap="1">
            <wp:simplePos x="0" y="0"/>
            <wp:positionH relativeFrom="column">
              <wp:posOffset>525145</wp:posOffset>
            </wp:positionH>
            <wp:positionV relativeFrom="paragraph">
              <wp:posOffset>454025</wp:posOffset>
            </wp:positionV>
            <wp:extent cx="4772025" cy="2752725"/>
            <wp:effectExtent l="4445" t="4445" r="8890" b="1651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1600" w:firstLineChars="5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（图2：收入决算结构图）（饼状图）</w:t>
      </w:r>
    </w:p>
    <w:p>
      <w:pPr>
        <w:spacing w:line="600" w:lineRule="exact"/>
        <w:ind w:firstLine="640" w:firstLineChars="200"/>
        <w:rPr>
          <w:rFonts w:ascii="仿宋_GB2312" w:eastAsia="仿宋_GB2312"/>
          <w:color w:val="FF0000"/>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68" w:name="_Toc17829"/>
      <w:bookmarkStart w:id="69" w:name="_Toc15396605"/>
      <w:bookmarkStart w:id="70" w:name="_Toc1399"/>
      <w:bookmarkStart w:id="71" w:name="_Toc15377207"/>
      <w:bookmarkStart w:id="72" w:name="_Toc349"/>
      <w:bookmarkStart w:id="73" w:name="_Toc11845_WPSOffice_Level2"/>
      <w:bookmarkStart w:id="74" w:name="_Toc22968"/>
      <w:r>
        <w:rPr>
          <w:rFonts w:hint="eastAsia" w:ascii="黑体" w:hAnsi="黑体" w:eastAsia="黑体"/>
          <w:color w:val="000000"/>
          <w:sz w:val="32"/>
          <w:szCs w:val="32"/>
        </w:rPr>
        <w:t>支</w:t>
      </w:r>
      <w:r>
        <w:rPr>
          <w:rStyle w:val="32"/>
          <w:rFonts w:hint="eastAsia" w:ascii="黑体" w:hAnsi="黑体" w:eastAsia="黑体"/>
          <w:b w:val="0"/>
        </w:rPr>
        <w:t>出决算情况说明</w:t>
      </w:r>
      <w:bookmarkEnd w:id="68"/>
      <w:bookmarkEnd w:id="69"/>
      <w:bookmarkEnd w:id="70"/>
      <w:bookmarkEnd w:id="71"/>
      <w:bookmarkEnd w:id="72"/>
      <w:bookmarkEnd w:id="73"/>
      <w:bookmarkEnd w:id="74"/>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2023</w:t>
      </w:r>
      <w:r>
        <w:rPr>
          <w:rFonts w:hint="eastAsia" w:ascii="仿宋_GB2312" w:hAnsi="Times New Roman" w:eastAsia="仿宋_GB2312" w:cs="Times New Roman"/>
          <w:kern w:val="2"/>
          <w:sz w:val="32"/>
          <w:szCs w:val="32"/>
          <w:lang w:val="en-US" w:eastAsia="zh-CN" w:bidi="ar-SA"/>
        </w:rPr>
        <w:t>年本年支出合计</w:t>
      </w:r>
      <w:r>
        <w:rPr>
          <w:rFonts w:hint="eastAsia" w:ascii="仿宋_GB2312" w:eastAsia="仿宋_GB2312" w:cs="Times New Roman"/>
          <w:kern w:val="2"/>
          <w:sz w:val="32"/>
          <w:szCs w:val="32"/>
          <w:lang w:val="en-US" w:eastAsia="zh-CN" w:bidi="ar-SA"/>
        </w:rPr>
        <w:t>1,727.58</w:t>
      </w:r>
      <w:r>
        <w:rPr>
          <w:rFonts w:hint="eastAsia" w:ascii="仿宋_GB2312" w:hAnsi="Times New Roman" w:eastAsia="仿宋_GB2312" w:cs="Times New Roman"/>
          <w:kern w:val="2"/>
          <w:sz w:val="32"/>
          <w:szCs w:val="32"/>
          <w:lang w:val="en-US" w:eastAsia="zh-CN" w:bidi="ar-SA"/>
        </w:rPr>
        <w:t>万元，其中：基本支出</w:t>
      </w:r>
      <w:r>
        <w:rPr>
          <w:rFonts w:hint="eastAsia" w:ascii="仿宋_GB2312" w:eastAsia="仿宋_GB2312" w:cs="Times New Roman"/>
          <w:kern w:val="2"/>
          <w:sz w:val="32"/>
          <w:szCs w:val="32"/>
          <w:lang w:val="en-US" w:eastAsia="zh-CN" w:bidi="ar-SA"/>
        </w:rPr>
        <w:t>1,558.92</w:t>
      </w:r>
      <w:r>
        <w:rPr>
          <w:rFonts w:hint="eastAsia" w:ascii="仿宋_GB2312" w:hAnsi="Times New Roman" w:eastAsia="仿宋_GB2312" w:cs="Times New Roman"/>
          <w:kern w:val="2"/>
          <w:sz w:val="32"/>
          <w:szCs w:val="32"/>
          <w:lang w:val="en-US" w:eastAsia="zh-CN" w:bidi="ar-SA"/>
        </w:rPr>
        <w:t>万元，占90.24%；项目支出</w:t>
      </w:r>
      <w:r>
        <w:rPr>
          <w:rFonts w:hint="eastAsia" w:ascii="仿宋_GB2312" w:eastAsia="仿宋_GB2312" w:cs="Times New Roman"/>
          <w:kern w:val="2"/>
          <w:sz w:val="32"/>
          <w:szCs w:val="32"/>
          <w:lang w:val="en-US" w:eastAsia="zh-CN" w:bidi="ar-SA"/>
        </w:rPr>
        <w:t>168.66</w:t>
      </w:r>
      <w:r>
        <w:rPr>
          <w:rFonts w:hint="eastAsia" w:ascii="仿宋_GB2312" w:hAnsi="Times New Roman" w:eastAsia="仿宋_GB2312" w:cs="Times New Roman"/>
          <w:kern w:val="2"/>
          <w:sz w:val="32"/>
          <w:szCs w:val="32"/>
          <w:lang w:val="en-US" w:eastAsia="zh-CN" w:bidi="ar-SA"/>
        </w:rPr>
        <w:t>万元，占</w:t>
      </w:r>
      <w:r>
        <w:rPr>
          <w:rFonts w:hint="eastAsia" w:ascii="仿宋_GB2312" w:eastAsia="仿宋_GB2312" w:cs="Times New Roman"/>
          <w:kern w:val="2"/>
          <w:sz w:val="32"/>
          <w:szCs w:val="32"/>
          <w:lang w:val="en-US" w:eastAsia="zh-CN" w:bidi="ar-SA"/>
        </w:rPr>
        <w:t>9.76%</w:t>
      </w:r>
      <w:r>
        <w:rPr>
          <w:rFonts w:hint="eastAsia" w:ascii="仿宋_GB2312" w:hAnsi="Times New Roman" w:eastAsia="仿宋_GB2312" w:cs="Times New Roman"/>
          <w:kern w:val="2"/>
          <w:sz w:val="32"/>
          <w:szCs w:val="32"/>
          <w:lang w:val="en-US" w:eastAsia="zh-CN" w:bidi="ar-SA"/>
        </w:rPr>
        <w:t>；上缴上级支出0万元，占0%；经营支出0万元，占0%；对附属单位补助支出0万元，占0%。</w:t>
      </w:r>
    </w:p>
    <w:p>
      <w:pPr>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br w:type="page"/>
      </w:r>
    </w:p>
    <w:p>
      <w:pPr>
        <w:pStyle w:val="9"/>
      </w:pPr>
    </w:p>
    <w:p>
      <w:pPr>
        <w:spacing w:line="600" w:lineRule="exact"/>
        <w:ind w:firstLine="640"/>
        <w:rPr>
          <w:rFonts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790575</wp:posOffset>
            </wp:positionH>
            <wp:positionV relativeFrom="paragraph">
              <wp:posOffset>57150</wp:posOffset>
            </wp:positionV>
            <wp:extent cx="4138930" cy="2661285"/>
            <wp:effectExtent l="4445" t="4445" r="9525" b="2032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1280" w:firstLineChars="4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（图3：支出决算结构图）（饼状图）</w:t>
      </w:r>
    </w:p>
    <w:p>
      <w:pPr>
        <w:spacing w:line="600" w:lineRule="exact"/>
        <w:ind w:firstLine="640" w:firstLineChars="200"/>
        <w:outlineLvl w:val="1"/>
        <w:rPr>
          <w:rStyle w:val="32"/>
          <w:rFonts w:ascii="黑体" w:hAnsi="黑体" w:eastAsia="黑体"/>
          <w:b w:val="0"/>
        </w:rPr>
      </w:pPr>
      <w:bookmarkStart w:id="75" w:name="_Toc25851"/>
      <w:bookmarkStart w:id="76" w:name="_Toc14832_WPSOffice_Level2"/>
      <w:bookmarkStart w:id="77" w:name="_Toc15396606"/>
      <w:bookmarkStart w:id="78" w:name="_Toc405"/>
      <w:bookmarkStart w:id="79" w:name="_Toc15377208"/>
      <w:bookmarkStart w:id="80" w:name="_Toc11353"/>
      <w:bookmarkStart w:id="81" w:name="_Toc1268"/>
      <w:r>
        <w:rPr>
          <w:rFonts w:hint="eastAsia" w:ascii="黑体" w:hAnsi="黑体" w:eastAsia="黑体"/>
          <w:color w:val="000000"/>
          <w:sz w:val="32"/>
          <w:szCs w:val="32"/>
        </w:rPr>
        <w:t>四、财</w:t>
      </w:r>
      <w:r>
        <w:rPr>
          <w:rStyle w:val="32"/>
          <w:rFonts w:hint="eastAsia" w:ascii="黑体" w:hAnsi="黑体" w:eastAsia="黑体"/>
          <w:b w:val="0"/>
        </w:rPr>
        <w:t>政拨款收入支出决算总体情况说明</w:t>
      </w:r>
      <w:bookmarkEnd w:id="75"/>
      <w:bookmarkEnd w:id="76"/>
      <w:bookmarkEnd w:id="77"/>
      <w:bookmarkEnd w:id="78"/>
      <w:bookmarkEnd w:id="79"/>
      <w:bookmarkEnd w:id="80"/>
      <w:bookmarkEnd w:id="81"/>
    </w:p>
    <w:p>
      <w:pPr>
        <w:ind w:firstLine="640" w:firstLineChars="200"/>
        <w:rPr>
          <w:rFonts w:hint="eastAsia" w:eastAsia="仿宋"/>
          <w:lang w:eastAsia="zh-CN"/>
        </w:rPr>
      </w:pPr>
      <w:r>
        <w:rPr>
          <w:rFonts w:hint="eastAsia" w:ascii="仿宋_GB2312" w:eastAsia="仿宋_GB2312" w:cs="Times New Roman"/>
          <w:kern w:val="2"/>
          <w:sz w:val="32"/>
          <w:szCs w:val="32"/>
          <w:lang w:val="en-US" w:eastAsia="zh-CN" w:bidi="ar-SA"/>
        </w:rPr>
        <w:t>2023</w:t>
      </w:r>
      <w:r>
        <w:rPr>
          <w:rFonts w:hint="eastAsia" w:ascii="仿宋_GB2312" w:hAnsi="Times New Roman" w:eastAsia="仿宋_GB2312" w:cs="Times New Roman"/>
          <w:kern w:val="2"/>
          <w:sz w:val="32"/>
          <w:szCs w:val="32"/>
          <w:lang w:val="en-US" w:eastAsia="zh-CN" w:bidi="ar-SA"/>
        </w:rPr>
        <w:t>年度财政拨款收、支总计</w:t>
      </w:r>
      <w:r>
        <w:rPr>
          <w:rFonts w:hint="eastAsia" w:ascii="仿宋_GB2312" w:eastAsia="仿宋_GB2312" w:cs="Times New Roman"/>
          <w:kern w:val="2"/>
          <w:sz w:val="32"/>
          <w:szCs w:val="32"/>
          <w:lang w:val="en-US" w:eastAsia="zh-CN" w:bidi="ar-SA"/>
        </w:rPr>
        <w:t>均为1,727.58</w:t>
      </w:r>
      <w:r>
        <w:rPr>
          <w:rFonts w:hint="eastAsia" w:ascii="仿宋_GB2312" w:hAnsi="Times New Roman" w:eastAsia="仿宋_GB2312" w:cs="Times New Roman"/>
          <w:kern w:val="2"/>
          <w:sz w:val="32"/>
          <w:szCs w:val="32"/>
          <w:lang w:val="en-US" w:eastAsia="zh-CN" w:bidi="ar-SA"/>
        </w:rPr>
        <w:t>万元，与</w:t>
      </w:r>
      <w:r>
        <w:rPr>
          <w:rFonts w:hint="eastAsia" w:ascii="仿宋_GB2312" w:eastAsia="仿宋_GB2312" w:cs="Times New Roman"/>
          <w:kern w:val="2"/>
          <w:sz w:val="32"/>
          <w:szCs w:val="32"/>
          <w:lang w:val="en-US" w:eastAsia="zh-CN" w:bidi="ar-SA"/>
        </w:rPr>
        <w:t>2022</w:t>
      </w:r>
      <w:r>
        <w:rPr>
          <w:rFonts w:hint="eastAsia" w:ascii="仿宋_GB2312" w:hAnsi="Times New Roman" w:eastAsia="仿宋_GB2312" w:cs="Times New Roman"/>
          <w:kern w:val="2"/>
          <w:sz w:val="32"/>
          <w:szCs w:val="32"/>
          <w:lang w:val="en-US" w:eastAsia="zh-CN" w:bidi="ar-SA"/>
        </w:rPr>
        <w:t>年相比，财政拨款收、支总计各</w:t>
      </w:r>
      <w:r>
        <w:rPr>
          <w:rFonts w:hint="eastAsia" w:ascii="仿宋_GB2312" w:eastAsia="仿宋_GB2312" w:cs="Times New Roman"/>
          <w:kern w:val="2"/>
          <w:sz w:val="32"/>
          <w:szCs w:val="32"/>
          <w:lang w:val="en-US" w:eastAsia="zh-CN" w:bidi="ar-SA"/>
        </w:rPr>
        <w:t>增加542.05</w:t>
      </w:r>
      <w:r>
        <w:rPr>
          <w:rFonts w:hint="eastAsia" w:ascii="仿宋_GB2312" w:hAnsi="Times New Roman" w:eastAsia="仿宋_GB2312" w:cs="Times New Roman"/>
          <w:kern w:val="2"/>
          <w:sz w:val="32"/>
          <w:szCs w:val="32"/>
          <w:lang w:val="en-US" w:eastAsia="zh-CN" w:bidi="ar-SA"/>
        </w:rPr>
        <w:t>万元，</w:t>
      </w:r>
      <w:r>
        <w:rPr>
          <w:rFonts w:hint="eastAsia" w:ascii="仿宋_GB2312" w:eastAsia="仿宋_GB2312" w:cs="Times New Roman"/>
          <w:kern w:val="2"/>
          <w:sz w:val="32"/>
          <w:szCs w:val="32"/>
          <w:lang w:val="en-US" w:eastAsia="zh-CN" w:bidi="ar-SA"/>
        </w:rPr>
        <w:t>增长45.72%</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主要变动原因是抚恤金资金增加。</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w:t>
      </w:r>
      <w:r>
        <w:rPr>
          <w:rFonts w:hint="eastAsia" w:ascii="仿宋_GB2312" w:eastAsia="仿宋_GB2312" w:cs="Times New Roman"/>
          <w:kern w:val="2"/>
          <w:sz w:val="32"/>
          <w:szCs w:val="32"/>
          <w:lang w:val="en-US" w:eastAsia="zh-CN" w:bidi="ar-SA"/>
        </w:rPr>
        <w:t xml:space="preserve">     </w:t>
      </w:r>
      <w:r>
        <w:rPr>
          <w:rFonts w:hint="eastAsia" w:ascii="仿宋" w:hAnsi="仿宋" w:eastAsia="仿宋"/>
          <w:color w:val="000000" w:themeColor="text1"/>
          <w:sz w:val="32"/>
          <w:szCs w:val="32"/>
          <w14:textFill>
            <w14:solidFill>
              <w14:schemeClr w14:val="tx1"/>
            </w14:solidFill>
          </w14:textFill>
        </w:rPr>
        <w:drawing>
          <wp:inline distT="0" distB="0" distL="114300" distR="114300">
            <wp:extent cx="4581525" cy="2466975"/>
            <wp:effectExtent l="4445" t="4445" r="16510" b="12700"/>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rFonts w:hint="eastAsia" w:ascii="仿宋_GB2312" w:eastAsia="仿宋_GB2312" w:cs="Times New Roman"/>
          <w:kern w:val="2"/>
          <w:sz w:val="32"/>
          <w:szCs w:val="32"/>
          <w:lang w:val="en-US" w:eastAsia="zh-CN" w:bidi="ar-SA"/>
        </w:rPr>
        <w:t xml:space="preserve">                         </w:t>
      </w:r>
    </w:p>
    <w:p>
      <w:pP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（图4：财政拨款收、支决算总计变动情况）（柱状图</w:t>
      </w:r>
      <w:r>
        <w:rPr>
          <w:rFonts w:hint="eastAsia" w:ascii="仿宋_GB2312" w:hAnsi="Times New Roman" w:eastAsia="仿宋_GB2312" w:cs="Times New Roman"/>
          <w:kern w:val="2"/>
          <w:sz w:val="32"/>
          <w:szCs w:val="32"/>
          <w:lang w:val="en-US" w:eastAsia="zh-CN" w:bidi="ar-SA"/>
        </w:rPr>
        <w:t>单位：万元</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32"/>
          <w:rFonts w:ascii="黑体" w:hAnsi="黑体" w:eastAsia="黑体"/>
          <w:b w:val="0"/>
        </w:rPr>
      </w:pPr>
      <w:bookmarkStart w:id="82" w:name="_Toc3423"/>
      <w:bookmarkStart w:id="83" w:name="_Toc18734"/>
      <w:bookmarkStart w:id="84" w:name="_Toc15377209"/>
      <w:bookmarkStart w:id="85" w:name="_Toc15396607"/>
      <w:bookmarkStart w:id="86" w:name="_Toc25416"/>
      <w:bookmarkStart w:id="87" w:name="_Toc30891_WPSOffice_Level2"/>
      <w:bookmarkStart w:id="88" w:name="_Toc2934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32"/>
          <w:rFonts w:hint="eastAsia" w:ascii="黑体" w:hAnsi="黑体" w:eastAsia="黑体"/>
          <w:b w:val="0"/>
        </w:rPr>
        <w:t>般公共预算财政拨款支出决算情况说明</w:t>
      </w:r>
      <w:bookmarkEnd w:id="82"/>
      <w:bookmarkEnd w:id="83"/>
      <w:bookmarkEnd w:id="84"/>
      <w:bookmarkEnd w:id="85"/>
      <w:bookmarkEnd w:id="86"/>
      <w:bookmarkEnd w:id="87"/>
      <w:bookmarkEnd w:id="88"/>
    </w:p>
    <w:p>
      <w:pPr>
        <w:spacing w:line="600" w:lineRule="exact"/>
        <w:ind w:firstLine="643" w:firstLineChars="200"/>
        <w:outlineLvl w:val="2"/>
        <w:rPr>
          <w:rFonts w:ascii="仿宋" w:hAnsi="仿宋" w:eastAsia="仿宋"/>
          <w:b/>
          <w:color w:val="000000"/>
          <w:sz w:val="32"/>
          <w:szCs w:val="32"/>
        </w:rPr>
      </w:pPr>
      <w:bookmarkStart w:id="89" w:name="_Toc15377210"/>
      <w:r>
        <w:rPr>
          <w:rFonts w:hint="eastAsia" w:ascii="仿宋" w:hAnsi="仿宋" w:eastAsia="仿宋"/>
          <w:b/>
          <w:color w:val="000000"/>
          <w:sz w:val="32"/>
          <w:szCs w:val="32"/>
        </w:rPr>
        <w:t>（一）一般公共预算财政拨款支出决算总体情况</w:t>
      </w:r>
      <w:bookmarkEnd w:id="89"/>
    </w:p>
    <w:p>
      <w:pPr>
        <w:ind w:firstLine="640" w:firstLineChars="200"/>
        <w:rPr>
          <w:rFonts w:hint="eastAsia" w:eastAsia="仿宋"/>
          <w:lang w:eastAsia="zh-CN"/>
        </w:rPr>
      </w:pPr>
      <w:r>
        <w:rPr>
          <w:rFonts w:hint="eastAsia" w:ascii="仿宋_GB2312" w:eastAsia="仿宋_GB2312" w:cs="Times New Roman"/>
          <w:kern w:val="2"/>
          <w:sz w:val="32"/>
          <w:szCs w:val="32"/>
          <w:lang w:val="en-US" w:eastAsia="zh-CN" w:bidi="ar-SA"/>
        </w:rPr>
        <w:t>2023</w:t>
      </w:r>
      <w:r>
        <w:rPr>
          <w:rFonts w:hint="eastAsia" w:ascii="仿宋_GB2312" w:hAnsi="Times New Roman" w:eastAsia="仿宋_GB2312" w:cs="Times New Roman"/>
          <w:kern w:val="2"/>
          <w:sz w:val="32"/>
          <w:szCs w:val="32"/>
          <w:lang w:val="en-US" w:eastAsia="zh-CN" w:bidi="ar-SA"/>
        </w:rPr>
        <w:t>年一般公共预算财政拨款支出</w:t>
      </w:r>
      <w:r>
        <w:rPr>
          <w:rFonts w:hint="eastAsia" w:ascii="仿宋_GB2312" w:eastAsia="仿宋_GB2312" w:cs="Times New Roman"/>
          <w:kern w:val="2"/>
          <w:sz w:val="32"/>
          <w:szCs w:val="32"/>
          <w:lang w:val="en-US" w:eastAsia="zh-CN" w:bidi="ar-SA"/>
        </w:rPr>
        <w:t>1,727.58</w:t>
      </w:r>
      <w:r>
        <w:rPr>
          <w:rFonts w:hint="eastAsia" w:ascii="仿宋_GB2312" w:hAnsi="Times New Roman" w:eastAsia="仿宋_GB2312" w:cs="Times New Roman"/>
          <w:kern w:val="2"/>
          <w:sz w:val="32"/>
          <w:szCs w:val="32"/>
          <w:lang w:val="en-US" w:eastAsia="zh-CN" w:bidi="ar-SA"/>
        </w:rPr>
        <w:t>万元。占本年支出合计的</w:t>
      </w:r>
      <w:r>
        <w:rPr>
          <w:rFonts w:hint="eastAsia" w:ascii="仿宋_GB2312" w:eastAsia="仿宋_GB2312" w:cs="Times New Roman"/>
          <w:kern w:val="2"/>
          <w:sz w:val="32"/>
          <w:szCs w:val="32"/>
          <w:lang w:val="en-US" w:eastAsia="zh-CN" w:bidi="ar-SA"/>
        </w:rPr>
        <w:t>100%</w:t>
      </w:r>
      <w:r>
        <w:rPr>
          <w:rFonts w:hint="eastAsia" w:ascii="仿宋_GB2312" w:hAnsi="Times New Roman" w:eastAsia="仿宋_GB2312" w:cs="Times New Roman"/>
          <w:kern w:val="2"/>
          <w:sz w:val="32"/>
          <w:szCs w:val="32"/>
          <w:lang w:val="en-US" w:eastAsia="zh-CN" w:bidi="ar-SA"/>
        </w:rPr>
        <w:t>。与</w:t>
      </w:r>
      <w:r>
        <w:rPr>
          <w:rFonts w:hint="eastAsia" w:ascii="仿宋_GB2312" w:eastAsia="仿宋_GB2312" w:cs="Times New Roman"/>
          <w:kern w:val="2"/>
          <w:sz w:val="32"/>
          <w:szCs w:val="32"/>
          <w:lang w:val="en-US" w:eastAsia="zh-CN" w:bidi="ar-SA"/>
        </w:rPr>
        <w:t>2022</w:t>
      </w:r>
      <w:r>
        <w:rPr>
          <w:rFonts w:hint="eastAsia" w:ascii="仿宋_GB2312" w:hAnsi="Times New Roman" w:eastAsia="仿宋_GB2312" w:cs="Times New Roman"/>
          <w:kern w:val="2"/>
          <w:sz w:val="32"/>
          <w:szCs w:val="32"/>
          <w:lang w:val="en-US" w:eastAsia="zh-CN" w:bidi="ar-SA"/>
        </w:rPr>
        <w:t>年相比，支出</w:t>
      </w:r>
      <w:r>
        <w:rPr>
          <w:rFonts w:hint="eastAsia" w:ascii="仿宋_GB2312" w:eastAsia="仿宋_GB2312" w:cs="Times New Roman"/>
          <w:kern w:val="2"/>
          <w:sz w:val="32"/>
          <w:szCs w:val="32"/>
          <w:lang w:val="en-US" w:eastAsia="zh-CN" w:bidi="ar-SA"/>
        </w:rPr>
        <w:t>增加 573.05 万元</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增长49.63%</w:t>
      </w:r>
      <w:r>
        <w:rPr>
          <w:rFonts w:hint="eastAsia" w:ascii="仿宋_GB2312" w:hAnsi="Times New Roman" w:eastAsia="仿宋_GB2312" w:cs="Times New Roman"/>
          <w:kern w:val="2"/>
          <w:sz w:val="32"/>
          <w:szCs w:val="32"/>
          <w:lang w:val="en-US" w:eastAsia="zh-CN" w:bidi="ar-SA"/>
        </w:rPr>
        <w:t>，</w:t>
      </w:r>
      <w:r>
        <w:rPr>
          <w:rFonts w:hint="eastAsia" w:ascii="仿宋_GB2312" w:eastAsia="仿宋_GB2312" w:cs="Times New Roman"/>
          <w:kern w:val="2"/>
          <w:sz w:val="32"/>
          <w:szCs w:val="32"/>
          <w:lang w:val="en-US" w:eastAsia="zh-CN" w:bidi="ar-SA"/>
        </w:rPr>
        <w:t>主要变动原因是项目资金全部预算为一</w:t>
      </w:r>
      <w:r>
        <w:rPr>
          <w:rFonts w:hint="eastAsia" w:ascii="仿宋_GB2312" w:hAnsi="Times New Roman" w:eastAsia="仿宋_GB2312" w:cs="Times New Roman"/>
          <w:kern w:val="2"/>
          <w:sz w:val="32"/>
          <w:szCs w:val="32"/>
          <w:lang w:val="en-US" w:eastAsia="zh-CN" w:bidi="ar-SA"/>
        </w:rPr>
        <w:t>般公共预算财政拨款</w:t>
      </w:r>
      <w:r>
        <w:rPr>
          <w:rFonts w:hint="eastAsia" w:ascii="仿宋_GB2312" w:eastAsia="仿宋_GB2312" w:cs="Times New Roman"/>
          <w:kern w:val="2"/>
          <w:sz w:val="32"/>
          <w:szCs w:val="32"/>
          <w:lang w:val="en-US" w:eastAsia="zh-CN" w:bidi="ar-SA"/>
        </w:rPr>
        <w:t>。</w:t>
      </w:r>
    </w:p>
    <w:p>
      <w:pPr>
        <w:pStyle w:val="9"/>
        <w:rPr>
          <w:rFonts w:hint="eastAsia"/>
        </w:rPr>
      </w:pPr>
      <w:r>
        <w:rPr>
          <w:rFonts w:hint="eastAsia"/>
          <w:lang w:val="en-US" w:eastAsia="zh-CN"/>
        </w:rPr>
        <w:t xml:space="preserve">                                       </w:t>
      </w:r>
    </w:p>
    <w:p>
      <w:pPr>
        <w:pStyle w:val="9"/>
        <w:rPr>
          <w:rFonts w:hint="eastAsia"/>
        </w:rPr>
      </w:pP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419100</wp:posOffset>
            </wp:positionH>
            <wp:positionV relativeFrom="paragraph">
              <wp:posOffset>-388620</wp:posOffset>
            </wp:positionV>
            <wp:extent cx="4254500" cy="2241550"/>
            <wp:effectExtent l="5080" t="4445" r="7620" b="952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firstLineChars="200"/>
        <w:rPr>
          <w:rFonts w:hint="eastAsia" w:ascii="仿宋" w:hAnsi="仿宋" w:eastAsia="仿宋"/>
          <w:color w:val="000000"/>
          <w:sz w:val="32"/>
          <w:szCs w:val="32"/>
        </w:rPr>
      </w:pPr>
    </w:p>
    <w:p>
      <w:pPr>
        <w:pStyle w:val="9"/>
        <w:rPr>
          <w:rFonts w:hint="eastAsia" w:ascii="仿宋" w:hAnsi="仿宋" w:eastAsia="仿宋"/>
          <w:color w:val="000000"/>
          <w:sz w:val="32"/>
          <w:szCs w:val="32"/>
        </w:rPr>
      </w:pPr>
    </w:p>
    <w:p>
      <w:pPr>
        <w:pStyle w:val="9"/>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r>
        <w:rPr>
          <w:rFonts w:hint="eastAsia" w:ascii="仿宋" w:hAnsi="仿宋" w:eastAsia="仿宋"/>
          <w:color w:val="000000"/>
          <w:sz w:val="32"/>
          <w:szCs w:val="32"/>
          <w:lang w:val="en-US" w:eastAsia="zh-CN"/>
        </w:rPr>
        <w:t>单位：万元</w:t>
      </w:r>
      <w:r>
        <w:rPr>
          <w:rFonts w:hint="eastAsia" w:ascii="仿宋" w:hAnsi="仿宋" w:eastAsia="仿宋"/>
          <w:color w:val="000000"/>
          <w:sz w:val="32"/>
          <w:szCs w:val="32"/>
        </w:rPr>
        <w:t>）</w:t>
      </w:r>
    </w:p>
    <w:p>
      <w:pPr>
        <w:numPr>
          <w:ilvl w:val="0"/>
          <w:numId w:val="2"/>
        </w:numPr>
        <w:spacing w:line="600" w:lineRule="exact"/>
        <w:ind w:firstLine="643" w:firstLineChars="200"/>
        <w:outlineLvl w:val="2"/>
        <w:rPr>
          <w:rFonts w:hint="eastAsia" w:ascii="仿宋" w:hAnsi="仿宋" w:eastAsia="仿宋"/>
          <w:b/>
          <w:color w:val="000000"/>
          <w:sz w:val="32"/>
          <w:szCs w:val="32"/>
        </w:rPr>
      </w:pPr>
      <w:bookmarkStart w:id="90" w:name="_Toc15377211"/>
      <w:r>
        <w:rPr>
          <w:rFonts w:hint="eastAsia" w:ascii="仿宋" w:hAnsi="仿宋" w:eastAsia="仿宋"/>
          <w:b/>
          <w:color w:val="000000"/>
          <w:sz w:val="32"/>
          <w:szCs w:val="32"/>
        </w:rPr>
        <w:t>一般公共预算财政拨款支出决算结构情况</w:t>
      </w:r>
      <w:bookmarkEnd w:id="90"/>
    </w:p>
    <w:p>
      <w:pPr>
        <w:pStyle w:val="9"/>
        <w:numPr>
          <w:ilvl w:val="0"/>
          <w:numId w:val="0"/>
        </w:numPr>
      </w:pP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eastAsia="zh-CN"/>
        </w:rPr>
        <w:t>1,727.58</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教育支出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科学技术</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文化旅游体育与传媒支出</w:t>
      </w:r>
      <w:r>
        <w:rPr>
          <w:rFonts w:hint="eastAsia" w:ascii="仿宋" w:hAnsi="仿宋" w:eastAsia="仿宋"/>
          <w:b/>
          <w:bCs/>
          <w:color w:val="auto"/>
          <w:sz w:val="32"/>
          <w:szCs w:val="32"/>
          <w:highlight w:val="none"/>
          <w:lang w:val="en-US" w:eastAsia="zh-CN"/>
        </w:rPr>
        <w:t>0</w:t>
      </w:r>
      <w:r>
        <w:rPr>
          <w:rFonts w:hint="eastAsia" w:ascii="仿宋" w:hAnsi="仿宋" w:eastAsia="仿宋"/>
          <w:b/>
          <w:bCs/>
          <w:color w:val="auto"/>
          <w:sz w:val="32"/>
          <w:szCs w:val="32"/>
          <w:highlight w:val="none"/>
        </w:rPr>
        <w:t>万元，占</w:t>
      </w:r>
      <w:r>
        <w:rPr>
          <w:rFonts w:hint="eastAsia" w:ascii="仿宋" w:hAnsi="仿宋" w:eastAsia="仿宋"/>
          <w:b/>
          <w:bCs/>
          <w:color w:val="auto"/>
          <w:sz w:val="32"/>
          <w:szCs w:val="32"/>
          <w:highlight w:val="none"/>
          <w:lang w:val="en-US" w:eastAsia="zh-CN"/>
        </w:rPr>
        <w:t>0</w:t>
      </w:r>
      <w:r>
        <w:rPr>
          <w:rFonts w:ascii="仿宋" w:hAnsi="仿宋" w:eastAsia="仿宋"/>
          <w:b/>
          <w:bCs/>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eastAsia="zh-CN"/>
        </w:rPr>
        <w:t>1,668.75</w:t>
      </w:r>
      <w:r>
        <w:rPr>
          <w:rFonts w:hint="eastAsia" w:ascii="仿宋" w:hAnsi="仿宋" w:eastAsia="仿宋"/>
          <w:color w:val="auto"/>
          <w:sz w:val="32"/>
          <w:szCs w:val="32"/>
          <w:highlight w:val="none"/>
        </w:rPr>
        <w:t>万元，占96.59%；</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rPr>
        <w:t>24.13万元，占1.40%；</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34.</w:t>
      </w:r>
      <w:r>
        <w:rPr>
          <w:rFonts w:hint="eastAsia" w:ascii="仿宋" w:hAnsi="仿宋" w:eastAsia="仿宋"/>
          <w:color w:val="auto"/>
          <w:sz w:val="32"/>
          <w:szCs w:val="32"/>
          <w:highlight w:val="none"/>
          <w:lang w:val="en-US" w:eastAsia="zh-CN"/>
        </w:rPr>
        <w:t>69</w:t>
      </w:r>
      <w:r>
        <w:rPr>
          <w:rFonts w:hint="eastAsia" w:ascii="仿宋" w:hAnsi="仿宋" w:eastAsia="仿宋"/>
          <w:color w:val="auto"/>
          <w:sz w:val="32"/>
          <w:szCs w:val="32"/>
          <w:highlight w:val="none"/>
        </w:rPr>
        <w:t>万元，占2.01%</w:t>
      </w:r>
      <w:r>
        <w:rPr>
          <w:rFonts w:hint="eastAsia" w:ascii="仿宋_GB2312" w:hAnsi="Times New Roman" w:eastAsia="仿宋_GB2312" w:cs="Times New Roman"/>
          <w:kern w:val="2"/>
          <w:sz w:val="32"/>
          <w:szCs w:val="32"/>
          <w:lang w:val="en-US" w:eastAsia="zh-CN" w:bidi="ar-SA"/>
        </w:rPr>
        <w:t>。</w:t>
      </w:r>
    </w:p>
    <w:p>
      <w:pPr>
        <w:ind w:firstLine="640" w:firstLineChars="200"/>
        <w:rPr>
          <w:rFonts w:hint="eastAsia" w:ascii="仿宋_GB2312" w:hAnsi="Times New Roman" w:eastAsia="仿宋_GB2312" w:cs="Times New Roman"/>
          <w:kern w:val="2"/>
          <w:sz w:val="32"/>
          <w:szCs w:val="32"/>
          <w:lang w:val="en-US" w:eastAsia="zh-CN" w:bidi="ar-SA"/>
        </w:rPr>
      </w:pPr>
    </w:p>
    <w:p>
      <w:pPr>
        <w:spacing w:line="600" w:lineRule="exact"/>
        <w:ind w:firstLine="640"/>
        <w:rPr>
          <w:rFonts w:ascii="仿宋" w:hAnsi="仿宋" w:eastAsia="仿宋"/>
          <w:b/>
          <w:color w:val="000000" w:themeColor="text1"/>
          <w:sz w:val="32"/>
          <w:szCs w:val="32"/>
          <w14:textFill>
            <w14:solidFill>
              <w14:schemeClr w14:val="tx1"/>
            </w14:solidFill>
          </w14:textFill>
        </w:rPr>
      </w:pPr>
      <w:r>
        <w:rPr>
          <w:rFonts w:hint="eastAsia" w:ascii="仿宋_GB2312" w:hAnsi="Times New Roman" w:eastAsia="仿宋_GB2312" w:cs="Times New Roman"/>
          <w:kern w:val="2"/>
          <w:sz w:val="32"/>
          <w:szCs w:val="32"/>
          <w:lang w:val="en-US" w:eastAsia="zh-CN" w:bidi="ar-SA"/>
        </w:rPr>
        <w:drawing>
          <wp:anchor distT="0" distB="0" distL="114300" distR="114300" simplePos="0" relativeHeight="251662336" behindDoc="0" locked="0" layoutInCell="1" allowOverlap="1">
            <wp:simplePos x="0" y="0"/>
            <wp:positionH relativeFrom="column">
              <wp:posOffset>285115</wp:posOffset>
            </wp:positionH>
            <wp:positionV relativeFrom="paragraph">
              <wp:posOffset>42545</wp:posOffset>
            </wp:positionV>
            <wp:extent cx="5191125" cy="2733040"/>
            <wp:effectExtent l="4445" t="4445" r="5080" b="5715"/>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320" w:firstLineChars="100"/>
        <w:rPr>
          <w:rFonts w:ascii="仿宋" w:hAnsi="仿宋" w:eastAsia="仿宋"/>
          <w:color w:val="000000"/>
          <w:sz w:val="32"/>
          <w:szCs w:val="32"/>
        </w:rPr>
      </w:pPr>
      <w:r>
        <w:rPr>
          <w:rFonts w:hint="eastAsia" w:ascii="仿宋" w:hAnsi="仿宋" w:eastAsia="仿宋"/>
          <w:color w:val="000000"/>
          <w:sz w:val="32"/>
          <w:szCs w:val="32"/>
        </w:rPr>
        <w:t>（图</w:t>
      </w:r>
      <w:r>
        <w:rPr>
          <w:rFonts w:hint="eastAsia" w:ascii="仿宋" w:hAnsi="仿宋" w:eastAsia="仿宋"/>
          <w:color w:val="000000"/>
          <w:sz w:val="32"/>
          <w:szCs w:val="32"/>
          <w:lang w:val="en-US" w:eastAsia="zh-CN"/>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91" w:name="_Toc15377212"/>
      <w:r>
        <w:rPr>
          <w:rFonts w:hint="eastAsia" w:ascii="仿宋" w:hAnsi="仿宋" w:eastAsia="仿宋"/>
          <w:b/>
          <w:color w:val="000000"/>
          <w:sz w:val="32"/>
          <w:szCs w:val="32"/>
        </w:rPr>
        <w:t>（三）一般公共预算财政拨款支出决算具体情况</w:t>
      </w:r>
      <w:bookmarkEnd w:id="91"/>
    </w:p>
    <w:p>
      <w:pPr>
        <w:spacing w:line="600" w:lineRule="exact"/>
        <w:ind w:firstLine="964" w:firstLineChars="300"/>
        <w:rPr>
          <w:rFonts w:hint="eastAsia" w:ascii="仿宋" w:hAnsi="仿宋" w:eastAsia="仿宋"/>
          <w:color w:val="000000"/>
          <w:sz w:val="32"/>
          <w:szCs w:val="32"/>
          <w:lang w:val="en-US" w:eastAsia="zh-CN"/>
        </w:rPr>
      </w:pPr>
      <w:bookmarkStart w:id="92" w:name="_Toc15377213"/>
      <w:bookmarkStart w:id="93" w:name="_Toc15377444"/>
      <w:bookmarkStart w:id="94" w:name="_Toc15378460"/>
      <w:r>
        <w:rPr>
          <w:rFonts w:hint="eastAsia" w:ascii="仿宋" w:hAnsi="仿宋" w:eastAsia="仿宋"/>
          <w:b/>
          <w:bCs/>
          <w:color w:val="000000"/>
          <w:sz w:val="32"/>
          <w:szCs w:val="32"/>
          <w:lang w:val="en-US" w:eastAsia="zh-CN"/>
        </w:rPr>
        <w:t>2023年一般公共预算支出决算数为1,727.58，完成预算100.00%。其中</w:t>
      </w:r>
      <w:r>
        <w:rPr>
          <w:rFonts w:hint="eastAsia" w:ascii="仿宋" w:hAnsi="仿宋" w:eastAsia="仿宋"/>
          <w:color w:val="000000"/>
          <w:sz w:val="32"/>
          <w:szCs w:val="32"/>
          <w:lang w:val="en-US" w:eastAsia="zh-CN"/>
        </w:rPr>
        <w:t>：</w:t>
      </w:r>
      <w:bookmarkEnd w:id="92"/>
      <w:bookmarkEnd w:id="93"/>
      <w:bookmarkEnd w:id="94"/>
    </w:p>
    <w:p>
      <w:pPr>
        <w:numPr>
          <w:ilvl w:val="0"/>
          <w:numId w:val="0"/>
        </w:numPr>
        <w:spacing w:line="600" w:lineRule="exact"/>
        <w:ind w:firstLine="643" w:firstLineChars="200"/>
        <w:rPr>
          <w:rFonts w:hint="eastAsia" w:ascii="仿宋_GB2312" w:hAnsi="Times New Roman" w:eastAsia="仿宋_GB2312" w:cs="仿宋_GB2312"/>
          <w:kern w:val="0"/>
          <w:sz w:val="30"/>
          <w:szCs w:val="30"/>
          <w:lang w:val="en-US" w:eastAsia="zh-CN" w:bidi="ar-SA"/>
        </w:rPr>
      </w:pPr>
      <w:r>
        <w:rPr>
          <w:rStyle w:val="20"/>
          <w:rFonts w:hint="eastAsia" w:ascii="仿宋" w:hAnsi="仿宋" w:eastAsia="仿宋"/>
          <w:bCs/>
          <w:color w:val="000000"/>
          <w:sz w:val="32"/>
          <w:szCs w:val="32"/>
          <w:lang w:val="en-US" w:eastAsia="zh-CN"/>
        </w:rPr>
        <w:t>1.</w:t>
      </w:r>
      <w:r>
        <w:rPr>
          <w:rStyle w:val="20"/>
          <w:rFonts w:hint="eastAsia" w:ascii="仿宋" w:hAnsi="仿宋" w:eastAsia="仿宋"/>
          <w:bCs/>
          <w:color w:val="000000"/>
          <w:sz w:val="32"/>
          <w:szCs w:val="32"/>
        </w:rPr>
        <w:t>社会保障和就业（类）</w:t>
      </w:r>
      <w:r>
        <w:rPr>
          <w:rStyle w:val="20"/>
          <w:rFonts w:hint="eastAsia" w:ascii="仿宋" w:hAnsi="仿宋" w:eastAsia="仿宋"/>
          <w:bCs/>
          <w:color w:val="000000"/>
          <w:sz w:val="32"/>
          <w:szCs w:val="32"/>
          <w:lang w:eastAsia="zh-CN"/>
        </w:rPr>
        <w:t>人力资源和社会保障管理事务</w:t>
      </w:r>
      <w:r>
        <w:rPr>
          <w:rStyle w:val="20"/>
          <w:rFonts w:hint="eastAsia" w:ascii="仿宋" w:hAnsi="仿宋" w:eastAsia="仿宋"/>
          <w:bCs/>
          <w:color w:val="000000"/>
          <w:sz w:val="32"/>
          <w:szCs w:val="32"/>
        </w:rPr>
        <w:t>（款）</w:t>
      </w:r>
      <w:r>
        <w:rPr>
          <w:rStyle w:val="20"/>
          <w:rFonts w:hint="eastAsia" w:ascii="仿宋" w:hAnsi="仿宋" w:eastAsia="仿宋"/>
          <w:bCs/>
          <w:color w:val="000000"/>
          <w:sz w:val="32"/>
          <w:szCs w:val="32"/>
          <w:lang w:eastAsia="zh-CN"/>
        </w:rPr>
        <w:t>社会保险经办机构</w:t>
      </w:r>
      <w:r>
        <w:rPr>
          <w:rStyle w:val="20"/>
          <w:rFonts w:hint="eastAsia" w:ascii="仿宋" w:hAnsi="仿宋" w:eastAsia="仿宋"/>
          <w:bCs/>
          <w:color w:val="000000"/>
          <w:sz w:val="32"/>
          <w:szCs w:val="32"/>
        </w:rPr>
        <w:t>支出</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 w:hAnsi="仿宋" w:eastAsia="仿宋"/>
          <w:color w:val="000000"/>
          <w:sz w:val="32"/>
          <w:szCs w:val="32"/>
          <w:lang w:val="en-US" w:eastAsia="zh-CN"/>
        </w:rPr>
        <w:t>支出决算为307.95万元，完成预算100%，决算数等于预算数。</w:t>
      </w:r>
    </w:p>
    <w:p>
      <w:pPr>
        <w:numPr>
          <w:ilvl w:val="0"/>
          <w:numId w:val="0"/>
        </w:numPr>
        <w:spacing w:line="600" w:lineRule="exact"/>
        <w:ind w:firstLine="643" w:firstLineChars="200"/>
        <w:rPr>
          <w:rFonts w:hint="eastAsia" w:ascii="仿宋" w:hAnsi="仿宋" w:eastAsia="仿宋"/>
          <w:color w:val="000000"/>
          <w:sz w:val="32"/>
          <w:szCs w:val="32"/>
          <w:lang w:val="en-US" w:eastAsia="zh-CN"/>
        </w:rPr>
      </w:pPr>
      <w:r>
        <w:rPr>
          <w:rStyle w:val="20"/>
          <w:rFonts w:hint="eastAsia" w:ascii="仿宋" w:hAnsi="仿宋" w:eastAsia="仿宋"/>
          <w:bCs/>
          <w:color w:val="000000"/>
          <w:sz w:val="32"/>
          <w:szCs w:val="32"/>
          <w:lang w:val="en-US" w:eastAsia="zh-CN"/>
        </w:rPr>
        <w:t>2</w:t>
      </w:r>
      <w:r>
        <w:rPr>
          <w:rStyle w:val="20"/>
          <w:rFonts w:hint="eastAsia" w:ascii="仿宋" w:hAnsi="仿宋" w:eastAsia="仿宋"/>
          <w:bCs/>
          <w:color w:val="000000"/>
          <w:sz w:val="32"/>
          <w:szCs w:val="32"/>
        </w:rPr>
        <w:t>.社会保障和就业（类）</w:t>
      </w:r>
      <w:r>
        <w:rPr>
          <w:rStyle w:val="20"/>
          <w:rFonts w:hint="eastAsia" w:ascii="仿宋" w:hAnsi="仿宋" w:eastAsia="仿宋"/>
          <w:bCs/>
          <w:color w:val="000000"/>
          <w:sz w:val="32"/>
          <w:szCs w:val="32"/>
          <w:lang w:eastAsia="zh-CN"/>
        </w:rPr>
        <w:t>人力资源和社会保障管理事务</w:t>
      </w:r>
      <w:r>
        <w:rPr>
          <w:rStyle w:val="20"/>
          <w:rFonts w:hint="eastAsia" w:ascii="仿宋" w:hAnsi="仿宋" w:eastAsia="仿宋"/>
          <w:bCs/>
          <w:color w:val="000000"/>
          <w:sz w:val="32"/>
          <w:szCs w:val="32"/>
        </w:rPr>
        <w:t>（款）其他人力资源和社会保障管理事务支出（项）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 w:hAnsi="仿宋" w:eastAsia="仿宋"/>
          <w:color w:val="000000"/>
          <w:sz w:val="32"/>
          <w:szCs w:val="32"/>
          <w:lang w:val="en-US" w:eastAsia="zh-CN"/>
        </w:rPr>
        <w:t>支出决算为136.93万元，决算数等于预算数的主要原因是合计安排资金。</w:t>
      </w:r>
    </w:p>
    <w:p>
      <w:pPr>
        <w:numPr>
          <w:ilvl w:val="0"/>
          <w:numId w:val="0"/>
        </w:numPr>
        <w:spacing w:line="600" w:lineRule="exact"/>
        <w:ind w:firstLine="643" w:firstLineChars="200"/>
        <w:rPr>
          <w:rFonts w:hint="eastAsia" w:ascii="仿宋" w:hAnsi="仿宋" w:eastAsia="仿宋"/>
          <w:color w:val="000000"/>
          <w:sz w:val="32"/>
          <w:szCs w:val="32"/>
          <w:lang w:val="en-US" w:eastAsia="zh-CN"/>
        </w:rPr>
      </w:pPr>
      <w:r>
        <w:rPr>
          <w:rStyle w:val="20"/>
          <w:rFonts w:hint="eastAsia" w:ascii="仿宋" w:hAnsi="仿宋" w:eastAsia="仿宋"/>
          <w:bCs/>
          <w:color w:val="000000"/>
          <w:sz w:val="32"/>
          <w:szCs w:val="32"/>
          <w:lang w:val="en-US" w:eastAsia="zh-CN"/>
        </w:rPr>
        <w:t>3.</w:t>
      </w:r>
      <w:r>
        <w:rPr>
          <w:rStyle w:val="20"/>
          <w:rFonts w:hint="eastAsia" w:ascii="仿宋" w:hAnsi="仿宋" w:eastAsia="仿宋"/>
          <w:bCs/>
          <w:color w:val="000000"/>
          <w:sz w:val="32"/>
          <w:szCs w:val="32"/>
        </w:rPr>
        <w:t>社会保障和就业支出（类）行政事业单位</w:t>
      </w:r>
      <w:r>
        <w:rPr>
          <w:rStyle w:val="20"/>
          <w:rFonts w:hint="eastAsia" w:ascii="仿宋" w:hAnsi="仿宋" w:eastAsia="仿宋"/>
          <w:bCs/>
          <w:color w:val="000000"/>
          <w:sz w:val="32"/>
          <w:szCs w:val="32"/>
          <w:lang w:eastAsia="zh-CN"/>
        </w:rPr>
        <w:t>养老支出</w:t>
      </w:r>
      <w:r>
        <w:rPr>
          <w:rStyle w:val="20"/>
          <w:rFonts w:hint="eastAsia" w:ascii="仿宋" w:hAnsi="仿宋" w:eastAsia="仿宋"/>
          <w:bCs/>
          <w:color w:val="000000"/>
          <w:sz w:val="32"/>
          <w:szCs w:val="32"/>
        </w:rPr>
        <w:t>（款）行政单位离退休（项）</w:t>
      </w:r>
      <w:r>
        <w:rPr>
          <w:rStyle w:val="20"/>
          <w:rFonts w:ascii="仿宋" w:hAnsi="仿宋" w:eastAsia="仿宋"/>
          <w:bCs/>
          <w:color w:val="000000"/>
          <w:sz w:val="32"/>
          <w:szCs w:val="32"/>
        </w:rPr>
        <w:t>:</w:t>
      </w:r>
      <w:r>
        <w:rPr>
          <w:rFonts w:hint="eastAsia" w:ascii="仿宋" w:hAnsi="仿宋" w:eastAsia="仿宋"/>
          <w:color w:val="000000"/>
          <w:sz w:val="32"/>
          <w:szCs w:val="32"/>
          <w:lang w:val="en-US" w:eastAsia="zh-CN"/>
        </w:rPr>
        <w:t>支出决算为4.35万元，完成预算100%，决算数等于预算数。</w:t>
      </w:r>
    </w:p>
    <w:p>
      <w:pPr>
        <w:pStyle w:val="9"/>
        <w:ind w:firstLine="643" w:firstLineChars="200"/>
        <w:rPr>
          <w:rFonts w:hint="eastAsia" w:ascii="仿宋" w:hAnsi="仿宋" w:eastAsia="仿宋"/>
          <w:color w:val="000000"/>
          <w:sz w:val="32"/>
          <w:szCs w:val="32"/>
          <w:lang w:val="en-US" w:eastAsia="zh-CN"/>
        </w:rPr>
      </w:pPr>
      <w:r>
        <w:rPr>
          <w:rStyle w:val="20"/>
          <w:rFonts w:hint="eastAsia" w:ascii="仿宋" w:hAnsi="仿宋" w:eastAsia="仿宋"/>
          <w:bCs/>
          <w:color w:val="000000"/>
          <w:sz w:val="32"/>
          <w:szCs w:val="32"/>
          <w:lang w:val="en-US" w:eastAsia="zh-CN"/>
        </w:rPr>
        <w:t>4.</w:t>
      </w:r>
      <w:r>
        <w:rPr>
          <w:rStyle w:val="20"/>
          <w:rFonts w:hint="eastAsia" w:ascii="仿宋" w:hAnsi="仿宋" w:eastAsia="仿宋"/>
          <w:bCs/>
          <w:color w:val="000000"/>
          <w:sz w:val="32"/>
          <w:szCs w:val="32"/>
        </w:rPr>
        <w:t>社会保障和就业支出（类）行政事业单位</w:t>
      </w:r>
      <w:r>
        <w:rPr>
          <w:rStyle w:val="20"/>
          <w:rFonts w:hint="eastAsia" w:ascii="仿宋" w:hAnsi="仿宋" w:eastAsia="仿宋"/>
          <w:bCs/>
          <w:color w:val="000000"/>
          <w:sz w:val="32"/>
          <w:szCs w:val="32"/>
          <w:lang w:eastAsia="zh-CN"/>
        </w:rPr>
        <w:t>养老支出</w:t>
      </w:r>
      <w:r>
        <w:rPr>
          <w:rStyle w:val="20"/>
          <w:rFonts w:hint="eastAsia" w:ascii="仿宋" w:hAnsi="仿宋" w:eastAsia="仿宋"/>
          <w:bCs/>
          <w:color w:val="000000"/>
          <w:sz w:val="32"/>
          <w:szCs w:val="32"/>
        </w:rPr>
        <w:t>（款）机关事业单位基本养老保险缴费支出（项）</w:t>
      </w:r>
      <w:r>
        <w:rPr>
          <w:rStyle w:val="20"/>
          <w:rFonts w:ascii="仿宋" w:hAnsi="仿宋" w:eastAsia="仿宋"/>
          <w:bCs/>
          <w:color w:val="000000"/>
          <w:sz w:val="32"/>
          <w:szCs w:val="32"/>
        </w:rPr>
        <w:t>:</w:t>
      </w:r>
      <w:r>
        <w:rPr>
          <w:rFonts w:hint="eastAsia" w:ascii="仿宋" w:hAnsi="仿宋" w:eastAsia="仿宋"/>
          <w:color w:val="000000"/>
          <w:sz w:val="32"/>
          <w:szCs w:val="32"/>
          <w:lang w:val="en-US" w:eastAsia="zh-CN"/>
        </w:rPr>
        <w:t>支出决算为47.14万元，完成预算100%，决算数等于预算数。</w:t>
      </w:r>
    </w:p>
    <w:p>
      <w:pPr>
        <w:pStyle w:val="9"/>
        <w:ind w:firstLine="643" w:firstLineChars="200"/>
        <w:rPr>
          <w:rFonts w:hint="eastAsia" w:ascii="仿宋" w:hAnsi="仿宋" w:eastAsia="仿宋"/>
          <w:color w:val="000000"/>
          <w:sz w:val="32"/>
          <w:szCs w:val="32"/>
          <w:lang w:val="en-US" w:eastAsia="zh-CN"/>
        </w:rPr>
      </w:pPr>
      <w:r>
        <w:rPr>
          <w:rStyle w:val="20"/>
          <w:rFonts w:hint="eastAsia" w:ascii="仿宋" w:hAnsi="仿宋" w:eastAsia="仿宋"/>
          <w:bCs/>
          <w:color w:val="000000"/>
          <w:sz w:val="32"/>
          <w:szCs w:val="32"/>
          <w:lang w:val="en-US" w:eastAsia="zh-CN"/>
        </w:rPr>
        <w:t>5.</w:t>
      </w:r>
      <w:r>
        <w:rPr>
          <w:rStyle w:val="20"/>
          <w:rFonts w:hint="eastAsia" w:ascii="仿宋" w:hAnsi="仿宋" w:eastAsia="仿宋"/>
          <w:bCs/>
          <w:color w:val="000000"/>
          <w:sz w:val="32"/>
          <w:szCs w:val="32"/>
        </w:rPr>
        <w:t>社会保障和就业支出（类）行政事业单位</w:t>
      </w:r>
      <w:r>
        <w:rPr>
          <w:rStyle w:val="20"/>
          <w:rFonts w:hint="eastAsia" w:ascii="仿宋" w:hAnsi="仿宋" w:eastAsia="仿宋"/>
          <w:bCs/>
          <w:color w:val="000000"/>
          <w:sz w:val="32"/>
          <w:szCs w:val="32"/>
          <w:lang w:eastAsia="zh-CN"/>
        </w:rPr>
        <w:t>养老支出</w:t>
      </w:r>
      <w:r>
        <w:rPr>
          <w:rStyle w:val="20"/>
          <w:rFonts w:hint="eastAsia" w:ascii="仿宋" w:hAnsi="仿宋" w:eastAsia="仿宋"/>
          <w:bCs/>
          <w:color w:val="000000"/>
          <w:sz w:val="32"/>
          <w:szCs w:val="32"/>
        </w:rPr>
        <w:t>（款）其他行政事业单位养老支出（项）</w:t>
      </w:r>
      <w:r>
        <w:rPr>
          <w:rStyle w:val="20"/>
          <w:rFonts w:ascii="仿宋" w:hAnsi="仿宋" w:eastAsia="仿宋"/>
          <w:bCs/>
          <w:color w:val="000000"/>
          <w:sz w:val="32"/>
          <w:szCs w:val="32"/>
        </w:rPr>
        <w:t>:</w:t>
      </w:r>
      <w:r>
        <w:rPr>
          <w:rFonts w:hint="eastAsia" w:ascii="仿宋" w:hAnsi="仿宋" w:eastAsia="仿宋"/>
          <w:color w:val="000000"/>
          <w:sz w:val="32"/>
          <w:szCs w:val="32"/>
          <w:lang w:val="en-US" w:eastAsia="zh-CN"/>
        </w:rPr>
        <w:t>支出决算为138.19万元，完成预算100%，决算数等于预算数。</w:t>
      </w:r>
    </w:p>
    <w:p>
      <w:pPr>
        <w:numPr>
          <w:ilvl w:val="0"/>
          <w:numId w:val="0"/>
        </w:numPr>
        <w:spacing w:line="600" w:lineRule="exact"/>
        <w:ind w:firstLine="643" w:firstLineChars="200"/>
        <w:rPr>
          <w:rFonts w:hint="eastAsia" w:ascii="仿宋" w:hAnsi="仿宋" w:eastAsia="仿宋"/>
          <w:color w:val="000000"/>
          <w:sz w:val="32"/>
          <w:szCs w:val="32"/>
          <w:lang w:val="en-US" w:eastAsia="zh-CN"/>
        </w:rPr>
      </w:pPr>
      <w:r>
        <w:rPr>
          <w:rFonts w:hint="eastAsia" w:ascii="仿宋" w:hAnsi="仿宋" w:eastAsia="仿宋"/>
          <w:b/>
          <w:bCs/>
          <w:color w:val="000000"/>
          <w:sz w:val="32"/>
          <w:szCs w:val="32"/>
          <w:lang w:val="en-US" w:eastAsia="zh-CN"/>
        </w:rPr>
        <w:t>6.</w:t>
      </w:r>
      <w:r>
        <w:rPr>
          <w:rStyle w:val="20"/>
          <w:rFonts w:hint="eastAsia" w:ascii="仿宋" w:hAnsi="仿宋" w:eastAsia="仿宋"/>
          <w:b/>
          <w:bCs/>
          <w:color w:val="000000"/>
          <w:sz w:val="32"/>
          <w:szCs w:val="32"/>
        </w:rPr>
        <w:t>社会</w:t>
      </w:r>
      <w:r>
        <w:rPr>
          <w:rStyle w:val="20"/>
          <w:rFonts w:hint="eastAsia" w:ascii="仿宋" w:hAnsi="仿宋" w:eastAsia="仿宋"/>
          <w:bCs/>
          <w:color w:val="000000"/>
          <w:sz w:val="32"/>
          <w:szCs w:val="32"/>
        </w:rPr>
        <w:t>保障和就业支出（类）抚恤（款）  死亡抚恤（项）</w:t>
      </w:r>
      <w:r>
        <w:rPr>
          <w:rStyle w:val="20"/>
          <w:rFonts w:ascii="仿宋" w:hAnsi="仿宋" w:eastAsia="仿宋"/>
          <w:bCs/>
          <w:color w:val="000000"/>
          <w:sz w:val="32"/>
          <w:szCs w:val="32"/>
        </w:rPr>
        <w:t>:</w:t>
      </w:r>
      <w:r>
        <w:rPr>
          <w:rFonts w:hint="eastAsia" w:ascii="仿宋_GB2312" w:hAnsi="Times New Roman" w:eastAsia="仿宋_GB2312" w:cs="仿宋_GB2312"/>
          <w:kern w:val="0"/>
          <w:sz w:val="30"/>
          <w:szCs w:val="30"/>
          <w:lang w:val="en-US" w:eastAsia="zh-CN" w:bidi="ar-SA"/>
        </w:rPr>
        <w:t>支</w:t>
      </w:r>
      <w:r>
        <w:rPr>
          <w:rFonts w:hint="eastAsia" w:ascii="仿宋" w:hAnsi="仿宋" w:eastAsia="仿宋"/>
          <w:color w:val="000000"/>
          <w:sz w:val="32"/>
          <w:szCs w:val="32"/>
          <w:lang w:val="en-US" w:eastAsia="zh-CN"/>
        </w:rPr>
        <w:t>出决算为1,022.36万元，完成预算100%，决算数等于预算数的主要原因是人员变动。</w:t>
      </w:r>
    </w:p>
    <w:p>
      <w:pPr>
        <w:numPr>
          <w:ilvl w:val="0"/>
          <w:numId w:val="0"/>
        </w:numPr>
        <w:spacing w:line="600" w:lineRule="exact"/>
        <w:ind w:firstLine="643" w:firstLineChars="200"/>
        <w:rPr>
          <w:rFonts w:hint="eastAsia" w:ascii="仿宋" w:hAnsi="仿宋" w:eastAsia="仿宋"/>
          <w:color w:val="000000"/>
          <w:sz w:val="32"/>
          <w:szCs w:val="32"/>
          <w:lang w:val="en-US" w:eastAsia="zh-CN"/>
        </w:rPr>
      </w:pPr>
      <w:r>
        <w:rPr>
          <w:rStyle w:val="20"/>
          <w:rFonts w:hint="eastAsia" w:ascii="仿宋" w:hAnsi="仿宋" w:eastAsia="仿宋"/>
          <w:bCs/>
          <w:color w:val="000000"/>
          <w:sz w:val="32"/>
          <w:szCs w:val="32"/>
          <w:lang w:val="en-US" w:eastAsia="zh-CN"/>
        </w:rPr>
        <w:t>7.</w:t>
      </w:r>
      <w:r>
        <w:rPr>
          <w:rStyle w:val="20"/>
          <w:rFonts w:hint="eastAsia" w:ascii="仿宋" w:hAnsi="仿宋" w:eastAsia="仿宋"/>
          <w:bCs/>
          <w:color w:val="000000"/>
          <w:sz w:val="32"/>
          <w:szCs w:val="32"/>
        </w:rPr>
        <w:t>社会保障和就业支出（类）其他社会保障和就业支出</w:t>
      </w:r>
      <w:r>
        <w:rPr>
          <w:rStyle w:val="20"/>
          <w:rFonts w:hint="eastAsia" w:ascii="仿宋" w:hAnsi="仿宋" w:eastAsia="仿宋"/>
          <w:bCs/>
          <w:color w:val="000000"/>
          <w:sz w:val="32"/>
          <w:szCs w:val="32"/>
          <w:lang w:eastAsia="zh-CN"/>
        </w:rPr>
        <w:t>（款）</w:t>
      </w:r>
      <w:r>
        <w:rPr>
          <w:rStyle w:val="20"/>
          <w:rFonts w:hint="eastAsia" w:ascii="仿宋" w:hAnsi="仿宋" w:eastAsia="仿宋"/>
          <w:bCs/>
          <w:color w:val="000000"/>
          <w:sz w:val="32"/>
          <w:szCs w:val="32"/>
        </w:rPr>
        <w:t>其他社会保障和就业支出</w:t>
      </w:r>
      <w:r>
        <w:rPr>
          <w:rStyle w:val="20"/>
          <w:rFonts w:hint="eastAsia" w:ascii="仿宋" w:hAnsi="仿宋" w:eastAsia="仿宋"/>
          <w:bCs/>
          <w:color w:val="000000"/>
          <w:sz w:val="32"/>
          <w:szCs w:val="32"/>
          <w:lang w:eastAsia="zh-CN"/>
        </w:rPr>
        <w:t>（项）</w:t>
      </w:r>
      <w:r>
        <w:rPr>
          <w:rFonts w:hint="eastAsia" w:ascii="仿宋_GB2312" w:hAnsi="Times New Roman" w:eastAsia="仿宋_GB2312" w:cs="仿宋_GB2312"/>
          <w:kern w:val="0"/>
          <w:sz w:val="30"/>
          <w:szCs w:val="30"/>
          <w:lang w:val="en-US" w:eastAsia="zh-CN" w:bidi="ar-SA"/>
        </w:rPr>
        <w:t>支</w:t>
      </w:r>
      <w:r>
        <w:rPr>
          <w:rFonts w:hint="eastAsia" w:ascii="仿宋" w:hAnsi="仿宋" w:eastAsia="仿宋"/>
          <w:color w:val="000000"/>
          <w:sz w:val="32"/>
          <w:szCs w:val="32"/>
          <w:lang w:val="en-US" w:eastAsia="zh-CN"/>
        </w:rPr>
        <w:t>出决算为11.83万元，完成预算100%，决算数等于预算数。</w:t>
      </w:r>
    </w:p>
    <w:p>
      <w:pPr>
        <w:numPr>
          <w:ilvl w:val="0"/>
          <w:numId w:val="0"/>
        </w:numPr>
        <w:spacing w:line="600" w:lineRule="exact"/>
        <w:ind w:firstLine="643" w:firstLineChars="200"/>
        <w:rPr>
          <w:rFonts w:hint="eastAsia" w:ascii="仿宋_GB2312" w:hAnsi="Times New Roman" w:eastAsia="仿宋_GB2312" w:cs="仿宋_GB2312"/>
          <w:kern w:val="0"/>
          <w:sz w:val="30"/>
          <w:szCs w:val="30"/>
          <w:lang w:val="en-US" w:eastAsia="zh-CN" w:bidi="ar-SA"/>
        </w:rPr>
      </w:pPr>
      <w:r>
        <w:rPr>
          <w:rStyle w:val="20"/>
          <w:rFonts w:hint="eastAsia" w:ascii="仿宋" w:hAnsi="仿宋" w:eastAsia="仿宋" w:cs="Times New Roman"/>
          <w:bCs/>
          <w:color w:val="000000"/>
          <w:sz w:val="32"/>
          <w:szCs w:val="32"/>
          <w:lang w:val="en-US" w:eastAsia="zh-CN"/>
        </w:rPr>
        <w:t>8.卫生健康支出（类）行政事业单位医疗（款）行政单位医疗（项）:</w:t>
      </w:r>
      <w:r>
        <w:rPr>
          <w:rFonts w:hint="eastAsia" w:ascii="仿宋" w:hAnsi="仿宋" w:eastAsia="仿宋"/>
          <w:color w:val="000000"/>
          <w:sz w:val="32"/>
          <w:szCs w:val="32"/>
          <w:lang w:val="en-US" w:eastAsia="zh-CN"/>
        </w:rPr>
        <w:t>支出决算为6.02万元，完成预算100%，决算数等于预算数。</w:t>
      </w:r>
    </w:p>
    <w:p>
      <w:pPr>
        <w:numPr>
          <w:ilvl w:val="0"/>
          <w:numId w:val="0"/>
        </w:numPr>
        <w:spacing w:line="600" w:lineRule="exact"/>
        <w:ind w:firstLine="643" w:firstLineChars="200"/>
        <w:rPr>
          <w:rFonts w:hint="eastAsia" w:ascii="仿宋" w:hAnsi="仿宋" w:eastAsia="仿宋"/>
          <w:color w:val="000000"/>
          <w:sz w:val="32"/>
          <w:szCs w:val="32"/>
          <w:lang w:val="en-US" w:eastAsia="zh-CN"/>
        </w:rPr>
      </w:pPr>
      <w:r>
        <w:rPr>
          <w:rStyle w:val="20"/>
          <w:rFonts w:hint="eastAsia" w:ascii="仿宋" w:hAnsi="仿宋" w:eastAsia="仿宋"/>
          <w:bCs/>
          <w:color w:val="000000"/>
          <w:sz w:val="32"/>
          <w:szCs w:val="32"/>
          <w:lang w:val="en-US" w:eastAsia="zh-CN"/>
        </w:rPr>
        <w:t>9.</w:t>
      </w:r>
      <w:r>
        <w:rPr>
          <w:rStyle w:val="20"/>
          <w:rFonts w:hint="eastAsia" w:ascii="仿宋" w:hAnsi="仿宋" w:eastAsia="仿宋"/>
          <w:bCs/>
          <w:color w:val="000000"/>
          <w:sz w:val="32"/>
          <w:szCs w:val="32"/>
        </w:rPr>
        <w:t>卫生健康支出（类）行政事业单位医疗（款）</w:t>
      </w:r>
      <w:r>
        <w:rPr>
          <w:rStyle w:val="20"/>
          <w:rFonts w:hint="eastAsia" w:ascii="仿宋" w:hAnsi="仿宋" w:eastAsia="仿宋"/>
          <w:bCs/>
          <w:color w:val="000000"/>
          <w:sz w:val="32"/>
          <w:szCs w:val="32"/>
          <w:lang w:eastAsia="zh-CN"/>
        </w:rPr>
        <w:t>事业单位医疗</w:t>
      </w:r>
      <w:r>
        <w:rPr>
          <w:rStyle w:val="20"/>
          <w:rFonts w:hint="eastAsia" w:ascii="仿宋" w:hAnsi="仿宋" w:eastAsia="仿宋"/>
          <w:bCs/>
          <w:color w:val="000000"/>
          <w:sz w:val="32"/>
          <w:szCs w:val="32"/>
        </w:rPr>
        <w:t>（项）:</w:t>
      </w:r>
      <w:r>
        <w:rPr>
          <w:rFonts w:hint="eastAsia" w:ascii="仿宋" w:hAnsi="仿宋" w:eastAsia="仿宋"/>
          <w:color w:val="000000"/>
          <w:sz w:val="32"/>
          <w:szCs w:val="32"/>
          <w:lang w:val="en-US" w:eastAsia="zh-CN"/>
        </w:rPr>
        <w:t>支出决算为13.02万元，完成预算100%，决算数等于预算数。</w:t>
      </w:r>
    </w:p>
    <w:p>
      <w:pPr>
        <w:numPr>
          <w:ilvl w:val="0"/>
          <w:numId w:val="0"/>
        </w:numPr>
        <w:spacing w:line="600" w:lineRule="exact"/>
        <w:ind w:firstLine="643" w:firstLineChars="200"/>
        <w:rPr>
          <w:rFonts w:hint="eastAsia" w:ascii="仿宋" w:hAnsi="仿宋" w:eastAsia="仿宋"/>
          <w:color w:val="000000"/>
          <w:sz w:val="32"/>
          <w:szCs w:val="32"/>
          <w:lang w:val="en-US" w:eastAsia="zh-CN"/>
        </w:rPr>
      </w:pPr>
      <w:r>
        <w:rPr>
          <w:rStyle w:val="20"/>
          <w:rFonts w:hint="eastAsia" w:ascii="仿宋" w:hAnsi="仿宋" w:eastAsia="仿宋"/>
          <w:bCs/>
          <w:color w:val="000000"/>
          <w:sz w:val="32"/>
          <w:szCs w:val="32"/>
          <w:lang w:val="en-US" w:eastAsia="zh-CN"/>
        </w:rPr>
        <w:t>10.</w:t>
      </w:r>
      <w:r>
        <w:rPr>
          <w:rStyle w:val="20"/>
          <w:rFonts w:hint="eastAsia" w:ascii="仿宋" w:hAnsi="仿宋" w:eastAsia="仿宋"/>
          <w:bCs/>
          <w:color w:val="000000"/>
          <w:sz w:val="32"/>
          <w:szCs w:val="32"/>
        </w:rPr>
        <w:t>卫生健康支出（类）行政事业单位医疗（款）</w:t>
      </w:r>
      <w:r>
        <w:rPr>
          <w:rStyle w:val="20"/>
          <w:rFonts w:hint="eastAsia" w:ascii="仿宋" w:hAnsi="仿宋" w:eastAsia="仿宋"/>
          <w:bCs/>
          <w:color w:val="000000"/>
          <w:sz w:val="32"/>
          <w:szCs w:val="32"/>
          <w:lang w:eastAsia="zh-CN"/>
        </w:rPr>
        <w:t>公务员医疗补助（</w:t>
      </w:r>
      <w:r>
        <w:rPr>
          <w:rStyle w:val="20"/>
          <w:rFonts w:hint="eastAsia" w:ascii="仿宋" w:hAnsi="仿宋" w:eastAsia="仿宋"/>
          <w:bCs/>
          <w:color w:val="000000"/>
          <w:sz w:val="32"/>
          <w:szCs w:val="32"/>
        </w:rPr>
        <w:t>项）:</w:t>
      </w:r>
      <w:r>
        <w:rPr>
          <w:rFonts w:hint="eastAsia" w:ascii="仿宋" w:hAnsi="仿宋" w:eastAsia="仿宋"/>
          <w:color w:val="000000"/>
          <w:sz w:val="32"/>
          <w:szCs w:val="32"/>
          <w:lang w:val="en-US" w:eastAsia="zh-CN"/>
        </w:rPr>
        <w:t>支出决算为5.1万元，完成预算100%，决算数等于预算数。</w:t>
      </w:r>
    </w:p>
    <w:p>
      <w:pPr>
        <w:numPr>
          <w:ilvl w:val="0"/>
          <w:numId w:val="0"/>
        </w:numPr>
        <w:spacing w:line="600" w:lineRule="exact"/>
        <w:ind w:firstLine="643" w:firstLineChars="200"/>
        <w:rPr>
          <w:rFonts w:hint="eastAsia" w:ascii="仿宋" w:hAnsi="仿宋" w:eastAsia="仿宋"/>
          <w:color w:val="000000"/>
          <w:sz w:val="32"/>
          <w:szCs w:val="32"/>
          <w:lang w:val="en-US" w:eastAsia="zh-CN"/>
        </w:rPr>
      </w:pPr>
      <w:r>
        <w:rPr>
          <w:rStyle w:val="20"/>
          <w:rFonts w:hint="eastAsia" w:ascii="仿宋" w:hAnsi="仿宋" w:eastAsia="仿宋"/>
          <w:bCs/>
          <w:color w:val="000000"/>
          <w:sz w:val="32"/>
          <w:szCs w:val="32"/>
          <w:lang w:val="en-US" w:eastAsia="zh-CN"/>
        </w:rPr>
        <w:t>11</w:t>
      </w:r>
      <w:r>
        <w:rPr>
          <w:rStyle w:val="20"/>
          <w:rFonts w:ascii="仿宋" w:hAnsi="仿宋" w:eastAsia="仿宋"/>
          <w:bCs/>
          <w:color w:val="000000"/>
          <w:sz w:val="32"/>
          <w:szCs w:val="32"/>
        </w:rPr>
        <w:t>.</w:t>
      </w:r>
      <w:r>
        <w:rPr>
          <w:rStyle w:val="20"/>
          <w:rFonts w:hint="eastAsia" w:ascii="仿宋" w:hAnsi="仿宋" w:eastAsia="仿宋"/>
          <w:bCs/>
          <w:color w:val="000000"/>
          <w:sz w:val="32"/>
          <w:szCs w:val="32"/>
        </w:rPr>
        <w:t>住房保障支出（类）住房改革支出（款）住房公积金（项）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Fonts w:hint="eastAsia" w:ascii="仿宋" w:hAnsi="仿宋" w:eastAsia="仿宋"/>
          <w:color w:val="000000"/>
          <w:sz w:val="32"/>
          <w:szCs w:val="32"/>
          <w:lang w:val="en-US" w:eastAsia="zh-CN"/>
        </w:rPr>
        <w:t>支出决算为34.69万元，完成预算100%，决算数等于预算数。</w:t>
      </w:r>
    </w:p>
    <w:p>
      <w:pPr>
        <w:tabs>
          <w:tab w:val="right" w:pos="8306"/>
        </w:tabs>
        <w:spacing w:line="600" w:lineRule="exact"/>
        <w:ind w:firstLine="640" w:firstLineChars="200"/>
        <w:outlineLvl w:val="1"/>
        <w:rPr>
          <w:rStyle w:val="32"/>
        </w:rPr>
      </w:pPr>
      <w:bookmarkStart w:id="95" w:name="_Toc15396608"/>
      <w:bookmarkStart w:id="96" w:name="_Toc15377214"/>
      <w:bookmarkStart w:id="97" w:name="_Toc28465"/>
      <w:bookmarkStart w:id="98" w:name="_Toc32121"/>
      <w:bookmarkStart w:id="99" w:name="_Toc15917"/>
      <w:bookmarkStart w:id="100" w:name="_Toc21170"/>
      <w:bookmarkStart w:id="101" w:name="_Toc27312_WPSOffice_Level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32"/>
          <w:rFonts w:hint="eastAsia" w:ascii="黑体" w:hAnsi="黑体" w:eastAsia="黑体"/>
          <w:b w:val="0"/>
        </w:rPr>
        <w:t>般公共预算财政拨款基本支出决算情况说明</w:t>
      </w:r>
      <w:bookmarkEnd w:id="95"/>
      <w:bookmarkEnd w:id="96"/>
      <w:bookmarkEnd w:id="97"/>
      <w:bookmarkEnd w:id="98"/>
      <w:bookmarkEnd w:id="99"/>
      <w:bookmarkEnd w:id="100"/>
      <w:bookmarkEnd w:id="101"/>
      <w:r>
        <w:rPr>
          <w:rStyle w:val="32"/>
          <w:rFonts w:ascii="黑体" w:hAnsi="黑体" w:eastAsia="黑体"/>
          <w:b w:val="0"/>
        </w:rPr>
        <w:tab/>
      </w:r>
    </w:p>
    <w:p>
      <w:pPr>
        <w:numPr>
          <w:ilvl w:val="0"/>
          <w:numId w:val="0"/>
        </w:numPr>
        <w:spacing w:line="600" w:lineRule="exact"/>
        <w:ind w:firstLine="640" w:firstLineChars="200"/>
        <w:rPr>
          <w:rFonts w:hint="eastAsia" w:ascii="仿宋" w:hAnsi="仿宋" w:eastAsia="仿宋"/>
          <w:color w:val="000000"/>
          <w:sz w:val="32"/>
          <w:szCs w:val="32"/>
          <w:lang w:val="en-US" w:eastAsia="zh-CN"/>
        </w:rPr>
      </w:pPr>
      <w:bookmarkStart w:id="102" w:name="_Toc15377215"/>
      <w:bookmarkStart w:id="103" w:name="_Toc15396609"/>
      <w:r>
        <w:rPr>
          <w:rFonts w:hint="eastAsia" w:ascii="仿宋" w:hAnsi="仿宋" w:eastAsia="仿宋"/>
          <w:color w:val="000000"/>
          <w:sz w:val="32"/>
          <w:szCs w:val="32"/>
          <w:lang w:val="en-US" w:eastAsia="zh-CN"/>
        </w:rPr>
        <w:t>2023年一般公共预算财政拨款基本支出1,558.92万元，其中：</w:t>
      </w:r>
    </w:p>
    <w:p>
      <w:pPr>
        <w:numPr>
          <w:ilvl w:val="0"/>
          <w:numId w:val="0"/>
        </w:num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人员经费1,510.37万元，主要包括：基本工资、津贴补贴、奖金、伙食补助费、绩效工资、机关事业单位基本养老保险缴费、职业年金缴费、其他社会保障缴费、其他工资福利支出、抚恤金、生活补助、医疗费、奖励金、住房公积金、其他对个人和家庭的补助支出、死亡抚恤金支出等。</w:t>
      </w:r>
      <w:r>
        <w:rPr>
          <w:rFonts w:hint="eastAsia" w:ascii="仿宋" w:hAnsi="仿宋" w:eastAsia="仿宋"/>
          <w:color w:val="000000"/>
          <w:sz w:val="32"/>
          <w:szCs w:val="32"/>
          <w:lang w:val="en-US" w:eastAsia="zh-CN"/>
        </w:rPr>
        <w:br w:type="textWrapping"/>
      </w:r>
      <w:r>
        <w:rPr>
          <w:rFonts w:hint="eastAsia" w:ascii="仿宋" w:hAnsi="仿宋" w:eastAsia="仿宋"/>
          <w:color w:val="000000"/>
          <w:sz w:val="32"/>
          <w:szCs w:val="32"/>
          <w:lang w:val="en-US" w:eastAsia="zh-CN"/>
        </w:rPr>
        <w:t>　　公用经费48.55万元，主要包括：办公费、手续费、水费、电费、邮电费、物业管理费、差旅费、维修（护）费、租赁费、培训费、劳务费、工会经费、福利费、其他交通费、其他商品和服务支出、办公设备购置。</w:t>
      </w:r>
    </w:p>
    <w:p>
      <w:pPr>
        <w:spacing w:line="600" w:lineRule="exact"/>
        <w:ind w:firstLine="640"/>
        <w:outlineLvl w:val="1"/>
        <w:rPr>
          <w:rStyle w:val="32"/>
          <w:rFonts w:ascii="黑体" w:hAnsi="黑体" w:eastAsia="黑体"/>
          <w:b w:val="0"/>
        </w:rPr>
      </w:pPr>
      <w:bookmarkStart w:id="104" w:name="_Toc6355"/>
      <w:bookmarkStart w:id="105" w:name="_Toc11822"/>
      <w:bookmarkStart w:id="106" w:name="_Toc15142"/>
      <w:bookmarkStart w:id="107" w:name="_Toc30798"/>
      <w:bookmarkStart w:id="108" w:name="_Toc20400_WPSOffice_Level2"/>
      <w:r>
        <w:rPr>
          <w:rFonts w:hint="eastAsia" w:ascii="黑体" w:eastAsia="黑体"/>
          <w:color w:val="000000"/>
          <w:sz w:val="32"/>
          <w:szCs w:val="32"/>
        </w:rPr>
        <w:t>七、</w:t>
      </w:r>
      <w:r>
        <w:rPr>
          <w:rStyle w:val="32"/>
          <w:rFonts w:hint="eastAsia" w:ascii="黑体" w:hAnsi="黑体" w:eastAsia="黑体"/>
        </w:rPr>
        <w:t>“</w:t>
      </w:r>
      <w:r>
        <w:rPr>
          <w:rStyle w:val="32"/>
          <w:rFonts w:hint="eastAsia" w:ascii="黑体" w:hAnsi="黑体" w:eastAsia="黑体"/>
          <w:b w:val="0"/>
        </w:rPr>
        <w:t>三公”经费财政拨款支出决算情况说明</w:t>
      </w:r>
      <w:bookmarkEnd w:id="102"/>
      <w:bookmarkEnd w:id="103"/>
      <w:bookmarkEnd w:id="104"/>
      <w:bookmarkEnd w:id="105"/>
      <w:bookmarkEnd w:id="106"/>
      <w:bookmarkEnd w:id="107"/>
      <w:bookmarkEnd w:id="108"/>
    </w:p>
    <w:p>
      <w:pPr>
        <w:spacing w:line="600" w:lineRule="exact"/>
        <w:ind w:firstLine="640"/>
        <w:outlineLvl w:val="2"/>
        <w:rPr>
          <w:rFonts w:ascii="仿宋" w:hAnsi="仿宋" w:eastAsia="仿宋"/>
          <w:b/>
          <w:color w:val="000000"/>
          <w:sz w:val="32"/>
          <w:szCs w:val="32"/>
        </w:rPr>
      </w:pPr>
      <w:bookmarkStart w:id="109" w:name="_Toc15377216"/>
      <w:r>
        <w:rPr>
          <w:rFonts w:hint="eastAsia" w:ascii="仿宋" w:hAnsi="仿宋" w:eastAsia="仿宋"/>
          <w:b/>
          <w:color w:val="000000"/>
          <w:sz w:val="32"/>
          <w:szCs w:val="32"/>
        </w:rPr>
        <w:t>（一）“三公”经费财政拨款支出决算总体情况说明</w:t>
      </w:r>
      <w:bookmarkEnd w:id="109"/>
    </w:p>
    <w:p>
      <w:pPr>
        <w:spacing w:line="600" w:lineRule="exact"/>
        <w:ind w:firstLine="640"/>
        <w:outlineLvl w:val="2"/>
        <w:rPr>
          <w:rFonts w:hint="eastAsia" w:ascii="仿宋" w:hAnsi="仿宋" w:eastAsia="仿宋"/>
          <w:color w:val="auto"/>
          <w:sz w:val="32"/>
          <w:szCs w:val="32"/>
          <w:highlight w:val="none"/>
          <w:lang w:eastAsia="zh-CN"/>
        </w:rPr>
      </w:pPr>
      <w:bookmarkStart w:id="110" w:name="_Toc15377217"/>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0.71</w:t>
      </w:r>
      <w:r>
        <w:rPr>
          <w:rFonts w:hint="eastAsia" w:ascii="仿宋" w:hAnsi="仿宋" w:eastAsia="仿宋"/>
          <w:color w:val="auto"/>
          <w:sz w:val="32"/>
          <w:szCs w:val="32"/>
          <w:highlight w:val="none"/>
        </w:rPr>
        <w:t>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增加0.71万元，增长100%。</w:t>
      </w:r>
      <w:r>
        <w:rPr>
          <w:rFonts w:hint="eastAsia" w:ascii="仿宋" w:hAnsi="仿宋" w:eastAsia="仿宋"/>
          <w:color w:val="auto"/>
          <w:sz w:val="32"/>
          <w:szCs w:val="32"/>
          <w:highlight w:val="none"/>
        </w:rPr>
        <w:t>决算数与预算数持平</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本单位严格预算支出，有序开展接待工作。</w:t>
      </w:r>
    </w:p>
    <w:p>
      <w:pPr>
        <w:spacing w:line="600" w:lineRule="exact"/>
        <w:ind w:firstLine="64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110"/>
    </w:p>
    <w:p>
      <w:pPr>
        <w:numPr>
          <w:ilvl w:val="0"/>
          <w:numId w:val="0"/>
        </w:numPr>
        <w:spacing w:line="600" w:lineRule="exact"/>
        <w:ind w:firstLine="640" w:firstLineChars="200"/>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2023年“三公”经费财政拨款支出决算中，因公出国（境）费支出决算0万元，占0%；公务用车购置及运行维护费支出决算0元，占0%；公务接待费支出决算0.71万元，占100%。具体情况如下：</w:t>
      </w:r>
    </w:p>
    <w:p>
      <w:pPr>
        <w:pStyle w:val="2"/>
        <w:rPr>
          <w:rFonts w:hint="eastAsia" w:ascii="仿宋" w:hAnsi="仿宋" w:eastAsia="仿宋"/>
          <w:color w:val="000000"/>
          <w:sz w:val="32"/>
          <w:szCs w:val="32"/>
          <w:lang w:val="en-US" w:eastAsia="zh-CN"/>
        </w:rPr>
      </w:pPr>
    </w:p>
    <w:p>
      <w:pPr>
        <w:pStyle w:val="3"/>
        <w:rPr>
          <w:rFonts w:hint="eastAsia"/>
          <w:lang w:val="en-US" w:eastAsia="zh-CN"/>
        </w:rPr>
      </w:pPr>
      <w:r>
        <w:rPr>
          <w:rFonts w:hint="eastAsia"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-72390</wp:posOffset>
            </wp:positionH>
            <wp:positionV relativeFrom="paragraph">
              <wp:posOffset>151130</wp:posOffset>
            </wp:positionV>
            <wp:extent cx="5074285" cy="2121535"/>
            <wp:effectExtent l="4445" t="4445" r="11430" b="762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spacing w:line="600" w:lineRule="exact"/>
        <w:ind w:firstLine="640"/>
        <w:rPr>
          <w:rFonts w:hint="eastAsia"/>
        </w:rPr>
      </w:pPr>
      <w:r>
        <w:rPr>
          <w:rFonts w:hint="eastAsia" w:ascii="仿宋" w:hAnsi="仿宋" w:eastAsia="仿宋"/>
          <w:color w:val="auto"/>
          <w:sz w:val="32"/>
          <w:szCs w:val="32"/>
          <w:highlight w:val="none"/>
        </w:rPr>
        <w:t>（图7：“三公”经费财政拨款支出结构）（饼状图）</w:t>
      </w:r>
    </w:p>
    <w:p>
      <w:pPr>
        <w:spacing w:line="600" w:lineRule="exact"/>
        <w:ind w:firstLine="640"/>
        <w:rPr>
          <w:rFonts w:hint="eastAsia" w:ascii="仿宋_GB2312" w:eastAsia="仿宋_GB2312"/>
          <w:b/>
          <w:color w:val="auto"/>
          <w:sz w:val="32"/>
          <w:szCs w:val="32"/>
          <w:highlight w:val="none"/>
          <w:lang w:eastAsia="zh-CN"/>
        </w:rPr>
      </w:pPr>
      <w:bookmarkStart w:id="111" w:name="_Toc15396610"/>
      <w:bookmarkStart w:id="112" w:name="_Toc15377218"/>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20"/>
          <w:rFonts w:hint="eastAsia" w:ascii="仿宋" w:hAnsi="仿宋" w:eastAsia="仿宋"/>
          <w:b w:val="0"/>
          <w:bCs/>
          <w:color w:val="auto"/>
          <w:sz w:val="32"/>
          <w:szCs w:val="32"/>
          <w:highlight w:val="none"/>
        </w:rPr>
        <w:t>完成预算</w:t>
      </w:r>
      <w:r>
        <w:rPr>
          <w:rStyle w:val="20"/>
          <w:rFonts w:hint="eastAsia" w:ascii="仿宋" w:hAnsi="仿宋" w:eastAsia="仿宋"/>
          <w:b w:val="0"/>
          <w:bCs/>
          <w:color w:val="auto"/>
          <w:sz w:val="32"/>
          <w:szCs w:val="32"/>
          <w:highlight w:val="none"/>
          <w:lang w:val="en-US" w:eastAsia="zh-CN"/>
        </w:rPr>
        <w:t>100</w:t>
      </w:r>
      <w:r>
        <w:rPr>
          <w:rStyle w:val="20"/>
          <w:rFonts w:ascii="仿宋" w:hAnsi="仿宋" w:eastAsia="仿宋"/>
          <w:b w:val="0"/>
          <w:bCs/>
          <w:color w:val="auto"/>
          <w:sz w:val="32"/>
          <w:szCs w:val="32"/>
          <w:highlight w:val="none"/>
        </w:rPr>
        <w:t>%</w:t>
      </w:r>
      <w:r>
        <w:rPr>
          <w:rStyle w:val="20"/>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p>
    <w:p>
      <w:pPr>
        <w:numPr>
          <w:ilvl w:val="0"/>
          <w:numId w:val="0"/>
        </w:numPr>
        <w:spacing w:line="600" w:lineRule="exact"/>
        <w:ind w:firstLine="643" w:firstLineChars="200"/>
        <w:rPr>
          <w:rFonts w:hint="eastAsia" w:ascii="仿宋_GB2312" w:eastAsia="仿宋_GB2312"/>
          <w:color w:val="auto"/>
          <w:sz w:val="32"/>
          <w:szCs w:val="32"/>
          <w:highlight w:val="none"/>
          <w:lang w:val="en-US" w:eastAsia="zh-CN"/>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hint="eastAsia" w:ascii="仿宋_GB2312" w:eastAsia="仿宋_GB2312"/>
          <w:color w:val="auto"/>
          <w:sz w:val="32"/>
          <w:szCs w:val="32"/>
          <w:highlight w:val="none"/>
          <w:lang w:val="en-US" w:eastAsia="zh-CN"/>
        </w:rPr>
        <w:t>0万元。</w:t>
      </w:r>
      <w:r>
        <w:rPr>
          <w:rFonts w:hint="eastAsia" w:ascii="仿宋_GB2312" w:eastAsia="仿宋_GB2312"/>
          <w:color w:val="auto"/>
          <w:sz w:val="32"/>
          <w:szCs w:val="32"/>
          <w:highlight w:val="none"/>
        </w:rPr>
        <w:t>完成预算</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公务用车购置及运行维护费支出决算与2022年持平，主要原因是2022年、2023年未发生此项支出。</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hint="eastAsia" w:ascii="仿宋_GB2312" w:hAnsi="Times New Roman" w:eastAsia="仿宋_GB2312" w:cs="仿宋_GB2312"/>
          <w:kern w:val="0"/>
          <w:sz w:val="30"/>
          <w:szCs w:val="30"/>
          <w:lang w:val="en-US" w:eastAsia="zh-CN" w:bidi="ar-SA"/>
        </w:rPr>
      </w:pPr>
      <w:r>
        <w:rPr>
          <w:rFonts w:hint="eastAsia" w:ascii="仿宋_GB2312" w:eastAsia="仿宋_GB2312"/>
          <w:b/>
          <w:color w:val="auto"/>
          <w:sz w:val="32"/>
          <w:szCs w:val="32"/>
          <w:highlight w:val="none"/>
          <w:lang w:val="en-US" w:eastAsia="zh-CN"/>
        </w:rPr>
        <w:t>公务用车运行维护费</w:t>
      </w:r>
      <w:r>
        <w:rPr>
          <w:rFonts w:hint="eastAsia" w:ascii="仿宋_GB2312" w:eastAsia="仿宋_GB2312"/>
          <w:color w:val="auto"/>
          <w:sz w:val="32"/>
          <w:szCs w:val="32"/>
          <w:highlight w:val="none"/>
          <w:lang w:val="en-US" w:eastAsia="zh-CN"/>
        </w:rPr>
        <w:t>支出0万元</w:t>
      </w:r>
      <w:r>
        <w:rPr>
          <w:rFonts w:hint="eastAsia" w:ascii="仿宋_GB2312" w:hAnsi="Times New Roman" w:eastAsia="仿宋_GB2312" w:cs="仿宋_GB2312"/>
          <w:kern w:val="0"/>
          <w:sz w:val="30"/>
          <w:szCs w:val="30"/>
          <w:lang w:val="en-US" w:eastAsia="zh-CN" w:bidi="ar-SA"/>
        </w:rPr>
        <w:t>。</w:t>
      </w:r>
    </w:p>
    <w:p>
      <w:pPr>
        <w:spacing w:line="600" w:lineRule="exact"/>
        <w:ind w:firstLine="640"/>
        <w:outlineLvl w:val="2"/>
        <w:rPr>
          <w:rFonts w:hint="eastAsia" w:ascii="仿宋_GB2312" w:eastAsia="仿宋_GB2312"/>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s="仿宋_GB2312"/>
          <w:b/>
          <w:bCs/>
          <w:kern w:val="0"/>
          <w:sz w:val="30"/>
          <w:szCs w:val="30"/>
          <w:lang w:val="en-US" w:eastAsia="zh-CN" w:bidi="ar-SA"/>
        </w:rPr>
        <w:t>0.71</w:t>
      </w:r>
      <w:r>
        <w:rPr>
          <w:rFonts w:hint="eastAsia" w:ascii="仿宋_GB2312" w:hAnsi="Times New Roman" w:eastAsia="仿宋_GB2312" w:cs="Times New Roman"/>
          <w:b/>
          <w:color w:val="auto"/>
          <w:sz w:val="32"/>
          <w:szCs w:val="32"/>
          <w:highlight w:val="none"/>
          <w:lang w:val="en-US" w:eastAsia="zh-CN"/>
        </w:rPr>
        <w:t>万元，</w:t>
      </w:r>
      <w:r>
        <w:rPr>
          <w:rFonts w:hint="eastAsia" w:ascii="仿宋_GB2312" w:eastAsia="仿宋_GB2312"/>
          <w:color w:val="auto"/>
          <w:sz w:val="32"/>
          <w:szCs w:val="32"/>
          <w:highlight w:val="none"/>
          <w:lang w:val="en-US" w:eastAsia="zh-CN"/>
        </w:rPr>
        <w:t>完成预算100%。公务接待费支出决算比2022年增加0.71万元，增长100%。主要原因是增加了居保调研接待费。</w:t>
      </w:r>
    </w:p>
    <w:p>
      <w:pPr>
        <w:spacing w:line="600" w:lineRule="exact"/>
        <w:ind w:firstLine="640"/>
        <w:rPr>
          <w:rFonts w:hint="eastAsia" w:ascii="仿宋_GB2312" w:eastAsia="仿宋_GB2312"/>
          <w:color w:val="auto"/>
          <w:sz w:val="32"/>
          <w:szCs w:val="32"/>
          <w:highlight w:val="none"/>
          <w:lang w:val="en-US" w:eastAsia="zh-CN"/>
        </w:rPr>
      </w:pPr>
      <w:r>
        <w:rPr>
          <w:rFonts w:hint="eastAsia" w:ascii="仿宋_GB2312" w:hAnsi="Times New Roman" w:eastAsia="仿宋_GB2312" w:cs="仿宋_GB2312"/>
          <w:b/>
          <w:bCs/>
          <w:kern w:val="0"/>
          <w:sz w:val="30"/>
          <w:szCs w:val="30"/>
          <w:lang w:val="en-US" w:eastAsia="zh-CN" w:bidi="ar-SA"/>
        </w:rPr>
        <w:t>国内公务接待支出</w:t>
      </w:r>
      <w:r>
        <w:rPr>
          <w:rFonts w:hint="eastAsia" w:ascii="仿宋_GB2312" w:eastAsia="仿宋_GB2312"/>
          <w:color w:val="auto"/>
          <w:sz w:val="32"/>
          <w:szCs w:val="32"/>
          <w:highlight w:val="none"/>
          <w:lang w:val="en-US" w:eastAsia="zh-CN"/>
        </w:rPr>
        <w:t>0.71万元，主要用于执行公务、开展业务活动开支的交通费、住宿费、用餐费等。国内公务接待2批次，69人次，共计支出0.71万元，具体内容包括：省、市领导的调研、视察。</w:t>
      </w:r>
    </w:p>
    <w:p>
      <w:pPr>
        <w:spacing w:line="600" w:lineRule="exact"/>
        <w:ind w:firstLine="640"/>
        <w:rPr>
          <w:rFonts w:hint="eastAsia" w:ascii="仿宋_GB2312" w:eastAsia="仿宋_GB2312"/>
          <w:color w:val="auto"/>
          <w:sz w:val="32"/>
          <w:szCs w:val="32"/>
          <w:highlight w:val="none"/>
          <w:lang w:val="en-US" w:eastAsia="zh-CN"/>
        </w:rPr>
      </w:pPr>
      <w:r>
        <w:rPr>
          <w:rFonts w:hint="eastAsia" w:ascii="仿宋_GB2312" w:hAnsi="Times New Roman" w:eastAsia="仿宋_GB2312" w:cs="仿宋_GB2312"/>
          <w:b/>
          <w:bCs/>
          <w:kern w:val="0"/>
          <w:sz w:val="30"/>
          <w:szCs w:val="30"/>
          <w:lang w:val="en-US" w:eastAsia="zh-CN" w:bidi="ar-SA"/>
        </w:rPr>
        <w:t>外事接待支出0万元</w:t>
      </w:r>
      <w:r>
        <w:rPr>
          <w:rFonts w:hint="eastAsia" w:ascii="仿宋_GB2312" w:hAnsi="Times New Roman" w:eastAsia="仿宋_GB2312" w:cs="仿宋_GB2312"/>
          <w:kern w:val="0"/>
          <w:sz w:val="30"/>
          <w:szCs w:val="30"/>
          <w:lang w:val="en-US" w:eastAsia="zh-CN" w:bidi="ar-SA"/>
        </w:rPr>
        <w:t>，</w:t>
      </w:r>
      <w:r>
        <w:rPr>
          <w:rFonts w:hint="eastAsia" w:ascii="仿宋_GB2312" w:eastAsia="仿宋_GB2312"/>
          <w:color w:val="auto"/>
          <w:sz w:val="32"/>
          <w:szCs w:val="32"/>
          <w:highlight w:val="none"/>
          <w:lang w:val="en-US" w:eastAsia="zh-CN"/>
        </w:rPr>
        <w:t>外事接待0批次，0人，共计支出0万元。</w:t>
      </w:r>
    </w:p>
    <w:p>
      <w:pPr>
        <w:spacing w:line="600" w:lineRule="exact"/>
        <w:ind w:firstLine="640" w:firstLineChars="200"/>
        <w:outlineLvl w:val="1"/>
        <w:rPr>
          <w:rStyle w:val="32"/>
          <w:rFonts w:ascii="黑体" w:hAnsi="黑体" w:eastAsia="黑体"/>
        </w:rPr>
      </w:pPr>
      <w:bookmarkStart w:id="113" w:name="_Toc22103"/>
      <w:bookmarkStart w:id="114" w:name="_Toc9098"/>
      <w:bookmarkStart w:id="115" w:name="_Toc24180_WPSOffice_Level2"/>
      <w:bookmarkStart w:id="116" w:name="_Toc9263"/>
      <w:bookmarkStart w:id="117" w:name="_Toc16131"/>
      <w:r>
        <w:rPr>
          <w:rFonts w:hint="eastAsia" w:ascii="黑体" w:eastAsia="黑体"/>
          <w:color w:val="000000"/>
          <w:sz w:val="32"/>
          <w:szCs w:val="32"/>
        </w:rPr>
        <w:t>八、</w:t>
      </w:r>
      <w:r>
        <w:rPr>
          <w:rStyle w:val="32"/>
          <w:rFonts w:hint="eastAsia" w:ascii="黑体" w:hAnsi="黑体" w:eastAsia="黑体"/>
          <w:b w:val="0"/>
        </w:rPr>
        <w:t>政府性基金预算支出决算情况说明</w:t>
      </w:r>
      <w:bookmarkEnd w:id="111"/>
      <w:bookmarkEnd w:id="112"/>
      <w:bookmarkEnd w:id="113"/>
      <w:bookmarkEnd w:id="114"/>
      <w:bookmarkEnd w:id="115"/>
      <w:bookmarkEnd w:id="116"/>
      <w:bookmarkEnd w:id="117"/>
    </w:p>
    <w:p>
      <w:pPr>
        <w:spacing w:line="600" w:lineRule="exact"/>
        <w:ind w:firstLine="640"/>
        <w:rPr>
          <w:rFonts w:hint="eastAsia" w:ascii="仿宋_GB2312" w:eastAsia="仿宋_GB2312"/>
          <w:color w:val="auto"/>
          <w:sz w:val="32"/>
          <w:szCs w:val="32"/>
          <w:highlight w:val="none"/>
          <w:lang w:val="en-US" w:eastAsia="zh-CN"/>
        </w:rPr>
      </w:pPr>
      <w:r>
        <w:rPr>
          <w:rFonts w:hint="eastAsia" w:ascii="仿宋_GB2312" w:eastAsia="仿宋_GB2312"/>
          <w:color w:val="000000"/>
          <w:sz w:val="32"/>
          <w:szCs w:val="32"/>
          <w:lang w:eastAsia="zh-CN"/>
        </w:rPr>
        <w:t>2</w:t>
      </w:r>
      <w:r>
        <w:rPr>
          <w:rFonts w:hint="eastAsia" w:ascii="仿宋_GB2312" w:eastAsia="仿宋_GB2312"/>
          <w:color w:val="auto"/>
          <w:sz w:val="32"/>
          <w:szCs w:val="32"/>
          <w:highlight w:val="none"/>
          <w:lang w:val="en-US" w:eastAsia="zh-CN"/>
        </w:rPr>
        <w:t>023年度政府性基金预算拨款支出0万元。</w:t>
      </w:r>
    </w:p>
    <w:p>
      <w:pPr>
        <w:numPr>
          <w:ilvl w:val="0"/>
          <w:numId w:val="0"/>
        </w:numPr>
        <w:spacing w:line="600" w:lineRule="exact"/>
        <w:ind w:firstLine="640" w:firstLineChars="200"/>
        <w:outlineLvl w:val="1"/>
        <w:rPr>
          <w:rStyle w:val="32"/>
          <w:rFonts w:ascii="黑体" w:hAnsi="黑体" w:eastAsia="黑体"/>
          <w:b w:val="0"/>
        </w:rPr>
      </w:pPr>
      <w:bookmarkStart w:id="118" w:name="_Toc1602"/>
      <w:bookmarkStart w:id="119" w:name="_Toc13940"/>
      <w:bookmarkStart w:id="120" w:name="_Toc27662_WPSOffice_Level2"/>
      <w:bookmarkStart w:id="121" w:name="_Toc8627"/>
      <w:bookmarkStart w:id="122" w:name="_Toc15377219"/>
      <w:bookmarkStart w:id="123" w:name="_Toc19820"/>
      <w:bookmarkStart w:id="124" w:name="_Toc15396611"/>
      <w:r>
        <w:rPr>
          <w:rStyle w:val="32"/>
          <w:rFonts w:hint="eastAsia" w:ascii="黑体" w:hAnsi="黑体" w:eastAsia="黑体"/>
          <w:b w:val="0"/>
          <w:lang w:eastAsia="zh-CN"/>
        </w:rPr>
        <w:t>九、</w:t>
      </w:r>
      <w:r>
        <w:rPr>
          <w:rStyle w:val="32"/>
          <w:rFonts w:hint="eastAsia" w:ascii="黑体" w:hAnsi="黑体" w:eastAsia="黑体"/>
          <w:b w:val="0"/>
        </w:rPr>
        <w:t>国有资本经营预算支出决算情况说明</w:t>
      </w:r>
      <w:bookmarkEnd w:id="118"/>
      <w:bookmarkEnd w:id="119"/>
      <w:bookmarkEnd w:id="120"/>
      <w:bookmarkEnd w:id="121"/>
      <w:bookmarkEnd w:id="122"/>
      <w:bookmarkEnd w:id="123"/>
      <w:bookmarkEnd w:id="124"/>
    </w:p>
    <w:p>
      <w:pPr>
        <w:spacing w:line="600" w:lineRule="exact"/>
        <w:ind w:firstLine="640"/>
        <w:rPr>
          <w:rFonts w:hint="eastAsia" w:ascii="仿宋_GB2312" w:eastAsia="仿宋_GB2312"/>
          <w:color w:val="000000"/>
          <w:sz w:val="32"/>
          <w:szCs w:val="32"/>
        </w:rPr>
      </w:pPr>
      <w:bookmarkStart w:id="125" w:name="_Toc15396612"/>
      <w:bookmarkStart w:id="126" w:name="_Toc15377221"/>
      <w:r>
        <w:rPr>
          <w:rFonts w:hint="eastAsia" w:ascii="仿宋_GB2312" w:eastAsia="仿宋_GB2312"/>
          <w:color w:val="000000"/>
          <w:sz w:val="32"/>
          <w:szCs w:val="32"/>
          <w:lang w:eastAsia="zh-CN"/>
        </w:rPr>
        <w:t>2023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度</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rPr>
      </w:pPr>
    </w:p>
    <w:p>
      <w:pPr>
        <w:spacing w:line="600" w:lineRule="exact"/>
        <w:ind w:firstLine="800" w:firstLineChars="250"/>
        <w:outlineLvl w:val="1"/>
        <w:rPr>
          <w:rStyle w:val="32"/>
          <w:rFonts w:ascii="黑体" w:hAnsi="黑体" w:eastAsia="黑体"/>
        </w:rPr>
      </w:pPr>
      <w:bookmarkStart w:id="127" w:name="_Toc13452"/>
      <w:bookmarkStart w:id="128" w:name="_Toc23031"/>
      <w:bookmarkStart w:id="129" w:name="_Toc31739_WPSOffice_Level2"/>
      <w:bookmarkStart w:id="130" w:name="_Toc13795"/>
      <w:bookmarkStart w:id="131" w:name="_Toc3863"/>
      <w:r>
        <w:rPr>
          <w:rFonts w:hint="eastAsia" w:ascii="黑体" w:hAnsi="黑体" w:eastAsia="黑体"/>
          <w:color w:val="000000"/>
          <w:sz w:val="32"/>
          <w:szCs w:val="32"/>
        </w:rPr>
        <w:t>十</w:t>
      </w:r>
      <w:r>
        <w:rPr>
          <w:rStyle w:val="32"/>
          <w:rFonts w:hint="eastAsia" w:ascii="黑体" w:hAnsi="黑体" w:eastAsia="黑体"/>
        </w:rPr>
        <w:t>、</w:t>
      </w:r>
      <w:r>
        <w:rPr>
          <w:rStyle w:val="32"/>
          <w:rFonts w:hint="eastAsia" w:ascii="黑体" w:hAnsi="黑体" w:eastAsia="黑体"/>
          <w:b w:val="0"/>
        </w:rPr>
        <w:t>其他重要事项的情况说明</w:t>
      </w:r>
      <w:bookmarkEnd w:id="125"/>
      <w:bookmarkEnd w:id="126"/>
      <w:bookmarkEnd w:id="127"/>
      <w:bookmarkEnd w:id="128"/>
      <w:bookmarkEnd w:id="129"/>
      <w:bookmarkEnd w:id="130"/>
      <w:bookmarkEnd w:id="131"/>
    </w:p>
    <w:p>
      <w:pPr>
        <w:spacing w:line="600" w:lineRule="exact"/>
        <w:ind w:firstLine="643" w:firstLineChars="200"/>
        <w:outlineLvl w:val="2"/>
        <w:rPr>
          <w:rFonts w:ascii="仿宋" w:hAnsi="仿宋" w:eastAsia="仿宋"/>
          <w:color w:val="000000"/>
          <w:sz w:val="32"/>
          <w:szCs w:val="32"/>
        </w:rPr>
      </w:pPr>
      <w:bookmarkStart w:id="132" w:name="_Toc15377222"/>
      <w:r>
        <w:rPr>
          <w:rFonts w:hint="eastAsia" w:ascii="仿宋" w:hAnsi="仿宋" w:eastAsia="仿宋"/>
          <w:b/>
          <w:color w:val="000000"/>
          <w:sz w:val="32"/>
          <w:szCs w:val="32"/>
        </w:rPr>
        <w:t>（一）机关运行经费支出情况</w:t>
      </w:r>
      <w:bookmarkEnd w:id="132"/>
    </w:p>
    <w:p>
      <w:pPr>
        <w:spacing w:line="600" w:lineRule="exact"/>
        <w:ind w:firstLine="640"/>
        <w:rPr>
          <w:rFonts w:hint="default" w:ascii="仿宋_GB2312" w:eastAsia="仿宋_GB2312"/>
          <w:color w:val="000000"/>
          <w:sz w:val="32"/>
          <w:szCs w:val="32"/>
          <w:lang w:eastAsia="zh-CN"/>
        </w:rPr>
      </w:pPr>
      <w:bookmarkStart w:id="133" w:name="_Toc15377223"/>
      <w:r>
        <w:rPr>
          <w:rFonts w:hint="eastAsia" w:ascii="仿宋_GB2312" w:eastAsia="仿宋_GB2312"/>
          <w:color w:val="000000"/>
          <w:sz w:val="32"/>
          <w:szCs w:val="32"/>
          <w:lang w:val="en-US" w:eastAsia="zh-CN"/>
        </w:rPr>
        <w:t>2023年度，区社保局机关运行经费支出48.55万元，比2022年增加5.81万元，增长13.59%。变动的主要原因是增加了人员。</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（二）政府采购支出情况</w:t>
      </w:r>
      <w:bookmarkEnd w:id="133"/>
    </w:p>
    <w:p>
      <w:pPr>
        <w:spacing w:line="600" w:lineRule="exact"/>
        <w:ind w:firstLine="640"/>
        <w:rPr>
          <w:rFonts w:hint="eastAsia" w:ascii="仿宋_GB2312" w:hAnsi="Times New Roman" w:eastAsia="仿宋_GB2312" w:cs="仿宋_GB2312"/>
          <w:kern w:val="0"/>
          <w:sz w:val="30"/>
          <w:szCs w:val="30"/>
          <w:lang w:val="en-US" w:eastAsia="zh-CN" w:bidi="ar-SA"/>
        </w:rPr>
      </w:pPr>
      <w:bookmarkStart w:id="134" w:name="_Toc15377224"/>
      <w:r>
        <w:rPr>
          <w:rFonts w:hint="eastAsia" w:ascii="仿宋_GB2312" w:eastAsia="仿宋_GB2312"/>
          <w:color w:val="000000"/>
          <w:sz w:val="32"/>
          <w:szCs w:val="32"/>
          <w:lang w:val="en-US" w:eastAsia="zh-CN"/>
        </w:rPr>
        <w:t>2023年度，区社保局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（三）国有资产占有使用情况</w:t>
      </w:r>
      <w:bookmarkEnd w:id="134"/>
    </w:p>
    <w:p>
      <w:pPr>
        <w:autoSpaceDE w:val="0"/>
        <w:autoSpaceDN w:val="0"/>
        <w:adjustRightInd w:val="0"/>
        <w:spacing w:line="60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_GB2312" w:eastAsia="仿宋_GB2312"/>
          <w:color w:val="000000"/>
          <w:sz w:val="32"/>
          <w:szCs w:val="32"/>
          <w:lang w:val="en-US" w:eastAsia="zh-CN"/>
        </w:rPr>
        <w:t>截至2023年12月31日，区社保局共有车辆</w:t>
      </w:r>
      <w:r>
        <w:rPr>
          <w:rFonts w:hint="eastAsia" w:ascii="仿宋_GB2312" w:eastAsia="仿宋_GB2312"/>
          <w:color w:val="000000"/>
          <w:sz w:val="32"/>
          <w:szCs w:val="32"/>
          <w:lang w:val="en-US" w:eastAsia="zh-CN"/>
        </w:rPr>
        <w:t>0辆，其中：主要领导干部用车</w:t>
      </w:r>
      <w:r>
        <w:rPr>
          <w:rFonts w:hint="eastAsia" w:ascii="仿宋_GB2312" w:eastAsia="仿宋_GB2312"/>
          <w:color w:val="000000"/>
          <w:sz w:val="32"/>
          <w:szCs w:val="32"/>
          <w:lang w:val="en-US" w:eastAsia="zh-CN"/>
        </w:rPr>
        <w:t>0辆、机要通信用车</w:t>
      </w:r>
      <w:r>
        <w:rPr>
          <w:rFonts w:hint="eastAsia" w:ascii="仿宋_GB2312" w:eastAsia="仿宋_GB2312"/>
          <w:color w:val="000000"/>
          <w:sz w:val="32"/>
          <w:szCs w:val="32"/>
          <w:lang w:val="en-US" w:eastAsia="zh-CN"/>
        </w:rPr>
        <w:t>0辆、应急保障用车</w:t>
      </w:r>
      <w:r>
        <w:rPr>
          <w:rFonts w:hint="eastAsia" w:ascii="仿宋_GB2312" w:eastAsia="仿宋_GB2312"/>
          <w:color w:val="000000"/>
          <w:sz w:val="32"/>
          <w:szCs w:val="32"/>
          <w:lang w:val="en-US" w:eastAsia="zh-CN"/>
        </w:rPr>
        <w:t>0辆、其他用车</w:t>
      </w:r>
      <w:r>
        <w:rPr>
          <w:rFonts w:hint="eastAsia" w:ascii="仿宋_GB2312" w:eastAsia="仿宋_GB2312"/>
          <w:color w:val="000000"/>
          <w:sz w:val="32"/>
          <w:szCs w:val="32"/>
          <w:lang w:val="en-US" w:eastAsia="zh-CN"/>
        </w:rPr>
        <w:t>0辆。单价100万元以上设备</w:t>
      </w:r>
      <w:r>
        <w:rPr>
          <w:rFonts w:hint="eastAsia" w:ascii="仿宋_GB2312" w:eastAsia="仿宋_GB2312"/>
          <w:color w:val="000000"/>
          <w:sz w:val="32"/>
          <w:szCs w:val="32"/>
          <w:lang w:val="en-US" w:eastAsia="zh-CN"/>
        </w:rPr>
        <w:t>0台（套）</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bookmarkStart w:id="135" w:name="_Toc15396613"/>
      <w:bookmarkStart w:id="136" w:name="_Toc15377225"/>
      <w:r>
        <w:rPr>
          <w:rFonts w:hint="eastAsia" w:ascii="仿宋" w:hAnsi="仿宋" w:eastAsia="仿宋"/>
          <w:b/>
          <w:color w:val="auto"/>
          <w:sz w:val="32"/>
          <w:szCs w:val="32"/>
          <w:highlight w:val="none"/>
        </w:rPr>
        <w:t>（四）预算绩效管理情况</w:t>
      </w:r>
    </w:p>
    <w:p>
      <w:pPr>
        <w:pStyle w:val="9"/>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Times New Roman" w:eastAsia="仿宋_GB2312" w:cs="Times New Roman"/>
          <w:color w:val="000000"/>
          <w:kern w:val="2"/>
          <w:sz w:val="32"/>
          <w:szCs w:val="32"/>
          <w:lang w:val="en-US" w:eastAsia="zh-CN" w:bidi="ar-SA"/>
        </w:rPr>
        <w:t>根据预算绩效管理要求，本单位在2023年度预算编制阶段，组织对“建国初期参加革命工作退休干部困难补助”、“离休干部遗孀生活补助”、“基金风险防控项目”、“社保公共服务能力建设经费”、“老机保清理转移养老保险费”项目等5个项目开展了预算事前绩效评估，对5个项目编制了绩效目标，预算执行过</w:t>
      </w:r>
      <w:r>
        <w:rPr>
          <w:rFonts w:hint="eastAsia" w:ascii="仿宋_GB2312" w:hAnsi="仿宋_GB2312" w:eastAsia="仿宋_GB2312" w:cs="仿宋_GB2312"/>
          <w:color w:val="auto"/>
          <w:sz w:val="32"/>
          <w:szCs w:val="32"/>
          <w:highlight w:val="none"/>
        </w:rPr>
        <w:t>程中，选取</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个项目开展绩效监控</w:t>
      </w:r>
      <w:r>
        <w:rPr>
          <w:rFonts w:hint="eastAsia" w:ascii="仿宋_GB2312" w:hAnsi="仿宋_GB2312" w:eastAsia="仿宋_GB2312" w:cs="仿宋_GB2312"/>
          <w:color w:val="auto"/>
          <w:sz w:val="32"/>
          <w:szCs w:val="32"/>
          <w:highlight w:val="none"/>
          <w:lang w:eastAsia="zh-CN"/>
        </w:rPr>
        <w:t>。</w:t>
      </w:r>
    </w:p>
    <w:p>
      <w:pPr>
        <w:pStyle w:val="9"/>
        <w:ind w:firstLine="640" w:firstLineChars="200"/>
      </w:pPr>
      <w:r>
        <w:rPr>
          <w:rFonts w:hint="default" w:ascii="仿宋_GB2312" w:hAnsi="仿宋_GB2312" w:eastAsia="仿宋_GB2312" w:cs="仿宋_GB2312"/>
          <w:color w:val="auto"/>
          <w:sz w:val="32"/>
          <w:szCs w:val="32"/>
          <w:highlight w:val="none"/>
          <w:lang w:eastAsia="zh-CN"/>
        </w:rPr>
        <w:t>组织</w:t>
      </w:r>
      <w:r>
        <w:rPr>
          <w:rFonts w:hint="default" w:ascii="仿宋_GB2312" w:hAnsi="仿宋_GB2312" w:eastAsia="仿宋_GB2312" w:cs="仿宋_GB2312"/>
          <w:color w:val="auto"/>
          <w:sz w:val="32"/>
          <w:szCs w:val="32"/>
          <w:highlight w:val="none"/>
        </w:rPr>
        <w:t>对</w:t>
      </w:r>
      <w:r>
        <w:rPr>
          <w:rFonts w:hint="default" w:ascii="仿宋_GB2312" w:hAnsi="仿宋_GB2312" w:eastAsia="仿宋_GB2312" w:cs="仿宋_GB2312"/>
          <w:color w:val="auto"/>
          <w:sz w:val="32"/>
          <w:szCs w:val="32"/>
          <w:highlight w:val="none"/>
          <w:lang w:val="en-US" w:eastAsia="zh-CN"/>
        </w:rPr>
        <w:t>2023年度一般公共预算全面开展绩效自评，形成遂宁市安居区社会保险事业管理局</w:t>
      </w:r>
      <w:r>
        <w:rPr>
          <w:rFonts w:hint="default" w:ascii="仿宋_GB2312" w:hAnsi="仿宋_GB2312" w:eastAsia="仿宋_GB2312" w:cs="仿宋_GB2312"/>
          <w:color w:val="auto"/>
          <w:sz w:val="32"/>
          <w:szCs w:val="32"/>
          <w:highlight w:val="none"/>
          <w:lang w:eastAsia="zh-CN"/>
        </w:rPr>
        <w:t>部门整体（含部门预算项目</w:t>
      </w:r>
      <w:r>
        <w:rPr>
          <w:rFonts w:hint="default"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val="en-US" w:eastAsia="zh-CN"/>
        </w:rPr>
        <w:t>“建国初期参加革命工作退休干部困难补助”、“离休干部遗孀生活补助”、“基金风险防控项目”、“社保公共服务能力建设经费”、“老机保清理转移养老保险费”等</w:t>
      </w:r>
      <w:r>
        <w:rPr>
          <w:rFonts w:hint="default" w:ascii="仿宋_GB2312" w:hAnsi="仿宋_GB2312" w:eastAsia="仿宋_GB2312" w:cs="仿宋_GB2312"/>
          <w:color w:val="auto"/>
          <w:sz w:val="32"/>
          <w:szCs w:val="32"/>
          <w:highlight w:val="none"/>
          <w:lang w:val="en-US" w:eastAsia="zh-CN"/>
        </w:rPr>
        <w:t>专项预算项目绩效自评报告，其中，遂宁市安居区社会保险事业管理局部门整体（含部门预算项目）绩效自评得分为</w:t>
      </w:r>
      <w:r>
        <w:rPr>
          <w:rFonts w:hint="eastAsia" w:ascii="仿宋_GB2312" w:hAnsi="仿宋_GB2312" w:eastAsia="仿宋_GB2312" w:cs="仿宋_GB2312"/>
          <w:color w:val="auto"/>
          <w:sz w:val="32"/>
          <w:szCs w:val="32"/>
          <w:highlight w:val="none"/>
          <w:lang w:val="en-US" w:eastAsia="zh-CN"/>
        </w:rPr>
        <w:t>95</w:t>
      </w:r>
      <w:r>
        <w:rPr>
          <w:rFonts w:hint="default" w:ascii="仿宋_GB2312" w:hAnsi="仿宋_GB2312" w:eastAsia="仿宋_GB2312" w:cs="仿宋_GB2312"/>
          <w:color w:val="auto"/>
          <w:sz w:val="32"/>
          <w:szCs w:val="32"/>
          <w:highlight w:val="none"/>
          <w:lang w:val="en-US" w:eastAsia="zh-CN"/>
        </w:rPr>
        <w:t>分，绩效自评综述：区社保局认真按照工作职责，部门工作人员认真履行职责，对各项工作认真负责，重点项目绩效评价结果良好；</w:t>
      </w:r>
      <w:r>
        <w:rPr>
          <w:rFonts w:hint="eastAsia" w:ascii="仿宋_GB2312" w:hAnsi="仿宋_GB2312" w:eastAsia="仿宋_GB2312" w:cs="仿宋_GB2312"/>
          <w:color w:val="auto"/>
          <w:sz w:val="32"/>
          <w:szCs w:val="32"/>
          <w:highlight w:val="none"/>
          <w:lang w:val="en-US" w:eastAsia="zh-CN"/>
        </w:rPr>
        <w:t>“建国初期参加革命工作退休干部困难补助”</w:t>
      </w:r>
      <w:r>
        <w:rPr>
          <w:rFonts w:hint="default" w:ascii="仿宋_GB2312" w:hAnsi="仿宋_GB2312" w:eastAsia="仿宋_GB2312" w:cs="仿宋_GB2312"/>
          <w:color w:val="auto"/>
          <w:sz w:val="32"/>
          <w:szCs w:val="32"/>
          <w:highlight w:val="none"/>
          <w:lang w:val="en-US" w:eastAsia="zh-CN"/>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default" w:ascii="仿宋_GB2312" w:hAnsi="仿宋_GB2312" w:eastAsia="仿宋_GB2312" w:cs="仿宋_GB2312"/>
          <w:color w:val="auto"/>
          <w:sz w:val="32"/>
          <w:szCs w:val="32"/>
          <w:highlight w:val="none"/>
          <w:lang w:val="en-US" w:eastAsia="zh-CN"/>
        </w:rPr>
        <w:t>分，绩效自评综述：通过项目实施保障了建国初期革命人员困难补助</w:t>
      </w:r>
      <w:r>
        <w:rPr>
          <w:rFonts w:hint="eastAsia" w:ascii="仿宋_GB2312" w:hAnsi="仿宋_GB2312" w:eastAsia="仿宋_GB2312" w:cs="仿宋_GB2312"/>
          <w:color w:val="auto"/>
          <w:sz w:val="32"/>
          <w:szCs w:val="32"/>
          <w:highlight w:val="none"/>
          <w:lang w:val="en-US" w:eastAsia="zh-CN"/>
        </w:rPr>
        <w:t>每月及时足额</w:t>
      </w:r>
      <w:r>
        <w:rPr>
          <w:rFonts w:hint="default" w:ascii="仿宋_GB2312" w:hAnsi="仿宋_GB2312" w:eastAsia="仿宋_GB2312" w:cs="仿宋_GB2312"/>
          <w:color w:val="auto"/>
          <w:sz w:val="32"/>
          <w:szCs w:val="32"/>
          <w:highlight w:val="none"/>
          <w:lang w:val="en-US" w:eastAsia="zh-CN"/>
        </w:rPr>
        <w:t>的发放，有较好的社会效益；</w:t>
      </w:r>
      <w:r>
        <w:rPr>
          <w:rFonts w:hint="eastAsia" w:ascii="仿宋_GB2312" w:hAnsi="仿宋_GB2312" w:eastAsia="仿宋_GB2312" w:cs="仿宋_GB2312"/>
          <w:color w:val="auto"/>
          <w:sz w:val="32"/>
          <w:szCs w:val="32"/>
          <w:highlight w:val="none"/>
          <w:lang w:val="en-US" w:eastAsia="zh-CN"/>
        </w:rPr>
        <w:t>“离休干部遗孀生活补助”</w:t>
      </w:r>
      <w:r>
        <w:rPr>
          <w:rFonts w:hint="default" w:ascii="仿宋_GB2312" w:hAnsi="仿宋_GB2312" w:eastAsia="仿宋_GB2312" w:cs="仿宋_GB2312"/>
          <w:color w:val="auto"/>
          <w:sz w:val="32"/>
          <w:szCs w:val="32"/>
          <w:highlight w:val="none"/>
          <w:lang w:val="en-US" w:eastAsia="zh-CN"/>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default"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color w:val="auto"/>
          <w:sz w:val="32"/>
          <w:szCs w:val="32"/>
          <w:highlight w:val="none"/>
          <w:lang w:val="en-US" w:eastAsia="zh-CN"/>
        </w:rPr>
        <w:t>：通过项目实施保障了离休干部遗孀何治秀生活补助及时足额的发放，有较好的社会效益</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“基金风险防控项目”</w:t>
      </w:r>
      <w:r>
        <w:rPr>
          <w:rFonts w:hint="default" w:ascii="仿宋_GB2312" w:hAnsi="仿宋_GB2312" w:eastAsia="仿宋_GB2312" w:cs="仿宋_GB2312"/>
          <w:color w:val="auto"/>
          <w:sz w:val="32"/>
          <w:szCs w:val="32"/>
          <w:highlight w:val="none"/>
          <w:lang w:val="en-US" w:eastAsia="zh-CN"/>
        </w:rPr>
        <w:t>专项预算项目绩效自评得分为</w:t>
      </w:r>
      <w:r>
        <w:rPr>
          <w:rFonts w:hint="eastAsia" w:hAnsi="仿宋_GB2312" w:cs="仿宋_GB2312"/>
          <w:color w:val="auto"/>
          <w:sz w:val="32"/>
          <w:szCs w:val="32"/>
          <w:highlight w:val="none"/>
          <w:lang w:val="en-US" w:eastAsia="zh-CN"/>
        </w:rPr>
        <w:t>95</w:t>
      </w:r>
      <w:r>
        <w:rPr>
          <w:rFonts w:hint="default"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color w:val="auto"/>
          <w:sz w:val="32"/>
          <w:szCs w:val="32"/>
          <w:highlight w:val="none"/>
          <w:lang w:val="en-US" w:eastAsia="zh-CN"/>
        </w:rPr>
        <w:t>：对死亡冒领、重复领取待遇及服刑人员领待等三类人员开展核查及基金追回工作，减少了社保基金管理性缺口财政兜底压力</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“社保公共服务能力建设经费”</w:t>
      </w:r>
      <w:r>
        <w:rPr>
          <w:rFonts w:hint="default" w:ascii="仿宋_GB2312" w:hAnsi="仿宋_GB2312" w:eastAsia="仿宋_GB2312" w:cs="仿宋_GB2312"/>
          <w:color w:val="auto"/>
          <w:sz w:val="32"/>
          <w:szCs w:val="32"/>
          <w:highlight w:val="none"/>
          <w:lang w:val="en-US" w:eastAsia="zh-CN"/>
        </w:rPr>
        <w:t>专项预算项目绩效自评得分为</w:t>
      </w:r>
      <w:r>
        <w:rPr>
          <w:rFonts w:hint="eastAsia" w:hAnsi="仿宋_GB2312" w:cs="仿宋_GB2312"/>
          <w:color w:val="auto"/>
          <w:sz w:val="32"/>
          <w:szCs w:val="32"/>
          <w:highlight w:val="none"/>
          <w:lang w:val="en-US" w:eastAsia="zh-CN"/>
        </w:rPr>
        <w:t>95</w:t>
      </w:r>
      <w:r>
        <w:rPr>
          <w:rFonts w:hint="default"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color w:val="auto"/>
          <w:sz w:val="32"/>
          <w:szCs w:val="32"/>
          <w:highlight w:val="none"/>
          <w:lang w:val="en-US" w:eastAsia="zh-CN"/>
        </w:rPr>
        <w:t>：通过项目实施保障社保工作的正常开展，为辖区内参保人员提供更优质服务的社会效益、可持续影响及经办人员的满意度均符合预期</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“老机保清理转移养老保险费”</w:t>
      </w:r>
      <w:r>
        <w:rPr>
          <w:rFonts w:hint="default" w:ascii="仿宋_GB2312" w:hAnsi="仿宋_GB2312" w:eastAsia="仿宋_GB2312" w:cs="仿宋_GB2312"/>
          <w:color w:val="auto"/>
          <w:sz w:val="32"/>
          <w:szCs w:val="32"/>
          <w:highlight w:val="none"/>
          <w:lang w:val="en-US" w:eastAsia="zh-CN"/>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default" w:ascii="仿宋_GB2312" w:hAnsi="仿宋_GB2312" w:eastAsia="仿宋_GB2312" w:cs="仿宋_GB2312"/>
          <w:color w:val="auto"/>
          <w:sz w:val="32"/>
          <w:szCs w:val="32"/>
          <w:highlight w:val="none"/>
          <w:lang w:val="en-US" w:eastAsia="zh-CN"/>
        </w:rPr>
        <w:t>分，绩效自评综述</w:t>
      </w:r>
      <w:r>
        <w:rPr>
          <w:rFonts w:hint="eastAsia" w:ascii="仿宋_GB2312" w:hAnsi="仿宋_GB2312" w:eastAsia="仿宋_GB2312" w:cs="仿宋_GB2312"/>
          <w:color w:val="auto"/>
          <w:sz w:val="32"/>
          <w:szCs w:val="32"/>
          <w:highlight w:val="none"/>
          <w:lang w:val="en-US" w:eastAsia="zh-CN"/>
        </w:rPr>
        <w:t>：弥补社保局养老保险试点遗留问题整改资金缺口，解决机保试点遗留问题</w:t>
      </w:r>
      <w:r>
        <w:rPr>
          <w:rFonts w:hint="default" w:ascii="仿宋_GB2312" w:hAnsi="仿宋_GB2312" w:eastAsia="仿宋_GB2312" w:cs="仿宋_GB2312"/>
          <w:color w:val="auto"/>
          <w:sz w:val="32"/>
          <w:szCs w:val="32"/>
          <w:highlight w:val="none"/>
          <w:lang w:val="en-US" w:eastAsia="zh-CN"/>
        </w:rPr>
        <w:t>。绩效自评报告详见附件。</w:t>
      </w:r>
      <w:r>
        <w:br w:type="page"/>
      </w:r>
    </w:p>
    <w:p>
      <w:pPr>
        <w:pStyle w:val="9"/>
      </w:pPr>
    </w:p>
    <w:p>
      <w:pPr>
        <w:numPr>
          <w:ilvl w:val="0"/>
          <w:numId w:val="3"/>
        </w:numPr>
        <w:spacing w:line="600" w:lineRule="exact"/>
        <w:ind w:firstLine="660" w:firstLineChars="150"/>
        <w:jc w:val="center"/>
        <w:outlineLvl w:val="0"/>
        <w:rPr>
          <w:rStyle w:val="31"/>
          <w:rFonts w:ascii="黑体" w:hAnsi="黑体" w:eastAsia="黑体"/>
          <w:b w:val="0"/>
        </w:rPr>
      </w:pPr>
      <w:bookmarkStart w:id="137" w:name="_Toc22806"/>
      <w:bookmarkStart w:id="138" w:name="_Toc26519_WPSOffice_Level1"/>
      <w:bookmarkStart w:id="139" w:name="_Toc32753"/>
      <w:bookmarkStart w:id="140" w:name="_Toc23994"/>
      <w:bookmarkStart w:id="141" w:name="_Toc16821_WPSOffice_Level1"/>
      <w:bookmarkStart w:id="142" w:name="_Toc18749"/>
      <w:r>
        <w:rPr>
          <w:rFonts w:hint="eastAsia" w:ascii="黑体" w:hAnsi="黑体" w:eastAsia="黑体"/>
          <w:color w:val="000000"/>
          <w:sz w:val="44"/>
          <w:szCs w:val="44"/>
        </w:rPr>
        <w:t>名</w:t>
      </w:r>
      <w:r>
        <w:rPr>
          <w:rStyle w:val="31"/>
          <w:rFonts w:hint="eastAsia" w:ascii="黑体" w:hAnsi="黑体" w:eastAsia="黑体"/>
          <w:b w:val="0"/>
        </w:rPr>
        <w:t>词解释</w:t>
      </w:r>
      <w:bookmarkEnd w:id="135"/>
      <w:bookmarkEnd w:id="136"/>
      <w:bookmarkEnd w:id="137"/>
      <w:bookmarkEnd w:id="138"/>
      <w:bookmarkEnd w:id="139"/>
      <w:bookmarkEnd w:id="140"/>
      <w:bookmarkEnd w:id="141"/>
      <w:bookmarkEnd w:id="142"/>
    </w:p>
    <w:p>
      <w:pPr>
        <w:spacing w:line="600" w:lineRule="exact"/>
        <w:jc w:val="left"/>
        <w:rPr>
          <w:rFonts w:ascii="宋体"/>
          <w:b/>
          <w:color w:val="000000"/>
          <w:sz w:val="44"/>
          <w:szCs w:val="44"/>
        </w:rPr>
      </w:pPr>
    </w:p>
    <w:p>
      <w:pPr>
        <w:pStyle w:val="29"/>
        <w:spacing w:line="560" w:lineRule="exact"/>
        <w:ind w:firstLine="640" w:firstLineChars="200"/>
        <w:outlineLvl w:val="1"/>
        <w:rPr>
          <w:rFonts w:hint="eastAsia" w:ascii="仿宋_GB2312" w:eastAsia="仿宋_GB2312"/>
          <w:color w:val="auto"/>
          <w:sz w:val="32"/>
          <w:szCs w:val="32"/>
          <w:highlight w:val="none"/>
        </w:rPr>
      </w:pPr>
      <w:bookmarkStart w:id="143" w:name="_Toc30506"/>
      <w:bookmarkStart w:id="144" w:name="_Toc24426"/>
      <w:bookmarkStart w:id="145" w:name="_Toc18739"/>
      <w:bookmarkStart w:id="146" w:name="_Toc7699"/>
      <w:bookmarkStart w:id="147" w:name="_Toc15377226"/>
      <w:r>
        <w:rPr>
          <w:rFonts w:hint="eastAsia" w:ascii="仿宋_GB2312" w:eastAsia="仿宋_GB2312"/>
          <w:color w:val="auto"/>
          <w:sz w:val="32"/>
          <w:szCs w:val="32"/>
          <w:highlight w:val="none"/>
        </w:rPr>
        <w:t>1.财政拨款收入：指单位从同级财政部门取得的财政预算资金。</w:t>
      </w:r>
      <w:bookmarkEnd w:id="143"/>
      <w:bookmarkEnd w:id="144"/>
      <w:bookmarkEnd w:id="145"/>
      <w:bookmarkEnd w:id="146"/>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.一般公共服务（类）人力资源事务（款）军队转业干部安置（项）: 指军队转业干部安置支出。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.一般公共服务（类）其他一般公共服务支出（款）其他一般公共服务支出（项）: 指城乡居民养老保险局用于手续费支出。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.社会保障和就业（类）人力资源和社会保障管理事务、行政（款）行政运行（项）: 指部门公务员、机关工勤</w:t>
      </w:r>
      <w:r>
        <w:rPr>
          <w:rFonts w:hint="eastAsia" w:ascii="仿宋_GB2312" w:eastAsia="仿宋_GB2312"/>
          <w:color w:val="auto"/>
          <w:sz w:val="32"/>
          <w:szCs w:val="32"/>
          <w:highlight w:val="none"/>
          <w:lang w:eastAsia="zh-CN"/>
        </w:rPr>
        <w:t>人员</w:t>
      </w:r>
      <w:r>
        <w:rPr>
          <w:rFonts w:hint="eastAsia" w:ascii="仿宋_GB2312" w:eastAsia="仿宋_GB2312"/>
          <w:color w:val="auto"/>
          <w:sz w:val="32"/>
          <w:szCs w:val="32"/>
          <w:highlight w:val="none"/>
        </w:rPr>
        <w:t>的基本支出。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.社会保障和就业（类）人力资源和社会保障管理事务、行政（款）机关服务运行（项）: 指部门对事业单位事业人员的基本支出。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.社会保障和就业（类）人力资源和社会保障管理事务、行政（款）劳动保障监察（项）: 指劳动保障监察事务的支出。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.社会保障和就业（类）人力资源和社会保障管理事务、行政（款）社会保险业务管理事务（项）: 指社会保险管理和基金监督方面的支出。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.社会保障和就业（类）人力资源和社会保障管理事务、行政（款）社会保险经办机构（项）: 指社会保险经办机构开展业务工作的支出。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.社会保障和就业（类）人力资源和社会保障管理事务、行政（款）公共就业服务和职业技能鉴定机构（项）:指公共就业服务和职业技能鉴定机构的支出。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.社会保障和就业（类）人力资源和社会保障管理事务、行政（款）其他人力资源和社会保障管理事务支出（项）: 指除上述项目以外其他用于人力资源和社会保障管理事务方面的支出。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.社会保障和就业（类）行政事业单位离退休（款）机关事业单位基本养老保险缴费支出（项）:指机关事业单位实施养老保险制度由单位缴纳的基本养老保险费的支出。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.社会保障和就业（类）行政事业单位离退休（款）机关事业单位职业年金缴费支出（项）: 指机关事业实施养老保险制度由单位实际缴纳的职业年金的支出。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hint="eastAsia" w:ascii="仿宋_GB2312" w:eastAsia="仿宋_GB2312"/>
          <w:color w:val="auto"/>
          <w:sz w:val="32"/>
          <w:szCs w:val="32"/>
          <w:highlight w:val="none"/>
        </w:rPr>
        <w:t>.社会保障和就业（类）就业补助（款）其他就业补助支出（项）: 指除上述项目以外按规定确定的其他用于促进就业补助支出。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hint="eastAsia" w:ascii="仿宋_GB2312" w:eastAsia="仿宋_GB2312"/>
          <w:color w:val="auto"/>
          <w:sz w:val="32"/>
          <w:szCs w:val="32"/>
          <w:highlight w:val="none"/>
        </w:rPr>
        <w:t>.社会保障和就业（类）其他社会保障和就业（款）其他社会保障和就业（项）: 指除上述项目外其他用于社会保障和就业方面的支出。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行政事业单位医疗（款）行政单位医疗（项）:指财政部门集中安排的行政单位基本医疗保险缴费经费，未参加医疗保险的行政单位的公费医疗经费，按国家规定享受离休人员、红军老战士待遇人员的医疗经费。</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16</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（类）行政事业单位医疗（款）事业单位医疗（项）: 指财政部门集中安排的事业单位基本医疗保险缴费经费，未参加医疗保险的事业单位的公费医疗经费，按国家规定享受离休人员待遇的医疗经费。</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（类）行政事业单位医疗（款）公务员医疗补助（项）: 指财政部门集中安排的公务员医疗补助经费。</w:t>
      </w:r>
    </w:p>
    <w:p>
      <w:pPr>
        <w:pStyle w:val="29"/>
        <w:spacing w:line="560" w:lineRule="exact"/>
        <w:ind w:firstLine="640" w:firstLineChars="200"/>
        <w:outlineLvl w:val="1"/>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18</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w:t>
      </w:r>
      <w:r>
        <w:rPr>
          <w:rFonts w:hint="eastAsia" w:ascii="仿宋_GB2312" w:eastAsia="仿宋_GB2312"/>
          <w:color w:val="auto"/>
          <w:sz w:val="32"/>
          <w:szCs w:val="32"/>
          <w:highlight w:val="none"/>
        </w:rPr>
        <w:t>（类）财政对基本医疗保险基金的补助（款）财政对城乡居民基本医疗保险基金的补助（项）:指财政对已将新型农村合作医疗基金和城镇居民基本医疗保险整合为城乡居民基本医疗保险基金的补助支出。</w:t>
      </w:r>
      <w:r>
        <w:rPr>
          <w:rFonts w:hint="eastAsia" w:ascii="仿宋_GB2312" w:eastAsia="仿宋_GB2312"/>
          <w:color w:val="auto"/>
          <w:sz w:val="32"/>
          <w:szCs w:val="32"/>
          <w:highlight w:val="none"/>
          <w:lang w:val="en-US" w:eastAsia="zh-CN"/>
        </w:rPr>
        <w:t xml:space="preserve">  </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hint="eastAsia" w:ascii="仿宋_GB2312" w:eastAsia="仿宋_GB2312"/>
          <w:color w:val="auto"/>
          <w:sz w:val="32"/>
          <w:szCs w:val="32"/>
          <w:highlight w:val="none"/>
        </w:rPr>
        <w:t>.住房保障（类）住房改革（款）住房公积金（项）: 指按照《住房公积金管理条例》的规定，由单位及其在职职工缴存的住房公积金。</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基本支出：指为保障机构正常运转、完成日常工作任务而发生的人员支出和公用支出。</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 xml:space="preserve">.项目支出：指在基本支出之外为完成特定行政任务和事业发展目标所发生的支出。 </w:t>
      </w:r>
    </w:p>
    <w:p>
      <w:pPr>
        <w:pStyle w:val="29"/>
        <w:spacing w:line="560" w:lineRule="exact"/>
        <w:ind w:firstLine="640" w:firstLineChars="200"/>
        <w:outlineLvl w:val="1"/>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outlineLvl w:val="1"/>
        <w:rPr>
          <w:color w:val="000000" w:themeColor="text1"/>
          <w14:textFill>
            <w14:solidFill>
              <w14:schemeClr w14:val="tx1"/>
            </w14:solidFill>
          </w14:textFill>
        </w:rPr>
      </w:pP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1"/>
          <w:rFonts w:hint="default" w:ascii="Times New Roman" w:hAnsi="Times New Roman" w:eastAsia="方正小标宋简体" w:cs="Times New Roman"/>
          <w:b w:val="0"/>
          <w:bCs w:val="0"/>
          <w:i w:val="0"/>
          <w:iCs w:val="0"/>
          <w:color w:val="auto"/>
          <w:highlight w:val="none"/>
          <w:lang w:eastAsia="zh-CN"/>
        </w:rPr>
      </w:pPr>
      <w:r>
        <w:rPr>
          <w:rFonts w:ascii="宋体"/>
          <w:b/>
          <w:color w:val="000000"/>
          <w:sz w:val="44"/>
          <w:szCs w:val="44"/>
        </w:rPr>
        <w:br w:type="page"/>
      </w:r>
      <w:bookmarkEnd w:id="147"/>
      <w:bookmarkStart w:id="148" w:name="_Toc28961"/>
      <w:bookmarkStart w:id="149" w:name="_Toc18260"/>
      <w:bookmarkStart w:id="150" w:name="_Toc15396614"/>
      <w:r>
        <w:rPr>
          <w:rFonts w:hint="default" w:ascii="Times New Roman" w:hAnsi="Times New Roman" w:eastAsia="方正小标宋简体" w:cs="Times New Roman"/>
          <w:b w:val="0"/>
          <w:bCs w:val="0"/>
          <w:i w:val="0"/>
          <w:iCs w:val="0"/>
          <w:color w:val="auto"/>
          <w:sz w:val="44"/>
          <w:szCs w:val="44"/>
          <w:highlight w:val="none"/>
        </w:rPr>
        <w:t>第</w:t>
      </w:r>
      <w:r>
        <w:rPr>
          <w:rStyle w:val="31"/>
          <w:rFonts w:hint="default" w:ascii="Times New Roman" w:hAnsi="Times New Roman" w:eastAsia="方正小标宋简体" w:cs="Times New Roman"/>
          <w:b w:val="0"/>
          <w:bCs w:val="0"/>
          <w:i w:val="0"/>
          <w:iCs w:val="0"/>
          <w:color w:val="auto"/>
          <w:highlight w:val="none"/>
        </w:rPr>
        <w:t>四部分 附件</w:t>
      </w:r>
      <w:bookmarkEnd w:id="148"/>
      <w:bookmarkEnd w:id="149"/>
      <w:bookmarkEnd w:id="150"/>
    </w:p>
    <w:p>
      <w:pPr>
        <w:keepNext w:val="0"/>
        <w:keepLines w:val="0"/>
        <w:pageBreakBefore w:val="0"/>
        <w:kinsoku/>
        <w:wordWrap/>
        <w:overflowPunct/>
        <w:topLinePunct w:val="0"/>
        <w:autoSpaceDE/>
        <w:autoSpaceDN/>
        <w:bidi w:val="0"/>
        <w:spacing w:line="572" w:lineRule="exact"/>
        <w:jc w:val="left"/>
        <w:textAlignment w:val="auto"/>
        <w:outlineLvl w:val="9"/>
        <w:rPr>
          <w:rFonts w:hint="default" w:ascii="Times New Roman" w:hAnsi="Times New Roman" w:eastAsia="黑体" w:cs="Times New Roman"/>
          <w:b w:val="0"/>
          <w:bCs w:val="0"/>
          <w:i w:val="0"/>
          <w:iCs w:val="0"/>
          <w:color w:val="FF0000"/>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黑体" w:cs="Times New Roman"/>
          <w:b w:val="0"/>
          <w:bCs w:val="0"/>
          <w:i w:val="0"/>
          <w:iCs w:val="0"/>
          <w:color w:val="auto"/>
          <w:sz w:val="44"/>
          <w:szCs w:val="44"/>
          <w:highlight w:val="none"/>
          <w:lang w:val="en-US" w:eastAsia="zh-CN"/>
        </w:rPr>
      </w:pPr>
      <w:bookmarkStart w:id="151" w:name="_Toc3699"/>
      <w:bookmarkStart w:id="152" w:name="_Toc23223"/>
      <w:r>
        <w:rPr>
          <w:rFonts w:hint="default" w:ascii="Times New Roman" w:hAnsi="Times New Roman" w:eastAsia="黑体" w:cs="Times New Roman"/>
          <w:b w:val="0"/>
          <w:bCs w:val="0"/>
          <w:i w:val="0"/>
          <w:iCs w:val="0"/>
          <w:color w:val="auto"/>
          <w:sz w:val="32"/>
          <w:szCs w:val="32"/>
          <w:highlight w:val="none"/>
        </w:rPr>
        <w:t>附件</w:t>
      </w:r>
      <w:r>
        <w:rPr>
          <w:rFonts w:hint="default" w:ascii="Times New Roman" w:hAnsi="Times New Roman" w:eastAsia="黑体" w:cs="Times New Roman"/>
          <w:b w:val="0"/>
          <w:bCs w:val="0"/>
          <w:i w:val="0"/>
          <w:iCs w:val="0"/>
          <w:color w:val="auto"/>
          <w:sz w:val="32"/>
          <w:szCs w:val="32"/>
          <w:highlight w:val="none"/>
          <w:lang w:val="en-US" w:eastAsia="zh-CN"/>
        </w:rPr>
        <w:t>1</w:t>
      </w:r>
      <w:bookmarkEnd w:id="151"/>
      <w:bookmarkEnd w:id="152"/>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val="0"/>
          <w:i w:val="0"/>
          <w:iCs w:val="0"/>
          <w:sz w:val="44"/>
          <w:szCs w:val="44"/>
          <w:highlight w:val="none"/>
          <w:shd w:val="clear" w:color="auto" w:fill="FFFFFF"/>
        </w:rPr>
      </w:pPr>
      <w:r>
        <w:rPr>
          <w:rFonts w:hint="default" w:ascii="Times New Roman" w:hAnsi="Times New Roman" w:eastAsia="方正小标宋简体" w:cs="Times New Roman"/>
          <w:b w:val="0"/>
          <w:bCs w:val="0"/>
          <w:i w:val="0"/>
          <w:iCs w:val="0"/>
          <w:sz w:val="44"/>
          <w:szCs w:val="44"/>
          <w:highlight w:val="none"/>
          <w:shd w:val="clear" w:color="auto" w:fill="FFFFFF"/>
        </w:rPr>
        <w:t>遂宁市安居区社会保险事业管理局</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val="0"/>
          <w:i w:val="0"/>
          <w:iCs w:val="0"/>
          <w:sz w:val="44"/>
          <w:szCs w:val="44"/>
          <w:highlight w:val="none"/>
          <w:shd w:val="clear" w:color="auto" w:fill="FFFFFF"/>
        </w:rPr>
      </w:pPr>
      <w:r>
        <w:rPr>
          <w:rFonts w:hint="default" w:ascii="Times New Roman" w:hAnsi="Times New Roman" w:eastAsia="方正小标宋简体" w:cs="Times New Roman"/>
          <w:b w:val="0"/>
          <w:bCs w:val="0"/>
          <w:i w:val="0"/>
          <w:iCs w:val="0"/>
          <w:sz w:val="44"/>
          <w:szCs w:val="44"/>
          <w:highlight w:val="none"/>
          <w:shd w:val="clear" w:color="auto" w:fill="FFFFFF"/>
        </w:rPr>
        <w:t>部门</w:t>
      </w:r>
      <w:r>
        <w:rPr>
          <w:rFonts w:hint="default" w:ascii="Times New Roman" w:hAnsi="Times New Roman" w:eastAsia="方正小标宋简体" w:cs="Times New Roman"/>
          <w:b w:val="0"/>
          <w:bCs w:val="0"/>
          <w:i w:val="0"/>
          <w:iCs w:val="0"/>
          <w:sz w:val="44"/>
          <w:szCs w:val="44"/>
          <w:highlight w:val="none"/>
          <w:shd w:val="clear" w:color="auto" w:fill="FFFFFF"/>
          <w:lang w:eastAsia="zh-CN"/>
        </w:rPr>
        <w:t>预算</w:t>
      </w:r>
      <w:r>
        <w:rPr>
          <w:rFonts w:hint="default" w:ascii="Times New Roman" w:hAnsi="Times New Roman" w:eastAsia="方正小标宋简体" w:cs="Times New Roman"/>
          <w:b w:val="0"/>
          <w:bCs w:val="0"/>
          <w:i w:val="0"/>
          <w:iCs w:val="0"/>
          <w:sz w:val="44"/>
          <w:szCs w:val="44"/>
          <w:highlight w:val="none"/>
          <w:shd w:val="clear" w:color="auto" w:fill="FFFFFF"/>
        </w:rPr>
        <w:t>绩效</w:t>
      </w:r>
      <w:r>
        <w:rPr>
          <w:rFonts w:hint="default" w:ascii="Times New Roman" w:hAnsi="Times New Roman" w:eastAsia="方正小标宋简体" w:cs="Times New Roman"/>
          <w:b w:val="0"/>
          <w:bCs w:val="0"/>
          <w:i w:val="0"/>
          <w:iCs w:val="0"/>
          <w:sz w:val="44"/>
          <w:szCs w:val="44"/>
          <w:highlight w:val="none"/>
          <w:shd w:val="clear" w:color="auto" w:fill="FFFFFF"/>
          <w:lang w:eastAsia="zh-CN"/>
        </w:rPr>
        <w:t>评价</w:t>
      </w:r>
      <w:r>
        <w:rPr>
          <w:rFonts w:hint="default" w:ascii="Times New Roman" w:hAnsi="Times New Roman" w:eastAsia="方正小标宋简体" w:cs="Times New Roman"/>
          <w:b w:val="0"/>
          <w:bCs w:val="0"/>
          <w:i w:val="0"/>
          <w:iCs w:val="0"/>
          <w:sz w:val="44"/>
          <w:szCs w:val="44"/>
          <w:highlight w:val="none"/>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b w:val="0"/>
          <w:bCs w:val="0"/>
          <w:i w:val="0"/>
          <w:iCs w:val="0"/>
          <w:color w:val="000000"/>
          <w:kern w:val="0"/>
          <w:sz w:val="24"/>
          <w:szCs w:val="32"/>
          <w:highlight w:val="none"/>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一、部门（单位）基本情况</w:t>
      </w:r>
    </w:p>
    <w:p>
      <w:pPr>
        <w:pStyle w:val="9"/>
        <w:adjustRightInd w:val="0"/>
        <w:snapToGrid w:val="0"/>
        <w:spacing w:beforeLines="0" w:line="560" w:lineRule="exact"/>
        <w:ind w:firstLine="640" w:firstLineChars="200"/>
        <w:rPr>
          <w:rFonts w:hint="default" w:ascii="仿宋_GB2312" w:hAnsi="Times New Roman" w:eastAsia="仿宋_GB2312" w:cs="Times New Roman"/>
          <w:kern w:val="2"/>
          <w:sz w:val="32"/>
          <w:szCs w:val="32"/>
          <w:lang w:val="en-US" w:eastAsia="zh-CN" w:bidi="ar-SA"/>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（一）机构组成。</w:t>
      </w:r>
      <w:r>
        <w:rPr>
          <w:rFonts w:hint="eastAsia" w:ascii="仿宋_GB2312" w:hAnsi="Times New Roman" w:eastAsia="仿宋_GB2312" w:cs="Times New Roman"/>
          <w:kern w:val="2"/>
          <w:sz w:val="32"/>
          <w:szCs w:val="32"/>
          <w:lang w:val="en-US" w:eastAsia="zh-CN" w:bidi="ar-SA"/>
        </w:rPr>
        <w:t>我</w:t>
      </w:r>
      <w:r>
        <w:rPr>
          <w:rFonts w:hint="eastAsia" w:ascii="仿宋_GB2312" w:hAnsi="Times New Roman" w:eastAsia="仿宋_GB2312" w:cs="Times New Roman"/>
          <w:kern w:val="2"/>
          <w:sz w:val="32"/>
          <w:szCs w:val="32"/>
          <w:lang w:val="en-US" w:eastAsia="zh-CN" w:bidi="ar-SA"/>
        </w:rPr>
        <w:t>局与区机关事业单位社会保险局、区失地农民生活补助保障管理中心合署办公，为区人社局下属二级局。</w:t>
      </w:r>
    </w:p>
    <w:p>
      <w:pPr>
        <w:ind w:firstLine="736" w:firstLineChars="230"/>
        <w:rPr>
          <w:rFonts w:hint="eastAsia" w:ascii="Times New Roman" w:hAnsi="Times New Roman" w:eastAsia="楷体_GB2312" w:cs="Times New Roman"/>
          <w:color w:val="000000"/>
          <w:sz w:val="32"/>
          <w:szCs w:val="32"/>
          <w:shd w:val="clear" w:fill="FFFFFF"/>
          <w:lang w:val="zh-CN" w:eastAsia="zh-CN" w:bidi="ar"/>
        </w:rPr>
      </w:pPr>
      <w:r>
        <w:rPr>
          <w:rFonts w:hint="eastAsia" w:ascii="Times New Roman" w:hAnsi="Times New Roman" w:eastAsia="楷体_GB2312" w:cs="Times New Roman"/>
          <w:color w:val="000000"/>
          <w:sz w:val="32"/>
          <w:szCs w:val="32"/>
          <w:shd w:val="clear" w:fill="FFFFFF"/>
          <w:lang w:val="zh-CN" w:eastAsia="zh-CN" w:bidi="ar"/>
        </w:rPr>
        <w:t>（二）机构职能</w:t>
      </w:r>
    </w:p>
    <w:p>
      <w:pPr>
        <w:ind w:firstLine="736" w:firstLineChars="23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1、组织《</w:t>
      </w:r>
      <w:r>
        <w:rPr>
          <w:rFonts w:hint="eastAsia" w:ascii="仿宋_GB2312" w:eastAsia="仿宋_GB2312" w:cs="Times New Roman"/>
          <w:kern w:val="2"/>
          <w:sz w:val="32"/>
          <w:szCs w:val="32"/>
          <w:lang w:val="en-US" w:eastAsia="zh-CN" w:bidi="ar-SA"/>
        </w:rPr>
        <w:t>中华人民共和国</w:t>
      </w:r>
      <w:r>
        <w:rPr>
          <w:rFonts w:hint="eastAsia" w:ascii="仿宋_GB2312" w:hAnsi="Times New Roman" w:eastAsia="仿宋_GB2312" w:cs="Times New Roman"/>
          <w:kern w:val="2"/>
          <w:sz w:val="32"/>
          <w:szCs w:val="32"/>
          <w:lang w:val="en-US" w:eastAsia="zh-CN" w:bidi="ar-SA"/>
        </w:rPr>
        <w:t>社会保险法》《社会保险费征缴暂行条例》及国发2号《国务院关于机关事业单位工作人员养老保险制度改革的决定》和《城乡养老保险制度衔接暂行办法》《四川省被征地失地农民养老保障实施办法》等在全区的宣传和贯彻实施。</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2、负责单位社保登记工作，企业、机关事业单位以及城乡居民参保人员的参保登记及权益记录查询工作。</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3、推动全民参保计划的实施，负责全区养老保险参保扩面工作，努力实现社会养老保险全覆盖。</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4、负责全区企业职工基本养老保险、工伤保险、失业保险费的征缴工作；负责全区机关事业单位养老保险费、职业年金的征缴工作；负责全区城乡居民基本养老保险费的征缴工作。</w:t>
      </w:r>
    </w:p>
    <w:p>
      <w:pPr>
        <w:ind w:firstLine="736" w:firstLineChars="23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5、负责全区企业职工基本养老保险、工伤保险、机关事业单位养老保险、职业年金、城乡居民基本养老保险待遇的计算、核定、调增及发放工作。</w:t>
      </w:r>
    </w:p>
    <w:p>
      <w:pPr>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6、加强对单位离退休人员的管理，研究制定开展社区服务的措施及办法，组织开展退管服务活动，丰富离退休人员的生活。</w:t>
      </w:r>
    </w:p>
    <w:p>
      <w:pPr>
        <w:ind w:firstLine="217" w:firstLineChars="68"/>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 xml:space="preserve">   7、负责社会保险基金的管理工作，负责对单位参保缴费及社会保险待遇支付的稽核工作，维护参保人员的合法权益，确保基金安全。</w:t>
      </w:r>
    </w:p>
    <w:p>
      <w:pPr>
        <w:ind w:firstLine="736" w:firstLineChars="23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8、负责机关事业单位、企业职工及城乡居民社会保险关系的转移接续工作。</w:t>
      </w:r>
    </w:p>
    <w:p>
      <w:pPr>
        <w:ind w:firstLine="736" w:firstLineChars="23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9、负责被征地失地农民养老保障经办工作，负责中心内失地农民基本生活补助保障费的筹集、管理和发放工作。</w:t>
      </w:r>
    </w:p>
    <w:p>
      <w:pPr>
        <w:ind w:firstLine="736" w:firstLineChars="23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10、完成区委、区政府交办的其它工作。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eastAsia="仿宋_GB2312"/>
          <w:color w:val="000000"/>
          <w:sz w:val="32"/>
          <w:szCs w:val="32"/>
          <w:lang w:eastAsia="zh-CN"/>
        </w:rPr>
      </w:pPr>
      <w:r>
        <w:rPr>
          <w:rFonts w:ascii="仿宋" w:hAnsi="仿宋" w:eastAsia="仿宋" w:cs="仿宋_GB2312"/>
          <w:b/>
          <w:bCs/>
          <w:sz w:val="32"/>
          <w:szCs w:val="32"/>
        </w:rPr>
        <w:t>（三）人员概况</w:t>
      </w:r>
      <w:r>
        <w:rPr>
          <w:rFonts w:hint="eastAsia" w:ascii="仿宋" w:hAnsi="仿宋" w:eastAsia="仿宋" w:cs="仿宋_GB2312"/>
          <w:sz w:val="32"/>
          <w:szCs w:val="32"/>
        </w:rPr>
        <w:t>：</w:t>
      </w:r>
      <w:r>
        <w:rPr>
          <w:rFonts w:hint="eastAsia" w:ascii="仿宋_GB2312" w:hAnsi="Times New Roman" w:eastAsia="仿宋_GB2312" w:cs="Times New Roman"/>
          <w:kern w:val="2"/>
          <w:sz w:val="32"/>
          <w:szCs w:val="32"/>
          <w:lang w:val="en-US" w:eastAsia="zh-CN" w:bidi="ar-SA"/>
        </w:rPr>
        <w:t>区社保局2023年编制人数，其中行政编制10人、事业人员编制17人，年末实有人数27人。其中：行政人员10人，事业人员17人</w:t>
      </w:r>
      <w:r>
        <w:rPr>
          <w:rFonts w:hint="eastAsia" w:eastAsia="仿宋_GB2312"/>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二、部门资金收支情况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（一）收入情况。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b w:val="0"/>
          <w:bCs w:val="0"/>
          <w:i w:val="0"/>
          <w:iCs w:val="0"/>
          <w:sz w:val="32"/>
          <w:szCs w:val="32"/>
          <w:lang w:val="en-US" w:eastAsia="zh-CN"/>
        </w:rPr>
      </w:pPr>
      <w:r>
        <w:rPr>
          <w:rFonts w:hint="eastAsia" w:ascii="Times New Roman" w:hAnsi="Times New Roman" w:eastAsia="仿宋_GB2312" w:cs="Times New Roman"/>
          <w:b w:val="0"/>
          <w:bCs w:val="0"/>
          <w:i w:val="0"/>
          <w:iCs w:val="0"/>
          <w:sz w:val="32"/>
          <w:szCs w:val="32"/>
          <w:lang w:val="en-US" w:eastAsia="zh-CN"/>
        </w:rPr>
        <w:t>区社保局</w:t>
      </w:r>
      <w:r>
        <w:rPr>
          <w:rFonts w:hint="default" w:ascii="Times New Roman" w:hAnsi="Times New Roman" w:eastAsia="仿宋_GB2312" w:cs="Times New Roman"/>
          <w:b w:val="0"/>
          <w:bCs w:val="0"/>
          <w:i w:val="0"/>
          <w:iCs w:val="0"/>
          <w:sz w:val="32"/>
          <w:szCs w:val="32"/>
          <w:lang w:val="en-US" w:eastAsia="zh-CN"/>
        </w:rPr>
        <w:t>2023年年初预算收入</w:t>
      </w:r>
      <w:r>
        <w:rPr>
          <w:rFonts w:hint="eastAsia" w:ascii="Times New Roman" w:hAnsi="Times New Roman" w:eastAsia="仿宋_GB2312" w:cs="Times New Roman"/>
          <w:b w:val="0"/>
          <w:bCs w:val="0"/>
          <w:i w:val="0"/>
          <w:iCs w:val="0"/>
          <w:sz w:val="32"/>
          <w:szCs w:val="32"/>
          <w:lang w:val="en-US" w:eastAsia="zh-CN"/>
        </w:rPr>
        <w:t>2570.88万元</w:t>
      </w:r>
      <w:r>
        <w:rPr>
          <w:rFonts w:hint="default" w:ascii="Times New Roman" w:hAnsi="Times New Roman" w:eastAsia="仿宋_GB2312" w:cs="Times New Roman"/>
          <w:b w:val="0"/>
          <w:bCs w:val="0"/>
          <w:i w:val="0"/>
          <w:iCs w:val="0"/>
          <w:sz w:val="32"/>
          <w:szCs w:val="32"/>
          <w:lang w:val="en-US" w:eastAsia="zh-CN"/>
        </w:rPr>
        <w:t>、决算报表收入</w:t>
      </w:r>
      <w:r>
        <w:rPr>
          <w:rFonts w:hint="eastAsia" w:ascii="Times New Roman" w:hAnsi="Times New Roman" w:eastAsia="仿宋_GB2312" w:cs="Times New Roman"/>
          <w:b w:val="0"/>
          <w:bCs w:val="0"/>
          <w:i w:val="0"/>
          <w:iCs w:val="0"/>
          <w:sz w:val="32"/>
          <w:szCs w:val="32"/>
          <w:lang w:val="en-US" w:eastAsia="zh-CN"/>
        </w:rPr>
        <w:t>1,727.58万元</w:t>
      </w:r>
      <w:r>
        <w:rPr>
          <w:rFonts w:hint="eastAsia" w:eastAsia="仿宋_GB2312" w:cs="Times New Roman"/>
          <w:b w:val="0"/>
          <w:bCs w:val="0"/>
          <w:i w:val="0"/>
          <w:iCs w:val="0"/>
          <w:sz w:val="32"/>
          <w:szCs w:val="32"/>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640" w:firstLineChars="200"/>
        <w:contextualSpacing/>
        <w:jc w:val="left"/>
        <w:textAlignment w:val="auto"/>
        <w:outlineLvl w:val="9"/>
        <w:rPr>
          <w:rFonts w:hint="default" w:ascii="Times New Roman" w:hAnsi="Times New Roman" w:cs="Times New Roman"/>
          <w:b w:val="0"/>
          <w:bCs w:val="0"/>
          <w:i w:val="0"/>
          <w:iCs w:val="0"/>
          <w:szCs w:val="32"/>
          <w:lang w:val="zh-CN" w:eastAsia="zh-CN"/>
        </w:rPr>
      </w:pPr>
      <w:r>
        <w:rPr>
          <w:rFonts w:hint="eastAsia" w:ascii="Times New Roman" w:hAnsi="Times New Roman" w:eastAsia="仿宋_GB2312" w:cs="Times New Roman"/>
          <w:b w:val="0"/>
          <w:bCs w:val="0"/>
          <w:i w:val="0"/>
          <w:iCs w:val="0"/>
          <w:sz w:val="32"/>
          <w:szCs w:val="32"/>
          <w:lang w:val="en-US" w:eastAsia="zh-CN"/>
        </w:rPr>
        <w:t>区社保局</w:t>
      </w:r>
      <w:r>
        <w:rPr>
          <w:rFonts w:hint="default" w:ascii="Times New Roman" w:hAnsi="Times New Roman" w:eastAsia="仿宋_GB2312" w:cs="Times New Roman"/>
          <w:b w:val="0"/>
          <w:bCs w:val="0"/>
          <w:i w:val="0"/>
          <w:iCs w:val="0"/>
          <w:sz w:val="32"/>
          <w:szCs w:val="32"/>
          <w:lang w:val="en-US" w:eastAsia="zh-CN"/>
        </w:rPr>
        <w:t>2023年年初预算</w:t>
      </w:r>
      <w:r>
        <w:rPr>
          <w:rFonts w:hint="eastAsia" w:ascii="Times New Roman" w:hAnsi="Times New Roman" w:eastAsia="仿宋_GB2312" w:cs="Times New Roman"/>
          <w:b w:val="0"/>
          <w:bCs w:val="0"/>
          <w:i w:val="0"/>
          <w:iCs w:val="0"/>
          <w:sz w:val="32"/>
          <w:szCs w:val="32"/>
          <w:lang w:val="en-US" w:eastAsia="zh-CN"/>
        </w:rPr>
        <w:t>支出2570.88万元</w:t>
      </w:r>
      <w:r>
        <w:rPr>
          <w:rFonts w:hint="default" w:ascii="Times New Roman" w:hAnsi="Times New Roman" w:eastAsia="仿宋_GB2312" w:cs="Times New Roman"/>
          <w:b w:val="0"/>
          <w:bCs w:val="0"/>
          <w:i w:val="0"/>
          <w:iCs w:val="0"/>
          <w:sz w:val="32"/>
          <w:szCs w:val="32"/>
          <w:lang w:val="en-US" w:eastAsia="zh-CN"/>
        </w:rPr>
        <w:t>、决算报表</w:t>
      </w:r>
      <w:r>
        <w:rPr>
          <w:rFonts w:hint="eastAsia" w:ascii="Times New Roman" w:hAnsi="Times New Roman" w:eastAsia="仿宋_GB2312" w:cs="Times New Roman"/>
          <w:b w:val="0"/>
          <w:bCs w:val="0"/>
          <w:i w:val="0"/>
          <w:iCs w:val="0"/>
          <w:sz w:val="32"/>
          <w:szCs w:val="32"/>
          <w:lang w:val="en-US" w:eastAsia="zh-CN"/>
        </w:rPr>
        <w:t>支出1,727.58万元</w:t>
      </w:r>
      <w:r>
        <w:rPr>
          <w:rFonts w:hint="eastAsia" w:eastAsia="仿宋_GB2312" w:cs="Times New Roman"/>
          <w:b w:val="0"/>
          <w:bCs w:val="0"/>
          <w:i w:val="0"/>
          <w:iCs w:val="0"/>
          <w:sz w:val="32"/>
          <w:szCs w:val="32"/>
          <w:lang w:val="en-US" w:eastAsia="zh-CN"/>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结余分配和结转结余情况</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Chars="200"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Cs w:val="32"/>
          <w:highlight w:val="none"/>
          <w:shd w:val="clear" w:color="auto" w:fill="FFFFFF"/>
          <w:lang w:val="zh-CN" w:eastAsia="zh-CN"/>
        </w:rPr>
      </w:pPr>
      <w:r>
        <w:rPr>
          <w:rFonts w:hint="eastAsia" w:ascii="Times New Roman" w:hAnsi="Times New Roman" w:eastAsia="仿宋_GB2312" w:cs="Times New Roman"/>
          <w:b w:val="0"/>
          <w:bCs w:val="0"/>
          <w:i w:val="0"/>
          <w:iCs w:val="0"/>
          <w:sz w:val="32"/>
          <w:szCs w:val="32"/>
          <w:lang w:val="en-US" w:eastAsia="zh-CN"/>
        </w:rPr>
        <w:t>区社保局</w:t>
      </w:r>
      <w:r>
        <w:rPr>
          <w:rFonts w:hint="default" w:ascii="Times New Roman" w:hAnsi="Times New Roman" w:eastAsia="仿宋_GB2312" w:cs="Times New Roman"/>
          <w:b w:val="0"/>
          <w:bCs w:val="0"/>
          <w:i w:val="0"/>
          <w:iCs w:val="0"/>
          <w:sz w:val="32"/>
          <w:szCs w:val="32"/>
          <w:lang w:val="en-US" w:eastAsia="zh-CN"/>
        </w:rPr>
        <w:t>2023年决算报表</w:t>
      </w:r>
      <w:r>
        <w:rPr>
          <w:rFonts w:hint="eastAsia" w:ascii="Times New Roman" w:hAnsi="Times New Roman" w:eastAsia="仿宋_GB2312" w:cs="Times New Roman"/>
          <w:b w:val="0"/>
          <w:bCs w:val="0"/>
          <w:i w:val="0"/>
          <w:iCs w:val="0"/>
          <w:sz w:val="32"/>
          <w:szCs w:val="32"/>
          <w:lang w:val="en-US" w:eastAsia="zh-CN"/>
        </w:rPr>
        <w:t>无</w:t>
      </w:r>
      <w:r>
        <w:rPr>
          <w:rFonts w:hint="default" w:ascii="Times New Roman" w:hAnsi="Times New Roman" w:eastAsia="仿宋_GB2312" w:cs="Times New Roman"/>
          <w:b w:val="0"/>
          <w:bCs w:val="0"/>
          <w:i w:val="0"/>
          <w:iCs w:val="0"/>
          <w:sz w:val="32"/>
          <w:szCs w:val="32"/>
          <w:lang w:val="en-US" w:eastAsia="zh-CN"/>
        </w:rPr>
        <w:t>结转结余情况。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三、部门预算绩效分析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b w:val="0"/>
          <w:bCs w:val="0"/>
          <w:i w:val="0"/>
          <w:iCs w:val="0"/>
          <w:color w:val="000000"/>
          <w:kern w:val="0"/>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（一）部门预算总体绩效分析。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1.</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履职效能。</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多层次社会保障体系健全有力有为</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zh-CN" w:eastAsia="zh-CN"/>
        </w:rPr>
        <w:t>，落实城乡养老保险关系转移接续政策；全民参保扩面走深走实，多次下乡宣传社保基金知识，提升群众参保意识，为符合条件的困难人员代缴城乡居民基本养老保险；筑牢筑稳基金安全防护墙，对死亡冒领、重复领取待遇及服刑人员领待等三类人员开展核查及基金追回工作，减少了社保基金管理性缺口财政兜底压力</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2.</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预算管理</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。社保局及时组织财务人员进行预决算的编制，对2023年度相应用款进行及时清理和处理，做到账账相符、账实相符、账证相符</w:t>
      </w:r>
      <w:r>
        <w:rPr>
          <w:rFonts w:hint="eastAsia" w:eastAsia="仿宋_GB2312" w:cs="Times New Roman"/>
          <w:b w:val="0"/>
          <w:bCs w:val="0"/>
          <w:i w:val="0"/>
          <w:iCs w:val="0"/>
          <w:color w:val="000000"/>
          <w:kern w:val="0"/>
          <w:sz w:val="32"/>
          <w:szCs w:val="32"/>
          <w:highlight w:val="none"/>
          <w:shd w:val="clear" w:color="auto" w:fill="FFFFFF"/>
          <w:lang w:val="zh-CN" w:eastAsia="zh-CN"/>
        </w:rPr>
        <w:t>，</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按先有预算再有支出的原则，及时处理相关事务；对绩效目标进行季度梳理和年度分析，及时上报相关报表；对专项预算提前细化，分科目上报，做到收支平衡</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zh-CN" w:eastAsia="zh-CN"/>
        </w:rPr>
        <w:t>；</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社保局严守区级部门预算编制通知的时间节点，按时高质量完成基础库、项目库报送工作。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财务管理。</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202</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en-US" w:eastAsia="zh-CN"/>
        </w:rPr>
        <w:t>3</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年我局财务工作在区财政局的指导下，严格按照区财政局相关文件安排财务开支，做到严格把关、落实制度、程序规范</w:t>
      </w:r>
      <w:r>
        <w:rPr>
          <w:rFonts w:hint="eastAsia" w:ascii="Times New Roman" w:hAnsi="Times New Roman" w:eastAsia="仿宋_GB2312" w:cs="Times New Roman"/>
          <w:b w:val="0"/>
          <w:bCs w:val="0"/>
          <w:i w:val="0"/>
          <w:iCs w:val="0"/>
          <w:color w:val="000000"/>
          <w:kern w:val="0"/>
          <w:sz w:val="32"/>
          <w:szCs w:val="32"/>
          <w:highlight w:val="none"/>
          <w:shd w:val="clear" w:color="auto" w:fill="FFFFFF"/>
          <w:lang w:val="zh-CN" w:eastAsia="zh-CN"/>
        </w:rPr>
        <w:t>。</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一是强化机关内部管理。严格财务支出审批手续，确保财务支出真实合法。二是严格预算管理。根据年度工作计划，细化预算项目、合理调配资金，提高资金使用效益。三是加强制度建设，用制度管人管事。结合工作实际进一步完善修订了本单位《财务管理制度》，为财务管理的制度化、科学化和规范化提供有力保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4.</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资产管理。</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我局《财务管理制度》中明确了局机关资产范围以及相关管理制度，我局严格按照该制度统一建账、核算，负责资金管理，控制全部资产，做好实物登记、实物管理，指定专人负责计划采购、配备供应、妥善保管、维修养护、清查盘点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color w:val="000000"/>
          <w:kern w:val="0"/>
          <w:sz w:val="32"/>
          <w:szCs w:val="32"/>
          <w:highlight w:val="none"/>
          <w:shd w:val="clear" w:color="auto" w:fill="FFFFFF"/>
          <w:lang w:val="en-US" w:eastAsia="zh-CN"/>
        </w:rPr>
        <w:t>5.</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rPr>
        <w:t>采购管理。</w:t>
      </w:r>
      <w:r>
        <w:rPr>
          <w:rFonts w:hint="default" w:ascii="Times New Roman" w:hAnsi="Times New Roman" w:eastAsia="仿宋_GB2312" w:cs="Times New Roman"/>
          <w:b w:val="0"/>
          <w:bCs w:val="0"/>
          <w:i w:val="0"/>
          <w:iCs w:val="0"/>
          <w:color w:val="000000"/>
          <w:kern w:val="0"/>
          <w:sz w:val="32"/>
          <w:szCs w:val="32"/>
          <w:highlight w:val="none"/>
          <w:shd w:val="clear" w:color="auto" w:fill="FFFFFF"/>
          <w:lang w:val="zh-CN" w:eastAsia="zh-CN"/>
        </w:rPr>
        <w:t>为规范政府采购管理，促进政府职能转变和经济社会发展，我局严格按照《中华人民共和国政府采购法》、《中华人民共和国政府采购法实施条例》和《中华人民共和国预算法》等法律、法规，结合本单位工作实际，实施采购。每一项采购行为都严格规程，坚持原则，依法办事，实行阳光操作，每项采购业务均做到程序公开。</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highlight w:val="none"/>
          <w:lang w:val="en-US"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（二）部门预算项目绩效分析。</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highlight w:val="none"/>
          <w:lang w:val="en-US" w:eastAsia="zh-CN"/>
        </w:rPr>
        <w:t>常年项目绩效分析。</w:t>
      </w:r>
      <w:r>
        <w:rPr>
          <w:rFonts w:hint="default" w:ascii="Times New Roman" w:hAnsi="Times New Roman" w:eastAsia="仿宋_GB2312" w:cs="Times New Roman"/>
          <w:b w:val="0"/>
          <w:bCs w:val="0"/>
          <w:i w:val="0"/>
          <w:iCs w:val="0"/>
          <w:sz w:val="32"/>
          <w:szCs w:val="32"/>
          <w:highlight w:val="none"/>
          <w:lang w:val="zh-CN" w:eastAsia="zh-CN"/>
        </w:rPr>
        <w:t>该类项目总数</w:t>
      </w:r>
      <w:r>
        <w:rPr>
          <w:rFonts w:hint="eastAsia" w:ascii="Times New Roman" w:hAnsi="Times New Roman" w:eastAsia="仿宋_GB2312" w:cs="Times New Roman"/>
          <w:b w:val="0"/>
          <w:bCs w:val="0"/>
          <w:i w:val="0"/>
          <w:iCs w:val="0"/>
          <w:sz w:val="32"/>
          <w:szCs w:val="32"/>
          <w:highlight w:val="none"/>
          <w:lang w:val="en-US" w:eastAsia="zh-CN"/>
        </w:rPr>
        <w:t>5</w:t>
      </w:r>
      <w:r>
        <w:rPr>
          <w:rFonts w:hint="default" w:ascii="Times New Roman" w:hAnsi="Times New Roman" w:eastAsia="仿宋_GB2312" w:cs="Times New Roman"/>
          <w:b w:val="0"/>
          <w:bCs w:val="0"/>
          <w:i w:val="0"/>
          <w:iCs w:val="0"/>
          <w:sz w:val="32"/>
          <w:szCs w:val="32"/>
          <w:highlight w:val="none"/>
          <w:lang w:val="zh-CN" w:eastAsia="zh-CN"/>
        </w:rPr>
        <w:t>个，涉及预算总金额</w:t>
      </w:r>
      <w:r>
        <w:rPr>
          <w:rFonts w:hint="default" w:ascii="Times New Roman" w:hAnsi="Times New Roman" w:eastAsia="仿宋_GB2312" w:cs="Times New Roman"/>
          <w:b w:val="0"/>
          <w:bCs w:val="0"/>
          <w:i w:val="0"/>
          <w:iCs w:val="0"/>
          <w:sz w:val="32"/>
          <w:szCs w:val="32"/>
          <w:highlight w:val="none"/>
          <w:lang w:val="en-US" w:eastAsia="zh-CN"/>
        </w:rPr>
        <w:t xml:space="preserve"> 168.66</w:t>
      </w:r>
      <w:r>
        <w:rPr>
          <w:rFonts w:hint="default" w:ascii="Times New Roman" w:hAnsi="Times New Roman" w:eastAsia="仿宋_GB2312" w:cs="Times New Roman"/>
          <w:b w:val="0"/>
          <w:bCs w:val="0"/>
          <w:i w:val="0"/>
          <w:iCs w:val="0"/>
          <w:sz w:val="32"/>
          <w:szCs w:val="32"/>
          <w:highlight w:val="none"/>
          <w:lang w:val="zh-CN" w:eastAsia="zh-CN"/>
        </w:rPr>
        <w:t>万元，1—1</w:t>
      </w:r>
      <w:r>
        <w:rPr>
          <w:rFonts w:hint="default" w:ascii="Times New Roman" w:hAnsi="Times New Roman" w:eastAsia="仿宋_GB2312" w:cs="Times New Roman"/>
          <w:b w:val="0"/>
          <w:bCs w:val="0"/>
          <w:i w:val="0"/>
          <w:iCs w:val="0"/>
          <w:sz w:val="32"/>
          <w:szCs w:val="32"/>
          <w:highlight w:val="none"/>
          <w:lang w:val="en-US" w:eastAsia="zh-CN"/>
        </w:rPr>
        <w:t>2</w:t>
      </w:r>
      <w:r>
        <w:rPr>
          <w:rFonts w:hint="default" w:ascii="Times New Roman" w:hAnsi="Times New Roman" w:eastAsia="仿宋_GB2312" w:cs="Times New Roman"/>
          <w:b w:val="0"/>
          <w:bCs w:val="0"/>
          <w:i w:val="0"/>
          <w:iCs w:val="0"/>
          <w:sz w:val="32"/>
          <w:szCs w:val="32"/>
          <w:highlight w:val="none"/>
          <w:lang w:val="zh-CN" w:eastAsia="zh-CN"/>
        </w:rPr>
        <w:t>月预算执行总体进度为</w:t>
      </w:r>
      <w:r>
        <w:rPr>
          <w:rFonts w:hint="eastAsia" w:ascii="Times New Roman" w:hAnsi="Times New Roman" w:eastAsia="仿宋_GB2312" w:cs="Times New Roman"/>
          <w:b w:val="0"/>
          <w:bCs w:val="0"/>
          <w:i w:val="0"/>
          <w:iCs w:val="0"/>
          <w:sz w:val="32"/>
          <w:szCs w:val="32"/>
          <w:highlight w:val="none"/>
          <w:lang w:val="en-US" w:eastAsia="zh-CN"/>
        </w:rPr>
        <w:t>100</w:t>
      </w:r>
      <w:r>
        <w:rPr>
          <w:rFonts w:hint="default" w:ascii="Times New Roman" w:hAnsi="Times New Roman" w:eastAsia="仿宋_GB2312" w:cs="Times New Roman"/>
          <w:b w:val="0"/>
          <w:bCs w:val="0"/>
          <w:i w:val="0"/>
          <w:iCs w:val="0"/>
          <w:sz w:val="32"/>
          <w:szCs w:val="32"/>
          <w:highlight w:val="none"/>
          <w:lang w:val="zh-CN" w:eastAsia="zh-CN"/>
        </w:rPr>
        <w:t>%，其中：预算结余率大于</w:t>
      </w:r>
      <w:r>
        <w:rPr>
          <w:rFonts w:hint="default" w:ascii="Times New Roman" w:hAnsi="Times New Roman" w:eastAsia="仿宋_GB2312" w:cs="Times New Roman"/>
          <w:b w:val="0"/>
          <w:bCs w:val="0"/>
          <w:i w:val="0"/>
          <w:iCs w:val="0"/>
          <w:sz w:val="32"/>
          <w:szCs w:val="32"/>
          <w:highlight w:val="none"/>
          <w:lang w:val="en-US" w:eastAsia="zh-CN"/>
        </w:rPr>
        <w:t>10%</w:t>
      </w:r>
      <w:r>
        <w:rPr>
          <w:rFonts w:hint="default" w:ascii="Times New Roman" w:hAnsi="Times New Roman" w:eastAsia="仿宋_GB2312" w:cs="Times New Roman"/>
          <w:b w:val="0"/>
          <w:bCs w:val="0"/>
          <w:i w:val="0"/>
          <w:iCs w:val="0"/>
          <w:sz w:val="32"/>
          <w:szCs w:val="32"/>
          <w:highlight w:val="none"/>
          <w:lang w:val="zh-CN" w:eastAsia="zh-CN"/>
        </w:rPr>
        <w:t>的项目共计</w:t>
      </w:r>
      <w:r>
        <w:rPr>
          <w:rFonts w:hint="eastAsia" w:ascii="Times New Roman" w:hAnsi="Times New Roman" w:eastAsia="仿宋_GB2312" w:cs="Times New Roman"/>
          <w:b w:val="0"/>
          <w:bCs w:val="0"/>
          <w:i w:val="0"/>
          <w:iCs w:val="0"/>
          <w:sz w:val="32"/>
          <w:szCs w:val="32"/>
          <w:highlight w:val="none"/>
          <w:lang w:val="en-US" w:eastAsia="zh-CN"/>
        </w:rPr>
        <w:t>0</w:t>
      </w:r>
      <w:r>
        <w:rPr>
          <w:rFonts w:hint="default" w:ascii="Times New Roman" w:hAnsi="Times New Roman" w:eastAsia="仿宋_GB2312" w:cs="Times New Roman"/>
          <w:b w:val="0"/>
          <w:bCs w:val="0"/>
          <w:i w:val="0"/>
          <w:iCs w:val="0"/>
          <w:sz w:val="32"/>
          <w:szCs w:val="32"/>
          <w:highlight w:val="none"/>
          <w:lang w:val="zh-CN" w:eastAsia="zh-CN"/>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阶段（一次性）项目绩效分析。</w:t>
      </w:r>
      <w:r>
        <w:rPr>
          <w:rFonts w:hint="default" w:ascii="Times New Roman" w:hAnsi="Times New Roman" w:eastAsia="仿宋_GB2312" w:cs="Times New Roman"/>
          <w:b w:val="0"/>
          <w:bCs w:val="0"/>
          <w:i w:val="0"/>
          <w:iCs w:val="0"/>
          <w:sz w:val="32"/>
          <w:szCs w:val="32"/>
          <w:lang w:val="zh-CN" w:eastAsia="zh-CN"/>
        </w:rPr>
        <w:t>该类项目总数</w:t>
      </w:r>
      <w:r>
        <w:rPr>
          <w:rFonts w:hint="eastAsia" w:ascii="Times New Roman" w:hAnsi="Times New Roman"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个，涉及预算总金额</w:t>
      </w:r>
      <w:r>
        <w:rPr>
          <w:rFonts w:hint="eastAsia" w:ascii="Times New Roman" w:hAnsi="Times New Roman"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万元，1—1</w:t>
      </w:r>
      <w:r>
        <w:rPr>
          <w:rFonts w:hint="default" w:ascii="Times New Roman" w:hAnsi="Times New Roman" w:eastAsia="仿宋_GB2312" w:cs="Times New Roman"/>
          <w:b w:val="0"/>
          <w:bCs w:val="0"/>
          <w:i w:val="0"/>
          <w:iCs w:val="0"/>
          <w:sz w:val="32"/>
          <w:szCs w:val="32"/>
          <w:lang w:val="en-US" w:eastAsia="zh-CN"/>
        </w:rPr>
        <w:t>2</w:t>
      </w:r>
      <w:r>
        <w:rPr>
          <w:rFonts w:hint="default" w:ascii="Times New Roman" w:hAnsi="Times New Roman" w:eastAsia="仿宋_GB2312" w:cs="Times New Roman"/>
          <w:b w:val="0"/>
          <w:bCs w:val="0"/>
          <w:i w:val="0"/>
          <w:iCs w:val="0"/>
          <w:sz w:val="32"/>
          <w:szCs w:val="32"/>
          <w:lang w:val="zh-CN" w:eastAsia="zh-CN"/>
        </w:rPr>
        <w:t>月预算执行总体进度</w:t>
      </w:r>
      <w:r>
        <w:rPr>
          <w:rFonts w:hint="default" w:ascii="Times New Roman" w:hAnsi="Times New Roman" w:eastAsia="仿宋_GB2312" w:cs="Times New Roman"/>
          <w:b w:val="0"/>
          <w:bCs w:val="0"/>
          <w:i w:val="0"/>
          <w:iCs w:val="0"/>
          <w:sz w:val="32"/>
          <w:szCs w:val="32"/>
          <w:lang w:val="en-US" w:eastAsia="zh-CN"/>
        </w:rPr>
        <w:t xml:space="preserve"> </w:t>
      </w:r>
      <w:r>
        <w:rPr>
          <w:rFonts w:hint="eastAsia" w:ascii="Times New Roman" w:hAnsi="Times New Roman"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zh-CN" w:eastAsia="zh-CN"/>
        </w:rPr>
        <w:t>%，其中：预算结余率大于</w:t>
      </w:r>
      <w:r>
        <w:rPr>
          <w:rFonts w:hint="default" w:ascii="Times New Roman" w:hAnsi="Times New Roman" w:eastAsia="仿宋_GB2312" w:cs="Times New Roman"/>
          <w:b w:val="0"/>
          <w:bCs w:val="0"/>
          <w:i w:val="0"/>
          <w:iCs w:val="0"/>
          <w:sz w:val="32"/>
          <w:szCs w:val="32"/>
          <w:lang w:val="en-US" w:eastAsia="zh-CN"/>
        </w:rPr>
        <w:t>10%</w:t>
      </w:r>
      <w:r>
        <w:rPr>
          <w:rFonts w:hint="default" w:ascii="Times New Roman" w:hAnsi="Times New Roman" w:eastAsia="仿宋_GB2312" w:cs="Times New Roman"/>
          <w:b w:val="0"/>
          <w:bCs w:val="0"/>
          <w:i w:val="0"/>
          <w:iCs w:val="0"/>
          <w:sz w:val="32"/>
          <w:szCs w:val="32"/>
          <w:lang w:val="zh-CN" w:eastAsia="zh-CN"/>
        </w:rPr>
        <w:t>的项目共计</w:t>
      </w:r>
      <w:r>
        <w:rPr>
          <w:rFonts w:hint="eastAsia" w:ascii="Times New Roman" w:hAnsi="Times New Roman" w:eastAsia="仿宋_GB2312" w:cs="Times New Roman"/>
          <w:b w:val="0"/>
          <w:bCs w:val="0"/>
          <w:i w:val="0"/>
          <w:iCs w:val="0"/>
          <w:sz w:val="32"/>
          <w:szCs w:val="32"/>
          <w:lang w:val="en-US" w:eastAsia="zh-CN"/>
        </w:rPr>
        <w:t>0</w:t>
      </w:r>
      <w:r>
        <w:rPr>
          <w:rFonts w:hint="default" w:ascii="Times New Roman" w:hAnsi="Times New Roman" w:eastAsia="仿宋_GB2312" w:cs="Times New Roman"/>
          <w:b w:val="0"/>
          <w:bCs w:val="0"/>
          <w:i w:val="0"/>
          <w:iCs w:val="0"/>
          <w:sz w:val="32"/>
          <w:szCs w:val="32"/>
          <w:lang w:val="en-US" w:eastAsia="zh-CN"/>
        </w:rPr>
        <w:t xml:space="preserve"> </w:t>
      </w:r>
      <w:r>
        <w:rPr>
          <w:rFonts w:hint="default" w:ascii="Times New Roman" w:hAnsi="Times New Roman" w:eastAsia="仿宋_GB2312" w:cs="Times New Roman"/>
          <w:b w:val="0"/>
          <w:bCs w:val="0"/>
          <w:i w:val="0"/>
          <w:iCs w:val="0"/>
          <w:sz w:val="32"/>
          <w:szCs w:val="32"/>
          <w:lang w:val="zh-CN" w:eastAsia="zh-CN"/>
        </w:rPr>
        <w:t>个。</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1.</w:t>
      </w:r>
      <w:r>
        <w:rPr>
          <w:rFonts w:hint="default" w:ascii="Times New Roman" w:hAnsi="Times New Roman" w:eastAsia="仿宋_GB2312" w:cs="Times New Roman"/>
          <w:b w:val="0"/>
          <w:bCs w:val="0"/>
          <w:i w:val="0"/>
          <w:iCs w:val="0"/>
          <w:sz w:val="32"/>
          <w:szCs w:val="32"/>
          <w:lang w:val="zh-CN" w:eastAsia="zh-CN"/>
        </w:rPr>
        <w:t>项目决策。</w:t>
      </w:r>
      <w:r>
        <w:rPr>
          <w:rFonts w:hint="eastAsia" w:ascii="Times New Roman" w:hAnsi="Times New Roman" w:eastAsia="仿宋_GB2312" w:cs="Times New Roman"/>
          <w:b w:val="0"/>
          <w:bCs w:val="0"/>
          <w:i w:val="0"/>
          <w:iCs w:val="0"/>
          <w:sz w:val="32"/>
          <w:szCs w:val="32"/>
          <w:lang w:val="en-US" w:eastAsia="zh-CN"/>
        </w:rPr>
        <w:t>我局依据职能职责设置项目，经各股室分析、量化、评估，目标设置后汇总，分管领导审核后，提交党组会议通过，</w:t>
      </w:r>
      <w:r>
        <w:rPr>
          <w:rFonts w:hint="default" w:ascii="Times New Roman" w:hAnsi="Times New Roman" w:eastAsia="仿宋_GB2312" w:cs="Times New Roman"/>
          <w:b w:val="0"/>
          <w:bCs w:val="0"/>
          <w:i w:val="0"/>
          <w:iCs w:val="0"/>
          <w:sz w:val="32"/>
          <w:szCs w:val="32"/>
          <w:lang w:val="zh-CN" w:eastAsia="zh-CN"/>
        </w:rPr>
        <w:t>待财政审核通过后，严格按计划执行</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lang w:val="zh-CN" w:eastAsia="zh-CN"/>
        </w:rPr>
      </w:pPr>
      <w:r>
        <w:rPr>
          <w:rFonts w:hint="default" w:ascii="Times New Roman" w:hAnsi="Times New Roman" w:eastAsia="仿宋_GB2312" w:cs="Times New Roman"/>
          <w:b w:val="0"/>
          <w:bCs w:val="0"/>
          <w:i w:val="0"/>
          <w:iCs w:val="0"/>
          <w:sz w:val="32"/>
          <w:szCs w:val="32"/>
          <w:lang w:val="en-US" w:eastAsia="zh-CN"/>
        </w:rPr>
        <w:t>2.项目执行</w:t>
      </w:r>
      <w:r>
        <w:rPr>
          <w:rFonts w:hint="default" w:ascii="Times New Roman" w:hAnsi="Times New Roman" w:eastAsia="仿宋_GB2312" w:cs="Times New Roman"/>
          <w:b w:val="0"/>
          <w:bCs w:val="0"/>
          <w:i w:val="0"/>
          <w:iCs w:val="0"/>
          <w:sz w:val="32"/>
          <w:szCs w:val="32"/>
          <w:lang w:val="zh-CN" w:eastAsia="zh-CN"/>
        </w:rPr>
        <w:t>。</w:t>
      </w:r>
      <w:r>
        <w:rPr>
          <w:rFonts w:hint="eastAsia" w:ascii="Times New Roman" w:hAnsi="Times New Roman" w:eastAsia="仿宋_GB2312" w:cs="Times New Roman"/>
          <w:b w:val="0"/>
          <w:bCs w:val="0"/>
          <w:i w:val="0"/>
          <w:iCs w:val="0"/>
          <w:sz w:val="32"/>
          <w:szCs w:val="32"/>
          <w:lang w:val="zh-CN" w:eastAsia="zh-CN"/>
        </w:rPr>
        <w:t>按要求及时足额地申请并拨付资金</w:t>
      </w:r>
      <w:r>
        <w:rPr>
          <w:rFonts w:hint="default" w:ascii="Times New Roman" w:hAnsi="Times New Roman" w:eastAsia="仿宋_GB2312" w:cs="Times New Roman"/>
          <w:b w:val="0"/>
          <w:bCs w:val="0"/>
          <w:i w:val="0"/>
          <w:iCs w:val="0"/>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仿宋_GB2312" w:cs="Times New Roman"/>
          <w:b w:val="0"/>
          <w:bCs w:val="0"/>
          <w:i w:val="0"/>
          <w:iCs w:val="0"/>
          <w:sz w:val="32"/>
          <w:szCs w:val="32"/>
          <w:lang w:val="en-US" w:eastAsia="zh-CN"/>
        </w:rPr>
        <w:t>3.</w:t>
      </w:r>
      <w:r>
        <w:rPr>
          <w:rFonts w:hint="default" w:ascii="Times New Roman" w:hAnsi="Times New Roman" w:eastAsia="仿宋_GB2312" w:cs="Times New Roman"/>
          <w:b w:val="0"/>
          <w:bCs w:val="0"/>
          <w:i w:val="0"/>
          <w:iCs w:val="0"/>
          <w:sz w:val="32"/>
          <w:szCs w:val="32"/>
          <w:lang w:val="zh-CN" w:eastAsia="zh-CN"/>
        </w:rPr>
        <w:t>目标实现。目标完成</w:t>
      </w:r>
      <w:r>
        <w:rPr>
          <w:rFonts w:hint="eastAsia" w:ascii="Times New Roman" w:hAnsi="Times New Roman" w:eastAsia="仿宋_GB2312" w:cs="Times New Roman"/>
          <w:b w:val="0"/>
          <w:bCs w:val="0"/>
          <w:i w:val="0"/>
          <w:iCs w:val="0"/>
          <w:sz w:val="32"/>
          <w:szCs w:val="32"/>
          <w:lang w:val="zh-CN" w:eastAsia="zh-CN"/>
        </w:rPr>
        <w:t>良好，保障了重点人群的补贴到人资金正常发放，及时开展核查及基金追回工作，减少了社保基金管理性缺口财政兜底压力，</w:t>
      </w:r>
      <w:r>
        <w:rPr>
          <w:rFonts w:hint="eastAsia" w:ascii="Times New Roman" w:hAnsi="Times New Roman" w:eastAsia="仿宋_GB2312" w:cs="Times New Roman"/>
          <w:b w:val="0"/>
          <w:bCs w:val="0"/>
          <w:i w:val="0"/>
          <w:iCs w:val="0"/>
          <w:sz w:val="32"/>
          <w:szCs w:val="32"/>
          <w:lang w:val="en-US" w:eastAsia="zh-CN"/>
        </w:rPr>
        <w:t>保障社保工作的正常开展，打造了群众满意的人力资源和社会保障服务</w:t>
      </w:r>
      <w:r>
        <w:rPr>
          <w:rFonts w:hint="default" w:ascii="Times New Roman" w:hAnsi="Times New Roman" w:eastAsia="仿宋_GB2312" w:cs="Times New Roman"/>
          <w:b w:val="0"/>
          <w:bCs w:val="0"/>
          <w:i w:val="0"/>
          <w:iCs w:val="0"/>
          <w:sz w:val="32"/>
          <w:szCs w:val="32"/>
          <w:lang w:val="zh-CN" w:eastAsia="zh-CN"/>
        </w:rPr>
        <w:t>。</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b w:val="0"/>
          <w:bCs w:val="0"/>
          <w:i w:val="0"/>
          <w:iCs w:val="0"/>
          <w:sz w:val="32"/>
          <w:szCs w:val="32"/>
          <w:lang w:val="en-US"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（三）</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绩效分析</w:t>
      </w: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w:t>
      </w:r>
      <w:r>
        <w:rPr>
          <w:rFonts w:hint="eastAsia" w:eastAsia="仿宋_GB2312" w:cs="Times New Roman"/>
          <w:b w:val="0"/>
          <w:bCs w:val="0"/>
          <w:i w:val="0"/>
          <w:iCs w:val="0"/>
          <w:sz w:val="32"/>
          <w:szCs w:val="32"/>
          <w:lang w:val="zh-CN" w:eastAsia="zh-CN"/>
        </w:rPr>
        <w:t>区社保局</w:t>
      </w:r>
      <w:r>
        <w:rPr>
          <w:rFonts w:hint="default" w:eastAsia="仿宋_GB2312" w:cs="Times New Roman"/>
          <w:b w:val="0"/>
          <w:bCs w:val="0"/>
          <w:i w:val="0"/>
          <w:iCs w:val="0"/>
          <w:sz w:val="32"/>
          <w:szCs w:val="32"/>
          <w:lang w:val="en-US" w:eastAsia="zh-CN"/>
        </w:rPr>
        <w:t>2023年度</w:t>
      </w:r>
      <w:r>
        <w:rPr>
          <w:rFonts w:hint="eastAsia" w:eastAsia="仿宋_GB2312" w:cs="Times New Roman"/>
          <w:b w:val="0"/>
          <w:bCs w:val="0"/>
          <w:i w:val="0"/>
          <w:iCs w:val="0"/>
          <w:sz w:val="32"/>
          <w:szCs w:val="32"/>
          <w:lang w:val="zh-CN" w:eastAsia="zh-CN"/>
        </w:rPr>
        <w:t>不</w:t>
      </w:r>
      <w:r>
        <w:rPr>
          <w:rFonts w:hint="default" w:eastAsia="仿宋_GB2312" w:cs="Times New Roman"/>
          <w:b w:val="0"/>
          <w:bCs w:val="0"/>
          <w:i w:val="0"/>
          <w:iCs w:val="0"/>
          <w:sz w:val="32"/>
          <w:szCs w:val="32"/>
          <w:lang w:val="zh-CN" w:eastAsia="zh-CN"/>
        </w:rPr>
        <w:t>涉及国有资本、行政事业性国有资产、债券资金、政府采购和政府购买服务等重点领域。</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（四）绩效结果应用情况。</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b w:val="0"/>
          <w:bCs w:val="0"/>
          <w:i w:val="0"/>
          <w:iCs w:val="0"/>
          <w:sz w:val="32"/>
          <w:szCs w:val="32"/>
          <w:lang w:val="zh-CN" w:eastAsia="zh-CN"/>
        </w:rPr>
      </w:pPr>
      <w:r>
        <w:rPr>
          <w:rFonts w:hint="default" w:eastAsia="仿宋_GB2312" w:cs="Times New Roman"/>
          <w:b w:val="0"/>
          <w:bCs w:val="0"/>
          <w:i w:val="0"/>
          <w:iCs w:val="0"/>
          <w:sz w:val="32"/>
          <w:szCs w:val="32"/>
          <w:lang w:val="zh-CN" w:eastAsia="zh-CN"/>
        </w:rPr>
        <w:t>区社保局按照区财政的要求，及时上报相应计划，待财政审核通过后，严格按计划执行，各指标执行情况良好。基本支出2023年按月进行申报，其中人员工资按月申报并直接支付，日常公用经费及时进行申报并支付。项目支出按需申报并及时支付。</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eastAsia="仿宋_GB2312" w:cs="Times New Roman"/>
          <w:b w:val="0"/>
          <w:bCs w:val="0"/>
          <w:i w:val="0"/>
          <w:iCs w:val="0"/>
          <w:sz w:val="32"/>
          <w:szCs w:val="32"/>
          <w:lang w:val="zh-CN" w:eastAsia="zh-CN"/>
        </w:rPr>
      </w:pPr>
      <w:r>
        <w:rPr>
          <w:rFonts w:hint="default" w:eastAsia="仿宋_GB2312" w:cs="Times New Roman"/>
          <w:b w:val="0"/>
          <w:bCs w:val="0"/>
          <w:i w:val="0"/>
          <w:iCs w:val="0"/>
          <w:sz w:val="32"/>
          <w:szCs w:val="32"/>
          <w:lang w:val="zh-CN" w:eastAsia="zh-CN"/>
        </w:rPr>
        <w:t>区社保局认真按照工作职责，部门工作人员认真履行职责，对各项工作认真负责，重点项目绩效评价结果良好，群众满意度达90%以上</w:t>
      </w:r>
      <w:r>
        <w:rPr>
          <w:rFonts w:hint="eastAsia" w:eastAsia="仿宋_GB2312" w:cs="Times New Roman"/>
          <w:b w:val="0"/>
          <w:bCs w:val="0"/>
          <w:i w:val="0"/>
          <w:iCs w:val="0"/>
          <w:sz w:val="32"/>
          <w:szCs w:val="32"/>
          <w:lang w:val="zh-CN"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b w:val="0"/>
          <w:bCs w:val="0"/>
          <w:i w:val="0"/>
          <w:iCs w:val="0"/>
          <w:color w:val="000000"/>
          <w:kern w:val="0"/>
          <w:sz w:val="32"/>
          <w:szCs w:val="32"/>
          <w:highlight w:val="none"/>
          <w:shd w:val="clear" w:color="auto" w:fill="FFFFFF"/>
          <w:lang w:val="zh-CN"/>
        </w:rPr>
      </w:pPr>
      <w:r>
        <w:rPr>
          <w:rFonts w:hint="default" w:ascii="Times New Roman" w:hAnsi="Times New Roman" w:eastAsia="黑体" w:cs="Times New Roman"/>
          <w:b w:val="0"/>
          <w:bCs w:val="0"/>
          <w:i w:val="0"/>
          <w:iCs w:val="0"/>
          <w:color w:val="000000"/>
          <w:kern w:val="0"/>
          <w:sz w:val="32"/>
          <w:szCs w:val="32"/>
          <w:highlight w:val="none"/>
          <w:shd w:val="clear" w:color="auto" w:fill="FFFFFF"/>
          <w:lang w:val="zh-CN" w:eastAsia="zh-CN"/>
        </w:rPr>
        <w:t>四、</w:t>
      </w:r>
      <w:r>
        <w:rPr>
          <w:rFonts w:hint="default" w:ascii="Times New Roman" w:hAnsi="Times New Roman" w:eastAsia="黑体" w:cs="Times New Roman"/>
          <w:b w:val="0"/>
          <w:bCs w:val="0"/>
          <w:i w:val="0"/>
          <w:iCs w:val="0"/>
          <w:color w:val="000000"/>
          <w:kern w:val="0"/>
          <w:sz w:val="32"/>
          <w:szCs w:val="32"/>
          <w:highlight w:val="none"/>
          <w:shd w:val="clear" w:color="auto" w:fill="FFFFFF"/>
          <w:lang w:val="zh-CN"/>
        </w:rPr>
        <w:t>评价结论及建议</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u w:val="none"/>
          <w:lang w:val="en-US" w:eastAsia="zh-CN" w:bidi="ar"/>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（一）评价结论。</w:t>
      </w:r>
      <w:r>
        <w:rPr>
          <w:rFonts w:hint="default" w:ascii="Times New Roman" w:hAnsi="Times New Roman" w:eastAsia="仿宋_GB2312" w:cs="Times New Roman"/>
          <w:b w:val="0"/>
          <w:bCs w:val="0"/>
          <w:i w:val="0"/>
          <w:iCs w:val="0"/>
          <w:sz w:val="32"/>
          <w:szCs w:val="32"/>
          <w:u w:val="none"/>
          <w:lang w:val="en-US" w:eastAsia="zh-CN" w:bidi="ar"/>
        </w:rPr>
        <w:t>本单位高度重视单位财务管理情况，单位在区财政、区人社局的正确指导下，在全面执行预算管理、规范单位财务管理的基础上，做好了相关工作。在财务管理方面，本年度进一步完善健全了财务内部管理制度，加强了对各种报销凭证的审核，相关人员严格把关票据的合法性、合理性、真实与及时性，严格执行票据报销审批制度；专项经费坚持“积极争取，计划使用，专款专用”的原则，对每一笔项目开支，严格按照经费预算，项目开支范围执行，实事求是，以工作量为依据，结合相关支出标准和物价水平，完成了各项目目标工作任务，努力提高了资金使用效益；建立健全了物品材料和固定资产管理制度，严格执行物资出入库规章制度，加强物品材料和固定资产管理，提高职工总体意识，做到“统一政策、责任到人、物尽其用、规范管理”，并定期对资产进行了核对、清查、处置，保证资产的安全与完整。</w:t>
      </w:r>
    </w:p>
    <w:p>
      <w:pPr>
        <w:adjustRightInd w:val="0"/>
        <w:snapToGrid w:val="0"/>
        <w:spacing w:line="540" w:lineRule="exact"/>
        <w:ind w:firstLine="720"/>
        <w:jc w:val="left"/>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rPr>
        <w:t>（二）存在问题。</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1.内控制度、财务制度还有待进一步完善。</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仿宋_GB2312" w:hAnsi="宋体" w:eastAsia="仿宋_GB2312" w:cs="宋体"/>
          <w:color w:val="auto"/>
          <w:kern w:val="0"/>
          <w:sz w:val="32"/>
          <w:szCs w:val="32"/>
          <w:highlight w:val="none"/>
          <w:shd w:val="clear" w:color="auto" w:fill="FFFFFF"/>
          <w:lang w:val="en-US" w:eastAsia="zh-CN"/>
        </w:rPr>
      </w:pPr>
      <w:r>
        <w:rPr>
          <w:rFonts w:hint="eastAsia" w:ascii="仿宋_GB2312" w:hAnsi="宋体" w:eastAsia="仿宋_GB2312" w:cs="宋体"/>
          <w:color w:val="auto"/>
          <w:kern w:val="0"/>
          <w:sz w:val="32"/>
          <w:szCs w:val="32"/>
          <w:highlight w:val="none"/>
          <w:shd w:val="clear" w:color="auto" w:fill="FFFFFF"/>
          <w:lang w:val="en-US" w:eastAsia="zh-CN"/>
        </w:rPr>
        <w:t>2.资金使用效益有待进一步提高。</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b w:val="0"/>
          <w:bCs w:val="0"/>
          <w:i w:val="0"/>
          <w:iCs w:val="0"/>
          <w:sz w:val="32"/>
          <w:szCs w:val="32"/>
          <w:u w:val="none"/>
          <w:lang w:val="en-US" w:eastAsia="zh-CN" w:bidi="ar"/>
        </w:rPr>
      </w:pPr>
    </w:p>
    <w:p>
      <w:pPr>
        <w:keepNext w:val="0"/>
        <w:keepLines w:val="0"/>
        <w:pageBreakBefore w:val="0"/>
        <w:widowControl/>
        <w:numPr>
          <w:ilvl w:val="0"/>
          <w:numId w:val="4"/>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pPr>
      <w:r>
        <w:rPr>
          <w:rFonts w:hint="default" w:ascii="Times New Roman" w:hAnsi="Times New Roman" w:eastAsia="楷体_GB2312" w:cs="Times New Roman"/>
          <w:b w:val="0"/>
          <w:bCs w:val="0"/>
          <w:i w:val="0"/>
          <w:iCs w:val="0"/>
          <w:color w:val="000000"/>
          <w:kern w:val="0"/>
          <w:sz w:val="32"/>
          <w:szCs w:val="32"/>
          <w:highlight w:val="none"/>
          <w:shd w:val="clear" w:color="auto" w:fill="FFFFFF"/>
          <w:lang w:val="zh-CN" w:eastAsia="zh-CN"/>
        </w:rPr>
        <w:t>改进建议。</w:t>
      </w:r>
      <w:bookmarkStart w:id="153" w:name="_Hlk110546638"/>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val="0"/>
          <w:bCs w:val="0"/>
          <w:i w:val="0"/>
          <w:iCs w:val="0"/>
          <w:color w:val="000000"/>
          <w:kern w:val="0"/>
          <w:sz w:val="32"/>
          <w:szCs w:val="32"/>
          <w:highlight w:val="none"/>
          <w:shd w:val="clear" w:color="auto" w:fill="FFFFFF"/>
          <w:lang w:val="en-US" w:eastAsia="zh-CN"/>
        </w:rPr>
      </w:pPr>
      <w:r>
        <w:rPr>
          <w:rFonts w:hint="default" w:ascii="仿宋_GB2312" w:hAnsi="宋体" w:eastAsia="仿宋_GB2312" w:cs="宋体"/>
          <w:color w:val="auto"/>
          <w:kern w:val="0"/>
          <w:sz w:val="32"/>
          <w:szCs w:val="32"/>
          <w:highlight w:val="none"/>
          <w:shd w:val="clear" w:color="auto" w:fill="FFFFFF"/>
          <w:lang w:val="en-US" w:eastAsia="zh-CN"/>
        </w:rPr>
        <w:t>科学合理编制预算，提高预算编制到位率，严格执行预算，定期对预算执行情况进行监督，规范账务处理，提高财务信息质量，完善管理制度，推行精细化管理，强化预算目标管理、细化绩效目标</w:t>
      </w:r>
      <w:r>
        <w:rPr>
          <w:rFonts w:hint="eastAsia" w:ascii="仿宋_GB2312" w:hAnsi="宋体" w:eastAsia="仿宋_GB2312" w:cs="宋体"/>
          <w:color w:val="auto"/>
          <w:kern w:val="0"/>
          <w:sz w:val="32"/>
          <w:szCs w:val="32"/>
          <w:highlight w:val="none"/>
          <w:shd w:val="clear" w:color="auto" w:fill="FFFFFF"/>
          <w:lang w:val="en-US" w:eastAsia="zh-CN"/>
        </w:rPr>
        <w:t>。</w:t>
      </w:r>
    </w:p>
    <w:bookmarkEnd w:id="153"/>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zh-CN" w:eastAsia="zh-CN"/>
        </w:rPr>
      </w:pPr>
    </w:p>
    <w:p>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Times New Roman" w:hAnsi="Times New Roman" w:cs="Times New Roman"/>
          <w:b w:val="0"/>
          <w:bCs w:val="0"/>
          <w:i w:val="0"/>
          <w:iCs w:val="0"/>
          <w:color w:val="auto"/>
          <w:sz w:val="32"/>
          <w:szCs w:val="32"/>
          <w:highlight w:val="none"/>
          <w:lang w:val="zh-CN" w:eastAsia="zh-CN"/>
        </w:rPr>
      </w:pPr>
      <w:r>
        <w:rPr>
          <w:rFonts w:hint="default" w:ascii="Times New Roman" w:hAnsi="Times New Roman" w:cs="Times New Roman"/>
          <w:b w:val="0"/>
          <w:bCs w:val="0"/>
          <w:i w:val="0"/>
          <w:iCs w:val="0"/>
          <w:color w:val="auto"/>
          <w:sz w:val="32"/>
          <w:szCs w:val="32"/>
          <w:highlight w:val="none"/>
          <w:lang w:val="zh-CN" w:eastAsia="zh-CN"/>
        </w:rPr>
        <w:t>附表：</w:t>
      </w:r>
      <w:r>
        <w:rPr>
          <w:rFonts w:hint="default" w:ascii="Times New Roman" w:hAnsi="Times New Roman" w:cs="Times New Roman"/>
          <w:b w:val="0"/>
          <w:bCs w:val="0"/>
          <w:i w:val="0"/>
          <w:iCs w:val="0"/>
          <w:color w:val="auto"/>
          <w:sz w:val="32"/>
          <w:szCs w:val="32"/>
          <w:highlight w:val="none"/>
          <w:lang w:val="en-US" w:eastAsia="zh-CN"/>
        </w:rPr>
        <w:t>部门预算项目支出绩效自评表（2023年度）</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54"/>
        <w:gridCol w:w="918"/>
        <w:gridCol w:w="1199"/>
        <w:gridCol w:w="411"/>
        <w:gridCol w:w="752"/>
        <w:gridCol w:w="397"/>
        <w:gridCol w:w="852"/>
        <w:gridCol w:w="486"/>
        <w:gridCol w:w="486"/>
        <w:gridCol w:w="13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51090423T000007872173-建国初期参加革命工作退休干部困难补助2023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498" w:type="pct"/>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中组发（2022）13号、川组通（2011）62号文件规定的照顾对象。中共遂宁市安居区委组织部关于2020年调整我区建国初期参加革命工作退休干部困难补助标准的函，附件：符合享受困难补助的退休干部名单，发放困难补助。</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27</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27</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default"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27</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享受困难补助的退休干部名单，发放困难补助。</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应发尽发</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按时发放</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保障我区建国初期参加革命工作退休干部生活补助</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帮扶对象满意度指标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发放对象满意度指标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按标准发放</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项目负责人：曾莉</w:t>
            </w:r>
          </w:p>
        </w:tc>
        <w:tc>
          <w:tcPr>
            <w:tcW w:w="2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宋体" w:cs="黑体"/>
                <w:i w:val="0"/>
                <w:iCs w:val="0"/>
                <w:color w:val="000000"/>
                <w:sz w:val="18"/>
                <w:szCs w:val="18"/>
                <w:u w:val="none"/>
                <w:lang w:eastAsia="zh-CN"/>
              </w:rPr>
            </w:pPr>
            <w:r>
              <w:rPr>
                <w:rFonts w:hint="eastAsia" w:ascii="黑体" w:hAnsi="黑体" w:eastAsia="黑体" w:cs="黑体"/>
                <w:i w:val="0"/>
                <w:iCs w:val="0"/>
                <w:color w:val="000000"/>
                <w:kern w:val="0"/>
                <w:sz w:val="18"/>
                <w:szCs w:val="18"/>
                <w:u w:val="none"/>
                <w:lang w:val="en-US" w:eastAsia="zh-CN" w:bidi="ar"/>
              </w:rPr>
              <w:t>财务负责人：</w:t>
            </w:r>
            <w:r>
              <w:rPr>
                <w:rFonts w:hint="default"/>
              </w:rPr>
              <w:commentReference w:id="1"/>
            </w:r>
            <w:r>
              <w:rPr>
                <w:rFonts w:hint="eastAsia"/>
                <w:lang w:eastAsia="zh-CN"/>
              </w:rPr>
              <w:t>周龙华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51090422T000007143376-社保公共服务能力建设经费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498" w:type="pct"/>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严格执行相关政策，加快社保公共服务能力建设</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26.48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20.18</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26.48</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20.18</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20.18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lang w:eastAsia="zh-CN"/>
              </w:rPr>
              <w:t>产出指标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lang w:eastAsia="zh-CN"/>
              </w:rPr>
              <w:t>质量指标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lang w:eastAsia="zh-CN"/>
              </w:rPr>
              <w:t>正常化开展工作</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lang w:eastAsia="zh-CN"/>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lang w:eastAsia="zh-CN"/>
              </w:rPr>
              <w:t>优良差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18"/>
                <w:szCs w:val="18"/>
                <w:u w:val="none"/>
                <w:lang w:val="en-US"/>
              </w:rPr>
            </w:pPr>
            <w:r>
              <w:rPr>
                <w:rFonts w:hint="eastAsia" w:ascii="宋体" w:hAnsi="宋体" w:cs="宋体"/>
                <w:i w:val="0"/>
                <w:color w:val="000000"/>
                <w:kern w:val="2"/>
                <w:sz w:val="18"/>
                <w:szCs w:val="18"/>
                <w:u w:val="none"/>
                <w:lang w:val="en-US" w:eastAsia="zh-CN" w:bidi="ar-SA"/>
              </w:rPr>
              <w:t>25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经济效益指标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2"/>
                <w:sz w:val="18"/>
                <w:szCs w:val="18"/>
                <w:u w:val="none"/>
                <w:lang w:val="en-US" w:eastAsia="zh-CN" w:bidi="ar-SA"/>
              </w:rPr>
              <w:t>社会影响力</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2"/>
                <w:sz w:val="18"/>
                <w:szCs w:val="18"/>
                <w:u w:val="none"/>
                <w:lang w:val="en-US" w:eastAsia="zh-CN" w:bidi="ar-SA"/>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2"/>
                <w:sz w:val="18"/>
                <w:szCs w:val="18"/>
                <w:u w:val="none"/>
                <w:lang w:val="en-US" w:eastAsia="zh-CN" w:bidi="ar-SA"/>
              </w:rPr>
              <w:t>高中低</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2"/>
                <w:sz w:val="18"/>
                <w:szCs w:val="18"/>
                <w:u w:val="none"/>
                <w:lang w:val="en-US" w:eastAsia="zh-CN" w:bidi="ar-SA"/>
              </w:rPr>
              <w:t>25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2"/>
                <w:sz w:val="18"/>
                <w:szCs w:val="18"/>
                <w:u w:val="none"/>
                <w:lang w:val="en-US" w:eastAsia="zh-CN" w:bidi="ar-SA"/>
              </w:rPr>
              <w:t>25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满意度指标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服务对象满意度指标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rPr>
              <w:t>服务对象满意度</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lang w:val="en-US" w:eastAsia="zh-CN"/>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经济成本指标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按</w:t>
            </w:r>
            <w:r>
              <w:rPr>
                <w:rFonts w:hint="eastAsia" w:ascii="宋体" w:hAnsi="宋体" w:eastAsia="宋体" w:cs="宋体"/>
                <w:i w:val="0"/>
                <w:color w:val="000000"/>
                <w:kern w:val="0"/>
                <w:sz w:val="18"/>
                <w:szCs w:val="18"/>
                <w:u w:val="none"/>
                <w:lang w:val="en-US" w:eastAsia="zh-CN" w:bidi="ar"/>
              </w:rPr>
              <w:t>要求</w:t>
            </w:r>
            <w:r>
              <w:rPr>
                <w:rFonts w:hint="default" w:ascii="宋体" w:hAnsi="宋体" w:eastAsia="宋体" w:cs="宋体"/>
                <w:i w:val="0"/>
                <w:color w:val="000000"/>
                <w:kern w:val="0"/>
                <w:sz w:val="18"/>
                <w:szCs w:val="18"/>
                <w:u w:val="none"/>
                <w:lang w:val="en-US" w:eastAsia="zh-CN" w:bidi="ar"/>
              </w:rPr>
              <w:t>发放</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lang w:eastAsia="zh-CN"/>
              </w:rPr>
              <w:t>优良差</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u w:val="none"/>
              </w:rPr>
            </w:pPr>
            <w:r>
              <w:rPr>
                <w:rFonts w:hint="default" w:ascii="宋体" w:hAnsi="宋体" w:eastAsia="宋体" w:cs="宋体"/>
                <w:i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sz w:val="18"/>
                <w:szCs w:val="18"/>
                <w:u w:val="none"/>
                <w:lang w:val="en-US" w:eastAsia="zh-CN"/>
              </w:rPr>
              <w:t>15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u w:val="none"/>
              </w:rPr>
            </w:pPr>
            <w:r>
              <w:rPr>
                <w:rFonts w:hint="eastAsia" w:ascii="宋体" w:hAnsi="宋体" w:eastAsia="宋体" w:cs="宋体"/>
                <w:i w:val="0"/>
                <w:color w:val="000000"/>
                <w:kern w:val="2"/>
                <w:sz w:val="18"/>
                <w:szCs w:val="18"/>
                <w:u w:val="none"/>
                <w:lang w:val="en-US" w:eastAsia="zh-CN" w:bidi="ar-SA"/>
              </w:rPr>
              <w:t>15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项目负责人：张丹</w:t>
            </w:r>
          </w:p>
        </w:tc>
        <w:tc>
          <w:tcPr>
            <w:tcW w:w="2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财务负责人：周龙华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51090423T000007870783-基金风险防控项目2023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498" w:type="pct"/>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组织对全区约16万（农保13万元、企保3万、机保0.35万）养老金待遇领取人员进行生存认证，对高龄人员、高风险人员进行上门认证核查；2、社保基金管理与稽核，重点组织开展参保稽核、一次性补缴稽核及工伤待遇稽核；3、组织开展对死亡冒领、重复领待及服刑人员领待等三类人员开展核查及基金追回工作，减少社保基金管理性缺口财政兜底压力。川府发【2020】18号：因违规参保、支出造成基金减收增支的形成的管理性缺口由地方政府负责全额追回，无法追回的由地方政府弥补。4、社保、机保、居保基金稽核与风险防控所需律师费、差旅费、印刷费、宣传费等</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严格执行相关政策，减少社保基金管理性缺口财政兜底压力，按时足额支付，预算编制科学合理，无结余资金。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7.50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7.50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5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养老金待遇领取人员进行生存认证、对高龄人员、高风险人员进行上门认证核查</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万人次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社保基金管理与稽核，重点组织开展参保稽核、一次性补缴稽核及工伤待遇稽核</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万人次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年审、稽核工作完成率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年审、稽核工作完成及时性</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减少社保基金管理性缺口财政兜底压力</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保、机保、居保基金稽核与风险防控所需律师费、差旅费、印刷费、宣传费等</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95</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项目负责人：何发</w:t>
            </w:r>
          </w:p>
        </w:tc>
        <w:tc>
          <w:tcPr>
            <w:tcW w:w="2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财务负责人：周龙华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51090423T000007872015-离休干部遗孀生活补助2023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498" w:type="pct"/>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遂安委老（2009）7号关于落实离休干部遗孀何治秀生活补贴的函规定，由社保局每月代发何治秀生活补贴。</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1.51</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1.51</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1.51</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发放人数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应发尽发</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每月发放</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月</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保障领取人的基本生活保障</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帮扶对象满意度指标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帮扶对象满意度指标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按标准发放</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项目负责人：曾莉</w:t>
            </w:r>
          </w:p>
        </w:tc>
        <w:tc>
          <w:tcPr>
            <w:tcW w:w="2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财务负责人：周龙华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9"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04"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41"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816" w:type="pct"/>
            <w:tcBorders>
              <w:top w:val="nil"/>
              <w:left w:val="nil"/>
              <w:bottom w:val="nil"/>
              <w:right w:val="nil"/>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40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51090424T000010542083-老机保清理转移养老保险费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遂宁市安居区社会保险事业管理局部门</w:t>
            </w:r>
          </w:p>
        </w:tc>
        <w:tc>
          <w:tcPr>
            <w:tcW w:w="498" w:type="pct"/>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遂宁市安居区社会保险事业管理局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15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严格执行相关政策，按时足额支付，预算编制科学合理，无结余资金。</w:t>
            </w:r>
          </w:p>
        </w:tc>
        <w:tc>
          <w:tcPr>
            <w:tcW w:w="18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404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完成老机保清理转移养老保险费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138.19</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138.19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8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138.19</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138.19</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9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8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kern w:val="0"/>
                <w:sz w:val="18"/>
                <w:szCs w:val="18"/>
                <w:u w:val="none"/>
                <w:lang w:val="en-US" w:eastAsia="zh-CN" w:bidi="ar"/>
              </w:rPr>
              <w:t>产出指标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r>
              <w:rPr>
                <w:rFonts w:hint="default" w:ascii="宋体" w:hAnsi="宋体" w:eastAsia="宋体" w:cs="宋体"/>
                <w:i w:val="0"/>
                <w:color w:val="000000"/>
                <w:kern w:val="0"/>
                <w:sz w:val="18"/>
                <w:szCs w:val="18"/>
                <w:u w:val="none"/>
                <w:lang w:val="en-US" w:eastAsia="zh-CN" w:bidi="ar"/>
              </w:rPr>
              <w:t>时效指标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kern w:val="0"/>
                <w:sz w:val="18"/>
                <w:szCs w:val="18"/>
                <w:u w:val="none"/>
                <w:lang w:val="en-US" w:eastAsia="zh-CN" w:bidi="ar"/>
              </w:rPr>
              <w:t>按时发放</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kern w:val="0"/>
                <w:sz w:val="18"/>
                <w:szCs w:val="18"/>
                <w:u w:val="none"/>
                <w:lang w:val="en-US" w:eastAsia="zh-CN" w:bidi="ar"/>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kern w:val="0"/>
                <w:sz w:val="18"/>
                <w:szCs w:val="18"/>
                <w:u w:val="none"/>
                <w:lang w:val="en-US" w:eastAsia="zh-CN" w:bidi="ar"/>
              </w:rPr>
              <w:t>按时</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kern w:val="0"/>
                <w:sz w:val="18"/>
                <w:szCs w:val="18"/>
                <w:u w:val="none"/>
                <w:lang w:val="en-US" w:eastAsia="zh-CN" w:bidi="ar"/>
              </w:rPr>
              <w:t>30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cyan"/>
                <w:u w:val="none"/>
              </w:rPr>
            </w:pPr>
            <w:r>
              <w:rPr>
                <w:rFonts w:hint="default" w:ascii="宋体" w:hAnsi="宋体" w:eastAsia="宋体" w:cs="宋体"/>
                <w:i w:val="0"/>
                <w:color w:val="000000"/>
                <w:kern w:val="0"/>
                <w:sz w:val="18"/>
                <w:szCs w:val="18"/>
                <w:u w:val="none"/>
                <w:lang w:val="en-US" w:eastAsia="zh-CN" w:bidi="ar"/>
              </w:rPr>
              <w:t>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cyan"/>
                <w:u w:val="none"/>
              </w:rPr>
            </w:pPr>
            <w:r>
              <w:rPr>
                <w:rFonts w:hint="default" w:ascii="宋体" w:hAnsi="宋体" w:eastAsia="宋体" w:cs="宋体"/>
                <w:i w:val="0"/>
                <w:color w:val="000000"/>
                <w:kern w:val="0"/>
                <w:sz w:val="18"/>
                <w:szCs w:val="18"/>
                <w:u w:val="none"/>
                <w:lang w:val="en-US" w:eastAsia="zh-CN" w:bidi="ar"/>
              </w:rPr>
              <w:t>社会效益指标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sz w:val="18"/>
                <w:szCs w:val="18"/>
                <w:u w:val="none"/>
                <w:lang w:eastAsia="zh-CN"/>
              </w:rPr>
              <w:t>保障解决我区机保试点历史遗留问题</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sz w:val="18"/>
                <w:szCs w:val="18"/>
                <w:u w:val="none"/>
                <w:lang w:eastAsia="zh-CN"/>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sz w:val="18"/>
                <w:szCs w:val="18"/>
                <w:u w:val="none"/>
                <w:lang w:eastAsia="zh-CN"/>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highlight w:val="cyan"/>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highlight w:val="cyan"/>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kern w:val="0"/>
                <w:sz w:val="18"/>
                <w:szCs w:val="18"/>
                <w:u w:val="none"/>
                <w:lang w:val="en-US" w:eastAsia="zh-CN" w:bidi="ar"/>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宋体" w:hAnsi="宋体" w:eastAsia="宋体" w:cs="宋体"/>
                <w:i w:val="0"/>
                <w:iCs w:val="0"/>
                <w:color w:val="000000"/>
                <w:sz w:val="18"/>
                <w:szCs w:val="18"/>
                <w:highlight w:val="cyan"/>
                <w:u w:val="none"/>
                <w:lang w:val="en-US"/>
              </w:rPr>
            </w:pPr>
            <w:r>
              <w:rPr>
                <w:rFonts w:hint="eastAsia" w:ascii="宋体" w:hAnsi="宋体" w:eastAsia="宋体" w:cs="宋体"/>
                <w:i w:val="0"/>
                <w:color w:val="000000"/>
                <w:kern w:val="0"/>
                <w:sz w:val="18"/>
                <w:szCs w:val="18"/>
                <w:u w:val="none"/>
                <w:lang w:val="en-US" w:eastAsia="zh-CN" w:bidi="ar"/>
              </w:rPr>
              <w:t>30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r>
              <w:rPr>
                <w:rFonts w:hint="default" w:ascii="宋体" w:hAnsi="宋体" w:eastAsia="宋体" w:cs="宋体"/>
                <w:i w:val="0"/>
                <w:color w:val="000000"/>
                <w:kern w:val="0"/>
                <w:sz w:val="18"/>
                <w:szCs w:val="18"/>
                <w:u w:val="none"/>
                <w:lang w:val="en-US" w:eastAsia="zh-CN" w:bidi="ar"/>
              </w:rPr>
              <w:t>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r>
              <w:rPr>
                <w:rFonts w:hint="default" w:ascii="宋体" w:hAnsi="宋体" w:eastAsia="宋体" w:cs="宋体"/>
                <w:i w:val="0"/>
                <w:color w:val="000000"/>
                <w:kern w:val="0"/>
                <w:sz w:val="18"/>
                <w:szCs w:val="18"/>
                <w:u w:val="none"/>
                <w:lang w:val="en-US" w:eastAsia="zh-CN" w:bidi="ar"/>
              </w:rPr>
              <w:t>经济成本指标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18"/>
                <w:szCs w:val="18"/>
                <w:highlight w:val="cyan"/>
                <w:u w:val="none"/>
              </w:rPr>
            </w:pPr>
            <w:r>
              <w:rPr>
                <w:rFonts w:hint="default" w:ascii="宋体" w:hAnsi="宋体" w:eastAsia="宋体" w:cs="宋体"/>
                <w:i w:val="0"/>
                <w:color w:val="000000"/>
                <w:kern w:val="0"/>
                <w:sz w:val="18"/>
                <w:szCs w:val="18"/>
                <w:u w:val="none"/>
                <w:lang w:val="en-US" w:eastAsia="zh-CN" w:bidi="ar"/>
              </w:rPr>
              <w:t>按标准发放</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sz w:val="18"/>
                <w:szCs w:val="18"/>
                <w:u w:val="none"/>
                <w:lang w:eastAsia="zh-CN"/>
              </w:rPr>
              <w:t>定性</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sz w:val="18"/>
                <w:szCs w:val="18"/>
                <w:u w:val="none"/>
                <w:lang w:eastAsia="zh-CN"/>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highlight w:val="cyan"/>
                <w:u w:val="none"/>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微软雅黑" w:hAnsi="微软雅黑" w:eastAsia="微软雅黑" w:cs="微软雅黑"/>
                <w:i/>
                <w:iCs/>
                <w:color w:val="000000"/>
                <w:sz w:val="16"/>
                <w:szCs w:val="16"/>
                <w:highlight w:val="cyan"/>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sz w:val="18"/>
                <w:szCs w:val="18"/>
                <w:u w:val="none"/>
                <w:lang w:val="en-US" w:eastAsia="zh-CN"/>
              </w:rPr>
              <w:t>30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18"/>
                <w:szCs w:val="18"/>
                <w:highlight w:val="cyan"/>
                <w:u w:val="none"/>
              </w:rPr>
            </w:pPr>
            <w:r>
              <w:rPr>
                <w:rFonts w:hint="eastAsia" w:ascii="宋体" w:hAnsi="宋体" w:eastAsia="宋体" w:cs="宋体"/>
                <w:i w:val="0"/>
                <w:color w:val="000000"/>
                <w:sz w:val="18"/>
                <w:szCs w:val="18"/>
                <w:u w:val="none"/>
                <w:lang w:val="en-US" w:eastAsia="zh-CN"/>
              </w:rPr>
              <w:t>30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1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严格执行相关政策，按时足额支付，预算编制科学合理，无结余资金。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项目负责人：李迷</w:t>
            </w:r>
          </w:p>
        </w:tc>
        <w:tc>
          <w:tcPr>
            <w:tcW w:w="255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财务负责人：周龙华</w:t>
            </w:r>
          </w:p>
        </w:tc>
      </w:tr>
    </w:tbl>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default" w:ascii="Times New Roman" w:hAnsi="Times New Roman" w:cs="Times New Roman"/>
          <w:b w:val="0"/>
          <w:bCs w:val="0"/>
          <w:i w:val="0"/>
          <w:iCs w:val="0"/>
          <w:sz w:val="32"/>
          <w:szCs w:val="32"/>
          <w:highlight w:val="yellow"/>
          <w:lang w:val="zh-CN" w:eastAsia="zh-CN"/>
        </w:rPr>
      </w:pPr>
    </w:p>
    <w:p>
      <w:pPr>
        <w:pStyle w:val="9"/>
        <w:rPr>
          <w:rFonts w:hint="default" w:ascii="Times New Roman" w:hAnsi="Times New Roman" w:cs="Times New Roman"/>
          <w:b w:val="0"/>
          <w:bCs w:val="0"/>
          <w:i w:val="0"/>
          <w:iCs w:val="0"/>
          <w:color w:val="FF0000"/>
          <w:kern w:val="0"/>
          <w:sz w:val="32"/>
          <w:szCs w:val="32"/>
          <w:highlight w:val="yellow"/>
          <w:shd w:val="clear" w:color="auto" w:fill="FFFFFF"/>
          <w:lang w:val="zh-CN"/>
        </w:rPr>
      </w:pPr>
    </w:p>
    <w:p>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pPr>
        <w:pStyle w:val="2"/>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pPr>
        <w:pStyle w:val="3"/>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p>
    <w:p>
      <w:pPr>
        <w:rPr>
          <w:rFonts w:hint="default" w:ascii="Times New Roman" w:hAnsi="Times New Roman" w:eastAsia="黑体" w:cs="Times New Roman"/>
          <w:b w:val="0"/>
          <w:bCs w:val="0"/>
          <w:i w:val="0"/>
          <w:iCs w:val="0"/>
          <w:color w:val="auto"/>
          <w:kern w:val="0"/>
          <w:sz w:val="32"/>
          <w:szCs w:val="32"/>
          <w:highlight w:val="none"/>
          <w:shd w:val="clear" w:color="auto" w:fill="FFFFFF"/>
          <w:lang w:val="zh-CN"/>
        </w:rPr>
      </w:pPr>
      <w:r>
        <w:rPr>
          <w:rFonts w:hint="default" w:ascii="Times New Roman" w:hAnsi="Times New Roman" w:eastAsia="黑体" w:cs="Times New Roman"/>
          <w:b w:val="0"/>
          <w:bCs w:val="0"/>
          <w:i w:val="0"/>
          <w:iCs w:val="0"/>
          <w:color w:val="auto"/>
          <w:kern w:val="0"/>
          <w:sz w:val="32"/>
          <w:szCs w:val="32"/>
          <w:highlight w:val="none"/>
          <w:shd w:val="clear" w:color="auto" w:fill="FFFFFF"/>
          <w:lang w:val="zh-CN"/>
        </w:rPr>
        <w:br w:type="page"/>
      </w:r>
    </w:p>
    <w:p>
      <w:pPr>
        <w:rPr>
          <w:rFonts w:hint="default" w:ascii="Times New Roman" w:hAnsi="Times New Roman" w:eastAsia="黑体" w:cs="Times New Roman"/>
          <w:b w:val="0"/>
          <w:bCs w:val="0"/>
          <w:i w:val="0"/>
          <w:iCs w:val="0"/>
          <w:color w:val="auto"/>
          <w:sz w:val="32"/>
          <w:szCs w:val="32"/>
          <w:highlight w:val="none"/>
          <w:lang w:val="en-US" w:eastAsia="zh-CN"/>
        </w:rPr>
      </w:pPr>
      <w:r>
        <w:rPr>
          <w:rFonts w:hint="default" w:ascii="Times New Roman" w:hAnsi="Times New Roman" w:eastAsia="黑体" w:cs="Times New Roman"/>
          <w:b w:val="0"/>
          <w:bCs w:val="0"/>
          <w:i w:val="0"/>
          <w:iCs w:val="0"/>
          <w:color w:val="auto"/>
          <w:kern w:val="0"/>
          <w:sz w:val="32"/>
          <w:szCs w:val="32"/>
          <w:highlight w:val="none"/>
          <w:shd w:val="clear" w:color="auto" w:fill="FFFFFF"/>
          <w:lang w:val="zh-CN"/>
        </w:rPr>
        <w:t>附件</w:t>
      </w:r>
      <w:r>
        <w:rPr>
          <w:rFonts w:hint="default" w:ascii="Times New Roman" w:hAnsi="Times New Roman" w:eastAsia="黑体" w:cs="Times New Roman"/>
          <w:b w:val="0"/>
          <w:bCs w:val="0"/>
          <w:i w:val="0"/>
          <w:iCs w:val="0"/>
          <w:color w:val="auto"/>
          <w:kern w:val="0"/>
          <w:sz w:val="32"/>
          <w:szCs w:val="32"/>
          <w:highlight w:val="none"/>
          <w:shd w:val="clear" w:color="auto" w:fill="FFFFFF"/>
          <w:lang w:val="en-US" w:eastAsia="zh-CN"/>
        </w:rPr>
        <w:t>2</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pPr>
        <w:pStyle w:val="9"/>
        <w:numPr>
          <w:ilvl w:val="-1"/>
          <w:numId w:val="0"/>
        </w:numPr>
        <w:kinsoku w:val="0"/>
        <w:overflowPunct w:val="0"/>
        <w:spacing w:before="0" w:line="660" w:lineRule="exact"/>
        <w:ind w:left="0"/>
        <w:jc w:val="center"/>
        <w:rPr>
          <w:rFonts w:hint="default" w:ascii="仿宋" w:hAnsi="仿宋" w:eastAsia="仿宋" w:cs="仿宋_GB2312"/>
          <w:b/>
          <w:bCs/>
          <w:color w:val="000000"/>
          <w:sz w:val="32"/>
          <w:szCs w:val="32"/>
          <w:highlight w:val="none"/>
          <w:lang w:eastAsia="zh-CN"/>
        </w:rPr>
      </w:pPr>
      <w:r>
        <w:rPr>
          <w:rFonts w:hint="eastAsia" w:ascii="仿宋" w:hAnsi="仿宋" w:eastAsia="仿宋" w:cs="仿宋_GB2312"/>
          <w:b/>
          <w:bCs/>
          <w:color w:val="000000"/>
          <w:sz w:val="32"/>
          <w:szCs w:val="32"/>
          <w:highlight w:val="none"/>
          <w:lang w:eastAsia="zh-CN"/>
        </w:rPr>
        <w:t>（建国初期革命人员困难补助）</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pP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zh-CN"/>
        </w:rPr>
        <w:t>应</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t>《中共遂宁市安居区委组织部 中共遂宁市安居区委老干部局 遂宁市安居区财政局 遂宁市安居区人力资源和社会保障局关于给予胡宗良等十一名退休干部困难补助的通知》（遂安组委干退〔2011〕6号）</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zh-CN"/>
        </w:rPr>
        <w:t>通知，</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建国初期参加革命工作的退休人员困难补助由</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区</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社保局具体负责，</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该项目由</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退管股具</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体经办</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由</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财务股</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对项目资金进行申请、拨付、票据审核、财务处理。</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t>严格按照局机关财务制度对建国初期革命人员困难补助项目资金进行管理</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zh-CN"/>
        </w:rPr>
        <w:t>，</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t>按照相关规定拨付给应领取人员。</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通过项目实施，保障了建国初期革命人员困难补助的发放。申报的内容与实际相符，申报目标合理可行。</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按照发放要求，</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采取</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每月及时足额拨付的</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方式进行审批支付</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保障了建国初期革命人员困难补助</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到人</w:t>
      </w:r>
      <w:r>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的发放。</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green"/>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项目整体绩效目标：要求根据项目实施情况及时进行结算并支付，坚持专款专用原则，杜绝截留、挤占、挪用、序列名目等违法违规现象，支付率达到</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100%，</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，群众满意度不低于</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en-US" w:eastAsia="zh-CN"/>
        </w:rPr>
        <w:t>95%</w:t>
      </w:r>
      <w:r>
        <w:rPr>
          <w:rFonts w:hint="eastAsia" w:ascii="Times New Roman" w:hAnsi="Times New Roman" w:eastAsia="仿宋_GB2312" w:cs="Times New Roman"/>
          <w:b w:val="0"/>
          <w:bCs w:val="0"/>
          <w:i w:val="0"/>
          <w:iCs w:val="0"/>
          <w:color w:val="auto"/>
          <w:kern w:val="0"/>
          <w:sz w:val="32"/>
          <w:szCs w:val="32"/>
          <w:highlight w:val="none"/>
          <w:u w:val="none"/>
          <w:shd w:val="clear" w:color="auto" w:fill="FFFFFF"/>
          <w:lang w:val="zh-CN" w:eastAsia="zh-CN"/>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区社保局</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分别对该项目实施前、中、后进行绩效自评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通过项目绩效自评提高财政资源配置效率和使用效益</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，建立科学、合理的项目支出绩效评价管理体系，为全面实施预算绩效管理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按照绩效评价指标体系，资金支出使用全过程均紧扣项目实施进度进行资金结算支付，并严格按照专款专用的原则进行，不存在挪用、截留等违反财经纪律现象。</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项目绩效自评主要通过资金使用进度及适用范围进行了抽样，发现均不存在违规违纪现象，较好保障了项目实施。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一是认真开展前期工作。根据下发的有关文件要求，我局迅速向主要负责人报告有关情况。按照主要领导的指示意见，组建了绩效评价管理工作领导小组，迅速开展前期各项准备工作。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二是有序开展绩效评价。为确保绩效评价工作落到实处，取得成效，我局召开了专题工作部署会，对组织开展绩效考评明确了具体要求，对绩效评价指标进行了详细解读，并对可能出现的问题准备了各种预案，为组织开展好绩效考评工作奠定了基础。根据实施方案要求，我局组织力量进行了逐一梳理，并进行了数据分析，形成了绩效评价报告。</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为提高财政资金使用效益，区社保局成立了局长为组长、班子成员为副组长，各股室负责人为成员的绩效评价小组。分别对项目实施绩效进行评价</w:t>
      </w:r>
      <w:r>
        <w:rPr>
          <w:rFonts w:hint="eastAsia" w:eastAsia="仿宋_GB2312" w:cs="仿宋_GB2312"/>
          <w:kern w:val="0"/>
          <w:sz w:val="32"/>
          <w:szCs w:val="32"/>
          <w:lang w:val="zh-CN" w:eastAsia="zh-CN" w:bidi="ar"/>
        </w:rPr>
        <w:t>。</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1.</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项目决策。</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该项目实施是根据《中共遂宁市安居区委组织部 中共遂宁市安居区委老干部局 遂宁市安居区财政局 遂宁市安居区人力资源和社会保障局关于给予胡宗良等十一名退休干部困难补助的通知》（遂安组委干退〔2011〕6号）的通知纳入预算，</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对项目实施的必要性进行充分分析论证确定，立项依据充分</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2.</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管理。建国初期参加革命工作的退休人员困难补助由区社保局具体负责，该项目由退管股具体经办，由财务股对项目资金进行申请、拨付、票据审核、财务处理。财务股严格执行财务管理制度，账务处理及时，会计核算规范。</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3.项目实施。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由退管股具体经办，财务股</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每月及时进行资金计划申报，并及时足额地将资金拨付给</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建国初期革命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困难</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补助人员，</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程序规范，保障了项目实施有序开展，基本到达预期效果</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4.项目结果。通过项目实施，保障了建国初期革命人员困难补助的发放</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，确保了建国初期革命人员每月生活水平的提高</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根据专项预算项目资金支持对象选择所属指标进行绩效分析。该项目实施</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用于拨付建国初期革命人员困难补助</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，提升</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了建国初期革命人员生活水平，创造了良好的社会效益</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default" w:ascii="Times New Roman" w:hAnsi="Times New Roman" w:eastAsia="仿宋_GB2312" w:cs="Times New Roman"/>
          <w:b w:val="0"/>
          <w:bCs w:val="0"/>
          <w:i w:val="0"/>
          <w:iCs w:val="0"/>
          <w:sz w:val="32"/>
          <w:szCs w:val="32"/>
          <w:highlight w:val="none"/>
          <w:lang w:val="zh-CN" w:eastAsia="zh-CN"/>
        </w:rPr>
        <w:t>该项目实施</w:t>
      </w:r>
      <w:r>
        <w:rPr>
          <w:rFonts w:hint="eastAsia" w:ascii="Times New Roman" w:hAnsi="Times New Roman" w:eastAsia="仿宋_GB2312" w:cs="Times New Roman"/>
          <w:b w:val="0"/>
          <w:bCs w:val="0"/>
          <w:i w:val="0"/>
          <w:iCs w:val="0"/>
          <w:sz w:val="32"/>
          <w:szCs w:val="32"/>
          <w:highlight w:val="none"/>
          <w:lang w:val="zh-CN" w:eastAsia="zh-CN"/>
        </w:rPr>
        <w:t>用于拨付建国初期革命人员困难补助</w:t>
      </w:r>
      <w:r>
        <w:rPr>
          <w:rFonts w:hint="default" w:ascii="Times New Roman" w:hAnsi="Times New Roman" w:eastAsia="仿宋_GB2312" w:cs="Times New Roman"/>
          <w:b w:val="0"/>
          <w:bCs w:val="0"/>
          <w:i w:val="0"/>
          <w:iCs w:val="0"/>
          <w:sz w:val="32"/>
          <w:szCs w:val="32"/>
          <w:highlight w:val="none"/>
          <w:lang w:val="zh-CN" w:eastAsia="zh-CN"/>
        </w:rPr>
        <w:t>，提升</w:t>
      </w:r>
      <w:r>
        <w:rPr>
          <w:rFonts w:hint="eastAsia" w:ascii="Times New Roman" w:hAnsi="Times New Roman" w:eastAsia="仿宋_GB2312" w:cs="Times New Roman"/>
          <w:b w:val="0"/>
          <w:bCs w:val="0"/>
          <w:i w:val="0"/>
          <w:iCs w:val="0"/>
          <w:sz w:val="32"/>
          <w:szCs w:val="32"/>
          <w:highlight w:val="none"/>
          <w:lang w:val="zh-CN" w:eastAsia="zh-CN"/>
        </w:rPr>
        <w:t>了建国初期革命人员生活水平</w:t>
      </w:r>
      <w:r>
        <w:rPr>
          <w:rFonts w:hint="default" w:ascii="Times New Roman" w:hAnsi="Times New Roman" w:eastAsia="仿宋_GB2312" w:cs="Times New Roman"/>
          <w:b w:val="0"/>
          <w:bCs w:val="0"/>
          <w:i w:val="0"/>
          <w:iCs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提升了建国初期革命人员生活水平</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r>
        <w:rPr>
          <w:rFonts w:hint="eastAsia"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eastAsia="仿宋_GB2312" w:cs="Times New Roman"/>
          <w:b w:val="0"/>
          <w:bCs w:val="0"/>
          <w:i w:val="0"/>
          <w:iCs w:val="0"/>
          <w:sz w:val="32"/>
          <w:szCs w:val="32"/>
          <w:highlight w:val="none"/>
          <w:lang w:val="zh-CN" w:eastAsia="zh-CN"/>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sz w:val="32"/>
          <w:szCs w:val="32"/>
          <w:highlight w:val="none"/>
          <w:lang w:val="en-US" w:eastAsia="zh-CN"/>
        </w:rPr>
        <w:t>.</w:t>
      </w:r>
      <w:r>
        <w:rPr>
          <w:rFonts w:hint="default" w:ascii="Times New Roman" w:hAnsi="Times New Roman" w:eastAsia="仿宋_GB2312" w:cs="Times New Roman"/>
          <w:b w:val="0"/>
          <w:bCs w:val="0"/>
          <w:i w:val="0"/>
          <w:iCs w:val="0"/>
          <w:sz w:val="32"/>
          <w:szCs w:val="32"/>
          <w:highlight w:val="none"/>
          <w:lang w:val="zh-CN" w:eastAsia="zh-CN"/>
        </w:rPr>
        <w:t>行政运转。严格按照区财政局相关文件安排财务开支，做到严格把关、落实制度、程序规范</w:t>
      </w:r>
      <w:r>
        <w:rPr>
          <w:rFonts w:hint="eastAsia" w:eastAsia="仿宋_GB2312" w:cs="Times New Roman"/>
          <w:b w:val="0"/>
          <w:bCs w:val="0"/>
          <w:i w:val="0"/>
          <w:iCs w:val="0"/>
          <w:sz w:val="32"/>
          <w:szCs w:val="32"/>
          <w:highlight w:val="none"/>
          <w:lang w:val="zh-CN" w:eastAsia="zh-CN"/>
        </w:rPr>
        <w:t>。</w:t>
      </w:r>
    </w:p>
    <w:p>
      <w:pPr>
        <w:pStyle w:val="22"/>
        <w:rPr>
          <w:rFonts w:hint="default"/>
          <w:lang w:val="en-US" w:eastAsia="zh-CN"/>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p>
    <w:p>
      <w:pPr>
        <w:pStyle w:val="2"/>
        <w:rPr>
          <w:rFonts w:hint="default"/>
          <w:lang w:val="en-US" w:eastAsia="zh-CN"/>
        </w:rPr>
      </w:pPr>
    </w:p>
    <w:p>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该项目年初调整后预算数1.27万元，执行数为1.27万元。通过项目实施保障了建国初期革命人员困难补助的发放</w:t>
      </w:r>
      <w:r>
        <w:rPr>
          <w:rFonts w:hint="eastAsia" w:ascii="Times New Roman" w:hAnsi="Times New Roman" w:cs="Times New Roman"/>
          <w:b w:val="0"/>
          <w:bCs w:val="0"/>
          <w:i w:val="0"/>
          <w:iCs w:val="0"/>
          <w:kern w:val="0"/>
          <w:position w:val="0"/>
          <w:sz w:val="32"/>
          <w:szCs w:val="32"/>
          <w:highlight w:val="none"/>
          <w:lang w:val="en-US" w:eastAsia="zh-CN" w:bidi="ar-SA"/>
        </w:rPr>
        <w:t>,自评得分100分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cs="Times New Roman"/>
          <w:b w:val="0"/>
          <w:bCs w:val="0"/>
          <w:i w:val="0"/>
          <w:iCs w:val="0"/>
          <w:kern w:val="2"/>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en-US" w:eastAsia="zh-CN" w:bidi="ar-SA"/>
        </w:rPr>
        <w:t>无</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pPr>
        <w:tabs>
          <w:tab w:val="left" w:pos="1911"/>
        </w:tabs>
        <w:ind w:firstLine="631"/>
        <w:jc w:val="left"/>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en-US" w:eastAsia="zh-CN" w:bidi="ar-SA"/>
        </w:rPr>
        <w:t>无</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default"/>
          <w:lang w:val="en" w:eastAsia="zh-CN"/>
        </w:rPr>
        <w:br w:type="page"/>
      </w: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pPr>
        <w:pStyle w:val="9"/>
        <w:kinsoku w:val="0"/>
        <w:overflowPunct w:val="0"/>
        <w:spacing w:before="0" w:line="660" w:lineRule="exact"/>
        <w:ind w:left="0"/>
        <w:jc w:val="center"/>
        <w:rPr>
          <w:rFonts w:hint="eastAsia" w:ascii="仿宋" w:hAnsi="仿宋" w:eastAsia="仿宋" w:cs="仿宋_GB2312"/>
          <w:b/>
          <w:bCs/>
          <w:color w:val="000000"/>
          <w:sz w:val="32"/>
          <w:szCs w:val="32"/>
          <w:highlight w:val="none"/>
          <w:lang w:eastAsia="zh-CN"/>
        </w:rPr>
      </w:pPr>
      <w:r>
        <w:rPr>
          <w:rFonts w:hint="eastAsia" w:ascii="仿宋" w:hAnsi="仿宋" w:eastAsia="仿宋" w:cs="仿宋_GB2312"/>
          <w:b/>
          <w:bCs/>
          <w:color w:val="000000"/>
          <w:sz w:val="32"/>
          <w:szCs w:val="32"/>
          <w:highlight w:val="none"/>
          <w:lang w:eastAsia="zh-CN"/>
        </w:rPr>
        <w:t>（</w:t>
      </w:r>
      <w:r>
        <w:rPr>
          <w:rFonts w:hint="eastAsia" w:ascii="仿宋" w:hAnsi="仿宋" w:eastAsia="仿宋" w:cs="仿宋_GB2312"/>
          <w:b/>
          <w:bCs/>
          <w:color w:val="000000"/>
          <w:sz w:val="32"/>
          <w:szCs w:val="32"/>
          <w:highlight w:val="none"/>
          <w:lang w:val="en-US" w:eastAsia="zh-CN"/>
        </w:rPr>
        <w:t>离休干部遗孀生活补助</w:t>
      </w:r>
      <w:r>
        <w:rPr>
          <w:rFonts w:hint="eastAsia" w:ascii="仿宋" w:hAnsi="仿宋" w:eastAsia="仿宋" w:cs="仿宋_GB2312"/>
          <w:b/>
          <w:bCs/>
          <w:color w:val="000000"/>
          <w:sz w:val="32"/>
          <w:szCs w:val="32"/>
          <w:highlight w:val="none"/>
          <w:lang w:eastAsia="zh-CN"/>
        </w:rPr>
        <w:t>）</w:t>
      </w:r>
    </w:p>
    <w:p>
      <w:pPr>
        <w:pStyle w:val="2"/>
        <w:ind w:firstLine="631"/>
        <w:rPr>
          <w:rFonts w:hint="default"/>
          <w:lang w:val="en"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eastAsia" w:ascii="Times New Roman" w:hAnsi="Times New Roman" w:eastAsia="仿宋_GB2312" w:cs="Times New Roman"/>
          <w:b w:val="0"/>
          <w:bCs w:val="0"/>
          <w:i w:val="0"/>
          <w:iCs w:val="0"/>
          <w:kern w:val="0"/>
          <w:position w:val="0"/>
          <w:sz w:val="32"/>
          <w:szCs w:val="32"/>
          <w:highlight w:val="none"/>
          <w:lang w:val="zh-CN" w:eastAsia="zh-CN" w:bidi="ar-SA"/>
        </w:rPr>
        <w:t>遂安委老（2009）7号关于落实离休干部遗孀何治秀生活补贴的函规定，由社保局每月代发何治秀生活补贴</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该项目由</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退管股具</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体经办</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由</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财务股</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对项目资金进行申请、拨付、票据审核、财务处理。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严格按照局机关财务制度对</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离休干部遗孀何治秀</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项目资金进行管理</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按照相关规定拨付给应领取人员。</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通过项目实施，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保障了离休干部遗孀生活补助的发放</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。申报的内容与实际相符，申报目标合理可行。</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按照发放要求，</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采取</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每月及时足额拨付的</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方式进行审批支付</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保障了离休干部遗孀生活补助及时足额的发放</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green"/>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项目整体绩效目标：要求根据项目实施情况及时进行结算并支付，坚持专款专用原则，杜绝截留、挤占、挪用、序列名目等违法违规现象，支付率达到</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100%，</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，群众满意度不低于</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95%</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区社保局</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分别对该项目实施前、中、后进行绩效自评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通过项目绩效自评提高财政资源配置效率和使用效益</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，建立科学、合理的项目支出绩效评价管理体系，为全面实施预算绩效管理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按照绩效评价指标体系，资金支出使用全过程均紧扣项目实施进度进行资金结算支付，并严格按照专款专用的原则进行，不存在挪用、截留等违反财经纪律现象。</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项目绩效自评主要通过资金使用进度及适用范围进行了抽样，发现均不存在违规违纪现象，较好保障了项目实施。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一是认真开展前期工作。根据下发的有关文件要求，我局迅速向主要负责人报告有关情况。按照主要领导的指示意见，组建了绩效评价管理工作领导小组，迅速开展前期各项准备工作。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二是有序开展绩效评价。为确保绩效评价工作落到实处，取得成效，我局召开了专题工作部署会，对组织开展绩效考评明确了具体要求，对绩效评价指标进行了详细解读，并对可能出现的问题准备了各种预案，为组织开展好绩效考评工作奠定了基础。根据实施方案要求，我局组织力量进行了逐一梳理，并进行了数据分析，形成了绩效评价报告。</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eastAsia" w:eastAsia="仿宋_GB2312" w:cs="仿宋_GB2312"/>
          <w:kern w:val="0"/>
          <w:sz w:val="32"/>
          <w:szCs w:val="32"/>
          <w:lang w:val="zh-CN" w:eastAsia="zh-CN" w:bidi="ar"/>
        </w:rPr>
        <w:t>为提高财政资金使用效益，区</w:t>
      </w:r>
      <w:r>
        <w:rPr>
          <w:rFonts w:hint="eastAsia" w:cs="仿宋_GB2312"/>
          <w:kern w:val="0"/>
          <w:sz w:val="32"/>
          <w:szCs w:val="32"/>
          <w:lang w:val="zh-CN" w:eastAsia="zh-CN" w:bidi="ar"/>
        </w:rPr>
        <w:t>社保局</w:t>
      </w:r>
      <w:r>
        <w:rPr>
          <w:rFonts w:hint="eastAsia" w:eastAsia="仿宋_GB2312" w:cs="仿宋_GB2312"/>
          <w:kern w:val="0"/>
          <w:sz w:val="32"/>
          <w:szCs w:val="32"/>
          <w:lang w:val="zh-CN" w:eastAsia="zh-CN" w:bidi="ar"/>
        </w:rPr>
        <w:t>成立了局长为组长、班子成员为副组长，各股室负责人为成员的绩效评价小组。分别对项目实施绩效进行评价。</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围绕决策程序、规划论证、资金投向进行绩效分析。</w:t>
      </w:r>
      <w:r>
        <w:rPr>
          <w:rFonts w:hint="eastAsia" w:eastAsia="仿宋_GB2312" w:cs="仿宋_GB2312"/>
          <w:kern w:val="2"/>
          <w:sz w:val="32"/>
          <w:szCs w:val="32"/>
          <w:lang w:val="en-US" w:eastAsia="zh-CN" w:bidi="ar"/>
        </w:rPr>
        <w:t>该项目实施是根据</w:t>
      </w:r>
      <w:r>
        <w:rPr>
          <w:rFonts w:hint="eastAsia" w:ascii="Times New Roman" w:hAnsi="Times New Roman" w:eastAsia="仿宋_GB2312" w:cs="Times New Roman"/>
          <w:color w:val="000000"/>
          <w:kern w:val="2"/>
          <w:sz w:val="32"/>
          <w:szCs w:val="32"/>
          <w:lang w:val="en-US" w:eastAsia="zh-CN" w:bidi="ar-SA"/>
        </w:rPr>
        <w:t>遂安委老（2009）7号关于落实离休干部遗孀何治秀生活补贴的函规定，由社保局每月代发何治秀生活补贴</w:t>
      </w:r>
      <w:r>
        <w:rPr>
          <w:rFonts w:hint="eastAsia" w:eastAsia="仿宋_GB2312" w:cs="仿宋_GB2312"/>
          <w:kern w:val="2"/>
          <w:sz w:val="32"/>
          <w:szCs w:val="32"/>
          <w:lang w:val="en-US" w:eastAsia="zh-CN" w:bidi="ar"/>
        </w:rPr>
        <w:t>纳入预算</w:t>
      </w:r>
      <w:r>
        <w:rPr>
          <w:rFonts w:hint="eastAsia" w:cs="仿宋_GB2312"/>
          <w:kern w:val="2"/>
          <w:sz w:val="32"/>
          <w:szCs w:val="32"/>
          <w:lang w:val="en-US" w:eastAsia="zh-CN" w:bidi="ar"/>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对项目实施的必要性进行充分分析论证确定，</w:t>
      </w:r>
      <w:r>
        <w:rPr>
          <w:rFonts w:hint="default" w:ascii="Times New Roman" w:hAnsi="Times New Roman" w:eastAsia="仿宋_GB2312" w:cs="Times New Roman"/>
          <w:color w:val="000000"/>
          <w:kern w:val="2"/>
          <w:sz w:val="32"/>
          <w:szCs w:val="32"/>
          <w:lang w:val="zh-CN" w:eastAsia="zh-CN" w:bidi="ar-SA"/>
        </w:rPr>
        <w:t>立项依据充</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分</w:t>
      </w:r>
      <w:r>
        <w:rPr>
          <w:rFonts w:hint="eastAsia"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eastAsia" w:ascii="Times New Roman" w:hAnsi="Times New Roman" w:eastAsia="仿宋_GB2312" w:cs="Times New Roman"/>
          <w:color w:val="000000"/>
          <w:kern w:val="2"/>
          <w:sz w:val="32"/>
          <w:szCs w:val="32"/>
          <w:lang w:val="en-US" w:eastAsia="zh-CN" w:bidi="ar-SA"/>
        </w:rPr>
        <w:t>离休干部遗孀何治秀生活补贴</w:t>
      </w:r>
      <w:r>
        <w:rPr>
          <w:rFonts w:hint="default" w:ascii="Times New Roman" w:hAnsi="Times New Roman" w:eastAsia="仿宋_GB2312" w:cs="Times New Roman"/>
          <w:color w:val="000000"/>
          <w:kern w:val="2"/>
          <w:sz w:val="32"/>
          <w:szCs w:val="32"/>
          <w:lang w:val="zh-CN" w:eastAsia="zh-CN" w:bidi="ar-SA"/>
        </w:rPr>
        <w:t>由区社保局具体负责，该项目由退管股具体经办，由财务股对项目资金进行申请、拨付、票据审核、财务处理。财务股严格执行财务管理制度，账务处理及时，会计核算规范</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eastAsia" w:ascii="Times New Roman" w:hAnsi="Times New Roman" w:eastAsia="仿宋_GB2312" w:cs="Times New Roman"/>
          <w:color w:val="000000"/>
          <w:kern w:val="2"/>
          <w:sz w:val="32"/>
          <w:szCs w:val="32"/>
          <w:lang w:val="en-US" w:eastAsia="zh-CN" w:bidi="ar-SA"/>
        </w:rPr>
        <w:t>由退管股具体经办，财务股</w:t>
      </w:r>
      <w:r>
        <w:rPr>
          <w:rFonts w:hint="eastAsia" w:ascii="Times New Roman" w:hAnsi="Times New Roman" w:eastAsia="仿宋_GB2312" w:cs="Times New Roman"/>
          <w:color w:val="000000"/>
          <w:kern w:val="2"/>
          <w:sz w:val="32"/>
          <w:szCs w:val="32"/>
          <w:lang w:val="zh-CN" w:eastAsia="zh-CN" w:bidi="ar-SA"/>
        </w:rPr>
        <w:t>及时进行资金计划申报，并及时足额地将资金拨付给</w:t>
      </w:r>
      <w:r>
        <w:rPr>
          <w:rFonts w:hint="eastAsia" w:ascii="Times New Roman" w:hAnsi="Times New Roman" w:eastAsia="仿宋_GB2312" w:cs="Times New Roman"/>
          <w:color w:val="000000"/>
          <w:kern w:val="2"/>
          <w:sz w:val="32"/>
          <w:szCs w:val="32"/>
          <w:lang w:val="en-US" w:eastAsia="zh-CN" w:bidi="ar-SA"/>
        </w:rPr>
        <w:t>离休干部遗孀何治秀</w:t>
      </w:r>
      <w:r>
        <w:rPr>
          <w:rFonts w:hint="eastAsia" w:ascii="Times New Roman" w:hAnsi="Times New Roman" w:eastAsia="仿宋_GB2312" w:cs="Times New Roman"/>
          <w:color w:val="000000"/>
          <w:kern w:val="2"/>
          <w:sz w:val="32"/>
          <w:szCs w:val="32"/>
          <w:lang w:val="zh-CN" w:eastAsia="zh-CN" w:bidi="ar-SA"/>
        </w:rPr>
        <w:t>，</w:t>
      </w:r>
      <w:r>
        <w:rPr>
          <w:rFonts w:hint="eastAsia" w:ascii="Times New Roman" w:hAnsi="Times New Roman" w:eastAsia="仿宋_GB2312" w:cs="Times New Roman"/>
          <w:color w:val="000000"/>
          <w:kern w:val="2"/>
          <w:sz w:val="32"/>
          <w:szCs w:val="32"/>
          <w:lang w:val="en-US" w:eastAsia="zh-CN" w:bidi="ar-SA"/>
        </w:rPr>
        <w:t>程序规范，保障了项目实施有序开展，基本到达预期效果</w:t>
      </w:r>
      <w:r>
        <w:rPr>
          <w:rFonts w:hint="eastAsia" w:ascii="Times New Roman" w:hAnsi="Times New Roman"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color w:val="000000"/>
          <w:kern w:val="2"/>
          <w:sz w:val="32"/>
          <w:szCs w:val="32"/>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default" w:ascii="Times New Roman" w:hAnsi="Times New Roman" w:eastAsia="仿宋_GB2312" w:cs="Times New Roman"/>
          <w:b w:val="0"/>
          <w:bCs w:val="0"/>
          <w:i w:val="0"/>
          <w:iCs w:val="0"/>
          <w:kern w:val="0"/>
          <w:position w:val="0"/>
          <w:sz w:val="32"/>
          <w:szCs w:val="32"/>
          <w:highlight w:val="none"/>
          <w:lang w:val="en-US" w:eastAsia="zh-CN" w:bidi="ar-SA"/>
        </w:rPr>
        <w:t>通</w:t>
      </w:r>
      <w:r>
        <w:rPr>
          <w:rFonts w:hint="default" w:ascii="Times New Roman" w:hAnsi="Times New Roman" w:eastAsia="仿宋_GB2312" w:cs="Times New Roman"/>
          <w:color w:val="000000"/>
          <w:kern w:val="2"/>
          <w:sz w:val="32"/>
          <w:szCs w:val="32"/>
          <w:lang w:val="en-US" w:eastAsia="zh-CN" w:bidi="ar-SA"/>
        </w:rPr>
        <w:t>过项目实施，保障了</w:t>
      </w:r>
      <w:r>
        <w:rPr>
          <w:rFonts w:hint="eastAsia" w:ascii="Times New Roman" w:hAnsi="Times New Roman" w:eastAsia="仿宋_GB2312" w:cs="Times New Roman"/>
          <w:color w:val="000000"/>
          <w:kern w:val="2"/>
          <w:sz w:val="32"/>
          <w:szCs w:val="32"/>
          <w:lang w:val="en-US" w:eastAsia="zh-CN" w:bidi="ar-SA"/>
        </w:rPr>
        <w:t>离休干部遗孀何治秀生活补贴</w:t>
      </w:r>
      <w:r>
        <w:rPr>
          <w:rFonts w:hint="default" w:ascii="Times New Roman" w:hAnsi="Times New Roman" w:eastAsia="仿宋_GB2312" w:cs="Times New Roman"/>
          <w:color w:val="000000"/>
          <w:kern w:val="2"/>
          <w:sz w:val="32"/>
          <w:szCs w:val="32"/>
          <w:lang w:val="en-US" w:eastAsia="zh-CN" w:bidi="ar-SA"/>
        </w:rPr>
        <w:t>的发放</w:t>
      </w:r>
      <w:r>
        <w:rPr>
          <w:rFonts w:hint="eastAsia" w:ascii="Times New Roman" w:hAnsi="Times New Roman" w:eastAsia="仿宋_GB2312" w:cs="Times New Roman"/>
          <w:color w:val="000000"/>
          <w:kern w:val="2"/>
          <w:sz w:val="32"/>
          <w:szCs w:val="32"/>
          <w:lang w:val="en-US" w:eastAsia="zh-CN" w:bidi="ar-SA"/>
        </w:rPr>
        <w:t>，确保了离休干部遗孀何治秀每月生活水平的提高</w:t>
      </w:r>
      <w:r>
        <w:rPr>
          <w:rFonts w:hint="default" w:ascii="Times New Roman" w:hAnsi="Times New Roman" w:eastAsia="仿宋_GB2312" w:cs="Times New Roman"/>
          <w:color w:val="000000"/>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eastAsia="仿宋_GB2312" w:cs="Times New Roman"/>
          <w:b w:val="0"/>
          <w:bCs w:val="0"/>
          <w:i w:val="0"/>
          <w:iCs w:val="0"/>
          <w:kern w:val="0"/>
          <w:position w:val="0"/>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该项目实施</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用于拨付离休干部遗孀何治秀生活补贴</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，提升</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了</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离休干部遗孀何治秀</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生活水平，创造了良好的社会效益</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eastAsia="仿宋_GB2312" w:cs="Times New Roman"/>
          <w:b w:val="0"/>
          <w:bCs w:val="0"/>
          <w:i w:val="0"/>
          <w:iCs w:val="0"/>
          <w:kern w:val="0"/>
          <w:position w:val="0"/>
          <w:sz w:val="32"/>
          <w:szCs w:val="32"/>
          <w:highlight w:val="none"/>
          <w:lang w:val="en-US" w:eastAsia="zh-CN" w:bidi="ar-SA"/>
        </w:rPr>
        <w:t>无。</w:t>
      </w:r>
    </w:p>
    <w:p>
      <w:pPr>
        <w:pStyle w:val="2"/>
        <w:ind w:firstLine="640" w:firstLineChars="200"/>
        <w:rPr>
          <w:rFonts w:hint="default"/>
          <w:lang w:val="en-US" w:eastAsia="zh-CN"/>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eastAsia="仿宋_GB2312" w:cs="Times New Roman"/>
          <w:b w:val="0"/>
          <w:bCs w:val="0"/>
          <w:i w:val="0"/>
          <w:iCs w:val="0"/>
          <w:kern w:val="0"/>
          <w:position w:val="0"/>
          <w:sz w:val="32"/>
          <w:szCs w:val="32"/>
          <w:highlight w:val="none"/>
          <w:lang w:val="zh-CN" w:eastAsia="zh-CN" w:bidi="ar-SA"/>
        </w:rPr>
        <w:t>无。</w:t>
      </w:r>
    </w:p>
    <w:p>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cs="Times New Roman"/>
          <w:b w:val="0"/>
          <w:bCs w:val="0"/>
          <w:i w:val="0"/>
          <w:iCs w:val="0"/>
          <w:kern w:val="0"/>
          <w:position w:val="0"/>
          <w:sz w:val="32"/>
          <w:szCs w:val="32"/>
          <w:highlight w:val="none"/>
          <w:lang w:val="en-US" w:eastAsia="zh-CN" w:bidi="ar-SA"/>
        </w:rPr>
        <w:t>无</w:t>
      </w:r>
      <w:r>
        <w:rPr>
          <w:rFonts w:hint="eastAsia" w:ascii="Times New Roman" w:cs="Times New Roman"/>
          <w:b w:val="0"/>
          <w:bCs w:val="0"/>
          <w:i w:val="0"/>
          <w:iCs w:val="0"/>
          <w:kern w:val="0"/>
          <w:position w:val="0"/>
          <w:sz w:val="32"/>
          <w:szCs w:val="32"/>
          <w:highlight w:val="none"/>
          <w:lang w:val="en-US" w:eastAsia="zh-CN" w:bidi="ar-SA"/>
        </w:rPr>
        <w:t>。</w:t>
      </w:r>
    </w:p>
    <w:p>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该项目年初预算数1.5</w:t>
      </w:r>
      <w:r>
        <w:rPr>
          <w:rFonts w:hint="eastAsia" w:ascii="Times New Roman" w:hAnsi="Times New Roman" w:cs="Times New Roman"/>
          <w:b w:val="0"/>
          <w:bCs w:val="0"/>
          <w:i w:val="0"/>
          <w:iCs w:val="0"/>
          <w:kern w:val="0"/>
          <w:position w:val="0"/>
          <w:sz w:val="32"/>
          <w:szCs w:val="32"/>
          <w:highlight w:val="none"/>
          <w:lang w:val="en-US" w:eastAsia="zh-CN" w:bidi="ar-SA"/>
        </w:rPr>
        <w:t>1</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万元，执行数为1</w:t>
      </w:r>
      <w:r>
        <w:rPr>
          <w:rFonts w:hint="eastAsia" w:ascii="Times New Roman" w:hAnsi="Times New Roman" w:cs="Times New Roman"/>
          <w:b w:val="0"/>
          <w:bCs w:val="0"/>
          <w:i w:val="0"/>
          <w:iCs w:val="0"/>
          <w:kern w:val="0"/>
          <w:position w:val="0"/>
          <w:sz w:val="32"/>
          <w:szCs w:val="32"/>
          <w:highlight w:val="none"/>
          <w:lang w:val="en-US" w:eastAsia="zh-CN" w:bidi="ar-SA"/>
        </w:rPr>
        <w:t>.51</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万元。通过项目实施保障了</w:t>
      </w:r>
      <w:r>
        <w:rPr>
          <w:rFonts w:hint="eastAsia" w:ascii="Times New Roman" w:hAnsi="Times New Roman" w:eastAsia="仿宋_GB2312" w:cs="Times New Roman"/>
          <w:color w:val="000000"/>
          <w:kern w:val="2"/>
          <w:sz w:val="32"/>
          <w:szCs w:val="32"/>
          <w:lang w:val="en-US" w:eastAsia="zh-CN" w:bidi="ar-SA"/>
        </w:rPr>
        <w:t>离休干部遗孀何治秀</w:t>
      </w:r>
      <w:r>
        <w:rPr>
          <w:rFonts w:hint="eastAsia" w:ascii="Times New Roman" w:hAnsi="Times New Roman" w:cs="Times New Roman"/>
          <w:color w:val="000000"/>
          <w:kern w:val="2"/>
          <w:sz w:val="32"/>
          <w:szCs w:val="32"/>
          <w:lang w:val="en-US" w:eastAsia="zh-CN" w:bidi="ar-SA"/>
        </w:rPr>
        <w:t>生活补贴</w:t>
      </w:r>
      <w:r>
        <w:rPr>
          <w:rFonts w:hint="default" w:ascii="Times New Roman" w:hAnsi="Times New Roman" w:eastAsia="仿宋_GB2312" w:cs="Times New Roman"/>
          <w:b w:val="0"/>
          <w:bCs w:val="0"/>
          <w:i w:val="0"/>
          <w:iCs w:val="0"/>
          <w:kern w:val="0"/>
          <w:position w:val="0"/>
          <w:sz w:val="32"/>
          <w:szCs w:val="32"/>
          <w:highlight w:val="none"/>
          <w:lang w:val="en-US" w:eastAsia="zh-CN" w:bidi="ar-SA"/>
        </w:rPr>
        <w:t>的发放</w:t>
      </w:r>
      <w:r>
        <w:rPr>
          <w:rFonts w:hint="eastAsia" w:ascii="Times New Roman" w:hAnsi="Times New Roman" w:cs="Times New Roman"/>
          <w:b w:val="0"/>
          <w:bCs w:val="0"/>
          <w:i w:val="0"/>
          <w:iCs w:val="0"/>
          <w:kern w:val="0"/>
          <w:position w:val="0"/>
          <w:sz w:val="32"/>
          <w:szCs w:val="32"/>
          <w:highlight w:val="none"/>
          <w:lang w:val="en-US" w:eastAsia="zh-CN" w:bidi="ar-SA"/>
        </w:rPr>
        <w:t>,自评得分100分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cs="Times New Roman"/>
          <w:b w:val="0"/>
          <w:bCs w:val="0"/>
          <w:i w:val="0"/>
          <w:iCs w:val="0"/>
          <w:kern w:val="2"/>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en-US" w:eastAsia="zh-CN" w:bidi="ar-SA"/>
        </w:rPr>
        <w:t>无</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pPr>
        <w:tabs>
          <w:tab w:val="left" w:pos="1911"/>
        </w:tabs>
        <w:jc w:val="left"/>
        <w:rPr>
          <w:rFonts w:hint="default" w:ascii="Times New Roman" w:hAnsi="Times New Roman" w:eastAsia="仿宋_GB2312" w:cs="Times New Roman"/>
          <w:b w:val="0"/>
          <w:bCs w:val="0"/>
          <w:i w:val="0"/>
          <w:iCs w:val="0"/>
          <w:kern w:val="0"/>
          <w:position w:val="0"/>
          <w:sz w:val="32"/>
          <w:szCs w:val="32"/>
          <w:highlight w:val="none"/>
          <w:lang w:val="e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default" w:ascii="Times New Roman" w:hAnsi="Times New Roman" w:eastAsia="仿宋_GB2312" w:cs="Times New Roman"/>
          <w:b w:val="0"/>
          <w:bCs w:val="0"/>
          <w:i w:val="0"/>
          <w:iCs w:val="0"/>
          <w:kern w:val="0"/>
          <w:position w:val="0"/>
          <w:sz w:val="32"/>
          <w:szCs w:val="32"/>
          <w:highlight w:val="none"/>
          <w:lang w:val="en-US" w:eastAsia="zh-CN" w:bidi="ar-SA"/>
        </w:rPr>
        <w:t xml:space="preserve">   </w:t>
      </w:r>
      <w:r>
        <w:rPr>
          <w:rFonts w:hint="eastAsia" w:ascii="Times New Roman" w:hAnsi="Times New Roman" w:cs="Times New Roman"/>
          <w:b w:val="0"/>
          <w:bCs w:val="0"/>
          <w:i w:val="0"/>
          <w:iCs w:val="0"/>
          <w:kern w:val="0"/>
          <w:position w:val="0"/>
          <w:sz w:val="32"/>
          <w:szCs w:val="32"/>
          <w:highlight w:val="none"/>
          <w:lang w:val="en-US" w:eastAsia="zh-CN" w:bidi="ar-SA"/>
        </w:rPr>
        <w:t>无</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default" w:ascii="Times New Roman" w:hAnsi="Times New Roman" w:eastAsia="仿宋_GB2312" w:cs="Times New Roman"/>
          <w:b w:val="0"/>
          <w:bCs w:val="0"/>
          <w:i w:val="0"/>
          <w:iCs w:val="0"/>
          <w:color w:val="000000"/>
          <w:kern w:val="0"/>
          <w:szCs w:val="32"/>
          <w:highlight w:val="none"/>
          <w:shd w:val="clear" w:color="auto" w:fill="FFFFFF"/>
          <w:lang w:val="zh-CN" w:eastAsia="zh-CN"/>
        </w:rPr>
        <w:br w:type="page"/>
      </w: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pPr>
        <w:pStyle w:val="9"/>
        <w:kinsoku w:val="0"/>
        <w:overflowPunct w:val="0"/>
        <w:spacing w:before="0" w:line="660" w:lineRule="exact"/>
        <w:ind w:left="0"/>
        <w:jc w:val="center"/>
        <w:rPr>
          <w:rFonts w:hint="eastAsia" w:ascii="仿宋" w:hAnsi="仿宋" w:eastAsia="仿宋" w:cs="仿宋_GB2312"/>
          <w:b/>
          <w:bCs/>
          <w:color w:val="000000"/>
          <w:sz w:val="32"/>
          <w:szCs w:val="32"/>
          <w:highlight w:val="none"/>
          <w:lang w:eastAsia="zh-CN"/>
        </w:rPr>
      </w:pPr>
      <w:r>
        <w:rPr>
          <w:rFonts w:hint="eastAsia" w:ascii="仿宋" w:hAnsi="仿宋" w:eastAsia="仿宋" w:cs="仿宋_GB2312"/>
          <w:b/>
          <w:bCs/>
          <w:color w:val="000000"/>
          <w:sz w:val="32"/>
          <w:szCs w:val="32"/>
          <w:highlight w:val="none"/>
          <w:lang w:eastAsia="zh-CN"/>
        </w:rPr>
        <w:t>（</w:t>
      </w:r>
      <w:r>
        <w:rPr>
          <w:rFonts w:hint="eastAsia" w:ascii="仿宋" w:hAnsi="仿宋" w:eastAsia="仿宋" w:cs="仿宋_GB2312"/>
          <w:b/>
          <w:bCs/>
          <w:color w:val="000000"/>
          <w:sz w:val="32"/>
          <w:szCs w:val="32"/>
          <w:highlight w:val="none"/>
          <w:lang w:val="en-US" w:eastAsia="zh-CN"/>
        </w:rPr>
        <w:t>基金风险防控项目</w:t>
      </w:r>
      <w:r>
        <w:rPr>
          <w:rFonts w:hint="eastAsia" w:ascii="仿宋" w:hAnsi="仿宋" w:eastAsia="仿宋" w:cs="仿宋_GB2312"/>
          <w:b/>
          <w:bCs/>
          <w:color w:val="000000"/>
          <w:sz w:val="32"/>
          <w:szCs w:val="32"/>
          <w:highlight w:val="none"/>
          <w:lang w:eastAsia="zh-CN"/>
        </w:rPr>
        <w:t>）</w:t>
      </w:r>
    </w:p>
    <w:p>
      <w:pPr>
        <w:pStyle w:val="2"/>
        <w:ind w:firstLine="631"/>
        <w:rPr>
          <w:rFonts w:hint="default"/>
          <w:lang w:val="en"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pPr>
      <w:r>
        <w:rPr>
          <w:rFonts w:hint="eastAsia" w:ascii="Times New Roman" w:hAnsi="Times New Roman" w:eastAsia="仿宋_GB2312" w:cs="Times New Roman"/>
          <w:color w:val="000000"/>
          <w:kern w:val="2"/>
          <w:sz w:val="32"/>
          <w:szCs w:val="32"/>
          <w:lang w:val="zh-CN" w:eastAsia="zh-CN" w:bidi="ar-SA"/>
        </w:rPr>
        <w:t>该项目为区社保局持续性项目，主要根据年度社保工作开展而设立。用于保障对全区约16万养老金待遇领取人员进行生存认证，</w:t>
      </w:r>
      <w:r>
        <w:rPr>
          <w:rFonts w:hint="eastAsia" w:eastAsia="仿宋_GB2312" w:cs="Times New Roman"/>
          <w:color w:val="000000"/>
          <w:kern w:val="2"/>
          <w:sz w:val="32"/>
          <w:szCs w:val="32"/>
          <w:lang w:val="zh-CN" w:eastAsia="zh-CN" w:bidi="ar-SA"/>
        </w:rPr>
        <w:t>对高龄高风险人员进行上门核查</w:t>
      </w:r>
      <w:r>
        <w:rPr>
          <w:rFonts w:hint="eastAsia" w:cs="Times New Roman"/>
          <w:color w:val="000000"/>
          <w:kern w:val="2"/>
          <w:sz w:val="32"/>
          <w:szCs w:val="32"/>
          <w:lang w:val="zh-CN" w:eastAsia="zh-CN" w:bidi="ar-SA"/>
        </w:rPr>
        <w:t>，</w:t>
      </w:r>
      <w:r>
        <w:rPr>
          <w:rFonts w:hint="eastAsia" w:eastAsia="仿宋_GB2312" w:cs="Times New Roman"/>
          <w:color w:val="000000"/>
          <w:kern w:val="2"/>
          <w:sz w:val="32"/>
          <w:szCs w:val="32"/>
          <w:lang w:val="zh-CN" w:eastAsia="zh-CN" w:bidi="ar-SA"/>
        </w:rPr>
        <w:t>组织开展社保稽核、一次性补缴及工伤待遇稽核，对死亡冒领、重复领取待遇及服刑人员领待等三类人员开展核查及基金追回工作</w:t>
      </w:r>
      <w:r>
        <w:rPr>
          <w:rFonts w:hint="eastAsia" w:cs="Times New Roman"/>
          <w:color w:val="000000"/>
          <w:kern w:val="2"/>
          <w:sz w:val="32"/>
          <w:szCs w:val="32"/>
          <w:lang w:val="zh-CN" w:eastAsia="zh-CN" w:bidi="ar-SA"/>
        </w:rPr>
        <w:t>的正常开展。</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eastAsia" w:ascii="Times New Roman" w:hAnsi="Times New Roman" w:eastAsia="仿宋_GB2312" w:cs="Times New Roman"/>
          <w:color w:val="000000"/>
          <w:kern w:val="2"/>
          <w:sz w:val="32"/>
          <w:szCs w:val="32"/>
          <w:lang w:val="en-US" w:eastAsia="zh-CN" w:bidi="ar-SA"/>
        </w:rPr>
        <w:t>根据安居区社保局内部管理制度，对项目资金</w:t>
      </w:r>
      <w:r>
        <w:rPr>
          <w:rFonts w:hint="eastAsia" w:ascii="Times New Roman" w:hAnsi="Times New Roman" w:eastAsia="仿宋_GB2312" w:cs="Times New Roman"/>
          <w:color w:val="000000"/>
          <w:kern w:val="2"/>
          <w:sz w:val="32"/>
          <w:szCs w:val="32"/>
          <w:lang w:val="zh-CN" w:eastAsia="zh-CN" w:bidi="ar-SA"/>
        </w:rPr>
        <w:t>管理进行了明确，项目主要任务是保障全年基金风险防控任务的开展，及时支付风险防控业务开展涉及的印刷、用车、差旅支出</w:t>
      </w:r>
      <w:r>
        <w:rPr>
          <w:rFonts w:hint="eastAsia" w:ascii="Times New Roman" w:hAnsi="Times New Roman" w:eastAsia="仿宋_GB2312" w:cs="Times New Roman"/>
          <w:color w:val="000000"/>
          <w:kern w:val="2"/>
          <w:sz w:val="32"/>
          <w:szCs w:val="32"/>
          <w:lang w:val="en-US" w:eastAsia="zh-CN" w:bidi="ar-SA"/>
        </w:rPr>
        <w:t>。</w:t>
      </w:r>
      <w:r>
        <w:rPr>
          <w:rFonts w:hint="eastAsia" w:ascii="Times New Roman" w:hAnsi="Times New Roman" w:eastAsia="仿宋_GB2312" w:cs="Times New Roman"/>
          <w:color w:val="000000"/>
          <w:kern w:val="2"/>
          <w:sz w:val="32"/>
          <w:szCs w:val="32"/>
          <w:lang w:val="zh-CN" w:eastAsia="zh-CN" w:bidi="ar-SA"/>
        </w:rPr>
        <w:t>该项目计划在</w:t>
      </w:r>
      <w:r>
        <w:rPr>
          <w:rFonts w:hint="eastAsia" w:ascii="Times New Roman" w:hAnsi="Times New Roman" w:eastAsia="仿宋_GB2312" w:cs="Times New Roman"/>
          <w:color w:val="000000"/>
          <w:kern w:val="2"/>
          <w:sz w:val="32"/>
          <w:szCs w:val="32"/>
          <w:lang w:val="en-US" w:eastAsia="zh-CN" w:bidi="ar-SA"/>
        </w:rPr>
        <w:t>2023年度完成支付</w:t>
      </w:r>
      <w:r>
        <w:rPr>
          <w:rFonts w:hint="eastAsia" w:ascii="Times New Roman" w:hAnsi="Times New Roman" w:eastAsia="仿宋_GB2312" w:cs="Times New Roman"/>
          <w:color w:val="000000"/>
          <w:kern w:val="2"/>
          <w:sz w:val="32"/>
          <w:szCs w:val="32"/>
          <w:lang w:val="zh-CN" w:eastAsia="zh-CN" w:bidi="ar-SA"/>
        </w:rPr>
        <w:t>。</w:t>
      </w:r>
      <w:r>
        <w:rPr>
          <w:rFonts w:hint="default" w:ascii="Times New Roman" w:hAnsi="Times New Roman" w:eastAsia="仿宋_GB2312" w:cs="Times New Roman"/>
          <w:color w:val="000000"/>
          <w:kern w:val="2"/>
          <w:sz w:val="32"/>
          <w:szCs w:val="32"/>
          <w:lang w:val="zh-CN" w:eastAsia="zh-CN" w:bidi="ar-SA"/>
        </w:rPr>
        <w:t>申报的内容与实际相符，申报目标合理可行。</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eastAsia" w:ascii="Times New Roman" w:hAnsi="Times New Roman" w:eastAsia="仿宋_GB2312" w:cs="Times New Roman"/>
          <w:color w:val="000000"/>
          <w:kern w:val="2"/>
          <w:sz w:val="32"/>
          <w:szCs w:val="32"/>
          <w:lang w:val="zh-CN" w:eastAsia="zh-CN" w:bidi="ar-SA"/>
        </w:rPr>
        <w:t>因项目实施紧扣基金风险防控工作，按照风险防控任务开展进度，采取月结或者项目办结方式进行审批支付，预算项目准确，分配科学合理</w:t>
      </w:r>
      <w:r>
        <w:rPr>
          <w:rFonts w:hint="default" w:ascii="Times New Roman" w:hAnsi="Times New Roman" w:eastAsia="仿宋_GB2312" w:cs="Times New Roman"/>
          <w:color w:val="000000"/>
          <w:kern w:val="2"/>
          <w:sz w:val="32"/>
          <w:szCs w:val="32"/>
          <w:lang w:val="zh-CN" w:eastAsia="zh-CN" w:bidi="ar-SA"/>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green"/>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eastAsia" w:ascii="Times New Roman" w:hAnsi="Times New Roman" w:eastAsia="仿宋_GB2312" w:cs="仿宋_GB2312"/>
          <w:kern w:val="0"/>
          <w:sz w:val="32"/>
          <w:szCs w:val="32"/>
          <w:lang w:val="zh-CN" w:eastAsia="zh-CN" w:bidi="ar"/>
        </w:rPr>
        <w:t>项目整体</w:t>
      </w:r>
      <w:r>
        <w:rPr>
          <w:rFonts w:hint="eastAsia" w:eastAsia="仿宋_GB2312" w:cs="仿宋_GB2312"/>
          <w:kern w:val="0"/>
          <w:sz w:val="32"/>
          <w:szCs w:val="32"/>
          <w:lang w:val="zh-CN" w:eastAsia="zh-CN" w:bidi="ar"/>
        </w:rPr>
        <w:t>绩效目标：要求根据项目实施情况及时进行结算并支付，坚持专款专用原则，杜绝截留、挤占、挪用、序列名目等违法违规现象，支付率达到</w:t>
      </w:r>
      <w:r>
        <w:rPr>
          <w:rFonts w:hint="eastAsia" w:eastAsia="仿宋_GB2312" w:cs="仿宋_GB2312"/>
          <w:kern w:val="0"/>
          <w:sz w:val="32"/>
          <w:szCs w:val="32"/>
          <w:lang w:val="en-US" w:eastAsia="zh-CN" w:bidi="ar"/>
        </w:rPr>
        <w:t>100%，</w:t>
      </w:r>
      <w:r>
        <w:rPr>
          <w:rFonts w:hint="eastAsia" w:eastAsia="仿宋_GB2312" w:cs="仿宋_GB2312"/>
          <w:kern w:val="0"/>
          <w:sz w:val="32"/>
          <w:szCs w:val="32"/>
          <w:lang w:val="zh-CN" w:eastAsia="zh-CN" w:bidi="ar"/>
        </w:rPr>
        <w:t>，群众满意度不低于</w:t>
      </w:r>
      <w:r>
        <w:rPr>
          <w:rFonts w:hint="eastAsia" w:eastAsia="仿宋_GB2312" w:cs="仿宋_GB2312"/>
          <w:kern w:val="0"/>
          <w:sz w:val="32"/>
          <w:szCs w:val="32"/>
          <w:lang w:val="en-US" w:eastAsia="zh-CN" w:bidi="ar"/>
        </w:rPr>
        <w:t>95%</w:t>
      </w:r>
      <w:r>
        <w:rPr>
          <w:rFonts w:hint="eastAsia" w:ascii="Times New Roman" w:hAnsi="Times New Roman" w:eastAsia="仿宋_GB2312" w:cs="仿宋_GB2312"/>
          <w:kern w:val="0"/>
          <w:sz w:val="32"/>
          <w:szCs w:val="32"/>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区社保局</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分别对该项目实施前、中、后进行绩效自评</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通过项目绩效自评提高财政资源配置效率和使用效益</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，建立科学、合理的项目支出绩效评价管理体系，为全面实施预算绩效管理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按照绩效评价指标体系，资金支出使用全过程均紧扣项目实施进度进行资金结算支付，并严格按照专款专用的原则进行，不存在挪用、截留等违反财经纪律现象。</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项目绩效自评主要通过资金使用进度及适用范围进行了抽样，发现均不存在违规违纪现象，较好保障了项目实施。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一是认真开展前期工作。根据下发的有关文件要求，我局迅速向主要负责人报告有关情况。按照主要领导的指示意见，组建了绩效评价管理工作领导小组，迅速开展前期各项准备工作。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二是有序开展绩效评价。为确保绩效评价工作落到实处，取得成效，我局召开了专题工作部署会，对组织开展绩效考评明确了具体要求，对绩效评价指标进行了详细解读，并对可能出现的问题准备了各种预案，为组织开展好绩效考评工作奠定了基础。根据实施方案要求，我局组织力量进行了逐一梳理，并进行了数据分析，形成了绩效评价报告。</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为提高财政资金使用效益，区社保局成立了局长为组长、班子成员为副组长，各股室负责人为成员的绩效评价小组。分别对项目实施绩效进行评价</w:t>
      </w:r>
      <w:r>
        <w:rPr>
          <w:rFonts w:hint="eastAsia" w:eastAsia="仿宋_GB2312" w:cs="仿宋_GB2312"/>
          <w:kern w:val="0"/>
          <w:sz w:val="32"/>
          <w:szCs w:val="32"/>
          <w:lang w:val="zh-CN" w:eastAsia="zh-CN" w:bidi="ar"/>
        </w:rPr>
        <w:t>。</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该项目实施是根据《中华人民共和国社会保险法》第七十二条：“社会保险经办机构的人员经费和经办社会保险发生的基本运行费用、管理费用，由同级财政按照国家规定予以保障”的规定纳入预算</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按步骤按要求</w:t>
      </w:r>
      <w:r>
        <w:rPr>
          <w:rFonts w:hint="default" w:ascii="Times New Roman" w:hAnsi="Times New Roman" w:eastAsia="仿宋_GB2312" w:cs="Times New Roman"/>
          <w:b w:val="0"/>
          <w:bCs w:val="0"/>
          <w:color w:val="000000"/>
          <w:sz w:val="32"/>
          <w:szCs w:val="32"/>
        </w:rPr>
        <w:t>实施计划</w:t>
      </w:r>
      <w:r>
        <w:rPr>
          <w:rFonts w:hint="eastAsia" w:cs="仿宋_GB2312"/>
          <w:kern w:val="2"/>
          <w:sz w:val="32"/>
          <w:szCs w:val="32"/>
          <w:lang w:val="en-US" w:eastAsia="zh-CN" w:bidi="ar"/>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对项目实施的必要性进行充分分析论证确定，立项依据充分</w:t>
      </w:r>
      <w:r>
        <w:rPr>
          <w:rFonts w:hint="eastAsia"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严格按照《遂宁市人民政府办公室关于进一步加强行政事业单位财务管理的通知》（遂安府办函[2019]50号）文件精神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该项目由</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局办公室、征缴股、稽核股干部</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为综合业务人员，该项目严格按照相关法律法规执行管理</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程序规范</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，由财务股对项目资金进行申请、拨付、票据审核、财务处理。财务股严格执行财务管理制度，账务处理及时，会计核算规范。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color w:val="000000"/>
          <w:sz w:val="32"/>
          <w:szCs w:val="32"/>
        </w:rPr>
        <w:t>该项目</w:t>
      </w:r>
      <w:r>
        <w:rPr>
          <w:rFonts w:hint="default" w:ascii="Times New Roman" w:hAnsi="Times New Roman" w:eastAsia="仿宋_GB2312" w:cs="Times New Roman"/>
          <w:color w:val="000000"/>
          <w:sz w:val="32"/>
          <w:szCs w:val="32"/>
          <w:lang w:eastAsia="zh-CN"/>
        </w:rPr>
        <w:t>由</w:t>
      </w:r>
      <w:r>
        <w:rPr>
          <w:rFonts w:hint="default" w:eastAsia="仿宋_GB2312" w:cs="Times New Roman"/>
          <w:color w:val="000000"/>
          <w:sz w:val="32"/>
          <w:szCs w:val="32"/>
          <w:lang w:eastAsia="zh-CN"/>
        </w:rPr>
        <w:t>区</w:t>
      </w:r>
      <w:r>
        <w:rPr>
          <w:rFonts w:hint="eastAsia" w:ascii="Times New Roman" w:hAnsi="Times New Roman" w:eastAsia="仿宋_GB2312" w:cs="Times New Roman"/>
          <w:color w:val="000000"/>
          <w:sz w:val="32"/>
          <w:szCs w:val="32"/>
          <w:lang w:eastAsia="zh-CN"/>
        </w:rPr>
        <w:t>社保局</w:t>
      </w:r>
      <w:r>
        <w:rPr>
          <w:rFonts w:hint="default" w:ascii="Times New Roman" w:hAnsi="Times New Roman" w:eastAsia="仿宋_GB2312" w:cs="Times New Roman"/>
          <w:color w:val="000000"/>
          <w:sz w:val="32"/>
          <w:szCs w:val="32"/>
          <w:lang w:eastAsia="zh-CN"/>
        </w:rPr>
        <w:t>局长</w:t>
      </w:r>
      <w:r>
        <w:rPr>
          <w:rFonts w:hint="eastAsia" w:eastAsia="仿宋_GB2312" w:cs="Times New Roman"/>
          <w:color w:val="000000"/>
          <w:sz w:val="32"/>
          <w:szCs w:val="32"/>
          <w:lang w:eastAsia="zh-CN"/>
        </w:rPr>
        <w:t>王毓辉</w:t>
      </w:r>
      <w:r>
        <w:rPr>
          <w:rFonts w:hint="default" w:ascii="Times New Roman" w:hAnsi="Times New Roman" w:eastAsia="仿宋_GB2312" w:cs="Times New Roman"/>
          <w:color w:val="000000"/>
          <w:sz w:val="32"/>
          <w:szCs w:val="32"/>
          <w:lang w:eastAsia="zh-CN"/>
        </w:rPr>
        <w:t>任组长，</w:t>
      </w:r>
      <w:r>
        <w:rPr>
          <w:rFonts w:hint="eastAsia" w:eastAsia="仿宋_GB2312" w:cs="Times New Roman"/>
          <w:color w:val="000000"/>
          <w:sz w:val="32"/>
          <w:szCs w:val="32"/>
          <w:lang w:eastAsia="zh-CN"/>
        </w:rPr>
        <w:t>局党组</w:t>
      </w:r>
      <w:r>
        <w:rPr>
          <w:rFonts w:hint="default" w:ascii="Times New Roman" w:hAnsi="Times New Roman" w:eastAsia="仿宋_GB2312" w:cs="Times New Roman"/>
          <w:color w:val="000000"/>
          <w:sz w:val="32"/>
          <w:szCs w:val="32"/>
          <w:lang w:eastAsia="zh-CN"/>
        </w:rPr>
        <w:t>副</w:t>
      </w:r>
      <w:r>
        <w:rPr>
          <w:rFonts w:hint="eastAsia" w:eastAsia="仿宋_GB2312" w:cs="Times New Roman"/>
          <w:color w:val="000000"/>
          <w:sz w:val="32"/>
          <w:szCs w:val="32"/>
          <w:lang w:eastAsia="zh-CN"/>
        </w:rPr>
        <w:t>书记周龙华</w:t>
      </w:r>
      <w:r>
        <w:rPr>
          <w:rFonts w:hint="default" w:ascii="Times New Roman" w:hAnsi="Times New Roman" w:eastAsia="仿宋_GB2312" w:cs="Times New Roman"/>
          <w:color w:val="000000"/>
          <w:sz w:val="32"/>
          <w:szCs w:val="32"/>
          <w:lang w:eastAsia="zh-CN"/>
        </w:rPr>
        <w:t>任副组长，</w:t>
      </w:r>
      <w:r>
        <w:rPr>
          <w:rFonts w:hint="eastAsia" w:eastAsia="仿宋_GB2312" w:cs="Times New Roman"/>
          <w:color w:val="000000"/>
          <w:sz w:val="32"/>
          <w:szCs w:val="32"/>
          <w:lang w:eastAsia="zh-CN"/>
        </w:rPr>
        <w:t>局办公室、征缴股、稽核股干部</w:t>
      </w:r>
      <w:r>
        <w:rPr>
          <w:rFonts w:hint="default" w:ascii="Times New Roman" w:hAnsi="Times New Roman" w:eastAsia="仿宋_GB2312" w:cs="Times New Roman"/>
          <w:color w:val="000000"/>
          <w:sz w:val="32"/>
          <w:szCs w:val="32"/>
          <w:lang w:eastAsia="zh-CN"/>
        </w:rPr>
        <w:t>为综合业务人员，该项目</w:t>
      </w:r>
      <w:r>
        <w:rPr>
          <w:rFonts w:hint="default" w:ascii="Times New Roman" w:hAnsi="Times New Roman" w:eastAsia="仿宋_GB2312" w:cs="Times New Roman"/>
          <w:color w:val="000000"/>
          <w:sz w:val="32"/>
          <w:szCs w:val="32"/>
        </w:rPr>
        <w:t>严格按照相关法律法规执行管理</w:t>
      </w:r>
      <w:r>
        <w:rPr>
          <w:rFonts w:hint="eastAsia" w:ascii="Times New Roman" w:hAnsi="Times New Roman" w:cs="Times New Roman"/>
          <w:b w:val="0"/>
          <w:bCs w:val="0"/>
          <w:i w:val="0"/>
          <w:iCs w:val="0"/>
          <w:kern w:val="0"/>
          <w:position w:val="0"/>
          <w:sz w:val="32"/>
          <w:szCs w:val="32"/>
          <w:highlight w:val="none"/>
          <w:lang w:val="zh-CN" w:eastAsia="zh-CN" w:bidi="ar-SA"/>
        </w:rPr>
        <w:t>，</w:t>
      </w:r>
      <w:r>
        <w:rPr>
          <w:rFonts w:hint="eastAsia" w:eastAsia="仿宋_GB2312" w:cs="仿宋_GB2312"/>
          <w:kern w:val="2"/>
          <w:sz w:val="32"/>
          <w:szCs w:val="32"/>
          <w:lang w:val="en-US" w:eastAsia="zh-CN" w:bidi="ar"/>
        </w:rPr>
        <w:t>程序规范，保障了项目实施有序开展，基本到达预期效果</w:t>
      </w:r>
      <w:r>
        <w:rPr>
          <w:rFonts w:hint="eastAsia" w:ascii="Times New Roman" w:hAnsi="Times New Roman"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eastAsia="仿宋_GB2312" w:cs="Times New Roman"/>
          <w:color w:val="000000"/>
          <w:sz w:val="32"/>
          <w:szCs w:val="32"/>
          <w:lang w:eastAsia="zh-CN"/>
        </w:rPr>
        <w:t>各险种征收</w:t>
      </w:r>
      <w:r>
        <w:rPr>
          <w:rFonts w:hint="eastAsia" w:ascii="Times New Roman" w:hAnsi="Times New Roman" w:eastAsia="仿宋_GB2312" w:cs="Times New Roman"/>
          <w:color w:val="000000"/>
          <w:sz w:val="32"/>
          <w:szCs w:val="32"/>
          <w:lang w:eastAsia="zh-CN"/>
        </w:rPr>
        <w:t>工作已于当年顺利开展</w:t>
      </w:r>
      <w:r>
        <w:rPr>
          <w:rFonts w:hint="default" w:ascii="Times New Roman" w:hAnsi="Times New Roman" w:eastAsia="仿宋_GB2312" w:cs="Times New Roman"/>
          <w:color w:val="000000"/>
          <w:sz w:val="32"/>
          <w:szCs w:val="32"/>
          <w:lang w:eastAsia="zh-CN"/>
        </w:rPr>
        <w:t>，全面按照</w:t>
      </w:r>
      <w:r>
        <w:rPr>
          <w:rFonts w:hint="eastAsia" w:eastAsia="仿宋_GB2312" w:cs="Times New Roman"/>
          <w:color w:val="000000"/>
          <w:sz w:val="32"/>
          <w:szCs w:val="32"/>
          <w:lang w:eastAsia="zh-CN"/>
        </w:rPr>
        <w:t>这项</w:t>
      </w:r>
      <w:r>
        <w:rPr>
          <w:rFonts w:hint="default" w:ascii="Times New Roman" w:hAnsi="Times New Roman" w:eastAsia="仿宋_GB2312" w:cs="Times New Roman"/>
          <w:color w:val="000000"/>
          <w:sz w:val="32"/>
          <w:szCs w:val="32"/>
          <w:lang w:eastAsia="zh-CN"/>
        </w:rPr>
        <w:t>计划完成</w:t>
      </w:r>
      <w:r>
        <w:rPr>
          <w:rFonts w:hint="eastAsia" w:ascii="Times New Roman" w:hAnsi="Times New Roman" w:eastAsia="仿宋_GB2312" w:cs="Times New Roman"/>
          <w:color w:val="000000"/>
          <w:sz w:val="32"/>
          <w:szCs w:val="32"/>
          <w:lang w:eastAsia="zh-CN"/>
        </w:rPr>
        <w:t>了</w:t>
      </w:r>
      <w:r>
        <w:rPr>
          <w:rFonts w:hint="default" w:ascii="Times New Roman" w:hAnsi="Times New Roman" w:eastAsia="仿宋_GB2312" w:cs="Times New Roman"/>
          <w:color w:val="000000"/>
          <w:sz w:val="32"/>
          <w:szCs w:val="32"/>
          <w:lang w:eastAsia="zh-CN"/>
        </w:rPr>
        <w:t>目标</w:t>
      </w:r>
      <w:r>
        <w:rPr>
          <w:rFonts w:hint="eastAsia" w:ascii="Times New Roman" w:hAnsi="Times New Roman" w:eastAsia="仿宋_GB2312" w:cs="Times New Roman"/>
          <w:color w:val="000000"/>
          <w:sz w:val="32"/>
          <w:szCs w:val="32"/>
          <w:lang w:eastAsia="zh-CN"/>
        </w:rPr>
        <w:t>任务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_GB2312" w:hAnsi="Times New Roman" w:eastAsia="仿宋_GB2312" w:cs="Times New Roman"/>
          <w:kern w:val="2"/>
          <w:sz w:val="32"/>
          <w:szCs w:val="32"/>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b w:val="0"/>
          <w:bCs w:val="0"/>
          <w:i w:val="0"/>
          <w:iCs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p>
    <w:p>
      <w:pPr>
        <w:pStyle w:val="2"/>
        <w:rPr>
          <w:rFonts w:hint="default"/>
          <w:lang w:val="en-US" w:eastAsia="zh-CN"/>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p>
    <w:p>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基金风险防控项目”项目调整预算数为7.5万元，执行数为7.5万元。通过项目实施，对死亡冒领、重复领取待遇及服刑人员领待等三类人员开展核查及基金追回工作，减少社保基金管理性缺口财政兜底压力</w:t>
      </w:r>
      <w:r>
        <w:rPr>
          <w:rFonts w:hint="eastAsia" w:ascii="Times New Roman" w:hAnsi="Times New Roman" w:cs="Times New Roman"/>
          <w:b w:val="0"/>
          <w:bCs w:val="0"/>
          <w:i w:val="0"/>
          <w:iCs w:val="0"/>
          <w:kern w:val="0"/>
          <w:position w:val="0"/>
          <w:sz w:val="32"/>
          <w:szCs w:val="32"/>
          <w:highlight w:val="none"/>
          <w:lang w:val="en-US" w:eastAsia="zh-CN" w:bidi="ar-SA"/>
        </w:rPr>
        <w:t>，</w:t>
      </w:r>
      <w:r>
        <w:rPr>
          <w:rFonts w:hint="eastAsia" w:cs="Times New Roman"/>
          <w:color w:val="000000"/>
          <w:sz w:val="32"/>
          <w:szCs w:val="32"/>
          <w:lang w:val="en-US" w:eastAsia="zh-CN"/>
        </w:rPr>
        <w:t>项目自评得分95分</w:t>
      </w:r>
      <w:r>
        <w:rPr>
          <w:rFonts w:hint="eastAsia" w:ascii="Times New Roman" w:hAnsi="Times New Roman" w:cs="Times New Roman"/>
          <w:b w:val="0"/>
          <w:bCs w:val="0"/>
          <w:i w:val="0"/>
          <w:iCs w:val="0"/>
          <w:kern w:val="0"/>
          <w:position w:val="0"/>
          <w:sz w:val="32"/>
          <w:szCs w:val="32"/>
          <w:highlight w:val="none"/>
          <w:lang w:val="en-US" w:eastAsia="zh-CN" w:bidi="ar-SA"/>
        </w:rPr>
        <w:t>。</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en-US" w:eastAsia="zh-CN" w:bidi="ar-SA"/>
        </w:rPr>
        <w:t>预算编制精确度有待进一步提高，对各类资金的管理还存在不够完善不够精细的问题。</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pPr>
        <w:tabs>
          <w:tab w:val="left" w:pos="1911"/>
        </w:tabs>
        <w:jc w:val="left"/>
        <w:rPr>
          <w:rFonts w:hint="default" w:ascii="Times New Roman" w:hAnsi="Times New Roman" w:eastAsia="仿宋_GB2312" w:cs="Times New Roman"/>
          <w:b w:val="0"/>
          <w:bCs w:val="0"/>
          <w:i w:val="0"/>
          <w:iCs w:val="0"/>
          <w:kern w:val="0"/>
          <w:position w:val="0"/>
          <w:sz w:val="32"/>
          <w:szCs w:val="32"/>
          <w:highlight w:val="none"/>
          <w:lang w:val="e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default" w:ascii="Times New Roman" w:hAnsi="Times New Roman" w:eastAsia="仿宋_GB2312" w:cs="Times New Roman"/>
          <w:b w:val="0"/>
          <w:bCs w:val="0"/>
          <w:i w:val="0"/>
          <w:iCs w:val="0"/>
          <w:kern w:val="0"/>
          <w:position w:val="0"/>
          <w:sz w:val="32"/>
          <w:szCs w:val="32"/>
          <w:highlight w:val="none"/>
          <w:lang w:val="en-US" w:eastAsia="zh-CN" w:bidi="ar-SA"/>
        </w:rPr>
        <w:t xml:space="preserve">   </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优化预算编制，加强预算执行。合理安排预算支出计划，优化资金支出结构，强化资金统筹和绩效管理，确保工作有效开展。</w:t>
      </w:r>
    </w:p>
    <w:p>
      <w:pPr>
        <w:pStyle w:val="40"/>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spacing w:val="1"/>
          <w:sz w:val="44"/>
          <w:szCs w:val="44"/>
          <w:lang w:eastAsia="zh-CN"/>
        </w:rPr>
      </w:pPr>
      <w:r>
        <w:rPr>
          <w:rFonts w:hint="default" w:ascii="Times New Roman" w:hAnsi="Times New Roman" w:eastAsia="仿宋_GB2312" w:cs="Times New Roman"/>
          <w:b w:val="0"/>
          <w:bCs w:val="0"/>
          <w:i w:val="0"/>
          <w:iCs w:val="0"/>
          <w:color w:val="000000"/>
          <w:kern w:val="0"/>
          <w:szCs w:val="32"/>
          <w:highlight w:val="none"/>
          <w:shd w:val="clear" w:color="auto" w:fill="FFFFFF"/>
          <w:lang w:val="zh-CN" w:eastAsia="zh-CN"/>
        </w:rPr>
        <w:br w:type="page"/>
      </w: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pPr>
        <w:pStyle w:val="9"/>
        <w:kinsoku w:val="0"/>
        <w:overflowPunct w:val="0"/>
        <w:spacing w:before="0" w:line="660" w:lineRule="exact"/>
        <w:ind w:left="0"/>
        <w:jc w:val="center"/>
        <w:rPr>
          <w:rFonts w:hint="eastAsia" w:ascii="仿宋" w:hAnsi="仿宋" w:eastAsia="仿宋" w:cs="仿宋_GB2312"/>
          <w:b/>
          <w:bCs/>
          <w:color w:val="000000"/>
          <w:sz w:val="32"/>
          <w:szCs w:val="32"/>
          <w:highlight w:val="none"/>
          <w:lang w:eastAsia="zh-CN"/>
        </w:rPr>
      </w:pPr>
      <w:r>
        <w:rPr>
          <w:rFonts w:hint="eastAsia" w:ascii="仿宋" w:hAnsi="仿宋" w:eastAsia="仿宋" w:cs="仿宋_GB2312"/>
          <w:b/>
          <w:bCs/>
          <w:color w:val="000000"/>
          <w:sz w:val="32"/>
          <w:szCs w:val="32"/>
          <w:highlight w:val="none"/>
          <w:lang w:eastAsia="zh-CN"/>
        </w:rPr>
        <w:t>（社保公共服务能力建设经费）</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仿宋_GB2312" w:hAnsi="仿宋_GB2312" w:eastAsia="仿宋_GB2312" w:cs="仿宋_GB2312"/>
          <w:color w:val="auto"/>
          <w:kern w:val="0"/>
          <w:sz w:val="32"/>
          <w:szCs w:val="32"/>
          <w:highlight w:val="none"/>
          <w:u w:val="none"/>
          <w:shd w:val="clear" w:color="auto" w:fill="auto"/>
          <w:lang w:val="zh-CN"/>
        </w:rPr>
      </w:pPr>
      <w:r>
        <w:rPr>
          <w:rFonts w:hint="eastAsia" w:ascii="仿宋_GB2312" w:hAnsi="仿宋_GB2312" w:eastAsia="仿宋_GB2312" w:cs="仿宋_GB2312"/>
          <w:color w:val="auto"/>
          <w:kern w:val="0"/>
          <w:sz w:val="32"/>
          <w:szCs w:val="32"/>
          <w:highlight w:val="none"/>
          <w:u w:val="none"/>
          <w:shd w:val="clear" w:color="auto" w:fill="auto"/>
          <w:lang w:val="zh-CN" w:eastAsia="zh-CN"/>
        </w:rPr>
        <w:t>该项目为区社保局持续性项目，主要根据年度社保工作开展而设立。用于保障促进社保工作的高效高质量开展。</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eastAsia" w:ascii="仿宋_GB2312" w:hAnsi="仿宋_GB2312" w:eastAsia="仿宋_GB2312" w:cs="仿宋_GB2312"/>
          <w:color w:val="auto"/>
          <w:kern w:val="0"/>
          <w:sz w:val="32"/>
          <w:szCs w:val="32"/>
          <w:highlight w:val="none"/>
          <w:u w:val="none"/>
          <w:shd w:val="clear" w:color="auto" w:fill="auto"/>
          <w:lang w:val="en-US" w:eastAsia="zh-CN"/>
        </w:rPr>
        <w:t>根据安居区社保局内部管理制度，对项目资金</w:t>
      </w:r>
      <w:r>
        <w:rPr>
          <w:rFonts w:hint="eastAsia" w:ascii="仿宋_GB2312" w:hAnsi="仿宋_GB2312" w:eastAsia="仿宋_GB2312" w:cs="仿宋_GB2312"/>
          <w:color w:val="auto"/>
          <w:kern w:val="0"/>
          <w:sz w:val="32"/>
          <w:szCs w:val="32"/>
          <w:highlight w:val="none"/>
          <w:u w:val="none"/>
          <w:shd w:val="clear" w:color="auto" w:fill="auto"/>
          <w:lang w:val="zh-CN" w:eastAsia="zh-CN"/>
        </w:rPr>
        <w:t>管理进行了明确，项目主要任务是保障全年社保工作的正常开展，及时支付社保工作开展涉及的电费、水费、电信服务费、差旅等支出</w:t>
      </w:r>
      <w:r>
        <w:rPr>
          <w:rFonts w:hint="eastAsia" w:ascii="仿宋_GB2312" w:hAnsi="仿宋_GB2312" w:eastAsia="仿宋_GB2312" w:cs="仿宋_GB2312"/>
          <w:color w:val="auto"/>
          <w:kern w:val="0"/>
          <w:sz w:val="32"/>
          <w:szCs w:val="32"/>
          <w:highlight w:val="none"/>
          <w:u w:val="none"/>
          <w:shd w:val="clear" w:color="auto" w:fill="auto"/>
          <w:lang w:val="en-US" w:eastAsia="zh-CN"/>
        </w:rPr>
        <w:t>。</w:t>
      </w:r>
      <w:r>
        <w:rPr>
          <w:rFonts w:hint="eastAsia" w:ascii="仿宋" w:hAnsi="仿宋" w:eastAsia="仿宋" w:cs="仿宋"/>
          <w:b w:val="0"/>
          <w:bCs/>
          <w:color w:val="auto"/>
          <w:sz w:val="32"/>
          <w:szCs w:val="32"/>
          <w:highlight w:val="none"/>
          <w:u w:val="none"/>
          <w:shd w:val="clear" w:color="auto" w:fill="auto"/>
          <w:lang w:val="zh-CN"/>
        </w:rPr>
        <w:t>该项目计划在</w:t>
      </w:r>
      <w:r>
        <w:rPr>
          <w:rFonts w:hint="eastAsia" w:ascii="仿宋" w:hAnsi="仿宋" w:eastAsia="仿宋" w:cs="仿宋"/>
          <w:b w:val="0"/>
          <w:bCs/>
          <w:color w:val="auto"/>
          <w:sz w:val="32"/>
          <w:szCs w:val="32"/>
          <w:highlight w:val="none"/>
          <w:u w:val="none"/>
          <w:shd w:val="clear" w:color="auto" w:fill="auto"/>
          <w:lang w:val="en-US" w:eastAsia="zh-CN"/>
        </w:rPr>
        <w:t>2023年度完成支付</w:t>
      </w:r>
      <w:r>
        <w:rPr>
          <w:rFonts w:hint="eastAsia" w:ascii="仿宋" w:hAnsi="仿宋" w:eastAsia="仿宋" w:cs="仿宋"/>
          <w:b w:val="0"/>
          <w:bCs/>
          <w:color w:val="auto"/>
          <w:sz w:val="32"/>
          <w:szCs w:val="32"/>
          <w:highlight w:val="none"/>
          <w:u w:val="none"/>
          <w:shd w:val="clear" w:color="auto" w:fill="auto"/>
          <w:lang w:val="zh-CN"/>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申报的内容与实际相符，申报目标合理可行。</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eastAsia" w:ascii="仿宋_GB2312" w:hAnsi="仿宋_GB2312" w:eastAsia="仿宋_GB2312" w:cs="仿宋_GB2312"/>
          <w:color w:val="auto"/>
          <w:kern w:val="0"/>
          <w:sz w:val="32"/>
          <w:szCs w:val="32"/>
          <w:highlight w:val="none"/>
          <w:u w:val="none"/>
          <w:shd w:val="clear" w:color="auto" w:fill="auto"/>
          <w:lang w:val="zh-CN"/>
        </w:rPr>
        <w:t>因项目实施紧扣</w:t>
      </w:r>
      <w:r>
        <w:rPr>
          <w:rFonts w:hint="eastAsia" w:ascii="仿宋_GB2312" w:hAnsi="仿宋_GB2312" w:cs="仿宋_GB2312"/>
          <w:color w:val="auto"/>
          <w:kern w:val="0"/>
          <w:sz w:val="32"/>
          <w:szCs w:val="32"/>
          <w:highlight w:val="none"/>
          <w:u w:val="none"/>
          <w:shd w:val="clear" w:color="auto" w:fill="auto"/>
          <w:lang w:val="zh-CN"/>
        </w:rPr>
        <w:t>社保</w:t>
      </w:r>
      <w:r>
        <w:rPr>
          <w:rFonts w:hint="eastAsia" w:ascii="仿宋_GB2312" w:hAnsi="仿宋_GB2312" w:eastAsia="仿宋_GB2312" w:cs="仿宋_GB2312"/>
          <w:color w:val="auto"/>
          <w:kern w:val="0"/>
          <w:sz w:val="32"/>
          <w:szCs w:val="32"/>
          <w:highlight w:val="none"/>
          <w:u w:val="none"/>
          <w:shd w:val="clear" w:color="auto" w:fill="auto"/>
          <w:lang w:val="zh-CN"/>
        </w:rPr>
        <w:t>工作，按照</w:t>
      </w:r>
      <w:r>
        <w:rPr>
          <w:rFonts w:hint="eastAsia" w:ascii="仿宋_GB2312" w:hAnsi="仿宋_GB2312" w:cs="仿宋_GB2312"/>
          <w:color w:val="auto"/>
          <w:kern w:val="0"/>
          <w:sz w:val="32"/>
          <w:szCs w:val="32"/>
          <w:highlight w:val="none"/>
          <w:u w:val="none"/>
          <w:shd w:val="clear" w:color="auto" w:fill="auto"/>
          <w:lang w:val="zh-CN"/>
        </w:rPr>
        <w:t>社保工作开展要求</w:t>
      </w:r>
      <w:r>
        <w:rPr>
          <w:rFonts w:hint="eastAsia" w:ascii="仿宋_GB2312" w:hAnsi="仿宋_GB2312" w:eastAsia="仿宋_GB2312" w:cs="仿宋_GB2312"/>
          <w:color w:val="auto"/>
          <w:kern w:val="0"/>
          <w:sz w:val="32"/>
          <w:szCs w:val="32"/>
          <w:highlight w:val="none"/>
          <w:u w:val="none"/>
          <w:shd w:val="clear" w:color="auto" w:fill="auto"/>
          <w:lang w:val="zh-CN"/>
        </w:rPr>
        <w:t>，采取月结或者项目办结方式进行审批支付，预算项目准确，分配科学合理</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Times New Roman"/>
          <w:b w:val="0"/>
          <w:bCs w:val="0"/>
          <w:i w:val="0"/>
          <w:iCs w:val="0"/>
          <w:kern w:val="0"/>
          <w:position w:val="0"/>
          <w:sz w:val="32"/>
          <w:szCs w:val="32"/>
          <w:highlight w:val="green"/>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eastAsia" w:ascii="仿宋_GB2312" w:hAnsi="仿宋_GB2312" w:eastAsia="仿宋_GB2312" w:cs="仿宋_GB2312"/>
          <w:color w:val="auto"/>
          <w:kern w:val="0"/>
          <w:sz w:val="32"/>
          <w:szCs w:val="32"/>
          <w:highlight w:val="none"/>
          <w:u w:val="none"/>
          <w:shd w:val="clear" w:color="auto" w:fill="auto"/>
          <w:lang w:val="zh-CN" w:eastAsia="zh-CN"/>
        </w:rPr>
        <w:t>项目整体绩效目标：要求根据项目实施情况及时进行结算并支付，坚持专款专用原则，杜绝截留、挤占、挪用、序列名目等违法违规现象，支付率达到</w:t>
      </w:r>
      <w:r>
        <w:rPr>
          <w:rFonts w:hint="eastAsia" w:ascii="仿宋_GB2312" w:hAnsi="仿宋_GB2312" w:eastAsia="仿宋_GB2312" w:cs="仿宋_GB2312"/>
          <w:color w:val="auto"/>
          <w:kern w:val="0"/>
          <w:sz w:val="32"/>
          <w:szCs w:val="32"/>
          <w:highlight w:val="none"/>
          <w:u w:val="none"/>
          <w:shd w:val="clear" w:color="auto" w:fill="auto"/>
          <w:lang w:val="en-US" w:eastAsia="zh-CN"/>
        </w:rPr>
        <w:t>100%，</w:t>
      </w:r>
      <w:r>
        <w:rPr>
          <w:rFonts w:hint="eastAsia" w:ascii="仿宋_GB2312" w:hAnsi="仿宋_GB2312" w:eastAsia="仿宋_GB2312" w:cs="仿宋_GB2312"/>
          <w:color w:val="auto"/>
          <w:kern w:val="0"/>
          <w:sz w:val="32"/>
          <w:szCs w:val="32"/>
          <w:highlight w:val="none"/>
          <w:u w:val="none"/>
          <w:shd w:val="clear" w:color="auto" w:fill="auto"/>
          <w:lang w:val="zh-CN" w:eastAsia="zh-CN"/>
        </w:rPr>
        <w:t>，群众满意度不低于</w:t>
      </w:r>
      <w:r>
        <w:rPr>
          <w:rFonts w:hint="eastAsia" w:ascii="仿宋_GB2312" w:hAnsi="仿宋_GB2312" w:eastAsia="仿宋_GB2312" w:cs="仿宋_GB2312"/>
          <w:color w:val="auto"/>
          <w:kern w:val="0"/>
          <w:sz w:val="32"/>
          <w:szCs w:val="32"/>
          <w:highlight w:val="none"/>
          <w:u w:val="none"/>
          <w:shd w:val="clear" w:color="auto" w:fill="auto"/>
          <w:lang w:val="en-US" w:eastAsia="zh-CN"/>
        </w:rPr>
        <w:t>95%</w:t>
      </w:r>
      <w:r>
        <w:rPr>
          <w:rFonts w:hint="eastAsia" w:ascii="Times New Roman" w:hAnsi="Times New Roman" w:eastAsia="仿宋_GB2312" w:cs="仿宋_GB2312"/>
          <w:kern w:val="0"/>
          <w:sz w:val="32"/>
          <w:szCs w:val="32"/>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kern w:val="0"/>
          <w:sz w:val="32"/>
          <w:szCs w:val="32"/>
          <w:lang w:val="zh-CN" w:eastAsia="zh-CN" w:bidi="ar"/>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eastAsia" w:ascii="Times New Roman" w:hAnsi="Times New Roman" w:eastAsia="仿宋_GB2312" w:cs="仿宋_GB2312"/>
          <w:kern w:val="0"/>
          <w:sz w:val="32"/>
          <w:szCs w:val="32"/>
          <w:lang w:val="zh-CN" w:eastAsia="zh-CN" w:bidi="ar"/>
        </w:rPr>
        <w:t>区社保局</w:t>
      </w:r>
      <w:r>
        <w:rPr>
          <w:rFonts w:hint="default" w:ascii="Times New Roman" w:hAnsi="Times New Roman" w:eastAsia="仿宋_GB2312" w:cs="仿宋_GB2312"/>
          <w:kern w:val="0"/>
          <w:sz w:val="32"/>
          <w:szCs w:val="32"/>
          <w:lang w:val="zh-CN" w:eastAsia="zh-CN" w:bidi="ar"/>
        </w:rPr>
        <w:t>分别对该项目实施前、中、后进行绩效自评</w:t>
      </w:r>
      <w:r>
        <w:rPr>
          <w:rFonts w:hint="eastAsia" w:ascii="Times New Roman" w:hAnsi="Times New Roman" w:eastAsia="仿宋_GB2312" w:cs="仿宋_GB2312"/>
          <w:kern w:val="0"/>
          <w:sz w:val="32"/>
          <w:szCs w:val="32"/>
          <w:lang w:val="zh-CN" w:eastAsia="zh-CN" w:bidi="ar"/>
        </w:rPr>
        <w:t>，</w:t>
      </w:r>
      <w:r>
        <w:rPr>
          <w:rFonts w:hint="default" w:ascii="Times New Roman" w:hAnsi="Times New Roman" w:eastAsia="仿宋_GB2312" w:cs="仿宋_GB2312"/>
          <w:kern w:val="0"/>
          <w:sz w:val="32"/>
          <w:szCs w:val="32"/>
          <w:lang w:val="zh-CN" w:eastAsia="zh-CN" w:bidi="ar"/>
        </w:rPr>
        <w:t>通过项目绩效自评提高财政资源配置效率和使用效益</w:t>
      </w:r>
      <w:r>
        <w:rPr>
          <w:rFonts w:hint="eastAsia" w:ascii="Times New Roman" w:hAnsi="Times New Roman" w:eastAsia="仿宋_GB2312" w:cs="仿宋_GB2312"/>
          <w:kern w:val="0"/>
          <w:sz w:val="32"/>
          <w:szCs w:val="32"/>
          <w:lang w:val="zh-CN" w:eastAsia="zh-CN" w:bidi="ar"/>
        </w:rPr>
        <w:t>，建立科学、合理的项目支出绩效评价管理体系，为全面实施预算绩效管理</w:t>
      </w:r>
      <w:r>
        <w:rPr>
          <w:rFonts w:hint="default" w:ascii="Times New Roman" w:hAnsi="Times New Roman" w:eastAsia="仿宋_GB2312" w:cs="仿宋_GB2312"/>
          <w:kern w:val="0"/>
          <w:sz w:val="32"/>
          <w:szCs w:val="32"/>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按照绩效评价指标体系，资金支出使用全过程均紧扣项目实施进度进行资金结算支付，并严格按照专款专用的原则进行，不存在挪用、截留等违反财经纪律现象。</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Times New Roman"/>
          <w:b w:val="0"/>
          <w:bCs w:val="0"/>
          <w:i w:val="0"/>
          <w:iCs w:val="0"/>
          <w:kern w:val="0"/>
          <w:position w:val="0"/>
          <w:sz w:val="32"/>
          <w:szCs w:val="32"/>
          <w:highlight w:val="none"/>
          <w:lang w:val="zh-CN" w:eastAsia="zh-CN" w:bidi="ar-SA"/>
        </w:rPr>
        <w:t>项目绩效自评主要通过资金使用进度及适用范围进行了抽样，发现均不存在违规违纪现象，较好保障了项目实施。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Times New Roman"/>
          <w:b w:val="0"/>
          <w:bCs w:val="0"/>
          <w:i w:val="0"/>
          <w:iCs w:val="0"/>
          <w:kern w:val="0"/>
          <w:position w:val="0"/>
          <w:sz w:val="32"/>
          <w:szCs w:val="32"/>
          <w:highlight w:val="none"/>
          <w:lang w:val="zh-CN" w:eastAsia="zh-CN" w:bidi="ar-SA"/>
        </w:rPr>
        <w:t>一是认真开展前期工作。根据下发的有关文件要求，我局迅速向主要负责人报告有关情况。按照主要领导的指示意见，组建了绩效评价管理工作领导小组，迅速开展前期各项准备工作。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二是有序开展绩效评价。为确保绩效评价工作落到实处，取得成效，我局召开了专题工作部署会，对组织开展绩效考评明确了具体要求，对绩效评价指标进行了详细解读，并对可能出现的问题准备了各种预案，为组织开展好绩效考评工作奠定了基础。根据实施方案要求，我局组织力量进行了逐一梳理，并进行了数据分析，形成了绩效评价报告。</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eastAsia" w:ascii="Times New Roman" w:hAnsi="Times New Roman" w:eastAsia="仿宋_GB2312" w:cs="Times New Roman"/>
          <w:b w:val="0"/>
          <w:bCs w:val="0"/>
          <w:i w:val="0"/>
          <w:iCs w:val="0"/>
          <w:kern w:val="0"/>
          <w:position w:val="0"/>
          <w:sz w:val="32"/>
          <w:szCs w:val="32"/>
          <w:highlight w:val="none"/>
          <w:lang w:val="zh-CN" w:eastAsia="zh-CN" w:bidi="ar-SA"/>
        </w:rPr>
        <w:t>为提高财政资金使用效益，区社保局成立了局长为组长、班子成员为副组长，各股室负责人为成员的绩效评价小组。分别对项目实施绩效进</w:t>
      </w:r>
      <w:r>
        <w:rPr>
          <w:rFonts w:hint="eastAsia" w:eastAsia="仿宋_GB2312" w:cs="仿宋_GB2312"/>
          <w:kern w:val="0"/>
          <w:sz w:val="32"/>
          <w:szCs w:val="32"/>
          <w:lang w:val="zh-CN" w:eastAsia="zh-CN" w:bidi="ar"/>
        </w:rPr>
        <w:t>行评价。</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根据项目预算绩效评价指标体系“通用指标”“专用指标”“个性指标”涉及二、三级指标进行逐项绩效分析并评分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1.</w:t>
      </w:r>
      <w:r>
        <w:rPr>
          <w:rFonts w:hint="default" w:ascii="Times New Roman" w:hAnsi="Times New Roman" w:eastAsia="仿宋_GB2312" w:cs="Times New Roman"/>
          <w:b w:val="0"/>
          <w:bCs w:val="0"/>
          <w:i w:val="0"/>
          <w:iCs w:val="0"/>
          <w:color w:val="auto"/>
          <w:sz w:val="32"/>
          <w:szCs w:val="32"/>
          <w:lang w:eastAsia="zh-CN"/>
        </w:rPr>
        <w:t>项目决策。</w:t>
      </w:r>
      <w:r>
        <w:rPr>
          <w:rFonts w:hint="eastAsia" w:eastAsia="仿宋_GB2312" w:cs="仿宋_GB2312"/>
          <w:kern w:val="2"/>
          <w:sz w:val="32"/>
          <w:szCs w:val="32"/>
          <w:lang w:val="en-US" w:eastAsia="zh-CN" w:bidi="ar"/>
        </w:rPr>
        <w:t>该项目实施是根据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《中华人民共和国社会保险法》第七十二条：“社会保险经办机构的人员经费和经办社会保险发生的基本运行费用、管理费用，由同级财政按照国家规定予以保障”的规定纳入预算</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按步骤按要求实施计划</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zh-CN" w:eastAsia="zh-CN" w:bidi="ar-SA"/>
        </w:rPr>
        <w:t>对项目实施的必要性进行充分分析论证确定，立项依据充分</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eastAsia="zh-CN"/>
        </w:rPr>
        <w:t>项目管理。严格按照《遂宁市人民政府办公室关于进一步加强行政事业单位财务管理的通知》（遂安府办函[2019]50号）文件精神</w:t>
      </w:r>
      <w:r>
        <w:rPr>
          <w:rFonts w:hint="default" w:ascii="Times New Roman" w:hAnsi="Times New Roman" w:eastAsia="仿宋_GB2312" w:cs="Times New Roman"/>
          <w:b w:val="0"/>
          <w:bCs w:val="0"/>
          <w:i w:val="0"/>
          <w:iCs w:val="0"/>
          <w:kern w:val="0"/>
          <w:position w:val="0"/>
          <w:sz w:val="32"/>
          <w:szCs w:val="32"/>
          <w:highlight w:val="none"/>
          <w:lang w:val="zh-CN" w:eastAsia="zh-CN" w:bidi="ar-SA"/>
        </w:rPr>
        <w:t>该项目由</w:t>
      </w:r>
      <w:r>
        <w:rPr>
          <w:rFonts w:hint="eastAsia" w:eastAsia="仿宋_GB2312" w:cs="Times New Roman"/>
          <w:color w:val="000000"/>
          <w:sz w:val="32"/>
          <w:szCs w:val="32"/>
          <w:lang w:eastAsia="zh-CN"/>
        </w:rPr>
        <w:t>局办公室、征缴股干部</w:t>
      </w:r>
      <w:r>
        <w:rPr>
          <w:rFonts w:hint="default" w:ascii="Times New Roman" w:hAnsi="Times New Roman" w:eastAsia="仿宋_GB2312" w:cs="Times New Roman"/>
          <w:color w:val="000000"/>
          <w:sz w:val="32"/>
          <w:szCs w:val="32"/>
          <w:lang w:eastAsia="zh-CN"/>
        </w:rPr>
        <w:t>为综合业务人员，该项目</w:t>
      </w:r>
      <w:r>
        <w:rPr>
          <w:rFonts w:hint="default" w:ascii="Times New Roman" w:hAnsi="Times New Roman" w:eastAsia="仿宋_GB2312" w:cs="Times New Roman"/>
          <w:color w:val="000000"/>
          <w:sz w:val="32"/>
          <w:szCs w:val="32"/>
        </w:rPr>
        <w:t>严格按照相关法律法规执行管理</w:t>
      </w:r>
      <w:r>
        <w:rPr>
          <w:rFonts w:hint="eastAsia" w:ascii="Times New Roman" w:hAnsi="Times New Roman" w:cs="Times New Roman"/>
          <w:b w:val="0"/>
          <w:bCs w:val="0"/>
          <w:i w:val="0"/>
          <w:iCs w:val="0"/>
          <w:kern w:val="0"/>
          <w:position w:val="0"/>
          <w:sz w:val="32"/>
          <w:szCs w:val="32"/>
          <w:highlight w:val="none"/>
          <w:lang w:val="zh-CN" w:eastAsia="zh-CN" w:bidi="ar-SA"/>
        </w:rPr>
        <w:t>，</w:t>
      </w:r>
      <w:r>
        <w:rPr>
          <w:rFonts w:hint="eastAsia" w:eastAsia="仿宋_GB2312" w:cs="仿宋_GB2312"/>
          <w:kern w:val="2"/>
          <w:sz w:val="32"/>
          <w:szCs w:val="32"/>
          <w:lang w:val="en-US" w:eastAsia="zh-CN" w:bidi="ar"/>
        </w:rPr>
        <w:t>程序规范</w:t>
      </w:r>
      <w:r>
        <w:rPr>
          <w:rFonts w:hint="default" w:ascii="Times New Roman" w:hAnsi="Times New Roman" w:eastAsia="仿宋_GB2312" w:cs="Times New Roman"/>
          <w:b w:val="0"/>
          <w:bCs w:val="0"/>
          <w:i w:val="0"/>
          <w:iCs w:val="0"/>
          <w:kern w:val="0"/>
          <w:position w:val="0"/>
          <w:sz w:val="32"/>
          <w:szCs w:val="32"/>
          <w:highlight w:val="none"/>
          <w:lang w:val="zh-CN" w:eastAsia="zh-CN" w:bidi="ar-SA"/>
        </w:rPr>
        <w:t>，由财务股对项目资金进行申请、拨付、票据审核、财务处理。财务股严格执行财务管理制度，账务处理及时，会计核算规范。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3.项目实施。</w:t>
      </w:r>
      <w:r>
        <w:rPr>
          <w:rFonts w:hint="default" w:ascii="Times New Roman" w:hAnsi="Times New Roman" w:eastAsia="仿宋_GB2312" w:cs="Times New Roman"/>
          <w:color w:val="000000"/>
          <w:sz w:val="32"/>
          <w:szCs w:val="32"/>
          <w:lang w:val="en-US" w:eastAsia="zh-CN"/>
        </w:rPr>
        <w:t>该项目由</w:t>
      </w:r>
      <w:r>
        <w:rPr>
          <w:rFonts w:hint="default" w:eastAsia="仿宋_GB2312" w:cs="Times New Roman"/>
          <w:color w:val="000000"/>
          <w:sz w:val="32"/>
          <w:szCs w:val="32"/>
          <w:lang w:eastAsia="zh-CN"/>
        </w:rPr>
        <w:t>区</w:t>
      </w:r>
      <w:r>
        <w:rPr>
          <w:rFonts w:hint="eastAsia" w:ascii="Times New Roman" w:hAnsi="Times New Roman" w:eastAsia="仿宋_GB2312" w:cs="Times New Roman"/>
          <w:color w:val="000000"/>
          <w:sz w:val="32"/>
          <w:szCs w:val="32"/>
          <w:lang w:val="en-US" w:eastAsia="zh-CN"/>
        </w:rPr>
        <w:t>社保局</w:t>
      </w:r>
      <w:r>
        <w:rPr>
          <w:rFonts w:hint="default" w:ascii="Times New Roman" w:hAnsi="Times New Roman" w:eastAsia="仿宋_GB2312" w:cs="Times New Roman"/>
          <w:color w:val="000000"/>
          <w:sz w:val="32"/>
          <w:szCs w:val="32"/>
          <w:lang w:val="en-US" w:eastAsia="zh-CN"/>
        </w:rPr>
        <w:t>局长</w:t>
      </w:r>
      <w:r>
        <w:rPr>
          <w:rFonts w:hint="eastAsia" w:eastAsia="仿宋_GB2312" w:cs="Times New Roman"/>
          <w:color w:val="000000"/>
          <w:sz w:val="32"/>
          <w:szCs w:val="32"/>
          <w:lang w:val="en-US" w:eastAsia="zh-CN"/>
        </w:rPr>
        <w:t>王毓辉</w:t>
      </w:r>
      <w:r>
        <w:rPr>
          <w:rFonts w:hint="default" w:ascii="Times New Roman" w:hAnsi="Times New Roman" w:eastAsia="仿宋_GB2312" w:cs="Times New Roman"/>
          <w:color w:val="000000"/>
          <w:sz w:val="32"/>
          <w:szCs w:val="32"/>
          <w:lang w:val="en-US" w:eastAsia="zh-CN"/>
        </w:rPr>
        <w:t>任组长，副局长</w:t>
      </w:r>
      <w:r>
        <w:rPr>
          <w:rFonts w:hint="eastAsia" w:ascii="Times New Roman" w:hAnsi="Times New Roman" w:eastAsia="仿宋_GB2312" w:cs="Times New Roman"/>
          <w:color w:val="000000"/>
          <w:sz w:val="32"/>
          <w:szCs w:val="32"/>
          <w:highlight w:val="none"/>
          <w:lang w:val="en-US" w:eastAsia="zh-CN"/>
        </w:rPr>
        <w:t>刘畅</w:t>
      </w:r>
      <w:r>
        <w:rPr>
          <w:rFonts w:hint="default" w:ascii="Times New Roman" w:hAnsi="Times New Roman" w:eastAsia="仿宋_GB2312" w:cs="Times New Roman"/>
          <w:color w:val="000000"/>
          <w:sz w:val="32"/>
          <w:szCs w:val="32"/>
          <w:lang w:val="en-US" w:eastAsia="zh-CN"/>
        </w:rPr>
        <w:t>任副组长，</w:t>
      </w:r>
      <w:r>
        <w:rPr>
          <w:rFonts w:hint="eastAsia" w:eastAsia="仿宋_GB2312" w:cs="Times New Roman"/>
          <w:color w:val="000000"/>
          <w:sz w:val="32"/>
          <w:szCs w:val="32"/>
          <w:lang w:val="en-US" w:eastAsia="zh-CN"/>
        </w:rPr>
        <w:t>办公室、征缴股</w:t>
      </w:r>
      <w:r>
        <w:rPr>
          <w:rFonts w:hint="default" w:ascii="Times New Roman" w:hAnsi="Times New Roman" w:eastAsia="仿宋_GB2312" w:cs="Times New Roman"/>
          <w:color w:val="000000"/>
          <w:sz w:val="32"/>
          <w:szCs w:val="32"/>
          <w:lang w:val="en-US" w:eastAsia="zh-CN"/>
        </w:rPr>
        <w:t>为综合业务人员</w:t>
      </w:r>
      <w:r>
        <w:rPr>
          <w:rFonts w:hint="default" w:ascii="Times New Roman" w:hAnsi="Times New Roman" w:eastAsia="仿宋_GB2312" w:cs="Times New Roman"/>
          <w:color w:val="000000"/>
          <w:sz w:val="32"/>
          <w:szCs w:val="32"/>
          <w:lang w:eastAsia="zh-CN"/>
        </w:rPr>
        <w:t>，该项目</w:t>
      </w:r>
      <w:r>
        <w:rPr>
          <w:rFonts w:hint="default" w:ascii="Times New Roman" w:hAnsi="Times New Roman" w:eastAsia="仿宋_GB2312" w:cs="Times New Roman"/>
          <w:color w:val="000000"/>
          <w:sz w:val="32"/>
          <w:szCs w:val="32"/>
        </w:rPr>
        <w:t>严格按照相关法律法规执行管理</w:t>
      </w:r>
      <w:r>
        <w:rPr>
          <w:rFonts w:hint="eastAsia" w:ascii="Times New Roman" w:hAnsi="Times New Roman" w:cs="Times New Roman"/>
          <w:b w:val="0"/>
          <w:bCs w:val="0"/>
          <w:i w:val="0"/>
          <w:iCs w:val="0"/>
          <w:kern w:val="0"/>
          <w:position w:val="0"/>
          <w:sz w:val="32"/>
          <w:szCs w:val="32"/>
          <w:highlight w:val="none"/>
          <w:lang w:val="zh-CN" w:eastAsia="zh-CN" w:bidi="ar-SA"/>
        </w:rPr>
        <w:t>，</w:t>
      </w:r>
      <w:r>
        <w:rPr>
          <w:rFonts w:hint="eastAsia" w:eastAsia="仿宋_GB2312" w:cs="仿宋_GB2312"/>
          <w:kern w:val="2"/>
          <w:sz w:val="32"/>
          <w:szCs w:val="32"/>
          <w:lang w:val="en-US" w:eastAsia="zh-CN" w:bidi="ar"/>
        </w:rPr>
        <w:t>程序规范，保障了项目实施有序开展，基本到达预期效果</w:t>
      </w:r>
      <w:r>
        <w:rPr>
          <w:rFonts w:hint="eastAsia" w:ascii="Times New Roman" w:hAnsi="Times New Roman"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Times New Roman"/>
          <w:b w:val="0"/>
          <w:bCs w:val="0"/>
          <w:i w:val="0"/>
          <w:iCs w:val="0"/>
          <w:color w:val="auto"/>
          <w:sz w:val="32"/>
          <w:szCs w:val="32"/>
          <w:lang w:val="en-US" w:eastAsia="zh-CN"/>
        </w:rPr>
        <w:t>4.项目结果。</w:t>
      </w:r>
      <w:r>
        <w:rPr>
          <w:rFonts w:hint="eastAsia" w:ascii="Times New Roman" w:hAnsi="Times New Roman" w:eastAsia="仿宋_GB2312" w:cs="Times New Roman"/>
          <w:color w:val="000000"/>
          <w:sz w:val="32"/>
          <w:szCs w:val="32"/>
          <w:lang w:val="en-US" w:eastAsia="zh-CN"/>
        </w:rPr>
        <w:t>通过项目实施，</w:t>
      </w:r>
      <w:r>
        <w:rPr>
          <w:rFonts w:hint="eastAsia" w:eastAsia="仿宋_GB2312" w:cs="Times New Roman"/>
          <w:color w:val="000000"/>
          <w:sz w:val="32"/>
          <w:szCs w:val="32"/>
          <w:lang w:val="en-US" w:eastAsia="zh-CN"/>
        </w:rPr>
        <w:t>保障社保工作的正常开展</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造了群众满意的人力资源和社会保障服务</w:t>
      </w:r>
      <w:r>
        <w:rPr>
          <w:rFonts w:hint="eastAsia"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全面按照</w:t>
      </w:r>
      <w:r>
        <w:rPr>
          <w:rFonts w:hint="eastAsia" w:eastAsia="仿宋_GB2312" w:cs="Times New Roman"/>
          <w:color w:val="000000"/>
          <w:sz w:val="32"/>
          <w:szCs w:val="32"/>
          <w:lang w:eastAsia="zh-CN"/>
        </w:rPr>
        <w:t>这项</w:t>
      </w:r>
      <w:r>
        <w:rPr>
          <w:rFonts w:hint="default" w:ascii="Times New Roman" w:hAnsi="Times New Roman" w:eastAsia="仿宋_GB2312" w:cs="Times New Roman"/>
          <w:color w:val="000000"/>
          <w:sz w:val="32"/>
          <w:szCs w:val="32"/>
          <w:lang w:eastAsia="zh-CN"/>
        </w:rPr>
        <w:t>计划完成</w:t>
      </w:r>
      <w:r>
        <w:rPr>
          <w:rFonts w:hint="eastAsia" w:ascii="Times New Roman" w:hAnsi="Times New Roman" w:eastAsia="仿宋_GB2312" w:cs="Times New Roman"/>
          <w:color w:val="000000"/>
          <w:sz w:val="32"/>
          <w:szCs w:val="32"/>
          <w:lang w:eastAsia="zh-CN"/>
        </w:rPr>
        <w:t>了</w:t>
      </w:r>
      <w:r>
        <w:rPr>
          <w:rFonts w:hint="default" w:ascii="Times New Roman" w:hAnsi="Times New Roman" w:eastAsia="仿宋_GB2312" w:cs="Times New Roman"/>
          <w:color w:val="000000"/>
          <w:sz w:val="32"/>
          <w:szCs w:val="32"/>
          <w:lang w:eastAsia="zh-CN"/>
        </w:rPr>
        <w:t>目标</w:t>
      </w:r>
      <w:r>
        <w:rPr>
          <w:rFonts w:hint="eastAsia" w:ascii="Times New Roman" w:hAnsi="Times New Roman" w:eastAsia="仿宋_GB2312" w:cs="Times New Roman"/>
          <w:color w:val="000000"/>
          <w:sz w:val="32"/>
          <w:szCs w:val="32"/>
          <w:lang w:eastAsia="zh-CN"/>
        </w:rPr>
        <w:t>任务</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仿宋_GB2312" w:hAnsi="Times New Roman" w:eastAsia="仿宋_GB2312" w:cs="Times New Roman"/>
          <w:kern w:val="2"/>
          <w:sz w:val="32"/>
          <w:szCs w:val="32"/>
          <w:lang w:val="zh-CN" w:eastAsia="zh-CN" w:bidi="ar-SA"/>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1.产业发展。</w:t>
      </w:r>
      <w:r>
        <w:rPr>
          <w:rFonts w:hint="eastAsia" w:ascii="Times New Roman" w:hAnsi="Times New Roman" w:eastAsia="仿宋_GB2312" w:cs="Times New Roman"/>
          <w:b w:val="0"/>
          <w:bCs w:val="0"/>
          <w:i w:val="0"/>
          <w:iCs w:val="0"/>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2.</w:t>
      </w:r>
      <w:r>
        <w:rPr>
          <w:rFonts w:hint="default" w:ascii="Times New Roman" w:hAnsi="Times New Roman" w:eastAsia="仿宋_GB2312" w:cs="Times New Roman"/>
          <w:b w:val="0"/>
          <w:bCs w:val="0"/>
          <w:i w:val="0"/>
          <w:iCs w:val="0"/>
          <w:color w:val="auto"/>
          <w:sz w:val="32"/>
          <w:szCs w:val="32"/>
          <w:lang w:val="zh-CN" w:eastAsia="zh-CN"/>
        </w:rPr>
        <w:t>民生保障。</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3.基础设施。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color w:val="auto"/>
          <w:sz w:val="32"/>
          <w:szCs w:val="32"/>
          <w:lang w:val="en-US" w:eastAsia="zh-CN"/>
        </w:rPr>
        <w:t>4.</w:t>
      </w:r>
      <w:r>
        <w:rPr>
          <w:rFonts w:hint="default" w:ascii="Times New Roman" w:hAnsi="Times New Roman" w:eastAsia="仿宋_GB2312" w:cs="Times New Roman"/>
          <w:b w:val="0"/>
          <w:bCs w:val="0"/>
          <w:i w:val="0"/>
          <w:iCs w:val="0"/>
          <w:color w:val="auto"/>
          <w:sz w:val="32"/>
          <w:szCs w:val="32"/>
          <w:lang w:val="zh-CN" w:eastAsia="zh-CN"/>
        </w:rPr>
        <w:t>行政运转。</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p>
    <w:p>
      <w:pPr>
        <w:pStyle w:val="2"/>
        <w:rPr>
          <w:rFonts w:hint="default"/>
          <w:lang w:val="en-US" w:eastAsia="zh-CN"/>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p>
    <w:p>
      <w:pPr>
        <w:pStyle w:val="22"/>
        <w:rPr>
          <w:rFonts w:hint="default"/>
          <w:lang w:val="en-US" w:eastAsia="zh-CN"/>
        </w:rPr>
      </w:pPr>
    </w:p>
    <w:p>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eastAsia" w:ascii="Times New Roman" w:hAnsi="Times New Roman" w:eastAsia="仿宋_GB2312" w:cs="Times New Roman"/>
          <w:b w:val="0"/>
          <w:bCs w:val="0"/>
          <w:i w:val="0"/>
          <w:iCs w:val="0"/>
          <w:kern w:val="0"/>
          <w:position w:val="0"/>
          <w:sz w:val="32"/>
          <w:szCs w:val="32"/>
          <w:highlight w:val="none"/>
          <w:lang w:val="en-US" w:eastAsia="zh-CN" w:bidi="ar-SA"/>
        </w:rPr>
        <w:t>“</w:t>
      </w:r>
      <w:r>
        <w:rPr>
          <w:rFonts w:hint="default" w:ascii="Times New Roman" w:hAnsi="Times New Roman" w:eastAsia="仿宋_GB2312" w:cs="Times New Roman"/>
          <w:b w:val="0"/>
          <w:bCs w:val="0"/>
          <w:i w:val="0"/>
          <w:iCs w:val="0"/>
          <w:kern w:val="0"/>
          <w:position w:val="0"/>
          <w:sz w:val="32"/>
          <w:szCs w:val="32"/>
          <w:highlight w:val="none"/>
          <w:lang w:val="en-US" w:eastAsia="zh-CN" w:bidi="ar-SA"/>
        </w:rPr>
        <w:t>基金风险防控项目”项目</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该项目调整后预算数20.18</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元，执行数为20.18</w:t>
      </w:r>
      <w:r>
        <w:rPr>
          <w:rFonts w:hint="default" w:ascii="Times New Roman" w:hAnsi="Times New Roman" w:eastAsia="仿宋_GB2312" w:cs="Times New Roman"/>
          <w:b w:val="0"/>
          <w:bCs w:val="0"/>
          <w:i w:val="0"/>
          <w:iCs w:val="0"/>
          <w:kern w:val="0"/>
          <w:position w:val="0"/>
          <w:sz w:val="32"/>
          <w:szCs w:val="32"/>
          <w:highlight w:val="none"/>
          <w:lang w:val="en-US" w:eastAsia="zh-CN" w:bidi="ar-SA"/>
        </w:rPr>
        <w:t>万</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元</w:t>
      </w:r>
      <w:r>
        <w:rPr>
          <w:rFonts w:hint="default" w:ascii="Times New Roman" w:hAnsi="Times New Roman" w:eastAsia="仿宋_GB2312" w:cs="Times New Roman"/>
          <w:b w:val="0"/>
          <w:bCs w:val="0"/>
          <w:i w:val="0"/>
          <w:iCs w:val="0"/>
          <w:kern w:val="0"/>
          <w:position w:val="0"/>
          <w:sz w:val="32"/>
          <w:szCs w:val="32"/>
          <w:highlight w:val="none"/>
          <w:lang w:val="en-US" w:eastAsia="zh-CN" w:bidi="ar-SA"/>
        </w:rPr>
        <w:t>。通过项目实施，</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保障社保工作的正常开展</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造了群众满意的人力资源和社会保障服务，项目自评得分95分。</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en-US" w:eastAsia="zh-CN" w:bidi="ar-SA"/>
        </w:rPr>
        <w:t>预算编制精确度有待进一步提高，对各类资金的管理还存在不够完善不够精细的问题。</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pPr>
        <w:tabs>
          <w:tab w:val="left" w:pos="1911"/>
        </w:tabs>
        <w:jc w:val="left"/>
        <w:rPr>
          <w:rFonts w:hint="default" w:ascii="Times New Roman" w:hAnsi="Times New Roman" w:eastAsia="仿宋_GB2312" w:cs="Times New Roman"/>
          <w:b w:val="0"/>
          <w:bCs w:val="0"/>
          <w:i w:val="0"/>
          <w:iCs w:val="0"/>
          <w:kern w:val="0"/>
          <w:position w:val="0"/>
          <w:sz w:val="32"/>
          <w:szCs w:val="32"/>
          <w:highlight w:val="none"/>
          <w:lang w:val="e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default" w:ascii="Times New Roman" w:hAnsi="Times New Roman" w:eastAsia="仿宋_GB2312" w:cs="Times New Roman"/>
          <w:b w:val="0"/>
          <w:bCs w:val="0"/>
          <w:i w:val="0"/>
          <w:iCs w:val="0"/>
          <w:kern w:val="0"/>
          <w:position w:val="0"/>
          <w:sz w:val="32"/>
          <w:szCs w:val="32"/>
          <w:highlight w:val="none"/>
          <w:lang w:val="en-US" w:eastAsia="zh-CN" w:bidi="ar-SA"/>
        </w:rPr>
        <w:t xml:space="preserve">   </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优化预算编制，加强预算执行。合理安排预算支出计划，优化资金支出结构，强化资金统筹和绩效管理，确保工作有效开展。</w:t>
      </w:r>
    </w:p>
    <w:p>
      <w:pPr>
        <w:kinsoku w:val="0"/>
        <w:overflowPunct w:val="0"/>
        <w:spacing w:line="660" w:lineRule="exact"/>
        <w:jc w:val="center"/>
        <w:rPr>
          <w:rFonts w:hint="eastAsia" w:ascii="方正小标宋简体" w:hAnsi="方正小标宋简体" w:eastAsia="方正小标宋简体" w:cs="方正小标宋简体"/>
          <w:spacing w:val="1"/>
          <w:sz w:val="44"/>
          <w:szCs w:val="44"/>
          <w:lang w:eastAsia="zh-CN"/>
        </w:rPr>
      </w:pPr>
      <w:r>
        <w:rPr>
          <w:rFonts w:hint="default" w:ascii="Times New Roman" w:hAnsi="Times New Roman" w:eastAsia="仿宋_GB2312" w:cs="Times New Roman"/>
          <w:b w:val="0"/>
          <w:bCs w:val="0"/>
          <w:i w:val="0"/>
          <w:iCs w:val="0"/>
          <w:color w:val="000000"/>
          <w:kern w:val="0"/>
          <w:szCs w:val="32"/>
          <w:highlight w:val="none"/>
          <w:shd w:val="clear" w:color="auto" w:fill="FFFFFF"/>
          <w:lang w:val="zh-CN" w:eastAsia="zh-CN"/>
        </w:rPr>
        <w:br w:type="page"/>
      </w:r>
      <w:r>
        <w:rPr>
          <w:rFonts w:hint="default" w:ascii="Times New Roman" w:hAnsi="Times New Roman" w:eastAsia="方正小标宋简体" w:cs="Times New Roman"/>
          <w:b w:val="0"/>
          <w:bCs w:val="0"/>
          <w:i w:val="0"/>
          <w:iCs w:val="0"/>
          <w:color w:val="auto"/>
          <w:kern w:val="2"/>
          <w:sz w:val="44"/>
          <w:szCs w:val="44"/>
          <w:highlight w:val="none"/>
          <w:lang w:val="en-US" w:eastAsia="zh-CN"/>
        </w:rPr>
        <w:t>专项预算项目绩效评价报告</w:t>
      </w:r>
    </w:p>
    <w:p>
      <w:pPr>
        <w:keepNext w:val="0"/>
        <w:keepLines w:val="0"/>
        <w:pageBreakBefore w:val="0"/>
        <w:kinsoku/>
        <w:wordWrap/>
        <w:overflowPunct/>
        <w:topLinePunct w:val="0"/>
        <w:autoSpaceDE/>
        <w:autoSpaceDN/>
        <w:bidi w:val="0"/>
        <w:adjustRightInd/>
        <w:snapToGrid w:val="0"/>
        <w:spacing w:line="578" w:lineRule="exact"/>
        <w:ind w:left="0" w:leftChars="0" w:firstLine="643" w:firstLineChars="200"/>
        <w:jc w:val="center"/>
        <w:textAlignment w:val="auto"/>
        <w:outlineLvl w:val="9"/>
        <w:rPr>
          <w:rFonts w:hint="eastAsia" w:ascii="仿宋" w:hAnsi="仿宋" w:eastAsia="仿宋" w:cs="仿宋_GB2312"/>
          <w:b/>
          <w:bCs/>
          <w:color w:val="000000"/>
          <w:sz w:val="32"/>
          <w:szCs w:val="32"/>
          <w:highlight w:val="none"/>
          <w:lang w:eastAsia="zh-CN"/>
        </w:rPr>
      </w:pPr>
      <w:r>
        <w:rPr>
          <w:rFonts w:hint="eastAsia" w:ascii="仿宋" w:hAnsi="仿宋" w:eastAsia="仿宋" w:cs="仿宋_GB2312"/>
          <w:b/>
          <w:bCs/>
          <w:color w:val="000000"/>
          <w:sz w:val="32"/>
          <w:szCs w:val="32"/>
          <w:highlight w:val="none"/>
          <w:lang w:eastAsia="zh-CN"/>
        </w:rPr>
        <w:t>（老机保清理转移养老保险费）</w:t>
      </w:r>
    </w:p>
    <w:p>
      <w:pPr>
        <w:pStyle w:val="2"/>
        <w:ind w:firstLine="631"/>
        <w:rPr>
          <w:rFonts w:hint="default"/>
          <w:lang w:val="en" w:eastAsia="zh-CN"/>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eastAsia="黑体" w:cs="Times New Roman"/>
          <w:b w:val="0"/>
          <w:bCs w:val="0"/>
          <w:i w:val="0"/>
          <w:iCs w:val="0"/>
          <w:sz w:val="32"/>
          <w:szCs w:val="32"/>
          <w:highlight w:val="none"/>
          <w:lang w:val="zh-CN"/>
        </w:rPr>
      </w:pPr>
      <w:r>
        <w:rPr>
          <w:rFonts w:hint="default" w:ascii="Times New Roman" w:hAnsi="Times New Roman" w:eastAsia="黑体" w:cs="Times New Roman"/>
          <w:b w:val="0"/>
          <w:bCs w:val="0"/>
          <w:i w:val="0"/>
          <w:iCs w:val="0"/>
          <w:sz w:val="32"/>
          <w:szCs w:val="32"/>
          <w:highlight w:val="none"/>
        </w:rPr>
        <w:t>一、</w:t>
      </w:r>
      <w:r>
        <w:rPr>
          <w:rFonts w:hint="default" w:ascii="Times New Roman" w:hAnsi="Times New Roman" w:eastAsia="黑体" w:cs="Times New Roman"/>
          <w:b w:val="0"/>
          <w:bCs w:val="0"/>
          <w:i w:val="0"/>
          <w:iCs w:val="0"/>
          <w:sz w:val="32"/>
          <w:szCs w:val="32"/>
          <w:highlight w:val="none"/>
          <w:lang w:val="zh-CN"/>
        </w:rPr>
        <w:t>项目概况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Times New Roman"/>
          <w:b w:val="0"/>
          <w:bCs w:val="0"/>
          <w:i w:val="0"/>
          <w:iCs w:val="0"/>
          <w:color w:val="auto"/>
          <w:kern w:val="0"/>
          <w:sz w:val="32"/>
          <w:szCs w:val="32"/>
          <w:highlight w:val="none"/>
          <w:u w:val="none"/>
          <w:shd w:val="clear" w:color="auto" w:fill="FFFFFF"/>
          <w:lang w:val="zh-CN"/>
        </w:rPr>
      </w:pPr>
      <w:r>
        <w:rPr>
          <w:rFonts w:hint="default" w:ascii="Times New Roman" w:hAnsi="Times New Roman" w:eastAsia="楷体_GB2312" w:cs="Times New Roman"/>
          <w:b w:val="0"/>
          <w:bCs w:val="0"/>
          <w:i w:val="0"/>
          <w:iCs w:val="0"/>
          <w:color w:val="auto"/>
          <w:sz w:val="32"/>
          <w:szCs w:val="32"/>
          <w:highlight w:val="none"/>
          <w:u w:val="none"/>
          <w:lang w:val="zh-CN"/>
        </w:rPr>
        <w:t>（一）设立背景及基本情况。</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kern w:val="0"/>
          <w:sz w:val="32"/>
          <w:szCs w:val="32"/>
          <w:lang w:val="zh-CN" w:eastAsia="zh-CN" w:bidi="ar"/>
        </w:rPr>
      </w:pPr>
      <w:r>
        <w:rPr>
          <w:rFonts w:hint="eastAsia" w:ascii="Times New Roman" w:hAnsi="Times New Roman" w:eastAsia="仿宋_GB2312" w:cs="仿宋_GB2312"/>
          <w:kern w:val="0"/>
          <w:sz w:val="32"/>
          <w:szCs w:val="32"/>
          <w:lang w:val="zh-CN" w:eastAsia="zh-CN" w:bidi="ar"/>
        </w:rPr>
        <w:t>该项目为区社保局一次性项目，主要根据年度社保工作开展而设立。按照《遂宁市人力资源和社会保障局 遂宁市财政局&lt;关于开展机关事业单位养老保险试点遗留问题整改工作的通知》&gt;的通知》（遂人社办发〔2023〕60号）要求和安排，该项工作从2023年7月中旬起，至11月底，需彻底解决我区原机关事业单位养老保险试点遗留问题，故设立该项目用于保障社保局养老保险试点遗留问题整改资金缺口。</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kern w:val="0"/>
          <w:sz w:val="32"/>
          <w:szCs w:val="32"/>
          <w:lang w:val="zh-CN" w:eastAsia="zh-CN" w:bidi="ar"/>
        </w:rPr>
      </w:pPr>
      <w:r>
        <w:rPr>
          <w:rFonts w:hint="default" w:ascii="Times New Roman" w:hAnsi="Times New Roman" w:eastAsia="楷体_GB2312" w:cs="Times New Roman"/>
          <w:b w:val="0"/>
          <w:bCs w:val="0"/>
          <w:i w:val="0"/>
          <w:iCs w:val="0"/>
          <w:color w:val="auto"/>
          <w:sz w:val="32"/>
          <w:szCs w:val="32"/>
          <w:highlight w:val="none"/>
          <w:u w:val="none"/>
          <w:lang w:val="zh-CN"/>
        </w:rPr>
        <w:t>（二）</w:t>
      </w:r>
      <w:r>
        <w:rPr>
          <w:rFonts w:hint="default" w:ascii="Times New Roman" w:hAnsi="Times New Roman" w:eastAsia="楷体_GB2312" w:cs="Times New Roman"/>
          <w:b w:val="0"/>
          <w:bCs w:val="0"/>
          <w:i w:val="0"/>
          <w:iCs w:val="0"/>
          <w:color w:val="auto"/>
          <w:sz w:val="32"/>
          <w:szCs w:val="32"/>
          <w:highlight w:val="none"/>
          <w:u w:val="none"/>
          <w:lang w:val="en-US" w:eastAsia="zh-CN"/>
        </w:rPr>
        <w:t>实施目的及支持方向。</w:t>
      </w:r>
      <w:r>
        <w:rPr>
          <w:rFonts w:hint="eastAsia" w:ascii="Times New Roman" w:hAnsi="Times New Roman" w:eastAsia="仿宋_GB2312" w:cs="仿宋_GB2312"/>
          <w:kern w:val="0"/>
          <w:sz w:val="32"/>
          <w:szCs w:val="32"/>
          <w:lang w:val="en-US" w:eastAsia="zh-CN" w:bidi="ar"/>
        </w:rPr>
        <w:t>根据安居区社保局内部管理制度，对项目资金</w:t>
      </w:r>
      <w:r>
        <w:rPr>
          <w:rFonts w:hint="eastAsia" w:ascii="Times New Roman" w:hAnsi="Times New Roman" w:eastAsia="仿宋_GB2312" w:cs="仿宋_GB2312"/>
          <w:kern w:val="0"/>
          <w:sz w:val="32"/>
          <w:szCs w:val="32"/>
          <w:lang w:val="zh-CN" w:eastAsia="zh-CN" w:bidi="ar"/>
        </w:rPr>
        <w:t>管理进行了明确，项目主要任务是保障社保局养老保险试点遗留问题整改资金缺口</w:t>
      </w:r>
      <w:r>
        <w:rPr>
          <w:rFonts w:hint="eastAsia" w:ascii="Times New Roman" w:hAnsi="Times New Roman" w:eastAsia="仿宋_GB2312" w:cs="仿宋_GB2312"/>
          <w:kern w:val="0"/>
          <w:sz w:val="32"/>
          <w:szCs w:val="32"/>
          <w:lang w:val="en-US" w:eastAsia="zh-CN" w:bidi="ar"/>
        </w:rPr>
        <w:t>。</w:t>
      </w:r>
      <w:r>
        <w:rPr>
          <w:rFonts w:hint="eastAsia" w:ascii="Times New Roman" w:hAnsi="Times New Roman" w:eastAsia="仿宋_GB2312" w:cs="仿宋_GB2312"/>
          <w:kern w:val="0"/>
          <w:sz w:val="32"/>
          <w:szCs w:val="32"/>
          <w:lang w:val="zh-CN" w:eastAsia="zh-CN" w:bidi="ar"/>
        </w:rPr>
        <w:t>该项目计划在</w:t>
      </w:r>
      <w:r>
        <w:rPr>
          <w:rFonts w:hint="eastAsia" w:ascii="Times New Roman" w:hAnsi="Times New Roman" w:eastAsia="仿宋_GB2312" w:cs="仿宋_GB2312"/>
          <w:kern w:val="0"/>
          <w:sz w:val="32"/>
          <w:szCs w:val="32"/>
          <w:lang w:val="en-US" w:eastAsia="zh-CN" w:bidi="ar"/>
        </w:rPr>
        <w:t>2023年度完成支付</w:t>
      </w:r>
      <w:r>
        <w:rPr>
          <w:rFonts w:hint="eastAsia" w:ascii="Times New Roman" w:hAnsi="Times New Roman" w:eastAsia="仿宋_GB2312" w:cs="仿宋_GB2312"/>
          <w:kern w:val="0"/>
          <w:sz w:val="32"/>
          <w:szCs w:val="32"/>
          <w:lang w:val="zh-CN" w:eastAsia="zh-CN" w:bidi="ar"/>
        </w:rPr>
        <w:t>。</w:t>
      </w:r>
      <w:r>
        <w:rPr>
          <w:rFonts w:hint="default" w:ascii="Times New Roman" w:hAnsi="Times New Roman" w:eastAsia="仿宋_GB2312" w:cs="仿宋_GB2312"/>
          <w:kern w:val="0"/>
          <w:sz w:val="32"/>
          <w:szCs w:val="32"/>
          <w:lang w:val="zh-CN" w:eastAsia="zh-CN" w:bidi="ar"/>
        </w:rPr>
        <w:t>申报的内容与实际相符，申报目标合理可行。</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kern w:val="0"/>
          <w:sz w:val="32"/>
          <w:szCs w:val="32"/>
          <w:lang w:val="zh-CN" w:eastAsia="zh-CN" w:bidi="ar"/>
        </w:rPr>
      </w:pPr>
      <w:r>
        <w:rPr>
          <w:rFonts w:hint="default" w:ascii="Times New Roman" w:hAnsi="Times New Roman" w:eastAsia="楷体_GB2312" w:cs="Times New Roman"/>
          <w:b w:val="0"/>
          <w:bCs w:val="0"/>
          <w:i w:val="0"/>
          <w:iCs w:val="0"/>
          <w:color w:val="auto"/>
          <w:sz w:val="32"/>
          <w:szCs w:val="32"/>
          <w:highlight w:val="none"/>
          <w:u w:val="none"/>
          <w:lang w:val="zh-CN" w:eastAsia="zh-CN"/>
        </w:rPr>
        <w:t>（三）</w:t>
      </w:r>
      <w:r>
        <w:rPr>
          <w:rFonts w:hint="default" w:ascii="Times New Roman" w:hAnsi="Times New Roman" w:eastAsia="楷体_GB2312" w:cs="Times New Roman"/>
          <w:b w:val="0"/>
          <w:bCs w:val="0"/>
          <w:i w:val="0"/>
          <w:iCs w:val="0"/>
          <w:color w:val="auto"/>
          <w:sz w:val="32"/>
          <w:szCs w:val="32"/>
          <w:highlight w:val="none"/>
          <w:u w:val="none"/>
          <w:lang w:val="en-US" w:eastAsia="zh-CN"/>
        </w:rPr>
        <w:t>预算安排及分配管理</w:t>
      </w:r>
      <w:r>
        <w:rPr>
          <w:rFonts w:hint="default" w:ascii="Times New Roman" w:hAnsi="Times New Roman" w:eastAsia="楷体_GB2312" w:cs="Times New Roman"/>
          <w:b w:val="0"/>
          <w:bCs w:val="0"/>
          <w:i w:val="0"/>
          <w:iCs w:val="0"/>
          <w:color w:val="auto"/>
          <w:sz w:val="32"/>
          <w:szCs w:val="32"/>
          <w:highlight w:val="none"/>
          <w:u w:val="none"/>
          <w:lang w:val="zh-CN" w:eastAsia="zh-CN"/>
        </w:rPr>
        <w:t>。</w:t>
      </w:r>
      <w:r>
        <w:rPr>
          <w:rFonts w:hint="eastAsia" w:ascii="Times New Roman" w:hAnsi="Times New Roman" w:eastAsia="仿宋_GB2312" w:cs="仿宋_GB2312"/>
          <w:kern w:val="0"/>
          <w:sz w:val="32"/>
          <w:szCs w:val="32"/>
          <w:lang w:val="zh-CN" w:eastAsia="zh-CN" w:bidi="ar"/>
        </w:rPr>
        <w:t>因项目实施紧扣基金风险防控工作，按照风险防控任务开展进度，采取项目办结方式进行审批支付，预算项目准确，分配科学合理</w:t>
      </w:r>
      <w:r>
        <w:rPr>
          <w:rFonts w:hint="default" w:ascii="Times New Roman" w:hAnsi="Times New Roman" w:eastAsia="仿宋_GB2312" w:cs="仿宋_GB2312"/>
          <w:kern w:val="0"/>
          <w:sz w:val="32"/>
          <w:szCs w:val="32"/>
          <w:lang w:val="zh-CN" w:eastAsia="zh-CN" w:bidi="ar"/>
        </w:rPr>
        <w:t>。</w:t>
      </w:r>
    </w:p>
    <w:p>
      <w:pPr>
        <w:keepNext w:val="0"/>
        <w:keepLines w:val="0"/>
        <w:pageBreakBefore w:val="0"/>
        <w:kinsoku/>
        <w:wordWrap/>
        <w:overflowPunct/>
        <w:topLinePunct w:val="0"/>
        <w:autoSpaceDE/>
        <w:autoSpaceDN/>
        <w:bidi w:val="0"/>
        <w:adjustRightInd w:val="0"/>
        <w:snapToGrid w:val="0"/>
        <w:spacing w:line="578" w:lineRule="exact"/>
        <w:ind w:left="0" w:leftChars="0" w:firstLine="640" w:firstLineChars="200"/>
        <w:textAlignment w:val="auto"/>
        <w:rPr>
          <w:rFonts w:hint="default" w:ascii="Times New Roman" w:hAnsi="Times New Roman" w:eastAsia="仿宋_GB2312" w:cs="仿宋_GB2312"/>
          <w:kern w:val="0"/>
          <w:sz w:val="32"/>
          <w:szCs w:val="32"/>
          <w:lang w:val="zh-CN" w:eastAsia="zh-CN" w:bidi="ar"/>
        </w:rPr>
      </w:pPr>
      <w:r>
        <w:rPr>
          <w:rFonts w:hint="default" w:ascii="Times New Roman" w:hAnsi="Times New Roman" w:eastAsia="楷体_GB2312" w:cs="Times New Roman"/>
          <w:b w:val="0"/>
          <w:bCs w:val="0"/>
          <w:i w:val="0"/>
          <w:iCs w:val="0"/>
          <w:color w:val="auto"/>
          <w:sz w:val="32"/>
          <w:szCs w:val="32"/>
          <w:highlight w:val="none"/>
          <w:u w:val="none"/>
          <w:lang w:val="zh-CN" w:eastAsia="zh-CN"/>
        </w:rPr>
        <w:t>（四）项目绩效目标设置。</w:t>
      </w:r>
      <w:r>
        <w:rPr>
          <w:rFonts w:hint="eastAsia" w:ascii="Times New Roman" w:hAnsi="Times New Roman" w:eastAsia="仿宋_GB2312" w:cs="仿宋_GB2312"/>
          <w:kern w:val="0"/>
          <w:sz w:val="32"/>
          <w:szCs w:val="32"/>
          <w:lang w:val="zh-CN" w:eastAsia="zh-CN" w:bidi="ar"/>
        </w:rPr>
        <w:t>项目整体绩效目标：要求根据项目实施情况及时进行结算并支付，坚持专款专用原则，杜绝截留、挤占、挪用、序列名目等违法违规现象，支付率达到</w:t>
      </w:r>
      <w:r>
        <w:rPr>
          <w:rFonts w:hint="eastAsia" w:ascii="Times New Roman" w:hAnsi="Times New Roman" w:eastAsia="仿宋_GB2312" w:cs="仿宋_GB2312"/>
          <w:kern w:val="0"/>
          <w:sz w:val="32"/>
          <w:szCs w:val="32"/>
          <w:lang w:val="en-US" w:eastAsia="zh-CN" w:bidi="ar"/>
        </w:rPr>
        <w:t>100%，</w:t>
      </w:r>
      <w:r>
        <w:rPr>
          <w:rFonts w:hint="eastAsia" w:ascii="Times New Roman" w:hAnsi="Times New Roman" w:eastAsia="仿宋_GB2312" w:cs="仿宋_GB2312"/>
          <w:kern w:val="0"/>
          <w:sz w:val="32"/>
          <w:szCs w:val="32"/>
          <w:lang w:val="zh-CN" w:eastAsia="zh-CN" w:bidi="ar"/>
        </w:rPr>
        <w:t>，群众满意度不低于</w:t>
      </w:r>
      <w:r>
        <w:rPr>
          <w:rFonts w:hint="eastAsia" w:ascii="Times New Roman" w:hAnsi="Times New Roman" w:eastAsia="仿宋_GB2312" w:cs="仿宋_GB2312"/>
          <w:kern w:val="0"/>
          <w:sz w:val="32"/>
          <w:szCs w:val="32"/>
          <w:lang w:val="en-US" w:eastAsia="zh-CN" w:bidi="ar"/>
        </w:rPr>
        <w:t>95%</w:t>
      </w:r>
      <w:r>
        <w:rPr>
          <w:rFonts w:hint="eastAsia" w:ascii="Times New Roman" w:hAnsi="Times New Roman" w:eastAsia="仿宋_GB2312" w:cs="仿宋_GB2312"/>
          <w:kern w:val="0"/>
          <w:sz w:val="32"/>
          <w:szCs w:val="32"/>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default" w:ascii="Times New Roman" w:hAnsi="Times New Roman" w:eastAsia="黑体" w:cs="Times New Roman"/>
          <w:b w:val="0"/>
          <w:bCs w:val="0"/>
          <w:i w:val="0"/>
          <w:iCs w:val="0"/>
          <w:sz w:val="32"/>
          <w:szCs w:val="32"/>
          <w:highlight w:val="none"/>
          <w:lang w:eastAsia="zh-CN"/>
        </w:rPr>
      </w:pPr>
      <w:r>
        <w:rPr>
          <w:rFonts w:hint="default" w:ascii="Times New Roman" w:hAnsi="Times New Roman" w:eastAsia="黑体" w:cs="Times New Roman"/>
          <w:b w:val="0"/>
          <w:bCs w:val="0"/>
          <w:i w:val="0"/>
          <w:iCs w:val="0"/>
          <w:sz w:val="32"/>
          <w:szCs w:val="32"/>
          <w:highlight w:val="none"/>
        </w:rPr>
        <w:t>二、</w:t>
      </w:r>
      <w:r>
        <w:rPr>
          <w:rFonts w:hint="default" w:ascii="Times New Roman" w:hAnsi="Times New Roman" w:eastAsia="黑体" w:cs="Times New Roman"/>
          <w:b w:val="0"/>
          <w:bCs w:val="0"/>
          <w:i w:val="0"/>
          <w:iCs w:val="0"/>
          <w:sz w:val="32"/>
          <w:szCs w:val="32"/>
          <w:highlight w:val="none"/>
          <w:lang w:eastAsia="zh-CN"/>
        </w:rPr>
        <w:t>评价实施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楷体_GB2312" w:cs="Times New Roman"/>
          <w:b w:val="0"/>
          <w:bCs w:val="0"/>
          <w:i w:val="0"/>
          <w:iCs w:val="0"/>
          <w:color w:val="auto"/>
          <w:sz w:val="32"/>
          <w:szCs w:val="32"/>
          <w:highlight w:val="none"/>
          <w:u w:val="none"/>
          <w:lang w:val="zh-CN"/>
        </w:rPr>
        <w:t>（一）评价目的。</w:t>
      </w:r>
      <w:r>
        <w:rPr>
          <w:rFonts w:hint="eastAsia" w:ascii="Times New Roman" w:hAnsi="Times New Roman" w:eastAsia="仿宋_GB2312" w:cs="仿宋_GB2312"/>
          <w:kern w:val="0"/>
          <w:sz w:val="32"/>
          <w:szCs w:val="32"/>
          <w:lang w:val="zh-CN" w:eastAsia="zh-CN" w:bidi="ar"/>
        </w:rPr>
        <w:t>区社保局</w:t>
      </w:r>
      <w:r>
        <w:rPr>
          <w:rFonts w:hint="default" w:ascii="Times New Roman" w:hAnsi="Times New Roman" w:eastAsia="仿宋_GB2312" w:cs="仿宋_GB2312"/>
          <w:kern w:val="0"/>
          <w:sz w:val="32"/>
          <w:szCs w:val="32"/>
          <w:lang w:val="zh-CN" w:eastAsia="zh-CN" w:bidi="ar"/>
        </w:rPr>
        <w:t>分别对该项目实施前、中、后进行绩效自评</w:t>
      </w:r>
      <w:r>
        <w:rPr>
          <w:rFonts w:hint="eastAsia" w:ascii="Times New Roman" w:hAnsi="Times New Roman" w:eastAsia="仿宋_GB2312" w:cs="仿宋_GB2312"/>
          <w:kern w:val="0"/>
          <w:sz w:val="32"/>
          <w:szCs w:val="32"/>
          <w:lang w:val="zh-CN" w:eastAsia="zh-CN" w:bidi="ar"/>
        </w:rPr>
        <w:t>，</w:t>
      </w:r>
      <w:r>
        <w:rPr>
          <w:rFonts w:hint="default" w:ascii="Times New Roman" w:hAnsi="Times New Roman" w:eastAsia="仿宋_GB2312" w:cs="仿宋_GB2312"/>
          <w:kern w:val="0"/>
          <w:sz w:val="32"/>
          <w:szCs w:val="32"/>
          <w:lang w:val="zh-CN" w:eastAsia="zh-CN" w:bidi="ar"/>
        </w:rPr>
        <w:t>通过项目绩效自评提高财政资源配置效率和使用效益</w:t>
      </w:r>
      <w:r>
        <w:rPr>
          <w:rFonts w:hint="eastAsia" w:ascii="Times New Roman" w:hAnsi="Times New Roman" w:eastAsia="仿宋_GB2312" w:cs="仿宋_GB2312"/>
          <w:kern w:val="0"/>
          <w:sz w:val="32"/>
          <w:szCs w:val="32"/>
          <w:lang w:val="zh-CN" w:eastAsia="zh-CN" w:bidi="ar"/>
        </w:rPr>
        <w:t>，建立科学、合理的项目支出绩效评价管理体系，为全面实施预算绩效管理</w:t>
      </w:r>
      <w:r>
        <w:rPr>
          <w:rFonts w:hint="default" w:ascii="Times New Roman" w:hAnsi="Times New Roman" w:eastAsia="仿宋_GB2312" w:cs="仿宋_GB2312"/>
          <w:kern w:val="0"/>
          <w:sz w:val="32"/>
          <w:szCs w:val="32"/>
          <w:lang w:val="zh-CN" w:eastAsia="zh-CN" w:bidi="ar"/>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kern w:val="0"/>
          <w:sz w:val="32"/>
          <w:szCs w:val="32"/>
          <w:lang w:val="zh-CN" w:eastAsia="zh-CN" w:bidi="ar"/>
        </w:rPr>
      </w:pPr>
      <w:r>
        <w:rPr>
          <w:rFonts w:hint="default" w:ascii="Times New Roman" w:hAnsi="Times New Roman" w:eastAsia="楷体_GB2312" w:cs="Times New Roman"/>
          <w:b w:val="0"/>
          <w:bCs w:val="0"/>
          <w:i w:val="0"/>
          <w:iCs w:val="0"/>
          <w:color w:val="auto"/>
          <w:sz w:val="32"/>
          <w:szCs w:val="32"/>
          <w:highlight w:val="none"/>
          <w:u w:val="none"/>
          <w:lang w:val="zh-CN"/>
        </w:rPr>
        <w:t>（二）预设问题及评价重点。</w:t>
      </w:r>
      <w:r>
        <w:rPr>
          <w:rFonts w:hint="default" w:ascii="Times New Roman" w:hAnsi="Times New Roman" w:eastAsia="仿宋_GB2312" w:cs="仿宋_GB2312"/>
          <w:kern w:val="0"/>
          <w:sz w:val="32"/>
          <w:szCs w:val="32"/>
          <w:lang w:val="zh-CN" w:eastAsia="zh-CN" w:bidi="ar"/>
        </w:rPr>
        <w:t>按照绩效评价指标体系，资金支出使用全过程均紧扣项目实施进度进行资金结算支付，并严格按照专款专用的原则进行，不存在挪用、截留等违反财经纪律现象。</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default" w:ascii="Times New Roman" w:hAnsi="Times New Roman" w:eastAsia="仿宋_GB2312" w:cs="仿宋_GB2312"/>
          <w:kern w:val="0"/>
          <w:sz w:val="32"/>
          <w:szCs w:val="32"/>
          <w:lang w:val="zh-CN" w:eastAsia="zh-CN" w:bidi="ar"/>
        </w:rPr>
      </w:pPr>
      <w:r>
        <w:rPr>
          <w:rFonts w:hint="default" w:ascii="Times New Roman" w:hAnsi="Times New Roman" w:eastAsia="楷体_GB2312" w:cs="Times New Roman"/>
          <w:b w:val="0"/>
          <w:bCs w:val="0"/>
          <w:i w:val="0"/>
          <w:iCs w:val="0"/>
          <w:color w:val="auto"/>
          <w:sz w:val="32"/>
          <w:szCs w:val="32"/>
          <w:highlight w:val="none"/>
          <w:u w:val="none"/>
          <w:lang w:val="zh-CN"/>
        </w:rPr>
        <w:t>（三）评价选点。</w:t>
      </w:r>
      <w:r>
        <w:rPr>
          <w:rFonts w:hint="default" w:ascii="Times New Roman" w:hAnsi="Times New Roman" w:eastAsia="仿宋_GB2312" w:cs="仿宋_GB2312"/>
          <w:kern w:val="0"/>
          <w:sz w:val="32"/>
          <w:szCs w:val="32"/>
          <w:lang w:val="zh-CN" w:eastAsia="zh-CN" w:bidi="ar"/>
        </w:rPr>
        <w:t>项目绩效自评主要通过资金使用进度及适用范围进行了抽样，发现均不存在违规违纪现象，较好保障了项目实施。</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kern w:val="0"/>
          <w:sz w:val="32"/>
          <w:szCs w:val="32"/>
          <w:lang w:val="zh-CN" w:eastAsia="zh-CN" w:bidi="ar"/>
        </w:rPr>
      </w:pPr>
      <w:r>
        <w:rPr>
          <w:rFonts w:hint="default" w:ascii="Times New Roman" w:hAnsi="Times New Roman" w:eastAsia="楷体_GB2312" w:cs="Times New Roman"/>
          <w:b w:val="0"/>
          <w:bCs w:val="0"/>
          <w:i w:val="0"/>
          <w:iCs w:val="0"/>
          <w:color w:val="auto"/>
          <w:sz w:val="32"/>
          <w:szCs w:val="32"/>
          <w:highlight w:val="none"/>
          <w:u w:val="none"/>
          <w:lang w:val="zh-CN"/>
        </w:rPr>
        <w:t>（四）评价方法。</w:t>
      </w:r>
      <w:r>
        <w:rPr>
          <w:rFonts w:hint="default" w:ascii="Times New Roman" w:hAnsi="Times New Roman" w:eastAsia="仿宋_GB2312" w:cs="仿宋_GB2312"/>
          <w:kern w:val="0"/>
          <w:sz w:val="32"/>
          <w:szCs w:val="32"/>
          <w:lang w:val="zh-CN" w:eastAsia="zh-CN" w:bidi="ar"/>
        </w:rPr>
        <w:t>一是认真开展前期工作。根据下发的有关文件要求，我局迅速向主要负责人报告有关情况。按照主要领导的指示意见，组建了绩效评价管理工作领导小组，迅速开展前期各项准备工作。</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kern w:val="0"/>
          <w:position w:val="0"/>
          <w:sz w:val="32"/>
          <w:szCs w:val="32"/>
          <w:highlight w:val="none"/>
          <w:lang w:val="zh-CN" w:eastAsia="zh-CN" w:bidi="ar-SA"/>
        </w:rPr>
      </w:pPr>
      <w:r>
        <w:rPr>
          <w:rFonts w:hint="default" w:ascii="Times New Roman" w:hAnsi="Times New Roman" w:eastAsia="仿宋_GB2312" w:cs="仿宋_GB2312"/>
          <w:kern w:val="0"/>
          <w:sz w:val="32"/>
          <w:szCs w:val="32"/>
          <w:lang w:val="zh-CN" w:eastAsia="zh-CN" w:bidi="ar"/>
        </w:rPr>
        <w:t>二是有序开展绩效评价。为确保绩效评价工作落到实处，取得成效，我局召开了专题工作部署会，对组织开展绩效考评明确了具体要求，对绩效评价指标进行了详细解读，并对可能出现的问题准备了各种预案，为组织开展好绩效考评工作奠定了基础。根据实施方案要求，我局组织力量进行了逐一梳理，并进行了数据分析，形成了绩效评价报告</w:t>
      </w:r>
      <w:r>
        <w:rPr>
          <w:rFonts w:hint="default" w:ascii="Times New Roman" w:hAnsi="Times New Roman" w:eastAsia="仿宋_GB2312" w:cs="Times New Roman"/>
          <w:b w:val="0"/>
          <w:bCs w:val="0"/>
          <w:i w:val="0"/>
          <w:i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Times New Roman"/>
          <w:b w:val="0"/>
          <w:bCs w:val="0"/>
          <w:i w:val="0"/>
          <w:iCs w:val="0"/>
          <w:lang w:eastAsia="zh-CN"/>
        </w:rPr>
      </w:pPr>
      <w:r>
        <w:rPr>
          <w:rFonts w:hint="default" w:ascii="Times New Roman" w:hAnsi="Times New Roman" w:eastAsia="楷体_GB2312" w:cs="Times New Roman"/>
          <w:b w:val="0"/>
          <w:bCs w:val="0"/>
          <w:i w:val="0"/>
          <w:iCs w:val="0"/>
          <w:color w:val="auto"/>
          <w:sz w:val="32"/>
          <w:szCs w:val="32"/>
          <w:highlight w:val="none"/>
          <w:u w:val="none"/>
          <w:lang w:val="zh-CN"/>
        </w:rPr>
        <w:t>（五）评价组织。</w:t>
      </w:r>
      <w:r>
        <w:rPr>
          <w:rFonts w:hint="eastAsia" w:eastAsia="仿宋_GB2312" w:cs="仿宋_GB2312"/>
          <w:kern w:val="0"/>
          <w:sz w:val="32"/>
          <w:szCs w:val="32"/>
          <w:lang w:val="zh-CN" w:eastAsia="zh-CN" w:bidi="ar"/>
        </w:rPr>
        <w:t>为</w:t>
      </w:r>
      <w:r>
        <w:rPr>
          <w:rFonts w:hint="eastAsia" w:ascii="Times New Roman" w:hAnsi="Times New Roman" w:eastAsia="仿宋_GB2312" w:cs="仿宋_GB2312"/>
          <w:kern w:val="0"/>
          <w:sz w:val="32"/>
          <w:szCs w:val="32"/>
          <w:lang w:val="zh-CN" w:eastAsia="zh-CN" w:bidi="ar"/>
        </w:rPr>
        <w:t>提高财政资金使用效益，区社保局成立了局长为组长、班子成员为副组长，各股室负责人为成员的绩效评价小组。分别对项目实施绩效进行评价</w:t>
      </w:r>
      <w:r>
        <w:rPr>
          <w:rFonts w:hint="eastAsia" w:eastAsia="仿宋_GB2312" w:cs="仿宋_GB2312"/>
          <w:kern w:val="0"/>
          <w:sz w:val="32"/>
          <w:szCs w:val="32"/>
          <w:lang w:val="zh-CN" w:eastAsia="zh-CN" w:bidi="ar"/>
        </w:rPr>
        <w:t>。</w:t>
      </w:r>
    </w:p>
    <w:p>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default" w:ascii="Times New Roman" w:hAnsi="Times New Roman" w:cs="Times New Roman"/>
          <w:b w:val="0"/>
          <w:bCs w:val="0"/>
          <w:i w:val="0"/>
          <w:iCs w:val="0"/>
          <w:color w:val="auto"/>
          <w:sz w:val="32"/>
          <w:szCs w:val="32"/>
          <w:highlight w:val="none"/>
          <w:u w:val="none"/>
          <w:lang w:val="zh-CN"/>
        </w:rPr>
      </w:pPr>
      <w:r>
        <w:rPr>
          <w:rFonts w:hint="default" w:ascii="Times New Roman" w:hAnsi="Times New Roman" w:eastAsia="黑体" w:cs="Times New Roman"/>
          <w:b w:val="0"/>
          <w:bCs w:val="0"/>
          <w:i w:val="0"/>
          <w:iCs w:val="0"/>
          <w:color w:val="auto"/>
          <w:sz w:val="32"/>
          <w:szCs w:val="32"/>
          <w:highlight w:val="none"/>
          <w:u w:val="none"/>
        </w:rPr>
        <w:t>三、</w:t>
      </w:r>
      <w:r>
        <w:rPr>
          <w:rFonts w:hint="default" w:ascii="Times New Roman" w:hAnsi="Times New Roman" w:eastAsia="黑体" w:cs="Times New Roman"/>
          <w:b w:val="0"/>
          <w:bCs w:val="0"/>
          <w:i w:val="0"/>
          <w:iCs w:val="0"/>
          <w:color w:val="auto"/>
          <w:sz w:val="32"/>
          <w:szCs w:val="32"/>
          <w:highlight w:val="none"/>
          <w:u w:val="none"/>
          <w:lang w:eastAsia="zh-CN"/>
        </w:rPr>
        <w:t>绩效分析</w:t>
      </w:r>
      <w:r>
        <w:rPr>
          <w:rFonts w:hint="default" w:ascii="Times New Roman" w:hAnsi="Times New Roman" w:cs="Times New Roman"/>
          <w:b w:val="0"/>
          <w:bCs w:val="0"/>
          <w:i w:val="0"/>
          <w:iCs w:val="0"/>
          <w:color w:val="auto"/>
          <w:sz w:val="32"/>
          <w:szCs w:val="32"/>
          <w:highlight w:val="none"/>
          <w:u w:val="none"/>
          <w:lang w:val="zh-CN"/>
        </w:rPr>
        <w:tab/>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kern w:val="0"/>
          <w:sz w:val="32"/>
          <w:szCs w:val="32"/>
          <w:lang w:val="en-US" w:eastAsia="zh-CN" w:bidi="ar"/>
        </w:rPr>
      </w:pPr>
      <w:r>
        <w:rPr>
          <w:rFonts w:hint="default" w:ascii="Times New Roman" w:hAnsi="Times New Roman" w:eastAsia="仿宋_GB2312" w:cs="仿宋_GB2312"/>
          <w:kern w:val="0"/>
          <w:sz w:val="32"/>
          <w:szCs w:val="32"/>
          <w:lang w:val="zh-CN" w:eastAsia="zh-CN" w:bidi="ar"/>
        </w:rPr>
        <w:t>根据项目预算绩效评价指标体系“通用指标”“专用指标”“个性指标”涉及二、三级指标进行逐项绩效分析并评分</w:t>
      </w:r>
      <w:r>
        <w:rPr>
          <w:rFonts w:hint="default" w:ascii="Times New Roman" w:hAnsi="Times New Roman" w:eastAsia="仿宋_GB2312" w:cs="仿宋_GB2312"/>
          <w:kern w:val="0"/>
          <w:sz w:val="32"/>
          <w:szCs w:val="32"/>
          <w:lang w:val="en-US" w:eastAsia="zh-CN" w:bidi="ar"/>
        </w:rPr>
        <w:t>。</w:t>
      </w:r>
    </w:p>
    <w:p>
      <w:pPr>
        <w:spacing w:line="600" w:lineRule="exact"/>
        <w:ind w:firstLine="640" w:firstLineChars="200"/>
        <w:outlineLvl w:val="2"/>
        <w:rPr>
          <w:rFonts w:hint="default" w:ascii="Times New Roman" w:hAnsi="Times New Roman" w:eastAsia="楷体_GB2312" w:cs="Times New Roman"/>
          <w:b w:val="0"/>
          <w:bCs w:val="0"/>
          <w:i w:val="0"/>
          <w:iCs w:val="0"/>
          <w:color w:val="auto"/>
          <w:sz w:val="32"/>
          <w:szCs w:val="32"/>
          <w:highlight w:val="none"/>
          <w:lang w:val="en-US" w:eastAsia="zh-CN"/>
        </w:rPr>
      </w:pPr>
      <w:r>
        <w:rPr>
          <w:rFonts w:hint="default" w:ascii="Times New Roman" w:hAnsi="Times New Roman" w:eastAsia="楷体_GB2312" w:cs="Times New Roman"/>
          <w:b w:val="0"/>
          <w:bCs w:val="0"/>
          <w:i w:val="0"/>
          <w:iCs w:val="0"/>
          <w:color w:val="auto"/>
          <w:sz w:val="32"/>
          <w:szCs w:val="32"/>
          <w:highlight w:val="none"/>
          <w:lang w:val="zh-CN"/>
        </w:rPr>
        <w:t>（一）</w:t>
      </w:r>
      <w:r>
        <w:rPr>
          <w:rFonts w:hint="default" w:ascii="Times New Roman" w:hAnsi="Times New Roman" w:eastAsia="楷体_GB2312" w:cs="Times New Roman"/>
          <w:b w:val="0"/>
          <w:bCs w:val="0"/>
          <w:i w:val="0"/>
          <w:iCs w:val="0"/>
          <w:color w:val="auto"/>
          <w:sz w:val="32"/>
          <w:szCs w:val="32"/>
          <w:highlight w:val="none"/>
          <w:lang w:val="en-US" w:eastAsia="zh-CN"/>
        </w:rPr>
        <w:t>通用指标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kern w:val="0"/>
          <w:sz w:val="32"/>
          <w:szCs w:val="32"/>
          <w:lang w:val="zh-CN" w:eastAsia="zh-CN" w:bidi="ar"/>
        </w:rPr>
      </w:pPr>
      <w:r>
        <w:rPr>
          <w:rFonts w:hint="default" w:ascii="Times New Roman" w:hAnsi="Times New Roman" w:eastAsia="仿宋_GB2312" w:cs="仿宋_GB2312"/>
          <w:kern w:val="0"/>
          <w:sz w:val="32"/>
          <w:szCs w:val="32"/>
          <w:lang w:val="en-US" w:eastAsia="zh-CN" w:bidi="ar"/>
        </w:rPr>
        <w:t>1.</w:t>
      </w:r>
      <w:r>
        <w:rPr>
          <w:rFonts w:hint="default" w:ascii="Times New Roman" w:hAnsi="Times New Roman" w:eastAsia="仿宋_GB2312" w:cs="仿宋_GB2312"/>
          <w:kern w:val="0"/>
          <w:sz w:val="32"/>
          <w:szCs w:val="32"/>
          <w:lang w:val="zh-CN" w:eastAsia="zh-CN" w:bidi="ar"/>
        </w:rPr>
        <w:t>项目决策。</w:t>
      </w:r>
      <w:r>
        <w:rPr>
          <w:rFonts w:hint="eastAsia" w:ascii="Times New Roman" w:hAnsi="Times New Roman" w:eastAsia="仿宋_GB2312" w:cs="仿宋_GB2312"/>
          <w:kern w:val="0"/>
          <w:sz w:val="32"/>
          <w:szCs w:val="32"/>
          <w:lang w:val="en-US" w:eastAsia="zh-CN" w:bidi="ar"/>
        </w:rPr>
        <w:t>该项目实施是按照《遂宁市人力资源和社会保障局 遂宁市财政局&lt;关于开展机</w:t>
      </w:r>
      <w:bookmarkStart w:id="196" w:name="_GoBack"/>
      <w:bookmarkEnd w:id="196"/>
      <w:r>
        <w:rPr>
          <w:rFonts w:hint="eastAsia" w:ascii="Times New Roman" w:hAnsi="Times New Roman" w:eastAsia="仿宋_GB2312" w:cs="仿宋_GB2312"/>
          <w:kern w:val="0"/>
          <w:sz w:val="32"/>
          <w:szCs w:val="32"/>
          <w:lang w:val="en-US" w:eastAsia="zh-CN" w:bidi="ar"/>
        </w:rPr>
        <w:t>关事业单位养老保险试点遗留问题整改工作的通知》&gt;的通知》（遂人社办发〔2023〕60号）要求和安排，需彻底解决我区原机关事业单位养老保险试点遗留问题而纳入预算</w:t>
      </w:r>
      <w:r>
        <w:rPr>
          <w:rFonts w:hint="default"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zh-CN" w:eastAsia="zh-CN" w:bidi="ar"/>
        </w:rPr>
        <w:t>按步骤按要求实施计划</w:t>
      </w:r>
      <w:r>
        <w:rPr>
          <w:rFonts w:hint="eastAsia" w:ascii="Times New Roman" w:hAnsi="Times New Roman" w:eastAsia="仿宋_GB2312" w:cs="仿宋_GB2312"/>
          <w:kern w:val="0"/>
          <w:sz w:val="32"/>
          <w:szCs w:val="32"/>
          <w:lang w:val="en-US" w:eastAsia="zh-CN" w:bidi="ar"/>
        </w:rPr>
        <w:t>，</w:t>
      </w:r>
      <w:r>
        <w:rPr>
          <w:rFonts w:hint="default" w:ascii="Times New Roman" w:hAnsi="Times New Roman" w:eastAsia="仿宋_GB2312" w:cs="仿宋_GB2312"/>
          <w:kern w:val="0"/>
          <w:sz w:val="32"/>
          <w:szCs w:val="32"/>
          <w:lang w:val="zh-CN" w:eastAsia="zh-CN" w:bidi="ar"/>
        </w:rPr>
        <w:t>对项目实施的必要性进行充分分析论证确定，立项依据充分</w:t>
      </w:r>
      <w:r>
        <w:rPr>
          <w:rFonts w:hint="eastAsia" w:ascii="Times New Roman" w:hAnsi="Times New Roman" w:eastAsia="仿宋_GB2312" w:cs="仿宋_GB2312"/>
          <w:kern w:val="0"/>
          <w:sz w:val="32"/>
          <w:szCs w:val="32"/>
          <w:lang w:val="zh-CN" w:eastAsia="zh-CN" w:bidi="ar"/>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kern w:val="0"/>
          <w:sz w:val="32"/>
          <w:szCs w:val="32"/>
          <w:lang w:val="zh-CN" w:eastAsia="zh-CN" w:bidi="ar"/>
        </w:rPr>
      </w:pPr>
      <w:r>
        <w:rPr>
          <w:rFonts w:hint="default" w:ascii="Times New Roman" w:hAnsi="Times New Roman" w:eastAsia="仿宋_GB2312" w:cs="仿宋_GB2312"/>
          <w:kern w:val="0"/>
          <w:sz w:val="32"/>
          <w:szCs w:val="32"/>
          <w:lang w:val="en-US" w:eastAsia="zh-CN" w:bidi="ar"/>
        </w:rPr>
        <w:t>2.</w:t>
      </w:r>
      <w:r>
        <w:rPr>
          <w:rFonts w:hint="default" w:ascii="Times New Roman" w:hAnsi="Times New Roman" w:eastAsia="仿宋_GB2312" w:cs="仿宋_GB2312"/>
          <w:kern w:val="0"/>
          <w:sz w:val="32"/>
          <w:szCs w:val="32"/>
          <w:lang w:val="zh-CN" w:eastAsia="zh-CN" w:bidi="ar"/>
        </w:rPr>
        <w:t>项目管理。严格按照《遂宁市人民政府办公室关于进一步加强行政事业单位财务管理的通知》（遂安府办函[2019]50号）文件精神该项目由</w:t>
      </w:r>
      <w:r>
        <w:rPr>
          <w:rFonts w:hint="eastAsia" w:ascii="Times New Roman" w:hAnsi="Times New Roman" w:eastAsia="仿宋_GB2312" w:cs="仿宋_GB2312"/>
          <w:kern w:val="0"/>
          <w:sz w:val="32"/>
          <w:szCs w:val="32"/>
          <w:lang w:val="zh-CN" w:eastAsia="zh-CN" w:bidi="ar"/>
        </w:rPr>
        <w:t>局机保股经办</w:t>
      </w:r>
      <w:r>
        <w:rPr>
          <w:rFonts w:hint="default" w:ascii="Times New Roman" w:hAnsi="Times New Roman" w:eastAsia="仿宋_GB2312" w:cs="仿宋_GB2312"/>
          <w:kern w:val="0"/>
          <w:sz w:val="32"/>
          <w:szCs w:val="32"/>
          <w:lang w:val="zh-CN" w:eastAsia="zh-CN" w:bidi="ar"/>
        </w:rPr>
        <w:t>，该项目严格按照相关法律法规执行管理</w:t>
      </w:r>
      <w:r>
        <w:rPr>
          <w:rFonts w:hint="eastAsia" w:ascii="Times New Roman" w:hAnsi="Times New Roman" w:eastAsia="仿宋_GB2312" w:cs="仿宋_GB2312"/>
          <w:kern w:val="0"/>
          <w:sz w:val="32"/>
          <w:szCs w:val="32"/>
          <w:lang w:val="zh-CN" w:eastAsia="zh-CN" w:bidi="ar"/>
        </w:rPr>
        <w:t>，</w:t>
      </w:r>
      <w:r>
        <w:rPr>
          <w:rFonts w:hint="eastAsia" w:ascii="Times New Roman" w:hAnsi="Times New Roman" w:eastAsia="仿宋_GB2312" w:cs="仿宋_GB2312"/>
          <w:kern w:val="0"/>
          <w:sz w:val="32"/>
          <w:szCs w:val="32"/>
          <w:lang w:val="en-US" w:eastAsia="zh-CN" w:bidi="ar"/>
        </w:rPr>
        <w:t>程序规范</w:t>
      </w:r>
      <w:r>
        <w:rPr>
          <w:rFonts w:hint="default" w:ascii="Times New Roman" w:hAnsi="Times New Roman" w:eastAsia="仿宋_GB2312" w:cs="仿宋_GB2312"/>
          <w:kern w:val="0"/>
          <w:sz w:val="32"/>
          <w:szCs w:val="32"/>
          <w:lang w:val="zh-CN" w:eastAsia="zh-CN" w:bidi="ar"/>
        </w:rPr>
        <w:t>，由财务股对项目资金进行申请、拨付、票据审核、财务处理。财务股严格执行财务管理制度，账务处理及时，会计核算规范。</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kern w:val="0"/>
          <w:sz w:val="32"/>
          <w:szCs w:val="32"/>
          <w:lang w:val="zh-CN" w:eastAsia="zh-CN" w:bidi="ar"/>
        </w:rPr>
      </w:pPr>
      <w:r>
        <w:rPr>
          <w:rFonts w:hint="default" w:ascii="Times New Roman" w:hAnsi="Times New Roman" w:eastAsia="仿宋_GB2312" w:cs="仿宋_GB2312"/>
          <w:kern w:val="0"/>
          <w:sz w:val="32"/>
          <w:szCs w:val="32"/>
          <w:lang w:val="en-US" w:eastAsia="zh-CN" w:bidi="ar"/>
        </w:rPr>
        <w:t>3.项目实施。该项目由</w:t>
      </w:r>
      <w:r>
        <w:rPr>
          <w:rFonts w:hint="default" w:ascii="Times New Roman" w:hAnsi="Times New Roman" w:eastAsia="仿宋_GB2312" w:cs="仿宋_GB2312"/>
          <w:kern w:val="0"/>
          <w:sz w:val="32"/>
          <w:szCs w:val="32"/>
          <w:lang w:val="zh-CN" w:eastAsia="zh-CN" w:bidi="ar"/>
        </w:rPr>
        <w:t>区</w:t>
      </w:r>
      <w:r>
        <w:rPr>
          <w:rFonts w:hint="eastAsia" w:ascii="Times New Roman" w:hAnsi="Times New Roman" w:eastAsia="仿宋_GB2312" w:cs="仿宋_GB2312"/>
          <w:kern w:val="0"/>
          <w:sz w:val="32"/>
          <w:szCs w:val="32"/>
          <w:lang w:val="en-US" w:eastAsia="zh-CN" w:bidi="ar"/>
        </w:rPr>
        <w:t>社保局</w:t>
      </w:r>
      <w:r>
        <w:rPr>
          <w:rFonts w:hint="default" w:ascii="Times New Roman" w:hAnsi="Times New Roman" w:eastAsia="仿宋_GB2312" w:cs="仿宋_GB2312"/>
          <w:kern w:val="0"/>
          <w:sz w:val="32"/>
          <w:szCs w:val="32"/>
          <w:lang w:val="en-US" w:eastAsia="zh-CN" w:bidi="ar"/>
        </w:rPr>
        <w:t>局长</w:t>
      </w:r>
      <w:r>
        <w:rPr>
          <w:rFonts w:hint="eastAsia" w:ascii="Times New Roman" w:hAnsi="Times New Roman" w:eastAsia="仿宋_GB2312" w:cs="仿宋_GB2312"/>
          <w:kern w:val="0"/>
          <w:sz w:val="32"/>
          <w:szCs w:val="32"/>
          <w:lang w:val="en-US" w:eastAsia="zh-CN" w:bidi="ar"/>
        </w:rPr>
        <w:t>王毓辉</w:t>
      </w:r>
      <w:r>
        <w:rPr>
          <w:rFonts w:hint="default" w:ascii="Times New Roman" w:hAnsi="Times New Roman" w:eastAsia="仿宋_GB2312" w:cs="仿宋_GB2312"/>
          <w:kern w:val="0"/>
          <w:sz w:val="32"/>
          <w:szCs w:val="32"/>
          <w:lang w:val="en-US" w:eastAsia="zh-CN" w:bidi="ar"/>
        </w:rPr>
        <w:t>任组长，副局长</w:t>
      </w:r>
      <w:r>
        <w:rPr>
          <w:rFonts w:hint="eastAsia" w:ascii="Times New Roman" w:hAnsi="Times New Roman" w:eastAsia="仿宋_GB2312" w:cs="仿宋_GB2312"/>
          <w:kern w:val="0"/>
          <w:sz w:val="32"/>
          <w:szCs w:val="32"/>
          <w:lang w:val="en-US" w:eastAsia="zh-CN" w:bidi="ar"/>
        </w:rPr>
        <w:t>陈志</w:t>
      </w:r>
      <w:r>
        <w:rPr>
          <w:rFonts w:hint="default" w:ascii="Times New Roman" w:hAnsi="Times New Roman" w:eastAsia="仿宋_GB2312" w:cs="仿宋_GB2312"/>
          <w:kern w:val="0"/>
          <w:sz w:val="32"/>
          <w:szCs w:val="32"/>
          <w:lang w:val="en-US" w:eastAsia="zh-CN" w:bidi="ar"/>
        </w:rPr>
        <w:t>任副组长，</w:t>
      </w:r>
      <w:r>
        <w:rPr>
          <w:rFonts w:hint="eastAsia" w:ascii="Times New Roman" w:hAnsi="Times New Roman" w:eastAsia="仿宋_GB2312" w:cs="仿宋_GB2312"/>
          <w:kern w:val="0"/>
          <w:sz w:val="32"/>
          <w:szCs w:val="32"/>
          <w:lang w:val="en-US" w:eastAsia="zh-CN" w:bidi="ar"/>
        </w:rPr>
        <w:t>机保股</w:t>
      </w:r>
      <w:r>
        <w:rPr>
          <w:rFonts w:hint="default" w:ascii="Times New Roman" w:hAnsi="Times New Roman" w:eastAsia="仿宋_GB2312" w:cs="仿宋_GB2312"/>
          <w:kern w:val="0"/>
          <w:sz w:val="32"/>
          <w:szCs w:val="32"/>
          <w:lang w:val="en-US" w:eastAsia="zh-CN" w:bidi="ar"/>
        </w:rPr>
        <w:t>为综合业务人员，</w:t>
      </w:r>
      <w:r>
        <w:rPr>
          <w:rFonts w:hint="default" w:ascii="Times New Roman" w:hAnsi="Times New Roman" w:eastAsia="仿宋_GB2312" w:cs="仿宋_GB2312"/>
          <w:kern w:val="0"/>
          <w:sz w:val="32"/>
          <w:szCs w:val="32"/>
          <w:lang w:val="zh-CN" w:eastAsia="zh-CN" w:bidi="ar"/>
        </w:rPr>
        <w:t>，该项目严格按照相关法律法规执行管理</w:t>
      </w:r>
      <w:r>
        <w:rPr>
          <w:rFonts w:hint="eastAsia" w:ascii="Times New Roman" w:hAnsi="Times New Roman" w:eastAsia="仿宋_GB2312" w:cs="仿宋_GB2312"/>
          <w:kern w:val="0"/>
          <w:sz w:val="32"/>
          <w:szCs w:val="32"/>
          <w:lang w:val="zh-CN" w:eastAsia="zh-CN" w:bidi="ar"/>
        </w:rPr>
        <w:t>，</w:t>
      </w:r>
      <w:r>
        <w:rPr>
          <w:rFonts w:hint="eastAsia" w:ascii="Times New Roman" w:hAnsi="Times New Roman" w:eastAsia="仿宋_GB2312" w:cs="仿宋_GB2312"/>
          <w:kern w:val="0"/>
          <w:sz w:val="32"/>
          <w:szCs w:val="32"/>
          <w:lang w:val="en-US" w:eastAsia="zh-CN" w:bidi="ar"/>
        </w:rPr>
        <w:t>程序规范，</w:t>
      </w:r>
      <w:r>
        <w:rPr>
          <w:rFonts w:hint="default" w:ascii="Times New Roman" w:hAnsi="Times New Roman" w:eastAsia="仿宋_GB2312" w:cs="仿宋_GB2312"/>
          <w:kern w:val="0"/>
          <w:sz w:val="32"/>
          <w:szCs w:val="32"/>
          <w:lang w:val="en-US" w:eastAsia="zh-CN" w:bidi="ar"/>
        </w:rPr>
        <w:t>专款专用</w:t>
      </w:r>
      <w:r>
        <w:rPr>
          <w:rFonts w:hint="eastAsia" w:ascii="Times New Roman" w:hAnsi="Times New Roman" w:eastAsia="仿宋_GB2312" w:cs="仿宋_GB2312"/>
          <w:kern w:val="0"/>
          <w:sz w:val="32"/>
          <w:szCs w:val="32"/>
          <w:lang w:val="en-US" w:eastAsia="zh-CN" w:bidi="ar"/>
        </w:rPr>
        <w:t>，保障了项目实施有序开展，基本到达预期效果</w:t>
      </w:r>
      <w:r>
        <w:rPr>
          <w:rFonts w:hint="eastAsia" w:ascii="Times New Roman" w:hAnsi="Times New Roman" w:eastAsia="仿宋_GB2312" w:cs="仿宋_GB2312"/>
          <w:kern w:val="0"/>
          <w:sz w:val="32"/>
          <w:szCs w:val="32"/>
          <w:lang w:val="zh-CN" w:eastAsia="zh-CN" w:bidi="ar"/>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kern w:val="0"/>
          <w:sz w:val="32"/>
          <w:szCs w:val="32"/>
          <w:lang w:val="zh-CN" w:eastAsia="zh-CN" w:bidi="ar"/>
        </w:rPr>
      </w:pPr>
      <w:r>
        <w:rPr>
          <w:rFonts w:hint="default" w:ascii="Times New Roman" w:hAnsi="Times New Roman" w:eastAsia="仿宋_GB2312" w:cs="仿宋_GB2312"/>
          <w:kern w:val="0"/>
          <w:sz w:val="32"/>
          <w:szCs w:val="32"/>
          <w:lang w:val="en-US" w:eastAsia="zh-CN" w:bidi="ar"/>
        </w:rPr>
        <w:t>4.项目结果。</w:t>
      </w:r>
      <w:r>
        <w:rPr>
          <w:rFonts w:hint="eastAsia" w:ascii="Times New Roman" w:hAnsi="Times New Roman" w:eastAsia="仿宋_GB2312" w:cs="仿宋_GB2312"/>
          <w:kern w:val="0"/>
          <w:sz w:val="32"/>
          <w:szCs w:val="32"/>
          <w:lang w:val="en-US" w:eastAsia="zh-CN" w:bidi="ar"/>
        </w:rPr>
        <w:t>解决了</w:t>
      </w:r>
      <w:r>
        <w:rPr>
          <w:rFonts w:hint="default" w:ascii="Times New Roman" w:hAnsi="Times New Roman" w:eastAsia="仿宋_GB2312" w:cs="仿宋_GB2312"/>
          <w:kern w:val="0"/>
          <w:sz w:val="32"/>
          <w:szCs w:val="32"/>
          <w:lang w:val="en-US" w:eastAsia="zh-CN" w:bidi="ar"/>
        </w:rPr>
        <w:t>社保局养老保险试点遗留问题整改资金缺口</w:t>
      </w:r>
      <w:r>
        <w:rPr>
          <w:rFonts w:hint="eastAsia" w:ascii="Times New Roman" w:hAnsi="Times New Roman" w:eastAsia="仿宋_GB2312" w:cs="仿宋_GB2312"/>
          <w:kern w:val="0"/>
          <w:sz w:val="32"/>
          <w:szCs w:val="32"/>
          <w:lang w:val="en-US" w:eastAsia="zh-CN" w:bidi="ar"/>
        </w:rPr>
        <w:t>的问题</w:t>
      </w:r>
      <w:r>
        <w:rPr>
          <w:rFonts w:hint="default" w:ascii="Times New Roman" w:hAnsi="Times New Roman" w:eastAsia="仿宋_GB2312" w:cs="仿宋_GB2312"/>
          <w:kern w:val="0"/>
          <w:sz w:val="32"/>
          <w:szCs w:val="32"/>
          <w:lang w:val="zh-CN" w:eastAsia="zh-CN" w:bidi="ar"/>
        </w:rPr>
        <w:t>，全面按照</w:t>
      </w:r>
      <w:r>
        <w:rPr>
          <w:rFonts w:hint="eastAsia" w:ascii="Times New Roman" w:hAnsi="Times New Roman" w:eastAsia="仿宋_GB2312" w:cs="仿宋_GB2312"/>
          <w:kern w:val="0"/>
          <w:sz w:val="32"/>
          <w:szCs w:val="32"/>
          <w:lang w:val="zh-CN" w:eastAsia="zh-CN" w:bidi="ar"/>
        </w:rPr>
        <w:t>这项</w:t>
      </w:r>
      <w:r>
        <w:rPr>
          <w:rFonts w:hint="default" w:ascii="Times New Roman" w:hAnsi="Times New Roman" w:eastAsia="仿宋_GB2312" w:cs="仿宋_GB2312"/>
          <w:kern w:val="0"/>
          <w:sz w:val="32"/>
          <w:szCs w:val="32"/>
          <w:lang w:val="zh-CN" w:eastAsia="zh-CN" w:bidi="ar"/>
        </w:rPr>
        <w:t>计划完成</w:t>
      </w:r>
      <w:r>
        <w:rPr>
          <w:rFonts w:hint="eastAsia" w:ascii="Times New Roman" w:hAnsi="Times New Roman" w:eastAsia="仿宋_GB2312" w:cs="仿宋_GB2312"/>
          <w:kern w:val="0"/>
          <w:sz w:val="32"/>
          <w:szCs w:val="32"/>
          <w:lang w:val="zh-CN" w:eastAsia="zh-CN" w:bidi="ar"/>
        </w:rPr>
        <w:t>了</w:t>
      </w:r>
      <w:r>
        <w:rPr>
          <w:rFonts w:hint="default" w:ascii="Times New Roman" w:hAnsi="Times New Roman" w:eastAsia="仿宋_GB2312" w:cs="仿宋_GB2312"/>
          <w:kern w:val="0"/>
          <w:sz w:val="32"/>
          <w:szCs w:val="32"/>
          <w:lang w:val="zh-CN" w:eastAsia="zh-CN" w:bidi="ar"/>
        </w:rPr>
        <w:t>目标</w:t>
      </w:r>
      <w:r>
        <w:rPr>
          <w:rFonts w:hint="eastAsia" w:ascii="Times New Roman" w:hAnsi="Times New Roman" w:eastAsia="仿宋_GB2312" w:cs="仿宋_GB2312"/>
          <w:kern w:val="0"/>
          <w:sz w:val="32"/>
          <w:szCs w:val="32"/>
          <w:lang w:val="zh-CN" w:eastAsia="zh-CN" w:bidi="ar"/>
        </w:rPr>
        <w:t>任务</w:t>
      </w:r>
      <w:r>
        <w:rPr>
          <w:rFonts w:hint="default" w:ascii="Times New Roman" w:hAnsi="Times New Roman" w:eastAsia="仿宋_GB2312" w:cs="仿宋_GB2312"/>
          <w:kern w:val="0"/>
          <w:sz w:val="32"/>
          <w:szCs w:val="32"/>
          <w:lang w:val="zh-CN" w:eastAsia="zh-CN" w:bidi="ar"/>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default" w:ascii="Times New Roman" w:hAnsi="Times New Roman" w:eastAsia="楷体_GB2312" w:cs="Times New Roman"/>
          <w:b w:val="0"/>
          <w:bCs w:val="0"/>
          <w:i w:val="0"/>
          <w:iCs w:val="0"/>
          <w:color w:val="auto"/>
          <w:sz w:val="32"/>
          <w:szCs w:val="32"/>
          <w:highlight w:val="none"/>
          <w:lang w:val="zh-CN"/>
        </w:rPr>
      </w:pPr>
      <w:r>
        <w:rPr>
          <w:rFonts w:hint="default" w:ascii="Times New Roman" w:hAnsi="Times New Roman" w:eastAsia="楷体_GB2312" w:cs="Times New Roman"/>
          <w:b w:val="0"/>
          <w:bCs w:val="0"/>
          <w:i w:val="0"/>
          <w:iCs w:val="0"/>
          <w:color w:val="auto"/>
          <w:sz w:val="32"/>
          <w:szCs w:val="32"/>
          <w:highlight w:val="none"/>
          <w:lang w:val="zh-CN"/>
        </w:rPr>
        <w:t>（二）</w:t>
      </w:r>
      <w:r>
        <w:rPr>
          <w:rFonts w:hint="default" w:ascii="Times New Roman" w:hAnsi="Times New Roman" w:eastAsia="楷体_GB2312" w:cs="Times New Roman"/>
          <w:b w:val="0"/>
          <w:bCs w:val="0"/>
          <w:i w:val="0"/>
          <w:iCs w:val="0"/>
          <w:color w:val="auto"/>
          <w:sz w:val="32"/>
          <w:szCs w:val="32"/>
          <w:highlight w:val="none"/>
          <w:lang w:val="en-US" w:eastAsia="zh-CN"/>
        </w:rPr>
        <w:t>专用指标</w:t>
      </w:r>
      <w:r>
        <w:rPr>
          <w:rFonts w:hint="default" w:ascii="Times New Roman" w:hAnsi="Times New Roman" w:eastAsia="楷体_GB2312" w:cs="Times New Roman"/>
          <w:b w:val="0"/>
          <w:bCs w:val="0"/>
          <w:i w:val="0"/>
          <w:iCs w:val="0"/>
          <w:color w:val="auto"/>
          <w:sz w:val="32"/>
          <w:szCs w:val="32"/>
          <w:highlight w:val="none"/>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kern w:val="0"/>
          <w:sz w:val="32"/>
          <w:szCs w:val="32"/>
          <w:lang w:val="en-US" w:eastAsia="zh-CN" w:bidi="ar"/>
        </w:rPr>
      </w:pPr>
      <w:r>
        <w:rPr>
          <w:rFonts w:hint="default" w:ascii="Times New Roman" w:hAnsi="Times New Roman" w:eastAsia="仿宋_GB2312" w:cs="仿宋_GB2312"/>
          <w:kern w:val="0"/>
          <w:sz w:val="32"/>
          <w:szCs w:val="32"/>
          <w:lang w:val="en-US" w:eastAsia="zh-CN" w:bidi="ar"/>
        </w:rPr>
        <w:t>1.产业发展。</w:t>
      </w:r>
      <w:r>
        <w:rPr>
          <w:rFonts w:hint="eastAsia" w:ascii="Times New Roman" w:hAnsi="Times New Roman" w:eastAsia="仿宋_GB2312" w:cs="仿宋_GB2312"/>
          <w:kern w:val="0"/>
          <w:sz w:val="32"/>
          <w:szCs w:val="32"/>
          <w:lang w:val="en-US" w:eastAsia="zh-CN" w:bidi="ar"/>
        </w:rPr>
        <w:t>无</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kern w:val="0"/>
          <w:sz w:val="32"/>
          <w:szCs w:val="32"/>
          <w:lang w:val="en-US" w:eastAsia="zh-CN" w:bidi="ar"/>
        </w:rPr>
      </w:pPr>
      <w:r>
        <w:rPr>
          <w:rFonts w:hint="default" w:ascii="Times New Roman" w:hAnsi="Times New Roman" w:eastAsia="仿宋_GB2312" w:cs="仿宋_GB2312"/>
          <w:kern w:val="0"/>
          <w:sz w:val="32"/>
          <w:szCs w:val="32"/>
          <w:lang w:val="en-US" w:eastAsia="zh-CN" w:bidi="ar"/>
        </w:rPr>
        <w:t>2.</w:t>
      </w:r>
      <w:r>
        <w:rPr>
          <w:rFonts w:hint="default" w:ascii="Times New Roman" w:hAnsi="Times New Roman" w:eastAsia="仿宋_GB2312" w:cs="仿宋_GB2312"/>
          <w:kern w:val="0"/>
          <w:sz w:val="32"/>
          <w:szCs w:val="32"/>
          <w:lang w:val="zh-CN" w:eastAsia="zh-CN" w:bidi="ar"/>
        </w:rPr>
        <w:t>民生保障。</w:t>
      </w:r>
      <w:r>
        <w:rPr>
          <w:rFonts w:hint="eastAsia" w:ascii="Times New Roman" w:hAnsi="Times New Roman" w:eastAsia="仿宋_GB2312" w:cs="仿宋_GB2312"/>
          <w:kern w:val="0"/>
          <w:sz w:val="32"/>
          <w:szCs w:val="32"/>
          <w:lang w:val="en-US" w:eastAsia="zh-CN" w:bidi="ar"/>
        </w:rPr>
        <w:t>无</w:t>
      </w:r>
      <w:r>
        <w:rPr>
          <w:rFonts w:hint="default" w:ascii="Times New Roman" w:hAnsi="Times New Roman" w:eastAsia="仿宋_GB2312" w:cs="仿宋_GB2312"/>
          <w:kern w:val="0"/>
          <w:sz w:val="32"/>
          <w:szCs w:val="32"/>
          <w:lang w:val="en-US" w:eastAsia="zh-CN" w:bidi="ar"/>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kern w:val="0"/>
          <w:sz w:val="32"/>
          <w:szCs w:val="32"/>
          <w:lang w:val="en-US" w:eastAsia="zh-CN" w:bidi="ar"/>
        </w:rPr>
      </w:pPr>
      <w:r>
        <w:rPr>
          <w:rFonts w:hint="default" w:ascii="Times New Roman" w:hAnsi="Times New Roman" w:eastAsia="仿宋_GB2312" w:cs="仿宋_GB2312"/>
          <w:kern w:val="0"/>
          <w:sz w:val="32"/>
          <w:szCs w:val="32"/>
          <w:lang w:val="en-US" w:eastAsia="zh-CN" w:bidi="ar"/>
        </w:rPr>
        <w:t>3.基础设施。</w:t>
      </w:r>
      <w:r>
        <w:rPr>
          <w:rFonts w:hint="eastAsia" w:ascii="Times New Roman" w:hAnsi="Times New Roman" w:eastAsia="仿宋_GB2312" w:cs="仿宋_GB2312"/>
          <w:kern w:val="0"/>
          <w:sz w:val="32"/>
          <w:szCs w:val="32"/>
          <w:lang w:val="en-US" w:eastAsia="zh-CN" w:bidi="ar"/>
        </w:rPr>
        <w:t>无</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default" w:ascii="Times New Roman" w:hAnsi="Times New Roman" w:eastAsia="仿宋_GB2312" w:cs="仿宋_GB2312"/>
          <w:kern w:val="0"/>
          <w:sz w:val="32"/>
          <w:szCs w:val="32"/>
          <w:lang w:val="en-US" w:eastAsia="zh-CN" w:bidi="ar"/>
        </w:rPr>
      </w:pPr>
      <w:r>
        <w:rPr>
          <w:rFonts w:hint="default" w:ascii="Times New Roman" w:hAnsi="Times New Roman" w:eastAsia="仿宋_GB2312" w:cs="仿宋_GB2312"/>
          <w:kern w:val="0"/>
          <w:sz w:val="32"/>
          <w:szCs w:val="32"/>
          <w:lang w:val="en-US" w:eastAsia="zh-CN" w:bidi="ar"/>
        </w:rPr>
        <w:t>4.</w:t>
      </w:r>
      <w:r>
        <w:rPr>
          <w:rFonts w:hint="default" w:ascii="Times New Roman" w:hAnsi="Times New Roman" w:eastAsia="仿宋_GB2312" w:cs="仿宋_GB2312"/>
          <w:kern w:val="0"/>
          <w:sz w:val="32"/>
          <w:szCs w:val="32"/>
          <w:lang w:val="zh-CN" w:eastAsia="zh-CN" w:bidi="ar"/>
        </w:rPr>
        <w:t>行政运转。</w:t>
      </w:r>
      <w:r>
        <w:rPr>
          <w:rFonts w:hint="eastAsia" w:ascii="Times New Roman" w:hAnsi="Times New Roman" w:eastAsia="仿宋_GB2312" w:cs="仿宋_GB2312"/>
          <w:kern w:val="0"/>
          <w:sz w:val="32"/>
          <w:szCs w:val="32"/>
          <w:lang w:val="en-US" w:eastAsia="zh-CN" w:bidi="ar"/>
        </w:rPr>
        <w:t>无</w:t>
      </w:r>
    </w:p>
    <w:p>
      <w:pPr>
        <w:pStyle w:val="2"/>
        <w:rPr>
          <w:rFonts w:hint="default" w:ascii="仿宋" w:hAnsi="仿宋" w:eastAsia="仿宋" w:cs="仿宋"/>
          <w:i w:val="0"/>
          <w:iCs w:val="0"/>
          <w:caps w:val="0"/>
          <w:color w:val="333333"/>
          <w:spacing w:val="0"/>
          <w:sz w:val="32"/>
          <w:szCs w:val="32"/>
          <w:highlight w:val="green"/>
          <w:shd w:val="clear" w:fill="FFFFFF"/>
          <w:lang w:val="en-US" w:eastAsia="zh-CN"/>
        </w:rPr>
      </w:pPr>
      <w:r>
        <w:rPr>
          <w:rFonts w:hint="default" w:ascii="Times New Roman" w:hAnsi="Times New Roman" w:eastAsia="楷体_GB2312" w:cs="Times New Roman"/>
          <w:b w:val="0"/>
          <w:bCs w:val="0"/>
          <w:i w:val="0"/>
          <w:iCs w:val="0"/>
          <w:color w:val="auto"/>
          <w:sz w:val="32"/>
          <w:szCs w:val="32"/>
          <w:highlight w:val="none"/>
          <w:lang w:val="zh-CN"/>
        </w:rPr>
        <w:t>（三）</w:t>
      </w:r>
      <w:r>
        <w:rPr>
          <w:rFonts w:hint="default" w:ascii="Times New Roman" w:hAnsi="Times New Roman" w:eastAsia="楷体_GB2312" w:cs="Times New Roman"/>
          <w:b w:val="0"/>
          <w:bCs w:val="0"/>
          <w:i w:val="0"/>
          <w:iCs w:val="0"/>
          <w:color w:val="auto"/>
          <w:sz w:val="32"/>
          <w:szCs w:val="32"/>
          <w:highlight w:val="none"/>
          <w:lang w:val="en-US" w:eastAsia="zh-CN"/>
        </w:rPr>
        <w:t>个性指标</w:t>
      </w:r>
      <w:r>
        <w:rPr>
          <w:rFonts w:hint="default" w:ascii="Times New Roman" w:hAnsi="Times New Roman" w:eastAsia="楷体_GB2312" w:cs="Times New Roman"/>
          <w:b w:val="0"/>
          <w:bCs w:val="0"/>
          <w:i w:val="0"/>
          <w:iCs w:val="0"/>
          <w:color w:val="auto"/>
          <w:sz w:val="32"/>
          <w:szCs w:val="32"/>
          <w:highlight w:val="none"/>
          <w:lang w:val="zh-CN"/>
        </w:rPr>
        <w:t>绩效分析。</w:t>
      </w:r>
      <w:r>
        <w:rPr>
          <w:rFonts w:hint="eastAsia" w:ascii="Times New Roman" w:hAnsi="Times New Roman" w:eastAsia="仿宋_GB2312" w:cs="Times New Roman"/>
          <w:b w:val="0"/>
          <w:bCs w:val="0"/>
          <w:i w:val="0"/>
          <w:iCs w:val="0"/>
          <w:kern w:val="0"/>
          <w:position w:val="0"/>
          <w:sz w:val="32"/>
          <w:szCs w:val="32"/>
          <w:highlight w:val="none"/>
          <w:lang w:val="en-US" w:eastAsia="zh-CN" w:bidi="ar-SA"/>
        </w:rPr>
        <w:t>无</w:t>
      </w:r>
    </w:p>
    <w:p>
      <w:pPr>
        <w:pStyle w:val="9"/>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rPr>
      </w:pPr>
      <w:r>
        <w:rPr>
          <w:rFonts w:hint="default" w:ascii="Times New Roman" w:hAnsi="Times New Roman" w:eastAsia="黑体" w:cs="Times New Roman"/>
          <w:b w:val="0"/>
          <w:bCs w:val="0"/>
          <w:i w:val="0"/>
          <w:iCs w:val="0"/>
          <w:color w:val="auto"/>
          <w:sz w:val="32"/>
          <w:szCs w:val="32"/>
          <w:highlight w:val="none"/>
          <w:u w:val="none"/>
          <w:lang w:eastAsia="zh-CN"/>
        </w:rPr>
        <w:t>四</w:t>
      </w:r>
      <w:r>
        <w:rPr>
          <w:rFonts w:hint="default" w:ascii="Times New Roman" w:hAnsi="Times New Roman" w:eastAsia="黑体" w:cs="Times New Roman"/>
          <w:b w:val="0"/>
          <w:bCs w:val="0"/>
          <w:i w:val="0"/>
          <w:iCs w:val="0"/>
          <w:color w:val="auto"/>
          <w:sz w:val="32"/>
          <w:szCs w:val="32"/>
          <w:highlight w:val="none"/>
          <w:u w:val="none"/>
        </w:rPr>
        <w:t>、评价结论</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仿宋_GB2312" w:cs="Times New Roman"/>
          <w:b w:val="0"/>
          <w:bCs w:val="0"/>
          <w:i w:val="0"/>
          <w:iCs w:val="0"/>
          <w:kern w:val="0"/>
          <w:position w:val="0"/>
          <w:sz w:val="32"/>
          <w:szCs w:val="32"/>
          <w:highlight w:val="none"/>
          <w:lang w:val="en-US" w:eastAsia="zh-CN" w:bidi="ar-SA"/>
        </w:rPr>
      </w:pPr>
      <w:r>
        <w:rPr>
          <w:rFonts w:hint="default" w:ascii="Times New Roman" w:hAnsi="Times New Roman" w:eastAsia="仿宋_GB2312" w:cs="Times New Roman"/>
          <w:b w:val="0"/>
          <w:bCs w:val="0"/>
          <w:i w:val="0"/>
          <w:iCs w:val="0"/>
          <w:kern w:val="0"/>
          <w:position w:val="0"/>
          <w:sz w:val="32"/>
          <w:szCs w:val="32"/>
          <w:highlight w:val="none"/>
          <w:lang w:val="en-US" w:eastAsia="zh-CN" w:bidi="ar-SA"/>
        </w:rPr>
        <w:t>该项目全年预算数138.19万元，执行数为138.19万元，完成预算的100%。通过项目实施保障了社保局养老保险试点遗留问题整改资金缺口，有助于解决机保试点遗留问题</w:t>
      </w:r>
      <w:r>
        <w:rPr>
          <w:rFonts w:hint="eastAsia" w:ascii="Times New Roman" w:hAnsi="Times New Roman" w:cs="Times New Roman"/>
          <w:b w:val="0"/>
          <w:bCs w:val="0"/>
          <w:i w:val="0"/>
          <w:iCs w:val="0"/>
          <w:kern w:val="0"/>
          <w:position w:val="0"/>
          <w:sz w:val="32"/>
          <w:szCs w:val="32"/>
          <w:highlight w:val="none"/>
          <w:lang w:val="en-US" w:eastAsia="zh-CN" w:bidi="ar-SA"/>
        </w:rPr>
        <w:t>，</w:t>
      </w:r>
      <w:r>
        <w:rPr>
          <w:rFonts w:hint="eastAsia" w:cs="Times New Roman"/>
          <w:color w:val="000000"/>
          <w:sz w:val="32"/>
          <w:szCs w:val="32"/>
          <w:lang w:val="en-US" w:eastAsia="zh-CN"/>
        </w:rPr>
        <w:t>项目自评得分100分</w:t>
      </w:r>
      <w:r>
        <w:rPr>
          <w:rFonts w:hint="default" w:ascii="Times New Roman" w:hAnsi="Times New Roman" w:eastAsia="仿宋_GB2312" w:cs="Times New Roman"/>
          <w:b w:val="0"/>
          <w:bCs w:val="0"/>
          <w:i w:val="0"/>
          <w:iCs w:val="0"/>
          <w:kern w:val="0"/>
          <w:position w:val="0"/>
          <w:sz w:val="32"/>
          <w:szCs w:val="32"/>
          <w:highlight w:val="none"/>
          <w:lang w:val="en-US" w:eastAsia="zh-CN" w:bidi="ar-SA"/>
        </w:rPr>
        <w:t>。</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sz w:val="32"/>
          <w:szCs w:val="32"/>
          <w:highlight w:val="none"/>
          <w:u w:val="none"/>
          <w:lang w:eastAsia="zh-CN"/>
        </w:rPr>
      </w:pPr>
      <w:r>
        <w:rPr>
          <w:rFonts w:hint="default" w:ascii="Times New Roman" w:hAnsi="Times New Roman" w:eastAsia="黑体" w:cs="Times New Roman"/>
          <w:b w:val="0"/>
          <w:bCs w:val="0"/>
          <w:i w:val="0"/>
          <w:iCs w:val="0"/>
          <w:color w:val="auto"/>
          <w:sz w:val="32"/>
          <w:szCs w:val="32"/>
          <w:highlight w:val="none"/>
          <w:u w:val="none"/>
          <w:lang w:eastAsia="zh-CN"/>
        </w:rPr>
        <w:t>五、存在主要问题</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eastAsia" w:ascii="Times New Roman" w:hAnsi="Times New Roman" w:cs="Times New Roman"/>
          <w:b w:val="0"/>
          <w:bCs w:val="0"/>
          <w:i w:val="0"/>
          <w:iCs w:val="0"/>
          <w:kern w:val="0"/>
          <w:position w:val="0"/>
          <w:sz w:val="32"/>
          <w:szCs w:val="32"/>
          <w:highlight w:val="none"/>
          <w:lang w:val="en-US" w:eastAsia="zh-CN" w:bidi="ar-SA"/>
        </w:rPr>
      </w:pPr>
      <w:r>
        <w:rPr>
          <w:rFonts w:hint="eastAsia" w:ascii="Times New Roman" w:hAnsi="Times New Roman" w:cs="Times New Roman"/>
          <w:b w:val="0"/>
          <w:bCs w:val="0"/>
          <w:i w:val="0"/>
          <w:iCs w:val="0"/>
          <w:kern w:val="0"/>
          <w:position w:val="0"/>
          <w:sz w:val="32"/>
          <w:szCs w:val="32"/>
          <w:highlight w:val="none"/>
          <w:lang w:val="en-US" w:eastAsia="zh-CN" w:bidi="ar-SA"/>
        </w:rPr>
        <w:t>无。</w:t>
      </w:r>
    </w:p>
    <w:p>
      <w:pPr>
        <w:pStyle w:val="9"/>
        <w:keepNext w:val="0"/>
        <w:keepLines w:val="0"/>
        <w:pageBreakBefore w:val="0"/>
        <w:widowControl w:val="0"/>
        <w:numPr>
          <w:ilvl w:val="0"/>
          <w:numId w:val="0"/>
        </w:numPr>
        <w:tabs>
          <w:tab w:val="left" w:pos="2160"/>
        </w:tabs>
        <w:kinsoku/>
        <w:wordWrap/>
        <w:overflowPunct/>
        <w:topLinePunct w:val="0"/>
        <w:autoSpaceDE/>
        <w:autoSpaceDN/>
        <w:bidi w:val="0"/>
        <w:adjustRightInd/>
        <w:snapToGrid/>
        <w:spacing w:before="0" w:beforeLines="0" w:line="600" w:lineRule="exact"/>
        <w:ind w:firstLine="640" w:firstLineChars="200"/>
        <w:textAlignment w:val="auto"/>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pPr>
      <w:r>
        <w:rPr>
          <w:rFonts w:hint="default" w:ascii="Times New Roman" w:hAnsi="Times New Roman" w:eastAsia="黑体" w:cs="Times New Roman"/>
          <w:b w:val="0"/>
          <w:bCs w:val="0"/>
          <w:i w:val="0"/>
          <w:iCs w:val="0"/>
          <w:color w:val="auto"/>
          <w:kern w:val="0"/>
          <w:position w:val="3"/>
          <w:sz w:val="32"/>
          <w:szCs w:val="32"/>
          <w:highlight w:val="none"/>
          <w:u w:val="none"/>
          <w:lang w:val="zh-CN" w:eastAsia="zh-CN" w:bidi="ar-SA"/>
        </w:rPr>
        <w:t>六、改进建议</w:t>
      </w:r>
    </w:p>
    <w:p>
      <w:pPr>
        <w:tabs>
          <w:tab w:val="left" w:pos="1911"/>
        </w:tabs>
        <w:jc w:val="left"/>
        <w:rPr>
          <w:rFonts w:hint="default" w:ascii="Times New Roman" w:hAnsi="Times New Roman" w:eastAsia="仿宋_GB2312" w:cs="Times New Roman"/>
          <w:b w:val="0"/>
          <w:bCs w:val="0"/>
          <w:i w:val="0"/>
          <w:iCs w:val="0"/>
          <w:kern w:val="0"/>
          <w:position w:val="0"/>
          <w:sz w:val="32"/>
          <w:szCs w:val="32"/>
          <w:highlight w:val="none"/>
          <w:lang w:val="en" w:eastAsia="zh-CN" w:bidi="ar-SA"/>
        </w:rPr>
      </w:pPr>
      <w:r>
        <w:rPr>
          <w:rFonts w:hint="default" w:ascii="Times New Roman" w:hAnsi="Times New Roman" w:eastAsia="仿宋_GB2312" w:cs="Times New Roman"/>
          <w:b w:val="0"/>
          <w:bCs w:val="0"/>
          <w:i w:val="0"/>
          <w:iCs w:val="0"/>
          <w:kern w:val="0"/>
          <w:position w:val="0"/>
          <w:sz w:val="32"/>
          <w:szCs w:val="32"/>
          <w:highlight w:val="none"/>
          <w:lang w:val="zh-CN" w:eastAsia="zh-CN" w:bidi="ar-SA"/>
        </w:rPr>
        <w:t xml:space="preserve"> </w:t>
      </w:r>
      <w:r>
        <w:rPr>
          <w:rFonts w:hint="default" w:ascii="Times New Roman" w:hAnsi="Times New Roman" w:eastAsia="仿宋_GB2312" w:cs="Times New Roman"/>
          <w:b w:val="0"/>
          <w:bCs w:val="0"/>
          <w:i w:val="0"/>
          <w:iCs w:val="0"/>
          <w:kern w:val="0"/>
          <w:position w:val="0"/>
          <w:sz w:val="32"/>
          <w:szCs w:val="32"/>
          <w:highlight w:val="none"/>
          <w:lang w:val="en-US" w:eastAsia="zh-CN" w:bidi="ar-SA"/>
        </w:rPr>
        <w:t xml:space="preserve">   </w:t>
      </w:r>
      <w:r>
        <w:rPr>
          <w:rFonts w:hint="eastAsia" w:ascii="Times New Roman" w:hAnsi="Times New Roman" w:cs="Times New Roman"/>
          <w:b w:val="0"/>
          <w:bCs w:val="0"/>
          <w:i w:val="0"/>
          <w:iCs w:val="0"/>
          <w:kern w:val="0"/>
          <w:position w:val="0"/>
          <w:sz w:val="32"/>
          <w:szCs w:val="32"/>
          <w:highlight w:val="none"/>
          <w:lang w:val="en-US" w:eastAsia="zh-CN" w:bidi="ar-SA"/>
        </w:rPr>
        <w:t>无。</w:t>
      </w:r>
    </w:p>
    <w:p>
      <w:pPr>
        <w:keepNext w:val="0"/>
        <w:keepLines w:val="0"/>
        <w:pageBreakBefore w:val="0"/>
        <w:kinsoku/>
        <w:wordWrap/>
        <w:overflowPunct/>
        <w:topLinePunct w:val="0"/>
        <w:autoSpaceDE/>
        <w:autoSpaceDN/>
        <w:bidi w:val="0"/>
        <w:adjustRightInd/>
        <w:snapToGrid w:val="0"/>
        <w:spacing w:line="578" w:lineRule="exact"/>
        <w:jc w:val="both"/>
        <w:textAlignment w:val="auto"/>
        <w:outlineLvl w:val="9"/>
        <w:rPr>
          <w:rFonts w:hint="default" w:ascii="Times New Roman" w:hAnsi="Times New Roman" w:eastAsia="仿宋_GB2312" w:cs="Times New Roman"/>
          <w:b w:val="0"/>
          <w:bCs w:val="0"/>
          <w:i w:val="0"/>
          <w:iCs w:val="0"/>
          <w:color w:val="000000"/>
          <w:kern w:val="0"/>
          <w:szCs w:val="32"/>
          <w:highlight w:val="none"/>
          <w:shd w:val="clear" w:color="auto" w:fill="FFFFFF"/>
          <w:lang w:val="zh-CN" w:eastAsia="zh-CN"/>
        </w:rPr>
      </w:pPr>
    </w:p>
    <w:p>
      <w:pPr>
        <w:keepNext w:val="0"/>
        <w:keepLines w:val="0"/>
        <w:pageBreakBefore w:val="0"/>
        <w:kinsoku/>
        <w:wordWrap/>
        <w:overflowPunct/>
        <w:topLinePunct w:val="0"/>
        <w:autoSpaceDE/>
        <w:autoSpaceDN/>
        <w:bidi w:val="0"/>
        <w:adjustRightInd/>
        <w:snapToGrid w:val="0"/>
        <w:spacing w:line="578" w:lineRule="exact"/>
        <w:ind w:left="0" w:leftChars="0" w:firstLine="420" w:firstLineChars="200"/>
        <w:textAlignment w:val="auto"/>
        <w:outlineLvl w:val="9"/>
        <w:rPr>
          <w:rFonts w:hint="default" w:ascii="Times New Roman" w:hAnsi="Times New Roman" w:eastAsia="仿宋_GB2312" w:cs="Times New Roman"/>
          <w:b w:val="0"/>
          <w:bCs w:val="0"/>
          <w:i w:val="0"/>
          <w:iCs w:val="0"/>
          <w:color w:val="000000"/>
          <w:kern w:val="0"/>
          <w:szCs w:val="32"/>
          <w:highlight w:val="none"/>
          <w:shd w:val="clear" w:color="auto" w:fill="FFFFFF"/>
          <w:lang w:val="zh-CN" w:eastAsia="zh-CN"/>
        </w:rPr>
      </w:pP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 w:cs="Times New Roman"/>
          <w:b w:val="0"/>
          <w:bCs w:val="0"/>
          <w:i w:val="0"/>
          <w:iCs w:val="0"/>
          <w:color w:val="auto"/>
          <w:sz w:val="32"/>
          <w:szCs w:val="32"/>
          <w:highlight w:val="none"/>
        </w:rPr>
      </w:pPr>
    </w:p>
    <w:p>
      <w:pPr>
        <w:spacing w:line="580" w:lineRule="exact"/>
        <w:rPr>
          <w:rStyle w:val="31"/>
          <w:rFonts w:hint="default" w:ascii="Times New Roman" w:hAnsi="Times New Roman" w:eastAsia="黑体" w:cs="Times New Roman"/>
          <w:b w:val="0"/>
          <w:bCs w:val="0"/>
          <w:i w:val="0"/>
          <w:i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b w:val="0"/>
          <w:bCs w:val="0"/>
          <w:i w:val="0"/>
          <w:iCs w:val="0"/>
          <w:color w:val="auto"/>
          <w:highlight w:val="none"/>
        </w:rPr>
      </w:pPr>
      <w:bookmarkStart w:id="154" w:name="_Toc15396618"/>
      <w:r>
        <w:rPr>
          <w:rFonts w:hint="default" w:ascii="Times New Roman" w:hAnsi="Times New Roman" w:eastAsia="黑体" w:cs="Times New Roman"/>
          <w:b w:val="0"/>
          <w:bCs w:val="0"/>
          <w:i w:val="0"/>
          <w:iCs w:val="0"/>
          <w:color w:val="auto"/>
          <w:sz w:val="44"/>
          <w:szCs w:val="44"/>
          <w:highlight w:val="none"/>
        </w:rPr>
        <w:br w:type="page"/>
      </w:r>
      <w:bookmarkStart w:id="155" w:name="_Toc8155"/>
      <w:bookmarkStart w:id="156" w:name="_Toc15707"/>
      <w:r>
        <w:rPr>
          <w:rFonts w:hint="default" w:ascii="Times New Roman" w:hAnsi="Times New Roman" w:eastAsia="方正小标宋简体" w:cs="Times New Roman"/>
          <w:b w:val="0"/>
          <w:bCs w:val="0"/>
          <w:i w:val="0"/>
          <w:iCs w:val="0"/>
          <w:color w:val="auto"/>
          <w:sz w:val="44"/>
          <w:szCs w:val="44"/>
          <w:highlight w:val="none"/>
        </w:rPr>
        <w:t>第</w:t>
      </w:r>
      <w:r>
        <w:rPr>
          <w:rStyle w:val="31"/>
          <w:rFonts w:hint="default" w:ascii="Times New Roman" w:hAnsi="Times New Roman" w:eastAsia="方正小标宋简体" w:cs="Times New Roman"/>
          <w:b w:val="0"/>
          <w:bCs w:val="0"/>
          <w:i w:val="0"/>
          <w:iCs w:val="0"/>
          <w:color w:val="auto"/>
          <w:highlight w:val="none"/>
        </w:rPr>
        <w:t>五部分 附表</w:t>
      </w:r>
      <w:bookmarkEnd w:id="154"/>
      <w:bookmarkEnd w:id="155"/>
      <w:bookmarkEnd w:id="156"/>
      <w:bookmarkStart w:id="157" w:name="_Toc15396619"/>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outlineLvl w:val="9"/>
        <w:rPr>
          <w:rFonts w:hint="default" w:ascii="Times New Roman" w:hAnsi="Times New Roman" w:eastAsia="仿宋_GB2312" w:cs="Times New Roman"/>
          <w:b w:val="0"/>
          <w:bCs w:val="0"/>
          <w:i w:val="0"/>
          <w:iCs w:val="0"/>
          <w:color w:val="auto"/>
          <w:highlight w:val="none"/>
        </w:rPr>
      </w:pPr>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58" w:name="_Toc28788"/>
      <w:bookmarkStart w:id="159" w:name="_Toc2428"/>
      <w:r>
        <w:rPr>
          <w:rFonts w:hint="default" w:ascii="Times New Roman" w:hAnsi="Times New Roman" w:eastAsia="仿宋_GB2312" w:cs="Times New Roman"/>
          <w:b w:val="0"/>
          <w:bCs w:val="0"/>
          <w:i w:val="0"/>
          <w:iCs w:val="0"/>
          <w:color w:val="auto"/>
          <w:highlight w:val="none"/>
        </w:rPr>
        <w:t>一、收</w:t>
      </w:r>
      <w:r>
        <w:rPr>
          <w:rStyle w:val="32"/>
          <w:rFonts w:hint="default" w:ascii="Times New Roman" w:hAnsi="Times New Roman" w:eastAsia="仿宋_GB2312" w:cs="Times New Roman"/>
          <w:b w:val="0"/>
          <w:bCs w:val="0"/>
          <w:i w:val="0"/>
          <w:iCs w:val="0"/>
          <w:color w:val="auto"/>
          <w:highlight w:val="none"/>
        </w:rPr>
        <w:t>入支出决算总表</w:t>
      </w:r>
      <w:bookmarkEnd w:id="157"/>
      <w:bookmarkEnd w:id="158"/>
      <w:bookmarkEnd w:id="159"/>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60" w:name="_Toc1230"/>
      <w:bookmarkStart w:id="161" w:name="_Toc15396620"/>
      <w:bookmarkStart w:id="162" w:name="_Toc4665"/>
      <w:r>
        <w:rPr>
          <w:rFonts w:hint="default" w:ascii="Times New Roman" w:hAnsi="Times New Roman" w:eastAsia="仿宋_GB2312" w:cs="Times New Roman"/>
          <w:b w:val="0"/>
          <w:bCs w:val="0"/>
          <w:i w:val="0"/>
          <w:iCs w:val="0"/>
          <w:color w:val="auto"/>
          <w:highlight w:val="none"/>
        </w:rPr>
        <w:t>二、收</w:t>
      </w:r>
      <w:r>
        <w:rPr>
          <w:rStyle w:val="32"/>
          <w:rFonts w:hint="default" w:ascii="Times New Roman" w:hAnsi="Times New Roman" w:eastAsia="仿宋_GB2312" w:cs="Times New Roman"/>
          <w:b w:val="0"/>
          <w:bCs w:val="0"/>
          <w:i w:val="0"/>
          <w:iCs w:val="0"/>
          <w:color w:val="auto"/>
          <w:highlight w:val="none"/>
        </w:rPr>
        <w:t>入决算表</w:t>
      </w:r>
      <w:bookmarkEnd w:id="160"/>
      <w:bookmarkEnd w:id="161"/>
      <w:bookmarkEnd w:id="162"/>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63" w:name="_Toc17089"/>
      <w:bookmarkStart w:id="164" w:name="_Toc2446"/>
      <w:bookmarkStart w:id="165" w:name="_Toc15396621"/>
      <w:r>
        <w:rPr>
          <w:rStyle w:val="32"/>
          <w:rFonts w:hint="default" w:ascii="Times New Roman" w:hAnsi="Times New Roman" w:eastAsia="仿宋_GB2312" w:cs="Times New Roman"/>
          <w:b w:val="0"/>
          <w:bCs w:val="0"/>
          <w:i w:val="0"/>
          <w:iCs w:val="0"/>
          <w:color w:val="auto"/>
          <w:highlight w:val="none"/>
        </w:rPr>
        <w:t>三、</w:t>
      </w:r>
      <w:r>
        <w:rPr>
          <w:rFonts w:hint="default" w:ascii="Times New Roman" w:hAnsi="Times New Roman" w:eastAsia="仿宋_GB2312" w:cs="Times New Roman"/>
          <w:b w:val="0"/>
          <w:bCs w:val="0"/>
          <w:i w:val="0"/>
          <w:iCs w:val="0"/>
          <w:color w:val="auto"/>
          <w:highlight w:val="none"/>
        </w:rPr>
        <w:t>支</w:t>
      </w:r>
      <w:r>
        <w:rPr>
          <w:rStyle w:val="32"/>
          <w:rFonts w:hint="default" w:ascii="Times New Roman" w:hAnsi="Times New Roman" w:eastAsia="仿宋_GB2312" w:cs="Times New Roman"/>
          <w:b w:val="0"/>
          <w:bCs w:val="0"/>
          <w:i w:val="0"/>
          <w:iCs w:val="0"/>
          <w:color w:val="auto"/>
          <w:highlight w:val="none"/>
        </w:rPr>
        <w:t>出决算表</w:t>
      </w:r>
      <w:bookmarkEnd w:id="163"/>
      <w:bookmarkEnd w:id="164"/>
      <w:bookmarkEnd w:id="165"/>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66" w:name="_Toc12179"/>
      <w:bookmarkStart w:id="167" w:name="_Toc9245"/>
      <w:bookmarkStart w:id="168" w:name="_Toc15396622"/>
      <w:r>
        <w:rPr>
          <w:rStyle w:val="32"/>
          <w:rFonts w:hint="default" w:ascii="Times New Roman" w:hAnsi="Times New Roman" w:eastAsia="仿宋_GB2312" w:cs="Times New Roman"/>
          <w:b w:val="0"/>
          <w:bCs w:val="0"/>
          <w:i w:val="0"/>
          <w:iCs w:val="0"/>
          <w:color w:val="auto"/>
          <w:highlight w:val="none"/>
        </w:rPr>
        <w:t>四、</w:t>
      </w:r>
      <w:r>
        <w:rPr>
          <w:rFonts w:hint="default" w:ascii="Times New Roman" w:hAnsi="Times New Roman" w:eastAsia="仿宋_GB2312" w:cs="Times New Roman"/>
          <w:b w:val="0"/>
          <w:bCs w:val="0"/>
          <w:i w:val="0"/>
          <w:iCs w:val="0"/>
          <w:color w:val="auto"/>
          <w:highlight w:val="none"/>
        </w:rPr>
        <w:t>财</w:t>
      </w:r>
      <w:r>
        <w:rPr>
          <w:rStyle w:val="32"/>
          <w:rFonts w:hint="default" w:ascii="Times New Roman" w:hAnsi="Times New Roman" w:eastAsia="仿宋_GB2312" w:cs="Times New Roman"/>
          <w:b w:val="0"/>
          <w:bCs w:val="0"/>
          <w:i w:val="0"/>
          <w:iCs w:val="0"/>
          <w:color w:val="auto"/>
          <w:highlight w:val="none"/>
        </w:rPr>
        <w:t>政拨款收入支出决算总表</w:t>
      </w:r>
      <w:bookmarkEnd w:id="166"/>
      <w:bookmarkEnd w:id="167"/>
      <w:bookmarkEnd w:id="168"/>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32"/>
          <w:rFonts w:hint="default" w:ascii="Times New Roman" w:hAnsi="Times New Roman" w:eastAsia="仿宋_GB2312" w:cs="Times New Roman"/>
          <w:b w:val="0"/>
          <w:bCs w:val="0"/>
          <w:i w:val="0"/>
          <w:iCs w:val="0"/>
          <w:color w:val="auto"/>
          <w:highlight w:val="none"/>
        </w:rPr>
      </w:pPr>
      <w:bookmarkStart w:id="169" w:name="_Toc28175"/>
      <w:bookmarkStart w:id="170" w:name="_Toc15396623"/>
      <w:bookmarkStart w:id="171" w:name="_Toc29495"/>
      <w:r>
        <w:rPr>
          <w:rStyle w:val="32"/>
          <w:rFonts w:hint="default" w:ascii="Times New Roman" w:hAnsi="Times New Roman" w:eastAsia="仿宋_GB2312" w:cs="Times New Roman"/>
          <w:b w:val="0"/>
          <w:bCs w:val="0"/>
          <w:i w:val="0"/>
          <w:iCs w:val="0"/>
          <w:color w:val="auto"/>
          <w:highlight w:val="none"/>
        </w:rPr>
        <w:t>五、</w:t>
      </w:r>
      <w:r>
        <w:rPr>
          <w:rFonts w:hint="default" w:ascii="Times New Roman" w:hAnsi="Times New Roman" w:eastAsia="仿宋_GB2312" w:cs="Times New Roman"/>
          <w:b w:val="0"/>
          <w:bCs w:val="0"/>
          <w:i w:val="0"/>
          <w:iCs w:val="0"/>
          <w:color w:val="auto"/>
          <w:highlight w:val="none"/>
        </w:rPr>
        <w:t>财</w:t>
      </w:r>
      <w:r>
        <w:rPr>
          <w:rStyle w:val="32"/>
          <w:rFonts w:hint="default" w:ascii="Times New Roman" w:hAnsi="Times New Roman" w:eastAsia="仿宋_GB2312" w:cs="Times New Roman"/>
          <w:b w:val="0"/>
          <w:bCs w:val="0"/>
          <w:i w:val="0"/>
          <w:iCs w:val="0"/>
          <w:color w:val="auto"/>
          <w:highlight w:val="none"/>
        </w:rPr>
        <w:t>政拨款支出决算明细表</w:t>
      </w:r>
      <w:bookmarkEnd w:id="169"/>
      <w:bookmarkEnd w:id="170"/>
      <w:bookmarkEnd w:id="171"/>
      <w:bookmarkStart w:id="172" w:name="_Toc15396624"/>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73" w:name="_Toc30962"/>
      <w:bookmarkStart w:id="174" w:name="_Toc2114"/>
      <w:r>
        <w:rPr>
          <w:rStyle w:val="32"/>
          <w:rFonts w:hint="default" w:ascii="Times New Roman" w:hAnsi="Times New Roman" w:eastAsia="仿宋_GB2312" w:cs="Times New Roman"/>
          <w:b w:val="0"/>
          <w:bCs w:val="0"/>
          <w:i w:val="0"/>
          <w:iCs w:val="0"/>
          <w:color w:val="auto"/>
          <w:highlight w:val="none"/>
        </w:rPr>
        <w:t>六、</w:t>
      </w:r>
      <w:r>
        <w:rPr>
          <w:rFonts w:hint="default" w:ascii="Times New Roman" w:hAnsi="Times New Roman" w:eastAsia="仿宋_GB2312" w:cs="Times New Roman"/>
          <w:b w:val="0"/>
          <w:bCs w:val="0"/>
          <w:i w:val="0"/>
          <w:iCs w:val="0"/>
          <w:color w:val="auto"/>
          <w:highlight w:val="none"/>
        </w:rPr>
        <w:t>一</w:t>
      </w:r>
      <w:r>
        <w:rPr>
          <w:rStyle w:val="32"/>
          <w:rFonts w:hint="default" w:ascii="Times New Roman" w:hAnsi="Times New Roman" w:eastAsia="仿宋_GB2312" w:cs="Times New Roman"/>
          <w:b w:val="0"/>
          <w:bCs w:val="0"/>
          <w:i w:val="0"/>
          <w:iCs w:val="0"/>
          <w:color w:val="auto"/>
          <w:highlight w:val="none"/>
        </w:rPr>
        <w:t>般公共预算财政拨款支出决算表</w:t>
      </w:r>
      <w:bookmarkEnd w:id="172"/>
      <w:bookmarkEnd w:id="173"/>
      <w:bookmarkEnd w:id="174"/>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75" w:name="_Toc17849"/>
      <w:bookmarkStart w:id="176" w:name="_Toc26121"/>
      <w:bookmarkStart w:id="177" w:name="_Toc15396625"/>
      <w:r>
        <w:rPr>
          <w:rStyle w:val="32"/>
          <w:rFonts w:hint="default" w:ascii="Times New Roman" w:hAnsi="Times New Roman" w:eastAsia="仿宋_GB2312" w:cs="Times New Roman"/>
          <w:b w:val="0"/>
          <w:bCs w:val="0"/>
          <w:i w:val="0"/>
          <w:iCs w:val="0"/>
          <w:color w:val="auto"/>
          <w:highlight w:val="none"/>
        </w:rPr>
        <w:t>七、</w:t>
      </w:r>
      <w:r>
        <w:rPr>
          <w:rFonts w:hint="default" w:ascii="Times New Roman" w:hAnsi="Times New Roman" w:eastAsia="仿宋_GB2312" w:cs="Times New Roman"/>
          <w:b w:val="0"/>
          <w:bCs w:val="0"/>
          <w:i w:val="0"/>
          <w:iCs w:val="0"/>
          <w:color w:val="auto"/>
          <w:highlight w:val="none"/>
        </w:rPr>
        <w:t>一</w:t>
      </w:r>
      <w:r>
        <w:rPr>
          <w:rStyle w:val="32"/>
          <w:rFonts w:hint="default" w:ascii="Times New Roman" w:hAnsi="Times New Roman" w:eastAsia="仿宋_GB2312" w:cs="Times New Roman"/>
          <w:b w:val="0"/>
          <w:bCs w:val="0"/>
          <w:i w:val="0"/>
          <w:iCs w:val="0"/>
          <w:color w:val="auto"/>
          <w:highlight w:val="none"/>
        </w:rPr>
        <w:t>般公共预算财政拨款支出决算明细表</w:t>
      </w:r>
      <w:bookmarkEnd w:id="175"/>
      <w:bookmarkEnd w:id="176"/>
      <w:bookmarkEnd w:id="177"/>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78" w:name="_Toc5571"/>
      <w:bookmarkStart w:id="179" w:name="_Toc18989"/>
      <w:bookmarkStart w:id="180" w:name="_Toc15396626"/>
      <w:r>
        <w:rPr>
          <w:rStyle w:val="32"/>
          <w:rFonts w:hint="default" w:ascii="Times New Roman" w:hAnsi="Times New Roman" w:eastAsia="仿宋_GB2312" w:cs="Times New Roman"/>
          <w:b w:val="0"/>
          <w:bCs w:val="0"/>
          <w:i w:val="0"/>
          <w:iCs w:val="0"/>
          <w:color w:val="auto"/>
          <w:highlight w:val="none"/>
        </w:rPr>
        <w:t>八、</w:t>
      </w:r>
      <w:r>
        <w:rPr>
          <w:rFonts w:hint="default" w:ascii="Times New Roman" w:hAnsi="Times New Roman" w:eastAsia="仿宋_GB2312" w:cs="Times New Roman"/>
          <w:b w:val="0"/>
          <w:bCs w:val="0"/>
          <w:i w:val="0"/>
          <w:iCs w:val="0"/>
          <w:color w:val="auto"/>
          <w:highlight w:val="none"/>
        </w:rPr>
        <w:t>一</w:t>
      </w:r>
      <w:r>
        <w:rPr>
          <w:rStyle w:val="32"/>
          <w:rFonts w:hint="default" w:ascii="Times New Roman" w:hAnsi="Times New Roman" w:eastAsia="仿宋_GB2312" w:cs="Times New Roman"/>
          <w:b w:val="0"/>
          <w:bCs w:val="0"/>
          <w:i w:val="0"/>
          <w:iCs w:val="0"/>
          <w:color w:val="auto"/>
          <w:highlight w:val="none"/>
        </w:rPr>
        <w:t>般公共预算财政拨款基本支出决算表</w:t>
      </w:r>
      <w:bookmarkEnd w:id="178"/>
      <w:bookmarkEnd w:id="179"/>
      <w:bookmarkEnd w:id="180"/>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81" w:name="_Toc26820"/>
      <w:bookmarkStart w:id="182" w:name="_Toc15396627"/>
      <w:bookmarkStart w:id="183" w:name="_Toc18035"/>
      <w:r>
        <w:rPr>
          <w:rStyle w:val="32"/>
          <w:rFonts w:hint="default" w:ascii="Times New Roman" w:hAnsi="Times New Roman" w:eastAsia="仿宋_GB2312" w:cs="Times New Roman"/>
          <w:b w:val="0"/>
          <w:bCs w:val="0"/>
          <w:i w:val="0"/>
          <w:iCs w:val="0"/>
          <w:color w:val="auto"/>
          <w:highlight w:val="none"/>
        </w:rPr>
        <w:t>九、</w:t>
      </w:r>
      <w:r>
        <w:rPr>
          <w:rFonts w:hint="default" w:ascii="Times New Roman" w:hAnsi="Times New Roman" w:eastAsia="仿宋_GB2312" w:cs="Times New Roman"/>
          <w:b w:val="0"/>
          <w:bCs w:val="0"/>
          <w:i w:val="0"/>
          <w:iCs w:val="0"/>
          <w:color w:val="auto"/>
          <w:highlight w:val="none"/>
        </w:rPr>
        <w:t>一</w:t>
      </w:r>
      <w:r>
        <w:rPr>
          <w:rStyle w:val="32"/>
          <w:rFonts w:hint="default" w:ascii="Times New Roman" w:hAnsi="Times New Roman" w:eastAsia="仿宋_GB2312" w:cs="Times New Roman"/>
          <w:b w:val="0"/>
          <w:bCs w:val="0"/>
          <w:i w:val="0"/>
          <w:iCs w:val="0"/>
          <w:color w:val="auto"/>
          <w:highlight w:val="none"/>
        </w:rPr>
        <w:t>般公共预算财政拨款项目支出决算表</w:t>
      </w:r>
      <w:bookmarkEnd w:id="181"/>
      <w:bookmarkEnd w:id="182"/>
      <w:bookmarkEnd w:id="183"/>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84" w:name="_Toc15396628"/>
      <w:bookmarkStart w:id="185" w:name="_Toc8618"/>
      <w:bookmarkStart w:id="186" w:name="_Toc17958"/>
      <w:r>
        <w:rPr>
          <w:rStyle w:val="32"/>
          <w:rFonts w:hint="default" w:ascii="Times New Roman" w:hAnsi="Times New Roman" w:eastAsia="仿宋_GB2312" w:cs="Times New Roman"/>
          <w:b w:val="0"/>
          <w:bCs w:val="0"/>
          <w:i w:val="0"/>
          <w:iCs w:val="0"/>
          <w:color w:val="auto"/>
          <w:highlight w:val="none"/>
        </w:rPr>
        <w:t>十、</w:t>
      </w:r>
      <w:bookmarkEnd w:id="184"/>
      <w:r>
        <w:rPr>
          <w:rFonts w:hint="default" w:ascii="Times New Roman" w:hAnsi="Times New Roman" w:eastAsia="仿宋_GB2312" w:cs="Times New Roman"/>
          <w:b w:val="0"/>
          <w:bCs w:val="0"/>
          <w:i w:val="0"/>
          <w:iCs w:val="0"/>
          <w:color w:val="auto"/>
          <w:highlight w:val="none"/>
        </w:rPr>
        <w:t>政</w:t>
      </w:r>
      <w:r>
        <w:rPr>
          <w:rStyle w:val="32"/>
          <w:rFonts w:hint="default" w:ascii="Times New Roman" w:hAnsi="Times New Roman" w:eastAsia="仿宋_GB2312" w:cs="Times New Roman"/>
          <w:b w:val="0"/>
          <w:bCs w:val="0"/>
          <w:i w:val="0"/>
          <w:iCs w:val="0"/>
          <w:color w:val="auto"/>
          <w:highlight w:val="none"/>
        </w:rPr>
        <w:t>府性基金预算财政拨款收入支出决算表</w:t>
      </w:r>
      <w:bookmarkEnd w:id="185"/>
      <w:bookmarkEnd w:id="186"/>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87" w:name="_Toc15396629"/>
      <w:bookmarkStart w:id="188" w:name="_Toc6118"/>
      <w:bookmarkStart w:id="189" w:name="_Toc30008"/>
      <w:r>
        <w:rPr>
          <w:rStyle w:val="32"/>
          <w:rFonts w:hint="default" w:ascii="Times New Roman" w:hAnsi="Times New Roman" w:eastAsia="仿宋_GB2312" w:cs="Times New Roman"/>
          <w:b w:val="0"/>
          <w:bCs w:val="0"/>
          <w:i w:val="0"/>
          <w:iCs w:val="0"/>
          <w:color w:val="auto"/>
          <w:highlight w:val="none"/>
        </w:rPr>
        <w:t>十一、</w:t>
      </w:r>
      <w:bookmarkEnd w:id="187"/>
      <w:r>
        <w:rPr>
          <w:rFonts w:hint="default" w:ascii="Times New Roman" w:hAnsi="Times New Roman" w:eastAsia="仿宋_GB2312" w:cs="Times New Roman"/>
          <w:b w:val="0"/>
          <w:bCs w:val="0"/>
          <w:i w:val="0"/>
          <w:iCs w:val="0"/>
          <w:color w:val="auto"/>
          <w:highlight w:val="none"/>
        </w:rPr>
        <w:t>国</w:t>
      </w:r>
      <w:r>
        <w:rPr>
          <w:rStyle w:val="32"/>
          <w:rFonts w:hint="default" w:ascii="Times New Roman" w:hAnsi="Times New Roman" w:eastAsia="仿宋_GB2312" w:cs="Times New Roman"/>
          <w:b w:val="0"/>
          <w:bCs w:val="0"/>
          <w:i w:val="0"/>
          <w:iCs w:val="0"/>
          <w:color w:val="auto"/>
          <w:highlight w:val="none"/>
        </w:rPr>
        <w:t>有资本经营预算</w:t>
      </w:r>
      <w:r>
        <w:rPr>
          <w:rStyle w:val="32"/>
          <w:rFonts w:hint="default" w:ascii="Times New Roman" w:hAnsi="Times New Roman" w:eastAsia="仿宋_GB2312" w:cs="Times New Roman"/>
          <w:b w:val="0"/>
          <w:bCs w:val="0"/>
          <w:i w:val="0"/>
          <w:iCs w:val="0"/>
          <w:color w:val="auto"/>
          <w:highlight w:val="none"/>
          <w:lang w:eastAsia="zh-CN"/>
        </w:rPr>
        <w:t>财政拨款收入</w:t>
      </w:r>
      <w:r>
        <w:rPr>
          <w:rStyle w:val="32"/>
          <w:rFonts w:hint="default" w:ascii="Times New Roman" w:hAnsi="Times New Roman" w:eastAsia="仿宋_GB2312" w:cs="Times New Roman"/>
          <w:b w:val="0"/>
          <w:bCs w:val="0"/>
          <w:i w:val="0"/>
          <w:iCs w:val="0"/>
          <w:color w:val="auto"/>
          <w:highlight w:val="none"/>
        </w:rPr>
        <w:t>支出决算表</w:t>
      </w:r>
      <w:bookmarkEnd w:id="188"/>
      <w:bookmarkEnd w:id="189"/>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Fonts w:hint="default" w:ascii="Times New Roman" w:hAnsi="Times New Roman" w:eastAsia="仿宋_GB2312" w:cs="Times New Roman"/>
          <w:b w:val="0"/>
          <w:bCs w:val="0"/>
          <w:i w:val="0"/>
          <w:iCs w:val="0"/>
          <w:color w:val="auto"/>
          <w:highlight w:val="none"/>
        </w:rPr>
      </w:pPr>
      <w:bookmarkStart w:id="190" w:name="_Toc15396630"/>
      <w:bookmarkStart w:id="191" w:name="_Toc30102"/>
      <w:bookmarkStart w:id="192" w:name="_Toc29491"/>
      <w:r>
        <w:rPr>
          <w:rStyle w:val="32"/>
          <w:rFonts w:hint="default" w:ascii="Times New Roman" w:hAnsi="Times New Roman" w:eastAsia="仿宋_GB2312" w:cs="Times New Roman"/>
          <w:b w:val="0"/>
          <w:bCs w:val="0"/>
          <w:i w:val="0"/>
          <w:iCs w:val="0"/>
          <w:color w:val="auto"/>
          <w:highlight w:val="none"/>
        </w:rPr>
        <w:t>十二、</w:t>
      </w:r>
      <w:bookmarkEnd w:id="190"/>
      <w:r>
        <w:rPr>
          <w:rStyle w:val="32"/>
          <w:rFonts w:hint="default" w:ascii="Times New Roman" w:hAnsi="Times New Roman" w:eastAsia="仿宋_GB2312" w:cs="Times New Roman"/>
          <w:b w:val="0"/>
          <w:bCs w:val="0"/>
          <w:i w:val="0"/>
          <w:iCs w:val="0"/>
          <w:color w:val="auto"/>
          <w:highlight w:val="none"/>
          <w:lang w:eastAsia="zh-CN"/>
        </w:rPr>
        <w:t>国有资本经营预算财政拨款支出决算表</w:t>
      </w:r>
      <w:bookmarkEnd w:id="191"/>
      <w:bookmarkEnd w:id="192"/>
    </w:p>
    <w:p>
      <w:pPr>
        <w:pStyle w:val="6"/>
        <w:keepLines w:val="0"/>
        <w:pageBreakBefore w:val="0"/>
        <w:widowControl w:val="0"/>
        <w:kinsoku/>
        <w:wordWrap/>
        <w:overflowPunct/>
        <w:topLinePunct w:val="0"/>
        <w:autoSpaceDE/>
        <w:autoSpaceDN/>
        <w:bidi w:val="0"/>
        <w:adjustRightInd/>
        <w:snapToGrid/>
        <w:spacing w:before="0" w:beforeLines="0" w:after="0" w:afterLines="0" w:line="560" w:lineRule="exact"/>
        <w:textAlignment w:val="auto"/>
        <w:rPr>
          <w:rStyle w:val="32"/>
          <w:rFonts w:hint="default" w:ascii="Times New Roman" w:hAnsi="Times New Roman" w:eastAsia="仿宋_GB2312" w:cs="Times New Roman"/>
          <w:b w:val="0"/>
          <w:bCs w:val="0"/>
          <w:i w:val="0"/>
          <w:iCs w:val="0"/>
          <w:color w:val="auto"/>
          <w:highlight w:val="none"/>
          <w:lang w:eastAsia="zh-CN"/>
        </w:rPr>
      </w:pPr>
      <w:bookmarkStart w:id="193" w:name="_Toc15396631"/>
      <w:bookmarkStart w:id="194" w:name="_Toc29134"/>
      <w:bookmarkStart w:id="195" w:name="_Toc22171"/>
      <w:r>
        <w:rPr>
          <w:rStyle w:val="32"/>
          <w:rFonts w:hint="default" w:ascii="Times New Roman" w:hAnsi="Times New Roman" w:eastAsia="仿宋_GB2312" w:cs="Times New Roman"/>
          <w:b w:val="0"/>
          <w:bCs w:val="0"/>
          <w:i w:val="0"/>
          <w:iCs w:val="0"/>
          <w:color w:val="auto"/>
          <w:highlight w:val="none"/>
        </w:rPr>
        <w:t>十三、</w:t>
      </w:r>
      <w:bookmarkEnd w:id="193"/>
      <w:r>
        <w:rPr>
          <w:rStyle w:val="32"/>
          <w:rFonts w:hint="default" w:ascii="Times New Roman" w:hAnsi="Times New Roman" w:eastAsia="仿宋_GB2312" w:cs="Times New Roman"/>
          <w:b w:val="0"/>
          <w:bCs w:val="0"/>
          <w:i w:val="0"/>
          <w:iCs w:val="0"/>
          <w:color w:val="auto"/>
          <w:highlight w:val="none"/>
          <w:lang w:eastAsia="zh-CN"/>
        </w:rPr>
        <w:t>财政拨款“三公”经费支出决算表</w:t>
      </w:r>
      <w:bookmarkEnd w:id="194"/>
      <w:bookmarkEnd w:id="195"/>
    </w:p>
    <w:p>
      <w:pPr>
        <w:keepNext w:val="0"/>
        <w:keepLines w:val="0"/>
        <w:pageBreakBefore w:val="0"/>
        <w:kinsoku/>
        <w:wordWrap/>
        <w:overflowPunct/>
        <w:topLinePunct w:val="0"/>
        <w:autoSpaceDN/>
        <w:bidi w:val="0"/>
        <w:adjustRightInd/>
        <w:snapToGrid/>
        <w:spacing w:line="540" w:lineRule="exact"/>
        <w:ind w:left="0" w:right="0" w:rightChars="0"/>
        <w:jc w:val="both"/>
        <w:textAlignment w:val="auto"/>
        <w:rPr>
          <w:rFonts w:hint="default" w:ascii="Times New Roman" w:hAnsi="Times New Roman" w:eastAsia="仿宋_GB2312" w:cs="Times New Roman"/>
          <w:b w:val="0"/>
          <w:bCs w:val="0"/>
          <w:i w:val="0"/>
          <w:iCs w:val="0"/>
          <w:color w:val="auto"/>
          <w:lang w:val="en-US" w:eastAsia="zh-CN"/>
        </w:rPr>
      </w:pPr>
    </w:p>
    <w:p>
      <w:pPr>
        <w:rPr>
          <w:rFonts w:ascii="仿宋" w:hAnsi="仿宋" w:eastAsia="仿宋"/>
          <w:color w:val="000000" w:themeColor="text1"/>
          <w14:textFill>
            <w14:solidFill>
              <w14:schemeClr w14:val="tx1"/>
            </w14:solidFill>
          </w14:textFill>
        </w:rPr>
      </w:pPr>
    </w:p>
    <w:sectPr>
      <w:footerReference r:id="rId10" w:type="first"/>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6T18:46:43Z" w:initials="A">
    <w:p w14:paraId="0F8E4927">
      <w:pPr>
        <w:pStyle w:val="8"/>
        <w:rPr>
          <w:rFonts w:hint="eastAsia" w:eastAsia="宋体"/>
          <w:lang w:eastAsia="zh-CN"/>
        </w:rPr>
      </w:pPr>
      <w:r>
        <w:rPr>
          <w:rFonts w:hint="eastAsia"/>
          <w:lang w:eastAsia="zh-CN"/>
        </w:rPr>
        <w:t>注意公开时间，以实际公开当天填</w:t>
      </w:r>
    </w:p>
  </w:comment>
  <w:comment w:id="1" w:author="Administrator" w:date="2024-08-26T18:53:31Z" w:initials="A">
    <w:p w14:paraId="65221273">
      <w:pPr>
        <w:pStyle w:val="8"/>
        <w:rPr>
          <w:rFonts w:hint="eastAsia" w:eastAsia="宋体"/>
          <w:lang w:eastAsia="zh-CN"/>
        </w:rPr>
      </w:pPr>
      <w:r>
        <w:rPr>
          <w:rFonts w:hint="eastAsia"/>
          <w:lang w:eastAsia="zh-CN"/>
        </w:rPr>
        <w:t>注意自评表中内容的完整性，下同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8E4927" w15:done="0"/>
  <w15:commentEx w15:paraId="6522127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24BDC3-2738-4F5B-B7EB-8AF04E7C1D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embedRegular r:id="rId2" w:fontKey="{392D98DD-482C-4435-B865-8665A06A644A}"/>
  </w:font>
  <w:font w:name="仿宋_GB2312">
    <w:panose1 w:val="02010609030101010101"/>
    <w:charset w:val="86"/>
    <w:family w:val="modern"/>
    <w:pitch w:val="default"/>
    <w:sig w:usb0="00000000" w:usb1="00000000" w:usb2="00000000" w:usb3="00000000" w:csb0="00000000" w:csb1="00000000"/>
    <w:embedRegular r:id="rId3" w:fontKey="{8D542CC3-9FB8-47ED-8928-1D96739168A6}"/>
  </w:font>
  <w:font w:name="仿宋">
    <w:panose1 w:val="02010609060101010101"/>
    <w:charset w:val="86"/>
    <w:family w:val="auto"/>
    <w:pitch w:val="default"/>
    <w:sig w:usb0="800002BF" w:usb1="38CF7CFA" w:usb2="00000016" w:usb3="00000000" w:csb0="00040001" w:csb1="00000000"/>
    <w:embedRegular r:id="rId4" w:fontKey="{7235FA40-C7B5-4CDC-9570-E6964FC9EEA1}"/>
  </w:font>
  <w:font w:name="方正仿宋简体">
    <w:altName w:val="微软雅黑"/>
    <w:panose1 w:val="02000000000000000000"/>
    <w:charset w:val="86"/>
    <w:family w:val="auto"/>
    <w:pitch w:val="default"/>
    <w:sig w:usb0="00000000" w:usb1="00000000" w:usb2="00000012"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0" w:usb1="00000000" w:usb2="00000000" w:usb3="00000000" w:csb0="00000000" w:csb1="00000000"/>
    <w:embedRegular r:id="rId5" w:fontKey="{A348E8B8-AB3C-42EA-92A7-03BAF125E49C}"/>
  </w:font>
  <w:font w:name="楷体_GB2312">
    <w:panose1 w:val="02010609030101010101"/>
    <w:charset w:val="86"/>
    <w:family w:val="modern"/>
    <w:pitch w:val="default"/>
    <w:sig w:usb0="00000000" w:usb1="00000000" w:usb2="00000000" w:usb3="00000000" w:csb0="00000000" w:csb1="00000000"/>
    <w:embedRegular r:id="rId6" w:fontKey="{DB42E70B-19BF-44C5-A329-A48DD175E0CE}"/>
  </w:font>
  <w:font w:name="微软雅黑">
    <w:panose1 w:val="020B0503020204020204"/>
    <w:charset w:val="86"/>
    <w:family w:val="auto"/>
    <w:pitch w:val="default"/>
    <w:sig w:usb0="80000287" w:usb1="280F3C52" w:usb2="00000016" w:usb3="00000000" w:csb0="0004001F" w:csb1="00000000"/>
    <w:embedRegular r:id="rId7" w:fontKey="{8C7673D1-829C-4711-9D52-39507F287A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12"/>
                                <w:jc w:val="center"/>
                              </w:pPr>
                              <w:r>
                                <w:fldChar w:fldCharType="begin"/>
                              </w:r>
                              <w:r>
                                <w:instrText xml:space="preserve">PAGE   \* MERGEFORMAT</w:instrText>
                              </w:r>
                              <w:r>
                                <w:fldChar w:fldCharType="separate"/>
                              </w:r>
                              <w:r>
                                <w:rPr>
                                  <w:lang w:val="zh-CN"/>
                                </w:rPr>
                                <w:t>24</w:t>
                              </w:r>
                              <w:r>
                                <w:fldChar w:fldCharType="end"/>
                              </w:r>
                            </w:p>
                          </w:sdtContent>
                        </w:sdt>
                        <w:p>
                          <w:pPr>
                            <w:pStyle w:val="9"/>
                          </w:pP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yqBHIrgEAAEsD&#10;AAAOAAAAAAAAAAEAIAAAAB4BAABkcnMvZTJvRG9jLnhtbFBLBQYAAAAABgAGAFkBAAA+BQAAAAA=&#10;">
              <v:fill on="f" focussize="0,0"/>
              <v:stroke on="f"/>
              <v:imagedata o:title=""/>
              <o:lock v:ext="edit" aspectratio="f"/>
              <v:textbox inset="0mm,0mm,0mm,0mm" style="mso-fit-shape-to-text:t;">
                <w:txbxContent>
                  <w:sdt>
                    <w:sdtPr>
                      <w:id w:val="-1994781956"/>
                    </w:sdtPr>
                    <w:sdtContent>
                      <w:p>
                        <w:pPr>
                          <w:pStyle w:val="12"/>
                          <w:jc w:val="center"/>
                        </w:pPr>
                        <w:r>
                          <w:fldChar w:fldCharType="begin"/>
                        </w:r>
                        <w:r>
                          <w:instrText xml:space="preserve">PAGE   \* MERGEFORMAT</w:instrText>
                        </w:r>
                        <w:r>
                          <w:fldChar w:fldCharType="separate"/>
                        </w:r>
                        <w:r>
                          <w:rPr>
                            <w:lang w:val="zh-CN"/>
                          </w:rPr>
                          <w:t>24</w:t>
                        </w:r>
                        <w:r>
                          <w:fldChar w:fldCharType="end"/>
                        </w:r>
                      </w:p>
                    </w:sdtContent>
                  </w:sdt>
                  <w:p>
                    <w:pPr>
                      <w:pStyle w:val="9"/>
                    </w:pP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Rh0a8BAABLAwAADgAAAGRycy9lMm9Eb2MueG1srVPNThsxEL5X4h0s&#10;34mXo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HnlDhucUS7Xz93v//u/jyRz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zRh0a8BAABL&#10;AwAADgAAAAAAAAABACAAAAAeAQAAZHJzL2Uyb0RvYy54bWxQSwUGAAAAAAYABgBZAQAAPwUAAAAA&#10;">
              <v:fill on="f" focussize="0,0"/>
              <v:stroke on="f"/>
              <v:imagedata o:title=""/>
              <o:lock v:ext="edit" aspectratio="f"/>
              <v:textbox inset="0mm,0mm,0mm,0mm" style="mso-fit-shape-to-text:t;">
                <w:txbxContent>
                  <w:p>
                    <w:pPr>
                      <w:pStyle w:val="12"/>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70294"/>
                          </w:sdtPr>
                          <w:sdtContent>
                            <w:p>
                              <w:pPr>
                                <w:pStyle w:val="12"/>
                                <w:jc w:val="center"/>
                              </w:pPr>
                              <w:r>
                                <w:fldChar w:fldCharType="begin"/>
                              </w:r>
                              <w:r>
                                <w:instrText xml:space="preserve">PAGE   \* MERGEFORMAT</w:instrText>
                              </w:r>
                              <w:r>
                                <w:fldChar w:fldCharType="separate"/>
                              </w:r>
                              <w:r>
                                <w:rPr>
                                  <w:lang w:val="zh-CN"/>
                                </w:rPr>
                                <w:t>24</w:t>
                              </w:r>
                              <w:r>
                                <w:fldChar w:fldCharType="end"/>
                              </w:r>
                            </w:p>
                          </w:sdtContent>
                        </w:sdt>
                        <w:p>
                          <w:pPr>
                            <w:pStyle w:val="9"/>
                          </w:pP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1LW5q0BAABLAwAADgAAAGRycy9lMm9Eb2MueG1srVNLjhMxEN0jcQfL&#10;e+KeC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3IWpKcRnb5+OX37cfr+mT0v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dS1uatAQAASwMA&#10;AA4AAAAAAAAAAQAgAAAAHgEAAGRycy9lMm9Eb2MueG1sUEsFBgAAAAAGAAYAWQEAAD0FAAAAAA==&#10;">
              <v:fill on="f" focussize="0,0"/>
              <v:stroke on="f"/>
              <v:imagedata o:title=""/>
              <o:lock v:ext="edit" aspectratio="f"/>
              <v:textbox inset="0mm,0mm,0mm,0mm" style="mso-fit-shape-to-text:t;">
                <w:txbxContent>
                  <w:sdt>
                    <w:sdtPr>
                      <w:id w:val="147470294"/>
                    </w:sdtPr>
                    <w:sdtContent>
                      <w:p>
                        <w:pPr>
                          <w:pStyle w:val="12"/>
                          <w:jc w:val="center"/>
                        </w:pPr>
                        <w:r>
                          <w:fldChar w:fldCharType="begin"/>
                        </w:r>
                        <w:r>
                          <w:instrText xml:space="preserve">PAGE   \* MERGEFORMAT</w:instrText>
                        </w:r>
                        <w:r>
                          <w:fldChar w:fldCharType="separate"/>
                        </w:r>
                        <w:r>
                          <w:rPr>
                            <w:lang w:val="zh-CN"/>
                          </w:rPr>
                          <w:t>24</w:t>
                        </w:r>
                        <w:r>
                          <w:fldChar w:fldCharType="end"/>
                        </w:r>
                      </w:p>
                    </w:sdtContent>
                  </w:sdt>
                  <w:p>
                    <w:pPr>
                      <w:pStyle w:val="9"/>
                    </w:pP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QwZrgEAAEsD&#10;AAAOAAAAAAAAAAEAIAAAAB4BAABkcnMvZTJvRG9jLnhtbFBLBQYAAAAABgAGAFkBAAA+BQAAAAA=&#10;">
              <v:fill on="f" focussize="0,0"/>
              <v:stroke on="f"/>
              <v:imagedata o:title=""/>
              <o:lock v:ext="edit" aspectratio="f"/>
              <v:textbox inset="0mm,0mm,0mm,0mm" style="mso-fit-shape-to-text:t;">
                <w:txbxContent>
                  <w:p>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0F5DD4BB"/>
    <w:multiLevelType w:val="singleLevel"/>
    <w:tmpl w:val="0F5DD4BB"/>
    <w:lvl w:ilvl="0" w:tentative="0">
      <w:start w:val="2"/>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48340A"/>
    <w:multiLevelType w:val="singleLevel"/>
    <w:tmpl w:val="3848340A"/>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ZTFlNzk0M2Y4MmRlMDVkNGJjMjFkNDUzZWE3N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404"/>
    <w:rsid w:val="000E6613"/>
    <w:rsid w:val="000E7119"/>
    <w:rsid w:val="00114E9B"/>
    <w:rsid w:val="00142216"/>
    <w:rsid w:val="00144D6A"/>
    <w:rsid w:val="0014729F"/>
    <w:rsid w:val="00157BAB"/>
    <w:rsid w:val="001654D1"/>
    <w:rsid w:val="00174518"/>
    <w:rsid w:val="0018106D"/>
    <w:rsid w:val="001877A7"/>
    <w:rsid w:val="00191536"/>
    <w:rsid w:val="00196687"/>
    <w:rsid w:val="001A7F22"/>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2B56"/>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E7125"/>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3C5B"/>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6CB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4A6DF3"/>
    <w:rsid w:val="01C97FEE"/>
    <w:rsid w:val="01F30303"/>
    <w:rsid w:val="027175AD"/>
    <w:rsid w:val="02972E25"/>
    <w:rsid w:val="02FB3080"/>
    <w:rsid w:val="0335467F"/>
    <w:rsid w:val="034F468D"/>
    <w:rsid w:val="03FC7A53"/>
    <w:rsid w:val="0429608C"/>
    <w:rsid w:val="047F1C7D"/>
    <w:rsid w:val="055F5B8F"/>
    <w:rsid w:val="0613719F"/>
    <w:rsid w:val="06295BA3"/>
    <w:rsid w:val="06407008"/>
    <w:rsid w:val="07D17BFE"/>
    <w:rsid w:val="08916750"/>
    <w:rsid w:val="089E07AB"/>
    <w:rsid w:val="08BD4992"/>
    <w:rsid w:val="08D63970"/>
    <w:rsid w:val="095708CB"/>
    <w:rsid w:val="0C1900DE"/>
    <w:rsid w:val="0C8A5894"/>
    <w:rsid w:val="0DC97078"/>
    <w:rsid w:val="0E3C75DB"/>
    <w:rsid w:val="0E9C4B5B"/>
    <w:rsid w:val="0ECB1270"/>
    <w:rsid w:val="0F0D4BFD"/>
    <w:rsid w:val="0F544ED9"/>
    <w:rsid w:val="106106C1"/>
    <w:rsid w:val="10A661A8"/>
    <w:rsid w:val="10AB02AB"/>
    <w:rsid w:val="10C055FF"/>
    <w:rsid w:val="1103526F"/>
    <w:rsid w:val="112640D0"/>
    <w:rsid w:val="11632106"/>
    <w:rsid w:val="1169222A"/>
    <w:rsid w:val="12045813"/>
    <w:rsid w:val="1225018D"/>
    <w:rsid w:val="12EC02A4"/>
    <w:rsid w:val="13221F4B"/>
    <w:rsid w:val="139A3A3A"/>
    <w:rsid w:val="13F3A2D4"/>
    <w:rsid w:val="1490662F"/>
    <w:rsid w:val="14DF3B52"/>
    <w:rsid w:val="14E1385B"/>
    <w:rsid w:val="16351403"/>
    <w:rsid w:val="1648533D"/>
    <w:rsid w:val="16A51D45"/>
    <w:rsid w:val="16BB723D"/>
    <w:rsid w:val="16ED255A"/>
    <w:rsid w:val="178F79EA"/>
    <w:rsid w:val="179C1B06"/>
    <w:rsid w:val="17AC5D52"/>
    <w:rsid w:val="185E6F19"/>
    <w:rsid w:val="19262CD7"/>
    <w:rsid w:val="19CD34CD"/>
    <w:rsid w:val="19E42CEA"/>
    <w:rsid w:val="1A0469A7"/>
    <w:rsid w:val="1A2979D1"/>
    <w:rsid w:val="1A421510"/>
    <w:rsid w:val="1A7678E1"/>
    <w:rsid w:val="1B7927B8"/>
    <w:rsid w:val="1BC712F3"/>
    <w:rsid w:val="1BDA3AD0"/>
    <w:rsid w:val="1C04061B"/>
    <w:rsid w:val="1C2C25CD"/>
    <w:rsid w:val="1C63448B"/>
    <w:rsid w:val="1CB82E95"/>
    <w:rsid w:val="1D8D0D60"/>
    <w:rsid w:val="1E3044CB"/>
    <w:rsid w:val="1ED97B1D"/>
    <w:rsid w:val="1EF21E27"/>
    <w:rsid w:val="1F190675"/>
    <w:rsid w:val="1F1971AC"/>
    <w:rsid w:val="1F890DB4"/>
    <w:rsid w:val="1FD168E5"/>
    <w:rsid w:val="20740933"/>
    <w:rsid w:val="2122672A"/>
    <w:rsid w:val="214D6F32"/>
    <w:rsid w:val="21AE219D"/>
    <w:rsid w:val="21F965B6"/>
    <w:rsid w:val="222E39E0"/>
    <w:rsid w:val="240371BF"/>
    <w:rsid w:val="245639E8"/>
    <w:rsid w:val="24EA329B"/>
    <w:rsid w:val="2527105B"/>
    <w:rsid w:val="25CF25CB"/>
    <w:rsid w:val="2671167A"/>
    <w:rsid w:val="27326CE6"/>
    <w:rsid w:val="27350CB3"/>
    <w:rsid w:val="2753439D"/>
    <w:rsid w:val="29B3002A"/>
    <w:rsid w:val="29FD04D3"/>
    <w:rsid w:val="2AF605A6"/>
    <w:rsid w:val="2B48500D"/>
    <w:rsid w:val="2B4B71CE"/>
    <w:rsid w:val="2B50099D"/>
    <w:rsid w:val="2BEF4671"/>
    <w:rsid w:val="2BF07464"/>
    <w:rsid w:val="2C85754C"/>
    <w:rsid w:val="2DC47350"/>
    <w:rsid w:val="2E0444DC"/>
    <w:rsid w:val="2E22203B"/>
    <w:rsid w:val="2E4853C4"/>
    <w:rsid w:val="2E9431C1"/>
    <w:rsid w:val="2EA23990"/>
    <w:rsid w:val="2F523923"/>
    <w:rsid w:val="2F8D12B0"/>
    <w:rsid w:val="30472DC1"/>
    <w:rsid w:val="30691773"/>
    <w:rsid w:val="30B86CD2"/>
    <w:rsid w:val="319F7F4E"/>
    <w:rsid w:val="321416F9"/>
    <w:rsid w:val="32326CA4"/>
    <w:rsid w:val="32983A36"/>
    <w:rsid w:val="32B05E2E"/>
    <w:rsid w:val="32B64DC8"/>
    <w:rsid w:val="340058C2"/>
    <w:rsid w:val="34481A48"/>
    <w:rsid w:val="350602A5"/>
    <w:rsid w:val="36346ED5"/>
    <w:rsid w:val="36995063"/>
    <w:rsid w:val="36C87AEF"/>
    <w:rsid w:val="370357B9"/>
    <w:rsid w:val="38850371"/>
    <w:rsid w:val="3A220F0E"/>
    <w:rsid w:val="3A414812"/>
    <w:rsid w:val="3A7960EA"/>
    <w:rsid w:val="3B2507AE"/>
    <w:rsid w:val="3BEF1FB1"/>
    <w:rsid w:val="3BF0121F"/>
    <w:rsid w:val="3C482648"/>
    <w:rsid w:val="3C6C4655"/>
    <w:rsid w:val="3C7B3963"/>
    <w:rsid w:val="3D756082"/>
    <w:rsid w:val="3D942619"/>
    <w:rsid w:val="3D9C75C2"/>
    <w:rsid w:val="3DD44C2C"/>
    <w:rsid w:val="3EC279EE"/>
    <w:rsid w:val="3F745F43"/>
    <w:rsid w:val="3F915CC1"/>
    <w:rsid w:val="3F9F5180"/>
    <w:rsid w:val="3FB77AEC"/>
    <w:rsid w:val="405B0970"/>
    <w:rsid w:val="40A43FF3"/>
    <w:rsid w:val="411307C7"/>
    <w:rsid w:val="412118E5"/>
    <w:rsid w:val="41900927"/>
    <w:rsid w:val="42485D2F"/>
    <w:rsid w:val="43047404"/>
    <w:rsid w:val="4311431C"/>
    <w:rsid w:val="43160825"/>
    <w:rsid w:val="43767477"/>
    <w:rsid w:val="438E103A"/>
    <w:rsid w:val="43D6336B"/>
    <w:rsid w:val="441821D6"/>
    <w:rsid w:val="4557495D"/>
    <w:rsid w:val="45936F27"/>
    <w:rsid w:val="45DD4911"/>
    <w:rsid w:val="45E36088"/>
    <w:rsid w:val="45F25861"/>
    <w:rsid w:val="466D4D18"/>
    <w:rsid w:val="46AE6E50"/>
    <w:rsid w:val="46E97851"/>
    <w:rsid w:val="46E978C0"/>
    <w:rsid w:val="47001F63"/>
    <w:rsid w:val="47061E1B"/>
    <w:rsid w:val="470A54BB"/>
    <w:rsid w:val="47E71B78"/>
    <w:rsid w:val="489408B9"/>
    <w:rsid w:val="48F01978"/>
    <w:rsid w:val="49735363"/>
    <w:rsid w:val="49961824"/>
    <w:rsid w:val="49A431D0"/>
    <w:rsid w:val="4A1A1A75"/>
    <w:rsid w:val="4AE65F9E"/>
    <w:rsid w:val="4B7825A6"/>
    <w:rsid w:val="4BB11B8C"/>
    <w:rsid w:val="4C1803DC"/>
    <w:rsid w:val="4C8F6FF7"/>
    <w:rsid w:val="4D44407E"/>
    <w:rsid w:val="4DAF0285"/>
    <w:rsid w:val="4E25666D"/>
    <w:rsid w:val="4E567D24"/>
    <w:rsid w:val="4ECE2238"/>
    <w:rsid w:val="4EEE2FB9"/>
    <w:rsid w:val="4FA35613"/>
    <w:rsid w:val="50EF75F5"/>
    <w:rsid w:val="511B54CF"/>
    <w:rsid w:val="51BC19F4"/>
    <w:rsid w:val="522E07C0"/>
    <w:rsid w:val="52D96A11"/>
    <w:rsid w:val="53237C95"/>
    <w:rsid w:val="5325146B"/>
    <w:rsid w:val="532618CD"/>
    <w:rsid w:val="53906E82"/>
    <w:rsid w:val="53987B5A"/>
    <w:rsid w:val="53A03DC5"/>
    <w:rsid w:val="53EB0F44"/>
    <w:rsid w:val="545913FB"/>
    <w:rsid w:val="54B77900"/>
    <w:rsid w:val="54C71312"/>
    <w:rsid w:val="54F858D3"/>
    <w:rsid w:val="557B1606"/>
    <w:rsid w:val="55ED35BE"/>
    <w:rsid w:val="562F47FD"/>
    <w:rsid w:val="56B469F9"/>
    <w:rsid w:val="573D4AB9"/>
    <w:rsid w:val="5753760E"/>
    <w:rsid w:val="580F569F"/>
    <w:rsid w:val="582D32BD"/>
    <w:rsid w:val="584D6FF9"/>
    <w:rsid w:val="58A7067F"/>
    <w:rsid w:val="58C2041D"/>
    <w:rsid w:val="593E01AA"/>
    <w:rsid w:val="5945779B"/>
    <w:rsid w:val="59655275"/>
    <w:rsid w:val="5A392C80"/>
    <w:rsid w:val="5A874FF5"/>
    <w:rsid w:val="5A8F21FA"/>
    <w:rsid w:val="5B7F309C"/>
    <w:rsid w:val="5BDD25CD"/>
    <w:rsid w:val="5C2D46AC"/>
    <w:rsid w:val="5C4365D1"/>
    <w:rsid w:val="5CC45043"/>
    <w:rsid w:val="5DC13B71"/>
    <w:rsid w:val="5E0C26B9"/>
    <w:rsid w:val="5E2E025F"/>
    <w:rsid w:val="5E8941DB"/>
    <w:rsid w:val="5F8F6907"/>
    <w:rsid w:val="60394492"/>
    <w:rsid w:val="6063119D"/>
    <w:rsid w:val="606D14EF"/>
    <w:rsid w:val="61044197"/>
    <w:rsid w:val="61160F79"/>
    <w:rsid w:val="6120301E"/>
    <w:rsid w:val="617E5FEE"/>
    <w:rsid w:val="619A0207"/>
    <w:rsid w:val="61DB748D"/>
    <w:rsid w:val="63654BA9"/>
    <w:rsid w:val="6381675E"/>
    <w:rsid w:val="63D37CCB"/>
    <w:rsid w:val="640F435F"/>
    <w:rsid w:val="648E6FDB"/>
    <w:rsid w:val="65DA1B55"/>
    <w:rsid w:val="66C96009"/>
    <w:rsid w:val="66F33392"/>
    <w:rsid w:val="67FA093E"/>
    <w:rsid w:val="683935E8"/>
    <w:rsid w:val="691A229A"/>
    <w:rsid w:val="69851D1A"/>
    <w:rsid w:val="6A3A1C79"/>
    <w:rsid w:val="6A590377"/>
    <w:rsid w:val="6B1C5B5B"/>
    <w:rsid w:val="6B2A76B1"/>
    <w:rsid w:val="6B300DAB"/>
    <w:rsid w:val="6B4454AE"/>
    <w:rsid w:val="6C0626BB"/>
    <w:rsid w:val="6C1E5971"/>
    <w:rsid w:val="6C826CCD"/>
    <w:rsid w:val="6D6E2395"/>
    <w:rsid w:val="6E2D5DFF"/>
    <w:rsid w:val="6ECA14B6"/>
    <w:rsid w:val="6F1D3AA3"/>
    <w:rsid w:val="71153CEC"/>
    <w:rsid w:val="714F1478"/>
    <w:rsid w:val="72054E36"/>
    <w:rsid w:val="722229ED"/>
    <w:rsid w:val="726F6720"/>
    <w:rsid w:val="72734D90"/>
    <w:rsid w:val="72AB0BE8"/>
    <w:rsid w:val="72BA55E1"/>
    <w:rsid w:val="73D235F8"/>
    <w:rsid w:val="74181224"/>
    <w:rsid w:val="7458474E"/>
    <w:rsid w:val="7541325B"/>
    <w:rsid w:val="755B44AE"/>
    <w:rsid w:val="75EC6FAB"/>
    <w:rsid w:val="75FF496C"/>
    <w:rsid w:val="761E1E54"/>
    <w:rsid w:val="76A13826"/>
    <w:rsid w:val="77187D56"/>
    <w:rsid w:val="779B1B8B"/>
    <w:rsid w:val="77D10DF8"/>
    <w:rsid w:val="77FF547E"/>
    <w:rsid w:val="780B4ECB"/>
    <w:rsid w:val="7893153F"/>
    <w:rsid w:val="78957128"/>
    <w:rsid w:val="78AA05BF"/>
    <w:rsid w:val="78C22378"/>
    <w:rsid w:val="78DC3646"/>
    <w:rsid w:val="79096BB0"/>
    <w:rsid w:val="798431C9"/>
    <w:rsid w:val="7A1837D8"/>
    <w:rsid w:val="7A8674E5"/>
    <w:rsid w:val="7AA00AE6"/>
    <w:rsid w:val="7AB410BC"/>
    <w:rsid w:val="7AD3062A"/>
    <w:rsid w:val="7B2B0480"/>
    <w:rsid w:val="7B596719"/>
    <w:rsid w:val="7B5C5E46"/>
    <w:rsid w:val="7C05641A"/>
    <w:rsid w:val="7C0C3314"/>
    <w:rsid w:val="7C420137"/>
    <w:rsid w:val="7C8A0A93"/>
    <w:rsid w:val="7CDF7D43"/>
    <w:rsid w:val="7D107883"/>
    <w:rsid w:val="7D507B55"/>
    <w:rsid w:val="7E2C266F"/>
    <w:rsid w:val="7E4A358E"/>
    <w:rsid w:val="7EE431FA"/>
    <w:rsid w:val="7F13736D"/>
    <w:rsid w:val="7FBA3130"/>
    <w:rsid w:val="D9DA3DC0"/>
    <w:rsid w:val="DF9EAF36"/>
    <w:rsid w:val="F76F75ED"/>
    <w:rsid w:val="FF6F1308"/>
    <w:rsid w:val="FFBC3E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footnote text"/>
    <w:basedOn w:val="1"/>
    <w:next w:val="3"/>
    <w:link w:val="41"/>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annotation text"/>
    <w:basedOn w:val="1"/>
    <w:semiHidden/>
    <w:unhideWhenUsed/>
    <w:qFormat/>
    <w:uiPriority w:val="99"/>
    <w:pPr>
      <w:jc w:val="left"/>
    </w:pPr>
  </w:style>
  <w:style w:type="paragraph" w:styleId="9">
    <w:name w:val="Body Text"/>
    <w:basedOn w:val="1"/>
    <w:link w:val="28"/>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99"/>
    <w:pPr>
      <w:widowControl/>
      <w:jc w:val="left"/>
    </w:pPr>
    <w:rPr>
      <w:rFonts w:ascii="宋体" w:hAnsi="宋体" w:cs="宋体"/>
      <w:kern w:val="0"/>
      <w:sz w:val="24"/>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常用样式（方正仿宋简）"/>
    <w:basedOn w:val="1"/>
    <w:next w:val="1"/>
    <w:qFormat/>
    <w:uiPriority w:val="99"/>
    <w:pPr>
      <w:spacing w:line="560" w:lineRule="exact"/>
      <w:ind w:firstLine="640" w:firstLineChars="200"/>
    </w:pPr>
    <w:rPr>
      <w:rFonts w:eastAsia="方正仿宋简体"/>
      <w:sz w:val="32"/>
      <w:szCs w:val="20"/>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5"/>
    <w:qFormat/>
    <w:uiPriority w:val="9"/>
    <w:rPr>
      <w:rFonts w:ascii="Times New Roman" w:hAnsi="Times New Roman"/>
      <w:b/>
      <w:bCs/>
      <w:kern w:val="44"/>
      <w:sz w:val="44"/>
      <w:szCs w:val="44"/>
    </w:rPr>
  </w:style>
  <w:style w:type="character" w:customStyle="1" w:styleId="32">
    <w:name w:val="标题 2 Char"/>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7"/>
    <w:qFormat/>
    <w:uiPriority w:val="9"/>
    <w:rPr>
      <w:rFonts w:ascii="Times New Roman" w:hAnsi="Times New Roman"/>
      <w:b/>
      <w:bCs/>
      <w:kern w:val="2"/>
      <w:sz w:val="32"/>
      <w:szCs w:val="32"/>
    </w:rPr>
  </w:style>
  <w:style w:type="paragraph" w:customStyle="1" w:styleId="36">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 Char Char5"/>
    <w:basedOn w:val="19"/>
    <w:link w:val="6"/>
    <w:qFormat/>
    <w:locked/>
    <w:uiPriority w:val="9"/>
    <w:rPr>
      <w:rFonts w:ascii="Cambria" w:hAnsi="Cambria" w:eastAsia="宋体" w:cs="Times New Roman"/>
      <w:b/>
      <w:bCs/>
      <w:kern w:val="2"/>
      <w:sz w:val="32"/>
      <w:szCs w:val="32"/>
    </w:rPr>
  </w:style>
  <w:style w:type="paragraph" w:customStyle="1" w:styleId="38">
    <w:name w:val="WPSOffice手动目录 1"/>
    <w:qFormat/>
    <w:uiPriority w:val="0"/>
    <w:pPr>
      <w:ind w:leftChars="0"/>
    </w:pPr>
    <w:rPr>
      <w:rFonts w:ascii="Calibri" w:hAnsi="Calibri" w:eastAsia="宋体" w:cs="Times New Roman"/>
      <w:sz w:val="20"/>
      <w:szCs w:val="20"/>
    </w:rPr>
  </w:style>
  <w:style w:type="paragraph" w:customStyle="1" w:styleId="39">
    <w:name w:val="WPSOffice手动目录 2"/>
    <w:qFormat/>
    <w:uiPriority w:val="0"/>
    <w:pPr>
      <w:ind w:leftChars="200"/>
    </w:pPr>
    <w:rPr>
      <w:rFonts w:ascii="Calibri" w:hAnsi="Calibri" w:eastAsia="宋体" w:cs="Times New Roman"/>
      <w:sz w:val="20"/>
      <w:szCs w:val="20"/>
    </w:rPr>
  </w:style>
  <w:style w:type="paragraph" w:customStyle="1" w:styleId="40">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41">
    <w:name w:val="脚注文本 Char"/>
    <w:basedOn w:val="19"/>
    <w:link w:val="2"/>
    <w:qFormat/>
    <w:uiPriority w:val="0"/>
    <w:rPr>
      <w:rFonts w:hint="eastAsia" w:ascii="仿宋_GB2312" w:eastAsia="仿宋_GB2312" w:cs="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70083651186"/>
          <c:y val="0.148790320128903"/>
          <c:w val="0.871141159330136"/>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1185.53</c:v>
                </c:pt>
                <c:pt idx="1">
                  <c:v>1185.53</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1727.58</c:v>
                </c:pt>
                <c:pt idx="1">
                  <c:v>1727.58</c:v>
                </c:pt>
              </c:numCache>
            </c:numRef>
          </c:val>
        </c:ser>
        <c:dLbls>
          <c:showLegendKey val="0"/>
          <c:showVal val="1"/>
          <c:showCatName val="0"/>
          <c:showSerName val="0"/>
          <c:showPercent val="0"/>
          <c:showBubbleSize val="0"/>
        </c:dLbls>
        <c:gapWidth val="75"/>
        <c:overlap val="-25"/>
        <c:axId val="123022720"/>
        <c:axId val="123028608"/>
      </c:barChart>
      <c:catAx>
        <c:axId val="1230227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028608"/>
        <c:crosses val="autoZero"/>
        <c:auto val="1"/>
        <c:lblAlgn val="ctr"/>
        <c:lblOffset val="100"/>
        <c:noMultiLvlLbl val="0"/>
      </c:catAx>
      <c:valAx>
        <c:axId val="12302860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3022720"/>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3239988146643"/>
          <c:y val="0.0905974558058294"/>
          <c:w val="0.323360638387944"/>
          <c:h val="0.558839291430035"/>
        </c:manualLayout>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附属单位上缴收入</c:v>
                </c:pt>
                <c:pt idx="6">
                  <c:v>其他收入</c:v>
                </c:pt>
              </c:strCache>
            </c:strRef>
          </c:cat>
          <c:val>
            <c:numRef>
              <c:f>Sheet1!$B$2:$B$8</c:f>
              <c:numCache>
                <c:formatCode>0.00%</c:formatCode>
                <c:ptCount val="7"/>
                <c:pt idx="0">
                  <c:v>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Pt>
            <c:idx val="4"/>
            <c:bubble3D val="0"/>
          </c:dPt>
          <c:dLbls>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0.902372104330914</c:v>
                </c:pt>
                <c:pt idx="1">
                  <c:v>0.0976278956690862</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3668101778341"/>
          <c:y val="0.17555994689853"/>
          <c:w val="0.871141159330137"/>
          <c:h val="0.647561081891791"/>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Sheet1!$B$2:$B$5</c:f>
              <c:numCache>
                <c:formatCode>General</c:formatCode>
                <c:ptCount val="4"/>
                <c:pt idx="0">
                  <c:v>1185.53</c:v>
                </c:pt>
                <c:pt idx="1">
                  <c:v>1185.53</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Sheet1!$A$2:$A$5</c:f>
              <c:strCache>
                <c:ptCount val="4"/>
                <c:pt idx="0">
                  <c:v>收入</c:v>
                </c:pt>
                <c:pt idx="1">
                  <c:v>支出</c:v>
                </c:pt>
              </c:strCache>
            </c:strRef>
          </c:cat>
          <c:val>
            <c:numRef>
              <c:f>Sheet1!$C$2:$C$5</c:f>
              <c:numCache>
                <c:formatCode>General</c:formatCode>
                <c:ptCount val="4"/>
                <c:pt idx="0">
                  <c:v>1727.58</c:v>
                </c:pt>
                <c:pt idx="1">
                  <c:v>1727.58</c:v>
                </c:pt>
              </c:numCache>
            </c:numRef>
          </c:val>
        </c:ser>
        <c:dLbls>
          <c:showLegendKey val="0"/>
          <c:showVal val="1"/>
          <c:showCatName val="0"/>
          <c:showSerName val="0"/>
          <c:showPercent val="0"/>
          <c:showBubbleSize val="0"/>
        </c:dLbls>
        <c:gapWidth val="75"/>
        <c:overlap val="-25"/>
        <c:axId val="232254464"/>
        <c:axId val="82731776"/>
      </c:barChart>
      <c:catAx>
        <c:axId val="232254464"/>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31776"/>
        <c:crosses val="autoZero"/>
        <c:auto val="1"/>
        <c:lblAlgn val="ctr"/>
        <c:lblOffset val="100"/>
        <c:noMultiLvlLbl val="0"/>
      </c:catAx>
      <c:valAx>
        <c:axId val="82731776"/>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2254464"/>
        <c:crosses val="autoZero"/>
        <c:crossBetween val="between"/>
      </c:valAx>
    </c:plotArea>
    <c:legend>
      <c:legendPos val="b"/>
      <c:layout>
        <c:manualLayout>
          <c:xMode val="edge"/>
          <c:yMode val="edge"/>
          <c:x val="0.498565870534375"/>
          <c:y val="0.906909068798833"/>
          <c:w val="0.274524530587523"/>
          <c:h val="0.093090931201167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一般公共预算财政拨款支出</a:t>
            </a:r>
            <a:endParaRPr lang="zh-CN" altLang="en-US"/>
          </a:p>
        </c:rich>
      </c:tx>
      <c:layout/>
      <c:overlay val="0"/>
    </c:title>
    <c:autoTitleDeleted val="0"/>
    <c:plotArea>
      <c:layout>
        <c:manualLayout>
          <c:layoutTarget val="inner"/>
          <c:xMode val="edge"/>
          <c:yMode val="edge"/>
          <c:x val="0.115970149253731"/>
          <c:y val="0.402832861189802"/>
          <c:w val="0.87955223880597"/>
          <c:h val="0.536543909348442"/>
        </c:manualLayout>
      </c:layout>
      <c:barChart>
        <c:barDir val="col"/>
        <c:grouping val="clustered"/>
        <c:varyColors val="0"/>
        <c:ser>
          <c:idx val="0"/>
          <c:order val="0"/>
          <c:tx>
            <c:strRef>
              <c:f>Sheet1!$B$1</c:f>
              <c:strCache>
                <c:ptCount val="1"/>
                <c:pt idx="0">
                  <c:v>2022年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Sheet1!$B$2:$B$5</c:f>
              <c:numCache>
                <c:formatCode>General</c:formatCode>
                <c:ptCount val="4"/>
                <c:pt idx="0">
                  <c:v>1154.53</c:v>
                </c:pt>
              </c:numCache>
            </c:numRef>
          </c:val>
        </c:ser>
        <c:ser>
          <c:idx val="1"/>
          <c:order val="1"/>
          <c:tx>
            <c:strRef>
              <c:f>Sheet1!$C$1</c:f>
              <c:strCache>
                <c:ptCount val="1"/>
                <c:pt idx="0">
                  <c:v>2023年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4"/>
              </c:numCache>
            </c:numRef>
          </c:cat>
          <c:val>
            <c:numRef>
              <c:f>Sheet1!$C$2:$C$5</c:f>
              <c:numCache>
                <c:formatCode>General</c:formatCode>
                <c:ptCount val="4"/>
                <c:pt idx="0">
                  <c:v>1727.58</c:v>
                </c:pt>
              </c:numCache>
            </c:numRef>
          </c:val>
        </c:ser>
        <c:dLbls>
          <c:showLegendKey val="0"/>
          <c:showVal val="1"/>
          <c:showCatName val="0"/>
          <c:showSerName val="0"/>
          <c:showPercent val="0"/>
          <c:showBubbleSize val="0"/>
        </c:dLbls>
        <c:gapWidth val="75"/>
        <c:overlap val="-25"/>
        <c:axId val="82744832"/>
        <c:axId val="82746368"/>
      </c:barChart>
      <c:catAx>
        <c:axId val="82744832"/>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6368"/>
        <c:crosses val="autoZero"/>
        <c:auto val="1"/>
        <c:lblAlgn val="ctr"/>
        <c:lblOffset val="100"/>
        <c:noMultiLvlLbl val="0"/>
      </c:catAx>
      <c:valAx>
        <c:axId val="82746368"/>
        <c:scaling>
          <c:orientation val="minMax"/>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82744832"/>
        <c:crosses val="autoZero"/>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Pt>
            <c:idx val="3"/>
            <c:bubble3D val="0"/>
          </c:dPt>
          <c:dLbls>
            <c:dLbl>
              <c:idx val="1"/>
              <c:layout>
                <c:manualLayout>
                  <c:x val="-0.035768501237375"/>
                  <c:y val="0.012039590210798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909790598916021"/>
                  <c:y val="-0.009402726036055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05184561085162"/>
                  <c:y val="0.030495452412747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c:v>
                </c:pt>
                <c:pt idx="1">
                  <c:v>社会保障和就业</c:v>
                </c:pt>
                <c:pt idx="2">
                  <c:v>卫生健康支出</c:v>
                </c:pt>
                <c:pt idx="3">
                  <c:v>住房保障支出</c:v>
                </c:pt>
              </c:strCache>
            </c:strRef>
          </c:cat>
          <c:val>
            <c:numRef>
              <c:f>Sheet1!$B$2:$B$5</c:f>
              <c:numCache>
                <c:formatCode>0.00%</c:formatCode>
                <c:ptCount val="4"/>
                <c:pt idx="0">
                  <c:v>0</c:v>
                </c:pt>
                <c:pt idx="1">
                  <c:v>0.965946584239225</c:v>
                </c:pt>
                <c:pt idx="2">
                  <c:v>0.0139675152525498</c:v>
                </c:pt>
                <c:pt idx="3">
                  <c:v>0.0200859005082254</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dPt>
          <c:dPt>
            <c:idx val="1"/>
            <c:bubble3D val="0"/>
          </c:dPt>
          <c:dPt>
            <c:idx val="2"/>
            <c:bubble3D val="0"/>
          </c:dPt>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2" c:formatCode="0.00%">
                  <c:v>1</c:v>
                </c:pt>
              </c:numCache>
            </c:numRef>
          </c:val>
        </c:ser>
        <c:dLbls>
          <c:showLegendKey val="0"/>
          <c:showVal val="1"/>
          <c:showCatName val="0"/>
          <c:showSerName val="0"/>
          <c:showPercent val="0"/>
          <c:showBubbleSize val="0"/>
          <c:showLeaderLines val="1"/>
        </c:dLbls>
        <c:firstSliceAng val="0"/>
      </c:pieChart>
    </c:plotArea>
    <c:legend>
      <c:legendPos val="r"/>
      <c:layout>
        <c:manualLayout>
          <c:xMode val="edge"/>
          <c:yMode val="edge"/>
          <c:x val="0.674220756189259"/>
          <c:y val="0.426806976230775"/>
          <c:w val="0.321274739306236"/>
          <c:h val="0.56384722937670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54</Pages>
  <Words>21260</Words>
  <Characters>22621</Characters>
  <Lines>7</Lines>
  <Paragraphs>17</Paragraphs>
  <TotalTime>18</TotalTime>
  <ScaleCrop>false</ScaleCrop>
  <LinksUpToDate>false</LinksUpToDate>
  <CharactersWithSpaces>22923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Administrator</cp:lastModifiedBy>
  <cp:lastPrinted>2020-07-24T10:58:00Z</cp:lastPrinted>
  <dcterms:modified xsi:type="dcterms:W3CDTF">2024-08-27T07:05:10Z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8D757FA5A97343ADA7A4E24E96BBF81B</vt:lpwstr>
  </property>
</Properties>
</file>