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1" w:name="_Toc15378441"/>
      <w:bookmarkStart w:id="2" w:name="_Toc15377193"/>
      <w:bookmarkStart w:id="3" w:name="_Toc15396597"/>
      <w:bookmarkStart w:id="4" w:name="_Toc15377425"/>
      <w:bookmarkStart w:id="5" w:name="_Toc15396475"/>
      <w:r>
        <w:rPr>
          <w:rFonts w:hint="eastAsia" w:ascii="方正小标宋简体" w:hAnsi="方正小标宋简体" w:eastAsia="方正小标宋简体" w:cs="方正小标宋简体"/>
          <w:sz w:val="44"/>
          <w:szCs w:val="44"/>
        </w:rPr>
        <w:t>2023年度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bookmarkStart w:id="6" w:name="_Toc15396476"/>
      <w:bookmarkStart w:id="7" w:name="_Toc15396598"/>
      <w:bookmarkStart w:id="8" w:name="_Toc15377194"/>
      <w:bookmarkStart w:id="9" w:name="_Toc15377426"/>
      <w:bookmarkStart w:id="10" w:name="_Toc15378442"/>
      <w:r>
        <w:rPr>
          <w:rFonts w:hint="eastAsia" w:ascii="方正小标宋简体" w:hAnsi="方正小标宋简体" w:eastAsia="方正小标宋简体" w:cs="方正小标宋简体"/>
          <w:sz w:val="44"/>
          <w:szCs w:val="44"/>
        </w:rPr>
        <w:t>四川省</w:t>
      </w:r>
      <w:bookmarkEnd w:id="0"/>
      <w:bookmarkStart w:id="11" w:name="_Toc15306268"/>
      <w:r>
        <w:rPr>
          <w:rFonts w:hint="eastAsia" w:ascii="方正小标宋简体" w:hAnsi="方正小标宋简体" w:eastAsia="方正小标宋简体" w:cs="方正小标宋简体"/>
          <w:sz w:val="44"/>
          <w:szCs w:val="44"/>
          <w:lang w:val="en-US" w:eastAsia="zh-CN"/>
        </w:rPr>
        <w:t>遂宁市安居区分水镇中心小学校</w:t>
      </w:r>
    </w:p>
    <w:p>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sz w:val="32"/>
          <w:szCs w:val="32"/>
        </w:rPr>
      </w:pPr>
      <w:r>
        <w:rPr>
          <w:rFonts w:hint="eastAsia"/>
          <w:sz w:val="32"/>
          <w:szCs w:val="32"/>
        </w:rPr>
        <w:t>公开时间：202</w:t>
      </w:r>
      <w:r>
        <w:rPr>
          <w:rFonts w:hint="eastAsia"/>
          <w:sz w:val="32"/>
          <w:szCs w:val="32"/>
          <w:lang w:val="en-US" w:eastAsia="zh-CN"/>
        </w:rPr>
        <w:t>4</w:t>
      </w:r>
      <w:r>
        <w:rPr>
          <w:rFonts w:hint="eastAsia"/>
          <w:sz w:val="32"/>
          <w:szCs w:val="32"/>
        </w:rPr>
        <w:t>年</w:t>
      </w:r>
      <w:r>
        <w:rPr>
          <w:rFonts w:hint="eastAsia"/>
          <w:sz w:val="32"/>
          <w:szCs w:val="32"/>
          <w:lang w:val="en-US" w:eastAsia="zh-CN"/>
        </w:rPr>
        <w:t>8</w:t>
      </w:r>
      <w:r>
        <w:rPr>
          <w:rFonts w:hint="eastAsia"/>
          <w:sz w:val="32"/>
          <w:szCs w:val="32"/>
        </w:rPr>
        <w:t>月</w:t>
      </w:r>
      <w:r>
        <w:rPr>
          <w:rFonts w:hint="eastAsia"/>
          <w:sz w:val="32"/>
          <w:szCs w:val="32"/>
          <w:lang w:val="en-US" w:eastAsia="zh-CN"/>
        </w:rPr>
        <w:t>27</w:t>
      </w:r>
      <w:r>
        <w:rPr>
          <w:rFonts w:hint="eastAsia"/>
          <w:sz w:val="32"/>
          <w:szCs w:val="32"/>
        </w:rPr>
        <w:t>日</w:t>
      </w:r>
    </w:p>
    <w:p>
      <w:pPr>
        <w:rPr>
          <w:sz w:val="32"/>
          <w:szCs w:val="32"/>
        </w:rPr>
      </w:pPr>
    </w:p>
    <w:p>
      <w:pPr>
        <w:keepNext w:val="0"/>
        <w:keepLines w:val="0"/>
        <w:pageBreakBefore w:val="0"/>
        <w:widowControl w:val="0"/>
        <w:suppressAutoHyphens/>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第一部分 单位概况</w:t>
      </w:r>
      <w:bookmarkStart w:id="12" w:name="OLE_LINK1"/>
      <w:r>
        <w:rPr>
          <w:rFonts w:hint="eastAsia" w:ascii="仿宋_GB2312" w:hAnsi="仿宋_GB2312" w:eastAsia="仿宋_GB2312" w:cs="仿宋_GB2312"/>
          <w:color w:val="auto"/>
          <w:kern w:val="2"/>
          <w:sz w:val="32"/>
          <w:szCs w:val="32"/>
          <w:highlight w:val="none"/>
          <w:lang w:val="en-US" w:eastAsia="zh-CN" w:bidi="ar-SA"/>
        </w:rPr>
        <w:t>…………………………………………4</w:t>
      </w:r>
      <w:bookmarkEnd w:id="12"/>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一、主要职责……………………………………………4</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二、机构设置……………………………………………4</w:t>
      </w:r>
    </w:p>
    <w:p>
      <w:pPr>
        <w:keepNext w:val="0"/>
        <w:keepLines w:val="0"/>
        <w:pageBreakBefore w:val="0"/>
        <w:widowControl w:val="0"/>
        <w:suppressAutoHyphens/>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第二部分 2023年度单位决算情况说明……………………5</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一、收入支出决算总体情况说明…………………………5</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二、收入决算情况说明……………………………………6</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三、支出决算情况说明……………………………………6</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四、财政拨款收入支出决算总体情况说明………………7</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五、一般公共预算财政拨款支出决算情况说明…………7六、一般公共预算财政拨款基本支出决算情况说明……9</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七、财政拨款“三公”经费支出决算情况说明…………10</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八、政府性基金预算支出决算情况说明…………………11</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九、国有资本经营预算支出决算情况说明………………11十、其他重要事项的情况说明……………………………11</w:t>
      </w:r>
    </w:p>
    <w:p>
      <w:pPr>
        <w:keepNext w:val="0"/>
        <w:keepLines w:val="0"/>
        <w:pageBreakBefore w:val="0"/>
        <w:widowControl w:val="0"/>
        <w:suppressAutoHyphens/>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第三部分 名词解释……………………………………14</w:t>
      </w:r>
    </w:p>
    <w:p>
      <w:pPr>
        <w:keepNext w:val="0"/>
        <w:keepLines w:val="0"/>
        <w:pageBreakBefore w:val="0"/>
        <w:widowControl w:val="0"/>
        <w:suppressAutoHyphens/>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第四部分 附件……………………………………17</w:t>
      </w:r>
    </w:p>
    <w:p>
      <w:pPr>
        <w:keepNext w:val="0"/>
        <w:keepLines w:val="0"/>
        <w:pageBreakBefore w:val="0"/>
        <w:widowControl w:val="0"/>
        <w:suppressAutoHyphens/>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第五部分 附表……………………………………</w:t>
      </w:r>
      <w:bookmarkStart w:id="13" w:name="OLE_LINK14"/>
      <w:r>
        <w:rPr>
          <w:rFonts w:hint="eastAsia" w:ascii="仿宋_GB2312" w:hAnsi="仿宋_GB2312" w:eastAsia="仿宋_GB2312" w:cs="仿宋_GB2312"/>
          <w:color w:val="auto"/>
          <w:kern w:val="2"/>
          <w:sz w:val="32"/>
          <w:szCs w:val="32"/>
          <w:highlight w:val="none"/>
          <w:lang w:val="en-US" w:eastAsia="zh-CN" w:bidi="ar-SA"/>
        </w:rPr>
        <w:t>33</w:t>
      </w:r>
      <w:bookmarkEnd w:id="13"/>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一、收入支出决算总表……………………………………33</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二、收入决算表……………………………………33</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三、支出决算表……………………………………33</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四、财政拨款收入支出决算总表…………………………33</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五、财政拨款支出决算明细表…………………………33六、一般公共预算财政拨款支出决算表…………………33七、一般公共预算财政拨款支出决算明细表……………33</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420" w:leftChars="200"/>
        <w:jc w:val="distribute"/>
        <w:textAlignment w:val="auto"/>
        <w:rPr>
          <w:rFonts w:hint="default" w:ascii="仿宋" w:hAnsi="仿宋" w:eastAsia="仿宋"/>
          <w:sz w:val="32"/>
          <w:szCs w:val="32"/>
          <w:lang w:val="en-US"/>
        </w:rPr>
      </w:pPr>
      <w:r>
        <w:rPr>
          <w:rFonts w:hint="eastAsia" w:ascii="仿宋_GB2312" w:hAnsi="仿宋_GB2312" w:eastAsia="仿宋_GB2312" w:cs="仿宋_GB2312"/>
          <w:color w:val="auto"/>
          <w:kern w:val="2"/>
          <w:sz w:val="32"/>
          <w:szCs w:val="32"/>
          <w:highlight w:val="none"/>
          <w:lang w:val="en-US" w:eastAsia="zh-CN" w:bidi="ar-SA"/>
        </w:rPr>
        <w:t>八、一般公共预算财政拨款基本支出决算明细表………33九、一般公共预算财政拨款项目支出决算表……………33十、政府性基金预算财政拨款收入支出决算表…………33十一、国有资本经营预算财政拨款收入支出决算表……33十二、国有资本经营预算财政拨款支出决算表…………33十三、财政拨款“三公”经费支出决算表………………33</w:t>
      </w:r>
    </w:p>
    <w:p>
      <w:pPr>
        <w:widowControl/>
        <w:spacing w:line="440" w:lineRule="exact"/>
        <w:jc w:val="left"/>
        <w:rPr>
          <w:rFonts w:ascii="仿宋" w:hAnsi="仿宋" w:eastAsia="仿宋"/>
          <w:bCs/>
          <w:kern w:val="44"/>
          <w:sz w:val="32"/>
          <w:szCs w:val="32"/>
        </w:rPr>
      </w:pPr>
      <w:bookmarkStart w:id="14" w:name="_Toc15377196"/>
      <w:bookmarkStart w:id="15" w:name="_Toc15396599"/>
      <w:r>
        <w:rPr>
          <w:rFonts w:ascii="仿宋" w:hAnsi="仿宋" w:eastAsia="仿宋"/>
          <w:b/>
          <w:sz w:val="32"/>
          <w:szCs w:val="32"/>
        </w:rPr>
        <w:br w:type="page"/>
      </w:r>
    </w:p>
    <w:p>
      <w:pPr>
        <w:pStyle w:val="3"/>
        <w:jc w:val="center"/>
        <w:rPr>
          <w:rStyle w:val="29"/>
          <w:rFonts w:ascii="黑体" w:hAnsi="黑体" w:eastAsia="黑体"/>
          <w:b/>
          <w:bCs w:val="0"/>
        </w:rPr>
      </w:pPr>
      <w:r>
        <w:rPr>
          <w:rFonts w:hint="eastAsia" w:ascii="黑体" w:hAnsi="黑体" w:eastAsia="黑体"/>
          <w:b w:val="0"/>
        </w:rPr>
        <w:t>第一部分 单位</w:t>
      </w:r>
      <w:r>
        <w:rPr>
          <w:rStyle w:val="29"/>
          <w:rFonts w:hint="eastAsia" w:ascii="黑体" w:hAnsi="黑体" w:eastAsia="黑体"/>
          <w:b w:val="0"/>
          <w:bCs w:val="0"/>
        </w:rPr>
        <w:t>概况</w:t>
      </w:r>
      <w:bookmarkEnd w:id="14"/>
      <w:bookmarkEnd w:id="15"/>
    </w:p>
    <w:p>
      <w:pPr>
        <w:widowControl/>
        <w:jc w:val="left"/>
        <w:rPr>
          <w:rFonts w:ascii="黑体" w:eastAsia="黑体"/>
          <w:sz w:val="32"/>
          <w:szCs w:val="32"/>
        </w:rPr>
      </w:pPr>
    </w:p>
    <w:p>
      <w:pPr>
        <w:pStyle w:val="4"/>
        <w:numPr>
          <w:ilvl w:val="0"/>
          <w:numId w:val="1"/>
        </w:numPr>
        <w:rPr>
          <w:rFonts w:hint="eastAsia" w:ascii="黑体" w:hAnsi="黑体" w:eastAsia="黑体"/>
          <w:b w:val="0"/>
        </w:rPr>
      </w:pPr>
      <w:bookmarkStart w:id="16" w:name="_Toc15377197"/>
      <w:bookmarkStart w:id="17" w:name="_Toc15396600"/>
      <w:r>
        <w:rPr>
          <w:rStyle w:val="30"/>
          <w:rFonts w:hint="eastAsia" w:ascii="黑体" w:hAnsi="黑体" w:eastAsia="黑体"/>
          <w:b w:val="0"/>
          <w:bCs w:val="0"/>
        </w:rPr>
        <w:t>主要职责</w:t>
      </w:r>
    </w:p>
    <w:p>
      <w:pPr>
        <w:pStyle w:val="4"/>
        <w:numPr>
          <w:ilvl w:val="0"/>
          <w:numId w:val="0"/>
        </w:numPr>
        <w:rPr>
          <w:rFonts w:hint="eastAsia" w:ascii="黑体" w:hAnsi="黑体" w:eastAsia="黑体"/>
          <w:b w:val="0"/>
        </w:rPr>
      </w:pPr>
      <w:r>
        <w:rPr>
          <w:rFonts w:hint="eastAsia" w:ascii="黑体" w:hAnsi="黑体" w:eastAsia="黑体"/>
          <w:b w:val="0"/>
        </w:rPr>
        <w:t>（一）主要职能。</w:t>
      </w:r>
    </w:p>
    <w:p>
      <w:pPr>
        <w:keepNext w:val="0"/>
        <w:keepLines w:val="0"/>
        <w:pageBreakBefore w:val="0"/>
        <w:widowControl w:val="0"/>
        <w:suppressAutoHyphens/>
        <w:kinsoku/>
        <w:wordWrap/>
        <w:overflowPunct/>
        <w:topLinePunct w:val="0"/>
        <w:autoSpaceDE/>
        <w:autoSpaceDN/>
        <w:bidi w:val="0"/>
        <w:adjustRightInd/>
        <w:snapToGrid/>
        <w:ind w:left="0" w:leftChars="0"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四川省</w:t>
      </w:r>
      <w:r>
        <w:rPr>
          <w:rFonts w:hint="eastAsia" w:ascii="仿宋_GB2312" w:hAnsi="仿宋" w:eastAsia="仿宋_GB2312"/>
          <w:color w:val="auto"/>
          <w:sz w:val="32"/>
          <w:szCs w:val="32"/>
        </w:rPr>
        <w:t>遂宁市安居区</w:t>
      </w:r>
      <w:r>
        <w:rPr>
          <w:rFonts w:hint="eastAsia" w:ascii="仿宋_GB2312" w:hAnsi="仿宋" w:eastAsia="仿宋_GB2312"/>
          <w:color w:val="auto"/>
          <w:sz w:val="32"/>
          <w:szCs w:val="32"/>
          <w:lang w:val="en-US" w:eastAsia="zh-CN"/>
        </w:rPr>
        <w:t>分水</w:t>
      </w:r>
      <w:r>
        <w:rPr>
          <w:rFonts w:hint="eastAsia" w:ascii="仿宋_GB2312" w:hAnsi="仿宋" w:eastAsia="仿宋_GB2312"/>
          <w:color w:val="auto"/>
          <w:sz w:val="32"/>
          <w:szCs w:val="32"/>
          <w:lang w:eastAsia="zh-CN"/>
        </w:rPr>
        <w:t>镇</w:t>
      </w:r>
      <w:r>
        <w:rPr>
          <w:rFonts w:hint="eastAsia" w:ascii="仿宋_GB2312" w:hAnsi="仿宋" w:eastAsia="仿宋_GB2312"/>
          <w:color w:val="auto"/>
          <w:sz w:val="32"/>
          <w:szCs w:val="32"/>
          <w:lang w:val="en-US" w:eastAsia="zh-CN"/>
        </w:rPr>
        <w:t>中心</w:t>
      </w:r>
      <w:r>
        <w:rPr>
          <w:rFonts w:hint="eastAsia" w:ascii="仿宋_GB2312" w:hAnsi="仿宋" w:eastAsia="仿宋_GB2312"/>
          <w:color w:val="auto"/>
          <w:sz w:val="32"/>
          <w:szCs w:val="32"/>
          <w:lang w:eastAsia="zh-CN"/>
        </w:rPr>
        <w:t>小学</w:t>
      </w:r>
      <w:r>
        <w:rPr>
          <w:rFonts w:hint="eastAsia" w:ascii="仿宋_GB2312" w:hAnsi="仿宋" w:eastAsia="仿宋_GB2312"/>
          <w:color w:val="auto"/>
          <w:sz w:val="32"/>
          <w:szCs w:val="32"/>
        </w:rPr>
        <w:t>校地处遂宁市安居区</w:t>
      </w:r>
      <w:r>
        <w:rPr>
          <w:rFonts w:hint="eastAsia" w:ascii="仿宋_GB2312" w:hAnsi="仿宋" w:eastAsia="仿宋_GB2312"/>
          <w:color w:val="auto"/>
          <w:sz w:val="32"/>
          <w:szCs w:val="32"/>
          <w:lang w:val="en-US" w:eastAsia="zh-CN"/>
        </w:rPr>
        <w:t>分水</w:t>
      </w:r>
      <w:r>
        <w:rPr>
          <w:rFonts w:hint="eastAsia" w:ascii="仿宋_GB2312" w:hAnsi="仿宋" w:eastAsia="仿宋_GB2312"/>
          <w:color w:val="auto"/>
          <w:sz w:val="32"/>
          <w:szCs w:val="32"/>
          <w:lang w:eastAsia="zh-CN"/>
        </w:rPr>
        <w:t>镇</w:t>
      </w:r>
      <w:r>
        <w:rPr>
          <w:rFonts w:hint="eastAsia" w:ascii="仿宋_GB2312" w:hAnsi="仿宋" w:eastAsia="仿宋_GB2312"/>
          <w:color w:val="auto"/>
          <w:sz w:val="32"/>
          <w:szCs w:val="32"/>
          <w:lang w:val="en-US" w:eastAsia="zh-CN"/>
        </w:rPr>
        <w:t>东平街15号</w:t>
      </w:r>
      <w:r>
        <w:rPr>
          <w:rFonts w:hint="eastAsia" w:ascii="仿宋_GB2312" w:hAnsi="仿宋" w:eastAsia="仿宋_GB2312"/>
          <w:color w:val="auto"/>
          <w:sz w:val="32"/>
          <w:szCs w:val="32"/>
        </w:rPr>
        <w:t>，占地面积</w:t>
      </w:r>
      <w:r>
        <w:rPr>
          <w:rFonts w:hint="eastAsia" w:ascii="仿宋_GB2312" w:hAnsi="仿宋" w:eastAsia="仿宋_GB2312"/>
          <w:color w:val="auto"/>
          <w:sz w:val="32"/>
          <w:szCs w:val="32"/>
          <w:lang w:val="en-US" w:eastAsia="zh-CN"/>
        </w:rPr>
        <w:t>11063</w:t>
      </w:r>
      <w:r>
        <w:rPr>
          <w:rFonts w:hint="eastAsia" w:ascii="仿宋_GB2312" w:hAnsi="仿宋" w:eastAsia="仿宋_GB2312"/>
          <w:color w:val="auto"/>
          <w:sz w:val="32"/>
          <w:szCs w:val="32"/>
        </w:rPr>
        <w:t>平方米，</w:t>
      </w:r>
      <w:r>
        <w:rPr>
          <w:rFonts w:hint="eastAsia" w:ascii="仿宋_GB2312" w:hAnsi="仿宋" w:eastAsia="仿宋_GB2312"/>
          <w:color w:val="auto"/>
          <w:sz w:val="32"/>
          <w:szCs w:val="32"/>
          <w:lang w:eastAsia="zh-CN"/>
        </w:rPr>
        <w:t>我校</w:t>
      </w:r>
      <w:r>
        <w:rPr>
          <w:rFonts w:hint="eastAsia" w:ascii="仿宋_GB2312" w:hAnsi="仿宋" w:eastAsia="仿宋_GB2312"/>
          <w:color w:val="auto"/>
          <w:sz w:val="32"/>
          <w:szCs w:val="32"/>
        </w:rPr>
        <w:t>主要服务区域为</w:t>
      </w:r>
      <w:r>
        <w:rPr>
          <w:rFonts w:hint="eastAsia" w:ascii="仿宋_GB2312" w:hAnsi="仿宋" w:eastAsia="仿宋_GB2312"/>
          <w:color w:val="auto"/>
          <w:sz w:val="32"/>
          <w:szCs w:val="32"/>
          <w:lang w:eastAsia="zh-CN"/>
        </w:rPr>
        <w:t>四川省</w:t>
      </w:r>
      <w:r>
        <w:rPr>
          <w:rFonts w:hint="eastAsia" w:ascii="仿宋_GB2312" w:hAnsi="仿宋" w:eastAsia="仿宋_GB2312"/>
          <w:color w:val="auto"/>
          <w:sz w:val="32"/>
          <w:szCs w:val="32"/>
        </w:rPr>
        <w:t>遂宁市安居区</w:t>
      </w:r>
      <w:r>
        <w:rPr>
          <w:rFonts w:hint="eastAsia" w:ascii="仿宋_GB2312" w:hAnsi="仿宋" w:eastAsia="仿宋_GB2312"/>
          <w:color w:val="auto"/>
          <w:sz w:val="32"/>
          <w:szCs w:val="32"/>
          <w:lang w:val="en-US" w:eastAsia="zh-CN"/>
        </w:rPr>
        <w:t>分水</w:t>
      </w:r>
      <w:r>
        <w:rPr>
          <w:rFonts w:hint="eastAsia" w:ascii="仿宋_GB2312" w:hAnsi="仿宋" w:eastAsia="仿宋_GB2312"/>
          <w:color w:val="auto"/>
          <w:sz w:val="32"/>
          <w:szCs w:val="32"/>
          <w:lang w:eastAsia="zh-CN"/>
        </w:rPr>
        <w:t>镇</w:t>
      </w:r>
      <w:r>
        <w:rPr>
          <w:rFonts w:hint="eastAsia" w:ascii="仿宋_GB2312" w:hAnsi="仿宋" w:eastAsia="仿宋_GB2312"/>
          <w:color w:val="auto"/>
          <w:sz w:val="32"/>
          <w:szCs w:val="32"/>
          <w:lang w:val="en-US" w:eastAsia="zh-CN"/>
        </w:rPr>
        <w:t>分水</w:t>
      </w:r>
      <w:r>
        <w:rPr>
          <w:rFonts w:hint="eastAsia" w:ascii="仿宋_GB2312" w:hAnsi="仿宋" w:eastAsia="仿宋_GB2312"/>
          <w:color w:val="auto"/>
          <w:sz w:val="32"/>
          <w:szCs w:val="32"/>
          <w:lang w:eastAsia="zh-CN"/>
        </w:rPr>
        <w:t>片</w:t>
      </w:r>
      <w:r>
        <w:rPr>
          <w:rFonts w:ascii="仿宋_GB2312" w:hAnsi="仿宋" w:eastAsia="仿宋_GB2312"/>
          <w:color w:val="auto"/>
          <w:sz w:val="32"/>
          <w:szCs w:val="32"/>
        </w:rPr>
        <w:t>区</w:t>
      </w:r>
      <w:r>
        <w:rPr>
          <w:rFonts w:hint="eastAsia" w:ascii="仿宋_GB2312" w:hAnsi="仿宋" w:eastAsia="仿宋_GB2312"/>
          <w:color w:val="auto"/>
          <w:sz w:val="32"/>
          <w:szCs w:val="32"/>
        </w:rPr>
        <w:t>所辖行政区及附近区域</w:t>
      </w:r>
      <w:r>
        <w:rPr>
          <w:rFonts w:hint="eastAsia" w:ascii="仿宋_GB2312" w:hAnsi="仿宋" w:eastAsia="仿宋_GB2312"/>
          <w:color w:val="auto"/>
          <w:sz w:val="32"/>
          <w:szCs w:val="32"/>
          <w:lang w:eastAsia="zh-CN"/>
        </w:rPr>
        <w:t>。我校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w:t>
      </w:r>
      <w:r>
        <w:rPr>
          <w:rFonts w:hint="eastAsia" w:ascii="仿宋_GB2312" w:hAnsi="仿宋" w:eastAsia="仿宋_GB2312"/>
          <w:color w:val="auto"/>
          <w:sz w:val="32"/>
          <w:szCs w:val="32"/>
          <w:lang w:val="en-US" w:eastAsia="zh-CN"/>
        </w:rPr>
        <w:t>身</w:t>
      </w:r>
      <w:r>
        <w:rPr>
          <w:rFonts w:hint="eastAsia" w:ascii="仿宋_GB2312" w:hAnsi="仿宋" w:eastAsia="仿宋_GB2312"/>
          <w:color w:val="auto"/>
          <w:sz w:val="32"/>
          <w:szCs w:val="32"/>
          <w:lang w:eastAsia="zh-CN"/>
        </w:rPr>
        <w:t>安全。</w:t>
      </w:r>
    </w:p>
    <w:p>
      <w:pPr>
        <w:keepNext w:val="0"/>
        <w:keepLines w:val="0"/>
        <w:pageBreakBefore w:val="0"/>
        <w:widowControl w:val="0"/>
        <w:suppressAutoHyphen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sz w:val="32"/>
          <w:szCs w:val="32"/>
        </w:rPr>
      </w:pPr>
      <w:r>
        <w:rPr>
          <w:rFonts w:hint="eastAsia" w:ascii="黑体" w:hAnsi="黑体" w:eastAsia="黑体"/>
          <w:b w:val="0"/>
          <w:bCs/>
          <w:sz w:val="32"/>
          <w:szCs w:val="32"/>
        </w:rPr>
        <w:t>（二）202</w:t>
      </w:r>
      <w:r>
        <w:rPr>
          <w:rFonts w:hint="eastAsia" w:ascii="黑体" w:hAnsi="黑体" w:eastAsia="黑体"/>
          <w:b w:val="0"/>
          <w:bCs/>
          <w:sz w:val="32"/>
          <w:szCs w:val="32"/>
          <w:lang w:val="en-US" w:eastAsia="zh-CN"/>
        </w:rPr>
        <w:t>3</w:t>
      </w:r>
      <w:r>
        <w:rPr>
          <w:rFonts w:hint="eastAsia" w:ascii="黑体" w:hAnsi="黑体" w:eastAsia="黑体"/>
          <w:b w:val="0"/>
          <w:bCs/>
          <w:sz w:val="32"/>
          <w:szCs w:val="32"/>
        </w:rPr>
        <w:t>年重点工作完成情况。</w:t>
      </w: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年主要负责完成小学学历教育，六年级送生工作、一年级招生工作。本单位顺利完成年度工作任务。其他相关社会服务工作。</w:t>
      </w:r>
    </w:p>
    <w:p>
      <w:pPr>
        <w:keepNext w:val="0"/>
        <w:keepLines w:val="0"/>
        <w:pageBreakBefore w:val="0"/>
        <w:widowControl w:val="0"/>
        <w:numPr>
          <w:ilvl w:val="0"/>
          <w:numId w:val="1"/>
        </w:numPr>
        <w:suppressAutoHyphens/>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sz w:val="32"/>
          <w:szCs w:val="32"/>
        </w:rPr>
      </w:pPr>
      <w:r>
        <w:rPr>
          <w:rFonts w:hint="eastAsia" w:ascii="黑体" w:hAnsi="黑体" w:eastAsia="黑体"/>
          <w:b w:val="0"/>
          <w:sz w:val="32"/>
          <w:szCs w:val="32"/>
        </w:rPr>
        <w:t>机构设置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本单位为事业单位1个，隶属于遂宁市安居区教体局。本单位纳入202</w:t>
      </w:r>
      <w:r>
        <w:rPr>
          <w:rFonts w:hint="eastAsia" w:ascii="仿宋" w:hAnsi="仿宋" w:eastAsia="仿宋" w:cs="仿宋"/>
          <w:b w:val="0"/>
          <w:sz w:val="32"/>
          <w:szCs w:val="32"/>
          <w:lang w:val="en-US" w:eastAsia="zh-CN"/>
        </w:rPr>
        <w:t>3</w:t>
      </w:r>
      <w:r>
        <w:rPr>
          <w:rFonts w:hint="eastAsia" w:ascii="仿宋" w:hAnsi="仿宋" w:eastAsia="仿宋" w:cs="仿宋"/>
          <w:b w:val="0"/>
          <w:sz w:val="32"/>
          <w:szCs w:val="32"/>
        </w:rPr>
        <w:t>年度部门决算编制范围的二级预算单位机构设置</w:t>
      </w:r>
    </w:p>
    <w:bookmarkEnd w:id="16"/>
    <w:bookmarkEnd w:id="17"/>
    <w:p>
      <w:pPr>
        <w:keepNext w:val="0"/>
        <w:keepLines w:val="0"/>
        <w:pageBreakBefore w:val="0"/>
        <w:widowControl w:val="0"/>
        <w:numPr>
          <w:ilvl w:val="0"/>
          <w:numId w:val="0"/>
        </w:numPr>
        <w:suppressAutoHyphens/>
        <w:kinsoku/>
        <w:wordWrap/>
        <w:overflowPunct/>
        <w:topLinePunct w:val="0"/>
        <w:autoSpaceDE/>
        <w:autoSpaceDN/>
        <w:bidi w:val="0"/>
        <w:adjustRightInd/>
        <w:snapToGrid/>
        <w:ind w:leftChars="0" w:firstLine="1280" w:firstLineChars="400"/>
        <w:textAlignment w:val="auto"/>
        <w:rPr>
          <w:rFonts w:hint="eastAsia" w:ascii="仿宋" w:hAnsi="仿宋" w:eastAsia="仿宋" w:cs="仿宋"/>
          <w:b w:val="0"/>
          <w:sz w:val="32"/>
          <w:szCs w:val="32"/>
        </w:rPr>
      </w:pPr>
      <w:r>
        <w:rPr>
          <w:rFonts w:hint="eastAsia" w:ascii="仿宋" w:hAnsi="仿宋" w:eastAsia="仿宋" w:cs="仿宋"/>
          <w:b w:val="0"/>
          <w:sz w:val="32"/>
          <w:szCs w:val="32"/>
        </w:rPr>
        <w:br w:type="page"/>
      </w:r>
    </w:p>
    <w:p>
      <w:pPr>
        <w:pStyle w:val="3"/>
        <w:numPr>
          <w:ilvl w:val="0"/>
          <w:numId w:val="2"/>
        </w:numPr>
        <w:ind w:right="440"/>
        <w:jc w:val="center"/>
        <w:rPr>
          <w:rStyle w:val="30"/>
          <w:rFonts w:ascii="黑体" w:hAnsi="黑体" w:eastAsia="黑体"/>
          <w:b w:val="0"/>
          <w:bCs/>
        </w:rPr>
      </w:pPr>
      <w:bookmarkStart w:id="18" w:name="_Toc15377204"/>
      <w:bookmarkStart w:id="19" w:name="_Toc15396602"/>
      <w:r>
        <w:rPr>
          <w:rFonts w:hint="eastAsia" w:ascii="黑体" w:hAnsi="黑体" w:eastAsia="黑体"/>
          <w:b w:val="0"/>
        </w:rPr>
        <w:t>2023年度</w:t>
      </w:r>
      <w:r>
        <w:rPr>
          <w:rStyle w:val="29"/>
          <w:rFonts w:hint="eastAsia" w:ascii="黑体" w:hAnsi="黑体" w:eastAsia="黑体"/>
          <w:b w:val="0"/>
          <w:bCs/>
        </w:rPr>
        <w:t>单位决算情况说明</w:t>
      </w:r>
      <w:bookmarkEnd w:id="18"/>
      <w:bookmarkEnd w:id="19"/>
      <w:bookmarkStart w:id="20" w:name="_Toc15396603"/>
      <w:bookmarkStart w:id="21" w:name="_Toc15377205"/>
    </w:p>
    <w:p>
      <w:pPr>
        <w:pStyle w:val="3"/>
        <w:numPr>
          <w:ilvl w:val="0"/>
          <w:numId w:val="3"/>
        </w:numPr>
        <w:ind w:right="440" w:rightChars="0" w:firstLine="321" w:firstLineChars="100"/>
        <w:jc w:val="both"/>
        <w:rPr>
          <w:rStyle w:val="30"/>
          <w:rFonts w:hint="eastAsia" w:ascii="黑体" w:hAnsi="黑体" w:eastAsia="黑体"/>
          <w:b w:val="0"/>
          <w:bCs/>
        </w:rPr>
      </w:pPr>
      <w:r>
        <w:rPr>
          <w:rFonts w:hint="eastAsia" w:ascii="黑体" w:hAnsi="黑体" w:eastAsia="黑体"/>
          <w:sz w:val="32"/>
          <w:szCs w:val="32"/>
        </w:rPr>
        <w:t>收</w:t>
      </w:r>
      <w:r>
        <w:rPr>
          <w:rStyle w:val="30"/>
          <w:rFonts w:hint="eastAsia" w:ascii="黑体" w:hAnsi="黑体" w:eastAsia="黑体"/>
          <w:b w:val="0"/>
          <w:bCs/>
        </w:rPr>
        <w:t>入支出决算总体情况说明</w:t>
      </w:r>
      <w:bookmarkEnd w:id="20"/>
      <w:bookmarkEnd w:id="21"/>
    </w:p>
    <w:p>
      <w:pPr>
        <w:pStyle w:val="3"/>
        <w:numPr>
          <w:ilvl w:val="0"/>
          <w:numId w:val="3"/>
        </w:numPr>
        <w:ind w:right="440" w:rightChars="0" w:firstLine="321" w:firstLineChars="100"/>
        <w:jc w:val="both"/>
        <w:rPr>
          <w:rFonts w:hint="eastAsia" w:ascii="仿宋" w:hAnsi="仿宋" w:eastAsia="仿宋"/>
          <w:sz w:val="32"/>
          <w:szCs w:val="32"/>
        </w:rPr>
      </w:pPr>
      <w:r>
        <w:rPr>
          <w:rFonts w:hint="eastAsia" w:ascii="仿宋" w:hAnsi="仿宋" w:eastAsia="仿宋"/>
          <w:sz w:val="32"/>
          <w:szCs w:val="32"/>
        </w:rPr>
        <w:t>2023年度收入总计1090.65万元。与2022年相比，收入减少17.56万元，</w:t>
      </w:r>
      <w:r>
        <w:rPr>
          <w:rFonts w:hint="eastAsia" w:ascii="仿宋" w:hAnsi="仿宋" w:eastAsia="仿宋"/>
          <w:sz w:val="32"/>
          <w:szCs w:val="32"/>
          <w:lang w:val="en-US" w:eastAsia="zh-CN"/>
        </w:rPr>
        <w:t>减少</w:t>
      </w:r>
      <w:r>
        <w:rPr>
          <w:rFonts w:hint="eastAsia" w:ascii="仿宋" w:hAnsi="仿宋" w:eastAsia="仿宋"/>
          <w:sz w:val="32"/>
          <w:szCs w:val="32"/>
        </w:rPr>
        <w:t>1.58%。2023年度支出总计1090.65万元。与2022年相比，支出减少17.56万元，</w:t>
      </w:r>
      <w:r>
        <w:rPr>
          <w:rFonts w:hint="eastAsia" w:ascii="仿宋" w:hAnsi="仿宋" w:eastAsia="仿宋"/>
          <w:sz w:val="32"/>
          <w:szCs w:val="32"/>
          <w:lang w:val="en-US" w:eastAsia="zh-CN"/>
        </w:rPr>
        <w:t>减少</w:t>
      </w:r>
      <w:r>
        <w:rPr>
          <w:rFonts w:hint="eastAsia" w:ascii="仿宋" w:hAnsi="仿宋" w:eastAsia="仿宋"/>
          <w:sz w:val="32"/>
          <w:szCs w:val="32"/>
        </w:rPr>
        <w:t>1.58%。主要变动原因是本单位2023年度教职工</w:t>
      </w:r>
      <w:r>
        <w:rPr>
          <w:rFonts w:hint="eastAsia" w:ascii="仿宋" w:hAnsi="仿宋" w:eastAsia="仿宋"/>
          <w:sz w:val="32"/>
          <w:szCs w:val="32"/>
          <w:lang w:val="en-US" w:eastAsia="zh-CN"/>
        </w:rPr>
        <w:t>人数</w:t>
      </w:r>
      <w:r>
        <w:rPr>
          <w:rFonts w:hint="eastAsia" w:ascii="仿宋" w:hAnsi="仿宋" w:eastAsia="仿宋"/>
          <w:sz w:val="32"/>
          <w:szCs w:val="32"/>
        </w:rPr>
        <w:t>较上年</w:t>
      </w:r>
      <w:r>
        <w:rPr>
          <w:rFonts w:hint="eastAsia" w:ascii="仿宋" w:hAnsi="仿宋" w:eastAsia="仿宋"/>
          <w:sz w:val="32"/>
          <w:szCs w:val="32"/>
          <w:lang w:val="en-US" w:eastAsia="zh-CN"/>
        </w:rPr>
        <w:t>减</w:t>
      </w:r>
      <w:r>
        <w:rPr>
          <w:rFonts w:hint="eastAsia" w:ascii="仿宋" w:hAnsi="仿宋" w:eastAsia="仿宋"/>
          <w:sz w:val="32"/>
          <w:szCs w:val="32"/>
        </w:rPr>
        <w:t>少。</w:t>
      </w:r>
    </w:p>
    <w:p>
      <w:pPr>
        <w:pStyle w:val="20"/>
        <w:rPr>
          <w:rFonts w:hint="eastAsia" w:ascii="仿宋" w:hAnsi="仿宋" w:eastAsia="仿宋"/>
          <w:sz w:val="32"/>
          <w:szCs w:val="32"/>
        </w:rPr>
      </w:pPr>
      <w:r>
        <w:rPr>
          <w:rFonts w:hint="eastAsia" w:ascii="黑体" w:hAnsi="黑体" w:eastAsia="黑体"/>
          <w:color w:val="000000"/>
          <w:kern w:val="2"/>
          <w:sz w:val="32"/>
          <w:szCs w:val="24"/>
          <w:lang w:val="zh-CN"/>
        </w:rPr>
        <w:object>
          <v:shape id="_x0000_i1025" o:spt="75" type="#_x0000_t75" style="height:230.65pt;width:419.15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5" r:id="rId8">
            <o:LockedField>false</o:LockedField>
          </o:OLEObject>
        </w:objec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8"/>
        <w:numPr>
          <w:ilvl w:val="0"/>
          <w:numId w:val="0"/>
        </w:numPr>
        <w:spacing w:line="600" w:lineRule="exact"/>
        <w:outlineLvl w:val="1"/>
        <w:rPr>
          <w:rStyle w:val="30"/>
          <w:rFonts w:ascii="黑体" w:hAnsi="黑体" w:eastAsia="黑体"/>
          <w:b w:val="0"/>
        </w:rPr>
      </w:pPr>
      <w:bookmarkStart w:id="22" w:name="_Toc15377206"/>
      <w:bookmarkStart w:id="23" w:name="_Toc15396604"/>
      <w:r>
        <w:rPr>
          <w:rFonts w:hint="eastAsia" w:ascii="黑体" w:hAnsi="黑体" w:eastAsia="黑体"/>
          <w:sz w:val="32"/>
          <w:szCs w:val="32"/>
          <w:lang w:val="en-US"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22"/>
      <w:bookmarkEnd w:id="23"/>
    </w:p>
    <w:p>
      <w:pPr>
        <w:spacing w:line="600" w:lineRule="exact"/>
        <w:ind w:firstLine="640" w:firstLineChars="200"/>
        <w:outlineLvl w:val="1"/>
        <w:rPr>
          <w:rFonts w:hint="eastAsia" w:ascii="仿宋" w:hAnsi="仿宋" w:eastAsia="仿宋"/>
          <w:b/>
          <w:sz w:val="32"/>
          <w:szCs w:val="32"/>
          <w:lang w:eastAsia="zh-CN"/>
        </w:rPr>
      </w:pPr>
      <w:r>
        <w:rPr>
          <w:rFonts w:ascii="仿宋" w:hAnsi="仿宋" w:eastAsia="仿宋"/>
          <w:color w:val="000000"/>
          <w:sz w:val="32"/>
          <w:szCs w:val="32"/>
        </w:rPr>
        <w:pict>
          <v:shape id="Object 10" o:spid="_x0000_s1034" o:spt="75" type="#_x0000_t75" style="position:absolute;left:0pt;margin-left:28.5pt;margin-top:77pt;height:195.9pt;width:392.15pt;mso-wrap-distance-bottom:0pt;mso-wrap-distance-left:9pt;mso-wrap-distance-right:9pt;mso-wrap-distance-top:0pt;z-index:251661312;mso-width-relative:page;mso-height-relative:page;" o:ole="t" filled="f" o:preferrelative="t" stroked="f" coordsize="21600,21600">
            <v:path/>
            <v:fill on="f" focussize="0,0"/>
            <v:stroke on="f"/>
            <v:imagedata r:id="rId11" o:title=""/>
            <o:lock v:ext="edit" aspectratio="t"/>
            <w10:wrap type="square"/>
          </v:shape>
          <o:OLEObject Type="Embed" ProgID="Excel.Chart.8" ShapeID="Object 10" DrawAspect="Content" ObjectID="_1468075726" r:id="rId10">
            <o:LockedField>false</o:LockedField>
          </o:OLEObject>
        </w:pict>
      </w:r>
      <w:r>
        <w:rPr>
          <w:rFonts w:hint="eastAsia" w:ascii="仿宋" w:hAnsi="仿宋" w:eastAsia="仿宋"/>
          <w:sz w:val="32"/>
          <w:szCs w:val="32"/>
        </w:rPr>
        <w:t>2023年度本年收入合计</w:t>
      </w:r>
      <w:r>
        <w:rPr>
          <w:rFonts w:ascii="仿宋" w:hAnsi="仿宋" w:eastAsia="仿宋"/>
          <w:b/>
          <w:sz w:val="32"/>
          <w:szCs w:val="32"/>
        </w:rPr>
        <w:t>1090.65</w:t>
      </w:r>
      <w:r>
        <w:rPr>
          <w:rFonts w:hint="eastAsia" w:ascii="仿宋" w:hAnsi="仿宋" w:eastAsia="仿宋"/>
          <w:sz w:val="32"/>
          <w:szCs w:val="32"/>
        </w:rPr>
        <w:t>万元，其中：一般公共预算财政拨款收入</w:t>
      </w:r>
      <w:r>
        <w:rPr>
          <w:rFonts w:ascii="仿宋" w:hAnsi="仿宋" w:eastAsia="仿宋"/>
          <w:b/>
          <w:sz w:val="32"/>
          <w:szCs w:val="32"/>
        </w:rPr>
        <w:t>1090.65</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b/>
          <w:sz w:val="32"/>
          <w:szCs w:val="32"/>
          <w:lang w:eastAsia="zh-CN"/>
        </w:rPr>
        <w:t>。</w:t>
      </w:r>
    </w:p>
    <w:p>
      <w:pPr>
        <w:pStyle w:val="20"/>
        <w:rPr>
          <w:rFonts w:hint="eastAsia"/>
          <w:lang w:eastAsia="zh-CN"/>
        </w:rPr>
      </w:pPr>
    </w:p>
    <w:p>
      <w:pPr>
        <w:pStyle w:val="20"/>
        <w:rPr>
          <w:rFonts w:hint="eastAsia" w:ascii="仿宋" w:hAnsi="仿宋" w:eastAsia="仿宋"/>
          <w:b/>
          <w:sz w:val="32"/>
          <w:szCs w:val="32"/>
          <w:lang w:eastAsia="zh-CN"/>
        </w:rPr>
      </w:pPr>
    </w:p>
    <w:p>
      <w:pPr>
        <w:rPr>
          <w:rFonts w:hint="eastAsia" w:ascii="仿宋" w:hAnsi="仿宋" w:eastAsia="仿宋"/>
          <w:b/>
          <w:sz w:val="32"/>
          <w:szCs w:val="32"/>
          <w:lang w:eastAsia="zh-CN"/>
        </w:rPr>
      </w:pPr>
    </w:p>
    <w:p>
      <w:pPr>
        <w:pStyle w:val="20"/>
        <w:ind w:firstLine="1285" w:firstLineChars="400"/>
        <w:rPr>
          <w:rFonts w:hint="eastAsia" w:ascii="仿宋" w:hAnsi="仿宋" w:eastAsia="仿宋"/>
          <w:b/>
          <w:sz w:val="32"/>
          <w:szCs w:val="32"/>
          <w:lang w:eastAsia="zh-CN"/>
        </w:rPr>
      </w:pPr>
      <w:r>
        <w:rPr>
          <w:rFonts w:hint="eastAsia" w:ascii="仿宋" w:hAnsi="仿宋" w:eastAsia="仿宋"/>
          <w:b/>
          <w:sz w:val="32"/>
          <w:szCs w:val="32"/>
          <w:lang w:eastAsia="zh-CN"/>
        </w:rPr>
        <w:t>图2：收入决算结构图）（饼状图）</w:t>
      </w:r>
    </w:p>
    <w:p>
      <w:pPr>
        <w:pStyle w:val="28"/>
        <w:numPr>
          <w:ilvl w:val="0"/>
          <w:numId w:val="0"/>
        </w:numPr>
        <w:spacing w:line="600" w:lineRule="exact"/>
        <w:outlineLvl w:val="1"/>
        <w:rPr>
          <w:rStyle w:val="30"/>
          <w:rFonts w:ascii="黑体" w:hAnsi="黑体" w:eastAsia="黑体"/>
          <w:b w:val="0"/>
        </w:rPr>
      </w:pPr>
      <w:bookmarkStart w:id="24" w:name="_Toc15396605"/>
      <w:bookmarkStart w:id="25" w:name="_Toc15377207"/>
      <w:r>
        <w:rPr>
          <w:rFonts w:hint="eastAsia" w:ascii="黑体" w:hAnsi="黑体" w:eastAsia="黑体"/>
          <w:sz w:val="32"/>
          <w:szCs w:val="32"/>
          <w:lang w:val="en-US"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24"/>
      <w:bookmarkEnd w:id="25"/>
    </w:p>
    <w:p>
      <w:pPr>
        <w:spacing w:line="600" w:lineRule="exact"/>
        <w:ind w:firstLine="640" w:firstLineChars="200"/>
        <w:outlineLvl w:val="1"/>
        <w:rPr>
          <w:rFonts w:hint="eastAsia" w:ascii="仿宋" w:hAnsi="仿宋" w:eastAsia="仿宋"/>
          <w:sz w:val="32"/>
          <w:szCs w:val="32"/>
          <w:lang w:eastAsia="zh-CN"/>
        </w:rPr>
      </w:pPr>
      <w:bookmarkStart w:id="26" w:name="OLE_LINK12"/>
      <w:r>
        <w:rPr>
          <w:rFonts w:hint="eastAsia" w:ascii="仿宋" w:hAnsi="仿宋" w:eastAsia="仿宋"/>
          <w:sz w:val="32"/>
          <w:szCs w:val="32"/>
        </w:rPr>
        <w:t>2023年度本年支出合计</w:t>
      </w:r>
      <w:r>
        <w:rPr>
          <w:rFonts w:ascii="仿宋" w:hAnsi="仿宋" w:eastAsia="仿宋"/>
          <w:b/>
          <w:sz w:val="32"/>
          <w:szCs w:val="32"/>
        </w:rPr>
        <w:t>1090.65</w:t>
      </w:r>
      <w:r>
        <w:rPr>
          <w:rFonts w:hint="eastAsia" w:ascii="仿宋" w:hAnsi="仿宋" w:eastAsia="仿宋"/>
          <w:sz w:val="32"/>
          <w:szCs w:val="32"/>
        </w:rPr>
        <w:t>万元，其中：基本支出</w:t>
      </w:r>
      <w:r>
        <w:rPr>
          <w:rFonts w:ascii="仿宋" w:hAnsi="仿宋" w:eastAsia="仿宋"/>
          <w:b/>
          <w:sz w:val="32"/>
          <w:szCs w:val="32"/>
        </w:rPr>
        <w:t>996.22</w:t>
      </w:r>
      <w:r>
        <w:rPr>
          <w:rFonts w:hint="eastAsia" w:ascii="仿宋" w:hAnsi="仿宋" w:eastAsia="仿宋"/>
          <w:sz w:val="32"/>
          <w:szCs w:val="32"/>
        </w:rPr>
        <w:t>万元，占</w:t>
      </w:r>
      <w:r>
        <w:rPr>
          <w:rFonts w:ascii="仿宋" w:hAnsi="仿宋" w:eastAsia="仿宋"/>
          <w:b/>
          <w:sz w:val="32"/>
          <w:szCs w:val="32"/>
        </w:rPr>
        <w:t>91.34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94.43</w:t>
      </w:r>
      <w:r>
        <w:rPr>
          <w:rFonts w:hint="eastAsia" w:ascii="仿宋" w:hAnsi="仿宋" w:eastAsia="仿宋"/>
          <w:sz w:val="32"/>
          <w:szCs w:val="32"/>
        </w:rPr>
        <w:t>万元，占</w:t>
      </w:r>
      <w:r>
        <w:rPr>
          <w:rFonts w:ascii="仿宋" w:hAnsi="仿宋" w:eastAsia="仿宋"/>
          <w:b/>
          <w:sz w:val="32"/>
          <w:szCs w:val="32"/>
        </w:rPr>
        <w:t>8.65</w:t>
      </w:r>
      <w:r>
        <w:rPr>
          <w:rFonts w:ascii="仿宋" w:hAnsi="仿宋" w:eastAsia="仿宋"/>
          <w:sz w:val="32"/>
          <w:szCs w:val="32"/>
        </w:rPr>
        <w:t>%</w:t>
      </w:r>
      <w:r>
        <w:rPr>
          <w:rFonts w:hint="eastAsia" w:ascii="仿宋" w:hAnsi="仿宋" w:eastAsia="仿宋"/>
          <w:sz w:val="32"/>
          <w:szCs w:val="32"/>
          <w:lang w:eastAsia="zh-CN"/>
        </w:rPr>
        <w:t>。</w:t>
      </w:r>
    </w:p>
    <w:bookmarkEnd w:id="26"/>
    <w:p>
      <w:pPr>
        <w:pStyle w:val="20"/>
        <w:rPr>
          <w:rFonts w:hint="eastAsia"/>
        </w:rPr>
      </w:pPr>
      <w:r>
        <w:rPr>
          <w:rFonts w:hint="eastAsia" w:ascii="仿宋" w:hAnsi="仿宋" w:eastAsia="仿宋"/>
          <w:color w:val="000000"/>
          <w:sz w:val="32"/>
          <w:szCs w:val="32"/>
          <w:lang w:eastAsia="zh-CN"/>
        </w:rPr>
        <w:pict>
          <v:shape id="Object 11" o:spid="_x0000_s1037" o:spt="75" type="#_x0000_t75" style="position:absolute;left:0pt;margin-left:34.8pt;margin-top:6.65pt;height:212.45pt;width:337.35pt;mso-wrap-distance-bottom:0pt;mso-wrap-distance-left:9pt;mso-wrap-distance-right:9pt;mso-wrap-distance-top:0pt;z-index:251662336;mso-width-relative:page;mso-height-relative:page;" o:ole="t" filled="f" o:preferrelative="t" stroked="f" coordsize="21600,21600">
            <v:path/>
            <v:fill on="f" focussize="0,0"/>
            <v:stroke on="f"/>
            <v:imagedata r:id="rId13" o:title=""/>
            <o:lock v:ext="edit" aspectratio="t"/>
            <w10:wrap type="square"/>
          </v:shape>
          <o:OLEObject Type="Embed" ProgID="Excel.Chart.8" ShapeID="Object 11" DrawAspect="Content" ObjectID="_1468075727" r:id="rId12">
            <o:LockedField>false</o:LockedField>
          </o:OLEObject>
        </w:pict>
      </w:r>
    </w:p>
    <w:p>
      <w:pPr>
        <w:pStyle w:val="20"/>
        <w:rPr>
          <w:rFonts w:hint="eastAsia" w:ascii="仿宋" w:hAnsi="仿宋" w:eastAsia="仿宋"/>
          <w:b/>
          <w:sz w:val="32"/>
          <w:szCs w:val="32"/>
        </w:rPr>
      </w:pPr>
    </w:p>
    <w:p>
      <w:pPr>
        <w:rPr>
          <w:rFonts w:hint="eastAsia" w:ascii="仿宋" w:hAnsi="仿宋" w:eastAsia="仿宋"/>
          <w:b/>
          <w:sz w:val="32"/>
          <w:szCs w:val="32"/>
        </w:rPr>
      </w:pPr>
    </w:p>
    <w:p>
      <w:pPr>
        <w:pStyle w:val="20"/>
        <w:rPr>
          <w:rFonts w:hint="eastAsia" w:ascii="仿宋" w:hAnsi="仿宋" w:eastAsia="仿宋"/>
          <w:b/>
          <w:sz w:val="32"/>
          <w:szCs w:val="32"/>
        </w:rPr>
      </w:pPr>
    </w:p>
    <w:p>
      <w:pPr>
        <w:rPr>
          <w:rFonts w:hint="eastAsia" w:ascii="仿宋" w:hAnsi="仿宋" w:eastAsia="仿宋"/>
          <w:b/>
          <w:sz w:val="32"/>
          <w:szCs w:val="32"/>
        </w:rPr>
      </w:pPr>
    </w:p>
    <w:p>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（图3：支出决算结构图）（饼状图）</w:t>
      </w:r>
    </w:p>
    <w:p>
      <w:pPr>
        <w:spacing w:line="600" w:lineRule="exact"/>
        <w:outlineLvl w:val="1"/>
        <w:rPr>
          <w:rStyle w:val="30"/>
          <w:rFonts w:ascii="黑体" w:hAnsi="黑体" w:eastAsia="黑体"/>
          <w:b w:val="0"/>
        </w:rPr>
      </w:pPr>
      <w:bookmarkStart w:id="27" w:name="_Toc15396606"/>
      <w:bookmarkStart w:id="28"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7"/>
      <w:bookmarkEnd w:id="28"/>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2023年度财政拨款收入总计</w:t>
      </w:r>
      <w:bookmarkStart w:id="29" w:name="OLE_LINK3"/>
      <w:r>
        <w:rPr>
          <w:rFonts w:hint="eastAsia" w:ascii="仿宋" w:hAnsi="仿宋" w:eastAsia="仿宋"/>
          <w:sz w:val="32"/>
          <w:szCs w:val="32"/>
        </w:rPr>
        <w:t>1090.65</w:t>
      </w:r>
      <w:bookmarkEnd w:id="29"/>
      <w:r>
        <w:rPr>
          <w:rFonts w:hint="eastAsia" w:ascii="仿宋" w:hAnsi="仿宋" w:eastAsia="仿宋"/>
          <w:sz w:val="32"/>
          <w:szCs w:val="32"/>
        </w:rPr>
        <w:t>万元。与2022年相比，收入减少17.56万元，</w:t>
      </w:r>
      <w:r>
        <w:rPr>
          <w:rFonts w:hint="eastAsia" w:ascii="仿宋" w:hAnsi="仿宋" w:eastAsia="仿宋"/>
          <w:sz w:val="32"/>
          <w:szCs w:val="32"/>
          <w:lang w:val="en-US" w:eastAsia="zh-CN"/>
        </w:rPr>
        <w:t>减少</w:t>
      </w:r>
      <w:r>
        <w:rPr>
          <w:rFonts w:hint="eastAsia" w:ascii="仿宋" w:hAnsi="仿宋" w:eastAsia="仿宋"/>
          <w:sz w:val="32"/>
          <w:szCs w:val="32"/>
        </w:rPr>
        <w:t>1.58%。202</w:t>
      </w:r>
      <w:r>
        <w:rPr>
          <w:rFonts w:hint="eastAsia" w:ascii="仿宋" w:hAnsi="仿宋" w:eastAsia="仿宋"/>
          <w:sz w:val="32"/>
          <w:szCs w:val="32"/>
          <w:lang w:val="en-US" w:eastAsia="zh-CN"/>
        </w:rPr>
        <w:t>3</w:t>
      </w:r>
      <w:r>
        <w:rPr>
          <w:rFonts w:hint="eastAsia" w:ascii="仿宋" w:hAnsi="仿宋" w:eastAsia="仿宋"/>
          <w:sz w:val="32"/>
          <w:szCs w:val="32"/>
        </w:rPr>
        <w:t>年度财政拨款支出总计1090.65万元。与202</w:t>
      </w:r>
      <w:r>
        <w:rPr>
          <w:rFonts w:hint="eastAsia" w:ascii="仿宋" w:hAnsi="仿宋" w:eastAsia="仿宋"/>
          <w:sz w:val="32"/>
          <w:szCs w:val="32"/>
          <w:lang w:val="en-US" w:eastAsia="zh-CN"/>
        </w:rPr>
        <w:t>2</w:t>
      </w:r>
      <w:r>
        <w:rPr>
          <w:rFonts w:hint="eastAsia" w:ascii="仿宋" w:hAnsi="仿宋" w:eastAsia="仿宋"/>
          <w:sz w:val="32"/>
          <w:szCs w:val="32"/>
        </w:rPr>
        <w:t>年相比，支出减少17.56万元，</w:t>
      </w:r>
      <w:r>
        <w:rPr>
          <w:rFonts w:hint="eastAsia" w:ascii="仿宋" w:hAnsi="仿宋" w:eastAsia="仿宋"/>
          <w:sz w:val="32"/>
          <w:szCs w:val="32"/>
          <w:lang w:val="en-US" w:eastAsia="zh-CN"/>
        </w:rPr>
        <w:t>减少</w:t>
      </w:r>
      <w:r>
        <w:rPr>
          <w:rFonts w:hint="eastAsia" w:ascii="仿宋" w:hAnsi="仿宋" w:eastAsia="仿宋"/>
          <w:sz w:val="32"/>
          <w:szCs w:val="32"/>
        </w:rPr>
        <w:t>1.58%。主要变动原因是本单位2023年度教职工</w:t>
      </w:r>
      <w:bookmarkStart w:id="30" w:name="OLE_LINK4"/>
      <w:r>
        <w:rPr>
          <w:rFonts w:hint="eastAsia" w:ascii="仿宋" w:hAnsi="仿宋" w:eastAsia="仿宋"/>
          <w:sz w:val="32"/>
          <w:szCs w:val="32"/>
          <w:lang w:val="en-US" w:eastAsia="zh-CN"/>
        </w:rPr>
        <w:t>人数</w:t>
      </w:r>
      <w:r>
        <w:rPr>
          <w:rFonts w:hint="eastAsia" w:ascii="仿宋" w:hAnsi="仿宋" w:eastAsia="仿宋"/>
          <w:sz w:val="32"/>
          <w:szCs w:val="32"/>
        </w:rPr>
        <w:t>较上年</w:t>
      </w:r>
      <w:r>
        <w:rPr>
          <w:rFonts w:hint="eastAsia" w:ascii="仿宋" w:hAnsi="仿宋" w:eastAsia="仿宋"/>
          <w:sz w:val="32"/>
          <w:szCs w:val="32"/>
          <w:lang w:val="en-US" w:eastAsia="zh-CN"/>
        </w:rPr>
        <w:t>减</w:t>
      </w:r>
      <w:r>
        <w:rPr>
          <w:rFonts w:hint="eastAsia" w:ascii="仿宋" w:hAnsi="仿宋" w:eastAsia="仿宋"/>
          <w:sz w:val="32"/>
          <w:szCs w:val="32"/>
        </w:rPr>
        <w:t>少</w:t>
      </w:r>
      <w:bookmarkEnd w:id="30"/>
      <w:r>
        <w:rPr>
          <w:rFonts w:hint="eastAsia" w:ascii="仿宋" w:hAnsi="仿宋" w:eastAsia="仿宋"/>
          <w:sz w:val="32"/>
          <w:szCs w:val="32"/>
        </w:rPr>
        <w:t>。</w:t>
      </w:r>
    </w:p>
    <w:p>
      <w:pPr>
        <w:pStyle w:val="20"/>
        <w:rPr>
          <w:rFonts w:hint="eastAsia" w:ascii="仿宋" w:hAnsi="仿宋" w:eastAsia="仿宋"/>
          <w:color w:val="auto"/>
          <w:kern w:val="2"/>
          <w:sz w:val="32"/>
          <w:szCs w:val="24"/>
          <w:lang w:val="en-US" w:eastAsia="zh-CN"/>
        </w:rPr>
      </w:pPr>
      <w:r>
        <w:rPr>
          <w:rFonts w:hint="eastAsia" w:ascii="仿宋" w:hAnsi="仿宋" w:eastAsia="仿宋"/>
          <w:color w:val="auto"/>
          <w:kern w:val="2"/>
          <w:sz w:val="32"/>
          <w:szCs w:val="24"/>
          <w:lang w:val="en-US" w:eastAsia="zh-CN"/>
        </w:rPr>
        <w:object>
          <v:shape id="_x0000_i1026" o:spt="75" type="#_x0000_t75" style="height:242.4pt;width:347.4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8" r:id="rId14">
            <o:LockedField>false</o:LockedField>
          </o:OLEObject>
        </w:object>
      </w:r>
    </w:p>
    <w:p>
      <w:pPr>
        <w:spacing w:line="600" w:lineRule="exact"/>
        <w:rPr>
          <w:rFonts w:hint="eastAsia" w:ascii="仿宋" w:hAnsi="仿宋" w:eastAsia="仿宋"/>
          <w:sz w:val="32"/>
          <w:szCs w:val="32"/>
        </w:rPr>
      </w:pPr>
      <w:bookmarkStart w:id="31" w:name="_Toc15377209"/>
      <w:bookmarkStart w:id="32" w:name="_Toc15396607"/>
      <w:r>
        <w:rPr>
          <w:rFonts w:hint="eastAsia" w:ascii="仿宋" w:hAnsi="仿宋" w:eastAsia="仿宋"/>
          <w:sz w:val="32"/>
          <w:szCs w:val="32"/>
        </w:rPr>
        <w:t>（图4：财政拨款收、支决算总计变动情况）（柱状图）</w:t>
      </w:r>
    </w:p>
    <w:p>
      <w:pPr>
        <w:spacing w:line="600" w:lineRule="exact"/>
        <w:outlineLvl w:val="1"/>
        <w:rPr>
          <w:rStyle w:val="30"/>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2023年一般公共预算财政拨款支出1090.65万元，占本年支出合计的100%。与2022年相比，一般公共预算财政拨款支出增加减少17.56万元，增长-1.58%。主要变动原因是本单位2023年度教职工较上年较少较多。</w:t>
      </w:r>
    </w:p>
    <w:p>
      <w:pPr>
        <w:rPr>
          <w:rFonts w:ascii="仿宋" w:hAnsi="仿宋" w:eastAsia="仿宋"/>
          <w:sz w:val="32"/>
          <w:szCs w:val="32"/>
        </w:rPr>
      </w:pPr>
      <w:bookmarkStart w:id="34" w:name="OLE_LINK2"/>
      <w:r>
        <w:rPr>
          <w:rFonts w:hint="eastAsia" w:ascii="仿宋" w:hAnsi="仿宋" w:eastAsia="仿宋"/>
          <w:color w:val="auto"/>
          <w:kern w:val="2"/>
          <w:sz w:val="32"/>
          <w:szCs w:val="24"/>
          <w:lang w:val="en-US" w:eastAsia="zh-CN"/>
        </w:rPr>
        <w:object>
          <v:shape id="_x0000_i1027" o:spt="75" type="#_x0000_t75" style="height:221.8pt;width:422.4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9" r:id="rId16">
            <o:LockedField>false</o:LockedField>
          </o:OLEObject>
        </w:object>
      </w:r>
      <w:bookmarkEnd w:id="34"/>
      <w:bookmarkStart w:id="35" w:name="_Toc15377211"/>
      <w:r>
        <w:rPr>
          <w:rFonts w:hint="eastAsia" w:ascii="仿宋" w:hAnsi="仿宋" w:eastAsia="仿宋"/>
          <w:sz w:val="32"/>
          <w:szCs w:val="32"/>
        </w:rPr>
        <w:t>（图5：一般公共预算财政拨款支出决算变动情况）（柱状图）</w:t>
      </w:r>
    </w:p>
    <w:p>
      <w:pPr>
        <w:pStyle w:val="20"/>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sz w:val="32"/>
          <w:szCs w:val="32"/>
        </w:rPr>
      </w:pPr>
      <w:bookmarkStart w:id="36" w:name="OLE_LINK13"/>
      <w:r>
        <w:rPr>
          <w:rFonts w:hint="eastAsia" w:ascii="仿宋" w:hAnsi="仿宋" w:eastAsia="仿宋"/>
          <w:sz w:val="32"/>
          <w:szCs w:val="32"/>
        </w:rPr>
        <w:t>2023年一般公共预算财政拨款支出</w:t>
      </w:r>
      <w:bookmarkStart w:id="37" w:name="OLE_LINK11"/>
      <w:r>
        <w:rPr>
          <w:rFonts w:hint="eastAsia" w:ascii="仿宋" w:hAnsi="仿宋" w:eastAsia="仿宋"/>
          <w:sz w:val="32"/>
          <w:szCs w:val="32"/>
        </w:rPr>
        <w:t>1090.65</w:t>
      </w:r>
      <w:bookmarkEnd w:id="37"/>
      <w:r>
        <w:rPr>
          <w:rFonts w:hint="eastAsia" w:ascii="仿宋" w:hAnsi="仿宋" w:eastAsia="仿宋"/>
          <w:sz w:val="32"/>
          <w:szCs w:val="32"/>
        </w:rPr>
        <w:t>万元，主要用于以下方面: 教育支出854.02万元，占78.30%；社会保障和就业支出131.83万元，占12.08%；卫生健康支出34.52万元，占3.17%；住房保障支出70.28万元，占6.44%；</w:t>
      </w:r>
    </w:p>
    <w:bookmarkEnd w:id="36"/>
    <w:p>
      <w:pPr>
        <w:pStyle w:val="20"/>
      </w:pPr>
      <w:r>
        <w:rPr>
          <w:rFonts w:hint="eastAsia" w:ascii="仿宋" w:hAnsi="仿宋" w:eastAsia="仿宋"/>
          <w:color w:val="000000"/>
          <w:sz w:val="32"/>
          <w:szCs w:val="32"/>
          <w:lang w:eastAsia="zh-CN"/>
        </w:rPr>
        <w:pict>
          <v:shape id="Object 15" o:spid="_x0000_s1033" o:spt="75" type="#_x0000_t75" style="position:absolute;left:0pt;margin-left:17.55pt;margin-top:14.5pt;height:255.15pt;width:344.85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Object 15" DrawAspect="Content" ObjectID="_1468075730" r:id="rId18">
            <o:LockedField>false</o:LockedField>
          </o:OLEObject>
        </w:pic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hint="eastAsia" w:ascii="仿宋" w:hAnsi="仿宋" w:eastAsia="仿宋"/>
          <w:b/>
          <w:sz w:val="32"/>
          <w:szCs w:val="32"/>
        </w:rPr>
      </w:pPr>
      <w:bookmarkStart w:id="38" w:name="_Toc15377212"/>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8"/>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2023年一般公共预算支出决算数为1090.65万元，完成预算100%。其中：</w:t>
      </w:r>
    </w:p>
    <w:p>
      <w:pPr>
        <w:numPr>
          <w:ilvl w:val="0"/>
          <w:numId w:val="0"/>
        </w:num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1.</w:t>
      </w:r>
      <w:r>
        <w:rPr>
          <w:rFonts w:hint="eastAsia" w:ascii="仿宋" w:hAnsi="仿宋" w:eastAsia="仿宋"/>
          <w:b/>
          <w:sz w:val="32"/>
          <w:szCs w:val="32"/>
        </w:rPr>
        <w:t>教育（类）普通教育（02款）小学教育（02项）为741.35万元</w:t>
      </w:r>
      <w:r>
        <w:rPr>
          <w:rFonts w:hint="eastAsia" w:ascii="仿宋" w:hAnsi="仿宋" w:eastAsia="仿宋"/>
          <w:b/>
          <w:sz w:val="32"/>
          <w:szCs w:val="32"/>
          <w:lang w:val="en-US" w:eastAsia="zh-CN"/>
        </w:rPr>
        <w:t>,</w:t>
      </w:r>
      <w:r>
        <w:rPr>
          <w:rStyle w:val="18"/>
          <w:rFonts w:hint="eastAsia" w:ascii="仿宋" w:hAnsi="仿宋" w:eastAsia="仿宋"/>
          <w:b w:val="0"/>
          <w:bCs/>
          <w:sz w:val="32"/>
          <w:szCs w:val="32"/>
        </w:rPr>
        <w:t>决算数与预算数持平</w:t>
      </w:r>
      <w:r>
        <w:rPr>
          <w:rFonts w:hint="eastAsia" w:ascii="仿宋" w:hAnsi="仿宋" w:eastAsia="仿宋"/>
          <w:b/>
          <w:sz w:val="32"/>
          <w:szCs w:val="32"/>
        </w:rPr>
        <w:t>；</w:t>
      </w:r>
    </w:p>
    <w:p>
      <w:pPr>
        <w:numPr>
          <w:ilvl w:val="0"/>
          <w:numId w:val="0"/>
        </w:num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教育（205类）普通教育（02款）其他普通教育支出（99项）为16.97万元</w:t>
      </w:r>
      <w:r>
        <w:rPr>
          <w:rFonts w:hint="eastAsia" w:ascii="仿宋" w:hAnsi="仿宋" w:eastAsia="仿宋"/>
          <w:b/>
          <w:sz w:val="32"/>
          <w:szCs w:val="32"/>
          <w:lang w:val="en-US" w:eastAsia="zh-CN"/>
        </w:rPr>
        <w:t>,</w:t>
      </w:r>
      <w:bookmarkStart w:id="39" w:name="OLE_LINK15"/>
      <w:r>
        <w:rPr>
          <w:rStyle w:val="18"/>
          <w:rFonts w:hint="eastAsia" w:ascii="仿宋" w:hAnsi="仿宋" w:eastAsia="仿宋"/>
          <w:b w:val="0"/>
          <w:bCs/>
          <w:sz w:val="32"/>
          <w:szCs w:val="32"/>
        </w:rPr>
        <w:t>决算数与预算数持平</w:t>
      </w:r>
      <w:bookmarkEnd w:id="39"/>
      <w:r>
        <w:rPr>
          <w:rFonts w:hint="eastAsia" w:ascii="仿宋" w:hAnsi="仿宋" w:eastAsia="仿宋"/>
          <w:b/>
          <w:sz w:val="32"/>
          <w:szCs w:val="32"/>
        </w:rPr>
        <w:t>；</w:t>
      </w:r>
    </w:p>
    <w:p>
      <w:pPr>
        <w:numPr>
          <w:ilvl w:val="0"/>
          <w:numId w:val="0"/>
        </w:numPr>
        <w:spacing w:line="60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3.</w:t>
      </w:r>
      <w:r>
        <w:rPr>
          <w:rFonts w:hint="eastAsia" w:ascii="仿宋" w:hAnsi="仿宋" w:eastAsia="仿宋"/>
          <w:b/>
          <w:sz w:val="32"/>
          <w:szCs w:val="32"/>
        </w:rPr>
        <w:t>教育（205类）教育费附加安排的支出（09款）其他教育费附加安排的支出（99项）为1.27万元。</w:t>
      </w:r>
      <w:r>
        <w:rPr>
          <w:rStyle w:val="18"/>
          <w:rFonts w:hint="eastAsia" w:ascii="仿宋" w:hAnsi="仿宋" w:eastAsia="仿宋"/>
          <w:b w:val="0"/>
          <w:bCs/>
          <w:sz w:val="32"/>
          <w:szCs w:val="32"/>
        </w:rPr>
        <w:t>决算数与预算数持平</w:t>
      </w:r>
      <w:r>
        <w:rPr>
          <w:rStyle w:val="18"/>
          <w:rFonts w:hint="eastAsia" w:ascii="仿宋" w:hAnsi="仿宋" w:eastAsia="仿宋"/>
          <w:b w:val="0"/>
          <w:bCs/>
          <w:sz w:val="32"/>
          <w:szCs w:val="32"/>
          <w:lang w:val="en-US" w:eastAsia="zh-CN"/>
        </w:rPr>
        <w:t>;</w:t>
      </w:r>
    </w:p>
    <w:p>
      <w:pPr>
        <w:spacing w:line="60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4</w:t>
      </w:r>
      <w:r>
        <w:rPr>
          <w:rFonts w:hint="eastAsia" w:ascii="仿宋" w:hAnsi="仿宋" w:eastAsia="仿宋"/>
          <w:b/>
          <w:sz w:val="32"/>
          <w:szCs w:val="32"/>
        </w:rPr>
        <w:t>社会保障和就业支出决算为131.83万</w:t>
      </w:r>
      <w:r>
        <w:rPr>
          <w:rFonts w:hint="eastAsia" w:ascii="仿宋" w:hAnsi="仿宋" w:eastAsia="仿宋"/>
          <w:b/>
          <w:sz w:val="32"/>
          <w:szCs w:val="32"/>
          <w:lang w:val="en-US" w:eastAsia="zh-CN"/>
        </w:rPr>
        <w:t>元，</w:t>
      </w:r>
      <w:r>
        <w:rPr>
          <w:rFonts w:hint="eastAsia" w:ascii="仿宋" w:hAnsi="仿宋" w:eastAsia="仿宋"/>
          <w:b/>
          <w:sz w:val="32"/>
          <w:szCs w:val="32"/>
        </w:rPr>
        <w:t>其中社会保障和就业（208类）行政事业单位离退休（05款）事业单位离退休支出（02项）为34.15万元；</w:t>
      </w:r>
      <w:r>
        <w:rPr>
          <w:rStyle w:val="18"/>
          <w:rFonts w:hint="eastAsia" w:ascii="仿宋" w:hAnsi="仿宋" w:eastAsia="仿宋"/>
          <w:b w:val="0"/>
          <w:bCs/>
          <w:sz w:val="32"/>
          <w:szCs w:val="32"/>
        </w:rPr>
        <w:t>决算数与预算数持平</w:t>
      </w:r>
      <w:r>
        <w:rPr>
          <w:rStyle w:val="18"/>
          <w:rFonts w:hint="eastAsia" w:ascii="仿宋" w:hAnsi="仿宋" w:eastAsia="仿宋"/>
          <w:b w:val="0"/>
          <w:bCs/>
          <w:sz w:val="32"/>
          <w:szCs w:val="32"/>
          <w:lang w:val="en-US" w:eastAsia="zh-CN"/>
        </w:rPr>
        <w:t>;</w:t>
      </w:r>
    </w:p>
    <w:p>
      <w:pPr>
        <w:numPr>
          <w:ilvl w:val="0"/>
          <w:numId w:val="4"/>
        </w:num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社会保障和就业（208类）行政事业单位离退休（05款）机关事业单位基本养老保险缴费支出（05项）为84.04万元</w:t>
      </w:r>
      <w:r>
        <w:rPr>
          <w:rFonts w:hint="eastAsia" w:ascii="仿宋" w:hAnsi="仿宋" w:eastAsia="仿宋"/>
          <w:b/>
          <w:sz w:val="32"/>
          <w:szCs w:val="32"/>
          <w:lang w:eastAsia="zh-CN"/>
        </w:rPr>
        <w:t>。</w:t>
      </w:r>
      <w:r>
        <w:rPr>
          <w:rStyle w:val="18"/>
          <w:rFonts w:hint="eastAsia" w:ascii="仿宋" w:hAnsi="仿宋" w:eastAsia="仿宋"/>
          <w:b w:val="0"/>
          <w:bCs/>
          <w:sz w:val="32"/>
          <w:szCs w:val="32"/>
        </w:rPr>
        <w:t>决算数与预算数持平</w:t>
      </w:r>
      <w:r>
        <w:rPr>
          <w:rStyle w:val="18"/>
          <w:rFonts w:hint="eastAsia" w:ascii="仿宋" w:hAnsi="仿宋" w:eastAsia="仿宋"/>
          <w:b w:val="0"/>
          <w:bCs/>
          <w:sz w:val="32"/>
          <w:szCs w:val="32"/>
          <w:lang w:val="en-US" w:eastAsia="zh-CN"/>
        </w:rPr>
        <w:t>;</w:t>
      </w:r>
    </w:p>
    <w:p>
      <w:pPr>
        <w:numPr>
          <w:ilvl w:val="0"/>
          <w:numId w:val="4"/>
        </w:num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社会保障和就业（208类）行政事业单位离退休（05款）退休人员生活慰问补助（99项）为10.40万元</w:t>
      </w:r>
      <w:r>
        <w:rPr>
          <w:rFonts w:hint="eastAsia" w:ascii="仿宋" w:hAnsi="仿宋" w:eastAsia="仿宋"/>
          <w:b/>
          <w:sz w:val="32"/>
          <w:szCs w:val="32"/>
          <w:lang w:eastAsia="zh-CN"/>
        </w:rPr>
        <w:t>。</w:t>
      </w:r>
      <w:r>
        <w:rPr>
          <w:rStyle w:val="18"/>
          <w:rFonts w:hint="eastAsia" w:ascii="仿宋" w:hAnsi="仿宋" w:eastAsia="仿宋"/>
          <w:b w:val="0"/>
          <w:bCs/>
          <w:sz w:val="32"/>
          <w:szCs w:val="32"/>
        </w:rPr>
        <w:t>决算数与预算数持平</w:t>
      </w:r>
      <w:r>
        <w:rPr>
          <w:rStyle w:val="18"/>
          <w:rFonts w:hint="eastAsia" w:ascii="仿宋" w:hAnsi="仿宋" w:eastAsia="仿宋"/>
          <w:b w:val="0"/>
          <w:bCs/>
          <w:sz w:val="32"/>
          <w:szCs w:val="32"/>
          <w:lang w:eastAsia="zh-CN"/>
        </w:rPr>
        <w:t>；</w:t>
      </w:r>
    </w:p>
    <w:p>
      <w:pPr>
        <w:numPr>
          <w:ilvl w:val="0"/>
          <w:numId w:val="4"/>
        </w:num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社会保障和就业（208类）其他社会保障和就业支出（99款）其他社会保障和就业支出（02项）为3.25万元。</w:t>
      </w:r>
      <w:r>
        <w:rPr>
          <w:rStyle w:val="18"/>
          <w:rFonts w:hint="eastAsia" w:ascii="仿宋" w:hAnsi="仿宋" w:eastAsia="仿宋"/>
          <w:b w:val="0"/>
          <w:bCs/>
          <w:sz w:val="32"/>
          <w:szCs w:val="32"/>
        </w:rPr>
        <w:t>决算数与预算数持平</w:t>
      </w:r>
      <w:r>
        <w:rPr>
          <w:rStyle w:val="18"/>
          <w:rFonts w:hint="eastAsia" w:ascii="仿宋" w:hAnsi="仿宋" w:eastAsia="仿宋"/>
          <w:b w:val="0"/>
          <w:bCs/>
          <w:sz w:val="32"/>
          <w:szCs w:val="32"/>
          <w:lang w:eastAsia="zh-CN"/>
        </w:rPr>
        <w:t>；</w:t>
      </w:r>
    </w:p>
    <w:p>
      <w:pPr>
        <w:spacing w:line="60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lang w:val="en-US" w:eastAsia="zh-CN"/>
        </w:rPr>
        <w:t>8</w:t>
      </w:r>
      <w:r>
        <w:rPr>
          <w:rFonts w:hint="eastAsia" w:ascii="仿宋" w:hAnsi="仿宋" w:eastAsia="仿宋"/>
          <w:b/>
          <w:sz w:val="32"/>
          <w:szCs w:val="32"/>
        </w:rPr>
        <w:t>.生健康支出（210类）行政事业单位医疗★（11款）行政单位医疗★（01项）支出决算为34.52万元，完成预算100%</w:t>
      </w:r>
      <w:r>
        <w:rPr>
          <w:rFonts w:hint="eastAsia" w:ascii="仿宋" w:hAnsi="仿宋" w:eastAsia="仿宋"/>
          <w:b/>
          <w:sz w:val="32"/>
          <w:szCs w:val="32"/>
          <w:lang w:eastAsia="zh-CN"/>
        </w:rPr>
        <w:t>，</w:t>
      </w:r>
      <w:r>
        <w:rPr>
          <w:rStyle w:val="18"/>
          <w:rFonts w:hint="eastAsia" w:ascii="仿宋" w:hAnsi="仿宋" w:eastAsia="仿宋"/>
          <w:b w:val="0"/>
          <w:bCs/>
          <w:sz w:val="32"/>
          <w:szCs w:val="32"/>
        </w:rPr>
        <w:t>决算数与预算数持平</w:t>
      </w:r>
      <w:r>
        <w:rPr>
          <w:rFonts w:hint="eastAsia" w:ascii="仿宋" w:hAnsi="仿宋" w:eastAsia="仿宋"/>
          <w:b/>
          <w:sz w:val="32"/>
          <w:szCs w:val="32"/>
          <w:lang w:eastAsia="zh-CN"/>
        </w:rPr>
        <w:t>；</w:t>
      </w:r>
    </w:p>
    <w:p>
      <w:pPr>
        <w:spacing w:line="60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rPr>
        <w:t>4.全部为住房保障支出（221类）住房改革支出（02款）住房公积金（01项）支出决算为70.28万元，完成预算100%。</w:t>
      </w:r>
      <w:r>
        <w:rPr>
          <w:rStyle w:val="18"/>
          <w:rFonts w:hint="eastAsia" w:ascii="仿宋" w:hAnsi="仿宋" w:eastAsia="仿宋"/>
          <w:b w:val="0"/>
          <w:bCs/>
          <w:sz w:val="32"/>
          <w:szCs w:val="32"/>
        </w:rPr>
        <w:t>决算数与预算数持平</w:t>
      </w:r>
      <w:r>
        <w:rPr>
          <w:rStyle w:val="18"/>
          <w:rFonts w:hint="eastAsia" w:ascii="仿宋" w:hAnsi="仿宋" w:eastAsia="仿宋"/>
          <w:b w:val="0"/>
          <w:bCs/>
          <w:sz w:val="32"/>
          <w:szCs w:val="32"/>
          <w:lang w:eastAsia="zh-CN"/>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0"/>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996.22</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ascii="仿宋" w:hAnsi="仿宋" w:eastAsia="仿宋"/>
          <w:b/>
          <w:sz w:val="32"/>
          <w:szCs w:val="32"/>
        </w:rPr>
        <w:t>955.37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ascii="仿宋" w:hAnsi="仿宋" w:eastAsia="仿宋"/>
          <w:b/>
          <w:sz w:val="32"/>
          <w:szCs w:val="32"/>
        </w:rPr>
        <w:t>40.86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beforeLines="0" w:afterLines="0" w:line="600" w:lineRule="exact"/>
        <w:outlineLvl w:val="1"/>
        <w:rPr>
          <w:rStyle w:val="35"/>
          <w:rFonts w:hint="eastAsia" w:ascii="黑体" w:hAnsi="黑体" w:eastAsia="黑体"/>
          <w:b w:val="0"/>
          <w:sz w:val="32"/>
          <w:szCs w:val="32"/>
        </w:rPr>
      </w:pPr>
      <w:bookmarkStart w:id="42" w:name="_Toc15377215"/>
      <w:bookmarkStart w:id="43" w:name="_Toc15396609"/>
      <w:r>
        <w:rPr>
          <w:rFonts w:hint="eastAsia" w:ascii="黑体" w:eastAsia="黑体"/>
          <w:sz w:val="32"/>
          <w:szCs w:val="32"/>
        </w:rPr>
        <w:t>七、</w:t>
      </w:r>
      <w:r>
        <w:rPr>
          <w:rStyle w:val="35"/>
          <w:rFonts w:hint="eastAsia" w:ascii="黑体" w:hAnsi="黑体" w:eastAsia="黑体"/>
          <w:b w:val="0"/>
          <w:sz w:val="32"/>
          <w:szCs w:val="32"/>
        </w:rPr>
        <w:t>财政拨款</w:t>
      </w:r>
      <w:r>
        <w:rPr>
          <w:rStyle w:val="35"/>
          <w:rFonts w:hint="eastAsia" w:ascii="黑体" w:hAnsi="黑体" w:eastAsia="黑体"/>
          <w:sz w:val="32"/>
          <w:szCs w:val="32"/>
        </w:rPr>
        <w:t>“</w:t>
      </w:r>
      <w:r>
        <w:rPr>
          <w:rStyle w:val="35"/>
          <w:rFonts w:hint="eastAsia" w:ascii="黑体" w:hAnsi="黑体" w:eastAsia="黑体"/>
          <w:b w:val="0"/>
          <w:sz w:val="32"/>
          <w:szCs w:val="32"/>
        </w:rPr>
        <w:t>三公”经费支出决算情况说明</w:t>
      </w:r>
      <w:bookmarkEnd w:id="42"/>
      <w:bookmarkEnd w:id="43"/>
    </w:p>
    <w:p>
      <w:pPr>
        <w:spacing w:beforeLines="0" w:afterLines="0" w:line="600" w:lineRule="exact"/>
        <w:ind w:firstLine="640"/>
        <w:outlineLvl w:val="2"/>
        <w:rPr>
          <w:rFonts w:hint="eastAsia"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beforeLines="0" w:afterLines="0" w:line="600" w:lineRule="exact"/>
        <w:ind w:firstLine="640"/>
        <w:outlineLvl w:val="2"/>
        <w:rPr>
          <w:rFonts w:hint="eastAsia" w:ascii="仿宋" w:hAnsi="仿宋" w:eastAsia="仿宋"/>
          <w:sz w:val="32"/>
          <w:szCs w:val="32"/>
        </w:rPr>
      </w:pPr>
      <w:bookmarkStart w:id="45"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rFonts w:hint="default"/>
          <w:color w:val="auto"/>
          <w:sz w:val="32"/>
          <w:szCs w:val="32"/>
        </w:rPr>
        <w:t>0</w:t>
      </w:r>
      <w:r>
        <w:rPr>
          <w:rFonts w:hint="eastAsia" w:ascii="仿宋" w:hAnsi="仿宋" w:eastAsia="仿宋"/>
          <w:color w:val="auto"/>
          <w:sz w:val="32"/>
          <w:szCs w:val="32"/>
        </w:rPr>
        <w:t>万元，完成预算10</w:t>
      </w:r>
      <w:r>
        <w:rPr>
          <w:rFonts w:hint="default"/>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与上年度持平,决算数与预算数持平。</w:t>
      </w:r>
    </w:p>
    <w:p>
      <w:pPr>
        <w:spacing w:beforeLines="0" w:afterLines="0" w:line="600" w:lineRule="exact"/>
        <w:ind w:firstLine="640"/>
        <w:outlineLvl w:val="2"/>
        <w:rPr>
          <w:rFonts w:hint="eastAsia" w:ascii="仿宋" w:hAnsi="仿宋" w:eastAsia="仿宋"/>
          <w:b/>
          <w:sz w:val="32"/>
          <w:szCs w:val="32"/>
        </w:rPr>
      </w:pPr>
      <w:r>
        <w:rPr>
          <w:rFonts w:hint="eastAsia" w:ascii="仿宋" w:hAnsi="仿宋" w:eastAsia="仿宋"/>
          <w:b/>
          <w:sz w:val="32"/>
          <w:szCs w:val="32"/>
        </w:rPr>
        <w:t>（二）“三公”经费财政拨款支出决算具体情况说明</w:t>
      </w:r>
      <w:bookmarkEnd w:id="45"/>
    </w:p>
    <w:p>
      <w:pPr>
        <w:spacing w:beforeLines="0" w:afterLines="0" w:line="600" w:lineRule="exact"/>
        <w:ind w:firstLine="640"/>
        <w:rPr>
          <w:rFonts w:hint="eastAsia" w:ascii="仿宋" w:hAnsi="仿宋" w:eastAsia="仿宋"/>
          <w:sz w:val="32"/>
          <w:szCs w:val="32"/>
        </w:rPr>
      </w:pPr>
      <w:r>
        <w:rPr>
          <w:rFonts w:hint="eastAsia" w:ascii="仿宋" w:hAnsi="仿宋" w:eastAsia="仿宋"/>
          <w:sz w:val="32"/>
          <w:szCs w:val="32"/>
        </w:rPr>
        <w:t>2023年“三公”经费财政拨款支出决算中，因公出国（境）费支出决算0万元，占0%；公务用车购置及运行维护费支出决算0万元，占0%；公务接待费支出决算0万元，占0%。</w:t>
      </w:r>
      <w:r>
        <w:rPr>
          <w:rFonts w:hint="eastAsia" w:ascii="宋体" w:hAnsi="宋体" w:cs="宋体"/>
          <w:sz w:val="24"/>
          <w:szCs w:val="24"/>
        </w:rPr>
        <w:t>具体情况如下：</w:t>
      </w:r>
    </w:p>
    <w:p>
      <w:pPr>
        <w:spacing w:beforeLines="0" w:afterLines="0" w:line="600" w:lineRule="exact"/>
        <w:ind w:firstLine="640"/>
        <w:rPr>
          <w:rFonts w:hint="eastAsia" w:ascii="仿宋_GB2312" w:eastAsia="仿宋_GB2312"/>
          <w:b/>
          <w:sz w:val="32"/>
          <w:szCs w:val="32"/>
        </w:rPr>
      </w:pPr>
      <w:r>
        <w:rPr>
          <w:rFonts w:hint="eastAsia" w:ascii="仿宋_GB2312" w:eastAsia="仿宋_GB2312"/>
          <w:b/>
          <w:sz w:val="32"/>
          <w:szCs w:val="32"/>
        </w:rPr>
        <w:t>1.因公出国（境）经费支出</w:t>
      </w:r>
      <w:r>
        <w:rPr>
          <w:rFonts w:hint="default"/>
          <w:sz w:val="32"/>
          <w:szCs w:val="32"/>
        </w:rPr>
        <w:t>0</w:t>
      </w:r>
      <w:r>
        <w:rPr>
          <w:rFonts w:hint="eastAsia" w:ascii="仿宋_GB2312" w:eastAsia="仿宋_GB2312"/>
          <w:sz w:val="32"/>
          <w:szCs w:val="32"/>
        </w:rPr>
        <w:t>万元，</w:t>
      </w:r>
      <w:r>
        <w:rPr>
          <w:rStyle w:val="18"/>
          <w:rFonts w:hint="eastAsia" w:ascii="仿宋" w:hAnsi="仿宋" w:eastAsia="仿宋"/>
          <w:sz w:val="32"/>
          <w:szCs w:val="24"/>
        </w:rPr>
        <w:t>完成预算</w:t>
      </w:r>
      <w:r>
        <w:rPr>
          <w:rFonts w:hint="default"/>
          <w:sz w:val="32"/>
          <w:szCs w:val="32"/>
        </w:rPr>
        <w:t>0</w:t>
      </w:r>
      <w:r>
        <w:rPr>
          <w:rStyle w:val="18"/>
          <w:rFonts w:hint="eastAsia" w:ascii="仿宋" w:hAnsi="仿宋" w:eastAsia="仿宋"/>
          <w:sz w:val="32"/>
          <w:szCs w:val="24"/>
        </w:rPr>
        <w:t>%。</w:t>
      </w:r>
      <w:r>
        <w:rPr>
          <w:rFonts w:hint="eastAsia" w:ascii="仿宋_GB2312" w:eastAsia="仿宋_GB2312"/>
          <w:sz w:val="32"/>
          <w:szCs w:val="32"/>
        </w:rPr>
        <w:t>全年安排因公出国（境）团组</w:t>
      </w:r>
      <w:r>
        <w:rPr>
          <w:rFonts w:hint="default"/>
          <w:sz w:val="32"/>
          <w:szCs w:val="32"/>
        </w:rPr>
        <w:t>0</w:t>
      </w:r>
      <w:r>
        <w:rPr>
          <w:rFonts w:hint="eastAsia" w:ascii="仿宋_GB2312" w:eastAsia="仿宋_GB2312"/>
          <w:sz w:val="32"/>
          <w:szCs w:val="32"/>
        </w:rPr>
        <w:t>次，出国（境）</w:t>
      </w:r>
      <w:r>
        <w:rPr>
          <w:rFonts w:hint="default"/>
          <w:sz w:val="32"/>
          <w:szCs w:val="32"/>
        </w:rPr>
        <w:t>0</w:t>
      </w:r>
      <w:r>
        <w:rPr>
          <w:rFonts w:hint="eastAsia" w:ascii="仿宋_GB2312" w:eastAsia="仿宋_GB2312"/>
          <w:sz w:val="32"/>
          <w:szCs w:val="32"/>
        </w:rPr>
        <w:t>人。因公出国（境）支出决算比2022年增加0万元，增长0%。</w:t>
      </w:r>
    </w:p>
    <w:p>
      <w:pPr>
        <w:spacing w:beforeLines="0" w:afterLines="0"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rFonts w:hint="default"/>
          <w:sz w:val="32"/>
          <w:szCs w:val="32"/>
        </w:rPr>
        <w:t>0</w:t>
      </w:r>
      <w:r>
        <w:rPr>
          <w:rFonts w:hint="eastAsia" w:ascii="仿宋_GB2312" w:eastAsia="仿宋_GB2312"/>
          <w:sz w:val="32"/>
          <w:szCs w:val="32"/>
        </w:rPr>
        <w:t>万元,</w:t>
      </w:r>
      <w:r>
        <w:rPr>
          <w:rStyle w:val="18"/>
          <w:rFonts w:hint="eastAsia" w:ascii="仿宋" w:hAnsi="仿宋" w:eastAsia="仿宋"/>
          <w:sz w:val="32"/>
          <w:szCs w:val="24"/>
        </w:rPr>
        <w:t>完成预算</w:t>
      </w:r>
      <w:r>
        <w:rPr>
          <w:rFonts w:hint="default"/>
          <w:sz w:val="32"/>
          <w:szCs w:val="32"/>
        </w:rPr>
        <w:t>0</w:t>
      </w:r>
      <w:r>
        <w:rPr>
          <w:rStyle w:val="18"/>
          <w:rFonts w:hint="eastAsia" w:ascii="仿宋" w:hAnsi="仿宋" w:eastAsia="仿宋"/>
          <w:sz w:val="32"/>
          <w:szCs w:val="24"/>
        </w:rPr>
        <w:t>%。</w:t>
      </w:r>
      <w:r>
        <w:rPr>
          <w:rFonts w:hint="eastAsia" w:ascii="仿宋_GB2312" w:eastAsia="仿宋_GB2312"/>
          <w:sz w:val="32"/>
          <w:szCs w:val="32"/>
        </w:rPr>
        <w:t>公务用车购置及运行维护费支出决算比2022年度增加0万元，增长0%。</w:t>
      </w:r>
    </w:p>
    <w:p>
      <w:pPr>
        <w:spacing w:beforeLines="0" w:afterLines="0"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default"/>
          <w:sz w:val="32"/>
          <w:szCs w:val="32"/>
        </w:rPr>
        <w:t>0</w:t>
      </w:r>
      <w:r>
        <w:rPr>
          <w:rFonts w:hint="eastAsia" w:ascii="仿宋_GB2312" w:eastAsia="仿宋_GB2312"/>
          <w:sz w:val="32"/>
          <w:szCs w:val="32"/>
        </w:rPr>
        <w:t>万元。全年按规定更新购置公务用车0辆，其中：轿车0辆、金额0元，越野车0辆、金额0万元，载客汽车0辆、金额0万元。截至2023年12月31日，单位共有公务用车0辆，其中：轿车0辆、越野车0辆、载客汽车0辆。</w:t>
      </w:r>
    </w:p>
    <w:p>
      <w:pPr>
        <w:spacing w:beforeLines="0" w:afterLines="0"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default"/>
          <w:sz w:val="32"/>
          <w:szCs w:val="32"/>
        </w:rPr>
        <w:t>0</w:t>
      </w:r>
      <w:r>
        <w:rPr>
          <w:rFonts w:hint="eastAsia" w:ascii="仿宋_GB2312" w:eastAsia="仿宋_GB2312"/>
          <w:sz w:val="32"/>
          <w:szCs w:val="32"/>
        </w:rPr>
        <w:t>万元。</w:t>
      </w:r>
    </w:p>
    <w:p>
      <w:pPr>
        <w:numPr>
          <w:ilvl w:val="0"/>
          <w:numId w:val="5"/>
        </w:numPr>
        <w:spacing w:beforeLines="0" w:afterLines="0" w:line="600" w:lineRule="exact"/>
        <w:ind w:firstLine="640"/>
        <w:rPr>
          <w:rFonts w:hint="eastAsia" w:ascii="仿宋_GB2312" w:eastAsia="仿宋_GB2312"/>
          <w:b/>
          <w:sz w:val="32"/>
          <w:szCs w:val="32"/>
        </w:rPr>
      </w:pPr>
      <w:r>
        <w:rPr>
          <w:rFonts w:hint="eastAsia" w:ascii="仿宋_GB2312" w:eastAsia="仿宋_GB2312"/>
          <w:b/>
          <w:sz w:val="32"/>
          <w:szCs w:val="32"/>
        </w:rPr>
        <w:t>公务接待费支出</w:t>
      </w:r>
      <w:r>
        <w:rPr>
          <w:rFonts w:hint="default"/>
          <w:sz w:val="32"/>
          <w:szCs w:val="32"/>
        </w:rPr>
        <w:t>0</w:t>
      </w:r>
      <w:r>
        <w:rPr>
          <w:rFonts w:hint="eastAsia" w:ascii="仿宋_GB2312" w:eastAsia="仿宋_GB2312"/>
          <w:sz w:val="32"/>
          <w:szCs w:val="32"/>
        </w:rPr>
        <w:t>万元，</w:t>
      </w:r>
      <w:r>
        <w:rPr>
          <w:rFonts w:hint="eastAsia" w:ascii="仿宋_GB2312" w:eastAsia="仿宋_GB2312"/>
          <w:b/>
          <w:sz w:val="32"/>
          <w:szCs w:val="32"/>
        </w:rPr>
        <w:t>完成预算100%。公务接待费支出决算与2022年度持平。其中：</w:t>
      </w:r>
    </w:p>
    <w:p>
      <w:pPr>
        <w:numPr>
          <w:ilvl w:val="0"/>
          <w:numId w:val="0"/>
        </w:numPr>
        <w:spacing w:beforeLines="0" w:afterLines="0" w:line="600" w:lineRule="exact"/>
        <w:ind w:firstLine="643" w:firstLineChars="200"/>
        <w:rPr>
          <w:rFonts w:hint="eastAsia"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rPr>
        <w:t xml:space="preserve">   外事接待支出0万元。外事接待0批次，0人次（不包括陪同人员），共计支出0万元。</w:t>
      </w:r>
    </w:p>
    <w:p>
      <w:pPr>
        <w:spacing w:beforeLines="0" w:afterLines="0" w:line="600" w:lineRule="exact"/>
        <w:ind w:firstLine="480" w:firstLineChars="150"/>
        <w:outlineLvl w:val="1"/>
        <w:rPr>
          <w:rStyle w:val="35"/>
          <w:rFonts w:hint="eastAsia" w:ascii="黑体" w:hAnsi="黑体" w:eastAsia="黑体"/>
          <w:sz w:val="32"/>
          <w:szCs w:val="32"/>
        </w:rPr>
      </w:pPr>
      <w:bookmarkStart w:id="46" w:name="_Toc15396610"/>
      <w:bookmarkStart w:id="47" w:name="_Toc15377218"/>
      <w:r>
        <w:rPr>
          <w:rFonts w:hint="eastAsia" w:ascii="黑体" w:eastAsia="黑体"/>
          <w:sz w:val="32"/>
          <w:szCs w:val="32"/>
        </w:rPr>
        <w:t>八、</w:t>
      </w:r>
      <w:r>
        <w:rPr>
          <w:rStyle w:val="35"/>
          <w:rFonts w:hint="eastAsia" w:ascii="黑体" w:hAnsi="黑体" w:eastAsia="黑体"/>
          <w:b w:val="0"/>
          <w:sz w:val="32"/>
          <w:szCs w:val="32"/>
        </w:rPr>
        <w:t>政府性基金预算支出决算情况说明</w:t>
      </w:r>
      <w:bookmarkEnd w:id="46"/>
      <w:bookmarkEnd w:id="47"/>
    </w:p>
    <w:p>
      <w:pPr>
        <w:spacing w:beforeLines="0" w:afterLines="0"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2023年政府性基金预算财政拨款支出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6"/>
        </w:numPr>
        <w:spacing w:beforeLines="0" w:afterLines="0" w:line="600" w:lineRule="exact"/>
        <w:ind w:firstLine="640"/>
        <w:outlineLvl w:val="1"/>
        <w:rPr>
          <w:rStyle w:val="35"/>
          <w:rFonts w:hint="eastAsia" w:ascii="黑体" w:hAnsi="黑体" w:eastAsia="黑体"/>
          <w:b w:val="0"/>
          <w:sz w:val="32"/>
          <w:szCs w:val="32"/>
        </w:rPr>
      </w:pPr>
      <w:bookmarkStart w:id="48" w:name="_Toc15396611"/>
      <w:bookmarkStart w:id="49" w:name="_Toc15377219"/>
      <w:r>
        <w:rPr>
          <w:rStyle w:val="35"/>
          <w:rFonts w:hint="eastAsia" w:ascii="黑体" w:hAnsi="黑体" w:eastAsia="黑体"/>
          <w:b w:val="0"/>
          <w:sz w:val="32"/>
          <w:szCs w:val="32"/>
        </w:rPr>
        <w:t>国有资本经营预算支出决算情况说明</w:t>
      </w:r>
      <w:bookmarkEnd w:id="48"/>
      <w:bookmarkEnd w:id="49"/>
    </w:p>
    <w:p>
      <w:pPr>
        <w:pStyle w:val="28"/>
        <w:spacing w:beforeLines="0" w:afterLines="0" w:line="600" w:lineRule="exact"/>
        <w:ind w:left="360" w:firstLine="0" w:firstLineChars="0"/>
        <w:rPr>
          <w:rFonts w:hint="eastAsia" w:ascii="仿宋_GB2312" w:eastAsia="仿宋_GB2312"/>
          <w:sz w:val="32"/>
          <w:szCs w:val="32"/>
        </w:rPr>
      </w:pPr>
      <w:r>
        <w:rPr>
          <w:rFonts w:hint="eastAsia" w:ascii="仿宋_GB2312" w:eastAsia="仿宋_GB2312"/>
          <w:sz w:val="32"/>
          <w:szCs w:val="32"/>
        </w:rPr>
        <w:t>2023年国有资本经营预算财政拨款支出0万元。</w:t>
      </w:r>
    </w:p>
    <w:p>
      <w:pPr>
        <w:pStyle w:val="28"/>
        <w:spacing w:beforeLines="0" w:afterLines="0" w:line="600" w:lineRule="exact"/>
        <w:ind w:left="360" w:firstLine="321" w:firstLineChars="100"/>
        <w:outlineLvl w:val="1"/>
        <w:rPr>
          <w:rStyle w:val="35"/>
          <w:rFonts w:hint="eastAsia" w:ascii="黑体" w:hAnsi="黑体" w:eastAsia="黑体"/>
          <w:b w:val="0"/>
          <w:sz w:val="32"/>
          <w:szCs w:val="32"/>
        </w:rPr>
      </w:pPr>
      <w:bookmarkStart w:id="50" w:name="_Toc15396612"/>
      <w:bookmarkStart w:id="51" w:name="_Toc15377221"/>
      <w:r>
        <w:rPr>
          <w:rStyle w:val="35"/>
          <w:rFonts w:hint="eastAsia" w:ascii="黑体" w:hAnsi="黑体" w:eastAsia="黑体"/>
          <w:sz w:val="32"/>
          <w:szCs w:val="32"/>
        </w:rPr>
        <w:t>十、</w:t>
      </w:r>
      <w:r>
        <w:rPr>
          <w:rStyle w:val="35"/>
          <w:rFonts w:hint="eastAsia" w:ascii="黑体" w:hAnsi="黑体" w:eastAsia="黑体"/>
          <w:b w:val="0"/>
          <w:sz w:val="32"/>
          <w:szCs w:val="32"/>
        </w:rPr>
        <w:t>其他重要事项的情况说明</w:t>
      </w:r>
      <w:bookmarkEnd w:id="50"/>
      <w:bookmarkEnd w:id="51"/>
    </w:p>
    <w:p>
      <w:pPr>
        <w:spacing w:beforeLines="0" w:afterLines="0" w:line="600" w:lineRule="exact"/>
        <w:ind w:firstLine="643" w:firstLineChars="200"/>
        <w:outlineLvl w:val="2"/>
        <w:rPr>
          <w:rFonts w:hint="eastAsia"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beforeLines="0" w:afterLines="0" w:line="600" w:lineRule="exact"/>
        <w:ind w:firstLine="640" w:firstLineChars="200"/>
        <w:rPr>
          <w:rFonts w:hint="eastAsia" w:ascii="仿宋_GB2312" w:eastAsia="仿宋_GB2312"/>
          <w:sz w:val="32"/>
          <w:szCs w:val="32"/>
        </w:rPr>
      </w:pPr>
      <w:r>
        <w:rPr>
          <w:rFonts w:hint="eastAsia" w:ascii="仿宋_GB2312" w:eastAsia="仿宋_GB2312"/>
          <w:sz w:val="32"/>
          <w:szCs w:val="32"/>
        </w:rPr>
        <w:t>2023年，</w:t>
      </w:r>
      <w:bookmarkStart w:id="53" w:name="OLE_LINK7"/>
      <w:r>
        <w:rPr>
          <w:rFonts w:hint="eastAsia" w:ascii="仿宋_GB2312" w:eastAsia="仿宋_GB2312"/>
          <w:b/>
          <w:bCs/>
          <w:color w:val="auto"/>
          <w:sz w:val="32"/>
          <w:szCs w:val="32"/>
        </w:rPr>
        <w:t>遂宁市安居区</w:t>
      </w:r>
      <w:r>
        <w:rPr>
          <w:rFonts w:hint="eastAsia" w:ascii="仿宋_GB2312" w:eastAsia="仿宋_GB2312"/>
          <w:b/>
          <w:bCs/>
          <w:color w:val="auto"/>
          <w:sz w:val="32"/>
          <w:szCs w:val="32"/>
          <w:lang w:val="en-US" w:eastAsia="zh-CN"/>
        </w:rPr>
        <w:t>分水镇中心小学校</w:t>
      </w:r>
      <w:bookmarkEnd w:id="53"/>
      <w:r>
        <w:rPr>
          <w:rFonts w:hint="eastAsia" w:ascii="仿宋_GB2312" w:eastAsia="仿宋_GB2312"/>
          <w:sz w:val="32"/>
          <w:szCs w:val="32"/>
        </w:rPr>
        <w:t>机关运行经费支出0万元。与2022年度决算数持平。</w:t>
      </w:r>
    </w:p>
    <w:p>
      <w:pPr>
        <w:autoSpaceDE w:val="0"/>
        <w:autoSpaceDN w:val="0"/>
        <w:adjustRightInd w:val="0"/>
        <w:spacing w:beforeLines="0" w:afterLines="0" w:line="600" w:lineRule="exact"/>
        <w:ind w:firstLine="643" w:firstLineChars="200"/>
        <w:jc w:val="left"/>
        <w:outlineLvl w:val="2"/>
        <w:rPr>
          <w:rFonts w:hint="eastAsia" w:ascii="仿宋" w:hAnsi="仿宋" w:eastAsia="仿宋"/>
          <w:b/>
          <w:sz w:val="32"/>
          <w:szCs w:val="32"/>
        </w:rPr>
      </w:pPr>
      <w:bookmarkStart w:id="54" w:name="_Toc15377223"/>
      <w:r>
        <w:rPr>
          <w:rFonts w:hint="eastAsia" w:ascii="仿宋" w:hAnsi="仿宋" w:eastAsia="仿宋"/>
          <w:b/>
          <w:sz w:val="32"/>
          <w:szCs w:val="32"/>
        </w:rPr>
        <w:t>（二）政府采购支出情况</w:t>
      </w:r>
      <w:bookmarkEnd w:id="54"/>
    </w:p>
    <w:p>
      <w:pPr>
        <w:autoSpaceDE w:val="0"/>
        <w:autoSpaceDN w:val="0"/>
        <w:adjustRightInd w:val="0"/>
        <w:spacing w:beforeLines="0" w:afterLines="0" w:line="600" w:lineRule="exact"/>
        <w:ind w:firstLine="640" w:firstLineChars="200"/>
        <w:jc w:val="left"/>
        <w:outlineLvl w:val="2"/>
        <w:rPr>
          <w:rFonts w:hint="eastAsia" w:ascii="仿宋_GB2312" w:eastAsia="仿宋_GB2312"/>
          <w:sz w:val="32"/>
          <w:szCs w:val="32"/>
        </w:rPr>
      </w:pPr>
      <w:bookmarkStart w:id="55" w:name="_Toc15377224"/>
      <w:r>
        <w:rPr>
          <w:rFonts w:hint="eastAsia" w:ascii="仿宋_GB2312" w:eastAsia="仿宋_GB2312"/>
          <w:sz w:val="32"/>
          <w:szCs w:val="32"/>
        </w:rPr>
        <w:t>2023年度，</w:t>
      </w:r>
      <w:r>
        <w:rPr>
          <w:rFonts w:hint="eastAsia" w:ascii="仿宋_GB2312" w:eastAsia="仿宋_GB2312"/>
          <w:b/>
          <w:bCs/>
          <w:color w:val="auto"/>
          <w:sz w:val="32"/>
          <w:szCs w:val="32"/>
        </w:rPr>
        <w:t>遂宁市安居区</w:t>
      </w:r>
      <w:r>
        <w:rPr>
          <w:rFonts w:hint="eastAsia" w:ascii="仿宋_GB2312" w:eastAsia="仿宋_GB2312"/>
          <w:b/>
          <w:bCs/>
          <w:color w:val="auto"/>
          <w:sz w:val="32"/>
          <w:szCs w:val="32"/>
          <w:lang w:val="en-US" w:eastAsia="zh-CN"/>
        </w:rPr>
        <w:t>分水镇中心小学校</w:t>
      </w:r>
      <w:r>
        <w:rPr>
          <w:rFonts w:hint="eastAsia" w:ascii="仿宋_GB2312" w:eastAsia="仿宋_GB2312"/>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bookmarkEnd w:id="55"/>
    <w:p>
      <w:pPr>
        <w:autoSpaceDE w:val="0"/>
        <w:autoSpaceDN w:val="0"/>
        <w:adjustRightInd w:val="0"/>
        <w:spacing w:beforeLines="0" w:afterLines="0"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beforeLines="0" w:afterLines="0"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b/>
          <w:bCs/>
          <w:color w:val="auto"/>
          <w:sz w:val="32"/>
          <w:szCs w:val="32"/>
        </w:rPr>
        <w:t>遂宁市安居区</w:t>
      </w:r>
      <w:r>
        <w:rPr>
          <w:rFonts w:hint="eastAsia" w:ascii="仿宋_GB2312" w:eastAsia="仿宋_GB2312"/>
          <w:b/>
          <w:bCs/>
          <w:color w:val="auto"/>
          <w:sz w:val="32"/>
          <w:szCs w:val="32"/>
          <w:lang w:val="en-US" w:eastAsia="zh-CN"/>
        </w:rPr>
        <w:t>分水镇中心小学校</w:t>
      </w:r>
      <w:r>
        <w:rPr>
          <w:rFonts w:hint="eastAsia" w:ascii="仿宋_GB2312" w:eastAsia="仿宋_GB2312"/>
          <w:sz w:val="32"/>
          <w:szCs w:val="32"/>
        </w:rPr>
        <w:t>共有车辆0辆，其中：主要领导干部用车0辆、机要通信用车0辆、应急保障用车0辆、其他用车0辆。单价100万元以上设备（不含车辆）</w:t>
      </w:r>
      <w:r>
        <w:rPr>
          <w:rFonts w:hint="default"/>
          <w:sz w:val="32"/>
          <w:szCs w:val="32"/>
        </w:rPr>
        <w:t>0</w:t>
      </w:r>
      <w:r>
        <w:rPr>
          <w:rFonts w:hint="eastAsia" w:ascii="仿宋_GB2312" w:eastAsia="仿宋_GB2312"/>
          <w:sz w:val="32"/>
          <w:szCs w:val="32"/>
        </w:rPr>
        <w:t>台（套）。</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设备（不含车辆）</w:t>
      </w:r>
      <w:r>
        <w:rPr>
          <w:rFonts w:ascii="仿宋_GB2312" w:eastAsia="仿宋_GB2312"/>
          <w:b/>
          <w:sz w:val="32"/>
          <w:szCs w:val="32"/>
        </w:rPr>
        <w:t>0</w:t>
      </w:r>
      <w:r>
        <w:rPr>
          <w:rFonts w:hint="eastAsia" w:ascii="仿宋_GB2312" w:eastAsia="仿宋_GB2312"/>
          <w:sz w:val="32"/>
          <w:szCs w:val="32"/>
        </w:rPr>
        <w:t>台（套）。</w:t>
      </w:r>
    </w:p>
    <w:p>
      <w:pPr>
        <w:numPr>
          <w:ilvl w:val="0"/>
          <w:numId w:val="7"/>
        </w:numPr>
        <w:autoSpaceDE w:val="0"/>
        <w:autoSpaceDN w:val="0"/>
        <w:adjustRightInd w:val="0"/>
        <w:spacing w:line="600" w:lineRule="exact"/>
        <w:ind w:firstLine="643" w:firstLineChars="200"/>
        <w:jc w:val="left"/>
        <w:outlineLvl w:val="2"/>
      </w:pPr>
      <w:r>
        <w:rPr>
          <w:rFonts w:hint="eastAsia" w:ascii="仿宋" w:hAnsi="仿宋" w:eastAsia="仿宋"/>
          <w:b/>
          <w:sz w:val="32"/>
          <w:szCs w:val="32"/>
        </w:rPr>
        <w:t>预算绩效管理情况</w:t>
      </w:r>
    </w:p>
    <w:p>
      <w:pPr>
        <w:spacing w:line="600" w:lineRule="exact"/>
        <w:ind w:firstLine="320" w:firstLineChars="100"/>
        <w:rPr>
          <w:rFonts w:ascii="仿宋_GB2312" w:eastAsia="仿宋_GB2312"/>
          <w:sz w:val="32"/>
          <w:szCs w:val="32"/>
        </w:rPr>
      </w:pPr>
      <w:r>
        <w:rPr>
          <w:rFonts w:hint="eastAsia" w:ascii="仿宋_GB2312" w:eastAsia="仿宋_GB2312"/>
          <w:sz w:val="32"/>
          <w:szCs w:val="32"/>
        </w:rPr>
        <w:t>根据预算绩效管理要求，本单位在2023年度预算编制阶段，组织对工资性支出-事业</w:t>
      </w:r>
      <w:r>
        <w:rPr>
          <w:rFonts w:hint="eastAsia" w:ascii="仿宋_GB2312" w:eastAsia="仿宋_GB2312"/>
          <w:sz w:val="32"/>
          <w:szCs w:val="32"/>
          <w:lang w:eastAsia="zh-CN"/>
        </w:rPr>
        <w:t>、养老保险、事业医保（含生育和大额补充医保）、住房公积金、工会经费-事业</w:t>
      </w:r>
      <w:r>
        <w:rPr>
          <w:rFonts w:hint="eastAsia" w:ascii="仿宋_GB2312" w:eastAsia="仿宋_GB2312"/>
          <w:sz w:val="32"/>
          <w:szCs w:val="32"/>
        </w:rPr>
        <w:t>等</w:t>
      </w:r>
      <w:r>
        <w:rPr>
          <w:rFonts w:hint="eastAsia" w:ascii="仿宋_GB2312" w:eastAsia="仿宋_GB2312"/>
          <w:sz w:val="32"/>
          <w:szCs w:val="32"/>
          <w:lang w:val="en-US" w:eastAsia="zh-CN"/>
        </w:rPr>
        <w:t>19</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21</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21</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21</w:t>
      </w:r>
      <w:r>
        <w:rPr>
          <w:rFonts w:hint="eastAsia" w:ascii="仿宋_GB2312" w:eastAsia="仿宋_GB2312"/>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8"/>
        </w:numPr>
        <w:spacing w:line="600" w:lineRule="exact"/>
        <w:ind w:firstLine="660" w:firstLineChars="150"/>
        <w:jc w:val="center"/>
        <w:outlineLvl w:val="0"/>
        <w:rPr>
          <w:rStyle w:val="29"/>
          <w:rFonts w:ascii="黑体" w:hAnsi="黑体" w:eastAsia="黑体"/>
          <w:b w:val="0"/>
        </w:rPr>
      </w:pPr>
      <w:bookmarkStart w:id="56" w:name="_Toc15396613"/>
      <w:bookmarkStart w:id="57" w:name="_Toc15377225"/>
      <w:r>
        <w:rPr>
          <w:rFonts w:hint="eastAsia" w:ascii="黑体" w:hAnsi="黑体" w:eastAsia="黑体"/>
          <w:sz w:val="44"/>
          <w:szCs w:val="44"/>
        </w:rPr>
        <w:t>名</w:t>
      </w:r>
      <w:r>
        <w:rPr>
          <w:rStyle w:val="29"/>
          <w:rFonts w:hint="eastAsia" w:ascii="黑体" w:hAnsi="黑体" w:eastAsia="黑体"/>
          <w:b w:val="0"/>
        </w:rPr>
        <w:t>词解释</w:t>
      </w:r>
      <w:bookmarkEnd w:id="56"/>
      <w:bookmarkEnd w:id="57"/>
    </w:p>
    <w:p>
      <w:pPr>
        <w:spacing w:line="600" w:lineRule="exact"/>
        <w:jc w:val="left"/>
        <w:rPr>
          <w:rFonts w:ascii="宋体"/>
          <w:b/>
          <w:sz w:val="44"/>
          <w:szCs w:val="44"/>
        </w:rPr>
      </w:pP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.教育（205类）普通教育（02款）小学教育（02项）: 反映各部门举办的小学教育支出。政府各部门对社会中介组织等举办的小学的资助，如各类捐赠、补贴等，也在本科目中反映。</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.教育（205类）普通教育（02款）其他普通教育支出（99项）: 反映除上述项目以外其他用于普通教育方面的支出。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.教育（205类）其他教育支出（09款）其他教育支出（99项）: 反映除上述项目以外其他教育费附加安排的支出。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.教育（205类）其他教育支出（99款）其他教育支出（99项）: 反映除上述项目以外其他教育方面的支出。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.社会保障和就业（208类）行政事业单位养老支出（05款）事业单位离退休★（02项）: 反映机关事业单位实施事业单位离退支出。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.社会保障和就业（208类）行政事业单位养老支出（05款）机关事业单位基本养老保险缴费支出★（05项）: 反映机关事业单位实施养老保险制度由单位缴纳的基本养老保险费支出。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.社会保障和就业（208类）行政事业单位养老支出（05款）其他行政事业单位养老支出★（99项）: 反映机关事业单位实施养老保险制度其他行政事业单位养老支出支出。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.社会保障和就业（208类）其他社会保障和就业支出（99款）其他社会保障和就业支出（99项）: 反映上述项目以外其他用于社会保障和就业方面的支出。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210类）行政事业单位医疗★（11款）事业单位医疗★（02项）:反映财政部门集中安排的事业单位基本医疗保险缴费经费，未参加医疗保险的事业单位的公费医疗经费，按国家规定享受离休人员待遇的医疗经费。</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11.住房保障支出（221类）住房改革支出（02款）住房公积金（01项）:反映行政事业单位按人力资源和社会保障部、财政部规定的基本工资和津贴补贴以及规定比例为职工缴纳的住房公积金。</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12.基本支出：指为保障机构正常运转、完成日常工作任务而发生的人员支出和公用支出。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13.项目支出：指在基本支出之外为完成特定行政任务和事业发展目标所发生的支出。 </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16.工资福利：反映单位开支的在职职工和编制外长期聘用人员的各类劳动报酬，以及为上述人员缴纳的各项社会保险费等。</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17.商品和服务：反映单位购买商品和服务的支出，不包括用于购置固定资产、战略性和应急性物资储备等资本支出。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18.对个人和家庭的补助：反映政府用于对个人和家庭的补助支出。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19.资本性支出：反映各单位安排的资本性支出。切块由发展改革部门安排的基本建设支出不在此科目反映。</w:t>
      </w:r>
    </w:p>
    <w:p>
      <w:pPr>
        <w:pStyle w:val="27"/>
        <w:spacing w:line="560" w:lineRule="exact"/>
        <w:ind w:firstLine="640" w:firstLineChars="200"/>
        <w:rPr>
          <w:rFonts w:hint="eastAsia" w:ascii="仿宋_GB2312" w:eastAsia="仿宋_GB2312"/>
          <w:color w:val="auto"/>
          <w:sz w:val="32"/>
          <w:szCs w:val="32"/>
        </w:rPr>
      </w:pPr>
    </w:p>
    <w:p>
      <w:pPr>
        <w:pStyle w:val="27"/>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（名词解释部分请根据各部门实际列支情况罗列，并根据本部门职责职能增减名词解释内容。）</w:t>
      </w:r>
    </w:p>
    <w:p>
      <w:pPr>
        <w:spacing w:line="600" w:lineRule="exact"/>
        <w:jc w:val="center"/>
        <w:outlineLvl w:val="0"/>
        <w:rPr>
          <w:rFonts w:hint="eastAsia" w:ascii="黑体" w:hAnsi="黑体" w:eastAsia="黑体"/>
          <w:sz w:val="44"/>
          <w:szCs w:val="44"/>
        </w:rPr>
      </w:pPr>
      <w:bookmarkStart w:id="58" w:name="_Toc15396614"/>
      <w:bookmarkStart w:id="59"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numPr>
          <w:ilvl w:val="0"/>
          <w:numId w:val="8"/>
        </w:numPr>
        <w:spacing w:line="600" w:lineRule="exact"/>
        <w:ind w:left="0" w:leftChars="0" w:firstLine="660" w:firstLineChars="150"/>
        <w:jc w:val="center"/>
        <w:outlineLvl w:val="0"/>
        <w:rPr>
          <w:rStyle w:val="29"/>
          <w:rFonts w:hint="eastAsia" w:ascii="黑体" w:hAnsi="黑体" w:eastAsia="黑体"/>
          <w:b w:val="0"/>
        </w:rPr>
      </w:pPr>
    </w:p>
    <w:bookmarkEnd w:id="58"/>
    <w:p>
      <w:pPr>
        <w:numPr>
          <w:ilvl w:val="0"/>
          <w:numId w:val="0"/>
        </w:numPr>
        <w:spacing w:line="600" w:lineRule="exact"/>
        <w:jc w:val="both"/>
        <w:outlineLvl w:val="0"/>
        <w:rPr>
          <w:rStyle w:val="29"/>
          <w:rFonts w:hint="eastAsia" w:ascii="黑体" w:hAnsi="黑体" w:eastAsia="黑体"/>
          <w:b w:val="0"/>
        </w:rPr>
      </w:pP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60" w:lineRule="exact"/>
        <w:contextualSpacing/>
        <w:jc w:val="left"/>
        <w:rPr>
          <w:rFonts w:ascii="仿宋" w:hAnsi="仿宋" w:eastAsia="仿宋"/>
          <w:sz w:val="32"/>
          <w:szCs w:val="32"/>
        </w:rPr>
      </w:pPr>
      <w:r>
        <w:rPr>
          <w:rFonts w:hint="eastAsia" w:ascii="仿宋" w:hAnsi="仿宋" w:eastAsia="仿宋"/>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分水镇中心小学校</w:t>
      </w:r>
      <w:r>
        <w:rPr>
          <w:rFonts w:hint="eastAsia" w:ascii="仿宋" w:hAnsi="仿宋" w:eastAsia="仿宋"/>
          <w:sz w:val="32"/>
          <w:szCs w:val="32"/>
        </w:rPr>
        <w:t>共设有</w:t>
      </w:r>
      <w:r>
        <w:rPr>
          <w:rFonts w:ascii="仿宋" w:hAnsi="仿宋" w:eastAsia="仿宋"/>
          <w:sz w:val="32"/>
          <w:szCs w:val="32"/>
        </w:rPr>
        <w:t>6</w:t>
      </w:r>
      <w:r>
        <w:rPr>
          <w:rFonts w:hint="eastAsia" w:ascii="仿宋" w:hAnsi="仿宋" w:eastAsia="仿宋"/>
          <w:sz w:val="32"/>
          <w:szCs w:val="32"/>
        </w:rPr>
        <w:t>个内设部门。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w:t>
      </w:r>
      <w:r>
        <w:rPr>
          <w:rFonts w:hint="eastAsia" w:ascii="仿宋" w:hAnsi="仿宋" w:eastAsia="仿宋"/>
          <w:sz w:val="32"/>
          <w:szCs w:val="32"/>
          <w:lang w:val="en-US" w:eastAsia="zh-CN"/>
        </w:rPr>
        <w:t>他</w:t>
      </w:r>
      <w:r>
        <w:rPr>
          <w:rFonts w:ascii="仿宋" w:hAnsi="仿宋" w:eastAsia="仿宋"/>
          <w:sz w:val="32"/>
          <w:szCs w:val="32"/>
        </w:rPr>
        <w:t>工作。</w:t>
      </w:r>
    </w:p>
    <w:p>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加强治安秩序管理，开展法制宣传教育，增强师生员工法制观念，预防和减少违法犯罪行为。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分水镇中心小学校</w:t>
      </w:r>
      <w:r>
        <w:rPr>
          <w:rFonts w:hint="eastAsia" w:ascii="仿宋" w:hAnsi="仿宋" w:eastAsia="仿宋"/>
          <w:sz w:val="32"/>
          <w:szCs w:val="32"/>
        </w:rPr>
        <w:t>年初在职教师</w:t>
      </w:r>
      <w:r>
        <w:rPr>
          <w:rFonts w:hint="eastAsia" w:ascii="仿宋" w:hAnsi="仿宋" w:eastAsia="仿宋"/>
          <w:sz w:val="32"/>
          <w:szCs w:val="32"/>
          <w:lang w:val="en-US" w:eastAsia="zh-CN"/>
        </w:rPr>
        <w:t>55</w:t>
      </w:r>
      <w:r>
        <w:rPr>
          <w:rFonts w:ascii="仿宋" w:hAnsi="仿宋" w:eastAsia="仿宋"/>
          <w:sz w:val="32"/>
          <w:szCs w:val="32"/>
        </w:rPr>
        <w:t>人，</w:t>
      </w:r>
      <w:r>
        <w:rPr>
          <w:rFonts w:hint="eastAsia" w:ascii="仿宋" w:hAnsi="仿宋" w:eastAsia="仿宋"/>
          <w:sz w:val="32"/>
          <w:szCs w:val="32"/>
        </w:rPr>
        <w:t>年末在职教师</w:t>
      </w:r>
      <w:r>
        <w:rPr>
          <w:rFonts w:hint="eastAsia" w:ascii="仿宋" w:hAnsi="仿宋" w:eastAsia="仿宋"/>
          <w:sz w:val="32"/>
          <w:szCs w:val="32"/>
          <w:lang w:val="en-US" w:eastAsia="zh-CN"/>
        </w:rPr>
        <w:t>47</w:t>
      </w:r>
      <w:r>
        <w:rPr>
          <w:rFonts w:ascii="仿宋" w:hAnsi="仿宋" w:eastAsia="仿宋"/>
          <w:sz w:val="32"/>
          <w:szCs w:val="32"/>
        </w:rPr>
        <w:t>人</w:t>
      </w:r>
      <w:r>
        <w:rPr>
          <w:rFonts w:hint="eastAsia" w:ascii="仿宋" w:hAnsi="仿宋" w:eastAsia="仿宋"/>
          <w:sz w:val="32"/>
          <w:szCs w:val="32"/>
        </w:rPr>
        <w:t>，调出</w:t>
      </w:r>
      <w:r>
        <w:rPr>
          <w:rFonts w:hint="eastAsia" w:ascii="仿宋" w:hAnsi="仿宋" w:eastAsia="仿宋"/>
          <w:sz w:val="32"/>
          <w:szCs w:val="32"/>
          <w:lang w:val="en-US" w:eastAsia="zh-CN"/>
        </w:rPr>
        <w:t>11</w:t>
      </w:r>
      <w:r>
        <w:rPr>
          <w:rFonts w:hint="eastAsia" w:ascii="仿宋" w:hAnsi="仿宋" w:eastAsia="仿宋"/>
          <w:sz w:val="32"/>
          <w:szCs w:val="32"/>
        </w:rPr>
        <w:t>人,调入</w:t>
      </w:r>
      <w:r>
        <w:rPr>
          <w:rFonts w:hint="eastAsia" w:ascii="仿宋" w:hAnsi="仿宋" w:eastAsia="仿宋"/>
          <w:sz w:val="32"/>
          <w:szCs w:val="32"/>
          <w:lang w:val="en-US" w:eastAsia="zh-CN"/>
        </w:rPr>
        <w:t>8</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lang w:val="en-US" w:eastAsia="zh-CN"/>
        </w:rPr>
        <w:t>退休5人，</w:t>
      </w:r>
      <w:r>
        <w:rPr>
          <w:rFonts w:hint="eastAsia" w:ascii="仿宋" w:hAnsi="仿宋" w:eastAsia="仿宋"/>
          <w:sz w:val="32"/>
          <w:szCs w:val="32"/>
        </w:rPr>
        <w:t>年末教师</w:t>
      </w:r>
      <w:r>
        <w:rPr>
          <w:rFonts w:hint="eastAsia" w:ascii="仿宋" w:hAnsi="仿宋" w:eastAsia="仿宋"/>
          <w:sz w:val="32"/>
          <w:szCs w:val="32"/>
          <w:lang w:val="en-US" w:eastAsia="zh-CN"/>
        </w:rPr>
        <w:t>47</w:t>
      </w:r>
      <w:r>
        <w:rPr>
          <w:rFonts w:hint="eastAsia" w:ascii="仿宋" w:hAnsi="仿宋" w:eastAsia="仿宋"/>
          <w:sz w:val="32"/>
          <w:szCs w:val="32"/>
        </w:rPr>
        <w:t>人</w:t>
      </w:r>
      <w:r>
        <w:rPr>
          <w:rFonts w:ascii="仿宋" w:hAnsi="仿宋" w:eastAsia="仿宋"/>
          <w:sz w:val="32"/>
          <w:szCs w:val="32"/>
        </w:rPr>
        <w:t>。</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pPr>
        <w:spacing w:line="600" w:lineRule="exact"/>
        <w:ind w:firstLine="640" w:firstLineChars="200"/>
        <w:outlineLvl w:val="1"/>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3年本年收入合计</w:t>
      </w:r>
      <w:r>
        <w:rPr>
          <w:rFonts w:hint="eastAsia" w:ascii="仿宋" w:hAnsi="仿宋" w:eastAsia="仿宋"/>
          <w:sz w:val="32"/>
          <w:szCs w:val="32"/>
        </w:rPr>
        <w:t>1090.65</w:t>
      </w:r>
      <w:r>
        <w:rPr>
          <w:rFonts w:hint="eastAsia" w:ascii="仿宋" w:hAnsi="仿宋" w:eastAsia="仿宋"/>
          <w:color w:val="000000"/>
          <w:sz w:val="32"/>
          <w:szCs w:val="32"/>
        </w:rPr>
        <w:t>万元，其中：一般公共预算财政拨款收入</w:t>
      </w:r>
      <w:r>
        <w:rPr>
          <w:rFonts w:hint="eastAsia" w:ascii="仿宋" w:hAnsi="仿宋" w:eastAsia="仿宋"/>
          <w:sz w:val="32"/>
          <w:szCs w:val="32"/>
        </w:rPr>
        <w:t>1090.65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widowControl/>
        <w:numPr>
          <w:ilvl w:val="0"/>
          <w:numId w:val="9"/>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pPr>
        <w:spacing w:line="600" w:lineRule="exact"/>
        <w:ind w:firstLine="640"/>
        <w:rPr>
          <w:rFonts w:hint="eastAsia" w:ascii="仿宋" w:hAnsi="仿宋" w:eastAsia="仿宋"/>
          <w:sz w:val="32"/>
          <w:szCs w:val="32"/>
        </w:rPr>
      </w:pPr>
      <w:r>
        <w:rPr>
          <w:rFonts w:hint="eastAsia" w:ascii="仿宋" w:hAnsi="仿宋" w:eastAsia="仿宋"/>
          <w:sz w:val="32"/>
          <w:szCs w:val="32"/>
        </w:rPr>
        <w:t>2023年一般公共预算财政拨款支出1090.65万元，主要用于以下方面: 教育支出854.02万元，占78.30%；社会保障和就业支出131.83万元，占12.08%；卫生健康支出34.52万元，占3.17%；住房保障支出70.28万元，占6.44%；</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三、部门整体预算绩效管理情况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分水镇中心小学校</w:t>
      </w:r>
      <w:r>
        <w:rPr>
          <w:rFonts w:hint="eastAsia" w:ascii="仿宋" w:hAnsi="仿宋" w:eastAsia="仿宋"/>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pPr>
        <w:numPr>
          <w:ilvl w:val="0"/>
          <w:numId w:val="0"/>
        </w:numPr>
        <w:spacing w:line="600" w:lineRule="exact"/>
        <w:ind w:leftChars="150"/>
        <w:jc w:val="both"/>
        <w:outlineLvl w:val="0"/>
        <w:rPr>
          <w:rStyle w:val="29"/>
          <w:rFonts w:hint="eastAsia" w:ascii="黑体" w:hAnsi="黑体" w:eastAsia="黑体"/>
          <w:b w:val="0"/>
        </w:rPr>
      </w:pPr>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bookmarkStart w:id="60" w:name="_Toc15396618"/>
      <w:r>
        <w:rPr>
          <w:rFonts w:hint="eastAsia"/>
          <w:sz w:val="32"/>
          <w:szCs w:val="32"/>
        </w:rPr>
        <w:t>部门预算项目支出绩效自评表（2023年度）</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9"/>
        <w:gridCol w:w="842"/>
        <w:gridCol w:w="1138"/>
        <w:gridCol w:w="396"/>
        <w:gridCol w:w="729"/>
        <w:gridCol w:w="396"/>
        <w:gridCol w:w="846"/>
        <w:gridCol w:w="678"/>
        <w:gridCol w:w="679"/>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遂宁市安居区分水镇中心小学校部门</w:t>
            </w:r>
          </w:p>
        </w:tc>
        <w:tc>
          <w:tcPr>
            <w:tcW w:w="50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效益指标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服务对象满意度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在校学生评价满意度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default" w:ascii="Arial" w:hAnsi="Arial" w:eastAsia="宋体" w:cs="Arial"/>
                <w:snapToGrid/>
                <w:color w:val="000000"/>
                <w:spacing w:val="-4"/>
                <w:kern w:val="0"/>
                <w:sz w:val="18"/>
                <w:szCs w:val="18"/>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eastAsia" w:ascii="宋体" w:hAnsi="宋体" w:eastAsia="宋体" w:cs="宋体"/>
                <w:snapToGrid/>
                <w:color w:val="000000"/>
                <w:spacing w:val="-4"/>
                <w:kern w:val="0"/>
                <w:sz w:val="18"/>
                <w:szCs w:val="18"/>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eastAsia" w:ascii="宋体" w:hAnsi="宋体" w:eastAsia="宋体" w:cs="宋体"/>
                <w:snapToGrid/>
                <w:color w:val="000000"/>
                <w:spacing w:val="-4"/>
                <w:kern w:val="0"/>
                <w:sz w:val="18"/>
                <w:szCs w:val="18"/>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snapToGrid/>
                <w:color w:val="000000"/>
                <w:spacing w:val="-4"/>
                <w:kern w:val="0"/>
                <w:sz w:val="18"/>
                <w:szCs w:val="18"/>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5"/>
              <w:keepNext w:val="0"/>
              <w:keepLines w:val="0"/>
              <w:widowControl/>
              <w:suppressLineNumbers w:val="0"/>
              <w:kinsoku w:val="0"/>
              <w:autoSpaceDE w:val="0"/>
              <w:autoSpaceDN w:val="0"/>
              <w:adjustRightInd w:val="0"/>
              <w:snapToGrid w:val="0"/>
              <w:spacing w:before="206" w:beforeAutospacing="0" w:after="0" w:afterAutospacing="0"/>
              <w:ind w:left="290" w:leftChars="0" w:right="0" w:rightChars="0"/>
              <w:jc w:val="left"/>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5"/>
              <w:keepNext w:val="0"/>
              <w:keepLines w:val="0"/>
              <w:widowControl/>
              <w:suppressLineNumbers w:val="0"/>
              <w:kinsoku w:val="0"/>
              <w:autoSpaceDE w:val="0"/>
              <w:autoSpaceDN w:val="0"/>
              <w:adjustRightInd w:val="0"/>
              <w:snapToGrid w:val="0"/>
              <w:spacing w:before="206" w:beforeAutospacing="0" w:after="0" w:afterAutospacing="0"/>
              <w:ind w:left="291" w:leftChars="0" w:right="0" w:rightChars="0"/>
              <w:jc w:val="left"/>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90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i w:val="0"/>
                <w:iCs w:val="0"/>
                <w:color w:val="000000"/>
                <w:kern w:val="0"/>
                <w:sz w:val="22"/>
                <w:szCs w:val="22"/>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w:t>
            </w:r>
            <w:r>
              <w:rPr>
                <w:rFonts w:hint="eastAsia" w:ascii="宋体" w:hAnsi="宋体" w:eastAsia="宋体" w:cs="宋体"/>
                <w:i w:val="0"/>
                <w:iCs w:val="0"/>
                <w:color w:val="000000"/>
                <w:kern w:val="0"/>
                <w:sz w:val="18"/>
                <w:szCs w:val="18"/>
                <w:u w:val="none"/>
                <w:lang w:val="en-US" w:eastAsia="zh-CN" w:bidi="ar"/>
              </w:rPr>
              <w:t>行</w:t>
            </w:r>
            <w:r>
              <w:rPr>
                <w:rFonts w:ascii="宋体" w:hAnsi="宋体" w:eastAsia="宋体" w:cs="宋体"/>
                <w:i w:val="0"/>
                <w:iCs w:val="0"/>
                <w:color w:val="000000"/>
                <w:kern w:val="0"/>
                <w:sz w:val="18"/>
                <w:szCs w:val="18"/>
                <w:u w:val="none"/>
                <w:lang w:val="en-US" w:eastAsia="zh-CN" w:bidi="ar"/>
              </w:rPr>
              <w:t>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w:t>
            </w:r>
            <w:r>
              <w:rPr>
                <w:rFonts w:hint="eastAsia" w:ascii="宋体" w:hAnsi="宋体" w:eastAsia="宋体"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zh-CN" w:eastAsia="zh-CN" w:bidi="ar"/>
              </w:rPr>
              <w:t>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因留守儿童多，父母外出务工，爷爷奶奶对银行卡查询记录不熟悉</w:t>
            </w:r>
            <w:bookmarkStart w:id="79" w:name="_GoBack"/>
            <w:bookmarkEnd w:id="79"/>
            <w:r>
              <w:rPr>
                <w:rFonts w:hint="eastAsia" w:ascii="微软雅黑" w:hAnsi="微软雅黑" w:eastAsia="微软雅黑" w:cs="微软雅黑"/>
                <w:i/>
                <w:iCs/>
                <w:color w:val="000000"/>
                <w:kern w:val="0"/>
                <w:sz w:val="16"/>
                <w:szCs w:val="16"/>
                <w:u w:val="none"/>
                <w:lang w:val="en-US" w:eastAsia="zh-CN" w:bidi="ar"/>
              </w:rPr>
              <w:t>，造成部分家长对自己孩子享有的助学金额不清楚。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zh-CN" w:eastAsia="zh-CN" w:bidi="ar"/>
              </w:rPr>
              <w:t>进一步加强教育资助政策宣传及资助情况的反馈公示。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项目负责人：周璞</w:t>
            </w:r>
          </w:p>
        </w:tc>
        <w:tc>
          <w:tcPr>
            <w:tcW w:w="25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遂宁市安居区分水镇中心小学校部门</w:t>
            </w:r>
          </w:p>
        </w:tc>
        <w:tc>
          <w:tcPr>
            <w:tcW w:w="50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1.撤除教学楼楼顶原有琉璃瓦屋面约600平方米（含外运），重做树脂瓦防水屋面约700平方米（含钢架）；</w:t>
            </w:r>
          </w:p>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2.撤除食堂房顶隔热层和树脂瓦约500平方米（含外运），重做隔热层和树脂瓦防水屋面约500平方米。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44.22</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38.42</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86.88%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44.22</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38.42</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86.88%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效益指标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服务对象满意度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i w:val="0"/>
                <w:iCs w:val="0"/>
                <w:color w:val="000000"/>
                <w:sz w:val="18"/>
                <w:szCs w:val="18"/>
                <w:u w:val="none"/>
                <w:lang w:val="en-US" w:eastAsia="zh-CN"/>
              </w:rPr>
            </w:pPr>
            <w:r>
              <w:rPr>
                <w:rFonts w:hint="eastAsia" w:ascii="宋体" w:hAnsi="宋体" w:cs="宋体"/>
                <w:snapToGrid/>
                <w:color w:val="000000"/>
                <w:spacing w:val="-4"/>
                <w:kern w:val="0"/>
                <w:sz w:val="18"/>
                <w:szCs w:val="18"/>
                <w:lang w:val="en-US" w:eastAsia="zh-CN" w:bidi="ar"/>
              </w:rPr>
              <w:t>社会满意度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default" w:ascii="Arial" w:hAnsi="Arial" w:eastAsia="宋体" w:cs="Arial"/>
                <w:snapToGrid/>
                <w:color w:val="000000"/>
                <w:spacing w:val="-4"/>
                <w:kern w:val="0"/>
                <w:sz w:val="18"/>
                <w:szCs w:val="18"/>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eastAsia" w:ascii="宋体" w:hAnsi="宋体" w:eastAsia="宋体" w:cs="宋体"/>
                <w:snapToGrid/>
                <w:color w:val="000000"/>
                <w:spacing w:val="-4"/>
                <w:kern w:val="0"/>
                <w:sz w:val="18"/>
                <w:szCs w:val="18"/>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eastAsia" w:ascii="宋体" w:hAnsi="宋体" w:eastAsia="宋体" w:cs="宋体"/>
                <w:snapToGrid/>
                <w:color w:val="000000"/>
                <w:spacing w:val="-4"/>
                <w:kern w:val="0"/>
                <w:sz w:val="18"/>
                <w:szCs w:val="18"/>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微软雅黑" w:hAnsi="微软雅黑" w:eastAsia="微软雅黑" w:cs="微软雅黑"/>
                <w:i/>
                <w:iCs/>
                <w:color w:val="000000"/>
                <w:sz w:val="16"/>
                <w:szCs w:val="16"/>
                <w:u w:val="none"/>
              </w:rPr>
            </w:pPr>
            <w:r>
              <w:rPr>
                <w:rFonts w:hint="eastAsia" w:ascii="宋体" w:hAnsi="宋体" w:eastAsia="宋体" w:cs="宋体"/>
                <w:snapToGrid/>
                <w:color w:val="000000"/>
                <w:spacing w:val="-4"/>
                <w:kern w:val="0"/>
                <w:sz w:val="18"/>
                <w:szCs w:val="18"/>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5"/>
              <w:keepNext w:val="0"/>
              <w:keepLines w:val="0"/>
              <w:widowControl/>
              <w:suppressLineNumbers w:val="0"/>
              <w:kinsoku w:val="0"/>
              <w:autoSpaceDE w:val="0"/>
              <w:autoSpaceDN w:val="0"/>
              <w:adjustRightInd w:val="0"/>
              <w:snapToGrid w:val="0"/>
              <w:spacing w:before="206" w:beforeAutospacing="0" w:after="0" w:afterAutospacing="0"/>
              <w:ind w:left="290" w:leftChars="0" w:right="0" w:rightChars="0"/>
              <w:jc w:val="left"/>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5"/>
              <w:keepNext w:val="0"/>
              <w:keepLines w:val="0"/>
              <w:widowControl/>
              <w:suppressLineNumbers w:val="0"/>
              <w:kinsoku w:val="0"/>
              <w:autoSpaceDE w:val="0"/>
              <w:autoSpaceDN w:val="0"/>
              <w:adjustRightInd w:val="0"/>
              <w:snapToGrid w:val="0"/>
              <w:spacing w:before="206" w:beforeAutospacing="0" w:after="0" w:afterAutospacing="0"/>
              <w:ind w:left="291" w:leftChars="0" w:right="0" w:rightChars="0"/>
              <w:jc w:val="left"/>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90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优，严格执行相关政策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按要求支付</w:t>
            </w:r>
            <w:r>
              <w:rPr>
                <w:rFonts w:hint="eastAsia" w:ascii="宋体" w:hAnsi="宋体" w:eastAsia="宋体" w:cs="宋体"/>
                <w:i w:val="0"/>
                <w:iCs w:val="0"/>
                <w:color w:val="000000"/>
                <w:kern w:val="0"/>
                <w:sz w:val="18"/>
                <w:szCs w:val="18"/>
                <w:u w:val="none"/>
                <w:lang w:val="en-US" w:eastAsia="zh-CN" w:bidi="ar"/>
              </w:rPr>
              <w:t>，促进学校健康发展。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申报资金计划</w:t>
            </w:r>
            <w:r>
              <w:rPr>
                <w:rFonts w:hint="eastAsia" w:ascii="宋体" w:hAnsi="宋体" w:cs="宋体"/>
                <w:i w:val="0"/>
                <w:iCs w:val="0"/>
                <w:color w:val="000000"/>
                <w:kern w:val="0"/>
                <w:sz w:val="18"/>
                <w:szCs w:val="18"/>
                <w:u w:val="none"/>
                <w:lang w:val="en-US" w:eastAsia="zh-CN" w:bidi="ar"/>
              </w:rPr>
              <w:t>落后于</w:t>
            </w:r>
            <w:r>
              <w:rPr>
                <w:rFonts w:hint="eastAsia" w:ascii="宋体" w:hAnsi="宋体" w:eastAsia="宋体" w:cs="宋体"/>
                <w:i w:val="0"/>
                <w:iCs w:val="0"/>
                <w:color w:val="000000"/>
                <w:kern w:val="0"/>
                <w:sz w:val="18"/>
                <w:szCs w:val="18"/>
                <w:u w:val="none"/>
                <w:lang w:val="en-US" w:eastAsia="zh-CN" w:bidi="ar"/>
              </w:rPr>
              <w:t>维修建设进度。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按需申报资金、及时支付。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项目负责人：周璞</w:t>
            </w:r>
          </w:p>
        </w:tc>
        <w:tc>
          <w:tcPr>
            <w:tcW w:w="25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51090423R000007728988-缓刑或刑满退休人员补助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遂宁市安居区分水镇中心小学校部门</w:t>
            </w:r>
          </w:p>
        </w:tc>
        <w:tc>
          <w:tcPr>
            <w:tcW w:w="50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w:t>
            </w:r>
            <w:bookmarkStart w:id="61" w:name="OLE_LINK6"/>
            <w:r>
              <w:rPr>
                <w:rFonts w:ascii="宋体" w:hAnsi="宋体" w:eastAsia="宋体" w:cs="宋体"/>
                <w:i w:val="0"/>
                <w:iCs w:val="0"/>
                <w:color w:val="000000"/>
                <w:kern w:val="0"/>
                <w:sz w:val="18"/>
                <w:szCs w:val="18"/>
                <w:u w:val="none"/>
                <w:lang w:val="en-US" w:eastAsia="zh-CN" w:bidi="ar"/>
              </w:rPr>
              <w:t>及时、足额发放</w:t>
            </w:r>
            <w:bookmarkEnd w:id="61"/>
            <w:r>
              <w:rPr>
                <w:rFonts w:ascii="宋体" w:hAnsi="宋体" w:eastAsia="宋体" w:cs="宋体"/>
                <w:i w:val="0"/>
                <w:iCs w:val="0"/>
                <w:color w:val="000000"/>
                <w:kern w:val="0"/>
                <w:sz w:val="18"/>
                <w:szCs w:val="18"/>
                <w:u w:val="none"/>
                <w:lang w:val="en-US" w:eastAsia="zh-CN" w:bidi="ar"/>
              </w:rPr>
              <w:t>或社保及时、足额缴纳，预算编制科学合理，减少结余资金。</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及时、足额发放</w:t>
            </w:r>
            <w:r>
              <w:rPr>
                <w:rFonts w:hint="eastAsia" w:ascii="宋体" w:hAnsi="宋体" w:cs="宋体"/>
                <w:i w:val="0"/>
                <w:iCs w:val="0"/>
                <w:color w:val="000000"/>
                <w:kern w:val="0"/>
                <w:sz w:val="18"/>
                <w:szCs w:val="18"/>
                <w:u w:val="none"/>
                <w:lang w:val="en-US" w:eastAsia="zh-CN" w:bidi="ar"/>
              </w:rPr>
              <w:t>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为我校缓刑退休人员提供生活补助。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按月足额发放了缓刑退休人员生活补助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项目负责人：周璞</w:t>
            </w:r>
          </w:p>
        </w:tc>
        <w:tc>
          <w:tcPr>
            <w:tcW w:w="25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51090423R000008486429-辞退民师补助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遂宁市安居区分水镇中心小学校部门</w:t>
            </w:r>
          </w:p>
        </w:tc>
        <w:tc>
          <w:tcPr>
            <w:tcW w:w="50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严格执行相关政策，保障及时、足额发放</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预算编制科学合理，减少结余资金。</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严格执行相关政策，严格按</w:t>
            </w:r>
            <w:r>
              <w:rPr>
                <w:rFonts w:hint="eastAsia" w:ascii="宋体" w:hAnsi="宋体" w:eastAsia="宋体" w:cs="宋体"/>
                <w:i w:val="0"/>
                <w:iCs w:val="0"/>
                <w:color w:val="000000"/>
                <w:kern w:val="0"/>
                <w:sz w:val="18"/>
                <w:szCs w:val="18"/>
                <w:u w:val="none"/>
                <w:lang w:val="en-US" w:eastAsia="zh-CN" w:bidi="ar"/>
              </w:rPr>
              <w:t>需</w:t>
            </w:r>
            <w:r>
              <w:rPr>
                <w:rFonts w:ascii="宋体" w:hAnsi="宋体" w:eastAsia="宋体" w:cs="宋体"/>
                <w:i w:val="0"/>
                <w:iCs w:val="0"/>
                <w:color w:val="000000"/>
                <w:kern w:val="0"/>
                <w:sz w:val="18"/>
                <w:szCs w:val="18"/>
                <w:u w:val="none"/>
                <w:lang w:val="en-US" w:eastAsia="zh-CN" w:bidi="ar"/>
              </w:rPr>
              <w:t>申报预算资金，及时支付，</w:t>
            </w:r>
            <w:r>
              <w:rPr>
                <w:rFonts w:hint="eastAsia" w:ascii="宋体" w:hAnsi="宋体" w:cs="宋体"/>
                <w:i w:val="0"/>
                <w:iCs w:val="0"/>
                <w:color w:val="000000"/>
                <w:kern w:val="0"/>
                <w:sz w:val="18"/>
                <w:szCs w:val="18"/>
                <w:u w:val="none"/>
                <w:lang w:val="en-US" w:eastAsia="zh-CN" w:bidi="ar"/>
              </w:rPr>
              <w:t>完成</w:t>
            </w:r>
            <w:r>
              <w:rPr>
                <w:rFonts w:ascii="宋体" w:hAnsi="宋体" w:eastAsia="宋体" w:cs="宋体"/>
                <w:i w:val="0"/>
                <w:iCs w:val="0"/>
                <w:color w:val="000000"/>
                <w:kern w:val="0"/>
                <w:sz w:val="18"/>
                <w:szCs w:val="18"/>
                <w:u w:val="none"/>
                <w:lang w:val="en-US" w:eastAsia="zh-CN" w:bidi="ar"/>
              </w:rPr>
              <w:t>补助支出</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为辞退民师提供生活补助，缓减他们的生活困难。</w:t>
            </w:r>
            <w:r>
              <w:rPr>
                <w:rFonts w:hint="eastAsia" w:ascii="宋体" w:hAnsi="宋体" w:eastAsia="宋体" w:cs="宋体"/>
                <w:i w:val="0"/>
                <w:iCs w:val="0"/>
                <w:color w:val="000000"/>
                <w:kern w:val="0"/>
                <w:sz w:val="18"/>
                <w:szCs w:val="18"/>
                <w:u w:val="none"/>
                <w:lang w:val="en-US" w:eastAsia="zh-CN" w:bidi="ar"/>
              </w:rPr>
              <w:t>按需</w:t>
            </w:r>
            <w:r>
              <w:rPr>
                <w:rFonts w:ascii="宋体" w:hAnsi="宋体" w:eastAsia="宋体" w:cs="宋体"/>
                <w:i w:val="0"/>
                <w:iCs w:val="0"/>
                <w:color w:val="000000"/>
                <w:kern w:val="0"/>
                <w:sz w:val="18"/>
                <w:szCs w:val="18"/>
                <w:u w:val="none"/>
                <w:lang w:val="en-US" w:eastAsia="zh-CN" w:bidi="ar"/>
              </w:rPr>
              <w:t>申报，及时发放</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bookmarkStart w:id="62" w:name="OLE_LINK10" w:colFirst="5" w:colLast="5"/>
            <w:bookmarkStart w:id="63" w:name="OLE_LINK8" w:colFirst="1" w:colLast="3"/>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效益指标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bookmarkStart w:id="64" w:name="OLE_LINK9"/>
            <w:r>
              <w:rPr>
                <w:rFonts w:hint="eastAsia" w:ascii="宋体" w:hAnsi="宋体" w:eastAsia="宋体" w:cs="宋体"/>
                <w:snapToGrid/>
                <w:color w:val="000000"/>
                <w:spacing w:val="-4"/>
                <w:kern w:val="0"/>
                <w:sz w:val="18"/>
                <w:szCs w:val="18"/>
                <w:lang w:val="en-US" w:eastAsia="zh-CN" w:bidi="ar"/>
              </w:rPr>
              <w:t>服务对象满意度</w:t>
            </w:r>
            <w:bookmarkEnd w:id="64"/>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default" w:ascii="Arial" w:hAnsi="Arial" w:eastAsia="宋体" w:cs="Arial"/>
                <w:snapToGrid/>
                <w:color w:val="000000"/>
                <w:spacing w:val="-4"/>
                <w:kern w:val="0"/>
                <w:sz w:val="18"/>
                <w:szCs w:val="18"/>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eastAsia" w:ascii="宋体" w:hAnsi="宋体" w:eastAsia="宋体" w:cs="宋体"/>
                <w:snapToGrid/>
                <w:color w:val="000000"/>
                <w:spacing w:val="-4"/>
                <w:kern w:val="0"/>
                <w:sz w:val="18"/>
                <w:szCs w:val="18"/>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eastAsia" w:ascii="宋体" w:hAnsi="宋体" w:eastAsia="宋体" w:cs="宋体"/>
                <w:snapToGrid/>
                <w:color w:val="000000"/>
                <w:spacing w:val="-4"/>
                <w:kern w:val="0"/>
                <w:sz w:val="18"/>
                <w:szCs w:val="18"/>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微软雅黑" w:hAnsi="微软雅黑" w:eastAsia="微软雅黑" w:cs="微软雅黑"/>
                <w:i/>
                <w:iCs/>
                <w:color w:val="000000"/>
                <w:sz w:val="16"/>
                <w:szCs w:val="16"/>
                <w:u w:val="none"/>
              </w:rPr>
            </w:pPr>
            <w:r>
              <w:rPr>
                <w:rFonts w:hint="eastAsia" w:ascii="宋体" w:hAnsi="宋体" w:eastAsia="宋体" w:cs="宋体"/>
                <w:snapToGrid/>
                <w:color w:val="000000"/>
                <w:spacing w:val="-4"/>
                <w:kern w:val="0"/>
                <w:sz w:val="18"/>
                <w:szCs w:val="18"/>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5"/>
              <w:keepNext w:val="0"/>
              <w:keepLines w:val="0"/>
              <w:widowControl/>
              <w:suppressLineNumbers w:val="0"/>
              <w:kinsoku w:val="0"/>
              <w:autoSpaceDE w:val="0"/>
              <w:autoSpaceDN w:val="0"/>
              <w:adjustRightInd w:val="0"/>
              <w:snapToGrid w:val="0"/>
              <w:spacing w:before="206" w:beforeAutospacing="0" w:after="0" w:afterAutospacing="0"/>
              <w:ind w:left="290" w:leftChars="0" w:right="0" w:rightChars="0"/>
              <w:jc w:val="left"/>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5"/>
              <w:keepNext w:val="0"/>
              <w:keepLines w:val="0"/>
              <w:widowControl/>
              <w:suppressLineNumbers w:val="0"/>
              <w:kinsoku w:val="0"/>
              <w:autoSpaceDE w:val="0"/>
              <w:autoSpaceDN w:val="0"/>
              <w:adjustRightInd w:val="0"/>
              <w:snapToGrid w:val="0"/>
              <w:spacing w:before="206" w:beforeAutospacing="0" w:after="0" w:afterAutospacing="0"/>
              <w:ind w:left="291" w:leftChars="0" w:right="0" w:rightChars="0"/>
              <w:jc w:val="left"/>
              <w:textAlignment w:val="baseline"/>
              <w:rPr>
                <w:rFonts w:hint="eastAsia" w:ascii="宋体" w:hAnsi="宋体" w:eastAsia="宋体" w:cs="宋体"/>
                <w:i w:val="0"/>
                <w:iCs w:val="0"/>
                <w:color w:val="000000"/>
                <w:sz w:val="18"/>
                <w:szCs w:val="18"/>
                <w:u w:val="none"/>
              </w:rPr>
            </w:pPr>
            <w:r>
              <w:rPr>
                <w:rFonts w:hint="eastAsia" w:ascii="宋体" w:hAnsi="宋体" w:eastAsia="宋体" w:cs="宋体"/>
                <w:snapToGrid/>
                <w:color w:val="000000"/>
                <w:spacing w:val="-4"/>
                <w:kern w:val="0"/>
                <w:sz w:val="18"/>
                <w:szCs w:val="18"/>
                <w:lang w:val="en-US" w:eastAsia="zh-CN" w:bidi="ar"/>
              </w:rPr>
              <w:t>90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bookmarkEnd w:id="62"/>
      <w:bookmarkEnd w:id="6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优，严格执行相关政策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按要求支付</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w:t>
            </w:r>
            <w:r>
              <w:rPr>
                <w:rFonts w:hint="eastAsia" w:ascii="宋体" w:hAnsi="宋体" w:eastAsia="宋体" w:cs="宋体"/>
                <w:i w:val="0"/>
                <w:iCs w:val="0"/>
                <w:color w:val="000000"/>
                <w:kern w:val="0"/>
                <w:sz w:val="18"/>
                <w:szCs w:val="18"/>
                <w:u w:val="none"/>
                <w:lang w:val="en-US" w:eastAsia="zh-CN" w:bidi="ar"/>
              </w:rPr>
              <w:t>障</w:t>
            </w:r>
            <w:r>
              <w:rPr>
                <w:rFonts w:ascii="宋体" w:hAnsi="宋体" w:eastAsia="宋体" w:cs="宋体"/>
                <w:i w:val="0"/>
                <w:iCs w:val="0"/>
                <w:color w:val="000000"/>
                <w:kern w:val="0"/>
                <w:sz w:val="18"/>
                <w:szCs w:val="18"/>
                <w:u w:val="none"/>
                <w:lang w:val="en-US" w:eastAsia="zh-CN" w:bidi="ar"/>
              </w:rPr>
              <w:t>生活补助及时</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足额发放</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部分辞退民师年龄过大，核定其生存状况有难度。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及时按需申报、</w:t>
            </w:r>
            <w:r>
              <w:rPr>
                <w:rFonts w:ascii="宋体" w:hAnsi="宋体" w:eastAsia="宋体" w:cs="宋体"/>
                <w:i w:val="0"/>
                <w:iCs w:val="0"/>
                <w:color w:val="000000"/>
                <w:kern w:val="0"/>
                <w:sz w:val="18"/>
                <w:szCs w:val="18"/>
                <w:u w:val="none"/>
                <w:lang w:val="en-US" w:eastAsia="zh-CN" w:bidi="ar"/>
              </w:rPr>
              <w:t>足额发放</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项目负责人：周璞</w:t>
            </w:r>
          </w:p>
        </w:tc>
        <w:tc>
          <w:tcPr>
            <w:tcW w:w="25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遂宁市安居区分水镇中心小学校部门</w:t>
            </w:r>
          </w:p>
        </w:tc>
        <w:tc>
          <w:tcPr>
            <w:tcW w:w="50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bookmarkStart w:id="65" w:name="OLE_LINK5" w:colFirst="2" w:colLast="3"/>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严格执行相关政策，保障及时、足额发放</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预算编制科学合理，减少结余资金。</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严格执行相关政策，严格按</w:t>
            </w:r>
            <w:r>
              <w:rPr>
                <w:rFonts w:hint="eastAsia" w:ascii="宋体" w:hAnsi="宋体" w:eastAsia="宋体" w:cs="宋体"/>
                <w:i w:val="0"/>
                <w:iCs w:val="0"/>
                <w:color w:val="000000"/>
                <w:kern w:val="0"/>
                <w:sz w:val="18"/>
                <w:szCs w:val="18"/>
                <w:u w:val="none"/>
                <w:lang w:val="en-US" w:eastAsia="zh-CN" w:bidi="ar"/>
              </w:rPr>
              <w:t>需</w:t>
            </w:r>
            <w:r>
              <w:rPr>
                <w:rFonts w:ascii="宋体" w:hAnsi="宋体" w:eastAsia="宋体" w:cs="宋体"/>
                <w:i w:val="0"/>
                <w:iCs w:val="0"/>
                <w:color w:val="000000"/>
                <w:kern w:val="0"/>
                <w:sz w:val="18"/>
                <w:szCs w:val="18"/>
                <w:u w:val="none"/>
                <w:lang w:val="en-US" w:eastAsia="zh-CN" w:bidi="ar"/>
              </w:rPr>
              <w:t>申报预算资金，及时支付，</w:t>
            </w:r>
            <w:r>
              <w:rPr>
                <w:rFonts w:hint="eastAsia" w:ascii="宋体" w:hAnsi="宋体" w:cs="宋体"/>
                <w:i w:val="0"/>
                <w:iCs w:val="0"/>
                <w:color w:val="000000"/>
                <w:kern w:val="0"/>
                <w:sz w:val="18"/>
                <w:szCs w:val="18"/>
                <w:u w:val="none"/>
                <w:lang w:val="en-US" w:eastAsia="zh-CN" w:bidi="ar"/>
              </w:rPr>
              <w:t>完成</w:t>
            </w:r>
            <w:r>
              <w:rPr>
                <w:rFonts w:ascii="宋体" w:hAnsi="宋体" w:eastAsia="宋体" w:cs="宋体"/>
                <w:i w:val="0"/>
                <w:iCs w:val="0"/>
                <w:color w:val="000000"/>
                <w:kern w:val="0"/>
                <w:sz w:val="18"/>
                <w:szCs w:val="18"/>
                <w:u w:val="none"/>
                <w:lang w:val="en-US" w:eastAsia="zh-CN" w:bidi="ar"/>
              </w:rPr>
              <w:t>补助支出</w:t>
            </w:r>
            <w:r>
              <w:rPr>
                <w:rFonts w:hint="eastAsia" w:ascii="宋体" w:hAnsi="宋体" w:cs="宋体"/>
                <w:i w:val="0"/>
                <w:iCs w:val="0"/>
                <w:color w:val="000000"/>
                <w:kern w:val="0"/>
                <w:sz w:val="18"/>
                <w:szCs w:val="18"/>
                <w:u w:val="none"/>
                <w:lang w:val="en-US" w:eastAsia="zh-CN" w:bidi="ar"/>
              </w:rPr>
              <w:t>。</w:t>
            </w:r>
          </w:p>
        </w:tc>
      </w:tr>
      <w:bookmarkEnd w:id="65"/>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为义务教育学生减免作业本费15元/人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效益指标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服务对象满意度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在校学生评价满意度</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default" w:ascii="Arial" w:hAnsi="Arial" w:eastAsia="宋体" w:cs="Arial"/>
                <w:snapToGrid/>
                <w:color w:val="000000"/>
                <w:spacing w:val="-4"/>
                <w:kern w:val="0"/>
                <w:sz w:val="18"/>
                <w:szCs w:val="18"/>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eastAsia" w:ascii="宋体" w:hAnsi="宋体" w:eastAsia="宋体" w:cs="宋体"/>
                <w:snapToGrid/>
                <w:color w:val="000000"/>
                <w:spacing w:val="-4"/>
                <w:kern w:val="0"/>
                <w:sz w:val="18"/>
                <w:szCs w:val="18"/>
                <w:lang w:val="en-US" w:eastAsia="zh-CN" w:bidi="ar"/>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000000"/>
                <w:sz w:val="18"/>
                <w:szCs w:val="18"/>
                <w:u w:val="none"/>
              </w:rPr>
            </w:pPr>
            <w:r>
              <w:rPr>
                <w:rFonts w:hint="eastAsia" w:ascii="宋体" w:hAnsi="宋体" w:eastAsia="宋体" w:cs="宋体"/>
                <w:snapToGrid/>
                <w:color w:val="000000"/>
                <w:spacing w:val="-4"/>
                <w:kern w:val="0"/>
                <w:sz w:val="18"/>
                <w:szCs w:val="18"/>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微软雅黑" w:hAnsi="微软雅黑" w:eastAsia="微软雅黑" w:cs="微软雅黑"/>
                <w:i/>
                <w:iCs/>
                <w:color w:val="000000"/>
                <w:sz w:val="16"/>
                <w:szCs w:val="16"/>
                <w:u w:val="none"/>
              </w:rPr>
            </w:pPr>
            <w:r>
              <w:rPr>
                <w:rFonts w:hint="eastAsia" w:ascii="宋体" w:hAnsi="宋体" w:eastAsia="宋体" w:cs="宋体"/>
                <w:snapToGrid/>
                <w:color w:val="000000"/>
                <w:spacing w:val="-4"/>
                <w:kern w:val="0"/>
                <w:sz w:val="18"/>
                <w:szCs w:val="18"/>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5"/>
              <w:keepNext w:val="0"/>
              <w:keepLines w:val="0"/>
              <w:widowControl/>
              <w:suppressLineNumbers w:val="0"/>
              <w:kinsoku w:val="0"/>
              <w:autoSpaceDE w:val="0"/>
              <w:autoSpaceDN w:val="0"/>
              <w:adjustRightInd w:val="0"/>
              <w:snapToGrid w:val="0"/>
              <w:spacing w:before="206" w:beforeAutospacing="0" w:after="0" w:afterAutospacing="0"/>
              <w:ind w:left="290" w:leftChars="0" w:right="0" w:rightChars="0"/>
              <w:jc w:val="left"/>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5"/>
              <w:keepNext w:val="0"/>
              <w:keepLines w:val="0"/>
              <w:widowControl/>
              <w:suppressLineNumbers w:val="0"/>
              <w:kinsoku w:val="0"/>
              <w:autoSpaceDE w:val="0"/>
              <w:autoSpaceDN w:val="0"/>
              <w:adjustRightInd w:val="0"/>
              <w:snapToGrid w:val="0"/>
              <w:spacing w:before="206" w:beforeAutospacing="0" w:after="0" w:afterAutospacing="0"/>
              <w:ind w:left="291" w:leftChars="0" w:right="0" w:rightChars="0"/>
              <w:jc w:val="left"/>
              <w:textAlignment w:val="baseline"/>
              <w:rPr>
                <w:rFonts w:hint="default" w:ascii="宋体" w:hAnsi="宋体" w:eastAsia="宋体" w:cs="宋体"/>
                <w:i w:val="0"/>
                <w:iCs w:val="0"/>
                <w:color w:val="000000"/>
                <w:sz w:val="18"/>
                <w:szCs w:val="18"/>
                <w:u w:val="none"/>
                <w:lang w:val="en-US" w:eastAsia="zh-CN"/>
              </w:rPr>
            </w:pPr>
            <w:r>
              <w:rPr>
                <w:rFonts w:hint="eastAsia" w:ascii="宋体" w:hAnsi="宋体" w:eastAsia="宋体" w:cs="宋体"/>
                <w:snapToGrid/>
                <w:color w:val="000000"/>
                <w:spacing w:val="-4"/>
                <w:kern w:val="0"/>
                <w:sz w:val="18"/>
                <w:szCs w:val="18"/>
                <w:lang w:val="en-US" w:eastAsia="zh-CN" w:bidi="ar"/>
              </w:rPr>
              <w:t>90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优，严格执行相关政策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按要求支付</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w:t>
            </w:r>
            <w:r>
              <w:rPr>
                <w:rFonts w:hint="eastAsia" w:ascii="宋体" w:hAnsi="宋体" w:eastAsia="宋体" w:cs="宋体"/>
                <w:i w:val="0"/>
                <w:iCs w:val="0"/>
                <w:color w:val="000000"/>
                <w:kern w:val="0"/>
                <w:sz w:val="18"/>
                <w:szCs w:val="18"/>
                <w:u w:val="none"/>
                <w:lang w:val="en-US" w:eastAsia="zh-CN" w:bidi="ar"/>
              </w:rPr>
              <w:t>障</w:t>
            </w:r>
            <w:r>
              <w:rPr>
                <w:rFonts w:hint="eastAsia" w:ascii="宋体" w:hAnsi="宋体" w:eastAsia="宋体" w:cs="宋体"/>
                <w:i w:val="0"/>
                <w:iCs w:val="0"/>
                <w:color w:val="000000"/>
                <w:kern w:val="2"/>
                <w:sz w:val="18"/>
                <w:szCs w:val="18"/>
                <w:u w:val="none"/>
                <w:lang w:val="en-US" w:eastAsia="zh-CN" w:bidi="ar-SA"/>
              </w:rPr>
              <w:t>学校正常运转</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计划资金有时与学生实有人员有差异。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提高预算精准度、及时申报支付。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项目负责人：周璞</w:t>
            </w:r>
          </w:p>
        </w:tc>
        <w:tc>
          <w:tcPr>
            <w:tcW w:w="25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财务负责人：周璞</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both"/>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9"/>
      <w:bookmarkEnd w:id="60"/>
      <w:bookmarkStart w:id="66"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66"/>
    </w:p>
    <w:p>
      <w:pPr>
        <w:pStyle w:val="4"/>
        <w:rPr>
          <w:rFonts w:ascii="仿宋" w:hAnsi="仿宋" w:eastAsia="仿宋"/>
        </w:rPr>
      </w:pPr>
      <w:bookmarkStart w:id="67" w:name="_Toc15396620"/>
      <w:r>
        <w:rPr>
          <w:rFonts w:hint="eastAsia" w:ascii="仿宋" w:hAnsi="仿宋" w:eastAsia="仿宋"/>
          <w:b w:val="0"/>
        </w:rPr>
        <w:t>二、收</w:t>
      </w:r>
      <w:r>
        <w:rPr>
          <w:rStyle w:val="30"/>
          <w:rFonts w:hint="eastAsia" w:ascii="仿宋" w:hAnsi="仿宋" w:eastAsia="仿宋"/>
          <w:b w:val="0"/>
          <w:bCs w:val="0"/>
        </w:rPr>
        <w:t>入决算表</w:t>
      </w:r>
      <w:bookmarkEnd w:id="67"/>
    </w:p>
    <w:p>
      <w:pPr>
        <w:pStyle w:val="4"/>
        <w:rPr>
          <w:rFonts w:ascii="仿宋" w:hAnsi="仿宋" w:eastAsia="仿宋"/>
        </w:rPr>
      </w:pPr>
      <w:bookmarkStart w:id="68"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8"/>
    </w:p>
    <w:p>
      <w:pPr>
        <w:pStyle w:val="4"/>
        <w:rPr>
          <w:rFonts w:ascii="仿宋" w:hAnsi="仿宋" w:eastAsia="仿宋"/>
          <w:b w:val="0"/>
        </w:rPr>
      </w:pPr>
      <w:bookmarkStart w:id="69"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9"/>
    </w:p>
    <w:p>
      <w:pPr>
        <w:pStyle w:val="4"/>
        <w:rPr>
          <w:rStyle w:val="30"/>
          <w:rFonts w:ascii="仿宋" w:hAnsi="仿宋" w:eastAsia="仿宋"/>
          <w:b w:val="0"/>
          <w:bCs w:val="0"/>
        </w:rPr>
      </w:pPr>
      <w:bookmarkStart w:id="70"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70"/>
      <w:bookmarkStart w:id="71"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71"/>
    </w:p>
    <w:p>
      <w:pPr>
        <w:pStyle w:val="4"/>
        <w:rPr>
          <w:rFonts w:ascii="仿宋" w:hAnsi="仿宋" w:eastAsia="仿宋"/>
        </w:rPr>
      </w:pPr>
      <w:bookmarkStart w:id="72"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72"/>
    </w:p>
    <w:p>
      <w:pPr>
        <w:pStyle w:val="4"/>
        <w:rPr>
          <w:rFonts w:ascii="仿宋" w:hAnsi="仿宋" w:eastAsia="仿宋"/>
        </w:rPr>
      </w:pPr>
      <w:bookmarkStart w:id="73"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73"/>
    </w:p>
    <w:p>
      <w:pPr>
        <w:pStyle w:val="4"/>
        <w:rPr>
          <w:rFonts w:ascii="仿宋" w:hAnsi="仿宋" w:eastAsia="仿宋"/>
        </w:rPr>
      </w:pPr>
      <w:bookmarkStart w:id="74"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74"/>
    </w:p>
    <w:p>
      <w:pPr>
        <w:pStyle w:val="4"/>
        <w:rPr>
          <w:rFonts w:ascii="仿宋" w:hAnsi="仿宋" w:eastAsia="仿宋"/>
        </w:rPr>
      </w:pPr>
      <w:bookmarkStart w:id="75" w:name="_Toc15396628"/>
      <w:r>
        <w:rPr>
          <w:rStyle w:val="30"/>
          <w:rFonts w:hint="eastAsia" w:ascii="仿宋" w:hAnsi="仿宋" w:eastAsia="仿宋"/>
          <w:b w:val="0"/>
          <w:bCs w:val="0"/>
        </w:rPr>
        <w:t>十、</w:t>
      </w:r>
      <w:bookmarkEnd w:id="75"/>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76" w:name="_Toc15396629"/>
      <w:r>
        <w:rPr>
          <w:rStyle w:val="30"/>
          <w:rFonts w:hint="eastAsia" w:ascii="仿宋" w:hAnsi="仿宋" w:eastAsia="仿宋"/>
          <w:b w:val="0"/>
          <w:bCs w:val="0"/>
        </w:rPr>
        <w:t>十一、</w:t>
      </w:r>
      <w:bookmarkEnd w:id="76"/>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77" w:name="_Toc15396630"/>
      <w:r>
        <w:rPr>
          <w:rStyle w:val="30"/>
          <w:rFonts w:hint="eastAsia" w:ascii="仿宋" w:hAnsi="仿宋" w:eastAsia="仿宋"/>
          <w:b w:val="0"/>
          <w:bCs w:val="0"/>
        </w:rPr>
        <w:t>十二、</w:t>
      </w:r>
      <w:bookmarkEnd w:id="77"/>
      <w:r>
        <w:rPr>
          <w:rStyle w:val="30"/>
          <w:rFonts w:hint="eastAsia" w:ascii="仿宋" w:hAnsi="仿宋" w:eastAsia="仿宋"/>
          <w:b w:val="0"/>
          <w:bCs w:val="0"/>
        </w:rPr>
        <w:t>国有资本经营预算财政拨款支出决算表</w:t>
      </w:r>
    </w:p>
    <w:p>
      <w:pPr>
        <w:pStyle w:val="4"/>
        <w:rPr>
          <w:rFonts w:eastAsia="仿宋"/>
        </w:rPr>
      </w:pPr>
      <w:bookmarkStart w:id="78" w:name="_Toc15396631"/>
      <w:r>
        <w:rPr>
          <w:rStyle w:val="30"/>
          <w:rFonts w:hint="eastAsia" w:ascii="仿宋" w:hAnsi="仿宋" w:eastAsia="仿宋"/>
          <w:b w:val="0"/>
          <w:bCs w:val="0"/>
        </w:rPr>
        <w:t>十三、</w:t>
      </w:r>
      <w:bookmarkEnd w:id="78"/>
      <w:r>
        <w:rPr>
          <w:rStyle w:val="30"/>
          <w:rFonts w:hint="eastAsia" w:ascii="仿宋" w:hAnsi="仿宋" w:eastAsia="仿宋"/>
          <w:b w:val="0"/>
          <w:bCs w:val="0"/>
        </w:rPr>
        <w:t>财政拨款“三公”经费支出决算表</w:t>
      </w:r>
    </w:p>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65"/>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1965"/>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0"/>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9A12C331"/>
    <w:multiLevelType w:val="singleLevel"/>
    <w:tmpl w:val="9A12C331"/>
    <w:lvl w:ilvl="0" w:tentative="0">
      <w:start w:val="1"/>
      <w:numFmt w:val="chineseCounting"/>
      <w:suff w:val="nothing"/>
      <w:lvlText w:val="%1、"/>
      <w:lvlJc w:val="left"/>
      <w:rPr>
        <w:rFonts w:hint="eastAsia"/>
      </w:rPr>
    </w:lvl>
  </w:abstractNum>
  <w:abstractNum w:abstractNumId="2">
    <w:nsid w:val="CF652CEC"/>
    <w:multiLevelType w:val="multilevel"/>
    <w:tmpl w:val="CF652CEC"/>
    <w:lvl w:ilvl="0" w:tentative="0">
      <w:start w:val="9"/>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EADD8641"/>
    <w:multiLevelType w:val="singleLevel"/>
    <w:tmpl w:val="EADD8641"/>
    <w:lvl w:ilvl="0" w:tentative="0">
      <w:start w:val="4"/>
      <w:numFmt w:val="chineseCounting"/>
      <w:suff w:val="nothing"/>
      <w:lvlText w:val="（%1）"/>
      <w:lvlJc w:val="left"/>
      <w:rPr>
        <w:rFonts w:hint="eastAsia"/>
        <w:sz w:val="32"/>
        <w:szCs w:val="32"/>
      </w:rPr>
    </w:lvl>
  </w:abstractNum>
  <w:abstractNum w:abstractNumId="5">
    <w:nsid w:val="F10ADEF1"/>
    <w:multiLevelType w:val="singleLevel"/>
    <w:tmpl w:val="F10ADEF1"/>
    <w:lvl w:ilvl="0" w:tentative="0">
      <w:start w:val="2"/>
      <w:numFmt w:val="chineseCounting"/>
      <w:suff w:val="space"/>
      <w:lvlText w:val="第%1部分"/>
      <w:lvlJc w:val="left"/>
      <w:rPr>
        <w:rFonts w:hint="eastAsia"/>
      </w:rPr>
    </w:lvl>
  </w:abstractNum>
  <w:abstractNum w:abstractNumId="6">
    <w:nsid w:val="FB263316"/>
    <w:multiLevelType w:val="singleLevel"/>
    <w:tmpl w:val="FB263316"/>
    <w:lvl w:ilvl="0" w:tentative="0">
      <w:start w:val="5"/>
      <w:numFmt w:val="decimal"/>
      <w:lvlText w:val="%1."/>
      <w:lvlJc w:val="left"/>
      <w:pPr>
        <w:tabs>
          <w:tab w:val="left" w:pos="312"/>
        </w:tabs>
      </w:pPr>
    </w:lvl>
  </w:abstractNum>
  <w:abstractNum w:abstractNumId="7">
    <w:nsid w:val="2D72EDE9"/>
    <w:multiLevelType w:val="multilevel"/>
    <w:tmpl w:val="2D72EDE9"/>
    <w:lvl w:ilvl="0" w:tentative="0">
      <w:start w:val="3"/>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3818A09A"/>
    <w:multiLevelType w:val="singleLevel"/>
    <w:tmpl w:val="3818A09A"/>
    <w:lvl w:ilvl="0" w:tentative="0">
      <w:start w:val="1"/>
      <w:numFmt w:val="chineseCounting"/>
      <w:suff w:val="nothing"/>
      <w:lvlText w:val="%1、"/>
      <w:lvlJc w:val="left"/>
      <w:rPr>
        <w:rFonts w:hint="eastAsia" w:ascii="黑体" w:hAnsi="黑体" w:eastAsia="黑体" w:cs="黑体"/>
        <w:b/>
        <w:bCs/>
        <w:sz w:val="32"/>
        <w:szCs w:val="32"/>
      </w:rPr>
    </w:lvl>
  </w:abstractNum>
  <w:num w:numId="1">
    <w:abstractNumId w:val="8"/>
  </w:num>
  <w:num w:numId="2">
    <w:abstractNumId w:val="5"/>
  </w:num>
  <w:num w:numId="3">
    <w:abstractNumId w:val="1"/>
  </w:num>
  <w:num w:numId="4">
    <w:abstractNumId w:val="6"/>
  </w:num>
  <w:num w:numId="5">
    <w:abstractNumId w:val="7"/>
  </w:num>
  <w:num w:numId="6">
    <w:abstractNumId w:val="2"/>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2B3B"/>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2BDF"/>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3DD6186"/>
    <w:rsid w:val="056E4905"/>
    <w:rsid w:val="06AC2303"/>
    <w:rsid w:val="06B1238C"/>
    <w:rsid w:val="076775B0"/>
    <w:rsid w:val="077158FD"/>
    <w:rsid w:val="081B5E94"/>
    <w:rsid w:val="08F24482"/>
    <w:rsid w:val="0A2032A3"/>
    <w:rsid w:val="0ABE14CD"/>
    <w:rsid w:val="0B04049C"/>
    <w:rsid w:val="0B8A37D8"/>
    <w:rsid w:val="0E611573"/>
    <w:rsid w:val="0EA01016"/>
    <w:rsid w:val="0EBB474D"/>
    <w:rsid w:val="0F5FFB2F"/>
    <w:rsid w:val="0FFFCF60"/>
    <w:rsid w:val="10C04426"/>
    <w:rsid w:val="10C055FF"/>
    <w:rsid w:val="117F298B"/>
    <w:rsid w:val="118107EC"/>
    <w:rsid w:val="11BA1E1D"/>
    <w:rsid w:val="11DD6519"/>
    <w:rsid w:val="142E5497"/>
    <w:rsid w:val="163A4FC3"/>
    <w:rsid w:val="16BB723D"/>
    <w:rsid w:val="175C5A0C"/>
    <w:rsid w:val="18015F3F"/>
    <w:rsid w:val="1886026D"/>
    <w:rsid w:val="18E35FED"/>
    <w:rsid w:val="19433422"/>
    <w:rsid w:val="19B055F5"/>
    <w:rsid w:val="1AEA13C7"/>
    <w:rsid w:val="1B9C5B8F"/>
    <w:rsid w:val="1BE8440E"/>
    <w:rsid w:val="1BF306EA"/>
    <w:rsid w:val="1C07178E"/>
    <w:rsid w:val="1C344C1D"/>
    <w:rsid w:val="1CB25FAA"/>
    <w:rsid w:val="1D0A6254"/>
    <w:rsid w:val="1D155CEE"/>
    <w:rsid w:val="1D6C0E10"/>
    <w:rsid w:val="1D7D6213"/>
    <w:rsid w:val="1E9C7CFC"/>
    <w:rsid w:val="1EE85EC8"/>
    <w:rsid w:val="1F0C192E"/>
    <w:rsid w:val="1FDBBF84"/>
    <w:rsid w:val="20BD4F1E"/>
    <w:rsid w:val="20BF24A4"/>
    <w:rsid w:val="20F57F95"/>
    <w:rsid w:val="21A954A2"/>
    <w:rsid w:val="21BC2A75"/>
    <w:rsid w:val="2234120F"/>
    <w:rsid w:val="229F2EDC"/>
    <w:rsid w:val="23A317BB"/>
    <w:rsid w:val="240371BF"/>
    <w:rsid w:val="24727DCD"/>
    <w:rsid w:val="25711CC6"/>
    <w:rsid w:val="25C741E6"/>
    <w:rsid w:val="25DE67A2"/>
    <w:rsid w:val="25F30BE6"/>
    <w:rsid w:val="26C24390"/>
    <w:rsid w:val="276F80C0"/>
    <w:rsid w:val="27842671"/>
    <w:rsid w:val="27BE796C"/>
    <w:rsid w:val="285632DA"/>
    <w:rsid w:val="2908648D"/>
    <w:rsid w:val="296B3D08"/>
    <w:rsid w:val="296D56EA"/>
    <w:rsid w:val="29B64C00"/>
    <w:rsid w:val="29FD04D3"/>
    <w:rsid w:val="29FE2420"/>
    <w:rsid w:val="2A402F3E"/>
    <w:rsid w:val="2ABE7A3E"/>
    <w:rsid w:val="2AFF09B6"/>
    <w:rsid w:val="2B385681"/>
    <w:rsid w:val="2BF85F34"/>
    <w:rsid w:val="2C2E71C1"/>
    <w:rsid w:val="2CA234A8"/>
    <w:rsid w:val="2CF85CCE"/>
    <w:rsid w:val="2D3E7060"/>
    <w:rsid w:val="2D91352C"/>
    <w:rsid w:val="2DBD5F5C"/>
    <w:rsid w:val="2E4E7EF8"/>
    <w:rsid w:val="2EAF6BF3"/>
    <w:rsid w:val="2EFA178C"/>
    <w:rsid w:val="2EFB5495"/>
    <w:rsid w:val="2EFDF86C"/>
    <w:rsid w:val="2F725F68"/>
    <w:rsid w:val="2F9D17E1"/>
    <w:rsid w:val="2FC02730"/>
    <w:rsid w:val="30182689"/>
    <w:rsid w:val="30B46D73"/>
    <w:rsid w:val="30DF4D2C"/>
    <w:rsid w:val="31687BC3"/>
    <w:rsid w:val="319F7F4E"/>
    <w:rsid w:val="31C30439"/>
    <w:rsid w:val="326F1DE8"/>
    <w:rsid w:val="33C53223"/>
    <w:rsid w:val="341E3ACD"/>
    <w:rsid w:val="34452E08"/>
    <w:rsid w:val="34A418FC"/>
    <w:rsid w:val="356A28F1"/>
    <w:rsid w:val="357C035A"/>
    <w:rsid w:val="35C943A9"/>
    <w:rsid w:val="368E000D"/>
    <w:rsid w:val="3749231A"/>
    <w:rsid w:val="383D272C"/>
    <w:rsid w:val="38C417EE"/>
    <w:rsid w:val="39AE70AB"/>
    <w:rsid w:val="3A4DCE41"/>
    <w:rsid w:val="3BC45EB1"/>
    <w:rsid w:val="3BCB56FA"/>
    <w:rsid w:val="3C0C0783"/>
    <w:rsid w:val="3C323EC8"/>
    <w:rsid w:val="3DE64C5E"/>
    <w:rsid w:val="3E5473CF"/>
    <w:rsid w:val="3E637826"/>
    <w:rsid w:val="3EE7C2F4"/>
    <w:rsid w:val="3F371B56"/>
    <w:rsid w:val="3F792ED8"/>
    <w:rsid w:val="3F964E60"/>
    <w:rsid w:val="3F9F3A96"/>
    <w:rsid w:val="3FECA4B2"/>
    <w:rsid w:val="3FF58C48"/>
    <w:rsid w:val="40054EAD"/>
    <w:rsid w:val="40416778"/>
    <w:rsid w:val="407F58F4"/>
    <w:rsid w:val="417A049F"/>
    <w:rsid w:val="41F540C0"/>
    <w:rsid w:val="424F1681"/>
    <w:rsid w:val="42686578"/>
    <w:rsid w:val="42FF6694"/>
    <w:rsid w:val="439A1DBB"/>
    <w:rsid w:val="43C83170"/>
    <w:rsid w:val="45337E9A"/>
    <w:rsid w:val="46641814"/>
    <w:rsid w:val="47343349"/>
    <w:rsid w:val="478A52AA"/>
    <w:rsid w:val="47B83B92"/>
    <w:rsid w:val="48BF60AB"/>
    <w:rsid w:val="48D34A2F"/>
    <w:rsid w:val="493C27E9"/>
    <w:rsid w:val="496F39ED"/>
    <w:rsid w:val="49A07B83"/>
    <w:rsid w:val="49FF41D3"/>
    <w:rsid w:val="4B9A70F5"/>
    <w:rsid w:val="4BE068DB"/>
    <w:rsid w:val="4BF6002B"/>
    <w:rsid w:val="4BFFC6BE"/>
    <w:rsid w:val="4C7D362F"/>
    <w:rsid w:val="4CDD50FF"/>
    <w:rsid w:val="4DB3691B"/>
    <w:rsid w:val="4EBE4EE2"/>
    <w:rsid w:val="4ECE2238"/>
    <w:rsid w:val="500A21D3"/>
    <w:rsid w:val="50894586"/>
    <w:rsid w:val="50AE3D13"/>
    <w:rsid w:val="50C3263F"/>
    <w:rsid w:val="51002483"/>
    <w:rsid w:val="51DB4B86"/>
    <w:rsid w:val="51F64DB0"/>
    <w:rsid w:val="52602DDE"/>
    <w:rsid w:val="531941ED"/>
    <w:rsid w:val="53636488"/>
    <w:rsid w:val="53AF7E46"/>
    <w:rsid w:val="55333C3E"/>
    <w:rsid w:val="55F85AD5"/>
    <w:rsid w:val="56494937"/>
    <w:rsid w:val="56586573"/>
    <w:rsid w:val="580139FC"/>
    <w:rsid w:val="580228C5"/>
    <w:rsid w:val="580454F2"/>
    <w:rsid w:val="59150B42"/>
    <w:rsid w:val="5B1B4591"/>
    <w:rsid w:val="5B661732"/>
    <w:rsid w:val="5EB9124F"/>
    <w:rsid w:val="5EF41B8A"/>
    <w:rsid w:val="5F056B02"/>
    <w:rsid w:val="5F67802D"/>
    <w:rsid w:val="5F7DC4F2"/>
    <w:rsid w:val="5FB36814"/>
    <w:rsid w:val="5FBB8E56"/>
    <w:rsid w:val="5FFB5535"/>
    <w:rsid w:val="60186131"/>
    <w:rsid w:val="60F35DC0"/>
    <w:rsid w:val="62341ED2"/>
    <w:rsid w:val="623B654F"/>
    <w:rsid w:val="62E55633"/>
    <w:rsid w:val="63482606"/>
    <w:rsid w:val="642672F2"/>
    <w:rsid w:val="642941C0"/>
    <w:rsid w:val="645E744B"/>
    <w:rsid w:val="64BA526C"/>
    <w:rsid w:val="64CA39A1"/>
    <w:rsid w:val="65C93613"/>
    <w:rsid w:val="66CB1D3D"/>
    <w:rsid w:val="66D734E4"/>
    <w:rsid w:val="675144F7"/>
    <w:rsid w:val="684C5603"/>
    <w:rsid w:val="69630ADE"/>
    <w:rsid w:val="69670B4F"/>
    <w:rsid w:val="69BD5F13"/>
    <w:rsid w:val="69FB0B4B"/>
    <w:rsid w:val="6B385A64"/>
    <w:rsid w:val="6B6F0A90"/>
    <w:rsid w:val="6BFFE1FB"/>
    <w:rsid w:val="6C1B1C34"/>
    <w:rsid w:val="6C4A05C8"/>
    <w:rsid w:val="6D3B1A89"/>
    <w:rsid w:val="6DB7D8A3"/>
    <w:rsid w:val="6DC24C93"/>
    <w:rsid w:val="6DE365A2"/>
    <w:rsid w:val="6E033C4E"/>
    <w:rsid w:val="6E725E2D"/>
    <w:rsid w:val="6EBD4D75"/>
    <w:rsid w:val="6EC78701"/>
    <w:rsid w:val="6F5914CB"/>
    <w:rsid w:val="6F7A5481"/>
    <w:rsid w:val="6FE26134"/>
    <w:rsid w:val="6FFE07A9"/>
    <w:rsid w:val="707F2C23"/>
    <w:rsid w:val="70E84C6C"/>
    <w:rsid w:val="71BF4EC2"/>
    <w:rsid w:val="722B5374"/>
    <w:rsid w:val="72401491"/>
    <w:rsid w:val="72734D90"/>
    <w:rsid w:val="729529A1"/>
    <w:rsid w:val="729B014F"/>
    <w:rsid w:val="73E75B71"/>
    <w:rsid w:val="7412278C"/>
    <w:rsid w:val="74494DA8"/>
    <w:rsid w:val="75921C28"/>
    <w:rsid w:val="75DDCDA9"/>
    <w:rsid w:val="75FF44B1"/>
    <w:rsid w:val="7615375C"/>
    <w:rsid w:val="768A6BBD"/>
    <w:rsid w:val="76DE5AE6"/>
    <w:rsid w:val="77670518"/>
    <w:rsid w:val="777FA627"/>
    <w:rsid w:val="77DF1B5F"/>
    <w:rsid w:val="77EF2D9D"/>
    <w:rsid w:val="79355A99"/>
    <w:rsid w:val="797D1340"/>
    <w:rsid w:val="79E7B28D"/>
    <w:rsid w:val="7ACFF0C2"/>
    <w:rsid w:val="7AFB9108"/>
    <w:rsid w:val="7BD5340C"/>
    <w:rsid w:val="7BFB19D2"/>
    <w:rsid w:val="7BFD1750"/>
    <w:rsid w:val="7BFDAA1B"/>
    <w:rsid w:val="7C1424C5"/>
    <w:rsid w:val="7CDF9A82"/>
    <w:rsid w:val="7CFFA1BD"/>
    <w:rsid w:val="7D0A612B"/>
    <w:rsid w:val="7D2E3F7A"/>
    <w:rsid w:val="7D3E5A8D"/>
    <w:rsid w:val="7DED9490"/>
    <w:rsid w:val="7DFC1D56"/>
    <w:rsid w:val="7DFF4872"/>
    <w:rsid w:val="7E1F3E64"/>
    <w:rsid w:val="7E7487E6"/>
    <w:rsid w:val="7E7C2A54"/>
    <w:rsid w:val="7EEEFD72"/>
    <w:rsid w:val="7F1D517C"/>
    <w:rsid w:val="7F5DA057"/>
    <w:rsid w:val="7F6C2237"/>
    <w:rsid w:val="7F7F319B"/>
    <w:rsid w:val="7F9F20EE"/>
    <w:rsid w:val="7FBBE890"/>
    <w:rsid w:val="7FBC2ABD"/>
    <w:rsid w:val="7FBF5D48"/>
    <w:rsid w:val="7FC87C72"/>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widowControl w:val="0"/>
      <w:suppressAutoHyphens/>
      <w:bidi w:val="0"/>
      <w:snapToGrid w:val="0"/>
      <w:jc w:val="left"/>
    </w:pPr>
    <w:rPr>
      <w:rFonts w:ascii="Calibri" w:hAnsi="Calibri" w:eastAsia="宋体" w:cs="Times New Roman"/>
      <w:color w:val="auto"/>
      <w:kern w:val="2"/>
      <w:sz w:val="18"/>
      <w:szCs w:val="18"/>
      <w:lang w:val="en-US" w:eastAsia="zh-CN" w:bidi="ar-SA"/>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标题 2 Char"/>
    <w:basedOn w:val="17"/>
    <w:link w:val="4"/>
    <w:unhideWhenUsed/>
    <w:qFormat/>
    <w:uiPriority w:val="9"/>
    <w:rPr>
      <w:rFonts w:hint="default" w:ascii="Cambria" w:hAnsi="Cambria" w:eastAsia="宋体" w:cs="Times New Roman"/>
      <w:b/>
      <w:kern w:val="2"/>
      <w:sz w:val="32"/>
      <w:szCs w:val="32"/>
    </w:rPr>
  </w:style>
  <w:style w:type="table" w:customStyle="1" w:styleId="36">
    <w:name w:val="Table Normal"/>
    <w:basedOn w:val="16"/>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4"/>
    <customShpInfo spid="_x0000_s1037"/>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12562</Words>
  <Characters>13777</Characters>
  <Lines>1</Lines>
  <Paragraphs>1</Paragraphs>
  <TotalTime>9</TotalTime>
  <ScaleCrop>false</ScaleCrop>
  <LinksUpToDate>false</LinksUpToDate>
  <CharactersWithSpaces>13811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Lenovo</cp:lastModifiedBy>
  <cp:lastPrinted>2023-08-03T02:35:00Z</cp:lastPrinted>
  <dcterms:modified xsi:type="dcterms:W3CDTF">2024-08-27T03:01:21Z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4E49B8E98FAC4AADAEDC809E332135F2_12</vt:lpwstr>
  </property>
</Properties>
</file>