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hint="eastAsia" w:asciiTheme="majorEastAsia" w:hAnsiTheme="majorEastAsia" w:eastAsiaTheme="majorEastAsia" w:cstheme="majorEastAsia"/>
          <w:sz w:val="44"/>
          <w:szCs w:val="44"/>
        </w:rPr>
      </w:pPr>
      <w:bookmarkStart w:id="1" w:name="_Toc15396597"/>
      <w:bookmarkStart w:id="2" w:name="_Toc15377425"/>
      <w:bookmarkStart w:id="3" w:name="_Toc15396475"/>
      <w:bookmarkStart w:id="4" w:name="_Toc15378441"/>
      <w:bookmarkStart w:id="5" w:name="_Toc15377193"/>
      <w:r>
        <w:rPr>
          <w:rFonts w:hint="eastAsia" w:asciiTheme="majorEastAsia" w:hAnsiTheme="majorEastAsia" w:eastAsiaTheme="majorEastAsia" w:cstheme="majorEastAsia"/>
          <w:sz w:val="44"/>
          <w:szCs w:val="44"/>
        </w:rPr>
        <w:t>2023年度</w:t>
      </w:r>
      <w:bookmarkEnd w:id="1"/>
      <w:bookmarkEnd w:id="2"/>
      <w:bookmarkEnd w:id="3"/>
      <w:bookmarkEnd w:id="4"/>
      <w:bookmarkEnd w:id="5"/>
    </w:p>
    <w:p>
      <w:pPr>
        <w:adjustRightInd w:val="0"/>
        <w:snapToGrid w:val="0"/>
        <w:spacing w:line="360" w:lineRule="auto"/>
        <w:jc w:val="center"/>
        <w:outlineLvl w:val="0"/>
        <w:rPr>
          <w:rFonts w:hint="eastAsia" w:asciiTheme="majorEastAsia" w:hAnsiTheme="majorEastAsia" w:eastAsiaTheme="majorEastAsia" w:cstheme="majorEastAsia"/>
          <w:sz w:val="44"/>
          <w:szCs w:val="44"/>
          <w:lang w:val="en-US" w:eastAsia="zh-CN"/>
        </w:rPr>
      </w:pPr>
      <w:bookmarkStart w:id="6" w:name="_Toc15377426"/>
      <w:bookmarkStart w:id="7" w:name="_Toc15378442"/>
      <w:bookmarkStart w:id="8" w:name="_Toc15306268"/>
      <w:bookmarkStart w:id="9" w:name="_Toc15396476"/>
      <w:bookmarkStart w:id="10" w:name="_Toc15377194"/>
      <w:bookmarkStart w:id="11" w:name="_Toc15396598"/>
      <w:r>
        <w:rPr>
          <w:rFonts w:hint="eastAsia" w:asciiTheme="majorEastAsia" w:hAnsiTheme="majorEastAsia" w:eastAsiaTheme="majorEastAsia" w:cstheme="majorEastAsia"/>
          <w:sz w:val="44"/>
          <w:szCs w:val="44"/>
          <w:lang w:val="en-US" w:eastAsia="zh-CN"/>
        </w:rPr>
        <w:t>四川省</w:t>
      </w:r>
      <w:r>
        <w:rPr>
          <w:rFonts w:hint="eastAsia" w:asciiTheme="majorEastAsia" w:hAnsiTheme="majorEastAsia" w:eastAsiaTheme="majorEastAsia" w:cstheme="majorEastAsia"/>
          <w:sz w:val="44"/>
          <w:szCs w:val="44"/>
          <w:lang w:eastAsia="zh-CN"/>
        </w:rPr>
        <w:t>遂宁市安居区</w:t>
      </w:r>
      <w:r>
        <w:rPr>
          <w:rFonts w:hint="eastAsia" w:asciiTheme="majorEastAsia" w:hAnsiTheme="majorEastAsia" w:eastAsiaTheme="majorEastAsia" w:cstheme="majorEastAsia"/>
          <w:sz w:val="44"/>
          <w:szCs w:val="44"/>
          <w:lang w:val="en-US" w:eastAsia="zh-CN"/>
        </w:rPr>
        <w:t>石洞</w:t>
      </w:r>
      <w:r>
        <w:rPr>
          <w:rFonts w:hint="eastAsia" w:asciiTheme="majorEastAsia" w:hAnsiTheme="majorEastAsia" w:eastAsiaTheme="majorEastAsia" w:cstheme="majorEastAsia"/>
          <w:sz w:val="44"/>
          <w:szCs w:val="44"/>
          <w:lang w:eastAsia="zh-CN"/>
        </w:rPr>
        <w:t>镇</w:t>
      </w:r>
      <w:r>
        <w:rPr>
          <w:rFonts w:hint="eastAsia" w:asciiTheme="majorEastAsia" w:hAnsiTheme="majorEastAsia" w:eastAsiaTheme="majorEastAsia" w:cstheme="majorEastAsia"/>
          <w:sz w:val="44"/>
          <w:szCs w:val="44"/>
          <w:lang w:val="en-US" w:eastAsia="zh-CN"/>
        </w:rPr>
        <w:t>初级中学校</w:t>
      </w:r>
    </w:p>
    <w:p>
      <w:pPr>
        <w:adjustRightInd w:val="0"/>
        <w:snapToGrid w:val="0"/>
        <w:spacing w:line="360" w:lineRule="auto"/>
        <w:jc w:val="center"/>
        <w:outlineLvl w:val="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部门</w:t>
      </w:r>
      <w:r>
        <w:rPr>
          <w:rFonts w:hint="eastAsia" w:asciiTheme="majorEastAsia" w:hAnsiTheme="majorEastAsia" w:eastAsiaTheme="majorEastAsia" w:cstheme="majorEastAsia"/>
          <w:sz w:val="44"/>
          <w:szCs w:val="44"/>
        </w:rPr>
        <w:t>决算</w:t>
      </w:r>
      <w:bookmarkEnd w:id="6"/>
      <w:bookmarkEnd w:id="7"/>
      <w:bookmarkEnd w:id="8"/>
      <w:bookmarkEnd w:id="9"/>
      <w:bookmarkEnd w:id="10"/>
      <w:bookmarkEnd w:id="11"/>
    </w:p>
    <w:p>
      <w:pPr>
        <w:adjustRightInd w:val="0"/>
        <w:snapToGrid w:val="0"/>
        <w:spacing w:line="360" w:lineRule="auto"/>
        <w:jc w:val="center"/>
        <w:outlineLvl w:val="0"/>
        <w:rPr>
          <w:rFonts w:hint="eastAsia" w:asciiTheme="majorEastAsia" w:hAnsiTheme="majorEastAsia" w:eastAsiaTheme="majorEastAsia" w:cstheme="majorEastAsia"/>
          <w:sz w:val="44"/>
          <w:szCs w:val="44"/>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w:t>
      </w:r>
    </w:p>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bookmarkStart w:id="12" w:name="_Toc15377196"/>
      <w:bookmarkStart w:id="13" w:name="_Toc15396599"/>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2023年度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15</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w:t>
      </w:r>
    </w:p>
    <w:p>
      <w:pPr>
        <w:pStyle w:val="2"/>
        <w:adjustRightInd w:val="0"/>
        <w:snapToGrid w:val="0"/>
        <w:spacing w:before="93" w:line="600" w:lineRule="exact"/>
        <w:ind w:firstLine="320" w:firstLineChars="100"/>
        <w:jc w:val="both"/>
        <w:outlineLvl w:val="2"/>
        <w:rPr>
          <w:rFonts w:hint="eastAsia" w:ascii="仿宋" w:hAnsi="仿宋" w:eastAsia="仿宋" w:cs="Times New Roman"/>
          <w:bCs/>
          <w:color w:val="000000"/>
          <w:sz w:val="32"/>
          <w:szCs w:val="32"/>
        </w:rPr>
      </w:pPr>
      <w:r>
        <w:rPr>
          <w:rFonts w:hint="eastAsia" w:ascii="仿宋_GB2312" w:hAnsi="仿宋_GB2312" w:eastAsia="仿宋_GB2312" w:cs="仿宋_GB2312"/>
          <w:color w:val="auto"/>
          <w:kern w:val="2"/>
          <w:sz w:val="32"/>
          <w:szCs w:val="32"/>
          <w:highlight w:val="none"/>
          <w:lang w:val="en-US" w:eastAsia="zh-CN" w:bidi="ar-SA"/>
        </w:rPr>
        <w:t>十三、财政拨款“三公”</w:t>
      </w:r>
      <w:r>
        <w:rPr>
          <w:rFonts w:hint="eastAsia" w:ascii="仿宋_GB2312" w:hAnsi="仿宋_GB2312" w:eastAsia="仿宋_GB2312" w:cs="仿宋_GB2312"/>
          <w:color w:val="auto"/>
          <w:sz w:val="32"/>
          <w:szCs w:val="32"/>
          <w:highlight w:val="none"/>
        </w:rPr>
        <w:t>经费支出决算表</w:t>
      </w:r>
      <w:r>
        <w:rPr>
          <w:rFonts w:hint="eastAsia" w:ascii="仿宋_GB2312" w:hAnsi="仿宋_GB2312" w:eastAsia="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36</w:t>
      </w:r>
      <w:r>
        <w:rPr>
          <w:rFonts w:hint="eastAsia" w:ascii="仿宋" w:hAnsi="仿宋" w:eastAsia="仿宋" w:cs="Times New Roman"/>
          <w:bCs/>
          <w:color w:val="000000"/>
          <w:sz w:val="32"/>
          <w:szCs w:val="32"/>
        </w:rPr>
        <w:br w:type="page"/>
      </w:r>
    </w:p>
    <w:p>
      <w:pPr>
        <w:pStyle w:val="3"/>
        <w:jc w:val="center"/>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val="en-US" w:eastAsia="zh-CN"/>
        </w:rPr>
        <w:t>部门</w:t>
      </w:r>
      <w:r>
        <w:rPr>
          <w:rStyle w:val="28"/>
          <w:rFonts w:hint="eastAsia" w:ascii="黑体" w:hAnsi="黑体" w:eastAsia="黑体"/>
          <w:b w:val="0"/>
          <w:bCs w:val="0"/>
        </w:rPr>
        <w:t>概况</w:t>
      </w:r>
      <w:bookmarkEnd w:id="12"/>
      <w:bookmarkEnd w:id="13"/>
    </w:p>
    <w:p>
      <w:pPr>
        <w:pStyle w:val="4"/>
        <w:numPr>
          <w:ilvl w:val="0"/>
          <w:numId w:val="1"/>
        </w:numPr>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初中学</w:t>
      </w:r>
      <w:r>
        <w:rPr>
          <w:rFonts w:hint="eastAsia" w:ascii="仿宋" w:hAnsi="仿宋" w:eastAsia="仿宋"/>
          <w:bCs/>
          <w:color w:val="000000"/>
          <w:sz w:val="32"/>
          <w:szCs w:val="32"/>
        </w:rPr>
        <w:t>历教育及相关社会服务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年重点工作完成情况。</w:t>
      </w:r>
      <w:bookmarkEnd w:id="18"/>
      <w:bookmarkEnd w:id="19"/>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年主要负责完成</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学历教育，</w:t>
      </w:r>
      <w:r>
        <w:rPr>
          <w:rFonts w:hint="eastAsia" w:ascii="仿宋" w:hAnsi="仿宋" w:eastAsia="仿宋"/>
          <w:bCs/>
          <w:color w:val="000000"/>
          <w:sz w:val="32"/>
          <w:szCs w:val="32"/>
          <w:lang w:val="en-US" w:eastAsia="zh-CN"/>
        </w:rPr>
        <w:t>九</w:t>
      </w:r>
      <w:r>
        <w:rPr>
          <w:rFonts w:hint="eastAsia" w:ascii="仿宋" w:hAnsi="仿宋" w:eastAsia="仿宋"/>
          <w:bCs/>
          <w:color w:val="000000"/>
          <w:sz w:val="32"/>
          <w:szCs w:val="32"/>
        </w:rPr>
        <w:t>年级送生工作、</w:t>
      </w:r>
      <w:r>
        <w:rPr>
          <w:rFonts w:hint="eastAsia" w:ascii="仿宋" w:hAnsi="仿宋" w:eastAsia="仿宋"/>
          <w:bCs/>
          <w:color w:val="000000"/>
          <w:sz w:val="32"/>
          <w:szCs w:val="32"/>
          <w:lang w:val="en-US" w:eastAsia="zh-CN"/>
        </w:rPr>
        <w:t>七</w:t>
      </w:r>
      <w:r>
        <w:rPr>
          <w:rFonts w:hint="eastAsia" w:ascii="仿宋" w:hAnsi="仿宋" w:eastAsia="仿宋"/>
          <w:bCs/>
          <w:color w:val="000000"/>
          <w:sz w:val="32"/>
          <w:szCs w:val="32"/>
        </w:rPr>
        <w:t>年级招生工作。本单位顺利完成年度工作任务。</w:t>
      </w:r>
    </w:p>
    <w:p>
      <w:pPr>
        <w:pStyle w:val="2"/>
        <w:adjustRightInd w:val="0"/>
        <w:snapToGrid w:val="0"/>
        <w:spacing w:before="93" w:line="600" w:lineRule="exact"/>
        <w:ind w:firstLine="672" w:firstLineChars="210"/>
        <w:outlineLvl w:val="2"/>
      </w:pPr>
      <w:r>
        <w:rPr>
          <w:rFonts w:hint="eastAsia" w:ascii="仿宋" w:hAnsi="仿宋" w:eastAsia="仿宋"/>
          <w:bCs/>
          <w:color w:val="000000"/>
          <w:sz w:val="32"/>
          <w:szCs w:val="32"/>
        </w:rPr>
        <w:t>其他相关社会服务工作。顺利完成相关服务工作任务及上级安排的相关工作。</w:t>
      </w:r>
    </w:p>
    <w:p>
      <w:pPr>
        <w:pStyle w:val="4"/>
        <w:rPr>
          <w:rFonts w:ascii="黑体" w:hAnsi="黑体" w:eastAsia="黑体"/>
          <w:b w:val="0"/>
        </w:rPr>
      </w:pPr>
      <w:r>
        <w:rPr>
          <w:rFonts w:hint="eastAsia" w:ascii="黑体" w:hAnsi="黑体" w:eastAsia="黑体"/>
          <w:b w:val="0"/>
        </w:rPr>
        <w:t>二、机构设置</w:t>
      </w:r>
    </w:p>
    <w:bookmarkEnd w:id="14"/>
    <w:bookmarkEnd w:id="15"/>
    <w:p>
      <w:pPr>
        <w:ind w:firstLine="640" w:firstLineChars="200"/>
        <w:rPr>
          <w:rFonts w:ascii="仿宋" w:hAnsi="仿宋" w:eastAsia="仿宋"/>
          <w:sz w:val="32"/>
          <w:szCs w:val="32"/>
        </w:rPr>
      </w:pPr>
      <w:r>
        <w:rPr>
          <w:rFonts w:hint="eastAsia" w:ascii="仿宋" w:hAnsi="仿宋" w:eastAsia="仿宋"/>
          <w:sz w:val="32"/>
          <w:szCs w:val="32"/>
        </w:rPr>
        <w:t>本单位为事业单位1个，隶属于遂宁市安居区教体局。</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0" w:name="_Toc15377204"/>
      <w:bookmarkStart w:id="21" w:name="_Toc15396602"/>
      <w:r>
        <w:rPr>
          <w:rFonts w:hint="eastAsia" w:ascii="黑体" w:hAnsi="黑体" w:eastAsia="黑体"/>
          <w:b w:val="0"/>
        </w:rPr>
        <w:t>第二部分 2023年度</w:t>
      </w:r>
      <w:r>
        <w:rPr>
          <w:rStyle w:val="28"/>
          <w:rFonts w:hint="eastAsia" w:ascii="黑体" w:hAnsi="黑体" w:eastAsia="黑体"/>
          <w:b w:val="0"/>
          <w:bCs/>
          <w:lang w:val="en-US" w:eastAsia="zh-CN"/>
        </w:rPr>
        <w:t>部门</w:t>
      </w:r>
      <w:r>
        <w:rPr>
          <w:rStyle w:val="28"/>
          <w:rFonts w:hint="eastAsia" w:ascii="黑体" w:hAnsi="黑体" w:eastAsia="黑体"/>
          <w:b w:val="0"/>
          <w:bCs/>
        </w:rPr>
        <w:t>决算情况说明</w:t>
      </w:r>
      <w:bookmarkEnd w:id="20"/>
      <w:bookmarkEnd w:id="21"/>
    </w:p>
    <w:p/>
    <w:p>
      <w:pPr>
        <w:pStyle w:val="27"/>
        <w:numPr>
          <w:ilvl w:val="0"/>
          <w:numId w:val="2"/>
        </w:numPr>
        <w:spacing w:line="600" w:lineRule="exact"/>
        <w:ind w:firstLineChars="0"/>
        <w:outlineLvl w:val="1"/>
        <w:rPr>
          <w:rStyle w:val="29"/>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w:t>
      </w:r>
      <w:r>
        <w:rPr>
          <w:rFonts w:hint="eastAsia" w:ascii="仿宋" w:hAnsi="仿宋" w:eastAsia="仿宋"/>
          <w:b w:val="0"/>
          <w:bCs w:val="0"/>
          <w:sz w:val="32"/>
          <w:szCs w:val="32"/>
        </w:rPr>
        <w:t>为781.36万元。与2022年度相比，收、支总计各增加</w:t>
      </w:r>
      <w:r>
        <w:rPr>
          <w:rFonts w:hint="eastAsia" w:ascii="仿宋" w:hAnsi="仿宋" w:eastAsia="仿宋"/>
          <w:b w:val="0"/>
          <w:bCs w:val="0"/>
          <w:sz w:val="32"/>
          <w:szCs w:val="32"/>
          <w:lang w:val="en-US" w:eastAsia="zh-CN"/>
        </w:rPr>
        <w:t>100.31</w:t>
      </w:r>
      <w:r>
        <w:rPr>
          <w:rFonts w:hint="eastAsia" w:ascii="仿宋" w:hAnsi="仿宋" w:eastAsia="仿宋"/>
          <w:b w:val="0"/>
          <w:bCs w:val="0"/>
          <w:sz w:val="32"/>
          <w:szCs w:val="32"/>
        </w:rPr>
        <w:t>万元</w:t>
      </w:r>
      <w:r>
        <w:rPr>
          <w:rFonts w:hint="eastAsia" w:ascii="仿宋" w:hAnsi="仿宋" w:eastAsia="仿宋"/>
          <w:sz w:val="32"/>
          <w:szCs w:val="32"/>
        </w:rPr>
        <w:t>，增长</w:t>
      </w:r>
      <w:r>
        <w:rPr>
          <w:rFonts w:hint="eastAsia" w:ascii="仿宋" w:hAnsi="仿宋" w:eastAsia="仿宋"/>
          <w:sz w:val="32"/>
          <w:szCs w:val="32"/>
          <w:lang w:val="en-US" w:eastAsia="zh-CN"/>
        </w:rPr>
        <w:t>14.73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学校维修项目增加</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1" locked="0" layoutInCell="1" allowOverlap="1">
            <wp:simplePos x="0" y="0"/>
            <wp:positionH relativeFrom="column">
              <wp:posOffset>-247650</wp:posOffset>
            </wp:positionH>
            <wp:positionV relativeFrom="paragraph">
              <wp:posOffset>48895</wp:posOffset>
            </wp:positionV>
            <wp:extent cx="5609590" cy="2870200"/>
            <wp:effectExtent l="4445" t="4445" r="5715" b="2095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24"/>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2"/>
        </w:numPr>
        <w:spacing w:line="600" w:lineRule="exact"/>
        <w:ind w:firstLineChars="0"/>
        <w:outlineLvl w:val="1"/>
        <w:rPr>
          <w:rStyle w:val="29"/>
          <w:rFonts w:ascii="黑体" w:hAnsi="黑体" w:eastAsia="黑体"/>
          <w:b w:val="0"/>
        </w:rPr>
      </w:pPr>
      <w:bookmarkStart w:id="25" w:name="_Toc15396604"/>
      <w:bookmarkStart w:id="26" w:name="_Toc15377206"/>
      <w:r>
        <w:rPr>
          <w:rFonts w:hint="eastAsia" w:ascii="黑体" w:hAnsi="黑体" w:eastAsia="黑体"/>
          <w:sz w:val="32"/>
          <w:szCs w:val="32"/>
        </w:rPr>
        <w:t>收</w:t>
      </w:r>
      <w:r>
        <w:rPr>
          <w:rStyle w:val="29"/>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val="0"/>
          <w:bCs/>
          <w:sz w:val="32"/>
          <w:szCs w:val="32"/>
        </w:rPr>
        <w:t>781.36</w:t>
      </w:r>
      <w:r>
        <w:rPr>
          <w:rFonts w:hint="eastAsia" w:ascii="仿宋" w:hAnsi="仿宋" w:eastAsia="仿宋"/>
          <w:b w:val="0"/>
          <w:bCs/>
          <w:sz w:val="32"/>
          <w:szCs w:val="32"/>
        </w:rPr>
        <w:t>万元，其中：一般公共预算财政拨款收入</w:t>
      </w:r>
      <w:r>
        <w:rPr>
          <w:rFonts w:ascii="仿宋" w:hAnsi="仿宋" w:eastAsia="仿宋"/>
          <w:b w:val="0"/>
          <w:bCs/>
          <w:sz w:val="32"/>
          <w:szCs w:val="32"/>
        </w:rPr>
        <w:t>781.36</w:t>
      </w:r>
      <w:r>
        <w:rPr>
          <w:rFonts w:hint="eastAsia" w:ascii="仿宋" w:hAnsi="仿宋" w:eastAsia="仿宋"/>
          <w:b w:val="0"/>
          <w:bCs/>
          <w:sz w:val="32"/>
          <w:szCs w:val="32"/>
        </w:rPr>
        <w:t>万元，占</w:t>
      </w:r>
      <w:r>
        <w:rPr>
          <w:rFonts w:ascii="仿宋" w:hAnsi="仿宋" w:eastAsia="仿宋"/>
          <w:b w:val="0"/>
          <w:bCs/>
          <w:sz w:val="32"/>
          <w:szCs w:val="32"/>
        </w:rPr>
        <w:t>100%</w:t>
      </w:r>
      <w:r>
        <w:rPr>
          <w:rFonts w:hint="eastAsia" w:ascii="仿宋" w:hAnsi="仿宋" w:eastAsia="仿宋"/>
          <w:b w:val="0"/>
          <w:bCs/>
          <w:sz w:val="32"/>
          <w:szCs w:val="32"/>
        </w:rPr>
        <w:t>；政府性基金预算财政拨款收入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；国有资本经营预算财政拨款收入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；上级补助收入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；事业收入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；经营收入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；附属单位上缴收入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；其他收入</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drawing>
          <wp:anchor distT="0" distB="0" distL="0" distR="0" simplePos="0" relativeHeight="251660288" behindDoc="1" locked="0" layoutInCell="1" allowOverlap="1">
            <wp:simplePos x="0" y="0"/>
            <wp:positionH relativeFrom="column">
              <wp:posOffset>533400</wp:posOffset>
            </wp:positionH>
            <wp:positionV relativeFrom="paragraph">
              <wp:posOffset>-66675</wp:posOffset>
            </wp:positionV>
            <wp:extent cx="4628515" cy="2108835"/>
            <wp:effectExtent l="4445" t="4445" r="15240" b="2032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outlineLvl w:val="1"/>
        <w:rPr>
          <w:rFonts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2"/>
        </w:numPr>
        <w:spacing w:line="600" w:lineRule="exact"/>
        <w:ind w:firstLineChars="0"/>
        <w:outlineLvl w:val="1"/>
        <w:rPr>
          <w:rStyle w:val="29"/>
          <w:rFonts w:ascii="黑体" w:hAnsi="黑体" w:eastAsia="黑体"/>
          <w:b w:val="0"/>
        </w:rPr>
      </w:pPr>
      <w:bookmarkStart w:id="27" w:name="_Toc15396605"/>
      <w:bookmarkStart w:id="28" w:name="_Toc15377207"/>
      <w:r>
        <w:rPr>
          <w:rFonts w:hint="eastAsia" w:ascii="黑体" w:hAnsi="黑体" w:eastAsia="黑体"/>
          <w:sz w:val="32"/>
          <w:szCs w:val="32"/>
        </w:rPr>
        <w:t>支</w:t>
      </w:r>
      <w:r>
        <w:rPr>
          <w:rStyle w:val="29"/>
          <w:rFonts w:hint="eastAsia" w:ascii="黑体" w:hAnsi="黑体" w:eastAsia="黑体"/>
          <w:b w:val="0"/>
        </w:rPr>
        <w:t>出决算情况说明</w:t>
      </w:r>
      <w:bookmarkEnd w:id="27"/>
      <w:bookmarkEnd w:id="28"/>
    </w:p>
    <w:p>
      <w:pPr>
        <w:spacing w:line="600" w:lineRule="exact"/>
        <w:ind w:firstLine="640" w:firstLineChars="200"/>
        <w:outlineLvl w:val="1"/>
        <w:rPr>
          <w:rFonts w:ascii="仿宋" w:hAnsi="仿宋" w:eastAsia="仿宋"/>
          <w:b w:val="0"/>
          <w:bCs/>
          <w:sz w:val="32"/>
          <w:szCs w:val="32"/>
        </w:rPr>
      </w:pPr>
      <w:r>
        <w:rPr>
          <w:rFonts w:hint="eastAsia" w:ascii="仿宋" w:hAnsi="仿宋" w:eastAsia="仿宋"/>
          <w:sz w:val="32"/>
          <w:szCs w:val="32"/>
        </w:rPr>
        <w:t>2023年度本年支出合计</w:t>
      </w:r>
      <w:r>
        <w:rPr>
          <w:rFonts w:ascii="仿宋" w:hAnsi="仿宋" w:eastAsia="仿宋"/>
          <w:b w:val="0"/>
          <w:bCs/>
          <w:sz w:val="32"/>
          <w:szCs w:val="32"/>
        </w:rPr>
        <w:t>781.36</w:t>
      </w:r>
      <w:r>
        <w:rPr>
          <w:rFonts w:hint="eastAsia" w:ascii="仿宋" w:hAnsi="仿宋" w:eastAsia="仿宋"/>
          <w:b w:val="0"/>
          <w:bCs/>
          <w:sz w:val="32"/>
          <w:szCs w:val="32"/>
        </w:rPr>
        <w:t>万元，其中：基本支出</w:t>
      </w:r>
      <w:r>
        <w:rPr>
          <w:rFonts w:ascii="仿宋" w:hAnsi="仿宋" w:eastAsia="仿宋"/>
          <w:b w:val="0"/>
          <w:bCs/>
          <w:sz w:val="32"/>
          <w:szCs w:val="32"/>
        </w:rPr>
        <w:t>724.02</w:t>
      </w:r>
      <w:r>
        <w:rPr>
          <w:rFonts w:hint="eastAsia" w:ascii="仿宋" w:hAnsi="仿宋" w:eastAsia="仿宋"/>
          <w:b w:val="0"/>
          <w:bCs/>
          <w:sz w:val="32"/>
          <w:szCs w:val="32"/>
        </w:rPr>
        <w:t>万元，占</w:t>
      </w:r>
      <w:r>
        <w:rPr>
          <w:rFonts w:ascii="仿宋" w:hAnsi="仿宋" w:eastAsia="仿宋"/>
          <w:b w:val="0"/>
          <w:bCs/>
          <w:sz w:val="32"/>
          <w:szCs w:val="32"/>
        </w:rPr>
        <w:t>92.66%</w:t>
      </w:r>
      <w:r>
        <w:rPr>
          <w:rFonts w:hint="eastAsia" w:ascii="仿宋" w:hAnsi="仿宋" w:eastAsia="仿宋"/>
          <w:b w:val="0"/>
          <w:bCs/>
          <w:sz w:val="32"/>
          <w:szCs w:val="32"/>
        </w:rPr>
        <w:t>；项目支出</w:t>
      </w:r>
      <w:r>
        <w:rPr>
          <w:rFonts w:ascii="仿宋" w:hAnsi="仿宋" w:eastAsia="仿宋"/>
          <w:b w:val="0"/>
          <w:bCs/>
          <w:sz w:val="32"/>
          <w:szCs w:val="32"/>
        </w:rPr>
        <w:t>57.34</w:t>
      </w:r>
      <w:r>
        <w:rPr>
          <w:rFonts w:hint="eastAsia" w:ascii="仿宋" w:hAnsi="仿宋" w:eastAsia="仿宋"/>
          <w:b w:val="0"/>
          <w:bCs/>
          <w:sz w:val="32"/>
          <w:szCs w:val="32"/>
        </w:rPr>
        <w:t>万元，占</w:t>
      </w:r>
      <w:r>
        <w:rPr>
          <w:rFonts w:ascii="仿宋" w:hAnsi="仿宋" w:eastAsia="仿宋"/>
          <w:b w:val="0"/>
          <w:bCs/>
          <w:sz w:val="32"/>
          <w:szCs w:val="32"/>
        </w:rPr>
        <w:t>7.33%</w:t>
      </w:r>
      <w:r>
        <w:rPr>
          <w:rFonts w:hint="eastAsia" w:ascii="仿宋" w:hAnsi="仿宋" w:eastAsia="仿宋"/>
          <w:b w:val="0"/>
          <w:bCs/>
          <w:sz w:val="32"/>
          <w:szCs w:val="32"/>
        </w:rPr>
        <w:t>；上缴上级支出</w:t>
      </w:r>
      <w:r>
        <w:rPr>
          <w:rFonts w:ascii="仿宋" w:hAnsi="仿宋" w:eastAsia="仿宋"/>
          <w:b w:val="0"/>
          <w:bCs/>
          <w:sz w:val="32"/>
          <w:szCs w:val="32"/>
        </w:rPr>
        <w:t>0</w:t>
      </w:r>
      <w:r>
        <w:rPr>
          <w:rFonts w:hint="eastAsia" w:ascii="仿宋" w:hAnsi="仿宋" w:eastAsia="仿宋"/>
          <w:b w:val="0"/>
          <w:bCs/>
          <w:sz w:val="32"/>
          <w:szCs w:val="32"/>
        </w:rPr>
        <w:t>万元，占0</w:t>
      </w:r>
      <w:r>
        <w:rPr>
          <w:rFonts w:ascii="仿宋" w:hAnsi="仿宋" w:eastAsia="仿宋"/>
          <w:b w:val="0"/>
          <w:bCs/>
          <w:sz w:val="32"/>
          <w:szCs w:val="32"/>
        </w:rPr>
        <w:t>%</w:t>
      </w:r>
      <w:r>
        <w:rPr>
          <w:rFonts w:hint="eastAsia" w:ascii="仿宋" w:hAnsi="仿宋" w:eastAsia="仿宋"/>
          <w:b w:val="0"/>
          <w:bCs/>
          <w:sz w:val="32"/>
          <w:szCs w:val="32"/>
        </w:rPr>
        <w:t>；经营支出</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；对附属单位补助支出</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w:t>
      </w:r>
    </w:p>
    <w:p>
      <w:pPr>
        <w:spacing w:line="600" w:lineRule="exact"/>
        <w:ind w:firstLine="640"/>
        <w:rPr>
          <w:rFonts w:ascii="仿宋" w:hAnsi="仿宋" w:eastAsia="仿宋"/>
          <w:sz w:val="32"/>
          <w:szCs w:val="32"/>
          <w:shd w:val="pct10" w:color="auto" w:fill="FFFFFF"/>
        </w:rPr>
      </w:pPr>
      <w:r>
        <w:rPr>
          <w:rFonts w:ascii="仿宋" w:hAnsi="仿宋" w:eastAsia="仿宋"/>
          <w:color w:val="000000"/>
          <w:sz w:val="32"/>
          <w:szCs w:val="32"/>
          <w:shd w:val="pct10" w:color="auto" w:fill="FFFFFF"/>
        </w:rPr>
        <w:drawing>
          <wp:anchor distT="0" distB="0" distL="0" distR="0" simplePos="0" relativeHeight="251661312" behindDoc="0" locked="0" layoutInCell="1" allowOverlap="1">
            <wp:simplePos x="0" y="0"/>
            <wp:positionH relativeFrom="column">
              <wp:posOffset>-57150</wp:posOffset>
            </wp:positionH>
            <wp:positionV relativeFrom="paragraph">
              <wp:posOffset>180975</wp:posOffset>
            </wp:positionV>
            <wp:extent cx="5427980" cy="2833370"/>
            <wp:effectExtent l="4445" t="4445" r="15875" b="1968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9"/>
          <w:rFonts w:ascii="黑体" w:hAnsi="黑体" w:eastAsia="黑体"/>
          <w:b w:val="0"/>
        </w:rPr>
      </w:pPr>
      <w:bookmarkStart w:id="29" w:name="_Toc15396606"/>
      <w:bookmarkStart w:id="30"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9"/>
      <w:bookmarkEnd w:id="30"/>
    </w:p>
    <w:p>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val="0"/>
          <w:bCs/>
          <w:sz w:val="32"/>
          <w:szCs w:val="32"/>
        </w:rPr>
        <w:t>781.36</w:t>
      </w:r>
      <w:r>
        <w:rPr>
          <w:rFonts w:hint="eastAsia" w:ascii="仿宋" w:hAnsi="仿宋" w:eastAsia="仿宋"/>
          <w:b w:val="0"/>
          <w:bCs/>
          <w:sz w:val="32"/>
          <w:szCs w:val="32"/>
        </w:rPr>
        <w:t>万元。与2022年度相比，财政拨款收、支总计各增加</w:t>
      </w:r>
      <w:r>
        <w:rPr>
          <w:rFonts w:hint="eastAsia" w:ascii="仿宋" w:hAnsi="仿宋" w:eastAsia="仿宋"/>
          <w:b w:val="0"/>
          <w:bCs/>
          <w:sz w:val="32"/>
          <w:szCs w:val="32"/>
          <w:lang w:val="en-US" w:eastAsia="zh-CN"/>
        </w:rPr>
        <w:t>10</w:t>
      </w:r>
      <w:r>
        <w:rPr>
          <w:rFonts w:hint="eastAsia" w:ascii="仿宋" w:hAnsi="仿宋" w:eastAsia="仿宋"/>
          <w:sz w:val="32"/>
          <w:szCs w:val="32"/>
          <w:lang w:val="en-US" w:eastAsia="zh-CN"/>
        </w:rPr>
        <w:t>0.31</w:t>
      </w:r>
      <w:r>
        <w:rPr>
          <w:rFonts w:hint="eastAsia" w:ascii="仿宋" w:hAnsi="仿宋" w:eastAsia="仿宋"/>
          <w:sz w:val="32"/>
          <w:szCs w:val="32"/>
        </w:rPr>
        <w:t>万元，增长</w:t>
      </w:r>
      <w:r>
        <w:rPr>
          <w:rFonts w:hint="eastAsia" w:ascii="仿宋" w:hAnsi="仿宋" w:eastAsia="仿宋"/>
          <w:sz w:val="32"/>
          <w:szCs w:val="32"/>
          <w:lang w:val="en-US" w:eastAsia="zh-CN"/>
        </w:rPr>
        <w:t>14.73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学校维修项目增加。</w:t>
      </w:r>
    </w:p>
    <w:p>
      <w:pPr>
        <w:spacing w:line="600" w:lineRule="exact"/>
        <w:ind w:firstLine="640"/>
        <w:rPr>
          <w:rFonts w:hint="eastAsia" w:ascii="仿宋" w:hAnsi="仿宋" w:eastAsia="仿宋"/>
          <w:sz w:val="32"/>
          <w:szCs w:val="32"/>
          <w:lang w:val="en-US" w:eastAsia="zh-CN"/>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94615</wp:posOffset>
            </wp:positionH>
            <wp:positionV relativeFrom="paragraph">
              <wp:posOffset>85725</wp:posOffset>
            </wp:positionV>
            <wp:extent cx="5180965" cy="2600960"/>
            <wp:effectExtent l="4445" t="4445" r="15240"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hAnsi="仿宋" w:eastAsia="仿宋"/>
          <w:sz w:val="32"/>
          <w:szCs w:val="32"/>
          <w:lang w:val="en-US" w:eastAsia="zh-CN"/>
        </w:rPr>
      </w:pPr>
    </w:p>
    <w:p>
      <w:pPr>
        <w:spacing w:line="600" w:lineRule="exact"/>
        <w:ind w:firstLine="640"/>
        <w:rPr>
          <w:rFonts w:hint="eastAsia" w:ascii="仿宋" w:hAnsi="仿宋" w:eastAsia="仿宋"/>
          <w:sz w:val="32"/>
          <w:szCs w:val="32"/>
          <w:lang w:val="en-US" w:eastAsia="zh-CN"/>
        </w:rPr>
      </w:pPr>
    </w:p>
    <w:p>
      <w:pPr>
        <w:spacing w:line="600" w:lineRule="exact"/>
        <w:ind w:firstLine="640"/>
        <w:rPr>
          <w:rFonts w:hint="eastAsia" w:ascii="仿宋" w:hAnsi="仿宋" w:eastAsia="仿宋"/>
          <w:sz w:val="32"/>
          <w:szCs w:val="32"/>
          <w:lang w:val="en-US" w:eastAsia="zh-CN"/>
        </w:rPr>
      </w:pPr>
    </w:p>
    <w:p>
      <w:pPr>
        <w:spacing w:line="600" w:lineRule="exact"/>
        <w:ind w:firstLine="640"/>
        <w:rPr>
          <w:rFonts w:hint="eastAsia" w:ascii="仿宋" w:hAnsi="仿宋" w:eastAsia="仿宋"/>
          <w:sz w:val="32"/>
          <w:szCs w:val="32"/>
          <w:lang w:val="en-US" w:eastAsia="zh-CN"/>
        </w:rPr>
      </w:pPr>
    </w:p>
    <w:p>
      <w:pPr>
        <w:spacing w:line="600" w:lineRule="exact"/>
        <w:ind w:firstLine="640"/>
        <w:rPr>
          <w:rFonts w:hint="eastAsia" w:ascii="仿宋" w:hAnsi="仿宋" w:eastAsia="仿宋"/>
          <w:sz w:val="32"/>
          <w:szCs w:val="32"/>
          <w:lang w:val="en-US" w:eastAsia="zh-CN"/>
        </w:rPr>
      </w:pPr>
    </w:p>
    <w:p>
      <w:pPr>
        <w:spacing w:line="600" w:lineRule="exact"/>
        <w:rPr>
          <w:rFonts w:ascii="仿宋" w:hAnsi="仿宋" w:eastAsia="仿宋"/>
          <w:sz w:val="32"/>
          <w:szCs w:val="32"/>
        </w:rPr>
      </w:pPr>
    </w:p>
    <w:p>
      <w:pPr>
        <w:spacing w:line="600" w:lineRule="exact"/>
        <w:ind w:firstLine="640" w:firstLineChars="200"/>
        <w:jc w:val="center"/>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31" w:name="_Toc15377209"/>
      <w:bookmarkStart w:id="32"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val="0"/>
          <w:bCs/>
          <w:sz w:val="32"/>
          <w:szCs w:val="32"/>
        </w:rPr>
        <w:t>781.36</w:t>
      </w:r>
      <w:r>
        <w:rPr>
          <w:rFonts w:hint="eastAsia" w:ascii="仿宋" w:hAnsi="仿宋" w:eastAsia="仿宋"/>
          <w:b w:val="0"/>
          <w:bCs/>
          <w:sz w:val="32"/>
          <w:szCs w:val="32"/>
        </w:rPr>
        <w:t>万元，占本年支出合计的</w:t>
      </w:r>
      <w:r>
        <w:rPr>
          <w:rFonts w:ascii="仿宋" w:hAnsi="仿宋" w:eastAsia="仿宋"/>
          <w:b w:val="0"/>
          <w:bCs/>
          <w:sz w:val="32"/>
          <w:szCs w:val="32"/>
        </w:rPr>
        <w:t>100%</w:t>
      </w:r>
      <w:r>
        <w:rPr>
          <w:rFonts w:hint="eastAsia" w:ascii="仿宋" w:hAnsi="仿宋" w:eastAsia="仿宋"/>
          <w:b w:val="0"/>
          <w:bCs/>
          <w:sz w:val="32"/>
          <w:szCs w:val="32"/>
        </w:rPr>
        <w:t>。与2022年度相比，</w:t>
      </w:r>
      <w:r>
        <w:rPr>
          <w:rFonts w:hint="eastAsia" w:ascii="仿宋" w:hAnsi="仿宋" w:eastAsia="仿宋"/>
          <w:sz w:val="32"/>
          <w:szCs w:val="32"/>
        </w:rPr>
        <w:t>一般公共预算财政拨款支出增加</w:t>
      </w:r>
      <w:r>
        <w:rPr>
          <w:rFonts w:hint="eastAsia" w:ascii="仿宋" w:hAnsi="仿宋" w:eastAsia="仿宋"/>
          <w:sz w:val="32"/>
          <w:szCs w:val="32"/>
          <w:lang w:val="en-US" w:eastAsia="zh-CN"/>
        </w:rPr>
        <w:t>100.31</w:t>
      </w:r>
      <w:r>
        <w:rPr>
          <w:rFonts w:hint="eastAsia" w:ascii="仿宋" w:hAnsi="仿宋" w:eastAsia="仿宋"/>
          <w:sz w:val="32"/>
          <w:szCs w:val="32"/>
        </w:rPr>
        <w:t>万元，增长</w:t>
      </w:r>
      <w:r>
        <w:rPr>
          <w:rFonts w:hint="eastAsia" w:ascii="仿宋" w:hAnsi="仿宋" w:eastAsia="仿宋"/>
          <w:sz w:val="32"/>
          <w:szCs w:val="32"/>
          <w:lang w:val="en-US" w:eastAsia="zh-CN"/>
        </w:rPr>
        <w:t>14.73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学校维修项目增加。</w:t>
      </w:r>
    </w:p>
    <w:p>
      <w:pPr>
        <w:spacing w:line="600" w:lineRule="exact"/>
        <w:ind w:firstLine="640" w:firstLineChars="200"/>
        <w:rPr>
          <w:rFonts w:hint="eastAsia" w:ascii="仿宋" w:hAnsi="仿宋" w:eastAsia="仿宋"/>
          <w:sz w:val="32"/>
          <w:szCs w:val="32"/>
          <w:lang w:val="en-US" w:eastAsia="zh-CN"/>
        </w:rPr>
      </w:pPr>
      <w:r>
        <w:rPr>
          <w:rFonts w:ascii="仿宋" w:hAnsi="仿宋" w:eastAsia="仿宋"/>
          <w:color w:val="000000"/>
          <w:sz w:val="32"/>
          <w:szCs w:val="32"/>
        </w:rPr>
        <w:drawing>
          <wp:anchor distT="0" distB="0" distL="0" distR="0" simplePos="0" relativeHeight="251663360" behindDoc="1" locked="0" layoutInCell="1" allowOverlap="1">
            <wp:simplePos x="0" y="0"/>
            <wp:positionH relativeFrom="column">
              <wp:posOffset>160655</wp:posOffset>
            </wp:positionH>
            <wp:positionV relativeFrom="paragraph">
              <wp:posOffset>55880</wp:posOffset>
            </wp:positionV>
            <wp:extent cx="5304790" cy="2661920"/>
            <wp:effectExtent l="4445" t="4445" r="5715" b="1968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
          <w:sz w:val="32"/>
          <w:szCs w:val="32"/>
          <w:lang w:val="en-US" w:eastAsia="zh-CN"/>
        </w:rPr>
      </w:pPr>
    </w:p>
    <w:p>
      <w:pPr>
        <w:spacing w:line="600" w:lineRule="exact"/>
        <w:ind w:firstLine="640" w:firstLineChars="200"/>
        <w:rPr>
          <w:rFonts w:hint="eastAsia" w:ascii="仿宋" w:hAnsi="仿宋" w:eastAsia="仿宋"/>
          <w:sz w:val="32"/>
          <w:szCs w:val="32"/>
          <w:lang w:val="en-US" w:eastAsia="zh-CN"/>
        </w:rPr>
      </w:pPr>
    </w:p>
    <w:p>
      <w:pPr>
        <w:spacing w:line="600" w:lineRule="exact"/>
        <w:ind w:firstLine="640" w:firstLineChars="200"/>
        <w:rPr>
          <w:rFonts w:hint="eastAsia" w:ascii="仿宋" w:hAnsi="仿宋" w:eastAsia="仿宋"/>
          <w:sz w:val="32"/>
          <w:szCs w:val="32"/>
          <w:lang w:val="en-US" w:eastAsia="zh-CN"/>
        </w:rPr>
      </w:pPr>
    </w:p>
    <w:p>
      <w:pPr>
        <w:spacing w:line="600" w:lineRule="exact"/>
        <w:ind w:firstLine="640" w:firstLineChars="200"/>
        <w:rPr>
          <w:rFonts w:hint="eastAsia" w:ascii="仿宋" w:hAnsi="仿宋" w:eastAsia="仿宋"/>
          <w:sz w:val="32"/>
          <w:szCs w:val="32"/>
          <w:lang w:val="en-US" w:eastAsia="zh-CN"/>
        </w:rPr>
      </w:pPr>
    </w:p>
    <w:p>
      <w:pPr>
        <w:spacing w:line="600" w:lineRule="exact"/>
        <w:ind w:firstLine="640" w:firstLineChars="200"/>
        <w:rPr>
          <w:rFonts w:hint="eastAsia" w:ascii="仿宋" w:hAnsi="仿宋" w:eastAsia="仿宋"/>
          <w:sz w:val="32"/>
          <w:szCs w:val="32"/>
          <w:lang w:val="en-US" w:eastAsia="zh-CN"/>
        </w:rPr>
      </w:pPr>
    </w:p>
    <w:p>
      <w:pPr>
        <w:spacing w:line="600" w:lineRule="exact"/>
        <w:ind w:firstLine="640" w:firstLineChars="200"/>
        <w:rPr>
          <w:rFonts w:hint="eastAsia" w:ascii="仿宋" w:hAnsi="仿宋" w:eastAsia="仿宋"/>
          <w:sz w:val="32"/>
          <w:szCs w:val="32"/>
          <w:lang w:val="en-US" w:eastAsia="zh-CN"/>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val="0"/>
          <w:bCs/>
          <w:sz w:val="32"/>
          <w:szCs w:val="32"/>
        </w:rPr>
        <w:t>781.36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610.46</w:t>
      </w:r>
      <w:r>
        <w:rPr>
          <w:rFonts w:hint="eastAsia" w:ascii="仿宋" w:hAnsi="仿宋" w:eastAsia="仿宋"/>
          <w:sz w:val="32"/>
          <w:szCs w:val="32"/>
        </w:rPr>
        <w:t>万元，占</w:t>
      </w:r>
      <w:r>
        <w:rPr>
          <w:rFonts w:hint="eastAsia" w:ascii="仿宋" w:hAnsi="仿宋" w:eastAsia="仿宋"/>
          <w:sz w:val="32"/>
          <w:szCs w:val="32"/>
          <w:lang w:val="en-US" w:eastAsia="zh-CN"/>
        </w:rPr>
        <w:t>78.13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89.38</w:t>
      </w:r>
      <w:r>
        <w:rPr>
          <w:rFonts w:hint="eastAsia" w:ascii="仿宋" w:hAnsi="仿宋" w:eastAsia="仿宋"/>
          <w:sz w:val="32"/>
          <w:szCs w:val="32"/>
        </w:rPr>
        <w:t>万元，占</w:t>
      </w:r>
      <w:r>
        <w:rPr>
          <w:rFonts w:hint="eastAsia" w:ascii="仿宋" w:hAnsi="仿宋" w:eastAsia="仿宋"/>
          <w:sz w:val="32"/>
          <w:szCs w:val="32"/>
          <w:lang w:val="en-US" w:eastAsia="zh-CN"/>
        </w:rPr>
        <w:t>11.44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29.32</w:t>
      </w:r>
      <w:r>
        <w:rPr>
          <w:rFonts w:hint="eastAsia" w:ascii="仿宋" w:hAnsi="仿宋" w:eastAsia="仿宋"/>
          <w:sz w:val="32"/>
          <w:szCs w:val="32"/>
        </w:rPr>
        <w:t>万元，占</w:t>
      </w:r>
      <w:r>
        <w:rPr>
          <w:rFonts w:hint="eastAsia" w:ascii="仿宋" w:hAnsi="仿宋" w:eastAsia="仿宋"/>
          <w:sz w:val="32"/>
          <w:szCs w:val="32"/>
          <w:lang w:val="en-US" w:eastAsia="zh-CN"/>
        </w:rPr>
        <w:t>3.75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52.21</w:t>
      </w:r>
      <w:r>
        <w:rPr>
          <w:rFonts w:hint="eastAsia" w:ascii="仿宋" w:hAnsi="仿宋" w:eastAsia="仿宋"/>
          <w:sz w:val="32"/>
          <w:szCs w:val="32"/>
        </w:rPr>
        <w:t>万元，占</w:t>
      </w:r>
      <w:r>
        <w:rPr>
          <w:rFonts w:hint="eastAsia" w:ascii="仿宋" w:hAnsi="仿宋" w:eastAsia="仿宋"/>
          <w:sz w:val="32"/>
          <w:szCs w:val="32"/>
          <w:lang w:val="en-US" w:eastAsia="zh-CN"/>
        </w:rPr>
        <w:t>6.68</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rPr>
          <w:rFonts w:ascii="仿宋" w:hAnsi="仿宋" w:eastAsia="仿宋"/>
          <w:b/>
          <w:sz w:val="32"/>
          <w:szCs w:val="32"/>
        </w:rPr>
      </w:pPr>
      <w:r>
        <w:rPr>
          <w:rFonts w:ascii="仿宋" w:hAnsi="仿宋" w:eastAsia="仿宋"/>
          <w:color w:val="000000"/>
          <w:sz w:val="32"/>
          <w:szCs w:val="32"/>
        </w:rPr>
        <w:drawing>
          <wp:anchor distT="0" distB="0" distL="0" distR="0" simplePos="0" relativeHeight="251664384" behindDoc="1" locked="0" layoutInCell="1" allowOverlap="1">
            <wp:simplePos x="0" y="0"/>
            <wp:positionH relativeFrom="column">
              <wp:posOffset>171450</wp:posOffset>
            </wp:positionH>
            <wp:positionV relativeFrom="paragraph">
              <wp:posOffset>57150</wp:posOffset>
            </wp:positionV>
            <wp:extent cx="4875530" cy="2498090"/>
            <wp:effectExtent l="4445" t="4445" r="15875" b="1206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3" w:firstLineChars="200"/>
        <w:outlineLvl w:val="2"/>
        <w:rPr>
          <w:rFonts w:ascii="仿宋" w:hAnsi="仿宋" w:eastAsia="仿宋"/>
          <w:sz w:val="32"/>
          <w:szCs w:val="32"/>
        </w:rPr>
      </w:pPr>
      <w:bookmarkStart w:id="36" w:name="_Toc15377444"/>
      <w:bookmarkStart w:id="37" w:name="_Toc15377213"/>
      <w:bookmarkStart w:id="38" w:name="_Toc15378460"/>
      <w:r>
        <w:rPr>
          <w:rFonts w:hint="eastAsia" w:ascii="仿宋" w:hAnsi="仿宋" w:eastAsia="仿宋"/>
          <w:b/>
          <w:sz w:val="32"/>
          <w:szCs w:val="32"/>
        </w:rPr>
        <w:t>2023年度一般公共预算支出决算数为</w:t>
      </w:r>
      <w:r>
        <w:rPr>
          <w:rFonts w:ascii="仿宋" w:hAnsi="仿宋" w:eastAsia="仿宋"/>
          <w:b/>
          <w:sz w:val="32"/>
          <w:szCs w:val="32"/>
        </w:rPr>
        <w:t>781.36</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6"/>
      <w:bookmarkEnd w:id="37"/>
      <w:bookmarkEnd w:id="38"/>
    </w:p>
    <w:p>
      <w:pPr>
        <w:numPr>
          <w:ilvl w:val="0"/>
          <w:numId w:val="3"/>
        </w:numPr>
        <w:spacing w:line="600" w:lineRule="exact"/>
        <w:ind w:firstLine="643"/>
        <w:rPr>
          <w:rFonts w:ascii="仿宋" w:hAnsi="仿宋" w:eastAsia="仿宋"/>
          <w:b/>
          <w:sz w:val="32"/>
          <w:szCs w:val="32"/>
        </w:rPr>
      </w:pPr>
      <w:r>
        <w:rPr>
          <w:rStyle w:val="17"/>
          <w:rFonts w:hint="eastAsia" w:ascii="仿宋" w:hAnsi="仿宋" w:eastAsia="仿宋"/>
          <w:bCs/>
          <w:sz w:val="32"/>
          <w:szCs w:val="32"/>
        </w:rPr>
        <w:t>教育（205类）普通教育（02款）</w:t>
      </w:r>
      <w:r>
        <w:rPr>
          <w:rStyle w:val="17"/>
          <w:rFonts w:hint="eastAsia" w:ascii="仿宋" w:hAnsi="仿宋" w:eastAsia="仿宋"/>
          <w:bCs/>
          <w:sz w:val="32"/>
          <w:szCs w:val="32"/>
          <w:lang w:val="en-US" w:eastAsia="zh-CN"/>
        </w:rPr>
        <w:t>初中</w:t>
      </w:r>
      <w:r>
        <w:rPr>
          <w:rStyle w:val="17"/>
          <w:rFonts w:hint="eastAsia" w:ascii="仿宋" w:hAnsi="仿宋" w:eastAsia="仿宋"/>
          <w:bCs/>
          <w:sz w:val="32"/>
          <w:szCs w:val="32"/>
        </w:rPr>
        <w:t>教育（0</w:t>
      </w:r>
      <w:r>
        <w:rPr>
          <w:rStyle w:val="17"/>
          <w:rFonts w:hint="eastAsia" w:ascii="仿宋" w:hAnsi="仿宋" w:eastAsia="仿宋"/>
          <w:bCs/>
          <w:sz w:val="32"/>
          <w:szCs w:val="32"/>
          <w:lang w:val="en-US" w:eastAsia="zh-CN"/>
        </w:rPr>
        <w:t>3</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529.33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教育（205类）普通教育（</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款）其他普通教育支出（99项）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78.86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教育（205类）教育</w:t>
      </w:r>
      <w:r>
        <w:rPr>
          <w:rStyle w:val="17"/>
          <w:rFonts w:hint="eastAsia" w:ascii="仿宋" w:hAnsi="仿宋" w:eastAsia="仿宋"/>
          <w:bCs/>
          <w:sz w:val="32"/>
          <w:szCs w:val="32"/>
          <w:lang w:val="en-US" w:eastAsia="zh-CN"/>
        </w:rPr>
        <w:t>费附加安排支出</w:t>
      </w:r>
      <w:r>
        <w:rPr>
          <w:rStyle w:val="17"/>
          <w:rFonts w:hint="eastAsia" w:ascii="仿宋" w:hAnsi="仿宋" w:eastAsia="仿宋"/>
          <w:bCs/>
          <w:sz w:val="32"/>
          <w:szCs w:val="32"/>
        </w:rPr>
        <w:t>（09款） 其他教育费附加安排的支出（99项）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2.27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rPr>
          <w:rFonts w:ascii="仿宋" w:hAnsi="仿宋" w:eastAsia="仿宋"/>
          <w:b/>
          <w:sz w:val="32"/>
          <w:szCs w:val="32"/>
        </w:rPr>
      </w:pP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62.72</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社会保障和就业（208类）行政事业单位养老支出（05款）</w:t>
      </w:r>
      <w:r>
        <w:rPr>
          <w:rStyle w:val="17"/>
          <w:rFonts w:hint="eastAsia" w:ascii="仿宋" w:hAnsi="仿宋" w:eastAsia="仿宋"/>
          <w:bCs/>
          <w:sz w:val="32"/>
          <w:szCs w:val="32"/>
          <w:lang w:val="en-US" w:eastAsia="zh-CN"/>
        </w:rPr>
        <w:t>其他</w:t>
      </w:r>
      <w:r>
        <w:rPr>
          <w:rStyle w:val="17"/>
          <w:rFonts w:hint="eastAsia" w:ascii="仿宋" w:hAnsi="仿宋" w:eastAsia="仿宋"/>
          <w:bCs/>
          <w:sz w:val="32"/>
          <w:szCs w:val="32"/>
        </w:rPr>
        <w:t>事业单位基本养老支出（</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23.76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社会保障和就业（208类）其他社会保障和就业支出（99款）其他社会保障和就业支出（99项）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2.89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（210类）行政事业单位医疗（11款）事业单位医疗（02项）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29.32</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7"/>
          <w:rFonts w:hint="eastAsia" w:ascii="仿宋" w:hAnsi="仿宋" w:eastAsia="仿宋"/>
          <w:bCs/>
          <w:sz w:val="32"/>
          <w:szCs w:val="32"/>
        </w:rPr>
        <w:t>（221类）住房改革支出（02款）住房公积金（01项）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52.21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9"/>
        </w:rPr>
      </w:pPr>
      <w:bookmarkStart w:id="39" w:name="_Toc15377214"/>
      <w:bookmarkStart w:id="4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9"/>
      <w:bookmarkEnd w:id="40"/>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724.02</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660.76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63.26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41" w:name="_Toc15377215"/>
      <w:bookmarkStart w:id="42"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r>
        <w:rPr>
          <w:rFonts w:hint="eastAsia" w:ascii="仿宋" w:hAnsi="仿宋" w:eastAsia="仿宋"/>
          <w:b/>
          <w:sz w:val="32"/>
          <w:szCs w:val="32"/>
        </w:rPr>
        <w:t>（一）“三公”经费财政拨款支出决算总体情况说明</w:t>
      </w:r>
      <w:bookmarkEnd w:id="43"/>
    </w:p>
    <w:p>
      <w:pPr>
        <w:spacing w:line="600" w:lineRule="exact"/>
        <w:ind w:firstLine="640"/>
        <w:outlineLvl w:val="2"/>
        <w:rPr>
          <w:rFonts w:hint="eastAsia" w:ascii="仿宋" w:hAnsi="仿宋" w:eastAsia="仿宋"/>
          <w:sz w:val="32"/>
          <w:szCs w:val="32"/>
          <w:lang w:val="en-US" w:eastAsia="zh-CN"/>
        </w:rPr>
      </w:pPr>
      <w:bookmarkStart w:id="44"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4"/>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Fonts w:hint="eastAsia" w:ascii="仿宋_GB2312" w:eastAsia="仿宋_GB2312"/>
          <w:b w:val="0"/>
          <w:bCs w:val="0"/>
          <w:sz w:val="32"/>
          <w:szCs w:val="32"/>
        </w:rPr>
        <w:t>，</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b w:val="0"/>
          <w:bCs w:val="0"/>
          <w:sz w:val="32"/>
          <w:szCs w:val="32"/>
        </w:rPr>
        <w:t>全年安排因公出国（境）团组</w:t>
      </w:r>
      <w:r>
        <w:rPr>
          <w:b w:val="0"/>
          <w:bCs w:val="0"/>
          <w:sz w:val="32"/>
          <w:szCs w:val="32"/>
        </w:rPr>
        <w:t>0</w:t>
      </w:r>
      <w:r>
        <w:rPr>
          <w:rFonts w:hint="eastAsia" w:ascii="仿宋_GB2312" w:eastAsia="仿宋_GB2312"/>
          <w:b w:val="0"/>
          <w:bCs w:val="0"/>
          <w:sz w:val="32"/>
          <w:szCs w:val="32"/>
        </w:rPr>
        <w:t>次，出国（境）</w:t>
      </w:r>
      <w:r>
        <w:rPr>
          <w:b w:val="0"/>
          <w:bCs w:val="0"/>
          <w:sz w:val="32"/>
          <w:szCs w:val="32"/>
        </w:rPr>
        <w:t>0</w:t>
      </w:r>
      <w:r>
        <w:rPr>
          <w:rFonts w:hint="eastAsia" w:ascii="仿宋_GB2312" w:eastAsia="仿宋_GB2312"/>
          <w:b w:val="0"/>
          <w:bCs w:val="0"/>
          <w:sz w:val="32"/>
          <w:szCs w:val="32"/>
        </w:rPr>
        <w:t>人。因公出</w:t>
      </w:r>
      <w:r>
        <w:rPr>
          <w:rFonts w:hint="eastAsia" w:ascii="仿宋_GB2312" w:eastAsia="仿宋_GB2312"/>
          <w:sz w:val="32"/>
          <w:szCs w:val="32"/>
        </w:rPr>
        <w:t>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0"/>
        </w:numPr>
        <w:spacing w:line="600" w:lineRule="exact"/>
        <w:ind w:firstLine="643" w:firstLineChars="200"/>
        <w:rPr>
          <w:rFonts w:hint="eastAsia" w:ascii="仿宋_GB2312" w:eastAsia="仿宋_GB2312"/>
          <w:b w:val="0"/>
          <w:bCs/>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val="0"/>
          <w:bCs/>
          <w:sz w:val="32"/>
          <w:szCs w:val="32"/>
        </w:rPr>
        <w:t>完成预算</w:t>
      </w:r>
      <w:r>
        <w:rPr>
          <w:rFonts w:hint="eastAsia" w:ascii="仿宋_GB2312" w:eastAsia="仿宋_GB2312"/>
          <w:b w:val="0"/>
          <w:bCs/>
          <w:sz w:val="32"/>
          <w:szCs w:val="32"/>
          <w:lang w:val="en-US" w:eastAsia="zh-CN"/>
        </w:rPr>
        <w:t>100</w:t>
      </w:r>
      <w:r>
        <w:rPr>
          <w:rFonts w:hint="eastAsia" w:ascii="仿宋_GB2312" w:eastAsia="仿宋_GB2312"/>
          <w:b w:val="0"/>
          <w:bCs/>
          <w:sz w:val="32"/>
          <w:szCs w:val="32"/>
        </w:rPr>
        <w:t>%。公务接待费支出决算与2022年度持平。其中：</w:t>
      </w:r>
    </w:p>
    <w:p>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外事接待支出0万元。外事接待0批次，0人次（不包括陪同人员），共计支出0万元。</w:t>
      </w:r>
    </w:p>
    <w:p>
      <w:pPr>
        <w:spacing w:line="600" w:lineRule="exact"/>
        <w:ind w:firstLine="800" w:firstLineChars="250"/>
        <w:outlineLvl w:val="1"/>
        <w:rPr>
          <w:rStyle w:val="29"/>
          <w:rFonts w:ascii="黑体" w:hAnsi="黑体" w:eastAsia="黑体"/>
        </w:rPr>
      </w:pPr>
      <w:bookmarkStart w:id="45" w:name="_Toc15377218"/>
      <w:bookmarkStart w:id="46" w:name="_Toc15396610"/>
      <w:r>
        <w:rPr>
          <w:rStyle w:val="29"/>
          <w:rFonts w:hint="eastAsia" w:ascii="黑体" w:hAnsi="黑体" w:eastAsia="黑体"/>
          <w:b w:val="0"/>
        </w:rPr>
        <w:t>八、政府性基金预算支出决算情况说明</w:t>
      </w:r>
      <w:bookmarkEnd w:id="45"/>
      <w:bookmarkEnd w:id="46"/>
    </w:p>
    <w:p>
      <w:pPr>
        <w:spacing w:line="600" w:lineRule="exact"/>
        <w:ind w:left="319" w:leftChars="152" w:firstLine="652" w:firstLineChars="204"/>
        <w:rPr>
          <w:rFonts w:hint="eastAsia" w:ascii="仿宋_GB2312" w:eastAsia="仿宋_GB2312"/>
          <w:color w:val="auto"/>
          <w:sz w:val="32"/>
          <w:szCs w:val="32"/>
          <w:lang w:eastAsia="zh-CN"/>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石洞镇初级中学校</w:t>
      </w:r>
      <w:r>
        <w:rPr>
          <w:rFonts w:hint="eastAsia" w:ascii="仿宋_GB2312" w:eastAsia="仿宋_GB2312"/>
          <w:color w:val="auto"/>
          <w:sz w:val="32"/>
          <w:szCs w:val="32"/>
        </w:rPr>
        <w:t>政府性基金预算财政拨款支出0万元</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numPr>
          <w:ilvl w:val="0"/>
          <w:numId w:val="4"/>
        </w:numPr>
        <w:spacing w:line="600" w:lineRule="exact"/>
        <w:ind w:firstLine="640"/>
        <w:outlineLvl w:val="1"/>
        <w:rPr>
          <w:rStyle w:val="29"/>
          <w:rFonts w:ascii="黑体" w:hAnsi="黑体" w:eastAsia="黑体"/>
          <w:b w:val="0"/>
        </w:rPr>
      </w:pPr>
      <w:bookmarkStart w:id="47" w:name="_Toc15396611"/>
      <w:bookmarkStart w:id="48" w:name="_Toc15377219"/>
      <w:r>
        <w:rPr>
          <w:rStyle w:val="29"/>
          <w:rFonts w:hint="eastAsia" w:ascii="黑体" w:hAnsi="黑体" w:eastAsia="黑体"/>
          <w:b w:val="0"/>
        </w:rPr>
        <w:t>国有资本经营预算支出决算情况说明</w:t>
      </w:r>
      <w:bookmarkEnd w:id="47"/>
      <w:bookmarkEnd w:id="48"/>
    </w:p>
    <w:p>
      <w:pPr>
        <w:pStyle w:val="27"/>
        <w:spacing w:line="600" w:lineRule="exact"/>
        <w:ind w:left="360" w:firstLine="640" w:firstLineChars="200"/>
        <w:rPr>
          <w:rFonts w:ascii="仿宋_GB2312" w:eastAsia="仿宋_GB2312"/>
          <w:sz w:val="32"/>
          <w:szCs w:val="32"/>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石洞镇初级中学校</w:t>
      </w:r>
      <w:r>
        <w:rPr>
          <w:rFonts w:hint="eastAsia" w:ascii="仿宋_GB2312" w:eastAsia="仿宋_GB2312"/>
          <w:sz w:val="32"/>
          <w:szCs w:val="32"/>
        </w:rPr>
        <w:t>国有资本经营预算财政拨款支出0万元</w:t>
      </w:r>
      <w:r>
        <w:rPr>
          <w:rFonts w:hint="eastAsia" w:ascii="仿宋_GB2312" w:eastAsia="仿宋_GB2312"/>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pStyle w:val="27"/>
        <w:spacing w:line="600" w:lineRule="exact"/>
        <w:ind w:left="360" w:firstLine="321" w:firstLineChars="100"/>
        <w:outlineLvl w:val="1"/>
        <w:rPr>
          <w:rStyle w:val="29"/>
          <w:rFonts w:ascii="黑体" w:hAnsi="黑体" w:eastAsia="黑体"/>
          <w:b w:val="0"/>
        </w:rPr>
      </w:pPr>
      <w:bookmarkStart w:id="49" w:name="_Toc15396612"/>
      <w:bookmarkStart w:id="50" w:name="_Toc15377221"/>
      <w:r>
        <w:rPr>
          <w:rStyle w:val="29"/>
          <w:rFonts w:hint="eastAsia" w:ascii="黑体" w:hAnsi="黑体" w:eastAsia="黑体"/>
        </w:rPr>
        <w:t>十</w:t>
      </w:r>
      <w:r>
        <w:rPr>
          <w:rStyle w:val="29"/>
          <w:rFonts w:ascii="黑体" w:hAnsi="黑体" w:eastAsia="黑体"/>
        </w:rPr>
        <w:t>、</w:t>
      </w:r>
      <w:r>
        <w:rPr>
          <w:rStyle w:val="29"/>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left="319" w:leftChars="152" w:firstLine="640" w:firstLineChars="200"/>
        <w:rPr>
          <w:rFonts w:ascii="仿宋_GB2312" w:eastAsia="仿宋_GB2312"/>
          <w:sz w:val="32"/>
          <w:szCs w:val="32"/>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石洞镇初级中学校</w:t>
      </w:r>
      <w:r>
        <w:rPr>
          <w:rFonts w:hint="eastAsia" w:ascii="仿宋_GB2312" w:eastAsia="仿宋_GB2312"/>
          <w:b w:val="0"/>
          <w:bCs w:val="0"/>
          <w:color w:val="auto"/>
          <w:sz w:val="32"/>
          <w:szCs w:val="32"/>
        </w:rPr>
        <w:t>机关运行经费支出0万元</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53" w:name="_Toc15377224"/>
      <w:r>
        <w:rPr>
          <w:rFonts w:hint="eastAsia" w:ascii="仿宋_GB2312" w:eastAsia="仿宋_GB2312"/>
          <w:sz w:val="32"/>
          <w:szCs w:val="32"/>
        </w:rPr>
        <w:t>2023年度，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石洞镇初级中学校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3"/>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石洞镇初级中学校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pStyle w:val="13"/>
        <w:rPr>
          <w:rFonts w:hint="eastAsia"/>
        </w:rPr>
      </w:pP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义务教育均衡发展资金</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2023年度部</w:t>
      </w:r>
      <w:r>
        <w:rPr>
          <w:rFonts w:hint="eastAsia" w:ascii="仿宋_GB2312" w:hAnsi="仿宋_GB2312" w:eastAsia="仿宋_GB2312" w:cs="仿宋_GB2312"/>
          <w:color w:val="auto"/>
          <w:sz w:val="32"/>
          <w:szCs w:val="32"/>
          <w:highlight w:val="none"/>
          <w:lang w:eastAsia="zh-CN"/>
        </w:rPr>
        <w:t>门决算中反</w:t>
      </w:r>
      <w:r>
        <w:rPr>
          <w:rFonts w:hint="eastAsia" w:ascii="仿宋_GB2312" w:hAnsi="仿宋_GB2312" w:eastAsia="仿宋_GB2312" w:cs="仿宋_GB2312"/>
          <w:color w:val="auto"/>
          <w:sz w:val="32"/>
          <w:szCs w:val="32"/>
          <w:highlight w:val="none"/>
          <w:lang w:val="en-US" w:eastAsia="zh-CN"/>
        </w:rPr>
        <w:t>映“义务教育均衡发展资金”、“义务教育家庭经济困难学生生活补助”、“2021年留守学生寄宿托管中心补助资金（区级）1”、“校舍维修”、“2020年留守学生寄宿托管中心补助资金（区级）1”、“2021年城乡义务教育中央补助经费-校舍维修改造资金1”</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全面开展绩效自评，形成遂宁市安居区石洞镇初级中学校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绩效自评报告，其中，遂宁市安居区石洞镇初级中学校部门整体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绩效自评得分为100分，各项目绩效自评综述如下：</w:t>
      </w:r>
    </w:p>
    <w:p>
      <w:pPr>
        <w:numPr>
          <w:ilvl w:val="0"/>
          <w:numId w:val="5"/>
        </w:num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义务教育均衡发展资金项目绩效自评得分为100分，绩效自评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2.27</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2.27</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改善了学校办学条件。</w:t>
      </w:r>
    </w:p>
    <w:p>
      <w:pPr>
        <w:pStyle w:val="13"/>
        <w:rPr>
          <w:rFonts w:hint="eastAsia"/>
          <w:lang w:eastAsia="zh-CN"/>
        </w:rPr>
      </w:pPr>
    </w:p>
    <w:p>
      <w:pPr>
        <w:numPr>
          <w:ilvl w:val="0"/>
          <w:numId w:val="5"/>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5.73</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5.73</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pPr>
        <w:numPr>
          <w:ilvl w:val="0"/>
          <w:numId w:val="5"/>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2021年留守学生寄宿托管中心补助资金（区级）1</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lang w:eastAsia="zh-CN"/>
        </w:rPr>
        <w:t>万元，完成预算的100%。通过项目实施，保障</w:t>
      </w:r>
      <w:r>
        <w:rPr>
          <w:rFonts w:hint="eastAsia" w:ascii="仿宋_GB2312" w:hAnsi="仿宋_GB2312" w:eastAsia="仿宋_GB2312" w:cs="仿宋_GB2312"/>
          <w:color w:val="auto"/>
          <w:sz w:val="32"/>
          <w:szCs w:val="32"/>
          <w:highlight w:val="none"/>
          <w:lang w:val="en-US" w:eastAsia="zh-CN"/>
        </w:rPr>
        <w:t>留守</w:t>
      </w:r>
      <w:r>
        <w:rPr>
          <w:rFonts w:hint="eastAsia" w:ascii="仿宋_GB2312" w:hAnsi="仿宋_GB2312" w:eastAsia="仿宋_GB2312" w:cs="仿宋_GB2312"/>
          <w:color w:val="auto"/>
          <w:sz w:val="32"/>
          <w:szCs w:val="32"/>
          <w:highlight w:val="none"/>
          <w:lang w:eastAsia="zh-CN"/>
        </w:rPr>
        <w:t>学生的正常学习，支持了学生接受学校教育水平，促进了学生学业水平提升。</w:t>
      </w:r>
    </w:p>
    <w:p>
      <w:pPr>
        <w:numPr>
          <w:ilvl w:val="0"/>
          <w:numId w:val="5"/>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新建厕所、学生食堂维修改造项目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有效改善师生就餐环境。</w:t>
      </w:r>
    </w:p>
    <w:p>
      <w:pPr>
        <w:numPr>
          <w:ilvl w:val="0"/>
          <w:numId w:val="5"/>
        </w:numPr>
        <w:spacing w:line="580" w:lineRule="exact"/>
        <w:ind w:left="0" w:leftChars="0"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校舍维修项目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10.49</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10.49</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有效改善学校办学条件。</w:t>
      </w:r>
    </w:p>
    <w:p>
      <w:pPr>
        <w:numPr>
          <w:ilvl w:val="0"/>
          <w:numId w:val="5"/>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2020年留守学生寄宿托管中心补助资金（区级）1项目绩效自评得分为100分，绩效自评综述：项目全年预算数6.07万元，执行数为6.07万元，完成预算的100%。通过项目实施，保障留守学生的正常学习，支持了学生接受学校教育水平，促进了学生学业水平提升。</w:t>
      </w:r>
    </w:p>
    <w:p>
      <w:pPr>
        <w:spacing w:line="600" w:lineRule="exact"/>
        <w:rPr>
          <w:rFonts w:ascii="仿宋_GB2312" w:eastAsia="仿宋_GB2312"/>
          <w:sz w:val="32"/>
          <w:szCs w:val="32"/>
        </w:rPr>
      </w:pPr>
      <w:r>
        <w:rPr>
          <w:rFonts w:hint="eastAsia" w:ascii="仿宋_GB2312" w:eastAsia="仿宋_GB2312"/>
          <w:sz w:val="32"/>
          <w:szCs w:val="32"/>
        </w:rPr>
        <w:br w:type="page"/>
      </w:r>
    </w:p>
    <w:p>
      <w:pPr>
        <w:numPr>
          <w:ilvl w:val="0"/>
          <w:numId w:val="6"/>
        </w:numPr>
        <w:spacing w:line="600" w:lineRule="exact"/>
        <w:ind w:firstLine="660" w:firstLineChars="150"/>
        <w:jc w:val="center"/>
        <w:outlineLvl w:val="0"/>
        <w:rPr>
          <w:rStyle w:val="35"/>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35"/>
          <w:rFonts w:hint="eastAsia" w:ascii="黑体" w:hAnsi="黑体" w:eastAsia="黑体"/>
          <w:b w:val="0"/>
        </w:rPr>
        <w:t>词解释</w:t>
      </w:r>
      <w:bookmarkEnd w:id="54"/>
      <w:bookmarkEnd w:id="55"/>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4.其他收入：指单位取得的除上述收入以外的各项收入。</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.教育（205类）普通教育（02款）其他普通教育支出（99项）: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.教育（205类）其他教育支出（99款）其他教育支出（99项）: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.对个人和家庭的补助：反映政府用于对个</w:t>
      </w:r>
      <w:r>
        <w:rPr>
          <w:rFonts w:hint="eastAsia" w:ascii="仿宋_GB2312" w:hAnsi="Calibri" w:eastAsia="仿宋_GB2312" w:cs="仿宋"/>
          <w:kern w:val="0"/>
          <w:sz w:val="32"/>
          <w:szCs w:val="32"/>
          <w:lang w:val="en-US" w:eastAsia="zh-CN"/>
        </w:rPr>
        <w:t>人</w:t>
      </w:r>
      <w:bookmarkStart w:id="72" w:name="_GoBack"/>
      <w:bookmarkEnd w:id="72"/>
      <w:r>
        <w:rPr>
          <w:rFonts w:hint="eastAsia" w:ascii="仿宋_GB2312" w:hAnsi="Calibri" w:eastAsia="仿宋_GB2312" w:cs="仿宋"/>
          <w:kern w:val="0"/>
          <w:sz w:val="32"/>
          <w:szCs w:val="32"/>
        </w:rPr>
        <w:t>和家庭的补助支出。</w:t>
      </w:r>
    </w:p>
    <w:p>
      <w:pPr>
        <w:ind w:firstLine="640" w:firstLineChars="200"/>
        <w:rPr>
          <w:rFonts w:hint="eastAsia" w:ascii="黑体" w:hAnsi="黑体" w:eastAsia="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r>
        <w:rPr>
          <w:rFonts w:hint="eastAsia" w:ascii="仿宋_GB2312" w:hAnsi="Calibri" w:eastAsia="仿宋_GB2312" w:cs="仿宋"/>
          <w:kern w:val="0"/>
          <w:sz w:val="32"/>
          <w:szCs w:val="32"/>
          <w:lang w:eastAsia="zh-CN"/>
        </w:rPr>
        <w:t>。</w:t>
      </w:r>
    </w:p>
    <w:p>
      <w:pPr>
        <w:spacing w:line="600" w:lineRule="exact"/>
        <w:jc w:val="center"/>
        <w:outlineLvl w:val="0"/>
        <w:rPr>
          <w:rStyle w:val="28"/>
          <w:rFonts w:ascii="黑体" w:hAnsi="黑体" w:eastAsia="黑体"/>
          <w:b w:val="0"/>
        </w:rPr>
      </w:pPr>
      <w:bookmarkStart w:id="56" w:name="_Toc15396614"/>
      <w:bookmarkStart w:id="57" w:name="_Toc15377226"/>
      <w:r>
        <w:rPr>
          <w:rFonts w:hint="eastAsia" w:ascii="黑体" w:hAnsi="黑体" w:eastAsia="黑体"/>
          <w:sz w:val="44"/>
          <w:szCs w:val="44"/>
        </w:rPr>
        <w:t>第</w:t>
      </w:r>
      <w:r>
        <w:rPr>
          <w:rStyle w:val="28"/>
          <w:rFonts w:hint="eastAsia" w:ascii="黑体" w:hAnsi="黑体" w:eastAsia="黑体"/>
          <w:b w:val="0"/>
        </w:rPr>
        <w:t>四部分 附件</w:t>
      </w:r>
      <w:bookmarkEnd w:id="5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石洞镇初级中学校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（二）机构职能</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rPr>
      </w:pPr>
    </w:p>
    <w:p>
      <w:pPr>
        <w:pStyle w:val="13"/>
        <w:rPr>
          <w:rFonts w:hint="default"/>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Calibri" w:eastAsia="仿宋_GB2312" w:cs="仿宋"/>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仿宋_GB2312" w:hAnsi="Calibri" w:eastAsia="仿宋_GB2312" w:cs="仿宋"/>
          <w:kern w:val="0"/>
          <w:sz w:val="32"/>
          <w:szCs w:val="32"/>
          <w:lang w:val="en-US" w:eastAsia="zh-CN"/>
        </w:rPr>
        <w:t>截至202</w:t>
      </w:r>
      <w:r>
        <w:rPr>
          <w:rFonts w:hint="eastAsia" w:ascii="仿宋_GB2312" w:hAnsi="Calibri" w:eastAsia="仿宋_GB2312" w:cs="仿宋"/>
          <w:kern w:val="0"/>
          <w:sz w:val="32"/>
          <w:szCs w:val="32"/>
          <w:lang w:val="en-US" w:eastAsia="zh-CN"/>
        </w:rPr>
        <w:t>3</w:t>
      </w:r>
      <w:r>
        <w:rPr>
          <w:rFonts w:hint="default" w:ascii="仿宋_GB2312" w:hAnsi="Calibri" w:eastAsia="仿宋_GB2312" w:cs="仿宋"/>
          <w:kern w:val="0"/>
          <w:sz w:val="32"/>
          <w:szCs w:val="32"/>
          <w:lang w:val="en-US" w:eastAsia="zh-CN"/>
        </w:rPr>
        <w:t>年末，</w:t>
      </w:r>
      <w:r>
        <w:rPr>
          <w:rFonts w:hint="eastAsia" w:ascii="仿宋_GB2312" w:hAnsi="Calibri" w:eastAsia="仿宋_GB2312" w:cs="仿宋"/>
          <w:kern w:val="0"/>
          <w:sz w:val="32"/>
          <w:szCs w:val="32"/>
          <w:lang w:val="en-US" w:eastAsia="zh-CN"/>
        </w:rPr>
        <w:t>石洞初中</w:t>
      </w:r>
      <w:r>
        <w:rPr>
          <w:rFonts w:hint="default" w:ascii="仿宋_GB2312" w:hAnsi="Calibri" w:eastAsia="仿宋_GB2312" w:cs="仿宋"/>
          <w:kern w:val="0"/>
          <w:sz w:val="32"/>
          <w:szCs w:val="32"/>
          <w:lang w:val="en-US" w:eastAsia="zh-CN"/>
        </w:rPr>
        <w:t>编制</w:t>
      </w:r>
      <w:r>
        <w:rPr>
          <w:rFonts w:hint="eastAsia" w:ascii="仿宋_GB2312" w:hAnsi="Calibri" w:eastAsia="仿宋_GB2312" w:cs="仿宋"/>
          <w:kern w:val="0"/>
          <w:sz w:val="32"/>
          <w:szCs w:val="32"/>
          <w:lang w:val="en-US" w:eastAsia="zh-CN"/>
        </w:rPr>
        <w:t>数28人，</w:t>
      </w:r>
      <w:r>
        <w:rPr>
          <w:rFonts w:hint="eastAsia" w:ascii="仿宋_GB2312" w:hAnsi="Calibri" w:eastAsia="仿宋_GB2312" w:cs="仿宋"/>
          <w:kern w:val="0"/>
          <w:sz w:val="32"/>
          <w:szCs w:val="32"/>
        </w:rPr>
        <w:t>现有在职教职工</w:t>
      </w:r>
      <w:r>
        <w:rPr>
          <w:rFonts w:hint="eastAsia" w:ascii="仿宋_GB2312" w:hAnsi="Calibri" w:eastAsia="仿宋_GB2312" w:cs="仿宋"/>
          <w:kern w:val="0"/>
          <w:sz w:val="32"/>
          <w:szCs w:val="32"/>
          <w:lang w:val="en-US" w:eastAsia="zh-CN"/>
        </w:rPr>
        <w:t>35</w:t>
      </w:r>
      <w:r>
        <w:rPr>
          <w:rFonts w:hint="eastAsia" w:ascii="仿宋_GB2312" w:hAnsi="Calibri" w:eastAsia="仿宋_GB2312" w:cs="仿宋"/>
          <w:kern w:val="0"/>
          <w:sz w:val="32"/>
          <w:szCs w:val="32"/>
        </w:rPr>
        <w:t>人，退休人员</w:t>
      </w:r>
      <w:r>
        <w:rPr>
          <w:rFonts w:hint="eastAsia" w:ascii="仿宋_GB2312" w:hAnsi="Calibri" w:eastAsia="仿宋_GB2312" w:cs="仿宋"/>
          <w:kern w:val="0"/>
          <w:sz w:val="32"/>
          <w:szCs w:val="32"/>
          <w:lang w:val="en-US" w:eastAsia="zh-CN"/>
        </w:rPr>
        <w:t>18</w:t>
      </w:r>
      <w:r>
        <w:rPr>
          <w:rFonts w:hint="eastAsia" w:ascii="仿宋_GB2312" w:hAnsi="Calibri" w:eastAsia="仿宋_GB2312" w:cs="仿宋"/>
          <w:kern w:val="0"/>
          <w:sz w:val="32"/>
          <w:szCs w:val="32"/>
        </w:rPr>
        <w:t>人，遗属</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spacing w:line="600" w:lineRule="exact"/>
        <w:ind w:firstLine="643" w:firstLineChars="200"/>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rPr>
        <w:t>2023年度收</w:t>
      </w:r>
      <w:r>
        <w:rPr>
          <w:rFonts w:hint="eastAsia" w:ascii="仿宋" w:hAnsi="仿宋" w:eastAsia="仿宋"/>
          <w:sz w:val="32"/>
          <w:szCs w:val="32"/>
          <w:lang w:val="en-US" w:eastAsia="zh-CN"/>
        </w:rPr>
        <w:t>入</w:t>
      </w:r>
      <w:r>
        <w:rPr>
          <w:rFonts w:hint="eastAsia" w:ascii="仿宋" w:hAnsi="仿宋" w:eastAsia="仿宋"/>
          <w:sz w:val="32"/>
          <w:szCs w:val="32"/>
        </w:rPr>
        <w:t>总计均为</w:t>
      </w:r>
      <w:r>
        <w:rPr>
          <w:rFonts w:hint="eastAsia" w:ascii="仿宋" w:hAnsi="仿宋" w:eastAsia="仿宋"/>
          <w:b/>
          <w:sz w:val="32"/>
          <w:szCs w:val="32"/>
        </w:rPr>
        <w:t>781.36</w:t>
      </w:r>
      <w:r>
        <w:rPr>
          <w:rFonts w:hint="eastAsia" w:ascii="仿宋" w:hAnsi="仿宋" w:eastAsia="仿宋"/>
          <w:sz w:val="32"/>
          <w:szCs w:val="32"/>
        </w:rPr>
        <w:t>万元。与2022年度相比，收</w:t>
      </w:r>
      <w:r>
        <w:rPr>
          <w:rFonts w:hint="eastAsia" w:ascii="仿宋" w:hAnsi="仿宋" w:eastAsia="仿宋"/>
          <w:sz w:val="32"/>
          <w:szCs w:val="32"/>
          <w:lang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100.31</w:t>
      </w:r>
      <w:r>
        <w:rPr>
          <w:rFonts w:hint="eastAsia" w:ascii="仿宋" w:hAnsi="仿宋" w:eastAsia="仿宋"/>
          <w:sz w:val="32"/>
          <w:szCs w:val="32"/>
        </w:rPr>
        <w:t>万元，增长</w:t>
      </w:r>
      <w:r>
        <w:rPr>
          <w:rFonts w:hint="eastAsia" w:ascii="仿宋" w:hAnsi="仿宋" w:eastAsia="仿宋"/>
          <w:sz w:val="32"/>
          <w:szCs w:val="32"/>
          <w:lang w:val="en-US" w:eastAsia="zh-CN"/>
        </w:rPr>
        <w:t>14.73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学校维修项目增加</w:t>
      </w:r>
      <w:r>
        <w:rPr>
          <w:rFonts w:hint="eastAsia" w:ascii="仿宋" w:hAnsi="仿宋" w:eastAsia="仿宋"/>
          <w:sz w:val="32"/>
          <w:szCs w:val="32"/>
        </w:rPr>
        <w:t>。</w:t>
      </w:r>
    </w:p>
    <w:p>
      <w:pPr>
        <w:spacing w:line="600" w:lineRule="exact"/>
        <w:ind w:firstLine="643" w:firstLineChars="200"/>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rPr>
        <w:t>2023年度</w:t>
      </w:r>
      <w:r>
        <w:rPr>
          <w:rFonts w:hint="eastAsia" w:ascii="仿宋" w:hAnsi="仿宋" w:eastAsia="仿宋"/>
          <w:sz w:val="32"/>
          <w:szCs w:val="32"/>
          <w:lang w:val="en-US" w:eastAsia="zh-CN"/>
        </w:rPr>
        <w:t>支出</w:t>
      </w:r>
      <w:r>
        <w:rPr>
          <w:rFonts w:hint="eastAsia" w:ascii="仿宋" w:hAnsi="仿宋" w:eastAsia="仿宋"/>
          <w:sz w:val="32"/>
          <w:szCs w:val="32"/>
        </w:rPr>
        <w:t>总计均为</w:t>
      </w:r>
      <w:r>
        <w:rPr>
          <w:rFonts w:hint="eastAsia" w:ascii="仿宋" w:hAnsi="仿宋" w:eastAsia="仿宋"/>
          <w:b w:val="0"/>
          <w:bCs/>
          <w:sz w:val="32"/>
          <w:szCs w:val="32"/>
        </w:rPr>
        <w:t>781.36</w:t>
      </w:r>
      <w:r>
        <w:rPr>
          <w:rFonts w:hint="eastAsia" w:ascii="仿宋" w:hAnsi="仿宋" w:eastAsia="仿宋"/>
          <w:sz w:val="32"/>
          <w:szCs w:val="32"/>
        </w:rPr>
        <w:t>万元。与2022年度相比，</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100.31</w:t>
      </w:r>
      <w:r>
        <w:rPr>
          <w:rFonts w:hint="eastAsia" w:ascii="仿宋" w:hAnsi="仿宋" w:eastAsia="仿宋"/>
          <w:sz w:val="32"/>
          <w:szCs w:val="32"/>
        </w:rPr>
        <w:t>万元，增长</w:t>
      </w:r>
      <w:r>
        <w:rPr>
          <w:rFonts w:hint="eastAsia" w:ascii="仿宋" w:hAnsi="仿宋" w:eastAsia="仿宋"/>
          <w:sz w:val="32"/>
          <w:szCs w:val="32"/>
          <w:lang w:val="en-US" w:eastAsia="zh-CN"/>
        </w:rPr>
        <w:t>14.73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学校维修项目增加</w:t>
      </w:r>
      <w:r>
        <w:rPr>
          <w:rFonts w:hint="eastAsia" w:ascii="仿宋" w:hAnsi="仿宋" w:eastAsia="仿宋"/>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Calibri" w:eastAsia="仿宋_GB2312" w:cs="仿宋"/>
          <w:kern w:val="0"/>
          <w:sz w:val="32"/>
          <w:szCs w:val="32"/>
          <w:lang w:val="zh-CN" w:eastAsia="zh-CN"/>
        </w:rPr>
        <w:t>根据部门预算绩效评价指标体系“总体绩效”涉及</w:t>
      </w:r>
      <w:r>
        <w:rPr>
          <w:rFonts w:hint="eastAsia" w:ascii="仿宋_GB2312" w:hAnsi="Calibri" w:eastAsia="仿宋_GB2312" w:cs="仿宋"/>
          <w:kern w:val="0"/>
          <w:sz w:val="32"/>
          <w:szCs w:val="32"/>
          <w:lang w:val="zh-CN" w:eastAsia="zh-CN"/>
        </w:rPr>
        <w:t>二、三级</w:t>
      </w:r>
      <w:r>
        <w:rPr>
          <w:rFonts w:hint="default" w:ascii="仿宋_GB2312" w:hAnsi="Calibri" w:eastAsia="仿宋_GB2312" w:cs="仿宋"/>
          <w:kern w:val="0"/>
          <w:sz w:val="32"/>
          <w:szCs w:val="32"/>
          <w:lang w:val="zh-CN" w:eastAsia="zh-CN"/>
        </w:rPr>
        <w:t>指标进行</w:t>
      </w:r>
      <w:r>
        <w:rPr>
          <w:rFonts w:hint="eastAsia" w:ascii="仿宋_GB2312" w:hAnsi="Calibri" w:eastAsia="仿宋_GB2312" w:cs="仿宋"/>
          <w:kern w:val="0"/>
          <w:sz w:val="32"/>
          <w:szCs w:val="32"/>
          <w:lang w:val="zh-CN" w:eastAsia="zh-CN"/>
        </w:rPr>
        <w:t>逐项</w:t>
      </w:r>
      <w:r>
        <w:rPr>
          <w:rFonts w:hint="default" w:ascii="仿宋_GB2312" w:hAnsi="Calibri" w:eastAsia="仿宋_GB2312" w:cs="仿宋"/>
          <w:kern w:val="0"/>
          <w:sz w:val="32"/>
          <w:szCs w:val="32"/>
          <w:lang w:val="zh-CN" w:eastAsia="zh-CN"/>
        </w:rPr>
        <w:t>绩效分析</w:t>
      </w:r>
      <w:r>
        <w:rPr>
          <w:rFonts w:hint="eastAsia" w:ascii="仿宋_GB2312" w:hAnsi="Calibri" w:eastAsia="仿宋_GB2312" w:cs="仿宋"/>
          <w:kern w:val="0"/>
          <w:sz w:val="32"/>
          <w:szCs w:val="32"/>
          <w:lang w:val="zh-CN" w:eastAsia="zh-CN"/>
        </w:rPr>
        <w:t>并评分</w:t>
      </w:r>
      <w:r>
        <w:rPr>
          <w:rFonts w:hint="default" w:ascii="仿宋_GB2312" w:hAnsi="Calibri" w:eastAsia="仿宋_GB2312" w:cs="仿宋"/>
          <w:kern w:val="0"/>
          <w:sz w:val="32"/>
          <w:szCs w:val="32"/>
          <w:lang w:val="zh-CN" w:eastAsia="zh-CN"/>
        </w:rPr>
        <w:t>，依次包</w:t>
      </w:r>
      <w:r>
        <w:rPr>
          <w:rFonts w:hint="default" w:ascii="Times New Roman" w:hAnsi="Times New Roman" w:eastAsia="仿宋_GB2312" w:cs="Times New Roman"/>
          <w:sz w:val="32"/>
          <w:szCs w:val="32"/>
          <w:lang w:val="zh-CN" w:eastAsia="zh-CN"/>
        </w:rPr>
        <w:t>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Calibri" w:eastAsia="仿宋_GB2312" w:cs="仿宋"/>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pPr>
        <w:spacing w:line="600" w:lineRule="exact"/>
        <w:ind w:firstLine="640" w:firstLineChars="200"/>
        <w:rPr>
          <w:rFonts w:hint="default" w:ascii="仿宋_GB2312" w:hAnsi="Calibri" w:eastAsia="仿宋_GB2312" w:cs="仿宋"/>
          <w:kern w:val="0"/>
          <w:sz w:val="32"/>
          <w:szCs w:val="32"/>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zh-CN" w:eastAsia="zh-CN"/>
        </w:rPr>
        <w:t>2023年度</w:t>
      </w:r>
      <w:r>
        <w:rPr>
          <w:rFonts w:hint="eastAsia" w:ascii="仿宋_GB2312" w:hAnsi="Calibri" w:eastAsia="仿宋_GB2312" w:cs="仿宋"/>
          <w:kern w:val="0"/>
          <w:sz w:val="32"/>
          <w:szCs w:val="32"/>
          <w:lang w:val="en-US" w:eastAsia="zh-CN"/>
        </w:rPr>
        <w:t>预算</w:t>
      </w:r>
      <w:r>
        <w:rPr>
          <w:rFonts w:hint="eastAsia" w:ascii="仿宋_GB2312" w:hAnsi="Calibri" w:eastAsia="仿宋_GB2312" w:cs="仿宋"/>
          <w:kern w:val="0"/>
          <w:sz w:val="32"/>
          <w:szCs w:val="32"/>
          <w:lang w:val="zh-CN" w:eastAsia="zh-CN"/>
        </w:rPr>
        <w:t>收、支总计均为</w:t>
      </w:r>
      <w:r>
        <w:rPr>
          <w:rFonts w:hint="eastAsia" w:ascii="仿宋" w:hAnsi="仿宋" w:eastAsia="仿宋"/>
          <w:b w:val="0"/>
          <w:bCs/>
          <w:sz w:val="32"/>
          <w:szCs w:val="32"/>
        </w:rPr>
        <w:t>781.36</w:t>
      </w:r>
      <w:r>
        <w:rPr>
          <w:rFonts w:hint="eastAsia" w:ascii="仿宋_GB2312" w:hAnsi="Calibri" w:eastAsia="仿宋_GB2312" w:cs="仿宋"/>
          <w:kern w:val="0"/>
          <w:sz w:val="32"/>
          <w:szCs w:val="32"/>
          <w:lang w:val="zh-CN" w:eastAsia="zh-CN"/>
        </w:rPr>
        <w:t>万元。与2022年度相比，收入增加</w:t>
      </w:r>
      <w:r>
        <w:rPr>
          <w:rFonts w:hint="eastAsia" w:ascii="仿宋" w:hAnsi="仿宋" w:eastAsia="仿宋"/>
          <w:sz w:val="32"/>
          <w:szCs w:val="32"/>
          <w:lang w:val="en-US" w:eastAsia="zh-CN"/>
        </w:rPr>
        <w:t>100.31</w:t>
      </w:r>
      <w:r>
        <w:rPr>
          <w:rFonts w:hint="eastAsia" w:ascii="仿宋_GB2312" w:hAnsi="Calibri" w:eastAsia="仿宋_GB2312" w:cs="仿宋"/>
          <w:kern w:val="0"/>
          <w:sz w:val="32"/>
          <w:szCs w:val="32"/>
          <w:lang w:val="zh-CN" w:eastAsia="zh-CN"/>
        </w:rPr>
        <w:t>万元，增长</w:t>
      </w:r>
      <w:r>
        <w:rPr>
          <w:rFonts w:hint="eastAsia" w:ascii="仿宋" w:hAnsi="仿宋" w:eastAsia="仿宋"/>
          <w:sz w:val="32"/>
          <w:szCs w:val="32"/>
          <w:lang w:val="en-US" w:eastAsia="zh-CN"/>
        </w:rPr>
        <w:t>14.73</w:t>
      </w:r>
      <w:r>
        <w:rPr>
          <w:rFonts w:hint="eastAsia" w:ascii="仿宋_GB2312" w:hAnsi="Calibri" w:eastAsia="仿宋_GB2312" w:cs="仿宋"/>
          <w:kern w:val="0"/>
          <w:sz w:val="32"/>
          <w:szCs w:val="32"/>
          <w:lang w:val="zh-CN" w:eastAsia="zh-CN"/>
        </w:rPr>
        <w:t>%。主要变动原因是学校项目资金增加。</w:t>
      </w:r>
      <w:r>
        <w:rPr>
          <w:rFonts w:hint="eastAsia" w:ascii="仿宋_GB2312" w:hAnsi="Calibri" w:eastAsia="仿宋_GB2312" w:cs="仿宋"/>
          <w:kern w:val="0"/>
          <w:sz w:val="32"/>
          <w:szCs w:val="32"/>
          <w:lang w:val="en-US" w:eastAsia="zh-CN"/>
        </w:rPr>
        <w:t>各项管理制度执行总体较为有效，需进一步强化，资金的使用和管理应进一步加强。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en-US" w:eastAsia="zh-CN"/>
        </w:rPr>
        <w:t>制度了完善的</w:t>
      </w:r>
      <w:r>
        <w:rPr>
          <w:rFonts w:hint="eastAsia" w:ascii="仿宋_GB2312" w:hAnsi="Calibri" w:eastAsia="仿宋_GB2312" w:cs="仿宋"/>
          <w:kern w:val="0"/>
          <w:sz w:val="32"/>
          <w:szCs w:val="32"/>
          <w:lang w:val="zh-CN" w:eastAsia="zh-CN"/>
        </w:rPr>
        <w:t>财务管理制度、财务岗位设置、</w:t>
      </w:r>
      <w:r>
        <w:rPr>
          <w:rFonts w:hint="eastAsia" w:ascii="仿宋_GB2312" w:hAnsi="Calibri" w:eastAsia="仿宋_GB2312" w:cs="仿宋"/>
          <w:kern w:val="0"/>
          <w:sz w:val="32"/>
          <w:szCs w:val="32"/>
          <w:lang w:val="en-US" w:eastAsia="zh-CN"/>
        </w:rPr>
        <w:t>规范了</w:t>
      </w:r>
      <w:r>
        <w:rPr>
          <w:rFonts w:hint="eastAsia" w:ascii="仿宋_GB2312" w:hAnsi="Calibri" w:eastAsia="仿宋_GB2312" w:cs="仿宋"/>
          <w:kern w:val="0"/>
          <w:sz w:val="32"/>
          <w:szCs w:val="32"/>
          <w:lang w:val="zh-CN" w:eastAsia="zh-CN"/>
        </w:rPr>
        <w:t>资金使用</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建立资产管理制度，定期进行资产盘点和资产清理，总体执行较好。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建立学校采购管理制度，做好物品入库、领取台账，总体执行较好。</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59.76</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无</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宋体" w:eastAsia="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宋体" w:eastAsia="仿宋_GB2312"/>
          <w:kern w:val="0"/>
          <w:sz w:val="32"/>
          <w:lang w:val="en-US" w:eastAsia="zh-CN"/>
        </w:rPr>
        <w:t>95</w:t>
      </w:r>
      <w:r>
        <w:rPr>
          <w:rFonts w:hint="eastAsia" w:ascii="仿宋_GB2312" w:hAnsi="宋体" w:eastAsia="仿宋_GB2312"/>
          <w:kern w:val="0"/>
          <w:sz w:val="32"/>
        </w:rPr>
        <w:t>分，评价小组通过综合认定的评价等级为“</w:t>
      </w:r>
      <w:r>
        <w:rPr>
          <w:rFonts w:hint="eastAsia" w:ascii="仿宋_GB2312" w:hAnsi="宋体" w:eastAsia="仿宋_GB2312"/>
          <w:kern w:val="0"/>
          <w:sz w:val="32"/>
          <w:lang w:eastAsia="zh-CN"/>
        </w:rPr>
        <w:t>优</w:t>
      </w:r>
      <w:r>
        <w:rPr>
          <w:rFonts w:hint="eastAsia" w:ascii="仿宋_GB2312" w:hAnsi="宋体" w:eastAsia="仿宋_GB2312"/>
          <w:kern w:val="0"/>
          <w:sz w:val="32"/>
        </w:rPr>
        <w:t>”。</w:t>
      </w:r>
    </w:p>
    <w:p>
      <w:pPr>
        <w:ind w:firstLine="643" w:firstLineChars="200"/>
        <w:rPr>
          <w:rFonts w:hint="eastAsia" w:ascii="仿宋_GB2312" w:hAnsi="仿宋_GB2312" w:eastAsia="仿宋_GB2312"/>
          <w:sz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sz w:val="32"/>
        </w:rPr>
        <w:t>一是</w:t>
      </w:r>
      <w:r>
        <w:rPr>
          <w:rFonts w:hint="eastAsia" w:ascii="仿宋_GB2312" w:hAnsi="仿宋_GB2312" w:eastAsia="仿宋_GB2312"/>
          <w:sz w:val="32"/>
          <w:lang w:eastAsia="zh-CN"/>
        </w:rPr>
        <w:t>采购</w:t>
      </w:r>
      <w:r>
        <w:rPr>
          <w:rFonts w:hint="eastAsia" w:ascii="仿宋_GB2312" w:hAnsi="仿宋_GB2312" w:eastAsia="仿宋_GB2312"/>
          <w:sz w:val="32"/>
        </w:rPr>
        <w:t>项目</w:t>
      </w:r>
      <w:r>
        <w:rPr>
          <w:rFonts w:hint="eastAsia" w:ascii="仿宋_GB2312" w:hAnsi="仿宋_GB2312" w:eastAsia="仿宋_GB2312"/>
          <w:sz w:val="32"/>
          <w:lang w:eastAsia="zh-CN"/>
        </w:rPr>
        <w:t>招标工作开展较晚</w:t>
      </w:r>
      <w:r>
        <w:rPr>
          <w:rFonts w:hint="eastAsia" w:ascii="仿宋_GB2312" w:hAnsi="仿宋_GB2312" w:eastAsia="仿宋_GB2312"/>
          <w:sz w:val="32"/>
        </w:rPr>
        <w:t>，造成整体预算</w:t>
      </w:r>
      <w:r>
        <w:rPr>
          <w:rFonts w:hint="eastAsia" w:ascii="仿宋_GB2312" w:hAnsi="仿宋_GB2312" w:eastAsia="仿宋_GB2312"/>
          <w:sz w:val="32"/>
          <w:lang w:eastAsia="zh-CN"/>
        </w:rPr>
        <w:t>下半年支出压力较大</w:t>
      </w:r>
      <w:r>
        <w:rPr>
          <w:rFonts w:hint="eastAsia" w:ascii="仿宋_GB2312" w:hAnsi="仿宋_GB2312" w:eastAsia="仿宋_GB2312"/>
          <w:sz w:val="32"/>
        </w:rPr>
        <w:t>；二是</w:t>
      </w:r>
      <w:r>
        <w:rPr>
          <w:rFonts w:hint="eastAsia" w:ascii="仿宋_GB2312" w:hAnsi="仿宋_GB2312" w:eastAsia="仿宋_GB2312"/>
          <w:sz w:val="32"/>
          <w:lang w:val="en-US" w:eastAsia="zh-CN"/>
        </w:rPr>
        <w:t>资金</w:t>
      </w:r>
      <w:r>
        <w:rPr>
          <w:rFonts w:hint="eastAsia" w:ascii="仿宋_GB2312" w:hAnsi="仿宋_GB2312" w:eastAsia="仿宋_GB2312"/>
          <w:sz w:val="32"/>
        </w:rPr>
        <w:t>支付</w:t>
      </w:r>
      <w:r>
        <w:rPr>
          <w:rFonts w:hint="eastAsia" w:ascii="仿宋_GB2312" w:hAnsi="仿宋_GB2312" w:eastAsia="仿宋_GB2312"/>
          <w:sz w:val="32"/>
          <w:lang w:val="en-US" w:eastAsia="zh-CN"/>
        </w:rPr>
        <w:t>进度</w:t>
      </w:r>
      <w:r>
        <w:rPr>
          <w:rFonts w:hint="eastAsia" w:ascii="仿宋_GB2312" w:hAnsi="仿宋_GB2312" w:eastAsia="仿宋_GB2312"/>
          <w:sz w:val="32"/>
        </w:rPr>
        <w:t>相对较低，造成支付进度率指标评价总体得分不高。</w:t>
      </w:r>
    </w:p>
    <w:p>
      <w:pPr>
        <w:pStyle w:val="34"/>
        <w:ind w:firstLine="643" w:firstLineChars="200"/>
        <w:rPr>
          <w:rFonts w:hint="eastAsia" w:ascii="仿宋_GB2312" w:hAnsi="仿宋_GB2312" w:eastAsia="仿宋_GB2312"/>
          <w:b w:val="0"/>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b w:val="0"/>
          <w:shd w:val="clear" w:color="auto" w:fill="FFFFFF"/>
          <w:lang w:val="en-US" w:eastAsia="zh-CN"/>
        </w:rPr>
        <w:t>各项资金</w:t>
      </w:r>
      <w:r>
        <w:rPr>
          <w:rFonts w:hint="eastAsia" w:ascii="仿宋_GB2312" w:hAnsi="仿宋_GB2312"/>
          <w:b w:val="0"/>
          <w:shd w:val="clear" w:color="auto" w:fill="FFFFFF"/>
        </w:rPr>
        <w:t>支出数达到相对均衡</w:t>
      </w:r>
      <w:r>
        <w:rPr>
          <w:rFonts w:hint="eastAsia" w:ascii="仿宋_GB2312" w:hAnsi="仿宋_GB2312"/>
          <w:b w:val="0"/>
          <w:shd w:val="clear" w:color="auto" w:fill="FFFFFF"/>
          <w:lang w:eastAsia="zh-CN"/>
        </w:rPr>
        <w:t>。</w:t>
      </w:r>
    </w:p>
    <w:p>
      <w:pPr>
        <w:spacing w:line="572" w:lineRule="exact"/>
        <w:jc w:val="left"/>
        <w:outlineLvl w:val="0"/>
        <w:rPr>
          <w:rFonts w:ascii="仿宋_GB2312" w:hAnsi="仿宋_GB2312" w:eastAsia="仿宋_GB2312" w:cs="仿宋_GB2312"/>
          <w:sz w:val="32"/>
          <w:szCs w:val="32"/>
        </w:rPr>
      </w:pPr>
    </w:p>
    <w:p>
      <w:pPr>
        <w:pStyle w:val="13"/>
        <w:rPr>
          <w:rFonts w:ascii="仿宋_GB2312" w:hAnsi="仿宋_GB2312" w:eastAsia="仿宋_GB2312" w:cs="仿宋_GB2312"/>
          <w:sz w:val="32"/>
          <w:szCs w:val="32"/>
        </w:rPr>
      </w:pPr>
    </w:p>
    <w:p>
      <w:pPr>
        <w:pStyle w:val="7"/>
        <w:rPr>
          <w:rFonts w:ascii="仿宋_GB2312" w:hAnsi="仿宋_GB2312" w:eastAsia="仿宋_GB2312" w:cs="仿宋_GB2312"/>
          <w:sz w:val="32"/>
          <w:szCs w:val="32"/>
        </w:rPr>
      </w:pPr>
    </w:p>
    <w:p>
      <w:pPr>
        <w:pStyle w:val="7"/>
        <w:rPr>
          <w:rFonts w:ascii="仿宋_GB2312" w:hAnsi="仿宋_GB2312" w:eastAsia="仿宋_GB2312" w:cs="仿宋_GB2312"/>
          <w:sz w:val="32"/>
          <w:szCs w:val="32"/>
        </w:rPr>
      </w:pPr>
    </w:p>
    <w:p>
      <w:pPr>
        <w:pStyle w:val="7"/>
        <w:rPr>
          <w:rFonts w:ascii="仿宋_GB2312" w:hAnsi="仿宋_GB2312" w:eastAsia="仿宋_GB2312" w:cs="仿宋_GB2312"/>
          <w:sz w:val="32"/>
          <w:szCs w:val="32"/>
        </w:rPr>
      </w:pPr>
    </w:p>
    <w:p>
      <w:pPr>
        <w:pStyle w:val="7"/>
        <w:rPr>
          <w:rFonts w:ascii="仿宋_GB2312" w:hAnsi="仿宋_GB2312" w:eastAsia="仿宋_GB2312" w:cs="仿宋_GB2312"/>
          <w:sz w:val="32"/>
          <w:szCs w:val="32"/>
        </w:rPr>
      </w:pPr>
    </w:p>
    <w:p>
      <w:pPr>
        <w:pStyle w:val="2"/>
        <w:spacing w:before="93"/>
        <w:rPr>
          <w:rFonts w:hAnsi="Calibri" w:cs="仿宋"/>
          <w:sz w:val="32"/>
          <w:szCs w:val="32"/>
        </w:rPr>
      </w:pPr>
      <w:bookmarkStart w:id="58" w:name="_Toc15396618"/>
    </w:p>
    <w:p>
      <w:pPr>
        <w:pStyle w:val="2"/>
        <w:spacing w:beforeLines="0"/>
        <w:jc w:val="center"/>
        <w:rPr>
          <w:rFonts w:hint="eastAsia"/>
          <w:sz w:val="32"/>
          <w:szCs w:val="32"/>
        </w:rPr>
      </w:pPr>
      <w:r>
        <w:rPr>
          <w:rFonts w:hint="eastAsia"/>
          <w:sz w:val="32"/>
          <w:szCs w:val="32"/>
        </w:rPr>
        <w:t>部门预算项目支出绩效自评表（2023年度）</w:t>
      </w: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51090422T000006749927-义务教育均衡发展资金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保障学校正常运转，提高预算编制质量，严格执行预算，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w:t>
            </w:r>
            <w:r>
              <w:rPr>
                <w:rFonts w:hint="eastAsia" w:ascii="宋体" w:hAnsi="宋体" w:cs="宋体"/>
                <w:i w:val="0"/>
                <w:iCs w:val="0"/>
                <w:color w:val="000000"/>
                <w:kern w:val="2"/>
                <w:sz w:val="18"/>
                <w:szCs w:val="18"/>
                <w:u w:val="none"/>
                <w:lang w:val="en-US" w:eastAsia="zh-CN" w:bidi="ar-SA"/>
              </w:rPr>
              <w:t>资金</w:t>
            </w:r>
            <w:r>
              <w:rPr>
                <w:rFonts w:hint="eastAsia" w:ascii="宋体" w:hAnsi="宋体" w:eastAsia="宋体" w:cs="宋体"/>
                <w:i w:val="0"/>
                <w:iCs w:val="0"/>
                <w:color w:val="000000"/>
                <w:kern w:val="2"/>
                <w:sz w:val="18"/>
                <w:szCs w:val="18"/>
                <w:u w:val="none"/>
                <w:lang w:val="en-US" w:eastAsia="zh-CN" w:bidi="ar-SA"/>
              </w:rPr>
              <w:t>，保障学校正常运转。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2.27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资金少，有些地方没有改善到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争取上级资金，逐步完善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项目负责人：向军</w:t>
            </w:r>
          </w:p>
        </w:tc>
        <w:tc>
          <w:tcPr>
            <w:tcW w:w="5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财务负责人：向军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项目负责人：向军</w:t>
            </w:r>
          </w:p>
        </w:tc>
        <w:tc>
          <w:tcPr>
            <w:tcW w:w="5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财务负责人：向军</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867"/>
        <w:gridCol w:w="659"/>
        <w:gridCol w:w="942"/>
        <w:gridCol w:w="732"/>
        <w:gridCol w:w="672"/>
        <w:gridCol w:w="613"/>
        <w:gridCol w:w="1072"/>
        <w:gridCol w:w="506"/>
        <w:gridCol w:w="486"/>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10.49</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10.49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10.49</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10.49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资金少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项目负责人：向军</w:t>
            </w:r>
          </w:p>
        </w:tc>
        <w:tc>
          <w:tcPr>
            <w:tcW w:w="5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财务负责人：向军</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51090423T000008957131-2021年留守学生寄宿托管中心补助资金（区级）1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5.20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5.20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贯彻了中央，省市县精准脱贫工作部署安排，做到了留守学生全覆盖。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项目负责人：向军</w:t>
            </w:r>
          </w:p>
        </w:tc>
        <w:tc>
          <w:tcPr>
            <w:tcW w:w="5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财务负责人：向军</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51090423T000008957171-2020年留守学生寄宿托管中心补助资金（区级）1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贯彻了中央，省市县精准脱贫工作部署安排，做到了留守学生全覆盖。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项目负责人：向军</w:t>
            </w:r>
          </w:p>
        </w:tc>
        <w:tc>
          <w:tcPr>
            <w:tcW w:w="5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财务负责人：向军</w:t>
            </w:r>
          </w:p>
        </w:tc>
      </w:tr>
    </w:tbl>
    <w:p>
      <w:pPr>
        <w:pStyle w:val="2"/>
        <w:spacing w:before="93"/>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867"/>
        <w:gridCol w:w="659"/>
        <w:gridCol w:w="942"/>
        <w:gridCol w:w="732"/>
        <w:gridCol w:w="672"/>
        <w:gridCol w:w="613"/>
        <w:gridCol w:w="1072"/>
        <w:gridCol w:w="506"/>
        <w:gridCol w:w="486"/>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51090423T000008957239-2021年城乡义务教育中央补助经费-校舍维修改造资金1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遂宁市安居区石洞镇初级中学校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25.38</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25.38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25.38</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25.38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资金少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项目负责人：向军</w:t>
            </w:r>
          </w:p>
        </w:tc>
        <w:tc>
          <w:tcPr>
            <w:tcW w:w="5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财务负责人：向军</w:t>
            </w:r>
          </w:p>
        </w:tc>
      </w:tr>
    </w:tbl>
    <w:p>
      <w:pPr>
        <w:pStyle w:val="2"/>
        <w:spacing w:before="93"/>
        <w:jc w:val="center"/>
        <w:rPr>
          <w:rFonts w:hint="eastAsia"/>
          <w:sz w:val="32"/>
          <w:szCs w:val="32"/>
        </w:rPr>
      </w:pPr>
    </w:p>
    <w:p>
      <w:pPr>
        <w:pStyle w:val="2"/>
        <w:spacing w:before="93"/>
        <w:jc w:val="center"/>
        <w:rPr>
          <w:rFonts w:hint="eastAsia"/>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7"/>
      <w:bookmarkEnd w:id="58"/>
      <w:bookmarkStart w:id="59"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9"/>
    </w:p>
    <w:p>
      <w:pPr>
        <w:pStyle w:val="4"/>
        <w:rPr>
          <w:rFonts w:ascii="仿宋" w:hAnsi="仿宋" w:eastAsia="仿宋"/>
        </w:rPr>
      </w:pPr>
      <w:bookmarkStart w:id="60" w:name="_Toc15396620"/>
      <w:r>
        <w:rPr>
          <w:rFonts w:hint="eastAsia" w:ascii="仿宋" w:hAnsi="仿宋" w:eastAsia="仿宋"/>
          <w:b w:val="0"/>
        </w:rPr>
        <w:t>二、收</w:t>
      </w:r>
      <w:r>
        <w:rPr>
          <w:rStyle w:val="29"/>
          <w:rFonts w:hint="eastAsia" w:ascii="仿宋" w:hAnsi="仿宋" w:eastAsia="仿宋"/>
          <w:b w:val="0"/>
          <w:bCs w:val="0"/>
        </w:rPr>
        <w:t>入决算表</w:t>
      </w:r>
      <w:bookmarkEnd w:id="60"/>
    </w:p>
    <w:p>
      <w:pPr>
        <w:pStyle w:val="4"/>
        <w:rPr>
          <w:rFonts w:ascii="仿宋" w:hAnsi="仿宋" w:eastAsia="仿宋"/>
        </w:rPr>
      </w:pPr>
      <w:bookmarkStart w:id="61"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2"/>
    </w:p>
    <w:p>
      <w:pPr>
        <w:pStyle w:val="4"/>
        <w:rPr>
          <w:rStyle w:val="29"/>
          <w:rFonts w:ascii="仿宋" w:hAnsi="仿宋" w:eastAsia="仿宋"/>
          <w:b w:val="0"/>
          <w:bCs w:val="0"/>
        </w:rPr>
      </w:pPr>
      <w:bookmarkStart w:id="63"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29"/>
          <w:rFonts w:hint="eastAsia" w:ascii="仿宋" w:hAnsi="仿宋" w:eastAsia="仿宋"/>
          <w:b w:val="0"/>
          <w:bCs w:val="0"/>
        </w:rPr>
        <w:t>十、</w:t>
      </w:r>
      <w:bookmarkEnd w:id="68"/>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9" w:name="_Toc15396629"/>
      <w:r>
        <w:rPr>
          <w:rStyle w:val="29"/>
          <w:rFonts w:hint="eastAsia" w:ascii="仿宋" w:hAnsi="仿宋" w:eastAsia="仿宋"/>
          <w:b w:val="0"/>
          <w:bCs w:val="0"/>
        </w:rPr>
        <w:t>十一、</w:t>
      </w:r>
      <w:bookmarkEnd w:id="69"/>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70" w:name="_Toc15396630"/>
      <w:r>
        <w:rPr>
          <w:rStyle w:val="29"/>
          <w:rFonts w:hint="eastAsia" w:ascii="仿宋" w:hAnsi="仿宋" w:eastAsia="仿宋"/>
          <w:b w:val="0"/>
          <w:bCs w:val="0"/>
        </w:rPr>
        <w:t>十二、</w:t>
      </w:r>
      <w:bookmarkEnd w:id="70"/>
      <w:r>
        <w:rPr>
          <w:rStyle w:val="29"/>
          <w:rFonts w:hint="eastAsia" w:ascii="仿宋" w:hAnsi="仿宋" w:eastAsia="仿宋"/>
          <w:b w:val="0"/>
          <w:bCs w:val="0"/>
        </w:rPr>
        <w:t>国有资本经营预算财政拨款支出决算表</w:t>
      </w:r>
    </w:p>
    <w:p>
      <w:pPr>
        <w:pStyle w:val="4"/>
        <w:rPr>
          <w:rFonts w:eastAsia="仿宋"/>
        </w:rPr>
      </w:pPr>
      <w:bookmarkStart w:id="71" w:name="_Toc15396631"/>
      <w:r>
        <w:rPr>
          <w:rStyle w:val="29"/>
          <w:rFonts w:hint="eastAsia" w:ascii="仿宋" w:hAnsi="仿宋" w:eastAsia="仿宋"/>
          <w:b w:val="0"/>
          <w:bCs w:val="0"/>
        </w:rPr>
        <w:t>十三、</w:t>
      </w:r>
      <w:bookmarkEnd w:id="71"/>
      <w:r>
        <w:rPr>
          <w:rStyle w:val="29"/>
          <w:rFonts w:hint="eastAsia" w:ascii="仿宋" w:hAnsi="仿宋" w:eastAsia="仿宋"/>
          <w:b w:val="0"/>
          <w:bCs w:val="0"/>
        </w:rPr>
        <w:t>财政拨款“三公”经费支出决算表</w:t>
      </w:r>
    </w:p>
    <w:sectPr>
      <w:footerReference r:id="rId8" w:type="first"/>
      <w:headerReference r:id="rId6" w:type="default"/>
      <w:footerReference r:id="rId7" w:type="default"/>
      <w:pgSz w:w="11906" w:h="16838"/>
      <w:pgMar w:top="1440" w:right="1800" w:bottom="1440" w:left="1800" w:header="851" w:footer="992" w:gutter="0"/>
      <w:pgNumType w:start="1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2058" o:spid="_x0000_s205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sdt>
                <w:sdtPr>
                  <w:id w:val="147474553"/>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QzYmJlMDlmZWZiMWQwYTI1MDViOTAwZjYwYTg1Y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B1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4F1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3982"/>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F3FBD"/>
    <w:rsid w:val="03DC2831"/>
    <w:rsid w:val="05020592"/>
    <w:rsid w:val="06355D58"/>
    <w:rsid w:val="0666706A"/>
    <w:rsid w:val="081B5E94"/>
    <w:rsid w:val="0A2032A3"/>
    <w:rsid w:val="0B8A37D8"/>
    <w:rsid w:val="0DA11690"/>
    <w:rsid w:val="0F5FFB2F"/>
    <w:rsid w:val="0FFFCF60"/>
    <w:rsid w:val="10C055FF"/>
    <w:rsid w:val="11697C08"/>
    <w:rsid w:val="118107EC"/>
    <w:rsid w:val="11DD6519"/>
    <w:rsid w:val="158B6DC3"/>
    <w:rsid w:val="16746334"/>
    <w:rsid w:val="16BB723D"/>
    <w:rsid w:val="17B44B3F"/>
    <w:rsid w:val="18015F3F"/>
    <w:rsid w:val="1BE8440E"/>
    <w:rsid w:val="1D155CEE"/>
    <w:rsid w:val="1FDBBF84"/>
    <w:rsid w:val="200E2AAE"/>
    <w:rsid w:val="20F57F95"/>
    <w:rsid w:val="238A6B3D"/>
    <w:rsid w:val="240371BF"/>
    <w:rsid w:val="25711CC6"/>
    <w:rsid w:val="25C741E6"/>
    <w:rsid w:val="276F80C0"/>
    <w:rsid w:val="27842671"/>
    <w:rsid w:val="29F20781"/>
    <w:rsid w:val="29FD04D3"/>
    <w:rsid w:val="2ABE7A3E"/>
    <w:rsid w:val="2AFF09B6"/>
    <w:rsid w:val="2CA234A8"/>
    <w:rsid w:val="2E960B5C"/>
    <w:rsid w:val="2EF56876"/>
    <w:rsid w:val="2EFA178C"/>
    <w:rsid w:val="2EFDF86C"/>
    <w:rsid w:val="2F9D17E1"/>
    <w:rsid w:val="30B46D73"/>
    <w:rsid w:val="316535A3"/>
    <w:rsid w:val="319F7F4E"/>
    <w:rsid w:val="33D800A3"/>
    <w:rsid w:val="356A28F1"/>
    <w:rsid w:val="357C035A"/>
    <w:rsid w:val="366A6BCF"/>
    <w:rsid w:val="368E000D"/>
    <w:rsid w:val="380C46F5"/>
    <w:rsid w:val="383D272C"/>
    <w:rsid w:val="39AE70AB"/>
    <w:rsid w:val="3A4DCE41"/>
    <w:rsid w:val="3BCB56FA"/>
    <w:rsid w:val="3C0C0783"/>
    <w:rsid w:val="3EE7C2F4"/>
    <w:rsid w:val="3F371B56"/>
    <w:rsid w:val="3F792ED8"/>
    <w:rsid w:val="3F9F3A96"/>
    <w:rsid w:val="3FECA4B2"/>
    <w:rsid w:val="3FF58C48"/>
    <w:rsid w:val="42863E0A"/>
    <w:rsid w:val="42983BB0"/>
    <w:rsid w:val="42FC3868"/>
    <w:rsid w:val="42FF6694"/>
    <w:rsid w:val="44DF3402"/>
    <w:rsid w:val="472E597E"/>
    <w:rsid w:val="479B4C9A"/>
    <w:rsid w:val="48BF60AB"/>
    <w:rsid w:val="493C27E9"/>
    <w:rsid w:val="496F39ED"/>
    <w:rsid w:val="49FF41D3"/>
    <w:rsid w:val="4BE068DB"/>
    <w:rsid w:val="4BF6002B"/>
    <w:rsid w:val="4BFFC6BE"/>
    <w:rsid w:val="4C661555"/>
    <w:rsid w:val="4ECE2238"/>
    <w:rsid w:val="51DB4B86"/>
    <w:rsid w:val="51F64DB0"/>
    <w:rsid w:val="53A10C80"/>
    <w:rsid w:val="55333C3E"/>
    <w:rsid w:val="57A20B0E"/>
    <w:rsid w:val="5AA42979"/>
    <w:rsid w:val="5CF60C3D"/>
    <w:rsid w:val="5F67802D"/>
    <w:rsid w:val="5F7DC4F2"/>
    <w:rsid w:val="5FB36814"/>
    <w:rsid w:val="5FBB8E56"/>
    <w:rsid w:val="5FFB5535"/>
    <w:rsid w:val="61B0789F"/>
    <w:rsid w:val="64CA39A1"/>
    <w:rsid w:val="65845EA2"/>
    <w:rsid w:val="670D3E51"/>
    <w:rsid w:val="673E26BD"/>
    <w:rsid w:val="694E1D32"/>
    <w:rsid w:val="69630ADE"/>
    <w:rsid w:val="69BD5F13"/>
    <w:rsid w:val="69FB0B4B"/>
    <w:rsid w:val="6BFFE1FB"/>
    <w:rsid w:val="6C4A05C8"/>
    <w:rsid w:val="6D3B1A89"/>
    <w:rsid w:val="6D695571"/>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B35BA7"/>
    <w:rsid w:val="7CDF9A82"/>
    <w:rsid w:val="7CFFA1BD"/>
    <w:rsid w:val="7D2E3F7A"/>
    <w:rsid w:val="7DED9490"/>
    <w:rsid w:val="7DFF4872"/>
    <w:rsid w:val="7E545DB8"/>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35">
    <w:name w:val="标题 1 字符"/>
    <w:basedOn w:val="16"/>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石洞初中</a:t>
            </a:r>
            <a:r>
              <a:rPr lang="en-US" altLang="zh-CN"/>
              <a:t>2022</a:t>
            </a:r>
            <a:r>
              <a:rPr altLang="en-US"/>
              <a:t>年与</a:t>
            </a:r>
            <a:r>
              <a:rPr lang="en-US" altLang="zh-CN"/>
              <a:t>2023</a:t>
            </a:r>
            <a:r>
              <a:rPr altLang="en-US"/>
              <a:t>年收、支决算变动情况图</a:t>
            </a:r>
            <a:endParaRPr altLang="en-US"/>
          </a:p>
        </c:rich>
      </c:tx>
      <c:layout/>
      <c:overlay val="0"/>
      <c:spPr>
        <a:noFill/>
        <a:ln>
          <a:noFill/>
        </a:ln>
        <a:effectLst/>
      </c:spPr>
    </c:title>
    <c:autoTitleDeleted val="0"/>
    <c:plotArea>
      <c:layout>
        <c:manualLayout>
          <c:layoutTarget val="inner"/>
          <c:xMode val="edge"/>
          <c:yMode val="edge"/>
          <c:x val="0.0630088909686476"/>
          <c:y val="0.149819494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681.05</c:v>
                </c:pt>
                <c:pt idx="1">
                  <c:v>781.36</c:v>
                </c:pt>
                <c:pt idx="2">
                  <c:v>681.05</c:v>
                </c:pt>
                <c:pt idx="3">
                  <c:v>781.36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863981616"/>
        <c:axId val="863982008"/>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石洞初中</a:t>
            </a:r>
            <a:r>
              <a:rPr lang="en-US" altLang="zh-CN"/>
              <a:t>2023</a:t>
            </a:r>
            <a:r>
              <a:rPr altLang="en-US"/>
              <a:t>年</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中兴初级中学校收入情况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石洞初中</a:t>
            </a:r>
            <a:r>
              <a:rPr lang="en-US" altLang="zh-CN"/>
              <a:t>2023</a:t>
            </a:r>
            <a:r>
              <a:rPr altLang="en-US"/>
              <a:t>年</a:t>
            </a:r>
            <a:r>
              <a:t>支出决算结构图</a:t>
            </a:r>
          </a:p>
        </c:rich>
      </c:tx>
      <c:layout>
        <c:manualLayout>
          <c:xMode val="edge"/>
          <c:yMode val="edge"/>
          <c:x val="0.311534861956013"/>
          <c:y val="0.0268937696100403"/>
        </c:manualLayout>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0.9266</c:v>
                </c:pt>
                <c:pt idx="1">
                  <c:v>0.0733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石洞初中财政拨款收、支决算总计变动情况图</a:t>
            </a:r>
            <a:endParaRPr lang="zh-CN"/>
          </a:p>
        </c:rich>
      </c:tx>
      <c:layout>
        <c:manualLayout>
          <c:xMode val="edge"/>
          <c:yMode val="edge"/>
          <c:x val="0.161033519400878"/>
          <c:y val="0.0094010357020156"/>
        </c:manualLayout>
      </c:layout>
      <c:overlay val="0"/>
      <c:spPr>
        <a:noFill/>
        <a:ln>
          <a:noFill/>
        </a:ln>
        <a:effectLst/>
      </c:spPr>
    </c:title>
    <c:autoTitleDeleted val="0"/>
    <c:plotArea>
      <c:layout>
        <c:manualLayout>
          <c:layoutTarget val="inner"/>
          <c:xMode val="edge"/>
          <c:yMode val="edge"/>
          <c:x val="0.0758766813053363"/>
          <c:y val="0.104897619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681.05</c:v>
                </c:pt>
                <c:pt idx="1">
                  <c:v>781.36</c:v>
                </c:pt>
                <c:pt idx="2">
                  <c:v>681.05</c:v>
                </c:pt>
                <c:pt idx="3">
                  <c:v>781.36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石洞初中</a:t>
            </a:r>
            <a:r>
              <a:rPr altLang="en-US"/>
              <a:t>一般公共预算财政拨款支出决算变动情况图</a:t>
            </a:r>
            <a:endParaRPr lang="en-US" altLang="zh-CN"/>
          </a:p>
        </c:rich>
      </c:tx>
      <c:layout>
        <c:manualLayout>
          <c:xMode val="edge"/>
          <c:yMode val="edge"/>
          <c:x val="0.139719920980786"/>
          <c:y val="0.00715648854961832"/>
        </c:manualLayout>
      </c:layout>
      <c:overlay val="0"/>
      <c:spPr>
        <a:noFill/>
        <a:ln>
          <a:noFill/>
        </a:ln>
        <a:effectLst/>
      </c:spPr>
    </c:title>
    <c:autoTitleDeleted val="0"/>
    <c:plotArea>
      <c:layout>
        <c:manualLayout>
          <c:layoutTarget val="inner"/>
          <c:xMode val="edge"/>
          <c:yMode val="edge"/>
          <c:x val="0.0569103716298275"/>
          <c:y val="0.133579352190972"/>
          <c:w val="0.911254094525035"/>
          <c:h val="0.730905172413793"/>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681.05</c:v>
                </c:pt>
                <c:pt idx="1">
                  <c:v>781.36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石洞初中支出表</a:t>
            </a:r>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教育支出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78.13</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7449856733524"/>
                  <c:y val="0.17768301350390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社会保障和就业</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11.44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卫生健康支出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3.75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住房保障支出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6.68</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593.18</c:v>
                </c:pt>
                <c:pt idx="1">
                  <c:v>79.38</c:v>
                </c:pt>
                <c:pt idx="2">
                  <c:v>36.07</c:v>
                </c:pt>
                <c:pt idx="3">
                  <c:v>58.81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8" textRotate="1"/>
    <customShpInfo spid="_x0000_s2057" textRotate="1"/>
    <customShpInfo spid="_x0000_s2055" textRotate="1"/>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13984</Words>
  <Characters>15330</Characters>
  <Lines>5</Lines>
  <Paragraphs>11</Paragraphs>
  <TotalTime>8</TotalTime>
  <ScaleCrop>false</ScaleCrop>
  <LinksUpToDate>false</LinksUpToDate>
  <CharactersWithSpaces>15378</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2024-08-21T07:50:00Z</dcterms:created>
  <dc:creator>曹颖</dc:creator>
  <cp:lastModifiedBy>Lenovo</cp:lastModifiedBy>
  <cp:lastPrinted>2023-08-03T02:35:00Z</cp:lastPrinted>
  <dcterms:modified xsi:type="dcterms:W3CDTF">2024-08-27T01:52:59Z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3E96BE6B188A48148871663646EBC70B_12</vt:lpwstr>
  </property>
</Properties>
</file>