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5B061">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96597"/>
      <w:bookmarkStart w:id="2" w:name="_Toc15378441"/>
      <w:bookmarkStart w:id="3" w:name="_Toc15377425"/>
      <w:bookmarkStart w:id="4" w:name="_Toc15396475"/>
      <w:bookmarkStart w:id="5" w:name="_Toc15306267"/>
    </w:p>
    <w:p w14:paraId="2265195A">
      <w:pPr>
        <w:spacing w:line="600" w:lineRule="exact"/>
        <w:jc w:val="center"/>
        <w:outlineLvl w:val="0"/>
        <w:rPr>
          <w:rFonts w:ascii="方正小标宋简体" w:hAnsi="宋体" w:eastAsia="方正小标宋简体"/>
          <w:color w:val="auto"/>
          <w:sz w:val="72"/>
          <w:szCs w:val="72"/>
          <w:highlight w:val="none"/>
        </w:rPr>
      </w:pPr>
    </w:p>
    <w:p w14:paraId="0962C0C8">
      <w:pPr>
        <w:spacing w:line="600" w:lineRule="exact"/>
        <w:jc w:val="center"/>
        <w:outlineLvl w:val="0"/>
        <w:rPr>
          <w:rFonts w:ascii="方正小标宋简体" w:hAnsi="宋体" w:eastAsia="方正小标宋简体"/>
          <w:color w:val="auto"/>
          <w:sz w:val="72"/>
          <w:szCs w:val="72"/>
          <w:highlight w:val="none"/>
        </w:rPr>
      </w:pPr>
    </w:p>
    <w:p w14:paraId="7522E60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67F4221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96598"/>
      <w:bookmarkStart w:id="7" w:name="_Toc15377194"/>
      <w:bookmarkStart w:id="8" w:name="_Toc15378442"/>
      <w:bookmarkStart w:id="9" w:name="_Toc15396476"/>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遂宁市安居区市场</w:t>
      </w:r>
    </w:p>
    <w:p w14:paraId="73B2152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val="en-US" w:eastAsia="zh-CN"/>
        </w:rPr>
        <w:t>监督管理局部门</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225ECCCF">
      <w:pPr>
        <w:widowControl/>
        <w:jc w:val="center"/>
        <w:rPr>
          <w:rFonts w:hint="eastAsia" w:ascii="黑体" w:hAnsi="黑体" w:eastAsia="黑体"/>
          <w:color w:val="auto"/>
          <w:sz w:val="48"/>
          <w:szCs w:val="48"/>
          <w:highlight w:val="none"/>
        </w:rPr>
        <w:sectPr>
          <w:footerReference r:id="rId5" w:type="first"/>
          <w:headerReference r:id="rId3" w:type="default"/>
          <w:footerReference r:id="rId4" w:type="default"/>
          <w:pgSz w:w="11906" w:h="16838"/>
          <w:pgMar w:top="1157" w:right="1463" w:bottom="1157" w:left="1463" w:header="851" w:footer="992" w:gutter="0"/>
          <w:pgNumType w:fmt="decimal" w:start="1"/>
          <w:cols w:space="425" w:num="1"/>
          <w:titlePg/>
          <w:docGrid w:type="lines" w:linePitch="312" w:charSpace="0"/>
        </w:sectPr>
      </w:pPr>
    </w:p>
    <w:p w14:paraId="21BEC95B">
      <w:pPr>
        <w:widowControl/>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14:paraId="77E245FD">
      <w:pPr>
        <w:widowControl/>
        <w:jc w:val="center"/>
        <w:rPr>
          <w:rFonts w:hint="eastAsia" w:ascii="黑体" w:hAnsi="黑体" w:eastAsia="黑体"/>
          <w:color w:val="auto"/>
          <w:sz w:val="32"/>
          <w:szCs w:val="32"/>
          <w:highlight w:val="none"/>
        </w:rPr>
      </w:pPr>
    </w:p>
    <w:p w14:paraId="6C6628FE">
      <w:pPr>
        <w:pStyle w:val="15"/>
        <w:rPr>
          <w:color w:val="auto"/>
          <w:sz w:val="21"/>
          <w:szCs w:val="21"/>
          <w:highlight w:val="none"/>
        </w:rPr>
      </w:pPr>
      <w:r>
        <w:rPr>
          <w:rFonts w:hint="eastAsia"/>
          <w:color w:val="auto"/>
          <w:sz w:val="32"/>
          <w:szCs w:val="32"/>
          <w:highlight w:val="none"/>
        </w:rPr>
        <w:t>公开时间：20</w:t>
      </w:r>
      <w:r>
        <w:rPr>
          <w:rFonts w:hint="eastAsia"/>
          <w:color w:val="auto"/>
          <w:sz w:val="32"/>
          <w:szCs w:val="32"/>
          <w:highlight w:val="none"/>
          <w:lang w:val="en-US" w:eastAsia="zh-CN"/>
        </w:rPr>
        <w:t>24</w:t>
      </w:r>
      <w:r>
        <w:rPr>
          <w:rFonts w:hint="eastAsia"/>
          <w:color w:val="auto"/>
          <w:sz w:val="32"/>
          <w:szCs w:val="32"/>
          <w:highlight w:val="none"/>
        </w:rPr>
        <w:t>年</w:t>
      </w:r>
      <w:r>
        <w:rPr>
          <w:rFonts w:hint="eastAsia"/>
          <w:color w:val="auto"/>
          <w:sz w:val="32"/>
          <w:szCs w:val="32"/>
          <w:highlight w:val="none"/>
          <w:lang w:val="en-US" w:eastAsia="zh-CN"/>
        </w:rPr>
        <w:t>8</w:t>
      </w:r>
      <w:r>
        <w:rPr>
          <w:rFonts w:hint="eastAsia"/>
          <w:color w:val="auto"/>
          <w:sz w:val="32"/>
          <w:szCs w:val="32"/>
          <w:highlight w:val="none"/>
        </w:rPr>
        <w:t>月</w:t>
      </w:r>
      <w:r>
        <w:rPr>
          <w:rFonts w:hint="eastAsia"/>
          <w:color w:val="auto"/>
          <w:sz w:val="32"/>
          <w:szCs w:val="32"/>
          <w:highlight w:val="none"/>
          <w:lang w:val="en-US" w:eastAsia="zh-CN"/>
        </w:rPr>
        <w:t>27</w:t>
      </w:r>
      <w:r>
        <w:rPr>
          <w:rFonts w:hint="eastAsia"/>
          <w:color w:val="auto"/>
          <w:sz w:val="32"/>
          <w:szCs w:val="32"/>
          <w:highlight w:val="none"/>
        </w:rPr>
        <w:t>日</w:t>
      </w:r>
    </w:p>
    <w:p w14:paraId="1F59D12F">
      <w:pPr>
        <w:rPr>
          <w:color w:val="auto"/>
          <w:highlight w:val="none"/>
        </w:rPr>
      </w:pPr>
    </w:p>
    <w:p w14:paraId="407118E0">
      <w:pPr>
        <w:pStyle w:val="15"/>
        <w:keepNext w:val="0"/>
        <w:keepLines w:val="0"/>
        <w:pageBreakBefore w:val="0"/>
        <w:widowControl w:val="0"/>
        <w:tabs>
          <w:tab w:val="right" w:leader="dot" w:pos="8180"/>
          <w:tab w:val="left" w:pos="8400"/>
          <w:tab w:val="clear" w:pos="8296"/>
        </w:tabs>
        <w:kinsoku/>
        <w:wordWrap/>
        <w:overflowPunct/>
        <w:topLinePunct w:val="0"/>
        <w:autoSpaceDE/>
        <w:autoSpaceDN/>
        <w:bidi w:val="0"/>
        <w:adjustRightInd w:val="0"/>
        <w:snapToGrid w:val="0"/>
        <w:spacing w:before="0" w:line="520" w:lineRule="exact"/>
        <w:ind w:right="0" w:rightChars="0"/>
        <w:jc w:val="left"/>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rPr>
        <w:t>第一部分 部门概况</w:t>
      </w:r>
      <w:r>
        <w:rPr>
          <w:rFonts w:hint="eastAsia" w:ascii="黑体" w:hAnsi="黑体" w:eastAsia="黑体" w:cs="黑体"/>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w:t>
      </w:r>
      <w:r>
        <w:rPr>
          <w:rFonts w:hint="eastAsia" w:cs="仿宋"/>
          <w:color w:val="auto"/>
          <w:sz w:val="32"/>
          <w:szCs w:val="32"/>
          <w:highlight w:val="none"/>
          <w:lang w:val="en-US" w:eastAsia="zh-CN"/>
        </w:rPr>
        <w:t>.4</w:t>
      </w:r>
    </w:p>
    <w:p w14:paraId="4FBCAD1E">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eastAsia="zh-CN"/>
        </w:rPr>
        <w:t>部门职责</w:t>
      </w:r>
      <w:r>
        <w:rPr>
          <w:rFonts w:hint="eastAsia" w:ascii="仿宋" w:hAnsi="仿宋" w:eastAsia="仿宋" w:cs="仿宋"/>
          <w:color w:val="auto"/>
          <w:sz w:val="32"/>
          <w:szCs w:val="32"/>
          <w:highlight w:val="none"/>
          <w:lang w:val="en-US" w:eastAsia="zh-CN"/>
        </w:rPr>
        <w:t>.....................................4</w:t>
      </w:r>
    </w:p>
    <w:p w14:paraId="7B9D7BF6">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二、机构设置</w:t>
      </w:r>
      <w:r>
        <w:rPr>
          <w:rFonts w:hint="eastAsia" w:ascii="仿宋" w:hAnsi="仿宋" w:eastAsia="仿宋" w:cs="仿宋"/>
          <w:color w:val="auto"/>
          <w:sz w:val="32"/>
          <w:szCs w:val="32"/>
          <w:highlight w:val="none"/>
          <w:lang w:val="en-US" w:eastAsia="zh-CN"/>
        </w:rPr>
        <w:t>.....................................7</w:t>
      </w:r>
    </w:p>
    <w:p w14:paraId="74B13107">
      <w:pPr>
        <w:pStyle w:val="16"/>
        <w:keepNext w:val="0"/>
        <w:keepLines w:val="0"/>
        <w:pageBreakBefore w:val="0"/>
        <w:widowControl w:val="0"/>
        <w:tabs>
          <w:tab w:val="left" w:pos="5460"/>
        </w:tabs>
        <w:kinsoku/>
        <w:wordWrap/>
        <w:overflowPunct/>
        <w:topLinePunct w:val="0"/>
        <w:autoSpaceDE/>
        <w:autoSpaceDN/>
        <w:bidi w:val="0"/>
        <w:adjustRightInd w:val="0"/>
        <w:snapToGrid w:val="0"/>
        <w:spacing w:line="520" w:lineRule="exact"/>
        <w:ind w:left="0" w:leftChars="0" w:firstLine="0" w:firstLineChars="0"/>
        <w:jc w:val="both"/>
        <w:textAlignment w:val="auto"/>
        <w:rPr>
          <w:rFonts w:hint="eastAsia" w:ascii="仿宋" w:hAnsi="仿宋" w:eastAsia="仿宋" w:cs="仿宋"/>
          <w:color w:val="auto"/>
          <w:sz w:val="32"/>
          <w:szCs w:val="32"/>
          <w:highlight w:val="none"/>
          <w:lang w:val="en-US"/>
        </w:rPr>
      </w:pPr>
      <w:r>
        <w:rPr>
          <w:rFonts w:hint="eastAsia" w:ascii="黑体" w:hAnsi="黑体" w:eastAsia="黑体" w:cs="黑体"/>
          <w:b w:val="0"/>
          <w:bCs w:val="0"/>
          <w:color w:val="auto"/>
          <w:sz w:val="32"/>
          <w:szCs w:val="32"/>
          <w:highlight w:val="none"/>
        </w:rPr>
        <w:t>第二部分</w:t>
      </w:r>
      <w:r>
        <w:rPr>
          <w:rFonts w:hint="eastAsia" w:ascii="黑体" w:hAnsi="黑体" w:eastAsia="黑体" w:cs="黑体"/>
          <w:b w:val="0"/>
          <w:bCs w:val="0"/>
          <w:color w:val="auto"/>
          <w:sz w:val="32"/>
          <w:szCs w:val="32"/>
          <w:highlight w:val="none"/>
          <w:lang w:val="en-US" w:eastAsia="zh-CN"/>
        </w:rPr>
        <w:t xml:space="preserve"> 2023年度</w:t>
      </w:r>
      <w:r>
        <w:rPr>
          <w:rFonts w:hint="eastAsia" w:ascii="黑体" w:hAnsi="黑体" w:eastAsia="黑体" w:cs="黑体"/>
          <w:b w:val="0"/>
          <w:bCs w:val="0"/>
          <w:color w:val="auto"/>
          <w:sz w:val="32"/>
          <w:szCs w:val="32"/>
          <w:highlight w:val="none"/>
        </w:rPr>
        <w:t>部门决算情况说明</w:t>
      </w:r>
      <w:r>
        <w:rPr>
          <w:rFonts w:hint="eastAsia" w:ascii="仿宋" w:hAnsi="仿宋" w:eastAsia="仿宋" w:cs="仿宋"/>
          <w:color w:val="auto"/>
          <w:sz w:val="32"/>
          <w:szCs w:val="32"/>
          <w:highlight w:val="none"/>
          <w:lang w:val="en-US" w:eastAsia="zh-CN"/>
        </w:rPr>
        <w:t>...................</w:t>
      </w:r>
      <w:r>
        <w:rPr>
          <w:rFonts w:hint="eastAsia"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8</w:t>
      </w:r>
    </w:p>
    <w:p w14:paraId="5CC46B1B">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一、收入支出决算总体情况说明</w:t>
      </w:r>
      <w:r>
        <w:rPr>
          <w:rFonts w:hint="eastAsia" w:ascii="仿宋" w:hAnsi="仿宋" w:eastAsia="仿宋" w:cs="仿宋"/>
          <w:color w:val="auto"/>
          <w:sz w:val="32"/>
          <w:szCs w:val="32"/>
          <w:highlight w:val="none"/>
          <w:lang w:val="en-US" w:eastAsia="zh-CN"/>
        </w:rPr>
        <w:t>.....................8</w:t>
      </w:r>
    </w:p>
    <w:p w14:paraId="4D173B4E">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二、收入决算情况说明</w:t>
      </w:r>
      <w:r>
        <w:rPr>
          <w:rFonts w:hint="eastAsia" w:ascii="仿宋" w:hAnsi="仿宋" w:eastAsia="仿宋" w:cs="仿宋"/>
          <w:color w:val="auto"/>
          <w:sz w:val="32"/>
          <w:szCs w:val="32"/>
          <w:highlight w:val="none"/>
          <w:lang w:val="en-US" w:eastAsia="zh-CN"/>
        </w:rPr>
        <w:t>.............................8</w:t>
      </w:r>
    </w:p>
    <w:p w14:paraId="0EEA6669">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三、支出决算情况说明</w:t>
      </w:r>
      <w:r>
        <w:rPr>
          <w:rFonts w:hint="eastAsia" w:ascii="仿宋" w:hAnsi="仿宋" w:eastAsia="仿宋" w:cs="仿宋"/>
          <w:color w:val="auto"/>
          <w:sz w:val="32"/>
          <w:szCs w:val="32"/>
          <w:highlight w:val="none"/>
          <w:lang w:val="en-US" w:eastAsia="zh-CN"/>
        </w:rPr>
        <w:t>.............................9</w:t>
      </w:r>
    </w:p>
    <w:p w14:paraId="6D56DB7F">
      <w:pPr>
        <w:pStyle w:val="16"/>
        <w:keepNext w:val="0"/>
        <w:keepLines w:val="0"/>
        <w:pageBreakBefore w:val="0"/>
        <w:widowControl w:val="0"/>
        <w:tabs>
          <w:tab w:val="left" w:pos="8610"/>
        </w:tabs>
        <w:kinsoku/>
        <w:wordWrap/>
        <w:overflowPunct/>
        <w:topLinePunct w:val="0"/>
        <w:autoSpaceDE/>
        <w:autoSpaceDN/>
        <w:bidi w:val="0"/>
        <w:adjustRightInd w:val="0"/>
        <w:snapToGrid w:val="0"/>
        <w:spacing w:line="520" w:lineRule="exact"/>
        <w:ind w:left="0" w:leftChars="0" w:firstLine="640" w:firstLineChars="20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四、财政拨款收入支出决算总体情况说明</w:t>
      </w:r>
      <w:r>
        <w:rPr>
          <w:rFonts w:hint="eastAsia" w:ascii="仿宋" w:hAnsi="仿宋" w:eastAsia="仿宋" w:cs="仿宋"/>
          <w:color w:val="auto"/>
          <w:sz w:val="32"/>
          <w:szCs w:val="32"/>
          <w:highlight w:val="none"/>
          <w:lang w:val="en-US" w:eastAsia="zh-CN"/>
        </w:rPr>
        <w:t>.............9</w:t>
      </w:r>
    </w:p>
    <w:p w14:paraId="560451D1">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五、一般公共预算财政拨款支出决算情况说明</w:t>
      </w:r>
      <w:r>
        <w:rPr>
          <w:rFonts w:hint="eastAsia" w:ascii="仿宋" w:hAnsi="仿宋" w:eastAsia="仿宋" w:cs="仿宋"/>
          <w:color w:val="auto"/>
          <w:sz w:val="32"/>
          <w:szCs w:val="32"/>
          <w:highlight w:val="none"/>
          <w:lang w:val="en-US" w:eastAsia="zh-CN"/>
        </w:rPr>
        <w:t>........10</w:t>
      </w:r>
    </w:p>
    <w:p w14:paraId="1218A42B">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六、一般公共预算财政拨款基本支出决算情况说明</w:t>
      </w:r>
      <w:r>
        <w:rPr>
          <w:rFonts w:hint="eastAsia" w:ascii="仿宋" w:hAnsi="仿宋" w:eastAsia="仿宋" w:cs="仿宋"/>
          <w:color w:val="auto"/>
          <w:sz w:val="32"/>
          <w:szCs w:val="32"/>
          <w:highlight w:val="none"/>
          <w:lang w:val="en-US" w:eastAsia="zh-CN"/>
        </w:rPr>
        <w:t>....13</w:t>
      </w:r>
    </w:p>
    <w:p w14:paraId="612FF7F2">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七、财政拨款</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三公”经费支出决算情况说明</w:t>
      </w:r>
      <w:r>
        <w:rPr>
          <w:rFonts w:hint="eastAsia" w:ascii="仿宋" w:hAnsi="仿宋" w:eastAsia="仿宋" w:cs="仿宋"/>
          <w:color w:val="auto"/>
          <w:sz w:val="32"/>
          <w:szCs w:val="32"/>
          <w:highlight w:val="none"/>
          <w:lang w:val="en-US" w:eastAsia="zh-CN"/>
        </w:rPr>
        <w:t>........14</w:t>
      </w:r>
    </w:p>
    <w:p w14:paraId="0B359A45">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八、政府性基金预算支出决算情况说明</w:t>
      </w:r>
      <w:r>
        <w:rPr>
          <w:rFonts w:hint="eastAsia" w:ascii="仿宋" w:hAnsi="仿宋" w:eastAsia="仿宋" w:cs="仿宋"/>
          <w:color w:val="auto"/>
          <w:sz w:val="32"/>
          <w:szCs w:val="32"/>
          <w:highlight w:val="none"/>
          <w:lang w:val="en-US" w:eastAsia="zh-CN"/>
        </w:rPr>
        <w:t>..............16</w:t>
      </w:r>
    </w:p>
    <w:p w14:paraId="6C7BB8E6">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九、</w:t>
      </w:r>
      <w:r>
        <w:rPr>
          <w:rFonts w:hint="eastAsia" w:ascii="仿宋" w:hAnsi="仿宋" w:eastAsia="仿宋" w:cs="仿宋"/>
          <w:color w:val="auto"/>
          <w:sz w:val="32"/>
          <w:szCs w:val="32"/>
          <w:highlight w:val="none"/>
          <w:lang w:eastAsia="zh-CN"/>
        </w:rPr>
        <w:t>国</w:t>
      </w:r>
      <w:r>
        <w:rPr>
          <w:rFonts w:hint="eastAsia" w:ascii="仿宋" w:hAnsi="仿宋" w:eastAsia="仿宋" w:cs="仿宋"/>
          <w:color w:val="auto"/>
          <w:sz w:val="32"/>
          <w:szCs w:val="32"/>
          <w:highlight w:val="none"/>
        </w:rPr>
        <w:t>有资本经营预算支出决算情况说明</w:t>
      </w:r>
      <w:r>
        <w:rPr>
          <w:rFonts w:hint="eastAsia" w:ascii="仿宋" w:hAnsi="仿宋" w:eastAsia="仿宋" w:cs="仿宋"/>
          <w:color w:val="auto"/>
          <w:sz w:val="32"/>
          <w:szCs w:val="32"/>
          <w:highlight w:val="none"/>
          <w:lang w:val="en-US" w:eastAsia="zh-CN"/>
        </w:rPr>
        <w:t>............16</w:t>
      </w:r>
    </w:p>
    <w:p w14:paraId="5D3237CB">
      <w:pPr>
        <w:keepNext w:val="0"/>
        <w:keepLines w:val="0"/>
        <w:pageBreakBefore w:val="0"/>
        <w:widowControl w:val="0"/>
        <w:tabs>
          <w:tab w:val="left" w:pos="8400"/>
          <w:tab w:val="left" w:pos="8610"/>
        </w:tabs>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kern w:val="2"/>
          <w:sz w:val="32"/>
          <w:szCs w:val="32"/>
          <w:highlight w:val="none"/>
          <w:lang w:val="en-US" w:eastAsia="zh-CN" w:bidi="ar-SA"/>
        </w:rPr>
      </w:pPr>
      <w:r>
        <w:rPr>
          <w:rStyle w:val="23"/>
          <w:rFonts w:hint="eastAsia" w:ascii="仿宋" w:hAnsi="仿宋" w:eastAsia="仿宋" w:cs="仿宋"/>
          <w:color w:val="auto"/>
          <w:sz w:val="32"/>
          <w:szCs w:val="32"/>
          <w:highlight w:val="none"/>
          <w:u w:val="none"/>
          <w:lang w:eastAsia="zh-CN"/>
        </w:rPr>
        <w:t>十</w:t>
      </w:r>
      <w:r>
        <w:rPr>
          <w:rStyle w:val="23"/>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rPr>
        <w:t>其他重要事项的情况说明</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SA"/>
        </w:rPr>
        <w:t>16</w:t>
      </w:r>
    </w:p>
    <w:p w14:paraId="34CE143F">
      <w:pPr>
        <w:keepNext w:val="0"/>
        <w:keepLines w:val="0"/>
        <w:pageBreakBefore w:val="0"/>
        <w:widowControl w:val="0"/>
        <w:tabs>
          <w:tab w:val="left" w:pos="8400"/>
          <w:tab w:val="left" w:pos="8610"/>
        </w:tabs>
        <w:kinsoku/>
        <w:wordWrap/>
        <w:overflowPunct/>
        <w:topLinePunct w:val="0"/>
        <w:autoSpaceDE/>
        <w:autoSpaceDN/>
        <w:bidi w:val="0"/>
        <w:adjustRightInd w:val="0"/>
        <w:snapToGrid w:val="0"/>
        <w:spacing w:line="520" w:lineRule="exact"/>
        <w:jc w:val="left"/>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rPr>
        <w:t>第三部分 名词解释</w:t>
      </w:r>
      <w:r>
        <w:rPr>
          <w:rFonts w:hint="eastAsia" w:ascii="黑体" w:hAnsi="黑体" w:eastAsia="黑体" w:cs="黑体"/>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w:t>
      </w:r>
      <w:r>
        <w:rPr>
          <w:rFonts w:hint="eastAsia" w:cs="仿宋"/>
          <w:color w:val="auto"/>
          <w:sz w:val="32"/>
          <w:szCs w:val="32"/>
          <w:highlight w:val="none"/>
          <w:lang w:val="en-US" w:eastAsia="zh-CN"/>
        </w:rPr>
        <w:t>1</w:t>
      </w:r>
      <w:r>
        <w:rPr>
          <w:rFonts w:hint="eastAsia" w:ascii="仿宋" w:hAnsi="仿宋" w:eastAsia="仿宋" w:cs="仿宋"/>
          <w:color w:val="auto"/>
          <w:sz w:val="32"/>
          <w:szCs w:val="32"/>
          <w:highlight w:val="none"/>
          <w:lang w:val="en-US" w:eastAsia="zh-CN"/>
        </w:rPr>
        <w:t>9</w:t>
      </w:r>
    </w:p>
    <w:p w14:paraId="564A92F2">
      <w:pPr>
        <w:pStyle w:val="15"/>
        <w:keepNext w:val="0"/>
        <w:keepLines w:val="0"/>
        <w:pageBreakBefore w:val="0"/>
        <w:widowControl w:val="0"/>
        <w:kinsoku/>
        <w:wordWrap/>
        <w:overflowPunct/>
        <w:topLinePunct w:val="0"/>
        <w:autoSpaceDE/>
        <w:autoSpaceDN/>
        <w:bidi w:val="0"/>
        <w:adjustRightInd w:val="0"/>
        <w:snapToGrid w:val="0"/>
        <w:spacing w:before="0" w:line="520" w:lineRule="exact"/>
        <w:jc w:val="both"/>
        <w:textAlignment w:val="auto"/>
        <w:rPr>
          <w:rFonts w:hint="default" w:ascii="仿宋" w:hAnsi="仿宋" w:eastAsia="仿宋" w:cs="仿宋"/>
          <w:color w:val="auto"/>
          <w:sz w:val="32"/>
          <w:szCs w:val="32"/>
          <w:highlight w:val="none"/>
          <w:lang w:val="en-US"/>
        </w:rPr>
      </w:pPr>
      <w:r>
        <w:rPr>
          <w:rFonts w:hint="eastAsia" w:ascii="黑体" w:hAnsi="黑体" w:eastAsia="黑体" w:cs="黑体"/>
          <w:color w:val="auto"/>
          <w:sz w:val="32"/>
          <w:szCs w:val="32"/>
          <w:highlight w:val="none"/>
        </w:rPr>
        <w:t>第四部分 附件</w:t>
      </w:r>
      <w:r>
        <w:rPr>
          <w:rFonts w:hint="eastAsia" w:ascii="黑体" w:hAnsi="黑体" w:eastAsia="黑体" w:cs="黑体"/>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......................................2</w:t>
      </w:r>
      <w:r>
        <w:rPr>
          <w:rFonts w:hint="eastAsia" w:cs="仿宋"/>
          <w:color w:val="auto"/>
          <w:sz w:val="32"/>
          <w:szCs w:val="32"/>
          <w:highlight w:val="none"/>
          <w:lang w:val="en-US" w:eastAsia="zh-CN"/>
        </w:rPr>
        <w:t>2</w:t>
      </w:r>
    </w:p>
    <w:p w14:paraId="089C7BCD">
      <w:pPr>
        <w:pStyle w:val="15"/>
        <w:keepNext w:val="0"/>
        <w:keepLines w:val="0"/>
        <w:pageBreakBefore w:val="0"/>
        <w:widowControl w:val="0"/>
        <w:tabs>
          <w:tab w:val="left" w:pos="8610"/>
        </w:tabs>
        <w:kinsoku/>
        <w:wordWrap/>
        <w:overflowPunct/>
        <w:topLinePunct w:val="0"/>
        <w:autoSpaceDE/>
        <w:autoSpaceDN/>
        <w:bidi w:val="0"/>
        <w:adjustRightInd w:val="0"/>
        <w:snapToGrid w:val="0"/>
        <w:spacing w:before="0" w:line="520" w:lineRule="exact"/>
        <w:jc w:val="both"/>
        <w:textAlignment w:val="auto"/>
        <w:rPr>
          <w:rFonts w:hint="default" w:ascii="仿宋" w:hAnsi="仿宋" w:eastAsia="仿宋" w:cs="仿宋"/>
          <w:color w:val="auto"/>
          <w:sz w:val="32"/>
          <w:szCs w:val="32"/>
          <w:highlight w:val="none"/>
          <w:lang w:val="en-US"/>
        </w:rPr>
      </w:pPr>
      <w:r>
        <w:rPr>
          <w:rFonts w:hint="eastAsia" w:ascii="黑体" w:hAnsi="黑体" w:eastAsia="黑体" w:cs="黑体"/>
          <w:color w:val="auto"/>
          <w:sz w:val="32"/>
          <w:szCs w:val="32"/>
          <w:highlight w:val="none"/>
        </w:rPr>
        <w:t>第五部分 附表</w:t>
      </w:r>
      <w:r>
        <w:rPr>
          <w:rFonts w:hint="eastAsia" w:ascii="黑体" w:hAnsi="黑体" w:eastAsia="黑体" w:cs="黑体"/>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w:t>
      </w:r>
      <w:r>
        <w:rPr>
          <w:rFonts w:hint="eastAsia" w:cs="仿宋"/>
          <w:color w:val="auto"/>
          <w:sz w:val="32"/>
          <w:szCs w:val="32"/>
          <w:highlight w:val="none"/>
          <w:lang w:val="en-US" w:eastAsia="zh-CN"/>
        </w:rPr>
        <w:t>70</w:t>
      </w:r>
    </w:p>
    <w:p w14:paraId="5DEFE3E6">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一、收入支出决算总表</w:t>
      </w:r>
      <w:r>
        <w:rPr>
          <w:rFonts w:hint="eastAsia" w:ascii="仿宋" w:hAnsi="仿宋" w:eastAsia="仿宋" w:cs="仿宋"/>
          <w:color w:val="auto"/>
          <w:sz w:val="32"/>
          <w:szCs w:val="32"/>
          <w:highlight w:val="none"/>
          <w:lang w:val="en-US" w:eastAsia="zh-CN"/>
        </w:rPr>
        <w:t>............................70</w:t>
      </w:r>
    </w:p>
    <w:p w14:paraId="4A76132D">
      <w:pPr>
        <w:pStyle w:val="16"/>
        <w:keepNext w:val="0"/>
        <w:keepLines w:val="0"/>
        <w:pageBreakBefore w:val="0"/>
        <w:widowControl w:val="0"/>
        <w:tabs>
          <w:tab w:val="left" w:pos="8610"/>
        </w:tabs>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二、收入决算表</w:t>
      </w:r>
      <w:r>
        <w:rPr>
          <w:rFonts w:hint="eastAsia" w:ascii="仿宋" w:hAnsi="仿宋" w:eastAsia="仿宋" w:cs="仿宋"/>
          <w:color w:val="auto"/>
          <w:sz w:val="32"/>
          <w:szCs w:val="32"/>
          <w:highlight w:val="none"/>
          <w:lang w:val="en-US" w:eastAsia="zh-CN"/>
        </w:rPr>
        <w:t>..................................70</w:t>
      </w:r>
    </w:p>
    <w:p w14:paraId="64945215">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三、支出决算表</w:t>
      </w:r>
      <w:r>
        <w:rPr>
          <w:rFonts w:hint="eastAsia" w:ascii="仿宋" w:hAnsi="仿宋" w:eastAsia="仿宋" w:cs="仿宋"/>
          <w:color w:val="auto"/>
          <w:sz w:val="32"/>
          <w:szCs w:val="32"/>
          <w:highlight w:val="none"/>
          <w:lang w:val="en-US" w:eastAsia="zh-CN"/>
        </w:rPr>
        <w:t>..................................70</w:t>
      </w:r>
    </w:p>
    <w:p w14:paraId="72D84D4F">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四、财政拨款收入支出决算总表</w:t>
      </w:r>
      <w:r>
        <w:rPr>
          <w:rFonts w:hint="eastAsia" w:ascii="仿宋" w:hAnsi="仿宋" w:eastAsia="仿宋" w:cs="仿宋"/>
          <w:color w:val="auto"/>
          <w:sz w:val="32"/>
          <w:szCs w:val="32"/>
          <w:highlight w:val="none"/>
          <w:lang w:val="en-US" w:eastAsia="zh-CN"/>
        </w:rPr>
        <w:t>....................70</w:t>
      </w:r>
    </w:p>
    <w:p w14:paraId="5200F0B1">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五、财政拨款支出决算明细表</w:t>
      </w:r>
      <w:r>
        <w:rPr>
          <w:rFonts w:hint="eastAsia" w:ascii="仿宋" w:hAnsi="仿宋" w:eastAsia="仿宋" w:cs="仿宋"/>
          <w:color w:val="auto"/>
          <w:sz w:val="32"/>
          <w:szCs w:val="32"/>
          <w:highlight w:val="none"/>
          <w:lang w:val="en-US" w:eastAsia="zh-CN"/>
        </w:rPr>
        <w:t>......................70</w:t>
      </w:r>
    </w:p>
    <w:p w14:paraId="0ECAE97D">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六、一般公共预算财政拨款支出决算表</w:t>
      </w:r>
      <w:r>
        <w:rPr>
          <w:rFonts w:hint="eastAsia" w:ascii="仿宋" w:hAnsi="仿宋" w:eastAsia="仿宋" w:cs="仿宋"/>
          <w:color w:val="auto"/>
          <w:sz w:val="32"/>
          <w:szCs w:val="32"/>
          <w:highlight w:val="none"/>
          <w:lang w:val="en-US" w:eastAsia="zh-CN"/>
        </w:rPr>
        <w:t>..............70</w:t>
      </w:r>
    </w:p>
    <w:p w14:paraId="415634C7">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七、一般公共预算财政拨款支出决算明细表</w:t>
      </w:r>
      <w:r>
        <w:rPr>
          <w:rFonts w:hint="eastAsia" w:ascii="仿宋" w:hAnsi="仿宋" w:eastAsia="仿宋" w:cs="仿宋"/>
          <w:color w:val="auto"/>
          <w:sz w:val="32"/>
          <w:szCs w:val="32"/>
          <w:highlight w:val="none"/>
          <w:lang w:val="en-US" w:eastAsia="zh-CN"/>
        </w:rPr>
        <w:t>..........70</w:t>
      </w:r>
    </w:p>
    <w:p w14:paraId="1996B4E3">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八、一般公共预算财政拨款基本支出决算</w:t>
      </w:r>
      <w:r>
        <w:rPr>
          <w:rFonts w:hint="eastAsia" w:ascii="仿宋" w:hAnsi="仿宋" w:eastAsia="仿宋" w:cs="仿宋"/>
          <w:color w:val="auto"/>
          <w:sz w:val="32"/>
          <w:szCs w:val="32"/>
          <w:highlight w:val="none"/>
          <w:lang w:eastAsia="zh-CN"/>
        </w:rPr>
        <w:t>明细</w:t>
      </w:r>
      <w:r>
        <w:rPr>
          <w:rFonts w:hint="eastAsia" w:ascii="仿宋" w:hAnsi="仿宋" w:eastAsia="仿宋" w:cs="仿宋"/>
          <w:color w:val="auto"/>
          <w:sz w:val="32"/>
          <w:szCs w:val="32"/>
          <w:highlight w:val="none"/>
        </w:rPr>
        <w:t>表</w:t>
      </w:r>
      <w:r>
        <w:rPr>
          <w:rFonts w:hint="eastAsia" w:ascii="仿宋" w:hAnsi="仿宋" w:eastAsia="仿宋" w:cs="仿宋"/>
          <w:color w:val="auto"/>
          <w:sz w:val="32"/>
          <w:szCs w:val="32"/>
          <w:highlight w:val="none"/>
          <w:lang w:val="en-US" w:eastAsia="zh-CN"/>
        </w:rPr>
        <w:t>......70</w:t>
      </w:r>
    </w:p>
    <w:p w14:paraId="04FED0C4">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九、一般公共预算财政拨款项目支出决算表</w:t>
      </w:r>
      <w:r>
        <w:rPr>
          <w:rFonts w:hint="eastAsia" w:ascii="仿宋" w:hAnsi="仿宋" w:eastAsia="仿宋" w:cs="仿宋"/>
          <w:color w:val="auto"/>
          <w:sz w:val="32"/>
          <w:szCs w:val="32"/>
          <w:highlight w:val="none"/>
          <w:lang w:val="en-US" w:eastAsia="zh-CN"/>
        </w:rPr>
        <w:t>..........70</w:t>
      </w:r>
    </w:p>
    <w:p w14:paraId="101E4AD2">
      <w:pPr>
        <w:pStyle w:val="16"/>
        <w:keepNext w:val="0"/>
        <w:keepLines w:val="0"/>
        <w:pageBreakBefore w:val="0"/>
        <w:widowControl w:val="0"/>
        <w:tabs>
          <w:tab w:val="left" w:pos="8610"/>
        </w:tabs>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十、政府性基金预算财政拨款收入支出决算表</w:t>
      </w:r>
      <w:r>
        <w:rPr>
          <w:rFonts w:hint="eastAsia" w:ascii="仿宋" w:hAnsi="仿宋" w:eastAsia="仿宋" w:cs="仿宋"/>
          <w:color w:val="auto"/>
          <w:sz w:val="32"/>
          <w:szCs w:val="32"/>
          <w:highlight w:val="none"/>
          <w:lang w:val="en-US" w:eastAsia="zh-CN"/>
        </w:rPr>
        <w:t>........70</w:t>
      </w:r>
    </w:p>
    <w:p w14:paraId="73A33915">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十一、国有资本经营预算财政拨款收入支出决算表</w:t>
      </w:r>
      <w:r>
        <w:rPr>
          <w:rFonts w:hint="eastAsia" w:ascii="仿宋" w:hAnsi="仿宋" w:eastAsia="仿宋" w:cs="仿宋"/>
          <w:color w:val="auto"/>
          <w:sz w:val="32"/>
          <w:szCs w:val="32"/>
          <w:highlight w:val="none"/>
          <w:lang w:val="en-US" w:eastAsia="zh-CN"/>
        </w:rPr>
        <w:t>....70</w:t>
      </w:r>
    </w:p>
    <w:p w14:paraId="0AE7E630">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十二、</w:t>
      </w:r>
      <w:r>
        <w:rPr>
          <w:rFonts w:hint="eastAsia" w:ascii="仿宋" w:hAnsi="仿宋" w:eastAsia="仿宋" w:cs="仿宋"/>
          <w:color w:val="auto"/>
          <w:sz w:val="32"/>
          <w:szCs w:val="32"/>
          <w:highlight w:val="none"/>
          <w:lang w:val="en-US" w:eastAsia="zh-CN"/>
        </w:rPr>
        <w:t>国有资本经营预算财政拨款支出决算表........70</w:t>
      </w:r>
    </w:p>
    <w:p w14:paraId="0E1C77E6">
      <w:pPr>
        <w:pStyle w:val="16"/>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十三、财政拨款“三公”经费支出决算表</w:t>
      </w:r>
      <w:r>
        <w:rPr>
          <w:rFonts w:hint="eastAsia" w:ascii="仿宋" w:hAnsi="仿宋" w:eastAsia="仿宋" w:cs="仿宋"/>
          <w:color w:val="auto"/>
          <w:sz w:val="32"/>
          <w:szCs w:val="32"/>
          <w:highlight w:val="none"/>
          <w:lang w:val="en-US" w:eastAsia="zh-CN"/>
        </w:rPr>
        <w:t>............70</w:t>
      </w:r>
    </w:p>
    <w:p w14:paraId="19C5C25D">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14:paraId="234D4B41">
      <w:pPr>
        <w:pStyle w:val="2"/>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3"/>
          <w:rFonts w:hint="eastAsia" w:ascii="黑体" w:hAnsi="黑体" w:eastAsia="黑体"/>
          <w:b w:val="0"/>
          <w:bCs w:val="0"/>
          <w:color w:val="auto"/>
          <w:highlight w:val="none"/>
        </w:rPr>
        <w:t>部门概况</w:t>
      </w:r>
      <w:bookmarkEnd w:id="12"/>
      <w:bookmarkEnd w:id="13"/>
    </w:p>
    <w:p w14:paraId="42802BF0">
      <w:pPr>
        <w:pStyle w:val="3"/>
        <w:numPr>
          <w:ilvl w:val="0"/>
          <w:numId w:val="2"/>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65558555">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负责全区市场综合监督管理工作。贯彻执行国家、省、市、区有关市场监督管理等方面的法律、法规、规章和方针、政策、规划；对市场监督管理有关地方性法规（草案）、规范性文件和政策、措施提出建议并组织实施。组织实施质量强区、食品（含保健食品、特殊医学用途配方食品和婴幼儿配方乳粉等特殊食品，下同）药品质量安全、特种设备安全、标准化和知识产权战略，拟订并组织实施全区食品安全等规划，规范和维护市场秩序，营造诚实守信、公平竞争的市场环境。</w:t>
      </w:r>
    </w:p>
    <w:p w14:paraId="62AA1369">
      <w:pPr>
        <w:pageBreakBefore w:val="0"/>
        <w:widowControl/>
        <w:kinsoku/>
        <w:wordWrap/>
        <w:overflowPunct/>
        <w:topLinePunct w:val="0"/>
        <w:bidi w:val="0"/>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2.负责全区市场主体登记注册。负责全区各类企业、农民专业合作社和从事经营活动的单位、个体工商户以及外国（地区）企业等市场主体的登记注册和监督管理工作。建立市场主体信息公示和共享机制，依法公示和共享有关信息，加强信用监管，推动市场主体信用体系建设。 </w:t>
      </w:r>
    </w:p>
    <w:p w14:paraId="6206340D">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负责组织和指导全区市场监督管理综合执法工作。指导全区市场监管综合执法队伍整合和建设，推动实行统一的市场监管。组织指导查处违反市场监管方面相关法律、法规、规章的行为，规范全区市场监督管理行政执法行为。</w:t>
      </w:r>
    </w:p>
    <w:p w14:paraId="09CA1412">
      <w:pPr>
        <w:pStyle w:val="5"/>
        <w:pageBreakBefore w:val="0"/>
        <w:numPr>
          <w:ilvl w:val="0"/>
          <w:numId w:val="0"/>
        </w:numPr>
        <w:kinsoku/>
        <w:wordWrap/>
        <w:overflowPunct/>
        <w:topLinePunct w:val="0"/>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负责监督管理全区市场秩序。统筹推进竞争政策实施，指导实施公平竞争审查制度。依法授权对经营者集中行为进行反垄断审查，负责垄断协议、滥用市场支配地位和滥用行政权力排除、限制竞争等反垄断执法工作。依法监督管理市场交易、网络商品交易及有关服务的行为。组织、指导查处价格收费违法违规、不正当竞争、违法直销、传销、侵犯商标专利知识产权和制售假冒伪劣行为。指导广告业发展，监督管理广告活动。组织、指导查处虚假注册、无照生产经营和相关无证生产经营行为。指导区保护消费者权益委员会开展消费维权工作。</w:t>
      </w:r>
    </w:p>
    <w:p w14:paraId="1BDCB5DB">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负责全区宏观质量管理。拟订并组织实施质量发展的制度措施。统筹全区质量基础设施建设与应用。会同有关部门组织实施重大工程设备质量监理制度，组织重大产品质量事故调查，贯彻实施缺陷产品召回制度，监督管理产品防伪工作。</w:t>
      </w:r>
    </w:p>
    <w:p w14:paraId="314CF881">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6.负责全区产品质量安全监督管理。负责产品质量监督抽查和风险监控工作，组织实施质量分级制度、质量安全追溯制度。负责工业产品生产管理。负责纤维质量监督工作。</w:t>
      </w:r>
    </w:p>
    <w:p w14:paraId="0635D97C">
      <w:pPr>
        <w:pStyle w:val="5"/>
        <w:pageBreakBefore w:val="0"/>
        <w:numPr>
          <w:ilvl w:val="0"/>
          <w:numId w:val="0"/>
        </w:numPr>
        <w:kinsoku/>
        <w:wordWrap/>
        <w:overflowPunct/>
        <w:topLinePunct w:val="0"/>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7.负责全区特种设备安全监督管理。综合管理特种设备安全监察、监督工作，监督检查高耗能特种设备节能标准和锅炉产品环境保护标准的执行情况。</w:t>
      </w:r>
    </w:p>
    <w:p w14:paraId="2950C525">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负责全区食品安全监督管理综合协调。统筹指导全区食品安全工作。负责食品安全应急体系建设，组织指导一般食品安全事件应急处置和调查处理工作。建立健全食品安全重要信息直报制度。承担区食品安全委员会日常工作。</w:t>
      </w:r>
    </w:p>
    <w:p w14:paraId="2DF9504D">
      <w:pPr>
        <w:pStyle w:val="5"/>
        <w:pageBreakBefore w:val="0"/>
        <w:numPr>
          <w:ilvl w:val="0"/>
          <w:numId w:val="0"/>
        </w:numPr>
        <w:kinsoku/>
        <w:wordWrap/>
        <w:overflowPunct/>
        <w:topLinePunct w:val="0"/>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负责全区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安全生产工作，组织开展食品安全监督抽检、风险监测、核查处置和风险预警、风险交流工作。组织实施特殊食品监督管理。</w:t>
      </w:r>
    </w:p>
    <w:p w14:paraId="38CC7387">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负责贯彻落实执行国家、省有关药品（含中药、民族药，下同）、医疗器械和化妆品监督管理的方针政策和法律法规。监督实施药品、医疗器械、化妆品经营、使用质量管理规范，负责全区药品、医疗器械、化妆品上市后风险管理。依职责组织实施药品、医疗器械和化妆品监督检查，负责药品零售、医疗器械使用环节质量的安全监测、检查和处罚。</w:t>
      </w:r>
    </w:p>
    <w:p w14:paraId="20FFCD29">
      <w:pPr>
        <w:pStyle w:val="5"/>
        <w:pageBreakBefore w:val="0"/>
        <w:numPr>
          <w:ilvl w:val="0"/>
          <w:numId w:val="0"/>
        </w:numPr>
        <w:kinsoku/>
        <w:wordWrap/>
        <w:overflowPunct/>
        <w:topLinePunct w:val="0"/>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11.负责管理全区计量工作。推行法定计量单位、执行国家计量制度，管理计量器具及量值传递和比对工作。规范、监督商品量和市场计量行为。</w:t>
      </w:r>
    </w:p>
    <w:p w14:paraId="4B8D6382">
      <w:pPr>
        <w:pStyle w:val="5"/>
        <w:pageBreakBefore w:val="0"/>
        <w:numPr>
          <w:ilvl w:val="0"/>
          <w:numId w:val="0"/>
        </w:numPr>
        <w:kinsoku/>
        <w:wordWrap/>
        <w:overflowPunct/>
        <w:topLinePunct w:val="0"/>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12.负责管理标准化工作。负责对标准的制定进行指导和监督，组织实施标准并对标准实施情况进行监督检查。管理商品条码工作。</w:t>
      </w:r>
    </w:p>
    <w:p w14:paraId="276C88F7">
      <w:pPr>
        <w:pStyle w:val="5"/>
        <w:pageBreakBefore w:val="0"/>
        <w:numPr>
          <w:ilvl w:val="0"/>
          <w:numId w:val="0"/>
        </w:numPr>
        <w:kinsoku/>
        <w:wordWrap/>
        <w:overflowPunct/>
        <w:topLinePunct w:val="0"/>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13.负责管理全区检验检测工作。规范检验检测市场，完善检验检测体系，指导检验检测行业发展。</w:t>
      </w:r>
    </w:p>
    <w:p w14:paraId="735B17C0">
      <w:pPr>
        <w:pStyle w:val="5"/>
        <w:pageBreakBefore w:val="0"/>
        <w:numPr>
          <w:ilvl w:val="0"/>
          <w:numId w:val="0"/>
        </w:numPr>
        <w:kinsoku/>
        <w:wordWrap/>
        <w:overflowPunct/>
        <w:topLinePunct w:val="0"/>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14.负责管理全区认证认可工作。监督管理认证认可和合格评定监督工作。</w:t>
      </w:r>
    </w:p>
    <w:p w14:paraId="55754F36">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15.负责市场监督管理科技和信息化建设、新闻宣传。</w:t>
      </w:r>
    </w:p>
    <w:p w14:paraId="0336AF21">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16.负责全区知识产权战略、规划的拟订，知识产权的保护，负责组织指导商标、专利执法工作。</w:t>
      </w:r>
    </w:p>
    <w:p w14:paraId="338A41E0">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17.负责促进民营经济发展。</w:t>
      </w:r>
    </w:p>
    <w:p w14:paraId="5677B270">
      <w:pPr>
        <w:pageBreakBefore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18.负责职责范围内的安全生产和职业健康、生态环境保护、审批服务便民化、依法治理等工作。</w:t>
      </w:r>
    </w:p>
    <w:p w14:paraId="38EF1DED">
      <w:pPr>
        <w:pStyle w:val="5"/>
        <w:pageBreakBefore w:val="0"/>
        <w:numPr>
          <w:ilvl w:val="0"/>
          <w:numId w:val="0"/>
        </w:numPr>
        <w:kinsoku/>
        <w:wordWrap/>
        <w:overflowPunct/>
        <w:topLinePunct w:val="0"/>
        <w:bidi w:val="0"/>
        <w:ind w:firstLine="640" w:firstLineChars="200"/>
        <w:textAlignment w:val="auto"/>
        <w:rPr>
          <w:rFonts w:ascii="仿宋" w:hAnsi="仿宋" w:eastAsia="仿宋"/>
          <w:bCs/>
          <w:color w:val="000000"/>
          <w:sz w:val="32"/>
          <w:szCs w:val="32"/>
        </w:rPr>
      </w:pPr>
      <w:r>
        <w:rPr>
          <w:rFonts w:hint="eastAsia" w:ascii="仿宋" w:hAnsi="仿宋" w:eastAsia="仿宋" w:cs="仿宋"/>
          <w:sz w:val="32"/>
          <w:szCs w:val="32"/>
        </w:rPr>
        <w:t>19.完成区委和区政府交办的其他任务。</w:t>
      </w:r>
    </w:p>
    <w:p w14:paraId="1DC8848E">
      <w:pPr>
        <w:numPr>
          <w:ilvl w:val="0"/>
          <w:numId w:val="0"/>
        </w:numPr>
        <w:rPr>
          <w:rFonts w:hint="eastAsia"/>
          <w:lang w:eastAsia="zh-CN"/>
        </w:rPr>
      </w:pPr>
    </w:p>
    <w:p w14:paraId="71C6308C">
      <w:pPr>
        <w:pStyle w:val="3"/>
        <w:rPr>
          <w:rStyle w:val="34"/>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4"/>
          <w:rFonts w:hint="eastAsia" w:ascii="黑体" w:hAnsi="黑体" w:eastAsia="黑体"/>
          <w:b w:val="0"/>
          <w:bCs w:val="0"/>
          <w:color w:val="auto"/>
          <w:highlight w:val="none"/>
        </w:rPr>
        <w:t>构设置</w:t>
      </w:r>
      <w:bookmarkEnd w:id="14"/>
      <w:bookmarkEnd w:id="15"/>
    </w:p>
    <w:p w14:paraId="02AA4567">
      <w:pPr>
        <w:pageBreakBefore w:val="0"/>
        <w:kinsoku/>
        <w:wordWrap/>
        <w:overflowPunct/>
        <w:topLinePunct w:val="0"/>
        <w:bidi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遂宁市安居区市场监督管理局无二级预算单位。下属参照公务员管理事业单位7个，其中市场监管所6个，市场监管综合行政大队1个。下属事业单位3个包括：遂宁市安居区保护消费者权益服务中心、遂宁市安居区市场监管事务中心、遂宁市安居区食品药品检验检测所。</w:t>
      </w:r>
    </w:p>
    <w:p w14:paraId="0B64CE6D">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0C4338A0">
      <w:pPr>
        <w:pStyle w:val="2"/>
        <w:ind w:right="440"/>
        <w:jc w:val="center"/>
        <w:rPr>
          <w:rStyle w:val="33"/>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3"/>
          <w:rFonts w:hint="eastAsia" w:ascii="黑体" w:hAnsi="黑体" w:eastAsia="黑体"/>
          <w:b w:val="0"/>
          <w:bCs/>
          <w:color w:val="auto"/>
          <w:highlight w:val="none"/>
        </w:rPr>
        <w:t>部门决算情况说明</w:t>
      </w:r>
      <w:bookmarkEnd w:id="16"/>
      <w:bookmarkEnd w:id="17"/>
    </w:p>
    <w:p w14:paraId="3D21EF27">
      <w:pPr>
        <w:rPr>
          <w:color w:val="auto"/>
          <w:highlight w:val="none"/>
        </w:rPr>
      </w:pPr>
    </w:p>
    <w:p w14:paraId="381A9250">
      <w:pPr>
        <w:pStyle w:val="32"/>
        <w:numPr>
          <w:ilvl w:val="0"/>
          <w:numId w:val="3"/>
        </w:numPr>
        <w:spacing w:line="600" w:lineRule="exact"/>
        <w:ind w:firstLineChars="0"/>
        <w:outlineLvl w:val="1"/>
        <w:rPr>
          <w:rStyle w:val="34"/>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入支出决算总体情况说明</w:t>
      </w:r>
      <w:bookmarkEnd w:id="18"/>
      <w:bookmarkEnd w:id="19"/>
    </w:p>
    <w:p w14:paraId="4413E6AE">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kern w:val="2"/>
          <w:sz w:val="32"/>
          <w:szCs w:val="32"/>
          <w:lang w:val="en-US" w:eastAsia="zh-CN" w:bidi="ar-SA"/>
        </w:rPr>
        <w:t>2023年度收、支总计均为2090.17万元。与2022年度相比，收、支总计各减少140.19万元，下降6.29%。主要变动原因是厉行节约、严控支出。</w:t>
      </w:r>
    </w:p>
    <w:p w14:paraId="7A9BCDBA">
      <w:pPr>
        <w:pStyle w:val="7"/>
        <w:pageBreakBefore w:val="0"/>
        <w:kinsoku/>
        <w:wordWrap/>
        <w:overflowPunct/>
        <w:topLinePunct w:val="0"/>
        <w:bidi w:val="0"/>
        <w:ind w:left="0" w:leftChars="0" w:firstLine="0" w:firstLineChars="0"/>
        <w:textAlignment w:val="auto"/>
        <w:rPr>
          <w:rFonts w:hint="eastAsia"/>
        </w:rPr>
      </w:pPr>
      <w:r>
        <w:drawing>
          <wp:inline distT="0" distB="0" distL="114300" distR="114300">
            <wp:extent cx="5274310" cy="3038475"/>
            <wp:effectExtent l="4445" t="4445" r="17145" b="43180"/>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15E08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3729A10F">
      <w:pPr>
        <w:spacing w:line="600" w:lineRule="exact"/>
        <w:ind w:firstLine="640" w:firstLineChars="200"/>
        <w:jc w:val="left"/>
        <w:rPr>
          <w:rFonts w:ascii="仿宋_GB2312" w:eastAsia="仿宋_GB2312"/>
          <w:color w:val="auto"/>
          <w:sz w:val="32"/>
          <w:szCs w:val="32"/>
          <w:highlight w:val="none"/>
        </w:rPr>
      </w:pPr>
    </w:p>
    <w:p w14:paraId="4ABD0E93">
      <w:pPr>
        <w:pStyle w:val="32"/>
        <w:numPr>
          <w:ilvl w:val="0"/>
          <w:numId w:val="3"/>
        </w:numPr>
        <w:spacing w:line="600" w:lineRule="exact"/>
        <w:ind w:firstLineChars="0"/>
        <w:outlineLvl w:val="1"/>
        <w:rPr>
          <w:rStyle w:val="34"/>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入决算情况说明</w:t>
      </w:r>
      <w:bookmarkEnd w:id="20"/>
      <w:bookmarkEnd w:id="21"/>
    </w:p>
    <w:p w14:paraId="6E230DFF">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2090.17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2056.17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98.37</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14:paraId="6526C78E">
      <w:pPr>
        <w:pStyle w:val="10"/>
        <w:rPr>
          <w:rFonts w:hint="eastAsia" w:ascii="仿宋" w:hAnsi="仿宋" w:eastAsia="仿宋"/>
          <w:color w:val="auto"/>
          <w:sz w:val="32"/>
          <w:szCs w:val="32"/>
          <w:highlight w:val="none"/>
          <w:lang w:eastAsia="zh-CN"/>
        </w:rPr>
      </w:pPr>
      <w:r>
        <w:drawing>
          <wp:inline distT="0" distB="0" distL="114300" distR="114300">
            <wp:extent cx="5269230" cy="2281555"/>
            <wp:effectExtent l="4445" t="4445" r="22225" b="19050"/>
            <wp:docPr id="113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F3496A">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31C03CA9">
      <w:pPr>
        <w:spacing w:line="600" w:lineRule="exact"/>
        <w:ind w:firstLine="640" w:firstLineChars="200"/>
        <w:rPr>
          <w:rFonts w:ascii="仿宋_GB2312" w:eastAsia="仿宋_GB2312"/>
          <w:color w:val="auto"/>
          <w:sz w:val="32"/>
          <w:szCs w:val="32"/>
          <w:highlight w:val="none"/>
        </w:rPr>
      </w:pPr>
    </w:p>
    <w:p w14:paraId="7599A7D0">
      <w:pPr>
        <w:pStyle w:val="32"/>
        <w:numPr>
          <w:ilvl w:val="0"/>
          <w:numId w:val="3"/>
        </w:numPr>
        <w:spacing w:line="600" w:lineRule="exact"/>
        <w:ind w:firstLineChars="0"/>
        <w:outlineLvl w:val="1"/>
        <w:rPr>
          <w:rStyle w:val="34"/>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34"/>
          <w:rFonts w:hint="eastAsia" w:ascii="黑体" w:hAnsi="黑体" w:eastAsia="黑体"/>
          <w:b w:val="0"/>
          <w:color w:val="auto"/>
          <w:highlight w:val="none"/>
        </w:rPr>
        <w:t>出决算情况说明</w:t>
      </w:r>
      <w:bookmarkEnd w:id="22"/>
      <w:bookmarkEnd w:id="23"/>
    </w:p>
    <w:p w14:paraId="37A03FB2">
      <w:pPr>
        <w:spacing w:line="600" w:lineRule="exact"/>
        <w:ind w:firstLine="640" w:firstLineChars="200"/>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lang w:eastAsia="zh-CN"/>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lang w:eastAsia="zh-CN"/>
        </w:rPr>
        <w:t>本年支出合计</w:t>
      </w:r>
      <w:r>
        <w:rPr>
          <w:rFonts w:hint="eastAsia" w:ascii="仿宋" w:hAnsi="仿宋" w:eastAsia="仿宋"/>
          <w:color w:val="auto"/>
          <w:sz w:val="32"/>
          <w:szCs w:val="32"/>
          <w:highlight w:val="none"/>
          <w:lang w:val="en-US" w:eastAsia="zh-CN"/>
        </w:rPr>
        <w:t>2090.17</w:t>
      </w:r>
      <w:r>
        <w:rPr>
          <w:rFonts w:hint="eastAsia" w:ascii="仿宋" w:hAnsi="仿宋" w:eastAsia="仿宋"/>
          <w:color w:val="auto"/>
          <w:sz w:val="32"/>
          <w:szCs w:val="32"/>
          <w:highlight w:val="none"/>
          <w:lang w:eastAsia="zh-CN"/>
        </w:rPr>
        <w:t>万元，其中：基本支出</w:t>
      </w:r>
      <w:r>
        <w:rPr>
          <w:rFonts w:hint="eastAsia" w:ascii="仿宋" w:hAnsi="仿宋" w:eastAsia="仿宋"/>
          <w:color w:val="auto"/>
          <w:sz w:val="32"/>
          <w:szCs w:val="32"/>
          <w:highlight w:val="none"/>
          <w:lang w:val="en-US" w:eastAsia="zh-CN"/>
        </w:rPr>
        <w:t>1748.08</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lang w:val="en-US" w:eastAsia="zh-CN"/>
        </w:rPr>
        <w:t>占比83.63%，</w:t>
      </w:r>
      <w:r>
        <w:rPr>
          <w:rFonts w:hint="eastAsia" w:ascii="仿宋" w:hAnsi="仿宋" w:eastAsia="仿宋"/>
          <w:color w:val="auto"/>
          <w:sz w:val="32"/>
          <w:szCs w:val="32"/>
          <w:highlight w:val="none"/>
          <w:lang w:eastAsia="zh-CN"/>
        </w:rPr>
        <w:t>项目支出</w:t>
      </w:r>
      <w:r>
        <w:rPr>
          <w:rFonts w:hint="eastAsia" w:ascii="仿宋" w:hAnsi="仿宋" w:eastAsia="仿宋"/>
          <w:color w:val="auto"/>
          <w:sz w:val="32"/>
          <w:szCs w:val="32"/>
          <w:highlight w:val="none"/>
          <w:lang w:val="en-US" w:eastAsia="zh-CN"/>
        </w:rPr>
        <w:t>342.09</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lang w:val="en-US" w:eastAsia="zh-CN"/>
        </w:rPr>
        <w:t>占比16.37%</w:t>
      </w:r>
      <w:r>
        <w:rPr>
          <w:rFonts w:hint="eastAsia" w:ascii="仿宋" w:hAnsi="仿宋" w:eastAsia="仿宋"/>
          <w:color w:val="auto"/>
          <w:sz w:val="32"/>
          <w:szCs w:val="32"/>
          <w:highlight w:val="none"/>
          <w:lang w:eastAsia="zh-CN"/>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lang w:eastAsia="zh-CN"/>
        </w:rPr>
        <w:t>万元；经营支出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lang w:eastAsia="zh-CN"/>
        </w:rPr>
        <w:t>万元；对附属单位补助支出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lang w:eastAsia="zh-CN"/>
        </w:rPr>
        <w:t>万元。</w:t>
      </w:r>
    </w:p>
    <w:p w14:paraId="7030D195">
      <w:pPr>
        <w:pStyle w:val="10"/>
        <w:rPr>
          <w:rFonts w:ascii="仿宋" w:hAnsi="仿宋" w:eastAsia="仿宋"/>
          <w:color w:val="auto"/>
          <w:sz w:val="32"/>
          <w:szCs w:val="32"/>
          <w:highlight w:val="none"/>
          <w:shd w:val="pct10" w:color="auto" w:fill="FFFFFF"/>
        </w:rPr>
      </w:pPr>
      <w:r>
        <w:drawing>
          <wp:inline distT="0" distB="0" distL="114300" distR="114300">
            <wp:extent cx="5657850" cy="2743200"/>
            <wp:effectExtent l="4445" t="4445" r="14605" b="14605"/>
            <wp:docPr id="113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334EDA">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74C00AB3">
      <w:pPr>
        <w:pStyle w:val="24"/>
      </w:pPr>
    </w:p>
    <w:p w14:paraId="1B376015">
      <w:pPr>
        <w:spacing w:line="600" w:lineRule="exact"/>
        <w:ind w:firstLine="640" w:firstLineChars="200"/>
        <w:outlineLvl w:val="1"/>
        <w:rPr>
          <w:rStyle w:val="34"/>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34"/>
          <w:rFonts w:hint="eastAsia" w:ascii="黑体" w:hAnsi="黑体" w:eastAsia="黑体"/>
          <w:b w:val="0"/>
          <w:color w:val="auto"/>
          <w:highlight w:val="none"/>
        </w:rPr>
        <w:t>政拨款收入支出决算总体情况说明</w:t>
      </w:r>
      <w:bookmarkEnd w:id="24"/>
      <w:bookmarkEnd w:id="25"/>
    </w:p>
    <w:p w14:paraId="48201071">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度</w:t>
      </w:r>
      <w:r>
        <w:rPr>
          <w:rFonts w:hint="eastAsia" w:ascii="仿宋" w:hAnsi="仿宋" w:eastAsia="仿宋"/>
          <w:color w:val="000000"/>
          <w:sz w:val="32"/>
          <w:szCs w:val="32"/>
        </w:rPr>
        <w:t>财政拨款收</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支总计均为2090.17</w:t>
      </w:r>
      <w:r>
        <w:rPr>
          <w:rFonts w:hint="eastAsia" w:ascii="仿宋" w:hAnsi="仿宋" w:eastAsia="仿宋"/>
          <w:color w:val="000000"/>
          <w:sz w:val="32"/>
          <w:szCs w:val="32"/>
        </w:rPr>
        <w:t>万元</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相比，财政拨款收、支总计各减少</w:t>
      </w:r>
      <w:r>
        <w:rPr>
          <w:rFonts w:hint="eastAsia" w:ascii="仿宋" w:hAnsi="仿宋" w:eastAsia="仿宋"/>
          <w:color w:val="auto"/>
          <w:sz w:val="32"/>
          <w:szCs w:val="32"/>
          <w:highlight w:val="none"/>
          <w:lang w:val="en-US" w:eastAsia="zh-CN"/>
        </w:rPr>
        <w:t>140.19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6.29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厉行节约，控制支出。</w:t>
      </w:r>
    </w:p>
    <w:p w14:paraId="043A6402">
      <w:pPr>
        <w:pStyle w:val="10"/>
        <w:rPr>
          <w:rFonts w:ascii="仿宋" w:hAnsi="仿宋" w:eastAsia="仿宋"/>
          <w:color w:val="auto"/>
          <w:sz w:val="32"/>
          <w:szCs w:val="32"/>
          <w:highlight w:val="none"/>
        </w:rPr>
      </w:pPr>
      <w:r>
        <w:drawing>
          <wp:inline distT="0" distB="0" distL="114300" distR="114300">
            <wp:extent cx="5274310" cy="3038475"/>
            <wp:effectExtent l="4445" t="4445" r="17145" b="43180"/>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24805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w:t>
      </w:r>
      <w:r>
        <w:rPr>
          <w:rFonts w:hint="eastAsia" w:ascii="仿宋" w:hAnsi="仿宋" w:eastAsia="仿宋"/>
          <w:color w:val="auto"/>
          <w:sz w:val="32"/>
          <w:szCs w:val="32"/>
          <w:highlight w:val="none"/>
          <w:lang w:val="en-US" w:eastAsia="zh-CN"/>
        </w:rPr>
        <w:t>变动图</w:t>
      </w:r>
      <w:r>
        <w:rPr>
          <w:rFonts w:hint="eastAsia" w:ascii="仿宋" w:hAnsi="仿宋" w:eastAsia="仿宋"/>
          <w:color w:val="auto"/>
          <w:sz w:val="32"/>
          <w:szCs w:val="32"/>
          <w:highlight w:val="none"/>
        </w:rPr>
        <w:t>）（柱状图）</w:t>
      </w:r>
    </w:p>
    <w:p w14:paraId="3588A37B">
      <w:pPr>
        <w:spacing w:line="600" w:lineRule="exact"/>
        <w:ind w:firstLine="640"/>
        <w:rPr>
          <w:rFonts w:ascii="仿宋" w:hAnsi="仿宋" w:eastAsia="仿宋"/>
          <w:b/>
          <w:color w:val="auto"/>
          <w:sz w:val="32"/>
          <w:szCs w:val="32"/>
          <w:highlight w:val="none"/>
        </w:rPr>
      </w:pPr>
    </w:p>
    <w:p w14:paraId="46110765">
      <w:pPr>
        <w:spacing w:line="600" w:lineRule="exact"/>
        <w:ind w:firstLine="640" w:firstLineChars="200"/>
        <w:outlineLvl w:val="1"/>
        <w:rPr>
          <w:rStyle w:val="34"/>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般公共预算财政拨款支出决算情况说明</w:t>
      </w:r>
      <w:bookmarkEnd w:id="26"/>
      <w:bookmarkEnd w:id="27"/>
    </w:p>
    <w:p w14:paraId="5267701C">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0D60A7BF">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2056.17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98.37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减少4.19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厉行节约、控制开支。</w:t>
      </w:r>
    </w:p>
    <w:p w14:paraId="0AE8CC3B">
      <w:pPr>
        <w:pStyle w:val="10"/>
        <w:rPr>
          <w:rFonts w:ascii="仿宋" w:hAnsi="仿宋" w:eastAsia="仿宋"/>
          <w:color w:val="auto"/>
          <w:sz w:val="32"/>
          <w:szCs w:val="32"/>
          <w:highlight w:val="none"/>
        </w:rPr>
      </w:pPr>
      <w:r>
        <w:drawing>
          <wp:inline distT="0" distB="0" distL="114300" distR="114300">
            <wp:extent cx="5535930" cy="2128520"/>
            <wp:effectExtent l="4445" t="4445" r="22225" b="19685"/>
            <wp:docPr id="113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F774AA">
      <w:pPr>
        <w:spacing w:line="600" w:lineRule="exact"/>
        <w:rPr>
          <w:rFonts w:ascii="仿宋" w:hAnsi="仿宋" w:eastAsia="仿宋"/>
          <w:color w:val="auto"/>
          <w:sz w:val="32"/>
          <w:szCs w:val="32"/>
          <w:highlight w:val="none"/>
        </w:rPr>
      </w:pPr>
      <w:r>
        <w:rPr>
          <w:rFonts w:hint="eastAsia" w:ascii="仿宋" w:hAnsi="仿宋" w:eastAsia="仿宋" w:cs="Times New Roman"/>
          <w:color w:val="auto"/>
          <w:sz w:val="32"/>
          <w:szCs w:val="32"/>
          <w:highlight w:val="none"/>
        </w:rPr>
        <w:t>（图5：一般公共预算财政拨款支出决算变动情况）（柱状图）</w:t>
      </w:r>
    </w:p>
    <w:p w14:paraId="571B76CF">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157ACD78">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2056.17</w:t>
      </w:r>
      <w:r>
        <w:rPr>
          <w:rFonts w:hint="eastAsia" w:ascii="仿宋" w:hAnsi="仿宋" w:eastAsia="仿宋"/>
          <w:color w:val="auto"/>
          <w:sz w:val="32"/>
          <w:szCs w:val="32"/>
          <w:highlight w:val="none"/>
        </w:rPr>
        <w:t>万元，主要用于以下方面:一般公共服务支出</w:t>
      </w:r>
      <w:r>
        <w:rPr>
          <w:rFonts w:hint="eastAsia" w:ascii="仿宋" w:hAnsi="仿宋" w:eastAsia="仿宋"/>
          <w:color w:val="auto"/>
          <w:sz w:val="32"/>
          <w:szCs w:val="32"/>
          <w:highlight w:val="none"/>
          <w:lang w:val="en-US" w:eastAsia="zh-CN"/>
        </w:rPr>
        <w:t>1575.59</w:t>
      </w:r>
      <w:r>
        <w:rPr>
          <w:rFonts w:hint="eastAsia" w:ascii="仿宋" w:hAnsi="仿宋" w:eastAsia="仿宋"/>
          <w:color w:val="auto"/>
          <w:sz w:val="32"/>
          <w:szCs w:val="32"/>
          <w:highlight w:val="none"/>
        </w:rPr>
        <w:t>万元，占比</w:t>
      </w:r>
      <w:r>
        <w:rPr>
          <w:rFonts w:hint="eastAsia" w:ascii="仿宋" w:hAnsi="仿宋" w:eastAsia="仿宋"/>
          <w:color w:val="auto"/>
          <w:sz w:val="32"/>
          <w:szCs w:val="32"/>
          <w:highlight w:val="none"/>
          <w:lang w:val="en-US" w:eastAsia="zh-CN"/>
        </w:rPr>
        <w:t>76.63</w:t>
      </w:r>
      <w:r>
        <w:rPr>
          <w:rFonts w:hint="eastAsia" w:ascii="仿宋" w:hAnsi="仿宋" w:eastAsia="仿宋"/>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万元；科学技术支出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万元；文化旅游体育与传媒支出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万元；社会保障和就业支出</w:t>
      </w:r>
      <w:r>
        <w:rPr>
          <w:rFonts w:hint="eastAsia" w:ascii="仿宋" w:hAnsi="仿宋" w:eastAsia="仿宋"/>
          <w:color w:val="auto"/>
          <w:sz w:val="32"/>
          <w:szCs w:val="32"/>
          <w:highlight w:val="none"/>
          <w:lang w:val="en-US" w:eastAsia="zh-CN"/>
        </w:rPr>
        <w:t>266.69</w:t>
      </w:r>
      <w:r>
        <w:rPr>
          <w:rFonts w:hint="eastAsia" w:ascii="仿宋" w:hAnsi="仿宋" w:eastAsia="仿宋"/>
          <w:color w:val="auto"/>
          <w:sz w:val="32"/>
          <w:szCs w:val="32"/>
          <w:highlight w:val="none"/>
        </w:rPr>
        <w:t>万元，占比</w:t>
      </w:r>
      <w:r>
        <w:rPr>
          <w:rFonts w:hint="eastAsia" w:ascii="仿宋" w:hAnsi="仿宋" w:eastAsia="仿宋"/>
          <w:color w:val="auto"/>
          <w:sz w:val="32"/>
          <w:szCs w:val="32"/>
          <w:highlight w:val="none"/>
          <w:lang w:val="en-US" w:eastAsia="zh-CN"/>
        </w:rPr>
        <w:t>12.97</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78.87</w:t>
      </w:r>
      <w:r>
        <w:rPr>
          <w:rFonts w:hint="eastAsia" w:ascii="仿宋" w:hAnsi="仿宋" w:eastAsia="仿宋"/>
          <w:color w:val="auto"/>
          <w:sz w:val="32"/>
          <w:szCs w:val="32"/>
          <w:highlight w:val="none"/>
        </w:rPr>
        <w:t>万元，占比</w:t>
      </w:r>
      <w:r>
        <w:rPr>
          <w:rFonts w:hint="eastAsia" w:ascii="仿宋" w:hAnsi="仿宋" w:eastAsia="仿宋"/>
          <w:color w:val="auto"/>
          <w:sz w:val="32"/>
          <w:szCs w:val="32"/>
          <w:highlight w:val="none"/>
          <w:lang w:val="en-US" w:eastAsia="zh-CN"/>
        </w:rPr>
        <w:t>3.84</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城乡社区支出1.05</w:t>
      </w:r>
      <w:r>
        <w:rPr>
          <w:rFonts w:hint="eastAsia" w:ascii="仿宋" w:hAnsi="仿宋" w:eastAsia="仿宋"/>
          <w:color w:val="auto"/>
          <w:sz w:val="32"/>
          <w:szCs w:val="32"/>
          <w:highlight w:val="none"/>
        </w:rPr>
        <w:t>万元，占比</w:t>
      </w:r>
      <w:r>
        <w:rPr>
          <w:rFonts w:hint="eastAsia" w:ascii="仿宋" w:hAnsi="仿宋" w:eastAsia="仿宋"/>
          <w:color w:val="auto"/>
          <w:sz w:val="32"/>
          <w:szCs w:val="32"/>
          <w:highlight w:val="none"/>
          <w:lang w:val="en-US" w:eastAsia="zh-CN"/>
        </w:rPr>
        <w:t>0.05</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119.7</w:t>
      </w:r>
      <w:r>
        <w:rPr>
          <w:rFonts w:hint="eastAsia" w:ascii="仿宋" w:hAnsi="仿宋" w:eastAsia="仿宋"/>
          <w:color w:val="auto"/>
          <w:sz w:val="32"/>
          <w:szCs w:val="32"/>
          <w:highlight w:val="none"/>
        </w:rPr>
        <w:t>万元，占比</w:t>
      </w:r>
      <w:r>
        <w:rPr>
          <w:rFonts w:hint="eastAsia" w:ascii="仿宋" w:hAnsi="仿宋" w:eastAsia="仿宋"/>
          <w:color w:val="auto"/>
          <w:sz w:val="32"/>
          <w:szCs w:val="32"/>
          <w:highlight w:val="none"/>
          <w:lang w:val="en-US" w:eastAsia="zh-CN"/>
        </w:rPr>
        <w:t>5.82</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灾害防治及应急管理支出14.27万元，占比0.69%</w:t>
      </w:r>
      <w:r>
        <w:rPr>
          <w:rFonts w:hint="eastAsia" w:ascii="仿宋" w:hAnsi="仿宋" w:eastAsia="仿宋"/>
          <w:color w:val="auto"/>
          <w:sz w:val="32"/>
          <w:szCs w:val="32"/>
          <w:highlight w:val="none"/>
        </w:rPr>
        <w:t>。</w:t>
      </w:r>
    </w:p>
    <w:p w14:paraId="3CE44DF1">
      <w:pPr>
        <w:pStyle w:val="10"/>
        <w:rPr>
          <w:rFonts w:ascii="仿宋" w:hAnsi="仿宋" w:eastAsia="仿宋"/>
          <w:color w:val="auto"/>
          <w:sz w:val="32"/>
          <w:szCs w:val="32"/>
          <w:highlight w:val="none"/>
        </w:rPr>
      </w:pPr>
      <w:r>
        <w:drawing>
          <wp:inline distT="0" distB="0" distL="114300" distR="114300">
            <wp:extent cx="5569585" cy="2704465"/>
            <wp:effectExtent l="4445" t="4445" r="7620" b="15240"/>
            <wp:docPr id="114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F4A1A8">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4A2707FD">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20BA637B">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val="en-US" w:eastAsia="zh-CN"/>
        </w:rPr>
        <w:t>度</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2056.17万元</w:t>
      </w:r>
      <w:r>
        <w:rPr>
          <w:rFonts w:hint="eastAsia" w:ascii="仿宋" w:hAnsi="仿宋" w:eastAsia="仿宋"/>
          <w:color w:val="auto"/>
          <w:sz w:val="32"/>
          <w:szCs w:val="32"/>
          <w:highlight w:val="none"/>
        </w:rPr>
        <w:t>，</w:t>
      </w:r>
      <w:r>
        <w:rPr>
          <w:rStyle w:val="21"/>
          <w:rFonts w:hint="eastAsia" w:ascii="仿宋" w:hAnsi="仿宋" w:eastAsia="仿宋"/>
          <w:bCs/>
          <w:color w:val="auto"/>
          <w:sz w:val="32"/>
          <w:szCs w:val="32"/>
          <w:highlight w:val="none"/>
        </w:rPr>
        <w:t>完成预算</w:t>
      </w:r>
      <w:r>
        <w:rPr>
          <w:rStyle w:val="21"/>
          <w:rFonts w:hint="eastAsia" w:ascii="仿宋" w:hAnsi="仿宋" w:eastAsia="仿宋"/>
          <w:bCs/>
          <w:color w:val="auto"/>
          <w:sz w:val="32"/>
          <w:szCs w:val="32"/>
          <w:highlight w:val="none"/>
          <w:lang w:val="en-US" w:eastAsia="zh-CN"/>
        </w:rPr>
        <w:t>100</w:t>
      </w:r>
      <w:r>
        <w:rPr>
          <w:rStyle w:val="21"/>
          <w:rFonts w:ascii="仿宋" w:hAnsi="仿宋" w:eastAsia="仿宋"/>
          <w:bCs/>
          <w:color w:val="auto"/>
          <w:sz w:val="32"/>
          <w:szCs w:val="32"/>
          <w:highlight w:val="none"/>
        </w:rPr>
        <w:t>%</w:t>
      </w:r>
      <w:r>
        <w:rPr>
          <w:rStyle w:val="21"/>
          <w:rFonts w:hint="eastAsia" w:ascii="仿宋" w:hAnsi="仿宋" w:eastAsia="仿宋"/>
          <w:bCs/>
          <w:color w:val="auto"/>
          <w:sz w:val="32"/>
          <w:szCs w:val="32"/>
          <w:highlight w:val="none"/>
        </w:rPr>
        <w:t>。其中：</w:t>
      </w:r>
      <w:bookmarkEnd w:id="31"/>
      <w:bookmarkEnd w:id="32"/>
      <w:bookmarkEnd w:id="33"/>
    </w:p>
    <w:p w14:paraId="018982D1">
      <w:pPr>
        <w:numPr>
          <w:ilvl w:val="0"/>
          <w:numId w:val="0"/>
        </w:numPr>
        <w:spacing w:line="600" w:lineRule="exact"/>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1.</w:t>
      </w:r>
      <w:r>
        <w:rPr>
          <w:rStyle w:val="21"/>
          <w:rFonts w:hint="eastAsia" w:ascii="仿宋" w:hAnsi="仿宋" w:eastAsia="仿宋"/>
          <w:bCs/>
          <w:color w:val="auto"/>
          <w:sz w:val="32"/>
          <w:szCs w:val="32"/>
          <w:highlight w:val="none"/>
        </w:rPr>
        <w:t>一般公共服务（类）</w:t>
      </w:r>
      <w:r>
        <w:rPr>
          <w:rStyle w:val="21"/>
          <w:rFonts w:hint="eastAsia" w:ascii="仿宋" w:hAnsi="仿宋" w:eastAsia="仿宋"/>
          <w:bCs/>
          <w:color w:val="auto"/>
          <w:sz w:val="32"/>
          <w:szCs w:val="32"/>
          <w:highlight w:val="none"/>
          <w:lang w:val="en-US" w:eastAsia="zh-CN"/>
        </w:rPr>
        <w:t>知识产权事务（款）其他知识产权事务支出（项）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30</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0A62E430">
      <w:pPr>
        <w:pStyle w:val="24"/>
        <w:numPr>
          <w:ilvl w:val="0"/>
          <w:numId w:val="0"/>
        </w:numPr>
        <w:ind w:firstLine="643" w:firstLineChars="200"/>
      </w:pPr>
      <w:r>
        <w:rPr>
          <w:rStyle w:val="21"/>
          <w:rFonts w:hint="eastAsia" w:ascii="仿宋" w:hAnsi="仿宋" w:eastAsia="仿宋"/>
          <w:bCs/>
          <w:color w:val="auto"/>
          <w:sz w:val="32"/>
          <w:szCs w:val="32"/>
          <w:highlight w:val="none"/>
          <w:lang w:val="en-US" w:eastAsia="zh-CN"/>
        </w:rPr>
        <w:t>2.</w:t>
      </w:r>
      <w:r>
        <w:rPr>
          <w:rStyle w:val="21"/>
          <w:rFonts w:hint="eastAsia" w:ascii="仿宋" w:hAnsi="仿宋" w:eastAsia="仿宋"/>
          <w:bCs/>
          <w:color w:val="auto"/>
          <w:sz w:val="32"/>
          <w:szCs w:val="32"/>
          <w:highlight w:val="none"/>
        </w:rPr>
        <w:t>一般公共服务（类）</w:t>
      </w:r>
      <w:r>
        <w:rPr>
          <w:rStyle w:val="21"/>
          <w:rFonts w:hint="eastAsia" w:ascii="仿宋" w:hAnsi="仿宋" w:eastAsia="仿宋"/>
          <w:bCs/>
          <w:color w:val="auto"/>
          <w:sz w:val="32"/>
          <w:szCs w:val="32"/>
          <w:highlight w:val="none"/>
          <w:lang w:val="en-US" w:eastAsia="zh-CN"/>
        </w:rPr>
        <w:t>市场监督管理事务（款）行政运行（项）</w:t>
      </w:r>
      <w:r>
        <w:rPr>
          <w:rStyle w:val="21"/>
          <w:rFonts w:ascii="仿宋" w:hAnsi="仿宋" w:eastAsia="仿宋"/>
          <w:bCs/>
          <w:color w:val="auto"/>
          <w:sz w:val="32"/>
          <w:szCs w:val="32"/>
          <w:highlight w:val="none"/>
        </w:rPr>
        <w:t>:</w:t>
      </w:r>
      <w:r>
        <w:rPr>
          <w:rStyle w:val="21"/>
          <w:rFonts w:hint="eastAsia" w:ascii="仿宋" w:hAnsi="仿宋" w:eastAsia="仿宋" w:cs="Times New Roman"/>
          <w:b w:val="0"/>
          <w:bCs/>
          <w:color w:val="auto"/>
          <w:kern w:val="2"/>
          <w:sz w:val="32"/>
          <w:szCs w:val="32"/>
          <w:highlight w:val="none"/>
          <w:lang w:val="en-US" w:eastAsia="zh-CN" w:bidi="ar-SA"/>
        </w:rPr>
        <w:t>支出决算为903.33万元，完成预算100%</w:t>
      </w:r>
      <w:r>
        <w:rPr>
          <w:rStyle w:val="21"/>
          <w:rFonts w:hint="eastAsia" w:ascii="仿宋" w:hAnsi="仿宋" w:eastAsia="仿宋"/>
          <w:b w:val="0"/>
          <w:bCs/>
          <w:color w:val="auto"/>
          <w:sz w:val="32"/>
          <w:szCs w:val="32"/>
          <w:highlight w:val="none"/>
        </w:rPr>
        <w:t>。</w:t>
      </w:r>
    </w:p>
    <w:p w14:paraId="6A639CA7">
      <w:pPr>
        <w:pStyle w:val="24"/>
        <w:numPr>
          <w:ilvl w:val="0"/>
          <w:numId w:val="0"/>
        </w:numPr>
        <w:ind w:firstLine="643" w:firstLineChars="200"/>
      </w:pPr>
      <w:r>
        <w:rPr>
          <w:rStyle w:val="21"/>
          <w:rFonts w:hint="eastAsia" w:ascii="仿宋" w:hAnsi="仿宋" w:eastAsia="仿宋"/>
          <w:bCs/>
          <w:color w:val="auto"/>
          <w:sz w:val="32"/>
          <w:szCs w:val="32"/>
          <w:highlight w:val="none"/>
          <w:lang w:val="en-US" w:eastAsia="zh-CN"/>
        </w:rPr>
        <w:t>3.</w:t>
      </w:r>
      <w:r>
        <w:rPr>
          <w:rStyle w:val="21"/>
          <w:rFonts w:hint="eastAsia" w:ascii="仿宋" w:hAnsi="仿宋" w:eastAsia="仿宋"/>
          <w:bCs/>
          <w:color w:val="auto"/>
          <w:sz w:val="32"/>
          <w:szCs w:val="32"/>
          <w:highlight w:val="none"/>
        </w:rPr>
        <w:t>一般公共服务（类）</w:t>
      </w:r>
      <w:r>
        <w:rPr>
          <w:rStyle w:val="21"/>
          <w:rFonts w:hint="eastAsia" w:ascii="仿宋" w:hAnsi="仿宋" w:eastAsia="仿宋"/>
          <w:bCs/>
          <w:color w:val="auto"/>
          <w:sz w:val="32"/>
          <w:szCs w:val="32"/>
          <w:highlight w:val="none"/>
          <w:lang w:val="en-US" w:eastAsia="zh-CN"/>
        </w:rPr>
        <w:t>市场监督管理事务（款）一般行政管理事务（项）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9.94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440F1E55">
      <w:pPr>
        <w:pStyle w:val="24"/>
        <w:numPr>
          <w:ilvl w:val="0"/>
          <w:numId w:val="0"/>
        </w:numPr>
        <w:ind w:firstLine="643" w:firstLineChars="200"/>
      </w:pPr>
      <w:r>
        <w:rPr>
          <w:rStyle w:val="21"/>
          <w:rFonts w:hint="eastAsia" w:ascii="仿宋" w:hAnsi="仿宋" w:eastAsia="仿宋"/>
          <w:bCs/>
          <w:color w:val="auto"/>
          <w:sz w:val="32"/>
          <w:szCs w:val="32"/>
          <w:highlight w:val="none"/>
          <w:lang w:val="en-US" w:eastAsia="zh-CN"/>
        </w:rPr>
        <w:t>4.</w:t>
      </w:r>
      <w:r>
        <w:rPr>
          <w:rStyle w:val="21"/>
          <w:rFonts w:hint="eastAsia" w:ascii="仿宋" w:hAnsi="仿宋" w:eastAsia="仿宋"/>
          <w:bCs/>
          <w:color w:val="auto"/>
          <w:sz w:val="32"/>
          <w:szCs w:val="32"/>
          <w:highlight w:val="none"/>
        </w:rPr>
        <w:t>一般公共服务（类）</w:t>
      </w:r>
      <w:r>
        <w:rPr>
          <w:rStyle w:val="21"/>
          <w:rFonts w:hint="eastAsia" w:ascii="仿宋" w:hAnsi="仿宋" w:eastAsia="仿宋"/>
          <w:bCs/>
          <w:color w:val="auto"/>
          <w:sz w:val="32"/>
          <w:szCs w:val="32"/>
          <w:highlight w:val="none"/>
          <w:lang w:val="en-US" w:eastAsia="zh-CN"/>
        </w:rPr>
        <w:t>市场监督管理事务（款）市场秩序执法（项）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39.99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7CBBC39D">
      <w:pPr>
        <w:pStyle w:val="24"/>
        <w:numPr>
          <w:ilvl w:val="0"/>
          <w:numId w:val="0"/>
        </w:numPr>
        <w:ind w:firstLine="643" w:firstLineChars="200"/>
      </w:pPr>
      <w:r>
        <w:rPr>
          <w:rStyle w:val="21"/>
          <w:rFonts w:hint="eastAsia" w:ascii="仿宋" w:hAnsi="仿宋" w:eastAsia="仿宋"/>
          <w:bCs/>
          <w:color w:val="auto"/>
          <w:sz w:val="32"/>
          <w:szCs w:val="32"/>
          <w:highlight w:val="none"/>
          <w:lang w:val="en-US" w:eastAsia="zh-CN"/>
        </w:rPr>
        <w:t>5.</w:t>
      </w:r>
      <w:r>
        <w:rPr>
          <w:rStyle w:val="21"/>
          <w:rFonts w:hint="eastAsia" w:ascii="仿宋" w:hAnsi="仿宋" w:eastAsia="仿宋"/>
          <w:bCs/>
          <w:color w:val="auto"/>
          <w:sz w:val="32"/>
          <w:szCs w:val="32"/>
          <w:highlight w:val="none"/>
        </w:rPr>
        <w:t>一般公共服务（类）</w:t>
      </w:r>
      <w:r>
        <w:rPr>
          <w:rStyle w:val="21"/>
          <w:rFonts w:hint="eastAsia" w:ascii="仿宋" w:hAnsi="仿宋" w:eastAsia="仿宋"/>
          <w:bCs/>
          <w:color w:val="auto"/>
          <w:sz w:val="32"/>
          <w:szCs w:val="32"/>
          <w:highlight w:val="none"/>
          <w:lang w:val="en-US" w:eastAsia="zh-CN"/>
        </w:rPr>
        <w:t>市场监督管理事务（款）药品事务（项）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24.16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7B97D1DE">
      <w:pPr>
        <w:pStyle w:val="24"/>
        <w:numPr>
          <w:ilvl w:val="0"/>
          <w:numId w:val="0"/>
        </w:numPr>
        <w:ind w:firstLine="643" w:firstLineChars="200"/>
      </w:pPr>
      <w:r>
        <w:rPr>
          <w:rStyle w:val="21"/>
          <w:rFonts w:hint="eastAsia" w:ascii="仿宋" w:hAnsi="仿宋" w:eastAsia="仿宋"/>
          <w:bCs/>
          <w:color w:val="auto"/>
          <w:sz w:val="32"/>
          <w:szCs w:val="32"/>
          <w:highlight w:val="none"/>
          <w:lang w:val="en-US" w:eastAsia="zh-CN"/>
        </w:rPr>
        <w:t>6.</w:t>
      </w:r>
      <w:r>
        <w:rPr>
          <w:rStyle w:val="21"/>
          <w:rFonts w:hint="eastAsia" w:ascii="仿宋" w:hAnsi="仿宋" w:eastAsia="仿宋"/>
          <w:bCs/>
          <w:color w:val="auto"/>
          <w:sz w:val="32"/>
          <w:szCs w:val="32"/>
          <w:highlight w:val="none"/>
        </w:rPr>
        <w:t>一般公共服务（类）</w:t>
      </w:r>
      <w:r>
        <w:rPr>
          <w:rStyle w:val="21"/>
          <w:rFonts w:hint="eastAsia" w:ascii="仿宋" w:hAnsi="仿宋" w:eastAsia="仿宋"/>
          <w:bCs/>
          <w:color w:val="auto"/>
          <w:sz w:val="32"/>
          <w:szCs w:val="32"/>
          <w:highlight w:val="none"/>
          <w:lang w:val="en-US" w:eastAsia="zh-CN"/>
        </w:rPr>
        <w:t>市场监督管理事务（款）质量安全监管（项）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5</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7E74E578">
      <w:pPr>
        <w:pStyle w:val="24"/>
        <w:numPr>
          <w:ilvl w:val="0"/>
          <w:numId w:val="0"/>
        </w:numPr>
        <w:ind w:firstLine="643" w:firstLineChars="200"/>
      </w:pPr>
      <w:r>
        <w:rPr>
          <w:rStyle w:val="21"/>
          <w:rFonts w:hint="eastAsia" w:ascii="仿宋" w:hAnsi="仿宋" w:eastAsia="仿宋"/>
          <w:bCs/>
          <w:color w:val="auto"/>
          <w:sz w:val="32"/>
          <w:szCs w:val="32"/>
          <w:highlight w:val="none"/>
          <w:lang w:val="en-US" w:eastAsia="zh-CN"/>
        </w:rPr>
        <w:t>7.</w:t>
      </w:r>
      <w:r>
        <w:rPr>
          <w:rStyle w:val="21"/>
          <w:rFonts w:hint="eastAsia" w:ascii="仿宋" w:hAnsi="仿宋" w:eastAsia="仿宋"/>
          <w:bCs/>
          <w:color w:val="auto"/>
          <w:sz w:val="32"/>
          <w:szCs w:val="32"/>
          <w:highlight w:val="none"/>
        </w:rPr>
        <w:t>一般公共服务（类）</w:t>
      </w:r>
      <w:r>
        <w:rPr>
          <w:rStyle w:val="21"/>
          <w:rFonts w:hint="eastAsia" w:ascii="仿宋" w:hAnsi="仿宋" w:eastAsia="仿宋"/>
          <w:bCs/>
          <w:color w:val="auto"/>
          <w:sz w:val="32"/>
          <w:szCs w:val="32"/>
          <w:highlight w:val="none"/>
          <w:lang w:val="en-US" w:eastAsia="zh-CN"/>
        </w:rPr>
        <w:t>市场监督管理事务（款）食品安全监管（项）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117.03</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2929E016">
      <w:pPr>
        <w:pStyle w:val="24"/>
        <w:numPr>
          <w:ilvl w:val="0"/>
          <w:numId w:val="0"/>
        </w:numPr>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8.</w:t>
      </w:r>
      <w:r>
        <w:rPr>
          <w:rStyle w:val="21"/>
          <w:rFonts w:hint="eastAsia" w:ascii="仿宋" w:hAnsi="仿宋" w:eastAsia="仿宋"/>
          <w:bCs/>
          <w:color w:val="auto"/>
          <w:sz w:val="32"/>
          <w:szCs w:val="32"/>
          <w:highlight w:val="none"/>
        </w:rPr>
        <w:t>一般公共服务（类）</w:t>
      </w:r>
      <w:r>
        <w:rPr>
          <w:rStyle w:val="21"/>
          <w:rFonts w:hint="eastAsia" w:ascii="仿宋" w:hAnsi="仿宋" w:eastAsia="仿宋"/>
          <w:bCs/>
          <w:color w:val="auto"/>
          <w:sz w:val="32"/>
          <w:szCs w:val="32"/>
          <w:highlight w:val="none"/>
          <w:lang w:val="en-US" w:eastAsia="zh-CN"/>
        </w:rPr>
        <w:t>市场监督管理事务（款）事业运行（项）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367.44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hint="eastAsia" w:ascii="仿宋" w:hAnsi="仿宋" w:eastAsia="仿宋"/>
          <w:b w:val="0"/>
          <w:bCs/>
          <w:color w:val="auto"/>
          <w:sz w:val="32"/>
          <w:szCs w:val="32"/>
          <w:highlight w:val="none"/>
        </w:rPr>
        <w:t>%。</w:t>
      </w:r>
    </w:p>
    <w:p w14:paraId="0129A2B5">
      <w:pPr>
        <w:pStyle w:val="24"/>
        <w:numPr>
          <w:ilvl w:val="0"/>
          <w:numId w:val="0"/>
        </w:numPr>
        <w:spacing w:line="240" w:lineRule="auto"/>
        <w:ind w:firstLine="643" w:firstLineChars="200"/>
        <w:jc w:val="left"/>
        <w:rPr>
          <w:rStyle w:val="21"/>
          <w:rFonts w:hint="eastAsia" w:ascii="仿宋" w:hAnsi="仿宋" w:eastAsia="仿宋"/>
          <w:b w:val="0"/>
          <w:bCs/>
          <w:color w:val="auto"/>
          <w:sz w:val="32"/>
          <w:szCs w:val="32"/>
          <w:highlight w:val="none"/>
          <w:lang w:val="en-US" w:eastAsia="zh-CN"/>
        </w:rPr>
      </w:pPr>
      <w:r>
        <w:rPr>
          <w:rStyle w:val="21"/>
          <w:rFonts w:hint="eastAsia" w:ascii="仿宋" w:hAnsi="仿宋" w:eastAsia="仿宋"/>
          <w:bCs/>
          <w:color w:val="auto"/>
          <w:sz w:val="32"/>
          <w:szCs w:val="32"/>
          <w:highlight w:val="none"/>
          <w:lang w:val="en-US" w:eastAsia="zh-CN"/>
        </w:rPr>
        <w:t>9.灾害防治及应急管理支出</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val="en-US" w:eastAsia="zh-CN"/>
        </w:rPr>
        <w:t>应急管理事务（款）其他应急管理支出（项）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14.27</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5F4FAF96">
      <w:pPr>
        <w:pStyle w:val="24"/>
        <w:numPr>
          <w:ilvl w:val="0"/>
          <w:numId w:val="0"/>
        </w:numPr>
        <w:spacing w:line="240" w:lineRule="auto"/>
        <w:ind w:firstLine="643" w:firstLineChars="200"/>
        <w:jc w:val="left"/>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10.</w:t>
      </w:r>
      <w:r>
        <w:rPr>
          <w:rStyle w:val="21"/>
          <w:rFonts w:hint="eastAsia" w:ascii="仿宋" w:hAnsi="仿宋" w:eastAsia="仿宋"/>
          <w:bCs/>
          <w:color w:val="auto"/>
          <w:sz w:val="32"/>
          <w:szCs w:val="32"/>
          <w:highlight w:val="none"/>
        </w:rPr>
        <w:t>一般公共服务（类）</w:t>
      </w:r>
      <w:r>
        <w:rPr>
          <w:rStyle w:val="21"/>
          <w:rFonts w:hint="eastAsia" w:ascii="仿宋" w:hAnsi="仿宋" w:eastAsia="仿宋"/>
          <w:bCs/>
          <w:color w:val="auto"/>
          <w:sz w:val="32"/>
          <w:szCs w:val="32"/>
          <w:highlight w:val="none"/>
          <w:lang w:val="en-US" w:eastAsia="zh-CN"/>
        </w:rPr>
        <w:t>市场监督管理事务（款）其他市场监督管理事务（项）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78.7</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2E7F2576">
      <w:pPr>
        <w:spacing w:line="600" w:lineRule="exact"/>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11</w:t>
      </w:r>
      <w:r>
        <w:rPr>
          <w:rStyle w:val="21"/>
          <w:rFonts w:ascii="仿宋" w:hAnsi="仿宋" w:eastAsia="仿宋"/>
          <w:bCs/>
          <w:color w:val="auto"/>
          <w:sz w:val="32"/>
          <w:szCs w:val="32"/>
          <w:highlight w:val="none"/>
        </w:rPr>
        <w:t>.</w:t>
      </w:r>
      <w:r>
        <w:rPr>
          <w:rStyle w:val="21"/>
          <w:rFonts w:hint="eastAsia" w:ascii="仿宋" w:hAnsi="仿宋" w:eastAsia="仿宋"/>
          <w:bCs/>
          <w:color w:val="auto"/>
          <w:sz w:val="32"/>
          <w:szCs w:val="32"/>
          <w:highlight w:val="none"/>
        </w:rPr>
        <w:t>社会保障和就业（类）</w:t>
      </w:r>
      <w:r>
        <w:rPr>
          <w:rStyle w:val="21"/>
          <w:rFonts w:hint="eastAsia" w:ascii="仿宋" w:hAnsi="仿宋" w:eastAsia="仿宋"/>
          <w:bCs/>
          <w:color w:val="auto"/>
          <w:sz w:val="32"/>
          <w:szCs w:val="32"/>
          <w:highlight w:val="none"/>
          <w:lang w:val="en-US" w:eastAsia="zh-CN"/>
        </w:rPr>
        <w:t>行政事业单位养老支出（款）行政单位离退休（项）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97.09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311AB28F">
      <w:pPr>
        <w:spacing w:line="600" w:lineRule="exact"/>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12</w:t>
      </w:r>
      <w:r>
        <w:rPr>
          <w:rStyle w:val="21"/>
          <w:rFonts w:ascii="仿宋" w:hAnsi="仿宋" w:eastAsia="仿宋"/>
          <w:bCs/>
          <w:color w:val="auto"/>
          <w:sz w:val="32"/>
          <w:szCs w:val="32"/>
          <w:highlight w:val="none"/>
        </w:rPr>
        <w:t>.</w:t>
      </w:r>
      <w:r>
        <w:rPr>
          <w:rStyle w:val="21"/>
          <w:rFonts w:hint="eastAsia" w:ascii="仿宋" w:hAnsi="仿宋" w:eastAsia="仿宋"/>
          <w:bCs/>
          <w:color w:val="auto"/>
          <w:sz w:val="32"/>
          <w:szCs w:val="32"/>
          <w:highlight w:val="none"/>
        </w:rPr>
        <w:t>社会保障和就业（类）</w:t>
      </w:r>
      <w:r>
        <w:rPr>
          <w:rStyle w:val="21"/>
          <w:rFonts w:hint="eastAsia" w:ascii="仿宋" w:hAnsi="仿宋" w:eastAsia="仿宋"/>
          <w:bCs/>
          <w:color w:val="auto"/>
          <w:sz w:val="32"/>
          <w:szCs w:val="32"/>
          <w:highlight w:val="none"/>
          <w:lang w:val="en-US" w:eastAsia="zh-CN"/>
        </w:rPr>
        <w:t>行政事业单位养老支出（款）机关事业单位基本养老保险缴费支出（项）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142.74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0F82810F">
      <w:pPr>
        <w:spacing w:line="600" w:lineRule="exact"/>
        <w:ind w:firstLine="643" w:firstLineChars="200"/>
        <w:rPr>
          <w:rFonts w:hint="eastAsia"/>
        </w:rPr>
      </w:pPr>
      <w:r>
        <w:rPr>
          <w:rStyle w:val="21"/>
          <w:rFonts w:hint="eastAsia" w:ascii="仿宋" w:hAnsi="仿宋" w:eastAsia="仿宋"/>
          <w:bCs/>
          <w:color w:val="auto"/>
          <w:sz w:val="32"/>
          <w:szCs w:val="32"/>
          <w:highlight w:val="none"/>
          <w:lang w:val="en-US" w:eastAsia="zh-CN"/>
        </w:rPr>
        <w:t>13</w:t>
      </w:r>
      <w:r>
        <w:rPr>
          <w:rStyle w:val="21"/>
          <w:rFonts w:ascii="仿宋" w:hAnsi="仿宋" w:eastAsia="仿宋"/>
          <w:bCs/>
          <w:color w:val="auto"/>
          <w:sz w:val="32"/>
          <w:szCs w:val="32"/>
          <w:highlight w:val="none"/>
        </w:rPr>
        <w:t>.</w:t>
      </w:r>
      <w:r>
        <w:rPr>
          <w:rStyle w:val="21"/>
          <w:rFonts w:hint="eastAsia" w:ascii="仿宋" w:hAnsi="仿宋" w:eastAsia="仿宋"/>
          <w:bCs/>
          <w:color w:val="auto"/>
          <w:sz w:val="32"/>
          <w:szCs w:val="32"/>
          <w:highlight w:val="none"/>
        </w:rPr>
        <w:t>社会保障和就业（类）</w:t>
      </w:r>
      <w:r>
        <w:rPr>
          <w:rStyle w:val="21"/>
          <w:rFonts w:hint="eastAsia" w:ascii="仿宋" w:hAnsi="仿宋" w:eastAsia="仿宋"/>
          <w:bCs/>
          <w:color w:val="auto"/>
          <w:sz w:val="32"/>
          <w:szCs w:val="32"/>
          <w:highlight w:val="none"/>
          <w:lang w:val="en-US" w:eastAsia="zh-CN"/>
        </w:rPr>
        <w:t>行政事业单位养老支出（款）其他行政事业单位养老支出（项）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5.66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758F8178">
      <w:pPr>
        <w:spacing w:line="600" w:lineRule="exact"/>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14.</w:t>
      </w:r>
      <w:r>
        <w:rPr>
          <w:rStyle w:val="21"/>
          <w:rFonts w:hint="eastAsia" w:ascii="仿宋" w:hAnsi="仿宋" w:eastAsia="仿宋"/>
          <w:bCs/>
          <w:color w:val="auto"/>
          <w:sz w:val="32"/>
          <w:szCs w:val="32"/>
          <w:highlight w:val="none"/>
        </w:rPr>
        <w:t>社会保障和就业（类）</w:t>
      </w:r>
      <w:r>
        <w:rPr>
          <w:rStyle w:val="21"/>
          <w:rFonts w:hint="eastAsia" w:ascii="仿宋" w:hAnsi="仿宋" w:eastAsia="仿宋"/>
          <w:bCs/>
          <w:color w:val="auto"/>
          <w:sz w:val="32"/>
          <w:szCs w:val="32"/>
          <w:highlight w:val="none"/>
          <w:lang w:val="en-US" w:eastAsia="zh-CN"/>
        </w:rPr>
        <w:t>抚恤（款）死亡抚恤（项）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17.47</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75AB1A19">
      <w:pPr>
        <w:spacing w:line="600" w:lineRule="exact"/>
        <w:ind w:firstLine="643" w:firstLineChars="200"/>
        <w:rPr>
          <w:rFonts w:hint="default"/>
          <w:lang w:val="en-US" w:eastAsia="zh-CN"/>
        </w:rPr>
      </w:pPr>
      <w:r>
        <w:rPr>
          <w:rStyle w:val="21"/>
          <w:rFonts w:hint="eastAsia" w:ascii="仿宋" w:hAnsi="仿宋" w:eastAsia="仿宋"/>
          <w:bCs/>
          <w:color w:val="auto"/>
          <w:sz w:val="32"/>
          <w:szCs w:val="32"/>
          <w:highlight w:val="none"/>
          <w:lang w:val="en-US" w:eastAsia="zh-CN"/>
        </w:rPr>
        <w:t>15.</w:t>
      </w:r>
      <w:r>
        <w:rPr>
          <w:rStyle w:val="21"/>
          <w:rFonts w:hint="eastAsia" w:ascii="仿宋" w:hAnsi="仿宋" w:eastAsia="仿宋"/>
          <w:bCs/>
          <w:color w:val="auto"/>
          <w:sz w:val="32"/>
          <w:szCs w:val="32"/>
          <w:highlight w:val="none"/>
        </w:rPr>
        <w:t>社会保障和就业（类）</w:t>
      </w:r>
      <w:r>
        <w:rPr>
          <w:rStyle w:val="21"/>
          <w:rFonts w:hint="eastAsia" w:ascii="仿宋" w:hAnsi="仿宋" w:eastAsia="仿宋"/>
          <w:bCs/>
          <w:color w:val="auto"/>
          <w:sz w:val="32"/>
          <w:szCs w:val="32"/>
          <w:highlight w:val="none"/>
          <w:lang w:val="en-US" w:eastAsia="zh-CN"/>
        </w:rPr>
        <w:t>其他</w:t>
      </w:r>
      <w:r>
        <w:rPr>
          <w:rStyle w:val="21"/>
          <w:rFonts w:hint="eastAsia" w:ascii="仿宋" w:hAnsi="仿宋" w:eastAsia="仿宋"/>
          <w:bCs/>
          <w:color w:val="auto"/>
          <w:sz w:val="32"/>
          <w:szCs w:val="32"/>
          <w:highlight w:val="none"/>
        </w:rPr>
        <w:t>社会保障和就业</w:t>
      </w:r>
      <w:r>
        <w:rPr>
          <w:rStyle w:val="21"/>
          <w:rFonts w:hint="eastAsia" w:ascii="仿宋" w:hAnsi="仿宋" w:eastAsia="仿宋"/>
          <w:bCs/>
          <w:color w:val="auto"/>
          <w:sz w:val="32"/>
          <w:szCs w:val="32"/>
          <w:highlight w:val="none"/>
          <w:lang w:val="en-US" w:eastAsia="zh-CN"/>
        </w:rPr>
        <w:t>支出（款）其他</w:t>
      </w:r>
      <w:r>
        <w:rPr>
          <w:rStyle w:val="21"/>
          <w:rFonts w:hint="eastAsia" w:ascii="仿宋" w:hAnsi="仿宋" w:eastAsia="仿宋"/>
          <w:bCs/>
          <w:color w:val="auto"/>
          <w:sz w:val="32"/>
          <w:szCs w:val="32"/>
          <w:highlight w:val="none"/>
        </w:rPr>
        <w:t>社会保障和就业</w:t>
      </w:r>
      <w:r>
        <w:rPr>
          <w:rStyle w:val="21"/>
          <w:rFonts w:hint="eastAsia" w:ascii="仿宋" w:hAnsi="仿宋" w:eastAsia="仿宋"/>
          <w:bCs/>
          <w:color w:val="auto"/>
          <w:sz w:val="32"/>
          <w:szCs w:val="32"/>
          <w:highlight w:val="none"/>
          <w:lang w:val="en-US" w:eastAsia="zh-CN"/>
        </w:rPr>
        <w:t>支出（项）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3.73</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59D8C9D1">
      <w:pPr>
        <w:spacing w:line="600" w:lineRule="exact"/>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16</w:t>
      </w:r>
      <w:r>
        <w:rPr>
          <w:rStyle w:val="21"/>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val="en-US" w:eastAsia="zh-CN"/>
        </w:rPr>
        <w:t>行政事业单位医疗（款）行政单位医疗（项）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38.36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7F43E84E">
      <w:pPr>
        <w:spacing w:line="600" w:lineRule="exact"/>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17</w:t>
      </w:r>
      <w:r>
        <w:rPr>
          <w:rStyle w:val="21"/>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val="en-US" w:eastAsia="zh-CN"/>
        </w:rPr>
        <w:t>行政事业单位医疗（款）事业单位医疗（项）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20.79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75A6686B">
      <w:pPr>
        <w:spacing w:line="600" w:lineRule="exact"/>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18</w:t>
      </w:r>
      <w:r>
        <w:rPr>
          <w:rStyle w:val="21"/>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val="en-US" w:eastAsia="zh-CN"/>
        </w:rPr>
        <w:t>行政事业单位医疗（款）公务员医疗补助（项）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19.72</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0CD9F6E2">
      <w:pPr>
        <w:spacing w:line="600" w:lineRule="exact"/>
        <w:ind w:firstLine="643" w:firstLineChars="200"/>
        <w:rPr>
          <w:rFonts w:hint="eastAsia"/>
        </w:rPr>
      </w:pPr>
      <w:r>
        <w:rPr>
          <w:rStyle w:val="21"/>
          <w:rFonts w:hint="eastAsia" w:ascii="仿宋" w:hAnsi="仿宋" w:eastAsia="仿宋"/>
          <w:bCs/>
          <w:color w:val="auto"/>
          <w:sz w:val="32"/>
          <w:szCs w:val="32"/>
          <w:highlight w:val="none"/>
          <w:lang w:val="en-US" w:eastAsia="zh-CN"/>
        </w:rPr>
        <w:t>19</w:t>
      </w:r>
      <w:r>
        <w:rPr>
          <w:rStyle w:val="21"/>
          <w:rFonts w:ascii="仿宋" w:hAnsi="仿宋" w:eastAsia="仿宋"/>
          <w:bCs/>
          <w:color w:val="auto"/>
          <w:sz w:val="32"/>
          <w:szCs w:val="32"/>
          <w:highlight w:val="none"/>
        </w:rPr>
        <w:t>.</w:t>
      </w:r>
      <w:r>
        <w:rPr>
          <w:rFonts w:hint="eastAsia" w:ascii="仿宋" w:hAnsi="仿宋" w:eastAsia="仿宋"/>
          <w:b/>
          <w:bCs/>
          <w:color w:val="auto"/>
          <w:sz w:val="32"/>
          <w:szCs w:val="32"/>
          <w:highlight w:val="none"/>
          <w:lang w:val="en-US" w:eastAsia="zh-CN"/>
        </w:rPr>
        <w:t>城乡社区</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val="en-US" w:eastAsia="zh-CN"/>
        </w:rPr>
        <w:t>城乡社区管理事务（款）行政运行（项）</w:t>
      </w:r>
      <w:r>
        <w:rPr>
          <w:rStyle w:val="21"/>
          <w:rFonts w:ascii="仿宋" w:hAnsi="仿宋" w:eastAsia="仿宋"/>
          <w:bCs/>
          <w:color w:val="auto"/>
          <w:sz w:val="32"/>
          <w:szCs w:val="32"/>
          <w:highlight w:val="none"/>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1.05</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48B7C012">
      <w:pPr>
        <w:spacing w:line="600" w:lineRule="exact"/>
        <w:ind w:firstLine="643" w:firstLineChars="200"/>
        <w:rPr>
          <w:rStyle w:val="21"/>
          <w:rFonts w:hint="eastAsia" w:ascii="仿宋_GB2312" w:hAnsi="仿宋" w:eastAsia="仿宋_GB2312"/>
          <w:b w:val="0"/>
          <w:bCs/>
          <w:color w:val="000000"/>
          <w:sz w:val="32"/>
          <w:szCs w:val="32"/>
        </w:rPr>
      </w:pPr>
      <w:r>
        <w:rPr>
          <w:rStyle w:val="21"/>
          <w:rFonts w:hint="eastAsia" w:ascii="仿宋" w:hAnsi="仿宋" w:eastAsia="仿宋"/>
          <w:bCs/>
          <w:color w:val="000000"/>
          <w:sz w:val="32"/>
          <w:szCs w:val="32"/>
          <w:lang w:val="en-US" w:eastAsia="zh-CN"/>
        </w:rPr>
        <w:t>20</w:t>
      </w:r>
      <w:r>
        <w:rPr>
          <w:rStyle w:val="21"/>
          <w:rFonts w:ascii="仿宋" w:hAnsi="仿宋" w:eastAsia="仿宋"/>
          <w:bCs/>
          <w:color w:val="000000"/>
          <w:sz w:val="32"/>
          <w:szCs w:val="32"/>
        </w:rPr>
        <w:t>.</w:t>
      </w:r>
      <w:r>
        <w:rPr>
          <w:rFonts w:hint="eastAsia" w:ascii="仿宋" w:hAnsi="仿宋" w:eastAsia="仿宋"/>
          <w:b/>
          <w:bCs/>
          <w:color w:val="000000"/>
          <w:sz w:val="32"/>
          <w:szCs w:val="32"/>
        </w:rPr>
        <w:t>住房保障</w:t>
      </w:r>
      <w:r>
        <w:rPr>
          <w:rStyle w:val="21"/>
          <w:rFonts w:hint="eastAsia" w:ascii="仿宋" w:hAnsi="仿宋" w:eastAsia="仿宋"/>
          <w:bCs/>
          <w:color w:val="000000"/>
          <w:sz w:val="32"/>
          <w:szCs w:val="32"/>
          <w:lang w:eastAsia="zh-CN"/>
        </w:rPr>
        <w:t>（</w:t>
      </w:r>
      <w:r>
        <w:rPr>
          <w:rStyle w:val="21"/>
          <w:rFonts w:hint="eastAsia" w:ascii="仿宋" w:hAnsi="仿宋" w:eastAsia="仿宋"/>
          <w:bCs/>
          <w:color w:val="000000"/>
          <w:sz w:val="32"/>
          <w:szCs w:val="32"/>
          <w:lang w:val="en-US" w:eastAsia="zh-CN"/>
        </w:rPr>
        <w:t>类</w:t>
      </w:r>
      <w:r>
        <w:rPr>
          <w:rStyle w:val="21"/>
          <w:rFonts w:hint="eastAsia" w:ascii="仿宋" w:hAnsi="仿宋" w:eastAsia="仿宋"/>
          <w:bCs/>
          <w:color w:val="000000"/>
          <w:sz w:val="32"/>
          <w:szCs w:val="32"/>
          <w:lang w:eastAsia="zh-CN"/>
        </w:rPr>
        <w:t>）</w:t>
      </w:r>
      <w:r>
        <w:rPr>
          <w:rStyle w:val="21"/>
          <w:rFonts w:hint="eastAsia" w:ascii="仿宋" w:hAnsi="仿宋" w:eastAsia="仿宋"/>
          <w:bCs/>
          <w:color w:val="000000"/>
          <w:sz w:val="32"/>
          <w:szCs w:val="32"/>
          <w:lang w:val="en-US" w:eastAsia="zh-CN"/>
        </w:rPr>
        <w:t>住房改革支出（款）住房公积金（项）</w:t>
      </w:r>
      <w:r>
        <w:rPr>
          <w:rStyle w:val="21"/>
          <w:rFonts w:hint="eastAsia" w:ascii="仿宋" w:hAnsi="仿宋" w:eastAsia="仿宋"/>
          <w:bCs/>
          <w:color w:val="000000"/>
          <w:sz w:val="32"/>
          <w:szCs w:val="32"/>
          <w:lang w:eastAsia="zh-CN"/>
        </w:rPr>
        <w:t>：</w:t>
      </w:r>
      <w:r>
        <w:rPr>
          <w:rStyle w:val="21"/>
          <w:rFonts w:hint="eastAsia" w:ascii="仿宋" w:hAnsi="仿宋" w:eastAsia="仿宋"/>
          <w:b w:val="0"/>
          <w:bCs/>
          <w:color w:val="auto"/>
          <w:sz w:val="32"/>
          <w:szCs w:val="32"/>
          <w:highlight w:val="none"/>
          <w:lang w:val="en-US" w:eastAsia="zh-CN"/>
        </w:rPr>
        <w:t>支出决算为119.7万元，完成预算100%。</w:t>
      </w:r>
    </w:p>
    <w:p w14:paraId="3898414E">
      <w:pPr>
        <w:pStyle w:val="24"/>
      </w:pPr>
    </w:p>
    <w:p w14:paraId="09FE5B63">
      <w:pPr>
        <w:tabs>
          <w:tab w:val="right" w:pos="8306"/>
        </w:tabs>
        <w:spacing w:line="600" w:lineRule="exact"/>
        <w:ind w:firstLine="640"/>
        <w:outlineLvl w:val="1"/>
        <w:rPr>
          <w:rStyle w:val="34"/>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般公共预算财政拨款基本支出决算情况说明</w:t>
      </w:r>
      <w:bookmarkEnd w:id="34"/>
      <w:bookmarkEnd w:id="35"/>
      <w:r>
        <w:rPr>
          <w:rStyle w:val="34"/>
          <w:rFonts w:ascii="黑体" w:hAnsi="黑体" w:eastAsia="黑体"/>
          <w:b w:val="0"/>
          <w:color w:val="auto"/>
          <w:highlight w:val="none"/>
        </w:rPr>
        <w:tab/>
      </w:r>
    </w:p>
    <w:p w14:paraId="1E55E471">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1748.08</w:t>
      </w:r>
      <w:r>
        <w:rPr>
          <w:rFonts w:hint="eastAsia" w:ascii="仿宋" w:hAnsi="仿宋" w:eastAsia="仿宋"/>
          <w:color w:val="auto"/>
          <w:sz w:val="32"/>
          <w:szCs w:val="32"/>
          <w:highlight w:val="none"/>
        </w:rPr>
        <w:t>万元，其中：</w:t>
      </w:r>
    </w:p>
    <w:p w14:paraId="4E6FA3F1">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1506.67</w:t>
      </w:r>
      <w:r>
        <w:rPr>
          <w:rFonts w:hint="eastAsia" w:ascii="仿宋" w:hAnsi="仿宋" w:eastAsia="仿宋"/>
          <w:color w:val="auto"/>
          <w:sz w:val="32"/>
          <w:szCs w:val="32"/>
          <w:highlight w:val="none"/>
        </w:rPr>
        <w:t>万元，主要包括：基本工资、津贴补贴、奖金、绩效工资、机关事业单位基本养老保险缴费、</w:t>
      </w:r>
      <w:r>
        <w:rPr>
          <w:rFonts w:hint="eastAsia" w:ascii="仿宋" w:hAnsi="仿宋" w:eastAsia="仿宋"/>
          <w:color w:val="auto"/>
          <w:sz w:val="32"/>
          <w:szCs w:val="32"/>
          <w:highlight w:val="none"/>
          <w:lang w:val="en-US" w:eastAsia="zh-CN"/>
        </w:rPr>
        <w:t>职工基本医疗保险缴费</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公务员医疗补助缴费、</w:t>
      </w:r>
      <w:r>
        <w:rPr>
          <w:rFonts w:hint="eastAsia" w:ascii="仿宋" w:hAnsi="仿宋" w:eastAsia="仿宋"/>
          <w:color w:val="auto"/>
          <w:sz w:val="32"/>
          <w:szCs w:val="32"/>
          <w:highlight w:val="none"/>
        </w:rPr>
        <w:t>其他社会保障缴费、住房公积金、其他工资福利支出、抚恤金、生活补助、其他对个人和家庭的补助支出等。</w:t>
      </w:r>
    </w:p>
    <w:p w14:paraId="2290BD34">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241.41</w:t>
      </w:r>
      <w:r>
        <w:rPr>
          <w:rFonts w:hint="eastAsia" w:ascii="仿宋" w:hAnsi="仿宋" w:eastAsia="仿宋"/>
          <w:color w:val="auto"/>
          <w:sz w:val="32"/>
          <w:szCs w:val="32"/>
          <w:highlight w:val="none"/>
        </w:rPr>
        <w:t>万元，主要包括：办公费、印刷费、水费、电费、邮电费、差旅费、维修（护）费、租赁费、会议费、培训费、公务接待费、劳务费、工会经费、福利费、公务用车运行维护费、其他交通费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办公设备购置等</w:t>
      </w:r>
      <w:r>
        <w:rPr>
          <w:rFonts w:hint="eastAsia" w:ascii="仿宋" w:hAnsi="仿宋" w:eastAsia="仿宋"/>
          <w:color w:val="auto"/>
          <w:sz w:val="32"/>
          <w:szCs w:val="32"/>
          <w:highlight w:val="none"/>
        </w:rPr>
        <w:t>。</w:t>
      </w:r>
    </w:p>
    <w:p w14:paraId="16C06485">
      <w:pPr>
        <w:pStyle w:val="24"/>
      </w:pPr>
    </w:p>
    <w:p w14:paraId="67BB2799">
      <w:pPr>
        <w:spacing w:line="600" w:lineRule="exact"/>
        <w:ind w:firstLine="640"/>
        <w:outlineLvl w:val="1"/>
        <w:rPr>
          <w:rStyle w:val="34"/>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34"/>
          <w:rFonts w:hint="eastAsia" w:ascii="黑体" w:hAnsi="黑体" w:eastAsia="黑体"/>
          <w:b w:val="0"/>
          <w:color w:val="auto"/>
          <w:highlight w:val="none"/>
        </w:rPr>
        <w:t>财政拨款</w:t>
      </w:r>
      <w:r>
        <w:rPr>
          <w:rStyle w:val="34"/>
          <w:rFonts w:hint="eastAsia" w:ascii="黑体" w:hAnsi="黑体" w:eastAsia="黑体"/>
          <w:color w:val="auto"/>
          <w:highlight w:val="none"/>
        </w:rPr>
        <w:t>“</w:t>
      </w:r>
      <w:r>
        <w:rPr>
          <w:rStyle w:val="34"/>
          <w:rFonts w:hint="eastAsia" w:ascii="黑体" w:hAnsi="黑体" w:eastAsia="黑体"/>
          <w:b w:val="0"/>
          <w:color w:val="auto"/>
          <w:highlight w:val="none"/>
        </w:rPr>
        <w:t>三公”经费支出决算情况说明</w:t>
      </w:r>
      <w:bookmarkEnd w:id="36"/>
      <w:bookmarkEnd w:id="37"/>
    </w:p>
    <w:p w14:paraId="2C4C977E">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6907E5F6">
      <w:pPr>
        <w:pageBreakBefore w:val="0"/>
        <w:kinsoku/>
        <w:wordWrap/>
        <w:overflowPunct/>
        <w:topLinePunct w:val="0"/>
        <w:bidi w:val="0"/>
        <w:spacing w:line="600" w:lineRule="exact"/>
        <w:ind w:firstLine="640" w:firstLineChars="200"/>
        <w:textAlignment w:val="auto"/>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43.45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减少2.79万元，下降6.03%，主要原因是厉行节约，控制开支</w:t>
      </w:r>
      <w:r>
        <w:rPr>
          <w:rFonts w:hint="eastAsia" w:ascii="仿宋" w:hAnsi="仿宋" w:eastAsia="仿宋"/>
          <w:color w:val="auto"/>
          <w:sz w:val="32"/>
          <w:szCs w:val="32"/>
          <w:highlight w:val="none"/>
        </w:rPr>
        <w:t>。</w:t>
      </w:r>
    </w:p>
    <w:p w14:paraId="74A70576">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07F62CA3">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_GB2312" w:hAnsi="仿宋" w:eastAsia="仿宋_GB2312"/>
          <w:color w:val="000000"/>
          <w:sz w:val="32"/>
          <w:szCs w:val="32"/>
        </w:rPr>
        <w:t>占0%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31.97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73.58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11.48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26.42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6EDA4DD">
      <w:pPr>
        <w:pStyle w:val="10"/>
        <w:rPr>
          <w:rFonts w:hint="eastAsia" w:ascii="仿宋" w:hAnsi="仿宋" w:eastAsia="仿宋"/>
          <w:color w:val="auto"/>
          <w:sz w:val="32"/>
          <w:szCs w:val="32"/>
          <w:highlight w:val="none"/>
        </w:rPr>
      </w:pPr>
      <w:r>
        <w:drawing>
          <wp:inline distT="0" distB="0" distL="114300" distR="114300">
            <wp:extent cx="5269230" cy="2625090"/>
            <wp:effectExtent l="4445" t="4445" r="22225" b="18415"/>
            <wp:docPr id="114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5A69BA">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47B2B055">
      <w:pPr>
        <w:spacing w:line="600" w:lineRule="exact"/>
        <w:ind w:firstLine="640"/>
        <w:rPr>
          <w:rFonts w:ascii="仿宋_GB2312" w:eastAsia="仿宋_GB2312"/>
          <w:b/>
          <w:color w:val="auto"/>
          <w:sz w:val="32"/>
          <w:szCs w:val="32"/>
          <w:highlight w:val="none"/>
        </w:rPr>
      </w:pPr>
      <w:r>
        <w:rPr>
          <w:rFonts w:hint="eastAsia" w:ascii="仿宋" w:hAnsi="仿宋" w:eastAsia="仿宋"/>
          <w:color w:val="auto"/>
          <w:sz w:val="32"/>
          <w:szCs w:val="32"/>
          <w:highlight w:val="none"/>
        </w:rPr>
        <w:t>1.因公出国（境）经费支出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%。全年安排因公出国（境）团组</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次，出国（境）</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人。因公出国（境）支出决算比</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lang w:val="en-US" w:eastAsia="zh-CN"/>
        </w:rPr>
        <w:t>度持平</w:t>
      </w:r>
      <w:r>
        <w:rPr>
          <w:rFonts w:hint="eastAsia" w:ascii="仿宋" w:hAnsi="仿宋" w:eastAsia="仿宋"/>
          <w:color w:val="auto"/>
          <w:sz w:val="32"/>
          <w:szCs w:val="32"/>
          <w:highlight w:val="none"/>
        </w:rPr>
        <w:t>。</w:t>
      </w:r>
    </w:p>
    <w:p w14:paraId="1C9266FA">
      <w:pPr>
        <w:spacing w:line="600" w:lineRule="exact"/>
        <w:ind w:firstLine="640"/>
        <w:rPr>
          <w:rFonts w:ascii="仿宋_GB2312" w:eastAsia="仿宋_GB2312"/>
          <w:b/>
          <w:color w:val="auto"/>
          <w:sz w:val="32"/>
          <w:szCs w:val="32"/>
          <w:highlight w:val="none"/>
        </w:rPr>
      </w:pPr>
      <w:r>
        <w:rPr>
          <w:rFonts w:hint="eastAsia" w:ascii="仿宋" w:hAnsi="仿宋" w:eastAsia="仿宋"/>
          <w:color w:val="auto"/>
          <w:sz w:val="32"/>
          <w:szCs w:val="32"/>
          <w:highlight w:val="none"/>
        </w:rPr>
        <w:t>2.公务用车购置及运行维护费支出</w:t>
      </w:r>
      <w:r>
        <w:rPr>
          <w:rFonts w:hint="eastAsia" w:ascii="仿宋" w:hAnsi="仿宋" w:eastAsia="仿宋"/>
          <w:color w:val="auto"/>
          <w:sz w:val="32"/>
          <w:szCs w:val="32"/>
          <w:highlight w:val="none"/>
          <w:lang w:val="en-US" w:eastAsia="zh-CN"/>
        </w:rPr>
        <w:t>31.97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%。公务用车购置及运行维护费支出决算比</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lang w:val="en-US" w:eastAsia="zh-CN"/>
        </w:rPr>
        <w:t>度减少5.21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下降14.01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厉行节约，控制开支</w:t>
      </w:r>
      <w:r>
        <w:rPr>
          <w:rFonts w:hint="eastAsia" w:ascii="仿宋" w:hAnsi="仿宋" w:eastAsia="仿宋"/>
          <w:color w:val="auto"/>
          <w:sz w:val="32"/>
          <w:szCs w:val="32"/>
          <w:highlight w:val="none"/>
        </w:rPr>
        <w:t>。</w:t>
      </w:r>
    </w:p>
    <w:p w14:paraId="14F92CDA">
      <w:pPr>
        <w:spacing w:line="600" w:lineRule="exact"/>
        <w:ind w:firstLine="640" w:firstLineChars="200"/>
        <w:rPr>
          <w:rFonts w:ascii="仿宋_GB2312" w:eastAsia="仿宋_GB2312"/>
          <w:b/>
          <w:color w:val="auto"/>
          <w:sz w:val="32"/>
          <w:szCs w:val="32"/>
          <w:highlight w:val="none"/>
        </w:rPr>
      </w:pPr>
      <w:r>
        <w:rPr>
          <w:rFonts w:hint="eastAsia" w:ascii="仿宋" w:hAnsi="仿宋" w:eastAsia="仿宋"/>
          <w:color w:val="auto"/>
          <w:sz w:val="32"/>
          <w:szCs w:val="32"/>
          <w:highlight w:val="none"/>
        </w:rPr>
        <w:t>其中：公务用车购置支出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万元。全年按规定更新购置公务用车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辆，其中：轿车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辆、金额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万元，越野车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辆、金额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万元，载客汽车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辆、金额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万元。截至20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年12月底，单位共有公务用车</w:t>
      </w:r>
      <w:r>
        <w:rPr>
          <w:rFonts w:hint="eastAsia" w:ascii="仿宋" w:hAnsi="仿宋" w:eastAsia="仿宋"/>
          <w:color w:val="auto"/>
          <w:sz w:val="32"/>
          <w:szCs w:val="32"/>
          <w:highlight w:val="none"/>
          <w:lang w:val="en-US" w:eastAsia="zh-CN"/>
        </w:rPr>
        <w:t>16</w:t>
      </w:r>
      <w:r>
        <w:rPr>
          <w:rFonts w:hint="eastAsia" w:ascii="仿宋" w:hAnsi="仿宋" w:eastAsia="仿宋"/>
          <w:color w:val="auto"/>
          <w:sz w:val="32"/>
          <w:szCs w:val="32"/>
          <w:highlight w:val="none"/>
        </w:rPr>
        <w:t>辆，其中：轿车</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辆、越野车</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辆、其他小型客车</w:t>
      </w:r>
      <w:r>
        <w:rPr>
          <w:rFonts w:hint="eastAsia" w:ascii="仿宋" w:hAnsi="仿宋" w:eastAsia="仿宋"/>
          <w:color w:val="auto"/>
          <w:sz w:val="32"/>
          <w:szCs w:val="32"/>
          <w:highlight w:val="none"/>
          <w:lang w:val="en-US" w:eastAsia="zh-CN"/>
        </w:rPr>
        <w:t>6辆，</w:t>
      </w:r>
      <w:r>
        <w:rPr>
          <w:rFonts w:hint="eastAsia" w:ascii="仿宋" w:hAnsi="仿宋" w:eastAsia="仿宋"/>
          <w:color w:val="auto"/>
          <w:sz w:val="32"/>
          <w:szCs w:val="32"/>
          <w:highlight w:val="none"/>
        </w:rPr>
        <w:t>中型客车</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辆。</w:t>
      </w:r>
    </w:p>
    <w:p w14:paraId="117E93CF">
      <w:pPr>
        <w:spacing w:line="600" w:lineRule="exact"/>
        <w:ind w:firstLine="640"/>
        <w:rPr>
          <w:rFonts w:ascii="仿宋_GB2312" w:eastAsia="仿宋_GB2312"/>
          <w:color w:val="auto"/>
          <w:sz w:val="32"/>
          <w:szCs w:val="32"/>
          <w:highlight w:val="none"/>
        </w:rPr>
      </w:pPr>
      <w:r>
        <w:rPr>
          <w:rFonts w:hint="eastAsia" w:ascii="仿宋" w:hAnsi="仿宋" w:eastAsia="仿宋"/>
          <w:color w:val="auto"/>
          <w:sz w:val="32"/>
          <w:szCs w:val="32"/>
          <w:highlight w:val="none"/>
        </w:rPr>
        <w:t>公务用车运行维护费支出</w:t>
      </w:r>
      <w:r>
        <w:rPr>
          <w:rFonts w:hint="eastAsia" w:ascii="仿宋" w:hAnsi="仿宋" w:eastAsia="仿宋"/>
          <w:color w:val="auto"/>
          <w:sz w:val="32"/>
          <w:szCs w:val="32"/>
          <w:highlight w:val="none"/>
          <w:lang w:val="en-US" w:eastAsia="zh-CN"/>
        </w:rPr>
        <w:t>31.97</w:t>
      </w:r>
      <w:r>
        <w:rPr>
          <w:rFonts w:hint="eastAsia" w:ascii="仿宋" w:hAnsi="仿宋" w:eastAsia="仿宋"/>
          <w:color w:val="auto"/>
          <w:sz w:val="32"/>
          <w:szCs w:val="32"/>
          <w:highlight w:val="none"/>
        </w:rPr>
        <w:t>万元。主要用于执法执勤用车、特种专业技术用车开展执法办案及抽验检测等所需的公务用车燃料费、维修费、过路过桥费、保险费等支出。</w:t>
      </w:r>
    </w:p>
    <w:p w14:paraId="67770587">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3.公务接待费支出</w:t>
      </w:r>
      <w:r>
        <w:rPr>
          <w:rFonts w:hint="eastAsia" w:ascii="仿宋" w:hAnsi="仿宋" w:eastAsia="仿宋"/>
          <w:color w:val="auto"/>
          <w:sz w:val="32"/>
          <w:szCs w:val="32"/>
          <w:highlight w:val="none"/>
          <w:lang w:val="en-US" w:eastAsia="zh-CN"/>
        </w:rPr>
        <w:t>11.48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%。公务接待费支出</w:t>
      </w:r>
      <w:r>
        <w:rPr>
          <w:rFonts w:hint="eastAsia" w:ascii="仿宋" w:hAnsi="仿宋" w:eastAsia="仿宋"/>
          <w:color w:val="auto"/>
          <w:sz w:val="32"/>
          <w:szCs w:val="32"/>
          <w:highlight w:val="none"/>
          <w:lang w:val="en-US" w:eastAsia="zh-CN"/>
        </w:rPr>
        <w:t>决算</w:t>
      </w:r>
      <w:r>
        <w:rPr>
          <w:rFonts w:hint="eastAsia" w:ascii="仿宋" w:hAnsi="仿宋" w:eastAsia="仿宋"/>
          <w:color w:val="auto"/>
          <w:sz w:val="32"/>
          <w:szCs w:val="32"/>
          <w:highlight w:val="none"/>
        </w:rPr>
        <w:t>比</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lang w:val="en-US" w:eastAsia="zh-CN"/>
        </w:rPr>
        <w:t>度增加2.42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增长26.71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业务量增加</w:t>
      </w:r>
      <w:r>
        <w:rPr>
          <w:rFonts w:hint="eastAsia" w:ascii="仿宋" w:hAnsi="仿宋" w:eastAsia="仿宋"/>
          <w:color w:val="auto"/>
          <w:sz w:val="32"/>
          <w:szCs w:val="32"/>
          <w:highlight w:val="none"/>
        </w:rPr>
        <w:t>。其中：</w:t>
      </w:r>
    </w:p>
    <w:p w14:paraId="033BC34D">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国内公务接待支出</w:t>
      </w:r>
      <w:r>
        <w:rPr>
          <w:rFonts w:hint="eastAsia" w:ascii="仿宋" w:hAnsi="仿宋" w:eastAsia="仿宋"/>
          <w:color w:val="auto"/>
          <w:sz w:val="32"/>
          <w:szCs w:val="32"/>
          <w:highlight w:val="none"/>
          <w:lang w:val="en-US" w:eastAsia="zh-CN"/>
        </w:rPr>
        <w:t>11.48</w:t>
      </w:r>
      <w:r>
        <w:rPr>
          <w:rFonts w:hint="eastAsia" w:ascii="仿宋" w:hAnsi="仿宋" w:eastAsia="仿宋"/>
          <w:color w:val="auto"/>
          <w:sz w:val="32"/>
          <w:szCs w:val="32"/>
          <w:highlight w:val="none"/>
        </w:rPr>
        <w:t>万元，主要用于我单位执行公务、开展业务活动开支的用餐费。国内公务接待</w:t>
      </w:r>
      <w:r>
        <w:rPr>
          <w:rFonts w:hint="eastAsia" w:ascii="仿宋" w:hAnsi="仿宋" w:eastAsia="仿宋"/>
          <w:color w:val="auto"/>
          <w:sz w:val="32"/>
          <w:szCs w:val="32"/>
          <w:highlight w:val="none"/>
          <w:lang w:val="en-US" w:eastAsia="zh-CN"/>
        </w:rPr>
        <w:t>197</w:t>
      </w:r>
      <w:r>
        <w:rPr>
          <w:rFonts w:hint="eastAsia" w:ascii="仿宋" w:hAnsi="仿宋" w:eastAsia="仿宋"/>
          <w:color w:val="auto"/>
          <w:sz w:val="32"/>
          <w:szCs w:val="32"/>
          <w:highlight w:val="none"/>
        </w:rPr>
        <w:t>批次，</w:t>
      </w:r>
      <w:r>
        <w:rPr>
          <w:rFonts w:hint="eastAsia" w:ascii="仿宋" w:hAnsi="仿宋" w:eastAsia="仿宋"/>
          <w:color w:val="auto"/>
          <w:sz w:val="32"/>
          <w:szCs w:val="32"/>
          <w:highlight w:val="none"/>
          <w:lang w:val="en-US" w:eastAsia="zh-CN"/>
        </w:rPr>
        <w:t>1102</w:t>
      </w:r>
      <w:r>
        <w:rPr>
          <w:rFonts w:hint="eastAsia" w:ascii="仿宋" w:hAnsi="仿宋" w:eastAsia="仿宋"/>
          <w:color w:val="auto"/>
          <w:sz w:val="32"/>
          <w:szCs w:val="32"/>
          <w:highlight w:val="none"/>
        </w:rPr>
        <w:t>人次（不包括陪同人员），共计支出</w:t>
      </w:r>
      <w:r>
        <w:rPr>
          <w:rFonts w:hint="eastAsia" w:ascii="仿宋" w:hAnsi="仿宋" w:eastAsia="仿宋"/>
          <w:color w:val="auto"/>
          <w:sz w:val="32"/>
          <w:szCs w:val="32"/>
          <w:highlight w:val="none"/>
          <w:lang w:val="en-US" w:eastAsia="zh-CN"/>
        </w:rPr>
        <w:t>11.48</w:t>
      </w:r>
      <w:r>
        <w:rPr>
          <w:rFonts w:hint="eastAsia" w:ascii="仿宋" w:hAnsi="仿宋" w:eastAsia="仿宋"/>
          <w:color w:val="auto"/>
          <w:sz w:val="32"/>
          <w:szCs w:val="32"/>
          <w:highlight w:val="none"/>
        </w:rPr>
        <w:t>万元，具体内容包括市局莅临我局检查春雷行动、</w:t>
      </w:r>
      <w:r>
        <w:rPr>
          <w:rFonts w:hint="eastAsia" w:ascii="仿宋" w:hAnsi="仿宋" w:eastAsia="仿宋"/>
          <w:color w:val="auto"/>
          <w:sz w:val="32"/>
          <w:szCs w:val="32"/>
          <w:highlight w:val="none"/>
          <w:lang w:val="en-US" w:eastAsia="zh-CN"/>
        </w:rPr>
        <w:t>市场监管执法，药品食品特种设备安全检查等</w:t>
      </w:r>
      <w:r>
        <w:rPr>
          <w:rFonts w:hint="eastAsia" w:ascii="仿宋" w:hAnsi="仿宋" w:eastAsia="仿宋"/>
          <w:color w:val="auto"/>
          <w:sz w:val="32"/>
          <w:szCs w:val="32"/>
          <w:highlight w:val="none"/>
        </w:rPr>
        <w:t>。</w:t>
      </w:r>
    </w:p>
    <w:p w14:paraId="3CDA38EB">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外事接待</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批次，</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w:t>
      </w:r>
      <w:r>
        <w:rPr>
          <w:rFonts w:hint="eastAsia" w:ascii="仿宋" w:hAnsi="仿宋" w:eastAsia="仿宋"/>
          <w:color w:val="auto"/>
          <w:sz w:val="32"/>
          <w:szCs w:val="32"/>
          <w:highlight w:val="none"/>
          <w:lang w:eastAsia="zh-CN"/>
        </w:rPr>
        <w:t>次（不包括陪同人员）</w:t>
      </w:r>
      <w:r>
        <w:rPr>
          <w:rFonts w:hint="eastAsia" w:ascii="仿宋" w:hAnsi="仿宋" w:eastAsia="仿宋"/>
          <w:color w:val="auto"/>
          <w:sz w:val="32"/>
          <w:szCs w:val="32"/>
          <w:highlight w:val="none"/>
        </w:rPr>
        <w:t>，共计支出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bookmarkStart w:id="40" w:name="_Toc15377218"/>
      <w:bookmarkStart w:id="41" w:name="_Toc15396610"/>
    </w:p>
    <w:p w14:paraId="1DBB6CB9">
      <w:pPr>
        <w:spacing w:line="600" w:lineRule="exact"/>
        <w:ind w:firstLine="640"/>
        <w:outlineLvl w:val="1"/>
        <w:rPr>
          <w:rStyle w:val="34"/>
          <w:rFonts w:ascii="黑体" w:hAnsi="黑体" w:eastAsia="黑体"/>
          <w:color w:val="auto"/>
          <w:highlight w:val="none"/>
        </w:rPr>
      </w:pPr>
      <w:r>
        <w:rPr>
          <w:rFonts w:hint="eastAsia" w:ascii="黑体" w:eastAsia="黑体"/>
          <w:color w:val="auto"/>
          <w:sz w:val="32"/>
          <w:szCs w:val="32"/>
          <w:highlight w:val="none"/>
        </w:rPr>
        <w:t>八、</w:t>
      </w:r>
      <w:r>
        <w:rPr>
          <w:rStyle w:val="34"/>
          <w:rFonts w:hint="eastAsia" w:ascii="黑体" w:hAnsi="黑体" w:eastAsia="黑体"/>
          <w:b w:val="0"/>
          <w:color w:val="auto"/>
          <w:highlight w:val="none"/>
        </w:rPr>
        <w:t>政府性基金预算支出决算情况说明</w:t>
      </w:r>
      <w:bookmarkEnd w:id="40"/>
      <w:bookmarkEnd w:id="41"/>
    </w:p>
    <w:p w14:paraId="3F6BA752">
      <w:pPr>
        <w:spacing w:line="600" w:lineRule="exact"/>
        <w:ind w:firstLine="640"/>
        <w:rPr>
          <w:rFonts w:ascii="仿宋_GB2312" w:eastAsia="仿宋_GB2312"/>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政府性基金预算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Fonts w:hint="eastAsia" w:ascii="仿宋" w:hAnsi="仿宋" w:eastAsia="仿宋"/>
          <w:color w:val="auto"/>
          <w:sz w:val="32"/>
          <w:szCs w:val="32"/>
          <w:highlight w:val="none"/>
          <w:lang w:val="en-US" w:eastAsia="zh-CN"/>
        </w:rPr>
        <w:t>34</w:t>
      </w:r>
      <w:r>
        <w:rPr>
          <w:rFonts w:hint="eastAsia" w:ascii="仿宋" w:hAnsi="仿宋" w:eastAsia="仿宋"/>
          <w:color w:val="auto"/>
          <w:sz w:val="32"/>
          <w:szCs w:val="32"/>
          <w:highlight w:val="none"/>
        </w:rPr>
        <w:t>万元。</w:t>
      </w:r>
    </w:p>
    <w:p w14:paraId="3A3A7ECF">
      <w:pPr>
        <w:spacing w:line="600" w:lineRule="exact"/>
        <w:ind w:firstLine="640"/>
        <w:rPr>
          <w:rFonts w:ascii="仿宋_GB2312" w:eastAsia="仿宋_GB2312"/>
          <w:color w:val="auto"/>
          <w:sz w:val="32"/>
          <w:szCs w:val="32"/>
          <w:highlight w:val="none"/>
        </w:rPr>
      </w:pPr>
    </w:p>
    <w:p w14:paraId="42D70196">
      <w:pPr>
        <w:numPr>
          <w:ilvl w:val="0"/>
          <w:numId w:val="4"/>
        </w:numPr>
        <w:spacing w:line="600" w:lineRule="exact"/>
        <w:ind w:firstLine="640"/>
        <w:outlineLvl w:val="1"/>
        <w:rPr>
          <w:rStyle w:val="34"/>
          <w:rFonts w:ascii="黑体" w:hAnsi="黑体" w:eastAsia="黑体"/>
          <w:b w:val="0"/>
          <w:color w:val="auto"/>
          <w:highlight w:val="none"/>
        </w:rPr>
      </w:pPr>
      <w:bookmarkStart w:id="42" w:name="_Toc15377219"/>
      <w:bookmarkStart w:id="43" w:name="_Toc15396611"/>
      <w:r>
        <w:rPr>
          <w:rStyle w:val="34"/>
          <w:rFonts w:hint="eastAsia" w:ascii="黑体" w:hAnsi="黑体" w:eastAsia="黑体"/>
          <w:b w:val="0"/>
          <w:color w:val="auto"/>
          <w:highlight w:val="none"/>
        </w:rPr>
        <w:t>国有资本经营预算支出决算情况说明</w:t>
      </w:r>
      <w:bookmarkEnd w:id="42"/>
      <w:bookmarkEnd w:id="43"/>
    </w:p>
    <w:p w14:paraId="2B86DF78">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国有资本经营预算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14:paraId="31DD772D">
      <w:pPr>
        <w:spacing w:line="580" w:lineRule="exact"/>
        <w:jc w:val="center"/>
        <w:rPr>
          <w:rFonts w:ascii="方正小标宋简体" w:hAnsi="方正小标宋简体" w:eastAsia="方正小标宋简体" w:cs="方正小标宋简体"/>
          <w:color w:val="auto"/>
          <w:sz w:val="44"/>
          <w:szCs w:val="44"/>
          <w:highlight w:val="none"/>
        </w:rPr>
      </w:pPr>
    </w:p>
    <w:p w14:paraId="04EE61CF">
      <w:pPr>
        <w:numPr>
          <w:ilvl w:val="0"/>
          <w:numId w:val="4"/>
        </w:numPr>
        <w:spacing w:line="600" w:lineRule="exact"/>
        <w:ind w:firstLine="640"/>
        <w:outlineLvl w:val="1"/>
        <w:rPr>
          <w:rStyle w:val="34"/>
          <w:rFonts w:hint="eastAsia" w:ascii="黑体" w:hAnsi="黑体" w:eastAsia="黑体"/>
          <w:b w:val="0"/>
          <w:color w:val="auto"/>
          <w:highlight w:val="none"/>
        </w:rPr>
      </w:pPr>
      <w:bookmarkStart w:id="44" w:name="_Toc15396612"/>
      <w:bookmarkStart w:id="45" w:name="_Toc15377221"/>
      <w:r>
        <w:rPr>
          <w:rStyle w:val="34"/>
          <w:rFonts w:hint="eastAsia" w:ascii="黑体" w:hAnsi="黑体" w:eastAsia="黑体"/>
          <w:b w:val="0"/>
          <w:color w:val="auto"/>
          <w:highlight w:val="none"/>
        </w:rPr>
        <w:t>其他重要事项的情况说明</w:t>
      </w:r>
      <w:bookmarkEnd w:id="44"/>
      <w:bookmarkEnd w:id="45"/>
    </w:p>
    <w:p w14:paraId="4D31EADC">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1F14E5C3">
      <w:pP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，区市场监管局机关运行经费支出</w:t>
      </w:r>
      <w:r>
        <w:rPr>
          <w:rFonts w:hint="eastAsia" w:ascii="仿宋" w:hAnsi="仿宋" w:eastAsia="仿宋"/>
          <w:color w:val="auto"/>
          <w:sz w:val="32"/>
          <w:szCs w:val="32"/>
          <w:highlight w:val="none"/>
          <w:lang w:val="en-US" w:eastAsia="zh-CN"/>
        </w:rPr>
        <w:t>241.41</w:t>
      </w:r>
      <w:r>
        <w:rPr>
          <w:rFonts w:hint="eastAsia" w:ascii="仿宋" w:hAnsi="仿宋" w:eastAsia="仿宋"/>
          <w:color w:val="auto"/>
          <w:sz w:val="32"/>
          <w:szCs w:val="32"/>
          <w:highlight w:val="none"/>
        </w:rPr>
        <w:t>万元，比</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lang w:val="en-US" w:eastAsia="zh-CN"/>
        </w:rPr>
        <w:t>度增加32.13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增长15.35</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增加业务工作量和办公设备购置</w:t>
      </w:r>
      <w:r>
        <w:rPr>
          <w:rFonts w:hint="eastAsia" w:ascii="仿宋" w:hAnsi="仿宋" w:eastAsia="仿宋"/>
          <w:color w:val="auto"/>
          <w:sz w:val="32"/>
          <w:szCs w:val="32"/>
          <w:highlight w:val="none"/>
          <w:lang w:eastAsia="zh-CN"/>
        </w:rPr>
        <w:t>。</w:t>
      </w:r>
    </w:p>
    <w:p w14:paraId="1BCBFCD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3937F33D">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，区市场监管局政府采购支出总额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万元，其中：政府采购货物支出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万元、政府采购工程支出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万元、政府采购服务支出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万元。授予中小企业合同金额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万元，占政府采购支出总额的</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%，其中：授予小微企业合同金额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万元，占政府采购支出总额的</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14:paraId="39CCCF5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119B7EDF">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 w:hAnsi="仿宋" w:eastAsia="仿宋"/>
          <w:color w:val="auto"/>
          <w:sz w:val="32"/>
          <w:szCs w:val="32"/>
          <w:highlight w:val="none"/>
        </w:rPr>
        <w:t>截至20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年12月31日，区市场监管局共有车辆</w:t>
      </w:r>
      <w:r>
        <w:rPr>
          <w:rFonts w:hint="eastAsia" w:ascii="仿宋" w:hAnsi="仿宋" w:eastAsia="仿宋"/>
          <w:color w:val="auto"/>
          <w:sz w:val="32"/>
          <w:szCs w:val="32"/>
          <w:highlight w:val="none"/>
          <w:lang w:val="en-US" w:eastAsia="zh-CN"/>
        </w:rPr>
        <w:t>16</w:t>
      </w:r>
      <w:r>
        <w:rPr>
          <w:rFonts w:hint="eastAsia" w:ascii="仿宋" w:hAnsi="仿宋" w:eastAsia="仿宋"/>
          <w:color w:val="auto"/>
          <w:sz w:val="32"/>
          <w:szCs w:val="32"/>
          <w:highlight w:val="none"/>
        </w:rPr>
        <w:t>辆，其中：执法执勤用车15辆、特种专业技术用车1辆</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单价100万元以上专用设备</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台（套）。</w:t>
      </w:r>
    </w:p>
    <w:p w14:paraId="25D0BCF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60C1241E">
      <w:pPr>
        <w:autoSpaceDE w:val="0"/>
        <w:autoSpaceDN w:val="0"/>
        <w:adjustRightInd w:val="0"/>
        <w:spacing w:line="600" w:lineRule="exact"/>
        <w:ind w:firstLine="640"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根据预算绩效管理要求，本部门在</w:t>
      </w:r>
      <w:r>
        <w:rPr>
          <w:rFonts w:hint="eastAsia" w:ascii="仿宋" w:hAnsi="仿宋" w:eastAsia="仿宋"/>
          <w:color w:val="auto"/>
          <w:sz w:val="32"/>
          <w:szCs w:val="32"/>
          <w:highlight w:val="none"/>
          <w:lang w:eastAsia="zh-CN"/>
        </w:rPr>
        <w:t>2023年度</w:t>
      </w:r>
      <w:r>
        <w:rPr>
          <w:rFonts w:hint="eastAsia" w:ascii="仿宋" w:hAnsi="仿宋" w:eastAsia="仿宋"/>
          <w:color w:val="auto"/>
          <w:sz w:val="32"/>
          <w:szCs w:val="32"/>
          <w:highlight w:val="none"/>
        </w:rPr>
        <w:t>预算编制阶段，组织对</w:t>
      </w:r>
      <w:r>
        <w:rPr>
          <w:rFonts w:hint="eastAsia" w:ascii="仿宋" w:hAnsi="仿宋" w:eastAsia="仿宋"/>
          <w:color w:val="auto"/>
          <w:sz w:val="32"/>
          <w:szCs w:val="32"/>
          <w:highlight w:val="none"/>
          <w:lang w:val="en-US" w:eastAsia="zh-CN"/>
        </w:rPr>
        <w:t>食品监督抽检</w:t>
      </w:r>
      <w:r>
        <w:rPr>
          <w:rFonts w:hint="eastAsia" w:ascii="仿宋" w:hAnsi="仿宋" w:eastAsia="仿宋"/>
          <w:color w:val="auto"/>
          <w:sz w:val="32"/>
          <w:szCs w:val="32"/>
          <w:highlight w:val="none"/>
        </w:rPr>
        <w:t>项目开展了预算事前绩效评估，对</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个项目编制了绩效目标</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预算执行过程中，选取</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个项目开展绩效监控</w:t>
      </w:r>
      <w:r>
        <w:rPr>
          <w:rFonts w:hint="eastAsia" w:ascii="仿宋" w:hAnsi="仿宋" w:eastAsia="仿宋"/>
          <w:color w:val="auto"/>
          <w:sz w:val="32"/>
          <w:szCs w:val="32"/>
          <w:highlight w:val="none"/>
          <w:lang w:eastAsia="zh-CN"/>
        </w:rPr>
        <w:t>。</w:t>
      </w:r>
    </w:p>
    <w:p w14:paraId="665EFBFF">
      <w:pPr>
        <w:autoSpaceDE w:val="0"/>
        <w:autoSpaceDN w:val="0"/>
        <w:adjustRightInd w:val="0"/>
        <w:spacing w:line="60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olor w:val="auto"/>
          <w:sz w:val="32"/>
          <w:szCs w:val="32"/>
          <w:highlight w:val="none"/>
        </w:rPr>
        <w:t>组织对</w:t>
      </w:r>
      <w:r>
        <w:rPr>
          <w:rFonts w:hint="eastAsia" w:ascii="仿宋" w:hAnsi="仿宋" w:eastAsia="仿宋"/>
          <w:color w:val="auto"/>
          <w:sz w:val="32"/>
          <w:szCs w:val="32"/>
          <w:highlight w:val="none"/>
          <w:lang w:eastAsia="zh-CN"/>
        </w:rPr>
        <w:t>2023年度</w:t>
      </w:r>
      <w:r>
        <w:rPr>
          <w:rFonts w:hint="eastAsia" w:ascii="仿宋" w:hAnsi="仿宋" w:eastAsia="仿宋"/>
          <w:color w:val="auto"/>
          <w:sz w:val="32"/>
          <w:szCs w:val="32"/>
          <w:highlight w:val="none"/>
        </w:rPr>
        <w:t>一般公共预算、政府性基金预算、国有资本经营预算、社会保险基金预算以及资本资产、债券资金等全面开</w:t>
      </w:r>
      <w:bookmarkStart w:id="67" w:name="_GoBack"/>
      <w:bookmarkEnd w:id="67"/>
      <w:r>
        <w:rPr>
          <w:rFonts w:hint="eastAsia" w:ascii="仿宋" w:hAnsi="仿宋" w:eastAsia="仿宋"/>
          <w:color w:val="auto"/>
          <w:sz w:val="32"/>
          <w:szCs w:val="32"/>
          <w:highlight w:val="none"/>
        </w:rPr>
        <w:t>展绩效自评，形成</w:t>
      </w:r>
      <w:r>
        <w:rPr>
          <w:rFonts w:hint="eastAsia" w:ascii="仿宋" w:hAnsi="仿宋" w:eastAsia="仿宋"/>
          <w:color w:val="auto"/>
          <w:sz w:val="32"/>
          <w:szCs w:val="32"/>
          <w:highlight w:val="none"/>
          <w:lang w:val="en-US" w:eastAsia="zh-CN"/>
        </w:rPr>
        <w:t>安居区市场监督管理局</w:t>
      </w:r>
      <w:r>
        <w:rPr>
          <w:rFonts w:hint="eastAsia" w:ascii="仿宋" w:hAnsi="仿宋" w:eastAsia="仿宋"/>
          <w:color w:val="auto"/>
          <w:sz w:val="32"/>
          <w:szCs w:val="32"/>
          <w:highlight w:val="none"/>
        </w:rPr>
        <w:t>部门整体（含部门预算项目）绩效自评报告、</w:t>
      </w:r>
      <w:r>
        <w:rPr>
          <w:rFonts w:hint="eastAsia" w:ascii="仿宋" w:hAnsi="仿宋" w:eastAsia="仿宋"/>
          <w:color w:val="auto"/>
          <w:sz w:val="32"/>
          <w:szCs w:val="32"/>
          <w:highlight w:val="none"/>
          <w:lang w:val="en-US" w:eastAsia="zh-CN"/>
        </w:rPr>
        <w:t>创建省级食品安全示范县经费、</w:t>
      </w:r>
      <w:r>
        <w:rPr>
          <w:rFonts w:hint="eastAsia" w:ascii="仿宋" w:hAnsi="仿宋" w:eastAsia="仿宋" w:cs="仿宋"/>
          <w:color w:val="auto"/>
          <w:sz w:val="32"/>
          <w:szCs w:val="32"/>
          <w:lang w:val="en-US" w:eastAsia="zh-CN"/>
        </w:rPr>
        <w:t>食品监督抽检经</w:t>
      </w:r>
      <w:r>
        <w:rPr>
          <w:rFonts w:hint="eastAsia" w:ascii="仿宋" w:hAnsi="仿宋" w:eastAsia="仿宋" w:cs="Times New Roman"/>
          <w:color w:val="auto"/>
          <w:sz w:val="32"/>
          <w:szCs w:val="32"/>
          <w:highlight w:val="none"/>
          <w:lang w:val="en-US" w:eastAsia="zh-CN"/>
        </w:rPr>
        <w:t>费、</w:t>
      </w:r>
      <w:r>
        <w:rPr>
          <w:rFonts w:hint="eastAsia" w:ascii="仿宋" w:hAnsi="仿宋" w:eastAsia="仿宋" w:cs="仿宋"/>
          <w:color w:val="auto"/>
          <w:sz w:val="32"/>
          <w:szCs w:val="32"/>
          <w:lang w:val="en-US" w:eastAsia="zh-CN"/>
        </w:rPr>
        <w:t>食品药品等安全监管经费、特种设备安全监察、</w:t>
      </w:r>
      <w:r>
        <w:rPr>
          <w:rFonts w:hint="eastAsia" w:ascii="仿宋" w:hAnsi="仿宋" w:eastAsia="仿宋"/>
          <w:color w:val="auto"/>
          <w:sz w:val="32"/>
          <w:szCs w:val="32"/>
          <w:highlight w:val="none"/>
          <w:lang w:val="en-US" w:eastAsia="zh-CN"/>
        </w:rPr>
        <w:t>执法办案、</w:t>
      </w:r>
      <w:r>
        <w:rPr>
          <w:rFonts w:hint="eastAsia" w:ascii="仿宋" w:hAnsi="仿宋" w:eastAsia="仿宋" w:cs="仿宋"/>
          <w:color w:val="auto"/>
          <w:sz w:val="32"/>
          <w:szCs w:val="32"/>
          <w:lang w:val="en-US" w:eastAsia="zh-CN"/>
        </w:rPr>
        <w:t>省级药品监管专项资金、省级市场监管专项资金、中央食品监管补助资金、第二批省级知识产权专项资金</w:t>
      </w:r>
      <w:r>
        <w:rPr>
          <w:rFonts w:hint="eastAsia" w:ascii="仿宋" w:hAnsi="仿宋" w:eastAsia="仿宋"/>
          <w:color w:val="auto"/>
          <w:sz w:val="32"/>
          <w:szCs w:val="32"/>
          <w:highlight w:val="none"/>
        </w:rPr>
        <w:t>等</w:t>
      </w:r>
      <w:r>
        <w:rPr>
          <w:rFonts w:hint="eastAsia" w:ascii="仿宋" w:hAnsi="仿宋" w:eastAsia="仿宋"/>
          <w:color w:val="auto"/>
          <w:sz w:val="32"/>
          <w:szCs w:val="32"/>
          <w:highlight w:val="none"/>
          <w:lang w:val="en-US" w:eastAsia="zh-CN"/>
        </w:rPr>
        <w:t>9个</w:t>
      </w:r>
      <w:r>
        <w:rPr>
          <w:rFonts w:hint="eastAsia" w:ascii="仿宋" w:hAnsi="仿宋" w:eastAsia="仿宋"/>
          <w:color w:val="auto"/>
          <w:sz w:val="32"/>
          <w:szCs w:val="32"/>
          <w:highlight w:val="none"/>
        </w:rPr>
        <w:t>项目绩效自评报告</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其中安居区市场监督管理局</w:t>
      </w:r>
      <w:r>
        <w:rPr>
          <w:rFonts w:hint="eastAsia" w:ascii="仿宋" w:hAnsi="仿宋" w:eastAsia="仿宋"/>
          <w:color w:val="auto"/>
          <w:sz w:val="32"/>
          <w:szCs w:val="32"/>
          <w:highlight w:val="none"/>
        </w:rPr>
        <w:t>部门整体（含部门预算项目）绩效自评</w:t>
      </w:r>
      <w:r>
        <w:rPr>
          <w:rFonts w:hint="eastAsia" w:ascii="仿宋" w:hAnsi="仿宋" w:eastAsia="仿宋"/>
          <w:color w:val="auto"/>
          <w:sz w:val="32"/>
          <w:szCs w:val="32"/>
          <w:highlight w:val="none"/>
          <w:lang w:val="en-US" w:eastAsia="zh-CN"/>
        </w:rPr>
        <w:t>得分为90分，绩效自评综述：我局2023年度部门整体绩效管理情况较好，严格按照预算绩效管理要求，以节约为目的，控制支出，项目绩效目标要素全面完善，信息公开全面、完整、及时，部门任务完成进度情况较好；2023年度创建省级食品安全示范县经费项目绩效评价得分100分，</w:t>
      </w:r>
      <w:r>
        <w:rPr>
          <w:rFonts w:hint="eastAsia" w:ascii="仿宋" w:hAnsi="仿宋" w:eastAsia="仿宋" w:cs="Times New Roman"/>
          <w:color w:val="auto"/>
          <w:sz w:val="32"/>
          <w:szCs w:val="32"/>
          <w:highlight w:val="none"/>
          <w:lang w:val="en-US" w:eastAsia="zh-CN"/>
        </w:rPr>
        <w:t>绩效自评综述：绩效目标明确，项目实施合理，监督管理到位，资金管理规范，项目效益情况达到预期效果；</w:t>
      </w:r>
      <w:r>
        <w:rPr>
          <w:rFonts w:hint="eastAsia" w:ascii="仿宋" w:hAnsi="仿宋" w:eastAsia="仿宋"/>
          <w:color w:val="auto"/>
          <w:sz w:val="32"/>
          <w:szCs w:val="32"/>
          <w:highlight w:val="none"/>
          <w:lang w:val="en-US" w:eastAsia="zh-CN"/>
        </w:rPr>
        <w:t>2023年度</w:t>
      </w:r>
      <w:r>
        <w:rPr>
          <w:rFonts w:hint="eastAsia" w:ascii="仿宋" w:hAnsi="仿宋" w:eastAsia="仿宋" w:cs="仿宋"/>
          <w:color w:val="auto"/>
          <w:sz w:val="32"/>
          <w:szCs w:val="32"/>
          <w:lang w:val="en-US" w:eastAsia="zh-CN"/>
        </w:rPr>
        <w:t>食品监督抽检经</w:t>
      </w:r>
      <w:r>
        <w:rPr>
          <w:rFonts w:hint="eastAsia" w:ascii="仿宋" w:hAnsi="仿宋" w:eastAsia="仿宋" w:cs="Times New Roman"/>
          <w:color w:val="auto"/>
          <w:sz w:val="32"/>
          <w:szCs w:val="32"/>
          <w:highlight w:val="none"/>
          <w:lang w:val="en-US" w:eastAsia="zh-CN"/>
        </w:rPr>
        <w:t>费项目绩效自评得分为100分，绩效自评综述：项目绩效目标明确、程序严密、规划合理，</w:t>
      </w:r>
      <w:r>
        <w:rPr>
          <w:rFonts w:hint="eastAsia" w:ascii="仿宋" w:hAnsi="仿宋" w:eastAsia="仿宋" w:cs="仿宋"/>
          <w:color w:val="auto"/>
          <w:sz w:val="32"/>
          <w:szCs w:val="32"/>
          <w:lang w:val="en-US" w:eastAsia="zh-CN"/>
        </w:rPr>
        <w:t>资金使用合规、项目执行有效，项目绩效目标完成及时、无违规记录，取得了一定的满意度；</w:t>
      </w:r>
      <w:r>
        <w:rPr>
          <w:rFonts w:hint="default" w:ascii="仿宋" w:hAnsi="仿宋" w:eastAsia="仿宋" w:cs="仿宋"/>
          <w:color w:val="auto"/>
          <w:sz w:val="32"/>
          <w:szCs w:val="32"/>
          <w:lang w:val="en-US" w:eastAsia="zh-CN"/>
        </w:rPr>
        <w:t>202</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年</w:t>
      </w:r>
      <w:r>
        <w:rPr>
          <w:rFonts w:hint="eastAsia" w:ascii="仿宋" w:hAnsi="仿宋" w:eastAsia="仿宋" w:cs="仿宋"/>
          <w:color w:val="auto"/>
          <w:sz w:val="32"/>
          <w:szCs w:val="32"/>
          <w:lang w:val="en-US" w:eastAsia="zh-CN"/>
        </w:rPr>
        <w:t>度食品药品等安全监管经费项目绩效自评得分为100分，绩效自评综述：项目目标申报科学合理，资金使用合规，绩效目标完成情况好；</w:t>
      </w:r>
      <w:r>
        <w:rPr>
          <w:rFonts w:hint="default" w:ascii="仿宋" w:hAnsi="仿宋" w:eastAsia="仿宋" w:cs="仿宋"/>
          <w:color w:val="auto"/>
          <w:sz w:val="32"/>
          <w:szCs w:val="32"/>
          <w:lang w:val="en-US" w:eastAsia="zh-CN"/>
        </w:rPr>
        <w:t>202</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年</w:t>
      </w:r>
      <w:r>
        <w:rPr>
          <w:rFonts w:hint="eastAsia" w:ascii="仿宋" w:hAnsi="仿宋" w:eastAsia="仿宋" w:cs="仿宋"/>
          <w:color w:val="auto"/>
          <w:sz w:val="32"/>
          <w:szCs w:val="32"/>
          <w:lang w:val="en-US" w:eastAsia="zh-CN"/>
        </w:rPr>
        <w:t>度特种设备安全监察项目绩效自评得分为100分，绩效自评综述：项目立项依据充分，项目目标申报科学合理，资金使用合规，绩效目标完成情况好；</w:t>
      </w:r>
      <w:r>
        <w:rPr>
          <w:rFonts w:hint="default" w:ascii="仿宋" w:hAnsi="仿宋" w:eastAsia="仿宋" w:cs="仿宋"/>
          <w:color w:val="auto"/>
          <w:sz w:val="32"/>
          <w:szCs w:val="32"/>
          <w:lang w:val="en-US" w:eastAsia="zh-CN"/>
        </w:rPr>
        <w:t>202</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年</w:t>
      </w:r>
      <w:r>
        <w:rPr>
          <w:rFonts w:hint="eastAsia" w:ascii="仿宋" w:hAnsi="仿宋" w:eastAsia="仿宋" w:cs="仿宋"/>
          <w:color w:val="auto"/>
          <w:sz w:val="32"/>
          <w:szCs w:val="32"/>
          <w:lang w:val="en-US" w:eastAsia="zh-CN"/>
        </w:rPr>
        <w:t>度执法办案项目绩效自评得分为100分，绩效自评综述：项目申报绩效目标准确，资金使用合规，绩效目标完成情况好，项目资金使用效率高，取得了一定的满意度；2022年度省级药品监管专项资金项目绩效自评得分为100分，绩效自评综述：项目绩效目标准确，资金使用合规，资金执行率100%，但药械化监管能力还有待进一步提高；2022年度省级市场监管专项资金（包含应急资金）项目绩效自评得分为100分，绩效自评综述：项目目标申报科学合理，后期实施与申报目标一致，绩效目标完成情况好；2022年度中央食品监管补助资金项目绩效自评得分为100分，</w:t>
      </w:r>
      <w:r>
        <w:rPr>
          <w:rFonts w:hint="eastAsia" w:ascii="仿宋" w:hAnsi="仿宋" w:eastAsia="仿宋" w:cs="Times New Roman"/>
          <w:color w:val="auto"/>
          <w:sz w:val="32"/>
          <w:szCs w:val="32"/>
          <w:highlight w:val="none"/>
          <w:lang w:val="en-US" w:eastAsia="zh-CN"/>
        </w:rPr>
        <w:t>绩效自评综述：绩效目标明确，项目实施合理，资金管理规范，项目效益情况达到预期效果；</w:t>
      </w:r>
      <w:r>
        <w:rPr>
          <w:rFonts w:hint="eastAsia" w:ascii="仿宋" w:hAnsi="仿宋" w:eastAsia="仿宋" w:cs="仿宋"/>
          <w:color w:val="auto"/>
          <w:sz w:val="32"/>
          <w:szCs w:val="32"/>
          <w:lang w:val="en-US" w:eastAsia="zh-CN"/>
        </w:rPr>
        <w:t>2022年第二批省级知识产权专项资金项目绩效自评得分为100分，</w:t>
      </w:r>
      <w:r>
        <w:rPr>
          <w:rFonts w:hint="eastAsia" w:ascii="仿宋" w:hAnsi="仿宋" w:eastAsia="仿宋"/>
          <w:color w:val="auto"/>
          <w:sz w:val="32"/>
          <w:szCs w:val="32"/>
          <w:highlight w:val="none"/>
          <w:lang w:val="en-US" w:eastAsia="zh-CN"/>
        </w:rPr>
        <w:t>绩效自评综述：</w:t>
      </w:r>
      <w:r>
        <w:rPr>
          <w:rFonts w:hint="eastAsia" w:ascii="仿宋" w:hAnsi="仿宋" w:eastAsia="仿宋" w:cs="仿宋"/>
          <w:color w:val="auto"/>
          <w:sz w:val="32"/>
          <w:szCs w:val="32"/>
          <w:lang w:val="en-US" w:eastAsia="zh-CN"/>
        </w:rPr>
        <w:t>项目立项依据充分，资金实施到位，获得企业满意度高，充分实现了资金的最大效益化。</w:t>
      </w:r>
    </w:p>
    <w:p w14:paraId="5119758C">
      <w:pPr>
        <w:pStyle w:val="24"/>
        <w:rPr>
          <w:rFonts w:hint="eastAsia" w:ascii="仿宋" w:hAnsi="仿宋" w:eastAsia="仿宋" w:cs="仿宋"/>
          <w:color w:val="auto"/>
          <w:sz w:val="32"/>
          <w:szCs w:val="32"/>
          <w:lang w:val="en-US" w:eastAsia="zh-CN"/>
        </w:rPr>
      </w:pPr>
    </w:p>
    <w:p w14:paraId="409B6797">
      <w:pPr>
        <w:pStyle w:val="24"/>
        <w:ind w:left="0" w:leftChars="0" w:firstLine="0" w:firstLineChars="0"/>
        <w:rPr>
          <w:rFonts w:hint="eastAsia"/>
        </w:rPr>
      </w:pPr>
    </w:p>
    <w:p w14:paraId="744687E3">
      <w:pPr>
        <w:numPr>
          <w:ilvl w:val="0"/>
          <w:numId w:val="5"/>
        </w:numPr>
        <w:spacing w:line="600" w:lineRule="exact"/>
        <w:ind w:firstLine="660" w:firstLineChars="150"/>
        <w:jc w:val="center"/>
        <w:outlineLvl w:val="0"/>
        <w:rPr>
          <w:rStyle w:val="33"/>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33"/>
          <w:rFonts w:hint="eastAsia" w:ascii="黑体" w:hAnsi="黑体" w:eastAsia="黑体"/>
          <w:b w:val="0"/>
          <w:color w:val="auto"/>
          <w:highlight w:val="none"/>
        </w:rPr>
        <w:t>词解释</w:t>
      </w:r>
      <w:bookmarkEnd w:id="49"/>
      <w:bookmarkEnd w:id="50"/>
    </w:p>
    <w:p w14:paraId="4928AAB7">
      <w:pPr>
        <w:spacing w:line="600" w:lineRule="exact"/>
        <w:jc w:val="left"/>
        <w:rPr>
          <w:rFonts w:ascii="宋体"/>
          <w:b/>
          <w:color w:val="auto"/>
          <w:sz w:val="44"/>
          <w:szCs w:val="44"/>
          <w:highlight w:val="none"/>
        </w:rPr>
      </w:pPr>
    </w:p>
    <w:p w14:paraId="76F9B1F3">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1.财政拨款收入：指单位从同级财政部门取得的财政预算资金。</w:t>
      </w:r>
    </w:p>
    <w:p w14:paraId="3FDBCB27">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2.事业收入：指事业单位开展专业业务活动及辅助活动取得的收入。</w:t>
      </w:r>
    </w:p>
    <w:p w14:paraId="5FAE5544">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3.经营收入：指事业单位在专业业务活动及其辅助活动之外开展非独立核算经营活动取得的收入。</w:t>
      </w:r>
    </w:p>
    <w:p w14:paraId="0D2B5FAC">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4.其他收入：指单位取得的除上述收入以外的各项收入。</w:t>
      </w:r>
    </w:p>
    <w:p w14:paraId="701F0811">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eastAsia="zh-CN"/>
        </w:rPr>
        <w:t>使用非财政拨款结余</w:t>
      </w:r>
      <w:r>
        <w:rPr>
          <w:rFonts w:hint="eastAsia" w:ascii="仿宋" w:hAnsi="仿宋" w:eastAsia="仿宋" w:cs="仿宋"/>
          <w:color w:val="auto"/>
          <w:sz w:val="32"/>
          <w:szCs w:val="32"/>
          <w:highlight w:val="none"/>
        </w:rPr>
        <w:t>：指事业单位</w:t>
      </w:r>
      <w:r>
        <w:rPr>
          <w:rFonts w:hint="eastAsia" w:ascii="仿宋" w:hAnsi="仿宋" w:eastAsia="仿宋" w:cs="仿宋"/>
          <w:color w:val="auto"/>
          <w:sz w:val="32"/>
          <w:szCs w:val="32"/>
          <w:highlight w:val="none"/>
          <w:lang w:eastAsia="zh-CN"/>
        </w:rPr>
        <w:t>使用以前年度积累的非财政拨款结余弥补当年收支差额的金额。</w:t>
      </w:r>
    </w:p>
    <w:p w14:paraId="7F9F4CC8">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6.年初结转和结余：指以前年度尚未完成、结转到本年按有关规定继续使用的资金。</w:t>
      </w:r>
    </w:p>
    <w:p w14:paraId="74D971C8">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7.结余分配：指事业单位按照会计制度规定</w:t>
      </w:r>
      <w:r>
        <w:rPr>
          <w:rFonts w:hint="eastAsia" w:ascii="仿宋" w:hAnsi="仿宋" w:eastAsia="仿宋" w:cs="仿宋"/>
          <w:color w:val="auto"/>
          <w:sz w:val="32"/>
          <w:szCs w:val="32"/>
          <w:highlight w:val="none"/>
          <w:lang w:eastAsia="zh-CN"/>
        </w:rPr>
        <w:t>缴纳的所得税、提取的专用结余以及转入非财政拨款结余的金额</w:t>
      </w:r>
      <w:r>
        <w:rPr>
          <w:rFonts w:hint="eastAsia" w:ascii="仿宋" w:hAnsi="仿宋" w:eastAsia="仿宋" w:cs="仿宋"/>
          <w:color w:val="auto"/>
          <w:sz w:val="32"/>
          <w:szCs w:val="32"/>
          <w:highlight w:val="none"/>
        </w:rPr>
        <w:t>等。</w:t>
      </w:r>
    </w:p>
    <w:p w14:paraId="197FA681">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年末结转和结余：指单位按有关规定结转到下年或以后年度继续使用的资金。</w:t>
      </w:r>
    </w:p>
    <w:p w14:paraId="43983F24">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9.一般公共服务（类）</w:t>
      </w:r>
      <w:r>
        <w:rPr>
          <w:rFonts w:hint="eastAsia" w:ascii="仿宋" w:hAnsi="仿宋" w:eastAsia="仿宋" w:cs="仿宋"/>
          <w:color w:val="auto"/>
          <w:sz w:val="32"/>
          <w:szCs w:val="32"/>
          <w:highlight w:val="none"/>
          <w:lang w:val="en-US" w:eastAsia="zh-CN"/>
        </w:rPr>
        <w:t>市场监督管理事务</w:t>
      </w:r>
      <w:r>
        <w:rPr>
          <w:rFonts w:hint="eastAsia" w:ascii="仿宋" w:hAnsi="仿宋" w:eastAsia="仿宋" w:cs="仿宋"/>
          <w:color w:val="auto"/>
          <w:sz w:val="32"/>
          <w:szCs w:val="32"/>
          <w:highlight w:val="none"/>
        </w:rPr>
        <w:t>（款）</w:t>
      </w:r>
      <w:r>
        <w:rPr>
          <w:rFonts w:hint="eastAsia" w:ascii="仿宋" w:hAnsi="仿宋" w:eastAsia="仿宋" w:cs="仿宋"/>
          <w:color w:val="auto"/>
          <w:sz w:val="32"/>
          <w:szCs w:val="32"/>
          <w:highlight w:val="none"/>
          <w:lang w:val="en-US" w:eastAsia="zh-CN"/>
        </w:rPr>
        <w:t>行政运行</w:t>
      </w:r>
      <w:r>
        <w:rPr>
          <w:rFonts w:hint="eastAsia" w:ascii="仿宋" w:hAnsi="仿宋" w:eastAsia="仿宋" w:cs="仿宋"/>
          <w:color w:val="auto"/>
          <w:sz w:val="32"/>
          <w:szCs w:val="32"/>
          <w:highlight w:val="none"/>
        </w:rPr>
        <w:t>（项）：指</w:t>
      </w:r>
      <w:r>
        <w:rPr>
          <w:rFonts w:hint="eastAsia" w:ascii="仿宋" w:hAnsi="仿宋" w:eastAsia="仿宋" w:cs="仿宋"/>
          <w:color w:val="auto"/>
          <w:sz w:val="32"/>
          <w:szCs w:val="32"/>
          <w:highlight w:val="none"/>
          <w:lang w:val="en-US" w:eastAsia="zh-CN"/>
        </w:rPr>
        <w:t>行政单位（包括公务员管理的事业单位）的基本支出</w:t>
      </w:r>
      <w:r>
        <w:rPr>
          <w:rFonts w:hint="eastAsia" w:ascii="仿宋" w:hAnsi="仿宋" w:eastAsia="仿宋" w:cs="仿宋"/>
          <w:color w:val="auto"/>
          <w:sz w:val="32"/>
          <w:szCs w:val="32"/>
          <w:highlight w:val="none"/>
        </w:rPr>
        <w:t>。</w:t>
      </w:r>
    </w:p>
    <w:p w14:paraId="10CD947F">
      <w:pPr>
        <w:pStyle w:val="17"/>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10.</w:t>
      </w:r>
      <w:r>
        <w:rPr>
          <w:rFonts w:hint="eastAsia" w:ascii="仿宋" w:hAnsi="仿宋" w:eastAsia="仿宋" w:cs="仿宋"/>
          <w:color w:val="auto"/>
          <w:sz w:val="32"/>
          <w:szCs w:val="32"/>
          <w:highlight w:val="none"/>
        </w:rPr>
        <w:t>一般公共服务（类）</w:t>
      </w:r>
      <w:r>
        <w:rPr>
          <w:rFonts w:hint="eastAsia" w:ascii="仿宋" w:hAnsi="仿宋" w:eastAsia="仿宋" w:cs="仿宋"/>
          <w:color w:val="auto"/>
          <w:sz w:val="32"/>
          <w:szCs w:val="32"/>
          <w:highlight w:val="none"/>
          <w:lang w:val="en-US" w:eastAsia="zh-CN"/>
        </w:rPr>
        <w:t>市场监督管理事务</w:t>
      </w:r>
      <w:r>
        <w:rPr>
          <w:rFonts w:hint="eastAsia" w:ascii="仿宋" w:hAnsi="仿宋" w:eastAsia="仿宋" w:cs="仿宋"/>
          <w:color w:val="auto"/>
          <w:sz w:val="32"/>
          <w:szCs w:val="32"/>
          <w:highlight w:val="none"/>
        </w:rPr>
        <w:t>（款）</w:t>
      </w:r>
      <w:r>
        <w:rPr>
          <w:rFonts w:hint="eastAsia" w:ascii="仿宋" w:hAnsi="仿宋" w:eastAsia="仿宋" w:cs="仿宋"/>
          <w:color w:val="auto"/>
          <w:sz w:val="32"/>
          <w:szCs w:val="32"/>
          <w:highlight w:val="none"/>
          <w:lang w:val="en-US" w:eastAsia="zh-CN"/>
        </w:rPr>
        <w:t>市场秩序执法</w:t>
      </w:r>
      <w:r>
        <w:rPr>
          <w:rFonts w:hint="eastAsia" w:ascii="仿宋" w:hAnsi="仿宋" w:eastAsia="仿宋" w:cs="仿宋"/>
          <w:color w:val="auto"/>
          <w:sz w:val="32"/>
          <w:szCs w:val="32"/>
          <w:highlight w:val="none"/>
        </w:rPr>
        <w:t>（项）：指</w:t>
      </w:r>
      <w:r>
        <w:rPr>
          <w:rFonts w:hint="eastAsia" w:ascii="仿宋" w:hAnsi="仿宋" w:eastAsia="仿宋" w:cs="仿宋"/>
          <w:color w:val="auto"/>
          <w:sz w:val="32"/>
          <w:szCs w:val="32"/>
          <w:highlight w:val="none"/>
          <w:lang w:val="en-US" w:eastAsia="zh-CN"/>
        </w:rPr>
        <w:t>反垄断、价格监督、反不正当竞争、规范直销与打击传销、网络交易监管、广告监管、消费者权益保护、综合执法等市场秩序执法专项工作支出。</w:t>
      </w:r>
    </w:p>
    <w:p w14:paraId="144C8843">
      <w:pPr>
        <w:pStyle w:val="17"/>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一般公共服务（类）</w:t>
      </w:r>
      <w:r>
        <w:rPr>
          <w:rFonts w:hint="eastAsia" w:ascii="仿宋" w:hAnsi="仿宋" w:eastAsia="仿宋" w:cs="仿宋"/>
          <w:color w:val="auto"/>
          <w:sz w:val="32"/>
          <w:szCs w:val="32"/>
          <w:highlight w:val="none"/>
          <w:lang w:val="en-US" w:eastAsia="zh-CN"/>
        </w:rPr>
        <w:t>市场监督管理事务</w:t>
      </w:r>
      <w:r>
        <w:rPr>
          <w:rFonts w:hint="eastAsia" w:ascii="仿宋" w:hAnsi="仿宋" w:eastAsia="仿宋" w:cs="仿宋"/>
          <w:color w:val="auto"/>
          <w:sz w:val="32"/>
          <w:szCs w:val="32"/>
          <w:highlight w:val="none"/>
        </w:rPr>
        <w:t>（款）</w:t>
      </w:r>
      <w:r>
        <w:rPr>
          <w:rFonts w:hint="eastAsia" w:ascii="仿宋" w:hAnsi="仿宋" w:eastAsia="仿宋" w:cs="仿宋"/>
          <w:color w:val="auto"/>
          <w:sz w:val="32"/>
          <w:szCs w:val="32"/>
          <w:highlight w:val="none"/>
          <w:lang w:val="en-US" w:eastAsia="zh-CN"/>
        </w:rPr>
        <w:t>市场主体管理</w:t>
      </w:r>
      <w:r>
        <w:rPr>
          <w:rFonts w:hint="eastAsia" w:ascii="仿宋" w:hAnsi="仿宋" w:eastAsia="仿宋" w:cs="仿宋"/>
          <w:color w:val="auto"/>
          <w:sz w:val="32"/>
          <w:szCs w:val="32"/>
          <w:highlight w:val="none"/>
        </w:rPr>
        <w:t>（项）：指</w:t>
      </w:r>
      <w:r>
        <w:rPr>
          <w:rFonts w:hint="eastAsia" w:ascii="仿宋" w:hAnsi="仿宋" w:eastAsia="仿宋" w:cs="仿宋"/>
          <w:color w:val="auto"/>
          <w:sz w:val="32"/>
          <w:szCs w:val="32"/>
          <w:highlight w:val="none"/>
          <w:lang w:val="en-US" w:eastAsia="zh-CN"/>
        </w:rPr>
        <w:t>市场准入、许可审批、信用监管等市场主体管理专项工作支出。</w:t>
      </w:r>
    </w:p>
    <w:p w14:paraId="73E9CD91">
      <w:pPr>
        <w:pStyle w:val="17"/>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一般公共服务（类）</w:t>
      </w:r>
      <w:r>
        <w:rPr>
          <w:rFonts w:hint="eastAsia" w:ascii="仿宋" w:hAnsi="仿宋" w:eastAsia="仿宋" w:cs="仿宋"/>
          <w:color w:val="auto"/>
          <w:sz w:val="32"/>
          <w:szCs w:val="32"/>
          <w:highlight w:val="none"/>
          <w:lang w:val="en-US" w:eastAsia="zh-CN"/>
        </w:rPr>
        <w:t>市场监督管理事务</w:t>
      </w:r>
      <w:r>
        <w:rPr>
          <w:rFonts w:hint="eastAsia" w:ascii="仿宋" w:hAnsi="仿宋" w:eastAsia="仿宋" w:cs="仿宋"/>
          <w:color w:val="auto"/>
          <w:sz w:val="32"/>
          <w:szCs w:val="32"/>
          <w:highlight w:val="none"/>
        </w:rPr>
        <w:t>（款）</w:t>
      </w:r>
      <w:r>
        <w:rPr>
          <w:rFonts w:hint="eastAsia" w:ascii="仿宋" w:hAnsi="仿宋" w:eastAsia="仿宋" w:cs="仿宋"/>
          <w:color w:val="auto"/>
          <w:sz w:val="32"/>
          <w:szCs w:val="32"/>
          <w:highlight w:val="none"/>
          <w:lang w:val="en-US" w:eastAsia="zh-CN"/>
        </w:rPr>
        <w:t>药品事务</w:t>
      </w:r>
      <w:r>
        <w:rPr>
          <w:rFonts w:hint="eastAsia" w:ascii="仿宋" w:hAnsi="仿宋" w:eastAsia="仿宋" w:cs="仿宋"/>
          <w:color w:val="auto"/>
          <w:sz w:val="32"/>
          <w:szCs w:val="32"/>
          <w:highlight w:val="none"/>
        </w:rPr>
        <w:t>（项）：指</w:t>
      </w:r>
      <w:r>
        <w:rPr>
          <w:rFonts w:hint="eastAsia" w:ascii="仿宋" w:hAnsi="仿宋" w:eastAsia="仿宋" w:cs="仿宋"/>
          <w:color w:val="auto"/>
          <w:sz w:val="32"/>
          <w:szCs w:val="32"/>
          <w:highlight w:val="none"/>
          <w:lang w:val="en-US" w:eastAsia="zh-CN"/>
        </w:rPr>
        <w:t>用于药品（含中药、民族药）监督管理方面的支出。</w:t>
      </w:r>
    </w:p>
    <w:p w14:paraId="02015C64">
      <w:pPr>
        <w:pStyle w:val="17"/>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一般公共服务（类）</w:t>
      </w:r>
      <w:r>
        <w:rPr>
          <w:rFonts w:hint="eastAsia" w:ascii="仿宋" w:hAnsi="仿宋" w:eastAsia="仿宋" w:cs="仿宋"/>
          <w:color w:val="auto"/>
          <w:sz w:val="32"/>
          <w:szCs w:val="32"/>
          <w:highlight w:val="none"/>
          <w:lang w:val="en-US" w:eastAsia="zh-CN"/>
        </w:rPr>
        <w:t>市场监督管理事务</w:t>
      </w:r>
      <w:r>
        <w:rPr>
          <w:rFonts w:hint="eastAsia" w:ascii="仿宋" w:hAnsi="仿宋" w:eastAsia="仿宋" w:cs="仿宋"/>
          <w:color w:val="auto"/>
          <w:sz w:val="32"/>
          <w:szCs w:val="32"/>
          <w:highlight w:val="none"/>
        </w:rPr>
        <w:t>（款）</w:t>
      </w:r>
      <w:r>
        <w:rPr>
          <w:rFonts w:hint="eastAsia" w:ascii="仿宋" w:hAnsi="仿宋" w:eastAsia="仿宋" w:cs="仿宋"/>
          <w:color w:val="auto"/>
          <w:sz w:val="32"/>
          <w:szCs w:val="32"/>
          <w:highlight w:val="none"/>
          <w:lang w:val="en-US" w:eastAsia="zh-CN"/>
        </w:rPr>
        <w:t>质量安全监管</w:t>
      </w:r>
      <w:r>
        <w:rPr>
          <w:rFonts w:hint="eastAsia" w:ascii="仿宋" w:hAnsi="仿宋" w:eastAsia="仿宋" w:cs="仿宋"/>
          <w:color w:val="auto"/>
          <w:sz w:val="32"/>
          <w:szCs w:val="32"/>
          <w:highlight w:val="none"/>
        </w:rPr>
        <w:t>（项）：指</w:t>
      </w:r>
      <w:r>
        <w:rPr>
          <w:rFonts w:hint="eastAsia" w:ascii="仿宋" w:hAnsi="仿宋" w:eastAsia="仿宋" w:cs="仿宋"/>
          <w:color w:val="auto"/>
          <w:sz w:val="32"/>
          <w:szCs w:val="32"/>
          <w:highlight w:val="none"/>
          <w:lang w:val="en-US" w:eastAsia="zh-CN"/>
        </w:rPr>
        <w:t>产品质量安全监管、特种设备安全监管等质量监管专项工作支出。</w:t>
      </w:r>
    </w:p>
    <w:p w14:paraId="34ACA5A3">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14.社会保障和就业（类）行政事业单位</w:t>
      </w:r>
      <w:r>
        <w:rPr>
          <w:rFonts w:hint="eastAsia" w:ascii="仿宋" w:hAnsi="仿宋" w:eastAsia="仿宋" w:cs="仿宋"/>
          <w:color w:val="auto"/>
          <w:sz w:val="32"/>
          <w:szCs w:val="32"/>
          <w:highlight w:val="none"/>
          <w:lang w:val="en-US" w:eastAsia="zh-CN"/>
        </w:rPr>
        <w:t>养老</w:t>
      </w:r>
      <w:r>
        <w:rPr>
          <w:rFonts w:hint="eastAsia" w:ascii="仿宋" w:hAnsi="仿宋" w:eastAsia="仿宋" w:cs="仿宋"/>
          <w:color w:val="auto"/>
          <w:sz w:val="32"/>
          <w:szCs w:val="32"/>
          <w:highlight w:val="none"/>
        </w:rPr>
        <w:t>（款）机关事业单位基本养老保险缴费（项）：指部门实施养老保险制度由单位缴纳的养老保险费的支出。</w:t>
      </w:r>
    </w:p>
    <w:p w14:paraId="40171AFB">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15.社会保障和就业（类）其他社会保障和就业（款）其他社会保障和就业（项）：指除上述项目</w:t>
      </w:r>
      <w:r>
        <w:rPr>
          <w:rFonts w:hint="eastAsia" w:ascii="仿宋" w:hAnsi="仿宋" w:eastAsia="仿宋" w:cs="仿宋"/>
          <w:color w:val="auto"/>
          <w:sz w:val="32"/>
          <w:szCs w:val="32"/>
          <w:highlight w:val="none"/>
          <w:lang w:val="en-US" w:eastAsia="zh-CN"/>
        </w:rPr>
        <w:t>以</w:t>
      </w:r>
      <w:r>
        <w:rPr>
          <w:rFonts w:hint="eastAsia" w:ascii="仿宋" w:hAnsi="仿宋" w:eastAsia="仿宋" w:cs="仿宋"/>
          <w:color w:val="auto"/>
          <w:sz w:val="32"/>
          <w:szCs w:val="32"/>
          <w:highlight w:val="none"/>
        </w:rPr>
        <w:t>外其他</w:t>
      </w:r>
      <w:r>
        <w:rPr>
          <w:rFonts w:hint="eastAsia" w:ascii="仿宋" w:hAnsi="仿宋" w:eastAsia="仿宋" w:cs="仿宋"/>
          <w:color w:val="auto"/>
          <w:sz w:val="32"/>
          <w:szCs w:val="32"/>
          <w:highlight w:val="none"/>
          <w:lang w:val="en-US" w:eastAsia="zh-CN"/>
        </w:rPr>
        <w:t>用于社会保障和就业方面的</w:t>
      </w:r>
      <w:r>
        <w:rPr>
          <w:rFonts w:hint="eastAsia" w:ascii="仿宋" w:hAnsi="仿宋" w:eastAsia="仿宋" w:cs="仿宋"/>
          <w:color w:val="auto"/>
          <w:sz w:val="32"/>
          <w:szCs w:val="32"/>
          <w:highlight w:val="none"/>
        </w:rPr>
        <w:t>支出。</w:t>
      </w:r>
    </w:p>
    <w:p w14:paraId="0046316D">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16.卫生健康（类）行政事业单位医疗（款）公务员医疗补助（项）：指行政机关及参公管理事业单位用于集中缴纳公务员医疗补助支出。</w:t>
      </w:r>
    </w:p>
    <w:p w14:paraId="2EFA40FD">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17.卫生健康（类）行政事业单位医疗（款）行政单位医疗（项）：指行政机关及参公管理事业单位用于缴纳单位基本医疗保险支出。</w:t>
      </w:r>
    </w:p>
    <w:p w14:paraId="075627B7">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.住房保障（类）住房改革（款）住房公积金（项）：指按照《住房公积金管理条例》的规定，</w:t>
      </w:r>
      <w:r>
        <w:rPr>
          <w:rFonts w:hint="eastAsia" w:ascii="仿宋" w:hAnsi="仿宋" w:eastAsia="仿宋" w:cs="仿宋"/>
          <w:color w:val="auto"/>
          <w:sz w:val="32"/>
          <w:szCs w:val="32"/>
          <w:highlight w:val="none"/>
          <w:lang w:val="en-US" w:eastAsia="zh-CN"/>
        </w:rPr>
        <w:t>为在职</w:t>
      </w:r>
      <w:r>
        <w:rPr>
          <w:rFonts w:hint="eastAsia" w:ascii="仿宋" w:hAnsi="仿宋" w:eastAsia="仿宋" w:cs="仿宋"/>
          <w:color w:val="auto"/>
          <w:sz w:val="32"/>
          <w:szCs w:val="32"/>
          <w:highlight w:val="none"/>
        </w:rPr>
        <w:t>职工缴</w:t>
      </w:r>
      <w:r>
        <w:rPr>
          <w:rFonts w:hint="eastAsia" w:ascii="仿宋" w:hAnsi="仿宋" w:eastAsia="仿宋" w:cs="仿宋"/>
          <w:color w:val="auto"/>
          <w:sz w:val="32"/>
          <w:szCs w:val="32"/>
          <w:highlight w:val="none"/>
          <w:lang w:val="en-US" w:eastAsia="zh-CN"/>
        </w:rPr>
        <w:t>纳</w:t>
      </w:r>
      <w:r>
        <w:rPr>
          <w:rFonts w:hint="eastAsia" w:ascii="仿宋" w:hAnsi="仿宋" w:eastAsia="仿宋" w:cs="仿宋"/>
          <w:color w:val="auto"/>
          <w:sz w:val="32"/>
          <w:szCs w:val="32"/>
          <w:highlight w:val="none"/>
        </w:rPr>
        <w:t>的住房公积金。</w:t>
      </w:r>
    </w:p>
    <w:p w14:paraId="0B455B25">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.基本支出：指为保障机构正常运转、完成日常工作任务而发生的人员支出和公用支出。</w:t>
      </w:r>
    </w:p>
    <w:p w14:paraId="42926B2F">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.项目支出：指在基本支出之外为完成特定行政任务和事业发展目标所发生的支出。</w:t>
      </w:r>
    </w:p>
    <w:p w14:paraId="4BE4B37D">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.经营支出：指事业单位在专业业务活动及其辅助活动之外开展非独立核算经营活动发生的支出。</w:t>
      </w:r>
    </w:p>
    <w:p w14:paraId="0D82538C">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CEB97C">
      <w:pPr>
        <w:pStyle w:val="2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25B15C">
      <w:pPr>
        <w:spacing w:line="600" w:lineRule="exact"/>
        <w:jc w:val="center"/>
        <w:outlineLvl w:val="0"/>
        <w:rPr>
          <w:rStyle w:val="33"/>
          <w:rFonts w:hint="eastAsia" w:ascii="黑体" w:hAnsi="黑体" w:eastAsia="黑体"/>
          <w:b w:val="0"/>
          <w:color w:val="auto"/>
          <w:highlight w:val="none"/>
          <w:lang w:eastAsia="zh-CN"/>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四部分 附件</w:t>
      </w:r>
      <w:bookmarkEnd w:id="52"/>
    </w:p>
    <w:p w14:paraId="2638E589">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5422BA9C">
      <w:pPr>
        <w:jc w:val="center"/>
        <w:rPr>
          <w:rFonts w:hint="eastAsia" w:ascii="方正小标宋简体" w:hAnsi="方正小标宋简体" w:eastAsia="方正小标宋简体" w:cs="方正小标宋简体"/>
          <w:sz w:val="44"/>
          <w:szCs w:val="44"/>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遂宁市安居区市场监督管理局</w:t>
      </w:r>
    </w:p>
    <w:p w14:paraId="119E389B">
      <w:pPr>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w:t>
      </w:r>
      <w:r>
        <w:rPr>
          <w:rFonts w:hint="eastAsia" w:ascii="方正小标宋简体" w:hAnsi="方正小标宋简体" w:eastAsia="方正小标宋简体" w:cs="方正小标宋简体"/>
          <w:sz w:val="44"/>
          <w:szCs w:val="44"/>
          <w:shd w:val="clear" w:color="auto" w:fill="FFFFFF"/>
          <w:lang w:val="en-US" w:eastAsia="zh-CN"/>
        </w:rPr>
        <w:t>3</w:t>
      </w:r>
      <w:r>
        <w:rPr>
          <w:rFonts w:hint="eastAsia" w:ascii="方正小标宋简体" w:hAnsi="方正小标宋简体" w:eastAsia="方正小标宋简体" w:cs="方正小标宋简体"/>
          <w:sz w:val="44"/>
          <w:szCs w:val="44"/>
          <w:shd w:val="clear" w:color="auto" w:fill="FFFFFF"/>
        </w:rPr>
        <w:t>年</w:t>
      </w:r>
      <w:r>
        <w:rPr>
          <w:rFonts w:hint="eastAsia" w:ascii="方正小标宋简体" w:hAnsi="方正小标宋简体" w:eastAsia="方正小标宋简体" w:cs="方正小标宋简体"/>
          <w:sz w:val="44"/>
          <w:szCs w:val="44"/>
          <w:shd w:val="clear" w:color="auto" w:fill="FFFFFF"/>
          <w:lang w:val="en-US" w:eastAsia="zh-CN"/>
        </w:rPr>
        <w:t>度区级</w:t>
      </w:r>
      <w:r>
        <w:rPr>
          <w:rFonts w:hint="eastAsia" w:ascii="方正小标宋简体" w:hAnsi="方正小标宋简体" w:eastAsia="方正小标宋简体" w:cs="方正小标宋简体"/>
          <w:sz w:val="44"/>
          <w:szCs w:val="44"/>
          <w:shd w:val="clear" w:color="auto" w:fill="FFFFFF"/>
        </w:rPr>
        <w:t>部门整体支出绩效报告</w:t>
      </w:r>
    </w:p>
    <w:p w14:paraId="0FDACAF0">
      <w:pPr>
        <w:jc w:val="center"/>
        <w:rPr>
          <w:rFonts w:hint="eastAsia" w:ascii="方正小标宋简体" w:hAnsi="方正小标宋简体" w:eastAsia="方正小标宋简体" w:cs="方正小标宋简体"/>
          <w:sz w:val="32"/>
          <w:szCs w:val="32"/>
          <w:shd w:val="clear" w:color="auto" w:fill="FFFFFF"/>
        </w:rPr>
      </w:pPr>
    </w:p>
    <w:p w14:paraId="3E817E31">
      <w:pPr>
        <w:widowControl/>
        <w:numPr>
          <w:ilvl w:val="0"/>
          <w:numId w:val="6"/>
        </w:numPr>
        <w:adjustRightInd w:val="0"/>
        <w:snapToGrid w:val="0"/>
        <w:spacing w:line="580" w:lineRule="exact"/>
        <w:ind w:firstLine="640" w:firstLineChars="200"/>
        <w:contextualSpacing/>
        <w:jc w:val="left"/>
        <w:rPr>
          <w:sz w:val="32"/>
          <w:szCs w:val="40"/>
          <w:lang w:val="zh-CN"/>
        </w:rPr>
      </w:pPr>
      <w:r>
        <w:rPr>
          <w:rFonts w:hint="eastAsia" w:ascii="黑体" w:hAnsi="宋体" w:eastAsia="黑体" w:cs="宋体"/>
          <w:color w:val="000000"/>
          <w:kern w:val="0"/>
          <w:sz w:val="32"/>
          <w:szCs w:val="48"/>
          <w:shd w:val="clear" w:color="auto" w:fill="FFFFFF"/>
          <w:lang w:val="zh-CN"/>
        </w:rPr>
        <w:t>部门（单位）概况</w:t>
      </w:r>
    </w:p>
    <w:p w14:paraId="58548983">
      <w:pPr>
        <w:widowControl/>
        <w:adjustRightInd w:val="0"/>
        <w:snapToGrid w:val="0"/>
        <w:spacing w:line="580" w:lineRule="exact"/>
        <w:ind w:firstLine="640" w:firstLineChars="200"/>
        <w:contextualSpacing/>
        <w:jc w:val="left"/>
        <w:rPr>
          <w:rFonts w:hint="eastAsia" w:ascii="楷体" w:hAnsi="楷体" w:eastAsia="楷体" w:cs="楷体"/>
          <w:color w:val="000000"/>
          <w:kern w:val="0"/>
          <w:sz w:val="28"/>
          <w:szCs w:val="44"/>
          <w:shd w:val="clear" w:color="auto" w:fill="FFFFFF"/>
          <w:lang w:val="zh-CN"/>
        </w:rPr>
      </w:pPr>
      <w:r>
        <w:rPr>
          <w:rFonts w:hint="eastAsia" w:ascii="楷体" w:hAnsi="楷体" w:eastAsia="楷体" w:cs="楷体"/>
          <w:color w:val="000000"/>
          <w:kern w:val="0"/>
          <w:sz w:val="32"/>
          <w:szCs w:val="48"/>
          <w:shd w:val="clear" w:color="auto" w:fill="FFFFFF"/>
          <w:lang w:val="zh-CN"/>
        </w:rPr>
        <w:t>（一）机构组成</w:t>
      </w:r>
    </w:p>
    <w:p w14:paraId="17B4135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en-US" w:eastAsia="zh-CN"/>
        </w:rPr>
        <w:t>遂宁市安居区市场监督管理局无二级预算单位。下属参照公务员管理事业单位7个，其中市场监管所6个，市场监管综合行政大队1个。下属事业单位3个包括：遂宁市安居区保护消费者权益服务中心、遂宁市安居区市场监管事务中心、遂宁市安居区食品药品检验检测所。</w:t>
      </w:r>
    </w:p>
    <w:p w14:paraId="730C1942">
      <w:pPr>
        <w:widowControl/>
        <w:numPr>
          <w:ilvl w:val="0"/>
          <w:numId w:val="7"/>
        </w:numPr>
        <w:adjustRightInd w:val="0"/>
        <w:snapToGrid w:val="0"/>
        <w:spacing w:line="580" w:lineRule="exact"/>
        <w:ind w:firstLine="640" w:firstLineChars="200"/>
        <w:contextualSpacing/>
        <w:jc w:val="left"/>
        <w:rPr>
          <w:rFonts w:hint="eastAsia" w:ascii="楷体" w:hAnsi="楷体" w:eastAsia="楷体" w:cs="楷体"/>
          <w:color w:val="000000"/>
          <w:kern w:val="0"/>
          <w:sz w:val="32"/>
          <w:szCs w:val="48"/>
          <w:shd w:val="clear" w:color="auto" w:fill="FFFFFF"/>
          <w:lang w:val="zh-CN"/>
        </w:rPr>
      </w:pPr>
      <w:r>
        <w:rPr>
          <w:rFonts w:hint="eastAsia" w:ascii="楷体" w:hAnsi="楷体" w:eastAsia="楷体" w:cs="楷体"/>
          <w:color w:val="000000"/>
          <w:kern w:val="0"/>
          <w:sz w:val="32"/>
          <w:szCs w:val="48"/>
          <w:shd w:val="clear" w:color="auto" w:fill="FFFFFF"/>
          <w:lang w:val="zh-CN"/>
        </w:rPr>
        <w:t>机构职能</w:t>
      </w:r>
    </w:p>
    <w:p w14:paraId="5D3E861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负责全区市场综合监督管理工作。贯彻执行国家、省、市、区有关市场监督管理等方面的法律、法规、规章和方针、政策、规划；对市场监督管理有关地方性法规（草案）、规范性文件和政策、措施提出建议并组织实施。组织实施质量强区、食品（含保健食品、特殊医学用途配方食品和婴幼儿配方乳粉等特殊食品，下同）药品质量安全、特种设备安全、标准化和知识产权战略，拟订并组织实施全区食品安全等规划，规范和维护市场秩序，营造诚实守信、公平竞争的市场环境。</w:t>
      </w:r>
    </w:p>
    <w:p w14:paraId="0A01C82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负责全区市场主体登记注册。负责全区各类企业、农民专业合作社和从事经营活动的单位、个体工商户以及外国（地区）企业等市场主体的登记注册和监督管理工作。建立市场主体信息公示和共享机制，依法公示和共享有关信息，加强信用监管，推动市场主体信用体系建设。 </w:t>
      </w:r>
    </w:p>
    <w:p w14:paraId="452AB3C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负责组织和指导全区市场监督管理综合执法工作。指导全区市场监管综合执法队伍整合和建设，推动实行统一的市场监管。组织指导查处违反市场监管方面相关法律、法规、规章的行为，规范全区市场监督管理行政执法行为。</w:t>
      </w:r>
    </w:p>
    <w:p w14:paraId="12DF88C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负责监督管理全区市场秩序。统筹推进竞争政策实施，指导实施公平竞争审查制度。依法依授权对经营者集中行为进行反垄断审查，负责垄断协议、滥用市场支配地位和滥用行政权力排除、限制竞争等反垄断执法工作。依法监督管理市场交易、网络商品交易及有关服务的行为。组织、指导查处价格收费违法违规、不正当竞争、违法直销、传销、侵犯商标专利知识产权和制售假冒伪劣行为。指导广告业发展，监督管理广告活动。组织、指导查处虚假注册、无照生产经营和相关无证生产经营行为。指导区保护消费者权益委员会开展消费维权工作。</w:t>
      </w:r>
    </w:p>
    <w:p w14:paraId="5B2339A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负责全区宏观质量管理。拟订并组织实施质量发展的制度措施。统筹全区质量基础设施建设与应用。会同有关部门组织实施重大工程设备质量监理制度，组织重大产品质量事故调查，贯彻实施缺陷产品召回制度，监督管理产品防伪工作。</w:t>
      </w:r>
    </w:p>
    <w:p w14:paraId="6612C5A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6.负责全区产品质量安全监督管理。负责产品质量监督抽查和风险监控工作，组织实施质量分级制度、质量安全追溯制度。负责工业产品生产管理。负责纤维质量监督工作。</w:t>
      </w:r>
    </w:p>
    <w:p w14:paraId="0B37965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7.负责全区特种设备安全监督管理。综合管理特种设备安全监察、监督工作，监督检查高耗能特种设备节能标准和锅炉产品环境保护标准的执行情况。</w:t>
      </w:r>
    </w:p>
    <w:p w14:paraId="6C3F456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负责全区食品安全监督管理综合协调。统筹指导全区食品安全工作。负责食品安全应急体系建设，组织指导一般食品安全事件应急处置和调查处理工作。建立健全食品安全重要信息直报制度。承担区食品安全委员会日常工作。</w:t>
      </w:r>
    </w:p>
    <w:p w14:paraId="6559B47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负责全区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安全生产工作，组织开展食品安全监督抽检、风险监测、核查处置和风险预警、风险交流工作。组织实施特殊食品监督管理。</w:t>
      </w:r>
    </w:p>
    <w:p w14:paraId="75D7B26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负责贯彻落实执行国家、省有关药品（含中药、民族药，下同）、医疗器械和化妆品监督管理的方针政策和法律法规。监督实施药品、医疗器械、化妆品经营、使用质量管理规范，负责全区药品、医疗器械、化妆品上市后风险管理。依职责组织实施药品、医疗器械和化妆品监督检查，负责药品零售、医疗器械使用环节质量的安全监测、检查和处罚。</w:t>
      </w:r>
    </w:p>
    <w:p w14:paraId="15162499">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11.负责管理全区计量工作。推行法定计量单位、执行国家计量制度，管理计量器具及量值传递和比对工作。规范、监督商品量和市场计量行为。</w:t>
      </w:r>
    </w:p>
    <w:p w14:paraId="25ACDCE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12.负责管理标准化工作。负责对标准的制定进行指导和监督，组织实施标准并对标准实施情况进行监督检查。管理商品条码工作。</w:t>
      </w:r>
    </w:p>
    <w:p w14:paraId="3A70146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13.负责管理全区检验检测工作。规范检验检测市场，完善检验检测体系，指导检验检测行业发展。</w:t>
      </w:r>
    </w:p>
    <w:p w14:paraId="4A1C46A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14.负责管理全区认证认可工作。监督管理认证认可和合格评定监督工作。</w:t>
      </w:r>
    </w:p>
    <w:p w14:paraId="5F53CFF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15.负责市场监督管理科技和信息化建设、新闻宣传。</w:t>
      </w:r>
    </w:p>
    <w:p w14:paraId="320986B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16.负责全区知识产权战略、规划的拟订，知识产权的保护，负责组织指导商标、专利执法工作。</w:t>
      </w:r>
    </w:p>
    <w:p w14:paraId="2784165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17.负责促进民营经济发展。</w:t>
      </w:r>
    </w:p>
    <w:p w14:paraId="0C105D3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18.负责职责范围内的安全生产和职业健康、生态环境保护、审批服务便民化、依法治理等工作。</w:t>
      </w:r>
    </w:p>
    <w:p w14:paraId="2C24122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宋体" w:cs="宋体"/>
          <w:color w:val="000000"/>
          <w:kern w:val="0"/>
          <w:szCs w:val="32"/>
          <w:shd w:val="clear" w:color="auto" w:fill="FFFFFF"/>
          <w:lang w:val="zh-CN"/>
        </w:rPr>
      </w:pPr>
      <w:r>
        <w:rPr>
          <w:rFonts w:hint="eastAsia" w:ascii="仿宋" w:hAnsi="仿宋" w:eastAsia="仿宋" w:cs="仿宋"/>
          <w:color w:val="auto"/>
          <w:sz w:val="32"/>
          <w:szCs w:val="32"/>
          <w:lang w:val="en-US" w:eastAsia="zh-CN"/>
        </w:rPr>
        <w:t>19.完成区委和区政府交办的其他任务。</w:t>
      </w:r>
    </w:p>
    <w:p w14:paraId="7B9F26D8">
      <w:pPr>
        <w:widowControl/>
        <w:numPr>
          <w:ilvl w:val="0"/>
          <w:numId w:val="7"/>
        </w:numPr>
        <w:adjustRightInd w:val="0"/>
        <w:snapToGrid w:val="0"/>
        <w:spacing w:line="580" w:lineRule="exact"/>
        <w:ind w:firstLine="640" w:firstLineChars="200"/>
        <w:contextualSpacing/>
        <w:jc w:val="left"/>
        <w:rPr>
          <w:rFonts w:hint="eastAsia" w:ascii="楷体" w:hAnsi="楷体" w:eastAsia="楷体" w:cs="楷体"/>
          <w:color w:val="000000"/>
          <w:kern w:val="0"/>
          <w:sz w:val="32"/>
          <w:szCs w:val="48"/>
          <w:shd w:val="clear" w:color="auto" w:fill="FFFFFF"/>
          <w:lang w:val="zh-CN"/>
        </w:rPr>
      </w:pPr>
      <w:r>
        <w:rPr>
          <w:rFonts w:hint="eastAsia" w:ascii="楷体" w:hAnsi="楷体" w:eastAsia="楷体" w:cs="楷体"/>
          <w:color w:val="000000"/>
          <w:kern w:val="0"/>
          <w:sz w:val="32"/>
          <w:szCs w:val="48"/>
          <w:shd w:val="clear" w:color="auto" w:fill="FFFFFF"/>
          <w:lang w:val="zh-CN"/>
        </w:rPr>
        <w:t>人员概况</w:t>
      </w:r>
    </w:p>
    <w:p w14:paraId="0F62DF5D">
      <w:pPr>
        <w:spacing w:line="560" w:lineRule="atLeast"/>
        <w:ind w:firstLine="640"/>
        <w:rPr>
          <w:rFonts w:hint="default" w:ascii="Times New Roman" w:hAnsi="Times New Roman" w:eastAsia="仿宋_GB2312" w:cs="Times New Roman"/>
          <w:color w:val="000000"/>
          <w:sz w:val="32"/>
          <w:szCs w:val="32"/>
          <w:lang w:val="en-US" w:eastAsia="zh-CN"/>
        </w:rPr>
      </w:pPr>
      <w:r>
        <w:rPr>
          <w:rFonts w:hint="eastAsia" w:ascii="仿宋" w:hAnsi="仿宋" w:eastAsia="仿宋" w:cs="仿宋"/>
          <w:color w:val="auto"/>
          <w:sz w:val="32"/>
          <w:szCs w:val="32"/>
          <w:lang w:val="en-US" w:eastAsia="zh-CN"/>
        </w:rPr>
        <w:t>遂宁市安居区</w:t>
      </w:r>
      <w:r>
        <w:rPr>
          <w:rFonts w:hint="default" w:ascii="仿宋" w:hAnsi="仿宋" w:eastAsia="仿宋" w:cs="仿宋"/>
          <w:color w:val="auto"/>
          <w:sz w:val="32"/>
          <w:szCs w:val="32"/>
          <w:lang w:val="en-US" w:eastAsia="zh-CN"/>
        </w:rPr>
        <w:t>市场</w:t>
      </w:r>
      <w:r>
        <w:rPr>
          <w:rFonts w:hint="eastAsia" w:ascii="仿宋" w:hAnsi="仿宋" w:eastAsia="仿宋" w:cs="仿宋"/>
          <w:color w:val="auto"/>
          <w:sz w:val="32"/>
          <w:szCs w:val="32"/>
          <w:lang w:val="en-US" w:eastAsia="zh-CN"/>
        </w:rPr>
        <w:t>监督管理局</w:t>
      </w:r>
      <w:r>
        <w:rPr>
          <w:rFonts w:hint="default" w:ascii="仿宋" w:hAnsi="仿宋" w:eastAsia="仿宋" w:cs="仿宋"/>
          <w:color w:val="auto"/>
          <w:sz w:val="32"/>
          <w:szCs w:val="32"/>
          <w:lang w:val="en-US" w:eastAsia="zh-CN"/>
        </w:rPr>
        <w:t>，截止202</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年底在职人员</w:t>
      </w:r>
      <w:r>
        <w:rPr>
          <w:rFonts w:hint="eastAsia" w:ascii="仿宋" w:hAnsi="仿宋" w:eastAsia="仿宋" w:cs="仿宋"/>
          <w:color w:val="auto"/>
          <w:sz w:val="32"/>
          <w:szCs w:val="32"/>
          <w:lang w:val="en-US" w:eastAsia="zh-CN"/>
        </w:rPr>
        <w:t>84</w:t>
      </w:r>
      <w:r>
        <w:rPr>
          <w:rFonts w:hint="default" w:ascii="仿宋" w:hAnsi="仿宋" w:eastAsia="仿宋" w:cs="仿宋"/>
          <w:color w:val="auto"/>
          <w:sz w:val="32"/>
          <w:szCs w:val="32"/>
          <w:lang w:val="en-US" w:eastAsia="zh-CN"/>
        </w:rPr>
        <w:t>人，其中公务员</w:t>
      </w:r>
      <w:r>
        <w:rPr>
          <w:rFonts w:hint="eastAsia" w:ascii="仿宋" w:hAnsi="仿宋" w:eastAsia="仿宋" w:cs="仿宋"/>
          <w:color w:val="auto"/>
          <w:sz w:val="32"/>
          <w:szCs w:val="32"/>
          <w:lang w:val="en-US" w:eastAsia="zh-CN"/>
        </w:rPr>
        <w:t>及</w:t>
      </w:r>
      <w:r>
        <w:rPr>
          <w:rFonts w:hint="default" w:ascii="仿宋" w:hAnsi="仿宋" w:eastAsia="仿宋" w:cs="仿宋"/>
          <w:color w:val="auto"/>
          <w:sz w:val="32"/>
          <w:szCs w:val="32"/>
          <w:lang w:val="en-US" w:eastAsia="zh-CN"/>
        </w:rPr>
        <w:t>参公人员</w:t>
      </w:r>
      <w:r>
        <w:rPr>
          <w:rFonts w:hint="eastAsia" w:ascii="仿宋" w:hAnsi="仿宋" w:eastAsia="仿宋" w:cs="仿宋"/>
          <w:color w:val="auto"/>
          <w:sz w:val="32"/>
          <w:szCs w:val="32"/>
          <w:lang w:val="en-US" w:eastAsia="zh-CN"/>
        </w:rPr>
        <w:t>48</w:t>
      </w:r>
      <w:r>
        <w:rPr>
          <w:rFonts w:hint="default" w:ascii="仿宋" w:hAnsi="仿宋" w:eastAsia="仿宋" w:cs="仿宋"/>
          <w:color w:val="auto"/>
          <w:sz w:val="32"/>
          <w:szCs w:val="32"/>
          <w:lang w:val="en-US" w:eastAsia="zh-CN"/>
        </w:rPr>
        <w:t>人，</w:t>
      </w:r>
      <w:r>
        <w:rPr>
          <w:rFonts w:hint="eastAsia" w:ascii="仿宋" w:hAnsi="仿宋" w:eastAsia="仿宋" w:cs="仿宋"/>
          <w:color w:val="auto"/>
          <w:sz w:val="32"/>
          <w:szCs w:val="32"/>
          <w:lang w:val="en-US" w:eastAsia="zh-CN"/>
        </w:rPr>
        <w:t>机关</w:t>
      </w:r>
      <w:r>
        <w:rPr>
          <w:rFonts w:hint="default" w:ascii="仿宋" w:hAnsi="仿宋" w:eastAsia="仿宋" w:cs="仿宋"/>
          <w:color w:val="auto"/>
          <w:sz w:val="32"/>
          <w:szCs w:val="32"/>
          <w:lang w:val="en-US" w:eastAsia="zh-CN"/>
        </w:rPr>
        <w:t>工勤人员</w:t>
      </w: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人，事业人员</w:t>
      </w:r>
      <w:r>
        <w:rPr>
          <w:rFonts w:hint="eastAsia" w:ascii="仿宋" w:hAnsi="仿宋" w:eastAsia="仿宋" w:cs="仿宋"/>
          <w:color w:val="auto"/>
          <w:sz w:val="32"/>
          <w:szCs w:val="32"/>
          <w:lang w:val="en-US" w:eastAsia="zh-CN"/>
        </w:rPr>
        <w:t>34</w:t>
      </w:r>
      <w:r>
        <w:rPr>
          <w:rFonts w:hint="default" w:ascii="仿宋" w:hAnsi="仿宋" w:eastAsia="仿宋" w:cs="仿宋"/>
          <w:color w:val="auto"/>
          <w:sz w:val="32"/>
          <w:szCs w:val="32"/>
          <w:lang w:val="en-US" w:eastAsia="zh-CN"/>
        </w:rPr>
        <w:t>人；退休人员</w:t>
      </w:r>
      <w:r>
        <w:rPr>
          <w:rFonts w:hint="eastAsia" w:ascii="仿宋" w:hAnsi="仿宋" w:eastAsia="仿宋" w:cs="仿宋"/>
          <w:color w:val="auto"/>
          <w:sz w:val="32"/>
          <w:szCs w:val="32"/>
          <w:lang w:val="en-US" w:eastAsia="zh-CN"/>
        </w:rPr>
        <w:t>42</w:t>
      </w:r>
      <w:r>
        <w:rPr>
          <w:rFonts w:hint="default" w:ascii="仿宋" w:hAnsi="仿宋" w:eastAsia="仿宋" w:cs="仿宋"/>
          <w:color w:val="auto"/>
          <w:sz w:val="32"/>
          <w:szCs w:val="32"/>
          <w:lang w:val="en-US" w:eastAsia="zh-CN"/>
        </w:rPr>
        <w:t>人。</w:t>
      </w:r>
    </w:p>
    <w:p w14:paraId="486F10D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48"/>
          <w:shd w:val="clear" w:color="auto" w:fill="FFFFFF"/>
        </w:rPr>
      </w:pPr>
      <w:r>
        <w:rPr>
          <w:rFonts w:hint="eastAsia" w:ascii="黑体" w:hAnsi="宋体" w:eastAsia="黑体" w:cs="宋体"/>
          <w:color w:val="000000"/>
          <w:kern w:val="0"/>
          <w:sz w:val="32"/>
          <w:szCs w:val="48"/>
          <w:shd w:val="clear" w:color="auto" w:fill="FFFFFF"/>
        </w:rPr>
        <w:t>二、部门财政资金收支情况</w:t>
      </w:r>
    </w:p>
    <w:p w14:paraId="039C2578">
      <w:pPr>
        <w:widowControl/>
        <w:adjustRightInd w:val="0"/>
        <w:snapToGrid w:val="0"/>
        <w:spacing w:line="580" w:lineRule="exact"/>
        <w:ind w:firstLine="640" w:firstLineChars="200"/>
        <w:contextualSpacing/>
        <w:jc w:val="left"/>
        <w:rPr>
          <w:rFonts w:hint="eastAsia" w:ascii="楷体" w:hAnsi="楷体" w:eastAsia="楷体" w:cs="楷体"/>
          <w:color w:val="000000"/>
          <w:kern w:val="0"/>
          <w:sz w:val="32"/>
          <w:szCs w:val="48"/>
          <w:shd w:val="clear" w:color="auto" w:fill="FFFFFF"/>
          <w:lang w:val="zh-CN"/>
        </w:rPr>
      </w:pPr>
      <w:r>
        <w:rPr>
          <w:rFonts w:hint="eastAsia" w:ascii="楷体" w:hAnsi="楷体" w:eastAsia="楷体" w:cs="楷体"/>
          <w:color w:val="000000"/>
          <w:kern w:val="0"/>
          <w:sz w:val="32"/>
          <w:szCs w:val="48"/>
          <w:shd w:val="clear" w:color="auto" w:fill="FFFFFF"/>
          <w:lang w:val="zh-CN"/>
        </w:rPr>
        <w:t>（一）部门财政资金收入情况</w:t>
      </w:r>
    </w:p>
    <w:p w14:paraId="28DF67C8">
      <w:pPr>
        <w:spacing w:line="560" w:lineRule="atLeast"/>
        <w:ind w:firstLine="640"/>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en-US" w:eastAsia="zh-CN"/>
        </w:rPr>
        <w:t>2023年收入决算总额为2090.17万元，其中：一般公共预算财政拨款收入2056.17万元，政府性基金预算财政拨款收入34万元，年初结转和结余0万元。</w:t>
      </w:r>
    </w:p>
    <w:p w14:paraId="6D9D8DCE">
      <w:pPr>
        <w:widowControl/>
        <w:numPr>
          <w:ilvl w:val="0"/>
          <w:numId w:val="8"/>
        </w:numPr>
        <w:adjustRightInd w:val="0"/>
        <w:snapToGrid w:val="0"/>
        <w:spacing w:line="580" w:lineRule="exact"/>
        <w:ind w:firstLine="640" w:firstLineChars="200"/>
        <w:contextualSpacing/>
        <w:jc w:val="left"/>
        <w:rPr>
          <w:rFonts w:hint="eastAsia" w:ascii="楷体" w:hAnsi="楷体" w:eastAsia="楷体" w:cs="楷体"/>
          <w:color w:val="auto"/>
          <w:kern w:val="0"/>
          <w:sz w:val="32"/>
          <w:szCs w:val="48"/>
          <w:shd w:val="clear" w:color="auto" w:fill="FFFFFF"/>
          <w:lang w:val="zh-CN"/>
        </w:rPr>
      </w:pPr>
      <w:r>
        <w:rPr>
          <w:rFonts w:hint="eastAsia" w:ascii="楷体" w:hAnsi="楷体" w:eastAsia="楷体" w:cs="楷体"/>
          <w:color w:val="auto"/>
          <w:kern w:val="0"/>
          <w:sz w:val="32"/>
          <w:szCs w:val="48"/>
          <w:shd w:val="clear" w:color="auto" w:fill="FFFFFF"/>
          <w:lang w:val="zh-CN"/>
        </w:rPr>
        <w:t>部门财政资金支出情况</w:t>
      </w:r>
    </w:p>
    <w:p w14:paraId="18F40CD7">
      <w:pPr>
        <w:spacing w:line="560" w:lineRule="atLeast"/>
        <w:ind w:firstLine="64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支出决算总额为2090.17万元。按功能分类：一般公共服务支出1575.59万元，社会保障和就业支出266.69万元，卫生健康支出78.87万元，城乡社区支出35.05万元，住房保障支出119.7万元，灾害防治及应急管理支出14.27万元；按支出性质分类：基本支出1748.08万元（人员经费1506.67万元，公用经费241.41万元）、项目支出342.09万元；按经济分类：工资福利支出1375.73万元、商品和服务支出573.9万元、对个人和家庭的补助130.94万元、资本性支出9.6万元。</w:t>
      </w:r>
    </w:p>
    <w:p w14:paraId="5CDB2C33">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48"/>
          <w:shd w:val="clear" w:color="auto" w:fill="FFFFFF"/>
        </w:rPr>
      </w:pPr>
      <w:r>
        <w:rPr>
          <w:rFonts w:hint="eastAsia" w:ascii="黑体" w:hAnsi="宋体" w:eastAsia="黑体" w:cs="宋体"/>
          <w:color w:val="000000"/>
          <w:kern w:val="0"/>
          <w:sz w:val="32"/>
          <w:szCs w:val="48"/>
          <w:shd w:val="clear" w:color="auto" w:fill="FFFFFF"/>
        </w:rPr>
        <w:t>三、部门整体预算绩效管理情况</w:t>
      </w:r>
    </w:p>
    <w:p w14:paraId="460586F2">
      <w:pPr>
        <w:widowControl/>
        <w:adjustRightInd w:val="0"/>
        <w:snapToGrid w:val="0"/>
        <w:spacing w:line="580" w:lineRule="exact"/>
        <w:ind w:firstLine="640" w:firstLineChars="200"/>
        <w:contextualSpacing/>
        <w:jc w:val="left"/>
        <w:rPr>
          <w:rFonts w:hint="eastAsia" w:ascii="楷体_GB2312" w:hAnsi="楷体_GB2312" w:eastAsia="楷体_GB2312" w:cs="楷体_GB2312"/>
          <w:b w:val="0"/>
          <w:bCs w:val="0"/>
          <w:color w:val="000000"/>
          <w:kern w:val="0"/>
          <w:sz w:val="32"/>
          <w:szCs w:val="48"/>
          <w:shd w:val="clear" w:color="auto" w:fill="FFFFFF"/>
          <w:lang w:val="zh-CN"/>
        </w:rPr>
      </w:pPr>
      <w:r>
        <w:rPr>
          <w:rFonts w:hint="eastAsia" w:ascii="楷体_GB2312" w:hAnsi="楷体_GB2312" w:eastAsia="楷体_GB2312" w:cs="楷体_GB2312"/>
          <w:b w:val="0"/>
          <w:bCs w:val="0"/>
          <w:color w:val="000000"/>
          <w:kern w:val="0"/>
          <w:sz w:val="32"/>
          <w:szCs w:val="48"/>
          <w:shd w:val="clear" w:color="auto" w:fill="FFFFFF"/>
          <w:lang w:val="zh-CN"/>
        </w:rPr>
        <w:t>（一）部门预算管理</w:t>
      </w:r>
    </w:p>
    <w:p w14:paraId="43788D67">
      <w:pPr>
        <w:spacing w:line="560" w:lineRule="atLeast"/>
        <w:ind w:firstLine="640"/>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en-US" w:eastAsia="zh-CN"/>
        </w:rPr>
        <w:t>一是严格按照区级部门预算编制通知和有关要求，科学编制预算，按时完成2023年预算编制工作。二是规范财务收支行为，实现财务管理制度化、规范化。三是加强财务监督，加强财务核算，如实反映财务状况，做到账证相符、账账相符、账表相符、账实相符。</w:t>
      </w:r>
    </w:p>
    <w:p w14:paraId="18D128D6">
      <w:pPr>
        <w:widowControl/>
        <w:adjustRightInd w:val="0"/>
        <w:snapToGrid w:val="0"/>
        <w:spacing w:line="580" w:lineRule="exact"/>
        <w:ind w:firstLine="640" w:firstLineChars="200"/>
        <w:contextualSpacing/>
        <w:jc w:val="left"/>
        <w:rPr>
          <w:rFonts w:ascii="仿宋_GB2312" w:hAnsi="宋体" w:cs="宋体"/>
          <w:b w:val="0"/>
          <w:bCs w:val="0"/>
          <w:color w:val="000000"/>
          <w:kern w:val="0"/>
          <w:sz w:val="32"/>
          <w:szCs w:val="48"/>
          <w:shd w:val="clear" w:color="auto" w:fill="FFFFFF"/>
          <w:lang w:val="zh-CN"/>
        </w:rPr>
      </w:pPr>
      <w:r>
        <w:rPr>
          <w:rFonts w:hint="eastAsia" w:ascii="楷体_GB2312" w:hAnsi="楷体_GB2312" w:eastAsia="楷体_GB2312" w:cs="楷体_GB2312"/>
          <w:b w:val="0"/>
          <w:bCs w:val="0"/>
          <w:color w:val="000000"/>
          <w:kern w:val="0"/>
          <w:sz w:val="32"/>
          <w:szCs w:val="48"/>
          <w:shd w:val="clear" w:color="auto" w:fill="FFFFFF"/>
          <w:lang w:val="zh-CN"/>
        </w:rPr>
        <w:t>（二）结果应用情况</w:t>
      </w:r>
    </w:p>
    <w:p w14:paraId="4285947D">
      <w:pPr>
        <w:spacing w:line="560" w:lineRule="atLeast"/>
        <w:ind w:firstLine="640"/>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对各个项目绩效自评情况进</w:t>
      </w:r>
      <w:r>
        <w:rPr>
          <w:rFonts w:hint="default" w:ascii="仿宋" w:hAnsi="仿宋" w:eastAsia="仿宋" w:cs="仿宋"/>
          <w:color w:val="auto"/>
          <w:kern w:val="2"/>
          <w:sz w:val="32"/>
          <w:szCs w:val="32"/>
          <w:lang w:val="en-US" w:eastAsia="zh-CN" w:bidi="ar-SA"/>
        </w:rPr>
        <w:t>行及时整理</w:t>
      </w:r>
      <w:r>
        <w:rPr>
          <w:rFonts w:hint="default" w:ascii="仿宋" w:hAnsi="仿宋" w:eastAsia="仿宋" w:cs="仿宋"/>
          <w:color w:val="auto"/>
          <w:sz w:val="32"/>
          <w:szCs w:val="32"/>
          <w:lang w:val="en-US" w:eastAsia="zh-CN"/>
        </w:rPr>
        <w:t>、归纳、分析，将其作为改善部门预算管理工作和安排以后年度预算的依据。同时不断完善绩效评价指标，逐步建立符合我局工作特点的绩效评价指标体系。</w:t>
      </w:r>
    </w:p>
    <w:p w14:paraId="6CDBC641">
      <w:pPr>
        <w:widowControl/>
        <w:adjustRightInd w:val="0"/>
        <w:snapToGrid w:val="0"/>
        <w:spacing w:line="580" w:lineRule="exact"/>
        <w:ind w:firstLine="640" w:firstLineChars="200"/>
        <w:contextualSpacing/>
        <w:jc w:val="left"/>
        <w:rPr>
          <w:rFonts w:ascii="黑体" w:hAnsi="宋体" w:eastAsia="黑体" w:cs="宋体"/>
          <w:color w:val="000000"/>
          <w:kern w:val="0"/>
          <w:sz w:val="32"/>
          <w:szCs w:val="48"/>
          <w:shd w:val="clear" w:color="auto" w:fill="FFFFFF"/>
        </w:rPr>
      </w:pPr>
      <w:r>
        <w:rPr>
          <w:rFonts w:hint="eastAsia" w:ascii="黑体" w:hAnsi="宋体" w:eastAsia="黑体" w:cs="宋体"/>
          <w:color w:val="000000"/>
          <w:kern w:val="0"/>
          <w:sz w:val="32"/>
          <w:szCs w:val="48"/>
          <w:shd w:val="clear" w:color="auto" w:fill="FFFFFF"/>
        </w:rPr>
        <w:t>四、评价结论及建议</w:t>
      </w:r>
    </w:p>
    <w:p w14:paraId="0916D679">
      <w:pPr>
        <w:widowControl/>
        <w:adjustRightInd w:val="0"/>
        <w:snapToGrid w:val="0"/>
        <w:spacing w:line="580" w:lineRule="exact"/>
        <w:ind w:firstLine="640" w:firstLineChars="200"/>
        <w:contextualSpacing/>
        <w:jc w:val="left"/>
        <w:rPr>
          <w:rFonts w:hint="eastAsia" w:ascii="楷体_GB2312" w:hAnsi="楷体_GB2312" w:eastAsia="楷体_GB2312" w:cs="楷体_GB2312"/>
          <w:b w:val="0"/>
          <w:bCs w:val="0"/>
          <w:color w:val="000000"/>
          <w:kern w:val="0"/>
          <w:sz w:val="32"/>
          <w:szCs w:val="48"/>
          <w:shd w:val="clear" w:color="auto" w:fill="FFFFFF"/>
          <w:lang w:val="zh-CN"/>
        </w:rPr>
      </w:pPr>
      <w:r>
        <w:rPr>
          <w:rFonts w:hint="eastAsia" w:ascii="楷体_GB2312" w:hAnsi="楷体_GB2312" w:eastAsia="楷体_GB2312" w:cs="楷体_GB2312"/>
          <w:b w:val="0"/>
          <w:bCs w:val="0"/>
          <w:color w:val="000000"/>
          <w:kern w:val="0"/>
          <w:sz w:val="32"/>
          <w:szCs w:val="48"/>
          <w:shd w:val="clear" w:color="auto" w:fill="FFFFFF"/>
          <w:lang w:val="zh-CN"/>
        </w:rPr>
        <w:t>（一）评价结论</w:t>
      </w:r>
    </w:p>
    <w:p w14:paraId="39E19658">
      <w:pPr>
        <w:pStyle w:val="25"/>
        <w:spacing w:line="240" w:lineRule="auto"/>
        <w:ind w:firstLine="640" w:firstLineChars="200"/>
        <w:rPr>
          <w:rFonts w:hint="eastAsia" w:ascii="仿宋" w:hAnsi="仿宋" w:eastAsia="仿宋" w:cs="仿宋"/>
          <w:color w:val="auto"/>
          <w:kern w:val="2"/>
          <w:sz w:val="32"/>
          <w:szCs w:val="32"/>
          <w:lang w:val="zh-CN" w:eastAsia="zh-CN" w:bidi="ar-SA"/>
        </w:rPr>
      </w:pPr>
      <w:r>
        <w:rPr>
          <w:rFonts w:hint="default" w:ascii="仿宋" w:hAnsi="仿宋" w:eastAsia="仿宋" w:cs="仿宋"/>
          <w:color w:val="auto"/>
          <w:kern w:val="2"/>
          <w:sz w:val="32"/>
          <w:szCs w:val="32"/>
          <w:lang w:val="en-US" w:eastAsia="zh-CN" w:bidi="ar-SA"/>
        </w:rPr>
        <w:t>经过一年的项目实施</w:t>
      </w:r>
      <w:r>
        <w:rPr>
          <w:rFonts w:hint="eastAsia" w:ascii="仿宋" w:hAnsi="仿宋" w:eastAsia="仿宋" w:cs="仿宋"/>
          <w:color w:val="auto"/>
          <w:kern w:val="2"/>
          <w:sz w:val="32"/>
          <w:szCs w:val="32"/>
          <w:lang w:val="en-US" w:eastAsia="zh-CN" w:bidi="ar-SA"/>
        </w:rPr>
        <w:t>，我局</w:t>
      </w:r>
      <w:r>
        <w:rPr>
          <w:rFonts w:hint="eastAsia" w:ascii="仿宋" w:hAnsi="仿宋" w:eastAsia="仿宋" w:cs="仿宋"/>
          <w:color w:val="auto"/>
          <w:kern w:val="2"/>
          <w:sz w:val="32"/>
          <w:szCs w:val="32"/>
          <w:lang w:val="zh-CN" w:eastAsia="zh-CN" w:bidi="ar-SA"/>
        </w:rPr>
        <w:t>严格按照预算目标，完成目标绩效申报的数量、质量、时效、可持续发展</w:t>
      </w:r>
      <w:r>
        <w:rPr>
          <w:rFonts w:hint="eastAsia" w:ascii="仿宋" w:hAnsi="仿宋" w:eastAsia="仿宋" w:cs="仿宋"/>
          <w:color w:val="auto"/>
          <w:kern w:val="2"/>
          <w:sz w:val="32"/>
          <w:szCs w:val="32"/>
          <w:lang w:val="en-US" w:eastAsia="zh-CN" w:bidi="ar-SA"/>
        </w:rPr>
        <w:t>等</w:t>
      </w:r>
      <w:r>
        <w:rPr>
          <w:rFonts w:hint="eastAsia" w:ascii="仿宋" w:hAnsi="仿宋" w:eastAsia="仿宋" w:cs="仿宋"/>
          <w:color w:val="auto"/>
          <w:kern w:val="2"/>
          <w:sz w:val="32"/>
          <w:szCs w:val="32"/>
          <w:lang w:val="zh-CN" w:eastAsia="zh-CN" w:bidi="ar-SA"/>
        </w:rPr>
        <w:t>各项指标，</w:t>
      </w:r>
      <w:r>
        <w:rPr>
          <w:rFonts w:hint="eastAsia" w:ascii="仿宋" w:hAnsi="仿宋" w:eastAsia="仿宋" w:cs="仿宋"/>
          <w:color w:val="auto"/>
          <w:kern w:val="2"/>
          <w:sz w:val="32"/>
          <w:szCs w:val="32"/>
          <w:lang w:val="en-US" w:eastAsia="zh-CN" w:bidi="ar-SA"/>
        </w:rPr>
        <w:t>与年初预算基本一致，</w:t>
      </w:r>
      <w:r>
        <w:rPr>
          <w:rFonts w:hint="default" w:ascii="仿宋" w:hAnsi="仿宋" w:eastAsia="仿宋" w:cs="仿宋"/>
          <w:color w:val="auto"/>
          <w:kern w:val="2"/>
          <w:sz w:val="32"/>
          <w:szCs w:val="32"/>
          <w:lang w:val="en-US" w:eastAsia="zh-CN" w:bidi="ar-SA"/>
        </w:rPr>
        <w:t>根据该项目绩效评价指标体系自评得分</w:t>
      </w:r>
      <w:r>
        <w:rPr>
          <w:rFonts w:hint="eastAsia" w:ascii="仿宋" w:hAnsi="仿宋" w:eastAsia="仿宋" w:cs="仿宋"/>
          <w:color w:val="auto"/>
          <w:kern w:val="2"/>
          <w:sz w:val="32"/>
          <w:szCs w:val="32"/>
          <w:lang w:val="en-US" w:eastAsia="zh-CN" w:bidi="ar-SA"/>
        </w:rPr>
        <w:t>90</w:t>
      </w:r>
      <w:r>
        <w:rPr>
          <w:rFonts w:hint="default" w:ascii="仿宋" w:hAnsi="仿宋" w:eastAsia="仿宋" w:cs="仿宋"/>
          <w:color w:val="auto"/>
          <w:kern w:val="2"/>
          <w:sz w:val="32"/>
          <w:szCs w:val="32"/>
          <w:lang w:val="en-US" w:eastAsia="zh-CN" w:bidi="ar-SA"/>
        </w:rPr>
        <w:t>分。</w:t>
      </w:r>
    </w:p>
    <w:p w14:paraId="72FB152F">
      <w:pPr>
        <w:widowControl/>
        <w:numPr>
          <w:ilvl w:val="0"/>
          <w:numId w:val="9"/>
        </w:numPr>
        <w:adjustRightInd w:val="0"/>
        <w:snapToGrid w:val="0"/>
        <w:spacing w:line="580" w:lineRule="exact"/>
        <w:ind w:firstLine="640" w:firstLineChars="200"/>
        <w:contextualSpacing/>
        <w:jc w:val="left"/>
        <w:rPr>
          <w:rFonts w:hint="eastAsia" w:ascii="楷体_GB2312" w:hAnsi="楷体_GB2312" w:eastAsia="楷体_GB2312" w:cs="楷体_GB2312"/>
          <w:b w:val="0"/>
          <w:bCs w:val="0"/>
          <w:color w:val="000000"/>
          <w:kern w:val="0"/>
          <w:sz w:val="32"/>
          <w:szCs w:val="48"/>
          <w:shd w:val="clear" w:color="auto" w:fill="FFFFFF"/>
          <w:lang w:val="zh-CN"/>
        </w:rPr>
      </w:pPr>
      <w:r>
        <w:rPr>
          <w:rFonts w:hint="eastAsia" w:ascii="楷体_GB2312" w:hAnsi="楷体_GB2312" w:eastAsia="楷体_GB2312" w:cs="楷体_GB2312"/>
          <w:b w:val="0"/>
          <w:bCs w:val="0"/>
          <w:color w:val="000000"/>
          <w:kern w:val="0"/>
          <w:sz w:val="32"/>
          <w:szCs w:val="48"/>
          <w:shd w:val="clear" w:color="auto" w:fill="FFFFFF"/>
          <w:lang w:val="zh-CN"/>
        </w:rPr>
        <w:t>存在问题</w:t>
      </w:r>
    </w:p>
    <w:p w14:paraId="1DBDEDBD">
      <w:pPr>
        <w:spacing w:line="560" w:lineRule="atLeast"/>
        <w:ind w:firstLine="640"/>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对预算绩效管理</w:t>
      </w:r>
      <w:r>
        <w:rPr>
          <w:rFonts w:hint="eastAsia" w:ascii="仿宋" w:hAnsi="仿宋" w:eastAsia="仿宋" w:cs="仿宋"/>
          <w:color w:val="auto"/>
          <w:sz w:val="32"/>
          <w:szCs w:val="32"/>
          <w:lang w:val="en-US" w:eastAsia="zh-CN"/>
        </w:rPr>
        <w:t>工作的重视度、</w:t>
      </w:r>
      <w:r>
        <w:rPr>
          <w:rFonts w:hint="default" w:ascii="仿宋" w:hAnsi="仿宋" w:eastAsia="仿宋" w:cs="仿宋"/>
          <w:color w:val="auto"/>
          <w:sz w:val="32"/>
          <w:szCs w:val="32"/>
          <w:lang w:val="en-US" w:eastAsia="zh-CN"/>
        </w:rPr>
        <w:t>认识</w:t>
      </w:r>
      <w:r>
        <w:rPr>
          <w:rFonts w:hint="eastAsia" w:ascii="仿宋" w:hAnsi="仿宋" w:eastAsia="仿宋" w:cs="仿宋"/>
          <w:color w:val="auto"/>
          <w:sz w:val="32"/>
          <w:szCs w:val="32"/>
          <w:lang w:val="en-US" w:eastAsia="zh-CN"/>
        </w:rPr>
        <w:t>度、</w:t>
      </w:r>
      <w:r>
        <w:rPr>
          <w:rFonts w:hint="default" w:ascii="仿宋" w:hAnsi="仿宋" w:eastAsia="仿宋" w:cs="仿宋"/>
          <w:color w:val="auto"/>
          <w:sz w:val="32"/>
          <w:szCs w:val="32"/>
          <w:lang w:val="en-US" w:eastAsia="zh-CN"/>
        </w:rPr>
        <w:t>业务</w:t>
      </w:r>
      <w:r>
        <w:rPr>
          <w:rFonts w:hint="eastAsia" w:ascii="仿宋" w:hAnsi="仿宋" w:eastAsia="仿宋" w:cs="仿宋"/>
          <w:color w:val="auto"/>
          <w:sz w:val="32"/>
          <w:szCs w:val="32"/>
          <w:lang w:val="en-US" w:eastAsia="zh-CN"/>
        </w:rPr>
        <w:t>知识有待提高</w:t>
      </w:r>
      <w:r>
        <w:rPr>
          <w:rFonts w:hint="default" w:ascii="仿宋" w:hAnsi="仿宋" w:eastAsia="仿宋" w:cs="仿宋"/>
          <w:color w:val="auto"/>
          <w:sz w:val="32"/>
          <w:szCs w:val="32"/>
          <w:lang w:val="en-US" w:eastAsia="zh-CN"/>
        </w:rPr>
        <w:t>。</w:t>
      </w:r>
    </w:p>
    <w:p w14:paraId="67FA3AF3">
      <w:pPr>
        <w:keepNext w:val="0"/>
        <w:keepLines w:val="0"/>
        <w:pageBreakBefore w:val="0"/>
        <w:widowControl w:val="0"/>
        <w:kinsoku/>
        <w:wordWrap/>
        <w:overflowPunct/>
        <w:topLinePunct w:val="0"/>
        <w:bidi w:val="0"/>
        <w:adjustRightInd w:val="0"/>
        <w:snapToGrid w:val="0"/>
        <w:spacing w:line="540" w:lineRule="exact"/>
        <w:ind w:firstLine="640" w:firstLineChars="200"/>
        <w:contextualSpacing/>
        <w:jc w:val="left"/>
        <w:textAlignment w:val="auto"/>
        <w:rPr>
          <w:rFonts w:hint="default" w:ascii="Times New Roman" w:hAnsi="Times New Roman" w:eastAsia="楷体_GB2312" w:cs="Times New Roman"/>
          <w:b w:val="0"/>
          <w:bCs w:val="0"/>
          <w:color w:val="000000"/>
          <w:kern w:val="0"/>
          <w:sz w:val="32"/>
          <w:szCs w:val="32"/>
          <w:shd w:val="clear" w:color="auto" w:fill="FFFFFF"/>
          <w:lang w:val="zh-CN"/>
        </w:rPr>
      </w:pPr>
      <w:r>
        <w:rPr>
          <w:rFonts w:hint="default" w:ascii="Times New Roman" w:hAnsi="Times New Roman" w:eastAsia="楷体_GB2312" w:cs="Times New Roman"/>
          <w:b w:val="0"/>
          <w:bCs w:val="0"/>
          <w:color w:val="000000"/>
          <w:kern w:val="0"/>
          <w:sz w:val="32"/>
          <w:szCs w:val="32"/>
          <w:shd w:val="clear" w:color="auto" w:fill="FFFFFF"/>
          <w:lang w:val="zh-CN"/>
        </w:rPr>
        <w:t>（三）改进建议</w:t>
      </w:r>
    </w:p>
    <w:p w14:paraId="6E59D543">
      <w:pPr>
        <w:keepNext w:val="0"/>
        <w:keepLines w:val="0"/>
        <w:pageBreakBefore w:val="0"/>
        <w:widowControl w:val="0"/>
        <w:kinsoku/>
        <w:wordWrap/>
        <w:overflowPunct/>
        <w:topLinePunct w:val="0"/>
        <w:bidi w:val="0"/>
        <w:adjustRightInd w:val="0"/>
        <w:snapToGrid w:val="0"/>
        <w:spacing w:line="540"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rPr>
      </w:pPr>
      <w:r>
        <w:rPr>
          <w:rFonts w:hint="default" w:ascii="仿宋" w:hAnsi="仿宋" w:eastAsia="仿宋" w:cs="仿宋"/>
          <w:color w:val="auto"/>
          <w:sz w:val="32"/>
          <w:szCs w:val="32"/>
          <w:lang w:val="en-US" w:eastAsia="zh-CN"/>
        </w:rPr>
        <w:t>1.加强预算绩效管理，从数量、质量、成本和时效等方面进行绩效目标细化，进一步提高预算绩效目标制定的科学性、合理性；项目实施过程中，加强预算绩效执行监控，跟踪实施动态绩效，不断提高财政资金使用效益。</w:t>
      </w:r>
    </w:p>
    <w:p w14:paraId="4EACDB0C">
      <w:pPr>
        <w:keepNext w:val="0"/>
        <w:keepLines w:val="0"/>
        <w:pageBreakBefore w:val="0"/>
        <w:widowControl w:val="0"/>
        <w:kinsoku/>
        <w:wordWrap/>
        <w:overflowPunct/>
        <w:topLinePunct w:val="0"/>
        <w:bidi w:val="0"/>
        <w:adjustRightInd w:val="0"/>
        <w:snapToGrid w:val="0"/>
        <w:spacing w:line="540"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rPr>
      </w:pPr>
      <w:r>
        <w:rPr>
          <w:rFonts w:hint="default" w:ascii="仿宋" w:hAnsi="仿宋" w:eastAsia="仿宋" w:cs="仿宋"/>
          <w:color w:val="auto"/>
          <w:sz w:val="32"/>
          <w:szCs w:val="32"/>
          <w:lang w:val="en-US" w:eastAsia="zh-CN"/>
        </w:rPr>
        <w:t>2.加大对会计人员的培训力度，进一步统一认识，充实业务知识。</w:t>
      </w:r>
    </w:p>
    <w:p w14:paraId="53D8F890">
      <w:pPr>
        <w:pStyle w:val="25"/>
        <w:ind w:firstLine="640" w:firstLineChars="200"/>
        <w:rPr>
          <w:rFonts w:hint="eastAsia" w:ascii="黑体" w:hAnsi="黑体" w:eastAsia="黑体" w:cs="黑体"/>
          <w:kern w:val="2"/>
          <w:sz w:val="32"/>
          <w:szCs w:val="32"/>
          <w:lang w:val="en-US" w:eastAsia="zh-CN" w:bidi="ar-SA"/>
        </w:rPr>
      </w:pPr>
      <w:r>
        <w:rPr>
          <w:rFonts w:hint="eastAsia" w:ascii="仿宋" w:hAnsi="仿宋" w:eastAsia="仿宋" w:cs="仿宋"/>
          <w:color w:val="auto"/>
          <w:kern w:val="2"/>
          <w:sz w:val="32"/>
          <w:szCs w:val="32"/>
          <w:lang w:val="en-US" w:eastAsia="zh-CN" w:bidi="ar-SA"/>
        </w:rPr>
        <w:t>附表：部门整体支出绩效自评表（2023年度）</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1058"/>
        <w:gridCol w:w="1275"/>
        <w:gridCol w:w="1635"/>
        <w:gridCol w:w="469"/>
        <w:gridCol w:w="1406"/>
        <w:gridCol w:w="27"/>
        <w:gridCol w:w="1454"/>
        <w:gridCol w:w="454"/>
        <w:gridCol w:w="443"/>
      </w:tblGrid>
      <w:tr w14:paraId="1533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5000" w:type="pct"/>
            <w:gridSpan w:val="10"/>
            <w:tcBorders>
              <w:top w:val="nil"/>
              <w:left w:val="nil"/>
              <w:bottom w:val="nil"/>
              <w:right w:val="nil"/>
            </w:tcBorders>
            <w:shd w:val="clear" w:color="auto" w:fill="auto"/>
            <w:vAlign w:val="center"/>
          </w:tcPr>
          <w:p w14:paraId="17BF08B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部门整体支出绩效自评表</w:t>
            </w:r>
          </w:p>
        </w:tc>
      </w:tr>
      <w:tr w14:paraId="0DA0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0"/>
            <w:tcBorders>
              <w:top w:val="nil"/>
              <w:left w:val="nil"/>
              <w:bottom w:val="nil"/>
              <w:right w:val="nil"/>
            </w:tcBorders>
            <w:shd w:val="clear" w:color="auto" w:fill="auto"/>
            <w:vAlign w:val="center"/>
          </w:tcPr>
          <w:p w14:paraId="4EC15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w:t>
            </w:r>
          </w:p>
        </w:tc>
      </w:tr>
      <w:tr w14:paraId="393A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0"/>
            <w:tcBorders>
              <w:top w:val="nil"/>
              <w:left w:val="nil"/>
              <w:bottom w:val="single" w:color="000000" w:sz="4" w:space="0"/>
              <w:right w:val="nil"/>
            </w:tcBorders>
            <w:shd w:val="clear" w:color="auto" w:fill="auto"/>
            <w:vAlign w:val="center"/>
          </w:tcPr>
          <w:p w14:paraId="201534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2CC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7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0E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584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遂宁市安居区市场监督管理局部门</w:t>
            </w:r>
          </w:p>
        </w:tc>
      </w:tr>
      <w:tr w14:paraId="60DE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3DF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年度部门整体支出</w:t>
            </w:r>
            <w:r>
              <w:rPr>
                <w:rFonts w:hint="eastAsia" w:ascii="宋体" w:hAnsi="宋体" w:cs="宋体"/>
                <w:kern w:val="0"/>
                <w:sz w:val="20"/>
                <w:szCs w:val="20"/>
              </w:rPr>
              <w:t>预算安排、执行情况</w:t>
            </w: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BA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kern w:val="0"/>
                <w:sz w:val="20"/>
                <w:szCs w:val="20"/>
              </w:rPr>
              <w:t>年初预算数</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A3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追加预算数</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F3781">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cs="宋体"/>
                <w:kern w:val="0"/>
                <w:sz w:val="20"/>
                <w:szCs w:val="20"/>
              </w:rPr>
              <w:t>年末决算数</w:t>
            </w:r>
          </w:p>
        </w:tc>
        <w:tc>
          <w:tcPr>
            <w:tcW w:w="1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C37E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kern w:val="0"/>
                <w:sz w:val="20"/>
                <w:szCs w:val="20"/>
              </w:rPr>
              <w:t>预算执行率</w:t>
            </w:r>
          </w:p>
        </w:tc>
      </w:tr>
      <w:tr w14:paraId="261A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2D33">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17D5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1981.67</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97F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108.5</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82A70">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2090.17</w:t>
            </w:r>
          </w:p>
        </w:tc>
        <w:tc>
          <w:tcPr>
            <w:tcW w:w="1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B4E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r>
      <w:tr w14:paraId="1C0A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9"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5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44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185D9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目标一：突出食品安全日常监管工作，抽检等工作，保障我区食品安全；</w:t>
            </w:r>
          </w:p>
          <w:p w14:paraId="0097F80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目标二：加强药械化安全监管工作，保障我区药品安全；</w:t>
            </w:r>
          </w:p>
          <w:p w14:paraId="55132C0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目标三：加强辖区特种设备全面检查，排查和整治风险隐患，确保特种设备安全；</w:t>
            </w:r>
          </w:p>
          <w:p w14:paraId="5AB0D97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目标四：积极开展知识产权日常监管工作，进一步鼓励发明创造，促进技术创新，提升专利创造、运用、保护和管理能力，加快国家知识产权强县工程试点区创建，推动区域经济高质量发展。</w:t>
            </w:r>
          </w:p>
          <w:p w14:paraId="4A02CE4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目标五：积极开展计量器具检测、工业产品抽检、有机产品抽检等工作，保障我区质量安全。</w:t>
            </w:r>
          </w:p>
          <w:p w14:paraId="40681A4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目标六：开展各项执法办案专项检查，推进依法行政建设、执法人员法律法规培训，提高执法能力建设。</w:t>
            </w:r>
          </w:p>
          <w:p w14:paraId="529D243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目标七：开展两心创建，双随机抽检及“3.15”宣传、年报工作，维护稳定、健康的市场秩序；</w:t>
            </w:r>
          </w:p>
          <w:p w14:paraId="595CE20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目标八：开展农贸市场整治，维护公平交易秩序；</w:t>
            </w:r>
          </w:p>
          <w:p w14:paraId="738AB53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目标九：开展合同帮扶、广告监测、互联网广告整治、严厉查处各类虚假违法广告行为、打击传销会销、扫黑除恶工作、开展价格违法行为查处工作，维护市场秩序；</w:t>
            </w:r>
          </w:p>
          <w:p w14:paraId="76E6ABE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目标十：增强法规宣传，保障区市场监管局及下辖各市场监管所市场主体业务办理证书及配套文书使用。</w:t>
            </w:r>
          </w:p>
          <w:p w14:paraId="51600D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目标十一：保障部门人员基本运行经费。</w:t>
            </w:r>
          </w:p>
        </w:tc>
      </w:tr>
      <w:tr w14:paraId="3E1B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D6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F0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03B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7786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DB27E">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14A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保障食品药品安全</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1807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开展食品安全监管工作，通过食品抽检、冷链食品监管、食品安全培训、食品安全宣传等方式保障我区食品安全；开展药械化监管工作，通过开展药械化抽检、应急演练、培训等方式，保障我区药械化安全。</w:t>
            </w:r>
          </w:p>
        </w:tc>
      </w:tr>
      <w:tr w14:paraId="0348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7F85">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51D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保障特种设备安全</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EEAF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开展全区特种设备安全检查工作，通过企业自查加督查方式，保障安全事故发生数为0。</w:t>
            </w:r>
          </w:p>
        </w:tc>
      </w:tr>
      <w:tr w14:paraId="75B8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58C5">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8D7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加强执法办案，严厉打击违法违规行为</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F4EC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通过对执法人员开展业务培训、提升执法能力，提高办案效率，保障人民的合法权益，提高人民的满意度</w:t>
            </w:r>
          </w:p>
        </w:tc>
      </w:tr>
      <w:tr w14:paraId="3E84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6C68">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413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质量安全监管   </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0AFF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积极开展计量器具检测、工业产品抽检、有机产品抽检等工作，保障我区质量安全</w:t>
            </w:r>
          </w:p>
        </w:tc>
      </w:tr>
      <w:tr w14:paraId="4EB6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4E61D">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D5B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市场秩序监管   </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BCF8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开展农贸市场整治工作、做好处非、扫黑除恶、价格监管等工作，维护健康、公平的市场交易秩序。    </w:t>
            </w:r>
          </w:p>
        </w:tc>
      </w:tr>
      <w:tr w14:paraId="461B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1094">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BD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信用监督监管   </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D2A2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开展两心创建，双随机抽检及“3.15”宣传、年报工作，维护稳定、健康的市场秩序</w:t>
            </w:r>
          </w:p>
        </w:tc>
      </w:tr>
      <w:tr w14:paraId="5011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3BB6F">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DC7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提升知识产权监管能力   </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01E4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积极开展知识产权日常监管工作，进一步鼓励发明创造，促进技术创新，提升专利创造、运用、保护和管理能力，加快国家知识产权强县工程试点区创建，推动区域经济高质量发展。    </w:t>
            </w:r>
          </w:p>
        </w:tc>
      </w:tr>
      <w:tr w14:paraId="6C3C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E6293">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C40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创建省级食品安全示范县</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6A0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争取入围创建省级食品安全示范县，优化营商环境，提升食品安全</w:t>
            </w:r>
          </w:p>
        </w:tc>
      </w:tr>
      <w:tr w14:paraId="1D30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88E3">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16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保障人员经费   </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8D7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保障部门人员基本工资、津补贴、奖金等人员性经费</w:t>
            </w:r>
          </w:p>
        </w:tc>
      </w:tr>
      <w:tr w14:paraId="1A7E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1B03">
            <w:pPr>
              <w:jc w:val="center"/>
              <w:rPr>
                <w:rFonts w:hint="eastAsia" w:ascii="宋体" w:hAnsi="宋体" w:eastAsia="宋体" w:cs="宋体"/>
                <w:i w:val="0"/>
                <w:iCs w:val="0"/>
                <w:color w:val="000000"/>
                <w:sz w:val="18"/>
                <w:szCs w:val="18"/>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F55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保障公用经费   </w:t>
            </w:r>
          </w:p>
        </w:tc>
        <w:tc>
          <w:tcPr>
            <w:tcW w:w="32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70D2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保障单位工作正常运转办公费、水费、电费、邮电费，公务接待费、工会经费、公务用车运行费和其他交通费用等</w:t>
            </w:r>
          </w:p>
        </w:tc>
      </w:tr>
      <w:tr w14:paraId="0645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E4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8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4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F9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58FD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指标</w:t>
            </w:r>
            <w:r>
              <w:rPr>
                <w:rFonts w:hint="eastAsia" w:ascii="宋体" w:hAnsi="宋体" w:cs="宋体"/>
                <w:i w:val="0"/>
                <w:iCs w:val="0"/>
                <w:color w:val="000000"/>
                <w:kern w:val="0"/>
                <w:sz w:val="18"/>
                <w:szCs w:val="18"/>
                <w:u w:val="none"/>
                <w:lang w:val="en-US" w:eastAsia="zh-CN" w:bidi="ar"/>
              </w:rPr>
              <w:t>值</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2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完成</w:t>
            </w:r>
            <w:r>
              <w:rPr>
                <w:rFonts w:ascii="宋体" w:hAnsi="宋体" w:eastAsia="宋体" w:cs="宋体"/>
                <w:i w:val="0"/>
                <w:iCs w:val="0"/>
                <w:color w:val="000000"/>
                <w:kern w:val="0"/>
                <w:sz w:val="18"/>
                <w:szCs w:val="18"/>
                <w:u w:val="none"/>
                <w:lang w:val="en-US" w:eastAsia="zh-CN" w:bidi="ar"/>
              </w:rPr>
              <w:t>值</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A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22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得分</w:t>
            </w:r>
          </w:p>
        </w:tc>
      </w:tr>
      <w:tr w14:paraId="70F5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AC69">
            <w:pPr>
              <w:jc w:val="center"/>
              <w:rPr>
                <w:rFonts w:hint="eastAsia" w:ascii="宋体" w:hAnsi="宋体" w:eastAsia="宋体" w:cs="宋体"/>
                <w:i w:val="0"/>
                <w:iCs w:val="0"/>
                <w:color w:val="000000"/>
                <w:sz w:val="18"/>
                <w:szCs w:val="18"/>
                <w:u w:val="none"/>
              </w:rPr>
            </w:pP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10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76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ED6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保障部门人员基本工资、津补贴、奖金等</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C654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131人</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5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r>
              <w:rPr>
                <w:rFonts w:hint="eastAsia" w:ascii="宋体" w:hAnsi="宋体" w:cs="宋体"/>
                <w:i w:val="0"/>
                <w:iCs w:val="0"/>
                <w:color w:val="000000"/>
                <w:kern w:val="0"/>
                <w:sz w:val="18"/>
                <w:szCs w:val="18"/>
                <w:u w:val="none"/>
                <w:lang w:val="en-US" w:eastAsia="zh-CN" w:bidi="ar"/>
              </w:rPr>
              <w:t>人</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A2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89B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r>
      <w:tr w14:paraId="4D39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9479">
            <w:pPr>
              <w:jc w:val="center"/>
              <w:rPr>
                <w:rFonts w:hint="eastAsia" w:ascii="宋体" w:hAnsi="宋体" w:eastAsia="宋体" w:cs="宋体"/>
                <w:i w:val="0"/>
                <w:iCs w:val="0"/>
                <w:color w:val="000000"/>
                <w:sz w:val="18"/>
                <w:szCs w:val="18"/>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3779">
            <w:pPr>
              <w:jc w:val="left"/>
              <w:rPr>
                <w:rFonts w:hint="eastAsia" w:ascii="宋体" w:hAnsi="宋体" w:eastAsia="宋体" w:cs="宋体"/>
                <w:i w:val="0"/>
                <w:iCs w:val="0"/>
                <w:color w:val="000000"/>
                <w:sz w:val="18"/>
                <w:szCs w:val="18"/>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2FE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045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部门预算执行完成进度偏离数</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217D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E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9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599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r>
      <w:tr w14:paraId="294F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6D52F">
            <w:pPr>
              <w:jc w:val="center"/>
              <w:rPr>
                <w:rFonts w:hint="eastAsia" w:ascii="宋体" w:hAnsi="宋体" w:eastAsia="宋体" w:cs="宋体"/>
                <w:i w:val="0"/>
                <w:iCs w:val="0"/>
                <w:color w:val="000000"/>
                <w:sz w:val="18"/>
                <w:szCs w:val="18"/>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9E04">
            <w:pPr>
              <w:jc w:val="left"/>
              <w:rPr>
                <w:rFonts w:hint="eastAsia" w:ascii="宋体" w:hAnsi="宋体" w:eastAsia="宋体" w:cs="宋体"/>
                <w:i w:val="0"/>
                <w:iCs w:val="0"/>
                <w:color w:val="000000"/>
                <w:sz w:val="18"/>
                <w:szCs w:val="18"/>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258A">
            <w:pPr>
              <w:jc w:val="left"/>
              <w:rPr>
                <w:rFonts w:hint="eastAsia" w:ascii="宋体" w:hAnsi="宋体" w:eastAsia="宋体" w:cs="宋体"/>
                <w:i w:val="0"/>
                <w:iCs w:val="0"/>
                <w:color w:val="000000"/>
                <w:sz w:val="18"/>
                <w:szCs w:val="18"/>
                <w:u w:val="none"/>
              </w:rPr>
            </w:pP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BDE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公用经费、三公经费发生偏离数</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419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A18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2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BBC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r>
      <w:tr w14:paraId="24E5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D568">
            <w:pPr>
              <w:jc w:val="center"/>
              <w:rPr>
                <w:rFonts w:hint="eastAsia" w:ascii="宋体" w:hAnsi="宋体" w:eastAsia="宋体" w:cs="宋体"/>
                <w:i w:val="0"/>
                <w:iCs w:val="0"/>
                <w:color w:val="000000"/>
                <w:sz w:val="18"/>
                <w:szCs w:val="18"/>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040D">
            <w:pPr>
              <w:jc w:val="left"/>
              <w:rPr>
                <w:rFonts w:hint="eastAsia" w:ascii="宋体" w:hAnsi="宋体" w:eastAsia="宋体" w:cs="宋体"/>
                <w:i w:val="0"/>
                <w:iCs w:val="0"/>
                <w:color w:val="000000"/>
                <w:sz w:val="18"/>
                <w:szCs w:val="18"/>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2A6A">
            <w:pPr>
              <w:jc w:val="left"/>
              <w:rPr>
                <w:rFonts w:hint="eastAsia" w:ascii="宋体" w:hAnsi="宋体" w:eastAsia="宋体" w:cs="宋体"/>
                <w:i w:val="0"/>
                <w:iCs w:val="0"/>
                <w:color w:val="000000"/>
                <w:sz w:val="18"/>
                <w:szCs w:val="18"/>
                <w:u w:val="none"/>
              </w:rPr>
            </w:pP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A39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年中监控取消额度及年末结余注销额度</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4EA4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6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9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C4E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r>
      <w:tr w14:paraId="1DBB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1B279">
            <w:pPr>
              <w:jc w:val="center"/>
              <w:rPr>
                <w:rFonts w:hint="eastAsia" w:ascii="宋体" w:hAnsi="宋体" w:eastAsia="宋体" w:cs="宋体"/>
                <w:i w:val="0"/>
                <w:iCs w:val="0"/>
                <w:color w:val="000000"/>
                <w:sz w:val="18"/>
                <w:szCs w:val="18"/>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C383">
            <w:pPr>
              <w:jc w:val="left"/>
              <w:rPr>
                <w:rFonts w:hint="eastAsia" w:ascii="宋体" w:hAnsi="宋体" w:eastAsia="宋体" w:cs="宋体"/>
                <w:i w:val="0"/>
                <w:iCs w:val="0"/>
                <w:color w:val="000000"/>
                <w:sz w:val="18"/>
                <w:szCs w:val="18"/>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D765">
            <w:pPr>
              <w:jc w:val="left"/>
              <w:rPr>
                <w:rFonts w:hint="eastAsia" w:ascii="宋体" w:hAnsi="宋体" w:eastAsia="宋体" w:cs="宋体"/>
                <w:i w:val="0"/>
                <w:iCs w:val="0"/>
                <w:color w:val="000000"/>
                <w:sz w:val="18"/>
                <w:szCs w:val="18"/>
                <w:u w:val="none"/>
              </w:rPr>
            </w:pP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942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项目绩效年初预期与实际完成项目偏离度</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E09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8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6B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585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r>
      <w:tr w14:paraId="520E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93B1">
            <w:pPr>
              <w:jc w:val="center"/>
              <w:rPr>
                <w:rFonts w:hint="eastAsia" w:ascii="宋体" w:hAnsi="宋体" w:eastAsia="宋体" w:cs="宋体"/>
                <w:i w:val="0"/>
                <w:iCs w:val="0"/>
                <w:color w:val="000000"/>
                <w:sz w:val="18"/>
                <w:szCs w:val="18"/>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FB882">
            <w:pPr>
              <w:jc w:val="left"/>
              <w:rPr>
                <w:rFonts w:hint="eastAsia" w:ascii="宋体" w:hAnsi="宋体" w:eastAsia="宋体" w:cs="宋体"/>
                <w:i w:val="0"/>
                <w:iCs w:val="0"/>
                <w:color w:val="000000"/>
                <w:sz w:val="18"/>
                <w:szCs w:val="18"/>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D3F9">
            <w:pPr>
              <w:jc w:val="left"/>
              <w:rPr>
                <w:rFonts w:hint="eastAsia" w:ascii="宋体" w:hAnsi="宋体" w:eastAsia="宋体" w:cs="宋体"/>
                <w:i w:val="0"/>
                <w:iCs w:val="0"/>
                <w:color w:val="000000"/>
                <w:sz w:val="18"/>
                <w:szCs w:val="18"/>
                <w:u w:val="none"/>
              </w:rPr>
            </w:pP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837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预算编制全年调剂金额</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E07A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30%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F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34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1AB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r>
      <w:tr w14:paraId="11FB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8386A">
            <w:pPr>
              <w:jc w:val="center"/>
              <w:rPr>
                <w:rFonts w:hint="eastAsia" w:ascii="宋体" w:hAnsi="宋体" w:eastAsia="宋体" w:cs="宋体"/>
                <w:i w:val="0"/>
                <w:iCs w:val="0"/>
                <w:color w:val="000000"/>
                <w:sz w:val="18"/>
                <w:szCs w:val="18"/>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D359">
            <w:pPr>
              <w:jc w:val="left"/>
              <w:rPr>
                <w:rFonts w:hint="eastAsia" w:ascii="宋体" w:hAnsi="宋体" w:eastAsia="宋体" w:cs="宋体"/>
                <w:i w:val="0"/>
                <w:iCs w:val="0"/>
                <w:color w:val="000000"/>
                <w:sz w:val="18"/>
                <w:szCs w:val="18"/>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1B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DC9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7B14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1年</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9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23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FD6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r>
      <w:tr w14:paraId="50AF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1ABA">
            <w:pPr>
              <w:jc w:val="center"/>
              <w:rPr>
                <w:rFonts w:hint="eastAsia" w:ascii="宋体" w:hAnsi="宋体" w:eastAsia="宋体" w:cs="宋体"/>
                <w:i w:val="0"/>
                <w:iCs w:val="0"/>
                <w:color w:val="000000"/>
                <w:sz w:val="18"/>
                <w:szCs w:val="18"/>
                <w:u w:val="none"/>
              </w:rPr>
            </w:pP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8AB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DA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87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市场秩序、营商环境</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E9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不断优化</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2792">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不断优化</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33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191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r>
      <w:tr w14:paraId="11D9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C63B">
            <w:pPr>
              <w:jc w:val="center"/>
              <w:rPr>
                <w:rFonts w:hint="eastAsia" w:ascii="宋体" w:hAnsi="宋体" w:eastAsia="宋体" w:cs="宋体"/>
                <w:i w:val="0"/>
                <w:iCs w:val="0"/>
                <w:color w:val="000000"/>
                <w:sz w:val="18"/>
                <w:szCs w:val="18"/>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7BFCA">
            <w:pPr>
              <w:jc w:val="left"/>
              <w:rPr>
                <w:rFonts w:hint="eastAsia" w:ascii="宋体" w:hAnsi="宋体" w:eastAsia="宋体" w:cs="宋体"/>
                <w:i w:val="0"/>
                <w:iCs w:val="0"/>
                <w:color w:val="000000"/>
                <w:sz w:val="18"/>
                <w:szCs w:val="18"/>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30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77E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违法违规行为</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A2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不断减少</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7367">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不断减少</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22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AC8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r>
      <w:tr w14:paraId="6F3A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1B11">
            <w:pPr>
              <w:jc w:val="center"/>
              <w:rPr>
                <w:rFonts w:hint="eastAsia" w:ascii="宋体" w:hAnsi="宋体" w:eastAsia="宋体" w:cs="宋体"/>
                <w:i w:val="0"/>
                <w:iCs w:val="0"/>
                <w:color w:val="000000"/>
                <w:sz w:val="18"/>
                <w:szCs w:val="1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41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A7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596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群众对食品、药品安全满意度</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12D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90%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B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7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9EC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r>
      <w:tr w14:paraId="5155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1CD3">
            <w:pPr>
              <w:jc w:val="center"/>
              <w:rPr>
                <w:rFonts w:hint="eastAsia" w:ascii="宋体" w:hAnsi="宋体" w:eastAsia="宋体" w:cs="宋体"/>
                <w:i w:val="0"/>
                <w:iCs w:val="0"/>
                <w:color w:val="000000"/>
                <w:sz w:val="18"/>
                <w:szCs w:val="18"/>
                <w:u w:val="none"/>
              </w:rPr>
            </w:pP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C5E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7E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E09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公用经费安排</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9950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171.38万元</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5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241.41</w:t>
            </w:r>
            <w:r>
              <w:rPr>
                <w:rFonts w:ascii="宋体" w:hAnsi="宋体" w:eastAsia="宋体" w:cs="宋体"/>
                <w:i w:val="0"/>
                <w:iCs w:val="0"/>
                <w:color w:val="000000"/>
                <w:kern w:val="0"/>
                <w:sz w:val="18"/>
                <w:szCs w:val="18"/>
                <w:u w:val="none"/>
                <w:lang w:val="en-US" w:eastAsia="zh-CN" w:bidi="ar"/>
              </w:rPr>
              <w:t>万元</w:t>
            </w:r>
            <w:r>
              <w:rPr>
                <w:rFonts w:hint="eastAsia" w:ascii="宋体" w:hAnsi="宋体" w:cs="宋体"/>
                <w:i w:val="0"/>
                <w:iCs w:val="0"/>
                <w:color w:val="000000"/>
                <w:kern w:val="0"/>
                <w:sz w:val="18"/>
                <w:szCs w:val="18"/>
                <w:u w:val="none"/>
                <w:lang w:val="en-US" w:eastAsia="zh-CN" w:bidi="ar"/>
              </w:rPr>
              <w:t>（追加预算70.03万元）</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2C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783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r>
      <w:tr w14:paraId="1B4D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29F0">
            <w:pPr>
              <w:jc w:val="center"/>
              <w:rPr>
                <w:rFonts w:hint="eastAsia" w:ascii="宋体" w:hAnsi="宋体" w:eastAsia="宋体" w:cs="宋体"/>
                <w:i w:val="0"/>
                <w:iCs w:val="0"/>
                <w:color w:val="000000"/>
                <w:sz w:val="18"/>
                <w:szCs w:val="18"/>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6C49">
            <w:pPr>
              <w:jc w:val="left"/>
              <w:rPr>
                <w:rFonts w:hint="eastAsia" w:ascii="宋体" w:hAnsi="宋体" w:eastAsia="宋体" w:cs="宋体"/>
                <w:i w:val="0"/>
                <w:iCs w:val="0"/>
                <w:color w:val="000000"/>
                <w:sz w:val="18"/>
                <w:szCs w:val="18"/>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55099">
            <w:pPr>
              <w:jc w:val="left"/>
              <w:rPr>
                <w:rFonts w:hint="eastAsia" w:ascii="宋体" w:hAnsi="宋体" w:eastAsia="宋体" w:cs="宋体"/>
                <w:i w:val="0"/>
                <w:iCs w:val="0"/>
                <w:color w:val="000000"/>
                <w:sz w:val="18"/>
                <w:szCs w:val="18"/>
                <w:u w:val="none"/>
              </w:rPr>
            </w:pP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83F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人员经费安排</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3D77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1577.39万元</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8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1506.67</w:t>
            </w:r>
            <w:r>
              <w:rPr>
                <w:rFonts w:ascii="宋体" w:hAnsi="宋体" w:eastAsia="宋体" w:cs="宋体"/>
                <w:i w:val="0"/>
                <w:iCs w:val="0"/>
                <w:color w:val="000000"/>
                <w:kern w:val="0"/>
                <w:sz w:val="18"/>
                <w:szCs w:val="18"/>
                <w:u w:val="none"/>
                <w:lang w:val="en-US" w:eastAsia="zh-CN" w:bidi="ar"/>
              </w:rPr>
              <w:t>万元</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8B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709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r>
      <w:tr w14:paraId="1304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6FE4F">
            <w:pPr>
              <w:jc w:val="center"/>
              <w:rPr>
                <w:rFonts w:hint="eastAsia" w:ascii="宋体" w:hAnsi="宋体" w:eastAsia="宋体" w:cs="宋体"/>
                <w:i w:val="0"/>
                <w:iCs w:val="0"/>
                <w:color w:val="000000"/>
                <w:sz w:val="18"/>
                <w:szCs w:val="18"/>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9D3CB">
            <w:pPr>
              <w:jc w:val="left"/>
              <w:rPr>
                <w:rFonts w:hint="eastAsia" w:ascii="宋体" w:hAnsi="宋体" w:eastAsia="宋体" w:cs="宋体"/>
                <w:i w:val="0"/>
                <w:iCs w:val="0"/>
                <w:color w:val="000000"/>
                <w:sz w:val="18"/>
                <w:szCs w:val="18"/>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D22B">
            <w:pPr>
              <w:jc w:val="left"/>
              <w:rPr>
                <w:rFonts w:hint="eastAsia" w:ascii="宋体" w:hAnsi="宋体" w:eastAsia="宋体" w:cs="宋体"/>
                <w:i w:val="0"/>
                <w:iCs w:val="0"/>
                <w:color w:val="000000"/>
                <w:sz w:val="18"/>
                <w:szCs w:val="18"/>
                <w:u w:val="none"/>
              </w:rPr>
            </w:pPr>
          </w:p>
        </w:tc>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544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项目经费安排</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287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150万元</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5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149.95</w:t>
            </w:r>
            <w:r>
              <w:rPr>
                <w:rFonts w:ascii="宋体" w:hAnsi="宋体" w:eastAsia="宋体" w:cs="宋体"/>
                <w:i w:val="0"/>
                <w:iCs w:val="0"/>
                <w:color w:val="000000"/>
                <w:kern w:val="0"/>
                <w:sz w:val="18"/>
                <w:szCs w:val="18"/>
                <w:u w:val="none"/>
                <w:lang w:val="en-US" w:eastAsia="zh-CN" w:bidi="ar"/>
              </w:rPr>
              <w:t>万元</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6E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683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r>
      <w:tr w14:paraId="0A9E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52E5">
            <w:pPr>
              <w:jc w:val="center"/>
              <w:rPr>
                <w:rFonts w:hint="eastAsia" w:ascii="宋体" w:hAnsi="宋体" w:eastAsia="宋体" w:cs="宋体"/>
                <w:i w:val="0"/>
                <w:iCs w:val="0"/>
                <w:color w:val="000000"/>
                <w:sz w:val="18"/>
                <w:szCs w:val="18"/>
                <w:u w:val="none"/>
              </w:rPr>
            </w:pPr>
          </w:p>
        </w:tc>
        <w:tc>
          <w:tcPr>
            <w:tcW w:w="398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5CBC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D31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90</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D91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90</w:t>
            </w:r>
          </w:p>
        </w:tc>
      </w:tr>
    </w:tbl>
    <w:p w14:paraId="236D17C3">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14:paraId="5416FE74">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14:paraId="78E360AE">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14:paraId="254C1719">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p>
    <w:p w14:paraId="0AAA4881">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5A6FF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部门预算项目支出绩效自评报告</w:t>
      </w:r>
    </w:p>
    <w:p w14:paraId="260939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（创建省级食品安全示范县经费）</w:t>
      </w:r>
    </w:p>
    <w:p w14:paraId="50B3EDBC">
      <w:pPr>
        <w:pStyle w:val="25"/>
        <w:jc w:val="center"/>
        <w:rPr>
          <w:rFonts w:hint="eastAsia" w:ascii="Times New Roman" w:hAnsi="Times New Roman" w:eastAsia="仿宋_GB2312" w:cs="Times New Roman"/>
          <w:color w:val="auto"/>
          <w:kern w:val="2"/>
          <w:sz w:val="32"/>
          <w:szCs w:val="32"/>
          <w:lang w:val="en-US" w:eastAsia="zh-CN" w:bidi="ar-SA"/>
        </w:rPr>
      </w:pPr>
    </w:p>
    <w:p w14:paraId="3188D7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一、基本情况</w:t>
      </w:r>
    </w:p>
    <w:p w14:paraId="494891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（一）项目概况</w:t>
      </w:r>
    </w:p>
    <w:p w14:paraId="445F8E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000000"/>
          <w:kern w:val="0"/>
          <w:sz w:val="32"/>
          <w:szCs w:val="32"/>
          <w:lang w:val="en-US" w:eastAsia="zh-CN"/>
        </w:rPr>
        <w:t>2023年度创建省级食品安全示范县经费项目预算为10万元。主要用于推进安居区创建省级食品安全示范县工作，开展食品安全事故应急演练、食品安全宣传周等活动，按照《国务院食品安全委员会印发〈关于建立健全分层分级精准防控末端发力终端见效工作机制推动食品安全属地管理责任落地落实的意见〉的通知》（食安委发〔2022〕7号），在全区2300余家食品生产经营主体和县、镇、村级包保干部建立层级对应的包保关系，定期组织各镇（街道）、成员单位开展食品安全知识培训，持续开展食品安全进农村、进校园、进企业、进社区等宣传活动，筹办区食品安全委全体会议等重要会议和重大活动。</w:t>
      </w:r>
    </w:p>
    <w:p w14:paraId="06094D07">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项目实施情况</w:t>
      </w:r>
    </w:p>
    <w:p w14:paraId="5B7F85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积极开展创建引领，打造示范景区、示范店等，提升食品监管效能。开展各类群众喜闻乐见的宣传教育活动，营造人人关注食品安全的良好氛围，积极推进安居区创建省级食品安全示范县工作。</w:t>
      </w:r>
    </w:p>
    <w:p w14:paraId="7F612B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（三）资金投入使用情况</w:t>
      </w:r>
    </w:p>
    <w:p w14:paraId="1BA253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kern w:val="0"/>
          <w:sz w:val="32"/>
          <w:szCs w:val="32"/>
          <w:lang w:val="zh-CN" w:eastAsia="zh-CN"/>
        </w:rPr>
      </w:pPr>
      <w:r>
        <w:rPr>
          <w:rFonts w:hint="eastAsia" w:ascii="仿宋" w:hAnsi="仿宋" w:eastAsia="仿宋" w:cs="仿宋"/>
          <w:color w:val="000000"/>
          <w:kern w:val="0"/>
          <w:sz w:val="32"/>
          <w:szCs w:val="32"/>
          <w:lang w:val="en-US" w:eastAsia="zh-CN"/>
        </w:rPr>
        <w:t>2023年度创建省级食品安全示范县经费预算数10万元，指标追减0.04万元，支出数9.96万元，</w:t>
      </w:r>
      <w:r>
        <w:rPr>
          <w:rFonts w:hint="default" w:ascii="仿宋" w:hAnsi="仿宋" w:eastAsia="仿宋" w:cs="仿宋"/>
          <w:color w:val="000000"/>
          <w:kern w:val="0"/>
          <w:sz w:val="32"/>
          <w:szCs w:val="32"/>
          <w:lang w:val="en-US" w:eastAsia="zh-CN"/>
        </w:rPr>
        <w:t>执行率为</w:t>
      </w:r>
      <w:r>
        <w:rPr>
          <w:rFonts w:hint="eastAsia" w:ascii="仿宋" w:hAnsi="仿宋" w:eastAsia="仿宋" w:cs="仿宋"/>
          <w:color w:val="000000"/>
          <w:kern w:val="0"/>
          <w:sz w:val="32"/>
          <w:szCs w:val="32"/>
          <w:lang w:val="en-US" w:eastAsia="zh-CN"/>
        </w:rPr>
        <w:t>100</w:t>
      </w:r>
      <w:r>
        <w:rPr>
          <w:rFonts w:hint="default"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。我单位在资金开支范围、标准及支付进度、支付依据上均合规合法，资金支付与预算相符。</w:t>
      </w:r>
    </w:p>
    <w:p w14:paraId="611905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（四）项目绩效目标</w:t>
      </w:r>
    </w:p>
    <w:p w14:paraId="222AFC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强化监管效能，提升我区食品经营环境，优化营商环境，确保食品安全。提升示范效应，开展示范景区、示范店打造，总结工作经验，发挥食品安全工作示范引领作用。营造创建氛围，开展一系列食品相关安全知识宣传，提升群众对创建工作知晓率、满意率。</w:t>
      </w:r>
    </w:p>
    <w:p w14:paraId="070B6CC0">
      <w:pPr>
        <w:adjustRightInd w:val="0"/>
        <w:snapToGrid w:val="0"/>
        <w:spacing w:line="600" w:lineRule="exact"/>
        <w:ind w:firstLine="72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二、评价工作开展情况</w:t>
      </w:r>
    </w:p>
    <w:p w14:paraId="7E22B59B">
      <w:pPr>
        <w:widowControl/>
        <w:spacing w:line="240" w:lineRule="auto"/>
        <w:ind w:firstLine="640" w:firstLineChars="200"/>
        <w:jc w:val="left"/>
        <w:rPr>
          <w:rFonts w:hint="default" w:ascii="仿宋_GB2312" w:hAnsi="仿宋_GB2312" w:eastAsia="仿宋_GB2312" w:cs="仿宋_GB2312"/>
          <w:sz w:val="32"/>
          <w:szCs w:val="32"/>
          <w:lang w:val="en-US" w:eastAsia="zh-CN"/>
        </w:rPr>
      </w:pPr>
      <w:r>
        <w:rPr>
          <w:rFonts w:hint="eastAsia" w:ascii="仿宋" w:hAnsi="仿宋" w:eastAsia="仿宋" w:cs="仿宋"/>
          <w:color w:val="000000"/>
          <w:kern w:val="0"/>
          <w:sz w:val="32"/>
          <w:szCs w:val="32"/>
          <w:lang w:val="en-US" w:eastAsia="zh-CN"/>
        </w:rPr>
        <w:t>我局</w:t>
      </w:r>
      <w:r>
        <w:rPr>
          <w:rFonts w:hint="default" w:ascii="仿宋" w:hAnsi="仿宋" w:eastAsia="仿宋" w:cs="仿宋"/>
          <w:color w:val="000000"/>
          <w:kern w:val="0"/>
          <w:sz w:val="32"/>
          <w:szCs w:val="32"/>
          <w:lang w:val="en-US" w:eastAsia="zh-CN"/>
        </w:rPr>
        <w:t>组织相关人员于202</w:t>
      </w:r>
      <w:r>
        <w:rPr>
          <w:rFonts w:hint="eastAsia" w:ascii="仿宋" w:hAnsi="仿宋" w:eastAsia="仿宋" w:cs="仿宋"/>
          <w:color w:val="000000"/>
          <w:kern w:val="0"/>
          <w:sz w:val="32"/>
          <w:szCs w:val="32"/>
          <w:lang w:val="en-US" w:eastAsia="zh-CN"/>
        </w:rPr>
        <w:t>3</w:t>
      </w:r>
      <w:r>
        <w:rPr>
          <w:rFonts w:hint="default" w:ascii="仿宋" w:hAnsi="仿宋" w:eastAsia="仿宋" w:cs="仿宋"/>
          <w:color w:val="000000"/>
          <w:kern w:val="0"/>
          <w:sz w:val="32"/>
          <w:szCs w:val="32"/>
          <w:lang w:val="en-US" w:eastAsia="zh-CN"/>
        </w:rPr>
        <w:t>年12月底，对202</w:t>
      </w:r>
      <w:r>
        <w:rPr>
          <w:rFonts w:hint="eastAsia" w:ascii="仿宋" w:hAnsi="仿宋" w:eastAsia="仿宋" w:cs="仿宋"/>
          <w:color w:val="000000"/>
          <w:kern w:val="0"/>
          <w:sz w:val="32"/>
          <w:szCs w:val="32"/>
          <w:lang w:val="en-US" w:eastAsia="zh-CN"/>
        </w:rPr>
        <w:t>3</w:t>
      </w:r>
      <w:r>
        <w:rPr>
          <w:rFonts w:hint="default" w:ascii="仿宋" w:hAnsi="仿宋" w:eastAsia="仿宋" w:cs="仿宋"/>
          <w:color w:val="000000"/>
          <w:kern w:val="0"/>
          <w:sz w:val="32"/>
          <w:szCs w:val="32"/>
          <w:lang w:val="en-US" w:eastAsia="zh-CN"/>
        </w:rPr>
        <w:t>年</w:t>
      </w:r>
      <w:r>
        <w:rPr>
          <w:rFonts w:hint="eastAsia" w:ascii="仿宋" w:hAnsi="仿宋" w:eastAsia="仿宋" w:cs="仿宋"/>
          <w:color w:val="000000"/>
          <w:kern w:val="0"/>
          <w:sz w:val="32"/>
          <w:szCs w:val="32"/>
          <w:lang w:val="en-US" w:eastAsia="zh-CN"/>
        </w:rPr>
        <w:t>度创建省级食品安全示范县经费</w:t>
      </w:r>
      <w:r>
        <w:rPr>
          <w:rFonts w:hint="default" w:ascii="仿宋" w:hAnsi="仿宋" w:eastAsia="仿宋" w:cs="仿宋"/>
          <w:color w:val="000000"/>
          <w:kern w:val="0"/>
          <w:sz w:val="32"/>
          <w:szCs w:val="32"/>
          <w:lang w:val="en-US" w:eastAsia="zh-CN"/>
        </w:rPr>
        <w:t>项目进行绩效自评。根据相关政策制度，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56DCC5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三、综合评价结论</w:t>
      </w:r>
    </w:p>
    <w:p w14:paraId="6BC2302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default" w:ascii="仿宋" w:hAnsi="仿宋" w:eastAsia="仿宋" w:cs="仿宋"/>
          <w:color w:val="000000"/>
          <w:kern w:val="0"/>
          <w:sz w:val="32"/>
          <w:szCs w:val="32"/>
          <w:lang w:val="en-US" w:eastAsia="zh-CN"/>
        </w:rPr>
        <w:t>经过一年的项目实施，根据该项目绩效评价指标体系和绩效检查情况，该项目专项资金绩效支出自评得分</w:t>
      </w:r>
      <w:r>
        <w:rPr>
          <w:rFonts w:hint="eastAsia" w:ascii="仿宋" w:hAnsi="仿宋" w:eastAsia="仿宋" w:cs="仿宋"/>
          <w:color w:val="000000"/>
          <w:kern w:val="0"/>
          <w:sz w:val="32"/>
          <w:szCs w:val="32"/>
          <w:lang w:val="en-US" w:eastAsia="zh-CN"/>
        </w:rPr>
        <w:t>100</w:t>
      </w:r>
      <w:r>
        <w:rPr>
          <w:rFonts w:hint="default" w:ascii="仿宋" w:hAnsi="仿宋" w:eastAsia="仿宋" w:cs="仿宋"/>
          <w:color w:val="000000"/>
          <w:kern w:val="0"/>
          <w:sz w:val="32"/>
          <w:szCs w:val="32"/>
          <w:lang w:val="en-US" w:eastAsia="zh-CN"/>
        </w:rPr>
        <w:t>分。</w:t>
      </w:r>
    </w:p>
    <w:p w14:paraId="3A4B39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、绩效评价分析</w:t>
      </w:r>
    </w:p>
    <w:p w14:paraId="10C7EB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（一）项目决策情况</w:t>
      </w:r>
    </w:p>
    <w:p w14:paraId="72933E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color w:val="000000"/>
          <w:kern w:val="0"/>
          <w:sz w:val="32"/>
          <w:szCs w:val="32"/>
          <w:lang w:val="en-US" w:eastAsia="zh-CN"/>
        </w:rPr>
      </w:pPr>
      <w:r>
        <w:rPr>
          <w:rFonts w:hint="default" w:ascii="仿宋" w:hAnsi="仿宋" w:eastAsia="仿宋" w:cs="仿宋"/>
          <w:color w:val="000000"/>
          <w:kern w:val="0"/>
          <w:sz w:val="32"/>
          <w:szCs w:val="32"/>
          <w:lang w:val="en-US" w:eastAsia="zh-CN"/>
        </w:rPr>
        <w:t>1.根据时间节点开展</w:t>
      </w:r>
      <w:r>
        <w:rPr>
          <w:rFonts w:hint="eastAsia" w:ascii="仿宋" w:hAnsi="仿宋" w:eastAsia="仿宋" w:cs="仿宋"/>
          <w:color w:val="000000"/>
          <w:kern w:val="0"/>
          <w:sz w:val="32"/>
          <w:szCs w:val="32"/>
          <w:lang w:val="en-US" w:eastAsia="zh-CN"/>
        </w:rPr>
        <w:t>食品安全监督检查</w:t>
      </w:r>
      <w:r>
        <w:rPr>
          <w:rFonts w:hint="default" w:ascii="仿宋" w:hAnsi="仿宋" w:eastAsia="仿宋" w:cs="仿宋"/>
          <w:color w:val="000000"/>
          <w:kern w:val="0"/>
          <w:sz w:val="32"/>
          <w:szCs w:val="32"/>
          <w:lang w:val="en-US" w:eastAsia="zh-CN"/>
        </w:rPr>
        <w:t>。</w:t>
      </w:r>
    </w:p>
    <w:p w14:paraId="670003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color w:val="000000"/>
          <w:kern w:val="0"/>
          <w:sz w:val="32"/>
          <w:szCs w:val="32"/>
          <w:lang w:val="en-US" w:eastAsia="zh-CN"/>
        </w:rPr>
      </w:pPr>
      <w:r>
        <w:rPr>
          <w:rFonts w:hint="default"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val="en-US" w:eastAsia="zh-CN"/>
        </w:rPr>
        <w:t>开展示范创建标识标牌、食品安全宣传资料、落实“两个责任”公示牌制作等</w:t>
      </w:r>
      <w:r>
        <w:rPr>
          <w:rFonts w:hint="default" w:ascii="仿宋" w:hAnsi="仿宋" w:eastAsia="仿宋" w:cs="仿宋"/>
          <w:color w:val="000000"/>
          <w:kern w:val="0"/>
          <w:sz w:val="32"/>
          <w:szCs w:val="32"/>
          <w:lang w:val="en-US" w:eastAsia="zh-CN"/>
        </w:rPr>
        <w:t>。</w:t>
      </w:r>
    </w:p>
    <w:p w14:paraId="15706C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3.开展食品安全突发事件应急演练、食品安全知识比赛活动等。</w:t>
      </w:r>
    </w:p>
    <w:p w14:paraId="32CA8F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（二）项目管理情况</w:t>
      </w:r>
    </w:p>
    <w:p w14:paraId="6D067C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仿宋" w:hAnsi="仿宋" w:eastAsia="仿宋" w:cs="仿宋"/>
          <w:color w:val="000000"/>
          <w:kern w:val="0"/>
          <w:sz w:val="32"/>
          <w:szCs w:val="32"/>
          <w:lang w:val="en-US" w:eastAsia="zh-CN"/>
        </w:rPr>
        <w:t>项目支出严格按照财务管理制度、内</w:t>
      </w:r>
      <w:r>
        <w:rPr>
          <w:rFonts w:hint="eastAsia" w:ascii="仿宋" w:hAnsi="仿宋" w:eastAsia="仿宋" w:cs="仿宋"/>
          <w:color w:val="000000"/>
          <w:kern w:val="0"/>
          <w:sz w:val="32"/>
          <w:szCs w:val="32"/>
          <w:lang w:val="en-US" w:eastAsia="zh-CN"/>
        </w:rPr>
        <w:t>控</w:t>
      </w:r>
      <w:r>
        <w:rPr>
          <w:rFonts w:hint="default" w:ascii="仿宋" w:hAnsi="仿宋" w:eastAsia="仿宋" w:cs="仿宋"/>
          <w:color w:val="000000"/>
          <w:kern w:val="0"/>
          <w:sz w:val="32"/>
          <w:szCs w:val="32"/>
          <w:lang w:val="en-US" w:eastAsia="zh-CN"/>
        </w:rPr>
        <w:t>制度、报销程序进行审批支付，确保了财政资金专款专用，切实提高了资金使用效益</w:t>
      </w:r>
      <w:r>
        <w:rPr>
          <w:rFonts w:hint="eastAsia" w:ascii="仿宋" w:hAnsi="仿宋" w:eastAsia="仿宋" w:cs="仿宋"/>
          <w:color w:val="000000"/>
          <w:kern w:val="0"/>
          <w:sz w:val="32"/>
          <w:szCs w:val="32"/>
          <w:lang w:val="en-US" w:eastAsia="zh-CN"/>
        </w:rPr>
        <w:t>。</w:t>
      </w:r>
    </w:p>
    <w:p w14:paraId="7A7015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（三）项目产出情况</w:t>
      </w:r>
    </w:p>
    <w:p w14:paraId="0575AF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color w:val="000000"/>
          <w:kern w:val="0"/>
          <w:sz w:val="32"/>
          <w:szCs w:val="32"/>
          <w:lang w:val="en-US" w:eastAsia="zh-CN"/>
        </w:rPr>
      </w:pPr>
      <w:r>
        <w:rPr>
          <w:rFonts w:hint="default" w:ascii="仿宋" w:hAnsi="仿宋" w:eastAsia="仿宋" w:cs="仿宋"/>
          <w:color w:val="000000"/>
          <w:kern w:val="0"/>
          <w:sz w:val="32"/>
          <w:szCs w:val="32"/>
          <w:lang w:val="en-US" w:eastAsia="zh-CN"/>
        </w:rPr>
        <w:t>1.数量指标</w:t>
      </w:r>
      <w:r>
        <w:rPr>
          <w:rFonts w:hint="eastAsia" w:ascii="仿宋" w:hAnsi="仿宋" w:eastAsia="仿宋" w:cs="仿宋"/>
          <w:color w:val="000000"/>
          <w:kern w:val="0"/>
          <w:sz w:val="32"/>
          <w:szCs w:val="32"/>
          <w:lang w:val="en-US" w:eastAsia="zh-CN"/>
        </w:rPr>
        <w:t>:</w:t>
      </w:r>
      <w:r>
        <w:rPr>
          <w:rFonts w:hint="default" w:ascii="仿宋" w:hAnsi="仿宋" w:eastAsia="仿宋" w:cs="仿宋"/>
          <w:color w:val="000000"/>
          <w:kern w:val="0"/>
          <w:sz w:val="32"/>
          <w:szCs w:val="32"/>
          <w:lang w:val="en-US" w:eastAsia="zh-CN"/>
        </w:rPr>
        <w:t>开展创建工作检查督查食品次数≥</w:t>
      </w:r>
      <w:r>
        <w:rPr>
          <w:rFonts w:hint="eastAsia" w:ascii="仿宋" w:hAnsi="仿宋" w:eastAsia="仿宋" w:cs="仿宋"/>
          <w:color w:val="000000"/>
          <w:kern w:val="0"/>
          <w:sz w:val="32"/>
          <w:szCs w:val="32"/>
          <w:lang w:val="en-US" w:eastAsia="zh-CN"/>
        </w:rPr>
        <w:t>50次。</w:t>
      </w:r>
    </w:p>
    <w:p w14:paraId="672EAD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color w:val="000000"/>
          <w:kern w:val="0"/>
          <w:sz w:val="32"/>
          <w:szCs w:val="32"/>
          <w:lang w:val="en-US" w:eastAsia="zh-CN"/>
        </w:rPr>
      </w:pPr>
      <w:r>
        <w:rPr>
          <w:rFonts w:hint="default" w:ascii="仿宋" w:hAnsi="仿宋" w:eastAsia="仿宋" w:cs="仿宋"/>
          <w:color w:val="000000"/>
          <w:kern w:val="0"/>
          <w:sz w:val="32"/>
          <w:szCs w:val="32"/>
          <w:lang w:val="en-US" w:eastAsia="zh-CN"/>
        </w:rPr>
        <w:t>2.质量指标</w:t>
      </w:r>
      <w:r>
        <w:rPr>
          <w:rFonts w:hint="eastAsia" w:ascii="仿宋" w:hAnsi="仿宋" w:eastAsia="仿宋" w:cs="仿宋"/>
          <w:color w:val="000000"/>
          <w:kern w:val="0"/>
          <w:sz w:val="32"/>
          <w:szCs w:val="32"/>
          <w:lang w:val="en-US" w:eastAsia="zh-CN"/>
        </w:rPr>
        <w:t>:2023年度创建工作完成率100%</w:t>
      </w:r>
      <w:r>
        <w:rPr>
          <w:rFonts w:hint="default" w:ascii="仿宋" w:hAnsi="仿宋" w:eastAsia="仿宋" w:cs="仿宋"/>
          <w:color w:val="000000"/>
          <w:kern w:val="0"/>
          <w:sz w:val="32"/>
          <w:szCs w:val="32"/>
          <w:lang w:val="en-US" w:eastAsia="zh-CN"/>
        </w:rPr>
        <w:t>。</w:t>
      </w:r>
    </w:p>
    <w:p w14:paraId="2563E7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color w:val="000000"/>
          <w:kern w:val="0"/>
          <w:sz w:val="32"/>
          <w:szCs w:val="32"/>
          <w:lang w:val="en-US" w:eastAsia="zh-CN"/>
        </w:rPr>
      </w:pPr>
      <w:r>
        <w:rPr>
          <w:rFonts w:hint="default" w:ascii="仿宋" w:hAnsi="仿宋" w:eastAsia="仿宋" w:cs="仿宋"/>
          <w:color w:val="000000"/>
          <w:kern w:val="0"/>
          <w:sz w:val="32"/>
          <w:szCs w:val="32"/>
          <w:lang w:val="en-US" w:eastAsia="zh-CN"/>
        </w:rPr>
        <w:t>3.时效指标</w:t>
      </w:r>
      <w:r>
        <w:rPr>
          <w:rFonts w:hint="eastAsia" w:ascii="仿宋" w:hAnsi="仿宋" w:eastAsia="仿宋" w:cs="仿宋"/>
          <w:color w:val="000000"/>
          <w:kern w:val="0"/>
          <w:sz w:val="32"/>
          <w:szCs w:val="32"/>
          <w:lang w:val="en-US" w:eastAsia="zh-CN"/>
        </w:rPr>
        <w:t>:开展创建工作完成时间2025年6月。</w:t>
      </w:r>
    </w:p>
    <w:p w14:paraId="2B2AC6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4.成本指标:制作食品生产经营户包保信息公示牌</w:t>
      </w:r>
      <w:r>
        <w:rPr>
          <w:rFonts w:hint="default"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1000元/个。</w:t>
      </w:r>
    </w:p>
    <w:p w14:paraId="3E4A90CF">
      <w:pPr>
        <w:pStyle w:val="24"/>
        <w:numPr>
          <w:ilvl w:val="0"/>
          <w:numId w:val="0"/>
        </w:numPr>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kern w:val="2"/>
          <w:sz w:val="32"/>
          <w:szCs w:val="32"/>
          <w:lang w:val="en-US" w:eastAsia="zh-CN" w:bidi="ar-SA"/>
        </w:rPr>
        <w:t>（四)项目效益情况</w:t>
      </w:r>
    </w:p>
    <w:p w14:paraId="5AF16C94">
      <w:pPr>
        <w:pStyle w:val="24"/>
        <w:numPr>
          <w:ilvl w:val="0"/>
          <w:numId w:val="0"/>
        </w:numPr>
        <w:ind w:left="630" w:leftChars="0"/>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1.社会效益指标:全区食品安全形势稳定向好，持续向好。</w:t>
      </w:r>
    </w:p>
    <w:p w14:paraId="4E842A38">
      <w:pPr>
        <w:pStyle w:val="24"/>
        <w:numPr>
          <w:ilvl w:val="0"/>
          <w:numId w:val="0"/>
        </w:numPr>
        <w:ind w:left="630" w:leftChars="0"/>
        <w:rPr>
          <w:rFonts w:hint="default" w:ascii="Times New Roman" w:hAnsi="Times New Roman" w:eastAsia="仿宋_GB2312" w:cs="Times New Roman"/>
          <w:color w:val="auto"/>
          <w:kern w:val="2"/>
          <w:sz w:val="32"/>
          <w:szCs w:val="32"/>
          <w:lang w:val="en-US" w:eastAsia="zh-CN" w:bidi="ar-SA"/>
        </w:rPr>
      </w:pPr>
      <w:r>
        <w:rPr>
          <w:rFonts w:hint="eastAsia" w:ascii="仿宋" w:hAnsi="仿宋" w:eastAsia="仿宋" w:cs="仿宋"/>
          <w:color w:val="000000"/>
          <w:kern w:val="0"/>
          <w:sz w:val="32"/>
          <w:szCs w:val="32"/>
          <w:lang w:val="en-US" w:eastAsia="zh-CN" w:bidi="ar-SA"/>
        </w:rPr>
        <w:t>2.满意度指标:人民群众满意度</w:t>
      </w:r>
      <w:r>
        <w:rPr>
          <w:rFonts w:hint="default" w:ascii="仿宋" w:hAnsi="仿宋" w:eastAsia="仿宋" w:cs="仿宋"/>
          <w:color w:val="000000"/>
          <w:kern w:val="0"/>
          <w:sz w:val="32"/>
          <w:szCs w:val="32"/>
          <w:lang w:val="en-US" w:eastAsia="zh-CN" w:bidi="ar-SA"/>
        </w:rPr>
        <w:t>≥</w:t>
      </w:r>
      <w:r>
        <w:rPr>
          <w:rFonts w:hint="eastAsia" w:ascii="仿宋" w:hAnsi="仿宋" w:eastAsia="仿宋" w:cs="仿宋"/>
          <w:color w:val="000000"/>
          <w:kern w:val="0"/>
          <w:sz w:val="32"/>
          <w:szCs w:val="32"/>
          <w:lang w:val="en-US" w:eastAsia="zh-CN" w:bidi="ar-SA"/>
        </w:rPr>
        <w:t>80。</w:t>
      </w:r>
    </w:p>
    <w:p w14:paraId="2BD5B5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五、存在主要问题</w:t>
      </w:r>
    </w:p>
    <w:p w14:paraId="183EB6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 w:hAnsi="仿宋" w:eastAsia="仿宋" w:cs="仿宋"/>
          <w:color w:val="000000"/>
          <w:kern w:val="0"/>
          <w:sz w:val="32"/>
          <w:szCs w:val="32"/>
          <w:lang w:val="en-US" w:eastAsia="zh-CN"/>
        </w:rPr>
        <w:t>无</w:t>
      </w:r>
    </w:p>
    <w:p w14:paraId="5D0486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eastAsia="仿宋_GB2312"/>
          <w:b w:val="0"/>
          <w:bCs w:val="0"/>
          <w:color w:val="auto"/>
          <w:sz w:val="32"/>
          <w:szCs w:val="32"/>
          <w:highlight w:val="none"/>
        </w:rPr>
      </w:pPr>
      <w:r>
        <w:rPr>
          <w:rFonts w:hint="default" w:ascii="Times New Roman" w:hAnsi="Times New Roman" w:eastAsia="黑体" w:cs="Times New Roman"/>
          <w:color w:val="auto"/>
          <w:sz w:val="32"/>
          <w:szCs w:val="32"/>
          <w:highlight w:val="none"/>
          <w:lang w:val="en-US" w:eastAsia="zh-CN"/>
        </w:rPr>
        <w:t>六、相关措施建议</w:t>
      </w:r>
    </w:p>
    <w:p w14:paraId="7CD84696">
      <w:pPr>
        <w:keepNext w:val="0"/>
        <w:keepLines w:val="0"/>
        <w:pageBreakBefore w:val="0"/>
        <w:widowControl/>
        <w:kinsoku/>
        <w:wordWrap/>
        <w:overflowPunct/>
        <w:topLinePunct w:val="0"/>
        <w:autoSpaceDE/>
        <w:autoSpaceDN/>
        <w:bidi w:val="0"/>
        <w:adjustRightInd/>
        <w:spacing w:line="560" w:lineRule="exact"/>
        <w:ind w:leftChars="0" w:firstLine="640" w:firstLineChars="200"/>
        <w:jc w:val="left"/>
        <w:textAlignment w:val="auto"/>
        <w:rPr>
          <w:rFonts w:hint="eastAsia" w:ascii="仿宋_GB2312" w:hAnsi="Times New Roman" w:eastAsia="仿宋_GB2312" w:cs="Times New Roman"/>
          <w:color w:val="auto"/>
          <w:sz w:val="32"/>
          <w:szCs w:val="32"/>
          <w:lang w:val="en-US" w:eastAsia="zh-CN" w:bidi="ar-SA"/>
        </w:rPr>
      </w:pPr>
      <w:r>
        <w:rPr>
          <w:rFonts w:hint="eastAsia" w:ascii="仿宋" w:hAnsi="仿宋" w:eastAsia="仿宋" w:cs="仿宋"/>
          <w:color w:val="000000"/>
          <w:kern w:val="0"/>
          <w:sz w:val="32"/>
          <w:szCs w:val="32"/>
          <w:lang w:val="en-US" w:eastAsia="zh-CN"/>
        </w:rPr>
        <w:t>无</w:t>
      </w:r>
    </w:p>
    <w:p w14:paraId="53F88B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附表：部门预算项目支出绩效自评表（2023年度）</w:t>
      </w:r>
    </w:p>
    <w:tbl>
      <w:tblPr>
        <w:tblStyle w:val="18"/>
        <w:tblW w:w="50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6"/>
        <w:gridCol w:w="1016"/>
        <w:gridCol w:w="1332"/>
        <w:gridCol w:w="396"/>
        <w:gridCol w:w="952"/>
        <w:gridCol w:w="396"/>
        <w:gridCol w:w="846"/>
        <w:gridCol w:w="486"/>
        <w:gridCol w:w="486"/>
        <w:gridCol w:w="1685"/>
      </w:tblGrid>
      <w:tr w14:paraId="66EB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D2C1C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614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FF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7654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51090423T000008864913-2023年创建省级食品安全示范县经费</w:t>
            </w:r>
          </w:p>
        </w:tc>
      </w:tr>
      <w:tr w14:paraId="2F70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6C5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82DF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遂宁市安居区市场监督管理局部门</w:t>
            </w:r>
          </w:p>
        </w:tc>
        <w:tc>
          <w:tcPr>
            <w:tcW w:w="451" w:type="pct"/>
            <w:tcBorders>
              <w:top w:val="nil"/>
              <w:left w:val="nil"/>
              <w:bottom w:val="nil"/>
              <w:right w:val="nil"/>
            </w:tcBorders>
            <w:shd w:val="clear" w:color="auto" w:fill="auto"/>
            <w:vAlign w:val="center"/>
          </w:tcPr>
          <w:p w14:paraId="639751F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8C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w:t>
            </w:r>
          </w:p>
        </w:tc>
      </w:tr>
      <w:tr w14:paraId="68F5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AC7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62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E7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127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9C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CAD3">
            <w:pPr>
              <w:rPr>
                <w:rFonts w:hint="eastAsia" w:ascii="宋体" w:hAnsi="宋体" w:eastAsia="宋体" w:cs="宋体"/>
                <w:i w:val="0"/>
                <w:iCs w:val="0"/>
                <w:color w:val="000000"/>
                <w:sz w:val="18"/>
                <w:szCs w:val="18"/>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E33ED">
            <w:pPr>
              <w:rPr>
                <w:rFonts w:hint="eastAsia" w:ascii="宋体" w:hAnsi="宋体" w:eastAsia="宋体" w:cs="宋体"/>
                <w:i w:val="0"/>
                <w:iCs w:val="0"/>
                <w:color w:val="000000"/>
                <w:sz w:val="18"/>
                <w:szCs w:val="18"/>
                <w:u w:val="none"/>
              </w:rPr>
            </w:pPr>
          </w:p>
        </w:tc>
        <w:tc>
          <w:tcPr>
            <w:tcW w:w="22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07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.按照《四川省食品安全委员会关于开展第四批四川省食品安全示范县（市、区）创建工作的通知》（川食安办函〔2022〕33号），积极推进安居区创建省级食品安全示范县工作。</w:t>
            </w:r>
          </w:p>
        </w:tc>
        <w:tc>
          <w:tcPr>
            <w:tcW w:w="18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398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组织各镇（街道）、成员单位开展食品安全知识培训，持续开展食品安全进农村、进校园、进企业、进社区等宣传活动，筹办区食品安全委全体会议等重要会议和重大活动。</w:t>
            </w:r>
          </w:p>
        </w:tc>
      </w:tr>
      <w:tr w14:paraId="2C75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7F52">
            <w:pPr>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1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59F5E9">
            <w:pP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rPr>
              <w:t>项目立项程序严密。项目的立项、合同的签订和资金的使用，严格按照遂宁市安居区</w:t>
            </w:r>
            <w:r>
              <w:rPr>
                <w:rFonts w:hint="eastAsia" w:ascii="宋体" w:hAnsi="宋体" w:cs="宋体"/>
                <w:color w:val="000000"/>
                <w:kern w:val="0"/>
                <w:sz w:val="18"/>
                <w:szCs w:val="18"/>
                <w:lang w:val="en-US" w:eastAsia="zh-CN"/>
              </w:rPr>
              <w:t>市场监督管理局</w:t>
            </w:r>
            <w:r>
              <w:rPr>
                <w:rFonts w:hint="eastAsia" w:ascii="宋体" w:hAnsi="宋体" w:cs="宋体"/>
                <w:color w:val="000000"/>
                <w:kern w:val="0"/>
                <w:sz w:val="18"/>
                <w:szCs w:val="18"/>
              </w:rPr>
              <w:t>“三重一大”集体票决制度执行，均经过遂宁市安居区</w:t>
            </w:r>
            <w:r>
              <w:rPr>
                <w:rFonts w:hint="eastAsia" w:ascii="宋体" w:hAnsi="宋体" w:cs="宋体"/>
                <w:color w:val="000000"/>
                <w:kern w:val="0"/>
                <w:sz w:val="18"/>
                <w:szCs w:val="18"/>
                <w:lang w:val="en-US" w:eastAsia="zh-CN"/>
              </w:rPr>
              <w:t>市场监督管理局</w:t>
            </w:r>
            <w:r>
              <w:rPr>
                <w:rFonts w:hint="eastAsia" w:ascii="宋体" w:hAnsi="宋体" w:cs="宋体"/>
                <w:color w:val="000000"/>
                <w:kern w:val="0"/>
                <w:sz w:val="18"/>
                <w:szCs w:val="18"/>
              </w:rPr>
              <w:t>党组会审议并同意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项目资金使用合规</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项目预算</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万元，实际支付金额</w:t>
            </w:r>
            <w:r>
              <w:rPr>
                <w:rFonts w:hint="eastAsia" w:ascii="宋体" w:hAnsi="宋体" w:cs="宋体"/>
                <w:color w:val="000000"/>
                <w:kern w:val="0"/>
                <w:sz w:val="18"/>
                <w:szCs w:val="18"/>
                <w:lang w:val="en-US" w:eastAsia="zh-CN"/>
              </w:rPr>
              <w:t>9.96</w:t>
            </w:r>
            <w:r>
              <w:rPr>
                <w:rFonts w:hint="eastAsia" w:ascii="宋体" w:hAnsi="宋体" w:cs="宋体"/>
                <w:color w:val="000000"/>
                <w:kern w:val="0"/>
                <w:sz w:val="18"/>
                <w:szCs w:val="18"/>
              </w:rPr>
              <w:t>万元，全部用于</w:t>
            </w:r>
            <w:r>
              <w:rPr>
                <w:rFonts w:hint="eastAsia" w:ascii="宋体" w:hAnsi="宋体" w:eastAsia="宋体" w:cs="宋体"/>
                <w:color w:val="000000"/>
                <w:kern w:val="0"/>
                <w:sz w:val="18"/>
                <w:szCs w:val="18"/>
                <w:lang w:val="en-US" w:eastAsia="zh-CN" w:bidi="ar-SA"/>
              </w:rPr>
              <w:t>开展创建引领，打造示范景区、示范店等，提升食品监管效能，开展各类群众喜闻乐见的宣传教育活动，营造人人关注食品安全的良好氛围，积极推进安居区创建省级食品安全示范县工作。项</w:t>
            </w:r>
            <w:r>
              <w:rPr>
                <w:rFonts w:hint="eastAsia" w:ascii="宋体" w:hAnsi="宋体" w:cs="宋体"/>
                <w:color w:val="000000"/>
                <w:kern w:val="0"/>
                <w:sz w:val="18"/>
                <w:szCs w:val="18"/>
              </w:rPr>
              <w:t>目实施执行有效。对标全方位、全过程、全覆盖预算绩效管理要求，狠抓责任落实、过程管控、制度建设，扎实推动预算绩效管理工作提质增效。</w:t>
            </w:r>
          </w:p>
        </w:tc>
      </w:tr>
      <w:tr w14:paraId="7B04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51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D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C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3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C5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1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A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9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1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3F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9BC2">
            <w:pPr>
              <w:jc w:val="center"/>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0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F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5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AC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D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2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03E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B8262">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A2B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07F5">
            <w:pPr>
              <w:jc w:val="center"/>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F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5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5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87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7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D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5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A5C9">
            <w:pPr>
              <w:rPr>
                <w:rFonts w:hint="eastAsia" w:ascii="黑体" w:hAnsi="黑体" w:eastAsia="黑体" w:cs="黑体"/>
                <w:i/>
                <w:iCs/>
                <w:color w:val="000000"/>
                <w:sz w:val="18"/>
                <w:szCs w:val="18"/>
                <w:u w:val="none"/>
              </w:rPr>
            </w:pPr>
          </w:p>
        </w:tc>
      </w:tr>
      <w:tr w14:paraId="7A77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4BF0">
            <w:pPr>
              <w:jc w:val="center"/>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B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D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9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D1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D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6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9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2C2A">
            <w:pPr>
              <w:rPr>
                <w:rFonts w:hint="eastAsia" w:ascii="黑体" w:hAnsi="黑体" w:eastAsia="黑体" w:cs="黑体"/>
                <w:i/>
                <w:iCs/>
                <w:color w:val="000000"/>
                <w:sz w:val="18"/>
                <w:szCs w:val="18"/>
                <w:u w:val="none"/>
              </w:rPr>
            </w:pPr>
          </w:p>
        </w:tc>
      </w:tr>
      <w:tr w14:paraId="6077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929A">
            <w:pPr>
              <w:jc w:val="center"/>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3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4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7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65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8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1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C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50F3">
            <w:pPr>
              <w:rPr>
                <w:rFonts w:hint="eastAsia" w:ascii="黑体" w:hAnsi="黑体" w:eastAsia="黑体" w:cs="黑体"/>
                <w:i/>
                <w:iCs/>
                <w:color w:val="000000"/>
                <w:sz w:val="18"/>
                <w:szCs w:val="18"/>
                <w:u w:val="none"/>
              </w:rPr>
            </w:pPr>
          </w:p>
        </w:tc>
      </w:tr>
      <w:tr w14:paraId="7EC8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22590">
            <w:pPr>
              <w:jc w:val="center"/>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C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96D5">
            <w:pPr>
              <w:jc w:val="center"/>
              <w:rPr>
                <w:rFonts w:hint="eastAsia" w:ascii="微软雅黑" w:hAnsi="微软雅黑" w:eastAsia="微软雅黑" w:cs="微软雅黑"/>
                <w:i/>
                <w:iCs/>
                <w:color w:val="000000"/>
                <w:sz w:val="16"/>
                <w:szCs w:val="16"/>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B02F">
            <w:pPr>
              <w:jc w:val="center"/>
              <w:rPr>
                <w:rFonts w:hint="eastAsia" w:ascii="微软雅黑" w:hAnsi="微软雅黑" w:eastAsia="微软雅黑" w:cs="微软雅黑"/>
                <w:i/>
                <w:iCs/>
                <w:color w:val="000000"/>
                <w:sz w:val="16"/>
                <w:szCs w:val="16"/>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A3497">
            <w:pPr>
              <w:jc w:val="center"/>
              <w:rPr>
                <w:rFonts w:hint="eastAsia" w:ascii="微软雅黑" w:hAnsi="微软雅黑" w:eastAsia="微软雅黑" w:cs="微软雅黑"/>
                <w:i/>
                <w:iCs/>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AB93">
            <w:pPr>
              <w:jc w:val="center"/>
              <w:rPr>
                <w:rFonts w:hint="eastAsia" w:ascii="微软雅黑" w:hAnsi="微软雅黑" w:eastAsia="微软雅黑" w:cs="微软雅黑"/>
                <w:i/>
                <w:iCs/>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B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2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925C">
            <w:pPr>
              <w:rPr>
                <w:rFonts w:hint="eastAsia" w:ascii="黑体" w:hAnsi="黑体" w:eastAsia="黑体" w:cs="黑体"/>
                <w:i/>
                <w:iCs/>
                <w:color w:val="000000"/>
                <w:sz w:val="18"/>
                <w:szCs w:val="18"/>
                <w:u w:val="none"/>
              </w:rPr>
            </w:pPr>
          </w:p>
        </w:tc>
      </w:tr>
      <w:tr w14:paraId="7B29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99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E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E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C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7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5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5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5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C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5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125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343E">
            <w:pPr>
              <w:jc w:val="center"/>
              <w:rPr>
                <w:rFonts w:hint="eastAsia" w:ascii="宋体" w:hAnsi="宋体" w:eastAsia="宋体" w:cs="宋体"/>
                <w:i w:val="0"/>
                <w:iCs w:val="0"/>
                <w:color w:val="000000"/>
                <w:sz w:val="18"/>
                <w:szCs w:val="18"/>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AE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A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5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开展创建工作每月检查督查食品次数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C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4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8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DF1F">
            <w:pPr>
              <w:jc w:val="center"/>
              <w:rPr>
                <w:rFonts w:hint="default" w:ascii="微软雅黑" w:hAnsi="微软雅黑" w:eastAsia="微软雅黑" w:cs="微软雅黑"/>
                <w:i/>
                <w:iCs/>
                <w:color w:val="000000"/>
                <w:sz w:val="16"/>
                <w:szCs w:val="16"/>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20次/月</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A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9FC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5449">
            <w:pPr>
              <w:jc w:val="center"/>
              <w:rPr>
                <w:rFonts w:hint="eastAsia" w:ascii="微软雅黑" w:hAnsi="微软雅黑" w:eastAsia="微软雅黑" w:cs="微软雅黑"/>
                <w:i/>
                <w:iCs/>
                <w:color w:val="000000"/>
                <w:sz w:val="16"/>
                <w:szCs w:val="16"/>
                <w:u w:val="none"/>
              </w:rPr>
            </w:pPr>
          </w:p>
        </w:tc>
      </w:tr>
      <w:tr w14:paraId="4AF8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2BE6">
            <w:pPr>
              <w:jc w:val="center"/>
              <w:rPr>
                <w:rFonts w:hint="eastAsia" w:ascii="宋体" w:hAnsi="宋体" w:eastAsia="宋体" w:cs="宋体"/>
                <w:i w:val="0"/>
                <w:iCs w:val="0"/>
                <w:color w:val="000000"/>
                <w:sz w:val="18"/>
                <w:szCs w:val="18"/>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B34A">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4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A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创建工作完成率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1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C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F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3FE3">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8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74D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564E">
            <w:pPr>
              <w:jc w:val="center"/>
              <w:rPr>
                <w:rFonts w:hint="eastAsia" w:ascii="微软雅黑" w:hAnsi="微软雅黑" w:eastAsia="微软雅黑" w:cs="微软雅黑"/>
                <w:i/>
                <w:iCs/>
                <w:color w:val="000000"/>
                <w:sz w:val="16"/>
                <w:szCs w:val="16"/>
                <w:u w:val="none"/>
              </w:rPr>
            </w:pPr>
          </w:p>
        </w:tc>
      </w:tr>
      <w:tr w14:paraId="1115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2927">
            <w:pPr>
              <w:jc w:val="center"/>
              <w:rPr>
                <w:rFonts w:hint="eastAsia" w:ascii="宋体" w:hAnsi="宋体" w:eastAsia="宋体" w:cs="宋体"/>
                <w:i w:val="0"/>
                <w:iCs w:val="0"/>
                <w:color w:val="000000"/>
                <w:sz w:val="18"/>
                <w:szCs w:val="18"/>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0C941">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D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D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开展创建工作完成时间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9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D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F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F5D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1年</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5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AB4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A78D">
            <w:pPr>
              <w:jc w:val="center"/>
              <w:rPr>
                <w:rFonts w:hint="eastAsia" w:ascii="微软雅黑" w:hAnsi="微软雅黑" w:eastAsia="微软雅黑" w:cs="微软雅黑"/>
                <w:i/>
                <w:iCs/>
                <w:color w:val="000000"/>
                <w:sz w:val="16"/>
                <w:szCs w:val="16"/>
                <w:u w:val="none"/>
              </w:rPr>
            </w:pPr>
          </w:p>
        </w:tc>
      </w:tr>
      <w:tr w14:paraId="0C91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C480">
            <w:pPr>
              <w:jc w:val="center"/>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3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9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0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全区食品安全环境</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B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F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2A43">
            <w:pPr>
              <w:jc w:val="center"/>
              <w:rPr>
                <w:rFonts w:hint="eastAsia" w:ascii="宋体" w:hAnsi="宋体" w:eastAsia="宋体" w:cs="宋体"/>
                <w:i w:val="0"/>
                <w:iCs w:val="0"/>
                <w:color w:val="000000"/>
                <w:sz w:val="18"/>
                <w:szCs w:val="18"/>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F0E7">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不断提升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4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A06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038A">
            <w:pPr>
              <w:jc w:val="center"/>
              <w:rPr>
                <w:rFonts w:hint="eastAsia" w:ascii="微软雅黑" w:hAnsi="微软雅黑" w:eastAsia="微软雅黑" w:cs="微软雅黑"/>
                <w:i/>
                <w:iCs/>
                <w:color w:val="000000"/>
                <w:sz w:val="16"/>
                <w:szCs w:val="16"/>
                <w:u w:val="none"/>
              </w:rPr>
            </w:pPr>
          </w:p>
        </w:tc>
      </w:tr>
      <w:tr w14:paraId="6CB1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A41D">
            <w:pPr>
              <w:jc w:val="center"/>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6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D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2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1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E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7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176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A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E13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4ED2">
            <w:pPr>
              <w:jc w:val="center"/>
              <w:rPr>
                <w:rFonts w:hint="eastAsia" w:ascii="微软雅黑" w:hAnsi="微软雅黑" w:eastAsia="微软雅黑" w:cs="微软雅黑"/>
                <w:i/>
                <w:iCs/>
                <w:color w:val="000000"/>
                <w:sz w:val="16"/>
                <w:szCs w:val="16"/>
                <w:u w:val="none"/>
              </w:rPr>
            </w:pPr>
          </w:p>
        </w:tc>
      </w:tr>
      <w:tr w14:paraId="5901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07599">
            <w:pPr>
              <w:jc w:val="center"/>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3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1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5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制作食品生产经营户包保信息公示牌</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9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E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5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5A5E">
            <w:pPr>
              <w:jc w:val="center"/>
              <w:rPr>
                <w:rFonts w:hint="default" w:ascii="微软雅黑" w:hAnsi="微软雅黑" w:eastAsia="微软雅黑" w:cs="微软雅黑"/>
                <w:i/>
                <w:iCs/>
                <w:color w:val="000000"/>
                <w:sz w:val="16"/>
                <w:szCs w:val="16"/>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1000元/个</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3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A6D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797F">
            <w:pPr>
              <w:jc w:val="center"/>
              <w:rPr>
                <w:rFonts w:hint="eastAsia" w:ascii="微软雅黑" w:hAnsi="微软雅黑" w:eastAsia="微软雅黑" w:cs="微软雅黑"/>
                <w:i/>
                <w:iCs/>
                <w:color w:val="000000"/>
                <w:sz w:val="16"/>
                <w:szCs w:val="16"/>
                <w:u w:val="none"/>
              </w:rPr>
            </w:pPr>
          </w:p>
        </w:tc>
      </w:tr>
      <w:tr w14:paraId="5501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E8B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A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B073">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49E3">
            <w:pPr>
              <w:rPr>
                <w:rFonts w:hint="eastAsia" w:ascii="宋体" w:hAnsi="宋体" w:eastAsia="宋体" w:cs="宋体"/>
                <w:i w:val="0"/>
                <w:iCs w:val="0"/>
                <w:color w:val="000000"/>
                <w:sz w:val="18"/>
                <w:szCs w:val="18"/>
                <w:u w:val="none"/>
              </w:rPr>
            </w:pPr>
          </w:p>
        </w:tc>
      </w:tr>
      <w:tr w14:paraId="27CA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7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9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76AD93">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宋体" w:hAnsi="宋体" w:cs="宋体"/>
                <w:color w:val="000000"/>
                <w:kern w:val="0"/>
                <w:sz w:val="18"/>
                <w:szCs w:val="18"/>
                <w:lang w:val="en-US" w:eastAsia="zh-CN"/>
              </w:rPr>
              <w:t>严格执行项目资金的使用，对预算执行进度和绩效目标实现程度实行双监控，自评得分100分。</w:t>
            </w:r>
          </w:p>
        </w:tc>
      </w:tr>
      <w:tr w14:paraId="67BD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9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9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E8AD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宋体" w:hAnsi="宋体" w:cs="宋体"/>
                <w:color w:val="000000"/>
                <w:kern w:val="0"/>
                <w:sz w:val="18"/>
                <w:szCs w:val="18"/>
                <w:lang w:val="en-US" w:eastAsia="zh-CN"/>
              </w:rPr>
              <w:t>无</w:t>
            </w:r>
          </w:p>
        </w:tc>
      </w:tr>
      <w:tr w14:paraId="124C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9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9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3854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val="en-US" w:eastAsia="zh-CN"/>
              </w:rPr>
              <w:t>无</w:t>
            </w:r>
          </w:p>
        </w:tc>
      </w:tr>
    </w:tbl>
    <w:p w14:paraId="4B022F73">
      <w:pPr>
        <w:pStyle w:val="24"/>
        <w:ind w:left="0" w:leftChars="0" w:firstLine="0" w:firstLineChars="0"/>
        <w:rPr>
          <w:rFonts w:hint="eastAsia"/>
          <w:lang w:val="en-US" w:eastAsia="zh-CN"/>
        </w:rPr>
      </w:pPr>
      <w:bookmarkStart w:id="53" w:name="_Toc15396618"/>
    </w:p>
    <w:p w14:paraId="2D09DED1">
      <w:pPr>
        <w:rPr>
          <w:rFonts w:hint="eastAsia"/>
          <w:lang w:val="en-US" w:eastAsia="zh-CN"/>
        </w:rPr>
      </w:pPr>
    </w:p>
    <w:p w14:paraId="448A74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部门预算项目支出绩效自评报告</w:t>
      </w:r>
    </w:p>
    <w:p w14:paraId="5BC90F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（食品监督抽检经费）</w:t>
      </w:r>
    </w:p>
    <w:p w14:paraId="4303DED7">
      <w:pPr>
        <w:pStyle w:val="25"/>
        <w:jc w:val="center"/>
        <w:rPr>
          <w:rFonts w:hint="eastAsia" w:ascii="Times New Roman" w:hAnsi="Times New Roman" w:eastAsia="仿宋_GB2312" w:cs="Times New Roman"/>
          <w:color w:val="auto"/>
          <w:kern w:val="2"/>
          <w:sz w:val="22"/>
          <w:szCs w:val="22"/>
          <w:lang w:val="en-US" w:eastAsia="zh-CN" w:bidi="ar-SA"/>
        </w:rPr>
      </w:pPr>
    </w:p>
    <w:p w14:paraId="1E01A2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一、基本情况</w:t>
      </w:r>
    </w:p>
    <w:p w14:paraId="48F400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（一）项目概况</w:t>
      </w:r>
    </w:p>
    <w:p w14:paraId="15DD7D7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度食品监督抽检经费预算数75万，主要用于2023年度我单位完成食品安全抽检工作，我局积极组织配合完成省抽、市抽，自主完成区级抽检任务。负责制定本辖区年度食品安全抽检方案并组织实施区级抽检任务；负责区级任务的复检异议受理和信息发布等工作；汇总上报本辖区年度抽检工作情况；负责与承检机构共同完成辖区内的抽样工作；负责将承检机构上报的不合格食品检验报告及相关材料送至被抽样单位；负责组织对辖区内不合格食品开展问题产生原因的分析调查及督促整改等核查处置工作，按时限要求将相关处置情况上报数据平台；开展食品抽检875批次以上。</w:t>
      </w:r>
    </w:p>
    <w:p w14:paraId="7DAD64F7">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项目实施情况</w:t>
      </w:r>
    </w:p>
    <w:p w14:paraId="76FCB353">
      <w:pPr>
        <w:adjustRightInd w:val="0"/>
        <w:snapToGrid w:val="0"/>
        <w:spacing w:line="600" w:lineRule="exact"/>
        <w:ind w:firstLine="720"/>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en-US" w:eastAsia="zh-CN"/>
        </w:rPr>
        <w:t>局食安股</w:t>
      </w:r>
      <w:r>
        <w:rPr>
          <w:rFonts w:hint="default" w:ascii="仿宋" w:hAnsi="仿宋" w:eastAsia="仿宋" w:cs="仿宋"/>
          <w:color w:val="auto"/>
          <w:sz w:val="32"/>
          <w:szCs w:val="32"/>
          <w:lang w:val="en-US" w:eastAsia="zh-CN"/>
        </w:rPr>
        <w:t>牵头负责本次监督抽检的统筹协调工作，制定具体抽检实施细则方案</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对监督抽检情况进行汇总、分析</w:t>
      </w:r>
      <w:r>
        <w:rPr>
          <w:rFonts w:hint="eastAsia" w:ascii="仿宋" w:hAnsi="仿宋" w:eastAsia="仿宋" w:cs="仿宋"/>
          <w:color w:val="auto"/>
          <w:sz w:val="32"/>
          <w:szCs w:val="32"/>
          <w:lang w:val="en-US" w:eastAsia="zh-CN"/>
        </w:rPr>
        <w:t>；委托市局统一招投标选择承接机构，确定有资质、有能力的检验检测机构，及时开展监督抽检工作；执法大队及时依法进行不合格产品的后处置工作；各所主动对接局机关及检测机构，具体落实本辖区内的检测任务；承检机构依法依规实施抽检工作，对我局监管执法人员进行六次技术指导，并积极配合局食安股对检测情况进行</w:t>
      </w:r>
      <w:r>
        <w:rPr>
          <w:rFonts w:hint="eastAsia" w:ascii="仿宋" w:hAnsi="仿宋" w:eastAsia="仿宋" w:cs="仿宋"/>
          <w:color w:val="auto"/>
          <w:sz w:val="32"/>
          <w:szCs w:val="32"/>
          <w:lang w:val="zh-CN" w:eastAsia="zh-CN"/>
        </w:rPr>
        <w:t>分析研判。</w:t>
      </w:r>
    </w:p>
    <w:p w14:paraId="22FDCC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（三）资金投入使用情况</w:t>
      </w:r>
    </w:p>
    <w:p w14:paraId="292C7767">
      <w:pPr>
        <w:widowControl/>
        <w:spacing w:line="560" w:lineRule="exact"/>
        <w:ind w:firstLine="640" w:firstLineChars="200"/>
        <w:jc w:val="left"/>
        <w:rPr>
          <w:rFonts w:hint="eastAsia" w:ascii="仿宋_GB2312" w:hAnsi="仿宋" w:eastAsia="仿宋_GB2312" w:cs="仿宋"/>
          <w:sz w:val="32"/>
          <w:szCs w:val="32"/>
          <w:lang w:val="zh-CN" w:eastAsia="zh-CN"/>
        </w:rPr>
      </w:pPr>
      <w:r>
        <w:rPr>
          <w:rFonts w:hint="eastAsia" w:ascii="仿宋" w:hAnsi="仿宋" w:eastAsia="仿宋" w:cs="仿宋"/>
          <w:color w:val="auto"/>
          <w:sz w:val="32"/>
          <w:szCs w:val="32"/>
          <w:lang w:val="en-US" w:eastAsia="zh-CN"/>
        </w:rPr>
        <w:t>2023年度食品监督抽检经费预算数75万元，执行数为75万元，执行率100%。我单位在资金开支范围、标准及支付进度、支付依据上均合规合法，资金支付与预算相符。截止2023年年底，该项目已实施完成。</w:t>
      </w:r>
    </w:p>
    <w:p w14:paraId="56C044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（四）项目绩效目标</w:t>
      </w:r>
    </w:p>
    <w:p w14:paraId="05A71E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通过食品抽检找出食品潜在风险，精准打击，防患未然，结合日常监管做好源头管控，守护食品安全底线，不断提高食品质量，创建舒心消费环境。</w:t>
      </w:r>
    </w:p>
    <w:p w14:paraId="6FE29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二、评价工作开展情况</w:t>
      </w:r>
    </w:p>
    <w:p w14:paraId="4AE1992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我局</w:t>
      </w:r>
      <w:r>
        <w:rPr>
          <w:rFonts w:hint="default" w:ascii="仿宋" w:hAnsi="仿宋" w:eastAsia="仿宋" w:cs="仿宋"/>
          <w:color w:val="auto"/>
          <w:sz w:val="32"/>
          <w:szCs w:val="32"/>
          <w:lang w:val="en-US" w:eastAsia="zh-CN"/>
        </w:rPr>
        <w:t>组织相关人员于202</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年12月底，对202</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年</w:t>
      </w:r>
      <w:r>
        <w:rPr>
          <w:rFonts w:hint="eastAsia" w:ascii="仿宋" w:hAnsi="仿宋" w:eastAsia="仿宋" w:cs="仿宋"/>
          <w:color w:val="auto"/>
          <w:sz w:val="32"/>
          <w:szCs w:val="32"/>
          <w:lang w:val="en-US" w:eastAsia="zh-CN"/>
        </w:rPr>
        <w:t>度</w:t>
      </w:r>
      <w:r>
        <w:rPr>
          <w:rFonts w:hint="default" w:ascii="仿宋" w:hAnsi="仿宋" w:eastAsia="仿宋" w:cs="仿宋"/>
          <w:color w:val="auto"/>
          <w:sz w:val="32"/>
          <w:szCs w:val="32"/>
          <w:lang w:val="en-US" w:eastAsia="zh-CN"/>
        </w:rPr>
        <w:t>食品</w:t>
      </w:r>
      <w:r>
        <w:rPr>
          <w:rFonts w:hint="eastAsia" w:ascii="仿宋" w:hAnsi="仿宋" w:eastAsia="仿宋" w:cs="仿宋"/>
          <w:color w:val="auto"/>
          <w:sz w:val="32"/>
          <w:szCs w:val="32"/>
          <w:lang w:val="en-US" w:eastAsia="zh-CN"/>
        </w:rPr>
        <w:t>监管抽检经费</w:t>
      </w:r>
      <w:r>
        <w:rPr>
          <w:rFonts w:hint="default" w:ascii="仿宋" w:hAnsi="仿宋" w:eastAsia="仿宋" w:cs="仿宋"/>
          <w:color w:val="auto"/>
          <w:sz w:val="32"/>
          <w:szCs w:val="32"/>
          <w:lang w:val="en-US" w:eastAsia="zh-CN"/>
        </w:rPr>
        <w:t>等项目进行绩效自评。根据相关政策制度，我</w:t>
      </w:r>
      <w:r>
        <w:rPr>
          <w:rFonts w:hint="eastAsia" w:ascii="仿宋" w:hAnsi="仿宋" w:eastAsia="仿宋" w:cs="仿宋"/>
          <w:color w:val="auto"/>
          <w:sz w:val="32"/>
          <w:szCs w:val="32"/>
          <w:lang w:val="en-US" w:eastAsia="zh-CN"/>
        </w:rPr>
        <w:t>局</w:t>
      </w:r>
      <w:r>
        <w:rPr>
          <w:rFonts w:hint="default" w:ascii="仿宋" w:hAnsi="仿宋" w:eastAsia="仿宋" w:cs="仿宋"/>
          <w:color w:val="auto"/>
          <w:sz w:val="32"/>
          <w:szCs w:val="32"/>
          <w:lang w:val="en-US" w:eastAsia="zh-CN"/>
        </w:rPr>
        <w:t>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5954CD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三、综合评价结论（附评分表）</w:t>
      </w:r>
    </w:p>
    <w:p w14:paraId="061B505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经过一年的项目实施，根据该项目绩效评价指标体系和绩效检查情况，该项目专项资金绩效支出自评得分</w:t>
      </w:r>
      <w:r>
        <w:rPr>
          <w:rFonts w:hint="eastAsia" w:ascii="仿宋" w:hAnsi="仿宋" w:eastAsia="仿宋" w:cs="仿宋"/>
          <w:color w:val="auto"/>
          <w:sz w:val="32"/>
          <w:szCs w:val="32"/>
          <w:lang w:val="en-US" w:eastAsia="zh-CN"/>
        </w:rPr>
        <w:t>100</w:t>
      </w:r>
      <w:r>
        <w:rPr>
          <w:rFonts w:hint="default" w:ascii="仿宋" w:hAnsi="仿宋" w:eastAsia="仿宋" w:cs="仿宋"/>
          <w:color w:val="auto"/>
          <w:sz w:val="32"/>
          <w:szCs w:val="32"/>
          <w:lang w:val="en-US" w:eastAsia="zh-CN"/>
        </w:rPr>
        <w:t>分。</w:t>
      </w:r>
    </w:p>
    <w:p w14:paraId="481903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四、绩效评价分析</w:t>
      </w:r>
    </w:p>
    <w:p w14:paraId="65F03F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（一）项目决策情况</w:t>
      </w:r>
    </w:p>
    <w:p w14:paraId="49479DB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1.根据时间节点开展</w:t>
      </w:r>
      <w:r>
        <w:rPr>
          <w:rFonts w:hint="eastAsia" w:ascii="仿宋" w:hAnsi="仿宋" w:eastAsia="仿宋" w:cs="仿宋"/>
          <w:color w:val="auto"/>
          <w:sz w:val="32"/>
          <w:szCs w:val="32"/>
          <w:lang w:val="en-US" w:eastAsia="zh-CN"/>
        </w:rPr>
        <w:t>食品抽检工作</w:t>
      </w:r>
      <w:r>
        <w:rPr>
          <w:rFonts w:hint="default" w:ascii="仿宋" w:hAnsi="仿宋" w:eastAsia="仿宋" w:cs="仿宋"/>
          <w:color w:val="auto"/>
          <w:sz w:val="32"/>
          <w:szCs w:val="32"/>
          <w:lang w:val="en-US" w:eastAsia="zh-CN"/>
        </w:rPr>
        <w:t>。</w:t>
      </w:r>
    </w:p>
    <w:p w14:paraId="58B9E87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仿宋" w:hAnsi="仿宋" w:eastAsia="仿宋" w:cs="仿宋"/>
          <w:color w:val="auto"/>
          <w:sz w:val="32"/>
          <w:szCs w:val="32"/>
          <w:lang w:val="en-US" w:eastAsia="zh-CN"/>
        </w:rPr>
        <w:t>2.完成公示及</w:t>
      </w:r>
      <w:r>
        <w:rPr>
          <w:rFonts w:hint="eastAsia" w:ascii="仿宋" w:hAnsi="仿宋" w:eastAsia="仿宋" w:cs="仿宋"/>
          <w:color w:val="auto"/>
          <w:sz w:val="32"/>
          <w:szCs w:val="32"/>
          <w:lang w:val="en-US" w:eastAsia="zh-CN"/>
        </w:rPr>
        <w:t>不合格</w:t>
      </w:r>
      <w:r>
        <w:rPr>
          <w:rFonts w:hint="default" w:ascii="仿宋" w:hAnsi="仿宋" w:eastAsia="仿宋" w:cs="仿宋"/>
          <w:color w:val="auto"/>
          <w:sz w:val="32"/>
          <w:szCs w:val="32"/>
          <w:lang w:val="en-US" w:eastAsia="zh-CN"/>
        </w:rPr>
        <w:t>处置。</w:t>
      </w:r>
    </w:p>
    <w:p w14:paraId="6DE6D0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（二）项目管理情况</w:t>
      </w:r>
    </w:p>
    <w:p w14:paraId="235357D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项目支出严格按照财务管理制度、内</w:t>
      </w:r>
      <w:r>
        <w:rPr>
          <w:rFonts w:hint="eastAsia" w:ascii="仿宋" w:hAnsi="仿宋" w:eastAsia="仿宋" w:cs="仿宋"/>
          <w:color w:val="auto"/>
          <w:sz w:val="32"/>
          <w:szCs w:val="32"/>
          <w:lang w:val="en-US" w:eastAsia="zh-CN"/>
        </w:rPr>
        <w:t>控</w:t>
      </w:r>
      <w:r>
        <w:rPr>
          <w:rFonts w:hint="default" w:ascii="仿宋" w:hAnsi="仿宋" w:eastAsia="仿宋" w:cs="仿宋"/>
          <w:color w:val="auto"/>
          <w:sz w:val="32"/>
          <w:szCs w:val="32"/>
          <w:lang w:val="en-US" w:eastAsia="zh-CN"/>
        </w:rPr>
        <w:t>制度、报销程序进行审批支付，确保了财政资金专款专用，切实提高了资金使用效益</w:t>
      </w:r>
      <w:r>
        <w:rPr>
          <w:rFonts w:hint="eastAsia" w:ascii="仿宋" w:hAnsi="仿宋" w:eastAsia="仿宋" w:cs="仿宋"/>
          <w:color w:val="auto"/>
          <w:sz w:val="32"/>
          <w:szCs w:val="32"/>
          <w:lang w:val="en-US" w:eastAsia="zh-CN"/>
        </w:rPr>
        <w:t>。</w:t>
      </w:r>
    </w:p>
    <w:p w14:paraId="5F2EAA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（三）项目产出情况</w:t>
      </w:r>
    </w:p>
    <w:p w14:paraId="335782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1.数量指标</w:t>
      </w:r>
      <w:r>
        <w:rPr>
          <w:rFonts w:hint="eastAsia" w:ascii="仿宋" w:hAnsi="仿宋" w:eastAsia="仿宋" w:cs="仿宋"/>
          <w:color w:val="auto"/>
          <w:sz w:val="32"/>
          <w:szCs w:val="32"/>
          <w:lang w:val="en-US" w:eastAsia="zh-CN"/>
        </w:rPr>
        <w:t>：集中开展食品抽检875批次，其中食用农产品抽检300批次，自定食品抽检575批次；零散开展食品抽检41批次。</w:t>
      </w:r>
    </w:p>
    <w:p w14:paraId="157464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仿宋" w:hAnsi="仿宋" w:eastAsia="仿宋" w:cs="仿宋"/>
          <w:color w:val="auto"/>
          <w:sz w:val="32"/>
          <w:szCs w:val="32"/>
          <w:lang w:val="en-US" w:eastAsia="zh-CN"/>
        </w:rPr>
        <w:t>2.质量指标</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检测结果信息公示率100%</w:t>
      </w:r>
      <w:r>
        <w:rPr>
          <w:rFonts w:hint="eastAsia" w:ascii="仿宋" w:hAnsi="仿宋" w:eastAsia="仿宋" w:cs="仿宋"/>
          <w:color w:val="auto"/>
          <w:sz w:val="32"/>
          <w:szCs w:val="32"/>
          <w:lang w:val="en-US" w:eastAsia="zh-CN"/>
        </w:rPr>
        <w:t>，不合格产品的核查处置力100%，不合格产品系统录入率100%</w:t>
      </w:r>
      <w:r>
        <w:rPr>
          <w:rFonts w:hint="default" w:ascii="仿宋" w:hAnsi="仿宋" w:eastAsia="仿宋" w:cs="仿宋"/>
          <w:color w:val="auto"/>
          <w:sz w:val="32"/>
          <w:szCs w:val="32"/>
          <w:lang w:val="en-US" w:eastAsia="zh-CN"/>
        </w:rPr>
        <w:t>。</w:t>
      </w:r>
    </w:p>
    <w:p w14:paraId="645E5A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仿宋" w:hAnsi="仿宋" w:eastAsia="仿宋" w:cs="仿宋"/>
          <w:color w:val="auto"/>
          <w:sz w:val="32"/>
          <w:szCs w:val="32"/>
          <w:lang w:val="en-US" w:eastAsia="zh-CN"/>
        </w:rPr>
        <w:t>3.时效指标</w:t>
      </w:r>
      <w:r>
        <w:rPr>
          <w:rFonts w:hint="eastAsia" w:ascii="仿宋" w:hAnsi="仿宋" w:eastAsia="仿宋" w:cs="仿宋"/>
          <w:color w:val="auto"/>
          <w:sz w:val="32"/>
          <w:szCs w:val="32"/>
          <w:lang w:val="en-US" w:eastAsia="zh-CN"/>
        </w:rPr>
        <w:t>：每季度平均抽检食品样本数</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200批次</w:t>
      </w:r>
      <w:r>
        <w:rPr>
          <w:rFonts w:hint="default" w:ascii="仿宋" w:hAnsi="仿宋" w:eastAsia="仿宋" w:cs="仿宋"/>
          <w:color w:val="auto"/>
          <w:sz w:val="32"/>
          <w:szCs w:val="32"/>
          <w:lang w:val="en-US" w:eastAsia="zh-CN"/>
        </w:rPr>
        <w:t>。</w:t>
      </w:r>
    </w:p>
    <w:p w14:paraId="2EA57004">
      <w:pPr>
        <w:pStyle w:val="24"/>
        <w:numPr>
          <w:ilvl w:val="0"/>
          <w:numId w:val="0"/>
        </w:numPr>
        <w:ind w:left="630" w:leftChars="0"/>
        <w:rPr>
          <w:rFonts w:hint="default"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4.成本指标：</w:t>
      </w:r>
      <w:r>
        <w:rPr>
          <w:rFonts w:hint="default" w:ascii="仿宋" w:hAnsi="仿宋" w:eastAsia="仿宋" w:cs="仿宋"/>
          <w:color w:val="auto"/>
          <w:sz w:val="32"/>
          <w:szCs w:val="32"/>
          <w:lang w:val="en-US" w:eastAsia="zh-CN"/>
        </w:rPr>
        <w:t>每个样品抽检费用≤900元/批次</w:t>
      </w:r>
      <w:r>
        <w:rPr>
          <w:rFonts w:hint="eastAsia" w:ascii="仿宋" w:hAnsi="仿宋" w:eastAsia="仿宋" w:cs="仿宋"/>
          <w:color w:val="auto"/>
          <w:sz w:val="32"/>
          <w:szCs w:val="32"/>
          <w:lang w:val="en-US" w:eastAsia="zh-CN"/>
        </w:rPr>
        <w:t>。</w:t>
      </w:r>
    </w:p>
    <w:p w14:paraId="737E2C2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（四)项目效益情况</w:t>
      </w:r>
    </w:p>
    <w:p w14:paraId="3F3F487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通过该项目的实施，保障了全区</w:t>
      </w:r>
      <w:r>
        <w:rPr>
          <w:rFonts w:hint="eastAsia" w:ascii="仿宋" w:hAnsi="仿宋" w:eastAsia="仿宋" w:cs="仿宋"/>
          <w:color w:val="auto"/>
          <w:sz w:val="32"/>
          <w:szCs w:val="32"/>
          <w:lang w:val="en-US" w:eastAsia="zh-CN"/>
        </w:rPr>
        <w:t>食品</w:t>
      </w:r>
      <w:r>
        <w:rPr>
          <w:rFonts w:hint="default" w:ascii="仿宋" w:hAnsi="仿宋" w:eastAsia="仿宋" w:cs="仿宋"/>
          <w:color w:val="auto"/>
          <w:sz w:val="32"/>
          <w:szCs w:val="32"/>
          <w:lang w:val="en-US" w:eastAsia="zh-CN"/>
        </w:rPr>
        <w:t>监管工作有序开展，食品</w:t>
      </w:r>
      <w:r>
        <w:rPr>
          <w:rFonts w:hint="eastAsia" w:ascii="仿宋" w:hAnsi="仿宋" w:eastAsia="仿宋" w:cs="仿宋"/>
          <w:color w:val="auto"/>
          <w:sz w:val="32"/>
          <w:szCs w:val="32"/>
          <w:lang w:val="en-US" w:eastAsia="zh-CN"/>
        </w:rPr>
        <w:t>安全</w:t>
      </w:r>
      <w:r>
        <w:rPr>
          <w:rFonts w:hint="default" w:ascii="仿宋" w:hAnsi="仿宋" w:eastAsia="仿宋" w:cs="仿宋"/>
          <w:color w:val="auto"/>
          <w:sz w:val="32"/>
          <w:szCs w:val="32"/>
          <w:lang w:val="en-US" w:eastAsia="zh-CN"/>
        </w:rPr>
        <w:t>得到有效管控，大力宣传食品安全相关法律法规，通报食品安全风险隐患点，明确经营者食品安全管理义务，既提高其主体责任意识，又提升了人民群众自我保护安全意识。</w:t>
      </w:r>
    </w:p>
    <w:p w14:paraId="545B4431">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存在主要问题</w:t>
      </w:r>
    </w:p>
    <w:p w14:paraId="3283F088">
      <w:pPr>
        <w:pStyle w:val="17"/>
        <w:ind w:left="0" w:leftChars="0"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无</w:t>
      </w:r>
    </w:p>
    <w:p w14:paraId="54EAD398">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相关措施建议</w:t>
      </w:r>
    </w:p>
    <w:p w14:paraId="78F9F08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仿宋" w:hAnsi="仿宋" w:eastAsia="仿宋" w:cs="仿宋"/>
          <w:color w:val="auto"/>
          <w:sz w:val="32"/>
          <w:szCs w:val="32"/>
          <w:lang w:val="en-US" w:eastAsia="zh-CN"/>
        </w:rPr>
        <w:t>无</w:t>
      </w:r>
    </w:p>
    <w:p w14:paraId="49AE0B84">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附件：部门预算项目支出绩效自评表（2023年度）</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3"/>
        <w:gridCol w:w="1013"/>
        <w:gridCol w:w="1329"/>
        <w:gridCol w:w="396"/>
        <w:gridCol w:w="948"/>
        <w:gridCol w:w="396"/>
        <w:gridCol w:w="846"/>
        <w:gridCol w:w="486"/>
        <w:gridCol w:w="486"/>
        <w:gridCol w:w="1527"/>
      </w:tblGrid>
      <w:tr w14:paraId="6ACA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EE178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C6B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9E0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07F5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51090423T000008159163-2023年食品监督抽检经费</w:t>
            </w:r>
          </w:p>
        </w:tc>
      </w:tr>
      <w:tr w14:paraId="5978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CAF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AD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遂宁市安居区市场监督管理局部门</w:t>
            </w:r>
          </w:p>
        </w:tc>
        <w:tc>
          <w:tcPr>
            <w:tcW w:w="386" w:type="pct"/>
            <w:tcBorders>
              <w:top w:val="nil"/>
              <w:left w:val="nil"/>
              <w:bottom w:val="nil"/>
              <w:right w:val="nil"/>
            </w:tcBorders>
            <w:shd w:val="clear" w:color="auto" w:fill="auto"/>
            <w:vAlign w:val="center"/>
          </w:tcPr>
          <w:p w14:paraId="1C1C4C0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D7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w:t>
            </w:r>
          </w:p>
        </w:tc>
      </w:tr>
      <w:tr w14:paraId="1D07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101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22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750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D6CD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21C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D070">
            <w:pP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1AED">
            <w:pPr>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AF0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局、市局食品安全监督抽检计划要求开展食品安全抽检，完成区委区府党政同责考核任务中食品安全抽检任务。我局积极组织配合完成省抽、市抽，自主完成区级抽检任务。负责制定本辖区年度食品安全抽检方案并组织实施区级抽检任务；负责区级任务的复检异议受理和信息发布等工作；汇总上报本辖区年度抽检工作情况；负责与承检机构共同完成辖区内的抽样工作；负责将承检机构上报的不合格食品检验报告及相关材料送至被抽样单位；负责组织对辖区内不合格食品开展问题产生原因的分析调查及督促整改等核查处置工作，按时限要求将相关处置情况上报数据平台；预计明年开展食品抽检800批次以上。通过食品抽检找出食品潜在风险，精准打击，防患未然，结合日常监管做好源头管控，守护食品安全底线，不断提高食品质量，创建舒心消费环境。</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C124A">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完成了全区875批次食品抽检任务，</w:t>
            </w:r>
            <w:r>
              <w:rPr>
                <w:rFonts w:ascii="宋体" w:hAnsi="宋体" w:eastAsia="宋体" w:cs="宋体"/>
                <w:i w:val="0"/>
                <w:iCs w:val="0"/>
                <w:color w:val="000000"/>
                <w:kern w:val="0"/>
                <w:sz w:val="18"/>
                <w:szCs w:val="18"/>
                <w:u w:val="none"/>
                <w:lang w:val="en-US" w:eastAsia="zh-CN" w:bidi="ar"/>
              </w:rPr>
              <w:t>守护食品安全底线，不断提高食品质量，创建舒心消费环境</w:t>
            </w:r>
            <w:r>
              <w:rPr>
                <w:rFonts w:hint="eastAsia" w:ascii="黑体" w:hAnsi="黑体" w:eastAsia="黑体" w:cs="黑体"/>
                <w:i w:val="0"/>
                <w:iCs w:val="0"/>
                <w:color w:val="000000"/>
                <w:kern w:val="0"/>
                <w:sz w:val="18"/>
                <w:szCs w:val="18"/>
                <w:u w:val="none"/>
                <w:lang w:val="en-US" w:eastAsia="zh-CN" w:bidi="ar"/>
              </w:rPr>
              <w:t>。</w:t>
            </w:r>
          </w:p>
        </w:tc>
      </w:tr>
      <w:tr w14:paraId="533A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F6322">
            <w:pP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F4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57CEAE">
            <w:pPr>
              <w:rPr>
                <w:rFonts w:hint="eastAsia" w:ascii="宋体" w:hAnsi="宋体" w:eastAsia="宋体" w:cs="宋体"/>
                <w:i w:val="0"/>
                <w:iCs w:val="0"/>
                <w:color w:val="000000"/>
                <w:sz w:val="18"/>
                <w:szCs w:val="18"/>
                <w:u w:val="none"/>
              </w:rPr>
            </w:pPr>
          </w:p>
        </w:tc>
      </w:tr>
      <w:tr w14:paraId="75E5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3B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E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3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5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7D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4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C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8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8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95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1F12">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C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E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4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97.03</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F3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2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6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73B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3A09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w:t>
            </w:r>
          </w:p>
        </w:tc>
      </w:tr>
      <w:tr w14:paraId="36CE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DDE1">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1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3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2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97.03</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C7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1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6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C0769">
            <w:pPr>
              <w:rPr>
                <w:rFonts w:hint="eastAsia" w:ascii="黑体" w:hAnsi="黑体" w:eastAsia="黑体" w:cs="黑体"/>
                <w:i/>
                <w:iCs/>
                <w:color w:val="000000"/>
                <w:sz w:val="18"/>
                <w:szCs w:val="18"/>
                <w:u w:val="none"/>
              </w:rPr>
            </w:pPr>
          </w:p>
        </w:tc>
      </w:tr>
      <w:tr w14:paraId="4198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AE0C">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A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50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E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B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2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AABC">
            <w:pPr>
              <w:rPr>
                <w:rFonts w:hint="eastAsia" w:ascii="黑体" w:hAnsi="黑体" w:eastAsia="黑体" w:cs="黑体"/>
                <w:i/>
                <w:iCs/>
                <w:color w:val="000000"/>
                <w:sz w:val="18"/>
                <w:szCs w:val="18"/>
                <w:u w:val="none"/>
              </w:rPr>
            </w:pPr>
          </w:p>
        </w:tc>
      </w:tr>
      <w:tr w14:paraId="7242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CA73E">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8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2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2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75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3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6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3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0F6B">
            <w:pPr>
              <w:rPr>
                <w:rFonts w:hint="eastAsia" w:ascii="黑体" w:hAnsi="黑体" w:eastAsia="黑体" w:cs="黑体"/>
                <w:i/>
                <w:iCs/>
                <w:color w:val="000000"/>
                <w:sz w:val="18"/>
                <w:szCs w:val="18"/>
                <w:u w:val="none"/>
              </w:rPr>
            </w:pPr>
          </w:p>
        </w:tc>
      </w:tr>
      <w:tr w14:paraId="383F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260C">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1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F924">
            <w:pPr>
              <w:jc w:val="center"/>
              <w:rPr>
                <w:rFonts w:hint="eastAsia" w:ascii="微软雅黑" w:hAnsi="微软雅黑" w:eastAsia="微软雅黑" w:cs="微软雅黑"/>
                <w:i/>
                <w:iCs/>
                <w:color w:val="000000"/>
                <w:sz w:val="16"/>
                <w:szCs w:val="16"/>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F1A7">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49FAF">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B748">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1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8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949A">
            <w:pPr>
              <w:rPr>
                <w:rFonts w:hint="eastAsia" w:ascii="黑体" w:hAnsi="黑体" w:eastAsia="黑体" w:cs="黑体"/>
                <w:i/>
                <w:iCs/>
                <w:color w:val="000000"/>
                <w:sz w:val="18"/>
                <w:szCs w:val="18"/>
                <w:u w:val="none"/>
              </w:rPr>
            </w:pPr>
          </w:p>
        </w:tc>
      </w:tr>
      <w:tr w14:paraId="7570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45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C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E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4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C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A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A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8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C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A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1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A6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2D36">
            <w:pPr>
              <w:jc w:val="center"/>
              <w:rPr>
                <w:rFonts w:hint="eastAsia" w:ascii="宋体" w:hAnsi="宋体" w:eastAsia="宋体" w:cs="宋体"/>
                <w:i w:val="0"/>
                <w:iCs w:val="0"/>
                <w:color w:val="000000"/>
                <w:sz w:val="18"/>
                <w:szCs w:val="18"/>
                <w:u w:val="none"/>
              </w:rPr>
            </w:pP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65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9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2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食品抽检批次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E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7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1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3CD5">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cs="宋体"/>
                <w:i w:val="0"/>
                <w:iCs w:val="0"/>
                <w:color w:val="000000"/>
                <w:kern w:val="0"/>
                <w:sz w:val="18"/>
                <w:szCs w:val="18"/>
                <w:u w:val="none"/>
                <w:lang w:val="en-US" w:eastAsia="zh-CN" w:bidi="ar"/>
              </w:rPr>
              <w:t>916</w:t>
            </w:r>
            <w:r>
              <w:rPr>
                <w:rFonts w:hint="eastAsia" w:ascii="微软雅黑" w:hAnsi="微软雅黑" w:eastAsia="微软雅黑" w:cs="微软雅黑"/>
                <w:i/>
                <w:iCs/>
                <w:color w:val="000000"/>
                <w:sz w:val="16"/>
                <w:szCs w:val="16"/>
                <w:u w:val="none"/>
                <w:lang w:val="en-US" w:eastAsia="zh-CN"/>
              </w:rPr>
              <w:t>批次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E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A7B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5841">
            <w:pPr>
              <w:jc w:val="center"/>
              <w:rPr>
                <w:rFonts w:hint="eastAsia" w:ascii="微软雅黑" w:hAnsi="微软雅黑" w:eastAsia="微软雅黑" w:cs="微软雅黑"/>
                <w:i/>
                <w:iCs/>
                <w:color w:val="000000"/>
                <w:sz w:val="16"/>
                <w:szCs w:val="16"/>
                <w:u w:val="none"/>
              </w:rPr>
            </w:pPr>
          </w:p>
        </w:tc>
      </w:tr>
      <w:tr w14:paraId="0389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6B5E">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A68E5">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7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1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检测结果信息公示率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C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9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5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2F3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E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35F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2429">
            <w:pPr>
              <w:jc w:val="center"/>
              <w:rPr>
                <w:rFonts w:hint="eastAsia" w:ascii="微软雅黑" w:hAnsi="微软雅黑" w:eastAsia="微软雅黑" w:cs="微软雅黑"/>
                <w:i/>
                <w:iCs/>
                <w:color w:val="000000"/>
                <w:sz w:val="16"/>
                <w:szCs w:val="16"/>
                <w:u w:val="none"/>
              </w:rPr>
            </w:pPr>
          </w:p>
        </w:tc>
      </w:tr>
      <w:tr w14:paraId="2732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C527">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CA5E">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8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1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每季度抽检食品样本数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7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9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5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E90E">
            <w:pPr>
              <w:jc w:val="center"/>
              <w:rPr>
                <w:rFonts w:hint="default" w:ascii="微软雅黑" w:hAnsi="微软雅黑" w:eastAsia="微软雅黑" w:cs="微软雅黑"/>
                <w:i/>
                <w:iCs/>
                <w:color w:val="000000"/>
                <w:sz w:val="16"/>
                <w:szCs w:val="16"/>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200个/月</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A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5EC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0E7A">
            <w:pPr>
              <w:jc w:val="center"/>
              <w:rPr>
                <w:rFonts w:hint="eastAsia" w:ascii="微软雅黑" w:hAnsi="微软雅黑" w:eastAsia="微软雅黑" w:cs="微软雅黑"/>
                <w:i/>
                <w:iCs/>
                <w:color w:val="000000"/>
                <w:sz w:val="16"/>
                <w:szCs w:val="16"/>
                <w:u w:val="none"/>
              </w:rPr>
            </w:pPr>
          </w:p>
        </w:tc>
      </w:tr>
      <w:tr w14:paraId="3771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E80C">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B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8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F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食品质量安全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F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F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8933">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8B7B">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不断提高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0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8E5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628C">
            <w:pPr>
              <w:jc w:val="center"/>
              <w:rPr>
                <w:rFonts w:hint="eastAsia" w:ascii="微软雅黑" w:hAnsi="微软雅黑" w:eastAsia="微软雅黑" w:cs="微软雅黑"/>
                <w:i/>
                <w:iCs/>
                <w:color w:val="000000"/>
                <w:sz w:val="16"/>
                <w:szCs w:val="16"/>
                <w:u w:val="none"/>
              </w:rPr>
            </w:pPr>
          </w:p>
        </w:tc>
      </w:tr>
      <w:tr w14:paraId="1426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DC01">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C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A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C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9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D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AB9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B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1EC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81F6">
            <w:pPr>
              <w:jc w:val="center"/>
              <w:rPr>
                <w:rFonts w:hint="eastAsia" w:ascii="微软雅黑" w:hAnsi="微软雅黑" w:eastAsia="微软雅黑" w:cs="微软雅黑"/>
                <w:i/>
                <w:iCs/>
                <w:color w:val="000000"/>
                <w:sz w:val="16"/>
                <w:szCs w:val="16"/>
                <w:u w:val="none"/>
              </w:rPr>
            </w:pPr>
          </w:p>
        </w:tc>
      </w:tr>
      <w:tr w14:paraId="66C7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C7B8E">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1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5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B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每个样品抽检费用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6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D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5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90AE">
            <w:pPr>
              <w:jc w:val="center"/>
              <w:rPr>
                <w:rFonts w:hint="default" w:ascii="微软雅黑" w:hAnsi="微软雅黑" w:eastAsia="微软雅黑" w:cs="微软雅黑"/>
                <w:i/>
                <w:iCs/>
                <w:color w:val="000000"/>
                <w:sz w:val="16"/>
                <w:szCs w:val="16"/>
                <w:u w:val="none"/>
                <w:lang w:val="en-US"/>
              </w:rPr>
            </w:pPr>
            <w:r>
              <w:rPr>
                <w:rFonts w:hint="eastAsia" w:ascii="宋体" w:hAnsi="宋体" w:cs="宋体"/>
                <w:i w:val="0"/>
                <w:iCs w:val="0"/>
                <w:color w:val="000000"/>
                <w:kern w:val="0"/>
                <w:sz w:val="18"/>
                <w:szCs w:val="18"/>
                <w:u w:val="none"/>
                <w:lang w:val="en-US" w:eastAsia="zh-CN" w:bidi="ar"/>
              </w:rPr>
              <w:t>800元/批次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A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008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C687">
            <w:pPr>
              <w:jc w:val="center"/>
              <w:rPr>
                <w:rFonts w:hint="eastAsia" w:ascii="微软雅黑" w:hAnsi="微软雅黑" w:eastAsia="微软雅黑" w:cs="微软雅黑"/>
                <w:i/>
                <w:iCs/>
                <w:color w:val="000000"/>
                <w:sz w:val="16"/>
                <w:szCs w:val="16"/>
                <w:u w:val="none"/>
              </w:rPr>
            </w:pPr>
          </w:p>
        </w:tc>
      </w:tr>
      <w:tr w14:paraId="4CFC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317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E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C0BA">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603C">
            <w:pPr>
              <w:rPr>
                <w:rFonts w:hint="eastAsia" w:ascii="宋体" w:hAnsi="宋体" w:eastAsia="宋体" w:cs="宋体"/>
                <w:i w:val="0"/>
                <w:iCs w:val="0"/>
                <w:color w:val="000000"/>
                <w:sz w:val="18"/>
                <w:szCs w:val="18"/>
                <w:u w:val="none"/>
              </w:rPr>
            </w:pPr>
          </w:p>
        </w:tc>
      </w:tr>
      <w:tr w14:paraId="3D4B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D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77A1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严格执行项目资金的使用，对预算执行进度和绩效目标实现程度实行双监控，自评得分100分。</w:t>
            </w:r>
          </w:p>
        </w:tc>
      </w:tr>
      <w:tr w14:paraId="1523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E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586A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无</w:t>
            </w:r>
          </w:p>
        </w:tc>
      </w:tr>
      <w:tr w14:paraId="0E85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8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7F4F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bl>
    <w:p w14:paraId="7E8F8D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部门预算项目支出绩效自评报告</w:t>
      </w:r>
    </w:p>
    <w:p w14:paraId="730B38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（食品药品等安全监管经费）</w:t>
      </w:r>
    </w:p>
    <w:p w14:paraId="2EF4E928">
      <w:pPr>
        <w:pStyle w:val="25"/>
        <w:jc w:val="center"/>
        <w:rPr>
          <w:rFonts w:hint="eastAsia" w:ascii="Times New Roman" w:hAnsi="Times New Roman" w:eastAsia="仿宋_GB2312" w:cs="Times New Roman"/>
          <w:color w:val="auto"/>
          <w:kern w:val="2"/>
          <w:sz w:val="32"/>
          <w:szCs w:val="32"/>
          <w:lang w:val="en-US" w:eastAsia="zh-CN" w:bidi="ar-SA"/>
        </w:rPr>
      </w:pPr>
    </w:p>
    <w:p w14:paraId="5FF788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一、基本情况</w:t>
      </w:r>
    </w:p>
    <w:p w14:paraId="6422FD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（一）项目概况</w:t>
      </w:r>
    </w:p>
    <w:p w14:paraId="165EA677">
      <w:pPr>
        <w:pStyle w:val="5"/>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2023年度食品药品等安全监管经费项目预算为20万元，主要用于对食品生产、流通和餐饮等各环节开展全覆盖检查，全面排查本地区、本领域内食品生产经营者底数，梳理在监督检查、抽检监测、案件查办、投诉举报、媒体曝光中反映出的问题线索，汇总形成风险隐患清单，并逐项列出整改措施，严格按进度整改，消除问题隐患，切实防范化解风险，坚决守住食品安全底线，维护食品安全“全域全年”稳定。持续提升安居区药品医疗器械化妆品质量，优化经营环境，增强药械化从业人员法律法规意识，营造良好的法治、舆论氛围，培养一支业务能力强的执法队伍，严厉打击各种药械化质量违法违规行，保障人民群众用药用械用化安全</w:t>
      </w:r>
    </w:p>
    <w:p w14:paraId="02457D76">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项目实施情况</w:t>
      </w:r>
    </w:p>
    <w:p w14:paraId="5CD4B7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为提高全区食品药品安全，对全区经营户、企业、学校等进行监管检查、宣传培训等，提高食品安全；对全区食品生产经营主体开展培训、考试、约谈教育、压实两个责任；创建引领，打造景区食品、示范店、示范街等，提升食品质量；开展药械化监督检查、宣传培训，保障全区用药安全。</w:t>
      </w:r>
    </w:p>
    <w:p w14:paraId="1B7E0EA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（三）资金投入使用情况</w:t>
      </w:r>
    </w:p>
    <w:p w14:paraId="569BBD72">
      <w:pPr>
        <w:widowControl/>
        <w:spacing w:line="56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2023年度食品药品等安全监管经费预算数20万元，支出20万元，</w:t>
      </w:r>
      <w:r>
        <w:rPr>
          <w:rFonts w:hint="default" w:ascii="仿宋" w:hAnsi="仿宋" w:eastAsia="仿宋" w:cs="仿宋"/>
          <w:color w:val="000000"/>
          <w:kern w:val="0"/>
          <w:sz w:val="32"/>
          <w:szCs w:val="32"/>
          <w:lang w:val="en-US" w:eastAsia="zh-CN" w:bidi="ar-SA"/>
        </w:rPr>
        <w:t>执行率为</w:t>
      </w:r>
      <w:r>
        <w:rPr>
          <w:rFonts w:hint="eastAsia" w:ascii="仿宋" w:hAnsi="仿宋" w:eastAsia="仿宋" w:cs="仿宋"/>
          <w:color w:val="000000"/>
          <w:kern w:val="0"/>
          <w:sz w:val="32"/>
          <w:szCs w:val="32"/>
          <w:lang w:val="en-US" w:eastAsia="zh-CN" w:bidi="ar-SA"/>
        </w:rPr>
        <w:t>100</w:t>
      </w:r>
      <w:r>
        <w:rPr>
          <w:rFonts w:hint="default" w:ascii="仿宋" w:hAnsi="仿宋" w:eastAsia="仿宋" w:cs="仿宋"/>
          <w:color w:val="000000"/>
          <w:kern w:val="0"/>
          <w:sz w:val="32"/>
          <w:szCs w:val="32"/>
          <w:lang w:val="en-US" w:eastAsia="zh-CN" w:bidi="ar-SA"/>
        </w:rPr>
        <w:t>%</w:t>
      </w:r>
      <w:r>
        <w:rPr>
          <w:rFonts w:hint="eastAsia" w:ascii="仿宋" w:hAnsi="仿宋" w:eastAsia="仿宋" w:cs="仿宋"/>
          <w:color w:val="000000"/>
          <w:kern w:val="0"/>
          <w:sz w:val="32"/>
          <w:szCs w:val="32"/>
          <w:lang w:val="en-US" w:eastAsia="zh-CN" w:bidi="ar-SA"/>
        </w:rPr>
        <w:t>。我单位在资金开支范围、标准及支付进度、支付依据上均合规合法，资金支付与预算相符。</w:t>
      </w:r>
    </w:p>
    <w:p w14:paraId="43114E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（四）项目绩效目标</w:t>
      </w:r>
    </w:p>
    <w:p w14:paraId="7F7C85EA">
      <w:pPr>
        <w:adjustRightInd w:val="0"/>
        <w:snapToGrid w:val="0"/>
        <w:spacing w:line="600" w:lineRule="exact"/>
        <w:ind w:firstLine="720"/>
        <w:rPr>
          <w:rFonts w:hint="default" w:ascii="Times New Roman" w:hAnsi="Times New Roman" w:eastAsia="仿宋_GB2312" w:cs="Times New Roman"/>
          <w:color w:val="auto"/>
          <w:sz w:val="32"/>
          <w:szCs w:val="32"/>
          <w:lang w:val="en-US" w:eastAsia="zh-CN"/>
        </w:rPr>
      </w:pPr>
      <w:r>
        <w:rPr>
          <w:rFonts w:hint="eastAsia" w:ascii="仿宋" w:hAnsi="仿宋" w:eastAsia="仿宋" w:cs="仿宋"/>
          <w:color w:val="000000"/>
          <w:kern w:val="0"/>
          <w:sz w:val="32"/>
          <w:szCs w:val="32"/>
          <w:lang w:val="en-US" w:eastAsia="zh-CN" w:bidi="ar-SA"/>
        </w:rPr>
        <w:t>提升我区食品药品监管能力和执法水平，确保人民群众的生命安全。</w:t>
      </w:r>
    </w:p>
    <w:p w14:paraId="16A4E7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二、评价工作开展情况</w:t>
      </w:r>
    </w:p>
    <w:p w14:paraId="28429045">
      <w:pPr>
        <w:widowControl/>
        <w:spacing w:line="560" w:lineRule="exact"/>
        <w:ind w:firstLine="640" w:firstLineChars="200"/>
        <w:jc w:val="left"/>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我局</w:t>
      </w:r>
      <w:r>
        <w:rPr>
          <w:rFonts w:hint="default" w:ascii="仿宋" w:hAnsi="仿宋" w:eastAsia="仿宋" w:cs="仿宋"/>
          <w:color w:val="000000"/>
          <w:kern w:val="0"/>
          <w:sz w:val="32"/>
          <w:szCs w:val="32"/>
          <w:lang w:val="en-US" w:eastAsia="zh-CN" w:bidi="ar-SA"/>
        </w:rPr>
        <w:t>组织相关人员于202</w:t>
      </w:r>
      <w:r>
        <w:rPr>
          <w:rFonts w:hint="eastAsia" w:ascii="仿宋" w:hAnsi="仿宋" w:eastAsia="仿宋" w:cs="仿宋"/>
          <w:color w:val="000000"/>
          <w:kern w:val="0"/>
          <w:sz w:val="32"/>
          <w:szCs w:val="32"/>
          <w:lang w:val="en-US" w:eastAsia="zh-CN" w:bidi="ar-SA"/>
        </w:rPr>
        <w:t>3</w:t>
      </w:r>
      <w:r>
        <w:rPr>
          <w:rFonts w:hint="default" w:ascii="仿宋" w:hAnsi="仿宋" w:eastAsia="仿宋" w:cs="仿宋"/>
          <w:color w:val="000000"/>
          <w:kern w:val="0"/>
          <w:sz w:val="32"/>
          <w:szCs w:val="32"/>
          <w:lang w:val="en-US" w:eastAsia="zh-CN" w:bidi="ar-SA"/>
        </w:rPr>
        <w:t>年12月底，对202</w:t>
      </w:r>
      <w:r>
        <w:rPr>
          <w:rFonts w:hint="eastAsia" w:ascii="仿宋" w:hAnsi="仿宋" w:eastAsia="仿宋" w:cs="仿宋"/>
          <w:color w:val="000000"/>
          <w:kern w:val="0"/>
          <w:sz w:val="32"/>
          <w:szCs w:val="32"/>
          <w:lang w:val="en-US" w:eastAsia="zh-CN" w:bidi="ar-SA"/>
        </w:rPr>
        <w:t>3</w:t>
      </w:r>
      <w:r>
        <w:rPr>
          <w:rFonts w:hint="default" w:ascii="仿宋" w:hAnsi="仿宋" w:eastAsia="仿宋" w:cs="仿宋"/>
          <w:color w:val="000000"/>
          <w:kern w:val="0"/>
          <w:sz w:val="32"/>
          <w:szCs w:val="32"/>
          <w:lang w:val="en-US" w:eastAsia="zh-CN" w:bidi="ar-SA"/>
        </w:rPr>
        <w:t>年</w:t>
      </w:r>
      <w:r>
        <w:rPr>
          <w:rFonts w:hint="eastAsia" w:ascii="仿宋" w:hAnsi="仿宋" w:eastAsia="仿宋" w:cs="仿宋"/>
          <w:color w:val="000000"/>
          <w:kern w:val="0"/>
          <w:sz w:val="32"/>
          <w:szCs w:val="32"/>
          <w:lang w:val="en-US" w:eastAsia="zh-CN" w:bidi="ar-SA"/>
        </w:rPr>
        <w:t>度</w:t>
      </w:r>
      <w:r>
        <w:rPr>
          <w:rFonts w:hint="default" w:ascii="仿宋" w:hAnsi="仿宋" w:eastAsia="仿宋" w:cs="仿宋"/>
          <w:color w:val="000000"/>
          <w:kern w:val="0"/>
          <w:sz w:val="32"/>
          <w:szCs w:val="32"/>
          <w:lang w:val="en-US" w:eastAsia="zh-CN" w:bidi="ar-SA"/>
        </w:rPr>
        <w:t>食品</w:t>
      </w:r>
      <w:r>
        <w:rPr>
          <w:rFonts w:hint="eastAsia" w:ascii="仿宋" w:hAnsi="仿宋" w:eastAsia="仿宋" w:cs="仿宋"/>
          <w:color w:val="000000"/>
          <w:kern w:val="0"/>
          <w:sz w:val="32"/>
          <w:szCs w:val="32"/>
          <w:lang w:val="en-US" w:eastAsia="zh-CN" w:bidi="ar-SA"/>
        </w:rPr>
        <w:t>药品等安全监管经费</w:t>
      </w:r>
      <w:r>
        <w:rPr>
          <w:rFonts w:hint="default" w:ascii="仿宋" w:hAnsi="仿宋" w:eastAsia="仿宋" w:cs="仿宋"/>
          <w:color w:val="000000"/>
          <w:kern w:val="0"/>
          <w:sz w:val="32"/>
          <w:szCs w:val="32"/>
          <w:lang w:val="en-US" w:eastAsia="zh-CN" w:bidi="ar-SA"/>
        </w:rPr>
        <w:t>项目进行绩效自评。根据相关政策制度，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5A5C0A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三、综合评价结论（附评分表）</w:t>
      </w:r>
    </w:p>
    <w:p w14:paraId="73A502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default" w:ascii="仿宋" w:hAnsi="仿宋" w:eastAsia="仿宋" w:cs="仿宋"/>
          <w:color w:val="000000"/>
          <w:kern w:val="0"/>
          <w:sz w:val="32"/>
          <w:szCs w:val="32"/>
          <w:lang w:val="en-US" w:eastAsia="zh-CN" w:bidi="ar-SA"/>
        </w:rPr>
        <w:t>经过一年的项目实施，根据该项目绩效评价指标体系和绩效检查情况，该项目专项资金绩效支出自评得分</w:t>
      </w:r>
      <w:r>
        <w:rPr>
          <w:rFonts w:hint="eastAsia" w:ascii="仿宋" w:hAnsi="仿宋" w:eastAsia="仿宋" w:cs="仿宋"/>
          <w:color w:val="000000"/>
          <w:kern w:val="0"/>
          <w:sz w:val="32"/>
          <w:szCs w:val="32"/>
          <w:lang w:val="en-US" w:eastAsia="zh-CN" w:bidi="ar-SA"/>
        </w:rPr>
        <w:t>100</w:t>
      </w:r>
      <w:r>
        <w:rPr>
          <w:rFonts w:hint="default" w:ascii="仿宋" w:hAnsi="仿宋" w:eastAsia="仿宋" w:cs="仿宋"/>
          <w:color w:val="000000"/>
          <w:kern w:val="0"/>
          <w:sz w:val="32"/>
          <w:szCs w:val="32"/>
          <w:lang w:val="en-US" w:eastAsia="zh-CN" w:bidi="ar-SA"/>
        </w:rPr>
        <w:t>分。</w:t>
      </w:r>
    </w:p>
    <w:p w14:paraId="15ED99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四、绩效评价分析</w:t>
      </w:r>
    </w:p>
    <w:p w14:paraId="296A1D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（一）项目决策情况</w:t>
      </w:r>
    </w:p>
    <w:p w14:paraId="7E2253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仿宋" w:hAnsi="仿宋" w:eastAsia="仿宋" w:cs="仿宋"/>
          <w:color w:val="000000"/>
          <w:kern w:val="0"/>
          <w:sz w:val="32"/>
          <w:szCs w:val="32"/>
          <w:lang w:val="en-US" w:eastAsia="zh-CN" w:bidi="ar-SA"/>
        </w:rPr>
      </w:pPr>
      <w:r>
        <w:rPr>
          <w:rFonts w:hint="default" w:ascii="仿宋" w:hAnsi="仿宋" w:eastAsia="仿宋" w:cs="仿宋"/>
          <w:color w:val="000000"/>
          <w:kern w:val="0"/>
          <w:sz w:val="32"/>
          <w:szCs w:val="32"/>
          <w:lang w:val="en-US" w:eastAsia="zh-CN" w:bidi="ar-SA"/>
        </w:rPr>
        <w:t>1.根据时间节点开展</w:t>
      </w:r>
      <w:r>
        <w:rPr>
          <w:rFonts w:hint="eastAsia" w:ascii="仿宋" w:hAnsi="仿宋" w:eastAsia="仿宋" w:cs="仿宋"/>
          <w:color w:val="000000"/>
          <w:kern w:val="0"/>
          <w:sz w:val="32"/>
          <w:szCs w:val="32"/>
          <w:lang w:val="en-US" w:eastAsia="zh-CN" w:bidi="ar-SA"/>
        </w:rPr>
        <w:t>食品药品安全监督检查</w:t>
      </w:r>
      <w:r>
        <w:rPr>
          <w:rFonts w:hint="default" w:ascii="仿宋" w:hAnsi="仿宋" w:eastAsia="仿宋" w:cs="仿宋"/>
          <w:color w:val="000000"/>
          <w:kern w:val="0"/>
          <w:sz w:val="32"/>
          <w:szCs w:val="32"/>
          <w:lang w:val="en-US" w:eastAsia="zh-CN" w:bidi="ar-SA"/>
        </w:rPr>
        <w:t>。</w:t>
      </w:r>
    </w:p>
    <w:p w14:paraId="667F74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仿宋" w:hAnsi="仿宋" w:eastAsia="仿宋" w:cs="仿宋"/>
          <w:color w:val="000000"/>
          <w:kern w:val="0"/>
          <w:sz w:val="32"/>
          <w:szCs w:val="32"/>
          <w:lang w:val="en-US" w:eastAsia="zh-CN" w:bidi="ar-SA"/>
        </w:rPr>
      </w:pPr>
      <w:r>
        <w:rPr>
          <w:rFonts w:hint="default" w:ascii="仿宋" w:hAnsi="仿宋" w:eastAsia="仿宋" w:cs="仿宋"/>
          <w:color w:val="000000"/>
          <w:kern w:val="0"/>
          <w:sz w:val="32"/>
          <w:szCs w:val="32"/>
          <w:lang w:val="en-US" w:eastAsia="zh-CN" w:bidi="ar-SA"/>
        </w:rPr>
        <w:t>2.</w:t>
      </w:r>
      <w:r>
        <w:rPr>
          <w:rFonts w:hint="eastAsia" w:ascii="仿宋" w:hAnsi="仿宋" w:eastAsia="仿宋" w:cs="仿宋"/>
          <w:color w:val="000000"/>
          <w:kern w:val="0"/>
          <w:sz w:val="32"/>
          <w:szCs w:val="32"/>
          <w:lang w:val="en-US" w:eastAsia="zh-CN" w:bidi="ar-SA"/>
        </w:rPr>
        <w:t>根据时间安排食品、药械化宣传培训</w:t>
      </w:r>
      <w:r>
        <w:rPr>
          <w:rFonts w:hint="default" w:ascii="仿宋" w:hAnsi="仿宋" w:eastAsia="仿宋" w:cs="仿宋"/>
          <w:color w:val="000000"/>
          <w:kern w:val="0"/>
          <w:sz w:val="32"/>
          <w:szCs w:val="32"/>
          <w:lang w:val="en-US" w:eastAsia="zh-CN" w:bidi="ar-SA"/>
        </w:rPr>
        <w:t>。</w:t>
      </w:r>
    </w:p>
    <w:p w14:paraId="3EA9CA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（二）项目管理情况</w:t>
      </w:r>
    </w:p>
    <w:p w14:paraId="77F36B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仿宋" w:hAnsi="仿宋" w:eastAsia="仿宋" w:cs="仿宋"/>
          <w:color w:val="000000"/>
          <w:kern w:val="0"/>
          <w:sz w:val="32"/>
          <w:szCs w:val="32"/>
          <w:lang w:val="en-US" w:eastAsia="zh-CN" w:bidi="ar-SA"/>
        </w:rPr>
        <w:t>项目支出严格按照财务管理制度、内</w:t>
      </w:r>
      <w:r>
        <w:rPr>
          <w:rFonts w:hint="eastAsia" w:ascii="仿宋" w:hAnsi="仿宋" w:eastAsia="仿宋" w:cs="仿宋"/>
          <w:color w:val="000000"/>
          <w:kern w:val="0"/>
          <w:sz w:val="32"/>
          <w:szCs w:val="32"/>
          <w:lang w:val="en-US" w:eastAsia="zh-CN" w:bidi="ar-SA"/>
        </w:rPr>
        <w:t>控</w:t>
      </w:r>
      <w:r>
        <w:rPr>
          <w:rFonts w:hint="default" w:ascii="仿宋" w:hAnsi="仿宋" w:eastAsia="仿宋" w:cs="仿宋"/>
          <w:color w:val="000000"/>
          <w:kern w:val="0"/>
          <w:sz w:val="32"/>
          <w:szCs w:val="32"/>
          <w:lang w:val="en-US" w:eastAsia="zh-CN" w:bidi="ar-SA"/>
        </w:rPr>
        <w:t>制度、报销程序进行审批支付，确保了财政资金专款专用，切实提高了资金使用效益</w:t>
      </w:r>
      <w:r>
        <w:rPr>
          <w:rFonts w:hint="eastAsia" w:ascii="仿宋" w:hAnsi="仿宋" w:eastAsia="仿宋" w:cs="仿宋"/>
          <w:color w:val="000000"/>
          <w:kern w:val="0"/>
          <w:sz w:val="32"/>
          <w:szCs w:val="32"/>
          <w:lang w:val="en-US" w:eastAsia="zh-CN" w:bidi="ar-SA"/>
        </w:rPr>
        <w:t>。</w:t>
      </w:r>
    </w:p>
    <w:p w14:paraId="54CAD1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（三）项目产出情况</w:t>
      </w:r>
    </w:p>
    <w:p w14:paraId="0734490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color w:val="000000"/>
          <w:kern w:val="0"/>
          <w:sz w:val="32"/>
          <w:szCs w:val="32"/>
          <w:lang w:val="en-US" w:eastAsia="zh-CN" w:bidi="ar-SA"/>
        </w:rPr>
      </w:pPr>
      <w:r>
        <w:rPr>
          <w:rFonts w:hint="default" w:ascii="仿宋" w:hAnsi="仿宋" w:eastAsia="仿宋" w:cs="仿宋"/>
          <w:color w:val="000000"/>
          <w:kern w:val="0"/>
          <w:sz w:val="32"/>
          <w:szCs w:val="32"/>
          <w:lang w:val="en-US" w:eastAsia="zh-CN" w:bidi="ar-SA"/>
        </w:rPr>
        <w:t>1.数量指标</w:t>
      </w:r>
      <w:r>
        <w:rPr>
          <w:rFonts w:hint="eastAsia" w:ascii="仿宋" w:hAnsi="仿宋" w:eastAsia="仿宋" w:cs="仿宋"/>
          <w:color w:val="000000"/>
          <w:kern w:val="0"/>
          <w:sz w:val="32"/>
          <w:szCs w:val="32"/>
          <w:lang w:val="en-US" w:eastAsia="zh-CN" w:bidi="ar-SA"/>
        </w:rPr>
        <w:t>：</w:t>
      </w:r>
      <w:r>
        <w:rPr>
          <w:rFonts w:hint="default" w:ascii="仿宋" w:hAnsi="仿宋" w:eastAsia="仿宋" w:cs="仿宋"/>
          <w:color w:val="000000"/>
          <w:kern w:val="0"/>
          <w:sz w:val="32"/>
          <w:szCs w:val="32"/>
          <w:lang w:val="en-US" w:eastAsia="zh-CN" w:bidi="ar-SA"/>
        </w:rPr>
        <w:t>推动食品安全“两个责任”落地，在产在营的食品生产经营主体2330家均纳入包保，实现“两个双百”（包保干部上墙公示率100%、督导履职率100%，企业主体风险管控制度上墙公示率100%、“日管控、周排查、月调度”台账建立100%）和“两个领先”（工作经验在国、省工作专刊率先推广，在全省会议交流发言），开展食品摊贩提升行动和制止餐饮浪费专项行动等推进食安示范创建，在景区、校园、广场等地设置制止餐饮浪费流动宣传站，统一制作摊贩证公示牌300个，发放口罩、公益宣传围裙300余套；持续推进智慧监管，在全市率先打造智能监管示范店60家，将98所学校、5家网络餐饮店接入“遂食在线”互联网监管平台，城区农贸市场24户商户接入“遂食溯源”微信小程序农贸市场赋码管理，45家优秀企业开展市场主体责任落实微信小程序试点；将药品批发企业、零售连锁公司、单体店、零售药店、三类医疗器械经营企业、二类医疗器械、化妆品经营户、医疗机构、网络药械销售、器械批发企业等1213家经营主体纳入电子基础台账、QQ和微信工作群实时监管；落实药械化不良反应监测工作，完成药品不良反应监测报告507例，目标任务完成率110.2%，完成医疗器械不良事件166例，目标任务完成率103.8%，完成化妆品51例，目标任务完成率102%。</w:t>
      </w:r>
    </w:p>
    <w:p w14:paraId="024ADC25">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color w:val="000000"/>
          <w:kern w:val="0"/>
          <w:sz w:val="32"/>
          <w:szCs w:val="32"/>
          <w:lang w:val="en-US" w:eastAsia="zh-CN" w:bidi="ar-SA"/>
        </w:rPr>
      </w:pPr>
      <w:r>
        <w:rPr>
          <w:rFonts w:hint="default" w:ascii="仿宋" w:hAnsi="仿宋" w:eastAsia="仿宋" w:cs="仿宋"/>
          <w:color w:val="000000"/>
          <w:kern w:val="0"/>
          <w:sz w:val="32"/>
          <w:szCs w:val="32"/>
          <w:lang w:val="en-US" w:eastAsia="zh-CN" w:bidi="ar-SA"/>
        </w:rPr>
        <w:t>2.质量指标</w:t>
      </w:r>
      <w:r>
        <w:rPr>
          <w:rFonts w:hint="eastAsia" w:ascii="仿宋" w:hAnsi="仿宋" w:eastAsia="仿宋" w:cs="仿宋"/>
          <w:color w:val="000000"/>
          <w:kern w:val="0"/>
          <w:sz w:val="32"/>
          <w:szCs w:val="32"/>
          <w:lang w:val="en-US" w:eastAsia="zh-CN" w:bidi="ar-SA"/>
        </w:rPr>
        <w:t>：药品安全检查覆盖率100%</w:t>
      </w:r>
      <w:r>
        <w:rPr>
          <w:rFonts w:hint="default" w:ascii="仿宋" w:hAnsi="仿宋" w:eastAsia="仿宋" w:cs="仿宋"/>
          <w:color w:val="000000"/>
          <w:kern w:val="0"/>
          <w:sz w:val="32"/>
          <w:szCs w:val="32"/>
          <w:lang w:val="en-US" w:eastAsia="zh-CN" w:bidi="ar-SA"/>
        </w:rPr>
        <w:t>。</w:t>
      </w:r>
    </w:p>
    <w:p w14:paraId="5A40BBF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color w:val="000000"/>
          <w:kern w:val="0"/>
          <w:sz w:val="32"/>
          <w:szCs w:val="32"/>
          <w:lang w:val="en-US" w:eastAsia="zh-CN" w:bidi="ar-SA"/>
        </w:rPr>
      </w:pPr>
      <w:r>
        <w:rPr>
          <w:rFonts w:hint="default" w:ascii="仿宋" w:hAnsi="仿宋" w:eastAsia="仿宋" w:cs="仿宋"/>
          <w:color w:val="000000"/>
          <w:kern w:val="0"/>
          <w:sz w:val="32"/>
          <w:szCs w:val="32"/>
          <w:lang w:val="en-US" w:eastAsia="zh-CN" w:bidi="ar-SA"/>
        </w:rPr>
        <w:t>3.时效指标</w:t>
      </w:r>
      <w:r>
        <w:rPr>
          <w:rFonts w:hint="eastAsia" w:ascii="仿宋" w:hAnsi="仿宋" w:eastAsia="仿宋" w:cs="仿宋"/>
          <w:color w:val="000000"/>
          <w:kern w:val="0"/>
          <w:sz w:val="32"/>
          <w:szCs w:val="32"/>
          <w:lang w:val="en-US" w:eastAsia="zh-CN" w:bidi="ar-SA"/>
        </w:rPr>
        <w:t>：开展食品药品检查月数</w:t>
      </w:r>
      <w:r>
        <w:rPr>
          <w:rFonts w:hint="default" w:ascii="仿宋" w:hAnsi="仿宋" w:eastAsia="仿宋" w:cs="仿宋"/>
          <w:color w:val="000000"/>
          <w:kern w:val="0"/>
          <w:sz w:val="32"/>
          <w:szCs w:val="32"/>
          <w:lang w:val="en-US" w:eastAsia="zh-CN" w:bidi="ar-SA"/>
        </w:rPr>
        <w:t>12</w:t>
      </w:r>
      <w:r>
        <w:rPr>
          <w:rFonts w:hint="eastAsia" w:ascii="仿宋" w:hAnsi="仿宋" w:eastAsia="仿宋" w:cs="仿宋"/>
          <w:color w:val="000000"/>
          <w:kern w:val="0"/>
          <w:sz w:val="32"/>
          <w:szCs w:val="32"/>
          <w:lang w:val="en-US" w:eastAsia="zh-CN" w:bidi="ar-SA"/>
        </w:rPr>
        <w:t>个</w:t>
      </w:r>
      <w:r>
        <w:rPr>
          <w:rFonts w:hint="default" w:ascii="仿宋" w:hAnsi="仿宋" w:eastAsia="仿宋" w:cs="仿宋"/>
          <w:color w:val="000000"/>
          <w:kern w:val="0"/>
          <w:sz w:val="32"/>
          <w:szCs w:val="32"/>
          <w:lang w:val="en-US" w:eastAsia="zh-CN" w:bidi="ar-SA"/>
        </w:rPr>
        <w:t>月</w:t>
      </w:r>
      <w:r>
        <w:rPr>
          <w:rFonts w:hint="eastAsia" w:ascii="仿宋" w:hAnsi="仿宋" w:eastAsia="仿宋" w:cs="仿宋"/>
          <w:color w:val="000000"/>
          <w:kern w:val="0"/>
          <w:sz w:val="32"/>
          <w:szCs w:val="32"/>
          <w:lang w:val="en-US" w:eastAsia="zh-CN" w:bidi="ar-SA"/>
        </w:rPr>
        <w:t>，每月检查食品、药品</w:t>
      </w:r>
      <w:r>
        <w:rPr>
          <w:rFonts w:hint="default" w:ascii="仿宋" w:hAnsi="仿宋" w:eastAsia="仿宋" w:cs="仿宋"/>
          <w:color w:val="000000"/>
          <w:kern w:val="0"/>
          <w:sz w:val="32"/>
          <w:szCs w:val="32"/>
          <w:lang w:val="en-US" w:eastAsia="zh-CN" w:bidi="ar-SA"/>
        </w:rPr>
        <w:t>≥</w:t>
      </w:r>
      <w:r>
        <w:rPr>
          <w:rFonts w:hint="eastAsia" w:ascii="仿宋" w:hAnsi="仿宋" w:eastAsia="仿宋" w:cs="仿宋"/>
          <w:color w:val="000000"/>
          <w:kern w:val="0"/>
          <w:sz w:val="32"/>
          <w:szCs w:val="32"/>
          <w:lang w:val="en-US" w:eastAsia="zh-CN" w:bidi="ar-SA"/>
        </w:rPr>
        <w:t>50家次</w:t>
      </w:r>
      <w:r>
        <w:rPr>
          <w:rFonts w:hint="default" w:ascii="仿宋" w:hAnsi="仿宋" w:eastAsia="仿宋" w:cs="仿宋"/>
          <w:color w:val="000000"/>
          <w:kern w:val="0"/>
          <w:sz w:val="32"/>
          <w:szCs w:val="32"/>
          <w:lang w:val="en-US" w:eastAsia="zh-CN" w:bidi="ar-SA"/>
        </w:rPr>
        <w:t>。</w:t>
      </w:r>
    </w:p>
    <w:p w14:paraId="4E1F1FDD">
      <w:pPr>
        <w:pStyle w:val="24"/>
        <w:numPr>
          <w:ilvl w:val="0"/>
          <w:numId w:val="0"/>
        </w:numPr>
        <w:ind w:left="630" w:leftChars="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4.成本指标：开展食品、药品安全检查成本</w:t>
      </w:r>
      <w:r>
        <w:rPr>
          <w:rFonts w:hint="default" w:ascii="仿宋" w:hAnsi="仿宋" w:eastAsia="仿宋" w:cs="仿宋"/>
          <w:color w:val="000000"/>
          <w:kern w:val="0"/>
          <w:sz w:val="32"/>
          <w:szCs w:val="32"/>
          <w:lang w:val="en-US" w:eastAsia="zh-CN" w:bidi="ar-SA"/>
        </w:rPr>
        <w:t>≤</w:t>
      </w:r>
      <w:r>
        <w:rPr>
          <w:rFonts w:hint="eastAsia" w:ascii="仿宋" w:hAnsi="仿宋" w:eastAsia="仿宋" w:cs="仿宋"/>
          <w:color w:val="000000"/>
          <w:kern w:val="0"/>
          <w:sz w:val="32"/>
          <w:szCs w:val="32"/>
          <w:lang w:val="en-US" w:eastAsia="zh-CN" w:bidi="ar-SA"/>
        </w:rPr>
        <w:t>100元/人次，</w:t>
      </w:r>
    </w:p>
    <w:p w14:paraId="175CA03F">
      <w:pPr>
        <w:pStyle w:val="24"/>
        <w:numPr>
          <w:ilvl w:val="0"/>
          <w:numId w:val="0"/>
        </w:numPr>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食品药品宣传资料费用</w:t>
      </w:r>
      <w:r>
        <w:rPr>
          <w:rFonts w:hint="default" w:ascii="仿宋" w:hAnsi="仿宋" w:eastAsia="仿宋" w:cs="仿宋"/>
          <w:color w:val="000000"/>
          <w:kern w:val="0"/>
          <w:sz w:val="32"/>
          <w:szCs w:val="32"/>
          <w:lang w:val="en-US" w:eastAsia="zh-CN" w:bidi="ar-SA"/>
        </w:rPr>
        <w:t>≤</w:t>
      </w:r>
      <w:r>
        <w:rPr>
          <w:rFonts w:hint="eastAsia" w:ascii="仿宋" w:hAnsi="仿宋" w:eastAsia="仿宋" w:cs="仿宋"/>
          <w:color w:val="000000"/>
          <w:kern w:val="0"/>
          <w:sz w:val="32"/>
          <w:szCs w:val="32"/>
          <w:lang w:val="en-US" w:eastAsia="zh-CN" w:bidi="ar-SA"/>
        </w:rPr>
        <w:t>20000元/次。</w:t>
      </w:r>
    </w:p>
    <w:p w14:paraId="0A62006B">
      <w:pPr>
        <w:pStyle w:val="24"/>
        <w:numPr>
          <w:ilvl w:val="0"/>
          <w:numId w:val="0"/>
        </w:numPr>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（四)项目效益情况</w:t>
      </w:r>
    </w:p>
    <w:p w14:paraId="7453DA34">
      <w:pPr>
        <w:pStyle w:val="24"/>
        <w:numPr>
          <w:ilvl w:val="0"/>
          <w:numId w:val="0"/>
        </w:numPr>
        <w:ind w:left="630" w:leftChars="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1.社会效益指标：全区营商环境不断优化，食品药品安全意</w:t>
      </w:r>
    </w:p>
    <w:p w14:paraId="2A7D2ED4">
      <w:pPr>
        <w:pStyle w:val="24"/>
        <w:numPr>
          <w:ilvl w:val="0"/>
          <w:numId w:val="0"/>
        </w:numPr>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识不断提高。</w:t>
      </w:r>
    </w:p>
    <w:p w14:paraId="72151E3A">
      <w:pPr>
        <w:pStyle w:val="24"/>
        <w:numPr>
          <w:ilvl w:val="0"/>
          <w:numId w:val="0"/>
        </w:numPr>
        <w:spacing w:line="240" w:lineRule="auto"/>
        <w:ind w:firstLine="640" w:firstLineChars="200"/>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2.满意度指标：人民群众对食品和药品的满意度</w:t>
      </w:r>
      <w:r>
        <w:rPr>
          <w:rFonts w:hint="default" w:ascii="仿宋" w:hAnsi="仿宋" w:eastAsia="仿宋" w:cs="仿宋"/>
          <w:color w:val="000000"/>
          <w:kern w:val="0"/>
          <w:sz w:val="32"/>
          <w:szCs w:val="32"/>
          <w:lang w:val="en-US" w:eastAsia="zh-CN" w:bidi="ar-SA"/>
        </w:rPr>
        <w:t>≥</w:t>
      </w:r>
      <w:r>
        <w:rPr>
          <w:rFonts w:hint="eastAsia" w:ascii="仿宋" w:hAnsi="仿宋" w:eastAsia="仿宋" w:cs="仿宋"/>
          <w:color w:val="000000"/>
          <w:kern w:val="0"/>
          <w:sz w:val="32"/>
          <w:szCs w:val="32"/>
          <w:lang w:val="en-US" w:eastAsia="zh-CN" w:bidi="ar-SA"/>
        </w:rPr>
        <w:t>90%。</w:t>
      </w:r>
    </w:p>
    <w:p w14:paraId="1236CB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五、存在主要问题</w:t>
      </w:r>
    </w:p>
    <w:p w14:paraId="7CBC4C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无</w:t>
      </w:r>
    </w:p>
    <w:p w14:paraId="1EF9C0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eastAsia="仿宋_GB2312"/>
          <w:b w:val="0"/>
          <w:bCs w:val="0"/>
          <w:color w:val="auto"/>
          <w:sz w:val="32"/>
          <w:szCs w:val="32"/>
          <w:highlight w:val="none"/>
        </w:rPr>
      </w:pPr>
      <w:r>
        <w:rPr>
          <w:rFonts w:hint="default" w:ascii="Times New Roman" w:hAnsi="Times New Roman" w:eastAsia="黑体" w:cs="Times New Roman"/>
          <w:color w:val="auto"/>
          <w:sz w:val="32"/>
          <w:szCs w:val="32"/>
          <w:highlight w:val="none"/>
          <w:lang w:val="en-US" w:eastAsia="zh-CN"/>
        </w:rPr>
        <w:t>六、相关措施建议</w:t>
      </w:r>
    </w:p>
    <w:p w14:paraId="0A90DDC6">
      <w:pPr>
        <w:keepNext w:val="0"/>
        <w:keepLines w:val="0"/>
        <w:pageBreakBefore w:val="0"/>
        <w:widowControl/>
        <w:kinsoku/>
        <w:wordWrap/>
        <w:overflowPunct/>
        <w:topLinePunct w:val="0"/>
        <w:autoSpaceDE/>
        <w:autoSpaceDN/>
        <w:bidi w:val="0"/>
        <w:adjustRightInd/>
        <w:spacing w:line="560" w:lineRule="exact"/>
        <w:ind w:leftChars="0" w:firstLine="640" w:firstLineChars="200"/>
        <w:jc w:val="left"/>
        <w:textAlignment w:val="auto"/>
        <w:rPr>
          <w:rFonts w:hint="eastAsia" w:ascii="仿宋_GB2312" w:hAnsi="Times New Roman" w:eastAsia="仿宋_GB2312" w:cs="Times New Roman"/>
          <w:color w:val="auto"/>
          <w:sz w:val="32"/>
          <w:szCs w:val="32"/>
          <w:lang w:val="en-US" w:eastAsia="zh-CN" w:bidi="ar-SA"/>
        </w:rPr>
      </w:pPr>
      <w:r>
        <w:rPr>
          <w:rFonts w:hint="eastAsia" w:ascii="仿宋_GB2312" w:hAnsi="Times New Roman" w:eastAsia="仿宋_GB2312" w:cs="Times New Roman"/>
          <w:color w:val="auto"/>
          <w:sz w:val="32"/>
          <w:szCs w:val="32"/>
          <w:lang w:val="en-US" w:eastAsia="zh-CN" w:bidi="ar-SA"/>
        </w:rPr>
        <w:t>无</w:t>
      </w:r>
    </w:p>
    <w:p w14:paraId="6BC89F89">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附件：部门预算项目支出绩效自评表（2023年度）</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3"/>
        <w:gridCol w:w="1013"/>
        <w:gridCol w:w="1329"/>
        <w:gridCol w:w="396"/>
        <w:gridCol w:w="948"/>
        <w:gridCol w:w="396"/>
        <w:gridCol w:w="846"/>
        <w:gridCol w:w="486"/>
        <w:gridCol w:w="486"/>
        <w:gridCol w:w="1527"/>
      </w:tblGrid>
      <w:tr w14:paraId="6970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6C4FD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BC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F8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D955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51090423T000008159256-2023年食品药品等安全监管经费</w:t>
            </w:r>
          </w:p>
        </w:tc>
      </w:tr>
      <w:tr w14:paraId="5873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E26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A5F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遂宁市安居区市场监督管理局部门</w:t>
            </w:r>
          </w:p>
        </w:tc>
        <w:tc>
          <w:tcPr>
            <w:tcW w:w="386" w:type="pct"/>
            <w:tcBorders>
              <w:top w:val="nil"/>
              <w:left w:val="nil"/>
              <w:bottom w:val="nil"/>
              <w:right w:val="nil"/>
            </w:tcBorders>
            <w:shd w:val="clear" w:color="auto" w:fill="auto"/>
            <w:vAlign w:val="center"/>
          </w:tcPr>
          <w:p w14:paraId="51B931F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A6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w:t>
            </w:r>
          </w:p>
        </w:tc>
      </w:tr>
      <w:tr w14:paraId="155F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171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94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0E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9A1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5D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B32F">
            <w:pP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E347">
            <w:pPr>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3C4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食品生产、流通和餐饮等各环节开展全覆盖检查，全面排查本地区、本领域内食品生产经营者底数，梳理在监督检查、抽检监测、案件查办、投诉举报、媒体曝光中反映出的问题线索，汇总形成风险隐患清单，并逐项列出整改措施，严格按进度整改，消除问题隐患，切实防范化解风险，坚决守住食品安全底线，维护食品安全“全域全年”稳定。持续提升安居区药品医疗器械化妆品质量，优化经营环境，增强药化械从业人员法律法规意识，营造良好的法治、舆论氛围，培养一支业务能力强的执法队伍，严厉打击各种药械化质量违法违规行，保障人民群众用药用械用化安全。</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837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食品安全“两个责任”落地，在产在营的食品生产经营主体2330家均纳入包保，实现“两个双百”（包保干部上墙公示率100%、督导履职率100%，开展专项行动等推进食安示范创建，在景区、校园、广场等地设置制止餐饮浪费流动宣传站，统一制作摊贩证公示牌300个，发放口罩、公益宣传围裙300余套；持续推进智慧监管，在全市率先打造智能监管示范店60家，“遂食在线”互联网监管平台</w:t>
            </w:r>
            <w:r>
              <w:rPr>
                <w:rFonts w:hint="eastAsia" w:ascii="宋体" w:hAnsi="宋体" w:cs="宋体"/>
                <w:i w:val="0"/>
                <w:iCs w:val="0"/>
                <w:color w:val="000000"/>
                <w:kern w:val="0"/>
                <w:sz w:val="18"/>
                <w:szCs w:val="18"/>
                <w:u w:val="none"/>
                <w:lang w:val="en-US" w:eastAsia="zh-CN" w:bidi="ar"/>
              </w:rPr>
              <w:t>等，</w:t>
            </w:r>
            <w:r>
              <w:rPr>
                <w:rFonts w:hint="eastAsia" w:ascii="宋体" w:hAnsi="宋体" w:eastAsia="宋体" w:cs="宋体"/>
                <w:i w:val="0"/>
                <w:iCs w:val="0"/>
                <w:color w:val="000000"/>
                <w:kern w:val="0"/>
                <w:sz w:val="18"/>
                <w:szCs w:val="18"/>
                <w:u w:val="none"/>
                <w:lang w:val="en-US" w:eastAsia="zh-CN" w:bidi="ar"/>
              </w:rPr>
              <w:t>落实药械化不良反应监测工作，完成药品不良反应监测报告507例，目标任务完成率110.2%，完成医疗器械不良事件166例，目标任务完成率103.8%，完成化妆品51例，目标任务完成率102%</w:t>
            </w:r>
            <w:r>
              <w:rPr>
                <w:rFonts w:hint="eastAsia" w:ascii="黑体" w:hAnsi="黑体" w:eastAsia="黑体" w:cs="黑体"/>
                <w:i w:val="0"/>
                <w:iCs w:val="0"/>
                <w:color w:val="000000"/>
                <w:kern w:val="0"/>
                <w:sz w:val="18"/>
                <w:szCs w:val="18"/>
                <w:u w:val="none"/>
                <w:lang w:val="en-US" w:eastAsia="zh-CN" w:bidi="ar"/>
              </w:rPr>
              <w:t>。</w:t>
            </w:r>
          </w:p>
        </w:tc>
      </w:tr>
      <w:tr w14:paraId="627B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D60B">
            <w:pP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C1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FBDFE9">
            <w:pP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对食品生产、流通和餐饮</w:t>
            </w:r>
            <w:r>
              <w:rPr>
                <w:rFonts w:hint="eastAsia" w:ascii="宋体" w:hAnsi="宋体" w:eastAsia="宋体" w:cs="宋体"/>
                <w:i w:val="0"/>
                <w:iCs w:val="0"/>
                <w:color w:val="000000"/>
                <w:sz w:val="18"/>
                <w:szCs w:val="18"/>
                <w:u w:val="none"/>
                <w:lang w:val="en-US" w:eastAsia="zh-CN"/>
              </w:rPr>
              <w:t>、药品</w:t>
            </w:r>
            <w:r>
              <w:rPr>
                <w:rFonts w:hint="default" w:ascii="宋体" w:hAnsi="宋体" w:eastAsia="宋体" w:cs="宋体"/>
                <w:i w:val="0"/>
                <w:iCs w:val="0"/>
                <w:color w:val="000000"/>
                <w:sz w:val="18"/>
                <w:szCs w:val="18"/>
                <w:u w:val="none"/>
                <w:lang w:val="en-US" w:eastAsia="zh-CN"/>
              </w:rPr>
              <w:t>等各环节开展全覆盖检查，全面排查本地区、本领域内食品生产经营者底数</w:t>
            </w:r>
            <w:r>
              <w:rPr>
                <w:rFonts w:hint="eastAsia" w:ascii="宋体" w:hAnsi="宋体" w:eastAsia="宋体" w:cs="宋体"/>
                <w:i w:val="0"/>
                <w:iCs w:val="0"/>
                <w:color w:val="000000"/>
                <w:sz w:val="18"/>
                <w:szCs w:val="18"/>
                <w:u w:val="none"/>
                <w:lang w:val="en-US" w:eastAsia="zh-CN"/>
              </w:rPr>
              <w:t>、药品经营者底数</w:t>
            </w:r>
            <w:r>
              <w:rPr>
                <w:rFonts w:hint="default" w:ascii="宋体" w:hAnsi="宋体" w:eastAsia="宋体" w:cs="宋体"/>
                <w:i w:val="0"/>
                <w:iCs w:val="0"/>
                <w:color w:val="000000"/>
                <w:sz w:val="18"/>
                <w:szCs w:val="18"/>
                <w:u w:val="none"/>
                <w:lang w:val="en-US" w:eastAsia="zh-CN"/>
              </w:rPr>
              <w:t>，梳理在监督检查、抽检监测、案件查办、投诉举报、媒体曝光中反映出的问题线索，汇总形成风险隐患清单，并逐项列出整改措施，严格按进度整改，消除问题隐患，切实防范化解风险，坚决守住食品</w:t>
            </w:r>
            <w:r>
              <w:rPr>
                <w:rFonts w:hint="eastAsia" w:ascii="宋体" w:hAnsi="宋体" w:eastAsia="宋体" w:cs="宋体"/>
                <w:i w:val="0"/>
                <w:iCs w:val="0"/>
                <w:color w:val="000000"/>
                <w:sz w:val="18"/>
                <w:szCs w:val="18"/>
                <w:u w:val="none"/>
                <w:lang w:val="en-US" w:eastAsia="zh-CN"/>
              </w:rPr>
              <w:t>药品</w:t>
            </w:r>
            <w:r>
              <w:rPr>
                <w:rFonts w:hint="default" w:ascii="宋体" w:hAnsi="宋体" w:eastAsia="宋体" w:cs="宋体"/>
                <w:i w:val="0"/>
                <w:iCs w:val="0"/>
                <w:color w:val="000000"/>
                <w:sz w:val="18"/>
                <w:szCs w:val="18"/>
                <w:u w:val="none"/>
                <w:lang w:val="en-US" w:eastAsia="zh-CN"/>
              </w:rPr>
              <w:t>安全底线，维护食品</w:t>
            </w:r>
            <w:r>
              <w:rPr>
                <w:rFonts w:hint="eastAsia" w:ascii="宋体" w:hAnsi="宋体" w:eastAsia="宋体" w:cs="宋体"/>
                <w:i w:val="0"/>
                <w:iCs w:val="0"/>
                <w:color w:val="000000"/>
                <w:sz w:val="18"/>
                <w:szCs w:val="18"/>
                <w:u w:val="none"/>
                <w:lang w:val="en-US" w:eastAsia="zh-CN"/>
              </w:rPr>
              <w:t>药品</w:t>
            </w:r>
            <w:r>
              <w:rPr>
                <w:rFonts w:hint="default" w:ascii="宋体" w:hAnsi="宋体" w:eastAsia="宋体" w:cs="宋体"/>
                <w:i w:val="0"/>
                <w:iCs w:val="0"/>
                <w:color w:val="000000"/>
                <w:sz w:val="18"/>
                <w:szCs w:val="18"/>
                <w:u w:val="none"/>
                <w:lang w:val="en-US" w:eastAsia="zh-CN"/>
              </w:rPr>
              <w:t>安全“全域全年”稳定。</w:t>
            </w:r>
          </w:p>
        </w:tc>
      </w:tr>
      <w:tr w14:paraId="0E7E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2D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2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1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5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B9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5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D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E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1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92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C782">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9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E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D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7D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9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A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BE6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91428">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5762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B55A">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0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C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2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08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4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2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6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8FB1">
            <w:pPr>
              <w:rPr>
                <w:rFonts w:hint="eastAsia" w:ascii="黑体" w:hAnsi="黑体" w:eastAsia="黑体" w:cs="黑体"/>
                <w:i/>
                <w:iCs/>
                <w:color w:val="000000"/>
                <w:sz w:val="18"/>
                <w:szCs w:val="18"/>
                <w:u w:val="none"/>
              </w:rPr>
            </w:pPr>
          </w:p>
        </w:tc>
      </w:tr>
      <w:tr w14:paraId="2E1E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2F35">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5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5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0A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8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2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9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8F3AE">
            <w:pPr>
              <w:rPr>
                <w:rFonts w:hint="eastAsia" w:ascii="黑体" w:hAnsi="黑体" w:eastAsia="黑体" w:cs="黑体"/>
                <w:i/>
                <w:iCs/>
                <w:color w:val="000000"/>
                <w:sz w:val="18"/>
                <w:szCs w:val="18"/>
                <w:u w:val="none"/>
              </w:rPr>
            </w:pPr>
          </w:p>
        </w:tc>
      </w:tr>
      <w:tr w14:paraId="41AD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2F2AE">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A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C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B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BA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5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B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0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4551C">
            <w:pPr>
              <w:rPr>
                <w:rFonts w:hint="eastAsia" w:ascii="黑体" w:hAnsi="黑体" w:eastAsia="黑体" w:cs="黑体"/>
                <w:i/>
                <w:iCs/>
                <w:color w:val="000000"/>
                <w:sz w:val="18"/>
                <w:szCs w:val="18"/>
                <w:u w:val="none"/>
              </w:rPr>
            </w:pPr>
          </w:p>
        </w:tc>
      </w:tr>
      <w:tr w14:paraId="240B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6296">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B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2444">
            <w:pPr>
              <w:jc w:val="center"/>
              <w:rPr>
                <w:rFonts w:hint="eastAsia" w:ascii="微软雅黑" w:hAnsi="微软雅黑" w:eastAsia="微软雅黑" w:cs="微软雅黑"/>
                <w:i/>
                <w:iCs/>
                <w:color w:val="000000"/>
                <w:sz w:val="16"/>
                <w:szCs w:val="16"/>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BAB5">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8F950">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84C8">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1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E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A84B">
            <w:pPr>
              <w:rPr>
                <w:rFonts w:hint="eastAsia" w:ascii="黑体" w:hAnsi="黑体" w:eastAsia="黑体" w:cs="黑体"/>
                <w:i/>
                <w:iCs/>
                <w:color w:val="000000"/>
                <w:sz w:val="18"/>
                <w:szCs w:val="18"/>
                <w:u w:val="none"/>
              </w:rPr>
            </w:pPr>
          </w:p>
        </w:tc>
      </w:tr>
      <w:tr w14:paraId="1510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8D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3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B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0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F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1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2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1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E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F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4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DA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3491">
            <w:pPr>
              <w:jc w:val="center"/>
              <w:rPr>
                <w:rFonts w:hint="eastAsia" w:ascii="宋体" w:hAnsi="宋体" w:eastAsia="宋体" w:cs="宋体"/>
                <w:i w:val="0"/>
                <w:iCs w:val="0"/>
                <w:color w:val="000000"/>
                <w:sz w:val="18"/>
                <w:szCs w:val="18"/>
                <w:u w:val="none"/>
              </w:rPr>
            </w:pP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83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6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3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每月开展食品药品安全检查次数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C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0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6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F1F5">
            <w:pPr>
              <w:jc w:val="center"/>
              <w:rPr>
                <w:rFonts w:hint="default" w:ascii="微软雅黑" w:hAnsi="微软雅黑" w:eastAsia="微软雅黑" w:cs="微软雅黑"/>
                <w:i/>
                <w:iCs/>
                <w:color w:val="000000"/>
                <w:sz w:val="16"/>
                <w:szCs w:val="16"/>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50次/月</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C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129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B025">
            <w:pPr>
              <w:jc w:val="center"/>
              <w:rPr>
                <w:rFonts w:hint="eastAsia" w:ascii="微软雅黑" w:hAnsi="微软雅黑" w:eastAsia="微软雅黑" w:cs="微软雅黑"/>
                <w:i/>
                <w:iCs/>
                <w:color w:val="000000"/>
                <w:sz w:val="16"/>
                <w:szCs w:val="16"/>
                <w:u w:val="none"/>
              </w:rPr>
            </w:pPr>
          </w:p>
        </w:tc>
      </w:tr>
      <w:tr w14:paraId="4E5C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0E27">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978C">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2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2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药店安全检查覆盖率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E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A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3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CEF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2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DE3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F72D">
            <w:pPr>
              <w:jc w:val="center"/>
              <w:rPr>
                <w:rFonts w:hint="eastAsia" w:ascii="微软雅黑" w:hAnsi="微软雅黑" w:eastAsia="微软雅黑" w:cs="微软雅黑"/>
                <w:i/>
                <w:iCs/>
                <w:color w:val="000000"/>
                <w:sz w:val="16"/>
                <w:szCs w:val="16"/>
                <w:u w:val="none"/>
              </w:rPr>
            </w:pPr>
          </w:p>
        </w:tc>
      </w:tr>
      <w:tr w14:paraId="6FA6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33E15">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45ED">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5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B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开展食品药品检查月数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1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1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A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E9F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12个月</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7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8C4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7F0D">
            <w:pPr>
              <w:jc w:val="center"/>
              <w:rPr>
                <w:rFonts w:hint="eastAsia" w:ascii="微软雅黑" w:hAnsi="微软雅黑" w:eastAsia="微软雅黑" w:cs="微软雅黑"/>
                <w:i/>
                <w:iCs/>
                <w:color w:val="000000"/>
                <w:sz w:val="16"/>
                <w:szCs w:val="16"/>
                <w:u w:val="none"/>
              </w:rPr>
            </w:pPr>
          </w:p>
        </w:tc>
      </w:tr>
      <w:tr w14:paraId="1F5D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D2B8">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E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A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A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营商环境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3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D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不断优化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7528">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CF75">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不断优化</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F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8B2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7717">
            <w:pPr>
              <w:jc w:val="center"/>
              <w:rPr>
                <w:rFonts w:hint="eastAsia" w:ascii="微软雅黑" w:hAnsi="微软雅黑" w:eastAsia="微软雅黑" w:cs="微软雅黑"/>
                <w:i/>
                <w:iCs/>
                <w:color w:val="000000"/>
                <w:sz w:val="16"/>
                <w:szCs w:val="16"/>
                <w:u w:val="none"/>
              </w:rPr>
            </w:pPr>
          </w:p>
        </w:tc>
      </w:tr>
      <w:tr w14:paraId="60F2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6718">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3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0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F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6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5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B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A2E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B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16A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8772">
            <w:pPr>
              <w:jc w:val="center"/>
              <w:rPr>
                <w:rFonts w:hint="eastAsia" w:ascii="微软雅黑" w:hAnsi="微软雅黑" w:eastAsia="微软雅黑" w:cs="微软雅黑"/>
                <w:i/>
                <w:iCs/>
                <w:color w:val="000000"/>
                <w:sz w:val="16"/>
                <w:szCs w:val="16"/>
                <w:u w:val="none"/>
              </w:rPr>
            </w:pPr>
          </w:p>
        </w:tc>
      </w:tr>
      <w:tr w14:paraId="36CB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9D07">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3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6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8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每次开展食品药品宣传、资料等费用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F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5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1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1FE1">
            <w:pPr>
              <w:jc w:val="center"/>
              <w:rPr>
                <w:rFonts w:hint="default" w:ascii="微软雅黑" w:hAnsi="微软雅黑" w:eastAsia="微软雅黑" w:cs="微软雅黑"/>
                <w:i/>
                <w:iCs/>
                <w:color w:val="000000"/>
                <w:sz w:val="16"/>
                <w:szCs w:val="16"/>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1万元/次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C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1AB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64B8">
            <w:pPr>
              <w:jc w:val="center"/>
              <w:rPr>
                <w:rFonts w:hint="eastAsia" w:ascii="微软雅黑" w:hAnsi="微软雅黑" w:eastAsia="微软雅黑" w:cs="微软雅黑"/>
                <w:i/>
                <w:iCs/>
                <w:color w:val="000000"/>
                <w:sz w:val="16"/>
                <w:szCs w:val="16"/>
                <w:u w:val="none"/>
              </w:rPr>
            </w:pPr>
          </w:p>
        </w:tc>
      </w:tr>
      <w:tr w14:paraId="120B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3FA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D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2EF3">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B103">
            <w:pPr>
              <w:rPr>
                <w:rFonts w:hint="eastAsia" w:ascii="宋体" w:hAnsi="宋体" w:eastAsia="宋体" w:cs="宋体"/>
                <w:i w:val="0"/>
                <w:iCs w:val="0"/>
                <w:color w:val="000000"/>
                <w:sz w:val="18"/>
                <w:szCs w:val="18"/>
                <w:u w:val="none"/>
              </w:rPr>
            </w:pPr>
          </w:p>
        </w:tc>
      </w:tr>
      <w:tr w14:paraId="2695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1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313C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严格执行项目资金的使用，对预算执行进度和绩效目标实现程度实行双监控，自评得分100分。</w:t>
            </w:r>
          </w:p>
        </w:tc>
      </w:tr>
      <w:tr w14:paraId="0913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D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BF0B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14:paraId="5282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9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5559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bl>
    <w:p w14:paraId="3B11E161">
      <w:pPr>
        <w:pStyle w:val="24"/>
        <w:ind w:left="0" w:leftChars="0" w:firstLine="0" w:firstLineChars="0"/>
        <w:rPr>
          <w:rFonts w:hint="default" w:ascii="Times New Roman" w:hAnsi="Times New Roman" w:eastAsia="仿宋_GB2312" w:cs="Times New Roman"/>
          <w:color w:val="auto"/>
          <w:sz w:val="32"/>
          <w:szCs w:val="32"/>
          <w:lang w:val="en-US" w:eastAsia="zh-CN"/>
        </w:rPr>
      </w:pPr>
    </w:p>
    <w:p w14:paraId="628BA24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B7AA5A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BC7C6B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小标宋简体" w:hAnsi="宋体" w:eastAsia="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部门预算项目支出绩效自评报告</w:t>
      </w:r>
    </w:p>
    <w:p w14:paraId="5F79028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宋体" w:eastAsia="方正小标宋简体"/>
          <w:sz w:val="44"/>
          <w:szCs w:val="44"/>
        </w:rPr>
      </w:pPr>
      <w:r>
        <w:rPr>
          <w:rFonts w:hint="eastAsia" w:ascii="方正小标宋简体" w:hAnsi="方正小标宋简体" w:eastAsia="方正小标宋简体" w:cs="方正小标宋简体"/>
          <w:sz w:val="44"/>
          <w:szCs w:val="44"/>
          <w:lang w:val="en-US" w:eastAsia="zh-CN"/>
        </w:rPr>
        <w:t>（特种设备安全监察）</w:t>
      </w:r>
    </w:p>
    <w:p w14:paraId="7234278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宋体" w:eastAsia="方正小标宋简体"/>
          <w:sz w:val="20"/>
          <w:szCs w:val="20"/>
        </w:rPr>
      </w:pPr>
    </w:p>
    <w:p w14:paraId="1422787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lang w:val="en-US" w:eastAsia="zh-CN"/>
        </w:rPr>
        <w:t>基本情况</w:t>
      </w:r>
    </w:p>
    <w:p w14:paraId="39238865">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eastAsia" w:ascii="Times New Roman" w:hAnsi="Times New Roman" w:eastAsia="楷体_GB2312" w:cs="Times New Roman"/>
          <w:b w:val="0"/>
          <w:bCs w:val="0"/>
          <w:color w:val="000000"/>
          <w:sz w:val="32"/>
          <w:szCs w:val="32"/>
        </w:rPr>
      </w:pPr>
      <w:r>
        <w:rPr>
          <w:rFonts w:hint="eastAsia" w:ascii="Times New Roman" w:hAnsi="Times New Roman" w:eastAsia="楷体_GB2312" w:cs="Times New Roman"/>
          <w:b w:val="0"/>
          <w:bCs w:val="0"/>
          <w:color w:val="000000"/>
          <w:sz w:val="32"/>
          <w:szCs w:val="32"/>
          <w:lang w:val="en-US" w:eastAsia="zh-CN"/>
        </w:rPr>
        <w:t>（一）</w:t>
      </w:r>
      <w:r>
        <w:rPr>
          <w:rFonts w:hint="eastAsia" w:ascii="Times New Roman" w:hAnsi="Times New Roman" w:eastAsia="楷体_GB2312" w:cs="Times New Roman"/>
          <w:b w:val="0"/>
          <w:bCs w:val="0"/>
          <w:color w:val="000000"/>
          <w:sz w:val="32"/>
          <w:szCs w:val="32"/>
        </w:rPr>
        <w:t>项目概况</w:t>
      </w:r>
    </w:p>
    <w:p w14:paraId="1D8D3CD0">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综合管理特种设备安全监察、监督工作，监督检查高耗能特种设备节能标准和锅炉产品环境保护标准的执行情况，根据《特种设备安全法》第十七条的规定，对我区电梯购买特种设备安全责任保险，防止安全事故发生，保护住户和乘客安全，保障人身和财产安全，对特种设备使用单位进行监督检查及培训宣传等。</w:t>
      </w:r>
    </w:p>
    <w:p w14:paraId="5AB02B7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楷体_GB2312" w:cs="Times New Roman"/>
          <w:b w:val="0"/>
          <w:bCs w:val="0"/>
          <w:color w:val="000000"/>
          <w:sz w:val="32"/>
          <w:szCs w:val="32"/>
        </w:rPr>
      </w:pPr>
      <w:r>
        <w:rPr>
          <w:rFonts w:hint="eastAsia" w:ascii="Times New Roman" w:hAnsi="Times New Roman" w:eastAsia="楷体_GB2312" w:cs="Times New Roman"/>
          <w:b w:val="0"/>
          <w:bCs w:val="0"/>
          <w:color w:val="000000"/>
          <w:sz w:val="32"/>
          <w:szCs w:val="32"/>
          <w:lang w:eastAsia="zh-CN"/>
        </w:rPr>
        <w:t>（</w:t>
      </w:r>
      <w:r>
        <w:rPr>
          <w:rFonts w:hint="eastAsia" w:ascii="Times New Roman" w:hAnsi="Times New Roman" w:eastAsia="楷体_GB2312" w:cs="Times New Roman"/>
          <w:b w:val="0"/>
          <w:bCs w:val="0"/>
          <w:color w:val="000000"/>
          <w:sz w:val="32"/>
          <w:szCs w:val="32"/>
          <w:lang w:val="en-US" w:eastAsia="zh-CN"/>
        </w:rPr>
        <w:t>二</w:t>
      </w:r>
      <w:r>
        <w:rPr>
          <w:rFonts w:hint="eastAsia" w:ascii="Times New Roman" w:hAnsi="Times New Roman" w:eastAsia="楷体_GB2312" w:cs="Times New Roman"/>
          <w:b w:val="0"/>
          <w:bCs w:val="0"/>
          <w:color w:val="000000"/>
          <w:sz w:val="32"/>
          <w:szCs w:val="32"/>
          <w:lang w:eastAsia="zh-CN"/>
        </w:rPr>
        <w:t>）</w:t>
      </w:r>
      <w:r>
        <w:rPr>
          <w:rFonts w:hint="eastAsia" w:ascii="Times New Roman" w:hAnsi="Times New Roman" w:eastAsia="楷体_GB2312" w:cs="Times New Roman"/>
          <w:b w:val="0"/>
          <w:bCs w:val="0"/>
          <w:color w:val="000000"/>
          <w:sz w:val="32"/>
          <w:szCs w:val="32"/>
        </w:rPr>
        <w:t>项目实施情况</w:t>
      </w:r>
    </w:p>
    <w:p w14:paraId="130AAAF5">
      <w:pPr>
        <w:keepNext w:val="0"/>
        <w:keepLines w:val="0"/>
        <w:pageBreakBefore w:val="0"/>
        <w:widowControl w:val="0"/>
        <w:numPr>
          <w:ilvl w:val="0"/>
          <w:numId w:val="0"/>
        </w:numPr>
        <w:tabs>
          <w:tab w:val="left" w:pos="3885"/>
        </w:tabs>
        <w:kinsoku/>
        <w:wordWrap/>
        <w:overflowPunct/>
        <w:topLinePunct w:val="0"/>
        <w:bidi w:val="0"/>
        <w:snapToGrid w:val="0"/>
        <w:spacing w:line="540" w:lineRule="exact"/>
        <w:ind w:firstLine="640" w:firstLineChars="200"/>
        <w:jc w:val="left"/>
        <w:textAlignment w:val="auto"/>
        <w:rPr>
          <w:rFonts w:hint="default" w:ascii="Times New Roman" w:hAnsi="Times New Roman" w:eastAsia="仿宋_GB2312" w:cs="Times New Roman"/>
          <w:szCs w:val="21"/>
          <w:lang w:eastAsia="zh-CN"/>
        </w:rPr>
      </w:pPr>
      <w:r>
        <w:rPr>
          <w:rFonts w:hint="default" w:ascii="仿宋" w:hAnsi="仿宋" w:eastAsia="仿宋" w:cs="仿宋"/>
          <w:color w:val="auto"/>
          <w:kern w:val="2"/>
          <w:sz w:val="32"/>
          <w:szCs w:val="32"/>
          <w:lang w:val="en-US" w:eastAsia="zh-CN" w:bidi="ar-SA"/>
        </w:rPr>
        <w:t>一是对辖区内的特种设备进行</w:t>
      </w:r>
      <w:r>
        <w:rPr>
          <w:rFonts w:hint="eastAsia" w:ascii="仿宋" w:hAnsi="仿宋" w:eastAsia="仿宋" w:cs="仿宋"/>
          <w:color w:val="auto"/>
          <w:kern w:val="2"/>
          <w:sz w:val="32"/>
          <w:szCs w:val="32"/>
          <w:lang w:val="en-US" w:eastAsia="zh-CN" w:bidi="ar-SA"/>
        </w:rPr>
        <w:t>监督</w:t>
      </w:r>
      <w:r>
        <w:rPr>
          <w:rFonts w:hint="default" w:ascii="仿宋" w:hAnsi="仿宋" w:eastAsia="仿宋" w:cs="仿宋"/>
          <w:color w:val="auto"/>
          <w:kern w:val="2"/>
          <w:sz w:val="32"/>
          <w:szCs w:val="32"/>
          <w:lang w:val="en-US" w:eastAsia="zh-CN" w:bidi="ar-SA"/>
        </w:rPr>
        <w:t>检查；二是安全宣传；三是</w:t>
      </w:r>
      <w:r>
        <w:rPr>
          <w:rFonts w:hint="eastAsia" w:ascii="仿宋" w:hAnsi="仿宋" w:eastAsia="仿宋" w:cs="仿宋"/>
          <w:color w:val="auto"/>
          <w:kern w:val="2"/>
          <w:sz w:val="32"/>
          <w:szCs w:val="32"/>
          <w:lang w:val="en-US" w:eastAsia="zh-CN" w:bidi="ar-SA"/>
        </w:rPr>
        <w:t>购买</w:t>
      </w:r>
      <w:r>
        <w:rPr>
          <w:rFonts w:hint="default" w:ascii="仿宋" w:hAnsi="仿宋" w:eastAsia="仿宋" w:cs="仿宋"/>
          <w:color w:val="auto"/>
          <w:kern w:val="2"/>
          <w:sz w:val="32"/>
          <w:szCs w:val="32"/>
          <w:lang w:val="en-US" w:eastAsia="zh-CN" w:bidi="ar-SA"/>
        </w:rPr>
        <w:t>特种设备安全责任保险</w:t>
      </w:r>
      <w:r>
        <w:rPr>
          <w:rFonts w:hint="eastAsia" w:ascii="仿宋" w:hAnsi="仿宋" w:eastAsia="仿宋" w:cs="仿宋"/>
          <w:color w:val="auto"/>
          <w:kern w:val="2"/>
          <w:sz w:val="32"/>
          <w:szCs w:val="32"/>
          <w:lang w:val="en-US" w:eastAsia="zh-CN" w:bidi="ar-SA"/>
        </w:rPr>
        <w:t>。</w:t>
      </w:r>
    </w:p>
    <w:p w14:paraId="20EDD529">
      <w:pPr>
        <w:keepNext w:val="0"/>
        <w:keepLines w:val="0"/>
        <w:pageBreakBefore w:val="0"/>
        <w:widowControl w:val="0"/>
        <w:numPr>
          <w:ilvl w:val="0"/>
          <w:numId w:val="0"/>
        </w:numPr>
        <w:tabs>
          <w:tab w:val="left" w:pos="3885"/>
        </w:tabs>
        <w:kinsoku/>
        <w:wordWrap/>
        <w:overflowPunct/>
        <w:topLinePunct w:val="0"/>
        <w:bidi w:val="0"/>
        <w:snapToGrid w:val="0"/>
        <w:spacing w:line="540" w:lineRule="exact"/>
        <w:ind w:firstLine="640" w:firstLineChars="200"/>
        <w:jc w:val="left"/>
        <w:textAlignment w:val="auto"/>
        <w:rPr>
          <w:rFonts w:hint="eastAsia" w:ascii="楷体_GB2312" w:hAnsi="楷体_GB2312" w:eastAsia="楷体_GB2312" w:cs="楷体_GB2312"/>
          <w:b w:val="0"/>
          <w:bCs w:val="0"/>
          <w:szCs w:val="21"/>
        </w:rPr>
      </w:pPr>
      <w:r>
        <w:rPr>
          <w:rFonts w:hint="eastAsia" w:ascii="Times New Roman" w:hAnsi="Times New Roman" w:eastAsia="楷体_GB2312" w:cs="Times New Roman"/>
          <w:b w:val="0"/>
          <w:bCs w:val="0"/>
          <w:color w:val="000000"/>
          <w:sz w:val="32"/>
          <w:szCs w:val="32"/>
          <w:lang w:eastAsia="zh-CN"/>
        </w:rPr>
        <w:t>（</w:t>
      </w:r>
      <w:r>
        <w:rPr>
          <w:rFonts w:hint="eastAsia" w:ascii="Times New Roman" w:hAnsi="Times New Roman" w:eastAsia="楷体_GB2312" w:cs="Times New Roman"/>
          <w:b w:val="0"/>
          <w:bCs w:val="0"/>
          <w:color w:val="000000"/>
          <w:sz w:val="32"/>
          <w:szCs w:val="32"/>
          <w:lang w:val="en-US" w:eastAsia="zh-CN"/>
        </w:rPr>
        <w:t>三</w:t>
      </w:r>
      <w:r>
        <w:rPr>
          <w:rFonts w:hint="eastAsia" w:ascii="Times New Roman" w:hAnsi="Times New Roman" w:eastAsia="楷体_GB2312" w:cs="Times New Roman"/>
          <w:b w:val="0"/>
          <w:bCs w:val="0"/>
          <w:color w:val="000000"/>
          <w:sz w:val="32"/>
          <w:szCs w:val="32"/>
          <w:lang w:eastAsia="zh-CN"/>
        </w:rPr>
        <w:t>）</w:t>
      </w:r>
      <w:r>
        <w:rPr>
          <w:rFonts w:hint="eastAsia" w:ascii="Times New Roman" w:hAnsi="Times New Roman" w:eastAsia="楷体_GB2312" w:cs="Times New Roman"/>
          <w:b w:val="0"/>
          <w:bCs w:val="0"/>
          <w:color w:val="000000"/>
          <w:sz w:val="32"/>
          <w:szCs w:val="32"/>
        </w:rPr>
        <w:t>资金投入使用情况</w:t>
      </w:r>
    </w:p>
    <w:p w14:paraId="728E5A0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000000"/>
          <w:sz w:val="32"/>
          <w:szCs w:val="32"/>
          <w:lang w:eastAsia="zh-CN"/>
        </w:rPr>
      </w:pPr>
      <w:r>
        <w:rPr>
          <w:rFonts w:hint="default" w:ascii="仿宋" w:hAnsi="仿宋" w:eastAsia="仿宋" w:cs="仿宋"/>
          <w:color w:val="auto"/>
          <w:kern w:val="2"/>
          <w:sz w:val="32"/>
          <w:szCs w:val="32"/>
          <w:lang w:val="en-US" w:eastAsia="zh-CN" w:bidi="ar-SA"/>
        </w:rPr>
        <w:t>202</w:t>
      </w: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年</w:t>
      </w:r>
      <w:r>
        <w:rPr>
          <w:rFonts w:hint="eastAsia" w:ascii="仿宋" w:hAnsi="仿宋" w:eastAsia="仿宋" w:cs="仿宋"/>
          <w:color w:val="auto"/>
          <w:kern w:val="2"/>
          <w:sz w:val="32"/>
          <w:szCs w:val="32"/>
          <w:lang w:val="en-US" w:eastAsia="zh-CN" w:bidi="ar-SA"/>
        </w:rPr>
        <w:t>度</w:t>
      </w:r>
      <w:r>
        <w:rPr>
          <w:rFonts w:hint="default" w:ascii="仿宋" w:hAnsi="仿宋" w:eastAsia="仿宋" w:cs="仿宋"/>
          <w:color w:val="auto"/>
          <w:kern w:val="2"/>
          <w:sz w:val="32"/>
          <w:szCs w:val="32"/>
          <w:lang w:val="en-US" w:eastAsia="zh-CN" w:bidi="ar-SA"/>
        </w:rPr>
        <w:t>特种设备</w:t>
      </w:r>
      <w:r>
        <w:rPr>
          <w:rFonts w:hint="eastAsia" w:ascii="仿宋" w:hAnsi="仿宋" w:eastAsia="仿宋" w:cs="仿宋"/>
          <w:color w:val="auto"/>
          <w:kern w:val="2"/>
          <w:sz w:val="32"/>
          <w:szCs w:val="32"/>
          <w:lang w:val="en-US" w:eastAsia="zh-CN" w:bidi="ar-SA"/>
        </w:rPr>
        <w:t>安全监察</w:t>
      </w:r>
      <w:r>
        <w:rPr>
          <w:rFonts w:hint="default" w:ascii="仿宋" w:hAnsi="仿宋" w:eastAsia="仿宋" w:cs="仿宋"/>
          <w:color w:val="auto"/>
          <w:kern w:val="2"/>
          <w:sz w:val="32"/>
          <w:szCs w:val="32"/>
          <w:lang w:val="en-US" w:eastAsia="zh-CN" w:bidi="ar-SA"/>
        </w:rPr>
        <w:t>经费预算为</w:t>
      </w:r>
      <w:r>
        <w:rPr>
          <w:rFonts w:hint="eastAsia" w:ascii="仿宋" w:hAnsi="仿宋" w:eastAsia="仿宋" w:cs="仿宋"/>
          <w:color w:val="auto"/>
          <w:kern w:val="2"/>
          <w:sz w:val="32"/>
          <w:szCs w:val="32"/>
          <w:lang w:val="en-US" w:eastAsia="zh-CN" w:bidi="ar-SA"/>
        </w:rPr>
        <w:t>5</w:t>
      </w:r>
      <w:r>
        <w:rPr>
          <w:rFonts w:hint="default" w:ascii="仿宋" w:hAnsi="仿宋" w:eastAsia="仿宋" w:cs="仿宋"/>
          <w:color w:val="auto"/>
          <w:kern w:val="2"/>
          <w:sz w:val="32"/>
          <w:szCs w:val="32"/>
          <w:lang w:val="en-US" w:eastAsia="zh-CN" w:bidi="ar-SA"/>
        </w:rPr>
        <w:t>万元，执行金额为</w:t>
      </w:r>
      <w:r>
        <w:rPr>
          <w:rFonts w:hint="eastAsia" w:ascii="仿宋" w:hAnsi="仿宋" w:eastAsia="仿宋" w:cs="仿宋"/>
          <w:color w:val="auto"/>
          <w:kern w:val="2"/>
          <w:sz w:val="32"/>
          <w:szCs w:val="32"/>
          <w:lang w:val="en-US" w:eastAsia="zh-CN" w:bidi="ar-SA"/>
        </w:rPr>
        <w:t>5</w:t>
      </w:r>
      <w:r>
        <w:rPr>
          <w:rFonts w:hint="default" w:ascii="仿宋" w:hAnsi="仿宋" w:eastAsia="仿宋" w:cs="仿宋"/>
          <w:color w:val="auto"/>
          <w:kern w:val="2"/>
          <w:sz w:val="32"/>
          <w:szCs w:val="32"/>
          <w:lang w:val="en-US" w:eastAsia="zh-CN" w:bidi="ar-SA"/>
        </w:rPr>
        <w:t>万元，执行率为</w:t>
      </w:r>
      <w:r>
        <w:rPr>
          <w:rFonts w:hint="eastAsia" w:ascii="仿宋" w:hAnsi="仿宋" w:eastAsia="仿宋" w:cs="仿宋"/>
          <w:color w:val="auto"/>
          <w:kern w:val="2"/>
          <w:sz w:val="32"/>
          <w:szCs w:val="32"/>
          <w:lang w:val="en-US" w:eastAsia="zh-CN" w:bidi="ar-SA"/>
        </w:rPr>
        <w:t>100</w:t>
      </w:r>
      <w:r>
        <w:rPr>
          <w:rFonts w:hint="default" w:ascii="仿宋" w:hAnsi="仿宋" w:eastAsia="仿宋" w:cs="仿宋"/>
          <w:color w:val="auto"/>
          <w:kern w:val="2"/>
          <w:sz w:val="32"/>
          <w:szCs w:val="32"/>
          <w:lang w:val="en-US" w:eastAsia="zh-CN" w:bidi="ar-SA"/>
        </w:rPr>
        <w:t>%。</w:t>
      </w:r>
    </w:p>
    <w:p w14:paraId="5F8D7B0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楷体_GB2312" w:cs="Times New Roman"/>
          <w:b w:val="0"/>
          <w:bCs w:val="0"/>
          <w:color w:val="000000"/>
          <w:sz w:val="32"/>
          <w:szCs w:val="32"/>
        </w:rPr>
      </w:pPr>
      <w:r>
        <w:rPr>
          <w:rFonts w:hint="eastAsia" w:ascii="Times New Roman" w:hAnsi="Times New Roman" w:eastAsia="楷体_GB2312" w:cs="Times New Roman"/>
          <w:b w:val="0"/>
          <w:bCs w:val="0"/>
          <w:color w:val="000000"/>
          <w:sz w:val="32"/>
          <w:szCs w:val="32"/>
          <w:lang w:eastAsia="zh-CN"/>
        </w:rPr>
        <w:t>（</w:t>
      </w:r>
      <w:r>
        <w:rPr>
          <w:rFonts w:hint="eastAsia" w:ascii="Times New Roman" w:hAnsi="Times New Roman" w:eastAsia="楷体_GB2312" w:cs="Times New Roman"/>
          <w:b w:val="0"/>
          <w:bCs w:val="0"/>
          <w:color w:val="000000"/>
          <w:sz w:val="32"/>
          <w:szCs w:val="32"/>
          <w:lang w:val="en-US" w:eastAsia="zh-CN"/>
        </w:rPr>
        <w:t>四</w:t>
      </w:r>
      <w:r>
        <w:rPr>
          <w:rFonts w:hint="eastAsia" w:ascii="Times New Roman" w:hAnsi="Times New Roman" w:eastAsia="楷体_GB2312" w:cs="Times New Roman"/>
          <w:b w:val="0"/>
          <w:bCs w:val="0"/>
          <w:color w:val="000000"/>
          <w:sz w:val="32"/>
          <w:szCs w:val="32"/>
          <w:lang w:eastAsia="zh-CN"/>
        </w:rPr>
        <w:t>）</w:t>
      </w:r>
      <w:r>
        <w:rPr>
          <w:rFonts w:hint="eastAsia" w:ascii="Times New Roman" w:hAnsi="Times New Roman" w:eastAsia="楷体_GB2312" w:cs="Times New Roman"/>
          <w:b w:val="0"/>
          <w:bCs w:val="0"/>
          <w:color w:val="000000"/>
          <w:sz w:val="32"/>
          <w:szCs w:val="32"/>
        </w:rPr>
        <w:t>项目绩效目标</w:t>
      </w:r>
    </w:p>
    <w:p w14:paraId="57BF95AD">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按照“安全第一、预防为主、节能环保、综合治理”的原则，坚持安全发展理念，持续加强特种设备安全隐患的排查治理工作，确保检查计划的使用单位100%检查到位，严厉打击非法违法行为，以使用环节为重点，始终保持特种设备安全高压态势，发现一起违法行为，打击一起，依法落实和强化生产、经营、使用单位的主体责任，健全特种设备安全保障体系，构建安全监管长效机制，专项预算资金合理合法使用原则，做到按时完成任务。</w:t>
      </w:r>
    </w:p>
    <w:p w14:paraId="6590B78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二、评价工作开展情况</w:t>
      </w:r>
    </w:p>
    <w:p w14:paraId="5E0A276B">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我局</w:t>
      </w:r>
      <w:r>
        <w:rPr>
          <w:rFonts w:hint="default" w:ascii="仿宋" w:hAnsi="仿宋" w:eastAsia="仿宋" w:cs="仿宋"/>
          <w:color w:val="auto"/>
          <w:kern w:val="2"/>
          <w:sz w:val="32"/>
          <w:szCs w:val="32"/>
          <w:lang w:val="en-US" w:eastAsia="zh-CN" w:bidi="ar-SA"/>
        </w:rPr>
        <w:t>组织相关人员于202</w:t>
      </w: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年12月底，对202</w:t>
      </w: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年</w:t>
      </w:r>
      <w:r>
        <w:rPr>
          <w:rFonts w:hint="eastAsia" w:ascii="仿宋" w:hAnsi="仿宋" w:eastAsia="仿宋" w:cs="仿宋"/>
          <w:color w:val="auto"/>
          <w:kern w:val="2"/>
          <w:sz w:val="32"/>
          <w:szCs w:val="32"/>
          <w:lang w:val="en-US" w:eastAsia="zh-CN" w:bidi="ar-SA"/>
        </w:rPr>
        <w:t>度特种设备监察经费</w:t>
      </w:r>
      <w:r>
        <w:rPr>
          <w:rFonts w:hint="default" w:ascii="仿宋" w:hAnsi="仿宋" w:eastAsia="仿宋" w:cs="仿宋"/>
          <w:color w:val="auto"/>
          <w:kern w:val="2"/>
          <w:sz w:val="32"/>
          <w:szCs w:val="32"/>
          <w:lang w:val="en-US" w:eastAsia="zh-CN" w:bidi="ar-SA"/>
        </w:rPr>
        <w:t>等项目</w:t>
      </w:r>
      <w:r>
        <w:rPr>
          <w:rFonts w:hint="eastAsia" w:ascii="仿宋" w:hAnsi="仿宋" w:eastAsia="仿宋" w:cs="仿宋"/>
          <w:color w:val="auto"/>
          <w:kern w:val="2"/>
          <w:sz w:val="32"/>
          <w:szCs w:val="32"/>
          <w:lang w:val="en-US" w:eastAsia="zh-CN" w:bidi="ar-SA"/>
        </w:rPr>
        <w:t>支出</w:t>
      </w:r>
      <w:r>
        <w:rPr>
          <w:rFonts w:hint="default" w:ascii="仿宋" w:hAnsi="仿宋" w:eastAsia="仿宋" w:cs="仿宋"/>
          <w:color w:val="auto"/>
          <w:kern w:val="2"/>
          <w:sz w:val="32"/>
          <w:szCs w:val="32"/>
          <w:lang w:val="en-US" w:eastAsia="zh-CN" w:bidi="ar-SA"/>
        </w:rPr>
        <w:t>进行绩效自评。根据相关政策制度，成立了绩效评价工作小组，负责组织、协调项目的绩效评价工作。采用实地抽查等形式，收集相关信息资料，对各项指标进行逐项逐条审核，对重点事项进行核实，按照科学规范、公开公正、分级分类、绩效相关原则，采用评分法、分级评分法、缺（错）项扣分法、比率分值法等方法</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在对取得的资料进行分析整理的基础上形成绩效自评报告。</w:t>
      </w:r>
    </w:p>
    <w:p w14:paraId="267F2B3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三、综合评价结论（附评分表）</w:t>
      </w:r>
    </w:p>
    <w:p w14:paraId="2307909A">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经过一年的项目实施，根据该项目绩效评价指标体系和绩效检查情况，该项目支出绩效</w:t>
      </w:r>
      <w:r>
        <w:rPr>
          <w:rFonts w:hint="eastAsia" w:ascii="仿宋" w:hAnsi="仿宋" w:eastAsia="仿宋" w:cs="仿宋"/>
          <w:color w:val="auto"/>
          <w:kern w:val="2"/>
          <w:sz w:val="32"/>
          <w:szCs w:val="32"/>
          <w:lang w:val="en-US" w:eastAsia="zh-CN" w:bidi="ar-SA"/>
        </w:rPr>
        <w:t>自</w:t>
      </w:r>
      <w:r>
        <w:rPr>
          <w:rFonts w:hint="default" w:ascii="仿宋" w:hAnsi="仿宋" w:eastAsia="仿宋" w:cs="仿宋"/>
          <w:color w:val="auto"/>
          <w:kern w:val="2"/>
          <w:sz w:val="32"/>
          <w:szCs w:val="32"/>
          <w:lang w:val="en-US" w:eastAsia="zh-CN" w:bidi="ar-SA"/>
        </w:rPr>
        <w:t>评得分</w:t>
      </w:r>
      <w:r>
        <w:rPr>
          <w:rFonts w:hint="eastAsia" w:ascii="仿宋" w:hAnsi="仿宋" w:eastAsia="仿宋" w:cs="仿宋"/>
          <w:color w:val="auto"/>
          <w:kern w:val="2"/>
          <w:sz w:val="32"/>
          <w:szCs w:val="32"/>
          <w:lang w:val="en-US" w:eastAsia="zh-CN" w:bidi="ar-SA"/>
        </w:rPr>
        <w:t>100</w:t>
      </w:r>
      <w:r>
        <w:rPr>
          <w:rFonts w:hint="default" w:ascii="仿宋" w:hAnsi="仿宋" w:eastAsia="仿宋" w:cs="仿宋"/>
          <w:color w:val="auto"/>
          <w:kern w:val="2"/>
          <w:sz w:val="32"/>
          <w:szCs w:val="32"/>
          <w:lang w:val="en-US" w:eastAsia="zh-CN" w:bidi="ar-SA"/>
        </w:rPr>
        <w:t>分。</w:t>
      </w:r>
    </w:p>
    <w:p w14:paraId="481CD00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四、绩效评价分析</w:t>
      </w:r>
    </w:p>
    <w:p w14:paraId="115FAFB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（一）项目决策情况</w:t>
      </w:r>
    </w:p>
    <w:p w14:paraId="279E8F32">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1.根据时间节点开展特种设备安全知识宣传。</w:t>
      </w:r>
    </w:p>
    <w:p w14:paraId="4E357B40">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2.集中时间开展特种设备安全检查专项行动。</w:t>
      </w:r>
    </w:p>
    <w:p w14:paraId="610B98C6">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3.及时购买电梯责任保险。</w:t>
      </w:r>
    </w:p>
    <w:p w14:paraId="5FAA1AE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（二）项目管理情况</w:t>
      </w:r>
    </w:p>
    <w:p w14:paraId="0EAB2C82">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项目支出严格按照财务管理制度、内</w:t>
      </w:r>
      <w:r>
        <w:rPr>
          <w:rFonts w:hint="eastAsia" w:ascii="仿宋" w:hAnsi="仿宋" w:eastAsia="仿宋" w:cs="仿宋"/>
          <w:color w:val="auto"/>
          <w:kern w:val="2"/>
          <w:sz w:val="32"/>
          <w:szCs w:val="32"/>
          <w:lang w:val="en-US" w:eastAsia="zh-CN" w:bidi="ar-SA"/>
        </w:rPr>
        <w:t>控</w:t>
      </w:r>
      <w:r>
        <w:rPr>
          <w:rFonts w:hint="default" w:ascii="仿宋" w:hAnsi="仿宋" w:eastAsia="仿宋" w:cs="仿宋"/>
          <w:color w:val="auto"/>
          <w:kern w:val="2"/>
          <w:sz w:val="32"/>
          <w:szCs w:val="32"/>
          <w:lang w:val="en-US" w:eastAsia="zh-CN" w:bidi="ar-SA"/>
        </w:rPr>
        <w:t>制度、报销程序进行审批支付，确保了财政资金专款专用，切实提高了资金使用效益。</w:t>
      </w:r>
    </w:p>
    <w:p w14:paraId="4D90271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楷体_GB2312" w:cs="Times New Roman"/>
          <w:b w:val="0"/>
          <w:bCs w:val="0"/>
          <w:color w:val="000000"/>
          <w:sz w:val="32"/>
          <w:szCs w:val="32"/>
          <w:lang w:eastAsia="zh-CN"/>
        </w:rPr>
      </w:pPr>
      <w:r>
        <w:rPr>
          <w:rFonts w:hint="default" w:ascii="Times New Roman" w:hAnsi="Times New Roman" w:eastAsia="楷体_GB2312" w:cs="Times New Roman"/>
          <w:b w:val="0"/>
          <w:bCs w:val="0"/>
          <w:color w:val="000000"/>
          <w:sz w:val="32"/>
          <w:szCs w:val="32"/>
        </w:rPr>
        <w:t>（三）项目产出情况</w:t>
      </w:r>
    </w:p>
    <w:p w14:paraId="2C27C0A2">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数量指标：每月开展风险隐患排查≥3次，宣传培训≥2次，宣传了特种设备相关法律法规和基本知识，共出动宣传人员100余人次，发放宣传资料500余份，张贴警示标志200余张，播放电梯安全教育视频300余次，对辖区内符合参保要求的401台电梯购买了责任保险，开展特种设备应急演练1次，完成了171家特种设备使用单位“两个责任”的信息注册及录入工作，</w:t>
      </w:r>
      <w:r>
        <w:rPr>
          <w:rFonts w:hint="default" w:ascii="仿宋" w:hAnsi="仿宋" w:eastAsia="仿宋" w:cs="仿宋"/>
          <w:color w:val="auto"/>
          <w:kern w:val="2"/>
          <w:sz w:val="32"/>
          <w:szCs w:val="32"/>
          <w:lang w:val="en-US" w:eastAsia="zh-CN" w:bidi="ar-SA"/>
        </w:rPr>
        <w:t>录入日管控2840条、周排查180条、月调度29条，提前完成市级部门下达的任务指标</w:t>
      </w:r>
    </w:p>
    <w:p w14:paraId="585AB4EE">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2.质量指标</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重点单位监督检查100%覆盖</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对隐患大排查出的问题处置率达100%，使我辖区的特种设备安全得到了提高</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特种设备安全知识宣传内容达98%以上，提高了我辖区公民对特种设备安全认识度</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民用非营运电梯保险覆盖率</w:t>
      </w:r>
      <w:r>
        <w:rPr>
          <w:rFonts w:hint="eastAsia" w:ascii="仿宋" w:hAnsi="仿宋" w:eastAsia="仿宋" w:cs="仿宋"/>
          <w:color w:val="auto"/>
          <w:kern w:val="2"/>
          <w:sz w:val="32"/>
          <w:szCs w:val="32"/>
          <w:lang w:val="en-US" w:eastAsia="zh-CN" w:bidi="ar-SA"/>
        </w:rPr>
        <w:t>100%。</w:t>
      </w:r>
    </w:p>
    <w:p w14:paraId="7EB4A062">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3.时效指标</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特种设备生产、使用单位负责人培训时间≥</w:t>
      </w:r>
      <w:r>
        <w:rPr>
          <w:rFonts w:hint="eastAsia" w:ascii="仿宋" w:hAnsi="仿宋" w:eastAsia="仿宋" w:cs="仿宋"/>
          <w:color w:val="auto"/>
          <w:kern w:val="2"/>
          <w:sz w:val="32"/>
          <w:szCs w:val="32"/>
          <w:lang w:val="en-US" w:eastAsia="zh-CN" w:bidi="ar-SA"/>
        </w:rPr>
        <w:t>1小时</w:t>
      </w:r>
      <w:r>
        <w:rPr>
          <w:rFonts w:hint="default" w:ascii="仿宋" w:hAnsi="仿宋" w:eastAsia="仿宋" w:cs="仿宋"/>
          <w:color w:val="auto"/>
          <w:kern w:val="2"/>
          <w:sz w:val="32"/>
          <w:szCs w:val="32"/>
          <w:lang w:val="en-US" w:eastAsia="zh-CN" w:bidi="ar-SA"/>
        </w:rPr>
        <w:t>。</w:t>
      </w:r>
    </w:p>
    <w:p w14:paraId="2F8CA9EF">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4.成本指标：购买电梯责任保险80元/台,特种设备安全</w:t>
      </w:r>
      <w:r>
        <w:rPr>
          <w:rFonts w:hint="default" w:ascii="仿宋" w:hAnsi="仿宋" w:eastAsia="仿宋" w:cs="仿宋"/>
          <w:color w:val="auto"/>
          <w:kern w:val="2"/>
          <w:sz w:val="32"/>
          <w:szCs w:val="32"/>
          <w:lang w:val="en-US" w:eastAsia="zh-CN" w:bidi="ar-SA"/>
        </w:rPr>
        <w:t>隐患排查≤</w:t>
      </w:r>
      <w:r>
        <w:rPr>
          <w:rFonts w:hint="eastAsia" w:ascii="仿宋" w:hAnsi="仿宋" w:eastAsia="仿宋" w:cs="仿宋"/>
          <w:color w:val="auto"/>
          <w:kern w:val="2"/>
          <w:sz w:val="32"/>
          <w:szCs w:val="32"/>
          <w:lang w:val="en-US" w:eastAsia="zh-CN" w:bidi="ar-SA"/>
        </w:rPr>
        <w:t>100元/人次。</w:t>
      </w:r>
    </w:p>
    <w:p w14:paraId="1EA6724F">
      <w:pPr>
        <w:keepNext w:val="0"/>
        <w:keepLines w:val="0"/>
        <w:pageBreakBefore w:val="0"/>
        <w:widowControl w:val="0"/>
        <w:numPr>
          <w:ilvl w:val="0"/>
          <w:numId w:val="12"/>
        </w:numPr>
        <w:kinsoku/>
        <w:wordWrap/>
        <w:overflowPunct/>
        <w:topLinePunct w:val="0"/>
        <w:autoSpaceDE/>
        <w:autoSpaceDN/>
        <w:bidi w:val="0"/>
        <w:adjustRightInd/>
        <w:snapToGrid/>
        <w:spacing w:line="540" w:lineRule="exact"/>
        <w:ind w:left="0" w:firstLine="640"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项目效益情况</w:t>
      </w:r>
    </w:p>
    <w:p w14:paraId="3CB64BF1">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1.社会效益</w:t>
      </w:r>
      <w:r>
        <w:rPr>
          <w:rFonts w:hint="eastAsia" w:ascii="仿宋" w:hAnsi="仿宋" w:eastAsia="仿宋" w:cs="仿宋"/>
          <w:color w:val="auto"/>
          <w:kern w:val="2"/>
          <w:sz w:val="32"/>
          <w:szCs w:val="32"/>
          <w:lang w:val="en-US" w:eastAsia="zh-CN" w:bidi="ar-SA"/>
        </w:rPr>
        <w:t>：特种设备事故发生率0</w:t>
      </w:r>
      <w:r>
        <w:rPr>
          <w:rFonts w:hint="default" w:ascii="仿宋" w:hAnsi="仿宋" w:eastAsia="仿宋" w:cs="仿宋"/>
          <w:color w:val="auto"/>
          <w:kern w:val="2"/>
          <w:sz w:val="32"/>
          <w:szCs w:val="32"/>
          <w:lang w:val="en-US" w:eastAsia="zh-CN" w:bidi="ar-SA"/>
        </w:rPr>
        <w:t>，保障了群众的生命及财产安全。</w:t>
      </w:r>
    </w:p>
    <w:p w14:paraId="6A9D4DAE">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2.可持续影晌</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落实执法部门监管责任，进一步做好监管工作。</w:t>
      </w:r>
    </w:p>
    <w:p w14:paraId="6BCD9BA6">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3.社会公众或服务对象满意度</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群众</w:t>
      </w:r>
      <w:r>
        <w:rPr>
          <w:rFonts w:hint="eastAsia" w:ascii="仿宋" w:hAnsi="仿宋" w:eastAsia="仿宋" w:cs="仿宋"/>
          <w:color w:val="auto"/>
          <w:kern w:val="2"/>
          <w:sz w:val="32"/>
          <w:szCs w:val="32"/>
          <w:lang w:val="en-US" w:eastAsia="zh-CN" w:bidi="ar-SA"/>
        </w:rPr>
        <w:t>对电梯安全</w:t>
      </w:r>
      <w:r>
        <w:rPr>
          <w:rFonts w:hint="default" w:ascii="仿宋" w:hAnsi="仿宋" w:eastAsia="仿宋" w:cs="仿宋"/>
          <w:color w:val="auto"/>
          <w:kern w:val="2"/>
          <w:sz w:val="32"/>
          <w:szCs w:val="32"/>
          <w:lang w:val="en-US" w:eastAsia="zh-CN" w:bidi="ar-SA"/>
        </w:rPr>
        <w:t>满意度达90%</w:t>
      </w:r>
      <w:r>
        <w:rPr>
          <w:rFonts w:hint="eastAsia" w:ascii="仿宋" w:hAnsi="仿宋" w:eastAsia="仿宋" w:cs="仿宋"/>
          <w:color w:val="auto"/>
          <w:kern w:val="2"/>
          <w:sz w:val="32"/>
          <w:szCs w:val="32"/>
          <w:lang w:val="en-US" w:eastAsia="zh-CN" w:bidi="ar-SA"/>
        </w:rPr>
        <w:t>。</w:t>
      </w:r>
    </w:p>
    <w:p w14:paraId="51D41FE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存在主要问题</w:t>
      </w:r>
    </w:p>
    <w:p w14:paraId="5E8EDD25">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无</w:t>
      </w:r>
    </w:p>
    <w:p w14:paraId="04FC229D">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六、</w:t>
      </w:r>
      <w:r>
        <w:rPr>
          <w:rFonts w:hint="default" w:ascii="Times New Roman" w:hAnsi="Times New Roman" w:eastAsia="黑体" w:cs="Times New Roman"/>
          <w:color w:val="000000"/>
          <w:sz w:val="32"/>
          <w:szCs w:val="32"/>
        </w:rPr>
        <w:t>相关措施建议</w:t>
      </w:r>
    </w:p>
    <w:p w14:paraId="0F6EA6E7">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无</w:t>
      </w:r>
    </w:p>
    <w:p w14:paraId="0379397F">
      <w:pPr>
        <w:pStyle w:val="25"/>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附件：部门预算项目支出绩效自评表（2023年度）</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012"/>
        <w:gridCol w:w="975"/>
        <w:gridCol w:w="1834"/>
        <w:gridCol w:w="636"/>
        <w:gridCol w:w="476"/>
        <w:gridCol w:w="20"/>
        <w:gridCol w:w="890"/>
        <w:gridCol w:w="841"/>
        <w:gridCol w:w="596"/>
        <w:gridCol w:w="497"/>
        <w:gridCol w:w="739"/>
      </w:tblGrid>
      <w:tr w14:paraId="4667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BA933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部门预算项目支出绩效自评表（2023年度）</w:t>
            </w:r>
          </w:p>
        </w:tc>
      </w:tr>
      <w:tr w14:paraId="2AC9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A33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项目名称</w:t>
            </w:r>
          </w:p>
        </w:tc>
        <w:tc>
          <w:tcPr>
            <w:tcW w:w="40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46C7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51090423T000008158894-2023年特种设备安全监察</w:t>
            </w:r>
          </w:p>
        </w:tc>
      </w:tr>
      <w:tr w14:paraId="4B99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15D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主管部门</w:t>
            </w:r>
          </w:p>
        </w:tc>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7A1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遂宁市安居区市场监督管理局部门</w:t>
            </w:r>
          </w:p>
        </w:tc>
        <w:tc>
          <w:tcPr>
            <w:tcW w:w="494" w:type="pct"/>
            <w:gridSpan w:val="2"/>
            <w:tcBorders>
              <w:top w:val="nil"/>
              <w:left w:val="nil"/>
              <w:bottom w:val="nil"/>
              <w:right w:val="nil"/>
            </w:tcBorders>
            <w:shd w:val="clear" w:color="auto" w:fill="auto"/>
            <w:vAlign w:val="center"/>
          </w:tcPr>
          <w:p w14:paraId="62F94D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实施单位 （盖章）</w:t>
            </w:r>
          </w:p>
        </w:tc>
        <w:tc>
          <w:tcPr>
            <w:tcW w:w="1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4E1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遂宁市安居区市场监督管理局</w:t>
            </w:r>
          </w:p>
        </w:tc>
      </w:tr>
      <w:tr w14:paraId="3A63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5E0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项目基本情况</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154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1.项目年度目标完成情况</w:t>
            </w:r>
          </w:p>
        </w:tc>
        <w:tc>
          <w:tcPr>
            <w:tcW w:w="26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5297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项目年度目标</w:t>
            </w:r>
          </w:p>
        </w:tc>
        <w:tc>
          <w:tcPr>
            <w:tcW w:w="1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0D8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年度目标完成情况</w:t>
            </w:r>
          </w:p>
        </w:tc>
      </w:tr>
      <w:tr w14:paraId="4DDB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14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58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26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F0E5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根据《中华人民共和国特种设备安全法》《四川省电梯安全管理办法》中共遂宁市委目标绩效管理办办公室关于印发《2020年遂宁质量工作考核办法》通知的相关要求，为进一步加强全区电梯安全管理，提高电梯使用单位、维保单位抵御事故风险和事故善后处理能力，发挥保险的社会救助和辅助管理作用，服务民生，组织购买电梯责任保险。开展安全培训，着力解决责任主体安全意识不强，安全管理水平低和监管力量薄弱、监管业务水平差等问题。对辖区特种设备基本情况进行全面检查，进一步排查和整治风险隐患，确保特种设备安全。</w:t>
            </w:r>
          </w:p>
        </w:tc>
        <w:tc>
          <w:tcPr>
            <w:tcW w:w="1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4F0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全覆盖检查辖区内特种设备安全，完成为全区电梯购买保险，切实维护好人民的生命财产安全。</w:t>
            </w:r>
          </w:p>
        </w:tc>
      </w:tr>
      <w:tr w14:paraId="7E18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2D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48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2.项目实施内容及过程概述</w:t>
            </w:r>
          </w:p>
        </w:tc>
        <w:tc>
          <w:tcPr>
            <w:tcW w:w="40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4552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进一步加强全区电梯安全管理，提高电梯使用单位、维保单位抵御事故风险和事故善后处理能力，发挥保险的社会救助和辅助管理作用，服务民生，组织购买电梯责任保险。开展安全培训，着力解决责任主体安全意识不强，安全管理水平低和监管力量薄弱、监管业务水平差等问题。对辖区特种设备基本情况进行全面检查，进一步排查和整治风险隐患，确保特种设备安全。</w:t>
            </w:r>
          </w:p>
        </w:tc>
      </w:tr>
      <w:tr w14:paraId="1F2B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82C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预算执行情况（10分）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F9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年度预算数（万元）</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75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年初预算</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48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调整后预算数</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F55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B9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预算执行率</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E4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8D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得分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0D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原因</w:t>
            </w:r>
          </w:p>
        </w:tc>
      </w:tr>
      <w:tr w14:paraId="7782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55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79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总额</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0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5.00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D6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5.00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1BE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5.00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0A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16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FE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CE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7776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3E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87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其中：财政资金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DE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5.00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EE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5.00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8DB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5.00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97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36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81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8EF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5115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34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C0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财政专户管理资金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E1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EE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0.00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1DAF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07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51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C1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733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4A81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85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0D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单位资金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47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52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0.00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A55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6E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6A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EE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925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255A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5E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6E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其他资金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5F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2E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76C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5A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52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4C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18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1D5C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E0C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绩效指标（90分）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48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一级指标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23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二级指标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42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三级指标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4F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指标性质</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F5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指标值</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D7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00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完成值</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1B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9B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得分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C5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未完成原因分析</w:t>
            </w:r>
          </w:p>
        </w:tc>
      </w:tr>
      <w:tr w14:paraId="5468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D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35E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产出指标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0C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数量指标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6C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风险隐患排查</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96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2D5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7F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次</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ED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≥1次/月</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AB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82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42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5C9B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5D0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04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10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质量指标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92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购买电梯责任保险，民用非营运电梯保险覆盖率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9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505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75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80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23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44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F0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D1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743D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B0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82F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D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时效指标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9C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特种设备生产、使用单位负责人培训时间</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2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44F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25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小时</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89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≥1小时</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56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3D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C7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4692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69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E8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效益指标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08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社会效益指标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7B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特种设备事故发生率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74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691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30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A5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5F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C9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61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461C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08B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A5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满意度指标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7B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满意度指标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55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群众对电梯安全满意度</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10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B94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80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51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31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85%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4B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4F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97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0E4F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76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25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成本指标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8B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经济成本指标</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DC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电梯责任保险</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20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8A7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140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D3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元/台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6E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80元/台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6E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8A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C6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22E9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0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3618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合计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A1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5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E4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14:paraId="34DA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7B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评价结论</w:t>
            </w:r>
          </w:p>
        </w:tc>
        <w:tc>
          <w:tcPr>
            <w:tcW w:w="462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5A6E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严格执行项目资金的使用，对预算执行进度和绩效目标实现程度实行双监控，自评得分100分。</w:t>
            </w:r>
          </w:p>
        </w:tc>
      </w:tr>
      <w:tr w14:paraId="2D3A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9F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存在问题</w:t>
            </w:r>
          </w:p>
        </w:tc>
        <w:tc>
          <w:tcPr>
            <w:tcW w:w="462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194F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无</w:t>
            </w:r>
          </w:p>
        </w:tc>
      </w:tr>
      <w:tr w14:paraId="799B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72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改进措施</w:t>
            </w:r>
          </w:p>
        </w:tc>
        <w:tc>
          <w:tcPr>
            <w:tcW w:w="462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0513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无</w:t>
            </w:r>
          </w:p>
        </w:tc>
      </w:tr>
    </w:tbl>
    <w:p w14:paraId="7FC7716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小标宋简体" w:hAnsi="宋体" w:eastAsia="方正小标宋简体" w:cs="Times New Roman"/>
          <w:sz w:val="44"/>
          <w:szCs w:val="44"/>
          <w:highlight w:val="none"/>
          <w:lang w:val="en-US" w:eastAsia="zh-CN"/>
        </w:rPr>
      </w:pPr>
      <w:r>
        <w:rPr>
          <w:rFonts w:hint="eastAsia" w:ascii="方正小标宋简体" w:hAnsi="方正小标宋简体" w:eastAsia="方正小标宋简体" w:cs="方正小标宋简体"/>
          <w:sz w:val="44"/>
          <w:szCs w:val="44"/>
          <w:lang w:val="en-US" w:eastAsia="zh-CN"/>
        </w:rPr>
        <w:t>部门预算项目支出绩效自评报告</w:t>
      </w:r>
    </w:p>
    <w:p w14:paraId="1F18EDC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Times New Roman"/>
          <w:kern w:val="2"/>
          <w:sz w:val="32"/>
          <w:szCs w:val="24"/>
          <w:lang w:val="en-US" w:eastAsia="zh-CN" w:bidi="ar-SA"/>
        </w:rPr>
      </w:pPr>
      <w:r>
        <w:rPr>
          <w:rFonts w:hint="eastAsia" w:ascii="方正小标宋简体" w:hAnsi="宋体" w:eastAsia="方正小标宋简体" w:cs="Times New Roman"/>
          <w:sz w:val="44"/>
          <w:szCs w:val="44"/>
          <w:highlight w:val="none"/>
          <w:lang w:val="en-US" w:eastAsia="zh-CN"/>
        </w:rPr>
        <w:t>（执法办案</w:t>
      </w:r>
      <w:r>
        <w:rPr>
          <w:rFonts w:hint="eastAsia" w:ascii="方正小标宋简体" w:hAnsi="宋体" w:eastAsia="方正小标宋简体" w:cs="Times New Roman"/>
          <w:sz w:val="44"/>
          <w:szCs w:val="44"/>
          <w:highlight w:val="none"/>
          <w:lang w:eastAsia="zh-CN"/>
        </w:rPr>
        <w:t>）</w:t>
      </w:r>
    </w:p>
    <w:p w14:paraId="41EDABC8">
      <w:pPr>
        <w:keepNext w:val="0"/>
        <w:keepLines w:val="0"/>
        <w:pageBreakBefore w:val="0"/>
        <w:widowControl w:val="0"/>
        <w:numPr>
          <w:ilvl w:val="0"/>
          <w:numId w:val="13"/>
        </w:numPr>
        <w:tabs>
          <w:tab w:val="left" w:pos="3885"/>
        </w:tabs>
        <w:kinsoku/>
        <w:wordWrap/>
        <w:overflowPunct/>
        <w:topLinePunct w:val="0"/>
        <w:bidi w:val="0"/>
        <w:snapToGrid w:val="0"/>
        <w:spacing w:line="540" w:lineRule="exact"/>
        <w:ind w:firstLine="640" w:firstLineChars="200"/>
        <w:jc w:val="left"/>
        <w:textAlignment w:val="auto"/>
        <w:rPr>
          <w:rFonts w:hint="default" w:ascii="Times New Roman" w:hAnsi="Times New Roman" w:eastAsia="黑体" w:cs="Times New Roman"/>
          <w:sz w:val="32"/>
          <w:szCs w:val="21"/>
          <w:highlight w:val="none"/>
        </w:rPr>
      </w:pPr>
      <w:r>
        <w:rPr>
          <w:rFonts w:hint="default" w:ascii="Times New Roman" w:hAnsi="Times New Roman" w:eastAsia="黑体" w:cs="Times New Roman"/>
          <w:sz w:val="32"/>
          <w:szCs w:val="21"/>
          <w:highlight w:val="none"/>
        </w:rPr>
        <w:t>基本情况</w:t>
      </w:r>
    </w:p>
    <w:p w14:paraId="47E8E35F">
      <w:pPr>
        <w:keepNext w:val="0"/>
        <w:keepLines w:val="0"/>
        <w:pageBreakBefore w:val="0"/>
        <w:widowControl w:val="0"/>
        <w:tabs>
          <w:tab w:val="left" w:pos="3885"/>
        </w:tabs>
        <w:kinsoku/>
        <w:wordWrap/>
        <w:overflowPunct/>
        <w:topLinePunct w:val="0"/>
        <w:bidi w:val="0"/>
        <w:snapToGrid w:val="0"/>
        <w:spacing w:line="540" w:lineRule="exact"/>
        <w:ind w:firstLine="640" w:firstLineChars="200"/>
        <w:jc w:val="left"/>
        <w:textAlignment w:val="auto"/>
        <w:rPr>
          <w:rFonts w:hint="eastAsia" w:ascii="楷体_GB2312" w:hAnsi="楷体_GB2312" w:eastAsia="楷体_GB2312" w:cs="楷体_GB2312"/>
          <w:b w:val="0"/>
          <w:bCs w:val="0"/>
          <w:sz w:val="32"/>
          <w:szCs w:val="21"/>
          <w:highlight w:val="none"/>
        </w:rPr>
      </w:pPr>
      <w:r>
        <w:rPr>
          <w:rFonts w:hint="eastAsia" w:ascii="楷体_GB2312" w:hAnsi="楷体_GB2312" w:eastAsia="楷体_GB2312" w:cs="楷体_GB2312"/>
          <w:b w:val="0"/>
          <w:bCs w:val="0"/>
          <w:sz w:val="32"/>
          <w:szCs w:val="21"/>
          <w:highlight w:val="none"/>
          <w:lang w:val="en-US" w:eastAsia="zh-CN"/>
        </w:rPr>
        <w:t>（一）</w:t>
      </w:r>
      <w:r>
        <w:rPr>
          <w:rFonts w:hint="eastAsia" w:ascii="楷体_GB2312" w:hAnsi="楷体_GB2312" w:eastAsia="楷体_GB2312" w:cs="楷体_GB2312"/>
          <w:b w:val="0"/>
          <w:bCs w:val="0"/>
          <w:sz w:val="32"/>
          <w:szCs w:val="21"/>
          <w:highlight w:val="none"/>
        </w:rPr>
        <w:t>项目概况</w:t>
      </w:r>
    </w:p>
    <w:p w14:paraId="237ABBA1">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 w:hAnsi="仿宋" w:eastAsia="仿宋" w:cs="仿宋"/>
          <w:b w:val="0"/>
          <w:bCs w:val="0"/>
          <w:kern w:val="2"/>
          <w:sz w:val="32"/>
          <w:szCs w:val="32"/>
          <w:highlight w:val="none"/>
          <w:lang w:val="en-US" w:eastAsia="zh-CN" w:bidi="ar-SA"/>
        </w:rPr>
        <w:t>2023年度我局围绕全年工作目标，在“大市场、大监管、大服务”的新格局下，开拓创新，理清思路，夯实基础，完善机制，踏实肯干，不断提高行政执法和监管水平，积极开展各类专项整治，大力整顿和规范市场秩序，保障了群众饮食用药安全，营造了舒适放心的消费环境。</w:t>
      </w:r>
    </w:p>
    <w:p w14:paraId="7540BBB3">
      <w:pPr>
        <w:keepNext w:val="0"/>
        <w:keepLines w:val="0"/>
        <w:pageBreakBefore w:val="0"/>
        <w:widowControl w:val="0"/>
        <w:numPr>
          <w:ilvl w:val="0"/>
          <w:numId w:val="14"/>
        </w:numPr>
        <w:tabs>
          <w:tab w:val="left" w:pos="3885"/>
        </w:tabs>
        <w:kinsoku/>
        <w:wordWrap/>
        <w:overflowPunct/>
        <w:topLinePunct w:val="0"/>
        <w:bidi w:val="0"/>
        <w:snapToGrid w:val="0"/>
        <w:spacing w:line="540" w:lineRule="exact"/>
        <w:ind w:firstLine="640" w:firstLineChars="200"/>
        <w:jc w:val="left"/>
        <w:textAlignment w:val="auto"/>
        <w:rPr>
          <w:rFonts w:hint="eastAsia" w:ascii="楷体_GB2312" w:hAnsi="楷体_GB2312" w:eastAsia="楷体_GB2312" w:cs="楷体_GB2312"/>
          <w:b w:val="0"/>
          <w:bCs w:val="0"/>
          <w:sz w:val="32"/>
          <w:szCs w:val="21"/>
          <w:highlight w:val="none"/>
        </w:rPr>
      </w:pPr>
      <w:r>
        <w:rPr>
          <w:rFonts w:hint="eastAsia" w:ascii="楷体_GB2312" w:hAnsi="楷体_GB2312" w:eastAsia="楷体_GB2312" w:cs="楷体_GB2312"/>
          <w:b w:val="0"/>
          <w:bCs w:val="0"/>
          <w:sz w:val="32"/>
          <w:szCs w:val="21"/>
          <w:highlight w:val="none"/>
        </w:rPr>
        <w:t>项目实施情况</w:t>
      </w:r>
    </w:p>
    <w:p w14:paraId="2011FD0E">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根据市局安排及区委区府要求，我单位积极开展“春雷行动2023”“铁拳”行动2023、长江禁捕打非断链专项行动、制止餐饮浪费、涉疫药品和医疗用品稳价保质等专项执法行动等，严厉打击各种违法违规行为，保障人民群众食药安全。承办全局综合性监管执法工作、案件移送、案件协查工作；牵头组织协调全局工商、食药、质量和物价违法案件查办工作，承办全局范围内重大案件；指导、督办各市场监管所查处交办案件；负责协作宣传国家法律、法规，推进依法行政建设、执法人员法律法规培训；负责汇总、统计、分析上级交办受理情况；负责开展执法案件信息公示、报送工作；负责全局罚没物资处置销毁工作；统筹全局执法装备维护更换。</w:t>
      </w:r>
    </w:p>
    <w:p w14:paraId="416FB16F">
      <w:pPr>
        <w:keepNext w:val="0"/>
        <w:keepLines w:val="0"/>
        <w:pageBreakBefore w:val="0"/>
        <w:widowControl w:val="0"/>
        <w:numPr>
          <w:ilvl w:val="0"/>
          <w:numId w:val="14"/>
        </w:numPr>
        <w:tabs>
          <w:tab w:val="left" w:pos="3885"/>
        </w:tabs>
        <w:kinsoku/>
        <w:wordWrap/>
        <w:overflowPunct/>
        <w:topLinePunct w:val="0"/>
        <w:bidi w:val="0"/>
        <w:snapToGrid w:val="0"/>
        <w:spacing w:line="540" w:lineRule="exact"/>
        <w:ind w:firstLine="640" w:firstLineChars="200"/>
        <w:jc w:val="left"/>
        <w:textAlignment w:val="auto"/>
        <w:rPr>
          <w:rFonts w:hint="eastAsia" w:ascii="楷体_GB2312" w:hAnsi="楷体_GB2312" w:eastAsia="楷体_GB2312" w:cs="楷体_GB2312"/>
          <w:b w:val="0"/>
          <w:bCs w:val="0"/>
          <w:sz w:val="32"/>
          <w:szCs w:val="21"/>
          <w:highlight w:val="none"/>
        </w:rPr>
      </w:pPr>
      <w:r>
        <w:rPr>
          <w:rFonts w:hint="eastAsia" w:ascii="楷体_GB2312" w:hAnsi="楷体_GB2312" w:eastAsia="楷体_GB2312" w:cs="楷体_GB2312"/>
          <w:b w:val="0"/>
          <w:bCs w:val="0"/>
          <w:sz w:val="32"/>
          <w:szCs w:val="21"/>
          <w:highlight w:val="none"/>
        </w:rPr>
        <w:t>资金投入使用情况</w:t>
      </w:r>
    </w:p>
    <w:p w14:paraId="4518B091">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default" w:ascii="仿宋" w:hAnsi="仿宋" w:eastAsia="仿宋" w:cs="仿宋"/>
          <w:b w:val="0"/>
          <w:bCs w:val="0"/>
          <w:kern w:val="2"/>
          <w:sz w:val="32"/>
          <w:szCs w:val="32"/>
          <w:highlight w:val="none"/>
          <w:lang w:val="en-US" w:eastAsia="zh-CN" w:bidi="ar-SA"/>
        </w:rPr>
        <w:t>202</w:t>
      </w:r>
      <w:r>
        <w:rPr>
          <w:rFonts w:hint="eastAsia" w:ascii="仿宋" w:hAnsi="仿宋" w:eastAsia="仿宋" w:cs="仿宋"/>
          <w:b w:val="0"/>
          <w:bCs w:val="0"/>
          <w:kern w:val="2"/>
          <w:sz w:val="32"/>
          <w:szCs w:val="32"/>
          <w:highlight w:val="none"/>
          <w:lang w:val="en-US" w:eastAsia="zh-CN" w:bidi="ar-SA"/>
        </w:rPr>
        <w:t>3</w:t>
      </w:r>
      <w:r>
        <w:rPr>
          <w:rFonts w:hint="default" w:ascii="仿宋" w:hAnsi="仿宋" w:eastAsia="仿宋" w:cs="仿宋"/>
          <w:b w:val="0"/>
          <w:bCs w:val="0"/>
          <w:kern w:val="2"/>
          <w:sz w:val="32"/>
          <w:szCs w:val="32"/>
          <w:highlight w:val="none"/>
          <w:lang w:val="en-US" w:eastAsia="zh-CN" w:bidi="ar-SA"/>
        </w:rPr>
        <w:t>年</w:t>
      </w:r>
      <w:r>
        <w:rPr>
          <w:rFonts w:hint="eastAsia" w:ascii="仿宋" w:hAnsi="仿宋" w:eastAsia="仿宋" w:cs="仿宋"/>
          <w:b w:val="0"/>
          <w:bCs w:val="0"/>
          <w:kern w:val="2"/>
          <w:sz w:val="32"/>
          <w:szCs w:val="32"/>
          <w:highlight w:val="none"/>
          <w:lang w:val="en-US" w:eastAsia="zh-CN" w:bidi="ar-SA"/>
        </w:rPr>
        <w:t>度执法办案</w:t>
      </w:r>
      <w:r>
        <w:rPr>
          <w:rFonts w:hint="default" w:ascii="仿宋" w:hAnsi="仿宋" w:eastAsia="仿宋" w:cs="仿宋"/>
          <w:b w:val="0"/>
          <w:bCs w:val="0"/>
          <w:kern w:val="2"/>
          <w:sz w:val="32"/>
          <w:szCs w:val="32"/>
          <w:highlight w:val="none"/>
          <w:lang w:val="en-US" w:eastAsia="zh-CN" w:bidi="ar-SA"/>
        </w:rPr>
        <w:t>预算为</w:t>
      </w:r>
      <w:r>
        <w:rPr>
          <w:rFonts w:hint="eastAsia" w:ascii="仿宋" w:hAnsi="仿宋" w:eastAsia="仿宋" w:cs="仿宋"/>
          <w:b w:val="0"/>
          <w:bCs w:val="0"/>
          <w:kern w:val="2"/>
          <w:sz w:val="32"/>
          <w:szCs w:val="32"/>
          <w:highlight w:val="none"/>
          <w:lang w:val="en-US" w:eastAsia="zh-CN" w:bidi="ar-SA"/>
        </w:rPr>
        <w:t>40</w:t>
      </w:r>
      <w:r>
        <w:rPr>
          <w:rFonts w:hint="default" w:ascii="仿宋" w:hAnsi="仿宋" w:eastAsia="仿宋" w:cs="仿宋"/>
          <w:b w:val="0"/>
          <w:bCs w:val="0"/>
          <w:kern w:val="2"/>
          <w:sz w:val="32"/>
          <w:szCs w:val="32"/>
          <w:highlight w:val="none"/>
          <w:lang w:val="en-US" w:eastAsia="zh-CN" w:bidi="ar-SA"/>
        </w:rPr>
        <w:t>万元，</w:t>
      </w:r>
      <w:r>
        <w:rPr>
          <w:rFonts w:hint="eastAsia" w:ascii="仿宋" w:hAnsi="仿宋" w:eastAsia="仿宋" w:cs="仿宋"/>
          <w:b w:val="0"/>
          <w:bCs w:val="0"/>
          <w:kern w:val="2"/>
          <w:sz w:val="32"/>
          <w:szCs w:val="32"/>
          <w:highlight w:val="none"/>
          <w:lang w:val="en-US" w:eastAsia="zh-CN" w:bidi="ar-SA"/>
        </w:rPr>
        <w:t>指标追减0.01万元，</w:t>
      </w:r>
      <w:r>
        <w:rPr>
          <w:rFonts w:hint="default" w:ascii="仿宋" w:hAnsi="仿宋" w:eastAsia="仿宋" w:cs="仿宋"/>
          <w:b w:val="0"/>
          <w:bCs w:val="0"/>
          <w:kern w:val="2"/>
          <w:sz w:val="32"/>
          <w:szCs w:val="32"/>
          <w:highlight w:val="none"/>
          <w:lang w:val="en-US" w:eastAsia="zh-CN" w:bidi="ar-SA"/>
        </w:rPr>
        <w:t>执行金额为</w:t>
      </w:r>
      <w:r>
        <w:rPr>
          <w:rFonts w:hint="eastAsia" w:ascii="仿宋" w:hAnsi="仿宋" w:eastAsia="仿宋" w:cs="仿宋"/>
          <w:b w:val="0"/>
          <w:bCs w:val="0"/>
          <w:kern w:val="2"/>
          <w:sz w:val="32"/>
          <w:szCs w:val="32"/>
          <w:highlight w:val="none"/>
          <w:lang w:val="en-US" w:eastAsia="zh-CN" w:bidi="ar-SA"/>
        </w:rPr>
        <w:t>39.99</w:t>
      </w:r>
      <w:r>
        <w:rPr>
          <w:rFonts w:hint="default" w:ascii="仿宋" w:hAnsi="仿宋" w:eastAsia="仿宋" w:cs="仿宋"/>
          <w:b w:val="0"/>
          <w:bCs w:val="0"/>
          <w:kern w:val="2"/>
          <w:sz w:val="32"/>
          <w:szCs w:val="32"/>
          <w:highlight w:val="none"/>
          <w:lang w:val="en-US" w:eastAsia="zh-CN" w:bidi="ar-SA"/>
        </w:rPr>
        <w:t>万元，执行率为</w:t>
      </w:r>
      <w:r>
        <w:rPr>
          <w:rFonts w:hint="eastAsia" w:ascii="仿宋" w:hAnsi="仿宋" w:eastAsia="仿宋" w:cs="仿宋"/>
          <w:b w:val="0"/>
          <w:bCs w:val="0"/>
          <w:kern w:val="2"/>
          <w:sz w:val="32"/>
          <w:szCs w:val="32"/>
          <w:highlight w:val="none"/>
          <w:lang w:val="en-US" w:eastAsia="zh-CN" w:bidi="ar-SA"/>
        </w:rPr>
        <w:t>100</w:t>
      </w:r>
      <w:r>
        <w:rPr>
          <w:rFonts w:hint="default" w:ascii="仿宋" w:hAnsi="仿宋" w:eastAsia="仿宋" w:cs="仿宋"/>
          <w:b w:val="0"/>
          <w:bCs w:val="0"/>
          <w:kern w:val="2"/>
          <w:sz w:val="32"/>
          <w:szCs w:val="32"/>
          <w:highlight w:val="none"/>
          <w:lang w:val="en-US" w:eastAsia="zh-CN" w:bidi="ar-SA"/>
        </w:rPr>
        <w:t>%。</w:t>
      </w:r>
    </w:p>
    <w:p w14:paraId="58A411E8">
      <w:pPr>
        <w:keepNext w:val="0"/>
        <w:keepLines w:val="0"/>
        <w:pageBreakBefore w:val="0"/>
        <w:widowControl w:val="0"/>
        <w:numPr>
          <w:ilvl w:val="0"/>
          <w:numId w:val="14"/>
        </w:numPr>
        <w:tabs>
          <w:tab w:val="left" w:pos="3885"/>
        </w:tabs>
        <w:kinsoku/>
        <w:wordWrap/>
        <w:overflowPunct/>
        <w:topLinePunct w:val="0"/>
        <w:bidi w:val="0"/>
        <w:snapToGrid w:val="0"/>
        <w:spacing w:line="540" w:lineRule="exact"/>
        <w:ind w:left="0" w:leftChars="0" w:firstLine="640" w:firstLineChars="200"/>
        <w:jc w:val="left"/>
        <w:textAlignment w:val="auto"/>
        <w:rPr>
          <w:rFonts w:hint="eastAsia" w:ascii="楷体_GB2312" w:hAnsi="楷体_GB2312" w:eastAsia="楷体_GB2312" w:cs="楷体_GB2312"/>
          <w:b w:val="0"/>
          <w:bCs w:val="0"/>
          <w:sz w:val="32"/>
          <w:szCs w:val="21"/>
          <w:highlight w:val="none"/>
        </w:rPr>
      </w:pPr>
      <w:r>
        <w:rPr>
          <w:rFonts w:hint="eastAsia" w:ascii="楷体_GB2312" w:hAnsi="楷体_GB2312" w:eastAsia="楷体_GB2312" w:cs="楷体_GB2312"/>
          <w:b w:val="0"/>
          <w:bCs w:val="0"/>
          <w:sz w:val="32"/>
          <w:szCs w:val="21"/>
          <w:highlight w:val="none"/>
        </w:rPr>
        <w:t>项目绩效目标</w:t>
      </w:r>
    </w:p>
    <w:p w14:paraId="33AB2D21">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通过该项目的实施，一是积极开展执法业务培训，提高了基层监管所执法人员的执法能力。二是开展春雷行动专项整治、“铁拳”行动、制止餐饮浪费等各项专项整治工作，充分发挥了执法工作的“拳头”作用，严厉打击各种违法违规行为，有力震慑了不法分子，维护了市场正常秩序，确保广大人民群众饮食用药与消费安全。</w:t>
      </w:r>
    </w:p>
    <w:p w14:paraId="5D6534D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二、评价工作开展情况</w:t>
      </w:r>
    </w:p>
    <w:p w14:paraId="4DD9FA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我局</w:t>
      </w:r>
      <w:r>
        <w:rPr>
          <w:rFonts w:hint="default" w:ascii="仿宋" w:hAnsi="仿宋" w:eastAsia="仿宋" w:cs="仿宋"/>
          <w:b w:val="0"/>
          <w:bCs w:val="0"/>
          <w:kern w:val="2"/>
          <w:sz w:val="32"/>
          <w:szCs w:val="32"/>
          <w:highlight w:val="none"/>
          <w:lang w:val="en-US" w:eastAsia="zh-CN" w:bidi="ar-SA"/>
        </w:rPr>
        <w:t>组织相关人员于202</w:t>
      </w:r>
      <w:r>
        <w:rPr>
          <w:rFonts w:hint="eastAsia" w:ascii="仿宋" w:hAnsi="仿宋" w:eastAsia="仿宋" w:cs="仿宋"/>
          <w:b w:val="0"/>
          <w:bCs w:val="0"/>
          <w:kern w:val="2"/>
          <w:sz w:val="32"/>
          <w:szCs w:val="32"/>
          <w:highlight w:val="none"/>
          <w:lang w:val="en-US" w:eastAsia="zh-CN" w:bidi="ar-SA"/>
        </w:rPr>
        <w:t>3</w:t>
      </w:r>
      <w:r>
        <w:rPr>
          <w:rFonts w:hint="default" w:ascii="仿宋" w:hAnsi="仿宋" w:eastAsia="仿宋" w:cs="仿宋"/>
          <w:b w:val="0"/>
          <w:bCs w:val="0"/>
          <w:kern w:val="2"/>
          <w:sz w:val="32"/>
          <w:szCs w:val="32"/>
          <w:highlight w:val="none"/>
          <w:lang w:val="en-US" w:eastAsia="zh-CN" w:bidi="ar-SA"/>
        </w:rPr>
        <w:t>年12月底，对202</w:t>
      </w:r>
      <w:r>
        <w:rPr>
          <w:rFonts w:hint="eastAsia" w:ascii="仿宋" w:hAnsi="仿宋" w:eastAsia="仿宋" w:cs="仿宋"/>
          <w:b w:val="0"/>
          <w:bCs w:val="0"/>
          <w:kern w:val="2"/>
          <w:sz w:val="32"/>
          <w:szCs w:val="32"/>
          <w:highlight w:val="none"/>
          <w:lang w:val="en-US" w:eastAsia="zh-CN" w:bidi="ar-SA"/>
        </w:rPr>
        <w:t>3</w:t>
      </w:r>
      <w:r>
        <w:rPr>
          <w:rFonts w:hint="default" w:ascii="仿宋" w:hAnsi="仿宋" w:eastAsia="仿宋" w:cs="仿宋"/>
          <w:b w:val="0"/>
          <w:bCs w:val="0"/>
          <w:kern w:val="2"/>
          <w:sz w:val="32"/>
          <w:szCs w:val="32"/>
          <w:highlight w:val="none"/>
          <w:lang w:val="en-US" w:eastAsia="zh-CN" w:bidi="ar-SA"/>
        </w:rPr>
        <w:t>年</w:t>
      </w:r>
      <w:r>
        <w:rPr>
          <w:rFonts w:hint="eastAsia" w:ascii="仿宋" w:hAnsi="仿宋" w:eastAsia="仿宋" w:cs="仿宋"/>
          <w:b w:val="0"/>
          <w:bCs w:val="0"/>
          <w:kern w:val="2"/>
          <w:sz w:val="32"/>
          <w:szCs w:val="32"/>
          <w:highlight w:val="none"/>
          <w:lang w:val="en-US" w:eastAsia="zh-CN" w:bidi="ar-SA"/>
        </w:rPr>
        <w:t>度执法办案</w:t>
      </w:r>
      <w:r>
        <w:rPr>
          <w:rFonts w:hint="default" w:ascii="仿宋" w:hAnsi="仿宋" w:eastAsia="仿宋" w:cs="仿宋"/>
          <w:b w:val="0"/>
          <w:bCs w:val="0"/>
          <w:kern w:val="2"/>
          <w:sz w:val="32"/>
          <w:szCs w:val="32"/>
          <w:highlight w:val="none"/>
          <w:lang w:val="en-US" w:eastAsia="zh-CN" w:bidi="ar-SA"/>
        </w:rPr>
        <w:t>等项目</w:t>
      </w:r>
      <w:r>
        <w:rPr>
          <w:rFonts w:hint="eastAsia" w:ascii="仿宋" w:hAnsi="仿宋" w:eastAsia="仿宋" w:cs="仿宋"/>
          <w:b w:val="0"/>
          <w:bCs w:val="0"/>
          <w:kern w:val="2"/>
          <w:sz w:val="32"/>
          <w:szCs w:val="32"/>
          <w:highlight w:val="none"/>
          <w:lang w:val="en-US" w:eastAsia="zh-CN" w:bidi="ar-SA"/>
        </w:rPr>
        <w:t>支出</w:t>
      </w:r>
      <w:r>
        <w:rPr>
          <w:rFonts w:hint="default" w:ascii="仿宋" w:hAnsi="仿宋" w:eastAsia="仿宋" w:cs="仿宋"/>
          <w:b w:val="0"/>
          <w:bCs w:val="0"/>
          <w:kern w:val="2"/>
          <w:sz w:val="32"/>
          <w:szCs w:val="32"/>
          <w:highlight w:val="none"/>
          <w:lang w:val="en-US" w:eastAsia="zh-CN" w:bidi="ar-SA"/>
        </w:rPr>
        <w:t>进行绩效自评。根据相关政策制度，成立了绩效评价工作小组，负责组织、协调项目的绩效评价工作。采用实地抽查等形式，收集相关信息资料，对各项指标进行逐项逐条审核，对重点事项进行核实，按照科学规范、公开公正、分级分类、绩效相关原则，采用评分法、分级评分法、缺（错）项扣分法、比率分值法等方法</w:t>
      </w:r>
      <w:r>
        <w:rPr>
          <w:rFonts w:hint="eastAsia" w:ascii="仿宋" w:hAnsi="仿宋" w:eastAsia="仿宋" w:cs="仿宋"/>
          <w:b w:val="0"/>
          <w:bCs w:val="0"/>
          <w:kern w:val="2"/>
          <w:sz w:val="32"/>
          <w:szCs w:val="32"/>
          <w:highlight w:val="none"/>
          <w:lang w:val="en-US" w:eastAsia="zh-CN" w:bidi="ar-SA"/>
        </w:rPr>
        <w:t>，</w:t>
      </w:r>
      <w:r>
        <w:rPr>
          <w:rFonts w:hint="default" w:ascii="仿宋" w:hAnsi="仿宋" w:eastAsia="仿宋" w:cs="仿宋"/>
          <w:b w:val="0"/>
          <w:bCs w:val="0"/>
          <w:kern w:val="2"/>
          <w:sz w:val="32"/>
          <w:szCs w:val="32"/>
          <w:highlight w:val="none"/>
          <w:lang w:val="en-US" w:eastAsia="zh-CN" w:bidi="ar-SA"/>
        </w:rPr>
        <w:t>在对取得的资料进行分析整理的基础上形成绩效自评报告。</w:t>
      </w:r>
    </w:p>
    <w:p w14:paraId="514DB50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三、综合评价结论（附评分表）</w:t>
      </w:r>
    </w:p>
    <w:p w14:paraId="4F04E920">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default" w:ascii="仿宋" w:hAnsi="仿宋" w:eastAsia="仿宋" w:cs="仿宋"/>
          <w:b w:val="0"/>
          <w:bCs w:val="0"/>
          <w:kern w:val="2"/>
          <w:sz w:val="32"/>
          <w:szCs w:val="32"/>
          <w:highlight w:val="none"/>
          <w:lang w:val="en-US" w:eastAsia="zh-CN" w:bidi="ar-SA"/>
        </w:rPr>
        <w:t>经过一年的项目实施</w:t>
      </w:r>
      <w:r>
        <w:rPr>
          <w:rFonts w:hint="eastAsia" w:ascii="仿宋" w:hAnsi="仿宋" w:eastAsia="仿宋" w:cs="仿宋"/>
          <w:b w:val="0"/>
          <w:bCs w:val="0"/>
          <w:kern w:val="2"/>
          <w:sz w:val="32"/>
          <w:szCs w:val="32"/>
          <w:highlight w:val="none"/>
          <w:lang w:val="en-US" w:eastAsia="zh-CN" w:bidi="ar-SA"/>
        </w:rPr>
        <w:t>，</w:t>
      </w:r>
      <w:r>
        <w:rPr>
          <w:rFonts w:hint="default" w:ascii="仿宋" w:hAnsi="仿宋" w:eastAsia="仿宋" w:cs="仿宋"/>
          <w:b w:val="0"/>
          <w:bCs w:val="0"/>
          <w:kern w:val="2"/>
          <w:sz w:val="32"/>
          <w:szCs w:val="32"/>
          <w:highlight w:val="none"/>
          <w:lang w:val="en-US" w:eastAsia="zh-CN" w:bidi="ar-SA"/>
        </w:rPr>
        <w:t>该项目支出</w:t>
      </w:r>
      <w:r>
        <w:rPr>
          <w:rFonts w:hint="eastAsia" w:ascii="仿宋" w:hAnsi="仿宋" w:eastAsia="仿宋" w:cs="仿宋"/>
          <w:b w:val="0"/>
          <w:bCs w:val="0"/>
          <w:kern w:val="2"/>
          <w:sz w:val="32"/>
          <w:szCs w:val="32"/>
          <w:highlight w:val="none"/>
          <w:lang w:val="en-US" w:eastAsia="zh-CN" w:bidi="ar-SA"/>
        </w:rPr>
        <w:t>绩效</w:t>
      </w:r>
      <w:r>
        <w:rPr>
          <w:rFonts w:hint="default" w:ascii="仿宋" w:hAnsi="仿宋" w:eastAsia="仿宋" w:cs="仿宋"/>
          <w:b w:val="0"/>
          <w:bCs w:val="0"/>
          <w:kern w:val="2"/>
          <w:sz w:val="32"/>
          <w:szCs w:val="32"/>
          <w:highlight w:val="none"/>
          <w:lang w:val="en-US" w:eastAsia="zh-CN" w:bidi="ar-SA"/>
        </w:rPr>
        <w:t>自评得分</w:t>
      </w:r>
      <w:r>
        <w:rPr>
          <w:rFonts w:hint="eastAsia" w:ascii="仿宋" w:hAnsi="仿宋" w:eastAsia="仿宋" w:cs="仿宋"/>
          <w:b w:val="0"/>
          <w:bCs w:val="0"/>
          <w:kern w:val="2"/>
          <w:sz w:val="32"/>
          <w:szCs w:val="32"/>
          <w:highlight w:val="none"/>
          <w:lang w:val="en-US" w:eastAsia="zh-CN" w:bidi="ar-SA"/>
        </w:rPr>
        <w:t>100</w:t>
      </w:r>
      <w:r>
        <w:rPr>
          <w:rFonts w:hint="default" w:ascii="仿宋" w:hAnsi="仿宋" w:eastAsia="仿宋" w:cs="仿宋"/>
          <w:b w:val="0"/>
          <w:bCs w:val="0"/>
          <w:kern w:val="2"/>
          <w:sz w:val="32"/>
          <w:szCs w:val="32"/>
          <w:highlight w:val="none"/>
          <w:lang w:val="en-US" w:eastAsia="zh-CN" w:bidi="ar-SA"/>
        </w:rPr>
        <w:t>分。</w:t>
      </w:r>
    </w:p>
    <w:p w14:paraId="387F3FA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四、绩效评价分析</w:t>
      </w:r>
    </w:p>
    <w:p w14:paraId="49045CE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楷体_GB2312" w:cs="Times New Roman"/>
          <w:b w:val="0"/>
          <w:bCs w:val="0"/>
          <w:color w:val="000000"/>
          <w:sz w:val="32"/>
          <w:szCs w:val="32"/>
          <w:highlight w:val="none"/>
        </w:rPr>
      </w:pPr>
      <w:r>
        <w:rPr>
          <w:rFonts w:hint="default" w:ascii="Times New Roman" w:hAnsi="Times New Roman" w:eastAsia="楷体_GB2312" w:cs="Times New Roman"/>
          <w:b w:val="0"/>
          <w:bCs w:val="0"/>
          <w:color w:val="000000"/>
          <w:sz w:val="32"/>
          <w:szCs w:val="32"/>
          <w:highlight w:val="none"/>
        </w:rPr>
        <w:t>（一）项目决策情况</w:t>
      </w:r>
    </w:p>
    <w:p w14:paraId="2FB14059">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default" w:ascii="仿宋" w:hAnsi="仿宋" w:eastAsia="仿宋" w:cs="仿宋"/>
          <w:b w:val="0"/>
          <w:bCs w:val="0"/>
          <w:kern w:val="2"/>
          <w:sz w:val="32"/>
          <w:szCs w:val="32"/>
          <w:highlight w:val="none"/>
          <w:lang w:val="en-US" w:eastAsia="zh-CN" w:bidi="ar-SA"/>
        </w:rPr>
        <w:t>1.</w:t>
      </w:r>
      <w:r>
        <w:rPr>
          <w:rFonts w:hint="eastAsia" w:ascii="仿宋" w:hAnsi="仿宋" w:eastAsia="仿宋" w:cs="仿宋"/>
          <w:b w:val="0"/>
          <w:bCs w:val="0"/>
          <w:kern w:val="2"/>
          <w:sz w:val="32"/>
          <w:szCs w:val="32"/>
          <w:highlight w:val="none"/>
          <w:lang w:val="en-US" w:eastAsia="zh-CN" w:bidi="ar-SA"/>
        </w:rPr>
        <w:t>根据时间安排</w:t>
      </w:r>
      <w:r>
        <w:rPr>
          <w:rFonts w:hint="default" w:ascii="仿宋" w:hAnsi="仿宋" w:eastAsia="仿宋" w:cs="仿宋"/>
          <w:b w:val="0"/>
          <w:bCs w:val="0"/>
          <w:kern w:val="2"/>
          <w:sz w:val="32"/>
          <w:szCs w:val="32"/>
          <w:highlight w:val="none"/>
          <w:lang w:val="en-US" w:eastAsia="zh-CN" w:bidi="ar-SA"/>
        </w:rPr>
        <w:t>开展</w:t>
      </w:r>
      <w:r>
        <w:rPr>
          <w:rFonts w:hint="eastAsia" w:ascii="仿宋" w:hAnsi="仿宋" w:eastAsia="仿宋" w:cs="仿宋"/>
          <w:b w:val="0"/>
          <w:bCs w:val="0"/>
          <w:kern w:val="2"/>
          <w:sz w:val="32"/>
          <w:szCs w:val="32"/>
          <w:highlight w:val="none"/>
          <w:lang w:val="en-US" w:eastAsia="zh-CN" w:bidi="ar-SA"/>
        </w:rPr>
        <w:t>专项整治行动</w:t>
      </w:r>
      <w:r>
        <w:rPr>
          <w:rFonts w:hint="default" w:ascii="仿宋" w:hAnsi="仿宋" w:eastAsia="仿宋" w:cs="仿宋"/>
          <w:b w:val="0"/>
          <w:bCs w:val="0"/>
          <w:kern w:val="2"/>
          <w:sz w:val="32"/>
          <w:szCs w:val="32"/>
          <w:highlight w:val="none"/>
          <w:lang w:val="en-US" w:eastAsia="zh-CN" w:bidi="ar-SA"/>
        </w:rPr>
        <w:t>。</w:t>
      </w:r>
    </w:p>
    <w:p w14:paraId="1CFACF7D">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default" w:ascii="仿宋" w:hAnsi="仿宋" w:eastAsia="仿宋" w:cs="仿宋"/>
          <w:b w:val="0"/>
          <w:bCs w:val="0"/>
          <w:kern w:val="2"/>
          <w:sz w:val="32"/>
          <w:szCs w:val="32"/>
          <w:highlight w:val="none"/>
          <w:lang w:val="en-US" w:eastAsia="zh-CN" w:bidi="ar-SA"/>
        </w:rPr>
        <w:t>2.集中时间开展</w:t>
      </w:r>
      <w:r>
        <w:rPr>
          <w:rFonts w:hint="eastAsia" w:ascii="仿宋" w:hAnsi="仿宋" w:eastAsia="仿宋" w:cs="仿宋"/>
          <w:b w:val="0"/>
          <w:bCs w:val="0"/>
          <w:kern w:val="2"/>
          <w:sz w:val="32"/>
          <w:szCs w:val="32"/>
          <w:highlight w:val="none"/>
          <w:lang w:val="en-US" w:eastAsia="zh-CN" w:bidi="ar-SA"/>
        </w:rPr>
        <w:t>执法办案知识相关宣传工作</w:t>
      </w:r>
      <w:r>
        <w:rPr>
          <w:rFonts w:hint="default" w:ascii="仿宋" w:hAnsi="仿宋" w:eastAsia="仿宋" w:cs="仿宋"/>
          <w:b w:val="0"/>
          <w:bCs w:val="0"/>
          <w:kern w:val="2"/>
          <w:sz w:val="32"/>
          <w:szCs w:val="32"/>
          <w:highlight w:val="none"/>
          <w:lang w:val="en-US" w:eastAsia="zh-CN" w:bidi="ar-SA"/>
        </w:rPr>
        <w:t>。</w:t>
      </w:r>
    </w:p>
    <w:p w14:paraId="0CE1AB6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楷体_GB2312" w:cs="Times New Roman"/>
          <w:b w:val="0"/>
          <w:bCs w:val="0"/>
          <w:color w:val="000000"/>
          <w:sz w:val="32"/>
          <w:szCs w:val="32"/>
          <w:highlight w:val="none"/>
        </w:rPr>
      </w:pPr>
      <w:r>
        <w:rPr>
          <w:rFonts w:hint="default" w:ascii="Times New Roman" w:hAnsi="Times New Roman" w:eastAsia="楷体_GB2312" w:cs="Times New Roman"/>
          <w:b w:val="0"/>
          <w:bCs w:val="0"/>
          <w:color w:val="000000"/>
          <w:sz w:val="32"/>
          <w:szCs w:val="32"/>
          <w:highlight w:val="none"/>
        </w:rPr>
        <w:t>（二）项目管理情况</w:t>
      </w:r>
    </w:p>
    <w:p w14:paraId="564D31B5">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default" w:ascii="仿宋" w:hAnsi="仿宋" w:eastAsia="仿宋" w:cs="仿宋"/>
          <w:b w:val="0"/>
          <w:bCs w:val="0"/>
          <w:kern w:val="2"/>
          <w:sz w:val="32"/>
          <w:szCs w:val="32"/>
          <w:highlight w:val="none"/>
          <w:lang w:val="en-US" w:eastAsia="zh-CN" w:bidi="ar-SA"/>
        </w:rPr>
        <w:t>项目支出严格按照财务管理制度、内</w:t>
      </w:r>
      <w:r>
        <w:rPr>
          <w:rFonts w:hint="eastAsia" w:ascii="仿宋" w:hAnsi="仿宋" w:eastAsia="仿宋" w:cs="仿宋"/>
          <w:b w:val="0"/>
          <w:bCs w:val="0"/>
          <w:kern w:val="2"/>
          <w:sz w:val="32"/>
          <w:szCs w:val="32"/>
          <w:highlight w:val="none"/>
          <w:lang w:val="en-US" w:eastAsia="zh-CN" w:bidi="ar-SA"/>
        </w:rPr>
        <w:t>控</w:t>
      </w:r>
      <w:r>
        <w:rPr>
          <w:rFonts w:hint="default" w:ascii="仿宋" w:hAnsi="仿宋" w:eastAsia="仿宋" w:cs="仿宋"/>
          <w:b w:val="0"/>
          <w:bCs w:val="0"/>
          <w:kern w:val="2"/>
          <w:sz w:val="32"/>
          <w:szCs w:val="32"/>
          <w:highlight w:val="none"/>
          <w:lang w:val="en-US" w:eastAsia="zh-CN" w:bidi="ar-SA"/>
        </w:rPr>
        <w:t>制度、报销程序进行审批支付，确保了财政资金专款专用，切实提高了资金使用效益。</w:t>
      </w:r>
    </w:p>
    <w:p w14:paraId="579E433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rPr>
        <w:t>（三）项目产出情况</w:t>
      </w:r>
    </w:p>
    <w:p w14:paraId="4178F4E1">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default" w:ascii="仿宋" w:hAnsi="仿宋" w:eastAsia="仿宋" w:cs="仿宋"/>
          <w:b w:val="0"/>
          <w:bCs w:val="0"/>
          <w:kern w:val="2"/>
          <w:sz w:val="32"/>
          <w:szCs w:val="32"/>
          <w:highlight w:val="none"/>
          <w:lang w:val="en-US" w:eastAsia="zh-CN" w:bidi="ar-SA"/>
        </w:rPr>
        <w:t>1.数量指标</w:t>
      </w:r>
      <w:r>
        <w:rPr>
          <w:rFonts w:hint="eastAsia" w:ascii="仿宋" w:hAnsi="仿宋" w:eastAsia="仿宋" w:cs="仿宋"/>
          <w:b w:val="0"/>
          <w:bCs w:val="0"/>
          <w:kern w:val="2"/>
          <w:sz w:val="32"/>
          <w:szCs w:val="32"/>
          <w:highlight w:val="none"/>
          <w:lang w:val="en-US" w:eastAsia="zh-CN" w:bidi="ar-SA"/>
        </w:rPr>
        <w:t>：2023年度</w:t>
      </w:r>
      <w:r>
        <w:rPr>
          <w:rFonts w:hint="default" w:ascii="仿宋" w:hAnsi="仿宋" w:eastAsia="仿宋" w:cs="仿宋"/>
          <w:b w:val="0"/>
          <w:bCs w:val="0"/>
          <w:kern w:val="2"/>
          <w:sz w:val="32"/>
          <w:szCs w:val="32"/>
          <w:highlight w:val="none"/>
          <w:lang w:val="en-US" w:eastAsia="zh-CN" w:bidi="ar-SA"/>
        </w:rPr>
        <w:t>共立案查处</w:t>
      </w:r>
      <w:r>
        <w:rPr>
          <w:rFonts w:hint="eastAsia" w:ascii="仿宋" w:hAnsi="仿宋" w:eastAsia="仿宋" w:cs="仿宋"/>
          <w:b w:val="0"/>
          <w:bCs w:val="0"/>
          <w:kern w:val="2"/>
          <w:sz w:val="32"/>
          <w:szCs w:val="32"/>
          <w:highlight w:val="none"/>
          <w:lang w:val="en-US" w:eastAsia="zh-CN" w:bidi="ar-SA"/>
        </w:rPr>
        <w:t>409</w:t>
      </w:r>
      <w:r>
        <w:rPr>
          <w:rFonts w:hint="default" w:ascii="仿宋" w:hAnsi="仿宋" w:eastAsia="仿宋" w:cs="仿宋"/>
          <w:b w:val="0"/>
          <w:bCs w:val="0"/>
          <w:kern w:val="2"/>
          <w:sz w:val="32"/>
          <w:szCs w:val="32"/>
          <w:highlight w:val="none"/>
          <w:lang w:val="en-US" w:eastAsia="zh-CN" w:bidi="ar-SA"/>
        </w:rPr>
        <w:t>件，货值金额125万元，罚没款</w:t>
      </w:r>
      <w:r>
        <w:rPr>
          <w:rFonts w:hint="eastAsia" w:ascii="仿宋" w:hAnsi="仿宋" w:eastAsia="仿宋" w:cs="仿宋"/>
          <w:b w:val="0"/>
          <w:bCs w:val="0"/>
          <w:kern w:val="2"/>
          <w:sz w:val="32"/>
          <w:szCs w:val="32"/>
          <w:highlight w:val="none"/>
          <w:lang w:val="en-US" w:eastAsia="zh-CN" w:bidi="ar-SA"/>
        </w:rPr>
        <w:t>140.74</w:t>
      </w:r>
      <w:r>
        <w:rPr>
          <w:rFonts w:hint="default" w:ascii="仿宋" w:hAnsi="仿宋" w:eastAsia="仿宋" w:cs="仿宋"/>
          <w:b w:val="0"/>
          <w:bCs w:val="0"/>
          <w:kern w:val="2"/>
          <w:sz w:val="32"/>
          <w:szCs w:val="32"/>
          <w:highlight w:val="none"/>
          <w:lang w:val="en-US" w:eastAsia="zh-CN" w:bidi="ar-SA"/>
        </w:rPr>
        <w:t>万元，其中办理省级挂牌督办案件</w:t>
      </w:r>
      <w:r>
        <w:rPr>
          <w:rFonts w:hint="eastAsia" w:ascii="仿宋" w:hAnsi="仿宋" w:eastAsia="仿宋" w:cs="仿宋"/>
          <w:b w:val="0"/>
          <w:bCs w:val="0"/>
          <w:kern w:val="2"/>
          <w:sz w:val="32"/>
          <w:szCs w:val="32"/>
          <w:highlight w:val="none"/>
          <w:lang w:val="en-US" w:eastAsia="zh-CN" w:bidi="ar-SA"/>
        </w:rPr>
        <w:t>2</w:t>
      </w:r>
      <w:r>
        <w:rPr>
          <w:rFonts w:hint="default" w:ascii="仿宋" w:hAnsi="仿宋" w:eastAsia="仿宋" w:cs="仿宋"/>
          <w:b w:val="0"/>
          <w:bCs w:val="0"/>
          <w:kern w:val="2"/>
          <w:sz w:val="32"/>
          <w:szCs w:val="32"/>
          <w:highlight w:val="none"/>
          <w:lang w:val="en-US" w:eastAsia="zh-CN" w:bidi="ar-SA"/>
        </w:rPr>
        <w:t>件、省级优秀典型案件3件和市级优秀典型案件</w:t>
      </w:r>
      <w:r>
        <w:rPr>
          <w:rFonts w:hint="eastAsia" w:ascii="仿宋" w:hAnsi="仿宋" w:eastAsia="仿宋" w:cs="仿宋"/>
          <w:b w:val="0"/>
          <w:bCs w:val="0"/>
          <w:kern w:val="2"/>
          <w:sz w:val="32"/>
          <w:szCs w:val="32"/>
          <w:highlight w:val="none"/>
          <w:lang w:val="en-US" w:eastAsia="zh-CN" w:bidi="ar-SA"/>
        </w:rPr>
        <w:t>7</w:t>
      </w:r>
      <w:r>
        <w:rPr>
          <w:rFonts w:hint="default" w:ascii="仿宋" w:hAnsi="仿宋" w:eastAsia="仿宋" w:cs="仿宋"/>
          <w:b w:val="0"/>
          <w:bCs w:val="0"/>
          <w:kern w:val="2"/>
          <w:sz w:val="32"/>
          <w:szCs w:val="32"/>
          <w:highlight w:val="none"/>
          <w:lang w:val="en-US" w:eastAsia="zh-CN" w:bidi="ar-SA"/>
        </w:rPr>
        <w:t>件</w:t>
      </w:r>
      <w:r>
        <w:rPr>
          <w:rFonts w:hint="eastAsia" w:ascii="仿宋" w:hAnsi="仿宋" w:eastAsia="仿宋" w:cs="仿宋"/>
          <w:b w:val="0"/>
          <w:bCs w:val="0"/>
          <w:kern w:val="2"/>
          <w:sz w:val="32"/>
          <w:szCs w:val="32"/>
          <w:highlight w:val="none"/>
          <w:lang w:val="en-US" w:eastAsia="zh-CN" w:bidi="ar-SA"/>
        </w:rPr>
        <w:t>。</w:t>
      </w:r>
      <w:r>
        <w:rPr>
          <w:rFonts w:hint="default" w:ascii="仿宋" w:hAnsi="仿宋" w:eastAsia="仿宋" w:cs="仿宋"/>
          <w:b w:val="0"/>
          <w:bCs w:val="0"/>
          <w:kern w:val="2"/>
          <w:sz w:val="32"/>
          <w:szCs w:val="32"/>
          <w:highlight w:val="none"/>
          <w:lang w:val="en-US" w:eastAsia="zh-CN" w:bidi="ar-SA"/>
        </w:rPr>
        <w:t>全面加强“两法衔接”深化市场监管法治建设，全年移交司法机关涉嫌犯罪案件8件，无行政诉讼案件。</w:t>
      </w:r>
    </w:p>
    <w:p w14:paraId="48578A1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000000"/>
          <w:sz w:val="32"/>
          <w:szCs w:val="32"/>
          <w:highlight w:val="none"/>
          <w:lang w:val="en-US"/>
        </w:rPr>
      </w:pPr>
      <w:r>
        <w:rPr>
          <w:rFonts w:hint="default" w:ascii="仿宋" w:hAnsi="仿宋" w:eastAsia="仿宋" w:cs="仿宋"/>
          <w:b w:val="0"/>
          <w:bCs w:val="0"/>
          <w:kern w:val="2"/>
          <w:sz w:val="32"/>
          <w:szCs w:val="32"/>
          <w:highlight w:val="none"/>
          <w:lang w:val="en-US" w:eastAsia="zh-CN" w:bidi="ar-SA"/>
        </w:rPr>
        <w:t>2.质量指标</w:t>
      </w:r>
      <w:r>
        <w:rPr>
          <w:rFonts w:hint="eastAsia" w:ascii="仿宋" w:hAnsi="仿宋" w:eastAsia="仿宋" w:cs="仿宋"/>
          <w:b w:val="0"/>
          <w:bCs w:val="0"/>
          <w:kern w:val="2"/>
          <w:sz w:val="32"/>
          <w:szCs w:val="32"/>
          <w:highlight w:val="none"/>
          <w:lang w:val="en-US" w:eastAsia="zh-CN" w:bidi="ar-SA"/>
        </w:rPr>
        <w:t>：</w:t>
      </w:r>
      <w:r>
        <w:rPr>
          <w:rFonts w:hint="default" w:ascii="仿宋" w:hAnsi="仿宋" w:eastAsia="仿宋" w:cs="仿宋"/>
          <w:b w:val="0"/>
          <w:bCs w:val="0"/>
          <w:kern w:val="2"/>
          <w:sz w:val="32"/>
          <w:szCs w:val="32"/>
          <w:highlight w:val="none"/>
          <w:lang w:val="en-US" w:eastAsia="zh-CN" w:bidi="ar-SA"/>
        </w:rPr>
        <w:t>有案必查</w:t>
      </w:r>
      <w:r>
        <w:rPr>
          <w:rFonts w:hint="eastAsia" w:ascii="仿宋" w:hAnsi="仿宋" w:eastAsia="仿宋" w:cs="仿宋"/>
          <w:b w:val="0"/>
          <w:bCs w:val="0"/>
          <w:kern w:val="2"/>
          <w:sz w:val="32"/>
          <w:szCs w:val="32"/>
          <w:highlight w:val="none"/>
          <w:lang w:val="en-US" w:eastAsia="zh-CN" w:bidi="ar-SA"/>
        </w:rPr>
        <w:t>，</w:t>
      </w:r>
      <w:r>
        <w:rPr>
          <w:rFonts w:hint="default" w:ascii="仿宋" w:hAnsi="仿宋" w:eastAsia="仿宋" w:cs="仿宋"/>
          <w:b w:val="0"/>
          <w:bCs w:val="0"/>
          <w:kern w:val="2"/>
          <w:sz w:val="32"/>
          <w:szCs w:val="32"/>
          <w:highlight w:val="none"/>
          <w:lang w:val="en-US" w:eastAsia="zh-CN" w:bidi="ar-SA"/>
        </w:rPr>
        <w:t>查案必严</w:t>
      </w:r>
      <w:r>
        <w:rPr>
          <w:rFonts w:hint="eastAsia" w:ascii="仿宋" w:hAnsi="仿宋" w:eastAsia="仿宋" w:cs="仿宋"/>
          <w:b w:val="0"/>
          <w:bCs w:val="0"/>
          <w:kern w:val="2"/>
          <w:sz w:val="32"/>
          <w:szCs w:val="32"/>
          <w:highlight w:val="none"/>
          <w:lang w:val="en-US" w:eastAsia="zh-CN" w:bidi="ar-SA"/>
        </w:rPr>
        <w:t>，</w:t>
      </w:r>
      <w:r>
        <w:rPr>
          <w:rFonts w:hint="default" w:ascii="仿宋" w:hAnsi="仿宋" w:eastAsia="仿宋" w:cs="仿宋"/>
          <w:b w:val="0"/>
          <w:bCs w:val="0"/>
          <w:kern w:val="2"/>
          <w:sz w:val="32"/>
          <w:szCs w:val="32"/>
          <w:highlight w:val="none"/>
          <w:lang w:val="en-US" w:eastAsia="zh-CN" w:bidi="ar-SA"/>
        </w:rPr>
        <w:t>案件查处率</w:t>
      </w:r>
      <w:r>
        <w:rPr>
          <w:rFonts w:hint="eastAsia" w:ascii="仿宋" w:hAnsi="仿宋" w:eastAsia="仿宋" w:cs="仿宋"/>
          <w:b w:val="0"/>
          <w:bCs w:val="0"/>
          <w:kern w:val="2"/>
          <w:sz w:val="32"/>
          <w:szCs w:val="32"/>
          <w:highlight w:val="none"/>
          <w:lang w:val="en-US" w:eastAsia="zh-CN" w:bidi="ar-SA"/>
        </w:rPr>
        <w:t>100%，</w:t>
      </w:r>
      <w:r>
        <w:rPr>
          <w:rFonts w:hint="default" w:ascii="仿宋" w:hAnsi="仿宋" w:eastAsia="仿宋" w:cs="仿宋"/>
          <w:b w:val="0"/>
          <w:bCs w:val="0"/>
          <w:kern w:val="2"/>
          <w:sz w:val="32"/>
          <w:szCs w:val="32"/>
          <w:highlight w:val="none"/>
          <w:lang w:val="en-US" w:eastAsia="zh-CN" w:bidi="ar-SA"/>
        </w:rPr>
        <w:t>隐患排查</w:t>
      </w:r>
      <w:r>
        <w:rPr>
          <w:rFonts w:hint="eastAsia" w:ascii="仿宋" w:hAnsi="仿宋" w:eastAsia="仿宋" w:cs="仿宋"/>
          <w:b w:val="0"/>
          <w:bCs w:val="0"/>
          <w:kern w:val="2"/>
          <w:sz w:val="32"/>
          <w:szCs w:val="32"/>
          <w:highlight w:val="none"/>
          <w:lang w:val="en-US" w:eastAsia="zh-CN" w:bidi="ar-SA"/>
        </w:rPr>
        <w:t>的</w:t>
      </w:r>
      <w:r>
        <w:rPr>
          <w:rFonts w:hint="default" w:ascii="仿宋" w:hAnsi="仿宋" w:eastAsia="仿宋" w:cs="仿宋"/>
          <w:b w:val="0"/>
          <w:bCs w:val="0"/>
          <w:kern w:val="2"/>
          <w:sz w:val="32"/>
          <w:szCs w:val="32"/>
          <w:highlight w:val="none"/>
          <w:lang w:val="en-US" w:eastAsia="zh-CN" w:bidi="ar-SA"/>
        </w:rPr>
        <w:t>问题处置率达100%</w:t>
      </w:r>
      <w:r>
        <w:rPr>
          <w:rFonts w:hint="eastAsia" w:ascii="仿宋" w:hAnsi="仿宋" w:eastAsia="仿宋" w:cs="仿宋"/>
          <w:b w:val="0"/>
          <w:bCs w:val="0"/>
          <w:kern w:val="2"/>
          <w:sz w:val="32"/>
          <w:szCs w:val="32"/>
          <w:highlight w:val="none"/>
          <w:lang w:val="en-US" w:eastAsia="zh-CN" w:bidi="ar-SA"/>
        </w:rPr>
        <w:t>，提高了我区执法办案力度，保</w:t>
      </w:r>
      <w:r>
        <w:rPr>
          <w:rFonts w:hint="eastAsia" w:ascii="Times New Roman" w:hAnsi="Times New Roman" w:eastAsia="仿宋" w:cs="Times New Roman"/>
          <w:b w:val="0"/>
          <w:bCs w:val="0"/>
          <w:sz w:val="32"/>
          <w:szCs w:val="32"/>
          <w:highlight w:val="none"/>
          <w:lang w:val="en-US" w:eastAsia="zh-CN"/>
        </w:rPr>
        <w:t>障了人</w:t>
      </w:r>
      <w:r>
        <w:rPr>
          <w:rFonts w:hint="eastAsia" w:ascii="仿宋" w:hAnsi="仿宋" w:eastAsia="仿宋" w:cs="仿宋"/>
          <w:b w:val="0"/>
          <w:bCs w:val="0"/>
          <w:kern w:val="2"/>
          <w:sz w:val="32"/>
          <w:szCs w:val="32"/>
          <w:highlight w:val="none"/>
          <w:lang w:val="en-US" w:eastAsia="zh-CN" w:bidi="ar-SA"/>
        </w:rPr>
        <w:t>民生命财产安全。</w:t>
      </w:r>
    </w:p>
    <w:p w14:paraId="143FF5FA">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kern w:val="2"/>
          <w:sz w:val="32"/>
          <w:szCs w:val="32"/>
          <w:highlight w:val="none"/>
          <w:lang w:val="en-US" w:eastAsia="zh-CN" w:bidi="ar-SA"/>
        </w:rPr>
      </w:pPr>
      <w:r>
        <w:rPr>
          <w:rFonts w:hint="default" w:ascii="仿宋" w:hAnsi="仿宋" w:eastAsia="仿宋" w:cs="仿宋"/>
          <w:b w:val="0"/>
          <w:bCs w:val="0"/>
          <w:kern w:val="2"/>
          <w:sz w:val="32"/>
          <w:szCs w:val="32"/>
          <w:highlight w:val="none"/>
          <w:lang w:val="en-US" w:eastAsia="zh-CN" w:bidi="ar-SA"/>
        </w:rPr>
        <w:t>3.时效指标</w:t>
      </w:r>
      <w:r>
        <w:rPr>
          <w:rFonts w:hint="eastAsia" w:ascii="仿宋" w:hAnsi="仿宋" w:eastAsia="仿宋" w:cs="仿宋"/>
          <w:b w:val="0"/>
          <w:bCs w:val="0"/>
          <w:kern w:val="2"/>
          <w:sz w:val="32"/>
          <w:szCs w:val="32"/>
          <w:highlight w:val="none"/>
          <w:lang w:val="en-US" w:eastAsia="zh-CN" w:bidi="ar-SA"/>
        </w:rPr>
        <w:t>：</w:t>
      </w:r>
      <w:r>
        <w:rPr>
          <w:rFonts w:hint="default" w:ascii="仿宋" w:hAnsi="仿宋" w:eastAsia="仿宋" w:cs="仿宋"/>
          <w:b w:val="0"/>
          <w:bCs w:val="0"/>
          <w:kern w:val="2"/>
          <w:sz w:val="32"/>
          <w:szCs w:val="32"/>
          <w:highlight w:val="none"/>
          <w:lang w:val="en-US" w:eastAsia="zh-CN" w:bidi="ar-SA"/>
        </w:rPr>
        <w:t>国家食品安全抽样检测平台上不合格处置</w:t>
      </w:r>
      <w:r>
        <w:rPr>
          <w:rFonts w:hint="eastAsia" w:ascii="仿宋" w:hAnsi="仿宋" w:eastAsia="仿宋" w:cs="仿宋"/>
          <w:b w:val="0"/>
          <w:bCs w:val="0"/>
          <w:kern w:val="2"/>
          <w:sz w:val="32"/>
          <w:szCs w:val="32"/>
          <w:highlight w:val="none"/>
          <w:lang w:val="en-US" w:eastAsia="zh-CN" w:bidi="ar-SA"/>
        </w:rPr>
        <w:t>在</w:t>
      </w:r>
      <w:r>
        <w:rPr>
          <w:rFonts w:hint="default" w:ascii="仿宋" w:hAnsi="仿宋" w:eastAsia="仿宋" w:cs="仿宋"/>
          <w:b w:val="0"/>
          <w:bCs w:val="0"/>
          <w:kern w:val="2"/>
          <w:sz w:val="32"/>
          <w:szCs w:val="32"/>
          <w:highlight w:val="none"/>
          <w:lang w:val="en-US" w:eastAsia="zh-CN" w:bidi="ar-SA"/>
        </w:rPr>
        <w:t>规定时间</w:t>
      </w:r>
      <w:r>
        <w:rPr>
          <w:rFonts w:hint="eastAsia" w:ascii="仿宋" w:hAnsi="仿宋" w:eastAsia="仿宋" w:cs="仿宋"/>
          <w:b w:val="0"/>
          <w:bCs w:val="0"/>
          <w:kern w:val="2"/>
          <w:sz w:val="32"/>
          <w:szCs w:val="32"/>
          <w:highlight w:val="none"/>
          <w:lang w:val="en-US" w:eastAsia="zh-CN" w:bidi="ar-SA"/>
        </w:rPr>
        <w:t>的75天</w:t>
      </w:r>
      <w:r>
        <w:rPr>
          <w:rFonts w:hint="default" w:ascii="仿宋" w:hAnsi="仿宋" w:eastAsia="仿宋" w:cs="仿宋"/>
          <w:b w:val="0"/>
          <w:bCs w:val="0"/>
          <w:kern w:val="2"/>
          <w:sz w:val="32"/>
          <w:szCs w:val="32"/>
          <w:highlight w:val="none"/>
          <w:lang w:val="en-US" w:eastAsia="zh-CN" w:bidi="ar-SA"/>
        </w:rPr>
        <w:t>之内完成。</w:t>
      </w:r>
    </w:p>
    <w:p w14:paraId="6311D29E">
      <w:pPr>
        <w:widowControl w:val="0"/>
        <w:numPr>
          <w:ilvl w:val="0"/>
          <w:numId w:val="0"/>
        </w:numPr>
        <w:spacing w:beforeLines="0" w:afterLines="0" w:line="240" w:lineRule="auto"/>
        <w:ind w:firstLine="640" w:firstLineChars="200"/>
        <w:jc w:val="left"/>
        <w:rPr>
          <w:rFonts w:hint="default" w:ascii="Times New Roman" w:hAnsi="Times New Roman" w:eastAsia="仿宋_GB2312" w:cs="Times New Roman"/>
          <w:color w:val="00000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4.成本</w:t>
      </w:r>
      <w:r>
        <w:rPr>
          <w:rFonts w:hint="default" w:ascii="仿宋" w:hAnsi="仿宋" w:eastAsia="仿宋" w:cs="仿宋"/>
          <w:b w:val="0"/>
          <w:bCs w:val="0"/>
          <w:kern w:val="2"/>
          <w:sz w:val="32"/>
          <w:szCs w:val="32"/>
          <w:highlight w:val="none"/>
          <w:lang w:val="en-US" w:eastAsia="zh-CN" w:bidi="ar-SA"/>
        </w:rPr>
        <w:t>指标</w:t>
      </w:r>
      <w:r>
        <w:rPr>
          <w:rFonts w:hint="eastAsia" w:ascii="仿宋" w:hAnsi="仿宋" w:eastAsia="仿宋" w:cs="仿宋"/>
          <w:b w:val="0"/>
          <w:bCs w:val="0"/>
          <w:kern w:val="2"/>
          <w:sz w:val="32"/>
          <w:szCs w:val="32"/>
          <w:highlight w:val="none"/>
          <w:lang w:val="en-US" w:eastAsia="zh-CN" w:bidi="ar-SA"/>
        </w:rPr>
        <w:t>：执法隐患排查</w:t>
      </w:r>
      <w:r>
        <w:rPr>
          <w:rFonts w:hint="default" w:ascii="仿宋" w:hAnsi="仿宋" w:eastAsia="仿宋" w:cs="仿宋"/>
          <w:b w:val="0"/>
          <w:bCs w:val="0"/>
          <w:kern w:val="2"/>
          <w:sz w:val="32"/>
          <w:szCs w:val="32"/>
          <w:highlight w:val="none"/>
          <w:lang w:val="en-US" w:eastAsia="zh-CN" w:bidi="ar-SA"/>
        </w:rPr>
        <w:t>≤</w:t>
      </w:r>
      <w:r>
        <w:rPr>
          <w:rFonts w:hint="eastAsia" w:ascii="仿宋" w:hAnsi="仿宋" w:eastAsia="仿宋" w:cs="仿宋"/>
          <w:b w:val="0"/>
          <w:bCs w:val="0"/>
          <w:kern w:val="2"/>
          <w:sz w:val="32"/>
          <w:szCs w:val="32"/>
          <w:highlight w:val="none"/>
          <w:lang w:val="en-US" w:eastAsia="zh-CN" w:bidi="ar-SA"/>
        </w:rPr>
        <w:t>100元/次，宣传制作单</w:t>
      </w:r>
      <w:r>
        <w:rPr>
          <w:rFonts w:hint="default" w:ascii="仿宋" w:hAnsi="仿宋" w:eastAsia="仿宋" w:cs="仿宋"/>
          <w:b w:val="0"/>
          <w:bCs w:val="0"/>
          <w:kern w:val="2"/>
          <w:sz w:val="32"/>
          <w:szCs w:val="32"/>
          <w:highlight w:val="none"/>
          <w:lang w:val="en-US" w:eastAsia="zh-CN" w:bidi="ar-SA"/>
        </w:rPr>
        <w:t>≤</w:t>
      </w:r>
      <w:r>
        <w:rPr>
          <w:rFonts w:hint="eastAsia" w:ascii="仿宋" w:hAnsi="仿宋" w:eastAsia="仿宋" w:cs="仿宋"/>
          <w:b w:val="0"/>
          <w:bCs w:val="0"/>
          <w:kern w:val="2"/>
          <w:sz w:val="32"/>
          <w:szCs w:val="32"/>
          <w:highlight w:val="none"/>
          <w:lang w:val="en-US" w:eastAsia="zh-CN" w:bidi="ar-SA"/>
        </w:rPr>
        <w:t>1万元/次，监管执法人员培训每次人均最多400元。</w:t>
      </w:r>
    </w:p>
    <w:p w14:paraId="125C8F84">
      <w:pPr>
        <w:keepNext w:val="0"/>
        <w:keepLines w:val="0"/>
        <w:pageBreakBefore w:val="0"/>
        <w:widowControl w:val="0"/>
        <w:numPr>
          <w:ilvl w:val="0"/>
          <w:numId w:val="12"/>
        </w:numPr>
        <w:kinsoku/>
        <w:wordWrap/>
        <w:overflowPunct/>
        <w:topLinePunct w:val="0"/>
        <w:autoSpaceDE/>
        <w:autoSpaceDN/>
        <w:bidi w:val="0"/>
        <w:adjustRightInd/>
        <w:snapToGrid/>
        <w:spacing w:line="540" w:lineRule="exact"/>
        <w:ind w:left="0" w:firstLine="640" w:firstLineChars="200"/>
        <w:textAlignment w:val="auto"/>
        <w:rPr>
          <w:rFonts w:hint="eastAsia" w:ascii="楷体" w:hAnsi="楷体" w:eastAsia="楷体" w:cs="楷体"/>
          <w:b w:val="0"/>
          <w:bCs w:val="0"/>
          <w:color w:val="000000"/>
          <w:sz w:val="32"/>
          <w:szCs w:val="32"/>
          <w:highlight w:val="none"/>
        </w:rPr>
      </w:pPr>
      <w:r>
        <w:rPr>
          <w:rFonts w:hint="eastAsia" w:ascii="楷体" w:hAnsi="楷体" w:eastAsia="楷体" w:cs="楷体"/>
          <w:b w:val="0"/>
          <w:bCs w:val="0"/>
          <w:color w:val="000000"/>
          <w:sz w:val="32"/>
          <w:szCs w:val="32"/>
          <w:highlight w:val="none"/>
        </w:rPr>
        <w:t>项目效益情况</w:t>
      </w:r>
    </w:p>
    <w:p w14:paraId="74FF5CE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kern w:val="2"/>
          <w:sz w:val="32"/>
          <w:szCs w:val="32"/>
          <w:highlight w:val="none"/>
          <w:lang w:val="en-US" w:eastAsia="zh-CN" w:bidi="ar-SA"/>
        </w:rPr>
      </w:pPr>
      <w:r>
        <w:rPr>
          <w:rFonts w:hint="default" w:ascii="仿宋" w:hAnsi="仿宋" w:eastAsia="仿宋" w:cs="仿宋"/>
          <w:b w:val="0"/>
          <w:bCs w:val="0"/>
          <w:kern w:val="2"/>
          <w:sz w:val="32"/>
          <w:szCs w:val="32"/>
          <w:highlight w:val="none"/>
          <w:lang w:val="en-US" w:eastAsia="zh-CN" w:bidi="ar-SA"/>
        </w:rPr>
        <w:t>1.社会效益</w:t>
      </w:r>
      <w:r>
        <w:rPr>
          <w:rFonts w:hint="eastAsia" w:ascii="仿宋" w:hAnsi="仿宋" w:eastAsia="仿宋" w:cs="仿宋"/>
          <w:b w:val="0"/>
          <w:bCs w:val="0"/>
          <w:kern w:val="2"/>
          <w:sz w:val="32"/>
          <w:szCs w:val="32"/>
          <w:highlight w:val="none"/>
          <w:lang w:val="en-US" w:eastAsia="zh-CN" w:bidi="ar-SA"/>
        </w:rPr>
        <w:t>指标：</w:t>
      </w:r>
      <w:r>
        <w:rPr>
          <w:rFonts w:hint="default" w:ascii="仿宋" w:hAnsi="仿宋" w:eastAsia="仿宋" w:cs="仿宋"/>
          <w:b w:val="0"/>
          <w:bCs w:val="0"/>
          <w:kern w:val="2"/>
          <w:sz w:val="32"/>
          <w:szCs w:val="32"/>
          <w:highlight w:val="none"/>
          <w:lang w:val="en-US" w:eastAsia="zh-CN" w:bidi="ar-SA"/>
        </w:rPr>
        <w:t>辖区群众饮食用药与消费安全</w:t>
      </w:r>
      <w:r>
        <w:rPr>
          <w:rFonts w:hint="eastAsia" w:ascii="仿宋" w:hAnsi="仿宋" w:eastAsia="仿宋" w:cs="仿宋"/>
          <w:b w:val="0"/>
          <w:bCs w:val="0"/>
          <w:kern w:val="2"/>
          <w:sz w:val="32"/>
          <w:szCs w:val="32"/>
          <w:highlight w:val="none"/>
          <w:lang w:val="en-US" w:eastAsia="zh-CN" w:bidi="ar-SA"/>
        </w:rPr>
        <w:t>不断提高</w:t>
      </w:r>
      <w:r>
        <w:rPr>
          <w:rFonts w:hint="default" w:ascii="仿宋" w:hAnsi="仿宋" w:eastAsia="仿宋" w:cs="仿宋"/>
          <w:b w:val="0"/>
          <w:bCs w:val="0"/>
          <w:kern w:val="2"/>
          <w:sz w:val="32"/>
          <w:szCs w:val="32"/>
          <w:highlight w:val="none"/>
          <w:lang w:val="en-US" w:eastAsia="zh-CN" w:bidi="ar-SA"/>
        </w:rPr>
        <w:t>。</w:t>
      </w:r>
    </w:p>
    <w:p w14:paraId="48FFE97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2</w:t>
      </w:r>
      <w:r>
        <w:rPr>
          <w:rFonts w:hint="default" w:ascii="仿宋" w:hAnsi="仿宋" w:eastAsia="仿宋" w:cs="仿宋"/>
          <w:b w:val="0"/>
          <w:bCs w:val="0"/>
          <w:kern w:val="2"/>
          <w:sz w:val="32"/>
          <w:szCs w:val="32"/>
          <w:highlight w:val="none"/>
          <w:lang w:val="en-US" w:eastAsia="zh-CN" w:bidi="ar-SA"/>
        </w:rPr>
        <w:t>.满意度</w:t>
      </w:r>
      <w:r>
        <w:rPr>
          <w:rFonts w:hint="eastAsia" w:ascii="仿宋" w:hAnsi="仿宋" w:eastAsia="仿宋" w:cs="仿宋"/>
          <w:b w:val="0"/>
          <w:bCs w:val="0"/>
          <w:kern w:val="2"/>
          <w:sz w:val="32"/>
          <w:szCs w:val="32"/>
          <w:highlight w:val="none"/>
          <w:lang w:val="en-US" w:eastAsia="zh-CN" w:bidi="ar-SA"/>
        </w:rPr>
        <w:t>指标：</w:t>
      </w:r>
      <w:r>
        <w:rPr>
          <w:rFonts w:hint="default" w:ascii="仿宋" w:hAnsi="仿宋" w:eastAsia="仿宋" w:cs="仿宋"/>
          <w:b w:val="0"/>
          <w:bCs w:val="0"/>
          <w:kern w:val="2"/>
          <w:sz w:val="32"/>
          <w:szCs w:val="32"/>
          <w:highlight w:val="none"/>
          <w:lang w:val="en-US" w:eastAsia="zh-CN" w:bidi="ar-SA"/>
        </w:rPr>
        <w:t>饮食用药等方面群众满意度达90%</w:t>
      </w:r>
      <w:r>
        <w:rPr>
          <w:rFonts w:hint="eastAsia" w:ascii="仿宋" w:hAnsi="仿宋" w:eastAsia="仿宋" w:cs="仿宋"/>
          <w:b w:val="0"/>
          <w:bCs w:val="0"/>
          <w:kern w:val="2"/>
          <w:sz w:val="32"/>
          <w:szCs w:val="32"/>
          <w:highlight w:val="none"/>
          <w:lang w:val="en-US" w:eastAsia="zh-CN" w:bidi="ar-SA"/>
        </w:rPr>
        <w:t>。</w:t>
      </w:r>
    </w:p>
    <w:p w14:paraId="177A06C0">
      <w:pPr>
        <w:keepNext w:val="0"/>
        <w:keepLines w:val="0"/>
        <w:pageBreakBefore w:val="0"/>
        <w:widowControl w:val="0"/>
        <w:numPr>
          <w:ilvl w:val="0"/>
          <w:numId w:val="15"/>
        </w:numPr>
        <w:kinsoku/>
        <w:wordWrap/>
        <w:overflowPunct/>
        <w:topLinePunct w:val="0"/>
        <w:bidi w:val="0"/>
        <w:snapToGrid w:val="0"/>
        <w:spacing w:line="540" w:lineRule="exact"/>
        <w:ind w:firstLine="640" w:firstLineChars="200"/>
        <w:textAlignment w:val="auto"/>
        <w:rPr>
          <w:rFonts w:hint="default" w:ascii="Times New Roman" w:hAnsi="Times New Roman" w:eastAsia="黑体" w:cs="Times New Roman"/>
          <w:sz w:val="32"/>
          <w:szCs w:val="21"/>
          <w:highlight w:val="none"/>
        </w:rPr>
      </w:pPr>
      <w:r>
        <w:rPr>
          <w:rFonts w:hint="default" w:ascii="Times New Roman" w:hAnsi="Times New Roman" w:eastAsia="黑体" w:cs="Times New Roman"/>
          <w:sz w:val="32"/>
          <w:szCs w:val="21"/>
          <w:highlight w:val="none"/>
        </w:rPr>
        <w:t>存在主要问题</w:t>
      </w:r>
    </w:p>
    <w:p w14:paraId="0D8655B9">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执法办案水平有待提升，执法知识有待提高。</w:t>
      </w:r>
    </w:p>
    <w:p w14:paraId="38A268A6">
      <w:pPr>
        <w:keepNext w:val="0"/>
        <w:keepLines w:val="0"/>
        <w:pageBreakBefore w:val="0"/>
        <w:widowControl w:val="0"/>
        <w:numPr>
          <w:ilvl w:val="0"/>
          <w:numId w:val="15"/>
        </w:numPr>
        <w:kinsoku/>
        <w:wordWrap/>
        <w:overflowPunct/>
        <w:topLinePunct w:val="0"/>
        <w:bidi w:val="0"/>
        <w:snapToGrid w:val="0"/>
        <w:spacing w:line="540" w:lineRule="exact"/>
        <w:ind w:left="0" w:leftChars="0" w:firstLine="640" w:firstLineChars="200"/>
        <w:textAlignment w:val="auto"/>
        <w:rPr>
          <w:rFonts w:hint="default" w:ascii="Times New Roman" w:hAnsi="Times New Roman" w:eastAsia="黑体" w:cs="Times New Roman"/>
          <w:sz w:val="32"/>
          <w:szCs w:val="21"/>
          <w:highlight w:val="none"/>
        </w:rPr>
      </w:pPr>
      <w:r>
        <w:rPr>
          <w:rFonts w:hint="default" w:ascii="Times New Roman" w:hAnsi="Times New Roman" w:eastAsia="黑体" w:cs="Times New Roman"/>
          <w:sz w:val="32"/>
          <w:szCs w:val="21"/>
          <w:highlight w:val="none"/>
        </w:rPr>
        <w:t>相关措施建议</w:t>
      </w:r>
    </w:p>
    <w:p w14:paraId="6313DF09">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加强执法人员业务知识培训，提升监管业务能力，组织经验丰富的业务骨干，加强对行政执法案件办理程序、特种设备安全基础知识、食品药品监管等方面进行专题培训，不断提高干部队伍的综合素质和能力，进一步提升履职能力。</w:t>
      </w:r>
    </w:p>
    <w:p w14:paraId="6013779C">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附件：部门预算项目支出绩效自评表（2023年度）</w:t>
      </w:r>
    </w:p>
    <w:p w14:paraId="5304435C">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22"/>
        <w:gridCol w:w="948"/>
        <w:gridCol w:w="1257"/>
        <w:gridCol w:w="396"/>
        <w:gridCol w:w="882"/>
        <w:gridCol w:w="756"/>
        <w:gridCol w:w="846"/>
        <w:gridCol w:w="486"/>
        <w:gridCol w:w="486"/>
        <w:gridCol w:w="1441"/>
      </w:tblGrid>
      <w:tr w14:paraId="2529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E5171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493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44A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9D5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51090423T000008159827-2023年执法办案</w:t>
            </w:r>
          </w:p>
        </w:tc>
      </w:tr>
      <w:tr w14:paraId="612D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C2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6C9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遂宁市安居区市场监督管理局部门</w:t>
            </w:r>
          </w:p>
        </w:tc>
        <w:tc>
          <w:tcPr>
            <w:tcW w:w="383" w:type="pct"/>
            <w:tcBorders>
              <w:top w:val="nil"/>
              <w:left w:val="nil"/>
              <w:bottom w:val="nil"/>
              <w:right w:val="nil"/>
            </w:tcBorders>
            <w:shd w:val="clear" w:color="auto" w:fill="auto"/>
            <w:vAlign w:val="center"/>
          </w:tcPr>
          <w:p w14:paraId="0867C3D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08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w:t>
            </w:r>
          </w:p>
        </w:tc>
      </w:tr>
      <w:tr w14:paraId="4637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7E7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6F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4A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1D5C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FD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BC20">
            <w:pPr>
              <w:rPr>
                <w:rFonts w:hint="eastAsia" w:ascii="宋体" w:hAnsi="宋体" w:eastAsia="宋体" w:cs="宋体"/>
                <w:i w:val="0"/>
                <w:iCs w:val="0"/>
                <w:color w:val="000000"/>
                <w:sz w:val="18"/>
                <w:szCs w:val="18"/>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C50C">
            <w:pPr>
              <w:rPr>
                <w:rFonts w:hint="eastAsia" w:ascii="宋体" w:hAnsi="宋体" w:eastAsia="宋体" w:cs="宋体"/>
                <w:i w:val="0"/>
                <w:iCs w:val="0"/>
                <w:color w:val="000000"/>
                <w:sz w:val="18"/>
                <w:szCs w:val="18"/>
                <w:u w:val="none"/>
              </w:rPr>
            </w:pPr>
          </w:p>
        </w:tc>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948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根据市局安排及区委区府要求，我单位积极开展“春雷行动”、“铁拳行动”、“双打”工作、“长江禁捕 打非断链”、校园食品安全整治等各项行动，严厉打击各种违法违规行为，保障人民群众食药安全。承办全局综合性监管执法工作、案件移送、案件协查工作；牵头组织协调全局工商、食药、质量和物价违法案件查办工作，承办全局范围内重大案件；指导、督办各市场监管所查处交办案件；负责协作宣传国家法律、法规，推进依法行政建设、执法人员法律法规培训；负责汇总、统计、分析上级交办受理情况；负责开展执法案件信息公示、报送工作；负责全局罚没物资处置销毁工作；统筹全局执法装备维护更换。</w:t>
            </w:r>
          </w:p>
        </w:tc>
        <w:tc>
          <w:tcPr>
            <w:tcW w:w="16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178B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共立案查处409件，货值金额125万元，罚没款140.74万元，其中办理省级挂牌督办案件2件、省级优秀典型案件3件和市级优秀典型案件7件。全面加强“两法衔接”深化市场监管法治建设，全年移交司法机关涉嫌犯罪案件8件，无行政诉讼案件。</w:t>
            </w:r>
          </w:p>
        </w:tc>
      </w:tr>
      <w:tr w14:paraId="7CD6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E1BF">
            <w:pP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09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9BFE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开展“春雷行动”、“铁拳行动”、“双打”工作、“长江禁捕 打非断链”、“市场流通领域扫黑除恶”、“钢材市场扫黑除恶”、校园食品安全整治等各项行动，严厉打击各种违法违规行为，保障人民群众食药安全。</w:t>
            </w:r>
          </w:p>
        </w:tc>
      </w:tr>
      <w:tr w14:paraId="7C4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03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1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9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E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1A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7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E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0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1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39D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0AC4">
            <w:pPr>
              <w:jc w:val="cente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1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5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A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54.99</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AB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54.99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7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E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1E9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DBD6B">
            <w:pPr>
              <w:rPr>
                <w:rFonts w:hint="eastAsia" w:ascii="黑体" w:hAnsi="黑体" w:eastAsia="黑体" w:cs="黑体"/>
                <w:i/>
                <w:iCs/>
                <w:color w:val="000000"/>
                <w:sz w:val="18"/>
                <w:szCs w:val="18"/>
                <w:u w:val="none"/>
              </w:rPr>
            </w:pPr>
          </w:p>
        </w:tc>
      </w:tr>
      <w:tr w14:paraId="7448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400A">
            <w:pPr>
              <w:jc w:val="cente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B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5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4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54.99</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C6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54.99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4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3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B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DBDB">
            <w:pPr>
              <w:rPr>
                <w:rFonts w:hint="eastAsia" w:ascii="黑体" w:hAnsi="黑体" w:eastAsia="黑体" w:cs="黑体"/>
                <w:i/>
                <w:iCs/>
                <w:color w:val="000000"/>
                <w:sz w:val="18"/>
                <w:szCs w:val="18"/>
                <w:u w:val="none"/>
              </w:rPr>
            </w:pPr>
          </w:p>
        </w:tc>
      </w:tr>
      <w:tr w14:paraId="77EE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90A9">
            <w:pPr>
              <w:jc w:val="cente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D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F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0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53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C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0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A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86CC8">
            <w:pPr>
              <w:rPr>
                <w:rFonts w:hint="eastAsia" w:ascii="黑体" w:hAnsi="黑体" w:eastAsia="黑体" w:cs="黑体"/>
                <w:i/>
                <w:iCs/>
                <w:color w:val="000000"/>
                <w:sz w:val="18"/>
                <w:szCs w:val="18"/>
                <w:u w:val="none"/>
              </w:rPr>
            </w:pPr>
          </w:p>
        </w:tc>
      </w:tr>
      <w:tr w14:paraId="6F7F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9A65">
            <w:pPr>
              <w:jc w:val="cente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2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A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6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48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7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D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1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868C7">
            <w:pPr>
              <w:rPr>
                <w:rFonts w:hint="eastAsia" w:ascii="黑体" w:hAnsi="黑体" w:eastAsia="黑体" w:cs="黑体"/>
                <w:i/>
                <w:iCs/>
                <w:color w:val="000000"/>
                <w:sz w:val="18"/>
                <w:szCs w:val="18"/>
                <w:u w:val="none"/>
              </w:rPr>
            </w:pPr>
          </w:p>
        </w:tc>
      </w:tr>
      <w:tr w14:paraId="14DB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BBDD">
            <w:pPr>
              <w:jc w:val="cente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7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27D5">
            <w:pPr>
              <w:jc w:val="center"/>
              <w:rPr>
                <w:rFonts w:hint="eastAsia" w:ascii="微软雅黑" w:hAnsi="微软雅黑" w:eastAsia="微软雅黑" w:cs="微软雅黑"/>
                <w:i/>
                <w:iCs/>
                <w:color w:val="000000"/>
                <w:sz w:val="16"/>
                <w:szCs w:val="16"/>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45FD">
            <w:pPr>
              <w:jc w:val="center"/>
              <w:rPr>
                <w:rFonts w:hint="eastAsia" w:ascii="微软雅黑" w:hAnsi="微软雅黑" w:eastAsia="微软雅黑" w:cs="微软雅黑"/>
                <w:i/>
                <w:iCs/>
                <w:color w:val="000000"/>
                <w:sz w:val="16"/>
                <w:szCs w:val="16"/>
                <w:u w:val="none"/>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12F8E">
            <w:pPr>
              <w:jc w:val="center"/>
              <w:rPr>
                <w:rFonts w:hint="eastAsia" w:ascii="微软雅黑" w:hAnsi="微软雅黑" w:eastAsia="微软雅黑" w:cs="微软雅黑"/>
                <w:i/>
                <w:iCs/>
                <w:color w:val="000000"/>
                <w:sz w:val="16"/>
                <w:szCs w:val="16"/>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7F03">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7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2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D92D">
            <w:pPr>
              <w:rPr>
                <w:rFonts w:hint="eastAsia" w:ascii="黑体" w:hAnsi="黑体" w:eastAsia="黑体" w:cs="黑体"/>
                <w:i/>
                <w:iCs/>
                <w:color w:val="000000"/>
                <w:sz w:val="18"/>
                <w:szCs w:val="18"/>
                <w:u w:val="none"/>
              </w:rPr>
            </w:pPr>
          </w:p>
        </w:tc>
      </w:tr>
      <w:tr w14:paraId="29BD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CB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7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8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F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0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1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5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3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B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0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9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D1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6610">
            <w:pPr>
              <w:jc w:val="center"/>
              <w:rPr>
                <w:rFonts w:hint="eastAsia" w:ascii="宋体" w:hAnsi="宋体" w:eastAsia="宋体" w:cs="宋体"/>
                <w:i w:val="0"/>
                <w:iCs w:val="0"/>
                <w:color w:val="000000"/>
                <w:sz w:val="18"/>
                <w:szCs w:val="18"/>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4E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5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6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每月开展执法办案次数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8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7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C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2976">
            <w:pPr>
              <w:jc w:val="center"/>
              <w:rPr>
                <w:rFonts w:hint="default" w:ascii="微软雅黑" w:hAnsi="微软雅黑" w:eastAsia="微软雅黑" w:cs="微软雅黑"/>
                <w:i/>
                <w:iCs/>
                <w:color w:val="000000"/>
                <w:sz w:val="16"/>
                <w:szCs w:val="16"/>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18次/月</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9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69D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20BD">
            <w:pPr>
              <w:jc w:val="center"/>
              <w:rPr>
                <w:rFonts w:hint="eastAsia" w:ascii="微软雅黑" w:hAnsi="微软雅黑" w:eastAsia="微软雅黑" w:cs="微软雅黑"/>
                <w:i/>
                <w:iCs/>
                <w:color w:val="000000"/>
                <w:sz w:val="16"/>
                <w:szCs w:val="16"/>
                <w:u w:val="none"/>
              </w:rPr>
            </w:pPr>
          </w:p>
        </w:tc>
      </w:tr>
      <w:tr w14:paraId="6AE2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9DFC">
            <w:pPr>
              <w:jc w:val="center"/>
              <w:rPr>
                <w:rFonts w:hint="eastAsia" w:ascii="宋体" w:hAnsi="宋体" w:eastAsia="宋体" w:cs="宋体"/>
                <w:i w:val="0"/>
                <w:iCs w:val="0"/>
                <w:color w:val="000000"/>
                <w:sz w:val="18"/>
                <w:szCs w:val="18"/>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0359">
            <w:pPr>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7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B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有案必查，查案必严，案件查处率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8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1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7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0869">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D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547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E802">
            <w:pPr>
              <w:jc w:val="center"/>
              <w:rPr>
                <w:rFonts w:hint="eastAsia" w:ascii="微软雅黑" w:hAnsi="微软雅黑" w:eastAsia="微软雅黑" w:cs="微软雅黑"/>
                <w:i/>
                <w:iCs/>
                <w:color w:val="000000"/>
                <w:sz w:val="16"/>
                <w:szCs w:val="16"/>
                <w:u w:val="none"/>
              </w:rPr>
            </w:pPr>
          </w:p>
        </w:tc>
      </w:tr>
      <w:tr w14:paraId="68AA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293F">
            <w:pPr>
              <w:jc w:val="center"/>
              <w:rPr>
                <w:rFonts w:hint="eastAsia" w:ascii="宋体" w:hAnsi="宋体" w:eastAsia="宋体" w:cs="宋体"/>
                <w:i w:val="0"/>
                <w:iCs w:val="0"/>
                <w:color w:val="000000"/>
                <w:sz w:val="18"/>
                <w:szCs w:val="18"/>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0849">
            <w:pPr>
              <w:jc w:val="center"/>
              <w:rPr>
                <w:rFonts w:hint="eastAsia" w:ascii="宋体" w:hAnsi="宋体" w:eastAsia="宋体" w:cs="宋体"/>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3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A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国家食品安全抽样检测平台上不合格处置规定时间之内完成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5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9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9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0E30">
            <w:pPr>
              <w:jc w:val="center"/>
              <w:rPr>
                <w:rFonts w:hint="default" w:ascii="微软雅黑" w:hAnsi="微软雅黑" w:eastAsia="微软雅黑" w:cs="微软雅黑"/>
                <w:i/>
                <w:iCs/>
                <w:color w:val="000000"/>
                <w:sz w:val="16"/>
                <w:szCs w:val="16"/>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75天</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9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83D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2824">
            <w:pPr>
              <w:jc w:val="center"/>
              <w:rPr>
                <w:rFonts w:hint="eastAsia" w:ascii="微软雅黑" w:hAnsi="微软雅黑" w:eastAsia="微软雅黑" w:cs="微软雅黑"/>
                <w:i/>
                <w:iCs/>
                <w:color w:val="000000"/>
                <w:sz w:val="16"/>
                <w:szCs w:val="16"/>
                <w:u w:val="none"/>
              </w:rPr>
            </w:pPr>
          </w:p>
        </w:tc>
      </w:tr>
      <w:tr w14:paraId="7857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9A6F">
            <w:pPr>
              <w:jc w:val="cente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F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D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A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辖区群众饮食用药与消费安全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F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7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C9D7">
            <w:pPr>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BB3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不断提高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D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66D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F9EF">
            <w:pPr>
              <w:jc w:val="center"/>
              <w:rPr>
                <w:rFonts w:hint="eastAsia" w:ascii="微软雅黑" w:hAnsi="微软雅黑" w:eastAsia="微软雅黑" w:cs="微软雅黑"/>
                <w:i/>
                <w:iCs/>
                <w:color w:val="000000"/>
                <w:sz w:val="16"/>
                <w:szCs w:val="16"/>
                <w:u w:val="none"/>
              </w:rPr>
            </w:pPr>
          </w:p>
        </w:tc>
      </w:tr>
      <w:tr w14:paraId="5B5B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FDDA9">
            <w:pPr>
              <w:jc w:val="cente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1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1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B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饮食用药等方面群众满意度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4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B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4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F94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6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F65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06E4">
            <w:pPr>
              <w:jc w:val="center"/>
              <w:rPr>
                <w:rFonts w:hint="eastAsia" w:ascii="微软雅黑" w:hAnsi="微软雅黑" w:eastAsia="微软雅黑" w:cs="微软雅黑"/>
                <w:i/>
                <w:iCs/>
                <w:color w:val="000000"/>
                <w:sz w:val="16"/>
                <w:szCs w:val="16"/>
                <w:u w:val="none"/>
              </w:rPr>
            </w:pPr>
          </w:p>
        </w:tc>
      </w:tr>
      <w:tr w14:paraId="1ACC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09E0">
            <w:pPr>
              <w:jc w:val="cente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9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5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7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监管执法人员培训每次人均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7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D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6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5594">
            <w:pPr>
              <w:jc w:val="center"/>
              <w:rPr>
                <w:rFonts w:hint="default" w:ascii="微软雅黑" w:hAnsi="微软雅黑" w:eastAsia="微软雅黑" w:cs="微软雅黑"/>
                <w:i/>
                <w:iCs/>
                <w:color w:val="000000"/>
                <w:sz w:val="16"/>
                <w:szCs w:val="16"/>
                <w:u w:val="none"/>
                <w:lang w:val="en-US"/>
              </w:rPr>
            </w:pP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400元/人/次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2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0D1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00CC">
            <w:pPr>
              <w:jc w:val="center"/>
              <w:rPr>
                <w:rFonts w:hint="eastAsia" w:ascii="微软雅黑" w:hAnsi="微软雅黑" w:eastAsia="微软雅黑" w:cs="微软雅黑"/>
                <w:i/>
                <w:iCs/>
                <w:color w:val="000000"/>
                <w:sz w:val="16"/>
                <w:szCs w:val="16"/>
                <w:u w:val="none"/>
              </w:rPr>
            </w:pPr>
          </w:p>
        </w:tc>
      </w:tr>
      <w:tr w14:paraId="606D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37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687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C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CCC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30C3">
            <w:pPr>
              <w:rPr>
                <w:rFonts w:hint="eastAsia" w:ascii="宋体" w:hAnsi="宋体" w:eastAsia="宋体" w:cs="宋体"/>
                <w:i w:val="0"/>
                <w:iCs w:val="0"/>
                <w:color w:val="000000"/>
                <w:sz w:val="18"/>
                <w:szCs w:val="18"/>
                <w:u w:val="none"/>
              </w:rPr>
            </w:pPr>
          </w:p>
        </w:tc>
      </w:tr>
      <w:tr w14:paraId="79D0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C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F97C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严格执行项目资金的使用，对预算执行进度和绩效目标实现程度实行双监控，自评得分100分。</w:t>
            </w:r>
          </w:p>
        </w:tc>
      </w:tr>
      <w:tr w14:paraId="14D8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2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173C8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67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6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A1F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0051907A">
      <w:pPr>
        <w:rPr>
          <w:rFonts w:hint="eastAsia"/>
          <w:lang w:val="en-US" w:eastAsia="zh-CN"/>
        </w:rPr>
      </w:pPr>
    </w:p>
    <w:p w14:paraId="3DE4E57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741B08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2B096E5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6A4EAD8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9FE892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部门预算项目支出绩效自评报告</w:t>
      </w:r>
    </w:p>
    <w:p w14:paraId="2F79EFC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（2022年省级药品监管专项项目）</w:t>
      </w:r>
    </w:p>
    <w:p w14:paraId="780C6C1B">
      <w:pPr>
        <w:pStyle w:val="9"/>
      </w:pPr>
    </w:p>
    <w:p w14:paraId="1A4B6F59">
      <w:pPr>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一、项目概况</w:t>
      </w:r>
    </w:p>
    <w:p w14:paraId="75EE34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楷体" w:hAnsi="楷体" w:eastAsia="楷体" w:cs="楷体_GB2312"/>
          <w:bCs/>
          <w:sz w:val="32"/>
          <w:szCs w:val="32"/>
        </w:rPr>
      </w:pPr>
      <w:r>
        <w:rPr>
          <w:rFonts w:hint="eastAsia" w:ascii="楷体" w:hAnsi="楷体" w:eastAsia="楷体" w:cs="楷体_GB2312"/>
          <w:bCs/>
          <w:sz w:val="32"/>
          <w:szCs w:val="32"/>
        </w:rPr>
        <w:t>（一）项目资金申报及批复情况</w:t>
      </w:r>
    </w:p>
    <w:p w14:paraId="1606FF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安居区</w:t>
      </w:r>
      <w:r>
        <w:rPr>
          <w:rFonts w:hint="eastAsia" w:ascii="仿宋" w:hAnsi="仿宋" w:eastAsia="仿宋" w:cs="仿宋_GB2312"/>
          <w:sz w:val="32"/>
          <w:szCs w:val="32"/>
        </w:rPr>
        <w:t>市场监督管理局申</w:t>
      </w:r>
      <w:r>
        <w:rPr>
          <w:rFonts w:hint="eastAsia" w:ascii="仿宋" w:hAnsi="仿宋" w:eastAsia="仿宋" w:cs="仿宋_GB2312"/>
          <w:sz w:val="32"/>
          <w:szCs w:val="32"/>
          <w:lang w:val="en-US" w:eastAsia="zh-CN"/>
        </w:rPr>
        <w:t>报省级</w:t>
      </w:r>
      <w:r>
        <w:rPr>
          <w:rFonts w:hint="eastAsia" w:ascii="仿宋" w:hAnsi="仿宋" w:eastAsia="仿宋" w:cs="仿宋_GB2312"/>
          <w:sz w:val="32"/>
          <w:szCs w:val="32"/>
        </w:rPr>
        <w:t>药品监管专项资金</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万元</w:t>
      </w:r>
      <w:r>
        <w:rPr>
          <w:rFonts w:hint="eastAsia" w:ascii="仿宋" w:hAnsi="仿宋" w:eastAsia="仿宋" w:cs="仿宋_GB2312"/>
          <w:sz w:val="32"/>
          <w:szCs w:val="32"/>
          <w:lang w:eastAsia="zh-CN"/>
        </w:rPr>
        <w:t>，批复</w:t>
      </w:r>
      <w:r>
        <w:rPr>
          <w:rFonts w:hint="eastAsia" w:ascii="仿宋" w:hAnsi="仿宋" w:eastAsia="仿宋" w:cs="仿宋_GB2312"/>
          <w:sz w:val="32"/>
          <w:szCs w:val="32"/>
          <w:lang w:val="en-US" w:eastAsia="zh-CN"/>
        </w:rPr>
        <w:t>省级</w:t>
      </w:r>
      <w:r>
        <w:rPr>
          <w:rFonts w:hint="eastAsia" w:ascii="仿宋" w:hAnsi="仿宋" w:eastAsia="仿宋" w:cs="仿宋_GB2312"/>
          <w:sz w:val="32"/>
          <w:szCs w:val="32"/>
          <w:lang w:eastAsia="zh-CN"/>
        </w:rPr>
        <w:t>药品监管专项资金</w:t>
      </w:r>
      <w:r>
        <w:rPr>
          <w:rFonts w:hint="eastAsia" w:ascii="仿宋" w:hAnsi="仿宋" w:eastAsia="仿宋" w:cs="仿宋_GB2312"/>
          <w:sz w:val="32"/>
          <w:szCs w:val="32"/>
          <w:lang w:val="en-US" w:eastAsia="zh-CN"/>
        </w:rPr>
        <w:t>20万元。</w:t>
      </w:r>
      <w:r>
        <w:rPr>
          <w:rFonts w:hint="eastAsia" w:ascii="仿宋" w:hAnsi="仿宋" w:eastAsia="仿宋" w:cs="仿宋_GB2312"/>
          <w:sz w:val="32"/>
          <w:szCs w:val="32"/>
        </w:rPr>
        <w:t>《遂宁市财政局</w:t>
      </w:r>
      <w:r>
        <w:rPr>
          <w:rFonts w:hint="eastAsia" w:ascii="仿宋" w:hAnsi="仿宋" w:eastAsia="仿宋" w:cs="仿宋_GB2312"/>
          <w:sz w:val="32"/>
          <w:szCs w:val="32"/>
          <w:lang w:val="en-US" w:eastAsia="zh-CN"/>
        </w:rPr>
        <w:t xml:space="preserve"> 遂宁市市场监督管理局</w:t>
      </w:r>
      <w:r>
        <w:rPr>
          <w:rFonts w:hint="eastAsia" w:ascii="仿宋" w:hAnsi="仿宋" w:eastAsia="仿宋" w:cs="仿宋_GB2312"/>
          <w:sz w:val="32"/>
          <w:szCs w:val="32"/>
        </w:rPr>
        <w:t>关于下达202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年药品监管</w:t>
      </w:r>
      <w:r>
        <w:rPr>
          <w:rFonts w:hint="eastAsia" w:ascii="仿宋" w:hAnsi="仿宋" w:eastAsia="仿宋" w:cs="仿宋_GB2312"/>
          <w:sz w:val="32"/>
          <w:szCs w:val="32"/>
          <w:lang w:val="en-US" w:eastAsia="zh-CN"/>
        </w:rPr>
        <w:t>专项</w:t>
      </w:r>
      <w:r>
        <w:rPr>
          <w:rFonts w:hint="eastAsia" w:ascii="仿宋" w:hAnsi="仿宋" w:eastAsia="仿宋" w:cs="仿宋_GB2312"/>
          <w:sz w:val="32"/>
          <w:szCs w:val="32"/>
        </w:rPr>
        <w:t>资金</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应急部分</w:t>
      </w:r>
      <w:r>
        <w:rPr>
          <w:rFonts w:hint="eastAsia" w:ascii="仿宋" w:hAnsi="仿宋" w:eastAsia="仿宋" w:cs="仿宋_GB2312"/>
          <w:sz w:val="32"/>
          <w:szCs w:val="32"/>
          <w:lang w:eastAsia="zh-CN"/>
        </w:rPr>
        <w:t>）</w:t>
      </w:r>
      <w:r>
        <w:rPr>
          <w:rFonts w:hint="eastAsia" w:ascii="仿宋" w:hAnsi="仿宋" w:eastAsia="仿宋" w:cs="仿宋_GB2312"/>
          <w:sz w:val="32"/>
          <w:szCs w:val="32"/>
        </w:rPr>
        <w:t>预算的通知》（遂财行〔202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55</w:t>
      </w:r>
      <w:r>
        <w:rPr>
          <w:rFonts w:hint="eastAsia" w:ascii="仿宋" w:hAnsi="仿宋" w:eastAsia="仿宋" w:cs="仿宋_GB2312"/>
          <w:sz w:val="32"/>
          <w:szCs w:val="32"/>
        </w:rPr>
        <w:t>号）</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下达2022年省级药品监管专项资金20万元</w:t>
      </w:r>
      <w:r>
        <w:rPr>
          <w:rFonts w:hint="eastAsia" w:ascii="仿宋" w:hAnsi="仿宋" w:eastAsia="仿宋" w:cs="仿宋_GB2312"/>
          <w:sz w:val="32"/>
          <w:szCs w:val="32"/>
          <w:lang w:eastAsia="zh-CN"/>
        </w:rPr>
        <w:t>。</w:t>
      </w:r>
    </w:p>
    <w:p w14:paraId="5C9307E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楷体" w:hAnsi="楷体" w:eastAsia="楷体" w:cs="楷体_GB2312"/>
          <w:bCs/>
          <w:sz w:val="32"/>
          <w:szCs w:val="32"/>
        </w:rPr>
      </w:pPr>
      <w:r>
        <w:rPr>
          <w:rFonts w:hint="eastAsia" w:ascii="楷体" w:hAnsi="楷体" w:eastAsia="楷体" w:cs="楷体_GB2312"/>
          <w:bCs/>
          <w:sz w:val="32"/>
          <w:szCs w:val="32"/>
          <w:lang w:eastAsia="zh-CN"/>
        </w:rPr>
        <w:t>（二）</w:t>
      </w:r>
      <w:r>
        <w:rPr>
          <w:rFonts w:hint="eastAsia" w:ascii="楷体" w:hAnsi="楷体" w:eastAsia="楷体" w:cs="楷体_GB2312"/>
          <w:bCs/>
          <w:sz w:val="32"/>
          <w:szCs w:val="32"/>
        </w:rPr>
        <w:t>项目绩效目标</w:t>
      </w:r>
    </w:p>
    <w:p w14:paraId="4744109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省级</w:t>
      </w:r>
      <w:r>
        <w:rPr>
          <w:rFonts w:hint="eastAsia" w:ascii="仿宋" w:hAnsi="仿宋" w:eastAsia="仿宋" w:cs="仿宋_GB2312"/>
          <w:sz w:val="32"/>
          <w:szCs w:val="32"/>
        </w:rPr>
        <w:t>药品监管专项资金主要用于支持开展药品应急救援体系</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应急监管能力</w:t>
      </w:r>
      <w:r>
        <w:rPr>
          <w:rFonts w:hint="eastAsia" w:ascii="仿宋" w:hAnsi="仿宋" w:eastAsia="仿宋" w:cs="仿宋_GB2312"/>
          <w:sz w:val="32"/>
          <w:szCs w:val="32"/>
        </w:rPr>
        <w:t>建设</w:t>
      </w:r>
      <w:r>
        <w:rPr>
          <w:rFonts w:hint="eastAsia" w:ascii="仿宋" w:hAnsi="仿宋" w:eastAsia="仿宋" w:cs="仿宋_GB2312"/>
          <w:sz w:val="32"/>
          <w:szCs w:val="32"/>
          <w:lang w:val="en-US" w:eastAsia="zh-CN"/>
        </w:rPr>
        <w:t>及应急处置等</w:t>
      </w:r>
      <w:r>
        <w:rPr>
          <w:rFonts w:hint="eastAsia" w:ascii="仿宋" w:hAnsi="仿宋" w:eastAsia="仿宋" w:cs="仿宋_GB2312"/>
          <w:sz w:val="32"/>
          <w:szCs w:val="32"/>
        </w:rPr>
        <w:t>相关工作。包括开展基层药品安全风险隐患排查和应急处置，药品应急培训、药械化安全科普知识宣传，设施设备维修，应急设备购置、疫情防控应急</w:t>
      </w:r>
      <w:r>
        <w:rPr>
          <w:rFonts w:hint="eastAsia" w:ascii="仿宋" w:hAnsi="仿宋" w:eastAsia="仿宋" w:cs="仿宋_GB2312"/>
          <w:sz w:val="32"/>
          <w:szCs w:val="32"/>
          <w:lang w:val="en-US" w:eastAsia="zh-CN"/>
        </w:rPr>
        <w:t>演练</w:t>
      </w:r>
      <w:r>
        <w:rPr>
          <w:rFonts w:hint="eastAsia" w:ascii="仿宋" w:hAnsi="仿宋" w:eastAsia="仿宋" w:cs="仿宋_GB2312"/>
          <w:sz w:val="32"/>
          <w:szCs w:val="32"/>
        </w:rPr>
        <w:t>、不合格药品应急处置、药械化不良反应监测及应急调查处置等，全面提升基层药品监管行政机构应对风险的能力。</w:t>
      </w:r>
    </w:p>
    <w:p w14:paraId="360252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color w:val="0000FF"/>
          <w:sz w:val="32"/>
          <w:szCs w:val="32"/>
        </w:rPr>
      </w:pPr>
      <w:r>
        <w:rPr>
          <w:rFonts w:hint="eastAsia" w:ascii="仿宋" w:hAnsi="仿宋" w:eastAsia="仿宋" w:cs="仿宋_GB2312"/>
          <w:sz w:val="32"/>
          <w:szCs w:val="32"/>
        </w:rPr>
        <w:t>定性和定量目标如下：</w:t>
      </w:r>
      <w:r>
        <w:rPr>
          <w:rFonts w:hint="eastAsia" w:ascii="仿宋" w:hAnsi="仿宋" w:eastAsia="仿宋" w:cs="仿宋_GB2312"/>
          <w:color w:val="000000" w:themeColor="text1"/>
          <w:sz w:val="32"/>
          <w:szCs w:val="32"/>
          <w:lang w:val="en-US" w:eastAsia="zh-CN"/>
          <w14:textFill>
            <w14:solidFill>
              <w14:schemeClr w14:val="tx1"/>
            </w14:solidFill>
          </w14:textFill>
        </w:rPr>
        <w:t>药械化安全监管检查覆盖率</w:t>
      </w:r>
      <w:r>
        <w:rPr>
          <w:rFonts w:hint="default" w:ascii="仿宋" w:hAnsi="仿宋" w:eastAsia="仿宋" w:cs="仿宋_GB2312"/>
          <w:color w:val="000000" w:themeColor="text1"/>
          <w:sz w:val="32"/>
          <w:szCs w:val="32"/>
          <w:lang w:val="en-US"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50%，项目工作方案完成率</w:t>
      </w:r>
      <w:r>
        <w:rPr>
          <w:rFonts w:hint="default"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90%，应急演练</w:t>
      </w:r>
      <w:r>
        <w:rPr>
          <w:rFonts w:hint="default"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1次。投诉举报立案处置率</w:t>
      </w:r>
      <w:r>
        <w:rPr>
          <w:rFonts w:hint="default"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90%。</w:t>
      </w:r>
      <w:r>
        <w:rPr>
          <w:rFonts w:hint="eastAsia" w:ascii="仿宋" w:hAnsi="仿宋" w:eastAsia="仿宋" w:cs="仿宋_GB2312"/>
          <w:color w:val="000000" w:themeColor="text1"/>
          <w:sz w:val="32"/>
          <w:szCs w:val="32"/>
          <w14:textFill>
            <w14:solidFill>
              <w14:schemeClr w14:val="tx1"/>
            </w14:solidFill>
          </w14:textFill>
        </w:rPr>
        <w:t>任务完成时间202</w:t>
      </w:r>
      <w:r>
        <w:rPr>
          <w:rFonts w:hint="eastAsia" w:ascii="仿宋" w:hAnsi="仿宋" w:eastAsia="仿宋" w:cs="仿宋_GB2312"/>
          <w:color w:val="000000" w:themeColor="text1"/>
          <w:sz w:val="32"/>
          <w:szCs w:val="32"/>
          <w:lang w:val="en-US" w:eastAsia="zh-CN"/>
          <w14:textFill>
            <w14:solidFill>
              <w14:schemeClr w14:val="tx1"/>
            </w14:solidFill>
          </w14:textFill>
        </w:rPr>
        <w:t>3</w:t>
      </w:r>
      <w:r>
        <w:rPr>
          <w:rFonts w:hint="eastAsia" w:ascii="仿宋" w:hAnsi="仿宋" w:eastAsia="仿宋" w:cs="仿宋_GB2312"/>
          <w:color w:val="000000" w:themeColor="text1"/>
          <w:sz w:val="32"/>
          <w:szCs w:val="32"/>
          <w14:textFill>
            <w14:solidFill>
              <w14:schemeClr w14:val="tx1"/>
            </w14:solidFill>
          </w14:textFill>
        </w:rPr>
        <w:t>年</w:t>
      </w:r>
      <w:r>
        <w:rPr>
          <w:rFonts w:hint="eastAsia" w:ascii="仿宋" w:hAnsi="仿宋" w:eastAsia="仿宋" w:cs="仿宋_GB2312"/>
          <w:color w:val="000000" w:themeColor="text1"/>
          <w:sz w:val="32"/>
          <w:szCs w:val="32"/>
          <w:lang w:val="en-US" w:eastAsia="zh-CN"/>
          <w14:textFill>
            <w14:solidFill>
              <w14:schemeClr w14:val="tx1"/>
            </w14:solidFill>
          </w14:textFill>
        </w:rPr>
        <w:t>6</w:t>
      </w:r>
      <w:r>
        <w:rPr>
          <w:rFonts w:hint="eastAsia" w:ascii="仿宋" w:hAnsi="仿宋" w:eastAsia="仿宋" w:cs="仿宋_GB2312"/>
          <w:color w:val="000000" w:themeColor="text1"/>
          <w:sz w:val="32"/>
          <w:szCs w:val="32"/>
          <w14:textFill>
            <w14:solidFill>
              <w14:schemeClr w14:val="tx1"/>
            </w14:solidFill>
          </w14:textFill>
        </w:rPr>
        <w:t>月</w:t>
      </w:r>
      <w:r>
        <w:rPr>
          <w:rFonts w:hint="eastAsia" w:ascii="仿宋" w:hAnsi="仿宋" w:eastAsia="仿宋" w:cs="仿宋_GB2312"/>
          <w:color w:val="000000" w:themeColor="text1"/>
          <w:sz w:val="32"/>
          <w:szCs w:val="32"/>
          <w:lang w:val="en-US" w:eastAsia="zh-CN"/>
          <w14:textFill>
            <w14:solidFill>
              <w14:schemeClr w14:val="tx1"/>
            </w14:solidFill>
          </w14:textFill>
        </w:rPr>
        <w:t>30</w:t>
      </w:r>
      <w:r>
        <w:rPr>
          <w:rFonts w:hint="eastAsia" w:ascii="仿宋" w:hAnsi="仿宋" w:eastAsia="仿宋" w:cs="仿宋_GB2312"/>
          <w:color w:val="000000" w:themeColor="text1"/>
          <w:sz w:val="32"/>
          <w:szCs w:val="32"/>
          <w14:textFill>
            <w14:solidFill>
              <w14:schemeClr w14:val="tx1"/>
            </w14:solidFill>
          </w14:textFill>
        </w:rPr>
        <w:t>日前</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各类核查检查监管成本</w:t>
      </w:r>
      <w:r>
        <w:rPr>
          <w:rFonts w:hint="default"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6</w:t>
      </w:r>
      <w:r>
        <w:rPr>
          <w:rFonts w:hint="eastAsia" w:ascii="仿宋" w:hAnsi="仿宋" w:eastAsia="仿宋" w:cs="仿宋_GB2312"/>
          <w:color w:val="000000" w:themeColor="text1"/>
          <w:sz w:val="32"/>
          <w:szCs w:val="32"/>
          <w14:textFill>
            <w14:solidFill>
              <w14:schemeClr w14:val="tx1"/>
            </w14:solidFill>
          </w14:textFill>
        </w:rPr>
        <w:t>00</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元/人/天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发生重大及以上药品安全事故数0次</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设施设备资产使用年限</w:t>
      </w:r>
      <w:r>
        <w:rPr>
          <w:rFonts w:hint="default"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5年。</w:t>
      </w:r>
      <w:r>
        <w:rPr>
          <w:rFonts w:hint="eastAsia" w:ascii="仿宋" w:hAnsi="仿宋" w:eastAsia="仿宋" w:cs="仿宋_GB2312"/>
          <w:color w:val="000000" w:themeColor="text1"/>
          <w:sz w:val="32"/>
          <w:szCs w:val="32"/>
          <w14:textFill>
            <w14:solidFill>
              <w14:schemeClr w14:val="tx1"/>
            </w14:solidFill>
          </w14:textFill>
        </w:rPr>
        <w:t>公众对药品</w:t>
      </w:r>
      <w:r>
        <w:rPr>
          <w:rFonts w:hint="eastAsia" w:ascii="仿宋" w:hAnsi="仿宋" w:eastAsia="仿宋" w:cs="仿宋_GB2312"/>
          <w:color w:val="000000" w:themeColor="text1"/>
          <w:sz w:val="32"/>
          <w:szCs w:val="32"/>
          <w:lang w:val="en-US" w:eastAsia="zh-CN"/>
          <w14:textFill>
            <w14:solidFill>
              <w14:schemeClr w14:val="tx1"/>
            </w14:solidFill>
          </w14:textFill>
        </w:rPr>
        <w:t>安全的总体</w:t>
      </w:r>
      <w:r>
        <w:rPr>
          <w:rFonts w:hint="eastAsia" w:ascii="仿宋" w:hAnsi="仿宋" w:eastAsia="仿宋" w:cs="仿宋_GB2312"/>
          <w:color w:val="000000" w:themeColor="text1"/>
          <w:sz w:val="32"/>
          <w:szCs w:val="32"/>
          <w14:textFill>
            <w14:solidFill>
              <w14:schemeClr w14:val="tx1"/>
            </w14:solidFill>
          </w14:textFill>
        </w:rPr>
        <w:t>满意度</w:t>
      </w:r>
      <w:r>
        <w:rPr>
          <w:rFonts w:hint="default"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85</w:t>
      </w:r>
      <w:r>
        <w:rPr>
          <w:rFonts w:hint="eastAsia" w:ascii="仿宋" w:hAnsi="仿宋" w:eastAsia="仿宋" w:cs="仿宋_GB2312"/>
          <w:color w:val="000000" w:themeColor="text1"/>
          <w:sz w:val="32"/>
          <w:szCs w:val="32"/>
          <w14:textFill>
            <w14:solidFill>
              <w14:schemeClr w14:val="tx1"/>
            </w14:solidFill>
          </w14:textFill>
        </w:rPr>
        <w:t>%。</w:t>
      </w:r>
    </w:p>
    <w:p w14:paraId="2093C8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楷体" w:hAnsi="楷体" w:eastAsia="楷体" w:cs="楷体_GB2312"/>
          <w:bCs/>
          <w:sz w:val="32"/>
          <w:szCs w:val="32"/>
          <w:lang w:eastAsia="zh-CN"/>
        </w:rPr>
      </w:pPr>
      <w:r>
        <w:rPr>
          <w:rFonts w:hint="eastAsia" w:ascii="楷体" w:hAnsi="楷体" w:eastAsia="楷体" w:cs="楷体_GB2312"/>
          <w:bCs/>
          <w:sz w:val="32"/>
          <w:szCs w:val="32"/>
          <w:lang w:eastAsia="zh-CN"/>
        </w:rPr>
        <w:t>（三）项目资金申报相符性</w:t>
      </w:r>
    </w:p>
    <w:p w14:paraId="38E6C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项目申报内容与加强我</w:t>
      </w:r>
      <w:r>
        <w:rPr>
          <w:rFonts w:hint="eastAsia" w:ascii="仿宋" w:hAnsi="仿宋" w:eastAsia="仿宋" w:cs="仿宋_GB2312"/>
          <w:sz w:val="32"/>
          <w:szCs w:val="32"/>
          <w:lang w:val="en-US" w:eastAsia="zh-CN"/>
        </w:rPr>
        <w:t>区</w:t>
      </w:r>
      <w:r>
        <w:rPr>
          <w:rFonts w:hint="eastAsia" w:ascii="仿宋" w:hAnsi="仿宋" w:eastAsia="仿宋" w:cs="仿宋_GB2312"/>
          <w:sz w:val="32"/>
          <w:szCs w:val="32"/>
        </w:rPr>
        <w:t>药品（含医疗器械、化妆品，下同）安全监管工作，提升药品安全监管水平相关且与具体实施内容相符</w:t>
      </w:r>
      <w:r>
        <w:rPr>
          <w:rFonts w:hint="eastAsia" w:ascii="仿宋" w:hAnsi="仿宋" w:eastAsia="仿宋" w:cs="仿宋_GB2312"/>
          <w:sz w:val="32"/>
          <w:szCs w:val="32"/>
          <w:lang w:eastAsia="zh-CN"/>
        </w:rPr>
        <w:t>，</w:t>
      </w:r>
      <w:r>
        <w:rPr>
          <w:rFonts w:hint="eastAsia" w:ascii="仿宋" w:hAnsi="仿宋" w:eastAsia="仿宋" w:cs="仿宋_GB2312"/>
          <w:sz w:val="32"/>
          <w:szCs w:val="32"/>
        </w:rPr>
        <w:t>项目决策程序严密，申报目标</w:t>
      </w:r>
      <w:r>
        <w:rPr>
          <w:rFonts w:hint="eastAsia" w:ascii="仿宋" w:hAnsi="仿宋" w:eastAsia="仿宋" w:cs="仿宋_GB2312"/>
          <w:sz w:val="32"/>
          <w:szCs w:val="32"/>
          <w:lang w:eastAsia="zh-CN"/>
        </w:rPr>
        <w:t>规划</w:t>
      </w:r>
      <w:r>
        <w:rPr>
          <w:rFonts w:hint="eastAsia" w:ascii="仿宋" w:hAnsi="仿宋" w:eastAsia="仿宋" w:cs="仿宋_GB2312"/>
          <w:sz w:val="32"/>
          <w:szCs w:val="32"/>
        </w:rPr>
        <w:t>合理</w:t>
      </w:r>
      <w:r>
        <w:rPr>
          <w:rFonts w:hint="eastAsia" w:ascii="仿宋" w:hAnsi="仿宋" w:eastAsia="仿宋" w:cs="仿宋_GB2312"/>
          <w:sz w:val="32"/>
          <w:szCs w:val="32"/>
          <w:lang w:eastAsia="zh-CN"/>
        </w:rPr>
        <w:t>，科学</w:t>
      </w:r>
      <w:r>
        <w:rPr>
          <w:rFonts w:hint="eastAsia" w:ascii="仿宋" w:hAnsi="仿宋" w:eastAsia="仿宋" w:cs="仿宋_GB2312"/>
          <w:sz w:val="32"/>
          <w:szCs w:val="32"/>
        </w:rPr>
        <w:t>可行。</w:t>
      </w:r>
    </w:p>
    <w:p w14:paraId="1EDA8F0B">
      <w:pPr>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 xml:space="preserve">二、项目实施及管理情况 </w:t>
      </w:r>
    </w:p>
    <w:p w14:paraId="2207C5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楷体" w:hAnsi="楷体" w:eastAsia="楷体" w:cs="楷体_GB2312"/>
          <w:bCs/>
          <w:sz w:val="32"/>
          <w:szCs w:val="32"/>
          <w:lang w:eastAsia="zh-CN"/>
        </w:rPr>
      </w:pPr>
      <w:r>
        <w:rPr>
          <w:rFonts w:hint="eastAsia" w:ascii="楷体" w:hAnsi="楷体" w:eastAsia="楷体" w:cs="楷体_GB2312"/>
          <w:bCs/>
          <w:sz w:val="32"/>
          <w:szCs w:val="32"/>
          <w:lang w:eastAsia="zh-CN"/>
        </w:rPr>
        <w:t>（一）资金计划、到位及使用情况</w:t>
      </w:r>
    </w:p>
    <w:p w14:paraId="033BD2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lang w:eastAsia="zh-CN"/>
        </w:rPr>
      </w:pPr>
      <w:r>
        <w:rPr>
          <w:rFonts w:ascii="Times New Roman" w:hAnsi="Times New Roman" w:eastAsia="仿宋_GB2312" w:cs="Times New Roman"/>
          <w:sz w:val="32"/>
          <w:szCs w:val="32"/>
        </w:rPr>
        <w:t>1．</w:t>
      </w:r>
      <w:r>
        <w:rPr>
          <w:rFonts w:hint="eastAsia" w:ascii="仿宋" w:hAnsi="仿宋" w:eastAsia="仿宋" w:cs="仿宋_GB2312"/>
          <w:sz w:val="32"/>
          <w:szCs w:val="32"/>
          <w:lang w:eastAsia="zh-CN"/>
        </w:rPr>
        <w:t>资金计划及到位</w:t>
      </w:r>
    </w:p>
    <w:p w14:paraId="15B5644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2022年</w:t>
      </w:r>
      <w:r>
        <w:rPr>
          <w:rFonts w:hint="eastAsia" w:ascii="仿宋" w:hAnsi="仿宋" w:eastAsia="仿宋" w:cs="仿宋_GB2312"/>
          <w:sz w:val="32"/>
          <w:szCs w:val="32"/>
          <w:lang w:eastAsia="zh-CN"/>
        </w:rPr>
        <w:t>省级药品</w:t>
      </w:r>
      <w:r>
        <w:rPr>
          <w:rFonts w:hint="eastAsia" w:ascii="仿宋" w:hAnsi="仿宋" w:eastAsia="仿宋" w:cs="仿宋_GB2312"/>
          <w:sz w:val="32"/>
          <w:szCs w:val="32"/>
        </w:rPr>
        <w:t>监管</w:t>
      </w:r>
      <w:r>
        <w:rPr>
          <w:rFonts w:hint="eastAsia" w:ascii="仿宋" w:hAnsi="仿宋" w:eastAsia="仿宋" w:cs="仿宋_GB2312"/>
          <w:sz w:val="32"/>
          <w:szCs w:val="32"/>
          <w:lang w:val="en-US" w:eastAsia="zh-CN"/>
        </w:rPr>
        <w:t>专项</w:t>
      </w:r>
      <w:r>
        <w:rPr>
          <w:rFonts w:hint="eastAsia" w:ascii="仿宋" w:hAnsi="仿宋" w:eastAsia="仿宋" w:cs="仿宋_GB2312"/>
          <w:sz w:val="32"/>
          <w:szCs w:val="32"/>
        </w:rPr>
        <w:t>资金计划</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万元，截止评价时点实际到位资金</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rPr>
        <w:t>资金到位率100%，符合资金计划，资金到位及时。</w:t>
      </w:r>
    </w:p>
    <w:p w14:paraId="64E578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 w:hAnsi="仿宋" w:eastAsia="仿宋" w:cs="仿宋_GB2312"/>
          <w:sz w:val="32"/>
          <w:szCs w:val="32"/>
          <w:lang w:eastAsia="zh-CN"/>
        </w:rPr>
        <w:t>预算执行</w:t>
      </w:r>
    </w:p>
    <w:p w14:paraId="185E5A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截止评价时点</w:t>
      </w:r>
      <w:r>
        <w:rPr>
          <w:rFonts w:hint="eastAsia" w:ascii="仿宋" w:hAnsi="仿宋" w:eastAsia="仿宋" w:cs="仿宋_GB2312"/>
          <w:sz w:val="32"/>
          <w:szCs w:val="32"/>
          <w:lang w:eastAsia="zh-CN"/>
        </w:rPr>
        <w:t>省级药品</w:t>
      </w:r>
      <w:r>
        <w:rPr>
          <w:rFonts w:hint="eastAsia" w:ascii="仿宋" w:hAnsi="仿宋" w:eastAsia="仿宋" w:cs="仿宋_GB2312"/>
          <w:sz w:val="32"/>
          <w:szCs w:val="32"/>
        </w:rPr>
        <w:t>监管专项资金实际支出</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万元，资金执行率为100%。</w:t>
      </w:r>
      <w:r>
        <w:rPr>
          <w:rFonts w:hint="eastAsia" w:ascii="仿宋" w:hAnsi="仿宋" w:eastAsia="仿宋" w:cs="仿宋_GB2312"/>
          <w:sz w:val="32"/>
          <w:szCs w:val="32"/>
          <w:lang w:eastAsia="zh-CN"/>
        </w:rPr>
        <w:t>主要用于加强</w:t>
      </w:r>
      <w:r>
        <w:rPr>
          <w:rFonts w:hint="eastAsia" w:ascii="仿宋" w:hAnsi="仿宋" w:eastAsia="仿宋" w:cs="仿宋_GB2312"/>
          <w:sz w:val="32"/>
          <w:szCs w:val="32"/>
          <w:lang w:val="en-US" w:eastAsia="zh-CN"/>
        </w:rPr>
        <w:t>药械化安全监管</w:t>
      </w:r>
      <w:r>
        <w:rPr>
          <w:rFonts w:hint="eastAsia" w:ascii="仿宋" w:hAnsi="仿宋" w:eastAsia="仿宋" w:cs="仿宋_GB2312"/>
          <w:sz w:val="32"/>
          <w:szCs w:val="32"/>
          <w:lang w:eastAsia="zh-CN"/>
        </w:rPr>
        <w:t>，依法查处违法行为，开展各类重点专项整治工作，开展</w:t>
      </w:r>
      <w:r>
        <w:rPr>
          <w:rFonts w:hint="eastAsia" w:ascii="仿宋" w:hAnsi="仿宋" w:eastAsia="仿宋" w:cs="仿宋_GB2312"/>
          <w:sz w:val="32"/>
          <w:szCs w:val="32"/>
          <w:lang w:val="en-US" w:eastAsia="zh-CN"/>
        </w:rPr>
        <w:t>药店疫情防控应急演练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开展药械化安全性监测培训，</w:t>
      </w:r>
      <w:r>
        <w:rPr>
          <w:rFonts w:hint="eastAsia" w:ascii="仿宋" w:hAnsi="仿宋" w:eastAsia="仿宋" w:cs="仿宋_GB2312"/>
          <w:sz w:val="32"/>
          <w:szCs w:val="32"/>
          <w:lang w:eastAsia="zh-CN"/>
        </w:rPr>
        <w:t>开展科普宣传</w:t>
      </w:r>
      <w:r>
        <w:rPr>
          <w:rFonts w:hint="eastAsia" w:ascii="仿宋" w:hAnsi="仿宋" w:eastAsia="仿宋" w:cs="仿宋_GB2312"/>
          <w:sz w:val="32"/>
          <w:szCs w:val="32"/>
          <w:lang w:val="en-US" w:eastAsia="zh-CN"/>
        </w:rPr>
        <w:t>等，</w:t>
      </w:r>
      <w:r>
        <w:rPr>
          <w:rFonts w:hint="eastAsia" w:ascii="仿宋" w:hAnsi="仿宋" w:eastAsia="仿宋" w:cs="仿宋_GB2312"/>
          <w:sz w:val="32"/>
          <w:szCs w:val="32"/>
          <w:lang w:eastAsia="zh-CN"/>
        </w:rPr>
        <w:t>不断提升“两品一械”安全整体水平和公众满意度。</w:t>
      </w:r>
      <w:r>
        <w:rPr>
          <w:rFonts w:hint="eastAsia" w:ascii="仿宋" w:hAnsi="仿宋" w:eastAsia="仿宋" w:cs="仿宋_GB2312"/>
          <w:sz w:val="32"/>
          <w:szCs w:val="32"/>
        </w:rPr>
        <w:t>项目开展严格资金支付范围和条件，进行费用支取，支付依据合法合规，资金支付与预算相符</w:t>
      </w:r>
      <w:r>
        <w:rPr>
          <w:rFonts w:hint="eastAsia" w:ascii="仿宋" w:hAnsi="仿宋" w:eastAsia="仿宋" w:cs="仿宋_GB2312"/>
          <w:sz w:val="32"/>
          <w:szCs w:val="32"/>
          <w:lang w:eastAsia="zh-CN"/>
        </w:rPr>
        <w:t>，做到专款专用，</w:t>
      </w:r>
      <w:r>
        <w:rPr>
          <w:rFonts w:hint="eastAsia" w:ascii="仿宋" w:hAnsi="仿宋" w:eastAsia="仿宋" w:cs="仿宋_GB2312"/>
          <w:sz w:val="32"/>
          <w:szCs w:val="32"/>
          <w:lang w:val="en-US" w:eastAsia="zh-CN"/>
        </w:rPr>
        <w:t>未列支与项目内容无关的费用</w:t>
      </w:r>
      <w:r>
        <w:rPr>
          <w:rFonts w:hint="eastAsia" w:ascii="仿宋" w:hAnsi="仿宋" w:eastAsia="仿宋" w:cs="仿宋_GB2312"/>
          <w:sz w:val="32"/>
          <w:szCs w:val="32"/>
        </w:rPr>
        <w:t>。</w:t>
      </w:r>
    </w:p>
    <w:p w14:paraId="59FA05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楷体" w:hAnsi="楷体" w:eastAsia="楷体" w:cs="楷体_GB2312"/>
          <w:bCs/>
          <w:sz w:val="32"/>
          <w:szCs w:val="32"/>
          <w:lang w:eastAsia="zh-CN"/>
        </w:rPr>
      </w:pPr>
      <w:r>
        <w:rPr>
          <w:rFonts w:hint="eastAsia" w:ascii="楷体" w:hAnsi="楷体" w:eastAsia="楷体" w:cs="楷体_GB2312"/>
          <w:bCs/>
          <w:sz w:val="32"/>
          <w:szCs w:val="32"/>
          <w:lang w:eastAsia="zh-CN"/>
        </w:rPr>
        <w:t>（二）项目财务管理情况</w:t>
      </w:r>
    </w:p>
    <w:p w14:paraId="0799A5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我</w:t>
      </w:r>
      <w:r>
        <w:rPr>
          <w:rFonts w:hint="eastAsia" w:ascii="仿宋" w:hAnsi="仿宋" w:eastAsia="仿宋" w:cs="仿宋_GB2312"/>
          <w:sz w:val="32"/>
          <w:szCs w:val="32"/>
        </w:rPr>
        <w:t>局建立了完善的项目财务管理制度，机构设置合理规范。严格遵守《四川省药品监管专项资金管理办法》规定，严格执行财务管理制度，财务处理及时，会计核算符合规范。</w:t>
      </w:r>
    </w:p>
    <w:p w14:paraId="006E4D7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楷体" w:hAnsi="楷体" w:eastAsia="楷体" w:cs="楷体_GB2312"/>
          <w:bCs/>
          <w:sz w:val="32"/>
          <w:szCs w:val="32"/>
          <w:lang w:eastAsia="zh-CN"/>
        </w:rPr>
      </w:pPr>
      <w:r>
        <w:rPr>
          <w:rFonts w:hint="eastAsia" w:ascii="楷体" w:hAnsi="楷体" w:eastAsia="楷体" w:cs="楷体_GB2312"/>
          <w:bCs/>
          <w:sz w:val="32"/>
          <w:szCs w:val="32"/>
          <w:lang w:eastAsia="zh-CN"/>
        </w:rPr>
        <w:t>（三）项目组织实施情况</w:t>
      </w:r>
    </w:p>
    <w:p w14:paraId="6B57DD6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按照年初上报省级药品监管专项</w:t>
      </w:r>
      <w:r>
        <w:rPr>
          <w:rFonts w:hint="eastAsia" w:ascii="仿宋" w:hAnsi="仿宋" w:eastAsia="仿宋" w:cs="仿宋_GB2312"/>
          <w:sz w:val="32"/>
          <w:szCs w:val="32"/>
          <w:lang w:val="en-US" w:eastAsia="zh-CN"/>
        </w:rPr>
        <w:t>资金</w:t>
      </w:r>
      <w:r>
        <w:rPr>
          <w:rFonts w:hint="eastAsia" w:ascii="仿宋" w:hAnsi="仿宋" w:eastAsia="仿宋" w:cs="仿宋_GB2312"/>
          <w:sz w:val="32"/>
          <w:szCs w:val="32"/>
          <w:lang w:eastAsia="zh-CN"/>
        </w:rPr>
        <w:t>实施方案计划，由</w:t>
      </w:r>
      <w:r>
        <w:rPr>
          <w:rFonts w:hint="eastAsia" w:ascii="仿宋" w:hAnsi="仿宋" w:eastAsia="仿宋" w:cs="仿宋_GB2312"/>
          <w:color w:val="000000" w:themeColor="text1"/>
          <w:sz w:val="32"/>
          <w:szCs w:val="32"/>
          <w:lang w:eastAsia="zh-CN"/>
          <w14:textFill>
            <w14:solidFill>
              <w14:schemeClr w14:val="tx1"/>
            </w14:solidFill>
          </w14:textFill>
        </w:rPr>
        <w:t>药</w:t>
      </w:r>
      <w:r>
        <w:rPr>
          <w:rFonts w:hint="eastAsia" w:ascii="仿宋" w:hAnsi="仿宋" w:eastAsia="仿宋" w:cs="仿宋_GB2312"/>
          <w:color w:val="000000" w:themeColor="text1"/>
          <w:sz w:val="32"/>
          <w:szCs w:val="32"/>
          <w:lang w:val="en-US" w:eastAsia="zh-CN"/>
          <w14:textFill>
            <w14:solidFill>
              <w14:schemeClr w14:val="tx1"/>
            </w14:solidFill>
          </w14:textFill>
        </w:rPr>
        <w:t>械</w:t>
      </w:r>
      <w:r>
        <w:rPr>
          <w:rFonts w:hint="eastAsia" w:ascii="仿宋" w:hAnsi="仿宋" w:eastAsia="仿宋" w:cs="仿宋_GB2312"/>
          <w:color w:val="000000" w:themeColor="text1"/>
          <w:sz w:val="32"/>
          <w:szCs w:val="32"/>
          <w:lang w:eastAsia="zh-CN"/>
          <w14:textFill>
            <w14:solidFill>
              <w14:schemeClr w14:val="tx1"/>
            </w14:solidFill>
          </w14:textFill>
        </w:rPr>
        <w:t>股、综合执法大队、各基层监管所</w:t>
      </w:r>
      <w:r>
        <w:rPr>
          <w:rFonts w:hint="eastAsia" w:ascii="仿宋" w:hAnsi="仿宋" w:eastAsia="仿宋" w:cs="仿宋_GB2312"/>
          <w:sz w:val="32"/>
          <w:szCs w:val="32"/>
          <w:lang w:eastAsia="zh-CN"/>
        </w:rPr>
        <w:t>组织实施，承担管理责任。财务</w:t>
      </w:r>
      <w:r>
        <w:rPr>
          <w:rFonts w:hint="eastAsia" w:ascii="仿宋" w:hAnsi="仿宋" w:eastAsia="仿宋" w:cs="仿宋_GB2312"/>
          <w:sz w:val="32"/>
          <w:szCs w:val="32"/>
          <w:lang w:val="en-US" w:eastAsia="zh-CN"/>
        </w:rPr>
        <w:t>室</w:t>
      </w:r>
      <w:r>
        <w:rPr>
          <w:rFonts w:hint="eastAsia" w:ascii="仿宋" w:hAnsi="仿宋" w:eastAsia="仿宋" w:cs="仿宋_GB2312"/>
          <w:sz w:val="32"/>
          <w:szCs w:val="32"/>
          <w:lang w:eastAsia="zh-CN"/>
        </w:rPr>
        <w:t>负责项目资金使用的监督考核，及时绩效评价，切实提高财政资金使用效益。资金实行专款专用，专项核算，未列支与项目内容无关的费用，切实做好绩效监控和绩效评价，确保资金安全。</w:t>
      </w:r>
    </w:p>
    <w:p w14:paraId="7C1E776C">
      <w:pPr>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三、项目绩效情况</w:t>
      </w:r>
      <w:r>
        <w:rPr>
          <w:rFonts w:hint="eastAsia" w:ascii="黑体" w:hAnsi="黑体" w:eastAsia="黑体" w:cs="黑体"/>
          <w:bCs/>
          <w:kern w:val="2"/>
          <w:sz w:val="32"/>
          <w:szCs w:val="32"/>
          <w:lang w:val="en-US" w:eastAsia="zh-CN" w:bidi="ar-SA"/>
        </w:rPr>
        <w:tab/>
      </w:r>
    </w:p>
    <w:p w14:paraId="5A2B3E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楷体" w:hAnsi="楷体" w:eastAsia="楷体" w:cs="楷体_GB2312"/>
          <w:bCs/>
          <w:sz w:val="32"/>
          <w:szCs w:val="32"/>
          <w:lang w:eastAsia="zh-CN"/>
        </w:rPr>
      </w:pPr>
      <w:r>
        <w:rPr>
          <w:rFonts w:hint="eastAsia" w:ascii="楷体" w:hAnsi="楷体" w:eastAsia="楷体" w:cs="楷体_GB2312"/>
          <w:bCs/>
          <w:sz w:val="32"/>
          <w:szCs w:val="32"/>
          <w:lang w:eastAsia="zh-CN"/>
        </w:rPr>
        <w:t>（一）项目完成情况</w:t>
      </w:r>
    </w:p>
    <w:p w14:paraId="435D28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color w:val="000000" w:themeColor="text1"/>
          <w:sz w:val="32"/>
          <w:szCs w:val="32"/>
          <w:lang w:val="en-US" w:eastAsia="zh-CN"/>
          <w14:textFill>
            <w14:solidFill>
              <w14:schemeClr w14:val="tx1"/>
            </w14:solidFill>
          </w14:textFill>
        </w:rPr>
      </w:pPr>
      <w:r>
        <w:rPr>
          <w:rFonts w:hint="eastAsia" w:ascii="仿宋" w:hAnsi="仿宋" w:eastAsia="仿宋" w:cs="仿宋_GB2312"/>
          <w:sz w:val="32"/>
          <w:szCs w:val="32"/>
          <w:lang w:eastAsia="zh-CN"/>
        </w:rPr>
        <w:t>数量指标：</w:t>
      </w:r>
      <w:r>
        <w:rPr>
          <w:rFonts w:hint="eastAsia" w:ascii="仿宋" w:hAnsi="仿宋" w:eastAsia="仿宋" w:cs="仿宋_GB2312"/>
          <w:color w:val="000000" w:themeColor="text1"/>
          <w:sz w:val="32"/>
          <w:szCs w:val="32"/>
          <w:lang w:val="en-US" w:eastAsia="zh-CN"/>
          <w14:textFill>
            <w14:solidFill>
              <w14:schemeClr w14:val="tx1"/>
            </w14:solidFill>
          </w14:textFill>
        </w:rPr>
        <w:t>药械化安全监管检查覆盖率</w:t>
      </w:r>
      <w:r>
        <w:rPr>
          <w:rFonts w:hint="default" w:ascii="仿宋" w:hAnsi="仿宋" w:eastAsia="仿宋" w:cs="仿宋_GB2312"/>
          <w:color w:val="000000" w:themeColor="text1"/>
          <w:sz w:val="32"/>
          <w:szCs w:val="32"/>
          <w:lang w:val="en-US"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50%，项目工作方案完成率</w:t>
      </w:r>
      <w:r>
        <w:rPr>
          <w:rFonts w:hint="default"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90%，应急演练</w:t>
      </w:r>
      <w:r>
        <w:rPr>
          <w:rFonts w:hint="default"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1次</w:t>
      </w:r>
      <w:r>
        <w:rPr>
          <w:rFonts w:hint="eastAsia" w:ascii="仿宋" w:hAnsi="仿宋" w:eastAsia="仿宋" w:cs="仿宋_GB2312"/>
          <w:color w:val="000000" w:themeColor="text1"/>
          <w:sz w:val="32"/>
          <w:szCs w:val="32"/>
          <w:lang w:eastAsia="zh-CN"/>
          <w14:textFill>
            <w14:solidFill>
              <w14:schemeClr w14:val="tx1"/>
            </w14:solidFill>
          </w14:textFill>
        </w:rPr>
        <w:t>。实际</w:t>
      </w:r>
      <w:r>
        <w:rPr>
          <w:rFonts w:hint="eastAsia" w:ascii="仿宋" w:hAnsi="仿宋" w:eastAsia="仿宋" w:cs="仿宋_GB2312"/>
          <w:color w:val="000000" w:themeColor="text1"/>
          <w:sz w:val="32"/>
          <w:szCs w:val="32"/>
          <w:lang w:val="en-US" w:eastAsia="zh-CN"/>
          <w14:textFill>
            <w14:solidFill>
              <w14:schemeClr w14:val="tx1"/>
            </w14:solidFill>
          </w14:textFill>
        </w:rPr>
        <w:t>完成</w:t>
      </w:r>
      <w:r>
        <w:rPr>
          <w:rFonts w:hint="eastAsia" w:ascii="仿宋" w:hAnsi="仿宋" w:eastAsia="仿宋" w:cs="仿宋_GB2312"/>
          <w:color w:val="000000" w:themeColor="text1"/>
          <w:sz w:val="32"/>
          <w:szCs w:val="32"/>
          <w:lang w:eastAsia="zh-CN"/>
          <w14:textFill>
            <w14:solidFill>
              <w14:schemeClr w14:val="tx1"/>
            </w14:solidFill>
          </w14:textFill>
        </w:rPr>
        <w:t>情况：202</w:t>
      </w:r>
      <w:r>
        <w:rPr>
          <w:rFonts w:hint="eastAsia" w:ascii="仿宋" w:hAnsi="仿宋" w:eastAsia="仿宋" w:cs="仿宋_GB2312"/>
          <w:color w:val="000000" w:themeColor="text1"/>
          <w:sz w:val="32"/>
          <w:szCs w:val="32"/>
          <w:lang w:val="en-US" w:eastAsia="zh-CN"/>
          <w14:textFill>
            <w14:solidFill>
              <w14:schemeClr w14:val="tx1"/>
            </w14:solidFill>
          </w14:textFill>
        </w:rPr>
        <w:t>2</w:t>
      </w:r>
      <w:r>
        <w:rPr>
          <w:rFonts w:hint="eastAsia" w:ascii="仿宋" w:hAnsi="仿宋" w:eastAsia="仿宋" w:cs="仿宋_GB2312"/>
          <w:color w:val="000000" w:themeColor="text1"/>
          <w:sz w:val="32"/>
          <w:szCs w:val="32"/>
          <w:lang w:eastAsia="zh-CN"/>
          <w14:textFill>
            <w14:solidFill>
              <w14:schemeClr w14:val="tx1"/>
            </w14:solidFill>
          </w14:textFill>
        </w:rPr>
        <w:t>年检查药品经营企业、医疗机构</w:t>
      </w:r>
      <w:r>
        <w:rPr>
          <w:rFonts w:hint="eastAsia" w:ascii="仿宋" w:hAnsi="仿宋" w:eastAsia="仿宋" w:cs="仿宋_GB2312"/>
          <w:color w:val="000000" w:themeColor="text1"/>
          <w:sz w:val="32"/>
          <w:szCs w:val="32"/>
          <w:lang w:val="en-US" w:eastAsia="zh-CN"/>
          <w14:textFill>
            <w14:solidFill>
              <w14:schemeClr w14:val="tx1"/>
            </w14:solidFill>
          </w14:textFill>
        </w:rPr>
        <w:t>450</w:t>
      </w:r>
      <w:r>
        <w:rPr>
          <w:rFonts w:hint="eastAsia" w:ascii="仿宋" w:hAnsi="仿宋" w:eastAsia="仿宋" w:cs="仿宋_GB2312"/>
          <w:color w:val="000000" w:themeColor="text1"/>
          <w:sz w:val="32"/>
          <w:szCs w:val="32"/>
          <w:lang w:eastAsia="zh-CN"/>
          <w14:textFill>
            <w14:solidFill>
              <w14:schemeClr w14:val="tx1"/>
            </w14:solidFill>
          </w14:textFill>
        </w:rPr>
        <w:t>余家次，检查化妆品1</w:t>
      </w:r>
      <w:r>
        <w:rPr>
          <w:rFonts w:hint="eastAsia" w:ascii="仿宋" w:hAnsi="仿宋" w:eastAsia="仿宋" w:cs="仿宋_GB2312"/>
          <w:color w:val="000000" w:themeColor="text1"/>
          <w:sz w:val="32"/>
          <w:szCs w:val="32"/>
          <w:lang w:val="en-US" w:eastAsia="zh-CN"/>
          <w14:textFill>
            <w14:solidFill>
              <w14:schemeClr w14:val="tx1"/>
            </w14:solidFill>
          </w14:textFill>
        </w:rPr>
        <w:t>2</w:t>
      </w:r>
      <w:r>
        <w:rPr>
          <w:rFonts w:hint="eastAsia" w:ascii="仿宋" w:hAnsi="仿宋" w:eastAsia="仿宋" w:cs="仿宋_GB2312"/>
          <w:color w:val="000000" w:themeColor="text1"/>
          <w:sz w:val="32"/>
          <w:szCs w:val="32"/>
          <w:lang w:eastAsia="zh-CN"/>
          <w14:textFill>
            <w14:solidFill>
              <w14:schemeClr w14:val="tx1"/>
            </w14:solidFill>
          </w14:textFill>
        </w:rPr>
        <w:t>0余家次，检查医疗器械经营使用单位</w:t>
      </w:r>
      <w:r>
        <w:rPr>
          <w:rFonts w:hint="eastAsia" w:ascii="仿宋" w:hAnsi="仿宋" w:eastAsia="仿宋" w:cs="仿宋_GB2312"/>
          <w:color w:val="000000" w:themeColor="text1"/>
          <w:sz w:val="32"/>
          <w:szCs w:val="32"/>
          <w:lang w:val="en-US" w:eastAsia="zh-CN"/>
          <w14:textFill>
            <w14:solidFill>
              <w14:schemeClr w14:val="tx1"/>
            </w14:solidFill>
          </w14:textFill>
        </w:rPr>
        <w:t>180</w:t>
      </w:r>
      <w:r>
        <w:rPr>
          <w:rFonts w:hint="eastAsia" w:ascii="仿宋" w:hAnsi="仿宋" w:eastAsia="仿宋" w:cs="仿宋_GB2312"/>
          <w:color w:val="000000" w:themeColor="text1"/>
          <w:sz w:val="32"/>
          <w:szCs w:val="32"/>
          <w:lang w:eastAsia="zh-CN"/>
          <w14:textFill>
            <w14:solidFill>
              <w14:schemeClr w14:val="tx1"/>
            </w14:solidFill>
          </w14:textFill>
        </w:rPr>
        <w:t>余家次，</w:t>
      </w:r>
      <w:r>
        <w:rPr>
          <w:rFonts w:hint="eastAsia" w:ascii="仿宋" w:hAnsi="仿宋" w:eastAsia="仿宋" w:cs="仿宋_GB2312"/>
          <w:color w:val="000000" w:themeColor="text1"/>
          <w:sz w:val="32"/>
          <w:szCs w:val="32"/>
          <w:lang w:val="en-US" w:eastAsia="zh-CN"/>
          <w14:textFill>
            <w14:solidFill>
              <w14:schemeClr w14:val="tx1"/>
            </w14:solidFill>
          </w14:textFill>
        </w:rPr>
        <w:t>药械化安全监管检查覆盖率</w:t>
      </w:r>
      <w:r>
        <w:rPr>
          <w:rFonts w:hint="default" w:ascii="仿宋" w:hAnsi="仿宋" w:eastAsia="仿宋" w:cs="仿宋_GB2312"/>
          <w:color w:val="000000" w:themeColor="text1"/>
          <w:sz w:val="32"/>
          <w:szCs w:val="32"/>
          <w:lang w:val="en-US"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80%，项目工作方案完成率100%，组织开展安居区药店新冠病毒疫情防控应急演练1次。</w:t>
      </w:r>
    </w:p>
    <w:p w14:paraId="212942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质量指标：</w:t>
      </w:r>
      <w:r>
        <w:rPr>
          <w:rFonts w:hint="eastAsia" w:ascii="仿宋" w:hAnsi="仿宋" w:eastAsia="仿宋" w:cs="仿宋_GB2312"/>
          <w:color w:val="000000" w:themeColor="text1"/>
          <w:sz w:val="32"/>
          <w:szCs w:val="32"/>
          <w:lang w:val="en-US" w:eastAsia="zh-CN"/>
          <w14:textFill>
            <w14:solidFill>
              <w14:schemeClr w14:val="tx1"/>
            </w14:solidFill>
          </w14:textFill>
        </w:rPr>
        <w:t>投诉举报立案处置率</w:t>
      </w:r>
      <w:r>
        <w:rPr>
          <w:rFonts w:hint="default" w:ascii="仿宋" w:hAnsi="仿宋" w:eastAsia="仿宋" w:cs="仿宋_GB2312"/>
          <w:color w:val="000000" w:themeColor="text1"/>
          <w:sz w:val="32"/>
          <w:szCs w:val="32"/>
          <w:lang w:val="en-US"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90%。实际完成情况：投诉举报立案处置率100%。</w:t>
      </w:r>
    </w:p>
    <w:p w14:paraId="73092D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时效指标：任务完成时间202</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年</w:t>
      </w:r>
      <w:r>
        <w:rPr>
          <w:rFonts w:hint="eastAsia" w:ascii="仿宋" w:hAnsi="仿宋" w:eastAsia="仿宋" w:cs="仿宋_GB2312"/>
          <w:sz w:val="32"/>
          <w:szCs w:val="32"/>
          <w:lang w:val="en-US" w:eastAsia="zh-CN"/>
        </w:rPr>
        <w:t>6</w:t>
      </w:r>
      <w:r>
        <w:rPr>
          <w:rFonts w:hint="eastAsia" w:ascii="仿宋" w:hAnsi="仿宋" w:eastAsia="仿宋" w:cs="仿宋_GB2312"/>
          <w:sz w:val="32"/>
          <w:szCs w:val="32"/>
          <w:lang w:eastAsia="zh-CN"/>
        </w:rPr>
        <w:t>月3</w:t>
      </w:r>
      <w:r>
        <w:rPr>
          <w:rFonts w:hint="eastAsia" w:ascii="仿宋" w:hAnsi="仿宋" w:eastAsia="仿宋" w:cs="仿宋_GB2312"/>
          <w:sz w:val="32"/>
          <w:szCs w:val="32"/>
          <w:lang w:val="en-US" w:eastAsia="zh-CN"/>
        </w:rPr>
        <w:t>0</w:t>
      </w:r>
      <w:r>
        <w:rPr>
          <w:rFonts w:hint="eastAsia" w:ascii="仿宋" w:hAnsi="仿宋" w:eastAsia="仿宋" w:cs="仿宋_GB2312"/>
          <w:sz w:val="32"/>
          <w:szCs w:val="32"/>
          <w:lang w:eastAsia="zh-CN"/>
        </w:rPr>
        <w:t>日前。实际</w:t>
      </w:r>
      <w:r>
        <w:rPr>
          <w:rFonts w:hint="eastAsia" w:ascii="仿宋" w:hAnsi="仿宋" w:eastAsia="仿宋" w:cs="仿宋_GB2312"/>
          <w:sz w:val="32"/>
          <w:szCs w:val="32"/>
          <w:lang w:val="en-US" w:eastAsia="zh-CN"/>
        </w:rPr>
        <w:t>完成</w:t>
      </w:r>
      <w:r>
        <w:rPr>
          <w:rFonts w:hint="eastAsia" w:ascii="仿宋" w:hAnsi="仿宋" w:eastAsia="仿宋" w:cs="仿宋_GB2312"/>
          <w:sz w:val="32"/>
          <w:szCs w:val="32"/>
          <w:lang w:eastAsia="zh-CN"/>
        </w:rPr>
        <w:t>情况：202</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年</w:t>
      </w:r>
      <w:r>
        <w:rPr>
          <w:rFonts w:hint="eastAsia" w:ascii="仿宋" w:hAnsi="仿宋" w:eastAsia="仿宋" w:cs="仿宋_GB2312"/>
          <w:sz w:val="32"/>
          <w:szCs w:val="32"/>
          <w:lang w:val="en-US" w:eastAsia="zh-CN"/>
        </w:rPr>
        <w:t>2月</w:t>
      </w:r>
      <w:r>
        <w:rPr>
          <w:rFonts w:hint="eastAsia" w:ascii="仿宋" w:hAnsi="仿宋" w:eastAsia="仿宋" w:cs="仿宋_GB2312"/>
          <w:sz w:val="32"/>
          <w:szCs w:val="32"/>
          <w:lang w:eastAsia="zh-CN"/>
        </w:rPr>
        <w:t>底</w:t>
      </w:r>
      <w:r>
        <w:rPr>
          <w:rFonts w:hint="eastAsia" w:ascii="仿宋" w:hAnsi="仿宋" w:eastAsia="仿宋" w:cs="仿宋_GB2312"/>
          <w:sz w:val="32"/>
          <w:szCs w:val="32"/>
          <w:lang w:val="en-US" w:eastAsia="zh-CN"/>
        </w:rPr>
        <w:t>该项目已执行完毕</w:t>
      </w:r>
      <w:r>
        <w:rPr>
          <w:rFonts w:hint="eastAsia" w:ascii="仿宋" w:hAnsi="仿宋" w:eastAsia="仿宋" w:cs="仿宋_GB2312"/>
          <w:sz w:val="32"/>
          <w:szCs w:val="32"/>
          <w:lang w:eastAsia="zh-CN"/>
        </w:rPr>
        <w:t>。</w:t>
      </w:r>
    </w:p>
    <w:p w14:paraId="5D0CA9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成本指标：</w:t>
      </w:r>
      <w:r>
        <w:rPr>
          <w:rFonts w:hint="eastAsia" w:ascii="仿宋" w:hAnsi="仿宋" w:eastAsia="仿宋" w:cs="仿宋_GB2312"/>
          <w:color w:val="000000" w:themeColor="text1"/>
          <w:sz w:val="32"/>
          <w:szCs w:val="32"/>
          <w:lang w:val="en-US" w:eastAsia="zh-CN"/>
          <w14:textFill>
            <w14:solidFill>
              <w14:schemeClr w14:val="tx1"/>
            </w14:solidFill>
          </w14:textFill>
        </w:rPr>
        <w:t>各类核查检查监管成本</w:t>
      </w:r>
      <w:r>
        <w:rPr>
          <w:rFonts w:hint="default"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6</w:t>
      </w:r>
      <w:r>
        <w:rPr>
          <w:rFonts w:hint="eastAsia" w:ascii="仿宋" w:hAnsi="仿宋" w:eastAsia="仿宋" w:cs="仿宋_GB2312"/>
          <w:color w:val="000000" w:themeColor="text1"/>
          <w:sz w:val="32"/>
          <w:szCs w:val="32"/>
          <w14:textFill>
            <w14:solidFill>
              <w14:schemeClr w14:val="tx1"/>
            </w14:solidFill>
          </w14:textFill>
        </w:rPr>
        <w:t>00</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元/人/天</w:t>
      </w:r>
      <w:r>
        <w:rPr>
          <w:rFonts w:hint="eastAsia" w:ascii="仿宋" w:hAnsi="仿宋" w:eastAsia="仿宋" w:cs="仿宋_GB2312"/>
          <w:color w:val="000000" w:themeColor="text1"/>
          <w:sz w:val="32"/>
          <w:szCs w:val="32"/>
          <w:lang w:eastAsia="zh-CN"/>
          <w14:textFill>
            <w14:solidFill>
              <w14:schemeClr w14:val="tx1"/>
            </w14:solidFill>
          </w14:textFill>
        </w:rPr>
        <w:t>）。实际</w:t>
      </w:r>
      <w:r>
        <w:rPr>
          <w:rFonts w:hint="eastAsia" w:ascii="仿宋" w:hAnsi="仿宋" w:eastAsia="仿宋" w:cs="仿宋_GB2312"/>
          <w:color w:val="000000" w:themeColor="text1"/>
          <w:sz w:val="32"/>
          <w:szCs w:val="32"/>
          <w:lang w:val="en-US" w:eastAsia="zh-CN"/>
          <w14:textFill>
            <w14:solidFill>
              <w14:schemeClr w14:val="tx1"/>
            </w14:solidFill>
          </w14:textFill>
        </w:rPr>
        <w:t>完成</w:t>
      </w:r>
      <w:r>
        <w:rPr>
          <w:rFonts w:hint="eastAsia" w:ascii="仿宋" w:hAnsi="仿宋" w:eastAsia="仿宋" w:cs="仿宋_GB2312"/>
          <w:color w:val="000000" w:themeColor="text1"/>
          <w:sz w:val="32"/>
          <w:szCs w:val="32"/>
          <w:lang w:eastAsia="zh-CN"/>
          <w14:textFill>
            <w14:solidFill>
              <w14:schemeClr w14:val="tx1"/>
            </w14:solidFill>
          </w14:textFill>
        </w:rPr>
        <w:t>情况：</w:t>
      </w:r>
      <w:r>
        <w:rPr>
          <w:rFonts w:hint="eastAsia" w:ascii="仿宋" w:hAnsi="仿宋" w:eastAsia="仿宋" w:cs="仿宋_GB2312"/>
          <w:color w:val="000000" w:themeColor="text1"/>
          <w:sz w:val="32"/>
          <w:szCs w:val="32"/>
          <w:lang w:val="en-US" w:eastAsia="zh-CN"/>
          <w14:textFill>
            <w14:solidFill>
              <w14:schemeClr w14:val="tx1"/>
            </w14:solidFill>
          </w14:textFill>
        </w:rPr>
        <w:t>药品安全监管成本≤600</w:t>
      </w:r>
      <w:r>
        <w:rPr>
          <w:rFonts w:hint="eastAsia" w:ascii="仿宋" w:hAnsi="仿宋" w:eastAsia="仿宋" w:cs="仿宋_GB2312"/>
          <w:color w:val="000000" w:themeColor="text1"/>
          <w:sz w:val="32"/>
          <w:szCs w:val="32"/>
          <w:lang w:eastAsia="zh-CN"/>
          <w14:textFill>
            <w14:solidFill>
              <w14:schemeClr w14:val="tx1"/>
            </w14:solidFill>
          </w14:textFill>
        </w:rPr>
        <w:t>（元</w:t>
      </w:r>
      <w:r>
        <w:rPr>
          <w:rFonts w:hint="eastAsia" w:ascii="仿宋" w:hAnsi="仿宋" w:eastAsia="仿宋" w:cs="仿宋_GB2312"/>
          <w:color w:val="000000" w:themeColor="text1"/>
          <w:sz w:val="32"/>
          <w:szCs w:val="32"/>
          <w:lang w:val="en-US" w:eastAsia="zh-CN"/>
          <w14:textFill>
            <w14:solidFill>
              <w14:schemeClr w14:val="tx1"/>
            </w14:solidFill>
          </w14:textFill>
        </w:rPr>
        <w:t>/人/天</w:t>
      </w:r>
      <w:r>
        <w:rPr>
          <w:rFonts w:hint="eastAsia" w:ascii="仿宋" w:hAnsi="仿宋" w:eastAsia="仿宋" w:cs="仿宋_GB2312"/>
          <w:color w:val="000000" w:themeColor="text1"/>
          <w:sz w:val="32"/>
          <w:szCs w:val="32"/>
          <w:lang w:eastAsia="zh-CN"/>
          <w14:textFill>
            <w14:solidFill>
              <w14:schemeClr w14:val="tx1"/>
            </w14:solidFill>
          </w14:textFill>
        </w:rPr>
        <w:t>）。</w:t>
      </w:r>
    </w:p>
    <w:p w14:paraId="164EBE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sz w:val="32"/>
          <w:szCs w:val="32"/>
          <w:lang w:eastAsia="zh-CN"/>
        </w:rPr>
        <w:t>社会效益指标：</w:t>
      </w:r>
      <w:r>
        <w:rPr>
          <w:rFonts w:hint="eastAsia" w:ascii="仿宋" w:hAnsi="仿宋" w:eastAsia="仿宋" w:cs="仿宋_GB2312"/>
          <w:color w:val="000000" w:themeColor="text1"/>
          <w:sz w:val="32"/>
          <w:szCs w:val="32"/>
          <w:lang w:val="en-US" w:eastAsia="zh-CN"/>
          <w14:textFill>
            <w14:solidFill>
              <w14:schemeClr w14:val="tx1"/>
            </w14:solidFill>
          </w14:textFill>
        </w:rPr>
        <w:t>发生重大及以上药品安全事故数0次</w:t>
      </w:r>
      <w:r>
        <w:rPr>
          <w:rFonts w:hint="eastAsia" w:ascii="仿宋" w:hAnsi="仿宋" w:eastAsia="仿宋" w:cs="仿宋_GB2312"/>
          <w:color w:val="000000" w:themeColor="text1"/>
          <w:sz w:val="32"/>
          <w:szCs w:val="32"/>
          <w:lang w:eastAsia="zh-CN"/>
          <w14:textFill>
            <w14:solidFill>
              <w14:schemeClr w14:val="tx1"/>
            </w14:solidFill>
          </w14:textFill>
        </w:rPr>
        <w:t>。实际</w:t>
      </w:r>
      <w:r>
        <w:rPr>
          <w:rFonts w:hint="eastAsia" w:ascii="仿宋" w:hAnsi="仿宋" w:eastAsia="仿宋" w:cs="仿宋_GB2312"/>
          <w:color w:val="000000" w:themeColor="text1"/>
          <w:sz w:val="32"/>
          <w:szCs w:val="32"/>
          <w:lang w:val="en-US" w:eastAsia="zh-CN"/>
          <w14:textFill>
            <w14:solidFill>
              <w14:schemeClr w14:val="tx1"/>
            </w14:solidFill>
          </w14:textFill>
        </w:rPr>
        <w:t>完成</w:t>
      </w:r>
      <w:r>
        <w:rPr>
          <w:rFonts w:hint="eastAsia" w:ascii="仿宋" w:hAnsi="仿宋" w:eastAsia="仿宋" w:cs="仿宋_GB2312"/>
          <w:color w:val="000000" w:themeColor="text1"/>
          <w:sz w:val="32"/>
          <w:szCs w:val="32"/>
          <w:lang w:eastAsia="zh-CN"/>
          <w14:textFill>
            <w14:solidFill>
              <w14:schemeClr w14:val="tx1"/>
            </w14:solidFill>
          </w14:textFill>
        </w:rPr>
        <w:t>情况：202</w:t>
      </w:r>
      <w:r>
        <w:rPr>
          <w:rFonts w:hint="eastAsia" w:ascii="仿宋" w:hAnsi="仿宋" w:eastAsia="仿宋" w:cs="仿宋_GB2312"/>
          <w:color w:val="000000" w:themeColor="text1"/>
          <w:sz w:val="32"/>
          <w:szCs w:val="32"/>
          <w:lang w:val="en-US" w:eastAsia="zh-CN"/>
          <w14:textFill>
            <w14:solidFill>
              <w14:schemeClr w14:val="tx1"/>
            </w14:solidFill>
          </w14:textFill>
        </w:rPr>
        <w:t>2</w:t>
      </w:r>
      <w:r>
        <w:rPr>
          <w:rFonts w:hint="eastAsia" w:ascii="仿宋" w:hAnsi="仿宋" w:eastAsia="仿宋" w:cs="仿宋_GB2312"/>
          <w:color w:val="000000" w:themeColor="text1"/>
          <w:sz w:val="32"/>
          <w:szCs w:val="32"/>
          <w:lang w:eastAsia="zh-CN"/>
          <w14:textFill>
            <w14:solidFill>
              <w14:schemeClr w14:val="tx1"/>
            </w14:solidFill>
          </w14:textFill>
        </w:rPr>
        <w:t>年我局开展了</w:t>
      </w:r>
      <w:r>
        <w:rPr>
          <w:rFonts w:hint="eastAsia" w:ascii="仿宋" w:hAnsi="仿宋" w:eastAsia="仿宋" w:cs="仿宋_GB2312"/>
          <w:color w:val="000000" w:themeColor="text1"/>
          <w:sz w:val="32"/>
          <w:szCs w:val="32"/>
          <w:lang w:val="en-US" w:eastAsia="zh-CN"/>
          <w14:textFill>
            <w14:solidFill>
              <w14:schemeClr w14:val="tx1"/>
            </w14:solidFill>
          </w14:textFill>
        </w:rPr>
        <w:t>禁毒宣传入镇村活动，</w:t>
      </w:r>
      <w:r>
        <w:rPr>
          <w:rFonts w:hint="eastAsia" w:ascii="仿宋" w:hAnsi="仿宋" w:eastAsia="仿宋" w:cs="仿宋_GB2312"/>
          <w:color w:val="000000" w:themeColor="text1"/>
          <w:sz w:val="32"/>
          <w:szCs w:val="32"/>
          <w:lang w:eastAsia="zh-CN"/>
          <w14:textFill>
            <w14:solidFill>
              <w14:schemeClr w14:val="tx1"/>
            </w14:solidFill>
          </w14:textFill>
        </w:rPr>
        <w:t>药品</w:t>
      </w:r>
      <w:r>
        <w:rPr>
          <w:rFonts w:hint="eastAsia" w:ascii="仿宋" w:hAnsi="仿宋" w:eastAsia="仿宋" w:cs="仿宋_GB2312"/>
          <w:color w:val="000000" w:themeColor="text1"/>
          <w:sz w:val="32"/>
          <w:szCs w:val="32"/>
          <w:lang w:val="en-US" w:eastAsia="zh-CN"/>
          <w14:textFill>
            <w14:solidFill>
              <w14:schemeClr w14:val="tx1"/>
            </w14:solidFill>
          </w14:textFill>
        </w:rPr>
        <w:t>科技活动周，“安全用妆、携手‘童’行”等宣传活动，</w:t>
      </w:r>
      <w:r>
        <w:rPr>
          <w:rFonts w:hint="eastAsia" w:ascii="仿宋" w:hAnsi="仿宋" w:eastAsia="仿宋" w:cs="仿宋_GB2312"/>
          <w:color w:val="000000" w:themeColor="text1"/>
          <w:sz w:val="32"/>
          <w:szCs w:val="32"/>
          <w:lang w:eastAsia="zh-CN"/>
          <w14:textFill>
            <w14:solidFill>
              <w14:schemeClr w14:val="tx1"/>
            </w14:solidFill>
          </w14:textFill>
        </w:rPr>
        <w:t>通过设立宣传站、咨询台、发放宣传资料等方式向公众大力普及宣传药械化法律法规及安全常识，引导公众参与药械质量安全监督，共创药械安全社会，</w:t>
      </w:r>
      <w:r>
        <w:rPr>
          <w:rFonts w:hint="eastAsia" w:ascii="仿宋" w:hAnsi="仿宋" w:eastAsia="仿宋" w:cs="仿宋_GB2312"/>
          <w:color w:val="000000" w:themeColor="text1"/>
          <w:sz w:val="32"/>
          <w:szCs w:val="32"/>
          <w:lang w:val="en-US" w:eastAsia="zh-CN"/>
          <w14:textFill>
            <w14:solidFill>
              <w14:schemeClr w14:val="tx1"/>
            </w14:solidFill>
          </w14:textFill>
        </w:rPr>
        <w:t>发生重大及以上药品安全事故数0次</w:t>
      </w:r>
      <w:r>
        <w:rPr>
          <w:rFonts w:hint="eastAsia" w:ascii="仿宋" w:hAnsi="仿宋" w:eastAsia="仿宋" w:cs="仿宋_GB2312"/>
          <w:color w:val="000000" w:themeColor="text1"/>
          <w:sz w:val="32"/>
          <w:szCs w:val="32"/>
          <w:lang w:eastAsia="zh-CN"/>
          <w14:textFill>
            <w14:solidFill>
              <w14:schemeClr w14:val="tx1"/>
            </w14:solidFill>
          </w14:textFill>
        </w:rPr>
        <w:t>。</w:t>
      </w:r>
    </w:p>
    <w:p w14:paraId="608254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 w:hAnsi="仿宋" w:eastAsia="仿宋" w:cs="仿宋_GB2312"/>
          <w:color w:val="000000" w:themeColor="text1"/>
          <w:sz w:val="32"/>
          <w:szCs w:val="32"/>
          <w:highlight w:val="green"/>
          <w:lang w:val="en-US" w:eastAsia="zh-CN"/>
          <w14:textFill>
            <w14:solidFill>
              <w14:schemeClr w14:val="tx1"/>
            </w14:solidFill>
          </w14:textFill>
        </w:rPr>
      </w:pP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可持续影响指标：设施设备资产使用年限</w:t>
      </w:r>
      <w:r>
        <w:rPr>
          <w:rFonts w:hint="default" w:ascii="仿宋" w:hAnsi="仿宋" w:eastAsia="仿宋" w:cs="仿宋_GB2312"/>
          <w:color w:val="000000" w:themeColor="text1"/>
          <w:sz w:val="32"/>
          <w:szCs w:val="32"/>
          <w:highlight w:val="none"/>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5年。</w:t>
      </w:r>
      <w:r>
        <w:rPr>
          <w:rFonts w:hint="eastAsia" w:ascii="仿宋" w:hAnsi="仿宋" w:eastAsia="仿宋" w:cs="仿宋_GB2312"/>
          <w:color w:val="000000" w:themeColor="text1"/>
          <w:sz w:val="32"/>
          <w:szCs w:val="32"/>
          <w:highlight w:val="none"/>
          <w:lang w:eastAsia="zh-CN"/>
          <w14:textFill>
            <w14:solidFill>
              <w14:schemeClr w14:val="tx1"/>
            </w14:solidFill>
          </w14:textFill>
        </w:rPr>
        <w:t>实际</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完成</w:t>
      </w:r>
      <w:r>
        <w:rPr>
          <w:rFonts w:hint="eastAsia" w:ascii="仿宋" w:hAnsi="仿宋" w:eastAsia="仿宋" w:cs="仿宋_GB2312"/>
          <w:color w:val="000000" w:themeColor="text1"/>
          <w:sz w:val="32"/>
          <w:szCs w:val="32"/>
          <w:highlight w:val="none"/>
          <w:lang w:eastAsia="zh-CN"/>
          <w14:textFill>
            <w14:solidFill>
              <w14:schemeClr w14:val="tx1"/>
            </w14:solidFill>
          </w14:textFill>
        </w:rPr>
        <w:t>情况：</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设施设备资产使用年限</w:t>
      </w:r>
      <w:r>
        <w:rPr>
          <w:rFonts w:hint="default" w:ascii="仿宋" w:hAnsi="仿宋" w:eastAsia="仿宋" w:cs="仿宋_GB2312"/>
          <w:color w:val="000000" w:themeColor="text1"/>
          <w:sz w:val="32"/>
          <w:szCs w:val="32"/>
          <w:highlight w:val="none"/>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5年。</w:t>
      </w:r>
    </w:p>
    <w:p w14:paraId="697278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服务对象满意度指标：公众对药品</w:t>
      </w:r>
      <w:r>
        <w:rPr>
          <w:rFonts w:hint="eastAsia" w:ascii="仿宋" w:hAnsi="仿宋" w:eastAsia="仿宋" w:cs="仿宋_GB2312"/>
          <w:color w:val="000000" w:themeColor="text1"/>
          <w:sz w:val="32"/>
          <w:szCs w:val="32"/>
          <w:lang w:val="en-US" w:eastAsia="zh-CN"/>
          <w14:textFill>
            <w14:solidFill>
              <w14:schemeClr w14:val="tx1"/>
            </w14:solidFill>
          </w14:textFill>
        </w:rPr>
        <w:t>安全的总体</w:t>
      </w:r>
      <w:r>
        <w:rPr>
          <w:rFonts w:hint="eastAsia" w:ascii="仿宋" w:hAnsi="仿宋" w:eastAsia="仿宋" w:cs="仿宋_GB2312"/>
          <w:color w:val="000000" w:themeColor="text1"/>
          <w:sz w:val="32"/>
          <w:szCs w:val="32"/>
          <w:lang w:eastAsia="zh-CN"/>
          <w14:textFill>
            <w14:solidFill>
              <w14:schemeClr w14:val="tx1"/>
            </w14:solidFill>
          </w14:textFill>
        </w:rPr>
        <w:t>满意度</w:t>
      </w:r>
      <w:r>
        <w:rPr>
          <w:rFonts w:hint="default"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85</w:t>
      </w:r>
      <w:r>
        <w:rPr>
          <w:rFonts w:hint="eastAsia" w:ascii="仿宋" w:hAnsi="仿宋" w:eastAsia="仿宋" w:cs="仿宋_GB2312"/>
          <w:color w:val="000000" w:themeColor="text1"/>
          <w:sz w:val="32"/>
          <w:szCs w:val="32"/>
          <w:lang w:eastAsia="zh-CN"/>
          <w14:textFill>
            <w14:solidFill>
              <w14:schemeClr w14:val="tx1"/>
            </w14:solidFill>
          </w14:textFill>
        </w:rPr>
        <w:t>%。实际</w:t>
      </w:r>
      <w:r>
        <w:rPr>
          <w:rFonts w:hint="eastAsia" w:ascii="仿宋" w:hAnsi="仿宋" w:eastAsia="仿宋" w:cs="仿宋_GB2312"/>
          <w:color w:val="000000" w:themeColor="text1"/>
          <w:sz w:val="32"/>
          <w:szCs w:val="32"/>
          <w:lang w:val="en-US" w:eastAsia="zh-CN"/>
          <w14:textFill>
            <w14:solidFill>
              <w14:schemeClr w14:val="tx1"/>
            </w14:solidFill>
          </w14:textFill>
        </w:rPr>
        <w:t>完成</w:t>
      </w:r>
      <w:r>
        <w:rPr>
          <w:rFonts w:hint="eastAsia" w:ascii="仿宋" w:hAnsi="仿宋" w:eastAsia="仿宋" w:cs="仿宋_GB2312"/>
          <w:color w:val="000000" w:themeColor="text1"/>
          <w:sz w:val="32"/>
          <w:szCs w:val="32"/>
          <w:lang w:eastAsia="zh-CN"/>
          <w14:textFill>
            <w14:solidFill>
              <w14:schemeClr w14:val="tx1"/>
            </w14:solidFill>
          </w14:textFill>
        </w:rPr>
        <w:t>情况：公众对药品</w:t>
      </w:r>
      <w:r>
        <w:rPr>
          <w:rFonts w:hint="eastAsia" w:ascii="仿宋" w:hAnsi="仿宋" w:eastAsia="仿宋" w:cs="仿宋_GB2312"/>
          <w:color w:val="000000" w:themeColor="text1"/>
          <w:sz w:val="32"/>
          <w:szCs w:val="32"/>
          <w:lang w:val="en-US" w:eastAsia="zh-CN"/>
          <w14:textFill>
            <w14:solidFill>
              <w14:schemeClr w14:val="tx1"/>
            </w14:solidFill>
          </w14:textFill>
        </w:rPr>
        <w:t>安全的总体</w:t>
      </w:r>
      <w:r>
        <w:rPr>
          <w:rFonts w:hint="eastAsia" w:ascii="仿宋" w:hAnsi="仿宋" w:eastAsia="仿宋" w:cs="仿宋_GB2312"/>
          <w:color w:val="000000" w:themeColor="text1"/>
          <w:sz w:val="32"/>
          <w:szCs w:val="32"/>
          <w:lang w:eastAsia="zh-CN"/>
          <w14:textFill>
            <w14:solidFill>
              <w14:schemeClr w14:val="tx1"/>
            </w14:solidFill>
          </w14:textFill>
        </w:rPr>
        <w:t>满意度</w:t>
      </w:r>
      <w:r>
        <w:rPr>
          <w:rFonts w:hint="default"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90%</w:t>
      </w:r>
      <w:r>
        <w:rPr>
          <w:rFonts w:hint="eastAsia" w:ascii="仿宋" w:hAnsi="仿宋" w:eastAsia="仿宋" w:cs="仿宋_GB2312"/>
          <w:color w:val="000000" w:themeColor="text1"/>
          <w:sz w:val="32"/>
          <w:szCs w:val="32"/>
          <w:lang w:eastAsia="zh-CN"/>
          <w14:textFill>
            <w14:solidFill>
              <w14:schemeClr w14:val="tx1"/>
            </w14:solidFill>
          </w14:textFill>
        </w:rPr>
        <w:t>。</w:t>
      </w:r>
    </w:p>
    <w:p w14:paraId="11B51A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项目决策程序严密，规划合理，项目开展及时，办理结算支付合法规范，执行到位。</w:t>
      </w:r>
    </w:p>
    <w:p w14:paraId="24FFB61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sz w:val="32"/>
          <w:szCs w:val="32"/>
        </w:rPr>
      </w:pPr>
      <w:r>
        <w:rPr>
          <w:rFonts w:hint="eastAsia" w:ascii="楷体" w:hAnsi="楷体" w:eastAsia="楷体" w:cs="楷体_GB2312"/>
          <w:bCs/>
          <w:sz w:val="32"/>
          <w:szCs w:val="32"/>
          <w:lang w:eastAsia="zh-CN"/>
        </w:rPr>
        <w:t>（二）项目效益情况</w:t>
      </w:r>
    </w:p>
    <w:p w14:paraId="39CBC7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我局始终聚焦公众关注的药械质量安全热点问题，大力开展药械质量安全监管、应急处置，严格落实开展药械化监管工作，严厉打击药械化各类违法违规行为。疫情期间加大防疫药械检查力度，严格监管保安全，保稳定。用最严谨的标准，强化执法检查的“权威”作用；用最严格的监管，强化专项整治的“利器”作用；用最严格的处罚，强化稽查办案的“震慑”作用。强化宣传，共创药械安全社会共治格局。通过设立宣传站、咨询台、发放宣传资料，用多种方式向公众大力普及宣传药械化法律法规及安全常识，引导公众参与药械质量安全监督。</w:t>
      </w:r>
    </w:p>
    <w:p w14:paraId="7613B115">
      <w:pPr>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四、问题及建议</w:t>
      </w:r>
    </w:p>
    <w:p w14:paraId="78EF7448">
      <w:pPr>
        <w:pStyle w:val="32"/>
        <w:keepNext w:val="0"/>
        <w:keepLines w:val="0"/>
        <w:pageBreakBefore w:val="0"/>
        <w:widowControl w:val="0"/>
        <w:numPr>
          <w:ilvl w:val="0"/>
          <w:numId w:val="16"/>
        </w:numPr>
        <w:kinsoku/>
        <w:wordWrap/>
        <w:overflowPunct/>
        <w:topLinePunct w:val="0"/>
        <w:autoSpaceDE/>
        <w:autoSpaceDN/>
        <w:bidi w:val="0"/>
        <w:adjustRightInd/>
        <w:snapToGrid/>
        <w:spacing w:line="578" w:lineRule="exact"/>
        <w:ind w:left="0" w:firstLine="640" w:firstLineChars="200"/>
        <w:textAlignment w:val="auto"/>
        <w:rPr>
          <w:rFonts w:hint="eastAsia" w:ascii="楷体" w:hAnsi="楷体" w:eastAsia="楷体" w:cs="楷体_GB2312"/>
          <w:bCs/>
          <w:kern w:val="2"/>
          <w:sz w:val="32"/>
          <w:szCs w:val="32"/>
          <w:lang w:val="en-US" w:eastAsia="zh-CN" w:bidi="ar-SA"/>
        </w:rPr>
      </w:pPr>
      <w:r>
        <w:rPr>
          <w:rFonts w:hint="eastAsia" w:ascii="楷体" w:hAnsi="楷体" w:eastAsia="楷体" w:cs="楷体_GB2312"/>
          <w:bCs/>
          <w:kern w:val="2"/>
          <w:sz w:val="32"/>
          <w:szCs w:val="32"/>
          <w:lang w:val="en-US" w:eastAsia="zh-CN" w:bidi="ar-SA"/>
        </w:rPr>
        <w:t>存在的问题</w:t>
      </w:r>
    </w:p>
    <w:p w14:paraId="6D621C7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药械化监管的专业性强，而基层监管人员来自各个部门，专业人才缺乏，因监管面广、量大、链条长、任务重，监管人员缺少时间学习，也缺乏学习自觉性，监管显得力不从心。</w:t>
      </w:r>
    </w:p>
    <w:p w14:paraId="50ECEF3C">
      <w:pPr>
        <w:keepNext w:val="0"/>
        <w:keepLines w:val="0"/>
        <w:pageBreakBefore w:val="0"/>
        <w:widowControl w:val="0"/>
        <w:numPr>
          <w:ilvl w:val="0"/>
          <w:numId w:val="16"/>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_GB2312"/>
          <w:bCs/>
          <w:kern w:val="2"/>
          <w:sz w:val="32"/>
          <w:szCs w:val="32"/>
          <w:lang w:val="en-US" w:eastAsia="zh-CN" w:bidi="ar-SA"/>
        </w:rPr>
      </w:pPr>
      <w:r>
        <w:rPr>
          <w:rFonts w:hint="eastAsia" w:ascii="楷体" w:hAnsi="楷体" w:eastAsia="楷体" w:cs="楷体_GB2312"/>
          <w:bCs/>
          <w:kern w:val="2"/>
          <w:sz w:val="32"/>
          <w:szCs w:val="32"/>
          <w:lang w:val="en-US" w:eastAsia="zh-CN" w:bidi="ar-SA"/>
        </w:rPr>
        <w:t>相关建议</w:t>
      </w:r>
    </w:p>
    <w:p w14:paraId="7EBD559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上级部门加强对基层药械化监管人员的培训，提升基层药械化监管人员的监管能力和水平。</w:t>
      </w:r>
    </w:p>
    <w:p w14:paraId="12363E2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eastAsiaTheme="minorEastAsia"/>
          <w:lang w:eastAsia="zh-CN"/>
        </w:rPr>
      </w:pPr>
      <w:r>
        <w:rPr>
          <w:rFonts w:hint="eastAsia" w:ascii="仿宋" w:hAnsi="仿宋" w:eastAsia="仿宋" w:cs="仿宋_GB2312"/>
          <w:sz w:val="32"/>
          <w:szCs w:val="32"/>
          <w:lang w:val="en-US" w:eastAsia="zh-CN"/>
        </w:rPr>
        <w:t>附件：部门预算项目支出绩效自评表（2023年度）</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255"/>
        <w:gridCol w:w="1093"/>
        <w:gridCol w:w="1395"/>
        <w:gridCol w:w="366"/>
        <w:gridCol w:w="1044"/>
        <w:gridCol w:w="366"/>
        <w:gridCol w:w="849"/>
        <w:gridCol w:w="525"/>
        <w:gridCol w:w="465"/>
        <w:gridCol w:w="1322"/>
      </w:tblGrid>
      <w:tr w14:paraId="2205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9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D636EA">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8"/>
                <w:szCs w:val="18"/>
                <w:u w:val="none"/>
                <w:lang w:val="en-US" w:eastAsia="zh-CN" w:bidi="ar"/>
              </w:rPr>
              <w:t>部门预算项目支出绩效自评表（2023年度）</w:t>
            </w:r>
          </w:p>
        </w:tc>
      </w:tr>
      <w:tr w14:paraId="0A92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75A2D">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项目名称</w:t>
            </w:r>
          </w:p>
        </w:tc>
        <w:tc>
          <w:tcPr>
            <w:tcW w:w="74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80E375">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51090424T000011217970-2022年省级药品监管专项资金（应急部分）</w:t>
            </w:r>
          </w:p>
        </w:tc>
      </w:tr>
      <w:tr w14:paraId="2972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0D3EC">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主管部门</w:t>
            </w:r>
          </w:p>
        </w:tc>
        <w:tc>
          <w:tcPr>
            <w:tcW w:w="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0CE55">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遂宁市安居区市场监督管理局部门</w:t>
            </w:r>
          </w:p>
        </w:tc>
        <w:tc>
          <w:tcPr>
            <w:tcW w:w="849" w:type="dxa"/>
            <w:tcBorders>
              <w:top w:val="nil"/>
              <w:left w:val="nil"/>
              <w:bottom w:val="nil"/>
              <w:right w:val="nil"/>
            </w:tcBorders>
            <w:shd w:val="clear" w:color="auto" w:fill="auto"/>
            <w:vAlign w:val="center"/>
          </w:tcPr>
          <w:p w14:paraId="0BDF9368">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实施单位 （盖章）</w:t>
            </w:r>
          </w:p>
        </w:tc>
        <w:tc>
          <w:tcPr>
            <w:tcW w:w="2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7C1C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遂宁市安居区市场监督管理局</w:t>
            </w:r>
          </w:p>
        </w:tc>
      </w:tr>
      <w:tr w14:paraId="0D77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A1F40">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项目基本情况</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9E107">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1.项目年度目标完成情况</w:t>
            </w:r>
          </w:p>
        </w:tc>
        <w:tc>
          <w:tcPr>
            <w:tcW w:w="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9F64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项目年度目标</w:t>
            </w:r>
          </w:p>
        </w:tc>
        <w:tc>
          <w:tcPr>
            <w:tcW w:w="3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48DD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年度目标完成情况</w:t>
            </w:r>
          </w:p>
        </w:tc>
      </w:tr>
      <w:tr w14:paraId="2FA3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4588">
            <w:pPr>
              <w:rPr>
                <w:rFonts w:hint="eastAsia" w:ascii="仿宋" w:hAnsi="仿宋" w:eastAsia="仿宋" w:cs="仿宋"/>
                <w:i w:val="0"/>
                <w:iCs w:val="0"/>
                <w:color w:val="000000"/>
                <w:sz w:val="15"/>
                <w:szCs w:val="15"/>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A87F">
            <w:pPr>
              <w:rPr>
                <w:rFonts w:hint="eastAsia" w:ascii="仿宋" w:hAnsi="仿宋" w:eastAsia="仿宋" w:cs="仿宋"/>
                <w:i w:val="0"/>
                <w:iCs w:val="0"/>
                <w:color w:val="000000"/>
                <w:sz w:val="15"/>
                <w:szCs w:val="15"/>
                <w:u w:val="none"/>
              </w:rPr>
            </w:pPr>
          </w:p>
        </w:tc>
        <w:tc>
          <w:tcPr>
            <w:tcW w:w="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5F2F6">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目标1：加强对药械化安全监管及风险大排查，确保群众安全；</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目标2：开展疫情防控应急演练，加强对应急处置能力；</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目标3：提升公众对药品安全的满意度</w:t>
            </w:r>
          </w:p>
        </w:tc>
        <w:tc>
          <w:tcPr>
            <w:tcW w:w="3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686A7">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全面完成了药械化监督检查，投诉举报立案处置率100%，发生重大及以上药品安全事故数0次</w:t>
            </w:r>
          </w:p>
        </w:tc>
      </w:tr>
      <w:tr w14:paraId="5431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0059A">
            <w:pP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E233">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2.项目实施内容及过程概述</w:t>
            </w:r>
          </w:p>
        </w:tc>
        <w:tc>
          <w:tcPr>
            <w:tcW w:w="74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1864A4">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开展基层药品安全风险隐患排查和应急处置，药品应急培训、药械化安全科普知识宣传、办公场所修缮，设施设备维修，应急设备购置、疫情防控物资储备以及开展药械化应急监管、不合格药品应急处置、药械化不良反应监测及应急调查处置等，全面提升基层药品监管行政机构应对风险的能力。</w:t>
            </w:r>
          </w:p>
        </w:tc>
      </w:tr>
      <w:tr w14:paraId="1664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6097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预算执行情况（10分）</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91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年度预算数（万元）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72D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年初预算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899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调整后预算数</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8EAC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预算执行数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356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预算执行率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508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权重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D46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得分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4C6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原因</w:t>
            </w:r>
          </w:p>
        </w:tc>
      </w:tr>
      <w:tr w14:paraId="7164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C2A5">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A6A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总额</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6EF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2A4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20.00</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912A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6B8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041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60F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88967">
            <w:pPr>
              <w:rPr>
                <w:rFonts w:hint="eastAsia" w:ascii="仿宋" w:hAnsi="仿宋" w:eastAsia="仿宋" w:cs="仿宋"/>
                <w:i/>
                <w:iCs/>
                <w:color w:val="000000"/>
                <w:sz w:val="15"/>
                <w:szCs w:val="15"/>
                <w:u w:val="none"/>
              </w:rPr>
            </w:pPr>
          </w:p>
        </w:tc>
      </w:tr>
      <w:tr w14:paraId="5544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A13E7">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0F1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其中：财政资金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CA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22E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20.00</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E929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10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B5A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01B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D4EF">
            <w:pPr>
              <w:rPr>
                <w:rFonts w:hint="eastAsia" w:ascii="仿宋" w:hAnsi="仿宋" w:eastAsia="仿宋" w:cs="仿宋"/>
                <w:i/>
                <w:iCs/>
                <w:color w:val="000000"/>
                <w:sz w:val="15"/>
                <w:szCs w:val="15"/>
                <w:u w:val="none"/>
              </w:rPr>
            </w:pPr>
          </w:p>
        </w:tc>
      </w:tr>
      <w:tr w14:paraId="5483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297F">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5FA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财政专户管理资金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4F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516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583D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63C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52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768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0E85">
            <w:pPr>
              <w:rPr>
                <w:rFonts w:hint="eastAsia" w:ascii="仿宋" w:hAnsi="仿宋" w:eastAsia="仿宋" w:cs="仿宋"/>
                <w:i/>
                <w:iCs/>
                <w:color w:val="000000"/>
                <w:sz w:val="15"/>
                <w:szCs w:val="15"/>
                <w:u w:val="none"/>
              </w:rPr>
            </w:pPr>
          </w:p>
        </w:tc>
      </w:tr>
      <w:tr w14:paraId="3F03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8012">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12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单位资金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EF3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564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4CEA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F9C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1E0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C5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DA32">
            <w:pPr>
              <w:rPr>
                <w:rFonts w:hint="eastAsia" w:ascii="仿宋" w:hAnsi="仿宋" w:eastAsia="仿宋" w:cs="仿宋"/>
                <w:i/>
                <w:iCs/>
                <w:color w:val="000000"/>
                <w:sz w:val="15"/>
                <w:szCs w:val="15"/>
                <w:u w:val="none"/>
              </w:rPr>
            </w:pPr>
          </w:p>
        </w:tc>
      </w:tr>
      <w:tr w14:paraId="7249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FACE">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C1A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其他资金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4204">
            <w:pPr>
              <w:jc w:val="center"/>
              <w:rPr>
                <w:rFonts w:hint="eastAsia" w:ascii="仿宋" w:hAnsi="仿宋" w:eastAsia="仿宋" w:cs="仿宋"/>
                <w:i/>
                <w:iCs/>
                <w:color w:val="000000"/>
                <w:sz w:val="15"/>
                <w:szCs w:val="15"/>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707A">
            <w:pPr>
              <w:jc w:val="center"/>
              <w:rPr>
                <w:rFonts w:hint="eastAsia" w:ascii="仿宋" w:hAnsi="仿宋" w:eastAsia="仿宋" w:cs="仿宋"/>
                <w:i/>
                <w:iCs/>
                <w:color w:val="000000"/>
                <w:sz w:val="15"/>
                <w:szCs w:val="15"/>
                <w:u w:val="none"/>
              </w:rPr>
            </w:pP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5548A">
            <w:pPr>
              <w:jc w:val="center"/>
              <w:rPr>
                <w:rFonts w:hint="eastAsia" w:ascii="仿宋" w:hAnsi="仿宋" w:eastAsia="仿宋" w:cs="仿宋"/>
                <w:i/>
                <w:iCs/>
                <w:color w:val="000000"/>
                <w:sz w:val="15"/>
                <w:szCs w:val="15"/>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677D">
            <w:pPr>
              <w:jc w:val="center"/>
              <w:rPr>
                <w:rFonts w:hint="eastAsia" w:ascii="仿宋" w:hAnsi="仿宋" w:eastAsia="仿宋" w:cs="仿宋"/>
                <w:i/>
                <w:iCs/>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B4F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A15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CE37">
            <w:pPr>
              <w:rPr>
                <w:rFonts w:hint="eastAsia" w:ascii="仿宋" w:hAnsi="仿宋" w:eastAsia="仿宋" w:cs="仿宋"/>
                <w:i/>
                <w:iCs/>
                <w:color w:val="000000"/>
                <w:sz w:val="15"/>
                <w:szCs w:val="15"/>
                <w:u w:val="none"/>
              </w:rPr>
            </w:pPr>
          </w:p>
        </w:tc>
      </w:tr>
      <w:tr w14:paraId="187B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4C72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绩效指标（90分）</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73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一级指标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516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二级指标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C1E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三级指标</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14F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指标性质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C37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指标值</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81F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度量单位</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D6E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完成值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A55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权重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A1EC">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得分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D11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未完成原因分析</w:t>
            </w:r>
          </w:p>
        </w:tc>
      </w:tr>
      <w:tr w14:paraId="573C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A11A">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40B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产出指标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C79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FAF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药械化安全监管检查覆盖率</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3CE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43F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22B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F3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047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4289">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0BF5C">
            <w:pPr>
              <w:jc w:val="center"/>
              <w:rPr>
                <w:rFonts w:hint="eastAsia" w:ascii="仿宋" w:hAnsi="仿宋" w:eastAsia="仿宋" w:cs="仿宋"/>
                <w:i w:val="0"/>
                <w:iCs w:val="0"/>
                <w:color w:val="000000"/>
                <w:sz w:val="15"/>
                <w:szCs w:val="15"/>
                <w:u w:val="none"/>
              </w:rPr>
            </w:pPr>
          </w:p>
        </w:tc>
      </w:tr>
      <w:tr w14:paraId="640A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38D82">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3AF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产出指标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A22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E59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项目工作方案完成率</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3F5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258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B31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91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76E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6F1F">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4C38A">
            <w:pPr>
              <w:jc w:val="center"/>
              <w:rPr>
                <w:rFonts w:hint="eastAsia" w:ascii="仿宋" w:hAnsi="仿宋" w:eastAsia="仿宋" w:cs="仿宋"/>
                <w:i w:val="0"/>
                <w:iCs w:val="0"/>
                <w:color w:val="000000"/>
                <w:sz w:val="15"/>
                <w:szCs w:val="15"/>
                <w:u w:val="none"/>
              </w:rPr>
            </w:pPr>
          </w:p>
        </w:tc>
      </w:tr>
      <w:tr w14:paraId="579D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2E2E">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86B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产出指标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3BE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2F8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应急演练数（次）</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3D3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5A9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CD9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次</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AC3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DFE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7611">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A241">
            <w:pPr>
              <w:jc w:val="center"/>
              <w:rPr>
                <w:rFonts w:hint="eastAsia" w:ascii="仿宋" w:hAnsi="仿宋" w:eastAsia="仿宋" w:cs="仿宋"/>
                <w:i w:val="0"/>
                <w:iCs w:val="0"/>
                <w:color w:val="000000"/>
                <w:sz w:val="15"/>
                <w:szCs w:val="15"/>
                <w:u w:val="none"/>
              </w:rPr>
            </w:pPr>
          </w:p>
        </w:tc>
      </w:tr>
      <w:tr w14:paraId="356A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E19C">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599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产出指标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05E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质量指标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62A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投诉举报立案处置率</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C7C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640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E1F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97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834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5C72">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89B0">
            <w:pPr>
              <w:jc w:val="center"/>
              <w:rPr>
                <w:rFonts w:hint="eastAsia" w:ascii="仿宋" w:hAnsi="仿宋" w:eastAsia="仿宋" w:cs="仿宋"/>
                <w:i w:val="0"/>
                <w:iCs w:val="0"/>
                <w:color w:val="000000"/>
                <w:sz w:val="15"/>
                <w:szCs w:val="15"/>
                <w:u w:val="none"/>
              </w:rPr>
            </w:pPr>
          </w:p>
        </w:tc>
      </w:tr>
      <w:tr w14:paraId="21E0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D1BC">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640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产出指标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2DA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时效指标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66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项目完成时限</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A29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完成时间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4F3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2023年6月30日前</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3247">
            <w:pPr>
              <w:jc w:val="center"/>
              <w:rPr>
                <w:rFonts w:hint="eastAsia" w:ascii="仿宋" w:hAnsi="仿宋" w:eastAsia="仿宋" w:cs="仿宋"/>
                <w:i w:val="0"/>
                <w:iCs w:val="0"/>
                <w:color w:val="000000"/>
                <w:sz w:val="15"/>
                <w:szCs w:val="15"/>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637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2023年6月30日前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635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F707">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A678">
            <w:pPr>
              <w:jc w:val="center"/>
              <w:rPr>
                <w:rFonts w:hint="eastAsia" w:ascii="仿宋" w:hAnsi="仿宋" w:eastAsia="仿宋" w:cs="仿宋"/>
                <w:i w:val="0"/>
                <w:iCs w:val="0"/>
                <w:color w:val="000000"/>
                <w:sz w:val="15"/>
                <w:szCs w:val="15"/>
                <w:u w:val="none"/>
              </w:rPr>
            </w:pPr>
          </w:p>
        </w:tc>
      </w:tr>
      <w:tr w14:paraId="73D5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9D0F">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77B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产出指标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176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成本指标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468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各类核查检查监管成本</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407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673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≤600元</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EA65">
            <w:pPr>
              <w:jc w:val="center"/>
              <w:rPr>
                <w:rFonts w:hint="eastAsia" w:ascii="仿宋" w:hAnsi="仿宋" w:eastAsia="仿宋" w:cs="仿宋"/>
                <w:i w:val="0"/>
                <w:iCs w:val="0"/>
                <w:color w:val="000000"/>
                <w:sz w:val="15"/>
                <w:szCs w:val="15"/>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070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≤600元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BCF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0CCA">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9E66">
            <w:pPr>
              <w:jc w:val="center"/>
              <w:rPr>
                <w:rFonts w:hint="eastAsia" w:ascii="仿宋" w:hAnsi="仿宋" w:eastAsia="仿宋" w:cs="仿宋"/>
                <w:i w:val="0"/>
                <w:iCs w:val="0"/>
                <w:color w:val="000000"/>
                <w:sz w:val="15"/>
                <w:szCs w:val="15"/>
                <w:u w:val="none"/>
              </w:rPr>
            </w:pPr>
          </w:p>
        </w:tc>
      </w:tr>
      <w:tr w14:paraId="2DD2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14E2">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B01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效益指标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4CE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社会效益指标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A92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发生重大及以上药品安全事故数</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A3A7">
            <w:pPr>
              <w:jc w:val="center"/>
              <w:rPr>
                <w:rFonts w:hint="eastAsia" w:ascii="仿宋" w:hAnsi="仿宋" w:eastAsia="仿宋" w:cs="仿宋"/>
                <w:i w:val="0"/>
                <w:iCs w:val="0"/>
                <w:color w:val="000000"/>
                <w:sz w:val="15"/>
                <w:szCs w:val="15"/>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5DA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A452">
            <w:pPr>
              <w:jc w:val="center"/>
              <w:rPr>
                <w:rFonts w:hint="eastAsia" w:ascii="仿宋" w:hAnsi="仿宋" w:eastAsia="仿宋" w:cs="仿宋"/>
                <w:i w:val="0"/>
                <w:iCs w:val="0"/>
                <w:color w:val="000000"/>
                <w:sz w:val="15"/>
                <w:szCs w:val="15"/>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86D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D4A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3FC">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72BF">
            <w:pPr>
              <w:jc w:val="center"/>
              <w:rPr>
                <w:rFonts w:hint="eastAsia" w:ascii="仿宋" w:hAnsi="仿宋" w:eastAsia="仿宋" w:cs="仿宋"/>
                <w:i w:val="0"/>
                <w:iCs w:val="0"/>
                <w:color w:val="000000"/>
                <w:sz w:val="15"/>
                <w:szCs w:val="15"/>
                <w:u w:val="none"/>
              </w:rPr>
            </w:pPr>
          </w:p>
        </w:tc>
      </w:tr>
      <w:tr w14:paraId="61BE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989C">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979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效益指标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3E8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可持续影响指标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4C1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设施设备资产使用年限</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AE9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5D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BAA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年</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EF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295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B929">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52E8">
            <w:pPr>
              <w:jc w:val="center"/>
              <w:rPr>
                <w:rFonts w:hint="eastAsia" w:ascii="仿宋" w:hAnsi="仿宋" w:eastAsia="仿宋" w:cs="仿宋"/>
                <w:i w:val="0"/>
                <w:iCs w:val="0"/>
                <w:color w:val="000000"/>
                <w:sz w:val="15"/>
                <w:szCs w:val="15"/>
                <w:u w:val="none"/>
              </w:rPr>
            </w:pPr>
          </w:p>
        </w:tc>
      </w:tr>
      <w:tr w14:paraId="5D1C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DA30">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8FD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满意度指标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C3E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85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公众对药品安全的总体满意度</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3B2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EC4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85</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452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457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0AB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19D0">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10</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80F99">
            <w:pPr>
              <w:jc w:val="center"/>
              <w:rPr>
                <w:rFonts w:hint="eastAsia" w:ascii="仿宋" w:hAnsi="仿宋" w:eastAsia="仿宋" w:cs="仿宋"/>
                <w:i w:val="0"/>
                <w:iCs w:val="0"/>
                <w:color w:val="000000"/>
                <w:sz w:val="15"/>
                <w:szCs w:val="15"/>
                <w:u w:val="none"/>
              </w:rPr>
            </w:pPr>
          </w:p>
        </w:tc>
      </w:tr>
      <w:tr w14:paraId="030E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4CD5">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E39E">
            <w:pPr>
              <w:jc w:val="center"/>
              <w:rPr>
                <w:rFonts w:hint="eastAsia" w:ascii="仿宋" w:hAnsi="仿宋" w:eastAsia="仿宋" w:cs="仿宋"/>
                <w:i w:val="0"/>
                <w:iCs w:val="0"/>
                <w:color w:val="000000"/>
                <w:sz w:val="15"/>
                <w:szCs w:val="15"/>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20E6">
            <w:pPr>
              <w:jc w:val="center"/>
              <w:rPr>
                <w:rFonts w:hint="eastAsia" w:ascii="仿宋" w:hAnsi="仿宋" w:eastAsia="仿宋" w:cs="仿宋"/>
                <w:i w:val="0"/>
                <w:iCs w:val="0"/>
                <w:color w:val="000000"/>
                <w:sz w:val="15"/>
                <w:szCs w:val="15"/>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4D3E">
            <w:pPr>
              <w:jc w:val="center"/>
              <w:rPr>
                <w:rFonts w:hint="eastAsia" w:ascii="仿宋" w:hAnsi="仿宋" w:eastAsia="仿宋" w:cs="仿宋"/>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C369">
            <w:pPr>
              <w:jc w:val="center"/>
              <w:rPr>
                <w:rFonts w:hint="eastAsia" w:ascii="仿宋" w:hAnsi="仿宋" w:eastAsia="仿宋" w:cs="仿宋"/>
                <w:i w:val="0"/>
                <w:iCs w:val="0"/>
                <w:color w:val="000000"/>
                <w:sz w:val="15"/>
                <w:szCs w:val="15"/>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A3BC">
            <w:pPr>
              <w:jc w:val="center"/>
              <w:rPr>
                <w:rFonts w:hint="eastAsia" w:ascii="仿宋" w:hAnsi="仿宋" w:eastAsia="仿宋" w:cs="仿宋"/>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28B8">
            <w:pPr>
              <w:jc w:val="center"/>
              <w:rPr>
                <w:rFonts w:hint="eastAsia" w:ascii="仿宋" w:hAnsi="仿宋" w:eastAsia="仿宋" w:cs="仿宋"/>
                <w:i w:val="0"/>
                <w:iCs w:val="0"/>
                <w:color w:val="000000"/>
                <w:sz w:val="15"/>
                <w:szCs w:val="15"/>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4C1A">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86D5">
            <w:pPr>
              <w:jc w:val="center"/>
              <w:rPr>
                <w:rFonts w:hint="eastAsia" w:ascii="仿宋" w:hAnsi="仿宋" w:eastAsia="仿宋" w:cs="仿宋"/>
                <w:i w:val="0"/>
                <w:iCs w:val="0"/>
                <w:color w:val="000000"/>
                <w:sz w:val="15"/>
                <w:szCs w:val="15"/>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7249">
            <w:pPr>
              <w:jc w:val="center"/>
              <w:rPr>
                <w:rFonts w:hint="eastAsia" w:ascii="仿宋" w:hAnsi="仿宋" w:eastAsia="仿宋" w:cs="仿宋"/>
                <w:sz w:val="15"/>
                <w:szCs w:val="15"/>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3EBC">
            <w:pPr>
              <w:jc w:val="center"/>
              <w:rPr>
                <w:rFonts w:hint="eastAsia" w:ascii="仿宋" w:hAnsi="仿宋" w:eastAsia="仿宋" w:cs="仿宋"/>
                <w:i w:val="0"/>
                <w:iCs w:val="0"/>
                <w:color w:val="000000"/>
                <w:sz w:val="15"/>
                <w:szCs w:val="15"/>
                <w:u w:val="none"/>
              </w:rPr>
            </w:pPr>
          </w:p>
        </w:tc>
      </w:tr>
      <w:tr w14:paraId="154F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335DF">
            <w:pPr>
              <w:jc w:val="center"/>
              <w:rPr>
                <w:rFonts w:hint="eastAsia" w:ascii="仿宋" w:hAnsi="仿宋" w:eastAsia="仿宋" w:cs="仿宋"/>
                <w:i w:val="0"/>
                <w:iCs w:val="0"/>
                <w:color w:val="000000"/>
                <w:sz w:val="15"/>
                <w:szCs w:val="15"/>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1D8E">
            <w:pPr>
              <w:jc w:val="center"/>
              <w:rPr>
                <w:rFonts w:hint="eastAsia" w:ascii="仿宋" w:hAnsi="仿宋" w:eastAsia="仿宋" w:cs="仿宋"/>
                <w:i w:val="0"/>
                <w:iCs w:val="0"/>
                <w:color w:val="000000"/>
                <w:sz w:val="15"/>
                <w:szCs w:val="15"/>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8ADB">
            <w:pPr>
              <w:jc w:val="center"/>
              <w:rPr>
                <w:rFonts w:hint="eastAsia" w:ascii="仿宋" w:hAnsi="仿宋" w:eastAsia="仿宋" w:cs="仿宋"/>
                <w:i w:val="0"/>
                <w:iCs w:val="0"/>
                <w:color w:val="000000"/>
                <w:sz w:val="15"/>
                <w:szCs w:val="15"/>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A839">
            <w:pPr>
              <w:jc w:val="center"/>
              <w:rPr>
                <w:rFonts w:hint="eastAsia" w:ascii="仿宋" w:hAnsi="仿宋" w:eastAsia="仿宋" w:cs="仿宋"/>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0E55">
            <w:pPr>
              <w:jc w:val="center"/>
              <w:rPr>
                <w:rFonts w:hint="eastAsia" w:ascii="仿宋" w:hAnsi="仿宋" w:eastAsia="仿宋" w:cs="仿宋"/>
                <w:i w:val="0"/>
                <w:iCs w:val="0"/>
                <w:color w:val="000000"/>
                <w:sz w:val="15"/>
                <w:szCs w:val="15"/>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3EF3">
            <w:pPr>
              <w:jc w:val="center"/>
              <w:rPr>
                <w:rFonts w:hint="eastAsia" w:ascii="仿宋" w:hAnsi="仿宋" w:eastAsia="仿宋" w:cs="仿宋"/>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FD8E">
            <w:pPr>
              <w:jc w:val="center"/>
              <w:rPr>
                <w:rFonts w:hint="eastAsia" w:ascii="仿宋" w:hAnsi="仿宋" w:eastAsia="仿宋" w:cs="仿宋"/>
                <w:i/>
                <w:iCs/>
                <w:color w:val="000000"/>
                <w:sz w:val="15"/>
                <w:szCs w:val="15"/>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0FB4">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5B7B">
            <w:pPr>
              <w:jc w:val="center"/>
              <w:rPr>
                <w:rFonts w:hint="eastAsia" w:ascii="仿宋" w:hAnsi="仿宋" w:eastAsia="仿宋" w:cs="仿宋"/>
                <w:i w:val="0"/>
                <w:iCs w:val="0"/>
                <w:color w:val="000000"/>
                <w:sz w:val="15"/>
                <w:szCs w:val="15"/>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49E8">
            <w:pPr>
              <w:jc w:val="center"/>
              <w:rPr>
                <w:rFonts w:hint="eastAsia" w:ascii="仿宋" w:hAnsi="仿宋" w:eastAsia="仿宋" w:cs="仿宋"/>
                <w:sz w:val="15"/>
                <w:szCs w:val="15"/>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978A">
            <w:pPr>
              <w:jc w:val="center"/>
              <w:rPr>
                <w:rFonts w:hint="eastAsia" w:ascii="仿宋" w:hAnsi="仿宋" w:eastAsia="仿宋" w:cs="仿宋"/>
                <w:i/>
                <w:iCs/>
                <w:color w:val="000000"/>
                <w:sz w:val="15"/>
                <w:szCs w:val="15"/>
                <w:u w:val="none"/>
              </w:rPr>
            </w:pPr>
          </w:p>
        </w:tc>
      </w:tr>
      <w:tr w14:paraId="05F7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E7028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合计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1B4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03C9">
            <w:pPr>
              <w:keepNext w:val="0"/>
              <w:keepLines w:val="0"/>
              <w:widowControl/>
              <w:suppressLineNumbers w:val="0"/>
              <w:jc w:val="righ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DD37">
            <w:pPr>
              <w:rPr>
                <w:rFonts w:hint="eastAsia" w:ascii="仿宋" w:hAnsi="仿宋" w:eastAsia="仿宋" w:cs="仿宋"/>
                <w:i w:val="0"/>
                <w:iCs w:val="0"/>
                <w:color w:val="000000"/>
                <w:sz w:val="15"/>
                <w:szCs w:val="15"/>
                <w:u w:val="none"/>
              </w:rPr>
            </w:pPr>
          </w:p>
        </w:tc>
      </w:tr>
      <w:tr w14:paraId="3981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9BC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评价结论</w:t>
            </w:r>
          </w:p>
        </w:tc>
        <w:tc>
          <w:tcPr>
            <w:tcW w:w="86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2D996">
            <w:pPr>
              <w:keepNext w:val="0"/>
              <w:keepLines w:val="0"/>
              <w:widowControl/>
              <w:suppressLineNumbers w:val="0"/>
              <w:jc w:val="left"/>
              <w:textAlignment w:val="center"/>
              <w:rPr>
                <w:rFonts w:hint="eastAsia" w:ascii="仿宋" w:hAnsi="仿宋" w:eastAsia="仿宋" w:cs="仿宋"/>
                <w:i/>
                <w:iCs/>
                <w:color w:val="000000"/>
                <w:sz w:val="15"/>
                <w:szCs w:val="15"/>
                <w:u w:val="none"/>
              </w:rPr>
            </w:pPr>
            <w:r>
              <w:rPr>
                <w:rFonts w:hint="eastAsia" w:ascii="仿宋" w:hAnsi="仿宋" w:eastAsia="仿宋" w:cs="仿宋"/>
                <w:i/>
                <w:iCs/>
                <w:color w:val="000000"/>
                <w:kern w:val="0"/>
                <w:sz w:val="15"/>
                <w:szCs w:val="15"/>
                <w:u w:val="none"/>
                <w:lang w:val="en-US" w:eastAsia="zh-CN" w:bidi="ar"/>
              </w:rPr>
              <w:t>严格执行项目资金的使用，对预算执行进度和绩效目标实现程度实行双监控，自评得分100分</w:t>
            </w:r>
          </w:p>
        </w:tc>
      </w:tr>
      <w:tr w14:paraId="49A0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B51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存在问题</w:t>
            </w:r>
          </w:p>
        </w:tc>
        <w:tc>
          <w:tcPr>
            <w:tcW w:w="86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99E7E3">
            <w:pPr>
              <w:keepNext w:val="0"/>
              <w:keepLines w:val="0"/>
              <w:widowControl/>
              <w:suppressLineNumbers w:val="0"/>
              <w:jc w:val="left"/>
              <w:textAlignment w:val="center"/>
              <w:rPr>
                <w:rFonts w:hint="eastAsia" w:ascii="仿宋" w:hAnsi="仿宋" w:eastAsia="仿宋" w:cs="仿宋"/>
                <w:i/>
                <w:iCs/>
                <w:color w:val="000000"/>
                <w:sz w:val="15"/>
                <w:szCs w:val="15"/>
                <w:u w:val="none"/>
              </w:rPr>
            </w:pPr>
            <w:r>
              <w:rPr>
                <w:rFonts w:hint="eastAsia" w:ascii="仿宋" w:hAnsi="仿宋" w:eastAsia="仿宋" w:cs="仿宋"/>
                <w:i/>
                <w:iCs/>
                <w:color w:val="000000"/>
                <w:kern w:val="0"/>
                <w:sz w:val="15"/>
                <w:szCs w:val="15"/>
                <w:u w:val="none"/>
                <w:lang w:val="en-US" w:eastAsia="zh-CN" w:bidi="ar"/>
              </w:rPr>
              <w:t>药械化监管的专业性强，而基层监管人员来自各个部门，专业人才缺乏，因监管面广、量大、链条长、任务重，监管人员缺少时间学习，也缺乏学习自觉性，监管显得力不从心</w:t>
            </w:r>
          </w:p>
        </w:tc>
      </w:tr>
      <w:tr w14:paraId="1962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093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改进措施</w:t>
            </w:r>
          </w:p>
        </w:tc>
        <w:tc>
          <w:tcPr>
            <w:tcW w:w="86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91EF79">
            <w:pPr>
              <w:keepNext w:val="0"/>
              <w:keepLines w:val="0"/>
              <w:widowControl/>
              <w:suppressLineNumbers w:val="0"/>
              <w:jc w:val="left"/>
              <w:textAlignment w:val="center"/>
              <w:rPr>
                <w:rFonts w:hint="eastAsia" w:ascii="仿宋" w:hAnsi="仿宋" w:eastAsia="仿宋" w:cs="仿宋"/>
                <w:i/>
                <w:iCs/>
                <w:color w:val="000000"/>
                <w:sz w:val="15"/>
                <w:szCs w:val="15"/>
                <w:u w:val="none"/>
              </w:rPr>
            </w:pPr>
            <w:r>
              <w:rPr>
                <w:rFonts w:hint="eastAsia" w:ascii="仿宋" w:hAnsi="仿宋" w:eastAsia="仿宋" w:cs="仿宋"/>
                <w:i/>
                <w:iCs/>
                <w:color w:val="000000"/>
                <w:kern w:val="0"/>
                <w:sz w:val="15"/>
                <w:szCs w:val="15"/>
                <w:u w:val="none"/>
                <w:lang w:val="en-US" w:eastAsia="zh-CN" w:bidi="ar"/>
              </w:rPr>
              <w:t>上级部门加强对基层药械化监管人员的培训，提升基层药械化监管人员的监管能力和水平。</w:t>
            </w:r>
          </w:p>
        </w:tc>
      </w:tr>
    </w:tbl>
    <w:p w14:paraId="2A8086C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部门预算项目支出绩效自评报告</w:t>
      </w:r>
    </w:p>
    <w:p w14:paraId="3AABBD6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仿宋_GB2312" w:cs="仿宋_GB2312"/>
          <w:kern w:val="0"/>
          <w:sz w:val="32"/>
          <w:szCs w:val="24"/>
        </w:rPr>
      </w:pPr>
      <w:r>
        <w:rPr>
          <w:rFonts w:hint="eastAsia" w:ascii="方正小标宋简体" w:hAnsi="方正小标宋简体" w:eastAsia="方正小标宋简体" w:cs="方正小标宋简体"/>
          <w:sz w:val="44"/>
          <w:szCs w:val="44"/>
          <w:lang w:val="en-US" w:eastAsia="zh-CN"/>
        </w:rPr>
        <w:t>（</w:t>
      </w:r>
      <w:r>
        <w:rPr>
          <w:rFonts w:ascii="Times New Roman" w:hAnsi="Times New Roman" w:eastAsia="方正小标宋简体" w:cs="Times New Roman"/>
          <w:sz w:val="44"/>
          <w:szCs w:val="44"/>
        </w:rPr>
        <w:t>2022年省市场监管专项</w:t>
      </w:r>
      <w:r>
        <w:rPr>
          <w:rFonts w:hint="eastAsia" w:ascii="方正小标宋简体" w:hAnsi="方正小标宋简体" w:eastAsia="方正小标宋简体" w:cs="方正小标宋简体"/>
          <w:sz w:val="44"/>
          <w:szCs w:val="44"/>
          <w:lang w:val="en-US" w:eastAsia="zh-CN"/>
        </w:rPr>
        <w:t>项目）</w:t>
      </w:r>
    </w:p>
    <w:p w14:paraId="0EF66648">
      <w:pPr>
        <w:adjustRightInd w:val="0"/>
        <w:snapToGrid w:val="0"/>
        <w:spacing w:line="578" w:lineRule="exact"/>
        <w:ind w:firstLine="640" w:firstLineChars="200"/>
        <w:rPr>
          <w:rFonts w:hint="eastAsia" w:ascii="Times New Roman" w:hAnsi="Times New Roman" w:eastAsia="黑体" w:cs="Times New Roman"/>
          <w:sz w:val="32"/>
          <w:szCs w:val="32"/>
          <w:lang w:val="zh-CN"/>
        </w:rPr>
      </w:pPr>
      <w:r>
        <w:rPr>
          <w:rFonts w:hint="eastAsia" w:ascii="Times New Roman" w:hAnsi="Times New Roman" w:eastAsia="黑体" w:cs="Times New Roman"/>
          <w:sz w:val="32"/>
          <w:szCs w:val="32"/>
        </w:rPr>
        <w:t>一、</w:t>
      </w:r>
      <w:r>
        <w:rPr>
          <w:rFonts w:hint="eastAsia" w:ascii="Times New Roman" w:hAnsi="Times New Roman" w:eastAsia="黑体" w:cs="Times New Roman"/>
          <w:sz w:val="32"/>
          <w:szCs w:val="32"/>
          <w:lang w:val="zh-CN"/>
        </w:rPr>
        <w:t>项目概况</w:t>
      </w:r>
    </w:p>
    <w:p w14:paraId="13499702">
      <w:pPr>
        <w:adjustRightInd w:val="0"/>
        <w:snapToGrid w:val="0"/>
        <w:spacing w:line="578" w:lineRule="exact"/>
        <w:ind w:firstLine="640" w:firstLineChars="200"/>
        <w:rPr>
          <w:rFonts w:hint="eastAsia" w:ascii="方正楷体简体" w:hAnsi="方正楷体简体" w:eastAsia="方正楷体简体" w:cs="方正楷体简体"/>
          <w:sz w:val="32"/>
          <w:szCs w:val="32"/>
          <w:lang w:val="zh-CN"/>
        </w:rPr>
      </w:pPr>
      <w:r>
        <w:rPr>
          <w:rFonts w:hint="eastAsia" w:ascii="方正楷体简体" w:hAnsi="方正楷体简体" w:eastAsia="方正楷体简体" w:cs="方正楷体简体"/>
          <w:sz w:val="32"/>
          <w:szCs w:val="32"/>
          <w:lang w:val="zh-CN"/>
        </w:rPr>
        <w:t>（一）项目资金申报及批复情况</w:t>
      </w:r>
    </w:p>
    <w:p w14:paraId="13C4A31C">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2022年</w:t>
      </w:r>
      <w:r>
        <w:rPr>
          <w:rFonts w:hint="eastAsia" w:ascii="仿宋" w:hAnsi="仿宋" w:eastAsia="仿宋" w:cs="仿宋"/>
          <w:w w:val="98"/>
          <w:sz w:val="32"/>
          <w:szCs w:val="32"/>
          <w:lang w:val="zh-CN" w:eastAsia="zh-CN"/>
        </w:rPr>
        <w:t>安居区</w:t>
      </w:r>
      <w:r>
        <w:rPr>
          <w:rFonts w:hint="eastAsia" w:ascii="仿宋" w:hAnsi="仿宋" w:eastAsia="仿宋" w:cs="仿宋"/>
          <w:w w:val="98"/>
          <w:sz w:val="32"/>
          <w:szCs w:val="32"/>
          <w:lang w:val="zh-CN"/>
        </w:rPr>
        <w:t>市场监督管理局申请2022年市场监管专项资金</w:t>
      </w:r>
      <w:r>
        <w:rPr>
          <w:rFonts w:hint="eastAsia" w:ascii="仿宋" w:hAnsi="仿宋" w:eastAsia="仿宋" w:cs="仿宋"/>
          <w:w w:val="98"/>
          <w:sz w:val="32"/>
          <w:szCs w:val="32"/>
          <w:lang w:val="en-US" w:eastAsia="zh-CN"/>
        </w:rPr>
        <w:t>13</w:t>
      </w:r>
      <w:r>
        <w:rPr>
          <w:rFonts w:hint="eastAsia" w:ascii="仿宋" w:hAnsi="仿宋" w:eastAsia="仿宋" w:cs="仿宋"/>
          <w:w w:val="98"/>
          <w:sz w:val="32"/>
          <w:szCs w:val="32"/>
          <w:lang w:val="zh-CN"/>
        </w:rPr>
        <w:t>万元，申请2022年市场监管专项资金应急机动部分</w:t>
      </w:r>
      <w:r>
        <w:rPr>
          <w:rFonts w:hint="eastAsia" w:ascii="仿宋" w:hAnsi="仿宋" w:eastAsia="仿宋" w:cs="仿宋"/>
          <w:w w:val="98"/>
          <w:sz w:val="32"/>
          <w:szCs w:val="32"/>
          <w:lang w:val="en-US" w:eastAsia="zh-CN"/>
        </w:rPr>
        <w:t>10</w:t>
      </w:r>
      <w:r>
        <w:rPr>
          <w:rFonts w:hint="eastAsia" w:ascii="仿宋" w:hAnsi="仿宋" w:eastAsia="仿宋" w:cs="仿宋"/>
          <w:w w:val="98"/>
          <w:sz w:val="32"/>
          <w:szCs w:val="32"/>
          <w:lang w:val="zh-CN"/>
        </w:rPr>
        <w:t>万元，共计</w:t>
      </w:r>
      <w:r>
        <w:rPr>
          <w:rFonts w:hint="eastAsia" w:ascii="仿宋" w:hAnsi="仿宋" w:eastAsia="仿宋" w:cs="仿宋"/>
          <w:w w:val="98"/>
          <w:sz w:val="32"/>
          <w:szCs w:val="32"/>
          <w:lang w:val="en-US" w:eastAsia="zh-CN"/>
        </w:rPr>
        <w:t>23</w:t>
      </w:r>
      <w:r>
        <w:rPr>
          <w:rFonts w:hint="eastAsia" w:ascii="仿宋" w:hAnsi="仿宋" w:eastAsia="仿宋" w:cs="仿宋"/>
          <w:w w:val="98"/>
          <w:sz w:val="32"/>
          <w:szCs w:val="32"/>
          <w:lang w:val="zh-CN"/>
        </w:rPr>
        <w:t xml:space="preserve">万元，符合资金管理办法等相关规定。 </w:t>
      </w:r>
    </w:p>
    <w:p w14:paraId="128F3174">
      <w:pPr>
        <w:adjustRightInd w:val="0"/>
        <w:snapToGrid w:val="0"/>
        <w:spacing w:line="578" w:lineRule="exact"/>
        <w:ind w:firstLine="640" w:firstLineChars="200"/>
        <w:rPr>
          <w:rFonts w:hint="eastAsia" w:ascii="方正楷体简体" w:hAnsi="方正楷体简体" w:eastAsia="方正楷体简体" w:cs="方正楷体简体"/>
          <w:sz w:val="32"/>
          <w:szCs w:val="32"/>
          <w:lang w:val="zh-CN"/>
        </w:rPr>
      </w:pPr>
      <w:r>
        <w:rPr>
          <w:rFonts w:hint="eastAsia" w:ascii="Times New Roman" w:hAnsi="Times New Roman" w:eastAsia="楷体_GB2312" w:cs="Times New Roman"/>
          <w:sz w:val="32"/>
          <w:szCs w:val="32"/>
          <w:lang w:val="zh-CN"/>
        </w:rPr>
        <w:t>（二）</w:t>
      </w:r>
      <w:r>
        <w:rPr>
          <w:rFonts w:hint="eastAsia" w:ascii="方正楷体简体" w:hAnsi="方正楷体简体" w:eastAsia="方正楷体简体" w:cs="方正楷体简体"/>
          <w:sz w:val="32"/>
          <w:szCs w:val="32"/>
          <w:lang w:val="zh-CN"/>
        </w:rPr>
        <w:t>项目绩效目标</w:t>
      </w:r>
    </w:p>
    <w:p w14:paraId="3F8AE70E">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市场监管专项资金主要用于</w:t>
      </w:r>
      <w:r>
        <w:rPr>
          <w:rFonts w:hint="eastAsia" w:ascii="仿宋" w:hAnsi="仿宋" w:eastAsia="仿宋" w:cs="仿宋"/>
          <w:w w:val="98"/>
          <w:sz w:val="32"/>
          <w:szCs w:val="32"/>
          <w:lang w:val="en-US" w:eastAsia="zh-CN"/>
        </w:rPr>
        <w:t>基层所标准化建设、</w:t>
      </w:r>
      <w:r>
        <w:rPr>
          <w:rFonts w:hint="eastAsia" w:ascii="仿宋" w:hAnsi="仿宋" w:eastAsia="仿宋" w:cs="仿宋"/>
          <w:w w:val="98"/>
          <w:sz w:val="32"/>
          <w:szCs w:val="32"/>
          <w:lang w:val="zh-CN"/>
        </w:rPr>
        <w:t>企业信息公示抽查</w:t>
      </w:r>
      <w:r>
        <w:rPr>
          <w:rFonts w:hint="eastAsia" w:ascii="仿宋" w:hAnsi="仿宋" w:eastAsia="仿宋" w:cs="仿宋"/>
          <w:w w:val="98"/>
          <w:sz w:val="32"/>
          <w:szCs w:val="32"/>
          <w:lang w:val="en-US" w:eastAsia="zh-CN"/>
        </w:rPr>
        <w:t>及</w:t>
      </w:r>
      <w:r>
        <w:rPr>
          <w:rFonts w:hint="eastAsia" w:ascii="仿宋" w:hAnsi="仿宋" w:eastAsia="仿宋" w:cs="仿宋"/>
          <w:w w:val="98"/>
          <w:sz w:val="32"/>
          <w:szCs w:val="32"/>
          <w:lang w:val="zh-CN"/>
        </w:rPr>
        <w:t>“小个专”</w:t>
      </w:r>
      <w:r>
        <w:rPr>
          <w:rFonts w:hint="eastAsia" w:ascii="仿宋" w:hAnsi="仿宋" w:eastAsia="仿宋" w:cs="仿宋"/>
          <w:w w:val="98"/>
          <w:sz w:val="32"/>
          <w:szCs w:val="32"/>
          <w:lang w:val="en-US" w:eastAsia="zh-CN"/>
        </w:rPr>
        <w:t>非公党建工作，</w:t>
      </w:r>
      <w:r>
        <w:rPr>
          <w:rFonts w:hint="eastAsia" w:ascii="仿宋" w:hAnsi="仿宋" w:eastAsia="仿宋" w:cs="仿宋"/>
          <w:w w:val="98"/>
          <w:sz w:val="32"/>
          <w:szCs w:val="32"/>
          <w:lang w:val="zh-CN"/>
        </w:rPr>
        <w:t>全面提升全</w:t>
      </w:r>
      <w:r>
        <w:rPr>
          <w:rFonts w:hint="eastAsia" w:ascii="仿宋" w:hAnsi="仿宋" w:eastAsia="仿宋" w:cs="仿宋"/>
          <w:w w:val="98"/>
          <w:sz w:val="32"/>
          <w:szCs w:val="32"/>
          <w:lang w:val="en-US" w:eastAsia="zh-CN"/>
        </w:rPr>
        <w:t>区</w:t>
      </w:r>
      <w:r>
        <w:rPr>
          <w:rFonts w:hint="eastAsia" w:ascii="仿宋" w:hAnsi="仿宋" w:eastAsia="仿宋" w:cs="仿宋"/>
          <w:w w:val="98"/>
          <w:sz w:val="32"/>
          <w:szCs w:val="32"/>
          <w:lang w:val="zh-CN"/>
        </w:rPr>
        <w:t>市场监管能力。</w:t>
      </w:r>
    </w:p>
    <w:p w14:paraId="695FD0F8">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定性和定量目标如下：</w:t>
      </w:r>
    </w:p>
    <w:p w14:paraId="48FDF188">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数量指标：</w:t>
      </w:r>
      <w:r>
        <w:rPr>
          <w:rFonts w:hint="eastAsia" w:ascii="仿宋" w:hAnsi="仿宋" w:eastAsia="仿宋" w:cs="仿宋"/>
          <w:w w:val="98"/>
          <w:sz w:val="32"/>
          <w:szCs w:val="32"/>
          <w:lang w:val="en-US" w:eastAsia="zh-CN"/>
        </w:rPr>
        <w:t>基层市场监管所标准化建设</w:t>
      </w:r>
      <w:r>
        <w:rPr>
          <w:rFonts w:hint="eastAsia" w:ascii="仿宋" w:hAnsi="仿宋" w:eastAsia="仿宋" w:cs="仿宋"/>
          <w:w w:val="98"/>
          <w:sz w:val="32"/>
          <w:szCs w:val="32"/>
          <w:lang w:val="zh-CN"/>
        </w:rPr>
        <w:t>1个，企业信息公示抽查企业数≥</w:t>
      </w:r>
      <w:r>
        <w:rPr>
          <w:rFonts w:hint="eastAsia" w:ascii="仿宋" w:hAnsi="仿宋" w:eastAsia="仿宋" w:cs="仿宋"/>
          <w:w w:val="98"/>
          <w:sz w:val="32"/>
          <w:szCs w:val="32"/>
          <w:lang w:val="en-US" w:eastAsia="zh-CN"/>
        </w:rPr>
        <w:t>10</w:t>
      </w:r>
      <w:r>
        <w:rPr>
          <w:rFonts w:hint="eastAsia" w:ascii="仿宋" w:hAnsi="仿宋" w:eastAsia="仿宋" w:cs="仿宋"/>
          <w:w w:val="98"/>
          <w:sz w:val="32"/>
          <w:szCs w:val="32"/>
          <w:lang w:val="zh-CN"/>
        </w:rPr>
        <w:t>户，打造“小个专”党建示范点1个。</w:t>
      </w:r>
    </w:p>
    <w:p w14:paraId="544F163E">
      <w:pPr>
        <w:snapToGrid w:val="0"/>
        <w:spacing w:line="578" w:lineRule="exact"/>
        <w:ind w:firstLine="626" w:firstLineChars="200"/>
        <w:rPr>
          <w:rFonts w:hint="eastAsia" w:ascii="Times New Roman" w:hAnsi="Times New Roman" w:eastAsia="仿宋_GB2312" w:cs="Times New Roman"/>
          <w:sz w:val="32"/>
          <w:szCs w:val="32"/>
        </w:rPr>
      </w:pPr>
      <w:r>
        <w:rPr>
          <w:rFonts w:hint="eastAsia" w:ascii="仿宋" w:hAnsi="仿宋" w:eastAsia="仿宋" w:cs="仿宋"/>
          <w:w w:val="98"/>
          <w:sz w:val="32"/>
          <w:szCs w:val="32"/>
          <w:lang w:val="zh-CN"/>
        </w:rPr>
        <w:t>质量指标：基层市场监管所标准化建设验收通过</w:t>
      </w:r>
      <w:r>
        <w:rPr>
          <w:rFonts w:hint="eastAsia" w:ascii="仿宋" w:hAnsi="仿宋" w:eastAsia="仿宋" w:cs="仿宋"/>
          <w:w w:val="98"/>
          <w:sz w:val="32"/>
          <w:szCs w:val="32"/>
          <w:lang w:val="en-US" w:eastAsia="zh-CN"/>
        </w:rPr>
        <w:t>率</w:t>
      </w:r>
      <w:r>
        <w:rPr>
          <w:rFonts w:hint="eastAsia" w:ascii="仿宋" w:hAnsi="仿宋" w:eastAsia="仿宋" w:cs="仿宋"/>
          <w:w w:val="98"/>
          <w:sz w:val="32"/>
          <w:szCs w:val="32"/>
          <w:lang w:val="zh-CN"/>
        </w:rPr>
        <w:t>100%，企业信息公示抽查结果公开率100%，打造“小个专”党建示范点验收通过率100%。</w:t>
      </w:r>
    </w:p>
    <w:p w14:paraId="03FA4F4E">
      <w:pPr>
        <w:snapToGrid w:val="0"/>
        <w:spacing w:line="578" w:lineRule="exact"/>
        <w:ind w:firstLine="626" w:firstLineChars="200"/>
        <w:rPr>
          <w:rFonts w:hint="eastAsia" w:ascii="Times New Roman" w:hAnsi="Times New Roman" w:eastAsia="仿宋_GB2312" w:cs="Times New Roman"/>
          <w:sz w:val="32"/>
          <w:szCs w:val="32"/>
        </w:rPr>
      </w:pPr>
      <w:r>
        <w:rPr>
          <w:rFonts w:hint="eastAsia" w:ascii="仿宋" w:hAnsi="仿宋" w:eastAsia="仿宋" w:cs="仿宋"/>
          <w:w w:val="98"/>
          <w:sz w:val="32"/>
          <w:szCs w:val="32"/>
          <w:lang w:val="zh-CN"/>
        </w:rPr>
        <w:t>时间指标：项目完成时间2022年12月31日前</w:t>
      </w:r>
      <w:r>
        <w:rPr>
          <w:rFonts w:hint="eastAsia" w:ascii="Times New Roman" w:hAnsi="Times New Roman" w:eastAsia="仿宋_GB2312" w:cs="Times New Roman"/>
          <w:sz w:val="32"/>
          <w:szCs w:val="32"/>
        </w:rPr>
        <w:t>。</w:t>
      </w:r>
    </w:p>
    <w:p w14:paraId="69B0675E">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成本指标：基层市场监管所标准化建设成本≤10万元/个，每户企业信息公示抽查成本≤1500元/户，打造“小个专”党建示范点成本≤1万元/个。</w:t>
      </w:r>
    </w:p>
    <w:p w14:paraId="5BBEB0DA">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社会效益指标：</w:t>
      </w:r>
      <w:r>
        <w:rPr>
          <w:rFonts w:hint="eastAsia" w:ascii="仿宋" w:hAnsi="仿宋" w:eastAsia="仿宋" w:cs="仿宋"/>
          <w:w w:val="98"/>
          <w:sz w:val="32"/>
          <w:szCs w:val="32"/>
          <w:lang w:val="en-US" w:eastAsia="zh-CN"/>
        </w:rPr>
        <w:t>基层所建设服务质量不断提高，</w:t>
      </w:r>
      <w:r>
        <w:rPr>
          <w:rFonts w:hint="eastAsia" w:ascii="仿宋" w:hAnsi="仿宋" w:eastAsia="仿宋" w:cs="仿宋"/>
          <w:w w:val="98"/>
          <w:sz w:val="32"/>
          <w:szCs w:val="32"/>
          <w:lang w:val="zh-CN"/>
        </w:rPr>
        <w:t>市场监管能力持续提升。</w:t>
      </w:r>
    </w:p>
    <w:p w14:paraId="61775576">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满意度指标：服务对象满意度≥80%。人民群众满意度≥90%。</w:t>
      </w:r>
    </w:p>
    <w:p w14:paraId="2E070449">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市场监管应急专项应急机动部分，主要用于省局、市局确定的年度重点工作，深入实施质量强</w:t>
      </w:r>
      <w:r>
        <w:rPr>
          <w:rFonts w:hint="eastAsia" w:ascii="仿宋" w:hAnsi="仿宋" w:eastAsia="仿宋" w:cs="仿宋"/>
          <w:w w:val="98"/>
          <w:sz w:val="32"/>
          <w:szCs w:val="32"/>
          <w:lang w:val="en-US" w:eastAsia="zh-CN"/>
        </w:rPr>
        <w:t>区</w:t>
      </w:r>
      <w:r>
        <w:rPr>
          <w:rFonts w:hint="eastAsia" w:ascii="仿宋" w:hAnsi="仿宋" w:eastAsia="仿宋" w:cs="仿宋"/>
          <w:w w:val="98"/>
          <w:sz w:val="32"/>
          <w:szCs w:val="32"/>
          <w:lang w:val="zh-CN"/>
        </w:rPr>
        <w:t>战略，全面提升全</w:t>
      </w:r>
      <w:r>
        <w:rPr>
          <w:rFonts w:hint="eastAsia" w:ascii="仿宋" w:hAnsi="仿宋" w:eastAsia="仿宋" w:cs="仿宋"/>
          <w:w w:val="98"/>
          <w:sz w:val="32"/>
          <w:szCs w:val="32"/>
          <w:lang w:val="en-US" w:eastAsia="zh-CN"/>
        </w:rPr>
        <w:t>区</w:t>
      </w:r>
      <w:r>
        <w:rPr>
          <w:rFonts w:hint="eastAsia" w:ascii="仿宋" w:hAnsi="仿宋" w:eastAsia="仿宋" w:cs="仿宋"/>
          <w:w w:val="98"/>
          <w:sz w:val="32"/>
          <w:szCs w:val="32"/>
          <w:lang w:val="zh-CN"/>
        </w:rPr>
        <w:t>市场监管能力</w:t>
      </w:r>
      <w:r>
        <w:rPr>
          <w:rFonts w:hint="eastAsia" w:ascii="仿宋" w:hAnsi="仿宋" w:eastAsia="仿宋" w:cs="仿宋"/>
          <w:w w:val="98"/>
          <w:sz w:val="32"/>
          <w:szCs w:val="32"/>
          <w:lang w:val="en-US" w:eastAsia="zh-CN"/>
        </w:rPr>
        <w:t>方面，</w:t>
      </w:r>
      <w:r>
        <w:rPr>
          <w:rFonts w:hint="eastAsia" w:ascii="仿宋" w:hAnsi="仿宋" w:eastAsia="仿宋" w:cs="仿宋"/>
          <w:w w:val="98"/>
          <w:sz w:val="32"/>
          <w:szCs w:val="32"/>
          <w:lang w:val="zh-CN"/>
        </w:rPr>
        <w:t>严守特种设备</w:t>
      </w:r>
      <w:r>
        <w:rPr>
          <w:rFonts w:hint="eastAsia" w:ascii="仿宋" w:hAnsi="仿宋" w:eastAsia="仿宋" w:cs="仿宋"/>
          <w:w w:val="98"/>
          <w:sz w:val="32"/>
          <w:szCs w:val="32"/>
          <w:lang w:val="en-US" w:eastAsia="zh-CN"/>
        </w:rPr>
        <w:t>等</w:t>
      </w:r>
      <w:r>
        <w:rPr>
          <w:rFonts w:hint="eastAsia" w:ascii="仿宋" w:hAnsi="仿宋" w:eastAsia="仿宋" w:cs="仿宋"/>
          <w:w w:val="98"/>
          <w:sz w:val="32"/>
          <w:szCs w:val="32"/>
          <w:lang w:val="zh-CN"/>
        </w:rPr>
        <w:t>安全底线。</w:t>
      </w:r>
    </w:p>
    <w:p w14:paraId="74C35D1A">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定性和定量目标如下：</w:t>
      </w:r>
    </w:p>
    <w:p w14:paraId="73D6C8DA">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数量指标：</w:t>
      </w:r>
      <w:r>
        <w:rPr>
          <w:rFonts w:hint="eastAsia" w:ascii="仿宋" w:hAnsi="仿宋" w:eastAsia="仿宋" w:cs="仿宋"/>
          <w:w w:val="98"/>
          <w:sz w:val="32"/>
          <w:szCs w:val="32"/>
          <w:lang w:val="en-US" w:eastAsia="zh-CN"/>
        </w:rPr>
        <w:t>开展</w:t>
      </w:r>
      <w:r>
        <w:rPr>
          <w:rFonts w:hint="eastAsia" w:ascii="仿宋" w:hAnsi="仿宋" w:eastAsia="仿宋" w:cs="仿宋"/>
          <w:w w:val="98"/>
          <w:sz w:val="32"/>
          <w:szCs w:val="32"/>
          <w:lang w:val="zh-CN"/>
        </w:rPr>
        <w:t>特种设备安全</w:t>
      </w:r>
      <w:r>
        <w:rPr>
          <w:rFonts w:hint="eastAsia" w:ascii="仿宋" w:hAnsi="仿宋" w:eastAsia="仿宋" w:cs="仿宋"/>
          <w:w w:val="98"/>
          <w:sz w:val="32"/>
          <w:szCs w:val="32"/>
          <w:lang w:val="en-US" w:eastAsia="zh-CN"/>
        </w:rPr>
        <w:t>应急演练等工作</w:t>
      </w:r>
      <w:r>
        <w:rPr>
          <w:rFonts w:hint="eastAsia" w:ascii="仿宋" w:hAnsi="仿宋" w:eastAsia="仿宋" w:cs="仿宋"/>
          <w:w w:val="98"/>
          <w:sz w:val="32"/>
          <w:szCs w:val="32"/>
          <w:lang w:val="zh-CN"/>
        </w:rPr>
        <w:t>≥</w:t>
      </w:r>
      <w:r>
        <w:rPr>
          <w:rFonts w:hint="eastAsia" w:ascii="仿宋" w:hAnsi="仿宋" w:eastAsia="仿宋" w:cs="仿宋"/>
          <w:w w:val="98"/>
          <w:sz w:val="32"/>
          <w:szCs w:val="32"/>
          <w:lang w:val="en-US" w:eastAsia="zh-CN"/>
        </w:rPr>
        <w:t>1</w:t>
      </w:r>
      <w:r>
        <w:rPr>
          <w:rFonts w:hint="eastAsia" w:ascii="仿宋" w:hAnsi="仿宋" w:eastAsia="仿宋" w:cs="仿宋"/>
          <w:w w:val="98"/>
          <w:sz w:val="32"/>
          <w:szCs w:val="32"/>
          <w:lang w:val="zh-CN"/>
        </w:rPr>
        <w:t>次。</w:t>
      </w:r>
    </w:p>
    <w:p w14:paraId="321524D3">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质量指标：特种设备安全隐患大排查检查发现问题整改率100%，开展特种设备安全宣传活动覆盖率100%。</w:t>
      </w:r>
    </w:p>
    <w:p w14:paraId="27E76650">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时间指标：项目完成时间2023年12月31日</w:t>
      </w:r>
      <w:r>
        <w:rPr>
          <w:rFonts w:hint="eastAsia" w:ascii="仿宋" w:hAnsi="仿宋" w:eastAsia="仿宋" w:cs="仿宋"/>
          <w:w w:val="98"/>
          <w:sz w:val="32"/>
          <w:szCs w:val="32"/>
          <w:lang w:val="en-US" w:eastAsia="zh-CN"/>
        </w:rPr>
        <w:t>前</w:t>
      </w:r>
      <w:r>
        <w:rPr>
          <w:rFonts w:hint="eastAsia" w:ascii="仿宋" w:hAnsi="仿宋" w:eastAsia="仿宋" w:cs="仿宋"/>
          <w:w w:val="98"/>
          <w:sz w:val="32"/>
          <w:szCs w:val="32"/>
          <w:lang w:val="zh-CN"/>
        </w:rPr>
        <w:t>。</w:t>
      </w:r>
    </w:p>
    <w:p w14:paraId="6AB23736">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成本指标：特种设备安全</w:t>
      </w:r>
      <w:r>
        <w:rPr>
          <w:rFonts w:hint="eastAsia" w:ascii="仿宋" w:hAnsi="仿宋" w:eastAsia="仿宋" w:cs="仿宋"/>
          <w:w w:val="98"/>
          <w:sz w:val="32"/>
          <w:szCs w:val="32"/>
          <w:lang w:val="en-US" w:eastAsia="zh-CN"/>
        </w:rPr>
        <w:t>应急演练等</w:t>
      </w:r>
      <w:r>
        <w:rPr>
          <w:rFonts w:hint="eastAsia" w:ascii="仿宋" w:hAnsi="仿宋" w:eastAsia="仿宋" w:cs="仿宋"/>
          <w:w w:val="98"/>
          <w:sz w:val="32"/>
          <w:szCs w:val="32"/>
          <w:lang w:val="zh-CN"/>
        </w:rPr>
        <w:t>成本≤</w:t>
      </w:r>
      <w:r>
        <w:rPr>
          <w:rFonts w:hint="eastAsia" w:ascii="仿宋" w:hAnsi="仿宋" w:eastAsia="仿宋" w:cs="仿宋"/>
          <w:w w:val="98"/>
          <w:sz w:val="32"/>
          <w:szCs w:val="32"/>
          <w:lang w:val="en-US" w:eastAsia="zh-CN"/>
        </w:rPr>
        <w:t>1</w:t>
      </w:r>
      <w:r>
        <w:rPr>
          <w:rFonts w:hint="eastAsia" w:ascii="仿宋" w:hAnsi="仿宋" w:eastAsia="仿宋" w:cs="仿宋"/>
          <w:w w:val="98"/>
          <w:sz w:val="32"/>
          <w:szCs w:val="32"/>
          <w:lang w:val="zh-CN"/>
        </w:rPr>
        <w:t>0</w:t>
      </w:r>
      <w:r>
        <w:rPr>
          <w:rFonts w:hint="eastAsia" w:ascii="仿宋" w:hAnsi="仿宋" w:eastAsia="仿宋" w:cs="仿宋"/>
          <w:w w:val="98"/>
          <w:sz w:val="32"/>
          <w:szCs w:val="32"/>
          <w:lang w:val="en-US" w:eastAsia="zh-CN"/>
        </w:rPr>
        <w:t>万</w:t>
      </w:r>
      <w:r>
        <w:rPr>
          <w:rFonts w:hint="eastAsia" w:ascii="仿宋" w:hAnsi="仿宋" w:eastAsia="仿宋" w:cs="仿宋"/>
          <w:w w:val="98"/>
          <w:sz w:val="32"/>
          <w:szCs w:val="32"/>
          <w:lang w:val="zh-CN"/>
        </w:rPr>
        <w:t>元/次。</w:t>
      </w:r>
    </w:p>
    <w:p w14:paraId="5A109C03">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社会效益指标：特种设备</w:t>
      </w:r>
      <w:r>
        <w:rPr>
          <w:rFonts w:hint="eastAsia" w:ascii="仿宋" w:hAnsi="仿宋" w:eastAsia="仿宋" w:cs="仿宋"/>
          <w:w w:val="98"/>
          <w:sz w:val="32"/>
          <w:szCs w:val="32"/>
          <w:lang w:val="en-US" w:eastAsia="zh-CN"/>
        </w:rPr>
        <w:t>等</w:t>
      </w:r>
      <w:r>
        <w:rPr>
          <w:rFonts w:hint="eastAsia" w:ascii="仿宋" w:hAnsi="仿宋" w:eastAsia="仿宋" w:cs="仿宋"/>
          <w:w w:val="98"/>
          <w:sz w:val="32"/>
          <w:szCs w:val="32"/>
          <w:lang w:val="zh-CN"/>
        </w:rPr>
        <w:t>监管能力不断提升。</w:t>
      </w:r>
    </w:p>
    <w:p w14:paraId="7BC5C67B">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满意度指标：人民群众满意度≥8</w:t>
      </w:r>
      <w:r>
        <w:rPr>
          <w:rFonts w:hint="eastAsia" w:ascii="仿宋" w:hAnsi="仿宋" w:eastAsia="仿宋" w:cs="仿宋"/>
          <w:w w:val="98"/>
          <w:sz w:val="32"/>
          <w:szCs w:val="32"/>
          <w:lang w:val="en-US" w:eastAsia="zh-CN"/>
        </w:rPr>
        <w:t>0</w:t>
      </w:r>
      <w:r>
        <w:rPr>
          <w:rFonts w:hint="eastAsia" w:ascii="仿宋" w:hAnsi="仿宋" w:eastAsia="仿宋" w:cs="仿宋"/>
          <w:w w:val="98"/>
          <w:sz w:val="32"/>
          <w:szCs w:val="32"/>
          <w:lang w:val="zh-CN"/>
        </w:rPr>
        <w:t>%。</w:t>
      </w:r>
    </w:p>
    <w:p w14:paraId="60147BF4">
      <w:pPr>
        <w:adjustRightInd w:val="0"/>
        <w:snapToGrid w:val="0"/>
        <w:spacing w:line="578" w:lineRule="exact"/>
        <w:ind w:firstLine="640" w:firstLineChars="200"/>
        <w:rPr>
          <w:rFonts w:hint="eastAsia" w:ascii="方正楷体简体" w:hAnsi="方正楷体简体" w:eastAsia="方正楷体简体" w:cs="方正楷体简体"/>
          <w:sz w:val="32"/>
          <w:szCs w:val="32"/>
          <w:lang w:val="zh-CN"/>
        </w:rPr>
      </w:pPr>
      <w:r>
        <w:rPr>
          <w:rFonts w:hint="eastAsia" w:ascii="Times New Roman" w:hAnsi="Times New Roman" w:eastAsia="楷体_GB2312" w:cs="Times New Roman"/>
          <w:sz w:val="32"/>
          <w:szCs w:val="32"/>
          <w:lang w:val="zh-CN"/>
        </w:rPr>
        <w:t>（三）</w:t>
      </w:r>
      <w:r>
        <w:rPr>
          <w:rFonts w:hint="eastAsia" w:ascii="方正楷体简体" w:hAnsi="方正楷体简体" w:eastAsia="方正楷体简体" w:cs="方正楷体简体"/>
          <w:sz w:val="32"/>
          <w:szCs w:val="32"/>
          <w:lang w:val="zh-CN"/>
        </w:rPr>
        <w:t>项目资金申报相符性</w:t>
      </w:r>
    </w:p>
    <w:p w14:paraId="680E5957">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市场监管专项申报内容均紧紧围绕省局、市局确定的年度重点工作，</w:t>
      </w:r>
      <w:r>
        <w:rPr>
          <w:rFonts w:hint="eastAsia" w:ascii="仿宋" w:hAnsi="仿宋" w:eastAsia="仿宋" w:cs="仿宋"/>
          <w:w w:val="98"/>
          <w:sz w:val="32"/>
          <w:szCs w:val="32"/>
          <w:lang w:val="en-US" w:eastAsia="zh-CN"/>
        </w:rPr>
        <w:t>开展基层所建设及</w:t>
      </w:r>
      <w:r>
        <w:rPr>
          <w:rFonts w:hint="eastAsia" w:ascii="仿宋" w:hAnsi="仿宋" w:eastAsia="仿宋" w:cs="仿宋"/>
          <w:w w:val="98"/>
          <w:sz w:val="32"/>
          <w:szCs w:val="32"/>
          <w:lang w:val="zh-CN"/>
        </w:rPr>
        <w:t>企业信息公示抽查</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打造“小个专”党建示范点</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全面提升全</w:t>
      </w:r>
      <w:r>
        <w:rPr>
          <w:rFonts w:hint="eastAsia" w:ascii="仿宋" w:hAnsi="仿宋" w:eastAsia="仿宋" w:cs="仿宋"/>
          <w:w w:val="98"/>
          <w:sz w:val="32"/>
          <w:szCs w:val="32"/>
          <w:lang w:val="en-US" w:eastAsia="zh-CN"/>
        </w:rPr>
        <w:t>区</w:t>
      </w:r>
      <w:r>
        <w:rPr>
          <w:rFonts w:hint="eastAsia" w:ascii="仿宋" w:hAnsi="仿宋" w:eastAsia="仿宋" w:cs="仿宋"/>
          <w:w w:val="98"/>
          <w:sz w:val="32"/>
          <w:szCs w:val="32"/>
          <w:lang w:val="zh-CN"/>
        </w:rPr>
        <w:t>市场监管能力</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提高综合行政执法水平。</w:t>
      </w:r>
    </w:p>
    <w:p w14:paraId="6CAF7E1E">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市场监管应急专项应急机动部分申报内容均紧紧围绕省局、市局确定的年度重点工作，深入实施质量强</w:t>
      </w:r>
      <w:r>
        <w:rPr>
          <w:rFonts w:hint="eastAsia" w:ascii="仿宋" w:hAnsi="仿宋" w:eastAsia="仿宋" w:cs="仿宋"/>
          <w:w w:val="98"/>
          <w:sz w:val="32"/>
          <w:szCs w:val="32"/>
          <w:lang w:val="en-US" w:eastAsia="zh-CN"/>
        </w:rPr>
        <w:t>区</w:t>
      </w:r>
      <w:r>
        <w:rPr>
          <w:rFonts w:hint="eastAsia" w:ascii="仿宋" w:hAnsi="仿宋" w:eastAsia="仿宋" w:cs="仿宋"/>
          <w:w w:val="98"/>
          <w:sz w:val="32"/>
          <w:szCs w:val="32"/>
          <w:lang w:val="zh-CN"/>
        </w:rPr>
        <w:t>战略，全面提升全</w:t>
      </w:r>
      <w:r>
        <w:rPr>
          <w:rFonts w:hint="eastAsia" w:ascii="仿宋" w:hAnsi="仿宋" w:eastAsia="仿宋" w:cs="仿宋"/>
          <w:w w:val="98"/>
          <w:sz w:val="32"/>
          <w:szCs w:val="32"/>
          <w:lang w:val="en-US" w:eastAsia="zh-CN"/>
        </w:rPr>
        <w:t>区</w:t>
      </w:r>
      <w:r>
        <w:rPr>
          <w:rFonts w:hint="eastAsia" w:ascii="仿宋" w:hAnsi="仿宋" w:eastAsia="仿宋" w:cs="仿宋"/>
          <w:w w:val="98"/>
          <w:sz w:val="32"/>
          <w:szCs w:val="32"/>
          <w:lang w:val="zh-CN"/>
        </w:rPr>
        <w:t>市场监管能力</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严守特种设备</w:t>
      </w:r>
      <w:r>
        <w:rPr>
          <w:rFonts w:hint="eastAsia" w:ascii="仿宋" w:hAnsi="仿宋" w:eastAsia="仿宋" w:cs="仿宋"/>
          <w:w w:val="98"/>
          <w:sz w:val="32"/>
          <w:szCs w:val="32"/>
          <w:lang w:val="en-US" w:eastAsia="zh-CN"/>
        </w:rPr>
        <w:t>等</w:t>
      </w:r>
      <w:r>
        <w:rPr>
          <w:rFonts w:hint="eastAsia" w:ascii="仿宋" w:hAnsi="仿宋" w:eastAsia="仿宋" w:cs="仿宋"/>
          <w:w w:val="98"/>
          <w:sz w:val="32"/>
          <w:szCs w:val="32"/>
          <w:lang w:val="zh-CN"/>
        </w:rPr>
        <w:t>安全底线。</w:t>
      </w:r>
    </w:p>
    <w:p w14:paraId="04540BAC">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项目资金申报合理，与实施内容相符。决策程序严密，规划合理，科学可行。</w:t>
      </w:r>
    </w:p>
    <w:p w14:paraId="7FA2DAD4">
      <w:pPr>
        <w:adjustRightInd w:val="0"/>
        <w:snapToGrid w:val="0"/>
        <w:spacing w:line="578"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二、项目实施及管理情况</w:t>
      </w:r>
    </w:p>
    <w:p w14:paraId="2E27F03B">
      <w:pPr>
        <w:adjustRightInd w:val="0"/>
        <w:snapToGrid w:val="0"/>
        <w:spacing w:line="578" w:lineRule="exact"/>
        <w:ind w:firstLine="640" w:firstLineChars="200"/>
        <w:rPr>
          <w:rFonts w:hint="eastAsia" w:ascii="方正楷体简体" w:hAnsi="方正楷体简体" w:eastAsia="方正楷体简体" w:cs="方正楷体简体"/>
          <w:sz w:val="32"/>
          <w:szCs w:val="32"/>
          <w:lang w:val="zh-CN"/>
        </w:rPr>
      </w:pPr>
      <w:r>
        <w:rPr>
          <w:rFonts w:hint="eastAsia" w:ascii="Times New Roman" w:hAnsi="Times New Roman" w:eastAsia="楷体_GB2312" w:cs="Times New Roman"/>
          <w:sz w:val="32"/>
          <w:szCs w:val="32"/>
          <w:lang w:val="zh-CN"/>
        </w:rPr>
        <w:t>（一）</w:t>
      </w:r>
      <w:r>
        <w:rPr>
          <w:rFonts w:hint="eastAsia" w:ascii="方正楷体简体" w:hAnsi="方正楷体简体" w:eastAsia="方正楷体简体" w:cs="方正楷体简体"/>
          <w:sz w:val="32"/>
          <w:szCs w:val="32"/>
          <w:lang w:val="zh-CN"/>
        </w:rPr>
        <w:t>资金计划、到位及使用情况</w:t>
      </w:r>
    </w:p>
    <w:p w14:paraId="230A3122">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1.资金计划及到位。市场监管专项资金计划</w:t>
      </w:r>
      <w:r>
        <w:rPr>
          <w:rFonts w:hint="eastAsia" w:ascii="仿宋" w:hAnsi="仿宋" w:eastAsia="仿宋" w:cs="仿宋"/>
          <w:w w:val="98"/>
          <w:sz w:val="32"/>
          <w:szCs w:val="32"/>
          <w:lang w:val="en-US" w:eastAsia="zh-CN"/>
        </w:rPr>
        <w:t>13</w:t>
      </w:r>
      <w:r>
        <w:rPr>
          <w:rFonts w:hint="eastAsia" w:ascii="仿宋" w:hAnsi="仿宋" w:eastAsia="仿宋" w:cs="仿宋"/>
          <w:w w:val="98"/>
          <w:sz w:val="32"/>
          <w:szCs w:val="32"/>
          <w:lang w:val="zh-CN"/>
        </w:rPr>
        <w:t>万元，截止评价时点，实际到位资金</w:t>
      </w:r>
      <w:r>
        <w:rPr>
          <w:rFonts w:hint="eastAsia" w:ascii="仿宋" w:hAnsi="仿宋" w:eastAsia="仿宋" w:cs="仿宋"/>
          <w:w w:val="98"/>
          <w:sz w:val="32"/>
          <w:szCs w:val="32"/>
          <w:lang w:val="en-US" w:eastAsia="zh-CN"/>
        </w:rPr>
        <w:t>13</w:t>
      </w:r>
      <w:r>
        <w:rPr>
          <w:rFonts w:hint="eastAsia" w:ascii="仿宋" w:hAnsi="仿宋" w:eastAsia="仿宋" w:cs="仿宋"/>
          <w:w w:val="98"/>
          <w:sz w:val="32"/>
          <w:szCs w:val="32"/>
          <w:lang w:val="zh-CN"/>
        </w:rPr>
        <w:t>万元，资金到位率100%。</w:t>
      </w:r>
    </w:p>
    <w:p w14:paraId="1B0BAE59">
      <w:pPr>
        <w:snapToGrid w:val="0"/>
        <w:spacing w:line="578" w:lineRule="exact"/>
        <w:ind w:firstLine="626" w:firstLineChars="200"/>
        <w:rPr>
          <w:rFonts w:ascii="Times New Roman" w:hAnsi="Times New Roman" w:eastAsia="仿宋_GB2312" w:cs="Times New Roman"/>
          <w:sz w:val="32"/>
          <w:szCs w:val="32"/>
          <w:lang w:val="zh-CN"/>
        </w:rPr>
      </w:pPr>
      <w:r>
        <w:rPr>
          <w:rFonts w:hint="eastAsia" w:ascii="仿宋" w:hAnsi="仿宋" w:eastAsia="仿宋" w:cs="仿宋"/>
          <w:w w:val="98"/>
          <w:sz w:val="32"/>
          <w:szCs w:val="32"/>
          <w:lang w:val="zh-CN"/>
        </w:rPr>
        <w:t>市场监管专项资金（应急机动部分）计划10万元，截止实施方案规定时间内，到位资金10万元，资金到位率100%。专项资金计划符合资金管理办法等相关规定，资金到位及时。</w:t>
      </w:r>
    </w:p>
    <w:p w14:paraId="1DCA31E0">
      <w:pPr>
        <w:adjustRightInd w:val="0"/>
        <w:snapToGrid w:val="0"/>
        <w:spacing w:line="578" w:lineRule="exact"/>
        <w:ind w:firstLine="626" w:firstLineChars="200"/>
        <w:rPr>
          <w:rFonts w:ascii="Times New Roman" w:hAnsi="Times New Roman" w:eastAsia="仿宋_GB2312" w:cs="Times New Roman"/>
          <w:sz w:val="32"/>
          <w:szCs w:val="32"/>
          <w:highlight w:val="yellow"/>
        </w:rPr>
      </w:pPr>
      <w:r>
        <w:rPr>
          <w:rFonts w:hint="eastAsia" w:ascii="仿宋" w:hAnsi="仿宋" w:eastAsia="仿宋" w:cs="仿宋"/>
          <w:w w:val="98"/>
          <w:sz w:val="32"/>
          <w:szCs w:val="32"/>
          <w:lang w:val="zh-CN"/>
        </w:rPr>
        <w:t>2.资金使用。截止评价时点，市场监管专项资金支出</w:t>
      </w:r>
      <w:r>
        <w:rPr>
          <w:rFonts w:hint="eastAsia" w:ascii="仿宋" w:hAnsi="仿宋" w:eastAsia="仿宋" w:cs="仿宋"/>
          <w:w w:val="98"/>
          <w:sz w:val="32"/>
          <w:szCs w:val="32"/>
          <w:lang w:val="en-US" w:eastAsia="zh-CN"/>
        </w:rPr>
        <w:t>13</w:t>
      </w:r>
      <w:r>
        <w:rPr>
          <w:rFonts w:hint="eastAsia" w:ascii="仿宋" w:hAnsi="仿宋" w:eastAsia="仿宋" w:cs="仿宋"/>
          <w:w w:val="98"/>
          <w:sz w:val="32"/>
          <w:szCs w:val="32"/>
          <w:lang w:val="zh-CN"/>
        </w:rPr>
        <w:t xml:space="preserve">万元，资金执行率100%。主要用于开展基层市场监管所标准化建设，打造省级示范所建设试点单位；开展“双随机、一公开”工作，全面实现市场监管系统双随机抽查任务100%完成、抽查结果100%公开；“小个专”非公党建，推进党的组织和党的工作全覆盖，不断提高“小个专”党建工作质量。 </w:t>
      </w:r>
      <w:r>
        <w:rPr>
          <w:rFonts w:hint="eastAsia" w:ascii="Times New Roman" w:hAnsi="Times New Roman" w:eastAsia="仿宋_GB2312" w:cs="Times New Roman"/>
          <w:sz w:val="32"/>
          <w:szCs w:val="32"/>
          <w:lang w:val="zh-CN"/>
        </w:rPr>
        <w:t xml:space="preserve">   </w:t>
      </w:r>
    </w:p>
    <w:p w14:paraId="29C8A0FE">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市场监管专项资金应急机动部分在实施方案规定时间内资金执行率达100%。主要用于开展安全风险大排查，消除一批重大安全隐患。广泛开展宣传，强化监管力度，最大限度预防和减少安全突发事件，切实保障广大群众的身体健康和生命安全，不断提升人民群众满意度。</w:t>
      </w:r>
    </w:p>
    <w:p w14:paraId="267B810D">
      <w:pPr>
        <w:adjustRightInd w:val="0"/>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专项工作开展均严格按照《四川省财政厅 四川省市场监督管理局关于印发〈四川省市场监管专项资金管理办法〉的通知》（川财行〔2019〕74号）文件要求，</w:t>
      </w:r>
      <w:r>
        <w:rPr>
          <w:rFonts w:hint="eastAsia" w:ascii="仿宋" w:hAnsi="仿宋" w:eastAsia="仿宋" w:cs="仿宋"/>
          <w:w w:val="98"/>
          <w:sz w:val="32"/>
          <w:szCs w:val="32"/>
          <w:lang w:val="en-US" w:eastAsia="zh-CN"/>
        </w:rPr>
        <w:t>合规合法确定</w:t>
      </w:r>
      <w:r>
        <w:rPr>
          <w:rFonts w:hint="eastAsia" w:ascii="仿宋" w:hAnsi="仿宋" w:eastAsia="仿宋" w:cs="仿宋"/>
          <w:w w:val="98"/>
          <w:sz w:val="32"/>
          <w:szCs w:val="32"/>
          <w:lang w:val="zh-CN"/>
        </w:rPr>
        <w:t>资金开支范围、标准及支付进度等，资金支付与预算相符。</w:t>
      </w:r>
    </w:p>
    <w:p w14:paraId="4D881860">
      <w:pPr>
        <w:adjustRightInd w:val="0"/>
        <w:snapToGrid w:val="0"/>
        <w:spacing w:line="578" w:lineRule="exact"/>
        <w:ind w:firstLine="640" w:firstLineChars="200"/>
        <w:rPr>
          <w:rFonts w:hint="eastAsia" w:ascii="Times New Roman" w:hAnsi="Times New Roman" w:eastAsia="楷体_GB2312" w:cs="Times New Roman"/>
          <w:sz w:val="32"/>
          <w:szCs w:val="32"/>
          <w:lang w:val="zh-CN"/>
        </w:rPr>
      </w:pPr>
      <w:r>
        <w:rPr>
          <w:rFonts w:hint="eastAsia" w:ascii="Times New Roman" w:hAnsi="Times New Roman" w:eastAsia="楷体_GB2312" w:cs="Times New Roman"/>
          <w:sz w:val="32"/>
          <w:szCs w:val="32"/>
          <w:lang w:val="zh-CN"/>
        </w:rPr>
        <w:t>（二）</w:t>
      </w:r>
      <w:r>
        <w:rPr>
          <w:rFonts w:hint="eastAsia" w:ascii="方正楷体简体" w:hAnsi="方正楷体简体" w:eastAsia="方正楷体简体" w:cs="方正楷体简体"/>
          <w:sz w:val="32"/>
          <w:szCs w:val="32"/>
          <w:lang w:val="zh-CN"/>
        </w:rPr>
        <w:t>项目财务管理情况</w:t>
      </w:r>
    </w:p>
    <w:p w14:paraId="392CCF9A">
      <w:pPr>
        <w:widowControl w:val="0"/>
        <w:autoSpaceDE w:val="0"/>
        <w:autoSpaceDN w:val="0"/>
        <w:adjustRightInd w:val="0"/>
        <w:snapToGrid w:val="0"/>
        <w:spacing w:line="578" w:lineRule="exact"/>
        <w:ind w:firstLine="626" w:firstLineChars="200"/>
        <w:jc w:val="both"/>
        <w:rPr>
          <w:rFonts w:hint="eastAsia" w:ascii="仿宋" w:hAnsi="仿宋" w:eastAsia="仿宋" w:cs="仿宋"/>
          <w:w w:val="98"/>
          <w:kern w:val="2"/>
          <w:sz w:val="32"/>
          <w:szCs w:val="32"/>
          <w:lang w:val="zh-CN" w:eastAsia="zh-CN" w:bidi="ar-SA"/>
        </w:rPr>
      </w:pPr>
      <w:r>
        <w:rPr>
          <w:rFonts w:hint="eastAsia" w:ascii="仿宋" w:hAnsi="仿宋" w:eastAsia="仿宋" w:cs="仿宋"/>
          <w:w w:val="98"/>
          <w:kern w:val="2"/>
          <w:sz w:val="32"/>
          <w:szCs w:val="32"/>
          <w:lang w:val="zh-CN" w:eastAsia="zh-CN" w:bidi="ar-SA"/>
        </w:rPr>
        <w:t>我局认真落实科学监管理念，严格管理，合理安排，不断健全完善财务管理制度、内控制度。</w:t>
      </w:r>
      <w:r>
        <w:rPr>
          <w:rFonts w:hint="eastAsia" w:ascii="仿宋" w:hAnsi="仿宋" w:eastAsia="仿宋" w:cs="仿宋"/>
          <w:w w:val="98"/>
          <w:kern w:val="2"/>
          <w:sz w:val="32"/>
          <w:szCs w:val="32"/>
          <w:lang w:val="en-US" w:eastAsia="zh-CN" w:bidi="ar-SA"/>
        </w:rPr>
        <w:t>项目支出均</w:t>
      </w:r>
      <w:r>
        <w:rPr>
          <w:rFonts w:hint="eastAsia" w:ascii="仿宋" w:hAnsi="仿宋" w:eastAsia="仿宋" w:cs="仿宋"/>
          <w:w w:val="98"/>
          <w:kern w:val="2"/>
          <w:sz w:val="32"/>
          <w:szCs w:val="32"/>
          <w:lang w:val="zh-CN" w:eastAsia="zh-CN" w:bidi="ar-SA"/>
        </w:rPr>
        <w:t>严格遵守《四川省市场监管专项资金管理办法》规定，项目支出严格按照报销程序审批，使用规范，会计核算结果真实、准确，未截留、挤占、挪用项目资金,确保了财政资金专款专用，切实提高了资金使用效益。</w:t>
      </w:r>
    </w:p>
    <w:p w14:paraId="20392E4C">
      <w:pPr>
        <w:adjustRightInd w:val="0"/>
        <w:snapToGrid w:val="0"/>
        <w:spacing w:line="578" w:lineRule="exact"/>
        <w:ind w:firstLine="640" w:firstLineChars="200"/>
        <w:rPr>
          <w:rFonts w:hint="eastAsia" w:ascii="方正楷体简体" w:hAnsi="方正楷体简体" w:eastAsia="方正楷体简体" w:cs="方正楷体简体"/>
          <w:sz w:val="32"/>
          <w:szCs w:val="32"/>
          <w:lang w:val="zh-CN"/>
        </w:rPr>
      </w:pPr>
      <w:r>
        <w:rPr>
          <w:rFonts w:hint="eastAsia" w:ascii="Times New Roman" w:hAnsi="Times New Roman" w:eastAsia="楷体_GB2312" w:cs="Times New Roman"/>
          <w:sz w:val="32"/>
          <w:szCs w:val="32"/>
          <w:lang w:val="zh-CN"/>
        </w:rPr>
        <w:t>（三）</w:t>
      </w:r>
      <w:r>
        <w:rPr>
          <w:rFonts w:hint="eastAsia" w:ascii="方正楷体简体" w:hAnsi="方正楷体简体" w:eastAsia="方正楷体简体" w:cs="方正楷体简体"/>
          <w:sz w:val="32"/>
          <w:szCs w:val="32"/>
          <w:lang w:val="zh-CN"/>
        </w:rPr>
        <w:t>项目组织实施情况</w:t>
      </w:r>
    </w:p>
    <w:p w14:paraId="29E044AD">
      <w:pPr>
        <w:adjustRightInd w:val="0"/>
        <w:snapToGrid w:val="0"/>
        <w:spacing w:line="578" w:lineRule="exact"/>
        <w:ind w:firstLine="626" w:firstLineChars="200"/>
        <w:rPr>
          <w:rFonts w:hint="eastAsia" w:ascii="Times New Roman" w:hAnsi="Times New Roman" w:eastAsia="仿宋_GB2312" w:cs="Times New Roman"/>
          <w:sz w:val="32"/>
          <w:szCs w:val="32"/>
          <w:lang w:val="zh-CN"/>
        </w:rPr>
      </w:pPr>
      <w:r>
        <w:rPr>
          <w:rFonts w:hint="eastAsia" w:ascii="仿宋" w:hAnsi="仿宋" w:eastAsia="仿宋" w:cs="仿宋"/>
          <w:w w:val="98"/>
          <w:sz w:val="32"/>
          <w:szCs w:val="32"/>
          <w:lang w:val="zh-CN"/>
        </w:rPr>
        <w:t>我局按照资金下达文件及《四川省财政厅 四川省市场监督管理局关于印发〈四川省市场监管专项资金管理办法〉的通知》（川财行〔2019〕74号）等文件要求，结合年度重点工作安排，及时制定并印发专项资金实施方案。方案明确了项目目标、项目内容、项目范围和实施单位、项目组织实施、项目执行时间、项目监督与评估</w:t>
      </w:r>
      <w:r>
        <w:rPr>
          <w:rFonts w:hint="eastAsia" w:ascii="仿宋" w:hAnsi="仿宋" w:eastAsia="仿宋" w:cs="仿宋"/>
          <w:w w:val="98"/>
          <w:sz w:val="32"/>
          <w:szCs w:val="32"/>
          <w:lang w:val="en-US" w:eastAsia="zh-CN"/>
        </w:rPr>
        <w:t>等</w:t>
      </w:r>
      <w:r>
        <w:rPr>
          <w:rFonts w:hint="eastAsia" w:ascii="仿宋" w:hAnsi="仿宋" w:eastAsia="仿宋" w:cs="仿宋"/>
          <w:w w:val="98"/>
          <w:sz w:val="32"/>
          <w:szCs w:val="32"/>
          <w:lang w:val="zh-CN"/>
        </w:rPr>
        <w:t>。按照实施方案着力推进项目开展，责任股室负责项目的组织实施、管理、绩效评价工作，财务股监督项目资金使用</w:t>
      </w:r>
      <w:r>
        <w:rPr>
          <w:rFonts w:hint="eastAsia" w:ascii="仿宋" w:hAnsi="仿宋" w:eastAsia="仿宋" w:cs="仿宋"/>
          <w:w w:val="98"/>
          <w:sz w:val="32"/>
          <w:szCs w:val="32"/>
          <w:lang w:val="en-US" w:eastAsia="zh-CN"/>
        </w:rPr>
        <w:t>并</w:t>
      </w:r>
      <w:r>
        <w:rPr>
          <w:rFonts w:hint="eastAsia" w:ascii="仿宋" w:hAnsi="仿宋" w:eastAsia="仿宋" w:cs="仿宋"/>
          <w:w w:val="98"/>
          <w:sz w:val="32"/>
          <w:szCs w:val="32"/>
          <w:lang w:val="zh-CN"/>
        </w:rPr>
        <w:t>会同责任股室组织项目绩效评价。</w:t>
      </w:r>
    </w:p>
    <w:p w14:paraId="195C571D">
      <w:pPr>
        <w:adjustRightInd w:val="0"/>
        <w:snapToGrid w:val="0"/>
        <w:spacing w:line="578" w:lineRule="exact"/>
        <w:ind w:firstLine="626" w:firstLineChars="200"/>
        <w:rPr>
          <w:rFonts w:ascii="Times New Roman" w:hAnsi="Times New Roman" w:eastAsia="仿宋_GB2312" w:cs="Times New Roman"/>
          <w:sz w:val="32"/>
          <w:szCs w:val="32"/>
          <w:lang w:val="zh-CN"/>
        </w:rPr>
      </w:pPr>
      <w:r>
        <w:rPr>
          <w:rFonts w:hint="eastAsia" w:ascii="仿宋" w:hAnsi="仿宋" w:eastAsia="仿宋" w:cs="仿宋"/>
          <w:w w:val="98"/>
          <w:sz w:val="32"/>
          <w:szCs w:val="32"/>
          <w:lang w:val="zh-CN"/>
        </w:rPr>
        <w:t>项目资金实行专款专用，专项核算，未列支与项目内容无关的费用，切实做好绩效监控和绩效评价，确保资金安全，提高财政资金使用效率。</w:t>
      </w:r>
    </w:p>
    <w:p w14:paraId="267701DD">
      <w:pPr>
        <w:adjustRightInd w:val="0"/>
        <w:snapToGrid w:val="0"/>
        <w:spacing w:line="578"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三、项目绩效情况</w:t>
      </w:r>
      <w:r>
        <w:rPr>
          <w:rFonts w:hint="eastAsia" w:ascii="Times New Roman" w:hAnsi="Times New Roman" w:eastAsia="黑体" w:cs="Times New Roman"/>
          <w:sz w:val="32"/>
          <w:szCs w:val="32"/>
        </w:rPr>
        <w:tab/>
      </w:r>
    </w:p>
    <w:p w14:paraId="65FBFD7A">
      <w:pPr>
        <w:adjustRightInd w:val="0"/>
        <w:snapToGrid w:val="0"/>
        <w:spacing w:line="578" w:lineRule="exact"/>
        <w:ind w:firstLine="640" w:firstLineChars="200"/>
        <w:rPr>
          <w:rFonts w:hint="eastAsia" w:ascii="Times New Roman" w:hAnsi="Times New Roman" w:eastAsia="楷体_GB2312" w:cs="Times New Roman"/>
          <w:sz w:val="32"/>
          <w:szCs w:val="32"/>
          <w:lang w:val="zh-CN"/>
        </w:rPr>
      </w:pPr>
      <w:r>
        <w:rPr>
          <w:rFonts w:hint="eastAsia" w:ascii="Times New Roman" w:hAnsi="Times New Roman" w:eastAsia="楷体_GB2312" w:cs="Times New Roman"/>
          <w:sz w:val="32"/>
          <w:szCs w:val="32"/>
          <w:lang w:val="zh-CN"/>
        </w:rPr>
        <w:t>（一）</w:t>
      </w:r>
      <w:r>
        <w:rPr>
          <w:rFonts w:hint="eastAsia" w:ascii="方正楷体简体" w:hAnsi="方正楷体简体" w:eastAsia="方正楷体简体" w:cs="方正楷体简体"/>
          <w:sz w:val="32"/>
          <w:szCs w:val="32"/>
          <w:lang w:val="zh-CN"/>
        </w:rPr>
        <w:t>项目完成情况</w:t>
      </w:r>
    </w:p>
    <w:p w14:paraId="60077FCB">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市场监管专项完成情况：</w:t>
      </w:r>
    </w:p>
    <w:p w14:paraId="7E5ABE23">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数量指标：基层市场监管所标准化建设1个，企业信息公示抽查企业数≥</w:t>
      </w:r>
      <w:r>
        <w:rPr>
          <w:rFonts w:hint="eastAsia" w:ascii="仿宋" w:hAnsi="仿宋" w:eastAsia="仿宋" w:cs="仿宋"/>
          <w:w w:val="98"/>
          <w:sz w:val="32"/>
          <w:szCs w:val="32"/>
          <w:lang w:val="en-US" w:eastAsia="zh-CN"/>
        </w:rPr>
        <w:t>10</w:t>
      </w:r>
      <w:r>
        <w:rPr>
          <w:rFonts w:hint="eastAsia" w:ascii="仿宋" w:hAnsi="仿宋" w:eastAsia="仿宋" w:cs="仿宋"/>
          <w:w w:val="98"/>
          <w:sz w:val="32"/>
          <w:szCs w:val="32"/>
          <w:lang w:val="zh-CN"/>
        </w:rPr>
        <w:t>户，打造“小个专”党建示范点1个。实际</w:t>
      </w:r>
      <w:r>
        <w:rPr>
          <w:rFonts w:hint="eastAsia" w:ascii="仿宋" w:hAnsi="仿宋" w:eastAsia="仿宋" w:cs="仿宋"/>
          <w:w w:val="98"/>
          <w:sz w:val="32"/>
          <w:szCs w:val="32"/>
          <w:lang w:val="en-US" w:eastAsia="zh-CN"/>
        </w:rPr>
        <w:t>完成</w:t>
      </w:r>
      <w:r>
        <w:rPr>
          <w:rFonts w:hint="eastAsia" w:ascii="仿宋" w:hAnsi="仿宋" w:eastAsia="仿宋" w:cs="仿宋"/>
          <w:w w:val="98"/>
          <w:sz w:val="32"/>
          <w:szCs w:val="32"/>
          <w:lang w:val="zh-CN"/>
        </w:rPr>
        <w:t>情况</w:t>
      </w:r>
      <w:r>
        <w:rPr>
          <w:rFonts w:hint="eastAsia" w:ascii="仿宋" w:hAnsi="仿宋" w:eastAsia="仿宋" w:cs="仿宋"/>
          <w:w w:val="98"/>
          <w:sz w:val="32"/>
          <w:szCs w:val="32"/>
          <w:lang w:val="en-US" w:eastAsia="zh-CN"/>
        </w:rPr>
        <w:t>：</w:t>
      </w:r>
      <w:r>
        <w:rPr>
          <w:rFonts w:hint="eastAsia" w:ascii="仿宋" w:hAnsi="仿宋" w:eastAsia="仿宋" w:cs="仿宋"/>
          <w:w w:val="98"/>
          <w:sz w:val="32"/>
          <w:szCs w:val="32"/>
          <w:lang w:val="zh-CN"/>
        </w:rPr>
        <w:t>基层市场监管所标准化建设1个，企业信息公示抽查企业</w:t>
      </w:r>
      <w:r>
        <w:rPr>
          <w:rFonts w:hint="eastAsia" w:ascii="仿宋" w:hAnsi="仿宋" w:eastAsia="仿宋" w:cs="仿宋"/>
          <w:w w:val="98"/>
          <w:sz w:val="32"/>
          <w:szCs w:val="32"/>
          <w:lang w:val="en-US" w:eastAsia="zh-CN"/>
        </w:rPr>
        <w:t>13</w:t>
      </w:r>
      <w:r>
        <w:rPr>
          <w:rFonts w:hint="eastAsia" w:ascii="仿宋" w:hAnsi="仿宋" w:eastAsia="仿宋" w:cs="仿宋"/>
          <w:w w:val="98"/>
          <w:sz w:val="32"/>
          <w:szCs w:val="32"/>
          <w:lang w:val="zh-CN"/>
        </w:rPr>
        <w:t>户，打造“小个专”党建示范点1个。</w:t>
      </w:r>
    </w:p>
    <w:p w14:paraId="7E492147">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质量指标：基层市场监管所标准化建设验收通过</w:t>
      </w:r>
      <w:r>
        <w:rPr>
          <w:rFonts w:hint="eastAsia" w:ascii="仿宋" w:hAnsi="仿宋" w:eastAsia="仿宋" w:cs="仿宋"/>
          <w:w w:val="98"/>
          <w:sz w:val="32"/>
          <w:szCs w:val="32"/>
          <w:lang w:val="en-US" w:eastAsia="zh-CN"/>
        </w:rPr>
        <w:t>率</w:t>
      </w:r>
      <w:r>
        <w:rPr>
          <w:rFonts w:hint="eastAsia" w:ascii="仿宋" w:hAnsi="仿宋" w:eastAsia="仿宋" w:cs="仿宋"/>
          <w:w w:val="98"/>
          <w:sz w:val="32"/>
          <w:szCs w:val="32"/>
          <w:lang w:val="zh-CN"/>
        </w:rPr>
        <w:t>100%，企业信息公示抽查结果公开率100%，打造“小个专”党建示范点验收通过率100%。实际完成情况</w:t>
      </w:r>
      <w:r>
        <w:rPr>
          <w:rFonts w:hint="eastAsia" w:ascii="仿宋" w:hAnsi="仿宋" w:eastAsia="仿宋" w:cs="仿宋"/>
          <w:w w:val="98"/>
          <w:sz w:val="32"/>
          <w:szCs w:val="32"/>
          <w:lang w:val="en-US" w:eastAsia="zh-CN"/>
        </w:rPr>
        <w:t>：</w:t>
      </w:r>
      <w:r>
        <w:rPr>
          <w:rFonts w:hint="eastAsia" w:ascii="仿宋" w:hAnsi="仿宋" w:eastAsia="仿宋" w:cs="仿宋"/>
          <w:w w:val="98"/>
          <w:sz w:val="32"/>
          <w:szCs w:val="32"/>
          <w:lang w:val="zh-CN"/>
        </w:rPr>
        <w:t>基层市场监管所标准化建设验收通过</w:t>
      </w:r>
      <w:r>
        <w:rPr>
          <w:rFonts w:hint="eastAsia" w:ascii="仿宋" w:hAnsi="仿宋" w:eastAsia="仿宋" w:cs="仿宋"/>
          <w:w w:val="98"/>
          <w:sz w:val="32"/>
          <w:szCs w:val="32"/>
          <w:lang w:val="en-US" w:eastAsia="zh-CN"/>
        </w:rPr>
        <w:t>率</w:t>
      </w:r>
      <w:r>
        <w:rPr>
          <w:rFonts w:hint="eastAsia" w:ascii="仿宋" w:hAnsi="仿宋" w:eastAsia="仿宋" w:cs="仿宋"/>
          <w:w w:val="98"/>
          <w:sz w:val="32"/>
          <w:szCs w:val="32"/>
          <w:lang w:val="zh-CN"/>
        </w:rPr>
        <w:t>100%，企业信息公示抽查结果公开率100%，打造“小个专”党建示范点验收通过率100%。</w:t>
      </w:r>
    </w:p>
    <w:p w14:paraId="675FBE67">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时间指标：项目完成时间2022年12月31日前。实际完成情况</w:t>
      </w:r>
      <w:r>
        <w:rPr>
          <w:rFonts w:hint="eastAsia" w:ascii="仿宋" w:hAnsi="仿宋" w:eastAsia="仿宋" w:cs="仿宋"/>
          <w:w w:val="98"/>
          <w:sz w:val="32"/>
          <w:szCs w:val="32"/>
          <w:lang w:val="en-US" w:eastAsia="zh-CN"/>
        </w:rPr>
        <w:t>：</w:t>
      </w:r>
      <w:r>
        <w:rPr>
          <w:rFonts w:hint="eastAsia" w:ascii="仿宋" w:hAnsi="仿宋" w:eastAsia="仿宋" w:cs="仿宋"/>
          <w:w w:val="98"/>
          <w:sz w:val="32"/>
          <w:szCs w:val="32"/>
          <w:lang w:val="zh-CN"/>
        </w:rPr>
        <w:t>2022年12月31日前</w:t>
      </w:r>
      <w:r>
        <w:rPr>
          <w:rFonts w:hint="eastAsia" w:ascii="仿宋" w:hAnsi="仿宋" w:eastAsia="仿宋" w:cs="仿宋"/>
          <w:w w:val="98"/>
          <w:sz w:val="32"/>
          <w:szCs w:val="32"/>
          <w:lang w:val="en-US" w:eastAsia="zh-CN"/>
        </w:rPr>
        <w:t>已完成相关项目</w:t>
      </w:r>
      <w:r>
        <w:rPr>
          <w:rFonts w:hint="eastAsia" w:ascii="仿宋" w:hAnsi="仿宋" w:eastAsia="仿宋" w:cs="仿宋"/>
          <w:w w:val="98"/>
          <w:sz w:val="32"/>
          <w:szCs w:val="32"/>
          <w:lang w:val="zh-CN"/>
        </w:rPr>
        <w:t>。</w:t>
      </w:r>
    </w:p>
    <w:p w14:paraId="70916677">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成本指标：基层市场监管所标准化建设成本≤10万元/个，每户企业信息公示抽查成本≤1500元/户，打造“小个专”党建示范点成本≤1万元/个。实际</w:t>
      </w:r>
      <w:r>
        <w:rPr>
          <w:rFonts w:hint="eastAsia" w:ascii="仿宋" w:hAnsi="仿宋" w:eastAsia="仿宋" w:cs="仿宋"/>
          <w:w w:val="98"/>
          <w:sz w:val="32"/>
          <w:szCs w:val="32"/>
          <w:lang w:val="en-US" w:eastAsia="zh-CN"/>
        </w:rPr>
        <w:t>完成</w:t>
      </w:r>
      <w:r>
        <w:rPr>
          <w:rFonts w:hint="eastAsia" w:ascii="仿宋" w:hAnsi="仿宋" w:eastAsia="仿宋" w:cs="仿宋"/>
          <w:w w:val="98"/>
          <w:sz w:val="32"/>
          <w:szCs w:val="32"/>
          <w:lang w:val="zh-CN"/>
        </w:rPr>
        <w:t>情况</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基层市场监管所标准化建设成本≤10万元/个，每户企业信息公示抽查成本≤1500元/户，打造“小个专”党建示范点成本≤1万元/个。</w:t>
      </w:r>
    </w:p>
    <w:p w14:paraId="7BE62F62">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市场监管专项资金应急机动部分专项完成情况：</w:t>
      </w:r>
    </w:p>
    <w:p w14:paraId="59BC1958">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数量指标：</w:t>
      </w:r>
      <w:r>
        <w:rPr>
          <w:rFonts w:hint="eastAsia" w:ascii="仿宋" w:hAnsi="仿宋" w:eastAsia="仿宋" w:cs="仿宋"/>
          <w:w w:val="98"/>
          <w:sz w:val="32"/>
          <w:szCs w:val="32"/>
          <w:lang w:val="en-US" w:eastAsia="zh-CN"/>
        </w:rPr>
        <w:t>开展</w:t>
      </w:r>
      <w:r>
        <w:rPr>
          <w:rFonts w:hint="eastAsia" w:ascii="仿宋" w:hAnsi="仿宋" w:eastAsia="仿宋" w:cs="仿宋"/>
          <w:w w:val="98"/>
          <w:sz w:val="32"/>
          <w:szCs w:val="32"/>
          <w:lang w:val="zh-CN"/>
        </w:rPr>
        <w:t>特种设备安全</w:t>
      </w:r>
      <w:r>
        <w:rPr>
          <w:rFonts w:hint="eastAsia" w:ascii="仿宋" w:hAnsi="仿宋" w:eastAsia="仿宋" w:cs="仿宋"/>
          <w:w w:val="98"/>
          <w:sz w:val="32"/>
          <w:szCs w:val="32"/>
          <w:lang w:val="en-US" w:eastAsia="zh-CN"/>
        </w:rPr>
        <w:t>应急演练等工作</w:t>
      </w:r>
      <w:r>
        <w:rPr>
          <w:rFonts w:hint="eastAsia" w:ascii="仿宋" w:hAnsi="仿宋" w:eastAsia="仿宋" w:cs="仿宋"/>
          <w:w w:val="98"/>
          <w:sz w:val="32"/>
          <w:szCs w:val="32"/>
          <w:lang w:val="zh-CN"/>
        </w:rPr>
        <w:t>≥</w:t>
      </w:r>
      <w:r>
        <w:rPr>
          <w:rFonts w:hint="eastAsia" w:ascii="仿宋" w:hAnsi="仿宋" w:eastAsia="仿宋" w:cs="仿宋"/>
          <w:w w:val="98"/>
          <w:sz w:val="32"/>
          <w:szCs w:val="32"/>
          <w:lang w:val="en-US" w:eastAsia="zh-CN"/>
        </w:rPr>
        <w:t>1</w:t>
      </w:r>
      <w:r>
        <w:rPr>
          <w:rFonts w:hint="eastAsia" w:ascii="仿宋" w:hAnsi="仿宋" w:eastAsia="仿宋" w:cs="仿宋"/>
          <w:w w:val="98"/>
          <w:sz w:val="32"/>
          <w:szCs w:val="32"/>
          <w:lang w:val="zh-CN"/>
        </w:rPr>
        <w:t>次。</w:t>
      </w:r>
    </w:p>
    <w:p w14:paraId="201C80F4">
      <w:pPr>
        <w:snapToGrid w:val="0"/>
        <w:spacing w:line="578" w:lineRule="exact"/>
        <w:ind w:firstLine="626" w:firstLineChars="200"/>
        <w:rPr>
          <w:rFonts w:hint="eastAsia" w:ascii="Times New Roman" w:hAnsi="Times New Roman" w:eastAsia="仿宋_GB2312" w:cs="Times New Roman"/>
          <w:sz w:val="32"/>
          <w:szCs w:val="32"/>
        </w:rPr>
      </w:pPr>
      <w:r>
        <w:rPr>
          <w:rFonts w:hint="eastAsia" w:ascii="仿宋" w:hAnsi="仿宋" w:eastAsia="仿宋" w:cs="仿宋"/>
          <w:w w:val="98"/>
          <w:sz w:val="32"/>
          <w:szCs w:val="32"/>
          <w:lang w:val="zh-CN"/>
        </w:rPr>
        <w:t>质量指标：特种设备安全隐患大排查检查发现问题整改率100%</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开展特种设备安全宣传活动覆盖率100%。实际</w:t>
      </w:r>
      <w:r>
        <w:rPr>
          <w:rFonts w:hint="eastAsia" w:ascii="仿宋" w:hAnsi="仿宋" w:eastAsia="仿宋" w:cs="仿宋"/>
          <w:w w:val="98"/>
          <w:sz w:val="32"/>
          <w:szCs w:val="32"/>
          <w:lang w:val="en-US" w:eastAsia="zh-CN"/>
        </w:rPr>
        <w:t>完成</w:t>
      </w:r>
      <w:r>
        <w:rPr>
          <w:rFonts w:hint="eastAsia" w:ascii="仿宋" w:hAnsi="仿宋" w:eastAsia="仿宋" w:cs="仿宋"/>
          <w:w w:val="98"/>
          <w:sz w:val="32"/>
          <w:szCs w:val="32"/>
          <w:lang w:val="zh-CN"/>
        </w:rPr>
        <w:t>情况</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实施方案规定时间内特种设备安全隐患大排查检查发现问题整改率100%</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开展特种设备安全宣传活动覆盖率100%。</w:t>
      </w:r>
    </w:p>
    <w:p w14:paraId="6939A28D">
      <w:pPr>
        <w:snapToGrid w:val="0"/>
        <w:spacing w:line="578" w:lineRule="exact"/>
        <w:ind w:firstLine="626" w:firstLineChars="200"/>
        <w:rPr>
          <w:rFonts w:hint="eastAsia" w:ascii="Times New Roman" w:hAnsi="Times New Roman" w:eastAsia="仿宋_GB2312" w:cs="Times New Roman"/>
          <w:sz w:val="32"/>
          <w:szCs w:val="32"/>
        </w:rPr>
      </w:pPr>
      <w:r>
        <w:rPr>
          <w:rFonts w:hint="eastAsia" w:ascii="仿宋" w:hAnsi="仿宋" w:eastAsia="仿宋" w:cs="仿宋"/>
          <w:w w:val="98"/>
          <w:sz w:val="32"/>
          <w:szCs w:val="32"/>
          <w:lang w:val="zh-CN"/>
        </w:rPr>
        <w:t>时间指标：项目完成时间</w:t>
      </w:r>
      <w:r>
        <w:rPr>
          <w:rFonts w:hint="eastAsia" w:ascii="仿宋" w:hAnsi="仿宋" w:eastAsia="仿宋" w:cs="仿宋"/>
          <w:w w:val="98"/>
          <w:sz w:val="32"/>
          <w:szCs w:val="32"/>
          <w:lang w:val="zh-CN"/>
        </w:rPr>
        <w:tab/>
      </w:r>
      <w:r>
        <w:rPr>
          <w:rFonts w:hint="eastAsia" w:ascii="仿宋" w:hAnsi="仿宋" w:eastAsia="仿宋" w:cs="仿宋"/>
          <w:w w:val="98"/>
          <w:sz w:val="32"/>
          <w:szCs w:val="32"/>
          <w:lang w:val="zh-CN"/>
        </w:rPr>
        <w:t>2023年12月31日。实际</w:t>
      </w:r>
      <w:r>
        <w:rPr>
          <w:rFonts w:hint="eastAsia" w:ascii="仿宋" w:hAnsi="仿宋" w:eastAsia="仿宋" w:cs="仿宋"/>
          <w:w w:val="98"/>
          <w:sz w:val="32"/>
          <w:szCs w:val="32"/>
          <w:lang w:val="en-US" w:eastAsia="zh-CN"/>
        </w:rPr>
        <w:t>完成</w:t>
      </w:r>
      <w:r>
        <w:rPr>
          <w:rFonts w:hint="eastAsia" w:ascii="仿宋" w:hAnsi="仿宋" w:eastAsia="仿宋" w:cs="仿宋"/>
          <w:w w:val="98"/>
          <w:sz w:val="32"/>
          <w:szCs w:val="32"/>
          <w:lang w:val="zh-CN"/>
        </w:rPr>
        <w:t>情况</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项目</w:t>
      </w:r>
      <w:r>
        <w:rPr>
          <w:rFonts w:hint="eastAsia" w:ascii="仿宋" w:hAnsi="仿宋" w:eastAsia="仿宋" w:cs="仿宋"/>
          <w:w w:val="98"/>
          <w:sz w:val="32"/>
          <w:szCs w:val="32"/>
          <w:lang w:val="en-US" w:eastAsia="zh-CN"/>
        </w:rPr>
        <w:t>于</w:t>
      </w:r>
      <w:r>
        <w:rPr>
          <w:rFonts w:hint="eastAsia" w:ascii="仿宋" w:hAnsi="仿宋" w:eastAsia="仿宋" w:cs="仿宋"/>
          <w:w w:val="98"/>
          <w:sz w:val="32"/>
          <w:szCs w:val="32"/>
          <w:lang w:val="zh-CN"/>
        </w:rPr>
        <w:t>2023年12月31日前</w:t>
      </w:r>
      <w:r>
        <w:rPr>
          <w:rFonts w:hint="eastAsia" w:ascii="仿宋" w:hAnsi="仿宋" w:eastAsia="仿宋" w:cs="仿宋"/>
          <w:w w:val="98"/>
          <w:sz w:val="32"/>
          <w:szCs w:val="32"/>
          <w:lang w:val="en-US" w:eastAsia="zh-CN"/>
        </w:rPr>
        <w:t>完成</w:t>
      </w:r>
      <w:r>
        <w:rPr>
          <w:rFonts w:hint="eastAsia" w:ascii="仿宋" w:hAnsi="仿宋" w:eastAsia="仿宋" w:cs="仿宋"/>
          <w:w w:val="98"/>
          <w:sz w:val="32"/>
          <w:szCs w:val="32"/>
          <w:lang w:val="zh-CN"/>
        </w:rPr>
        <w:t>。</w:t>
      </w:r>
    </w:p>
    <w:p w14:paraId="5FD44E42">
      <w:pPr>
        <w:snapToGrid w:val="0"/>
        <w:spacing w:line="578" w:lineRule="exact"/>
        <w:ind w:firstLine="626" w:firstLineChars="200"/>
        <w:rPr>
          <w:rFonts w:hint="eastAsia" w:ascii="Times New Roman" w:hAnsi="Times New Roman" w:eastAsia="仿宋_GB2312" w:cs="Times New Roman"/>
          <w:sz w:val="32"/>
          <w:szCs w:val="32"/>
        </w:rPr>
      </w:pPr>
      <w:r>
        <w:rPr>
          <w:rFonts w:hint="eastAsia" w:ascii="仿宋" w:hAnsi="仿宋" w:eastAsia="仿宋" w:cs="仿宋"/>
          <w:w w:val="98"/>
          <w:sz w:val="32"/>
          <w:szCs w:val="32"/>
          <w:lang w:val="zh-CN"/>
        </w:rPr>
        <w:t>成本指标：特种设备安全隐患大排查成本≤</w:t>
      </w:r>
      <w:r>
        <w:rPr>
          <w:rFonts w:hint="eastAsia" w:ascii="仿宋" w:hAnsi="仿宋" w:eastAsia="仿宋" w:cs="仿宋"/>
          <w:w w:val="98"/>
          <w:sz w:val="32"/>
          <w:szCs w:val="32"/>
          <w:lang w:val="en-US" w:eastAsia="zh-CN"/>
        </w:rPr>
        <w:t>1</w:t>
      </w:r>
      <w:r>
        <w:rPr>
          <w:rFonts w:hint="eastAsia" w:ascii="仿宋" w:hAnsi="仿宋" w:eastAsia="仿宋" w:cs="仿宋"/>
          <w:w w:val="98"/>
          <w:sz w:val="32"/>
          <w:szCs w:val="32"/>
          <w:lang w:val="zh-CN"/>
        </w:rPr>
        <w:t>0</w:t>
      </w:r>
      <w:r>
        <w:rPr>
          <w:rFonts w:hint="eastAsia" w:ascii="仿宋" w:hAnsi="仿宋" w:eastAsia="仿宋" w:cs="仿宋"/>
          <w:w w:val="98"/>
          <w:sz w:val="32"/>
          <w:szCs w:val="32"/>
          <w:lang w:val="en-US" w:eastAsia="zh-CN"/>
        </w:rPr>
        <w:t>万</w:t>
      </w:r>
      <w:r>
        <w:rPr>
          <w:rFonts w:hint="eastAsia" w:ascii="仿宋" w:hAnsi="仿宋" w:eastAsia="仿宋" w:cs="仿宋"/>
          <w:w w:val="98"/>
          <w:sz w:val="32"/>
          <w:szCs w:val="32"/>
          <w:lang w:val="zh-CN"/>
        </w:rPr>
        <w:t>元/次</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实际</w:t>
      </w:r>
      <w:r>
        <w:rPr>
          <w:rFonts w:hint="eastAsia" w:ascii="仿宋" w:hAnsi="仿宋" w:eastAsia="仿宋" w:cs="仿宋"/>
          <w:w w:val="98"/>
          <w:sz w:val="32"/>
          <w:szCs w:val="32"/>
          <w:lang w:val="en-US" w:eastAsia="zh-CN"/>
        </w:rPr>
        <w:t>完成</w:t>
      </w:r>
      <w:r>
        <w:rPr>
          <w:rFonts w:hint="eastAsia" w:ascii="仿宋" w:hAnsi="仿宋" w:eastAsia="仿宋" w:cs="仿宋"/>
          <w:w w:val="98"/>
          <w:sz w:val="32"/>
          <w:szCs w:val="32"/>
          <w:lang w:val="zh-CN"/>
        </w:rPr>
        <w:t>情况</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特种设备安全隐患大排查成本≤</w:t>
      </w:r>
      <w:r>
        <w:rPr>
          <w:rFonts w:hint="eastAsia" w:ascii="仿宋" w:hAnsi="仿宋" w:eastAsia="仿宋" w:cs="仿宋"/>
          <w:w w:val="98"/>
          <w:sz w:val="32"/>
          <w:szCs w:val="32"/>
          <w:lang w:val="en-US" w:eastAsia="zh-CN"/>
        </w:rPr>
        <w:t>1</w:t>
      </w:r>
      <w:r>
        <w:rPr>
          <w:rFonts w:hint="eastAsia" w:ascii="仿宋" w:hAnsi="仿宋" w:eastAsia="仿宋" w:cs="仿宋"/>
          <w:w w:val="98"/>
          <w:sz w:val="32"/>
          <w:szCs w:val="32"/>
          <w:lang w:val="zh-CN"/>
        </w:rPr>
        <w:t>0</w:t>
      </w:r>
      <w:r>
        <w:rPr>
          <w:rFonts w:hint="eastAsia" w:ascii="仿宋" w:hAnsi="仿宋" w:eastAsia="仿宋" w:cs="仿宋"/>
          <w:w w:val="98"/>
          <w:sz w:val="32"/>
          <w:szCs w:val="32"/>
          <w:lang w:val="en-US" w:eastAsia="zh-CN"/>
        </w:rPr>
        <w:t>万</w:t>
      </w:r>
      <w:r>
        <w:rPr>
          <w:rFonts w:hint="eastAsia" w:ascii="仿宋" w:hAnsi="仿宋" w:eastAsia="仿宋" w:cs="仿宋"/>
          <w:w w:val="98"/>
          <w:sz w:val="32"/>
          <w:szCs w:val="32"/>
          <w:lang w:val="zh-CN"/>
        </w:rPr>
        <w:t>元/次。</w:t>
      </w:r>
    </w:p>
    <w:p w14:paraId="6DC0E514">
      <w:pPr>
        <w:adjustRightInd w:val="0"/>
        <w:snapToGrid w:val="0"/>
        <w:spacing w:line="578" w:lineRule="exact"/>
        <w:ind w:firstLine="640" w:firstLineChars="200"/>
        <w:rPr>
          <w:rFonts w:hint="eastAsia" w:ascii="Times New Roman" w:hAnsi="Times New Roman" w:eastAsia="楷体_GB2312" w:cs="Times New Roman"/>
          <w:sz w:val="32"/>
          <w:szCs w:val="32"/>
          <w:lang w:val="zh-CN"/>
        </w:rPr>
      </w:pPr>
      <w:r>
        <w:rPr>
          <w:rFonts w:hint="eastAsia" w:ascii="Times New Roman" w:hAnsi="Times New Roman" w:eastAsia="楷体_GB2312" w:cs="Times New Roman"/>
          <w:sz w:val="32"/>
          <w:szCs w:val="32"/>
          <w:lang w:val="zh-CN"/>
        </w:rPr>
        <w:t>（二）</w:t>
      </w:r>
      <w:r>
        <w:rPr>
          <w:rFonts w:hint="eastAsia" w:ascii="方正楷体简体" w:hAnsi="方正楷体简体" w:eastAsia="方正楷体简体" w:cs="方正楷体简体"/>
          <w:sz w:val="32"/>
          <w:szCs w:val="32"/>
          <w:lang w:val="zh-CN"/>
        </w:rPr>
        <w:t>项目效益情况</w:t>
      </w:r>
    </w:p>
    <w:p w14:paraId="07057595">
      <w:pPr>
        <w:adjustRightInd w:val="0"/>
        <w:snapToGrid w:val="0"/>
        <w:spacing w:line="578"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市场监管专项完成情况：</w:t>
      </w:r>
    </w:p>
    <w:p w14:paraId="3220E5AF">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社会效益指标：</w:t>
      </w:r>
      <w:r>
        <w:rPr>
          <w:rFonts w:hint="eastAsia" w:ascii="仿宋" w:hAnsi="仿宋" w:eastAsia="仿宋" w:cs="仿宋"/>
          <w:w w:val="98"/>
          <w:sz w:val="32"/>
          <w:szCs w:val="32"/>
          <w:lang w:val="en-US" w:eastAsia="zh-CN"/>
        </w:rPr>
        <w:t>基层所建设服务质量不断提高，</w:t>
      </w:r>
      <w:r>
        <w:rPr>
          <w:rFonts w:hint="eastAsia" w:ascii="仿宋" w:hAnsi="仿宋" w:eastAsia="仿宋" w:cs="仿宋"/>
          <w:w w:val="98"/>
          <w:sz w:val="32"/>
          <w:szCs w:val="32"/>
          <w:lang w:val="zh-CN"/>
        </w:rPr>
        <w:t>市场监管能力持续提升。我局紧紧围绕</w:t>
      </w:r>
      <w:r>
        <w:rPr>
          <w:rFonts w:hint="eastAsia" w:ascii="仿宋" w:hAnsi="仿宋" w:eastAsia="仿宋" w:cs="仿宋"/>
          <w:w w:val="98"/>
          <w:sz w:val="32"/>
          <w:szCs w:val="32"/>
          <w:lang w:val="en-US" w:eastAsia="zh-CN"/>
        </w:rPr>
        <w:t>区</w:t>
      </w:r>
      <w:r>
        <w:rPr>
          <w:rFonts w:hint="eastAsia" w:ascii="仿宋" w:hAnsi="仿宋" w:eastAsia="仿宋" w:cs="仿宋"/>
          <w:w w:val="98"/>
          <w:sz w:val="32"/>
          <w:szCs w:val="32"/>
          <w:lang w:val="zh-CN"/>
        </w:rPr>
        <w:t>委</w:t>
      </w:r>
      <w:r>
        <w:rPr>
          <w:rFonts w:hint="eastAsia" w:ascii="仿宋" w:hAnsi="仿宋" w:eastAsia="仿宋" w:cs="仿宋"/>
          <w:w w:val="98"/>
          <w:sz w:val="32"/>
          <w:szCs w:val="32"/>
          <w:lang w:val="en-US" w:eastAsia="zh-CN"/>
        </w:rPr>
        <w:t>区</w:t>
      </w:r>
      <w:r>
        <w:rPr>
          <w:rFonts w:hint="eastAsia" w:ascii="仿宋" w:hAnsi="仿宋" w:eastAsia="仿宋" w:cs="仿宋"/>
          <w:w w:val="98"/>
          <w:sz w:val="32"/>
          <w:szCs w:val="32"/>
          <w:lang w:val="zh-CN"/>
        </w:rPr>
        <w:t>政府和上级市场监管部门中心工作，凝心聚力、真抓实干，坚决守住安全底线，维护市场秩序，保障民生底板，激发市场活力，为</w:t>
      </w:r>
      <w:r>
        <w:rPr>
          <w:rFonts w:hint="eastAsia" w:ascii="仿宋" w:hAnsi="仿宋" w:eastAsia="仿宋" w:cs="仿宋"/>
          <w:w w:val="98"/>
          <w:sz w:val="32"/>
          <w:szCs w:val="32"/>
          <w:lang w:val="en-US" w:eastAsia="zh-CN"/>
        </w:rPr>
        <w:t>安居</w:t>
      </w:r>
      <w:r>
        <w:rPr>
          <w:rFonts w:hint="eastAsia" w:ascii="仿宋" w:hAnsi="仿宋" w:eastAsia="仿宋" w:cs="仿宋"/>
          <w:w w:val="98"/>
          <w:sz w:val="32"/>
          <w:szCs w:val="32"/>
          <w:lang w:val="zh-CN"/>
        </w:rPr>
        <w:t>经济社会高质量发展提供强有力的市监力量，市场监管能力持续提升。</w:t>
      </w:r>
    </w:p>
    <w:p w14:paraId="0D849347">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满意度指标：服务对象满意度≥8</w:t>
      </w:r>
      <w:r>
        <w:rPr>
          <w:rFonts w:hint="eastAsia" w:ascii="仿宋" w:hAnsi="仿宋" w:eastAsia="仿宋" w:cs="仿宋"/>
          <w:w w:val="98"/>
          <w:sz w:val="32"/>
          <w:szCs w:val="32"/>
          <w:lang w:val="en-US" w:eastAsia="zh-CN"/>
        </w:rPr>
        <w:t>0</w:t>
      </w:r>
      <w:r>
        <w:rPr>
          <w:rFonts w:hint="eastAsia" w:ascii="仿宋" w:hAnsi="仿宋" w:eastAsia="仿宋" w:cs="仿宋"/>
          <w:w w:val="98"/>
          <w:sz w:val="32"/>
          <w:szCs w:val="32"/>
          <w:lang w:val="zh-CN"/>
        </w:rPr>
        <w:t>%。人民群众满意度≥</w:t>
      </w:r>
      <w:r>
        <w:rPr>
          <w:rFonts w:hint="eastAsia" w:ascii="仿宋" w:hAnsi="仿宋" w:eastAsia="仿宋" w:cs="仿宋"/>
          <w:w w:val="98"/>
          <w:sz w:val="32"/>
          <w:szCs w:val="32"/>
          <w:lang w:val="en-US" w:eastAsia="zh-CN"/>
        </w:rPr>
        <w:t>9</w:t>
      </w:r>
      <w:r>
        <w:rPr>
          <w:rFonts w:hint="eastAsia" w:ascii="仿宋" w:hAnsi="仿宋" w:eastAsia="仿宋" w:cs="仿宋"/>
          <w:w w:val="98"/>
          <w:sz w:val="32"/>
          <w:szCs w:val="32"/>
          <w:lang w:val="zh-CN"/>
        </w:rPr>
        <w:t>0%。实际</w:t>
      </w:r>
      <w:r>
        <w:rPr>
          <w:rFonts w:hint="eastAsia" w:ascii="仿宋" w:hAnsi="仿宋" w:eastAsia="仿宋" w:cs="仿宋"/>
          <w:w w:val="98"/>
          <w:sz w:val="32"/>
          <w:szCs w:val="32"/>
          <w:lang w:val="en-US" w:eastAsia="zh-CN"/>
        </w:rPr>
        <w:t>完成</w:t>
      </w:r>
      <w:r>
        <w:rPr>
          <w:rFonts w:hint="eastAsia" w:ascii="仿宋" w:hAnsi="仿宋" w:eastAsia="仿宋" w:cs="仿宋"/>
          <w:w w:val="98"/>
          <w:sz w:val="32"/>
          <w:szCs w:val="32"/>
          <w:lang w:val="zh-CN"/>
        </w:rPr>
        <w:t>情况</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服务对象满意度为</w:t>
      </w:r>
      <w:r>
        <w:rPr>
          <w:rFonts w:hint="eastAsia" w:ascii="仿宋" w:hAnsi="仿宋" w:eastAsia="仿宋" w:cs="仿宋"/>
          <w:w w:val="98"/>
          <w:sz w:val="32"/>
          <w:szCs w:val="32"/>
          <w:lang w:val="en-US" w:eastAsia="zh-CN"/>
        </w:rPr>
        <w:t>90</w:t>
      </w:r>
      <w:r>
        <w:rPr>
          <w:rFonts w:hint="eastAsia" w:ascii="仿宋" w:hAnsi="仿宋" w:eastAsia="仿宋" w:cs="仿宋"/>
          <w:w w:val="98"/>
          <w:sz w:val="32"/>
          <w:szCs w:val="32"/>
          <w:lang w:val="zh-CN"/>
        </w:rPr>
        <w:t>%。人民群众满意度为</w:t>
      </w:r>
      <w:r>
        <w:rPr>
          <w:rFonts w:hint="eastAsia" w:ascii="仿宋" w:hAnsi="仿宋" w:eastAsia="仿宋" w:cs="仿宋"/>
          <w:w w:val="98"/>
          <w:sz w:val="32"/>
          <w:szCs w:val="32"/>
          <w:lang w:val="en-US" w:eastAsia="zh-CN"/>
        </w:rPr>
        <w:t>90</w:t>
      </w:r>
      <w:r>
        <w:rPr>
          <w:rFonts w:hint="eastAsia" w:ascii="仿宋" w:hAnsi="仿宋" w:eastAsia="仿宋" w:cs="仿宋"/>
          <w:w w:val="98"/>
          <w:sz w:val="32"/>
          <w:szCs w:val="32"/>
          <w:lang w:val="zh-CN"/>
        </w:rPr>
        <w:t>%。</w:t>
      </w:r>
    </w:p>
    <w:p w14:paraId="06621A37">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市场监管专项资金应急机动部分专项完成情况：</w:t>
      </w:r>
    </w:p>
    <w:p w14:paraId="40A2DE4D">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社会效益指标：特种设备</w:t>
      </w:r>
      <w:r>
        <w:rPr>
          <w:rFonts w:hint="eastAsia" w:ascii="仿宋" w:hAnsi="仿宋" w:eastAsia="仿宋" w:cs="仿宋"/>
          <w:w w:val="98"/>
          <w:sz w:val="32"/>
          <w:szCs w:val="32"/>
          <w:lang w:val="en-US" w:eastAsia="zh-CN"/>
        </w:rPr>
        <w:t>等</w:t>
      </w:r>
      <w:r>
        <w:rPr>
          <w:rFonts w:hint="eastAsia" w:ascii="仿宋" w:hAnsi="仿宋" w:eastAsia="仿宋" w:cs="仿宋"/>
          <w:w w:val="98"/>
          <w:sz w:val="32"/>
          <w:szCs w:val="32"/>
          <w:lang w:val="zh-CN"/>
        </w:rPr>
        <w:t>监管能力不断提升。</w:t>
      </w:r>
    </w:p>
    <w:p w14:paraId="79C54B73">
      <w:pPr>
        <w:snapToGrid w:val="0"/>
        <w:spacing w:line="578" w:lineRule="exact"/>
        <w:ind w:firstLine="626" w:firstLineChars="200"/>
        <w:rPr>
          <w:rFonts w:hint="eastAsia" w:ascii="仿宋" w:hAnsi="仿宋" w:eastAsia="仿宋" w:cs="仿宋"/>
          <w:w w:val="98"/>
          <w:sz w:val="32"/>
          <w:szCs w:val="32"/>
          <w:lang w:val="zh-CN"/>
        </w:rPr>
      </w:pPr>
      <w:r>
        <w:rPr>
          <w:rFonts w:hint="eastAsia" w:ascii="仿宋" w:hAnsi="仿宋" w:eastAsia="仿宋" w:cs="仿宋"/>
          <w:w w:val="98"/>
          <w:sz w:val="32"/>
          <w:szCs w:val="32"/>
          <w:lang w:val="zh-CN"/>
        </w:rPr>
        <w:t>满意度指标：人民群众满意度≥</w:t>
      </w:r>
      <w:r>
        <w:rPr>
          <w:rFonts w:hint="eastAsia" w:ascii="仿宋" w:hAnsi="仿宋" w:eastAsia="仿宋" w:cs="仿宋"/>
          <w:w w:val="98"/>
          <w:sz w:val="32"/>
          <w:szCs w:val="32"/>
          <w:lang w:val="en-US" w:eastAsia="zh-CN"/>
        </w:rPr>
        <w:t>90</w:t>
      </w:r>
      <w:r>
        <w:rPr>
          <w:rFonts w:hint="eastAsia" w:ascii="仿宋" w:hAnsi="仿宋" w:eastAsia="仿宋" w:cs="仿宋"/>
          <w:w w:val="98"/>
          <w:sz w:val="32"/>
          <w:szCs w:val="32"/>
          <w:lang w:val="zh-CN"/>
        </w:rPr>
        <w:t>%。实际</w:t>
      </w:r>
      <w:r>
        <w:rPr>
          <w:rFonts w:hint="eastAsia" w:ascii="仿宋" w:hAnsi="仿宋" w:eastAsia="仿宋" w:cs="仿宋"/>
          <w:w w:val="98"/>
          <w:sz w:val="32"/>
          <w:szCs w:val="32"/>
          <w:lang w:val="en-US" w:eastAsia="zh-CN"/>
        </w:rPr>
        <w:t>完成</w:t>
      </w:r>
      <w:r>
        <w:rPr>
          <w:rFonts w:hint="eastAsia" w:ascii="仿宋" w:hAnsi="仿宋" w:eastAsia="仿宋" w:cs="仿宋"/>
          <w:w w:val="98"/>
          <w:sz w:val="32"/>
          <w:szCs w:val="32"/>
          <w:lang w:val="zh-CN"/>
        </w:rPr>
        <w:t>情况</w:t>
      </w:r>
      <w:r>
        <w:rPr>
          <w:rFonts w:hint="eastAsia" w:ascii="仿宋" w:hAnsi="仿宋" w:eastAsia="仿宋" w:cs="仿宋"/>
          <w:w w:val="98"/>
          <w:sz w:val="32"/>
          <w:szCs w:val="32"/>
          <w:lang w:val="zh-CN" w:eastAsia="zh-CN"/>
        </w:rPr>
        <w:t>：</w:t>
      </w:r>
      <w:r>
        <w:rPr>
          <w:rFonts w:hint="eastAsia" w:ascii="仿宋" w:hAnsi="仿宋" w:eastAsia="仿宋" w:cs="仿宋"/>
          <w:w w:val="98"/>
          <w:sz w:val="32"/>
          <w:szCs w:val="32"/>
          <w:lang w:val="zh-CN"/>
        </w:rPr>
        <w:t>人民群众满意度为</w:t>
      </w:r>
      <w:r>
        <w:rPr>
          <w:rFonts w:hint="eastAsia" w:ascii="仿宋" w:hAnsi="仿宋" w:eastAsia="仿宋" w:cs="仿宋"/>
          <w:w w:val="98"/>
          <w:sz w:val="32"/>
          <w:szCs w:val="32"/>
          <w:lang w:val="en-US" w:eastAsia="zh-CN"/>
        </w:rPr>
        <w:t>90</w:t>
      </w:r>
      <w:r>
        <w:rPr>
          <w:rFonts w:hint="eastAsia" w:ascii="仿宋" w:hAnsi="仿宋" w:eastAsia="仿宋" w:cs="仿宋"/>
          <w:w w:val="98"/>
          <w:sz w:val="32"/>
          <w:szCs w:val="32"/>
          <w:lang w:val="zh-CN"/>
        </w:rPr>
        <w:t>%。</w:t>
      </w:r>
    </w:p>
    <w:p w14:paraId="5C6AE2F8">
      <w:pPr>
        <w:snapToGrid w:val="0"/>
        <w:spacing w:line="578" w:lineRule="exact"/>
        <w:ind w:firstLine="626" w:firstLineChars="200"/>
        <w:rPr>
          <w:rFonts w:hint="eastAsia" w:ascii="Times New Roman" w:hAnsi="Times New Roman" w:eastAsia="仿宋_GB2312" w:cs="Times New Roman"/>
          <w:color w:val="auto"/>
          <w:kern w:val="2"/>
          <w:sz w:val="32"/>
          <w:szCs w:val="32"/>
          <w:lang w:val="zh-CN" w:eastAsia="zh-CN" w:bidi="ar-SA"/>
        </w:rPr>
      </w:pPr>
      <w:r>
        <w:rPr>
          <w:rFonts w:hint="eastAsia" w:ascii="仿宋" w:hAnsi="仿宋" w:eastAsia="仿宋" w:cs="仿宋"/>
          <w:w w:val="98"/>
          <w:sz w:val="32"/>
          <w:szCs w:val="32"/>
          <w:lang w:val="zh-CN" w:eastAsia="zh-CN"/>
        </w:rPr>
        <w:t>项目决策程序严密，规划合理，项目开展及时，办理结算支付合法规范，执行到位。</w:t>
      </w:r>
    </w:p>
    <w:p w14:paraId="2FE5F8A1">
      <w:pPr>
        <w:adjustRightInd w:val="0"/>
        <w:snapToGrid w:val="0"/>
        <w:spacing w:line="578"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四、问题及建议</w:t>
      </w:r>
    </w:p>
    <w:p w14:paraId="372DDE42">
      <w:pPr>
        <w:adjustRightInd w:val="0"/>
        <w:snapToGrid w:val="0"/>
        <w:spacing w:line="578"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14:paraId="7D7C0E0E">
      <w:pPr>
        <w:snapToGrid w:val="0"/>
        <w:spacing w:line="578" w:lineRule="exact"/>
        <w:ind w:firstLine="640" w:firstLineChars="200"/>
        <w:rPr>
          <w:rFonts w:hint="eastAsia" w:ascii="Times New Roman" w:hAnsi="Times New Roman" w:eastAsia="仿宋_GB2312" w:cs="宋体"/>
          <w:kern w:val="2"/>
          <w:sz w:val="21"/>
          <w:szCs w:val="21"/>
          <w:lang w:val="en-US" w:eastAsia="zh-CN" w:bidi="ar-SA"/>
        </w:rPr>
      </w:pPr>
      <w:r>
        <w:rPr>
          <w:rFonts w:hint="eastAsia" w:ascii="仿宋" w:hAnsi="仿宋" w:eastAsia="仿宋" w:cs="仿宋"/>
          <w:sz w:val="32"/>
          <w:szCs w:val="32"/>
          <w:lang w:val="zh-CN"/>
        </w:rPr>
        <w:t>附件：</w:t>
      </w:r>
      <w:r>
        <w:rPr>
          <w:rFonts w:hint="eastAsia" w:ascii="仿宋" w:hAnsi="仿宋" w:eastAsia="仿宋" w:cs="仿宋"/>
          <w:w w:val="98"/>
          <w:sz w:val="32"/>
          <w:szCs w:val="32"/>
          <w:lang w:val="zh-CN"/>
        </w:rPr>
        <w:t>部门预算项目支出绩效自评表（2023年度）</w:t>
      </w:r>
    </w:p>
    <w:tbl>
      <w:tblPr>
        <w:tblStyle w:val="18"/>
        <w:tblW w:w="51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515"/>
        <w:gridCol w:w="1065"/>
        <w:gridCol w:w="1410"/>
        <w:gridCol w:w="585"/>
        <w:gridCol w:w="720"/>
        <w:gridCol w:w="690"/>
        <w:gridCol w:w="630"/>
        <w:gridCol w:w="720"/>
        <w:gridCol w:w="600"/>
        <w:gridCol w:w="871"/>
      </w:tblGrid>
      <w:tr w14:paraId="780A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B9CACD">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部门预算项目支出绩效自评表（2023年度）</w:t>
            </w:r>
          </w:p>
        </w:tc>
      </w:tr>
      <w:tr w14:paraId="2F8A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7A40C">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38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0572D3">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51090422T000007382319-2022年市场监管专项资金</w:t>
            </w:r>
          </w:p>
        </w:tc>
      </w:tr>
      <w:tr w14:paraId="7A31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1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0029F">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FB132C">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遂宁市安居区市场监督管理局部门</w:t>
            </w:r>
          </w:p>
        </w:tc>
        <w:tc>
          <w:tcPr>
            <w:tcW w:w="695" w:type="pct"/>
            <w:gridSpan w:val="2"/>
            <w:tcBorders>
              <w:top w:val="nil"/>
              <w:left w:val="nil"/>
              <w:bottom w:val="nil"/>
              <w:right w:val="nil"/>
            </w:tcBorders>
            <w:shd w:val="clear" w:color="auto" w:fill="auto"/>
            <w:vAlign w:val="center"/>
          </w:tcPr>
          <w:p w14:paraId="0A45F492">
            <w:pPr>
              <w:keepNext w:val="0"/>
              <w:keepLines w:val="0"/>
              <w:widowControl/>
              <w:suppressLineNumbers w:val="0"/>
              <w:jc w:val="left"/>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4F67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遂宁市安居区市场监督管理局</w:t>
            </w:r>
          </w:p>
        </w:tc>
      </w:tr>
      <w:tr w14:paraId="26DC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8E2CC">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A958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6CE9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1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B4E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14:paraId="74BE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6AB8">
            <w:pPr>
              <w:rPr>
                <w:rFonts w:hint="eastAsia" w:ascii="宋体" w:hAnsi="宋体" w:eastAsia="宋体" w:cs="宋体"/>
                <w:i w:val="0"/>
                <w:iCs w:val="0"/>
                <w:color w:val="000000"/>
                <w:sz w:val="16"/>
                <w:szCs w:val="16"/>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CAD3">
            <w:pPr>
              <w:rPr>
                <w:rFonts w:hint="eastAsia" w:ascii="宋体" w:hAnsi="宋体" w:eastAsia="宋体" w:cs="宋体"/>
                <w:i w:val="0"/>
                <w:iCs w:val="0"/>
                <w:color w:val="000000"/>
                <w:sz w:val="16"/>
                <w:szCs w:val="16"/>
                <w:u w:val="none"/>
              </w:rPr>
            </w:pPr>
          </w:p>
        </w:tc>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371482">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基层市场监管所标准化建设，双随机一公开，小个专非公党建</w:t>
            </w:r>
          </w:p>
        </w:tc>
        <w:tc>
          <w:tcPr>
            <w:tcW w:w="1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0D76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完成了基层市场监管所标准化建设，双随机一公开，小个专非公党建，特种设备应急演练等工作</w:t>
            </w:r>
          </w:p>
        </w:tc>
      </w:tr>
      <w:tr w14:paraId="1869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6F05">
            <w:pP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2F93">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38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E9644B">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开展基层市场监管所的标准化规范化建设，提高基层服务能力，开展双随机一公开，开展小个专非公党建，开展特种设备应急演练</w:t>
            </w:r>
          </w:p>
        </w:tc>
      </w:tr>
      <w:tr w14:paraId="41AA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71AF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7F5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57A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A51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0CBD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B2DA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9B8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BC9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01D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6423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4984">
            <w:pPr>
              <w:jc w:val="cente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AB3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6EC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554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E11E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23.00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3B29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4EB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D31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BBC60">
            <w:pPr>
              <w:rPr>
                <w:rFonts w:hint="eastAsia" w:ascii="黑体" w:hAnsi="黑体" w:eastAsia="黑体" w:cs="黑体"/>
                <w:i/>
                <w:iCs/>
                <w:color w:val="000000"/>
                <w:sz w:val="16"/>
                <w:szCs w:val="16"/>
                <w:u w:val="none"/>
              </w:rPr>
            </w:pPr>
          </w:p>
        </w:tc>
      </w:tr>
      <w:tr w14:paraId="3509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4B07">
            <w:pPr>
              <w:jc w:val="cente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891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AF7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767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9C49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23.00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E810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088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A93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A8F0C">
            <w:pPr>
              <w:rPr>
                <w:rFonts w:hint="eastAsia" w:ascii="黑体" w:hAnsi="黑体" w:eastAsia="黑体" w:cs="黑体"/>
                <w:i/>
                <w:iCs/>
                <w:color w:val="000000"/>
                <w:sz w:val="16"/>
                <w:szCs w:val="16"/>
                <w:u w:val="none"/>
              </w:rPr>
            </w:pPr>
          </w:p>
        </w:tc>
      </w:tr>
      <w:tr w14:paraId="1D4B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311B">
            <w:pPr>
              <w:jc w:val="cente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536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930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2D5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66D3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06F6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537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1CE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E2FE2">
            <w:pPr>
              <w:rPr>
                <w:rFonts w:hint="eastAsia" w:ascii="黑体" w:hAnsi="黑体" w:eastAsia="黑体" w:cs="黑体"/>
                <w:i/>
                <w:iCs/>
                <w:color w:val="000000"/>
                <w:sz w:val="16"/>
                <w:szCs w:val="16"/>
                <w:u w:val="none"/>
              </w:rPr>
            </w:pPr>
          </w:p>
        </w:tc>
      </w:tr>
      <w:tr w14:paraId="737B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0C65">
            <w:pPr>
              <w:jc w:val="cente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7DF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E6F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249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2371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2365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522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3DB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659F">
            <w:pPr>
              <w:rPr>
                <w:rFonts w:hint="eastAsia" w:ascii="黑体" w:hAnsi="黑体" w:eastAsia="黑体" w:cs="黑体"/>
                <w:i/>
                <w:iCs/>
                <w:color w:val="000000"/>
                <w:sz w:val="16"/>
                <w:szCs w:val="16"/>
                <w:u w:val="none"/>
              </w:rPr>
            </w:pPr>
          </w:p>
        </w:tc>
      </w:tr>
      <w:tr w14:paraId="6C39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8531">
            <w:pPr>
              <w:jc w:val="cente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5F7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E84E">
            <w:pPr>
              <w:jc w:val="center"/>
              <w:rPr>
                <w:rFonts w:hint="eastAsia" w:ascii="微软雅黑" w:hAnsi="微软雅黑" w:eastAsia="微软雅黑" w:cs="微软雅黑"/>
                <w:i/>
                <w:iCs/>
                <w:color w:val="000000"/>
                <w:sz w:val="15"/>
                <w:szCs w:val="15"/>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1762">
            <w:pPr>
              <w:jc w:val="center"/>
              <w:rPr>
                <w:rFonts w:hint="eastAsia" w:ascii="微软雅黑" w:hAnsi="微软雅黑" w:eastAsia="微软雅黑" w:cs="微软雅黑"/>
                <w:i/>
                <w:iCs/>
                <w:color w:val="000000"/>
                <w:sz w:val="15"/>
                <w:szCs w:val="15"/>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9B322">
            <w:pPr>
              <w:jc w:val="center"/>
              <w:rPr>
                <w:rFonts w:hint="eastAsia" w:ascii="微软雅黑" w:hAnsi="微软雅黑" w:eastAsia="微软雅黑" w:cs="微软雅黑"/>
                <w:i/>
                <w:iCs/>
                <w:color w:val="000000"/>
                <w:sz w:val="15"/>
                <w:szCs w:val="15"/>
                <w:u w:val="none"/>
              </w:rPr>
            </w:pP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EEEB">
            <w:pPr>
              <w:jc w:val="center"/>
              <w:rPr>
                <w:rFonts w:hint="eastAsia" w:ascii="微软雅黑" w:hAnsi="微软雅黑" w:eastAsia="微软雅黑" w:cs="微软雅黑"/>
                <w:i/>
                <w:iCs/>
                <w:color w:val="000000"/>
                <w:sz w:val="15"/>
                <w:szCs w:val="15"/>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1BB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A99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E747C">
            <w:pPr>
              <w:rPr>
                <w:rFonts w:hint="eastAsia" w:ascii="黑体" w:hAnsi="黑体" w:eastAsia="黑体" w:cs="黑体"/>
                <w:i/>
                <w:iCs/>
                <w:color w:val="000000"/>
                <w:sz w:val="16"/>
                <w:szCs w:val="16"/>
                <w:u w:val="none"/>
              </w:rPr>
            </w:pPr>
          </w:p>
        </w:tc>
      </w:tr>
      <w:tr w14:paraId="5383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BAED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D3D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D0A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1F4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463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527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F14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3CF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DC6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48E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F33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4CFB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1C21">
            <w:pPr>
              <w:jc w:val="cente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1E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C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2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基层市场监管所标准化规范化建设示范创建</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90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AB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72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FD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914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210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ACCA7">
            <w:pPr>
              <w:jc w:val="center"/>
              <w:rPr>
                <w:rFonts w:hint="eastAsia" w:ascii="宋体" w:hAnsi="宋体" w:eastAsia="宋体" w:cs="宋体"/>
                <w:i w:val="0"/>
                <w:iCs w:val="0"/>
                <w:color w:val="000000"/>
                <w:sz w:val="16"/>
                <w:szCs w:val="16"/>
                <w:u w:val="none"/>
              </w:rPr>
            </w:pPr>
          </w:p>
        </w:tc>
      </w:tr>
      <w:tr w14:paraId="21FC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6BEE">
            <w:pPr>
              <w:jc w:val="cente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7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46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83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开展特种设备应急演练</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B9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57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BB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98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CA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7E7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78719">
            <w:pPr>
              <w:jc w:val="center"/>
              <w:rPr>
                <w:rFonts w:hint="eastAsia" w:ascii="宋体" w:hAnsi="宋体" w:eastAsia="宋体" w:cs="宋体"/>
                <w:i w:val="0"/>
                <w:iCs w:val="0"/>
                <w:color w:val="000000"/>
                <w:sz w:val="16"/>
                <w:szCs w:val="16"/>
                <w:u w:val="none"/>
              </w:rPr>
            </w:pPr>
          </w:p>
        </w:tc>
      </w:tr>
      <w:tr w14:paraId="1D82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F496">
            <w:pPr>
              <w:jc w:val="cente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5A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13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4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20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BB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DE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48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087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AF5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1463">
            <w:pPr>
              <w:jc w:val="center"/>
              <w:rPr>
                <w:rFonts w:hint="eastAsia" w:ascii="宋体" w:hAnsi="宋体" w:eastAsia="宋体" w:cs="宋体"/>
                <w:i w:val="0"/>
                <w:iCs w:val="0"/>
                <w:color w:val="000000"/>
                <w:sz w:val="16"/>
                <w:szCs w:val="16"/>
                <w:u w:val="none"/>
              </w:rPr>
            </w:pPr>
          </w:p>
        </w:tc>
      </w:tr>
      <w:tr w14:paraId="24D8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1C0B">
            <w:pPr>
              <w:jc w:val="center"/>
              <w:rPr>
                <w:rFonts w:hint="eastAsia" w:ascii="宋体" w:hAnsi="宋体" w:eastAsia="宋体" w:cs="宋体"/>
                <w:i w:val="0"/>
                <w:iCs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F3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2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7E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严守食品等安全底线</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EC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7C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长期</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7A7E">
            <w:pPr>
              <w:rPr>
                <w:rFonts w:hint="eastAsia" w:ascii="宋体" w:hAnsi="宋体" w:eastAsia="宋体" w:cs="宋体"/>
                <w:i w:val="0"/>
                <w:iCs w:val="0"/>
                <w:color w:val="000000"/>
                <w:sz w:val="16"/>
                <w:szCs w:val="16"/>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4C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长期</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5A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34F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F639">
            <w:pPr>
              <w:jc w:val="center"/>
              <w:rPr>
                <w:rFonts w:hint="eastAsia" w:ascii="宋体" w:hAnsi="宋体" w:eastAsia="宋体" w:cs="宋体"/>
                <w:i w:val="0"/>
                <w:iCs w:val="0"/>
                <w:color w:val="000000"/>
                <w:sz w:val="16"/>
                <w:szCs w:val="16"/>
                <w:u w:val="none"/>
              </w:rPr>
            </w:pPr>
          </w:p>
        </w:tc>
      </w:tr>
      <w:tr w14:paraId="6A95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8A636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EDE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0CF0">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E8F0">
            <w:pPr>
              <w:rPr>
                <w:rFonts w:hint="eastAsia" w:ascii="宋体" w:hAnsi="宋体" w:eastAsia="宋体" w:cs="宋体"/>
                <w:i w:val="0"/>
                <w:iCs w:val="0"/>
                <w:color w:val="000000"/>
                <w:sz w:val="16"/>
                <w:szCs w:val="16"/>
                <w:u w:val="none"/>
              </w:rPr>
            </w:pPr>
          </w:p>
        </w:tc>
      </w:tr>
      <w:tr w14:paraId="594A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947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4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268047">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严格执行项目资金的使用，对预算执行进度和绩效目标实现程度实行双监控，自评得分100分</w:t>
            </w:r>
          </w:p>
        </w:tc>
      </w:tr>
      <w:tr w14:paraId="0AB9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00E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4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6E6A77">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556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CA5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4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BEAA7C">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bl>
    <w:p w14:paraId="6E6E56FA">
      <w:pPr>
        <w:pStyle w:val="9"/>
        <w:rPr>
          <w:rFonts w:hint="eastAsia"/>
          <w:lang w:val="en-US" w:eastAsia="zh-CN"/>
        </w:rPr>
      </w:pPr>
    </w:p>
    <w:p w14:paraId="3A99CF6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部门预算项目支出绩效自评报告</w:t>
      </w:r>
    </w:p>
    <w:p w14:paraId="2208757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（2022年中央食品监管补助资金）</w:t>
      </w:r>
    </w:p>
    <w:p w14:paraId="15779A6E">
      <w:pPr>
        <w:pStyle w:val="9"/>
        <w:rPr>
          <w:rFonts w:hint="eastAsia"/>
        </w:rPr>
      </w:pPr>
    </w:p>
    <w:p w14:paraId="72FD09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制度建设、资金使用及绩效管理总体情况</w:t>
      </w:r>
    </w:p>
    <w:p w14:paraId="209A141B">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建立内控制度，在专项资金管理与实施方面均有严格相求，我单位结合《中央食品药品补助资金实施管理细则》要求和本部门内控制度，对2022年中央食品补助资金项目实施前后均进行监控，确保专项资金的正确使用。上级将指标下达我地财政，我部门第一时间递交资金使用计划，积极使用该笔资金。</w:t>
      </w:r>
    </w:p>
    <w:p w14:paraId="4FD401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二、绩效目标分解下达情况</w:t>
      </w:r>
    </w:p>
    <w:p w14:paraId="1CE4DFA6">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我单位中央食品监管补助资金预算数11.6万元，下达数11.6万元，其中包括市（县）食用农产品安全监督抽检项目1.6万元、疫情防控集中供餐食品安全监管经费10万元。该资金主要用于农产品监督抽检≧25批次，每批次成本≦500元，疫情防控劳务费支出≦5000元/次，食品经营户风险大排查≧50家，疫情防控服务对象满意度≧90%，食品安全满意度≧80%。</w:t>
      </w:r>
    </w:p>
    <w:p w14:paraId="4EE78B5D">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三、绩效目标完成情况分析</w:t>
      </w:r>
    </w:p>
    <w:p w14:paraId="4FE491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（一）资金投入情况分析</w:t>
      </w:r>
    </w:p>
    <w:p w14:paraId="42F597F9">
      <w:pPr>
        <w:keepNext w:val="0"/>
        <w:keepLines w:val="0"/>
        <w:pageBreakBefore w:val="0"/>
        <w:widowControl w:val="0"/>
        <w:kinsoku/>
        <w:wordWrap/>
        <w:overflowPunct/>
        <w:autoSpaceDE/>
        <w:autoSpaceDN/>
        <w:bidi w:val="0"/>
        <w:adjustRightInd/>
        <w:spacing w:beforeLines="-2147483648" w:afterLines="-2147483648" w:line="578" w:lineRule="exact"/>
        <w:ind w:firstLine="640" w:firstLineChars="200"/>
        <w:jc w:val="both"/>
        <w:textAlignment w:val="auto"/>
        <w:outlineLvl w:val="9"/>
        <w:rPr>
          <w:rFonts w:hint="eastAsia" w:ascii="仿宋_GB2312" w:hAnsi="仿宋" w:eastAsia="仿宋_GB2312" w:cs="仿宋_GB2312"/>
          <w:kern w:val="0"/>
          <w:sz w:val="32"/>
          <w:szCs w:val="24"/>
          <w:lang w:bidi="ar-SA"/>
        </w:rPr>
      </w:pPr>
      <w:r>
        <w:rPr>
          <w:rFonts w:hint="eastAsia" w:ascii="仿宋_GB2312" w:hAnsi="仿宋" w:eastAsia="仿宋_GB2312" w:cs="仿宋_GB2312"/>
          <w:kern w:val="0"/>
          <w:sz w:val="32"/>
          <w:szCs w:val="24"/>
          <w:lang w:bidi="ar-SA"/>
        </w:rPr>
        <w:t>1.</w:t>
      </w:r>
      <w:r>
        <w:rPr>
          <w:rFonts w:hint="eastAsia" w:ascii="仿宋" w:hAnsi="仿宋" w:eastAsia="仿宋" w:cs="仿宋"/>
          <w:sz w:val="32"/>
          <w:szCs w:val="32"/>
          <w:lang w:eastAsia="zh-CN"/>
        </w:rPr>
        <w:t>项目资金到位情况分析</w:t>
      </w:r>
    </w:p>
    <w:p w14:paraId="0440243F">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eastAsia="zh-CN"/>
        </w:rPr>
        <w:t>2022年中央食品监管补助资金预算数</w:t>
      </w:r>
      <w:r>
        <w:rPr>
          <w:rFonts w:hint="eastAsia" w:ascii="仿宋" w:hAnsi="仿宋" w:eastAsia="仿宋" w:cs="仿宋"/>
          <w:sz w:val="32"/>
          <w:szCs w:val="32"/>
          <w:lang w:val="en-US" w:eastAsia="zh-CN"/>
        </w:rPr>
        <w:t>11.6</w:t>
      </w:r>
      <w:r>
        <w:rPr>
          <w:rFonts w:hint="eastAsia" w:ascii="仿宋" w:hAnsi="仿宋" w:eastAsia="仿宋" w:cs="仿宋"/>
          <w:sz w:val="32"/>
          <w:szCs w:val="32"/>
          <w:lang w:eastAsia="zh-CN"/>
        </w:rPr>
        <w:t>万元，其中疫情防控集中供餐食品安全监管项目</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市(县)食用农产品安全监督抽检项目1.6万元</w:t>
      </w:r>
      <w:r>
        <w:rPr>
          <w:rFonts w:hint="eastAsia" w:ascii="仿宋" w:hAnsi="仿宋" w:eastAsia="仿宋" w:cs="仿宋"/>
          <w:sz w:val="32"/>
          <w:szCs w:val="32"/>
          <w:lang w:eastAsia="zh-CN"/>
        </w:rPr>
        <w:t>。截止2022年底已全部下达，资金到位率</w:t>
      </w:r>
      <w:r>
        <w:rPr>
          <w:rFonts w:hint="eastAsia" w:ascii="仿宋" w:hAnsi="仿宋" w:eastAsia="仿宋" w:cs="仿宋"/>
          <w:sz w:val="32"/>
          <w:szCs w:val="32"/>
          <w:lang w:val="en-US" w:eastAsia="zh-CN"/>
        </w:rPr>
        <w:t>100%。</w:t>
      </w:r>
    </w:p>
    <w:p w14:paraId="5F1850F9">
      <w:pPr>
        <w:keepNext w:val="0"/>
        <w:keepLines w:val="0"/>
        <w:pageBreakBefore w:val="0"/>
        <w:widowControl w:val="0"/>
        <w:kinsoku/>
        <w:wordWrap/>
        <w:overflowPunct/>
        <w:autoSpaceDE/>
        <w:autoSpaceDN/>
        <w:bidi w:val="0"/>
        <w:adjustRightInd/>
        <w:spacing w:beforeLines="-2147483648" w:afterLines="-2147483648" w:line="578" w:lineRule="exact"/>
        <w:ind w:firstLine="640" w:firstLineChars="200"/>
        <w:jc w:val="both"/>
        <w:textAlignment w:val="auto"/>
        <w:outlineLvl w:val="9"/>
        <w:rPr>
          <w:rFonts w:hint="default" w:ascii="仿宋_GB2312" w:hAnsi="仿宋" w:eastAsia="仿宋_GB2312" w:cs="仿宋_GB2312"/>
          <w:kern w:val="0"/>
          <w:sz w:val="32"/>
          <w:szCs w:val="24"/>
          <w:lang w:bidi="ar-SA"/>
        </w:rPr>
      </w:pPr>
      <w:r>
        <w:rPr>
          <w:rFonts w:hint="eastAsia" w:ascii="仿宋_GB2312" w:hAnsi="仿宋" w:eastAsia="仿宋_GB2312" w:cs="仿宋_GB2312"/>
          <w:kern w:val="0"/>
          <w:sz w:val="32"/>
          <w:szCs w:val="24"/>
          <w:lang w:bidi="ar-SA"/>
        </w:rPr>
        <w:t>2.</w:t>
      </w:r>
      <w:r>
        <w:rPr>
          <w:rFonts w:hint="eastAsia" w:ascii="仿宋" w:hAnsi="仿宋" w:eastAsia="仿宋" w:cs="仿宋"/>
          <w:sz w:val="32"/>
          <w:szCs w:val="32"/>
          <w:lang w:eastAsia="zh-CN"/>
        </w:rPr>
        <w:t>项目资金执行情况分析</w:t>
      </w:r>
    </w:p>
    <w:p w14:paraId="0C392D4D">
      <w:pPr>
        <w:keepNext w:val="0"/>
        <w:keepLines w:val="0"/>
        <w:pageBreakBefore w:val="0"/>
        <w:widowControl w:val="0"/>
        <w:kinsoku/>
        <w:wordWrap/>
        <w:overflowPunct/>
        <w:autoSpaceDE/>
        <w:autoSpaceDN/>
        <w:bidi w:val="0"/>
        <w:adjustRightInd/>
        <w:spacing w:beforeLines="-2147483648" w:afterLines="-2147483648" w:line="578" w:lineRule="exact"/>
        <w:ind w:firstLine="640" w:firstLineChars="200"/>
        <w:jc w:val="both"/>
        <w:textAlignment w:val="auto"/>
        <w:outlineLvl w:val="9"/>
        <w:rPr>
          <w:rFonts w:hint="default" w:ascii="仿宋_GB2312" w:hAnsi="仿宋" w:eastAsia="仿宋_GB2312" w:cs="仿宋_GB2312"/>
          <w:kern w:val="0"/>
          <w:sz w:val="32"/>
          <w:szCs w:val="24"/>
          <w:lang w:bidi="ar-SA"/>
        </w:rPr>
      </w:pPr>
      <w:r>
        <w:rPr>
          <w:rFonts w:hint="eastAsia" w:ascii="仿宋" w:hAnsi="仿宋" w:eastAsia="仿宋" w:cs="仿宋"/>
          <w:sz w:val="32"/>
          <w:szCs w:val="32"/>
          <w:lang w:eastAsia="zh-CN"/>
        </w:rPr>
        <w:t>2022年中央食品监管补助资金执行情况良好，</w:t>
      </w:r>
      <w:r>
        <w:rPr>
          <w:rFonts w:hint="eastAsia" w:ascii="仿宋" w:hAnsi="仿宋" w:eastAsia="仿宋" w:cs="仿宋"/>
          <w:sz w:val="32"/>
          <w:szCs w:val="32"/>
          <w:lang w:val="en-US" w:eastAsia="zh-CN"/>
        </w:rPr>
        <w:t>下达数11.6万元，执行数11.6万元，执行率100%。我单位</w:t>
      </w:r>
      <w:r>
        <w:rPr>
          <w:rFonts w:hint="eastAsia" w:ascii="仿宋" w:hAnsi="仿宋" w:eastAsia="仿宋" w:cs="仿宋"/>
          <w:sz w:val="32"/>
          <w:szCs w:val="32"/>
          <w:lang w:eastAsia="zh-CN"/>
        </w:rPr>
        <w:t>严格按照专项补助资金文件要求，做到“专款专用”，主要用于</w:t>
      </w:r>
      <w:r>
        <w:rPr>
          <w:rFonts w:hint="default" w:ascii="仿宋" w:hAnsi="仿宋" w:eastAsia="仿宋" w:cs="仿宋"/>
          <w:sz w:val="32"/>
          <w:szCs w:val="32"/>
          <w:lang w:eastAsia="zh-CN"/>
        </w:rPr>
        <w:t>深入开展食品</w:t>
      </w:r>
      <w:r>
        <w:rPr>
          <w:rFonts w:hint="eastAsia" w:ascii="仿宋" w:hAnsi="仿宋" w:eastAsia="仿宋" w:cs="仿宋"/>
          <w:sz w:val="32"/>
          <w:szCs w:val="32"/>
          <w:lang w:eastAsia="zh-CN"/>
        </w:rPr>
        <w:t>安全</w:t>
      </w:r>
      <w:r>
        <w:rPr>
          <w:rFonts w:hint="default" w:ascii="仿宋" w:hAnsi="仿宋" w:eastAsia="仿宋" w:cs="仿宋"/>
          <w:sz w:val="32"/>
          <w:szCs w:val="32"/>
          <w:lang w:eastAsia="zh-CN"/>
        </w:rPr>
        <w:t>风险隐患排查、食品安全监管等相关工作，</w:t>
      </w:r>
      <w:r>
        <w:rPr>
          <w:rFonts w:hint="eastAsia" w:ascii="仿宋" w:hAnsi="仿宋" w:eastAsia="仿宋" w:cs="仿宋"/>
          <w:sz w:val="32"/>
          <w:szCs w:val="32"/>
          <w:lang w:eastAsia="zh-CN"/>
        </w:rPr>
        <w:t>未用于基本建设支出，未用于因公出国（境）费、一般公务用车购置及运维费、公务接待费、外事费，未用于编制内在职职工工资性支出和离退休人员离退休费，未用于支付罚款、捐款、赞助、投资等支出，未用于国家禁止列支的其他支出。</w:t>
      </w:r>
    </w:p>
    <w:p w14:paraId="11A4D12E">
      <w:pPr>
        <w:keepNext w:val="0"/>
        <w:keepLines w:val="0"/>
        <w:pageBreakBefore w:val="0"/>
        <w:widowControl w:val="0"/>
        <w:kinsoku/>
        <w:wordWrap/>
        <w:overflowPunct/>
        <w:autoSpaceDE/>
        <w:autoSpaceDN/>
        <w:bidi w:val="0"/>
        <w:adjustRightInd/>
        <w:spacing w:beforeLines="-2147483648" w:afterLines="-2147483648" w:line="578" w:lineRule="exact"/>
        <w:ind w:firstLine="640" w:firstLineChars="200"/>
        <w:jc w:val="both"/>
        <w:textAlignment w:val="auto"/>
        <w:outlineLvl w:val="9"/>
        <w:rPr>
          <w:rFonts w:hint="default" w:ascii="仿宋" w:hAnsi="仿宋" w:eastAsia="仿宋" w:cs="仿宋"/>
          <w:sz w:val="32"/>
          <w:szCs w:val="32"/>
          <w:lang w:eastAsia="zh-CN"/>
        </w:rPr>
      </w:pPr>
      <w:r>
        <w:rPr>
          <w:rFonts w:hint="eastAsia" w:ascii="仿宋_GB2312" w:hAnsi="仿宋" w:eastAsia="仿宋_GB2312" w:cs="仿宋_GB2312"/>
          <w:kern w:val="0"/>
          <w:sz w:val="32"/>
          <w:szCs w:val="24"/>
          <w:lang w:bidi="ar-SA"/>
        </w:rPr>
        <w:t>3.</w:t>
      </w:r>
      <w:r>
        <w:rPr>
          <w:rFonts w:hint="eastAsia" w:ascii="仿宋" w:hAnsi="仿宋" w:eastAsia="仿宋" w:cs="仿宋"/>
          <w:sz w:val="32"/>
          <w:szCs w:val="32"/>
          <w:lang w:eastAsia="zh-CN"/>
        </w:rPr>
        <w:t>项目资金管理情况分析</w:t>
      </w:r>
    </w:p>
    <w:p w14:paraId="55BB9427">
      <w:pPr>
        <w:keepNext w:val="0"/>
        <w:keepLines w:val="0"/>
        <w:pageBreakBefore w:val="0"/>
        <w:widowControl w:val="0"/>
        <w:kinsoku/>
        <w:wordWrap/>
        <w:overflowPunct/>
        <w:autoSpaceDE/>
        <w:autoSpaceDN/>
        <w:bidi w:val="0"/>
        <w:adjustRightInd/>
        <w:spacing w:beforeLines="-2147483648" w:afterLines="-2147483648" w:line="578" w:lineRule="exact"/>
        <w:ind w:firstLine="640" w:firstLineChars="200"/>
        <w:jc w:val="both"/>
        <w:textAlignment w:val="auto"/>
        <w:outlineLvl w:val="9"/>
        <w:rPr>
          <w:rFonts w:hint="default" w:ascii="仿宋" w:hAnsi="仿宋" w:eastAsia="仿宋" w:cs="仿宋"/>
          <w:sz w:val="32"/>
          <w:szCs w:val="32"/>
        </w:rPr>
      </w:pPr>
      <w:r>
        <w:rPr>
          <w:rFonts w:hint="eastAsia" w:ascii="仿宋" w:hAnsi="仿宋" w:eastAsia="仿宋" w:cs="仿宋"/>
          <w:sz w:val="32"/>
          <w:szCs w:val="32"/>
          <w:lang w:eastAsia="zh-CN"/>
        </w:rPr>
        <w:t>2022年中央食品监管补助资金</w:t>
      </w:r>
      <w:r>
        <w:rPr>
          <w:rFonts w:hint="eastAsia" w:ascii="仿宋" w:hAnsi="仿宋" w:eastAsia="仿宋" w:cs="仿宋"/>
          <w:sz w:val="32"/>
          <w:szCs w:val="32"/>
        </w:rPr>
        <w:t>严格按照《</w:t>
      </w:r>
      <w:r>
        <w:rPr>
          <w:rFonts w:hint="eastAsia" w:ascii="仿宋" w:hAnsi="仿宋" w:eastAsia="仿宋" w:cs="仿宋"/>
          <w:sz w:val="32"/>
          <w:szCs w:val="32"/>
          <w:lang w:eastAsia="zh-CN"/>
        </w:rPr>
        <w:t>四川省财政厅</w:t>
      </w:r>
      <w:r>
        <w:rPr>
          <w:rFonts w:hint="eastAsia" w:ascii="仿宋" w:hAnsi="仿宋" w:eastAsia="仿宋" w:cs="仿宋"/>
          <w:sz w:val="32"/>
          <w:szCs w:val="32"/>
          <w:lang w:val="en-US" w:eastAsia="zh-CN"/>
        </w:rPr>
        <w:t xml:space="preserve"> 四川省市场监督管理局 四川省药品监督管理局关于印发</w:t>
      </w:r>
      <w:r>
        <w:rPr>
          <w:rFonts w:hint="eastAsia" w:ascii="仿宋" w:hAnsi="仿宋" w:eastAsia="仿宋" w:cs="仿宋"/>
          <w:sz w:val="32"/>
          <w:szCs w:val="32"/>
        </w:rPr>
        <w:t>中央食品药品监管补助资金管理实施细则》（川财行〔2019〕94号）、《</w:t>
      </w:r>
      <w:r>
        <w:rPr>
          <w:rFonts w:hint="eastAsia" w:ascii="仿宋" w:hAnsi="仿宋" w:eastAsia="仿宋" w:cs="仿宋"/>
          <w:sz w:val="32"/>
          <w:szCs w:val="32"/>
          <w:lang w:eastAsia="zh-CN"/>
        </w:rPr>
        <w:t>四川省财政厅</w:t>
      </w:r>
      <w:r>
        <w:rPr>
          <w:rFonts w:hint="eastAsia" w:ascii="仿宋" w:hAnsi="仿宋" w:eastAsia="仿宋" w:cs="仿宋"/>
          <w:sz w:val="32"/>
          <w:szCs w:val="32"/>
          <w:lang w:val="en-US" w:eastAsia="zh-CN"/>
        </w:rPr>
        <w:t xml:space="preserve"> 四川省市场监督管理局关于下达2022年中央食品监管补助资金预算的通知</w:t>
      </w:r>
      <w:r>
        <w:rPr>
          <w:rFonts w:hint="eastAsia" w:ascii="仿宋" w:hAnsi="仿宋" w:eastAsia="仿宋" w:cs="仿宋"/>
          <w:sz w:val="32"/>
          <w:szCs w:val="32"/>
        </w:rPr>
        <w:t>》（川</w:t>
      </w:r>
      <w:r>
        <w:rPr>
          <w:rFonts w:hint="eastAsia" w:ascii="仿宋" w:hAnsi="仿宋" w:eastAsia="仿宋" w:cs="仿宋"/>
          <w:sz w:val="32"/>
          <w:szCs w:val="32"/>
          <w:lang w:eastAsia="zh-CN"/>
        </w:rPr>
        <w:t>财行</w:t>
      </w:r>
      <w:r>
        <w:rPr>
          <w:rFonts w:hint="eastAsia" w:ascii="仿宋" w:hAnsi="仿宋" w:eastAsia="仿宋" w:cs="仿宋"/>
          <w:sz w:val="32"/>
          <w:szCs w:val="32"/>
        </w:rPr>
        <w:t>﹝</w:t>
      </w:r>
      <w:r>
        <w:rPr>
          <w:rFonts w:hint="eastAsia" w:ascii="仿宋" w:hAnsi="仿宋" w:eastAsia="仿宋" w:cs="仿宋"/>
          <w:sz w:val="32"/>
          <w:szCs w:val="32"/>
          <w:lang w:eastAsia="zh-CN"/>
        </w:rPr>
        <w:t>2022</w:t>
      </w:r>
      <w:r>
        <w:rPr>
          <w:rFonts w:hint="eastAsia" w:ascii="仿宋" w:hAnsi="仿宋" w:eastAsia="仿宋" w:cs="仿宋"/>
          <w:sz w:val="32"/>
          <w:szCs w:val="32"/>
        </w:rPr>
        <w:t>﹞</w:t>
      </w:r>
      <w:r>
        <w:rPr>
          <w:rFonts w:hint="eastAsia" w:ascii="仿宋" w:hAnsi="仿宋" w:eastAsia="仿宋" w:cs="仿宋"/>
          <w:sz w:val="32"/>
          <w:szCs w:val="32"/>
          <w:lang w:val="en-US" w:eastAsia="zh-CN"/>
        </w:rPr>
        <w:t>89</w:t>
      </w:r>
      <w:r>
        <w:rPr>
          <w:rFonts w:hint="eastAsia" w:ascii="仿宋" w:hAnsi="仿宋" w:eastAsia="仿宋" w:cs="仿宋"/>
          <w:sz w:val="32"/>
          <w:szCs w:val="32"/>
        </w:rPr>
        <w:t>号）</w:t>
      </w:r>
      <w:r>
        <w:rPr>
          <w:rFonts w:hint="eastAsia" w:ascii="仿宋" w:hAnsi="仿宋" w:eastAsia="仿宋" w:cs="仿宋"/>
          <w:sz w:val="32"/>
          <w:szCs w:val="32"/>
          <w:lang w:eastAsia="zh-CN"/>
        </w:rPr>
        <w:t>、《关于印发</w:t>
      </w:r>
      <w:r>
        <w:rPr>
          <w:rFonts w:hint="eastAsia" w:ascii="仿宋" w:hAnsi="仿宋" w:eastAsia="仿宋" w:cs="仿宋"/>
          <w:sz w:val="32"/>
          <w:szCs w:val="32"/>
          <w:lang w:val="en-US" w:eastAsia="zh-CN"/>
        </w:rPr>
        <w:t>2022年中央食品监管补助资金实施方案的通知</w:t>
      </w:r>
      <w:r>
        <w:rPr>
          <w:rFonts w:hint="eastAsia" w:ascii="仿宋" w:hAnsi="仿宋" w:eastAsia="仿宋" w:cs="仿宋"/>
          <w:sz w:val="32"/>
          <w:szCs w:val="32"/>
          <w:lang w:eastAsia="zh-CN"/>
        </w:rPr>
        <w:t>》（川市监办</w:t>
      </w:r>
      <w:r>
        <w:rPr>
          <w:rFonts w:hint="eastAsia" w:ascii="仿宋" w:hAnsi="仿宋" w:eastAsia="仿宋" w:cs="仿宋"/>
          <w:sz w:val="32"/>
          <w:szCs w:val="32"/>
        </w:rPr>
        <w:t>﹝</w:t>
      </w:r>
      <w:r>
        <w:rPr>
          <w:rFonts w:hint="eastAsia" w:ascii="仿宋" w:hAnsi="仿宋" w:eastAsia="仿宋" w:cs="仿宋"/>
          <w:sz w:val="32"/>
          <w:szCs w:val="32"/>
          <w:lang w:eastAsia="zh-CN"/>
        </w:rPr>
        <w:t>2022</w:t>
      </w:r>
      <w:r>
        <w:rPr>
          <w:rFonts w:hint="eastAsia" w:ascii="仿宋" w:hAnsi="仿宋" w:eastAsia="仿宋" w:cs="仿宋"/>
          <w:sz w:val="32"/>
          <w:szCs w:val="32"/>
        </w:rPr>
        <w:t>﹞</w:t>
      </w:r>
      <w:r>
        <w:rPr>
          <w:rFonts w:hint="eastAsia" w:ascii="仿宋" w:hAnsi="仿宋" w:eastAsia="仿宋" w:cs="仿宋"/>
          <w:sz w:val="32"/>
          <w:szCs w:val="32"/>
          <w:lang w:val="en-US" w:eastAsia="zh-CN"/>
        </w:rPr>
        <w:t>84号</w:t>
      </w:r>
      <w:r>
        <w:rPr>
          <w:rFonts w:hint="eastAsia" w:ascii="仿宋" w:hAnsi="仿宋" w:eastAsia="仿宋" w:cs="仿宋"/>
          <w:sz w:val="32"/>
          <w:szCs w:val="32"/>
          <w:lang w:eastAsia="zh-CN"/>
        </w:rPr>
        <w:t>）</w:t>
      </w:r>
      <w:r>
        <w:rPr>
          <w:rFonts w:hint="eastAsia" w:ascii="仿宋" w:hAnsi="仿宋" w:eastAsia="仿宋" w:cs="仿宋"/>
          <w:sz w:val="32"/>
          <w:szCs w:val="32"/>
        </w:rPr>
        <w:t>等</w:t>
      </w:r>
      <w:r>
        <w:rPr>
          <w:rFonts w:hint="eastAsia" w:ascii="仿宋" w:hAnsi="仿宋" w:eastAsia="仿宋" w:cs="仿宋"/>
          <w:sz w:val="32"/>
          <w:szCs w:val="32"/>
          <w:lang w:eastAsia="zh-CN"/>
        </w:rPr>
        <w:t>文件</w:t>
      </w:r>
      <w:r>
        <w:rPr>
          <w:rFonts w:hint="eastAsia" w:ascii="仿宋" w:hAnsi="仿宋" w:eastAsia="仿宋" w:cs="仿宋"/>
          <w:sz w:val="32"/>
          <w:szCs w:val="32"/>
        </w:rPr>
        <w:t>要求组织执行，做到</w:t>
      </w:r>
      <w:r>
        <w:rPr>
          <w:rFonts w:hint="eastAsia" w:ascii="仿宋" w:hAnsi="仿宋" w:eastAsia="仿宋" w:cs="仿宋"/>
          <w:sz w:val="32"/>
          <w:szCs w:val="32"/>
          <w:lang w:eastAsia="zh-CN"/>
        </w:rPr>
        <w:t>专款专用，</w:t>
      </w:r>
      <w:r>
        <w:rPr>
          <w:rFonts w:hint="eastAsia" w:ascii="仿宋" w:hAnsi="仿宋" w:eastAsia="仿宋" w:cs="仿宋"/>
          <w:sz w:val="32"/>
          <w:szCs w:val="32"/>
        </w:rPr>
        <w:t>规范管理，强化监督。</w:t>
      </w:r>
    </w:p>
    <w:p w14:paraId="48786B6B">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总体绩效目标完成情况分析</w:t>
      </w:r>
    </w:p>
    <w:p w14:paraId="2CB9C471">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通过组织实施</w:t>
      </w:r>
      <w:r>
        <w:rPr>
          <w:rFonts w:hint="eastAsia" w:ascii="仿宋" w:hAnsi="仿宋" w:eastAsia="仿宋" w:cs="仿宋"/>
          <w:sz w:val="32"/>
          <w:szCs w:val="32"/>
          <w:lang w:val="en-US" w:eastAsia="zh-CN"/>
        </w:rPr>
        <w:t>上级</w:t>
      </w:r>
      <w:r>
        <w:rPr>
          <w:rFonts w:hint="eastAsia" w:ascii="仿宋" w:hAnsi="仿宋" w:eastAsia="仿宋" w:cs="仿宋"/>
          <w:sz w:val="32"/>
          <w:szCs w:val="32"/>
        </w:rPr>
        <w:t>下达的食品安全</w:t>
      </w:r>
      <w:r>
        <w:rPr>
          <w:rFonts w:hint="eastAsia" w:ascii="仿宋" w:hAnsi="仿宋" w:eastAsia="仿宋" w:cs="仿宋"/>
          <w:sz w:val="32"/>
          <w:szCs w:val="32"/>
          <w:lang w:eastAsia="zh-CN"/>
        </w:rPr>
        <w:t>各项</w:t>
      </w:r>
      <w:r>
        <w:rPr>
          <w:rFonts w:hint="eastAsia" w:ascii="仿宋" w:hAnsi="仿宋" w:eastAsia="仿宋" w:cs="仿宋"/>
          <w:sz w:val="32"/>
          <w:szCs w:val="32"/>
        </w:rPr>
        <w:t>任务，深入开展食品风险隐患排查、食品安全监管等相关工作，进一步提高我</w:t>
      </w:r>
      <w:r>
        <w:rPr>
          <w:rFonts w:hint="eastAsia" w:ascii="仿宋" w:hAnsi="仿宋" w:eastAsia="仿宋" w:cs="仿宋"/>
          <w:sz w:val="32"/>
          <w:szCs w:val="32"/>
          <w:lang w:eastAsia="zh-CN"/>
        </w:rPr>
        <w:t>区</w:t>
      </w:r>
      <w:r>
        <w:rPr>
          <w:rFonts w:hint="eastAsia" w:ascii="仿宋" w:hAnsi="仿宋" w:eastAsia="仿宋" w:cs="仿宋"/>
          <w:sz w:val="32"/>
          <w:szCs w:val="32"/>
        </w:rPr>
        <w:t>食品监管水平</w:t>
      </w:r>
      <w:r>
        <w:rPr>
          <w:rFonts w:hint="eastAsia" w:ascii="仿宋" w:hAnsi="仿宋" w:eastAsia="仿宋" w:cs="仿宋"/>
          <w:sz w:val="32"/>
          <w:szCs w:val="32"/>
          <w:lang w:val="en-US" w:eastAsia="zh-CN"/>
        </w:rPr>
        <w:t>和疫情防控保障</w:t>
      </w:r>
      <w:r>
        <w:rPr>
          <w:rFonts w:hint="eastAsia" w:ascii="仿宋" w:hAnsi="仿宋" w:eastAsia="仿宋" w:cs="仿宋"/>
          <w:sz w:val="32"/>
          <w:szCs w:val="32"/>
        </w:rPr>
        <w:t>，保障食品安全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人民安全</w:t>
      </w:r>
      <w:r>
        <w:rPr>
          <w:rFonts w:hint="eastAsia" w:ascii="仿宋" w:hAnsi="仿宋" w:eastAsia="仿宋" w:cs="仿宋"/>
          <w:sz w:val="32"/>
          <w:szCs w:val="32"/>
        </w:rPr>
        <w:t>。</w:t>
      </w:r>
    </w:p>
    <w:p w14:paraId="503FA12F">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sz w:val="32"/>
          <w:szCs w:val="32"/>
        </w:rPr>
      </w:pPr>
      <w:r>
        <w:rPr>
          <w:rFonts w:hint="eastAsia" w:ascii="仿宋" w:hAnsi="仿宋" w:eastAsia="仿宋" w:cs="仿宋"/>
          <w:b/>
          <w:bCs/>
          <w:sz w:val="32"/>
          <w:szCs w:val="32"/>
        </w:rPr>
        <w:t>（三）绩效指标完成情况分析</w:t>
      </w:r>
    </w:p>
    <w:p w14:paraId="4BFFBA44">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产出指标完成情况分析</w:t>
      </w:r>
    </w:p>
    <w:p w14:paraId="25953513">
      <w:pPr>
        <w:keepNext w:val="0"/>
        <w:keepLines w:val="0"/>
        <w:pageBreakBefore w:val="0"/>
        <w:widowControl w:val="0"/>
        <w:tabs>
          <w:tab w:val="left" w:pos="6425"/>
        </w:tabs>
        <w:kinsoku/>
        <w:wordWrap/>
        <w:overflowPunct/>
        <w:topLinePunct w:val="0"/>
        <w:autoSpaceDE/>
        <w:autoSpaceDN/>
        <w:bidi w:val="0"/>
        <w:adjustRightInd/>
        <w:snapToGrid/>
        <w:spacing w:line="560" w:lineRule="exact"/>
        <w:ind w:left="638" w:leftChars="304" w:firstLine="0" w:firstLineChars="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rPr>
        <w:t>（1）数量指标。</w:t>
      </w:r>
      <w:r>
        <w:rPr>
          <w:rFonts w:hint="eastAsia" w:ascii="仿宋" w:hAnsi="仿宋" w:eastAsia="仿宋" w:cs="仿宋"/>
          <w:sz w:val="32"/>
          <w:szCs w:val="32"/>
          <w:lang w:val="en-US" w:eastAsia="zh-CN"/>
        </w:rPr>
        <w:t>食用农产品安全抽检30家</w:t>
      </w:r>
      <w:r>
        <w:rPr>
          <w:rFonts w:hint="eastAsia" w:ascii="仿宋" w:hAnsi="仿宋" w:eastAsia="仿宋" w:cs="仿宋"/>
          <w:sz w:val="32"/>
          <w:szCs w:val="32"/>
          <w:lang w:eastAsia="zh-CN"/>
        </w:rPr>
        <w:t>，检查集中供餐</w:t>
      </w:r>
    </w:p>
    <w:p w14:paraId="5E4D363D">
      <w:pPr>
        <w:keepNext w:val="0"/>
        <w:keepLines w:val="0"/>
        <w:pageBreakBefore w:val="0"/>
        <w:widowControl w:val="0"/>
        <w:tabs>
          <w:tab w:val="left" w:pos="6425"/>
        </w:tabs>
        <w:kinsoku/>
        <w:wordWrap/>
        <w:overflowPunct/>
        <w:topLinePunct w:val="0"/>
        <w:autoSpaceDE/>
        <w:autoSpaceDN/>
        <w:bidi w:val="0"/>
        <w:adjustRightInd/>
        <w:snapToGrid/>
        <w:spacing w:line="560" w:lineRule="exact"/>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eastAsia="zh-CN"/>
        </w:rPr>
        <w:t>食堂、单位≥</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00次，</w:t>
      </w:r>
      <w:r>
        <w:rPr>
          <w:rFonts w:hint="eastAsia" w:ascii="仿宋" w:hAnsi="仿宋" w:eastAsia="仿宋" w:cs="仿宋"/>
          <w:sz w:val="32"/>
          <w:szCs w:val="32"/>
          <w:lang w:val="en-US" w:eastAsia="zh-CN"/>
        </w:rPr>
        <w:t>完成目标计划。</w:t>
      </w:r>
    </w:p>
    <w:p w14:paraId="1E7D03B0">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rPr>
        <w:t>（2）质量指标</w:t>
      </w:r>
      <w:r>
        <w:rPr>
          <w:rFonts w:hint="eastAsia" w:ascii="仿宋" w:hAnsi="仿宋" w:eastAsia="仿宋" w:cs="仿宋"/>
          <w:sz w:val="32"/>
          <w:szCs w:val="32"/>
          <w:lang w:val="en-US" w:eastAsia="zh-CN"/>
        </w:rPr>
        <w:t>。抽检不合格食品核查处置率100%，食品安全投诉举报处置率100%，食品抽检应公布信息公布率100%，食品抽检结果系统录入率100%，检查集中供餐学校食堂、配餐单位、食品生产企业等问题整改率100%。</w:t>
      </w:r>
    </w:p>
    <w:p w14:paraId="43A05593">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（3）时效指标。食品监管专项工作整体完成时间2022年12月31日，食品补助资金执行率100%。</w:t>
      </w:r>
    </w:p>
    <w:p w14:paraId="1D36378F">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（4）成本指标。食品抽检每批次成本≦500元。</w:t>
      </w:r>
    </w:p>
    <w:p w14:paraId="0A0E6AD2">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效益</w:t>
      </w:r>
      <w:r>
        <w:rPr>
          <w:rFonts w:hint="eastAsia" w:ascii="仿宋" w:hAnsi="仿宋" w:eastAsia="仿宋" w:cs="仿宋"/>
          <w:sz w:val="32"/>
          <w:szCs w:val="32"/>
        </w:rPr>
        <w:t>指标完成情况分析</w:t>
      </w:r>
    </w:p>
    <w:p w14:paraId="1ADAA6C4">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60" w:lineRule="exact"/>
        <w:ind w:leftChars="304"/>
        <w:textAlignment w:val="auto"/>
        <w:outlineLvl w:val="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辖区内与补助资金相关的重大食品安全监管责任事故发生</w:t>
      </w:r>
    </w:p>
    <w:p w14:paraId="10CADCBC">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60" w:lineRule="exact"/>
        <w:textAlignment w:val="auto"/>
        <w:outlineLvl w:val="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数0次，辖区内公众食品安全科普知识素养不断提高，技术支撑能力和检验检测水平不断提高，食品安全执法能力和监管能力、疫情防控应急能力逐步提高。</w:t>
      </w:r>
    </w:p>
    <w:p w14:paraId="3BC1F66B">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eastAsia"/>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满意度</w:t>
      </w:r>
      <w:r>
        <w:rPr>
          <w:rFonts w:hint="eastAsia" w:ascii="仿宋" w:hAnsi="仿宋" w:eastAsia="仿宋" w:cs="仿宋"/>
          <w:sz w:val="32"/>
          <w:szCs w:val="32"/>
        </w:rPr>
        <w:t>指标完成情况分析</w:t>
      </w:r>
    </w:p>
    <w:p w14:paraId="1B12103F">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60" w:lineRule="exact"/>
        <w:ind w:leftChars="304"/>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食品安全满意度≥85%，疫情防控宣传服务人员满意度≥80%。</w:t>
      </w:r>
    </w:p>
    <w:p w14:paraId="393A51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四、偏离绩效目标的原因和下一步改进措施</w:t>
      </w:r>
    </w:p>
    <w:p w14:paraId="50C3C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由于</w:t>
      </w:r>
      <w:r>
        <w:rPr>
          <w:rFonts w:hint="eastAsia" w:ascii="仿宋" w:hAnsi="仿宋" w:eastAsia="仿宋" w:cs="仿宋"/>
          <w:sz w:val="32"/>
          <w:szCs w:val="32"/>
          <w:lang w:val="en-US" w:eastAsia="zh-CN"/>
        </w:rPr>
        <w:t>我地</w:t>
      </w:r>
      <w:r>
        <w:rPr>
          <w:rFonts w:hint="eastAsia" w:ascii="仿宋" w:hAnsi="仿宋" w:eastAsia="仿宋" w:cs="仿宋"/>
          <w:sz w:val="32"/>
          <w:szCs w:val="32"/>
        </w:rPr>
        <w:t>财政</w:t>
      </w:r>
      <w:r>
        <w:rPr>
          <w:rFonts w:hint="eastAsia" w:ascii="仿宋" w:hAnsi="仿宋" w:eastAsia="仿宋" w:cs="仿宋"/>
          <w:sz w:val="32"/>
          <w:szCs w:val="32"/>
          <w:lang w:val="en-US" w:eastAsia="zh-CN"/>
        </w:rPr>
        <w:t>资金</w:t>
      </w:r>
      <w:r>
        <w:rPr>
          <w:rFonts w:hint="eastAsia" w:ascii="仿宋" w:hAnsi="仿宋" w:eastAsia="仿宋" w:cs="仿宋"/>
          <w:sz w:val="32"/>
          <w:szCs w:val="32"/>
        </w:rPr>
        <w:t>统筹安排，指标到位时间较晚，</w:t>
      </w:r>
      <w:r>
        <w:rPr>
          <w:rFonts w:hint="eastAsia" w:ascii="仿宋" w:hAnsi="仿宋" w:eastAsia="仿宋" w:cs="仿宋"/>
          <w:sz w:val="32"/>
          <w:szCs w:val="32"/>
          <w:lang w:val="en-US" w:eastAsia="zh-CN"/>
        </w:rPr>
        <w:t>项目开展执行与项目资金使用匹配不够完善，</w:t>
      </w:r>
      <w:r>
        <w:rPr>
          <w:rFonts w:hint="eastAsia" w:ascii="仿宋" w:hAnsi="仿宋" w:eastAsia="仿宋" w:cs="仿宋"/>
          <w:sz w:val="32"/>
          <w:szCs w:val="32"/>
        </w:rPr>
        <w:t>故</w:t>
      </w:r>
      <w:r>
        <w:rPr>
          <w:rFonts w:hint="eastAsia" w:ascii="仿宋" w:hAnsi="仿宋" w:eastAsia="仿宋" w:cs="仿宋"/>
          <w:sz w:val="32"/>
          <w:szCs w:val="32"/>
          <w:lang w:val="en-US" w:eastAsia="zh-CN"/>
        </w:rPr>
        <w:t>项目资金结转到下年继续使用。</w:t>
      </w:r>
      <w:r>
        <w:rPr>
          <w:rFonts w:hint="eastAsia" w:ascii="仿宋" w:hAnsi="仿宋" w:eastAsia="仿宋" w:cs="仿宋"/>
          <w:sz w:val="32"/>
          <w:szCs w:val="32"/>
        </w:rPr>
        <w:t>改进建议：在以后工作中应提前做好项目资金使用计划，提高资金使用率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w:t>
      </w:r>
      <w:r>
        <w:rPr>
          <w:rFonts w:hint="eastAsia" w:ascii="仿宋" w:hAnsi="仿宋" w:eastAsia="仿宋" w:cs="仿宋"/>
          <w:sz w:val="32"/>
          <w:szCs w:val="32"/>
        </w:rPr>
        <w:t>完成项目。</w:t>
      </w:r>
    </w:p>
    <w:p w14:paraId="49D44C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五、其他需要说明的问题</w:t>
      </w:r>
    </w:p>
    <w:p w14:paraId="57C795D7">
      <w:pPr>
        <w:keepNext w:val="0"/>
        <w:keepLines w:val="0"/>
        <w:pageBreakBefore w:val="0"/>
        <w:widowControl w:val="0"/>
        <w:tabs>
          <w:tab w:val="left" w:pos="6425"/>
        </w:tabs>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无</w:t>
      </w:r>
      <w:r>
        <w:rPr>
          <w:rFonts w:hint="eastAsia" w:ascii="仿宋" w:hAnsi="仿宋" w:eastAsia="仿宋" w:cs="仿宋"/>
          <w:sz w:val="32"/>
          <w:szCs w:val="32"/>
        </w:rPr>
        <w:t>。</w:t>
      </w:r>
    </w:p>
    <w:p w14:paraId="390EE467">
      <w:pPr>
        <w:spacing w:beforeLines="0" w:afterLines="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附件：部门预算项目支出绩效自评表（2023年度）</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6"/>
        <w:gridCol w:w="1296"/>
        <w:gridCol w:w="2196"/>
        <w:gridCol w:w="396"/>
        <w:gridCol w:w="576"/>
        <w:gridCol w:w="396"/>
        <w:gridCol w:w="1071"/>
        <w:gridCol w:w="486"/>
        <w:gridCol w:w="486"/>
        <w:gridCol w:w="601"/>
      </w:tblGrid>
      <w:tr w14:paraId="19A7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550EC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BF8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511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DB78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51090423T000008495081-2022年中央食品监管补助资金</w:t>
            </w:r>
          </w:p>
        </w:tc>
      </w:tr>
      <w:tr w14:paraId="794C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97F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AC2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遂宁市安居区市场监督管理局部门</w:t>
            </w:r>
          </w:p>
        </w:tc>
        <w:tc>
          <w:tcPr>
            <w:tcW w:w="386" w:type="pct"/>
            <w:tcBorders>
              <w:top w:val="nil"/>
              <w:left w:val="nil"/>
              <w:bottom w:val="nil"/>
              <w:right w:val="nil"/>
            </w:tcBorders>
            <w:shd w:val="clear" w:color="auto" w:fill="auto"/>
            <w:vAlign w:val="center"/>
          </w:tcPr>
          <w:p w14:paraId="38EB451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3B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遂宁市安居区市场监督管理局</w:t>
            </w:r>
          </w:p>
        </w:tc>
      </w:tr>
      <w:tr w14:paraId="7AFF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774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483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EF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46D01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0D4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8276">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DA48">
            <w:pPr>
              <w:rPr>
                <w:rFonts w:hint="eastAsia" w:ascii="宋体" w:hAnsi="宋体" w:eastAsia="宋体" w:cs="宋体"/>
                <w:i w:val="0"/>
                <w:iCs w:val="0"/>
                <w:color w:val="000000"/>
                <w:sz w:val="18"/>
                <w:szCs w:val="18"/>
                <w:u w:val="none"/>
              </w:rPr>
            </w:pP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DB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深入开展食品安全风险隐患排查、食品安全监管等相关工作，进一步提高我区食品监管水平，保障食品安全。</w:t>
            </w:r>
          </w:p>
        </w:tc>
        <w:tc>
          <w:tcPr>
            <w:tcW w:w="16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3E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保障了辖区食品安全，食品安全事故发生数0次，食品安全投诉举报处置率100%</w:t>
            </w:r>
          </w:p>
        </w:tc>
      </w:tr>
      <w:tr w14:paraId="6E5F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C3B3">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CE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08A0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深入开展食品安全风险隐患排查、食品安全监管等相关工作，进一步提高我区食品监管水平，保障食品安全。</w:t>
            </w:r>
          </w:p>
        </w:tc>
      </w:tr>
      <w:tr w14:paraId="6B6B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34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E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3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F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D7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6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F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3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7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2B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7D5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2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0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4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74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7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3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B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BA668">
            <w:pPr>
              <w:rPr>
                <w:rFonts w:hint="eastAsia" w:ascii="黑体" w:hAnsi="黑体" w:eastAsia="黑体" w:cs="黑体"/>
                <w:i/>
                <w:iCs/>
                <w:color w:val="000000"/>
                <w:sz w:val="18"/>
                <w:szCs w:val="18"/>
                <w:u w:val="none"/>
              </w:rPr>
            </w:pPr>
          </w:p>
        </w:tc>
      </w:tr>
      <w:tr w14:paraId="4235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85CC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5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0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F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99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D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1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5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9194">
            <w:pPr>
              <w:rPr>
                <w:rFonts w:hint="eastAsia" w:ascii="黑体" w:hAnsi="黑体" w:eastAsia="黑体" w:cs="黑体"/>
                <w:i/>
                <w:iCs/>
                <w:color w:val="000000"/>
                <w:sz w:val="18"/>
                <w:szCs w:val="18"/>
                <w:u w:val="none"/>
              </w:rPr>
            </w:pPr>
          </w:p>
        </w:tc>
      </w:tr>
      <w:tr w14:paraId="588A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F54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E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8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2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CF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7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1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E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E266">
            <w:pPr>
              <w:rPr>
                <w:rFonts w:hint="eastAsia" w:ascii="黑体" w:hAnsi="黑体" w:eastAsia="黑体" w:cs="黑体"/>
                <w:i/>
                <w:iCs/>
                <w:color w:val="000000"/>
                <w:sz w:val="18"/>
                <w:szCs w:val="18"/>
                <w:u w:val="none"/>
              </w:rPr>
            </w:pPr>
          </w:p>
        </w:tc>
      </w:tr>
      <w:tr w14:paraId="6415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492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6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0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C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EA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1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0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E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2F120">
            <w:pPr>
              <w:rPr>
                <w:rFonts w:hint="eastAsia" w:ascii="黑体" w:hAnsi="黑体" w:eastAsia="黑体" w:cs="黑体"/>
                <w:i/>
                <w:iCs/>
                <w:color w:val="000000"/>
                <w:sz w:val="18"/>
                <w:szCs w:val="18"/>
                <w:u w:val="none"/>
              </w:rPr>
            </w:pPr>
          </w:p>
        </w:tc>
      </w:tr>
      <w:tr w14:paraId="0FB8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96A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0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9CC9">
            <w:pPr>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820C">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F632C">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44AE">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6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8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389B">
            <w:pPr>
              <w:rPr>
                <w:rFonts w:hint="eastAsia" w:ascii="黑体" w:hAnsi="黑体" w:eastAsia="黑体" w:cs="黑体"/>
                <w:i/>
                <w:iCs/>
                <w:color w:val="000000"/>
                <w:sz w:val="18"/>
                <w:szCs w:val="18"/>
                <w:u w:val="none"/>
              </w:rPr>
            </w:pPr>
          </w:p>
        </w:tc>
      </w:tr>
      <w:tr w14:paraId="5D0A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FB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F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7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3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5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E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B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D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8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9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4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63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75E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E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1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2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疫情防控劳务费支出每次</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0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A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3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B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3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7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C00F">
            <w:pPr>
              <w:jc w:val="center"/>
              <w:rPr>
                <w:rFonts w:hint="eastAsia" w:ascii="宋体" w:hAnsi="宋体" w:eastAsia="宋体" w:cs="宋体"/>
                <w:i w:val="0"/>
                <w:iCs w:val="0"/>
                <w:color w:val="000000"/>
                <w:sz w:val="18"/>
                <w:szCs w:val="18"/>
                <w:u w:val="none"/>
              </w:rPr>
            </w:pPr>
          </w:p>
        </w:tc>
      </w:tr>
      <w:tr w14:paraId="2786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C68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0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7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C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检查食品安全经营户</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6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3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7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0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≥50家/月</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6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D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78CE">
            <w:pPr>
              <w:jc w:val="center"/>
              <w:rPr>
                <w:rFonts w:hint="eastAsia" w:ascii="宋体" w:hAnsi="宋体" w:eastAsia="宋体" w:cs="宋体"/>
                <w:i w:val="0"/>
                <w:iCs w:val="0"/>
                <w:color w:val="000000"/>
                <w:sz w:val="18"/>
                <w:szCs w:val="18"/>
                <w:u w:val="none"/>
              </w:rPr>
            </w:pPr>
          </w:p>
        </w:tc>
      </w:tr>
      <w:tr w14:paraId="264B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E1B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E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D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8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D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C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7A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9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7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B58A">
            <w:pPr>
              <w:jc w:val="center"/>
              <w:rPr>
                <w:rFonts w:hint="eastAsia" w:ascii="宋体" w:hAnsi="宋体" w:eastAsia="宋体" w:cs="宋体"/>
                <w:i w:val="0"/>
                <w:iCs w:val="0"/>
                <w:color w:val="000000"/>
                <w:sz w:val="18"/>
                <w:szCs w:val="18"/>
                <w:u w:val="none"/>
              </w:rPr>
            </w:pPr>
          </w:p>
        </w:tc>
      </w:tr>
      <w:tr w14:paraId="06D3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37F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9EB4">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4490">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F3FE">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7D68">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82AB">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DC18">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846F">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DEA8">
            <w:pPr>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3097">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0FB1">
            <w:pPr>
              <w:jc w:val="center"/>
              <w:rPr>
                <w:rFonts w:hint="eastAsia" w:ascii="宋体" w:hAnsi="宋体" w:eastAsia="宋体" w:cs="宋体"/>
                <w:i w:val="0"/>
                <w:iCs w:val="0"/>
                <w:color w:val="000000"/>
                <w:sz w:val="18"/>
                <w:szCs w:val="18"/>
                <w:u w:val="none"/>
              </w:rPr>
            </w:pPr>
          </w:p>
        </w:tc>
      </w:tr>
      <w:tr w14:paraId="72C7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103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BEFA">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D433">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6FDA">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7ABA">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E6B6">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5DC9">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5CAE">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F5A7">
            <w:pPr>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6003">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0AAC">
            <w:pPr>
              <w:jc w:val="center"/>
              <w:rPr>
                <w:rFonts w:hint="eastAsia" w:ascii="宋体" w:hAnsi="宋体" w:eastAsia="宋体" w:cs="宋体"/>
                <w:i w:val="0"/>
                <w:iCs w:val="0"/>
                <w:color w:val="000000"/>
                <w:sz w:val="18"/>
                <w:szCs w:val="18"/>
                <w:u w:val="none"/>
              </w:rPr>
            </w:pPr>
          </w:p>
        </w:tc>
      </w:tr>
      <w:tr w14:paraId="124B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640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A579">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F4AC">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8B2F">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87FA">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4665">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EE95">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6A8E">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81FC">
            <w:pPr>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7AB0">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65F2">
            <w:pPr>
              <w:jc w:val="center"/>
              <w:rPr>
                <w:rFonts w:hint="eastAsia" w:ascii="微软雅黑" w:hAnsi="微软雅黑" w:eastAsia="微软雅黑" w:cs="微软雅黑"/>
                <w:i/>
                <w:iCs/>
                <w:color w:val="000000"/>
                <w:sz w:val="16"/>
                <w:szCs w:val="16"/>
                <w:u w:val="none"/>
              </w:rPr>
            </w:pPr>
          </w:p>
        </w:tc>
      </w:tr>
      <w:tr w14:paraId="6CAD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A11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8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B5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1C8E">
            <w:pPr>
              <w:rPr>
                <w:rFonts w:hint="eastAsia" w:ascii="宋体" w:hAnsi="宋体" w:eastAsia="宋体" w:cs="宋体"/>
                <w:i w:val="0"/>
                <w:iCs w:val="0"/>
                <w:color w:val="000000"/>
                <w:sz w:val="18"/>
                <w:szCs w:val="18"/>
                <w:u w:val="none"/>
              </w:rPr>
            </w:pPr>
          </w:p>
        </w:tc>
      </w:tr>
      <w:tr w14:paraId="5A4D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C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9E05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严格执行项目资金的使用，对预算执行进度和绩效目标实现程度实行双监控，自评得分100分</w:t>
            </w:r>
          </w:p>
        </w:tc>
      </w:tr>
      <w:tr w14:paraId="7F4C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E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54C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项目开展执行与项目资金使用匹配不够完善</w:t>
            </w:r>
          </w:p>
        </w:tc>
      </w:tr>
      <w:tr w14:paraId="4970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5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B344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在以后工作中应提前做好项目资金使用计划，提高资金使用率，及时完成项目无</w:t>
            </w:r>
          </w:p>
        </w:tc>
      </w:tr>
    </w:tbl>
    <w:p w14:paraId="3A6E298F">
      <w:pPr>
        <w:pStyle w:val="5"/>
        <w:widowControl w:val="0"/>
        <w:numPr>
          <w:ilvl w:val="0"/>
          <w:numId w:val="0"/>
        </w:numPr>
        <w:spacing w:beforeLines="0" w:afterLines="0"/>
        <w:jc w:val="both"/>
        <w:rPr>
          <w:rFonts w:hint="eastAsia" w:ascii="仿宋" w:hAnsi="仿宋" w:eastAsia="仿宋" w:cs="仿宋"/>
        </w:rPr>
      </w:pPr>
    </w:p>
    <w:p w14:paraId="0A4FBF82">
      <w:pPr>
        <w:pStyle w:val="5"/>
        <w:widowControl w:val="0"/>
        <w:numPr>
          <w:ilvl w:val="0"/>
          <w:numId w:val="0"/>
        </w:numPr>
        <w:spacing w:beforeLines="0" w:afterLines="0"/>
        <w:jc w:val="both"/>
        <w:rPr>
          <w:rFonts w:hint="eastAsia" w:ascii="仿宋" w:hAnsi="仿宋" w:eastAsia="仿宋" w:cs="仿宋"/>
        </w:rPr>
      </w:pPr>
    </w:p>
    <w:p w14:paraId="4AC01884">
      <w:pPr>
        <w:pStyle w:val="5"/>
        <w:widowControl w:val="0"/>
        <w:numPr>
          <w:ilvl w:val="0"/>
          <w:numId w:val="0"/>
        </w:numPr>
        <w:spacing w:beforeLines="0" w:afterLines="0"/>
        <w:jc w:val="both"/>
        <w:rPr>
          <w:rFonts w:hint="eastAsia" w:ascii="仿宋" w:hAnsi="仿宋" w:eastAsia="仿宋" w:cs="仿宋"/>
        </w:rPr>
      </w:pPr>
    </w:p>
    <w:p w14:paraId="1C3E2D9D">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496C78A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06EEBCE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649C904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部门预算项目支出绩效自评报告</w:t>
      </w:r>
    </w:p>
    <w:p w14:paraId="64EFC831">
      <w:pPr>
        <w:pStyle w:val="9"/>
        <w:jc w:val="center"/>
        <w:rPr>
          <w:rFonts w:hint="eastAsia" w:ascii="方正小标宋简体" w:hAnsi="宋体" w:eastAsia="方正小标宋简体"/>
          <w:sz w:val="44"/>
          <w:szCs w:val="44"/>
        </w:rPr>
      </w:pPr>
      <w:r>
        <w:rPr>
          <w:rFonts w:hint="eastAsia" w:ascii="方正小标宋简体" w:hAnsi="方正小标宋简体" w:eastAsia="方正小标宋简体" w:cs="方正小标宋简体"/>
          <w:sz w:val="44"/>
          <w:szCs w:val="44"/>
          <w:lang w:val="en-US" w:eastAsia="zh-CN"/>
        </w:rPr>
        <w:t>（2022年第二批省级知识产权专项资金）</w:t>
      </w:r>
    </w:p>
    <w:p w14:paraId="1E63E92C">
      <w:pPr>
        <w:keepNext w:val="0"/>
        <w:keepLines w:val="0"/>
        <w:pageBreakBefore w:val="0"/>
        <w:widowControl w:val="0"/>
        <w:numPr>
          <w:ilvl w:val="0"/>
          <w:numId w:val="18"/>
        </w:numPr>
        <w:tabs>
          <w:tab w:val="left" w:pos="578"/>
        </w:tabs>
        <w:kinsoku/>
        <w:wordWrap/>
        <w:overflowPunct/>
        <w:topLinePunct w:val="0"/>
        <w:bidi w:val="0"/>
        <w:snapToGrid w:val="0"/>
        <w:spacing w:line="480" w:lineRule="exact"/>
        <w:ind w:firstLine="643" w:firstLineChars="200"/>
        <w:jc w:val="left"/>
        <w:textAlignment w:val="auto"/>
        <w:rPr>
          <w:rFonts w:hint="eastAsia" w:ascii="楷体_GB2312" w:hAnsi="楷体_GB2312" w:eastAsia="楷体_GB2312" w:cs="楷体_GB2312"/>
          <w:b/>
          <w:bCs/>
          <w:sz w:val="36"/>
          <w:szCs w:val="22"/>
        </w:rPr>
      </w:pPr>
      <w:r>
        <w:rPr>
          <w:rFonts w:hint="eastAsia" w:ascii="Times New Roman" w:hAnsi="Times New Roman" w:eastAsia="黑体" w:cs="Times New Roman"/>
          <w:b/>
          <w:bCs/>
          <w:color w:val="000000"/>
          <w:sz w:val="32"/>
          <w:szCs w:val="32"/>
          <w:lang w:val="en-US" w:eastAsia="zh-CN"/>
        </w:rPr>
        <w:t>项目概况</w:t>
      </w:r>
    </w:p>
    <w:p w14:paraId="2EE7D836">
      <w:pPr>
        <w:pStyle w:val="24"/>
        <w:keepNext w:val="0"/>
        <w:keepLines w:val="0"/>
        <w:pageBreakBefore w:val="0"/>
        <w:wordWrap/>
        <w:topLinePunct w:val="0"/>
        <w:bidi w:val="0"/>
        <w:spacing w:line="480" w:lineRule="exact"/>
        <w:rPr>
          <w:rFonts w:hint="default" w:eastAsia="楷体_GB2312"/>
          <w:b w:val="0"/>
          <w:bCs w:val="0"/>
          <w:lang w:val="en-US" w:eastAsia="zh-CN"/>
        </w:rPr>
      </w:pPr>
      <w:r>
        <w:rPr>
          <w:rFonts w:hint="eastAsia" w:ascii="楷体_GB2312" w:hAnsi="楷体_GB2312" w:eastAsia="楷体_GB2312" w:cs="楷体_GB2312"/>
          <w:b w:val="0"/>
          <w:bCs w:val="0"/>
          <w:szCs w:val="21"/>
          <w:lang w:eastAsia="zh-CN"/>
        </w:rPr>
        <w:t>（</w:t>
      </w:r>
      <w:r>
        <w:rPr>
          <w:rFonts w:hint="eastAsia" w:ascii="楷体_GB2312" w:hAnsi="楷体_GB2312" w:eastAsia="楷体_GB2312" w:cs="楷体_GB2312"/>
          <w:b w:val="0"/>
          <w:bCs w:val="0"/>
          <w:szCs w:val="21"/>
          <w:lang w:val="en-US" w:eastAsia="zh-CN"/>
        </w:rPr>
        <w:t>一</w:t>
      </w:r>
      <w:r>
        <w:rPr>
          <w:rFonts w:hint="eastAsia" w:ascii="楷体_GB2312" w:hAnsi="楷体_GB2312" w:eastAsia="楷体_GB2312" w:cs="楷体_GB2312"/>
          <w:b w:val="0"/>
          <w:bCs w:val="0"/>
          <w:szCs w:val="21"/>
          <w:lang w:eastAsia="zh-CN"/>
        </w:rPr>
        <w:t>）</w:t>
      </w:r>
      <w:r>
        <w:rPr>
          <w:rFonts w:hint="eastAsia" w:ascii="方正楷体简体" w:hAnsi="方正楷体简体" w:eastAsia="方正楷体简体" w:cs="方正楷体简体"/>
          <w:b w:val="0"/>
          <w:bCs w:val="0"/>
          <w:szCs w:val="21"/>
          <w:lang w:val="en-US" w:eastAsia="zh-CN"/>
        </w:rPr>
        <w:t>项目基本情况</w:t>
      </w:r>
    </w:p>
    <w:p w14:paraId="2B4B482A">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2022年安居区市场监管局申请第二批省级知识产权专项资金5万元，根据《遂宁市财政局关于拨付2022年第二批省级知识产权专项资金预算的通知》文件要求，下达项目资金5万元。该项目主要是专利奖激励资金，用于进一步提升我区知识产权创造能力和水平，促进营商环境持续优化提升，推动区域经济高质量发展。</w:t>
      </w:r>
    </w:p>
    <w:p w14:paraId="62A6C37B">
      <w:pPr>
        <w:keepNext w:val="0"/>
        <w:keepLines w:val="0"/>
        <w:pageBreakBefore w:val="0"/>
        <w:wordWrap/>
        <w:topLinePunct w:val="0"/>
        <w:bidi w:val="0"/>
        <w:spacing w:line="480" w:lineRule="exact"/>
        <w:ind w:firstLine="640" w:firstLineChars="200"/>
        <w:rPr>
          <w:rFonts w:hint="eastAsia" w:ascii="楷体_GB2312" w:hAnsi="楷体_GB2312" w:eastAsia="楷体_GB2312" w:cs="楷体_GB2312"/>
          <w:b/>
          <w:bCs/>
          <w:sz w:val="32"/>
          <w:szCs w:val="32"/>
        </w:rPr>
      </w:pPr>
      <w:r>
        <w:rPr>
          <w:rFonts w:hint="eastAsia" w:ascii="仿宋" w:hAnsi="仿宋" w:eastAsia="仿宋" w:cs="仿宋"/>
          <w:sz w:val="32"/>
          <w:szCs w:val="32"/>
          <w:lang w:val="en-US" w:eastAsia="zh-CN"/>
        </w:rPr>
        <w:t>单位</w:t>
      </w:r>
      <w:r>
        <w:rPr>
          <w:rFonts w:hint="default" w:ascii="仿宋" w:hAnsi="仿宋" w:eastAsia="仿宋" w:cs="仿宋"/>
          <w:sz w:val="32"/>
          <w:szCs w:val="32"/>
          <w:lang w:val="zh-CN" w:eastAsia="zh-CN"/>
        </w:rPr>
        <w:t>认真落实科学监管理念，严格管理，合理安排，不断健全完善财务管理制度、</w:t>
      </w:r>
      <w:r>
        <w:rPr>
          <w:rFonts w:hint="default" w:ascii="仿宋" w:hAnsi="仿宋" w:eastAsia="仿宋" w:cs="仿宋"/>
          <w:sz w:val="32"/>
          <w:szCs w:val="32"/>
          <w:lang w:val="en-US" w:eastAsia="zh-CN"/>
        </w:rPr>
        <w:t>内控制度</w:t>
      </w:r>
      <w:r>
        <w:rPr>
          <w:rFonts w:hint="default" w:ascii="仿宋" w:hAnsi="仿宋" w:eastAsia="仿宋" w:cs="仿宋"/>
          <w:sz w:val="32"/>
          <w:szCs w:val="32"/>
          <w:lang w:val="zh-CN" w:eastAsia="zh-CN"/>
        </w:rPr>
        <w:t>，加强</w:t>
      </w:r>
      <w:r>
        <w:rPr>
          <w:rFonts w:hint="default" w:ascii="仿宋" w:hAnsi="仿宋" w:eastAsia="仿宋" w:cs="仿宋"/>
          <w:sz w:val="32"/>
          <w:szCs w:val="32"/>
          <w:lang w:val="en-US" w:eastAsia="zh-CN"/>
        </w:rPr>
        <w:t>了</w:t>
      </w:r>
      <w:r>
        <w:rPr>
          <w:rFonts w:hint="default" w:ascii="仿宋" w:hAnsi="仿宋" w:eastAsia="仿宋" w:cs="仿宋"/>
          <w:sz w:val="32"/>
          <w:szCs w:val="32"/>
          <w:lang w:val="zh-CN" w:eastAsia="zh-CN"/>
        </w:rPr>
        <w:t>财务管理，保障</w:t>
      </w:r>
      <w:r>
        <w:rPr>
          <w:rFonts w:hint="default" w:ascii="仿宋" w:hAnsi="仿宋" w:eastAsia="仿宋" w:cs="仿宋"/>
          <w:sz w:val="32"/>
          <w:szCs w:val="32"/>
          <w:lang w:val="en-US" w:eastAsia="zh-CN"/>
        </w:rPr>
        <w:t>了</w:t>
      </w:r>
      <w:r>
        <w:rPr>
          <w:rFonts w:hint="default" w:ascii="仿宋" w:hAnsi="仿宋" w:eastAsia="仿宋" w:cs="仿宋"/>
          <w:sz w:val="32"/>
          <w:szCs w:val="32"/>
          <w:lang w:val="zh-CN" w:eastAsia="zh-CN"/>
        </w:rPr>
        <w:t>资金安全。</w:t>
      </w:r>
    </w:p>
    <w:p w14:paraId="2394651F">
      <w:pPr>
        <w:pStyle w:val="24"/>
        <w:keepNext w:val="0"/>
        <w:keepLines w:val="0"/>
        <w:pageBreakBefore w:val="0"/>
        <w:wordWrap/>
        <w:topLinePunct w:val="0"/>
        <w:bidi w:val="0"/>
        <w:spacing w:line="480" w:lineRule="exact"/>
        <w:rPr>
          <w:rFonts w:hint="eastAsia" w:ascii="方正楷体简体" w:hAnsi="方正楷体简体" w:eastAsia="方正楷体简体" w:cs="方正楷体简体"/>
          <w:b w:val="0"/>
          <w:bCs w:val="0"/>
          <w:szCs w:val="21"/>
        </w:rPr>
      </w:pPr>
      <w:r>
        <w:rPr>
          <w:rFonts w:hint="eastAsia" w:ascii="楷体_GB2312" w:hAnsi="楷体_GB2312" w:eastAsia="楷体_GB2312" w:cs="楷体_GB2312"/>
          <w:b w:val="0"/>
          <w:bCs w:val="0"/>
          <w:szCs w:val="21"/>
          <w:lang w:eastAsia="zh-CN"/>
        </w:rPr>
        <w:t>（</w:t>
      </w:r>
      <w:r>
        <w:rPr>
          <w:rFonts w:hint="eastAsia" w:ascii="楷体_GB2312" w:hAnsi="楷体_GB2312" w:eastAsia="楷体_GB2312" w:cs="楷体_GB2312"/>
          <w:b w:val="0"/>
          <w:bCs w:val="0"/>
          <w:szCs w:val="21"/>
          <w:lang w:val="en-US" w:eastAsia="zh-CN"/>
        </w:rPr>
        <w:t>二</w:t>
      </w:r>
      <w:r>
        <w:rPr>
          <w:rFonts w:hint="eastAsia" w:ascii="楷体_GB2312" w:hAnsi="楷体_GB2312" w:eastAsia="楷体_GB2312" w:cs="楷体_GB2312"/>
          <w:b w:val="0"/>
          <w:bCs w:val="0"/>
          <w:szCs w:val="21"/>
          <w:lang w:eastAsia="zh-CN"/>
        </w:rPr>
        <w:t>）</w:t>
      </w:r>
      <w:r>
        <w:rPr>
          <w:rFonts w:hint="eastAsia" w:ascii="方正楷体简体" w:hAnsi="方正楷体简体" w:eastAsia="方正楷体简体" w:cs="方正楷体简体"/>
          <w:b w:val="0"/>
          <w:bCs w:val="0"/>
          <w:szCs w:val="21"/>
        </w:rPr>
        <w:t>项目绩效目标</w:t>
      </w:r>
    </w:p>
    <w:p w14:paraId="58CA7F23">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开展知识产权专项奖励，知识产权保护和运用规划重点任务持续推进，营商环境知识产权指标评价得分明显提升，区县知识产权工作进一步深化，企事业单位知识产权创造质量、运用效益、保护效果、管理水平进一步增强。</w:t>
      </w:r>
    </w:p>
    <w:p w14:paraId="1CF1A25A">
      <w:pPr>
        <w:keepNext w:val="0"/>
        <w:keepLines w:val="0"/>
        <w:pageBreakBefore w:val="0"/>
        <w:wordWrap/>
        <w:topLinePunct w:val="0"/>
        <w:bidi w:val="0"/>
        <w:spacing w:line="4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定性定量指标如下：国家知识产权试点示范工作任务完成率</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95%，每万人口高价值发明专利拥有量不低于全省平均增长率，</w:t>
      </w:r>
    </w:p>
    <w:p w14:paraId="5CE29474">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项目完成率</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95%，项目验收合格率</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95%，资金拨付及时率100%，项目完成时间2023年8月前，专利实施项目新增产值年增长率不低于全省GDP增长率，专利实施项目新增利税年增长率不低于全省GDP增长率，知识产权营商环境进一步优化，服务对象</w:t>
      </w:r>
      <w:r>
        <w:rPr>
          <w:rFonts w:hint="default" w:ascii="仿宋" w:hAnsi="仿宋" w:eastAsia="仿宋" w:cs="仿宋"/>
          <w:sz w:val="32"/>
          <w:szCs w:val="32"/>
          <w:lang w:val="en-US" w:eastAsia="zh-CN"/>
        </w:rPr>
        <w:t>满意度≥</w:t>
      </w: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0%</w:t>
      </w:r>
      <w:r>
        <w:rPr>
          <w:rFonts w:hint="eastAsia" w:ascii="仿宋" w:hAnsi="仿宋" w:eastAsia="仿宋" w:cs="仿宋"/>
          <w:sz w:val="32"/>
          <w:szCs w:val="32"/>
          <w:lang w:val="en-US" w:eastAsia="zh-CN"/>
        </w:rPr>
        <w:t>。</w:t>
      </w:r>
    </w:p>
    <w:p w14:paraId="7E44ABD2">
      <w:pPr>
        <w:keepNext w:val="0"/>
        <w:keepLines w:val="0"/>
        <w:pageBreakBefore w:val="0"/>
        <w:wordWrap/>
        <w:topLinePunct w:val="0"/>
        <w:bidi w:val="0"/>
        <w:spacing w:line="480" w:lineRule="exact"/>
        <w:ind w:firstLine="640" w:firstLineChars="200"/>
        <w:rPr>
          <w:rFonts w:hint="default"/>
          <w:lang w:val="en-US" w:eastAsia="zh-CN"/>
        </w:rPr>
      </w:pPr>
      <w:r>
        <w:rPr>
          <w:rFonts w:hint="eastAsia" w:ascii="仿宋" w:hAnsi="仿宋" w:eastAsia="仿宋" w:cs="仿宋_GB2312"/>
          <w:sz w:val="32"/>
          <w:szCs w:val="32"/>
        </w:rPr>
        <w:t>项目申报内容与具体实施内容相符</w:t>
      </w:r>
      <w:r>
        <w:rPr>
          <w:rFonts w:hint="eastAsia" w:ascii="仿宋" w:hAnsi="仿宋" w:eastAsia="仿宋" w:cs="仿宋_GB2312"/>
          <w:sz w:val="32"/>
          <w:szCs w:val="32"/>
          <w:lang w:eastAsia="zh-CN"/>
        </w:rPr>
        <w:t>，</w:t>
      </w:r>
      <w:r>
        <w:rPr>
          <w:rFonts w:hint="eastAsia" w:ascii="仿宋" w:hAnsi="仿宋" w:eastAsia="仿宋" w:cs="仿宋_GB2312"/>
          <w:sz w:val="32"/>
          <w:szCs w:val="32"/>
        </w:rPr>
        <w:t>项目决策程序严密，申报目标</w:t>
      </w:r>
      <w:r>
        <w:rPr>
          <w:rFonts w:hint="eastAsia" w:ascii="仿宋" w:hAnsi="仿宋" w:eastAsia="仿宋" w:cs="仿宋_GB2312"/>
          <w:sz w:val="32"/>
          <w:szCs w:val="32"/>
          <w:lang w:eastAsia="zh-CN"/>
        </w:rPr>
        <w:t>规划</w:t>
      </w:r>
      <w:r>
        <w:rPr>
          <w:rFonts w:hint="eastAsia" w:ascii="仿宋" w:hAnsi="仿宋" w:eastAsia="仿宋" w:cs="仿宋_GB2312"/>
          <w:sz w:val="32"/>
          <w:szCs w:val="32"/>
        </w:rPr>
        <w:t>合理</w:t>
      </w:r>
      <w:r>
        <w:rPr>
          <w:rFonts w:hint="eastAsia" w:ascii="仿宋" w:hAnsi="仿宋" w:eastAsia="仿宋" w:cs="仿宋_GB2312"/>
          <w:sz w:val="32"/>
          <w:szCs w:val="32"/>
          <w:lang w:eastAsia="zh-CN"/>
        </w:rPr>
        <w:t>，科学</w:t>
      </w:r>
      <w:r>
        <w:rPr>
          <w:rFonts w:hint="eastAsia" w:ascii="仿宋" w:hAnsi="仿宋" w:eastAsia="仿宋" w:cs="仿宋_GB2312"/>
          <w:sz w:val="32"/>
          <w:szCs w:val="32"/>
        </w:rPr>
        <w:t>可行。</w:t>
      </w:r>
    </w:p>
    <w:p w14:paraId="189600E0">
      <w:pPr>
        <w:pStyle w:val="24"/>
        <w:keepNext w:val="0"/>
        <w:keepLines w:val="0"/>
        <w:pageBreakBefore w:val="0"/>
        <w:wordWrap/>
        <w:topLinePunct w:val="0"/>
        <w:bidi w:val="0"/>
        <w:spacing w:line="480" w:lineRule="exact"/>
        <w:rPr>
          <w:rFonts w:hint="default" w:ascii="楷体_GB2312" w:hAnsi="楷体_GB2312" w:eastAsia="楷体_GB2312" w:cs="楷体_GB2312"/>
          <w:b w:val="0"/>
          <w:bCs w:val="0"/>
          <w:szCs w:val="21"/>
          <w:lang w:val="en-US" w:eastAsia="zh-CN"/>
        </w:rPr>
      </w:pPr>
      <w:r>
        <w:rPr>
          <w:rFonts w:hint="eastAsia" w:ascii="楷体_GB2312" w:hAnsi="楷体_GB2312" w:eastAsia="楷体_GB2312" w:cs="楷体_GB2312"/>
          <w:b w:val="0"/>
          <w:bCs w:val="0"/>
          <w:szCs w:val="21"/>
          <w:lang w:val="en-US" w:eastAsia="zh-CN"/>
        </w:rPr>
        <w:t>（三）</w:t>
      </w:r>
      <w:r>
        <w:rPr>
          <w:rFonts w:hint="eastAsia" w:ascii="方正楷体简体" w:hAnsi="方正楷体简体" w:eastAsia="方正楷体简体" w:cs="方正楷体简体"/>
          <w:b w:val="0"/>
          <w:bCs w:val="0"/>
          <w:szCs w:val="21"/>
          <w:lang w:val="en-US" w:eastAsia="zh-CN"/>
        </w:rPr>
        <w:t>项目自评步骤及方法</w:t>
      </w:r>
    </w:p>
    <w:p w14:paraId="66AEDAA0">
      <w:pPr>
        <w:keepNext w:val="0"/>
        <w:keepLines w:val="0"/>
        <w:pageBreakBefore w:val="0"/>
        <w:wordWrap/>
        <w:topLinePunct w:val="0"/>
        <w:bidi w:val="0"/>
        <w:spacing w:line="48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本单位组织相关人员于202</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年12月底，对202</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第二批省级知识产权专项资金</w:t>
      </w:r>
      <w:r>
        <w:rPr>
          <w:rFonts w:hint="default" w:ascii="仿宋" w:hAnsi="仿宋" w:eastAsia="仿宋" w:cs="仿宋"/>
          <w:sz w:val="32"/>
          <w:szCs w:val="32"/>
          <w:lang w:val="en-US" w:eastAsia="zh-CN"/>
        </w:rPr>
        <w:t>等项目进行绩效自评。根据相关政策制度，成立了绩效评价工作小组，负责组织、协调项目的绩效评价工作。采用实地抽查等形式，收集相关信息资料，对各项指标进行逐项逐条审核，对重点事项进行核实，按照科学规范、公开公正、分级分类、绩效相关原则，采用评分法、分级评分法、缺（错）项扣分法、比率分值法等方法</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在对取得的资料进行分析整理的基础上形成绩效自评报告</w:t>
      </w:r>
    </w:p>
    <w:p w14:paraId="506C6D4A">
      <w:pPr>
        <w:keepNext w:val="0"/>
        <w:keepLines w:val="0"/>
        <w:pageBreakBefore w:val="0"/>
        <w:numPr>
          <w:ilvl w:val="0"/>
          <w:numId w:val="18"/>
        </w:numPr>
        <w:wordWrap/>
        <w:topLinePunct w:val="0"/>
        <w:bidi w:val="0"/>
        <w:spacing w:line="480" w:lineRule="exact"/>
        <w:ind w:left="0" w:leftChars="0" w:firstLine="640" w:firstLineChars="200"/>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项目资金申报及使用情况</w:t>
      </w:r>
    </w:p>
    <w:p w14:paraId="395AC467">
      <w:pPr>
        <w:pStyle w:val="24"/>
        <w:keepNext w:val="0"/>
        <w:keepLines w:val="0"/>
        <w:pageBreakBefore w:val="0"/>
        <w:numPr>
          <w:ilvl w:val="0"/>
          <w:numId w:val="0"/>
        </w:numPr>
        <w:wordWrap/>
        <w:topLinePunct w:val="0"/>
        <w:bidi w:val="0"/>
        <w:spacing w:line="480" w:lineRule="exact"/>
        <w:ind w:leftChars="0" w:firstLine="640" w:firstLineChars="200"/>
        <w:rPr>
          <w:rFonts w:hint="eastAsia" w:ascii="楷体_GB2312" w:hAnsi="楷体_GB2312" w:eastAsia="楷体_GB2312" w:cs="楷体_GB2312"/>
          <w:b/>
          <w:bCs/>
          <w:kern w:val="2"/>
          <w:sz w:val="32"/>
          <w:szCs w:val="21"/>
          <w:lang w:val="en-US" w:eastAsia="zh-CN" w:bidi="ar-SA"/>
        </w:rPr>
      </w:pPr>
      <w:r>
        <w:rPr>
          <w:rFonts w:hint="eastAsia" w:ascii="楷体_GB2312" w:hAnsi="楷体_GB2312" w:eastAsia="楷体_GB2312" w:cs="楷体_GB2312"/>
          <w:b w:val="0"/>
          <w:bCs w:val="0"/>
          <w:kern w:val="2"/>
          <w:sz w:val="32"/>
          <w:szCs w:val="21"/>
          <w:lang w:val="en-US" w:eastAsia="zh-CN" w:bidi="ar-SA"/>
        </w:rPr>
        <w:t>（一）</w:t>
      </w:r>
      <w:r>
        <w:rPr>
          <w:rFonts w:hint="eastAsia" w:ascii="方正楷体简体" w:hAnsi="方正楷体简体" w:eastAsia="方正楷体简体" w:cs="方正楷体简体"/>
          <w:b w:val="0"/>
          <w:bCs w:val="0"/>
          <w:kern w:val="2"/>
          <w:sz w:val="32"/>
          <w:szCs w:val="21"/>
          <w:lang w:val="en-US" w:eastAsia="zh-CN" w:bidi="ar-SA"/>
        </w:rPr>
        <w:t>项目资金申报及批复情况</w:t>
      </w:r>
    </w:p>
    <w:p w14:paraId="5E18A433">
      <w:pPr>
        <w:pStyle w:val="24"/>
        <w:keepNext w:val="0"/>
        <w:keepLines w:val="0"/>
        <w:pageBreakBefore w:val="0"/>
        <w:numPr>
          <w:ilvl w:val="0"/>
          <w:numId w:val="0"/>
        </w:numPr>
        <w:wordWrap/>
        <w:topLinePunct w:val="0"/>
        <w:bidi w:val="0"/>
        <w:spacing w:line="480" w:lineRule="exact"/>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2022年安居区市场监管局申请第二批省级知识产权专项资金5万元，根据《遂宁市财政局关于拨付2022年第二批省级知识产权专项资金预算的通知》文件要求，下达项目资金5万元，执行资金5万元，执行率100%。</w:t>
      </w:r>
    </w:p>
    <w:p w14:paraId="0636B661">
      <w:pPr>
        <w:pStyle w:val="24"/>
        <w:keepNext w:val="0"/>
        <w:keepLines w:val="0"/>
        <w:pageBreakBefore w:val="0"/>
        <w:numPr>
          <w:ilvl w:val="0"/>
          <w:numId w:val="19"/>
        </w:numPr>
        <w:wordWrap/>
        <w:topLinePunct w:val="0"/>
        <w:bidi w:val="0"/>
        <w:spacing w:line="480" w:lineRule="exact"/>
        <w:ind w:left="0" w:leftChars="0" w:firstLine="640" w:firstLineChars="200"/>
        <w:rPr>
          <w:rFonts w:hint="eastAsia" w:ascii="楷体_GB2312" w:hAnsi="楷体_GB2312" w:eastAsia="楷体_GB2312" w:cs="楷体_GB2312"/>
          <w:b/>
          <w:bCs/>
          <w:kern w:val="2"/>
          <w:sz w:val="32"/>
          <w:szCs w:val="21"/>
          <w:lang w:val="en-US" w:eastAsia="zh-CN" w:bidi="ar-SA"/>
        </w:rPr>
      </w:pPr>
      <w:r>
        <w:rPr>
          <w:rFonts w:hint="eastAsia" w:ascii="方正楷体简体" w:hAnsi="方正楷体简体" w:eastAsia="方正楷体简体" w:cs="方正楷体简体"/>
          <w:b w:val="0"/>
          <w:bCs w:val="0"/>
          <w:kern w:val="2"/>
          <w:sz w:val="32"/>
          <w:szCs w:val="21"/>
          <w:lang w:val="en-US" w:eastAsia="zh-CN" w:bidi="ar-SA"/>
        </w:rPr>
        <w:t>资金计划、到位及使用情况</w:t>
      </w:r>
    </w:p>
    <w:p w14:paraId="6EC70D0C">
      <w:pPr>
        <w:pStyle w:val="24"/>
        <w:keepNext w:val="0"/>
        <w:keepLines w:val="0"/>
        <w:pageBreakBefore w:val="0"/>
        <w:numPr>
          <w:ilvl w:val="0"/>
          <w:numId w:val="0"/>
        </w:numPr>
        <w:wordWrap/>
        <w:topLinePunct w:val="0"/>
        <w:bidi w:val="0"/>
        <w:spacing w:line="480" w:lineRule="exact"/>
        <w:ind w:left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1.资金计划。计划省级知识产权专项资金5万元。</w:t>
      </w:r>
    </w:p>
    <w:p w14:paraId="08C69FED">
      <w:pPr>
        <w:pStyle w:val="24"/>
        <w:keepNext w:val="0"/>
        <w:keepLines w:val="0"/>
        <w:pageBreakBefore w:val="0"/>
        <w:numPr>
          <w:ilvl w:val="0"/>
          <w:numId w:val="0"/>
        </w:numPr>
        <w:wordWrap/>
        <w:topLinePunct w:val="0"/>
        <w:bidi w:val="0"/>
        <w:spacing w:line="480" w:lineRule="exact"/>
        <w:ind w:left="0"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2.资金到位。2022年12月21日到位省级知识产权专项资金5万元，到位率100%。</w:t>
      </w:r>
    </w:p>
    <w:p w14:paraId="461EB3CE">
      <w:pPr>
        <w:pStyle w:val="24"/>
        <w:keepNext w:val="0"/>
        <w:keepLines w:val="0"/>
        <w:pageBreakBefore w:val="0"/>
        <w:numPr>
          <w:ilvl w:val="0"/>
          <w:numId w:val="0"/>
        </w:numPr>
        <w:wordWrap/>
        <w:topLinePunct w:val="0"/>
        <w:bidi w:val="0"/>
        <w:spacing w:line="480" w:lineRule="exact"/>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3.资金使用。截止评价时点该项目资金支出5万元，执行率100%，我单位资金支付范围、支付标准、支付依据合法合规，与预算相符。</w:t>
      </w:r>
    </w:p>
    <w:p w14:paraId="343B272A">
      <w:pPr>
        <w:pStyle w:val="24"/>
        <w:keepNext w:val="0"/>
        <w:keepLines w:val="0"/>
        <w:pageBreakBefore w:val="0"/>
        <w:numPr>
          <w:ilvl w:val="0"/>
          <w:numId w:val="0"/>
        </w:numPr>
        <w:wordWrap/>
        <w:topLinePunct w:val="0"/>
        <w:bidi w:val="0"/>
        <w:spacing w:line="480" w:lineRule="exact"/>
        <w:ind w:left="0" w:leftChars="0" w:firstLine="640" w:firstLineChars="200"/>
        <w:rPr>
          <w:rFonts w:hint="eastAsia" w:ascii="楷体_GB2312" w:hAnsi="楷体_GB2312" w:eastAsia="楷体_GB2312" w:cs="楷体_GB2312"/>
          <w:b w:val="0"/>
          <w:bCs w:val="0"/>
          <w:kern w:val="2"/>
          <w:sz w:val="32"/>
          <w:szCs w:val="21"/>
          <w:lang w:val="en-US" w:eastAsia="zh-CN" w:bidi="ar-SA"/>
        </w:rPr>
      </w:pPr>
      <w:r>
        <w:rPr>
          <w:rFonts w:hint="eastAsia" w:ascii="楷体_GB2312" w:hAnsi="楷体_GB2312" w:eastAsia="楷体_GB2312" w:cs="楷体_GB2312"/>
          <w:b w:val="0"/>
          <w:bCs w:val="0"/>
          <w:kern w:val="2"/>
          <w:sz w:val="32"/>
          <w:szCs w:val="21"/>
          <w:lang w:val="en-US" w:eastAsia="zh-CN" w:bidi="ar-SA"/>
        </w:rPr>
        <w:t>（三）</w:t>
      </w:r>
      <w:r>
        <w:rPr>
          <w:rFonts w:hint="eastAsia" w:ascii="方正楷体简体" w:hAnsi="方正楷体简体" w:eastAsia="方正楷体简体" w:cs="方正楷体简体"/>
          <w:b w:val="0"/>
          <w:bCs w:val="0"/>
          <w:kern w:val="2"/>
          <w:sz w:val="32"/>
          <w:szCs w:val="21"/>
          <w:lang w:val="en-US" w:eastAsia="zh-CN" w:bidi="ar-SA"/>
        </w:rPr>
        <w:t>项目财务管理情况</w:t>
      </w:r>
    </w:p>
    <w:p w14:paraId="5FDD5806">
      <w:pPr>
        <w:keepNext w:val="0"/>
        <w:keepLines w:val="0"/>
        <w:pageBreakBefore w:val="0"/>
        <w:wordWrap/>
        <w:topLinePunct w:val="0"/>
        <w:bidi w:val="0"/>
        <w:spacing w:line="4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单位建立了完善的项目财务管理制度，机构设置合理规范。严格遵守上级文件规定，严格执行财务管理制度，财务处理及时，会计核算符合规范。</w:t>
      </w:r>
    </w:p>
    <w:p w14:paraId="30F7514F">
      <w:pPr>
        <w:keepNext w:val="0"/>
        <w:keepLines w:val="0"/>
        <w:pageBreakBefore w:val="0"/>
        <w:widowControl w:val="0"/>
        <w:numPr>
          <w:ilvl w:val="0"/>
          <w:numId w:val="18"/>
        </w:numPr>
        <w:kinsoku/>
        <w:wordWrap/>
        <w:overflowPunct/>
        <w:topLinePunct w:val="0"/>
        <w:autoSpaceDE/>
        <w:autoSpaceDN/>
        <w:bidi w:val="0"/>
        <w:adjustRightInd/>
        <w:snapToGrid/>
        <w:spacing w:line="480" w:lineRule="exact"/>
        <w:ind w:left="0" w:leftChars="0" w:firstLine="640" w:firstLineChars="200"/>
        <w:textAlignment w:val="auto"/>
        <w:rPr>
          <w:rFonts w:hint="eastAsia" w:eastAsia="黑体" w:cs="Times New Roman"/>
          <w:color w:val="000000"/>
          <w:sz w:val="32"/>
          <w:szCs w:val="32"/>
          <w:lang w:val="en-US" w:eastAsia="zh-CN"/>
        </w:rPr>
      </w:pPr>
      <w:r>
        <w:rPr>
          <w:rFonts w:hint="eastAsia" w:eastAsia="黑体" w:cs="Times New Roman"/>
          <w:color w:val="000000"/>
          <w:sz w:val="32"/>
          <w:szCs w:val="32"/>
          <w:lang w:val="en-US" w:eastAsia="zh-CN"/>
        </w:rPr>
        <w:t>项目实施及管理情况</w:t>
      </w:r>
    </w:p>
    <w:p w14:paraId="53C2BC43">
      <w:pPr>
        <w:keepNext w:val="0"/>
        <w:keepLines w:val="0"/>
        <w:pageBreakBefore w:val="0"/>
        <w:widowControl w:val="0"/>
        <w:numPr>
          <w:ilvl w:val="0"/>
          <w:numId w:val="20"/>
        </w:numPr>
        <w:kinsoku/>
        <w:wordWrap/>
        <w:overflowPunct/>
        <w:topLinePunct w:val="0"/>
        <w:autoSpaceDE/>
        <w:autoSpaceDN/>
        <w:bidi w:val="0"/>
        <w:adjustRightInd/>
        <w:snapToGrid/>
        <w:spacing w:line="480" w:lineRule="exact"/>
        <w:ind w:leftChars="200"/>
        <w:textAlignment w:val="auto"/>
        <w:rPr>
          <w:rFonts w:hint="eastAsia" w:ascii="方正楷体简体" w:hAnsi="方正楷体简体" w:eastAsia="方正楷体简体" w:cs="方正楷体简体"/>
          <w:color w:val="000000"/>
          <w:sz w:val="32"/>
          <w:szCs w:val="32"/>
          <w:lang w:val="en-US" w:eastAsia="zh-CN"/>
        </w:rPr>
      </w:pPr>
      <w:r>
        <w:rPr>
          <w:rFonts w:hint="eastAsia" w:ascii="方正楷体简体" w:hAnsi="方正楷体简体" w:eastAsia="方正楷体简体" w:cs="方正楷体简体"/>
          <w:color w:val="000000"/>
          <w:sz w:val="32"/>
          <w:szCs w:val="32"/>
          <w:lang w:val="en-US" w:eastAsia="zh-CN"/>
        </w:rPr>
        <w:t>项目组织架构及实施流程</w:t>
      </w:r>
    </w:p>
    <w:p w14:paraId="1530BE3E">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下达的省级知识产权专项资金实施方案计划，由知识产权股组织实施，承担管理责任。财务室负责项目资金使用的监督考核，及时绩效评价，切实提高财政资金使用效益。资金实行专款专用，专项核算，未列支与项目内容无关的费用，切实做好绩效监控和绩效评价，确保资金安全。</w:t>
      </w:r>
    </w:p>
    <w:p w14:paraId="64060405">
      <w:pPr>
        <w:keepNext w:val="0"/>
        <w:keepLines w:val="0"/>
        <w:pageBreakBefore w:val="0"/>
        <w:widowControl w:val="0"/>
        <w:numPr>
          <w:ilvl w:val="0"/>
          <w:numId w:val="20"/>
        </w:numPr>
        <w:tabs>
          <w:tab w:val="left" w:pos="473"/>
        </w:tabs>
        <w:kinsoku/>
        <w:wordWrap/>
        <w:overflowPunct/>
        <w:topLinePunct w:val="0"/>
        <w:autoSpaceDE/>
        <w:autoSpaceDN/>
        <w:bidi w:val="0"/>
        <w:adjustRightInd/>
        <w:snapToGrid/>
        <w:spacing w:line="480" w:lineRule="exact"/>
        <w:ind w:leftChars="200"/>
        <w:textAlignment w:val="auto"/>
        <w:rPr>
          <w:rFonts w:hint="eastAsia" w:ascii="方正楷体简体" w:hAnsi="方正楷体简体" w:eastAsia="方正楷体简体" w:cs="方正楷体简体"/>
          <w:color w:val="000000"/>
          <w:sz w:val="32"/>
          <w:szCs w:val="32"/>
          <w:lang w:val="en-US" w:eastAsia="zh-CN"/>
        </w:rPr>
      </w:pPr>
      <w:r>
        <w:rPr>
          <w:rFonts w:hint="eastAsia" w:ascii="方正楷体简体" w:hAnsi="方正楷体简体" w:eastAsia="方正楷体简体" w:cs="方正楷体简体"/>
          <w:color w:val="000000"/>
          <w:sz w:val="32"/>
          <w:szCs w:val="32"/>
          <w:lang w:val="en-US" w:eastAsia="zh-CN"/>
        </w:rPr>
        <w:t>项目管理情况</w:t>
      </w:r>
    </w:p>
    <w:p w14:paraId="5212A421">
      <w:pPr>
        <w:keepNext w:val="0"/>
        <w:keepLines w:val="0"/>
        <w:pageBreakBefore w:val="0"/>
        <w:wordWrap/>
        <w:topLinePunct w:val="0"/>
        <w:bidi w:val="0"/>
        <w:spacing w:line="4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项目主管股室负责项目的管理，按照实施方案严格推进项目的实施，在规定时间内使项目资金效益最大化。</w:t>
      </w:r>
    </w:p>
    <w:p w14:paraId="7E9C709F">
      <w:pPr>
        <w:keepNext w:val="0"/>
        <w:keepLines w:val="0"/>
        <w:pageBreakBefore w:val="0"/>
        <w:widowControl w:val="0"/>
        <w:numPr>
          <w:ilvl w:val="0"/>
          <w:numId w:val="20"/>
        </w:numPr>
        <w:kinsoku/>
        <w:wordWrap/>
        <w:overflowPunct/>
        <w:topLinePunct w:val="0"/>
        <w:autoSpaceDE/>
        <w:autoSpaceDN/>
        <w:bidi w:val="0"/>
        <w:adjustRightInd/>
        <w:snapToGrid/>
        <w:spacing w:line="480" w:lineRule="exact"/>
        <w:ind w:leftChars="200"/>
        <w:textAlignment w:val="auto"/>
        <w:rPr>
          <w:rFonts w:hint="eastAsia" w:ascii="楷体" w:hAnsi="楷体" w:eastAsia="楷体" w:cs="楷体"/>
          <w:lang w:val="en-US" w:eastAsia="zh-CN"/>
        </w:rPr>
      </w:pPr>
      <w:r>
        <w:rPr>
          <w:rFonts w:hint="eastAsia" w:ascii="方正楷体简体" w:hAnsi="方正楷体简体" w:eastAsia="方正楷体简体" w:cs="方正楷体简体"/>
          <w:color w:val="000000"/>
          <w:sz w:val="32"/>
          <w:szCs w:val="32"/>
          <w:lang w:val="en-US" w:eastAsia="zh-CN"/>
        </w:rPr>
        <w:t>项目监管情况</w:t>
      </w:r>
    </w:p>
    <w:p w14:paraId="17FCF1F8">
      <w:pPr>
        <w:keepNext w:val="0"/>
        <w:keepLines w:val="0"/>
        <w:pageBreakBefore w:val="0"/>
        <w:wordWrap/>
        <w:topLinePunct w:val="0"/>
        <w:bidi w:val="0"/>
        <w:spacing w:line="4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项目责任股室承担项目的组织实施，开展项目绩效自评工作，严格遵守相关文件规定，办公室负责项目资金使用的监督和考核。</w:t>
      </w:r>
    </w:p>
    <w:p w14:paraId="41FF2E0D">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四、</w:t>
      </w:r>
      <w:r>
        <w:rPr>
          <w:rFonts w:hint="eastAsia" w:eastAsia="黑体" w:cs="Times New Roman"/>
          <w:color w:val="000000"/>
          <w:sz w:val="32"/>
          <w:szCs w:val="32"/>
          <w:lang w:val="en-US" w:eastAsia="zh-CN"/>
        </w:rPr>
        <w:t>项目</w:t>
      </w:r>
      <w:r>
        <w:rPr>
          <w:rFonts w:hint="default" w:ascii="Times New Roman" w:hAnsi="Times New Roman" w:eastAsia="黑体" w:cs="Times New Roman"/>
          <w:color w:val="000000"/>
          <w:sz w:val="32"/>
          <w:szCs w:val="32"/>
        </w:rPr>
        <w:t>绩效</w:t>
      </w:r>
      <w:r>
        <w:rPr>
          <w:rFonts w:hint="eastAsia" w:eastAsia="黑体" w:cs="Times New Roman"/>
          <w:color w:val="000000"/>
          <w:sz w:val="32"/>
          <w:szCs w:val="32"/>
          <w:lang w:val="en-US" w:eastAsia="zh-CN"/>
        </w:rPr>
        <w:t>情况</w:t>
      </w:r>
    </w:p>
    <w:p w14:paraId="4866BEE8">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方正楷体简体" w:hAnsi="方正楷体简体" w:eastAsia="方正楷体简体" w:cs="方正楷体简体"/>
          <w:b w:val="0"/>
          <w:bCs w:val="0"/>
          <w:color w:val="000000"/>
          <w:sz w:val="32"/>
          <w:szCs w:val="32"/>
        </w:rPr>
      </w:pPr>
      <w:r>
        <w:rPr>
          <w:rFonts w:hint="default" w:ascii="Times New Roman" w:hAnsi="Times New Roman" w:eastAsia="楷体_GB2312" w:cs="Times New Roman"/>
          <w:b w:val="0"/>
          <w:bCs w:val="0"/>
          <w:color w:val="000000"/>
          <w:sz w:val="32"/>
          <w:szCs w:val="32"/>
        </w:rPr>
        <w:t>（一）</w:t>
      </w:r>
      <w:r>
        <w:rPr>
          <w:rFonts w:hint="eastAsia" w:ascii="方正楷体简体" w:hAnsi="方正楷体简体" w:eastAsia="方正楷体简体" w:cs="方正楷体简体"/>
          <w:b w:val="0"/>
          <w:bCs w:val="0"/>
          <w:color w:val="000000"/>
          <w:sz w:val="32"/>
          <w:szCs w:val="32"/>
        </w:rPr>
        <w:t>项目</w:t>
      </w:r>
      <w:r>
        <w:rPr>
          <w:rFonts w:hint="eastAsia" w:ascii="方正楷体简体" w:hAnsi="方正楷体简体" w:eastAsia="方正楷体简体" w:cs="方正楷体简体"/>
          <w:b w:val="0"/>
          <w:bCs w:val="0"/>
          <w:color w:val="000000"/>
          <w:sz w:val="32"/>
          <w:szCs w:val="32"/>
          <w:lang w:val="en-US" w:eastAsia="zh-CN"/>
        </w:rPr>
        <w:t>完成</w:t>
      </w:r>
      <w:r>
        <w:rPr>
          <w:rFonts w:hint="eastAsia" w:ascii="方正楷体简体" w:hAnsi="方正楷体简体" w:eastAsia="方正楷体简体" w:cs="方正楷体简体"/>
          <w:b w:val="0"/>
          <w:bCs w:val="0"/>
          <w:color w:val="000000"/>
          <w:sz w:val="32"/>
          <w:szCs w:val="32"/>
        </w:rPr>
        <w:t>情况</w:t>
      </w:r>
    </w:p>
    <w:p w14:paraId="37EB1C76">
      <w:pPr>
        <w:keepNext w:val="0"/>
        <w:keepLines w:val="0"/>
        <w:pageBreakBefore w:val="0"/>
        <w:wordWrap/>
        <w:topLinePunct w:val="0"/>
        <w:bidi w:val="0"/>
        <w:spacing w:line="4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1.数量指标：国家知识产权试点示范工作任务完成率100%，每万人口高价值发明专利拥有量不低于全省平均增长率。</w:t>
      </w:r>
    </w:p>
    <w:p w14:paraId="121A4506">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2.质量指标：项目完成率100%，项目验收合格率100%。</w:t>
      </w:r>
    </w:p>
    <w:p w14:paraId="755A0202">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3.时效指标：资金拨付及时率100%，项目完成时间2023年5月。</w:t>
      </w:r>
    </w:p>
    <w:p w14:paraId="59514E9C">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（二）</w:t>
      </w:r>
      <w:r>
        <w:rPr>
          <w:rFonts w:hint="eastAsia" w:ascii="方正楷体简体" w:hAnsi="方正楷体简体" w:eastAsia="方正楷体简体" w:cs="方正楷体简体"/>
          <w:b w:val="0"/>
          <w:bCs w:val="0"/>
          <w:color w:val="000000"/>
          <w:sz w:val="32"/>
          <w:szCs w:val="32"/>
        </w:rPr>
        <w:t>项目</w:t>
      </w:r>
      <w:r>
        <w:rPr>
          <w:rFonts w:hint="eastAsia" w:ascii="方正楷体简体" w:hAnsi="方正楷体简体" w:eastAsia="方正楷体简体" w:cs="方正楷体简体"/>
          <w:b w:val="0"/>
          <w:bCs w:val="0"/>
          <w:color w:val="000000"/>
          <w:sz w:val="32"/>
          <w:szCs w:val="32"/>
          <w:lang w:val="en-US" w:eastAsia="zh-CN"/>
        </w:rPr>
        <w:t>效益</w:t>
      </w:r>
      <w:r>
        <w:rPr>
          <w:rFonts w:hint="eastAsia" w:ascii="方正楷体简体" w:hAnsi="方正楷体简体" w:eastAsia="方正楷体简体" w:cs="方正楷体简体"/>
          <w:b w:val="0"/>
          <w:bCs w:val="0"/>
          <w:color w:val="000000"/>
          <w:sz w:val="32"/>
          <w:szCs w:val="32"/>
        </w:rPr>
        <w:t>情况</w:t>
      </w:r>
    </w:p>
    <w:p w14:paraId="09E63191">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1.经济效益指标：专利实施项目新增产值年增长率不低于全省GDP增长率，专利实施项目新增利税年增长率不低于全省GDP增长率。</w:t>
      </w:r>
    </w:p>
    <w:p w14:paraId="7EF0CCC6">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2.可持续影响指标：知识产权营商环境进一步优化。</w:t>
      </w:r>
    </w:p>
    <w:p w14:paraId="1D2238F8">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3.满意度指标：服务对象</w:t>
      </w:r>
      <w:r>
        <w:rPr>
          <w:rFonts w:hint="default" w:ascii="仿宋" w:hAnsi="仿宋" w:eastAsia="仿宋" w:cs="仿宋"/>
          <w:sz w:val="32"/>
          <w:szCs w:val="32"/>
          <w:lang w:val="en-US" w:eastAsia="zh-CN"/>
        </w:rPr>
        <w:t>满意度≥</w:t>
      </w: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0%</w:t>
      </w:r>
      <w:r>
        <w:rPr>
          <w:rFonts w:hint="eastAsia" w:ascii="仿宋" w:hAnsi="仿宋" w:eastAsia="仿宋" w:cs="仿宋"/>
          <w:sz w:val="32"/>
          <w:szCs w:val="32"/>
          <w:lang w:val="en-US" w:eastAsia="zh-CN"/>
        </w:rPr>
        <w:t>。</w:t>
      </w:r>
    </w:p>
    <w:p w14:paraId="652AF4F4">
      <w:pPr>
        <w:keepNext w:val="0"/>
        <w:keepLines w:val="0"/>
        <w:pageBreakBefore w:val="0"/>
        <w:wordWrap/>
        <w:topLinePunct w:val="0"/>
        <w:bidi w:val="0"/>
        <w:spacing w:line="48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五、评价结论及建议</w:t>
      </w:r>
    </w:p>
    <w:p w14:paraId="58FB083B">
      <w:pPr>
        <w:keepNext w:val="0"/>
        <w:keepLines w:val="0"/>
        <w:pageBreakBefore w:val="0"/>
        <w:wordWrap/>
        <w:topLinePunct w:val="0"/>
        <w:bidi w:val="0"/>
        <w:spacing w:line="480" w:lineRule="exact"/>
        <w:ind w:firstLine="640" w:firstLineChars="20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w:t>
      </w:r>
      <w:r>
        <w:rPr>
          <w:rFonts w:hint="eastAsia" w:ascii="方正楷体简体" w:hAnsi="方正楷体简体" w:eastAsia="方正楷体简体" w:cs="方正楷体简体"/>
          <w:b w:val="0"/>
          <w:bCs w:val="0"/>
          <w:color w:val="000000"/>
          <w:sz w:val="32"/>
          <w:szCs w:val="32"/>
          <w:lang w:val="en-US" w:eastAsia="zh-CN"/>
        </w:rPr>
        <w:t>评价结论</w:t>
      </w:r>
    </w:p>
    <w:p w14:paraId="574907D0">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经过一年的项目实施</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该项目支出</w:t>
      </w:r>
      <w:r>
        <w:rPr>
          <w:rFonts w:hint="eastAsia" w:ascii="仿宋" w:hAnsi="仿宋" w:eastAsia="仿宋" w:cs="仿宋"/>
          <w:sz w:val="32"/>
          <w:szCs w:val="32"/>
          <w:lang w:val="en-US" w:eastAsia="zh-CN"/>
        </w:rPr>
        <w:t>绩效评价</w:t>
      </w:r>
      <w:r>
        <w:rPr>
          <w:rFonts w:hint="default" w:ascii="仿宋" w:hAnsi="仿宋" w:eastAsia="仿宋" w:cs="仿宋"/>
          <w:sz w:val="32"/>
          <w:szCs w:val="32"/>
          <w:lang w:val="en-US" w:eastAsia="zh-CN"/>
        </w:rPr>
        <w:t>自评得分</w:t>
      </w:r>
      <w:r>
        <w:rPr>
          <w:rFonts w:hint="eastAsia" w:ascii="仿宋" w:hAnsi="仿宋" w:eastAsia="仿宋" w:cs="仿宋"/>
          <w:sz w:val="32"/>
          <w:szCs w:val="32"/>
          <w:lang w:val="en-US" w:eastAsia="zh-CN"/>
        </w:rPr>
        <w:t>100</w:t>
      </w:r>
      <w:r>
        <w:rPr>
          <w:rFonts w:hint="default" w:ascii="仿宋" w:hAnsi="仿宋" w:eastAsia="仿宋" w:cs="仿宋"/>
          <w:sz w:val="32"/>
          <w:szCs w:val="32"/>
          <w:lang w:val="en-US" w:eastAsia="zh-CN"/>
        </w:rPr>
        <w:t>分。</w:t>
      </w:r>
    </w:p>
    <w:p w14:paraId="2BFBA7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w:t>
      </w:r>
      <w:r>
        <w:rPr>
          <w:rFonts w:hint="eastAsia" w:ascii="方正楷体简体" w:hAnsi="方正楷体简体" w:eastAsia="方正楷体简体" w:cs="方正楷体简体"/>
          <w:b w:val="0"/>
          <w:bCs w:val="0"/>
          <w:color w:val="000000"/>
          <w:sz w:val="32"/>
          <w:szCs w:val="32"/>
          <w:lang w:val="en-US" w:eastAsia="zh-CN"/>
        </w:rPr>
        <w:t>存在的问题</w:t>
      </w:r>
    </w:p>
    <w:p w14:paraId="4B9867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default" w:ascii="Times New Roman" w:hAnsi="Times New Roman" w:eastAsia="仿宋_GB2312" w:cs="Times New Roman"/>
          <w:b/>
          <w:bCs/>
          <w:color w:val="000000"/>
          <w:sz w:val="32"/>
          <w:szCs w:val="32"/>
          <w:lang w:val="en-US" w:eastAsia="zh-CN"/>
        </w:rPr>
      </w:pPr>
      <w:r>
        <w:rPr>
          <w:rFonts w:hint="eastAsia" w:ascii="仿宋" w:hAnsi="仿宋" w:eastAsia="仿宋" w:cs="仿宋"/>
          <w:color w:val="auto"/>
          <w:kern w:val="2"/>
          <w:sz w:val="32"/>
          <w:szCs w:val="24"/>
          <w:lang w:val="en-US" w:eastAsia="zh-CN" w:bidi="ar-SA"/>
        </w:rPr>
        <w:t>无</w:t>
      </w:r>
    </w:p>
    <w:p w14:paraId="3A192B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方正楷体简体" w:hAnsi="方正楷体简体" w:eastAsia="方正楷体简体" w:cs="方正楷体简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w:t>
      </w:r>
      <w:r>
        <w:rPr>
          <w:rFonts w:hint="eastAsia" w:ascii="方正楷体简体" w:hAnsi="方正楷体简体" w:eastAsia="方正楷体简体" w:cs="方正楷体简体"/>
          <w:b w:val="0"/>
          <w:bCs w:val="0"/>
          <w:color w:val="000000"/>
          <w:sz w:val="32"/>
          <w:szCs w:val="32"/>
          <w:lang w:val="en-US" w:eastAsia="zh-CN"/>
        </w:rPr>
        <w:t>相关建议</w:t>
      </w:r>
    </w:p>
    <w:p w14:paraId="1DCBA322">
      <w:pPr>
        <w:pStyle w:val="25"/>
        <w:keepNext w:val="0"/>
        <w:keepLines w:val="0"/>
        <w:pageBreakBefore w:val="0"/>
        <w:widowControl w:val="0"/>
        <w:numPr>
          <w:ilvl w:val="0"/>
          <w:numId w:val="0"/>
        </w:numPr>
        <w:kinsoku/>
        <w:wordWrap/>
        <w:overflowPunct/>
        <w:topLinePunct w:val="0"/>
        <w:bidi w:val="0"/>
        <w:spacing w:line="480" w:lineRule="exact"/>
        <w:ind w:firstLine="640" w:firstLineChars="200"/>
        <w:textAlignment w:val="auto"/>
        <w:rPr>
          <w:rFonts w:hint="eastAsia" w:ascii="仿宋" w:hAnsi="仿宋" w:eastAsia="仿宋" w:cs="仿宋"/>
          <w:color w:val="auto"/>
          <w:kern w:val="2"/>
          <w:sz w:val="32"/>
          <w:szCs w:val="24"/>
          <w:lang w:val="en-US" w:eastAsia="zh-CN" w:bidi="ar-SA"/>
        </w:rPr>
      </w:pPr>
      <w:r>
        <w:rPr>
          <w:rFonts w:hint="eastAsia" w:ascii="仿宋" w:hAnsi="仿宋" w:eastAsia="仿宋" w:cs="仿宋"/>
          <w:color w:val="auto"/>
          <w:kern w:val="2"/>
          <w:sz w:val="32"/>
          <w:szCs w:val="24"/>
          <w:lang w:val="en-US" w:eastAsia="zh-CN" w:bidi="ar-SA"/>
        </w:rPr>
        <w:t>无</w:t>
      </w:r>
    </w:p>
    <w:p w14:paraId="32FEBA09">
      <w:pPr>
        <w:keepNext w:val="0"/>
        <w:keepLines w:val="0"/>
        <w:pageBreakBefore w:val="0"/>
        <w:wordWrap/>
        <w:topLinePunct w:val="0"/>
        <w:bidi w:val="0"/>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附件：部门预算项目支出绩效自评表（2023年度）</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096"/>
        <w:gridCol w:w="1114"/>
        <w:gridCol w:w="1615"/>
        <w:gridCol w:w="565"/>
        <w:gridCol w:w="831"/>
        <w:gridCol w:w="570"/>
        <w:gridCol w:w="930"/>
        <w:gridCol w:w="615"/>
        <w:gridCol w:w="586"/>
        <w:gridCol w:w="391"/>
      </w:tblGrid>
      <w:tr w14:paraId="471C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F76A5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22"/>
                <w:szCs w:val="22"/>
                <w:u w:val="none"/>
                <w:lang w:val="en-US" w:eastAsia="zh-CN" w:bidi="ar"/>
              </w:rPr>
              <w:t>部门预算项目支出绩效自评表（2023年度）</w:t>
            </w:r>
          </w:p>
        </w:tc>
      </w:tr>
      <w:tr w14:paraId="2C5E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69B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39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AA8B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51090423T000008730582-2022年第二批省级知识产权专项资金</w:t>
            </w:r>
          </w:p>
        </w:tc>
      </w:tr>
      <w:tr w14:paraId="2160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EE5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主管部门</w:t>
            </w:r>
          </w:p>
        </w:tc>
        <w:tc>
          <w:tcPr>
            <w:tcW w:w="2552" w:type="pct"/>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63983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遂宁市安居区市场监督管理局部门</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42C196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实施单位（盖章）</w:t>
            </w:r>
          </w:p>
        </w:tc>
        <w:tc>
          <w:tcPr>
            <w:tcW w:w="8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F2F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遂宁市安居区市场监督管理局</w:t>
            </w:r>
          </w:p>
        </w:tc>
      </w:tr>
      <w:tr w14:paraId="678D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1BB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984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1.项目年度目标完成情况</w:t>
            </w:r>
          </w:p>
        </w:tc>
        <w:tc>
          <w:tcPr>
            <w:tcW w:w="25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154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项目年度目标</w:t>
            </w:r>
          </w:p>
        </w:tc>
        <w:tc>
          <w:tcPr>
            <w:tcW w:w="1371" w:type="pct"/>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725D7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年度目标完成情况</w:t>
            </w:r>
          </w:p>
        </w:tc>
      </w:tr>
      <w:tr w14:paraId="2D53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C4BE">
            <w:pPr>
              <w:rPr>
                <w:rFonts w:hint="eastAsia" w:ascii="仿宋" w:hAnsi="仿宋" w:eastAsia="仿宋" w:cs="仿宋"/>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80611">
            <w:pPr>
              <w:rPr>
                <w:rFonts w:hint="eastAsia" w:ascii="仿宋" w:hAnsi="仿宋" w:eastAsia="仿宋" w:cs="仿宋"/>
                <w:i w:val="0"/>
                <w:iCs w:val="0"/>
                <w:color w:val="000000"/>
                <w:sz w:val="18"/>
                <w:szCs w:val="18"/>
                <w:u w:val="none"/>
              </w:rPr>
            </w:pPr>
          </w:p>
        </w:tc>
        <w:tc>
          <w:tcPr>
            <w:tcW w:w="25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F57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1.国家和省“十四五”知识产权保护和运用规划重点任务持续推进。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2.全省营商环境知识产权指标评价得分明显提升。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3.城市县域知识产权工作进一步深化，企事业单位知识产权创造质量、运用效益、保护效果、管理水平进一步增强。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4.新增一批国家知识产权试点示范单位。</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D97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营商环境进一步优化，企业活力倍增。</w:t>
            </w:r>
          </w:p>
        </w:tc>
      </w:tr>
      <w:tr w14:paraId="4E37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3881">
            <w:pPr>
              <w:rPr>
                <w:rFonts w:hint="eastAsia" w:ascii="仿宋" w:hAnsi="仿宋" w:eastAsia="仿宋" w:cs="仿宋"/>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48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2.项目实施内容及过程概述</w:t>
            </w:r>
          </w:p>
        </w:tc>
        <w:tc>
          <w:tcPr>
            <w:tcW w:w="39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F44F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通过专利奖激励企业，全省营商环境知识产权指标评价得分明显提升，新增一批国家知识产权试点示范单位。</w:t>
            </w:r>
          </w:p>
        </w:tc>
      </w:tr>
      <w:tr w14:paraId="0120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71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2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年度预算数（万元）</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C0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年初预算</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4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调整后预算数</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78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预算执行数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8D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预算执行率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D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D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7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原因</w:t>
            </w:r>
          </w:p>
        </w:tc>
      </w:tr>
      <w:tr w14:paraId="73AC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60CA">
            <w:pPr>
              <w:jc w:val="center"/>
              <w:rPr>
                <w:rFonts w:hint="eastAsia" w:ascii="仿宋" w:hAnsi="仿宋" w:eastAsia="仿宋" w:cs="仿宋"/>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35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总额</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3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0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20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0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F8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AD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8B956">
            <w:pPr>
              <w:rPr>
                <w:rFonts w:hint="eastAsia" w:ascii="仿宋" w:hAnsi="仿宋" w:eastAsia="仿宋" w:cs="仿宋"/>
                <w:i/>
                <w:iCs/>
                <w:color w:val="000000"/>
                <w:sz w:val="18"/>
                <w:szCs w:val="18"/>
                <w:u w:val="none"/>
              </w:rPr>
            </w:pPr>
          </w:p>
        </w:tc>
      </w:tr>
      <w:tr w14:paraId="686C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9B7B8">
            <w:pPr>
              <w:jc w:val="center"/>
              <w:rPr>
                <w:rFonts w:hint="eastAsia" w:ascii="仿宋" w:hAnsi="仿宋" w:eastAsia="仿宋" w:cs="仿宋"/>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6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其中：财政资金</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5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1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8D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B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F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F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4AEB">
            <w:pPr>
              <w:rPr>
                <w:rFonts w:hint="eastAsia" w:ascii="仿宋" w:hAnsi="仿宋" w:eastAsia="仿宋" w:cs="仿宋"/>
                <w:i/>
                <w:iCs/>
                <w:color w:val="000000"/>
                <w:sz w:val="18"/>
                <w:szCs w:val="18"/>
                <w:u w:val="none"/>
              </w:rPr>
            </w:pPr>
          </w:p>
        </w:tc>
      </w:tr>
      <w:tr w14:paraId="06AC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EC2D">
            <w:pPr>
              <w:jc w:val="center"/>
              <w:rPr>
                <w:rFonts w:hint="eastAsia" w:ascii="仿宋" w:hAnsi="仿宋" w:eastAsia="仿宋" w:cs="仿宋"/>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9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财政专户管理资金</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F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5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31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E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E4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D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CC14">
            <w:pPr>
              <w:rPr>
                <w:rFonts w:hint="eastAsia" w:ascii="仿宋" w:hAnsi="仿宋" w:eastAsia="仿宋" w:cs="仿宋"/>
                <w:i/>
                <w:iCs/>
                <w:color w:val="000000"/>
                <w:sz w:val="18"/>
                <w:szCs w:val="18"/>
                <w:u w:val="none"/>
              </w:rPr>
            </w:pPr>
          </w:p>
        </w:tc>
      </w:tr>
      <w:tr w14:paraId="74EC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F7D3">
            <w:pPr>
              <w:jc w:val="center"/>
              <w:rPr>
                <w:rFonts w:hint="eastAsia" w:ascii="仿宋" w:hAnsi="仿宋" w:eastAsia="仿宋" w:cs="仿宋"/>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C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单位资金</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E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C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87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3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52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4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9925">
            <w:pPr>
              <w:rPr>
                <w:rFonts w:hint="eastAsia" w:ascii="仿宋" w:hAnsi="仿宋" w:eastAsia="仿宋" w:cs="仿宋"/>
                <w:i/>
                <w:iCs/>
                <w:color w:val="000000"/>
                <w:sz w:val="18"/>
                <w:szCs w:val="18"/>
                <w:u w:val="none"/>
              </w:rPr>
            </w:pPr>
          </w:p>
        </w:tc>
      </w:tr>
      <w:tr w14:paraId="1233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71C5">
            <w:pPr>
              <w:jc w:val="center"/>
              <w:rPr>
                <w:rFonts w:hint="eastAsia" w:ascii="仿宋" w:hAnsi="仿宋" w:eastAsia="仿宋" w:cs="仿宋"/>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E5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其他资金</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F031">
            <w:pPr>
              <w:jc w:val="center"/>
              <w:rPr>
                <w:rFonts w:hint="eastAsia" w:ascii="仿宋" w:hAnsi="仿宋" w:eastAsia="仿宋" w:cs="仿宋"/>
                <w:i/>
                <w:iCs/>
                <w:color w:val="000000"/>
                <w:sz w:val="18"/>
                <w:szCs w:val="18"/>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CE93">
            <w:pPr>
              <w:jc w:val="center"/>
              <w:rPr>
                <w:rFonts w:hint="eastAsia" w:ascii="仿宋" w:hAnsi="仿宋" w:eastAsia="仿宋" w:cs="仿宋"/>
                <w:i/>
                <w:iCs/>
                <w:color w:val="000000"/>
                <w:sz w:val="18"/>
                <w:szCs w:val="18"/>
                <w:u w:val="none"/>
              </w:rPr>
            </w:pP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CCFBD">
            <w:pPr>
              <w:jc w:val="center"/>
              <w:rPr>
                <w:rFonts w:hint="eastAsia" w:ascii="仿宋" w:hAnsi="仿宋" w:eastAsia="仿宋" w:cs="仿宋"/>
                <w:i/>
                <w:iCs/>
                <w:color w:val="000000"/>
                <w:sz w:val="18"/>
                <w:szCs w:val="18"/>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8262">
            <w:pPr>
              <w:jc w:val="center"/>
              <w:rPr>
                <w:rFonts w:hint="eastAsia" w:ascii="仿宋" w:hAnsi="仿宋" w:eastAsia="仿宋" w:cs="仿宋"/>
                <w:i/>
                <w:iCs/>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4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C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ED87">
            <w:pPr>
              <w:rPr>
                <w:rFonts w:hint="eastAsia" w:ascii="仿宋" w:hAnsi="仿宋" w:eastAsia="仿宋" w:cs="仿宋"/>
                <w:i/>
                <w:iCs/>
                <w:color w:val="000000"/>
                <w:sz w:val="18"/>
                <w:szCs w:val="18"/>
                <w:u w:val="none"/>
              </w:rPr>
            </w:pPr>
          </w:p>
        </w:tc>
      </w:tr>
      <w:tr w14:paraId="08D8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5C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1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一级指标</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8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D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三级指标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8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指标性质</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8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指标值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6C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度量单位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2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C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B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0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未完成原因分析</w:t>
            </w:r>
          </w:p>
        </w:tc>
      </w:tr>
      <w:tr w14:paraId="1A20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3AFF">
            <w:pPr>
              <w:jc w:val="center"/>
              <w:rPr>
                <w:rFonts w:hint="eastAsia" w:ascii="仿宋" w:hAnsi="仿宋" w:eastAsia="仿宋" w:cs="仿宋"/>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0E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B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质量指标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3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项目完成率</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C6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E4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69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0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55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4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FAF67">
            <w:pPr>
              <w:jc w:val="center"/>
              <w:rPr>
                <w:rFonts w:hint="eastAsia" w:ascii="仿宋" w:hAnsi="仿宋" w:eastAsia="仿宋" w:cs="仿宋"/>
                <w:i w:val="0"/>
                <w:iCs w:val="0"/>
                <w:color w:val="000000"/>
                <w:sz w:val="18"/>
                <w:szCs w:val="18"/>
                <w:u w:val="none"/>
              </w:rPr>
            </w:pPr>
          </w:p>
        </w:tc>
      </w:tr>
      <w:tr w14:paraId="607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1CD4F">
            <w:pPr>
              <w:jc w:val="center"/>
              <w:rPr>
                <w:rFonts w:hint="eastAsia" w:ascii="仿宋" w:hAnsi="仿宋" w:eastAsia="仿宋" w:cs="仿宋"/>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74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E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可持续影响指标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4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知识产权营商环境</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FE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7E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进一步优化</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B174">
            <w:pPr>
              <w:rPr>
                <w:rFonts w:hint="eastAsia" w:ascii="仿宋" w:hAnsi="仿宋" w:eastAsia="仿宋" w:cs="仿宋"/>
                <w:i w:val="0"/>
                <w:iCs w:val="0"/>
                <w:color w:val="000000"/>
                <w:sz w:val="18"/>
                <w:szCs w:val="18"/>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E6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进一步优化</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49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C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A1EE9">
            <w:pPr>
              <w:jc w:val="center"/>
              <w:rPr>
                <w:rFonts w:hint="eastAsia" w:ascii="仿宋" w:hAnsi="仿宋" w:eastAsia="仿宋" w:cs="仿宋"/>
                <w:i w:val="0"/>
                <w:iCs w:val="0"/>
                <w:color w:val="000000"/>
                <w:sz w:val="18"/>
                <w:szCs w:val="18"/>
                <w:u w:val="none"/>
              </w:rPr>
            </w:pPr>
          </w:p>
        </w:tc>
      </w:tr>
      <w:tr w14:paraId="1543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B141">
            <w:pPr>
              <w:jc w:val="center"/>
              <w:rPr>
                <w:rFonts w:hint="eastAsia" w:ascii="仿宋" w:hAnsi="仿宋" w:eastAsia="仿宋" w:cs="仿宋"/>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BE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满意度指标</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E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满意度指标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B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服务对象满意度</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D4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33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B9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2E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77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B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E77C">
            <w:pPr>
              <w:jc w:val="center"/>
              <w:rPr>
                <w:rFonts w:hint="eastAsia" w:ascii="仿宋" w:hAnsi="仿宋" w:eastAsia="仿宋" w:cs="仿宋"/>
                <w:i w:val="0"/>
                <w:iCs w:val="0"/>
                <w:color w:val="000000"/>
                <w:sz w:val="18"/>
                <w:szCs w:val="18"/>
                <w:u w:val="none"/>
              </w:rPr>
            </w:pPr>
          </w:p>
        </w:tc>
      </w:tr>
      <w:tr w14:paraId="1BE5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880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9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72EC">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3048">
            <w:pPr>
              <w:rPr>
                <w:rFonts w:hint="eastAsia" w:ascii="仿宋" w:hAnsi="仿宋" w:eastAsia="仿宋" w:cs="仿宋"/>
                <w:i w:val="0"/>
                <w:iCs w:val="0"/>
                <w:color w:val="000000"/>
                <w:sz w:val="18"/>
                <w:szCs w:val="18"/>
                <w:u w:val="none"/>
              </w:rPr>
            </w:pPr>
          </w:p>
        </w:tc>
      </w:tr>
      <w:tr w14:paraId="5853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3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评价结论</w:t>
            </w:r>
          </w:p>
        </w:tc>
        <w:tc>
          <w:tcPr>
            <w:tcW w:w="45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992F90">
            <w:pPr>
              <w:keepNext w:val="0"/>
              <w:keepLines w:val="0"/>
              <w:widowControl/>
              <w:suppressLineNumbers w:val="0"/>
              <w:jc w:val="left"/>
              <w:textAlignment w:val="center"/>
              <w:rPr>
                <w:rFonts w:hint="eastAsia" w:ascii="仿宋" w:hAnsi="仿宋" w:eastAsia="仿宋" w:cs="仿宋"/>
                <w:i/>
                <w:iCs/>
                <w:color w:val="000000"/>
                <w:sz w:val="18"/>
                <w:szCs w:val="18"/>
                <w:u w:val="none"/>
              </w:rPr>
            </w:pPr>
            <w:r>
              <w:rPr>
                <w:rFonts w:hint="eastAsia" w:ascii="仿宋" w:hAnsi="仿宋" w:eastAsia="仿宋" w:cs="仿宋"/>
                <w:i/>
                <w:iCs/>
                <w:color w:val="000000"/>
                <w:kern w:val="0"/>
                <w:sz w:val="18"/>
                <w:szCs w:val="18"/>
                <w:u w:val="none"/>
                <w:lang w:val="en-US" w:eastAsia="zh-CN" w:bidi="ar"/>
              </w:rPr>
              <w:t>严格执行项目资金的使用，对预算执行进度和绩效目标实现程度实行双监控，自评得分100分。</w:t>
            </w:r>
          </w:p>
        </w:tc>
      </w:tr>
      <w:tr w14:paraId="23B4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4B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存在问题</w:t>
            </w:r>
          </w:p>
        </w:tc>
        <w:tc>
          <w:tcPr>
            <w:tcW w:w="45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7FD8DA">
            <w:pPr>
              <w:keepNext w:val="0"/>
              <w:keepLines w:val="0"/>
              <w:widowControl/>
              <w:suppressLineNumbers w:val="0"/>
              <w:jc w:val="left"/>
              <w:textAlignment w:val="center"/>
              <w:rPr>
                <w:rFonts w:hint="eastAsia" w:ascii="仿宋" w:hAnsi="仿宋" w:eastAsia="仿宋" w:cs="仿宋"/>
                <w:i/>
                <w:iCs/>
                <w:color w:val="000000"/>
                <w:sz w:val="18"/>
                <w:szCs w:val="18"/>
                <w:u w:val="none"/>
              </w:rPr>
            </w:pPr>
            <w:r>
              <w:rPr>
                <w:rFonts w:hint="eastAsia" w:ascii="仿宋" w:hAnsi="仿宋" w:eastAsia="仿宋" w:cs="仿宋"/>
                <w:i/>
                <w:iCs/>
                <w:color w:val="000000"/>
                <w:kern w:val="0"/>
                <w:sz w:val="18"/>
                <w:szCs w:val="18"/>
                <w:u w:val="none"/>
                <w:lang w:val="en-US" w:eastAsia="zh-CN" w:bidi="ar"/>
              </w:rPr>
              <w:t>无</w:t>
            </w:r>
          </w:p>
        </w:tc>
      </w:tr>
      <w:tr w14:paraId="1EA8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C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改进措施</w:t>
            </w:r>
          </w:p>
        </w:tc>
        <w:tc>
          <w:tcPr>
            <w:tcW w:w="45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FEA328">
            <w:pPr>
              <w:keepNext w:val="0"/>
              <w:keepLines w:val="0"/>
              <w:widowControl/>
              <w:suppressLineNumbers w:val="0"/>
              <w:jc w:val="left"/>
              <w:textAlignment w:val="center"/>
              <w:rPr>
                <w:rFonts w:hint="eastAsia" w:ascii="仿宋" w:hAnsi="仿宋" w:eastAsia="仿宋" w:cs="仿宋"/>
                <w:i/>
                <w:iCs/>
                <w:color w:val="000000"/>
                <w:sz w:val="18"/>
                <w:szCs w:val="18"/>
                <w:u w:val="none"/>
              </w:rPr>
            </w:pPr>
            <w:r>
              <w:rPr>
                <w:rFonts w:hint="eastAsia" w:ascii="仿宋" w:hAnsi="仿宋" w:eastAsia="仿宋" w:cs="仿宋"/>
                <w:i/>
                <w:iCs/>
                <w:color w:val="000000"/>
                <w:kern w:val="0"/>
                <w:sz w:val="18"/>
                <w:szCs w:val="18"/>
                <w:u w:val="none"/>
                <w:lang w:val="en-US" w:eastAsia="zh-CN" w:bidi="ar"/>
              </w:rPr>
              <w:t>无</w:t>
            </w:r>
          </w:p>
        </w:tc>
      </w:tr>
    </w:tbl>
    <w:p w14:paraId="749FCF18">
      <w:pPr>
        <w:keepNext w:val="0"/>
        <w:keepLines w:val="0"/>
        <w:pageBreakBefore w:val="0"/>
        <w:kinsoku w:val="0"/>
        <w:wordWrap/>
        <w:overflowPunct w:val="0"/>
        <w:topLinePunct w:val="0"/>
        <w:bidi w:val="0"/>
        <w:spacing w:before="12" w:line="480" w:lineRule="exact"/>
        <w:rPr>
          <w:rFonts w:hint="eastAsia" w:ascii="Times New Roman" w:hAnsi="Times New Roman" w:eastAsia="仿宋_GB2312" w:cs="Times New Roman"/>
          <w:color w:val="000000"/>
          <w:kern w:val="0"/>
          <w:sz w:val="32"/>
          <w:szCs w:val="32"/>
          <w:lang w:val="en-US" w:eastAsia="zh-CN" w:bidi="ar-SA"/>
        </w:rPr>
        <w:sectPr>
          <w:footerReference r:id="rId8" w:type="first"/>
          <w:headerReference r:id="rId6" w:type="default"/>
          <w:footerReference r:id="rId7" w:type="default"/>
          <w:pgSz w:w="11906" w:h="16838"/>
          <w:pgMar w:top="1100" w:right="1463" w:bottom="1100" w:left="1463" w:header="851" w:footer="992" w:gutter="0"/>
          <w:pgNumType w:fmt="decimal"/>
          <w:cols w:space="425" w:num="1"/>
          <w:docGrid w:type="lines" w:linePitch="312" w:charSpace="0"/>
        </w:sectPr>
      </w:pPr>
    </w:p>
    <w:p w14:paraId="1B2EA366">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五部分 附表</w:t>
      </w:r>
      <w:bookmarkEnd w:id="51"/>
      <w:bookmarkEnd w:id="53"/>
      <w:bookmarkStart w:id="54" w:name="_Toc15396619"/>
    </w:p>
    <w:p w14:paraId="4FDA5166">
      <w:pPr>
        <w:pStyle w:val="3"/>
        <w:rPr>
          <w:rFonts w:ascii="仿宋" w:hAnsi="仿宋" w:eastAsia="仿宋"/>
          <w:color w:val="auto"/>
          <w:highlight w:val="none"/>
        </w:rPr>
      </w:pPr>
      <w:r>
        <w:rPr>
          <w:rFonts w:hint="eastAsia" w:ascii="仿宋" w:hAnsi="仿宋" w:eastAsia="仿宋"/>
          <w:b w:val="0"/>
          <w:color w:val="auto"/>
          <w:highlight w:val="none"/>
        </w:rPr>
        <w:t>一、收</w:t>
      </w:r>
      <w:r>
        <w:rPr>
          <w:rStyle w:val="34"/>
          <w:rFonts w:hint="eastAsia" w:ascii="仿宋" w:hAnsi="仿宋" w:eastAsia="仿宋"/>
          <w:b w:val="0"/>
          <w:bCs w:val="0"/>
          <w:color w:val="auto"/>
          <w:highlight w:val="none"/>
        </w:rPr>
        <w:t>入支出决算总表</w:t>
      </w:r>
      <w:bookmarkEnd w:id="54"/>
    </w:p>
    <w:p w14:paraId="1A49CACC">
      <w:pPr>
        <w:pStyle w:val="3"/>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4"/>
          <w:rFonts w:hint="eastAsia" w:ascii="仿宋" w:hAnsi="仿宋" w:eastAsia="仿宋"/>
          <w:b w:val="0"/>
          <w:bCs w:val="0"/>
          <w:color w:val="auto"/>
          <w:highlight w:val="none"/>
        </w:rPr>
        <w:t>入决算表</w:t>
      </w:r>
      <w:bookmarkEnd w:id="55"/>
    </w:p>
    <w:p w14:paraId="792FA72E">
      <w:pPr>
        <w:pStyle w:val="3"/>
        <w:rPr>
          <w:rFonts w:ascii="仿宋" w:hAnsi="仿宋" w:eastAsia="仿宋"/>
          <w:color w:val="auto"/>
          <w:highlight w:val="none"/>
        </w:rPr>
      </w:pPr>
      <w:bookmarkStart w:id="56" w:name="_Toc15396621"/>
      <w:r>
        <w:rPr>
          <w:rStyle w:val="3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4"/>
          <w:rFonts w:hint="eastAsia" w:ascii="仿宋" w:hAnsi="仿宋" w:eastAsia="仿宋"/>
          <w:b w:val="0"/>
          <w:bCs w:val="0"/>
          <w:color w:val="auto"/>
          <w:highlight w:val="none"/>
        </w:rPr>
        <w:t>出决算表</w:t>
      </w:r>
      <w:bookmarkEnd w:id="56"/>
    </w:p>
    <w:p w14:paraId="111FA87E">
      <w:pPr>
        <w:pStyle w:val="3"/>
        <w:rPr>
          <w:rFonts w:ascii="仿宋" w:hAnsi="仿宋" w:eastAsia="仿宋"/>
          <w:b w:val="0"/>
          <w:color w:val="auto"/>
          <w:highlight w:val="none"/>
        </w:rPr>
      </w:pPr>
      <w:bookmarkStart w:id="57" w:name="_Toc15396622"/>
      <w:r>
        <w:rPr>
          <w:rStyle w:val="3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政拨款收入支出决算总表</w:t>
      </w:r>
      <w:bookmarkEnd w:id="57"/>
    </w:p>
    <w:p w14:paraId="216AE586">
      <w:pPr>
        <w:pStyle w:val="3"/>
        <w:rPr>
          <w:rStyle w:val="34"/>
          <w:rFonts w:ascii="仿宋" w:hAnsi="仿宋" w:eastAsia="仿宋"/>
          <w:b w:val="0"/>
          <w:bCs w:val="0"/>
          <w:color w:val="auto"/>
          <w:highlight w:val="none"/>
        </w:rPr>
      </w:pPr>
      <w:bookmarkStart w:id="58" w:name="_Toc15396623"/>
      <w:r>
        <w:rPr>
          <w:rStyle w:val="3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政拨款支出决算明细表</w:t>
      </w:r>
      <w:bookmarkEnd w:id="58"/>
      <w:bookmarkStart w:id="59" w:name="_Toc15396624"/>
    </w:p>
    <w:p w14:paraId="5E5D1CDA">
      <w:pPr>
        <w:pStyle w:val="3"/>
        <w:rPr>
          <w:rFonts w:ascii="仿宋" w:hAnsi="仿宋" w:eastAsia="仿宋"/>
          <w:color w:val="auto"/>
          <w:highlight w:val="none"/>
        </w:rPr>
      </w:pPr>
      <w:r>
        <w:rPr>
          <w:rStyle w:val="3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般公共预算财政拨款支出决算表</w:t>
      </w:r>
      <w:bookmarkEnd w:id="59"/>
    </w:p>
    <w:p w14:paraId="78C33AB3">
      <w:pPr>
        <w:pStyle w:val="3"/>
        <w:rPr>
          <w:rFonts w:ascii="仿宋" w:hAnsi="仿宋" w:eastAsia="仿宋"/>
          <w:color w:val="auto"/>
          <w:highlight w:val="none"/>
        </w:rPr>
      </w:pPr>
      <w:bookmarkStart w:id="60" w:name="_Toc15396625"/>
      <w:r>
        <w:rPr>
          <w:rStyle w:val="3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般公共预算财政拨款支出决算明细表</w:t>
      </w:r>
      <w:bookmarkEnd w:id="60"/>
    </w:p>
    <w:p w14:paraId="4C5B666C">
      <w:pPr>
        <w:pStyle w:val="3"/>
        <w:rPr>
          <w:rFonts w:ascii="仿宋" w:hAnsi="仿宋" w:eastAsia="仿宋"/>
          <w:color w:val="auto"/>
          <w:highlight w:val="none"/>
        </w:rPr>
      </w:pPr>
      <w:bookmarkStart w:id="61" w:name="_Toc15396626"/>
      <w:r>
        <w:rPr>
          <w:rStyle w:val="3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般公共预算财政拨款基本支出决算表</w:t>
      </w:r>
      <w:bookmarkEnd w:id="61"/>
    </w:p>
    <w:p w14:paraId="0ABABC2E">
      <w:pPr>
        <w:pStyle w:val="3"/>
        <w:rPr>
          <w:rFonts w:ascii="仿宋" w:hAnsi="仿宋" w:eastAsia="仿宋"/>
          <w:color w:val="auto"/>
          <w:highlight w:val="none"/>
        </w:rPr>
      </w:pPr>
      <w:bookmarkStart w:id="62" w:name="_Toc15396627"/>
      <w:r>
        <w:rPr>
          <w:rStyle w:val="3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般公共预算财政拨款项目支出决算表</w:t>
      </w:r>
      <w:bookmarkEnd w:id="62"/>
    </w:p>
    <w:p w14:paraId="7FF7D4E2">
      <w:pPr>
        <w:pStyle w:val="3"/>
        <w:rPr>
          <w:rFonts w:ascii="仿宋" w:hAnsi="仿宋" w:eastAsia="仿宋"/>
          <w:color w:val="auto"/>
          <w:highlight w:val="none"/>
        </w:rPr>
      </w:pPr>
      <w:bookmarkStart w:id="63" w:name="_Toc15396628"/>
      <w:r>
        <w:rPr>
          <w:rStyle w:val="34"/>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府性基金预算财政拨款收入支出决算表</w:t>
      </w:r>
    </w:p>
    <w:p w14:paraId="3AF49A77">
      <w:pPr>
        <w:pStyle w:val="3"/>
        <w:rPr>
          <w:rFonts w:ascii="仿宋" w:hAnsi="仿宋" w:eastAsia="仿宋"/>
          <w:color w:val="auto"/>
          <w:highlight w:val="none"/>
        </w:rPr>
      </w:pPr>
      <w:bookmarkStart w:id="64" w:name="_Toc15396629"/>
      <w:r>
        <w:rPr>
          <w:rStyle w:val="34"/>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34"/>
          <w:rFonts w:hint="eastAsia" w:ascii="仿宋" w:hAnsi="仿宋" w:eastAsia="仿宋"/>
          <w:b w:val="0"/>
          <w:bCs w:val="0"/>
          <w:color w:val="auto"/>
          <w:highlight w:val="none"/>
        </w:rPr>
        <w:t>有资本经营预算</w:t>
      </w:r>
      <w:r>
        <w:rPr>
          <w:rStyle w:val="34"/>
          <w:rFonts w:hint="eastAsia" w:ascii="仿宋" w:hAnsi="仿宋" w:eastAsia="仿宋"/>
          <w:b w:val="0"/>
          <w:bCs w:val="0"/>
          <w:color w:val="auto"/>
          <w:highlight w:val="none"/>
          <w:lang w:eastAsia="zh-CN"/>
        </w:rPr>
        <w:t>财政拨款收入</w:t>
      </w:r>
      <w:r>
        <w:rPr>
          <w:rStyle w:val="34"/>
          <w:rFonts w:hint="eastAsia" w:ascii="仿宋" w:hAnsi="仿宋" w:eastAsia="仿宋"/>
          <w:b w:val="0"/>
          <w:bCs w:val="0"/>
          <w:color w:val="auto"/>
          <w:highlight w:val="none"/>
        </w:rPr>
        <w:t>支出决算表</w:t>
      </w:r>
    </w:p>
    <w:p w14:paraId="7D9F7DDE">
      <w:pPr>
        <w:pStyle w:val="3"/>
        <w:rPr>
          <w:rFonts w:ascii="仿宋" w:hAnsi="仿宋" w:eastAsia="仿宋"/>
          <w:color w:val="auto"/>
          <w:highlight w:val="none"/>
        </w:rPr>
      </w:pPr>
      <w:bookmarkStart w:id="65" w:name="_Toc15396630"/>
      <w:r>
        <w:rPr>
          <w:rStyle w:val="34"/>
          <w:rFonts w:hint="eastAsia" w:ascii="仿宋" w:hAnsi="仿宋" w:eastAsia="仿宋"/>
          <w:b w:val="0"/>
          <w:bCs w:val="0"/>
          <w:color w:val="auto"/>
          <w:highlight w:val="none"/>
        </w:rPr>
        <w:t>十二、</w:t>
      </w:r>
      <w:bookmarkEnd w:id="65"/>
      <w:r>
        <w:rPr>
          <w:rStyle w:val="34"/>
          <w:rFonts w:hint="eastAsia" w:ascii="仿宋" w:hAnsi="仿宋" w:eastAsia="仿宋"/>
          <w:b w:val="0"/>
          <w:bCs w:val="0"/>
          <w:color w:val="auto"/>
          <w:highlight w:val="none"/>
          <w:lang w:eastAsia="zh-CN"/>
        </w:rPr>
        <w:t>国有资本经营预算财政拨款支出决算表</w:t>
      </w:r>
    </w:p>
    <w:p w14:paraId="210668CF">
      <w:pPr>
        <w:pStyle w:val="3"/>
        <w:rPr>
          <w:rFonts w:hint="eastAsia" w:eastAsia="仿宋"/>
          <w:color w:val="auto"/>
          <w:highlight w:val="none"/>
          <w:lang w:eastAsia="zh-CN"/>
        </w:rPr>
      </w:pPr>
      <w:bookmarkStart w:id="66" w:name="_Toc15396631"/>
      <w:r>
        <w:rPr>
          <w:rStyle w:val="34"/>
          <w:rFonts w:hint="eastAsia" w:ascii="仿宋" w:hAnsi="仿宋" w:eastAsia="仿宋"/>
          <w:b w:val="0"/>
          <w:bCs w:val="0"/>
          <w:color w:val="auto"/>
          <w:highlight w:val="none"/>
        </w:rPr>
        <w:t>十三、</w:t>
      </w:r>
      <w:bookmarkEnd w:id="66"/>
      <w:r>
        <w:rPr>
          <w:rStyle w:val="34"/>
          <w:rFonts w:hint="eastAsia" w:ascii="仿宋" w:hAnsi="仿宋" w:eastAsia="仿宋"/>
          <w:b w:val="0"/>
          <w:bCs w:val="0"/>
          <w:color w:val="auto"/>
          <w:highlight w:val="none"/>
          <w:lang w:eastAsia="zh-CN"/>
        </w:rPr>
        <w:t>财政拨款“三公”经费支出决算表</w:t>
      </w:r>
    </w:p>
    <w:sectPr>
      <w:footerReference r:id="rId10" w:type="first"/>
      <w:footerReference r:id="rId9" w:type="default"/>
      <w:pgSz w:w="11906" w:h="16838"/>
      <w:pgMar w:top="1157" w:right="1463" w:bottom="1157" w:left="1463"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C57E89-0D63-479D-8CC8-813C2B0E7E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8EBC5302-8EA9-4D43-93EA-51E699218019}"/>
  </w:font>
  <w:font w:name="仿宋_GB2312">
    <w:panose1 w:val="02010609030101010101"/>
    <w:charset w:val="86"/>
    <w:family w:val="modern"/>
    <w:pitch w:val="default"/>
    <w:sig w:usb0="00000001" w:usb1="080E0000" w:usb2="00000000" w:usb3="00000000" w:csb0="00040000" w:csb1="00000000"/>
    <w:embedRegular r:id="rId3" w:fontKey="{2DCC244D-2DD9-437A-B68B-5512D3726F2D}"/>
  </w:font>
  <w:font w:name="仿宋">
    <w:panose1 w:val="02010609060101010101"/>
    <w:charset w:val="86"/>
    <w:family w:val="modern"/>
    <w:pitch w:val="default"/>
    <w:sig w:usb0="800002BF" w:usb1="38CF7CFA" w:usb2="00000016" w:usb3="00000000" w:csb0="00040001" w:csb1="00000000"/>
    <w:embedRegular r:id="rId4" w:fontKey="{9BFDE095-0A80-4569-815E-8A97F086281D}"/>
  </w:font>
  <w:font w:name="方正仿宋简体">
    <w:panose1 w:val="02000000000000000000"/>
    <w:charset w:val="86"/>
    <w:family w:val="auto"/>
    <w:pitch w:val="default"/>
    <w:sig w:usb0="A00002BF" w:usb1="184F6CFA" w:usb2="00000012"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74333417-927D-4E6E-B9BC-7192E2490198}"/>
  </w:font>
  <w:font w:name="楷体">
    <w:panose1 w:val="02010609060101010101"/>
    <w:charset w:val="86"/>
    <w:family w:val="auto"/>
    <w:pitch w:val="default"/>
    <w:sig w:usb0="800002BF" w:usb1="38CF7CFA" w:usb2="00000016" w:usb3="00000000" w:csb0="00040001" w:csb1="00000000"/>
    <w:embedRegular r:id="rId6" w:fontKey="{C33E2D19-7C98-49CA-B8CC-55BEBFE042EE}"/>
  </w:font>
  <w:font w:name="楷体_GB2312">
    <w:panose1 w:val="02010609030101010101"/>
    <w:charset w:val="86"/>
    <w:family w:val="modern"/>
    <w:pitch w:val="default"/>
    <w:sig w:usb0="00000001" w:usb1="080E0000" w:usb2="00000000" w:usb3="00000000" w:csb0="00040000" w:csb1="00000000"/>
    <w:embedRegular r:id="rId7" w:fontKey="{7789DFE2-77BE-487B-9849-8C8C2D734900}"/>
  </w:font>
  <w:font w:name="微软雅黑">
    <w:panose1 w:val="020B0503020204020204"/>
    <w:charset w:val="86"/>
    <w:family w:val="auto"/>
    <w:pitch w:val="default"/>
    <w:sig w:usb0="80000287" w:usb1="2ACF3C50" w:usb2="00000016" w:usb3="00000000" w:csb0="0004001F" w:csb1="00000000"/>
    <w:embedRegular r:id="rId8" w:fontKey="{0E7D5F2D-96EB-4668-8A58-5CCF976C2AA4}"/>
  </w:font>
  <w:font w:name="方正楷体简体">
    <w:panose1 w:val="02000000000000000000"/>
    <w:charset w:val="86"/>
    <w:family w:val="auto"/>
    <w:pitch w:val="default"/>
    <w:sig w:usb0="A00002BF" w:usb1="184F6CFA" w:usb2="00000012" w:usb3="00000000" w:csb0="00040001" w:csb1="00000000"/>
    <w:embedRegular r:id="rId9" w:fontKey="{E901D33C-E4A4-4505-B9F8-A51E9B1200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6BBF">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64B7E">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3464B7E">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C152">
    <w:pPr>
      <w:pStyle w:val="14"/>
      <w:tabs>
        <w:tab w:val="left" w:pos="8270"/>
        <w:tab w:val="clear" w:pos="4153"/>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05531">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9A05531">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A8C5">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8B36A">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98B36A">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EDD0">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10A7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410A7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CE4C">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0EFAC">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D60EFAC">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2FC22">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09A0A">
                          <w:pPr>
                            <w:pStyle w:val="14"/>
                          </w:pPr>
                          <w:r>
                            <w:t xml:space="preserve">— </w:t>
                          </w:r>
                          <w:r>
                            <w:fldChar w:fldCharType="begin"/>
                          </w:r>
                          <w:r>
                            <w:instrText xml:space="preserve"> PAGE  \* MERGEFORMAT </w:instrText>
                          </w:r>
                          <w:r>
                            <w:fldChar w:fldCharType="separate"/>
                          </w:r>
                          <w:r>
                            <w:t>50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B809A0A">
                    <w:pPr>
                      <w:pStyle w:val="14"/>
                    </w:pPr>
                    <w:r>
                      <w:t xml:space="preserve">— </w:t>
                    </w:r>
                    <w:r>
                      <w:fldChar w:fldCharType="begin"/>
                    </w:r>
                    <w:r>
                      <w:instrText xml:space="preserve"> PAGE  \* MERGEFORMAT </w:instrText>
                    </w:r>
                    <w:r>
                      <w:fldChar w:fldCharType="separate"/>
                    </w:r>
                    <w:r>
                      <w:t>50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05580">
    <w:pPr>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2DA2">
    <w:pPr>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B8E9"/>
    <w:multiLevelType w:val="singleLevel"/>
    <w:tmpl w:val="8617B8E9"/>
    <w:lvl w:ilvl="0" w:tentative="0">
      <w:start w:val="2"/>
      <w:numFmt w:val="chineseCounting"/>
      <w:suff w:val="nothing"/>
      <w:lvlText w:val="（%1）"/>
      <w:lvlJc w:val="left"/>
      <w:rPr>
        <w:rFonts w:hint="eastAsia"/>
      </w:rPr>
    </w:lvl>
  </w:abstractNum>
  <w:abstractNum w:abstractNumId="1">
    <w:nsid w:val="8CBEFC7C"/>
    <w:multiLevelType w:val="singleLevel"/>
    <w:tmpl w:val="8CBEFC7C"/>
    <w:lvl w:ilvl="0" w:tentative="0">
      <w:start w:val="2"/>
      <w:numFmt w:val="chineseCounting"/>
      <w:suff w:val="nothing"/>
      <w:lvlText w:val="（%1）"/>
      <w:lvlJc w:val="left"/>
      <w:rPr>
        <w:rFonts w:hint="eastAsia"/>
      </w:rPr>
    </w:lvl>
  </w:abstractNum>
  <w:abstractNum w:abstractNumId="2">
    <w:nsid w:val="A840EA65"/>
    <w:multiLevelType w:val="singleLevel"/>
    <w:tmpl w:val="A840EA65"/>
    <w:lvl w:ilvl="0" w:tentative="0">
      <w:start w:val="1"/>
      <w:numFmt w:val="chineseCounting"/>
      <w:suff w:val="nothing"/>
      <w:lvlText w:val="%1、"/>
      <w:lvlJc w:val="left"/>
      <w:rPr>
        <w:rFonts w:hint="eastAsia"/>
      </w:rPr>
    </w:lvl>
  </w:abstractNum>
  <w:abstractNum w:abstractNumId="3">
    <w:nsid w:val="ABC04811"/>
    <w:multiLevelType w:val="singleLevel"/>
    <w:tmpl w:val="ABC04811"/>
    <w:lvl w:ilvl="0" w:tentative="0">
      <w:start w:val="2"/>
      <w:numFmt w:val="chineseCounting"/>
      <w:suff w:val="nothing"/>
      <w:lvlText w:val="（%1）"/>
      <w:lvlJc w:val="left"/>
      <w:rPr>
        <w:rFonts w:hint="eastAsia" w:ascii="楷体" w:hAnsi="楷体" w:eastAsia="楷体" w:cs="楷体"/>
      </w:rPr>
    </w:lvl>
  </w:abstractNum>
  <w:abstractNum w:abstractNumId="4">
    <w:nsid w:val="CC5F9849"/>
    <w:multiLevelType w:val="singleLevel"/>
    <w:tmpl w:val="CC5F9849"/>
    <w:lvl w:ilvl="0" w:tentative="0">
      <w:start w:val="4"/>
      <w:numFmt w:val="chineseCounting"/>
      <w:suff w:val="nothing"/>
      <w:lvlText w:val="（%1）"/>
      <w:lvlJc w:val="left"/>
      <w:rPr>
        <w:rFonts w:hint="eastAsia"/>
      </w:rPr>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D2A8C43D"/>
    <w:multiLevelType w:val="singleLevel"/>
    <w:tmpl w:val="D2A8C43D"/>
    <w:lvl w:ilvl="0" w:tentative="0">
      <w:start w:val="1"/>
      <w:numFmt w:val="chineseCounting"/>
      <w:suff w:val="nothing"/>
      <w:lvlText w:val="（%1）"/>
      <w:lvlJc w:val="left"/>
      <w:rPr>
        <w:rFonts w:hint="eastAsia"/>
        <w:sz w:val="32"/>
        <w:szCs w:val="32"/>
      </w:rPr>
    </w:lvl>
  </w:abstractNum>
  <w:abstractNum w:abstractNumId="7">
    <w:nsid w:val="D4F9B48C"/>
    <w:multiLevelType w:val="singleLevel"/>
    <w:tmpl w:val="D4F9B48C"/>
    <w:lvl w:ilvl="0" w:tentative="0">
      <w:start w:val="2"/>
      <w:numFmt w:val="chineseCounting"/>
      <w:suff w:val="nothing"/>
      <w:lvlText w:val="（%1）"/>
      <w:lvlJc w:val="left"/>
      <w:rPr>
        <w:rFonts w:hint="eastAsia"/>
      </w:rPr>
    </w:lvl>
  </w:abstractNum>
  <w:abstractNum w:abstractNumId="8">
    <w:nsid w:val="DEFD1C53"/>
    <w:multiLevelType w:val="singleLevel"/>
    <w:tmpl w:val="DEFD1C53"/>
    <w:lvl w:ilvl="0" w:tentative="0">
      <w:start w:val="1"/>
      <w:numFmt w:val="decimal"/>
      <w:pStyle w:val="5"/>
      <w:lvlText w:val="%1."/>
      <w:lvlJc w:val="left"/>
      <w:pPr>
        <w:tabs>
          <w:tab w:val="left" w:pos="360"/>
        </w:tabs>
        <w:ind w:left="360" w:hanging="360"/>
      </w:pPr>
    </w:lvl>
  </w:abstractNum>
  <w:abstractNum w:abstractNumId="9">
    <w:nsid w:val="E2FA047D"/>
    <w:multiLevelType w:val="singleLevel"/>
    <w:tmpl w:val="E2FA047D"/>
    <w:lvl w:ilvl="0" w:tentative="0">
      <w:start w:val="3"/>
      <w:numFmt w:val="chineseCounting"/>
      <w:suff w:val="space"/>
      <w:lvlText w:val="第%1部分"/>
      <w:lvlJc w:val="left"/>
      <w:rPr>
        <w:rFonts w:hint="eastAsia"/>
      </w:rPr>
    </w:lvl>
  </w:abstractNum>
  <w:abstractNum w:abstractNumId="10">
    <w:nsid w:val="F4AA1207"/>
    <w:multiLevelType w:val="singleLevel"/>
    <w:tmpl w:val="F4AA1207"/>
    <w:lvl w:ilvl="0" w:tentative="0">
      <w:start w:val="2"/>
      <w:numFmt w:val="chineseCounting"/>
      <w:suff w:val="nothing"/>
      <w:lvlText w:val="（%1）"/>
      <w:lvlJc w:val="left"/>
      <w:rPr>
        <w:rFonts w:hint="eastAsia"/>
      </w:rPr>
    </w:lvl>
  </w:abstractNum>
  <w:abstractNum w:abstractNumId="11">
    <w:nsid w:val="F552DA3E"/>
    <w:multiLevelType w:val="singleLevel"/>
    <w:tmpl w:val="F552DA3E"/>
    <w:lvl w:ilvl="0" w:tentative="0">
      <w:start w:val="5"/>
      <w:numFmt w:val="chineseCounting"/>
      <w:suff w:val="nothing"/>
      <w:lvlText w:val="%1、"/>
      <w:lvlJc w:val="left"/>
      <w:rPr>
        <w:rFonts w:hint="eastAsia"/>
      </w:rPr>
    </w:lvl>
  </w:abstractNum>
  <w:abstractNum w:abstractNumId="12">
    <w:nsid w:val="F6FA0F99"/>
    <w:multiLevelType w:val="singleLevel"/>
    <w:tmpl w:val="F6FA0F99"/>
    <w:lvl w:ilvl="0" w:tentative="0">
      <w:start w:val="1"/>
      <w:numFmt w:val="chineseCounting"/>
      <w:suff w:val="nothing"/>
      <w:lvlText w:val="%1、"/>
      <w:lvlJc w:val="left"/>
      <w:rPr>
        <w:rFonts w:hint="eastAsia"/>
      </w:rPr>
    </w:lvl>
  </w:abstractNum>
  <w:abstractNum w:abstractNumId="1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3064A595"/>
    <w:multiLevelType w:val="singleLevel"/>
    <w:tmpl w:val="3064A595"/>
    <w:lvl w:ilvl="0" w:tentative="0">
      <w:start w:val="1"/>
      <w:numFmt w:val="chineseCounting"/>
      <w:suff w:val="nothing"/>
      <w:lvlText w:val="%1、"/>
      <w:lvlJc w:val="left"/>
      <w:rPr>
        <w:rFonts w:hint="eastAsia"/>
      </w:rPr>
    </w:lvl>
  </w:abstractNum>
  <w:abstractNum w:abstractNumId="15">
    <w:nsid w:val="33C82044"/>
    <w:multiLevelType w:val="singleLevel"/>
    <w:tmpl w:val="33C82044"/>
    <w:lvl w:ilvl="0" w:tentative="0">
      <w:start w:val="2"/>
      <w:numFmt w:val="chineseCounting"/>
      <w:suff w:val="nothing"/>
      <w:lvlText w:val="（%1）"/>
      <w:lvlJc w:val="left"/>
      <w:rPr>
        <w:rFonts w:hint="eastAsia"/>
      </w:rPr>
    </w:lvl>
  </w:abstractNum>
  <w:abstractNum w:abstractNumId="16">
    <w:nsid w:val="3C5F9F59"/>
    <w:multiLevelType w:val="singleLevel"/>
    <w:tmpl w:val="3C5F9F59"/>
    <w:lvl w:ilvl="0" w:tentative="0">
      <w:start w:val="1"/>
      <w:numFmt w:val="chineseCounting"/>
      <w:suff w:val="nothing"/>
      <w:lvlText w:val="%1、"/>
      <w:lvlJc w:val="left"/>
      <w:rPr>
        <w:rFonts w:hint="eastAsia"/>
      </w:rPr>
    </w:lvl>
  </w:abstractNum>
  <w:abstractNum w:abstractNumId="17">
    <w:nsid w:val="5628F54A"/>
    <w:multiLevelType w:val="singleLevel"/>
    <w:tmpl w:val="5628F54A"/>
    <w:lvl w:ilvl="0" w:tentative="0">
      <w:start w:val="2"/>
      <w:numFmt w:val="chineseCounting"/>
      <w:suff w:val="nothing"/>
      <w:lvlText w:val="（%1）"/>
      <w:lvlJc w:val="left"/>
      <w:rPr>
        <w:rFonts w:hint="eastAsia"/>
      </w:rPr>
    </w:lvl>
  </w:abstractNum>
  <w:abstractNum w:abstractNumId="18">
    <w:nsid w:val="69E4AB1D"/>
    <w:multiLevelType w:val="singleLevel"/>
    <w:tmpl w:val="69E4AB1D"/>
    <w:lvl w:ilvl="0" w:tentative="0">
      <w:start w:val="5"/>
      <w:numFmt w:val="chineseCounting"/>
      <w:suff w:val="nothing"/>
      <w:lvlText w:val="%1、"/>
      <w:lvlJc w:val="left"/>
      <w:rPr>
        <w:rFonts w:hint="eastAsia"/>
      </w:rPr>
    </w:lvl>
  </w:abstractNum>
  <w:abstractNum w:abstractNumId="19">
    <w:nsid w:val="6CFC5999"/>
    <w:multiLevelType w:val="multilevel"/>
    <w:tmpl w:val="6CFC5999"/>
    <w:lvl w:ilvl="0" w:tentative="0">
      <w:start w:val="1"/>
      <w:numFmt w:val="japaneseCounting"/>
      <w:lvlText w:val="（%1）"/>
      <w:lvlJc w:val="left"/>
      <w:pPr>
        <w:ind w:left="1672" w:hanging="1080"/>
      </w:pPr>
      <w:rPr>
        <w:rFonts w:hint="default"/>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num w:numId="1">
    <w:abstractNumId w:val="8"/>
  </w:num>
  <w:num w:numId="2">
    <w:abstractNumId w:val="12"/>
  </w:num>
  <w:num w:numId="3">
    <w:abstractNumId w:val="13"/>
  </w:num>
  <w:num w:numId="4">
    <w:abstractNumId w:val="5"/>
  </w:num>
  <w:num w:numId="5">
    <w:abstractNumId w:val="9"/>
  </w:num>
  <w:num w:numId="6">
    <w:abstractNumId w:val="2"/>
  </w:num>
  <w:num w:numId="7">
    <w:abstractNumId w:val="7"/>
  </w:num>
  <w:num w:numId="8">
    <w:abstractNumId w:val="10"/>
  </w:num>
  <w:num w:numId="9">
    <w:abstractNumId w:val="0"/>
  </w:num>
  <w:num w:numId="10">
    <w:abstractNumId w:val="17"/>
  </w:num>
  <w:num w:numId="11">
    <w:abstractNumId w:val="18"/>
  </w:num>
  <w:num w:numId="12">
    <w:abstractNumId w:val="4"/>
  </w:num>
  <w:num w:numId="13">
    <w:abstractNumId w:val="14"/>
  </w:num>
  <w:num w:numId="14">
    <w:abstractNumId w:val="1"/>
  </w:num>
  <w:num w:numId="15">
    <w:abstractNumId w:val="11"/>
  </w:num>
  <w:num w:numId="16">
    <w:abstractNumId w:val="19"/>
  </w:num>
  <w:num w:numId="17">
    <w:abstractNumId w:val="15"/>
  </w:num>
  <w:num w:numId="18">
    <w:abstractNumId w:val="16"/>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zI0MmRmOWJmNmRhYzQxNzRiNWUxZTY4ZTg4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AE77C6"/>
    <w:rsid w:val="02143E91"/>
    <w:rsid w:val="02FE3E7B"/>
    <w:rsid w:val="03C01B03"/>
    <w:rsid w:val="04032CC1"/>
    <w:rsid w:val="041E29A5"/>
    <w:rsid w:val="0440480D"/>
    <w:rsid w:val="04E470A0"/>
    <w:rsid w:val="05123C0E"/>
    <w:rsid w:val="06643D02"/>
    <w:rsid w:val="066E0107"/>
    <w:rsid w:val="06826B71"/>
    <w:rsid w:val="069A65B0"/>
    <w:rsid w:val="07567677"/>
    <w:rsid w:val="07996F6E"/>
    <w:rsid w:val="07B93E4E"/>
    <w:rsid w:val="07C056E2"/>
    <w:rsid w:val="085E53BC"/>
    <w:rsid w:val="09181A0E"/>
    <w:rsid w:val="095D56DA"/>
    <w:rsid w:val="09620693"/>
    <w:rsid w:val="0A2032A3"/>
    <w:rsid w:val="0A5D3673"/>
    <w:rsid w:val="0A5E1883"/>
    <w:rsid w:val="0AAC240E"/>
    <w:rsid w:val="0B38299E"/>
    <w:rsid w:val="0B852C60"/>
    <w:rsid w:val="0CEC2F96"/>
    <w:rsid w:val="0CEE487D"/>
    <w:rsid w:val="0DDE2831"/>
    <w:rsid w:val="0F3330FE"/>
    <w:rsid w:val="0F98263C"/>
    <w:rsid w:val="101860EC"/>
    <w:rsid w:val="103C2486"/>
    <w:rsid w:val="10BF041C"/>
    <w:rsid w:val="10C055FF"/>
    <w:rsid w:val="10C1473A"/>
    <w:rsid w:val="10FB40F0"/>
    <w:rsid w:val="110E7779"/>
    <w:rsid w:val="118107EC"/>
    <w:rsid w:val="11B9789B"/>
    <w:rsid w:val="13D50BC4"/>
    <w:rsid w:val="13D77899"/>
    <w:rsid w:val="14294AD0"/>
    <w:rsid w:val="14922675"/>
    <w:rsid w:val="15B374C4"/>
    <w:rsid w:val="16957EB9"/>
    <w:rsid w:val="169A1CB5"/>
    <w:rsid w:val="16B90E9A"/>
    <w:rsid w:val="16BB723D"/>
    <w:rsid w:val="16F72C63"/>
    <w:rsid w:val="178A1D29"/>
    <w:rsid w:val="17BF5D4B"/>
    <w:rsid w:val="189866C8"/>
    <w:rsid w:val="1A330456"/>
    <w:rsid w:val="1A5B5BFF"/>
    <w:rsid w:val="1AA04810"/>
    <w:rsid w:val="1AED78E2"/>
    <w:rsid w:val="1B2129A5"/>
    <w:rsid w:val="1BDA00D1"/>
    <w:rsid w:val="1BE8440E"/>
    <w:rsid w:val="1C4C3A51"/>
    <w:rsid w:val="1CB71C7B"/>
    <w:rsid w:val="1D0205B4"/>
    <w:rsid w:val="1D155CEE"/>
    <w:rsid w:val="1D924C74"/>
    <w:rsid w:val="1E27307F"/>
    <w:rsid w:val="1F174603"/>
    <w:rsid w:val="1F7E0296"/>
    <w:rsid w:val="1FF35744"/>
    <w:rsid w:val="20BD316F"/>
    <w:rsid w:val="20BE2ECD"/>
    <w:rsid w:val="211F40F0"/>
    <w:rsid w:val="21214CB2"/>
    <w:rsid w:val="21F7445F"/>
    <w:rsid w:val="22495E2B"/>
    <w:rsid w:val="2270362B"/>
    <w:rsid w:val="22FF7A6F"/>
    <w:rsid w:val="23860B96"/>
    <w:rsid w:val="240371BF"/>
    <w:rsid w:val="24113C2E"/>
    <w:rsid w:val="24CD2595"/>
    <w:rsid w:val="24EB3FF0"/>
    <w:rsid w:val="24EF57A9"/>
    <w:rsid w:val="25381017"/>
    <w:rsid w:val="253A3592"/>
    <w:rsid w:val="258B383C"/>
    <w:rsid w:val="262542E9"/>
    <w:rsid w:val="269A7CD9"/>
    <w:rsid w:val="26F31DC8"/>
    <w:rsid w:val="27302346"/>
    <w:rsid w:val="288822B5"/>
    <w:rsid w:val="29FD04D3"/>
    <w:rsid w:val="2A094D30"/>
    <w:rsid w:val="2A6D0A46"/>
    <w:rsid w:val="2AB36371"/>
    <w:rsid w:val="2B6A237B"/>
    <w:rsid w:val="2BA12F99"/>
    <w:rsid w:val="2C155C0E"/>
    <w:rsid w:val="2C815051"/>
    <w:rsid w:val="2C8A61B5"/>
    <w:rsid w:val="2DF04E50"/>
    <w:rsid w:val="2E114AFB"/>
    <w:rsid w:val="2E9B472B"/>
    <w:rsid w:val="2F040D46"/>
    <w:rsid w:val="308B0771"/>
    <w:rsid w:val="31272698"/>
    <w:rsid w:val="31745184"/>
    <w:rsid w:val="319F7F4E"/>
    <w:rsid w:val="3263753C"/>
    <w:rsid w:val="32843ADD"/>
    <w:rsid w:val="3304709D"/>
    <w:rsid w:val="34433534"/>
    <w:rsid w:val="352B7207"/>
    <w:rsid w:val="35611EC4"/>
    <w:rsid w:val="356D29C9"/>
    <w:rsid w:val="35AD26BE"/>
    <w:rsid w:val="36AA5135"/>
    <w:rsid w:val="3712748D"/>
    <w:rsid w:val="376D39B2"/>
    <w:rsid w:val="37E16F03"/>
    <w:rsid w:val="38044D88"/>
    <w:rsid w:val="380C6D00"/>
    <w:rsid w:val="386A68D5"/>
    <w:rsid w:val="38D469F0"/>
    <w:rsid w:val="390E5EBF"/>
    <w:rsid w:val="391E1E7A"/>
    <w:rsid w:val="39DC7D6B"/>
    <w:rsid w:val="3A232F1C"/>
    <w:rsid w:val="3A891042"/>
    <w:rsid w:val="3A95632F"/>
    <w:rsid w:val="3B112686"/>
    <w:rsid w:val="3BAB7073"/>
    <w:rsid w:val="3C0C2FEF"/>
    <w:rsid w:val="3CF113B5"/>
    <w:rsid w:val="3D0A407E"/>
    <w:rsid w:val="3D585014"/>
    <w:rsid w:val="3D98207C"/>
    <w:rsid w:val="3DB12D3F"/>
    <w:rsid w:val="3DF82469"/>
    <w:rsid w:val="3E2919ED"/>
    <w:rsid w:val="3E364931"/>
    <w:rsid w:val="3E78745D"/>
    <w:rsid w:val="3EC96FE5"/>
    <w:rsid w:val="3F40552C"/>
    <w:rsid w:val="3FF517E6"/>
    <w:rsid w:val="406A5475"/>
    <w:rsid w:val="40FA4E7B"/>
    <w:rsid w:val="4134048C"/>
    <w:rsid w:val="414443B2"/>
    <w:rsid w:val="419378A9"/>
    <w:rsid w:val="4194717D"/>
    <w:rsid w:val="4226071D"/>
    <w:rsid w:val="42AC04F6"/>
    <w:rsid w:val="436C2613"/>
    <w:rsid w:val="44202F4A"/>
    <w:rsid w:val="44A678F3"/>
    <w:rsid w:val="44E268DA"/>
    <w:rsid w:val="461B7E6D"/>
    <w:rsid w:val="47017063"/>
    <w:rsid w:val="47025732"/>
    <w:rsid w:val="47541B0D"/>
    <w:rsid w:val="4832149E"/>
    <w:rsid w:val="48D24C1A"/>
    <w:rsid w:val="49216293"/>
    <w:rsid w:val="497603DB"/>
    <w:rsid w:val="4A627F82"/>
    <w:rsid w:val="4B0E749A"/>
    <w:rsid w:val="4B4F25DA"/>
    <w:rsid w:val="4B8458A1"/>
    <w:rsid w:val="4BE068DB"/>
    <w:rsid w:val="4C433C79"/>
    <w:rsid w:val="4D196FC1"/>
    <w:rsid w:val="4D577224"/>
    <w:rsid w:val="4EAB630A"/>
    <w:rsid w:val="4ECE2238"/>
    <w:rsid w:val="4ED0244B"/>
    <w:rsid w:val="507C775A"/>
    <w:rsid w:val="511300BE"/>
    <w:rsid w:val="51235D0B"/>
    <w:rsid w:val="51EE6435"/>
    <w:rsid w:val="523522B6"/>
    <w:rsid w:val="5285323E"/>
    <w:rsid w:val="537E6D0A"/>
    <w:rsid w:val="552A3C28"/>
    <w:rsid w:val="556F5ADF"/>
    <w:rsid w:val="55A41C2D"/>
    <w:rsid w:val="55C45E2B"/>
    <w:rsid w:val="563F6719"/>
    <w:rsid w:val="564B02FA"/>
    <w:rsid w:val="56A765A0"/>
    <w:rsid w:val="56F55E42"/>
    <w:rsid w:val="573214BA"/>
    <w:rsid w:val="57B85564"/>
    <w:rsid w:val="57DA386F"/>
    <w:rsid w:val="58A85CD2"/>
    <w:rsid w:val="58B03F8E"/>
    <w:rsid w:val="58B448BD"/>
    <w:rsid w:val="5ADC3C17"/>
    <w:rsid w:val="5AF92295"/>
    <w:rsid w:val="5B266C40"/>
    <w:rsid w:val="5B590DC3"/>
    <w:rsid w:val="5C0830AE"/>
    <w:rsid w:val="5C2038A9"/>
    <w:rsid w:val="5C2124E2"/>
    <w:rsid w:val="5CA53718"/>
    <w:rsid w:val="5CD71FC4"/>
    <w:rsid w:val="5E5341F0"/>
    <w:rsid w:val="5EB83071"/>
    <w:rsid w:val="5F683745"/>
    <w:rsid w:val="6094289E"/>
    <w:rsid w:val="614A72C7"/>
    <w:rsid w:val="615A3AE7"/>
    <w:rsid w:val="61C80A51"/>
    <w:rsid w:val="61FF1F18"/>
    <w:rsid w:val="622E69AA"/>
    <w:rsid w:val="623A6EC9"/>
    <w:rsid w:val="62F63724"/>
    <w:rsid w:val="63696001"/>
    <w:rsid w:val="638304BF"/>
    <w:rsid w:val="63A70B3A"/>
    <w:rsid w:val="63C77BC4"/>
    <w:rsid w:val="63F36710"/>
    <w:rsid w:val="65982E30"/>
    <w:rsid w:val="660109D5"/>
    <w:rsid w:val="66282AD4"/>
    <w:rsid w:val="66611474"/>
    <w:rsid w:val="670F30EB"/>
    <w:rsid w:val="675E59B4"/>
    <w:rsid w:val="67D53EC8"/>
    <w:rsid w:val="68112A26"/>
    <w:rsid w:val="6823150A"/>
    <w:rsid w:val="694227E4"/>
    <w:rsid w:val="69881A7B"/>
    <w:rsid w:val="6A5071EF"/>
    <w:rsid w:val="6B056600"/>
    <w:rsid w:val="6B860F2F"/>
    <w:rsid w:val="6BC4403B"/>
    <w:rsid w:val="6C4A05C8"/>
    <w:rsid w:val="6D010507"/>
    <w:rsid w:val="6D323B6A"/>
    <w:rsid w:val="6DBD51C9"/>
    <w:rsid w:val="6DFC32D2"/>
    <w:rsid w:val="6E451F91"/>
    <w:rsid w:val="6E7E3605"/>
    <w:rsid w:val="6EE113A4"/>
    <w:rsid w:val="6F0E2EC2"/>
    <w:rsid w:val="6FF5CC65"/>
    <w:rsid w:val="70566167"/>
    <w:rsid w:val="70F52EE5"/>
    <w:rsid w:val="715C0E4B"/>
    <w:rsid w:val="71D85AD8"/>
    <w:rsid w:val="72473C14"/>
    <w:rsid w:val="72734D90"/>
    <w:rsid w:val="72E45404"/>
    <w:rsid w:val="73243F55"/>
    <w:rsid w:val="73AD73D5"/>
    <w:rsid w:val="73B6EB34"/>
    <w:rsid w:val="742A7349"/>
    <w:rsid w:val="74342603"/>
    <w:rsid w:val="744731E5"/>
    <w:rsid w:val="74566390"/>
    <w:rsid w:val="74615D3A"/>
    <w:rsid w:val="74884070"/>
    <w:rsid w:val="750E27C7"/>
    <w:rsid w:val="756E0929"/>
    <w:rsid w:val="76236746"/>
    <w:rsid w:val="76E3355F"/>
    <w:rsid w:val="778769C8"/>
    <w:rsid w:val="78450BF6"/>
    <w:rsid w:val="787768D5"/>
    <w:rsid w:val="79CA42A6"/>
    <w:rsid w:val="79EE5BA4"/>
    <w:rsid w:val="7A811C8D"/>
    <w:rsid w:val="7A894339"/>
    <w:rsid w:val="7A97325F"/>
    <w:rsid w:val="7AD973D3"/>
    <w:rsid w:val="7B42141C"/>
    <w:rsid w:val="7CB4634A"/>
    <w:rsid w:val="7D084EB2"/>
    <w:rsid w:val="7D5F1C5F"/>
    <w:rsid w:val="7E220001"/>
    <w:rsid w:val="7EAB3D79"/>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2034" w:semiHidden="0" w:name="Normal Indent"/>
    <w:lsdException w:uiPriority="99" w:name="footnote text"/>
    <w:lsdException w:qFormat="1"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Number"/>
    <w:basedOn w:val="1"/>
    <w:semiHidden/>
    <w:unhideWhenUsed/>
    <w:qFormat/>
    <w:uiPriority w:val="99"/>
    <w:pPr>
      <w:numPr>
        <w:ilvl w:val="0"/>
        <w:numId w:val="1"/>
      </w:numPr>
    </w:pPr>
  </w:style>
  <w:style w:type="paragraph" w:styleId="6">
    <w:name w:val="Normal Indent"/>
    <w:basedOn w:val="1"/>
    <w:qFormat/>
    <w:uiPriority w:val="2034"/>
    <w:pPr>
      <w:ind w:firstLine="630"/>
    </w:pPr>
    <w:rPr>
      <w:kern w:val="0"/>
    </w:rPr>
  </w:style>
  <w:style w:type="paragraph" w:styleId="7">
    <w:name w:val="index 5"/>
    <w:basedOn w:val="1"/>
    <w:next w:val="1"/>
    <w:qFormat/>
    <w:uiPriority w:val="99"/>
    <w:pPr>
      <w:ind w:left="1680"/>
    </w:pPr>
  </w:style>
  <w:style w:type="paragraph" w:styleId="8">
    <w:name w:val="annotation text"/>
    <w:basedOn w:val="1"/>
    <w:semiHidden/>
    <w:unhideWhenUsed/>
    <w:qFormat/>
    <w:uiPriority w:val="99"/>
    <w:pPr>
      <w:jc w:val="left"/>
    </w:pPr>
  </w:style>
  <w:style w:type="paragraph" w:styleId="9">
    <w:name w:val="Salutation"/>
    <w:basedOn w:val="1"/>
    <w:next w:val="1"/>
    <w:unhideWhenUsed/>
    <w:qFormat/>
    <w:uiPriority w:val="99"/>
    <w:pPr>
      <w:spacing w:beforeLines="0" w:afterLines="0"/>
    </w:pPr>
    <w:rPr>
      <w:rFonts w:hint="eastAsia"/>
      <w:sz w:val="21"/>
      <w:szCs w:val="20"/>
    </w:rPr>
  </w:style>
  <w:style w:type="paragraph" w:styleId="10">
    <w:name w:val="Body Text"/>
    <w:basedOn w:val="1"/>
    <w:link w:val="31"/>
    <w:qFormat/>
    <w:uiPriority w:val="99"/>
    <w:pPr>
      <w:spacing w:beforeLines="30"/>
    </w:pPr>
    <w:rPr>
      <w:rFonts w:ascii="仿宋_GB2312" w:eastAsia="仿宋_GB2312"/>
      <w:kern w:val="0"/>
      <w:sz w:val="30"/>
    </w:rPr>
  </w:style>
  <w:style w:type="paragraph" w:styleId="11">
    <w:name w:val="Body Text Indent"/>
    <w:basedOn w:val="1"/>
    <w:qFormat/>
    <w:uiPriority w:val="0"/>
    <w:pPr>
      <w:spacing w:after="120"/>
      <w:ind w:leftChars="200"/>
    </w:pPr>
    <w:rPr>
      <w:rFonts w:ascii="仿宋_GB2312"/>
      <w:szCs w:val="32"/>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6"/>
    <w:semiHidden/>
    <w:unhideWhenUsed/>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1"/>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rPr>
  </w:style>
  <w:style w:type="character" w:styleId="22">
    <w:name w:val="page number"/>
    <w:basedOn w:val="20"/>
    <w:unhideWhenUsed/>
    <w:qFormat/>
    <w:uiPriority w:val="99"/>
    <w:rPr>
      <w:rFonts w:hint="default" w:ascii="Times New Roman"/>
      <w:sz w:val="24"/>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paragraph" w:customStyle="1" w:styleId="24">
    <w:name w:val="常用样式（方正仿宋简）"/>
    <w:basedOn w:val="1"/>
    <w:next w:val="1"/>
    <w:unhideWhenUsed/>
    <w:qFormat/>
    <w:uiPriority w:val="99"/>
    <w:pPr>
      <w:spacing w:beforeLines="0" w:afterLines="0" w:line="560" w:lineRule="exact"/>
      <w:ind w:firstLine="640" w:firstLineChars="200"/>
    </w:pPr>
    <w:rPr>
      <w:rFonts w:hint="eastAsia" w:eastAsia="方正仿宋简体"/>
      <w:sz w:val="32"/>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20"/>
    <w:semiHidden/>
    <w:qFormat/>
    <w:uiPriority w:val="99"/>
    <w:rPr>
      <w:rFonts w:ascii="Times New Roman" w:hAnsi="Times New Roman"/>
      <w:sz w:val="18"/>
      <w:szCs w:val="18"/>
    </w:rPr>
  </w:style>
  <w:style w:type="character" w:customStyle="1" w:styleId="28">
    <w:name w:val="Footer Char"/>
    <w:basedOn w:val="20"/>
    <w:semiHidden/>
    <w:qFormat/>
    <w:uiPriority w:val="99"/>
    <w:rPr>
      <w:rFonts w:ascii="Times New Roman" w:hAnsi="Times New Roman"/>
      <w:sz w:val="18"/>
      <w:szCs w:val="18"/>
    </w:rPr>
  </w:style>
  <w:style w:type="character" w:customStyle="1" w:styleId="29">
    <w:name w:val="页脚 Char"/>
    <w:link w:val="14"/>
    <w:qFormat/>
    <w:locked/>
    <w:uiPriority w:val="99"/>
    <w:rPr>
      <w:sz w:val="18"/>
    </w:rPr>
  </w:style>
  <w:style w:type="character" w:customStyle="1" w:styleId="30">
    <w:name w:val="Body Text Char"/>
    <w:basedOn w:val="20"/>
    <w:semiHidden/>
    <w:qFormat/>
    <w:uiPriority w:val="99"/>
    <w:rPr>
      <w:rFonts w:ascii="Times New Roman" w:hAnsi="Times New Roman"/>
      <w:szCs w:val="24"/>
    </w:rPr>
  </w:style>
  <w:style w:type="character" w:customStyle="1" w:styleId="31">
    <w:name w:val="正文文本 Char"/>
    <w:link w:val="10"/>
    <w:qFormat/>
    <w:locked/>
    <w:uiPriority w:val="99"/>
    <w:rPr>
      <w:rFonts w:ascii="仿宋_GB2312" w:hAnsi="Times New Roman" w:eastAsia="仿宋_GB2312"/>
      <w:sz w:val="24"/>
    </w:rPr>
  </w:style>
  <w:style w:type="paragraph" w:styleId="32">
    <w:name w:val="List Paragraph"/>
    <w:basedOn w:val="1"/>
    <w:qFormat/>
    <w:uiPriority w:val="34"/>
    <w:pPr>
      <w:ind w:firstLine="420" w:firstLineChars="200"/>
    </w:pPr>
  </w:style>
  <w:style w:type="character" w:customStyle="1" w:styleId="33">
    <w:name w:val="标题 1 Char"/>
    <w:basedOn w:val="20"/>
    <w:link w:val="2"/>
    <w:qFormat/>
    <w:uiPriority w:val="9"/>
    <w:rPr>
      <w:rFonts w:ascii="Times New Roman" w:hAnsi="Times New Roman"/>
      <w:b/>
      <w:bCs/>
      <w:kern w:val="44"/>
      <w:sz w:val="44"/>
      <w:szCs w:val="44"/>
    </w:rPr>
  </w:style>
  <w:style w:type="character" w:customStyle="1" w:styleId="34">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3"/>
    <w:semiHidden/>
    <w:qFormat/>
    <w:uiPriority w:val="99"/>
    <w:rPr>
      <w:rFonts w:ascii="Times New Roman" w:hAnsi="Times New Roman"/>
      <w:kern w:val="2"/>
      <w:sz w:val="18"/>
      <w:szCs w:val="18"/>
    </w:rPr>
  </w:style>
  <w:style w:type="character" w:customStyle="1" w:styleId="37">
    <w:name w:val="标题 3 Char"/>
    <w:basedOn w:val="20"/>
    <w:link w:val="4"/>
    <w:qFormat/>
    <w:uiPriority w:val="9"/>
    <w:rPr>
      <w:rFonts w:ascii="Times New Roman" w:hAnsi="Times New Roman"/>
      <w:b/>
      <w:bCs/>
      <w:kern w:val="2"/>
      <w:sz w:val="32"/>
      <w:szCs w:val="32"/>
    </w:r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0">
    <w:name w:val="font71"/>
    <w:basedOn w:val="20"/>
    <w:qFormat/>
    <w:uiPriority w:val="0"/>
    <w:rPr>
      <w:rFonts w:ascii="仿宋_GB2312" w:eastAsia="仿宋_GB2312" w:cs="仿宋_GB2312"/>
      <w:color w:val="000000"/>
      <w:sz w:val="22"/>
      <w:szCs w:val="22"/>
      <w:u w:val="none"/>
    </w:rPr>
  </w:style>
  <w:style w:type="character" w:customStyle="1" w:styleId="41">
    <w:name w:val="font81"/>
    <w:basedOn w:val="20"/>
    <w:qFormat/>
    <w:uiPriority w:val="0"/>
    <w:rPr>
      <w:rFonts w:hint="default" w:ascii="Times New Roman" w:hAnsi="Times New Roman" w:cs="Times New Roman"/>
      <w:color w:val="000000"/>
      <w:sz w:val="22"/>
      <w:szCs w:val="22"/>
      <w:u w:val="none"/>
    </w:rPr>
  </w:style>
  <w:style w:type="character" w:customStyle="1" w:styleId="42">
    <w:name w:val="font91"/>
    <w:basedOn w:val="20"/>
    <w:qFormat/>
    <w:uiPriority w:val="0"/>
    <w:rPr>
      <w:rFonts w:hint="eastAsia" w:ascii="仿宋_GB2312" w:eastAsia="仿宋_GB2312" w:cs="仿宋_GB2312"/>
      <w:color w:val="000000"/>
      <w:sz w:val="22"/>
      <w:szCs w:val="22"/>
      <w:u w:val="none"/>
    </w:rPr>
  </w:style>
  <w:style w:type="character" w:customStyle="1" w:styleId="43">
    <w:name w:val="font101"/>
    <w:basedOn w:val="2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36130;&#21153;&#30456;&#20851;&#38468;&#20214;&#27169;&#26495;\&#22270;&#34920;2021&#2418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6130;&#21153;&#30456;&#20851;&#38468;&#20214;&#27169;&#26495;\&#22270;&#34920;2021&#2418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6130;&#21153;&#30456;&#20851;&#38468;&#20214;&#27169;&#26495;\&#22270;&#34920;2021&#2418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istrator\Desktop\&#36130;&#21153;&#30456;&#20851;&#38468;&#20214;&#27169;&#26495;\&#22270;&#34920;2021&#2418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6130;&#21153;&#30456;&#20851;&#38468;&#20214;&#27169;&#26495;\&#22270;&#34920;2021&#2418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6130;&#21153;&#30456;&#20851;&#38468;&#20214;&#27169;&#26495;\&#22270;&#34920;2021&#2418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6130;&#21153;&#30456;&#20851;&#38468;&#20214;&#27169;&#26495;\&#22270;&#34920;2021&#241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altLang="en-US" sz="1600"/>
              <a:t>收、支决算总计变动情况图</a:t>
            </a:r>
            <a:r>
              <a:rPr altLang="en-US" sz="1000"/>
              <a:t>（</a:t>
            </a:r>
            <a:r>
              <a:rPr sz="1000"/>
              <a:t>单位：万元）</a:t>
            </a:r>
            <a:endParaRPr sz="1000"/>
          </a:p>
        </c:rich>
      </c:tx>
      <c:layout>
        <c:manualLayout>
          <c:xMode val="edge"/>
          <c:yMode val="edge"/>
          <c:x val="0.182398266313508"/>
          <c:y val="0.0313479623824451"/>
        </c:manualLayout>
      </c:layout>
      <c:overlay val="0"/>
    </c:title>
    <c:autoTitleDeleted val="0"/>
    <c:plotArea>
      <c:layout/>
      <c:barChart>
        <c:barDir val="col"/>
        <c:grouping val="clustered"/>
        <c:varyColors val="0"/>
        <c:ser>
          <c:idx val="0"/>
          <c:order val="0"/>
          <c:tx>
            <c:strRef>
              <c:f>[图表2021年.xls]Sheet1!$B$1</c:f>
              <c:strCache>
                <c:ptCount val="1"/>
                <c:pt idx="0">
                  <c:v>2022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[图表2021年.xls]Sheet1!$A$2:$A$3</c:f>
              <c:strCache>
                <c:ptCount val="2"/>
                <c:pt idx="0">
                  <c:v>收人总计</c:v>
                </c:pt>
                <c:pt idx="1">
                  <c:v>支出总计</c:v>
                </c:pt>
              </c:strCache>
            </c:strRef>
          </c:cat>
          <c:val>
            <c:numRef>
              <c:f>[图表2021年.xls]Sheet1!$B$2:$B$3</c:f>
              <c:numCache>
                <c:formatCode>General</c:formatCode>
                <c:ptCount val="2"/>
                <c:pt idx="0">
                  <c:v>2230.36</c:v>
                </c:pt>
                <c:pt idx="1">
                  <c:v>2230.36</c:v>
                </c:pt>
              </c:numCache>
            </c:numRef>
          </c:val>
        </c:ser>
        <c:ser>
          <c:idx val="1"/>
          <c:order val="1"/>
          <c:tx>
            <c:strRef>
              <c:f>[图表2021年.xls]Sheet1!$C$1</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[图表2021年.xls]Sheet1!$A$2:$A$3</c:f>
              <c:strCache>
                <c:ptCount val="2"/>
                <c:pt idx="0">
                  <c:v>收人总计</c:v>
                </c:pt>
                <c:pt idx="1">
                  <c:v>支出总计</c:v>
                </c:pt>
              </c:strCache>
            </c:strRef>
          </c:cat>
          <c:val>
            <c:numRef>
              <c:f>[图表2021年.xls]Sheet1!$C$2:$C$3</c:f>
              <c:numCache>
                <c:formatCode>General</c:formatCode>
                <c:ptCount val="2"/>
                <c:pt idx="0">
                  <c:v>2090.17</c:v>
                </c:pt>
                <c:pt idx="1">
                  <c:v>2090.17</c:v>
                </c:pt>
              </c:numCache>
            </c:numRef>
          </c:val>
        </c:ser>
        <c:dLbls>
          <c:showLegendKey val="0"/>
          <c:showVal val="0"/>
          <c:showCatName val="0"/>
          <c:showSerName val="0"/>
          <c:showPercent val="0"/>
          <c:showBubbleSize val="0"/>
        </c:dLbls>
        <c:gapWidth val="150"/>
        <c:axId val="288499200"/>
        <c:axId val="288500736"/>
      </c:barChart>
      <c:catAx>
        <c:axId val="288499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8500736"/>
        <c:crosses val="autoZero"/>
        <c:auto val="1"/>
        <c:lblAlgn val="ctr"/>
        <c:lblOffset val="100"/>
        <c:noMultiLvlLbl val="0"/>
      </c:catAx>
      <c:valAx>
        <c:axId val="288500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849920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[图表2021年.xls]Sheet1!$K$2:$K$8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[图表2021年.xls]Sheet1!$L$2:$L$8</c:f>
              <c:numCache>
                <c:formatCode>0.00%</c:formatCode>
                <c:ptCount val="7"/>
                <c:pt idx="0">
                  <c:v>0.9837</c:v>
                </c:pt>
                <c:pt idx="1">
                  <c:v>0.0163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支出决算结构图（</a:t>
            </a:r>
            <a:r>
              <a:rPr sz="10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[图表2021年.xls]Sheet1!$K$29:$K$30</c:f>
              <c:strCache>
                <c:ptCount val="2"/>
                <c:pt idx="0">
                  <c:v>基本支出</c:v>
                </c:pt>
                <c:pt idx="1">
                  <c:v>项目支出</c:v>
                </c:pt>
              </c:strCache>
            </c:strRef>
          </c:cat>
          <c:val>
            <c:numRef>
              <c:f>[图表2021年.xls]Sheet1!$L$29:$L$30</c:f>
              <c:numCache>
                <c:formatCode>0.00%</c:formatCode>
                <c:ptCount val="2"/>
                <c:pt idx="0">
                  <c:v>0.8363</c:v>
                </c:pt>
                <c:pt idx="1">
                  <c:v>0.1637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sz="1400"/>
              <a:t>财政拨款收、支决算总计变动图</a:t>
            </a:r>
            <a:r>
              <a:rPr lang="en-US" altLang="zh-CN"/>
              <a:t> </a:t>
            </a:r>
            <a:r>
              <a:rPr altLang="en-US" sz="1000"/>
              <a:t>（</a:t>
            </a:r>
            <a:r>
              <a:rPr sz="1000"/>
              <a:t>单位：万元）</a:t>
            </a:r>
            <a:endParaRPr sz="1000"/>
          </a:p>
        </c:rich>
      </c:tx>
      <c:layout>
        <c:manualLayout>
          <c:xMode val="edge"/>
          <c:yMode val="edge"/>
          <c:x val="0.182398266313508"/>
          <c:y val="0.0313479623824451"/>
        </c:manualLayout>
      </c:layout>
      <c:overlay val="0"/>
    </c:title>
    <c:autoTitleDeleted val="0"/>
    <c:plotArea>
      <c:layout/>
      <c:barChart>
        <c:barDir val="col"/>
        <c:grouping val="clustered"/>
        <c:varyColors val="0"/>
        <c:ser>
          <c:idx val="0"/>
          <c:order val="0"/>
          <c:tx>
            <c:strRef>
              <c:f>[图表2021年.xls]Sheet1!$B$1</c:f>
              <c:strCache>
                <c:ptCount val="1"/>
                <c:pt idx="0">
                  <c:v>2022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[图表2021年.xls]Sheet1!$A$2:$A$3</c:f>
              <c:strCache>
                <c:ptCount val="2"/>
                <c:pt idx="0">
                  <c:v>收人总计</c:v>
                </c:pt>
                <c:pt idx="1">
                  <c:v>支出总计</c:v>
                </c:pt>
              </c:strCache>
            </c:strRef>
          </c:cat>
          <c:val>
            <c:numRef>
              <c:f>[图表2021年.xls]Sheet1!$B$2:$B$3</c:f>
              <c:numCache>
                <c:formatCode>General</c:formatCode>
                <c:ptCount val="2"/>
                <c:pt idx="0">
                  <c:v>2230.36</c:v>
                </c:pt>
                <c:pt idx="1">
                  <c:v>2230.36</c:v>
                </c:pt>
              </c:numCache>
            </c:numRef>
          </c:val>
        </c:ser>
        <c:ser>
          <c:idx val="1"/>
          <c:order val="1"/>
          <c:tx>
            <c:strRef>
              <c:f>[图表2021年.xls]Sheet1!$C$1</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[图表2021年.xls]Sheet1!$A$2:$A$3</c:f>
              <c:strCache>
                <c:ptCount val="2"/>
                <c:pt idx="0">
                  <c:v>收人总计</c:v>
                </c:pt>
                <c:pt idx="1">
                  <c:v>支出总计</c:v>
                </c:pt>
              </c:strCache>
            </c:strRef>
          </c:cat>
          <c:val>
            <c:numRef>
              <c:f>[图表2021年.xls]Sheet1!$C$2:$C$3</c:f>
              <c:numCache>
                <c:formatCode>General</c:formatCode>
                <c:ptCount val="2"/>
                <c:pt idx="0">
                  <c:v>2090.17</c:v>
                </c:pt>
                <c:pt idx="1">
                  <c:v>2090.17</c:v>
                </c:pt>
              </c:numCache>
            </c:numRef>
          </c:val>
        </c:ser>
        <c:dLbls>
          <c:showLegendKey val="0"/>
          <c:showVal val="0"/>
          <c:showCatName val="0"/>
          <c:showSerName val="0"/>
          <c:showPercent val="0"/>
          <c:showBubbleSize val="0"/>
        </c:dLbls>
        <c:gapWidth val="150"/>
        <c:axId val="288499200"/>
        <c:axId val="288500736"/>
      </c:barChart>
      <c:catAx>
        <c:axId val="288499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8500736"/>
        <c:crosses val="autoZero"/>
        <c:auto val="1"/>
        <c:lblAlgn val="ctr"/>
        <c:lblOffset val="100"/>
        <c:noMultiLvlLbl val="0"/>
      </c:catAx>
      <c:valAx>
        <c:axId val="288500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849920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一般公共预算财政拨款支出决算变动情况（</a:t>
            </a:r>
            <a:r>
              <a:rPr sz="12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08888888888889"/>
          <c:y val="0.0208333333333333"/>
        </c:manualLayout>
      </c:layout>
      <c:overlay val="0"/>
      <c:spPr>
        <a:noFill/>
        <a:ln>
          <a:noFill/>
        </a:ln>
        <a:effectLst/>
      </c:spPr>
    </c:title>
    <c:autoTitleDeleted val="0"/>
    <c:plotArea>
      <c:layout/>
      <c:barChart>
        <c:barDir val="col"/>
        <c:grouping val="clustered"/>
        <c:varyColors val="0"/>
        <c:ser>
          <c:idx val="0"/>
          <c:order val="0"/>
          <c:tx>
            <c:strRef>
              <c:f>[图表2021年.xls]Sheet1!$A$43</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[图表2021年.xls]Sheet1!$B$42:$C$42</c:f>
              <c:numCache>
                <c:formatCode>General</c:formatCode>
                <c:ptCount val="2"/>
                <c:pt idx="0">
                  <c:v>2022</c:v>
                </c:pt>
                <c:pt idx="1">
                  <c:v>2023</c:v>
                </c:pt>
              </c:numCache>
            </c:numRef>
          </c:cat>
          <c:val>
            <c:numRef>
              <c:f>[图表2021年.xls]Sheet1!$B$43:$C$43</c:f>
              <c:numCache>
                <c:formatCode>General</c:formatCode>
                <c:ptCount val="2"/>
                <c:pt idx="0">
                  <c:v>2060.36</c:v>
                </c:pt>
                <c:pt idx="1">
                  <c:v>2056.17</c:v>
                </c:pt>
              </c:numCache>
            </c:numRef>
          </c:val>
        </c:ser>
        <c:dLbls>
          <c:showLegendKey val="0"/>
          <c:showVal val="0"/>
          <c:showCatName val="0"/>
          <c:showSerName val="0"/>
          <c:showPercent val="0"/>
          <c:showBubbleSize val="0"/>
        </c:dLbls>
        <c:gapWidth val="219"/>
        <c:overlap val="-27"/>
        <c:axId val="998203577"/>
        <c:axId val="81689895"/>
      </c:barChart>
      <c:catAx>
        <c:axId val="99820357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689895"/>
        <c:crosses val="autoZero"/>
        <c:auto val="1"/>
        <c:lblAlgn val="ctr"/>
        <c:lblOffset val="100"/>
        <c:noMultiLvlLbl val="0"/>
      </c:catAx>
      <c:valAx>
        <c:axId val="8168989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2035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[图表2021年.xls]Sheet1!$I$45:$I$50</c:f>
              <c:strCache>
                <c:ptCount val="6"/>
                <c:pt idx="0">
                  <c:v>一般公共服务（类）支出</c:v>
                </c:pt>
                <c:pt idx="1">
                  <c:v>社会保障和就业（类）</c:v>
                </c:pt>
                <c:pt idx="2">
                  <c:v>卫生健康支出（类）</c:v>
                </c:pt>
                <c:pt idx="3">
                  <c:v>城乡社区支出（类）</c:v>
                </c:pt>
                <c:pt idx="4">
                  <c:v>灾害防治及应急管理支出（类）</c:v>
                </c:pt>
                <c:pt idx="5">
                  <c:v>住房保障支出（类）</c:v>
                </c:pt>
              </c:strCache>
            </c:strRef>
          </c:cat>
          <c:val>
            <c:numRef>
              <c:f>[图表2021年.xls]Sheet1!$J$45:$J$50</c:f>
              <c:numCache>
                <c:formatCode>0.00%</c:formatCode>
                <c:ptCount val="6"/>
                <c:pt idx="0">
                  <c:v>0.7663</c:v>
                </c:pt>
                <c:pt idx="1">
                  <c:v>0.1297</c:v>
                </c:pt>
                <c:pt idx="2">
                  <c:v>0.0384</c:v>
                </c:pt>
                <c:pt idx="3">
                  <c:v>0.0005</c:v>
                </c:pt>
                <c:pt idx="4">
                  <c:v>0.0069</c:v>
                </c:pt>
                <c:pt idx="5">
                  <c:v>0.0582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[图表2021年.xls]Sheet1!$A$85:$A$86</c:f>
              <c:strCache>
                <c:ptCount val="2"/>
                <c:pt idx="0">
                  <c:v>公务用车购置及运行维护费</c:v>
                </c:pt>
                <c:pt idx="1">
                  <c:v>公务接待</c:v>
                </c:pt>
              </c:strCache>
            </c:strRef>
          </c:cat>
          <c:val>
            <c:numRef>
              <c:f>[图表2021年.xls]Sheet1!$B$85:$B$86</c:f>
              <c:numCache>
                <c:formatCode>0.00%</c:formatCode>
                <c:ptCount val="2"/>
                <c:pt idx="0">
                  <c:v>0.7358</c:v>
                </c:pt>
                <c:pt idx="1">
                  <c:v>0.2672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0.276700782661048</cdr:x>
      <cdr:y>1.54004954582989</cdr:y>
    </cdr:from>
    <cdr:to>
      <cdr:x>0.946297411198073</cdr:x>
      <cdr:y>1</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1459230" y="3075940"/>
          <a:ext cx="3531235" cy="1661160"/>
        </a:xfrm>
        <a:prstGeom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0.276700782661048</cdr:x>
      <cdr:y>1.54004954582989</cdr:y>
    </cdr:from>
    <cdr:to>
      <cdr:x>0.946297411198073</cdr:x>
      <cdr:y>1</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1459230" y="3075940"/>
          <a:ext cx="3531235" cy="1661160"/>
        </a:xfrm>
        <a:prstGeom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70</Pages>
  <Words>34667</Words>
  <Characters>38183</Characters>
  <Lines>61</Lines>
  <Paragraphs>17</Paragraphs>
  <TotalTime>4</TotalTime>
  <ScaleCrop>false</ScaleCrop>
  <LinksUpToDate>false</LinksUpToDate>
  <CharactersWithSpaces>38250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WPS_428334989</cp:lastModifiedBy>
  <cp:lastPrinted>2024-08-22T08:07:00Z</cp:lastPrinted>
  <dcterms:modified xsi:type="dcterms:W3CDTF">2024-08-26T08:52:52Z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A3D82B06649646E7B4F24F9568A8F3D5_12</vt:lpwstr>
  </property>
</Properties>
</file>