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1AAFC">
      <w:pPr>
        <w:spacing w:line="600" w:lineRule="exact"/>
        <w:jc w:val="center"/>
        <w:rPr>
          <w:rFonts w:ascii="方正小标宋简体" w:hAnsi="宋体" w:eastAsia="方正小标宋简体"/>
          <w:sz w:val="72"/>
          <w:szCs w:val="72"/>
        </w:rPr>
      </w:pPr>
      <w:bookmarkStart w:id="0" w:name="_Toc15378441"/>
      <w:bookmarkStart w:id="1" w:name="_Toc15377193"/>
      <w:bookmarkStart w:id="2" w:name="_Toc15396597"/>
      <w:bookmarkStart w:id="3" w:name="_Toc15377425"/>
      <w:bookmarkStart w:id="4" w:name="_Toc15396475"/>
      <w:bookmarkStart w:id="5" w:name="_Toc15306267"/>
    </w:p>
    <w:p w14:paraId="25899DAB">
      <w:pPr>
        <w:spacing w:line="600" w:lineRule="exact"/>
        <w:jc w:val="center"/>
        <w:rPr>
          <w:rFonts w:ascii="方正小标宋简体" w:hAnsi="宋体" w:eastAsia="方正小标宋简体"/>
          <w:sz w:val="72"/>
          <w:szCs w:val="72"/>
        </w:rPr>
      </w:pPr>
    </w:p>
    <w:p w14:paraId="12F290C7">
      <w:pPr>
        <w:spacing w:line="600" w:lineRule="exact"/>
        <w:jc w:val="center"/>
        <w:rPr>
          <w:rFonts w:ascii="方正小标宋简体" w:hAnsi="宋体" w:eastAsia="方正小标宋简体"/>
          <w:sz w:val="72"/>
          <w:szCs w:val="72"/>
        </w:rPr>
      </w:pPr>
    </w:p>
    <w:p w14:paraId="2EF07605">
      <w:pPr>
        <w:spacing w:line="600" w:lineRule="exact"/>
        <w:jc w:val="center"/>
        <w:rPr>
          <w:rFonts w:ascii="方正小标宋简体" w:hAnsi="宋体" w:eastAsia="方正小标宋简体"/>
          <w:sz w:val="72"/>
          <w:szCs w:val="72"/>
        </w:rPr>
      </w:pPr>
    </w:p>
    <w:p w14:paraId="4A6EA42C">
      <w:pPr>
        <w:ind w:firstLine="0" w:firstLineChars="0"/>
        <w:jc w:val="center"/>
        <w:rPr>
          <w:rFonts w:ascii="方正小标宋简体" w:hAnsi="方正小标宋简体" w:eastAsia="方正小标宋简体" w:cs="方正小标宋简体"/>
          <w:sz w:val="72"/>
          <w:szCs w:val="72"/>
        </w:rPr>
      </w:pPr>
      <w:bookmarkStart w:id="6" w:name="_Toc20482"/>
      <w:bookmarkStart w:id="7" w:name="_Toc11699"/>
      <w:bookmarkStart w:id="8" w:name="_Toc3002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bookmarkEnd w:id="7"/>
      <w:bookmarkEnd w:id="8"/>
      <w:bookmarkStart w:id="9" w:name="_Toc15377426"/>
      <w:bookmarkStart w:id="10" w:name="_Toc15396476"/>
      <w:bookmarkStart w:id="11" w:name="_Toc15377194"/>
      <w:bookmarkStart w:id="12" w:name="_Toc15396598"/>
      <w:bookmarkStart w:id="13" w:name="_Toc15378442"/>
    </w:p>
    <w:p w14:paraId="6FF6806D">
      <w:pPr>
        <w:ind w:firstLine="0" w:firstLineChars="0"/>
        <w:jc w:val="center"/>
        <w:rPr>
          <w:rFonts w:ascii="方正小标宋简体" w:hAnsi="方正小标宋简体" w:eastAsia="方正小标宋简体" w:cs="方正小标宋简体"/>
          <w:sz w:val="72"/>
          <w:szCs w:val="72"/>
        </w:rPr>
      </w:pPr>
      <w:bookmarkStart w:id="14" w:name="_Toc11755"/>
      <w:bookmarkStart w:id="15" w:name="_Toc18952"/>
      <w:bookmarkStart w:id="16" w:name="_Toc6499"/>
      <w:r>
        <w:rPr>
          <w:rFonts w:hint="eastAsia" w:ascii="方正小标宋简体" w:hAnsi="方正小标宋简体" w:eastAsia="方正小标宋简体" w:cs="方正小标宋简体"/>
          <w:sz w:val="72"/>
          <w:szCs w:val="72"/>
        </w:rPr>
        <w:t>四川省</w:t>
      </w:r>
      <w:bookmarkEnd w:id="5"/>
      <w:bookmarkStart w:id="17" w:name="_Toc15306268"/>
      <w:r>
        <w:rPr>
          <w:rFonts w:hint="eastAsia" w:ascii="方正小标宋简体" w:hAnsi="方正小标宋简体" w:eastAsia="方正小标宋简体" w:cs="方正小标宋简体"/>
          <w:sz w:val="72"/>
          <w:szCs w:val="72"/>
        </w:rPr>
        <w:t>遂宁市安居区</w:t>
      </w:r>
      <w:bookmarkEnd w:id="14"/>
      <w:bookmarkEnd w:id="15"/>
      <w:bookmarkEnd w:id="16"/>
    </w:p>
    <w:p w14:paraId="2C9215F2">
      <w:pPr>
        <w:ind w:firstLine="0" w:firstLineChars="0"/>
        <w:jc w:val="center"/>
        <w:rPr>
          <w:rFonts w:ascii="方正小标宋简体" w:hAnsi="方正小标宋简体" w:eastAsia="方正小标宋简体" w:cs="方正小标宋简体"/>
          <w:sz w:val="72"/>
          <w:szCs w:val="72"/>
        </w:rPr>
      </w:pPr>
      <w:bookmarkStart w:id="18" w:name="_Toc15947"/>
      <w:bookmarkStart w:id="19" w:name="_Toc20375"/>
      <w:bookmarkStart w:id="20" w:name="_Toc1000"/>
      <w:r>
        <w:rPr>
          <w:rFonts w:hint="eastAsia" w:ascii="方正小标宋简体" w:hAnsi="方正小标宋简体" w:eastAsia="方正小标宋简体" w:cs="方正小标宋简体"/>
          <w:sz w:val="72"/>
          <w:szCs w:val="72"/>
        </w:rPr>
        <w:t>农业农村局部门决算</w:t>
      </w:r>
      <w:bookmarkEnd w:id="9"/>
      <w:bookmarkEnd w:id="10"/>
      <w:bookmarkEnd w:id="11"/>
      <w:bookmarkEnd w:id="12"/>
      <w:bookmarkEnd w:id="13"/>
      <w:bookmarkEnd w:id="17"/>
      <w:bookmarkEnd w:id="18"/>
      <w:bookmarkEnd w:id="19"/>
      <w:bookmarkEnd w:id="20"/>
    </w:p>
    <w:p w14:paraId="0D678DF4">
      <w:pPr>
        <w:widowControl/>
        <w:spacing w:line="440" w:lineRule="exact"/>
        <w:ind w:firstLine="720"/>
        <w:jc w:val="left"/>
        <w:rPr>
          <w:rFonts w:ascii="仿宋" w:hAnsi="仿宋" w:eastAsia="仿宋"/>
          <w:b/>
          <w:sz w:val="24"/>
        </w:rPr>
      </w:pPr>
      <w:r>
        <w:rPr>
          <w:rFonts w:ascii="方正小标宋简体" w:hAnsi="宋体" w:eastAsia="方正小标宋简体"/>
          <w:sz w:val="36"/>
          <w:szCs w:val="36"/>
        </w:rPr>
        <w:br w:type="page"/>
      </w:r>
      <w:bookmarkStart w:id="21" w:name="_Toc15396599"/>
      <w:bookmarkStart w:id="22" w:name="_Toc15377196"/>
      <w:bookmarkStart w:id="117" w:name="_GoBack"/>
      <w:bookmarkEnd w:id="117"/>
    </w:p>
    <w:p w14:paraId="15EE70D8">
      <w:pPr>
        <w:ind w:firstLine="0" w:firstLineChars="0"/>
        <w:jc w:val="center"/>
        <w:rPr>
          <w:rFonts w:ascii="黑体" w:hAnsi="黑体" w:eastAsia="黑体" w:cs="黑体"/>
          <w:sz w:val="48"/>
          <w:szCs w:val="48"/>
        </w:rPr>
      </w:pPr>
      <w:r>
        <w:rPr>
          <w:rFonts w:hint="eastAsia" w:ascii="黑体" w:hAnsi="黑体" w:eastAsia="黑体" w:cs="黑体"/>
          <w:sz w:val="48"/>
          <w:szCs w:val="48"/>
        </w:rPr>
        <w:t>目</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录</w:t>
      </w:r>
    </w:p>
    <w:p w14:paraId="48FA59FB">
      <w:pPr>
        <w:pStyle w:val="2"/>
        <w:ind w:left="0" w:leftChars="0" w:firstLine="0" w:firstLineChars="0"/>
        <w:jc w:val="center"/>
        <w:rPr>
          <w:rFonts w:hint="default" w:ascii="Times New Roman" w:hAnsi="Times New Roman" w:eastAsia="仿宋_GB2312" w:cs="Times New Roman"/>
          <w:bCs/>
          <w:kern w:val="2"/>
          <w:sz w:val="32"/>
          <w:szCs w:val="32"/>
          <w:lang w:val="en-US" w:eastAsia="zh-CN" w:bidi="ar-SA"/>
        </w:rPr>
      </w:pPr>
      <w:bookmarkStart w:id="23" w:name="_Toc11558"/>
      <w:r>
        <w:rPr>
          <w:rFonts w:hint="default" w:ascii="Times New Roman" w:hAnsi="Times New Roman" w:eastAsia="仿宋_GB2312" w:cs="Times New Roman"/>
          <w:lang w:eastAsia="zh-CN"/>
        </w:rPr>
        <w:t>公开时间：</w:t>
      </w:r>
      <w:r>
        <w:rPr>
          <w:rFonts w:hint="default" w:ascii="Times New Roman" w:hAnsi="Times New Roman" w:eastAsia="仿宋_GB2312" w:cs="Times New Roman"/>
          <w:lang w:val="en-US" w:eastAsia="zh-CN"/>
        </w:rPr>
        <w:t>2024年8月27 日</w:t>
      </w:r>
      <w:bookmarkEnd w:id="23"/>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TOC \o "1-2" \h \u </w:instrText>
      </w:r>
      <w:r>
        <w:rPr>
          <w:rFonts w:hint="default" w:ascii="Times New Roman" w:hAnsi="Times New Roman" w:eastAsia="仿宋_GB2312" w:cs="Times New Roman"/>
        </w:rPr>
        <w:fldChar w:fldCharType="separate"/>
      </w:r>
    </w:p>
    <w:p w14:paraId="3BA46EDA">
      <w:pPr>
        <w:pStyle w:val="14"/>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_Toc16789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第一部分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Cs w:val="0"/>
          <w:sz w:val="28"/>
          <w:szCs w:val="28"/>
        </w:rPr>
        <w:t>部门概况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_Toc16789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1ECB5ED">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_Toc17880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部门职责</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_Toc17880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8A5FADD">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_Toc17421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二、机构设置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_Toc17421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B18C7CD">
      <w:pPr>
        <w:pStyle w:val="14"/>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_Toc31071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第二部分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年度部门决算情况说明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_Toc31071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1EE110E">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_Toc5830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一、收入支出决算总体情况说明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_Toc5830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A91B450">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_Toc24303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二、收入决算情况说明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_Toc24303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33A05FD">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_Toc23561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三、支出决算情况说明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_Toc23561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CA3E21F">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_Toc32746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四、财政拨款收入支出决算总体情况说明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_Toc32746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3B65E8B">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_Toc12015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五、一般公共预算财政拨款支出决算情况说明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_Toc12015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81AEBAE">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_Toc15720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六、一般公共预算财政拨款基本支出决算情况说明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_Toc15720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2B52382">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_Toc25161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七、“三公”经费财政拨款支出决算情况说明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_Toc25161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2EE2664">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_Toc588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八、政府性基金预算支出决算情况说明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_Toc588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D6AE8EE">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_Toc3843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九、国有资本经营预算支出决算情况说明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_Toc3843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6282D7D">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_Toc31814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十、其他重要事项的情况说明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_Toc31814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DE61F38">
      <w:pPr>
        <w:pStyle w:val="14"/>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_Toc13427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第三部分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名词解释</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_Toc13427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A0484A1">
      <w:pPr>
        <w:pStyle w:val="14"/>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_Toc7548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第四部分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_Toc7548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4E9BA59">
      <w:pPr>
        <w:pStyle w:val="14"/>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_Toc21119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第五部分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附表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_Toc21119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83D59AC">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_Toc29638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highlight w:val="none"/>
        </w:rPr>
        <w:t>一、收</w:t>
      </w:r>
      <w:r>
        <w:rPr>
          <w:rFonts w:hint="default" w:ascii="Times New Roman" w:hAnsi="Times New Roman" w:eastAsia="仿宋_GB2312" w:cs="Times New Roman"/>
          <w:bCs w:val="0"/>
          <w:sz w:val="28"/>
          <w:szCs w:val="28"/>
          <w:highlight w:val="none"/>
        </w:rPr>
        <w:t>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_Toc29638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0B501CF">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_Toc25212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highlight w:val="none"/>
        </w:rPr>
        <w:t>二、收</w:t>
      </w:r>
      <w:r>
        <w:rPr>
          <w:rFonts w:hint="default" w:ascii="Times New Roman" w:hAnsi="Times New Roman" w:eastAsia="仿宋_GB2312" w:cs="Times New Roman"/>
          <w:bCs w:val="0"/>
          <w:sz w:val="28"/>
          <w:szCs w:val="28"/>
          <w:highlight w:val="none"/>
        </w:rPr>
        <w:t>入决算表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_Toc25212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45572E6">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_Toc18093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三、</w:t>
      </w:r>
      <w:r>
        <w:rPr>
          <w:rFonts w:hint="default" w:ascii="Times New Roman" w:hAnsi="Times New Roman" w:eastAsia="仿宋_GB2312" w:cs="Times New Roman"/>
          <w:sz w:val="28"/>
          <w:szCs w:val="28"/>
          <w:highlight w:val="none"/>
        </w:rPr>
        <w:t>支</w:t>
      </w:r>
      <w:r>
        <w:rPr>
          <w:rFonts w:hint="default" w:ascii="Times New Roman" w:hAnsi="Times New Roman" w:eastAsia="仿宋_GB2312" w:cs="Times New Roman"/>
          <w:bCs w:val="0"/>
          <w:sz w:val="28"/>
          <w:szCs w:val="28"/>
          <w:highlight w:val="none"/>
        </w:rPr>
        <w:t>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_Toc18093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13E7508">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_Toc20814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四、</w:t>
      </w:r>
      <w:r>
        <w:rPr>
          <w:rFonts w:hint="default" w:ascii="Times New Roman" w:hAnsi="Times New Roman" w:eastAsia="仿宋_GB2312" w:cs="Times New Roman"/>
          <w:sz w:val="28"/>
          <w:szCs w:val="28"/>
          <w:highlight w:val="none"/>
        </w:rPr>
        <w:t>财</w:t>
      </w:r>
      <w:r>
        <w:rPr>
          <w:rFonts w:hint="default" w:ascii="Times New Roman" w:hAnsi="Times New Roman" w:eastAsia="仿宋_GB2312" w:cs="Times New Roman"/>
          <w:bCs w:val="0"/>
          <w:sz w:val="28"/>
          <w:szCs w:val="28"/>
          <w:highlight w:val="none"/>
        </w:rPr>
        <w:t>政拨款收入支出决算总表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_Toc20814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94E6A9C">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_Toc29505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五、</w:t>
      </w:r>
      <w:r>
        <w:rPr>
          <w:rFonts w:hint="default" w:ascii="Times New Roman" w:hAnsi="Times New Roman" w:eastAsia="仿宋_GB2312" w:cs="Times New Roman"/>
          <w:sz w:val="28"/>
          <w:szCs w:val="28"/>
          <w:highlight w:val="none"/>
        </w:rPr>
        <w:t>财</w:t>
      </w:r>
      <w:r>
        <w:rPr>
          <w:rFonts w:hint="default" w:ascii="Times New Roman" w:hAnsi="Times New Roman" w:eastAsia="仿宋_GB2312" w:cs="Times New Roman"/>
          <w:bCs w:val="0"/>
          <w:sz w:val="28"/>
          <w:szCs w:val="28"/>
          <w:highlight w:val="none"/>
        </w:rPr>
        <w:t>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_Toc29505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03B0349">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_Toc20884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六、</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_Toc20884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3B4C38A">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_Toc3333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七、</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_Toc3333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865FF7F">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_Toc11934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八、</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般公共预算财政拨款基本支出决算表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_Toc11934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8B488F0">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_Toc2176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九、</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般公共预算财政拨款项目支出决算表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_Toc2176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E15A869">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_Toc20359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w:t>
      </w:r>
      <w:r>
        <w:rPr>
          <w:rFonts w:hint="default" w:ascii="Times New Roman" w:hAnsi="Times New Roman" w:eastAsia="仿宋_GB2312" w:cs="Times New Roman"/>
          <w:sz w:val="28"/>
          <w:szCs w:val="28"/>
          <w:highlight w:val="none"/>
        </w:rPr>
        <w:t>政</w:t>
      </w:r>
      <w:r>
        <w:rPr>
          <w:rFonts w:hint="default" w:ascii="Times New Roman" w:hAnsi="Times New Roman" w:eastAsia="仿宋_GB2312" w:cs="Times New Roman"/>
          <w:bCs w:val="0"/>
          <w:sz w:val="28"/>
          <w:szCs w:val="28"/>
          <w:highlight w:val="none"/>
        </w:rPr>
        <w:t>府性基金预算财政拨款收入支出决算表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_Toc20359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68B4CA5">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_Toc2658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十一、</w:t>
      </w:r>
      <w:r>
        <w:rPr>
          <w:rFonts w:hint="default" w:ascii="Times New Roman" w:hAnsi="Times New Roman" w:eastAsia="仿宋_GB2312" w:cs="Times New Roman"/>
          <w:sz w:val="28"/>
          <w:szCs w:val="28"/>
          <w:highlight w:val="none"/>
        </w:rPr>
        <w:t>国</w:t>
      </w:r>
      <w:r>
        <w:rPr>
          <w:rFonts w:hint="default" w:ascii="Times New Roman" w:hAnsi="Times New Roman" w:eastAsia="仿宋_GB2312" w:cs="Times New Roman"/>
          <w:bCs w:val="0"/>
          <w:sz w:val="28"/>
          <w:szCs w:val="28"/>
          <w:highlight w:val="none"/>
        </w:rPr>
        <w:t>有资本经营预算</w:t>
      </w:r>
      <w:r>
        <w:rPr>
          <w:rFonts w:hint="default" w:ascii="Times New Roman" w:hAnsi="Times New Roman" w:eastAsia="仿宋_GB2312" w:cs="Times New Roman"/>
          <w:bCs w:val="0"/>
          <w:sz w:val="28"/>
          <w:szCs w:val="28"/>
          <w:highlight w:val="none"/>
          <w:lang w:eastAsia="zh-CN"/>
        </w:rPr>
        <w:t>财政拨款收入</w:t>
      </w:r>
      <w:r>
        <w:rPr>
          <w:rFonts w:hint="default" w:ascii="Times New Roman" w:hAnsi="Times New Roman" w:eastAsia="仿宋_GB2312" w:cs="Times New Roman"/>
          <w:bCs w:val="0"/>
          <w:sz w:val="28"/>
          <w:szCs w:val="28"/>
          <w:highlight w:val="none"/>
        </w:rPr>
        <w:t>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_Toc2658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F95E013">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_Toc16432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十二、</w:t>
      </w:r>
      <w:r>
        <w:rPr>
          <w:rFonts w:hint="default" w:ascii="Times New Roman" w:hAnsi="Times New Roman" w:eastAsia="仿宋_GB2312" w:cs="Times New Roman"/>
          <w:bCs w:val="0"/>
          <w:sz w:val="28"/>
          <w:szCs w:val="28"/>
          <w:highlight w:val="none"/>
          <w:lang w:eastAsia="zh-CN"/>
        </w:rPr>
        <w:t>国有资本经营预算财政拨款支出决算表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_Toc16432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5A46B90">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_Toc26900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十三、</w:t>
      </w:r>
      <w:r>
        <w:rPr>
          <w:rFonts w:hint="default" w:ascii="Times New Roman" w:hAnsi="Times New Roman" w:eastAsia="仿宋_GB2312" w:cs="Times New Roman"/>
          <w:bCs w:val="0"/>
          <w:sz w:val="28"/>
          <w:szCs w:val="28"/>
          <w:highlight w:val="none"/>
          <w:lang w:eastAsia="zh-CN"/>
        </w:rPr>
        <w:t>财政拨款“三公”经费支出决算表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_Toc26900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295D677">
      <w:pPr>
        <w:pStyle w:val="14"/>
        <w:tabs>
          <w:tab w:val="right" w:leader="dot" w:pos="8306"/>
          <w:tab w:val="clear" w:pos="8296"/>
        </w:tabs>
        <w:ind w:left="0" w:leftChars="0" w:firstLine="560" w:firstLineChars="0"/>
        <w:rPr>
          <w:rFonts w:hint="eastAsia" w:eastAsia="黑体" w:asciiTheme="majorHAnsi" w:hAnsiTheme="majorHAnsi" w:cstheme="majorBidi"/>
          <w:b/>
          <w:bCs/>
          <w:sz w:val="32"/>
          <w:szCs w:val="32"/>
        </w:rPr>
      </w:pPr>
      <w:r>
        <w:rPr>
          <w:rFonts w:hint="default" w:ascii="Times New Roman" w:hAnsi="Times New Roman" w:eastAsia="仿宋_GB2312" w:cs="Times New Roman"/>
        </w:rPr>
        <w:fldChar w:fldCharType="end"/>
      </w:r>
    </w:p>
    <w:p w14:paraId="0DC57CED">
      <w:pPr>
        <w:pStyle w:val="2"/>
        <w:ind w:left="0" w:leftChars="0" w:firstLine="0" w:firstLineChars="0"/>
      </w:pPr>
    </w:p>
    <w:p w14:paraId="3493EF98">
      <w:pPr>
        <w:ind w:firstLine="640"/>
        <w:rPr>
          <w:rFonts w:ascii="黑体" w:hAnsi="黑体" w:eastAsia="黑体"/>
        </w:rPr>
      </w:pPr>
      <w:r>
        <w:rPr>
          <w:rFonts w:hint="eastAsia" w:ascii="黑体" w:hAnsi="黑体" w:eastAsia="黑体"/>
        </w:rPr>
        <w:br w:type="page"/>
      </w:r>
    </w:p>
    <w:p w14:paraId="2033F405">
      <w:pPr>
        <w:pStyle w:val="3"/>
        <w:ind w:firstLine="880"/>
        <w:jc w:val="center"/>
        <w:rPr>
          <w:rFonts w:ascii="黑体" w:hAnsi="黑体" w:eastAsia="黑体"/>
          <w:bCs w:val="0"/>
        </w:rPr>
      </w:pPr>
      <w:bookmarkStart w:id="24" w:name="_Toc16789"/>
      <w:r>
        <w:rPr>
          <w:rFonts w:hint="eastAsia" w:ascii="黑体" w:hAnsi="黑体" w:eastAsia="黑体"/>
          <w:b w:val="0"/>
        </w:rPr>
        <w:t>第一部分</w:t>
      </w:r>
      <w:r>
        <w:rPr>
          <w:rFonts w:hint="eastAsia" w:ascii="黑体" w:hAnsi="黑体" w:eastAsia="黑体"/>
          <w:b w:val="0"/>
          <w:lang w:val="en-US" w:eastAsia="zh-CN"/>
        </w:rPr>
        <w:t xml:space="preserve"> </w:t>
      </w:r>
      <w:r>
        <w:rPr>
          <w:rStyle w:val="30"/>
          <w:rFonts w:hint="eastAsia" w:ascii="黑体" w:hAnsi="黑体" w:eastAsia="黑体"/>
          <w:b w:val="0"/>
          <w:bCs w:val="0"/>
        </w:rPr>
        <w:t>部门概况</w:t>
      </w:r>
      <w:bookmarkEnd w:id="21"/>
      <w:bookmarkEnd w:id="22"/>
      <w:bookmarkEnd w:id="24"/>
    </w:p>
    <w:p w14:paraId="0EC9D0C5">
      <w:pPr>
        <w:pStyle w:val="2"/>
        <w:spacing w:line="560" w:lineRule="exact"/>
        <w:ind w:firstLine="640"/>
        <w:rPr>
          <w:rFonts w:hint="eastAsia" w:eastAsia="黑体"/>
          <w:lang w:eastAsia="zh-CN"/>
        </w:rPr>
      </w:pPr>
      <w:bookmarkStart w:id="25" w:name="_Toc15377197"/>
      <w:bookmarkStart w:id="26" w:name="_Toc15396600"/>
      <w:bookmarkStart w:id="27" w:name="_Toc17880"/>
      <w:r>
        <w:rPr>
          <w:rFonts w:hint="eastAsia"/>
        </w:rPr>
        <w:t>一、</w:t>
      </w:r>
      <w:bookmarkEnd w:id="25"/>
      <w:bookmarkEnd w:id="26"/>
      <w:r>
        <w:rPr>
          <w:rFonts w:hint="eastAsia"/>
          <w:lang w:eastAsia="zh-CN"/>
        </w:rPr>
        <w:t>部门职责</w:t>
      </w:r>
      <w:bookmarkEnd w:id="27"/>
    </w:p>
    <w:p w14:paraId="7039CAD1">
      <w:pPr>
        <w:spacing w:line="560" w:lineRule="exact"/>
        <w:ind w:firstLine="640"/>
        <w:rPr>
          <w:bCs/>
          <w:szCs w:val="32"/>
        </w:rPr>
      </w:pPr>
      <w:bookmarkStart w:id="28" w:name="_Toc15377199"/>
      <w:bookmarkStart w:id="29" w:name="_Toc15378446"/>
      <w:r>
        <w:rPr>
          <w:bCs/>
          <w:szCs w:val="32"/>
        </w:rPr>
        <w:t>区农业</w:t>
      </w:r>
      <w:r>
        <w:rPr>
          <w:rFonts w:hint="eastAsia"/>
          <w:bCs/>
          <w:szCs w:val="32"/>
        </w:rPr>
        <w:t>农村</w:t>
      </w:r>
      <w:r>
        <w:rPr>
          <w:bCs/>
          <w:szCs w:val="32"/>
        </w:rPr>
        <w:t>局基本职能主要为：</w:t>
      </w:r>
    </w:p>
    <w:p w14:paraId="5E9C67C0">
      <w:pPr>
        <w:numPr>
          <w:ilvl w:val="0"/>
          <w:numId w:val="2"/>
        </w:numPr>
        <w:spacing w:line="560" w:lineRule="exact"/>
        <w:ind w:firstLine="640"/>
        <w:rPr>
          <w:rFonts w:ascii="仿宋_GB2312" w:hAnsi="仿宋"/>
          <w:szCs w:val="32"/>
        </w:rPr>
      </w:pPr>
      <w:r>
        <w:rPr>
          <w:rFonts w:hint="eastAsia" w:ascii="仿宋_GB2312" w:hAnsi="仿宋"/>
          <w:szCs w:val="32"/>
        </w:rPr>
        <w:t>贯彻执行国家和省、市有关农业工作的法律法规和方针政策，提出我区农业和农村经济发展战略，拟订并组织实施我区农业产业政策，参与拟订各项涉农政策，组织、开展农业行政综合执法工作。</w:t>
      </w:r>
    </w:p>
    <w:p w14:paraId="768F6F44">
      <w:pPr>
        <w:numPr>
          <w:ilvl w:val="0"/>
          <w:numId w:val="2"/>
        </w:numPr>
        <w:spacing w:line="560" w:lineRule="exact"/>
        <w:ind w:firstLine="640"/>
        <w:rPr>
          <w:rFonts w:ascii="仿宋_GB2312" w:hAnsi="仿宋"/>
          <w:szCs w:val="32"/>
        </w:rPr>
      </w:pPr>
      <w:r>
        <w:rPr>
          <w:rFonts w:hint="eastAsia" w:ascii="仿宋_GB2312" w:hAnsi="仿宋"/>
          <w:szCs w:val="32"/>
        </w:rPr>
        <w:t>负责完善农村经营管理体制。指导粮食、经济作物、畜牧及水产等主要农产品生产，组织落实促进粮食等主要农产品生产的相关政策措施，引导农业产业结构调整和产品品质改善。</w:t>
      </w:r>
    </w:p>
    <w:p w14:paraId="35B6EBE4">
      <w:pPr>
        <w:numPr>
          <w:ilvl w:val="0"/>
          <w:numId w:val="2"/>
        </w:numPr>
        <w:spacing w:line="560" w:lineRule="exact"/>
        <w:ind w:firstLine="640"/>
        <w:rPr>
          <w:rFonts w:ascii="仿宋_GB2312" w:hAnsi="仿宋"/>
          <w:szCs w:val="32"/>
        </w:rPr>
      </w:pPr>
      <w:r>
        <w:rPr>
          <w:rFonts w:hint="eastAsia" w:ascii="仿宋_GB2312" w:hAnsi="仿宋"/>
          <w:szCs w:val="32"/>
        </w:rPr>
        <w:t>拟订农业产业化经营的政策措施并组织实施，推进农业产前、产中、产后一体化发展。承担提升农产品质量安全水平的责任。</w:t>
      </w:r>
    </w:p>
    <w:p w14:paraId="4455AF85">
      <w:pPr>
        <w:numPr>
          <w:ilvl w:val="0"/>
          <w:numId w:val="2"/>
        </w:numPr>
        <w:spacing w:line="560" w:lineRule="exact"/>
        <w:ind w:firstLine="640"/>
        <w:rPr>
          <w:rFonts w:ascii="仿宋_GB2312" w:hAnsi="仿宋"/>
          <w:szCs w:val="32"/>
        </w:rPr>
      </w:pPr>
      <w:r>
        <w:rPr>
          <w:rFonts w:hint="eastAsia" w:ascii="仿宋_GB2312" w:hAnsi="仿宋"/>
          <w:szCs w:val="32"/>
        </w:rPr>
        <w:t>负责农作物种子(种苗)、草种、种畜禽、农药、兽药、饲料、饲料添加剂的监督管理；负责农作物、畜禽及水生动植物重大病虫害防治，承担农业防灾减灾责任。</w:t>
      </w:r>
    </w:p>
    <w:p w14:paraId="1A5DBCF8">
      <w:pPr>
        <w:numPr>
          <w:ilvl w:val="0"/>
          <w:numId w:val="2"/>
        </w:numPr>
        <w:spacing w:line="560" w:lineRule="exact"/>
        <w:ind w:firstLine="640"/>
        <w:rPr>
          <w:rFonts w:ascii="仿宋_GB2312" w:hAnsi="仿宋"/>
          <w:szCs w:val="32"/>
        </w:rPr>
      </w:pPr>
      <w:r>
        <w:rPr>
          <w:rFonts w:hint="eastAsia" w:ascii="仿宋_GB2312" w:hAnsi="仿宋"/>
          <w:szCs w:val="32"/>
        </w:rPr>
        <w:t>拟订农业科研、农技推广的规划、计划和有关政策，组织农业资源区划工作。拟订农业生态建设规划并组织实施，指导农村可再生能源综合开发与利用，负责全区国有农场土地的保护、利用和管理工作，指导国有农场的改革和发展。</w:t>
      </w:r>
    </w:p>
    <w:p w14:paraId="6F11E19D">
      <w:pPr>
        <w:numPr>
          <w:ilvl w:val="0"/>
          <w:numId w:val="2"/>
        </w:numPr>
        <w:spacing w:line="560" w:lineRule="exact"/>
        <w:ind w:firstLine="640"/>
        <w:rPr>
          <w:rFonts w:ascii="仿宋_GB2312" w:hAnsi="仿宋"/>
          <w:szCs w:val="32"/>
        </w:rPr>
      </w:pPr>
      <w:r>
        <w:rPr>
          <w:rFonts w:hint="eastAsia" w:ascii="仿宋_GB2312" w:hAnsi="仿宋"/>
          <w:szCs w:val="32"/>
        </w:rPr>
        <w:t>负责农业机械化管理工作，研究拟订农业机械化促进政策，拟订农业机械化发展规划和重大技术措施并组织实施。</w:t>
      </w:r>
    </w:p>
    <w:p w14:paraId="1153DA73">
      <w:pPr>
        <w:numPr>
          <w:ilvl w:val="0"/>
          <w:numId w:val="2"/>
        </w:numPr>
        <w:spacing w:line="560" w:lineRule="exact"/>
        <w:ind w:firstLine="640"/>
        <w:rPr>
          <w:rFonts w:ascii="仿宋_GB2312" w:hAnsi="仿宋"/>
          <w:szCs w:val="32"/>
        </w:rPr>
      </w:pPr>
      <w:r>
        <w:rPr>
          <w:rFonts w:hint="eastAsia" w:ascii="仿宋_GB2312" w:hAnsi="仿宋"/>
          <w:szCs w:val="32"/>
        </w:rPr>
        <w:t>承办政府间农业涉外事务。参与拟订农业对外开放和外向型农民发展规划，指导外向型农业发展，组织开展农业贸易促进工作和技术交流与合作。</w:t>
      </w:r>
    </w:p>
    <w:bookmarkEnd w:id="28"/>
    <w:bookmarkEnd w:id="29"/>
    <w:p w14:paraId="6EF7D42D">
      <w:pPr>
        <w:pStyle w:val="2"/>
        <w:spacing w:line="560" w:lineRule="exact"/>
        <w:ind w:firstLine="640"/>
      </w:pPr>
      <w:bookmarkStart w:id="30" w:name="_Toc15377200"/>
      <w:bookmarkStart w:id="31" w:name="_Toc15396601"/>
      <w:bookmarkStart w:id="32" w:name="_Toc17421"/>
      <w:r>
        <w:rPr>
          <w:rFonts w:hint="eastAsia"/>
        </w:rPr>
        <w:t>二、机构设置</w:t>
      </w:r>
      <w:bookmarkEnd w:id="30"/>
      <w:bookmarkEnd w:id="31"/>
      <w:bookmarkEnd w:id="32"/>
    </w:p>
    <w:p w14:paraId="20FA1519">
      <w:pPr>
        <w:spacing w:line="560" w:lineRule="exact"/>
        <w:ind w:firstLine="640"/>
      </w:pPr>
      <w:r>
        <w:t>遂宁市安居区农业</w:t>
      </w:r>
      <w:r>
        <w:rPr>
          <w:rFonts w:hint="eastAsia"/>
        </w:rPr>
        <w:t>农村</w:t>
      </w:r>
      <w:r>
        <w:t>局</w:t>
      </w:r>
      <w:r>
        <w:rPr>
          <w:rFonts w:hint="eastAsia"/>
        </w:rPr>
        <w:t>下属二级</w:t>
      </w:r>
      <w:r>
        <w:rPr>
          <w:rFonts w:hint="eastAsia"/>
          <w:lang w:val="en-US" w:eastAsia="zh-CN"/>
        </w:rPr>
        <w:t>预算</w:t>
      </w:r>
      <w:r>
        <w:rPr>
          <w:rFonts w:hint="eastAsia"/>
        </w:rPr>
        <w:t>单位0个，其中行政单位0个，参照公务员法管理的事业单位0个，其他事业单位0个。</w:t>
      </w:r>
    </w:p>
    <w:p w14:paraId="6B2FF305">
      <w:pPr>
        <w:spacing w:line="560" w:lineRule="exact"/>
        <w:ind w:firstLine="640"/>
      </w:pPr>
      <w:r>
        <w:t>遂宁市安居区农业</w:t>
      </w:r>
      <w:r>
        <w:rPr>
          <w:rFonts w:hint="eastAsia"/>
        </w:rPr>
        <w:t>农村</w:t>
      </w:r>
      <w:r>
        <w:t>局是全额拨款的行政单位，</w:t>
      </w:r>
      <w:r>
        <w:rPr>
          <w:rFonts w:hint="eastAsia"/>
          <w:lang w:val="en-US" w:eastAsia="zh-CN"/>
        </w:rPr>
        <w:t>是独立核算的</w:t>
      </w:r>
      <w:r>
        <w:t>机构</w:t>
      </w:r>
      <w:r>
        <w:rPr>
          <w:rFonts w:hint="eastAsia"/>
          <w:lang w:eastAsia="zh-CN"/>
        </w:rPr>
        <w:t>。</w:t>
      </w:r>
      <w:r>
        <w:br w:type="page"/>
      </w:r>
    </w:p>
    <w:p w14:paraId="0FD74B03">
      <w:pPr>
        <w:pStyle w:val="3"/>
        <w:ind w:firstLine="880"/>
        <w:jc w:val="center"/>
        <w:rPr>
          <w:rFonts w:ascii="黑体" w:hAnsi="黑体" w:eastAsia="黑体"/>
          <w:b w:val="0"/>
        </w:rPr>
      </w:pPr>
      <w:bookmarkStart w:id="33" w:name="_Toc15396602"/>
      <w:bookmarkStart w:id="34" w:name="_Toc15377204"/>
      <w:bookmarkStart w:id="35" w:name="_Toc31071"/>
      <w:r>
        <w:rPr>
          <w:rFonts w:hint="eastAsia" w:ascii="黑体" w:hAnsi="黑体" w:eastAsia="黑体"/>
          <w:b w:val="0"/>
        </w:rPr>
        <w:t>第二部分202</w:t>
      </w:r>
      <w:r>
        <w:rPr>
          <w:rFonts w:hint="eastAsia" w:ascii="黑体" w:hAnsi="黑体" w:eastAsia="黑体"/>
          <w:b w:val="0"/>
          <w:lang w:val="en-US" w:eastAsia="zh-CN"/>
        </w:rPr>
        <w:t>3</w:t>
      </w:r>
      <w:r>
        <w:rPr>
          <w:rFonts w:hint="eastAsia" w:ascii="黑体" w:hAnsi="黑体" w:eastAsia="黑体"/>
          <w:b w:val="0"/>
        </w:rPr>
        <w:t>年度部门决算情况说明</w:t>
      </w:r>
      <w:bookmarkEnd w:id="33"/>
      <w:bookmarkEnd w:id="34"/>
      <w:bookmarkEnd w:id="35"/>
    </w:p>
    <w:p w14:paraId="524CEE73">
      <w:pPr>
        <w:ind w:firstLine="640"/>
      </w:pPr>
    </w:p>
    <w:p w14:paraId="266C4CDC">
      <w:pPr>
        <w:pStyle w:val="2"/>
        <w:spacing w:line="560" w:lineRule="exact"/>
        <w:ind w:firstLine="640"/>
      </w:pPr>
      <w:bookmarkStart w:id="36" w:name="_Toc15377205"/>
      <w:bookmarkStart w:id="37" w:name="_Toc15396603"/>
      <w:bookmarkStart w:id="38" w:name="_Toc5830"/>
      <w:r>
        <w:rPr>
          <w:rFonts w:hint="eastAsia"/>
        </w:rPr>
        <w:t>一、收入支出决算总体情况说明</w:t>
      </w:r>
      <w:bookmarkEnd w:id="36"/>
      <w:bookmarkEnd w:id="37"/>
      <w:bookmarkEnd w:id="38"/>
    </w:p>
    <w:p w14:paraId="054108F5">
      <w:pPr>
        <w:snapToGrid w:val="0"/>
        <w:spacing w:line="560" w:lineRule="exact"/>
        <w:ind w:firstLine="640" w:firstLineChars="200"/>
        <w:rPr>
          <w:rFonts w:hint="default" w:ascii="仿宋_GB2312" w:hAnsi="仿宋" w:eastAsia="仿宋_GB2312"/>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49811.93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1592.64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_GB2312" w:eastAsia="仿宋_GB2312" w:cs="仿宋_GB2312"/>
          <w:bCs/>
          <w:sz w:val="32"/>
          <w:szCs w:val="32"/>
          <w:lang w:val="en-US" w:eastAsia="zh-CN"/>
        </w:rPr>
        <w:t>政府基金项目</w:t>
      </w:r>
      <w:r>
        <w:rPr>
          <w:rFonts w:hint="eastAsia" w:ascii="仿宋_GB2312" w:hAnsi="仿宋_GB2312" w:cs="仿宋_GB2312"/>
          <w:bCs/>
          <w:sz w:val="32"/>
          <w:szCs w:val="32"/>
          <w:lang w:val="en-US" w:eastAsia="zh-CN"/>
        </w:rPr>
        <w:t>收支</w:t>
      </w:r>
      <w:r>
        <w:rPr>
          <w:rFonts w:hint="eastAsia" w:ascii="仿宋_GB2312" w:hAnsi="仿宋_GB2312" w:eastAsia="仿宋_GB2312" w:cs="仿宋_GB2312"/>
          <w:bCs/>
          <w:sz w:val="32"/>
          <w:szCs w:val="32"/>
          <w:lang w:val="en-US" w:eastAsia="zh-CN"/>
        </w:rPr>
        <w:t>减少</w:t>
      </w:r>
      <w:r>
        <w:rPr>
          <w:rFonts w:hint="eastAsia" w:ascii="仿宋_GB2312" w:hAnsi="仿宋_GB2312" w:cs="仿宋_GB2312"/>
          <w:bCs/>
          <w:sz w:val="32"/>
          <w:szCs w:val="32"/>
          <w:lang w:val="en-US" w:eastAsia="zh-CN"/>
        </w:rPr>
        <w:t>。</w:t>
      </w:r>
    </w:p>
    <w:p w14:paraId="19FCFCD2">
      <w:pPr>
        <w:spacing w:line="240" w:lineRule="auto"/>
        <w:ind w:firstLine="0" w:firstLineChars="0"/>
        <w:jc w:val="center"/>
        <w:rPr>
          <w:rFonts w:ascii="仿宋" w:hAnsi="仿宋" w:eastAsia="仿宋"/>
          <w:szCs w:val="32"/>
        </w:rPr>
      </w:pPr>
      <w:r>
        <w:drawing>
          <wp:anchor distT="0" distB="0" distL="114300" distR="114300" simplePos="0" relativeHeight="251659264" behindDoc="0" locked="0" layoutInCell="1" allowOverlap="1">
            <wp:simplePos x="0" y="0"/>
            <wp:positionH relativeFrom="column">
              <wp:posOffset>223520</wp:posOffset>
            </wp:positionH>
            <wp:positionV relativeFrom="paragraph">
              <wp:posOffset>156845</wp:posOffset>
            </wp:positionV>
            <wp:extent cx="5080000" cy="2219960"/>
            <wp:effectExtent l="4445" t="4445" r="20955"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39" w:name="_Toc15396604"/>
      <w:bookmarkStart w:id="40" w:name="_Toc15377206"/>
      <w:r>
        <w:rPr>
          <w:rFonts w:hint="eastAsia" w:ascii="仿宋" w:hAnsi="仿宋" w:eastAsia="仿宋"/>
          <w:szCs w:val="32"/>
        </w:rPr>
        <w:t>（图</w:t>
      </w:r>
      <w:r>
        <w:rPr>
          <w:rFonts w:ascii="仿宋" w:hAnsi="仿宋" w:eastAsia="仿宋"/>
          <w:szCs w:val="32"/>
        </w:rPr>
        <w:t>1</w:t>
      </w:r>
      <w:r>
        <w:rPr>
          <w:rFonts w:hint="eastAsia" w:ascii="仿宋" w:hAnsi="仿宋" w:eastAsia="仿宋"/>
          <w:szCs w:val="32"/>
        </w:rPr>
        <w:t>：收、支决算总计变动情况图）（柱状图）</w:t>
      </w:r>
    </w:p>
    <w:p w14:paraId="4A469CE9">
      <w:pPr>
        <w:pStyle w:val="2"/>
        <w:spacing w:line="560" w:lineRule="exact"/>
        <w:ind w:firstLine="640"/>
      </w:pPr>
      <w:bookmarkStart w:id="41" w:name="_Toc24303"/>
      <w:r>
        <w:rPr>
          <w:rFonts w:hint="eastAsia"/>
        </w:rPr>
        <w:t>二、收入决算情况说明</w:t>
      </w:r>
      <w:bookmarkEnd w:id="39"/>
      <w:bookmarkEnd w:id="40"/>
      <w:bookmarkEnd w:id="41"/>
    </w:p>
    <w:p w14:paraId="42851CF4">
      <w:pPr>
        <w:spacing w:line="560" w:lineRule="exact"/>
        <w:ind w:firstLine="640"/>
      </w:pPr>
      <w:r>
        <w:t>20</w:t>
      </w:r>
      <w:r>
        <w:rPr>
          <w:rFonts w:hint="eastAsia"/>
        </w:rPr>
        <w:t>2</w:t>
      </w:r>
      <w:r>
        <w:rPr>
          <w:rFonts w:hint="eastAsia"/>
          <w:lang w:val="en-US" w:eastAsia="zh-CN"/>
        </w:rPr>
        <w:t>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本年收入合计</w:t>
      </w:r>
      <w:r>
        <w:rPr>
          <w:rFonts w:hint="eastAsia" w:ascii="Times New Roman" w:hAnsi="Times New Roman" w:cs="Times New Roman"/>
          <w:b w:val="0"/>
          <w:bCs w:val="0"/>
          <w:i w:val="0"/>
          <w:iCs w:val="0"/>
          <w:color w:val="auto"/>
          <w:sz w:val="32"/>
          <w:szCs w:val="32"/>
          <w:highlight w:val="none"/>
          <w:lang w:val="en-US" w:eastAsia="zh-CN"/>
        </w:rPr>
        <w:t>49811.93</w:t>
      </w:r>
      <w:r>
        <w:rPr>
          <w:rFonts w:hint="default" w:ascii="Times New Roman" w:hAnsi="Times New Roman" w:eastAsia="仿宋_GB2312" w:cs="Times New Roman"/>
          <w:b w:val="0"/>
          <w:bCs w:val="0"/>
          <w:i w:val="0"/>
          <w:iCs w:val="0"/>
          <w:color w:val="auto"/>
          <w:sz w:val="32"/>
          <w:szCs w:val="32"/>
          <w:highlight w:val="none"/>
        </w:rPr>
        <w:t>万元，其中：一般公共预算财政拨款收入</w:t>
      </w:r>
      <w:r>
        <w:rPr>
          <w:rFonts w:hint="eastAsia" w:ascii="Times New Roman" w:hAnsi="Times New Roman" w:cs="Times New Roman"/>
          <w:b w:val="0"/>
          <w:bCs w:val="0"/>
          <w:i w:val="0"/>
          <w:iCs w:val="0"/>
          <w:color w:val="auto"/>
          <w:sz w:val="32"/>
          <w:szCs w:val="32"/>
          <w:highlight w:val="none"/>
          <w:lang w:val="en-US" w:eastAsia="zh-CN"/>
        </w:rPr>
        <w:t>44440.31</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89.22</w:t>
      </w:r>
      <w:r>
        <w:rPr>
          <w:rFonts w:hint="default" w:ascii="Times New Roman" w:hAnsi="Times New Roman" w:eastAsia="仿宋_GB2312" w:cs="Times New Roman"/>
          <w:b w:val="0"/>
          <w:bCs w:val="0"/>
          <w:i w:val="0"/>
          <w:iCs w:val="0"/>
          <w:color w:val="auto"/>
          <w:sz w:val="32"/>
          <w:szCs w:val="32"/>
          <w:highlight w:val="none"/>
        </w:rPr>
        <w:t>%；政府性基金预算财政拨款收入</w:t>
      </w:r>
      <w:r>
        <w:rPr>
          <w:rFonts w:hint="eastAsia" w:ascii="Times New Roman" w:hAnsi="Times New Roman" w:cs="Times New Roman"/>
          <w:b w:val="0"/>
          <w:bCs w:val="0"/>
          <w:i w:val="0"/>
          <w:iCs w:val="0"/>
          <w:color w:val="auto"/>
          <w:sz w:val="32"/>
          <w:szCs w:val="32"/>
          <w:highlight w:val="none"/>
          <w:lang w:val="en-US" w:eastAsia="zh-CN"/>
        </w:rPr>
        <w:t>5371.62</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10.78</w:t>
      </w:r>
      <w:r>
        <w:rPr>
          <w:rFonts w:hint="default" w:ascii="Times New Roman" w:hAnsi="Times New Roman" w:eastAsia="仿宋_GB2312" w:cs="Times New Roman"/>
          <w:b w:val="0"/>
          <w:bCs w:val="0"/>
          <w:i w:val="0"/>
          <w:iCs w:val="0"/>
          <w:color w:val="auto"/>
          <w:sz w:val="32"/>
          <w:szCs w:val="32"/>
          <w:highlight w:val="none"/>
        </w:rPr>
        <w:t>%</w:t>
      </w:r>
    </w:p>
    <w:p w14:paraId="7EB51BD3">
      <w:pPr>
        <w:spacing w:line="560" w:lineRule="exact"/>
        <w:jc w:val="center"/>
        <w:rPr>
          <w:rFonts w:ascii="仿宋" w:hAnsi="仿宋" w:eastAsia="仿宋"/>
          <w:szCs w:val="32"/>
        </w:rPr>
      </w:pPr>
      <w:r>
        <w:drawing>
          <wp:anchor distT="0" distB="0" distL="0" distR="0" simplePos="0" relativeHeight="251660288" behindDoc="0" locked="0" layoutInCell="1" allowOverlap="1">
            <wp:simplePos x="0" y="0"/>
            <wp:positionH relativeFrom="column">
              <wp:posOffset>-43180</wp:posOffset>
            </wp:positionH>
            <wp:positionV relativeFrom="paragraph">
              <wp:posOffset>194945</wp:posOffset>
            </wp:positionV>
            <wp:extent cx="5506720" cy="2794000"/>
            <wp:effectExtent l="4445" t="4445" r="13335" b="2095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42" w:name="_Toc15377207"/>
      <w:bookmarkStart w:id="43" w:name="_Toc15396605"/>
      <w:r>
        <w:rPr>
          <w:rFonts w:hint="eastAsia" w:ascii="仿宋" w:hAnsi="仿宋" w:eastAsia="仿宋"/>
          <w:szCs w:val="32"/>
        </w:rPr>
        <w:t>（图2：收入决算结构图）（饼状图）</w:t>
      </w:r>
    </w:p>
    <w:p w14:paraId="168C9B66">
      <w:pPr>
        <w:pStyle w:val="2"/>
        <w:spacing w:line="560" w:lineRule="exact"/>
        <w:ind w:firstLine="640"/>
      </w:pPr>
      <w:bookmarkStart w:id="44" w:name="_Toc23561"/>
      <w:r>
        <w:rPr>
          <w:rFonts w:hint="eastAsia"/>
        </w:rPr>
        <w:t>三、支出决算情况说明</w:t>
      </w:r>
      <w:bookmarkEnd w:id="42"/>
      <w:bookmarkEnd w:id="43"/>
      <w:bookmarkEnd w:id="44"/>
    </w:p>
    <w:p w14:paraId="359F41E4">
      <w:pPr>
        <w:spacing w:line="560" w:lineRule="exact"/>
        <w:ind w:firstLine="640"/>
      </w:pPr>
      <w:r>
        <w:t>20</w:t>
      </w:r>
      <w:r>
        <w:rPr>
          <w:rFonts w:hint="eastAsia"/>
        </w:rPr>
        <w:t>2</w:t>
      </w:r>
      <w:r>
        <w:rPr>
          <w:rFonts w:hint="eastAsia"/>
          <w:lang w:val="en-US" w:eastAsia="zh-CN"/>
        </w:rPr>
        <w:t>3</w:t>
      </w:r>
      <w:r>
        <w:rPr>
          <w:rFonts w:hint="eastAsia"/>
        </w:rPr>
        <w:t>年本年支出合计</w:t>
      </w:r>
      <w:r>
        <w:rPr>
          <w:rFonts w:hint="eastAsia"/>
          <w:lang w:val="en-US" w:eastAsia="zh-CN"/>
        </w:rPr>
        <w:t>49811.93</w:t>
      </w:r>
      <w:r>
        <w:rPr>
          <w:rFonts w:hint="eastAsia"/>
        </w:rPr>
        <w:t>万元，其中：基本支出</w:t>
      </w:r>
      <w:r>
        <w:rPr>
          <w:rFonts w:hint="eastAsia"/>
          <w:lang w:val="en-US" w:eastAsia="zh-CN"/>
        </w:rPr>
        <w:t>4970.1</w:t>
      </w:r>
      <w:r>
        <w:rPr>
          <w:rFonts w:hint="eastAsia"/>
        </w:rPr>
        <w:t>万元，占</w:t>
      </w:r>
      <w:r>
        <w:rPr>
          <w:rFonts w:hint="eastAsia"/>
          <w:lang w:val="en-US" w:eastAsia="zh-CN"/>
        </w:rPr>
        <w:t>9.98</w:t>
      </w:r>
      <w:r>
        <w:t>%</w:t>
      </w:r>
      <w:r>
        <w:rPr>
          <w:rFonts w:hint="eastAsia"/>
        </w:rPr>
        <w:t>；项目支出</w:t>
      </w:r>
      <w:r>
        <w:rPr>
          <w:rFonts w:hint="eastAsia"/>
          <w:lang w:val="en-US" w:eastAsia="zh-CN"/>
        </w:rPr>
        <w:t>44841.82</w:t>
      </w:r>
      <w:r>
        <w:rPr>
          <w:rFonts w:hint="eastAsia"/>
        </w:rPr>
        <w:t>万元，占</w:t>
      </w:r>
      <w:r>
        <w:rPr>
          <w:rFonts w:hint="eastAsia"/>
          <w:lang w:val="en-US" w:eastAsia="zh-CN"/>
        </w:rPr>
        <w:t>90.02</w:t>
      </w:r>
      <w:r>
        <w:t>%</w:t>
      </w:r>
      <w:r>
        <w:rPr>
          <w:rFonts w:hint="eastAsia"/>
        </w:rPr>
        <w:t>。</w:t>
      </w:r>
    </w:p>
    <w:p w14:paraId="571F388B">
      <w:pPr>
        <w:spacing w:line="560" w:lineRule="exact"/>
        <w:ind w:firstLine="640"/>
        <w:rPr>
          <w:rFonts w:ascii="仿宋" w:hAnsi="仿宋" w:eastAsia="仿宋"/>
          <w:szCs w:val="32"/>
        </w:rPr>
      </w:pPr>
      <w:r>
        <w:drawing>
          <wp:anchor distT="0" distB="0" distL="0" distR="0" simplePos="0" relativeHeight="251661312" behindDoc="0" locked="0" layoutInCell="1" allowOverlap="1">
            <wp:simplePos x="0" y="0"/>
            <wp:positionH relativeFrom="column">
              <wp:posOffset>24130</wp:posOffset>
            </wp:positionH>
            <wp:positionV relativeFrom="paragraph">
              <wp:posOffset>125095</wp:posOffset>
            </wp:positionV>
            <wp:extent cx="5488940" cy="1849755"/>
            <wp:effectExtent l="4445" t="4445" r="12065" b="1270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33C3CFF">
      <w:pPr>
        <w:spacing w:line="560" w:lineRule="exact"/>
        <w:ind w:left="0" w:leftChars="0" w:firstLine="0" w:firstLineChars="0"/>
        <w:jc w:val="center"/>
        <w:rPr>
          <w:rFonts w:ascii="仿宋_GB2312"/>
          <w:szCs w:val="32"/>
        </w:rPr>
      </w:pPr>
      <w:r>
        <w:rPr>
          <w:rFonts w:hint="eastAsia" w:ascii="仿宋" w:hAnsi="仿宋" w:eastAsia="仿宋"/>
          <w:szCs w:val="32"/>
        </w:rPr>
        <w:t>（图3：支出决算结构图）（饼状图）</w:t>
      </w:r>
    </w:p>
    <w:p w14:paraId="5646F075">
      <w:pPr>
        <w:pStyle w:val="2"/>
        <w:spacing w:line="560" w:lineRule="exact"/>
        <w:ind w:firstLine="640"/>
      </w:pPr>
      <w:bookmarkStart w:id="45" w:name="_Toc15377208"/>
      <w:bookmarkStart w:id="46" w:name="_Toc15396606"/>
      <w:bookmarkStart w:id="47" w:name="_Toc32746"/>
      <w:r>
        <w:rPr>
          <w:rFonts w:hint="eastAsia"/>
        </w:rPr>
        <w:t>四、财政拨款收入支出决算总体情况说明</w:t>
      </w:r>
      <w:bookmarkEnd w:id="45"/>
      <w:bookmarkEnd w:id="46"/>
      <w:bookmarkEnd w:id="47"/>
    </w:p>
    <w:p w14:paraId="56F2E774">
      <w:pPr>
        <w:snapToGrid w:val="0"/>
        <w:spacing w:line="560" w:lineRule="exact"/>
        <w:ind w:firstLine="640" w:firstLineChars="200"/>
        <w:rPr>
          <w:rFonts w:hint="default" w:ascii="仿宋_GB2312" w:hAnsi="仿宋" w:eastAsia="仿宋_GB2312"/>
          <w:sz w:val="32"/>
          <w:szCs w:val="32"/>
          <w:lang w:val="en-US" w:eastAsia="zh-CN"/>
        </w:rPr>
      </w:pPr>
      <w:r>
        <w:t>20</w:t>
      </w:r>
      <w:r>
        <w:rPr>
          <w:rFonts w:hint="eastAsia"/>
        </w:rPr>
        <w:t>2</w:t>
      </w:r>
      <w:r>
        <w:rPr>
          <w:rFonts w:hint="eastAsia"/>
          <w:lang w:val="en-US" w:eastAsia="zh-CN"/>
        </w:rPr>
        <w:t>3</w:t>
      </w:r>
      <w:r>
        <w:rPr>
          <w:rFonts w:hint="eastAsia"/>
        </w:rPr>
        <w:t>年财政拨款收、支总计</w:t>
      </w:r>
      <w:r>
        <w:rPr>
          <w:rFonts w:hint="eastAsia"/>
          <w:lang w:eastAsia="zh-CN"/>
        </w:rPr>
        <w:t>均为</w:t>
      </w:r>
      <w:r>
        <w:rPr>
          <w:rFonts w:hint="eastAsia" w:ascii="仿宋" w:hAnsi="仿宋" w:eastAsia="仿宋"/>
          <w:color w:val="auto"/>
          <w:sz w:val="32"/>
          <w:szCs w:val="32"/>
          <w:highlight w:val="none"/>
          <w:lang w:val="en-US" w:eastAsia="zh-CN"/>
        </w:rPr>
        <w:t>49811.93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1592.64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_GB2312" w:eastAsia="仿宋_GB2312" w:cs="仿宋_GB2312"/>
          <w:bCs/>
          <w:sz w:val="32"/>
          <w:szCs w:val="32"/>
          <w:lang w:val="en-US" w:eastAsia="zh-CN"/>
        </w:rPr>
        <w:t>政府基金项目</w:t>
      </w:r>
      <w:r>
        <w:rPr>
          <w:rFonts w:hint="eastAsia" w:ascii="仿宋_GB2312" w:hAnsi="仿宋_GB2312" w:cs="仿宋_GB2312"/>
          <w:bCs/>
          <w:sz w:val="32"/>
          <w:szCs w:val="32"/>
          <w:lang w:val="en-US" w:eastAsia="zh-CN"/>
        </w:rPr>
        <w:t>收支</w:t>
      </w:r>
      <w:r>
        <w:rPr>
          <w:rFonts w:hint="eastAsia" w:ascii="仿宋_GB2312" w:hAnsi="仿宋_GB2312" w:eastAsia="仿宋_GB2312" w:cs="仿宋_GB2312"/>
          <w:bCs/>
          <w:sz w:val="32"/>
          <w:szCs w:val="32"/>
          <w:lang w:val="en-US" w:eastAsia="zh-CN"/>
        </w:rPr>
        <w:t>减少</w:t>
      </w:r>
      <w:r>
        <w:rPr>
          <w:rFonts w:hint="eastAsia" w:ascii="仿宋_GB2312" w:hAnsi="仿宋_GB2312" w:cs="仿宋_GB2312"/>
          <w:bCs/>
          <w:sz w:val="32"/>
          <w:szCs w:val="32"/>
          <w:lang w:val="en-US" w:eastAsia="zh-CN"/>
        </w:rPr>
        <w:t>。</w:t>
      </w:r>
    </w:p>
    <w:p w14:paraId="3BF24E45">
      <w:pPr>
        <w:spacing w:line="560" w:lineRule="exact"/>
        <w:ind w:firstLine="640"/>
        <w:rPr>
          <w:rFonts w:hint="eastAsia"/>
        </w:rPr>
      </w:pPr>
      <w:r>
        <w:drawing>
          <wp:anchor distT="0" distB="0" distL="114300" distR="114300" simplePos="0" relativeHeight="251662336" behindDoc="0" locked="0" layoutInCell="1" allowOverlap="1">
            <wp:simplePos x="0" y="0"/>
            <wp:positionH relativeFrom="column">
              <wp:posOffset>92075</wp:posOffset>
            </wp:positionH>
            <wp:positionV relativeFrom="paragraph">
              <wp:posOffset>89535</wp:posOffset>
            </wp:positionV>
            <wp:extent cx="5150485" cy="1633220"/>
            <wp:effectExtent l="4445" t="4445" r="7620" b="1968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48" w:name="_Toc15377209"/>
      <w:bookmarkStart w:id="49" w:name="_Toc15396607"/>
      <w:r>
        <w:rPr>
          <w:rFonts w:hint="eastAsia" w:ascii="仿宋" w:hAnsi="仿宋" w:eastAsia="仿宋"/>
          <w:szCs w:val="32"/>
        </w:rPr>
        <w:t>（图4：财政拨款收、支决算总计变动情况）（柱状图）</w:t>
      </w:r>
    </w:p>
    <w:p w14:paraId="085DCB05">
      <w:pPr>
        <w:pStyle w:val="2"/>
        <w:spacing w:line="560" w:lineRule="exact"/>
        <w:ind w:firstLine="640"/>
      </w:pPr>
      <w:bookmarkStart w:id="50" w:name="_Toc12015"/>
      <w:r>
        <w:rPr>
          <w:rFonts w:hint="eastAsia"/>
        </w:rPr>
        <w:t>五、一般公共预算财政拨款支出决算情况说明</w:t>
      </w:r>
      <w:bookmarkEnd w:id="48"/>
      <w:bookmarkEnd w:id="49"/>
      <w:bookmarkEnd w:id="50"/>
    </w:p>
    <w:p w14:paraId="0A385B3E">
      <w:pPr>
        <w:pStyle w:val="4"/>
        <w:spacing w:line="560" w:lineRule="exact"/>
        <w:ind w:firstLine="640"/>
      </w:pPr>
      <w:bookmarkStart w:id="51" w:name="_Toc15377210"/>
      <w:r>
        <w:rPr>
          <w:rFonts w:hint="eastAsia"/>
        </w:rPr>
        <w:t>（一）一般公共预算财政拨款支出决算总体情况</w:t>
      </w:r>
      <w:bookmarkEnd w:id="51"/>
    </w:p>
    <w:p w14:paraId="16248C89">
      <w:pPr>
        <w:spacing w:line="560" w:lineRule="exact"/>
        <w:ind w:firstLine="640"/>
      </w:pPr>
      <w:r>
        <w:rPr>
          <w:szCs w:val="32"/>
        </w:rPr>
        <w:drawing>
          <wp:anchor distT="0" distB="0" distL="114300" distR="114300" simplePos="0" relativeHeight="251663360" behindDoc="0" locked="0" layoutInCell="1" allowOverlap="1">
            <wp:simplePos x="0" y="0"/>
            <wp:positionH relativeFrom="column">
              <wp:posOffset>-46990</wp:posOffset>
            </wp:positionH>
            <wp:positionV relativeFrom="paragraph">
              <wp:posOffset>1807845</wp:posOffset>
            </wp:positionV>
            <wp:extent cx="5441315" cy="2781300"/>
            <wp:effectExtent l="4445" t="4445" r="21590"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t>20</w:t>
      </w:r>
      <w:r>
        <w:rPr>
          <w:rFonts w:hint="eastAsia"/>
        </w:rPr>
        <w:t>2</w:t>
      </w:r>
      <w:r>
        <w:rPr>
          <w:rFonts w:hint="eastAsia"/>
          <w:lang w:val="en-US" w:eastAsia="zh-CN"/>
        </w:rPr>
        <w:t>3</w:t>
      </w:r>
      <w:r>
        <w:rPr>
          <w:rFonts w:hint="eastAsia"/>
        </w:rPr>
        <w:t>年一般公共预算财政拨款支出</w:t>
      </w:r>
      <w:r>
        <w:rPr>
          <w:rFonts w:hint="eastAsia"/>
          <w:lang w:val="en-US" w:eastAsia="zh-CN"/>
        </w:rPr>
        <w:t>44440.31</w:t>
      </w:r>
      <w:r>
        <w:rPr>
          <w:rFonts w:hint="eastAsia"/>
        </w:rPr>
        <w:t>万元，占本年支出合计的</w:t>
      </w:r>
      <w:r>
        <w:rPr>
          <w:rFonts w:hint="eastAsia"/>
          <w:lang w:val="en-US" w:eastAsia="zh-CN"/>
        </w:rPr>
        <w:t>89.22</w:t>
      </w:r>
      <w:r>
        <w:t>%</w:t>
      </w:r>
      <w:r>
        <w:rPr>
          <w:rFonts w:hint="eastAsia"/>
        </w:rPr>
        <w:t>。与</w:t>
      </w:r>
      <w:r>
        <w:t>20</w:t>
      </w:r>
      <w:r>
        <w:rPr>
          <w:rFonts w:hint="eastAsia"/>
        </w:rPr>
        <w:t>2</w:t>
      </w:r>
      <w:r>
        <w:rPr>
          <w:rFonts w:hint="eastAsia"/>
          <w:lang w:val="en-US" w:eastAsia="zh-CN"/>
        </w:rPr>
        <w:t>2</w:t>
      </w:r>
      <w:r>
        <w:rPr>
          <w:rFonts w:hint="eastAsia"/>
        </w:rPr>
        <w:t>年相比，一般公共预算财政拨款支出增加</w:t>
      </w:r>
      <w:r>
        <w:rPr>
          <w:rFonts w:hint="eastAsia"/>
          <w:lang w:val="en-US" w:eastAsia="zh-CN"/>
        </w:rPr>
        <w:t>1941.64</w:t>
      </w:r>
      <w:r>
        <w:rPr>
          <w:rFonts w:hint="eastAsia"/>
        </w:rPr>
        <w:t>万元，增长</w:t>
      </w:r>
      <w:r>
        <w:rPr>
          <w:rFonts w:hint="eastAsia"/>
          <w:lang w:val="en-US" w:eastAsia="zh-CN"/>
        </w:rPr>
        <w:t>4.57</w:t>
      </w:r>
      <w:r>
        <w:t>%</w:t>
      </w:r>
      <w:r>
        <w:rPr>
          <w:rFonts w:hint="eastAsia"/>
        </w:rPr>
        <w:t>。主要变动原因是202</w:t>
      </w:r>
      <w:r>
        <w:rPr>
          <w:rFonts w:hint="eastAsia"/>
          <w:lang w:val="en-US" w:eastAsia="zh-CN"/>
        </w:rPr>
        <w:t>3</w:t>
      </w:r>
      <w:r>
        <w:rPr>
          <w:rFonts w:hint="eastAsia"/>
        </w:rPr>
        <w:t>年一般公共预算财政拨款</w:t>
      </w:r>
      <w:r>
        <w:rPr>
          <w:rFonts w:hint="eastAsia"/>
          <w:lang w:eastAsia="zh-CN"/>
        </w:rPr>
        <w:t>支出，</w:t>
      </w:r>
      <w:r>
        <w:rPr>
          <w:rFonts w:hint="eastAsia"/>
        </w:rPr>
        <w:t>主要是</w:t>
      </w:r>
      <w:r>
        <w:rPr>
          <w:rFonts w:hint="eastAsia" w:ascii="仿宋_GB2312" w:hAnsi="仿宋_GB2312" w:eastAsia="仿宋_GB2312" w:cs="仿宋_GB2312"/>
          <w:bCs/>
          <w:sz w:val="32"/>
          <w:szCs w:val="32"/>
          <w:lang w:val="en-US" w:eastAsia="zh-CN"/>
        </w:rPr>
        <w:t>高标准农田建设、乡村振兴</w:t>
      </w:r>
      <w:r>
        <w:rPr>
          <w:rFonts w:hint="eastAsia" w:ascii="仿宋_GB2312" w:hAnsi="仿宋_GB2312" w:cs="仿宋_GB2312"/>
          <w:bCs/>
          <w:sz w:val="32"/>
          <w:szCs w:val="32"/>
          <w:lang w:val="en-US" w:eastAsia="zh-CN"/>
        </w:rPr>
        <w:t>等</w:t>
      </w:r>
      <w:r>
        <w:rPr>
          <w:rFonts w:hint="eastAsia"/>
        </w:rPr>
        <w:t>项目</w:t>
      </w:r>
      <w:r>
        <w:rPr>
          <w:rFonts w:hint="eastAsia"/>
          <w:lang w:eastAsia="zh-CN"/>
        </w:rPr>
        <w:t>支出增加</w:t>
      </w:r>
      <w:r>
        <w:rPr>
          <w:rFonts w:hint="eastAsia"/>
        </w:rPr>
        <w:t>。</w:t>
      </w:r>
    </w:p>
    <w:p w14:paraId="07E41A9F">
      <w:pPr>
        <w:spacing w:line="560" w:lineRule="exact"/>
        <w:ind w:left="0" w:leftChars="0" w:firstLine="0" w:firstLineChars="0"/>
        <w:jc w:val="center"/>
        <w:rPr>
          <w:rFonts w:ascii="仿宋" w:hAnsi="仿宋" w:eastAsia="仿宋"/>
          <w:szCs w:val="32"/>
        </w:rPr>
      </w:pPr>
      <w:r>
        <w:rPr>
          <w:rFonts w:hint="eastAsia" w:ascii="仿宋" w:hAnsi="仿宋" w:eastAsia="仿宋"/>
          <w:szCs w:val="32"/>
        </w:rPr>
        <w:t>（图5：一般公共预算财政拨款支出决算变动情况）（柱状图）</w:t>
      </w:r>
    </w:p>
    <w:p w14:paraId="781555F9">
      <w:pPr>
        <w:pStyle w:val="4"/>
        <w:spacing w:line="560" w:lineRule="exact"/>
        <w:ind w:firstLine="640"/>
      </w:pPr>
      <w:bookmarkStart w:id="52" w:name="_Toc15377211"/>
      <w:r>
        <w:rPr>
          <w:rFonts w:hint="eastAsia"/>
        </w:rPr>
        <w:t>（二）一般公共预算财政拨款支出决算结构情况</w:t>
      </w:r>
      <w:bookmarkEnd w:id="52"/>
    </w:p>
    <w:p w14:paraId="2DBA99E7">
      <w:pPr>
        <w:spacing w:line="560" w:lineRule="exact"/>
        <w:ind w:firstLine="640"/>
      </w:pPr>
      <w:r>
        <w:t>20</w:t>
      </w:r>
      <w:r>
        <w:rPr>
          <w:rFonts w:hint="eastAsia"/>
        </w:rPr>
        <w:t>2</w:t>
      </w:r>
      <w:r>
        <w:rPr>
          <w:rFonts w:hint="eastAsia"/>
          <w:lang w:val="en-US" w:eastAsia="zh-CN"/>
        </w:rPr>
        <w:t>2</w:t>
      </w:r>
      <w:r>
        <w:rPr>
          <w:rFonts w:hint="eastAsia"/>
        </w:rPr>
        <w:t>年一般公共预算财政拨款支出</w:t>
      </w:r>
      <w:r>
        <w:rPr>
          <w:rFonts w:hint="eastAsia"/>
          <w:lang w:val="en-US" w:eastAsia="zh-CN"/>
        </w:rPr>
        <w:t>44440.31</w:t>
      </w:r>
      <w:r>
        <w:rPr>
          <w:rFonts w:hint="eastAsia"/>
        </w:rPr>
        <w:t>万元，主要用于以下方面：</w:t>
      </w:r>
      <w:r>
        <w:rPr>
          <w:rFonts w:hint="eastAsia"/>
          <w:b/>
          <w:bCs/>
        </w:rPr>
        <w:t>一般公共服务</w:t>
      </w:r>
      <w:r>
        <w:rPr>
          <w:rFonts w:hint="eastAsia"/>
          <w:b/>
          <w:bCs/>
          <w:lang w:eastAsia="zh-CN"/>
        </w:rPr>
        <w:t>支出</w:t>
      </w:r>
      <w:r>
        <w:rPr>
          <w:rFonts w:hint="eastAsia"/>
          <w:b/>
          <w:bCs/>
        </w:rPr>
        <w:t>（类）</w:t>
      </w:r>
      <w:r>
        <w:rPr>
          <w:rFonts w:hint="eastAsia"/>
        </w:rPr>
        <w:t>支出</w:t>
      </w:r>
      <w:r>
        <w:rPr>
          <w:rFonts w:hint="eastAsia"/>
          <w:lang w:val="en-US" w:eastAsia="zh-CN"/>
        </w:rPr>
        <w:t>40.6</w:t>
      </w:r>
      <w:r>
        <w:rPr>
          <w:rFonts w:hint="eastAsia"/>
        </w:rPr>
        <w:t>万元，占0.</w:t>
      </w:r>
      <w:r>
        <w:rPr>
          <w:rFonts w:hint="eastAsia"/>
          <w:lang w:val="en-US" w:eastAsia="zh-CN"/>
        </w:rPr>
        <w:t>09</w:t>
      </w:r>
      <w:r>
        <w:t>%</w:t>
      </w:r>
      <w:r>
        <w:rPr>
          <w:rFonts w:hint="eastAsia"/>
        </w:rPr>
        <w:t>；</w:t>
      </w:r>
      <w:r>
        <w:rPr>
          <w:rFonts w:hint="eastAsia"/>
          <w:b/>
          <w:bCs/>
        </w:rPr>
        <w:t>社会保障和就业</w:t>
      </w:r>
      <w:r>
        <w:rPr>
          <w:rFonts w:hint="eastAsia"/>
          <w:b/>
          <w:bCs/>
          <w:lang w:eastAsia="zh-CN"/>
        </w:rPr>
        <w:t>支出</w:t>
      </w:r>
      <w:r>
        <w:rPr>
          <w:rFonts w:hint="eastAsia"/>
          <w:b/>
          <w:bCs/>
        </w:rPr>
        <w:t>（类）</w:t>
      </w:r>
      <w:r>
        <w:rPr>
          <w:rFonts w:hint="eastAsia"/>
        </w:rPr>
        <w:t>支出</w:t>
      </w:r>
      <w:r>
        <w:rPr>
          <w:rFonts w:hint="eastAsia"/>
          <w:lang w:val="en-US" w:eastAsia="zh-CN"/>
        </w:rPr>
        <w:t>789.88</w:t>
      </w:r>
      <w:r>
        <w:rPr>
          <w:rFonts w:hint="eastAsia"/>
        </w:rPr>
        <w:t>万元，占</w:t>
      </w:r>
      <w:r>
        <w:rPr>
          <w:rFonts w:hint="eastAsia"/>
          <w:lang w:val="en-US" w:eastAsia="zh-CN"/>
        </w:rPr>
        <w:t>1.78</w:t>
      </w:r>
      <w:r>
        <w:t>%</w:t>
      </w:r>
      <w:r>
        <w:rPr>
          <w:rFonts w:hint="eastAsia"/>
        </w:rPr>
        <w:t>；</w:t>
      </w:r>
      <w:r>
        <w:rPr>
          <w:rFonts w:hint="eastAsia"/>
          <w:b/>
          <w:bCs/>
        </w:rPr>
        <w:t>卫生健康</w:t>
      </w:r>
      <w:r>
        <w:rPr>
          <w:rFonts w:hint="eastAsia"/>
          <w:b/>
          <w:bCs/>
          <w:lang w:eastAsia="zh-CN"/>
        </w:rPr>
        <w:t>支出（</w:t>
      </w:r>
      <w:r>
        <w:rPr>
          <w:rFonts w:hint="eastAsia"/>
          <w:b/>
          <w:bCs/>
        </w:rPr>
        <w:t>类）</w:t>
      </w:r>
      <w:r>
        <w:rPr>
          <w:rFonts w:hint="eastAsia"/>
        </w:rPr>
        <w:t>支出</w:t>
      </w:r>
      <w:r>
        <w:rPr>
          <w:rFonts w:hint="eastAsia"/>
          <w:lang w:val="en-US" w:eastAsia="zh-CN"/>
        </w:rPr>
        <w:t>215.44</w:t>
      </w:r>
      <w:r>
        <w:rPr>
          <w:rFonts w:hint="eastAsia"/>
        </w:rPr>
        <w:t>万元，占</w:t>
      </w:r>
      <w:r>
        <w:rPr>
          <w:rFonts w:hint="eastAsia"/>
          <w:lang w:val="en-US" w:eastAsia="zh-CN"/>
        </w:rPr>
        <w:t>0.48</w:t>
      </w:r>
      <w:r>
        <w:t>%</w:t>
      </w:r>
      <w:r>
        <w:rPr>
          <w:rFonts w:hint="eastAsia"/>
        </w:rPr>
        <w:t>；</w:t>
      </w:r>
      <w:r>
        <w:rPr>
          <w:rFonts w:hint="eastAsia"/>
          <w:b/>
          <w:bCs/>
          <w:lang w:eastAsia="zh-CN"/>
        </w:rPr>
        <w:t>节能环保支出（类）支出</w:t>
      </w:r>
      <w:r>
        <w:rPr>
          <w:rFonts w:hint="eastAsia"/>
          <w:lang w:val="en-US" w:eastAsia="zh-CN"/>
        </w:rPr>
        <w:t>9.59万元，占0.02%；</w:t>
      </w:r>
      <w:r>
        <w:rPr>
          <w:rFonts w:hint="eastAsia"/>
          <w:b/>
          <w:bCs/>
        </w:rPr>
        <w:t>农林水</w:t>
      </w:r>
      <w:r>
        <w:rPr>
          <w:rFonts w:hint="eastAsia"/>
          <w:b/>
          <w:bCs/>
          <w:lang w:eastAsia="zh-CN"/>
        </w:rPr>
        <w:t>支出</w:t>
      </w:r>
      <w:r>
        <w:rPr>
          <w:rFonts w:hint="eastAsia"/>
          <w:b/>
          <w:bCs/>
        </w:rPr>
        <w:t>（类）</w:t>
      </w:r>
      <w:r>
        <w:rPr>
          <w:rFonts w:hint="eastAsia"/>
        </w:rPr>
        <w:t>支出</w:t>
      </w:r>
      <w:r>
        <w:rPr>
          <w:rFonts w:hint="eastAsia"/>
          <w:lang w:val="en-US" w:eastAsia="zh-CN"/>
        </w:rPr>
        <w:t>37722.6</w:t>
      </w:r>
      <w:r>
        <w:rPr>
          <w:rFonts w:hint="eastAsia"/>
        </w:rPr>
        <w:t>万元，占</w:t>
      </w:r>
      <w:r>
        <w:rPr>
          <w:rFonts w:hint="eastAsia"/>
          <w:lang w:val="en-US" w:eastAsia="zh-CN"/>
        </w:rPr>
        <w:t>84.88</w:t>
      </w:r>
      <w:r>
        <w:rPr>
          <w:rFonts w:hint="eastAsia"/>
        </w:rPr>
        <w:t>%；</w:t>
      </w:r>
      <w:r>
        <w:rPr>
          <w:rFonts w:hint="eastAsia"/>
          <w:b/>
          <w:bCs/>
          <w:lang w:eastAsia="zh-CN"/>
        </w:rPr>
        <w:t>资源勘探工业信息等支出（类）</w:t>
      </w:r>
      <w:r>
        <w:rPr>
          <w:rFonts w:hint="eastAsia"/>
          <w:lang w:eastAsia="zh-CN"/>
        </w:rPr>
        <w:t>支出</w:t>
      </w:r>
      <w:r>
        <w:rPr>
          <w:rFonts w:hint="eastAsia"/>
          <w:lang w:val="en-US" w:eastAsia="zh-CN"/>
        </w:rPr>
        <w:t>4115万元，占9.26%；</w:t>
      </w:r>
      <w:r>
        <w:rPr>
          <w:rFonts w:hint="eastAsia"/>
          <w:b/>
          <w:bCs/>
        </w:rPr>
        <w:t>商业服务业等</w:t>
      </w:r>
      <w:r>
        <w:rPr>
          <w:rFonts w:hint="eastAsia"/>
          <w:b/>
          <w:bCs/>
          <w:lang w:eastAsia="zh-CN"/>
        </w:rPr>
        <w:t>支出</w:t>
      </w:r>
      <w:r>
        <w:rPr>
          <w:rFonts w:hint="eastAsia"/>
          <w:b/>
          <w:bCs/>
        </w:rPr>
        <w:t>（类）</w:t>
      </w:r>
      <w:r>
        <w:rPr>
          <w:rFonts w:hint="eastAsia"/>
        </w:rPr>
        <w:t>支出</w:t>
      </w:r>
      <w:r>
        <w:rPr>
          <w:rFonts w:hint="eastAsia"/>
          <w:lang w:val="en-US" w:eastAsia="zh-CN"/>
        </w:rPr>
        <w:t>206.92</w:t>
      </w:r>
      <w:r>
        <w:rPr>
          <w:rFonts w:hint="eastAsia"/>
        </w:rPr>
        <w:t>万元，占</w:t>
      </w:r>
      <w:r>
        <w:rPr>
          <w:rFonts w:hint="eastAsia"/>
          <w:lang w:val="en-US" w:eastAsia="zh-CN"/>
        </w:rPr>
        <w:t>0.47</w:t>
      </w:r>
      <w:r>
        <w:t>%</w:t>
      </w:r>
      <w:r>
        <w:rPr>
          <w:rFonts w:hint="eastAsia"/>
        </w:rPr>
        <w:t>；</w:t>
      </w:r>
      <w:r>
        <w:rPr>
          <w:rFonts w:hint="eastAsia"/>
          <w:b/>
          <w:bCs/>
        </w:rPr>
        <w:t>住房保障</w:t>
      </w:r>
      <w:r>
        <w:rPr>
          <w:rFonts w:hint="eastAsia"/>
          <w:b/>
          <w:bCs/>
          <w:lang w:eastAsia="zh-CN"/>
        </w:rPr>
        <w:t>支出</w:t>
      </w:r>
      <w:r>
        <w:rPr>
          <w:rFonts w:hint="eastAsia"/>
          <w:b/>
          <w:bCs/>
        </w:rPr>
        <w:t>（类）</w:t>
      </w:r>
      <w:r>
        <w:rPr>
          <w:rFonts w:hint="eastAsia"/>
        </w:rPr>
        <w:t>支出</w:t>
      </w:r>
      <w:r>
        <w:rPr>
          <w:rFonts w:hint="eastAsia"/>
          <w:lang w:val="en-US" w:eastAsia="zh-CN"/>
        </w:rPr>
        <w:t>366.7</w:t>
      </w:r>
      <w:r>
        <w:rPr>
          <w:rFonts w:hint="eastAsia"/>
        </w:rPr>
        <w:t>万元，占</w:t>
      </w:r>
      <w:r>
        <w:rPr>
          <w:rFonts w:hint="eastAsia"/>
          <w:lang w:val="en-US" w:eastAsia="zh-CN"/>
        </w:rPr>
        <w:t>0.83</w:t>
      </w:r>
      <w:r>
        <w:t>%</w:t>
      </w:r>
      <w:r>
        <w:rPr>
          <w:rFonts w:hint="eastAsia"/>
        </w:rPr>
        <w:t>；</w:t>
      </w:r>
      <w:r>
        <w:rPr>
          <w:rFonts w:hint="eastAsia"/>
          <w:b/>
          <w:bCs/>
        </w:rPr>
        <w:t>粮油物资储备支出（类）</w:t>
      </w:r>
      <w:r>
        <w:rPr>
          <w:rFonts w:hint="eastAsia"/>
        </w:rPr>
        <w:t>支出</w:t>
      </w:r>
      <w:r>
        <w:rPr>
          <w:rFonts w:hint="eastAsia"/>
          <w:lang w:val="en-US" w:eastAsia="zh-CN"/>
        </w:rPr>
        <w:t>973.56</w:t>
      </w:r>
      <w:r>
        <w:rPr>
          <w:rFonts w:hint="eastAsia"/>
        </w:rPr>
        <w:t>万元，</w:t>
      </w:r>
      <w:r>
        <w:rPr>
          <w:rFonts w:hint="eastAsia"/>
          <w:highlight w:val="none"/>
        </w:rPr>
        <w:t>占</w:t>
      </w:r>
      <w:r>
        <w:rPr>
          <w:rFonts w:hint="eastAsia"/>
          <w:highlight w:val="none"/>
          <w:lang w:val="en-US" w:eastAsia="zh-CN"/>
        </w:rPr>
        <w:t>2.19</w:t>
      </w:r>
      <w:r>
        <w:rPr>
          <w:highlight w:val="none"/>
        </w:rPr>
        <w:t>%</w:t>
      </w:r>
      <w:r>
        <w:rPr>
          <w:rFonts w:hint="eastAsia"/>
          <w:highlight w:val="none"/>
        </w:rPr>
        <w:t>。</w:t>
      </w:r>
    </w:p>
    <w:p w14:paraId="264C3A9F">
      <w:pPr>
        <w:spacing w:line="560" w:lineRule="exact"/>
        <w:ind w:firstLine="0" w:firstLineChars="0"/>
        <w:jc w:val="center"/>
        <w:rPr>
          <w:rFonts w:ascii="仿宋" w:hAnsi="仿宋" w:eastAsia="仿宋"/>
          <w:szCs w:val="32"/>
        </w:rPr>
      </w:pPr>
      <w:r>
        <w:rPr>
          <w:szCs w:val="32"/>
          <w:highlight w:val="yellow"/>
        </w:rPr>
        <w:drawing>
          <wp:anchor distT="0" distB="0" distL="114300" distR="114300" simplePos="0" relativeHeight="251664384" behindDoc="0" locked="0" layoutInCell="1" allowOverlap="1">
            <wp:simplePos x="0" y="0"/>
            <wp:positionH relativeFrom="column">
              <wp:posOffset>61595</wp:posOffset>
            </wp:positionH>
            <wp:positionV relativeFrom="paragraph">
              <wp:posOffset>118110</wp:posOffset>
            </wp:positionV>
            <wp:extent cx="5080000" cy="31623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Cs w:val="32"/>
        </w:rPr>
        <w:t>（图6：一般公共预算财政拨款支出决算结构）（饼状图）</w:t>
      </w:r>
    </w:p>
    <w:p w14:paraId="2BB56DF8">
      <w:pPr>
        <w:pStyle w:val="4"/>
        <w:spacing w:line="560" w:lineRule="exact"/>
        <w:ind w:firstLine="640"/>
      </w:pPr>
      <w:bookmarkStart w:id="53" w:name="_Toc15377212"/>
      <w:r>
        <w:rPr>
          <w:rFonts w:hint="eastAsia"/>
        </w:rPr>
        <w:t>（三）一般公共预算财政拨款支出决算具体情况</w:t>
      </w:r>
      <w:bookmarkEnd w:id="53"/>
    </w:p>
    <w:p w14:paraId="1E174780">
      <w:pPr>
        <w:spacing w:line="560" w:lineRule="exact"/>
        <w:rPr>
          <w:b/>
          <w:bCs/>
        </w:rPr>
      </w:pPr>
      <w:bookmarkStart w:id="54" w:name="_Toc15377444"/>
      <w:bookmarkStart w:id="55" w:name="_Toc15377213"/>
      <w:bookmarkStart w:id="56" w:name="_Toc15378460"/>
      <w:r>
        <w:rPr>
          <w:rFonts w:hint="eastAsia"/>
          <w:b/>
          <w:bCs/>
        </w:rPr>
        <w:t>202</w:t>
      </w:r>
      <w:r>
        <w:rPr>
          <w:rFonts w:hint="eastAsia"/>
          <w:b/>
          <w:bCs/>
          <w:lang w:val="en-US" w:eastAsia="zh-CN"/>
        </w:rPr>
        <w:t>3</w:t>
      </w:r>
      <w:r>
        <w:rPr>
          <w:rFonts w:hint="eastAsia"/>
          <w:b/>
          <w:bCs/>
        </w:rPr>
        <w:t>年一般公共预算支出决算数为</w:t>
      </w:r>
      <w:r>
        <w:rPr>
          <w:rFonts w:hint="eastAsia"/>
          <w:b/>
          <w:bCs/>
          <w:lang w:val="en-US" w:eastAsia="zh-CN"/>
        </w:rPr>
        <w:t>44440.31</w:t>
      </w:r>
      <w:r>
        <w:rPr>
          <w:rFonts w:hint="eastAsia"/>
          <w:color w:val="000000" w:themeColor="text1"/>
          <w:lang w:val="en-US" w:eastAsia="zh-CN"/>
          <w14:textFill>
            <w14:solidFill>
              <w14:schemeClr w14:val="tx1"/>
            </w14:solidFill>
          </w14:textFill>
        </w:rPr>
        <w:t>万元</w:t>
      </w:r>
      <w:r>
        <w:rPr>
          <w:rFonts w:hint="eastAsia"/>
          <w:b/>
          <w:bCs/>
          <w:lang w:val="en-US" w:eastAsia="zh-CN"/>
        </w:rPr>
        <w:t>，</w:t>
      </w:r>
      <w:r>
        <w:rPr>
          <w:rFonts w:hint="eastAsia"/>
          <w:b/>
          <w:bCs/>
        </w:rPr>
        <w:t>完成预算100</w:t>
      </w:r>
      <w:r>
        <w:rPr>
          <w:b/>
          <w:bCs/>
        </w:rPr>
        <w:t>%</w:t>
      </w:r>
      <w:r>
        <w:rPr>
          <w:rFonts w:hint="eastAsia"/>
          <w:b/>
          <w:bCs/>
        </w:rPr>
        <w:t>。其中：</w:t>
      </w:r>
      <w:bookmarkEnd w:id="54"/>
      <w:bookmarkEnd w:id="55"/>
      <w:bookmarkEnd w:id="56"/>
    </w:p>
    <w:p w14:paraId="09EBC91A">
      <w:pPr>
        <w:spacing w:line="560" w:lineRule="exact"/>
        <w:ind w:firstLine="641"/>
      </w:pPr>
      <w:r>
        <w:rPr>
          <w:b/>
          <w:bCs/>
        </w:rPr>
        <w:t>1.</w:t>
      </w:r>
      <w:r>
        <w:rPr>
          <w:rFonts w:hint="eastAsia"/>
          <w:b/>
          <w:bCs/>
        </w:rPr>
        <w:t>一般公共服务（类）</w:t>
      </w:r>
      <w:r>
        <w:rPr>
          <w:rFonts w:hint="eastAsia"/>
          <w:b/>
          <w:bCs/>
          <w:lang w:eastAsia="zh-CN"/>
        </w:rPr>
        <w:t>其他一般公共服务支出</w:t>
      </w:r>
      <w:r>
        <w:rPr>
          <w:rFonts w:hint="eastAsia"/>
          <w:b/>
          <w:bCs/>
        </w:rPr>
        <w:t>（款）</w:t>
      </w:r>
      <w:r>
        <w:rPr>
          <w:rFonts w:hint="eastAsia"/>
          <w:b/>
          <w:bCs/>
          <w:lang w:eastAsia="zh-CN"/>
        </w:rPr>
        <w:t>其他一般公共服务支出</w:t>
      </w:r>
      <w:r>
        <w:rPr>
          <w:rFonts w:hint="eastAsia"/>
          <w:b/>
          <w:bCs/>
        </w:rPr>
        <w:t>（项）</w:t>
      </w:r>
      <w:r>
        <w:rPr>
          <w:b/>
          <w:bCs/>
        </w:rPr>
        <w:t>:</w:t>
      </w:r>
      <w:r>
        <w:rPr>
          <w:rFonts w:hint="eastAsia"/>
        </w:rPr>
        <w:t>支出决算为</w:t>
      </w:r>
      <w:r>
        <w:rPr>
          <w:rFonts w:hint="eastAsia"/>
          <w:lang w:val="en-US" w:eastAsia="zh-CN"/>
        </w:rPr>
        <w:t>40.6</w:t>
      </w:r>
      <w:r>
        <w:rPr>
          <w:rFonts w:hint="eastAsia"/>
        </w:rPr>
        <w:t>万元，完成预算100</w:t>
      </w:r>
      <w:r>
        <w:t>%</w:t>
      </w:r>
      <w:r>
        <w:rPr>
          <w:rFonts w:hint="eastAsia"/>
        </w:rPr>
        <w:t>。</w:t>
      </w:r>
    </w:p>
    <w:p w14:paraId="6DA5E7DB">
      <w:pPr>
        <w:spacing w:line="560" w:lineRule="exact"/>
        <w:ind w:firstLine="641"/>
        <w:rPr>
          <w:rFonts w:hint="eastAsia"/>
        </w:rPr>
      </w:pPr>
      <w:r>
        <w:rPr>
          <w:rFonts w:hint="eastAsia"/>
          <w:b/>
          <w:bCs/>
        </w:rPr>
        <w:t>2</w:t>
      </w:r>
      <w:r>
        <w:rPr>
          <w:b/>
          <w:bCs/>
        </w:rPr>
        <w:t>.</w:t>
      </w:r>
      <w:r>
        <w:rPr>
          <w:rFonts w:hint="eastAsia"/>
          <w:b/>
          <w:bCs/>
        </w:rPr>
        <w:t>社会保障和就业（类）行政事业单位养老支出（款）</w:t>
      </w:r>
      <w:r>
        <w:rPr>
          <w:rFonts w:hint="eastAsia"/>
          <w:b/>
          <w:bCs/>
          <w:lang w:eastAsia="zh-CN"/>
        </w:rPr>
        <w:t>行政单位离退休</w:t>
      </w:r>
      <w:r>
        <w:rPr>
          <w:rFonts w:hint="eastAsia"/>
          <w:b/>
          <w:bCs/>
        </w:rPr>
        <w:t>（项）</w:t>
      </w:r>
      <w:r>
        <w:rPr>
          <w:b/>
          <w:bCs/>
        </w:rPr>
        <w:t>:</w:t>
      </w:r>
      <w:r>
        <w:rPr>
          <w:rFonts w:hint="eastAsia"/>
        </w:rPr>
        <w:t>支出决算为</w:t>
      </w:r>
      <w:r>
        <w:rPr>
          <w:rFonts w:hint="eastAsia"/>
          <w:lang w:val="en-US" w:eastAsia="zh-CN"/>
        </w:rPr>
        <w:t>328.58</w:t>
      </w:r>
      <w:r>
        <w:rPr>
          <w:rFonts w:hint="eastAsia"/>
        </w:rPr>
        <w:t>万元，完成预算100</w:t>
      </w:r>
      <w:r>
        <w:t>%</w:t>
      </w:r>
      <w:r>
        <w:rPr>
          <w:rFonts w:hint="eastAsia"/>
        </w:rPr>
        <w:t>。</w:t>
      </w:r>
    </w:p>
    <w:p w14:paraId="5CD976FF">
      <w:pPr>
        <w:spacing w:line="560" w:lineRule="exact"/>
        <w:ind w:firstLine="641"/>
      </w:pPr>
      <w:r>
        <w:rPr>
          <w:rFonts w:hint="eastAsia"/>
          <w:lang w:val="en-US" w:eastAsia="zh-CN"/>
        </w:rPr>
        <w:t>3.</w:t>
      </w:r>
      <w:r>
        <w:rPr>
          <w:rFonts w:hint="eastAsia"/>
          <w:b/>
          <w:bCs/>
        </w:rPr>
        <w:t>社会保障和就业（类）行政事业单位养老支出（款）</w:t>
      </w:r>
      <w:r>
        <w:rPr>
          <w:rFonts w:hint="eastAsia"/>
          <w:b/>
          <w:bCs/>
          <w:lang w:eastAsia="zh-CN"/>
        </w:rPr>
        <w:t>机关事业单位基本养老保险缴费支出</w:t>
      </w:r>
      <w:r>
        <w:rPr>
          <w:rFonts w:hint="eastAsia"/>
          <w:b/>
          <w:bCs/>
        </w:rPr>
        <w:t>（项）</w:t>
      </w:r>
      <w:r>
        <w:rPr>
          <w:b/>
          <w:bCs/>
        </w:rPr>
        <w:t>:</w:t>
      </w:r>
      <w:r>
        <w:rPr>
          <w:rFonts w:hint="eastAsia"/>
        </w:rPr>
        <w:t>支出决算为</w:t>
      </w:r>
      <w:r>
        <w:rPr>
          <w:rFonts w:hint="eastAsia"/>
          <w:lang w:val="en-US" w:eastAsia="zh-CN"/>
        </w:rPr>
        <w:t>411.11</w:t>
      </w:r>
      <w:r>
        <w:rPr>
          <w:rFonts w:hint="eastAsia"/>
        </w:rPr>
        <w:t>万元，完成预算100</w:t>
      </w:r>
      <w:r>
        <w:t>%</w:t>
      </w:r>
      <w:r>
        <w:rPr>
          <w:rFonts w:hint="eastAsia"/>
        </w:rPr>
        <w:t>。</w:t>
      </w:r>
    </w:p>
    <w:p w14:paraId="0E6FCDE2">
      <w:pPr>
        <w:spacing w:line="560" w:lineRule="exact"/>
        <w:ind w:firstLine="641"/>
      </w:pPr>
      <w:r>
        <w:rPr>
          <w:rFonts w:hint="eastAsia"/>
          <w:b/>
          <w:bCs/>
          <w:lang w:val="en-US" w:eastAsia="zh-CN"/>
        </w:rPr>
        <w:t>4</w:t>
      </w:r>
      <w:r>
        <w:rPr>
          <w:rFonts w:hint="eastAsia"/>
          <w:b/>
          <w:bCs/>
        </w:rPr>
        <w:t>.社会保障和就业（类）行政事业单位养老支出（款）其他行政事业单位养老支出（项）</w:t>
      </w:r>
      <w:r>
        <w:rPr>
          <w:b/>
          <w:bCs/>
        </w:rPr>
        <w:t>:</w:t>
      </w:r>
      <w:r>
        <w:rPr>
          <w:rFonts w:hint="eastAsia"/>
        </w:rPr>
        <w:t>支出决算为</w:t>
      </w:r>
      <w:r>
        <w:rPr>
          <w:rFonts w:hint="eastAsia"/>
          <w:lang w:val="en-US" w:eastAsia="zh-CN"/>
        </w:rPr>
        <w:t>37.9</w:t>
      </w:r>
      <w:r>
        <w:rPr>
          <w:rFonts w:hint="eastAsia"/>
        </w:rPr>
        <w:t>万元，完成预算100</w:t>
      </w:r>
      <w:r>
        <w:t>%</w:t>
      </w:r>
      <w:r>
        <w:rPr>
          <w:rFonts w:hint="eastAsia"/>
        </w:rPr>
        <w:t>。</w:t>
      </w:r>
    </w:p>
    <w:p w14:paraId="250EDE25">
      <w:pPr>
        <w:spacing w:line="560" w:lineRule="exact"/>
        <w:ind w:firstLine="641"/>
      </w:pPr>
      <w:r>
        <w:rPr>
          <w:rFonts w:hint="eastAsia"/>
          <w:b/>
          <w:bCs/>
          <w:lang w:val="en-US" w:eastAsia="zh-CN"/>
        </w:rPr>
        <w:t>5</w:t>
      </w:r>
      <w:r>
        <w:rPr>
          <w:rFonts w:hint="eastAsia"/>
          <w:b/>
          <w:bCs/>
        </w:rPr>
        <w:t>、社会保障和就业（类）其他社会保障和就业支出（款）其他社会保障和就业支出（项）:</w:t>
      </w:r>
      <w:r>
        <w:rPr>
          <w:rFonts w:hint="eastAsia"/>
        </w:rPr>
        <w:t>支出决算为</w:t>
      </w:r>
      <w:r>
        <w:rPr>
          <w:rFonts w:hint="eastAsia"/>
          <w:lang w:val="en-US" w:eastAsia="zh-CN"/>
        </w:rPr>
        <w:t>12.3</w:t>
      </w:r>
      <w:r>
        <w:rPr>
          <w:rFonts w:hint="eastAsia"/>
        </w:rPr>
        <w:t>万元，完成预算100%。</w:t>
      </w:r>
    </w:p>
    <w:p w14:paraId="0D02ADA3">
      <w:pPr>
        <w:spacing w:line="560" w:lineRule="exact"/>
        <w:ind w:firstLine="641"/>
      </w:pPr>
      <w:r>
        <w:rPr>
          <w:rFonts w:hint="eastAsia"/>
          <w:b/>
          <w:bCs/>
          <w:lang w:val="en-US" w:eastAsia="zh-CN"/>
        </w:rPr>
        <w:t>6</w:t>
      </w:r>
      <w:r>
        <w:rPr>
          <w:rFonts w:hint="eastAsia"/>
          <w:b/>
          <w:bCs/>
        </w:rPr>
        <w:t>.卫生健康支出（类）行政事业单位医疗（款）行政单位医疗（项）:</w:t>
      </w:r>
      <w:r>
        <w:rPr>
          <w:rFonts w:hint="eastAsia"/>
        </w:rPr>
        <w:t>支出决算为</w:t>
      </w:r>
      <w:r>
        <w:rPr>
          <w:rFonts w:hint="eastAsia"/>
          <w:lang w:val="en-US" w:eastAsia="zh-CN"/>
        </w:rPr>
        <w:t>35.54</w:t>
      </w:r>
      <w:r>
        <w:rPr>
          <w:rFonts w:hint="eastAsia"/>
        </w:rPr>
        <w:t>万元，完成预算100%。</w:t>
      </w:r>
    </w:p>
    <w:p w14:paraId="49390730">
      <w:pPr>
        <w:spacing w:line="560" w:lineRule="exact"/>
        <w:ind w:firstLine="641"/>
      </w:pPr>
      <w:r>
        <w:rPr>
          <w:rFonts w:hint="eastAsia"/>
          <w:b/>
          <w:bCs/>
          <w:lang w:val="en-US" w:eastAsia="zh-CN"/>
        </w:rPr>
        <w:t>7</w:t>
      </w:r>
      <w:r>
        <w:rPr>
          <w:rFonts w:hint="eastAsia"/>
          <w:b/>
          <w:bCs/>
        </w:rPr>
        <w:t>.卫生健康支出（类）行政事业单位医疗（款）事业单位医疗（项）:</w:t>
      </w:r>
      <w:r>
        <w:rPr>
          <w:rFonts w:hint="eastAsia"/>
        </w:rPr>
        <w:t>支出决算为</w:t>
      </w:r>
      <w:r>
        <w:rPr>
          <w:rFonts w:hint="eastAsia"/>
          <w:lang w:val="en-US" w:eastAsia="zh-CN"/>
        </w:rPr>
        <w:t>127.54</w:t>
      </w:r>
      <w:r>
        <w:rPr>
          <w:rFonts w:hint="eastAsia"/>
        </w:rPr>
        <w:t>万元，完成预算100%。</w:t>
      </w:r>
    </w:p>
    <w:p w14:paraId="20E40584">
      <w:pPr>
        <w:spacing w:line="560" w:lineRule="exact"/>
        <w:ind w:firstLine="641"/>
        <w:rPr>
          <w:rFonts w:hint="eastAsia"/>
        </w:rPr>
      </w:pPr>
      <w:r>
        <w:rPr>
          <w:rFonts w:hint="eastAsia"/>
          <w:b/>
          <w:bCs/>
          <w:lang w:val="en-US" w:eastAsia="zh-CN"/>
        </w:rPr>
        <w:t>8</w:t>
      </w:r>
      <w:r>
        <w:rPr>
          <w:rFonts w:hint="eastAsia"/>
          <w:b/>
          <w:bCs/>
        </w:rPr>
        <w:t>.卫生健康支出（类）行政事业单位医疗（款）公务员医疗补助（项）:</w:t>
      </w:r>
      <w:r>
        <w:rPr>
          <w:rFonts w:hint="eastAsia"/>
        </w:rPr>
        <w:t>支出决算为</w:t>
      </w:r>
      <w:r>
        <w:rPr>
          <w:rFonts w:hint="eastAsia"/>
          <w:lang w:val="en-US" w:eastAsia="zh-CN"/>
        </w:rPr>
        <w:t>52.36</w:t>
      </w:r>
      <w:r>
        <w:rPr>
          <w:rFonts w:hint="eastAsia"/>
        </w:rPr>
        <w:t>万元，完成预算100%。</w:t>
      </w:r>
    </w:p>
    <w:p w14:paraId="3ACCE821">
      <w:pPr>
        <w:pStyle w:val="2"/>
        <w:spacing w:line="560" w:lineRule="exact"/>
        <w:rPr>
          <w:rFonts w:hint="default" w:eastAsia="黑体"/>
          <w:lang w:val="en-US" w:eastAsia="zh-CN"/>
        </w:rPr>
      </w:pPr>
      <w:bookmarkStart w:id="57" w:name="_Toc19799"/>
      <w:r>
        <w:rPr>
          <w:rFonts w:hint="eastAsia"/>
          <w:lang w:val="en-US" w:eastAsia="zh-CN"/>
        </w:rPr>
        <w:t>9.</w:t>
      </w:r>
      <w:r>
        <w:rPr>
          <w:rFonts w:hint="eastAsia" w:ascii="Times New Roman" w:hAnsi="Times New Roman" w:eastAsia="仿宋_GB2312" w:cs="Times New Roman"/>
          <w:b/>
          <w:bCs/>
          <w:kern w:val="2"/>
          <w:sz w:val="32"/>
          <w:szCs w:val="24"/>
          <w:lang w:val="en-US" w:eastAsia="zh-CN" w:bidi="ar-SA"/>
        </w:rPr>
        <w:t>节能环保支出（类）污染防治（款）大气（项）:</w:t>
      </w:r>
      <w:r>
        <w:rPr>
          <w:rFonts w:hint="eastAsia" w:ascii="Times New Roman" w:hAnsi="Times New Roman" w:eastAsia="仿宋_GB2312" w:cs="Times New Roman"/>
          <w:b w:val="0"/>
          <w:bCs w:val="0"/>
          <w:kern w:val="2"/>
          <w:sz w:val="32"/>
          <w:szCs w:val="24"/>
          <w:lang w:val="en-US" w:eastAsia="zh-CN" w:bidi="ar-SA"/>
        </w:rPr>
        <w:t>支出决算为9.59万元，完成预算100%。</w:t>
      </w:r>
      <w:bookmarkEnd w:id="57"/>
    </w:p>
    <w:p w14:paraId="70A750E2">
      <w:pPr>
        <w:spacing w:line="560" w:lineRule="exact"/>
        <w:ind w:firstLine="641"/>
      </w:pPr>
      <w:r>
        <w:rPr>
          <w:rFonts w:hint="eastAsia"/>
          <w:b/>
          <w:bCs/>
          <w:lang w:val="en-US" w:eastAsia="zh-CN"/>
        </w:rPr>
        <w:t>10</w:t>
      </w:r>
      <w:r>
        <w:rPr>
          <w:rFonts w:hint="eastAsia"/>
          <w:b/>
          <w:bCs/>
        </w:rPr>
        <w:t>.农林水支出（类）农业农村（款）行政运行（项）:</w:t>
      </w:r>
      <w:r>
        <w:rPr>
          <w:rFonts w:hint="eastAsia"/>
        </w:rPr>
        <w:t>支出决算为</w:t>
      </w:r>
      <w:r>
        <w:rPr>
          <w:rFonts w:hint="eastAsia"/>
          <w:lang w:val="en-US" w:eastAsia="zh-CN"/>
        </w:rPr>
        <w:t>875.22</w:t>
      </w:r>
      <w:r>
        <w:rPr>
          <w:rFonts w:hint="eastAsia"/>
        </w:rPr>
        <w:t>万元，完成预算100%。</w:t>
      </w:r>
    </w:p>
    <w:p w14:paraId="03204672">
      <w:pPr>
        <w:spacing w:line="560" w:lineRule="exact"/>
        <w:ind w:firstLine="641"/>
        <w:rPr>
          <w:rFonts w:hint="eastAsia"/>
        </w:rPr>
      </w:pPr>
      <w:r>
        <w:rPr>
          <w:rFonts w:hint="eastAsia"/>
          <w:b/>
          <w:bCs/>
          <w:lang w:val="en-US" w:eastAsia="zh-CN"/>
        </w:rPr>
        <w:t>11</w:t>
      </w:r>
      <w:r>
        <w:rPr>
          <w:rFonts w:hint="eastAsia"/>
          <w:b/>
          <w:bCs/>
        </w:rPr>
        <w:t>.农林水支出（类）农业农村（款）事业运行（项）:</w:t>
      </w:r>
      <w:r>
        <w:rPr>
          <w:rFonts w:hint="eastAsia"/>
        </w:rPr>
        <w:t>支出决算为</w:t>
      </w:r>
      <w:r>
        <w:rPr>
          <w:rFonts w:hint="eastAsia"/>
          <w:lang w:val="en-US" w:eastAsia="zh-CN"/>
        </w:rPr>
        <w:t>2619.87</w:t>
      </w:r>
      <w:r>
        <w:rPr>
          <w:rFonts w:hint="eastAsia"/>
        </w:rPr>
        <w:t>万元，完成预算100%。</w:t>
      </w:r>
    </w:p>
    <w:p w14:paraId="4FA72A48">
      <w:pPr>
        <w:spacing w:line="560" w:lineRule="exact"/>
        <w:ind w:firstLine="641"/>
        <w:rPr>
          <w:rFonts w:hint="default" w:eastAsia="黑体"/>
          <w:lang w:val="en-US" w:eastAsia="zh-CN"/>
        </w:rPr>
      </w:pPr>
      <w:r>
        <w:rPr>
          <w:rFonts w:hint="eastAsia"/>
          <w:lang w:val="en-US" w:eastAsia="zh-CN"/>
        </w:rPr>
        <w:t>12.</w:t>
      </w:r>
      <w:r>
        <w:rPr>
          <w:rFonts w:hint="eastAsia"/>
          <w:b/>
          <w:bCs/>
        </w:rPr>
        <w:t>农林水支出（类）农业农村（款）</w:t>
      </w:r>
      <w:r>
        <w:rPr>
          <w:rFonts w:hint="eastAsia"/>
          <w:b/>
          <w:bCs/>
          <w:lang w:eastAsia="zh-CN"/>
        </w:rPr>
        <w:t>科技转化与推广服务</w:t>
      </w:r>
      <w:r>
        <w:rPr>
          <w:rFonts w:hint="eastAsia"/>
          <w:b/>
          <w:bCs/>
        </w:rPr>
        <w:t>（项）:</w:t>
      </w:r>
      <w:r>
        <w:rPr>
          <w:rFonts w:hint="eastAsia"/>
        </w:rPr>
        <w:t>支出决算为</w:t>
      </w:r>
      <w:r>
        <w:rPr>
          <w:rFonts w:hint="eastAsia"/>
          <w:lang w:val="en-US" w:eastAsia="zh-CN"/>
        </w:rPr>
        <w:t>3</w:t>
      </w:r>
      <w:r>
        <w:rPr>
          <w:rFonts w:hint="eastAsia"/>
        </w:rPr>
        <w:t>万元，完成预算100%。</w:t>
      </w:r>
    </w:p>
    <w:p w14:paraId="67AB2E1E">
      <w:pPr>
        <w:spacing w:line="560" w:lineRule="exact"/>
        <w:ind w:firstLine="641"/>
      </w:pPr>
      <w:r>
        <w:rPr>
          <w:rFonts w:hint="eastAsia"/>
          <w:b/>
          <w:bCs/>
        </w:rPr>
        <w:t>1</w:t>
      </w:r>
      <w:r>
        <w:rPr>
          <w:rFonts w:hint="eastAsia"/>
          <w:b/>
          <w:bCs/>
          <w:lang w:val="en-US" w:eastAsia="zh-CN"/>
        </w:rPr>
        <w:t>3</w:t>
      </w:r>
      <w:r>
        <w:rPr>
          <w:rFonts w:hint="eastAsia"/>
          <w:b/>
          <w:bCs/>
        </w:rPr>
        <w:t>.农林水支出（类）农业农村（款）病虫害控制（项）:</w:t>
      </w:r>
      <w:r>
        <w:rPr>
          <w:rFonts w:hint="eastAsia"/>
        </w:rPr>
        <w:t>支出决算为</w:t>
      </w:r>
      <w:r>
        <w:rPr>
          <w:rFonts w:hint="eastAsia"/>
          <w:lang w:val="en-US" w:eastAsia="zh-CN"/>
        </w:rPr>
        <w:t>425.07</w:t>
      </w:r>
      <w:r>
        <w:rPr>
          <w:rFonts w:hint="eastAsia"/>
        </w:rPr>
        <w:t>万元，完成预算100%。</w:t>
      </w:r>
    </w:p>
    <w:p w14:paraId="43BC806C">
      <w:pPr>
        <w:spacing w:line="560" w:lineRule="exact"/>
        <w:ind w:firstLine="641"/>
      </w:pPr>
      <w:r>
        <w:rPr>
          <w:rFonts w:hint="eastAsia"/>
          <w:b/>
          <w:bCs/>
        </w:rPr>
        <w:t>1</w:t>
      </w:r>
      <w:r>
        <w:rPr>
          <w:rFonts w:hint="eastAsia"/>
          <w:b/>
          <w:bCs/>
          <w:lang w:val="en-US" w:eastAsia="zh-CN"/>
        </w:rPr>
        <w:t>4</w:t>
      </w:r>
      <w:r>
        <w:rPr>
          <w:rFonts w:hint="eastAsia"/>
          <w:b/>
          <w:bCs/>
        </w:rPr>
        <w:t>.农林水支出（类）农业农村（款）</w:t>
      </w:r>
      <w:r>
        <w:rPr>
          <w:rFonts w:hint="eastAsia"/>
          <w:b/>
          <w:bCs/>
          <w:lang w:eastAsia="zh-CN"/>
        </w:rPr>
        <w:t>农业产品质量安全</w:t>
      </w:r>
      <w:r>
        <w:rPr>
          <w:rFonts w:hint="eastAsia"/>
          <w:b/>
          <w:bCs/>
        </w:rPr>
        <w:t>（项）:</w:t>
      </w:r>
      <w:r>
        <w:rPr>
          <w:rFonts w:hint="eastAsia"/>
        </w:rPr>
        <w:t>支出决算为</w:t>
      </w:r>
      <w:r>
        <w:rPr>
          <w:rFonts w:hint="eastAsia"/>
          <w:lang w:val="en-US" w:eastAsia="zh-CN"/>
        </w:rPr>
        <w:t>9.23</w:t>
      </w:r>
      <w:r>
        <w:rPr>
          <w:rFonts w:hint="eastAsia"/>
        </w:rPr>
        <w:t>万元，完成预算100%。</w:t>
      </w:r>
    </w:p>
    <w:p w14:paraId="32ACF31D">
      <w:pPr>
        <w:spacing w:line="560" w:lineRule="exact"/>
        <w:ind w:firstLine="641"/>
      </w:pPr>
      <w:r>
        <w:rPr>
          <w:rFonts w:hint="eastAsia"/>
          <w:b/>
          <w:bCs/>
        </w:rPr>
        <w:t>1</w:t>
      </w:r>
      <w:r>
        <w:rPr>
          <w:rFonts w:hint="eastAsia"/>
          <w:b/>
          <w:bCs/>
          <w:lang w:val="en-US" w:eastAsia="zh-CN"/>
        </w:rPr>
        <w:t>5</w:t>
      </w:r>
      <w:r>
        <w:rPr>
          <w:rFonts w:hint="eastAsia"/>
          <w:b/>
          <w:bCs/>
        </w:rPr>
        <w:t>.农林水支出（类）农业农村（款）农业生产发展（项）:</w:t>
      </w:r>
      <w:r>
        <w:rPr>
          <w:rFonts w:hint="eastAsia"/>
        </w:rPr>
        <w:t>支出决算为</w:t>
      </w:r>
      <w:r>
        <w:rPr>
          <w:rFonts w:hint="eastAsia"/>
          <w:lang w:val="en-US" w:eastAsia="zh-CN"/>
        </w:rPr>
        <w:t>11519.73</w:t>
      </w:r>
      <w:r>
        <w:rPr>
          <w:rFonts w:hint="eastAsia"/>
        </w:rPr>
        <w:t>万元，完成预算100%。</w:t>
      </w:r>
    </w:p>
    <w:p w14:paraId="1F0C0540">
      <w:pPr>
        <w:spacing w:line="560" w:lineRule="exact"/>
        <w:ind w:firstLine="641"/>
      </w:pPr>
      <w:r>
        <w:rPr>
          <w:rFonts w:hint="eastAsia"/>
          <w:b/>
          <w:bCs/>
        </w:rPr>
        <w:t>1</w:t>
      </w:r>
      <w:r>
        <w:rPr>
          <w:rFonts w:hint="eastAsia"/>
          <w:b/>
          <w:bCs/>
          <w:lang w:val="en-US" w:eastAsia="zh-CN"/>
        </w:rPr>
        <w:t>6</w:t>
      </w:r>
      <w:r>
        <w:rPr>
          <w:rFonts w:hint="eastAsia"/>
          <w:b/>
          <w:bCs/>
        </w:rPr>
        <w:t>.农林水支出（类）农业农村（款）</w:t>
      </w:r>
      <w:r>
        <w:rPr>
          <w:rFonts w:hint="eastAsia"/>
          <w:b/>
          <w:bCs/>
          <w:lang w:eastAsia="zh-CN"/>
        </w:rPr>
        <w:t>农村合作经济</w:t>
      </w:r>
      <w:r>
        <w:rPr>
          <w:rFonts w:hint="eastAsia"/>
          <w:b/>
          <w:bCs/>
        </w:rPr>
        <w:t>（项）:</w:t>
      </w:r>
      <w:r>
        <w:rPr>
          <w:rFonts w:hint="eastAsia"/>
        </w:rPr>
        <w:t>支出决算为</w:t>
      </w:r>
      <w:r>
        <w:rPr>
          <w:rFonts w:hint="eastAsia"/>
          <w:lang w:val="en-US" w:eastAsia="zh-CN"/>
        </w:rPr>
        <w:t>2249.16</w:t>
      </w:r>
      <w:r>
        <w:rPr>
          <w:rFonts w:hint="eastAsia"/>
        </w:rPr>
        <w:t>万元，完成预算100%。</w:t>
      </w:r>
    </w:p>
    <w:p w14:paraId="7A365BB2">
      <w:pPr>
        <w:spacing w:line="560" w:lineRule="exact"/>
        <w:ind w:firstLine="641"/>
      </w:pPr>
      <w:r>
        <w:rPr>
          <w:rFonts w:hint="eastAsia"/>
          <w:b/>
          <w:bCs/>
          <w:lang w:val="en-US" w:eastAsia="zh-CN"/>
        </w:rPr>
        <w:t>17</w:t>
      </w:r>
      <w:r>
        <w:rPr>
          <w:rFonts w:hint="eastAsia"/>
          <w:b/>
          <w:bCs/>
        </w:rPr>
        <w:t>.农林水支出（类）农业农村（款）农业资源保护修复与利用（项）:</w:t>
      </w:r>
      <w:r>
        <w:rPr>
          <w:rFonts w:hint="eastAsia"/>
        </w:rPr>
        <w:t>支出决算为</w:t>
      </w:r>
      <w:r>
        <w:rPr>
          <w:rFonts w:hint="eastAsia"/>
          <w:lang w:val="en-US" w:eastAsia="zh-CN"/>
        </w:rPr>
        <w:t>982.16</w:t>
      </w:r>
      <w:r>
        <w:rPr>
          <w:rFonts w:hint="eastAsia"/>
        </w:rPr>
        <w:t>万元，完成预算100%。</w:t>
      </w:r>
    </w:p>
    <w:p w14:paraId="59F88E84">
      <w:pPr>
        <w:spacing w:line="560" w:lineRule="exact"/>
        <w:ind w:firstLine="641"/>
      </w:pPr>
      <w:r>
        <w:rPr>
          <w:rFonts w:hint="eastAsia"/>
          <w:b/>
          <w:bCs/>
          <w:lang w:val="en-US" w:eastAsia="zh-CN"/>
        </w:rPr>
        <w:t>18</w:t>
      </w:r>
      <w:r>
        <w:rPr>
          <w:rFonts w:hint="eastAsia"/>
          <w:b/>
          <w:bCs/>
        </w:rPr>
        <w:t>.农林水支出（类）农业农村（款）农田建设（项）:</w:t>
      </w:r>
      <w:r>
        <w:rPr>
          <w:rFonts w:hint="eastAsia"/>
        </w:rPr>
        <w:t>支出决算为</w:t>
      </w:r>
      <w:r>
        <w:rPr>
          <w:rFonts w:hint="eastAsia"/>
          <w:lang w:val="en-US" w:eastAsia="zh-CN"/>
        </w:rPr>
        <w:t>6696.23</w:t>
      </w:r>
      <w:r>
        <w:rPr>
          <w:rFonts w:hint="eastAsia"/>
        </w:rPr>
        <w:t>万元，完成预算100%。</w:t>
      </w:r>
    </w:p>
    <w:p w14:paraId="7E458C68">
      <w:pPr>
        <w:spacing w:line="560" w:lineRule="exact"/>
        <w:ind w:firstLine="641"/>
        <w:rPr>
          <w:rFonts w:hint="eastAsia"/>
        </w:rPr>
      </w:pPr>
      <w:r>
        <w:rPr>
          <w:rFonts w:hint="eastAsia"/>
          <w:b/>
          <w:bCs/>
          <w:lang w:val="en-US" w:eastAsia="zh-CN"/>
        </w:rPr>
        <w:t>19</w:t>
      </w:r>
      <w:r>
        <w:rPr>
          <w:rFonts w:hint="eastAsia"/>
          <w:b/>
          <w:bCs/>
        </w:rPr>
        <w:t>.农林水支出（类）农业农村（款）其他农业农村支出（项）:</w:t>
      </w:r>
      <w:r>
        <w:rPr>
          <w:rFonts w:hint="eastAsia"/>
        </w:rPr>
        <w:t>支出决算为</w:t>
      </w:r>
      <w:r>
        <w:rPr>
          <w:rFonts w:hint="eastAsia"/>
          <w:lang w:val="en-US" w:eastAsia="zh-CN"/>
        </w:rPr>
        <w:t>4748.93</w:t>
      </w:r>
      <w:r>
        <w:rPr>
          <w:rFonts w:hint="eastAsia"/>
        </w:rPr>
        <w:t>万元，完成预算100%。</w:t>
      </w:r>
    </w:p>
    <w:p w14:paraId="1B267FFE">
      <w:pPr>
        <w:spacing w:line="560" w:lineRule="exact"/>
        <w:ind w:firstLine="641"/>
        <w:rPr>
          <w:rFonts w:hint="eastAsia"/>
        </w:rPr>
      </w:pPr>
      <w:r>
        <w:rPr>
          <w:rFonts w:hint="eastAsia"/>
          <w:b/>
          <w:bCs/>
          <w:lang w:val="en-US" w:eastAsia="zh-CN"/>
        </w:rPr>
        <w:t>20</w:t>
      </w:r>
      <w:r>
        <w:rPr>
          <w:rFonts w:hint="eastAsia"/>
          <w:b/>
          <w:bCs/>
        </w:rPr>
        <w:t>.农林水支出（类）</w:t>
      </w:r>
      <w:r>
        <w:rPr>
          <w:rFonts w:hint="eastAsia"/>
          <w:b/>
          <w:bCs/>
          <w:lang w:eastAsia="zh-CN"/>
        </w:rPr>
        <w:t>水利</w:t>
      </w:r>
      <w:r>
        <w:rPr>
          <w:rFonts w:hint="eastAsia"/>
          <w:b/>
          <w:bCs/>
        </w:rPr>
        <w:t>（款）</w:t>
      </w:r>
      <w:r>
        <w:rPr>
          <w:rFonts w:hint="eastAsia"/>
          <w:b/>
          <w:bCs/>
          <w:lang w:eastAsia="zh-CN"/>
        </w:rPr>
        <w:t>水利工程运行与维护</w:t>
      </w:r>
      <w:r>
        <w:rPr>
          <w:rFonts w:hint="eastAsia"/>
          <w:b/>
          <w:bCs/>
        </w:rPr>
        <w:t>（项）:</w:t>
      </w:r>
      <w:r>
        <w:rPr>
          <w:rFonts w:hint="eastAsia"/>
        </w:rPr>
        <w:t>支出决算为</w:t>
      </w:r>
      <w:r>
        <w:rPr>
          <w:rFonts w:hint="eastAsia"/>
          <w:lang w:val="en-US" w:eastAsia="zh-CN"/>
        </w:rPr>
        <w:t>40</w:t>
      </w:r>
      <w:r>
        <w:rPr>
          <w:rFonts w:hint="eastAsia"/>
        </w:rPr>
        <w:t>万元，完成预算100%。</w:t>
      </w:r>
    </w:p>
    <w:p w14:paraId="5A546245">
      <w:pPr>
        <w:spacing w:line="560" w:lineRule="exact"/>
        <w:ind w:firstLine="641"/>
      </w:pPr>
      <w:r>
        <w:rPr>
          <w:rFonts w:hint="eastAsia"/>
          <w:b/>
          <w:bCs/>
          <w:lang w:val="en-US" w:eastAsia="zh-CN"/>
        </w:rPr>
        <w:t>21</w:t>
      </w:r>
      <w:r>
        <w:rPr>
          <w:rFonts w:hint="eastAsia"/>
          <w:b/>
          <w:bCs/>
        </w:rPr>
        <w:t>.农林水支出（类）</w:t>
      </w:r>
      <w:r>
        <w:rPr>
          <w:rFonts w:hint="eastAsia"/>
          <w:b/>
          <w:bCs/>
          <w:lang w:eastAsia="zh-CN"/>
        </w:rPr>
        <w:t>巩固脱贫攻坚成果衔接乡村振兴</w:t>
      </w:r>
      <w:r>
        <w:rPr>
          <w:rFonts w:hint="eastAsia"/>
          <w:b/>
          <w:bCs/>
        </w:rPr>
        <w:t>（款）农村基础设施建设（项）:</w:t>
      </w:r>
      <w:r>
        <w:rPr>
          <w:rFonts w:hint="eastAsia"/>
        </w:rPr>
        <w:t>支出决算为</w:t>
      </w:r>
      <w:r>
        <w:rPr>
          <w:rFonts w:hint="eastAsia"/>
          <w:lang w:val="en-US" w:eastAsia="zh-CN"/>
        </w:rPr>
        <w:t>843</w:t>
      </w:r>
      <w:r>
        <w:rPr>
          <w:rFonts w:hint="eastAsia"/>
        </w:rPr>
        <w:t>万元，完成预算100%。</w:t>
      </w:r>
    </w:p>
    <w:p w14:paraId="74F2C69F">
      <w:pPr>
        <w:spacing w:line="560" w:lineRule="exact"/>
        <w:ind w:firstLine="641"/>
      </w:pPr>
      <w:r>
        <w:rPr>
          <w:rFonts w:hint="eastAsia"/>
          <w:b/>
          <w:bCs/>
          <w:lang w:val="en-US" w:eastAsia="zh-CN"/>
        </w:rPr>
        <w:t>22</w:t>
      </w:r>
      <w:r>
        <w:rPr>
          <w:rFonts w:hint="eastAsia"/>
          <w:b/>
          <w:bCs/>
        </w:rPr>
        <w:t>.农林水支出（类）</w:t>
      </w:r>
      <w:r>
        <w:rPr>
          <w:rFonts w:hint="eastAsia"/>
          <w:b/>
          <w:bCs/>
          <w:lang w:eastAsia="zh-CN"/>
        </w:rPr>
        <w:t>巩固脱贫攻坚成果衔接乡村振兴</w:t>
      </w:r>
      <w:r>
        <w:rPr>
          <w:rFonts w:hint="eastAsia"/>
          <w:b/>
          <w:bCs/>
        </w:rPr>
        <w:t>（款）生产发展（项）:</w:t>
      </w:r>
      <w:r>
        <w:rPr>
          <w:rFonts w:hint="eastAsia"/>
        </w:rPr>
        <w:t>支出决算为</w:t>
      </w:r>
      <w:r>
        <w:rPr>
          <w:rFonts w:hint="eastAsia"/>
          <w:lang w:val="en-US" w:eastAsia="zh-CN"/>
        </w:rPr>
        <w:t>827.61</w:t>
      </w:r>
      <w:r>
        <w:rPr>
          <w:rFonts w:hint="eastAsia"/>
        </w:rPr>
        <w:t>万元，完成预算100%。</w:t>
      </w:r>
    </w:p>
    <w:p w14:paraId="4F4C1CB1">
      <w:pPr>
        <w:spacing w:line="560" w:lineRule="exact"/>
        <w:ind w:firstLine="641"/>
        <w:rPr>
          <w:rFonts w:hint="eastAsia"/>
        </w:rPr>
      </w:pPr>
      <w:r>
        <w:rPr>
          <w:rFonts w:hint="eastAsia"/>
          <w:b/>
          <w:bCs/>
          <w:lang w:val="en-US" w:eastAsia="zh-CN"/>
        </w:rPr>
        <w:t>23</w:t>
      </w:r>
      <w:r>
        <w:rPr>
          <w:rFonts w:hint="eastAsia"/>
          <w:b/>
          <w:bCs/>
        </w:rPr>
        <w:t>.农林水支出（类）</w:t>
      </w:r>
      <w:r>
        <w:rPr>
          <w:rFonts w:hint="eastAsia"/>
          <w:b/>
          <w:bCs/>
          <w:lang w:eastAsia="zh-CN"/>
        </w:rPr>
        <w:t>巩固脱贫攻坚成果衔接乡村振兴</w:t>
      </w:r>
      <w:r>
        <w:rPr>
          <w:rFonts w:hint="eastAsia"/>
          <w:b/>
          <w:bCs/>
        </w:rPr>
        <w:t>（（款）</w:t>
      </w:r>
      <w:r>
        <w:rPr>
          <w:rFonts w:hint="eastAsia"/>
          <w:b/>
          <w:bCs/>
          <w:lang w:eastAsia="zh-CN"/>
        </w:rPr>
        <w:t>贷款奖补和贴息</w:t>
      </w:r>
      <w:r>
        <w:rPr>
          <w:rFonts w:hint="eastAsia"/>
          <w:b/>
          <w:bCs/>
        </w:rPr>
        <w:t>（项）:</w:t>
      </w:r>
      <w:r>
        <w:rPr>
          <w:rFonts w:hint="eastAsia"/>
        </w:rPr>
        <w:t>支出决算为</w:t>
      </w:r>
      <w:r>
        <w:rPr>
          <w:rFonts w:hint="eastAsia"/>
          <w:lang w:val="en-US" w:eastAsia="zh-CN"/>
        </w:rPr>
        <w:t>156.14</w:t>
      </w:r>
      <w:r>
        <w:rPr>
          <w:rFonts w:hint="eastAsia"/>
        </w:rPr>
        <w:t>万元，完成预算100%。</w:t>
      </w:r>
    </w:p>
    <w:p w14:paraId="10C5D4BF">
      <w:pPr>
        <w:spacing w:line="560" w:lineRule="exact"/>
        <w:ind w:firstLine="641"/>
        <w:rPr>
          <w:rFonts w:hint="eastAsia"/>
        </w:rPr>
      </w:pPr>
      <w:r>
        <w:rPr>
          <w:rFonts w:hint="eastAsia"/>
          <w:b/>
          <w:bCs/>
          <w:lang w:val="en-US" w:eastAsia="zh-CN"/>
        </w:rPr>
        <w:t>24</w:t>
      </w:r>
      <w:r>
        <w:rPr>
          <w:rFonts w:hint="eastAsia"/>
          <w:b/>
          <w:bCs/>
        </w:rPr>
        <w:t>.农林水支出（类）</w:t>
      </w:r>
      <w:r>
        <w:rPr>
          <w:rFonts w:hint="eastAsia"/>
          <w:b/>
          <w:bCs/>
          <w:lang w:eastAsia="zh-CN"/>
        </w:rPr>
        <w:t>巩固脱贫攻坚成果衔接乡村振兴</w:t>
      </w:r>
      <w:r>
        <w:rPr>
          <w:rFonts w:hint="eastAsia"/>
          <w:b/>
          <w:bCs/>
        </w:rPr>
        <w:t>（（款）</w:t>
      </w:r>
      <w:r>
        <w:rPr>
          <w:rFonts w:hint="eastAsia"/>
          <w:b/>
          <w:bCs/>
          <w:lang w:eastAsia="zh-CN"/>
        </w:rPr>
        <w:t>其他巩固脱贫攻坚成果衔接乡村振兴支出</w:t>
      </w:r>
      <w:r>
        <w:rPr>
          <w:rFonts w:hint="eastAsia"/>
          <w:b/>
          <w:bCs/>
        </w:rPr>
        <w:t>（项）:</w:t>
      </w:r>
      <w:r>
        <w:rPr>
          <w:rFonts w:hint="eastAsia"/>
        </w:rPr>
        <w:t>支出决算为</w:t>
      </w:r>
      <w:r>
        <w:rPr>
          <w:rFonts w:hint="eastAsia"/>
          <w:lang w:val="en-US" w:eastAsia="zh-CN"/>
        </w:rPr>
        <w:t>2922.26</w:t>
      </w:r>
      <w:r>
        <w:rPr>
          <w:rFonts w:hint="eastAsia"/>
        </w:rPr>
        <w:t>万元，完成预算100%。</w:t>
      </w:r>
    </w:p>
    <w:p w14:paraId="49644E8C">
      <w:pPr>
        <w:spacing w:line="560" w:lineRule="exact"/>
        <w:ind w:firstLine="641"/>
      </w:pPr>
      <w:r>
        <w:rPr>
          <w:rFonts w:hint="eastAsia"/>
          <w:b/>
          <w:bCs/>
          <w:lang w:val="en-US" w:eastAsia="zh-CN"/>
        </w:rPr>
        <w:t>25</w:t>
      </w:r>
      <w:r>
        <w:rPr>
          <w:rFonts w:hint="eastAsia"/>
          <w:b/>
          <w:bCs/>
        </w:rPr>
        <w:t>.农林水支出（类）农村综合改革（款）对村级公益事业建设的补助（项）:</w:t>
      </w:r>
      <w:r>
        <w:rPr>
          <w:rFonts w:hint="eastAsia"/>
        </w:rPr>
        <w:t>支出决算为</w:t>
      </w:r>
      <w:r>
        <w:rPr>
          <w:rFonts w:hint="eastAsia"/>
          <w:lang w:val="en-US" w:eastAsia="zh-CN"/>
        </w:rPr>
        <w:t>2205</w:t>
      </w:r>
      <w:r>
        <w:rPr>
          <w:rFonts w:hint="eastAsia"/>
        </w:rPr>
        <w:t>万元，完成预算100%。</w:t>
      </w:r>
    </w:p>
    <w:p w14:paraId="3A429A8A">
      <w:pPr>
        <w:spacing w:line="560" w:lineRule="exact"/>
        <w:ind w:firstLine="641"/>
      </w:pPr>
      <w:r>
        <w:rPr>
          <w:rFonts w:hint="eastAsia"/>
          <w:b/>
          <w:bCs/>
        </w:rPr>
        <w:t>2</w:t>
      </w:r>
      <w:r>
        <w:rPr>
          <w:rFonts w:hint="eastAsia"/>
          <w:b/>
          <w:bCs/>
          <w:lang w:val="en-US" w:eastAsia="zh-CN"/>
        </w:rPr>
        <w:t>6</w:t>
      </w:r>
      <w:r>
        <w:rPr>
          <w:rFonts w:hint="eastAsia"/>
          <w:b/>
          <w:bCs/>
        </w:rPr>
        <w:t>.农林水支出（类）农村综合改革（款）对村集体经济组织的补助（项）:</w:t>
      </w:r>
      <w:r>
        <w:rPr>
          <w:rFonts w:hint="eastAsia"/>
        </w:rPr>
        <w:t>支出决算为</w:t>
      </w:r>
      <w:r>
        <w:rPr>
          <w:rFonts w:hint="eastAsia"/>
          <w:lang w:val="en-US" w:eastAsia="zh-CN"/>
        </w:rPr>
        <w:t>300</w:t>
      </w:r>
      <w:r>
        <w:rPr>
          <w:rFonts w:hint="eastAsia"/>
        </w:rPr>
        <w:t>万元，完成预算100%。</w:t>
      </w:r>
    </w:p>
    <w:p w14:paraId="79233D25">
      <w:pPr>
        <w:spacing w:line="560" w:lineRule="exact"/>
        <w:ind w:firstLine="641"/>
      </w:pPr>
      <w:r>
        <w:rPr>
          <w:rFonts w:hint="eastAsia"/>
          <w:b/>
          <w:bCs/>
        </w:rPr>
        <w:t>2</w:t>
      </w:r>
      <w:r>
        <w:rPr>
          <w:rFonts w:hint="eastAsia"/>
          <w:b/>
          <w:bCs/>
          <w:lang w:val="en-US" w:eastAsia="zh-CN"/>
        </w:rPr>
        <w:t>7</w:t>
      </w:r>
      <w:r>
        <w:rPr>
          <w:rFonts w:hint="eastAsia"/>
          <w:b/>
          <w:bCs/>
        </w:rPr>
        <w:t>.农林水支出（类）农村综合改革（款）其他农村综合改革支出（项）:</w:t>
      </w:r>
      <w:r>
        <w:rPr>
          <w:rFonts w:hint="eastAsia"/>
        </w:rPr>
        <w:t>支出决算为</w:t>
      </w:r>
      <w:r>
        <w:rPr>
          <w:rFonts w:hint="eastAsia"/>
          <w:lang w:val="en-US" w:eastAsia="zh-CN"/>
        </w:rPr>
        <w:t>300</w:t>
      </w:r>
      <w:r>
        <w:rPr>
          <w:rFonts w:hint="eastAsia"/>
        </w:rPr>
        <w:t>万元，完成预算100%。</w:t>
      </w:r>
    </w:p>
    <w:p w14:paraId="3B53C59D">
      <w:pPr>
        <w:spacing w:line="560" w:lineRule="exact"/>
        <w:ind w:firstLine="641"/>
      </w:pPr>
      <w:r>
        <w:rPr>
          <w:rFonts w:hint="eastAsia"/>
          <w:b/>
          <w:bCs/>
          <w:lang w:val="en-US" w:eastAsia="zh-CN"/>
        </w:rPr>
        <w:t>28</w:t>
      </w:r>
      <w:r>
        <w:rPr>
          <w:rFonts w:hint="eastAsia"/>
          <w:b/>
          <w:bCs/>
        </w:rPr>
        <w:t>.</w:t>
      </w:r>
      <w:r>
        <w:rPr>
          <w:rFonts w:hint="eastAsia"/>
          <w:b/>
          <w:bCs/>
          <w:lang w:eastAsia="zh-CN"/>
        </w:rPr>
        <w:t>资源勘探工业信息等支出</w:t>
      </w:r>
      <w:r>
        <w:rPr>
          <w:rFonts w:hint="eastAsia"/>
          <w:b/>
          <w:bCs/>
        </w:rPr>
        <w:t>（类）</w:t>
      </w:r>
      <w:r>
        <w:rPr>
          <w:rFonts w:hint="eastAsia"/>
          <w:b/>
          <w:bCs/>
          <w:lang w:eastAsia="zh-CN"/>
        </w:rPr>
        <w:t>支持中小企业发展和管理</w:t>
      </w:r>
      <w:r>
        <w:rPr>
          <w:rFonts w:hint="eastAsia"/>
          <w:b/>
          <w:bCs/>
        </w:rPr>
        <w:t>支出（款）</w:t>
      </w:r>
      <w:r>
        <w:rPr>
          <w:rFonts w:hint="eastAsia"/>
          <w:b/>
          <w:bCs/>
          <w:lang w:eastAsia="zh-CN"/>
        </w:rPr>
        <w:t>中小企业发展专项</w:t>
      </w:r>
      <w:r>
        <w:rPr>
          <w:rFonts w:hint="eastAsia"/>
          <w:b/>
          <w:bCs/>
        </w:rPr>
        <w:t>支出（项）:</w:t>
      </w:r>
      <w:r>
        <w:rPr>
          <w:rFonts w:hint="eastAsia"/>
        </w:rPr>
        <w:t>支出决算为</w:t>
      </w:r>
      <w:r>
        <w:rPr>
          <w:rFonts w:hint="eastAsia"/>
          <w:lang w:val="en-US" w:eastAsia="zh-CN"/>
        </w:rPr>
        <w:t>4115</w:t>
      </w:r>
      <w:r>
        <w:rPr>
          <w:rFonts w:hint="eastAsia"/>
        </w:rPr>
        <w:t>万元，完成预算100%。</w:t>
      </w:r>
    </w:p>
    <w:p w14:paraId="6992456D">
      <w:pPr>
        <w:spacing w:line="560" w:lineRule="exact"/>
        <w:ind w:firstLine="641"/>
      </w:pPr>
      <w:r>
        <w:rPr>
          <w:rFonts w:hint="eastAsia"/>
          <w:b/>
          <w:bCs/>
          <w:lang w:val="en-US" w:eastAsia="zh-CN"/>
        </w:rPr>
        <w:t>29</w:t>
      </w:r>
      <w:r>
        <w:rPr>
          <w:rFonts w:hint="eastAsia"/>
          <w:b/>
          <w:bCs/>
        </w:rPr>
        <w:t>.商业服务业等支出（类）商业流通事务（款）其他商业流通事务支出（项）:</w:t>
      </w:r>
      <w:r>
        <w:rPr>
          <w:rFonts w:hint="eastAsia"/>
        </w:rPr>
        <w:t>支出决算为</w:t>
      </w:r>
      <w:r>
        <w:rPr>
          <w:rFonts w:hint="eastAsia"/>
          <w:lang w:val="en-US" w:eastAsia="zh-CN"/>
        </w:rPr>
        <w:t>206.92</w:t>
      </w:r>
      <w:r>
        <w:rPr>
          <w:rFonts w:hint="eastAsia"/>
        </w:rPr>
        <w:t>万元，完成预算100%。</w:t>
      </w:r>
    </w:p>
    <w:p w14:paraId="6B5E4F86">
      <w:pPr>
        <w:spacing w:line="560" w:lineRule="exact"/>
        <w:ind w:firstLine="641"/>
      </w:pPr>
      <w:r>
        <w:rPr>
          <w:rFonts w:hint="eastAsia"/>
          <w:b/>
          <w:bCs/>
          <w:lang w:val="en-US" w:eastAsia="zh-CN"/>
        </w:rPr>
        <w:t>30</w:t>
      </w:r>
      <w:r>
        <w:rPr>
          <w:rFonts w:hint="eastAsia"/>
          <w:b/>
          <w:bCs/>
        </w:rPr>
        <w:t>.住房保障支出（类）住房改革支出（款）住房公积金（项）:</w:t>
      </w:r>
      <w:r>
        <w:rPr>
          <w:rFonts w:hint="eastAsia"/>
        </w:rPr>
        <w:t>支出决算为</w:t>
      </w:r>
      <w:r>
        <w:rPr>
          <w:rFonts w:hint="eastAsia"/>
          <w:lang w:val="en-US" w:eastAsia="zh-CN"/>
        </w:rPr>
        <w:t>366.7</w:t>
      </w:r>
      <w:r>
        <w:rPr>
          <w:rFonts w:hint="eastAsia"/>
        </w:rPr>
        <w:t>万元，完成预算100%。</w:t>
      </w:r>
    </w:p>
    <w:p w14:paraId="6E001019">
      <w:pPr>
        <w:spacing w:line="560" w:lineRule="exact"/>
        <w:ind w:firstLine="641"/>
      </w:pPr>
      <w:r>
        <w:rPr>
          <w:rFonts w:hint="eastAsia"/>
          <w:b/>
          <w:bCs/>
          <w:lang w:val="en-US" w:eastAsia="zh-CN"/>
        </w:rPr>
        <w:t>31</w:t>
      </w:r>
      <w:r>
        <w:rPr>
          <w:rFonts w:hint="eastAsia"/>
          <w:b/>
          <w:bCs/>
        </w:rPr>
        <w:t>.粮油物资储备支出（类）粮油物资事务（款）其他粮油物资事务支出（项）：</w:t>
      </w:r>
      <w:r>
        <w:rPr>
          <w:rFonts w:hint="eastAsia"/>
        </w:rPr>
        <w:t>支出决算为</w:t>
      </w:r>
      <w:r>
        <w:rPr>
          <w:rFonts w:hint="eastAsia"/>
          <w:lang w:val="en-US" w:eastAsia="zh-CN"/>
        </w:rPr>
        <w:t>973.56</w:t>
      </w:r>
      <w:r>
        <w:rPr>
          <w:rFonts w:hint="eastAsia"/>
        </w:rPr>
        <w:t>万元，完成预算100%。</w:t>
      </w:r>
    </w:p>
    <w:p w14:paraId="16ED9225">
      <w:pPr>
        <w:pStyle w:val="2"/>
        <w:spacing w:line="560" w:lineRule="exact"/>
        <w:ind w:firstLine="640"/>
      </w:pPr>
      <w:bookmarkStart w:id="58" w:name="_Toc15377214"/>
      <w:bookmarkStart w:id="59" w:name="_Toc15396608"/>
      <w:bookmarkStart w:id="60" w:name="_Toc15720"/>
      <w:r>
        <w:rPr>
          <w:rFonts w:hint="eastAsia"/>
        </w:rPr>
        <w:t>六、一般公共预算财政拨款基本支出决算情况说明</w:t>
      </w:r>
      <w:bookmarkEnd w:id="58"/>
      <w:bookmarkEnd w:id="59"/>
      <w:bookmarkEnd w:id="60"/>
      <w:r>
        <w:tab/>
      </w:r>
    </w:p>
    <w:p w14:paraId="56A1EBB5">
      <w:pPr>
        <w:spacing w:line="560" w:lineRule="exact"/>
        <w:ind w:firstLine="640"/>
      </w:pPr>
      <w:r>
        <w:t>20</w:t>
      </w:r>
      <w:r>
        <w:rPr>
          <w:rFonts w:hint="eastAsia"/>
        </w:rPr>
        <w:t>2</w:t>
      </w:r>
      <w:r>
        <w:rPr>
          <w:rFonts w:hint="eastAsia"/>
          <w:lang w:val="en-US" w:eastAsia="zh-CN"/>
        </w:rPr>
        <w:t>3</w:t>
      </w:r>
      <w:r>
        <w:rPr>
          <w:rFonts w:hint="eastAsia"/>
        </w:rPr>
        <w:t>年一般公共预算财政拨款基本支出</w:t>
      </w:r>
      <w:r>
        <w:rPr>
          <w:rFonts w:hint="eastAsia"/>
          <w:lang w:val="en-US" w:eastAsia="zh-CN"/>
        </w:rPr>
        <w:t>4970</w:t>
      </w:r>
      <w:r>
        <w:rPr>
          <w:rFonts w:hint="eastAsia"/>
          <w:color w:val="auto"/>
          <w:lang w:val="en-US" w:eastAsia="zh-CN"/>
        </w:rPr>
        <w:t>.11</w:t>
      </w:r>
      <w:r>
        <w:rPr>
          <w:rFonts w:hint="eastAsia"/>
        </w:rPr>
        <w:t>万元，其中：</w:t>
      </w:r>
    </w:p>
    <w:p w14:paraId="0654BAE8">
      <w:pPr>
        <w:keepNext w:val="0"/>
        <w:keepLines w:val="0"/>
        <w:pageBreakBefore w:val="0"/>
        <w:widowControl w:val="0"/>
        <w:kinsoku/>
        <w:wordWrap/>
        <w:overflowPunct/>
        <w:topLinePunct w:val="0"/>
        <w:bidi w:val="0"/>
        <w:snapToGrid/>
        <w:spacing w:line="560" w:lineRule="exact"/>
        <w:ind w:firstLine="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eastAsia"/>
          <w:b/>
          <w:bCs/>
        </w:rPr>
        <w:t>人员经费</w:t>
      </w:r>
      <w:r>
        <w:rPr>
          <w:rFonts w:hint="eastAsia"/>
          <w:b/>
          <w:bCs/>
          <w:lang w:val="en-US" w:eastAsia="zh-CN"/>
        </w:rPr>
        <w:t>4625.6</w:t>
      </w:r>
      <w:r>
        <w:rPr>
          <w:rFonts w:hint="eastAsia"/>
          <w:b/>
          <w:bCs/>
        </w:rPr>
        <w:t>万元，</w:t>
      </w:r>
      <w:r>
        <w:rPr>
          <w:rFonts w:hint="eastAsia"/>
        </w:rPr>
        <w:t>主要包括：</w:t>
      </w:r>
      <w:r>
        <w:rPr>
          <w:rFonts w:hint="default" w:ascii="Times New Roman" w:hAnsi="Times New Roman" w:eastAsia="仿宋_GB2312" w:cs="Times New Roman"/>
          <w:b w:val="0"/>
          <w:bCs w:val="0"/>
          <w:i w:val="0"/>
          <w:iCs w:val="0"/>
          <w:color w:val="auto"/>
          <w:sz w:val="32"/>
          <w:szCs w:val="32"/>
          <w:highlight w:val="none"/>
        </w:rPr>
        <w:t>基本工资、津贴补贴、奖金、伙食补助费、绩效工资、机关事业单位基本养老保险缴费、</w:t>
      </w:r>
      <w:r>
        <w:rPr>
          <w:rFonts w:hint="eastAsia" w:ascii="Times New Roman" w:hAnsi="Times New Roman" w:cs="Times New Roman"/>
          <w:b w:val="0"/>
          <w:bCs w:val="0"/>
          <w:i w:val="0"/>
          <w:iCs w:val="0"/>
          <w:color w:val="auto"/>
          <w:sz w:val="32"/>
          <w:szCs w:val="32"/>
          <w:highlight w:val="none"/>
          <w:lang w:eastAsia="zh-CN"/>
        </w:rPr>
        <w:t>职工基本医疗保险缴费、公务员医疗补助缴费、</w:t>
      </w:r>
      <w:r>
        <w:rPr>
          <w:rFonts w:hint="default" w:ascii="Times New Roman" w:hAnsi="Times New Roman" w:eastAsia="仿宋_GB2312" w:cs="Times New Roman"/>
          <w:b w:val="0"/>
          <w:bCs w:val="0"/>
          <w:i w:val="0"/>
          <w:iCs w:val="0"/>
          <w:color w:val="auto"/>
          <w:sz w:val="32"/>
          <w:szCs w:val="32"/>
          <w:highlight w:val="none"/>
        </w:rPr>
        <w:t>其他社会保障缴费、其他工资福利支出、生活补助、住房公积金、其他对个人和家庭的补助支出等。</w:t>
      </w:r>
    </w:p>
    <w:p w14:paraId="3806B84D">
      <w:pPr>
        <w:spacing w:line="560" w:lineRule="exact"/>
        <w:ind w:firstLine="641"/>
      </w:pPr>
      <w:r>
        <w:rPr>
          <w:rFonts w:hint="eastAsia"/>
          <w:b/>
          <w:bCs/>
          <w:lang w:eastAsia="zh-CN"/>
        </w:rPr>
        <w:t>公</w:t>
      </w:r>
      <w:r>
        <w:rPr>
          <w:rFonts w:hint="eastAsia"/>
          <w:b/>
          <w:bCs/>
        </w:rPr>
        <w:t>用经费</w:t>
      </w:r>
      <w:r>
        <w:rPr>
          <w:rFonts w:hint="eastAsia"/>
          <w:b/>
          <w:bCs/>
          <w:lang w:val="en-US" w:eastAsia="zh-CN"/>
        </w:rPr>
        <w:t>344.51</w:t>
      </w:r>
      <w:r>
        <w:rPr>
          <w:rFonts w:hint="eastAsia"/>
          <w:b/>
          <w:bCs/>
        </w:rPr>
        <w:t>万元，</w:t>
      </w:r>
      <w:r>
        <w:rPr>
          <w:rFonts w:hint="eastAsia"/>
        </w:rPr>
        <w:t>主要包括：办公费、印刷费、咨询费、水费、电费、邮电费、物业管理费、差旅费、维修（护）费、租赁费、会议费、培训费、公务接待费、劳务费、工会经费、福利费、公务用车运行维护费、其他交通费、其他商品和服务支出</w:t>
      </w:r>
      <w:r>
        <w:rPr>
          <w:rFonts w:hint="eastAsia"/>
          <w:lang w:eastAsia="zh-CN"/>
        </w:rPr>
        <w:t>、办公设备购置</w:t>
      </w:r>
      <w:r>
        <w:rPr>
          <w:rFonts w:hint="eastAsia"/>
        </w:rPr>
        <w:t>等。</w:t>
      </w:r>
      <w:bookmarkStart w:id="61" w:name="_Toc15377215"/>
      <w:bookmarkStart w:id="62" w:name="_Toc15396609"/>
    </w:p>
    <w:p w14:paraId="3C4469CA">
      <w:pPr>
        <w:pStyle w:val="2"/>
        <w:spacing w:line="560" w:lineRule="exact"/>
        <w:ind w:firstLine="640"/>
      </w:pPr>
      <w:bookmarkStart w:id="63" w:name="_Toc25161"/>
      <w:r>
        <w:rPr>
          <w:rFonts w:hint="eastAsia"/>
        </w:rPr>
        <w:t>七、“三公”经费财政拨款支出决算情况说明</w:t>
      </w:r>
      <w:bookmarkEnd w:id="61"/>
      <w:bookmarkEnd w:id="62"/>
      <w:bookmarkEnd w:id="63"/>
    </w:p>
    <w:p w14:paraId="217B56DA">
      <w:pPr>
        <w:pStyle w:val="4"/>
        <w:spacing w:line="560" w:lineRule="exact"/>
        <w:ind w:firstLine="640"/>
      </w:pPr>
      <w:bookmarkStart w:id="64" w:name="_Toc15377216"/>
      <w:r>
        <w:rPr>
          <w:rFonts w:hint="eastAsia"/>
        </w:rPr>
        <w:t>（一）“三公”经费财政拨款支出决算总体情况说明</w:t>
      </w:r>
      <w:bookmarkEnd w:id="64"/>
    </w:p>
    <w:p w14:paraId="43A2E74C">
      <w:pPr>
        <w:spacing w:line="560" w:lineRule="exact"/>
        <w:ind w:firstLine="640"/>
        <w:rPr>
          <w:rFonts w:hint="default"/>
          <w:lang w:val="en-US"/>
        </w:rPr>
      </w:pPr>
      <w:r>
        <w:t>20</w:t>
      </w:r>
      <w:r>
        <w:rPr>
          <w:rFonts w:hint="eastAsia"/>
        </w:rPr>
        <w:t>2</w:t>
      </w:r>
      <w:r>
        <w:rPr>
          <w:rFonts w:hint="eastAsia"/>
          <w:lang w:val="en-US" w:eastAsia="zh-CN"/>
        </w:rPr>
        <w:t>3</w:t>
      </w:r>
      <w:r>
        <w:rPr>
          <w:rFonts w:hint="eastAsia"/>
        </w:rPr>
        <w:t>年“三公”经费财政拨款支出决算为</w:t>
      </w:r>
      <w:r>
        <w:rPr>
          <w:rFonts w:hint="eastAsia"/>
          <w:lang w:val="en-US" w:eastAsia="zh-CN"/>
        </w:rPr>
        <w:t>12</w:t>
      </w:r>
      <w:r>
        <w:rPr>
          <w:rFonts w:hint="eastAsia"/>
        </w:rPr>
        <w:t>万元，完成预算100</w:t>
      </w:r>
      <w:r>
        <w:t>%</w:t>
      </w:r>
      <w:r>
        <w:rPr>
          <w:rFonts w:hint="eastAsia"/>
        </w:rPr>
        <w:t>。</w:t>
      </w:r>
      <w:r>
        <w:rPr>
          <w:rFonts w:hint="default" w:ascii="Times New Roman" w:hAnsi="Times New Roman" w:eastAsia="仿宋_GB2312" w:cs="Times New Roman"/>
          <w:b w:val="0"/>
          <w:bCs w:val="0"/>
          <w:i w:val="0"/>
          <w:iCs w:val="0"/>
          <w:color w:val="auto"/>
          <w:sz w:val="32"/>
          <w:szCs w:val="32"/>
          <w:highlight w:val="none"/>
          <w:lang w:eastAsia="zh-CN"/>
        </w:rPr>
        <w:t>较上年度增加</w:t>
      </w:r>
      <w:r>
        <w:rPr>
          <w:rFonts w:hint="eastAsia" w:ascii="Times New Roman" w:hAnsi="Times New Roman" w:cs="Times New Roman"/>
          <w:b w:val="0"/>
          <w:bCs w:val="0"/>
          <w:i w:val="0"/>
          <w:iCs w:val="0"/>
          <w:color w:val="auto"/>
          <w:sz w:val="32"/>
          <w:szCs w:val="32"/>
          <w:highlight w:val="none"/>
          <w:lang w:val="en-US" w:eastAsia="zh-CN"/>
        </w:rPr>
        <w:t>0.02</w:t>
      </w:r>
      <w:r>
        <w:rPr>
          <w:rFonts w:hint="default" w:ascii="Times New Roman" w:hAnsi="Times New Roman" w:eastAsia="仿宋_GB2312" w:cs="Times New Roman"/>
          <w:b w:val="0"/>
          <w:bCs w:val="0"/>
          <w:i w:val="0"/>
          <w:iCs w:val="0"/>
          <w:color w:val="auto"/>
          <w:sz w:val="32"/>
          <w:szCs w:val="32"/>
          <w:highlight w:val="none"/>
          <w:lang w:val="en-US" w:eastAsia="zh-CN"/>
        </w:rPr>
        <w:t>万元</w:t>
      </w:r>
      <w:r>
        <w:rPr>
          <w:rFonts w:hint="eastAsia" w:ascii="Times New Roman" w:hAnsi="Times New Roman" w:cs="Times New Roman"/>
          <w:b w:val="0"/>
          <w:bCs w:val="0"/>
          <w:i w:val="0"/>
          <w:iCs w:val="0"/>
          <w:color w:val="auto"/>
          <w:sz w:val="32"/>
          <w:szCs w:val="32"/>
          <w:highlight w:val="none"/>
          <w:lang w:val="en-US" w:eastAsia="zh-CN"/>
        </w:rPr>
        <w:t>。</w:t>
      </w:r>
    </w:p>
    <w:p w14:paraId="6AEE7153">
      <w:pPr>
        <w:pStyle w:val="4"/>
        <w:spacing w:line="560" w:lineRule="exact"/>
        <w:ind w:firstLine="640"/>
      </w:pPr>
      <w:bookmarkStart w:id="65" w:name="_Toc15377217"/>
      <w:r>
        <w:rPr>
          <w:rFonts w:hint="eastAsia"/>
        </w:rPr>
        <w:t>（二）“三公”经费财政拨款支出决算具体情况说明</w:t>
      </w:r>
      <w:bookmarkEnd w:id="65"/>
    </w:p>
    <w:p w14:paraId="2EEFCC66">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t>20</w:t>
      </w:r>
      <w:r>
        <w:rPr>
          <w:rFonts w:hint="eastAsia"/>
        </w:rPr>
        <w:t>2</w:t>
      </w:r>
      <w:r>
        <w:rPr>
          <w:rFonts w:hint="eastAsia"/>
          <w:lang w:val="en-US" w:eastAsia="zh-CN"/>
        </w:rPr>
        <w:t>3</w:t>
      </w:r>
      <w:r>
        <w:rPr>
          <w:rFonts w:hint="eastAsia"/>
        </w:rPr>
        <w:t>年“三公”经费财政拨款支出决算中，</w:t>
      </w:r>
      <w:r>
        <w:rPr>
          <w:rFonts w:hint="default" w:ascii="Times New Roman" w:hAnsi="Times New Roman" w:eastAsia="仿宋_GB2312" w:cs="Times New Roman"/>
          <w:b w:val="0"/>
          <w:bCs w:val="0"/>
          <w:i w:val="0"/>
          <w:iCs w:val="0"/>
          <w:color w:val="auto"/>
          <w:sz w:val="32"/>
          <w:szCs w:val="32"/>
          <w:highlight w:val="none"/>
        </w:rPr>
        <w:t>因公出国（境）费支出决算</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万元；公务用车购置及运行维护费支出决算</w:t>
      </w:r>
      <w:r>
        <w:rPr>
          <w:rFonts w:hint="eastAsia" w:ascii="Times New Roman" w:hAnsi="Times New Roman"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33.33</w:t>
      </w:r>
      <w:r>
        <w:rPr>
          <w:rFonts w:hint="default" w:ascii="Times New Roman" w:hAnsi="Times New Roman" w:eastAsia="仿宋_GB2312" w:cs="Times New Roman"/>
          <w:b w:val="0"/>
          <w:bCs w:val="0"/>
          <w:i w:val="0"/>
          <w:iCs w:val="0"/>
          <w:color w:val="auto"/>
          <w:sz w:val="32"/>
          <w:szCs w:val="32"/>
          <w:highlight w:val="none"/>
        </w:rPr>
        <w:t>%；公务接待费支出决算</w:t>
      </w:r>
      <w:r>
        <w:rPr>
          <w:rFonts w:hint="eastAsia" w:ascii="Times New Roman" w:hAnsi="Times New Roman"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66.67</w:t>
      </w:r>
      <w:r>
        <w:rPr>
          <w:rFonts w:hint="default" w:ascii="Times New Roman" w:hAnsi="Times New Roman" w:eastAsia="仿宋_GB2312" w:cs="Times New Roman"/>
          <w:b w:val="0"/>
          <w:bCs w:val="0"/>
          <w:i w:val="0"/>
          <w:iCs w:val="0"/>
          <w:color w:val="auto"/>
          <w:sz w:val="32"/>
          <w:szCs w:val="32"/>
          <w:highlight w:val="none"/>
        </w:rPr>
        <w:t>%。具体情况如下：</w:t>
      </w:r>
    </w:p>
    <w:p w14:paraId="3DBD4F3C">
      <w:pPr>
        <w:spacing w:line="240" w:lineRule="auto"/>
        <w:ind w:firstLine="0" w:firstLineChars="0"/>
      </w:pPr>
      <w:r>
        <w:drawing>
          <wp:inline distT="0" distB="0" distL="114300" distR="114300">
            <wp:extent cx="5080000" cy="2839085"/>
            <wp:effectExtent l="5080" t="4445" r="20320"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D7AEA9">
      <w:pPr>
        <w:spacing w:line="560" w:lineRule="exact"/>
        <w:ind w:firstLine="640"/>
        <w:rPr>
          <w:rFonts w:ascii="仿宋" w:hAnsi="仿宋" w:eastAsia="仿宋"/>
          <w:szCs w:val="32"/>
        </w:rPr>
      </w:pPr>
      <w:r>
        <w:rPr>
          <w:rFonts w:hint="eastAsia" w:ascii="仿宋" w:hAnsi="仿宋" w:eastAsia="仿宋"/>
          <w:szCs w:val="32"/>
        </w:rPr>
        <w:t>（图7：“三公”经费财政拨款支出结构）（饼状图）</w:t>
      </w:r>
    </w:p>
    <w:p w14:paraId="36B06B17">
      <w:pPr>
        <w:spacing w:line="240" w:lineRule="auto"/>
        <w:ind w:firstLine="643"/>
      </w:pPr>
      <w:r>
        <w:rPr>
          <w:b/>
          <w:bCs/>
        </w:rPr>
        <w:t>1.</w:t>
      </w:r>
      <w:r>
        <w:rPr>
          <w:rFonts w:hint="eastAsia"/>
          <w:b/>
          <w:bCs/>
        </w:rPr>
        <w:t>因公出国（境）经费支出0万元</w:t>
      </w:r>
      <w:r>
        <w:rPr>
          <w:rStyle w:val="20"/>
          <w:rFonts w:hint="default" w:ascii="Times New Roman" w:hAnsi="Times New Roman" w:eastAsia="仿宋_GB2312" w:cs="Times New Roman"/>
          <w:b w:val="0"/>
          <w:bCs w:val="0"/>
          <w:i w:val="0"/>
          <w:iCs w:val="0"/>
          <w:color w:val="auto"/>
          <w:sz w:val="32"/>
          <w:szCs w:val="32"/>
          <w:highlight w:val="none"/>
        </w:rPr>
        <w:t>完成预算</w:t>
      </w:r>
      <w:r>
        <w:rPr>
          <w:rStyle w:val="20"/>
          <w:rFonts w:hint="eastAsia" w:cs="Times New Roman"/>
          <w:b w:val="0"/>
          <w:bCs w:val="0"/>
          <w:i w:val="0"/>
          <w:iCs w:val="0"/>
          <w:color w:val="auto"/>
          <w:sz w:val="32"/>
          <w:szCs w:val="32"/>
          <w:highlight w:val="none"/>
          <w:lang w:val="en-US" w:eastAsia="zh-CN"/>
        </w:rPr>
        <w:t>10</w:t>
      </w:r>
      <w:r>
        <w:rPr>
          <w:rStyle w:val="20"/>
          <w:rFonts w:hint="eastAsia" w:ascii="Times New Roman" w:hAnsi="Times New Roman" w:cs="Times New Roman"/>
          <w:b w:val="0"/>
          <w:bCs w:val="0"/>
          <w:i w:val="0"/>
          <w:iCs w:val="0"/>
          <w:color w:val="auto"/>
          <w:sz w:val="32"/>
          <w:szCs w:val="32"/>
          <w:highlight w:val="none"/>
          <w:lang w:val="en-US" w:eastAsia="zh-CN"/>
        </w:rPr>
        <w:t>0</w:t>
      </w:r>
      <w:r>
        <w:rPr>
          <w:rStyle w:val="20"/>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全年安排因公出国（境）团组</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次，出国（境）</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人。因公出国（境）支出决算</w:t>
      </w:r>
      <w:r>
        <w:rPr>
          <w:rFonts w:hint="eastAsia" w:cs="Times New Roman"/>
          <w:b w:val="0"/>
          <w:bCs w:val="0"/>
          <w:i w:val="0"/>
          <w:iCs w:val="0"/>
          <w:color w:val="auto"/>
          <w:sz w:val="32"/>
          <w:szCs w:val="32"/>
          <w:highlight w:val="none"/>
          <w:lang w:val="en-US" w:eastAsia="zh-CN"/>
        </w:rPr>
        <w:t>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eastAsia" w:cs="Times New Roman"/>
          <w:b w:val="0"/>
          <w:bCs w:val="0"/>
          <w:i w:val="0"/>
          <w:iCs w:val="0"/>
          <w:color w:val="auto"/>
          <w:sz w:val="32"/>
          <w:szCs w:val="32"/>
          <w:highlight w:val="none"/>
          <w:lang w:val="en-US" w:eastAsia="zh-CN"/>
        </w:rPr>
        <w:t>持平</w:t>
      </w:r>
      <w:r>
        <w:rPr>
          <w:rFonts w:hint="eastAsia"/>
        </w:rPr>
        <w:t>。</w:t>
      </w:r>
    </w:p>
    <w:p w14:paraId="4FE5BE76">
      <w:pPr>
        <w:spacing w:line="560" w:lineRule="exact"/>
        <w:ind w:firstLine="641"/>
      </w:pPr>
      <w:r>
        <w:rPr>
          <w:b/>
          <w:bCs/>
        </w:rPr>
        <w:t>2.</w:t>
      </w:r>
      <w:r>
        <w:rPr>
          <w:rFonts w:hint="eastAsia"/>
          <w:b/>
          <w:bCs/>
        </w:rPr>
        <w:t>公务用车购置及运行维护费支出</w:t>
      </w:r>
      <w:r>
        <w:rPr>
          <w:rFonts w:hint="eastAsia"/>
          <w:b/>
          <w:bCs/>
          <w:lang w:val="en-US" w:eastAsia="zh-CN"/>
        </w:rPr>
        <w:t>4</w:t>
      </w:r>
      <w:r>
        <w:rPr>
          <w:rFonts w:hint="eastAsia"/>
          <w:b/>
          <w:bCs/>
        </w:rPr>
        <w:t>万元,</w:t>
      </w:r>
      <w:r>
        <w:rPr>
          <w:rFonts w:hint="eastAsia"/>
        </w:rPr>
        <w:t>完成预算100</w:t>
      </w:r>
      <w:r>
        <w:t>%</w:t>
      </w:r>
      <w:r>
        <w:rPr>
          <w:rFonts w:hint="eastAsia"/>
        </w:rPr>
        <w:t>。公务用车购置及运行维护费支出决算比</w:t>
      </w:r>
      <w:r>
        <w:t>20</w:t>
      </w:r>
      <w:r>
        <w:rPr>
          <w:rFonts w:hint="eastAsia"/>
        </w:rPr>
        <w:t>2</w:t>
      </w:r>
      <w:r>
        <w:rPr>
          <w:rFonts w:hint="eastAsia"/>
          <w:lang w:val="en-US" w:eastAsia="zh-CN"/>
        </w:rPr>
        <w:t>2</w:t>
      </w:r>
      <w:r>
        <w:rPr>
          <w:rFonts w:hint="eastAsia"/>
        </w:rPr>
        <w:t>年减少0.</w:t>
      </w:r>
      <w:r>
        <w:rPr>
          <w:rFonts w:hint="eastAsia"/>
          <w:lang w:val="en-US" w:eastAsia="zh-CN"/>
        </w:rPr>
        <w:t>57</w:t>
      </w:r>
      <w:r>
        <w:rPr>
          <w:rFonts w:hint="eastAsia"/>
        </w:rPr>
        <w:t>万元，下降</w:t>
      </w:r>
      <w:r>
        <w:rPr>
          <w:rFonts w:hint="eastAsia"/>
          <w:lang w:val="en-US" w:eastAsia="zh-CN"/>
        </w:rPr>
        <w:t>12.47</w:t>
      </w:r>
      <w:r>
        <w:t>%</w:t>
      </w:r>
      <w:r>
        <w:rPr>
          <w:rFonts w:hint="eastAsia"/>
        </w:rPr>
        <w:t>。主要原因是严格压缩</w:t>
      </w:r>
      <w:r>
        <w:rPr>
          <w:rFonts w:hint="eastAsia"/>
          <w:lang w:eastAsia="zh-CN"/>
        </w:rPr>
        <w:t>公务用车</w:t>
      </w:r>
      <w:r>
        <w:rPr>
          <w:rFonts w:hint="eastAsia"/>
        </w:rPr>
        <w:t>开支。</w:t>
      </w:r>
    </w:p>
    <w:p w14:paraId="4B4CF9D8">
      <w:pPr>
        <w:spacing w:line="560" w:lineRule="exact"/>
        <w:ind w:firstLine="640"/>
      </w:pPr>
      <w:r>
        <w:rPr>
          <w:rFonts w:hint="eastAsia"/>
        </w:rPr>
        <w:t>其中：</w:t>
      </w:r>
      <w:r>
        <w:rPr>
          <w:rFonts w:hint="eastAsia"/>
          <w:b/>
          <w:bCs/>
        </w:rPr>
        <w:t>公务用车购置支出0万元。</w:t>
      </w:r>
      <w:r>
        <w:rPr>
          <w:rFonts w:hint="eastAsia"/>
        </w:rPr>
        <w:t>全年按规定更新购置公务用车0辆，其中：轿车0辆、金额0万元，越野车0辆、金额0万元，载客汽车0辆、金额0万元。截至</w:t>
      </w:r>
      <w:r>
        <w:t>20</w:t>
      </w:r>
      <w:r>
        <w:rPr>
          <w:rFonts w:hint="eastAsia"/>
        </w:rPr>
        <w:t>2</w:t>
      </w:r>
      <w:r>
        <w:rPr>
          <w:rFonts w:hint="eastAsia"/>
          <w:lang w:val="en-US" w:eastAsia="zh-CN"/>
        </w:rPr>
        <w:t>3</w:t>
      </w:r>
      <w:r>
        <w:rPr>
          <w:rFonts w:hint="eastAsia"/>
        </w:rPr>
        <w:t>年</w:t>
      </w:r>
      <w:r>
        <w:t>12</w:t>
      </w:r>
      <w:r>
        <w:rPr>
          <w:rFonts w:hint="eastAsia"/>
        </w:rPr>
        <w:t>月底，单位共有公务用车1辆，其中：轿车1辆、越野车0辆、载客汽车0辆。</w:t>
      </w:r>
    </w:p>
    <w:p w14:paraId="20EEC521">
      <w:pPr>
        <w:spacing w:line="560" w:lineRule="exact"/>
        <w:ind w:firstLine="641"/>
      </w:pPr>
      <w:r>
        <w:rPr>
          <w:rFonts w:hint="eastAsia"/>
          <w:b/>
          <w:bCs/>
        </w:rPr>
        <w:t>公务用车运行维护费支出</w:t>
      </w:r>
      <w:r>
        <w:rPr>
          <w:rFonts w:hint="eastAsia"/>
          <w:b/>
          <w:bCs/>
          <w:lang w:val="en-US" w:eastAsia="zh-CN"/>
        </w:rPr>
        <w:t>4</w:t>
      </w:r>
      <w:r>
        <w:rPr>
          <w:rFonts w:hint="eastAsia"/>
          <w:b/>
          <w:bCs/>
        </w:rPr>
        <w:t>万元。</w:t>
      </w:r>
      <w:r>
        <w:rPr>
          <w:rFonts w:hint="eastAsia"/>
        </w:rPr>
        <w:t>主要用于高标准农田建设，乡村振兴</w:t>
      </w:r>
      <w:r>
        <w:rPr>
          <w:rFonts w:hint="eastAsia"/>
          <w:lang w:eastAsia="zh-CN"/>
        </w:rPr>
        <w:t>等</w:t>
      </w:r>
      <w:r>
        <w:rPr>
          <w:rFonts w:hint="eastAsia"/>
        </w:rPr>
        <w:t>项目</w:t>
      </w:r>
      <w:r>
        <w:rPr>
          <w:rFonts w:hint="default" w:ascii="Times New Roman" w:hAnsi="Times New Roman" w:eastAsia="仿宋_GB2312" w:cs="Times New Roman"/>
          <w:b w:val="0"/>
          <w:bCs w:val="0"/>
          <w:i w:val="0"/>
          <w:iCs w:val="0"/>
          <w:color w:val="auto"/>
          <w:sz w:val="32"/>
          <w:szCs w:val="32"/>
          <w:highlight w:val="none"/>
        </w:rPr>
        <w:t>所需的公务用车燃料费、维修费、过路过桥费、保险费等支出</w:t>
      </w:r>
      <w:r>
        <w:rPr>
          <w:rFonts w:hint="eastAsia"/>
        </w:rPr>
        <w:t>。</w:t>
      </w:r>
    </w:p>
    <w:p w14:paraId="625258D9">
      <w:pPr>
        <w:snapToGrid w:val="0"/>
        <w:spacing w:line="560" w:lineRule="exact"/>
        <w:ind w:firstLine="643" w:firstLineChars="200"/>
      </w:pPr>
      <w:r>
        <w:rPr>
          <w:b/>
          <w:bCs/>
        </w:rPr>
        <w:t>3.</w:t>
      </w:r>
      <w:r>
        <w:rPr>
          <w:rFonts w:hint="eastAsia"/>
          <w:b/>
          <w:bCs/>
        </w:rPr>
        <w:t>公务接待费支出</w:t>
      </w:r>
      <w:r>
        <w:rPr>
          <w:rFonts w:hint="eastAsia"/>
          <w:b/>
          <w:bCs/>
          <w:lang w:val="en-US" w:eastAsia="zh-CN"/>
        </w:rPr>
        <w:t>8</w:t>
      </w:r>
      <w:r>
        <w:rPr>
          <w:rFonts w:hint="eastAsia"/>
          <w:b/>
          <w:bCs/>
        </w:rPr>
        <w:t>万元，</w:t>
      </w:r>
      <w:r>
        <w:rPr>
          <w:rFonts w:hint="eastAsia"/>
        </w:rPr>
        <w:t>完成预算100</w:t>
      </w:r>
      <w:r>
        <w:t>%</w:t>
      </w:r>
      <w:r>
        <w:rPr>
          <w:rFonts w:hint="eastAsia"/>
        </w:rPr>
        <w:t>。公务接待费支出决算比</w:t>
      </w:r>
      <w:r>
        <w:t>20</w:t>
      </w:r>
      <w:r>
        <w:rPr>
          <w:rFonts w:hint="eastAsia"/>
        </w:rPr>
        <w:t>2</w:t>
      </w:r>
      <w:r>
        <w:rPr>
          <w:rFonts w:hint="eastAsia"/>
          <w:lang w:val="en-US" w:eastAsia="zh-CN"/>
        </w:rPr>
        <w:t>2</w:t>
      </w:r>
      <w:r>
        <w:rPr>
          <w:rFonts w:hint="eastAsia"/>
        </w:rPr>
        <w:t>年</w:t>
      </w:r>
      <w:r>
        <w:rPr>
          <w:rFonts w:hint="eastAsia"/>
          <w:lang w:eastAsia="zh-CN"/>
        </w:rPr>
        <w:t>增加</w:t>
      </w:r>
      <w:r>
        <w:rPr>
          <w:rFonts w:hint="eastAsia"/>
          <w:lang w:val="en-US" w:eastAsia="zh-CN"/>
        </w:rPr>
        <w:t>0.59</w:t>
      </w:r>
      <w:r>
        <w:rPr>
          <w:rFonts w:hint="eastAsia"/>
        </w:rPr>
        <w:t>万元，</w:t>
      </w:r>
      <w:r>
        <w:rPr>
          <w:rFonts w:hint="eastAsia"/>
          <w:lang w:eastAsia="zh-CN"/>
        </w:rPr>
        <w:t>增长</w:t>
      </w:r>
      <w:r>
        <w:rPr>
          <w:rFonts w:hint="eastAsia"/>
          <w:lang w:val="en-US" w:eastAsia="zh-CN"/>
        </w:rPr>
        <w:t>7.96</w:t>
      </w:r>
      <w:r>
        <w:t>%</w:t>
      </w:r>
      <w:r>
        <w:rPr>
          <w:rFonts w:hint="eastAsia"/>
        </w:rPr>
        <w:t>。主要原因是</w:t>
      </w:r>
      <w:r>
        <w:rPr>
          <w:rFonts w:hint="eastAsia" w:ascii="仿宋_GB2312" w:hAnsi="仿宋" w:eastAsia="仿宋_GB2312" w:cs="Times New Roman"/>
          <w:b w:val="0"/>
          <w:kern w:val="2"/>
          <w:sz w:val="32"/>
          <w:szCs w:val="32"/>
          <w:lang w:val="en-US" w:eastAsia="zh-CN" w:bidi="ar-SA"/>
        </w:rPr>
        <w:t>202</w:t>
      </w:r>
      <w:r>
        <w:rPr>
          <w:rFonts w:hint="eastAsia" w:ascii="仿宋_GB2312" w:hAnsi="仿宋" w:cs="Times New Roman"/>
          <w:b w:val="0"/>
          <w:kern w:val="2"/>
          <w:sz w:val="32"/>
          <w:szCs w:val="32"/>
          <w:lang w:val="en-US" w:eastAsia="zh-CN" w:bidi="ar-SA"/>
        </w:rPr>
        <w:t>3</w:t>
      </w:r>
      <w:r>
        <w:rPr>
          <w:rFonts w:hint="eastAsia" w:ascii="仿宋_GB2312" w:hAnsi="仿宋" w:eastAsia="仿宋_GB2312" w:cs="Times New Roman"/>
          <w:b w:val="0"/>
          <w:kern w:val="2"/>
          <w:sz w:val="32"/>
          <w:szCs w:val="32"/>
          <w:lang w:val="en-US" w:eastAsia="zh-CN" w:bidi="ar-SA"/>
        </w:rPr>
        <w:t>年</w:t>
      </w:r>
      <w:r>
        <w:rPr>
          <w:rFonts w:hint="eastAsia" w:ascii="仿宋_GB2312" w:hAnsi="仿宋" w:cs="Times New Roman"/>
          <w:b w:val="0"/>
          <w:kern w:val="2"/>
          <w:sz w:val="32"/>
          <w:szCs w:val="32"/>
          <w:lang w:val="en-US" w:eastAsia="zh-CN" w:bidi="ar-SA"/>
        </w:rPr>
        <w:t>项目检查接待及省市调研学习接待事项较多</w:t>
      </w:r>
      <w:r>
        <w:rPr>
          <w:rFonts w:hint="eastAsia" w:ascii="仿宋_GB2312" w:hAnsi="仿宋_GB2312" w:eastAsia="仿宋_GB2312" w:cs="仿宋_GB2312"/>
          <w:bCs/>
          <w:sz w:val="32"/>
          <w:szCs w:val="32"/>
          <w:lang w:val="en-US" w:eastAsia="zh-CN"/>
        </w:rPr>
        <w:t>。</w:t>
      </w:r>
      <w:r>
        <w:rPr>
          <w:rFonts w:hint="eastAsia"/>
        </w:rPr>
        <w:t>其中：</w:t>
      </w:r>
    </w:p>
    <w:p w14:paraId="51A28847">
      <w:pPr>
        <w:spacing w:line="560" w:lineRule="exact"/>
        <w:ind w:firstLine="641"/>
      </w:pPr>
      <w:r>
        <w:rPr>
          <w:rFonts w:hint="eastAsia"/>
          <w:b/>
          <w:bCs/>
        </w:rPr>
        <w:t>国内公务接待支出</w:t>
      </w:r>
      <w:r>
        <w:rPr>
          <w:rFonts w:hint="eastAsia"/>
          <w:b/>
          <w:bCs/>
          <w:lang w:val="en-US" w:eastAsia="zh-CN"/>
        </w:rPr>
        <w:t>8</w:t>
      </w:r>
      <w:r>
        <w:rPr>
          <w:rFonts w:hint="eastAsia"/>
          <w:b/>
          <w:bCs/>
        </w:rPr>
        <w:t>万元，</w:t>
      </w:r>
      <w:r>
        <w:rPr>
          <w:rFonts w:hint="eastAsia"/>
        </w:rPr>
        <w:t>主要用于项目检查及项目验收及现场会执行公务、开展业务活动开支的交通费、</w:t>
      </w:r>
      <w:r>
        <w:rPr>
          <w:rFonts w:hint="default" w:ascii="Times New Roman" w:hAnsi="Times New Roman" w:eastAsia="仿宋_GB2312" w:cs="Times New Roman"/>
          <w:b w:val="0"/>
          <w:bCs w:val="0"/>
          <w:i w:val="0"/>
          <w:iCs w:val="0"/>
          <w:color w:val="auto"/>
          <w:sz w:val="32"/>
          <w:szCs w:val="32"/>
          <w:highlight w:val="none"/>
        </w:rPr>
        <w:t>住宿费</w:t>
      </w:r>
      <w:r>
        <w:rPr>
          <w:rFonts w:hint="eastAsia" w:ascii="Times New Roman" w:hAnsi="Times New Roman" w:cs="Times New Roman"/>
          <w:b w:val="0"/>
          <w:bCs w:val="0"/>
          <w:i w:val="0"/>
          <w:iCs w:val="0"/>
          <w:color w:val="auto"/>
          <w:sz w:val="32"/>
          <w:szCs w:val="32"/>
          <w:highlight w:val="none"/>
          <w:lang w:eastAsia="zh-CN"/>
        </w:rPr>
        <w:t>、</w:t>
      </w:r>
      <w:r>
        <w:rPr>
          <w:rFonts w:hint="eastAsia"/>
        </w:rPr>
        <w:t>用餐费等。国内公务接待1</w:t>
      </w:r>
      <w:r>
        <w:rPr>
          <w:rFonts w:hint="eastAsia"/>
          <w:lang w:val="en-US" w:eastAsia="zh-CN"/>
        </w:rPr>
        <w:t>54</w:t>
      </w:r>
      <w:r>
        <w:rPr>
          <w:rFonts w:hint="eastAsia"/>
        </w:rPr>
        <w:t>批次，</w:t>
      </w:r>
      <w:r>
        <w:rPr>
          <w:rFonts w:hint="eastAsia"/>
          <w:lang w:val="en-US" w:eastAsia="zh-CN"/>
        </w:rPr>
        <w:t>1233</w:t>
      </w:r>
      <w:r>
        <w:rPr>
          <w:rFonts w:hint="eastAsia"/>
        </w:rPr>
        <w:t>人次（不包括陪同人员），共计支出</w:t>
      </w:r>
      <w:r>
        <w:rPr>
          <w:rFonts w:hint="eastAsia"/>
          <w:lang w:val="en-US" w:eastAsia="zh-CN"/>
        </w:rPr>
        <w:t>8</w:t>
      </w:r>
      <w:r>
        <w:rPr>
          <w:rFonts w:hint="eastAsia"/>
        </w:rPr>
        <w:t>万元，具体内容包括：</w:t>
      </w:r>
      <w:r>
        <w:t>农产品质量安全迎检</w:t>
      </w:r>
      <w:r>
        <w:rPr>
          <w:rFonts w:hint="eastAsia"/>
          <w:lang w:val="en-US" w:eastAsia="zh-CN"/>
        </w:rPr>
        <w:t>2</w:t>
      </w:r>
      <w:r>
        <w:t>.84万元、</w:t>
      </w:r>
      <w:r>
        <w:rPr>
          <w:rFonts w:hint="eastAsia"/>
        </w:rPr>
        <w:t>乡村振兴</w:t>
      </w:r>
      <w:r>
        <w:t>项目实施检查、</w:t>
      </w:r>
      <w:r>
        <w:rPr>
          <w:rFonts w:hint="eastAsia"/>
        </w:rPr>
        <w:t>省市调研</w:t>
      </w:r>
      <w:r>
        <w:t>来访学习接待</w:t>
      </w:r>
      <w:r>
        <w:rPr>
          <w:rFonts w:hint="eastAsia"/>
          <w:lang w:val="en-US" w:eastAsia="zh-CN"/>
        </w:rPr>
        <w:t>3</w:t>
      </w:r>
      <w:r>
        <w:rPr>
          <w:rFonts w:hint="eastAsia"/>
        </w:rPr>
        <w:t>.5</w:t>
      </w:r>
      <w:r>
        <w:rPr>
          <w:rFonts w:hint="eastAsia"/>
          <w:lang w:val="en-US" w:eastAsia="zh-CN"/>
        </w:rPr>
        <w:t>0</w:t>
      </w:r>
      <w:r>
        <w:t>万元，面源污染治理等其他工作检查</w:t>
      </w:r>
      <w:r>
        <w:rPr>
          <w:rFonts w:hint="eastAsia"/>
          <w:lang w:val="en-US" w:eastAsia="zh-CN"/>
        </w:rPr>
        <w:t>1.66</w:t>
      </w:r>
      <w:r>
        <w:t>万元。</w:t>
      </w:r>
    </w:p>
    <w:p w14:paraId="311FC30D">
      <w:pPr>
        <w:spacing w:line="560" w:lineRule="exact"/>
        <w:ind w:firstLine="641"/>
      </w:pPr>
      <w:r>
        <w:rPr>
          <w:rFonts w:hint="eastAsia"/>
          <w:b/>
          <w:bCs/>
        </w:rPr>
        <w:t>外事接待支出0万元，</w:t>
      </w:r>
      <w:r>
        <w:rPr>
          <w:rFonts w:hint="eastAsia"/>
        </w:rPr>
        <w:t>外事接待0批次，0人，共计支出0万元。</w:t>
      </w:r>
    </w:p>
    <w:p w14:paraId="1EE02AC3">
      <w:pPr>
        <w:pStyle w:val="2"/>
        <w:spacing w:line="560" w:lineRule="exact"/>
        <w:ind w:firstLine="640" w:firstLineChars="200"/>
      </w:pPr>
      <w:bookmarkStart w:id="66" w:name="_Toc15377218"/>
      <w:bookmarkStart w:id="67" w:name="_Toc15396610"/>
      <w:bookmarkStart w:id="68" w:name="_Toc588"/>
      <w:r>
        <w:rPr>
          <w:rFonts w:hint="eastAsia"/>
        </w:rPr>
        <w:t>八、政府性基金预算支出决算情况说明</w:t>
      </w:r>
      <w:bookmarkEnd w:id="66"/>
      <w:bookmarkEnd w:id="67"/>
      <w:bookmarkEnd w:id="68"/>
    </w:p>
    <w:p w14:paraId="472A1AB1">
      <w:pPr>
        <w:spacing w:line="560" w:lineRule="exact"/>
        <w:ind w:firstLine="640"/>
      </w:pPr>
      <w:r>
        <w:t>20</w:t>
      </w:r>
      <w:r>
        <w:rPr>
          <w:rFonts w:hint="eastAsia"/>
        </w:rPr>
        <w:t>2</w:t>
      </w:r>
      <w:r>
        <w:rPr>
          <w:rFonts w:hint="eastAsia"/>
          <w:lang w:val="en-US" w:eastAsia="zh-CN"/>
        </w:rPr>
        <w:t>3</w:t>
      </w:r>
      <w:r>
        <w:rPr>
          <w:rFonts w:hint="eastAsia"/>
        </w:rPr>
        <w:t>年政府性基金预算财政拨款支出</w:t>
      </w:r>
      <w:r>
        <w:rPr>
          <w:rFonts w:hint="eastAsia"/>
          <w:lang w:val="en-US" w:eastAsia="zh-CN"/>
        </w:rPr>
        <w:t>5371.62</w:t>
      </w:r>
      <w:r>
        <w:rPr>
          <w:rFonts w:hint="eastAsia"/>
        </w:rPr>
        <w:t>万元。</w:t>
      </w:r>
    </w:p>
    <w:p w14:paraId="1D440694">
      <w:pPr>
        <w:pStyle w:val="2"/>
        <w:spacing w:line="560" w:lineRule="exact"/>
        <w:ind w:firstLine="640" w:firstLineChars="200"/>
      </w:pPr>
      <w:bookmarkStart w:id="69" w:name="_Toc15377219"/>
      <w:bookmarkStart w:id="70" w:name="_Toc15396611"/>
      <w:bookmarkStart w:id="71" w:name="_Toc3843"/>
      <w:r>
        <w:rPr>
          <w:rFonts w:hint="eastAsia"/>
        </w:rPr>
        <w:t>九、国有资本经营预算支出决算情况说明</w:t>
      </w:r>
      <w:bookmarkEnd w:id="69"/>
      <w:bookmarkEnd w:id="70"/>
      <w:bookmarkEnd w:id="71"/>
    </w:p>
    <w:p w14:paraId="13BD18D0">
      <w:pPr>
        <w:spacing w:line="560" w:lineRule="exact"/>
        <w:ind w:firstLine="640"/>
      </w:pPr>
      <w:r>
        <w:t>20</w:t>
      </w:r>
      <w:r>
        <w:rPr>
          <w:rFonts w:hint="eastAsia"/>
        </w:rPr>
        <w:t>2</w:t>
      </w:r>
      <w:r>
        <w:rPr>
          <w:rFonts w:hint="eastAsia"/>
          <w:lang w:val="en-US" w:eastAsia="zh-CN"/>
        </w:rPr>
        <w:t>3</w:t>
      </w:r>
      <w:r>
        <w:rPr>
          <w:rFonts w:hint="eastAsia"/>
        </w:rPr>
        <w:t>年国有资本经营预算财政拨款支出0万元。</w:t>
      </w:r>
    </w:p>
    <w:p w14:paraId="21870F0E">
      <w:pPr>
        <w:pStyle w:val="2"/>
        <w:spacing w:line="560" w:lineRule="exact"/>
        <w:ind w:firstLine="640" w:firstLineChars="200"/>
      </w:pPr>
      <w:bookmarkStart w:id="72" w:name="_Toc15396612"/>
      <w:bookmarkStart w:id="73" w:name="_Toc15377221"/>
      <w:bookmarkStart w:id="74" w:name="_Toc31814"/>
      <w:r>
        <w:rPr>
          <w:rFonts w:hint="eastAsia"/>
        </w:rPr>
        <w:t>十、其他重要事项的情况说明</w:t>
      </w:r>
      <w:bookmarkEnd w:id="72"/>
      <w:bookmarkEnd w:id="73"/>
      <w:bookmarkEnd w:id="74"/>
    </w:p>
    <w:p w14:paraId="015875E3">
      <w:pPr>
        <w:pStyle w:val="4"/>
        <w:spacing w:line="560" w:lineRule="exact"/>
        <w:ind w:firstLine="640"/>
      </w:pPr>
      <w:bookmarkStart w:id="75" w:name="_Toc15377222"/>
      <w:r>
        <w:rPr>
          <w:rFonts w:hint="eastAsia"/>
        </w:rPr>
        <w:t>（一）机关运行经费支出情况</w:t>
      </w:r>
      <w:bookmarkEnd w:id="75"/>
    </w:p>
    <w:p w14:paraId="57D39E5D">
      <w:pPr>
        <w:spacing w:line="560" w:lineRule="exact"/>
        <w:ind w:firstLine="640"/>
      </w:pPr>
      <w:r>
        <w:t>20</w:t>
      </w:r>
      <w:r>
        <w:rPr>
          <w:rFonts w:hint="eastAsia"/>
        </w:rPr>
        <w:t>2</w:t>
      </w:r>
      <w:r>
        <w:rPr>
          <w:rFonts w:hint="eastAsia"/>
          <w:lang w:val="en-US" w:eastAsia="zh-CN"/>
        </w:rPr>
        <w:t>3</w:t>
      </w:r>
      <w:r>
        <w:rPr>
          <w:rFonts w:hint="eastAsia"/>
        </w:rPr>
        <w:t>年，安居区农业农村局机关运行经费支出</w:t>
      </w:r>
      <w:r>
        <w:rPr>
          <w:rFonts w:hint="eastAsia"/>
          <w:lang w:val="en-US" w:eastAsia="zh-CN"/>
        </w:rPr>
        <w:t>344.51</w:t>
      </w:r>
      <w:r>
        <w:rPr>
          <w:rFonts w:hint="eastAsia"/>
        </w:rPr>
        <w:t>万元，比</w:t>
      </w:r>
      <w:r>
        <w:t>20</w:t>
      </w:r>
      <w:r>
        <w:rPr>
          <w:rFonts w:hint="eastAsia"/>
        </w:rPr>
        <w:t>2</w:t>
      </w:r>
      <w:r>
        <w:rPr>
          <w:rFonts w:hint="eastAsia"/>
          <w:lang w:val="en-US" w:eastAsia="zh-CN"/>
        </w:rPr>
        <w:t>2</w:t>
      </w:r>
      <w:r>
        <w:rPr>
          <w:rFonts w:hint="eastAsia"/>
        </w:rPr>
        <w:t>年</w:t>
      </w:r>
      <w:r>
        <w:rPr>
          <w:rFonts w:hint="eastAsia"/>
          <w:lang w:eastAsia="zh-CN"/>
        </w:rPr>
        <w:t>减少</w:t>
      </w:r>
      <w:r>
        <w:rPr>
          <w:rFonts w:hint="eastAsia"/>
          <w:lang w:val="en-US" w:eastAsia="zh-CN"/>
        </w:rPr>
        <w:t>2.82</w:t>
      </w:r>
      <w:r>
        <w:rPr>
          <w:rFonts w:hint="eastAsia"/>
        </w:rPr>
        <w:t>万元，</w:t>
      </w:r>
      <w:r>
        <w:rPr>
          <w:rFonts w:hint="eastAsia"/>
          <w:lang w:eastAsia="zh-CN"/>
        </w:rPr>
        <w:t>下降</w:t>
      </w:r>
      <w:r>
        <w:rPr>
          <w:rFonts w:hint="eastAsia"/>
          <w:lang w:val="en-US" w:eastAsia="zh-CN"/>
        </w:rPr>
        <w:t>0.81</w:t>
      </w:r>
      <w:r>
        <w:t>%</w:t>
      </w:r>
      <w:r>
        <w:rPr>
          <w:rFonts w:hint="eastAsia"/>
        </w:rPr>
        <w:t>。主要原因是</w:t>
      </w:r>
      <w:r>
        <w:rPr>
          <w:rFonts w:hint="eastAsia" w:ascii="仿宋_GB2312" w:hAnsi="仿宋" w:eastAsia="仿宋_GB2312" w:cs="Times New Roman"/>
          <w:b w:val="0"/>
          <w:kern w:val="2"/>
          <w:sz w:val="32"/>
          <w:szCs w:val="32"/>
          <w:lang w:val="en-US" w:eastAsia="zh-CN" w:bidi="ar-SA"/>
        </w:rPr>
        <w:t>202</w:t>
      </w:r>
      <w:r>
        <w:rPr>
          <w:rFonts w:hint="eastAsia" w:ascii="仿宋_GB2312" w:hAnsi="仿宋" w:cs="Times New Roman"/>
          <w:b w:val="0"/>
          <w:kern w:val="2"/>
          <w:sz w:val="32"/>
          <w:szCs w:val="32"/>
          <w:lang w:val="en-US" w:eastAsia="zh-CN" w:bidi="ar-SA"/>
        </w:rPr>
        <w:t>3</w:t>
      </w:r>
      <w:r>
        <w:rPr>
          <w:rFonts w:hint="eastAsia" w:ascii="仿宋_GB2312" w:hAnsi="仿宋" w:eastAsia="仿宋_GB2312" w:cs="Times New Roman"/>
          <w:b w:val="0"/>
          <w:kern w:val="2"/>
          <w:sz w:val="32"/>
          <w:szCs w:val="32"/>
          <w:lang w:val="en-US" w:eastAsia="zh-CN" w:bidi="ar-SA"/>
        </w:rPr>
        <w:t>年严格按预算数执行，</w:t>
      </w:r>
      <w:r>
        <w:rPr>
          <w:rFonts w:hint="eastAsia" w:ascii="仿宋_GB2312" w:hAnsi="仿宋" w:cs="Times New Roman"/>
          <w:b w:val="0"/>
          <w:kern w:val="2"/>
          <w:sz w:val="32"/>
          <w:szCs w:val="32"/>
          <w:lang w:val="en-US" w:eastAsia="zh-CN" w:bidi="ar-SA"/>
        </w:rPr>
        <w:t>压缩开支</w:t>
      </w:r>
      <w:r>
        <w:rPr>
          <w:rFonts w:hint="eastAsia" w:ascii="仿宋_GB2312" w:hAnsi="仿宋" w:eastAsia="仿宋_GB2312" w:cs="Times New Roman"/>
          <w:b w:val="0"/>
          <w:kern w:val="2"/>
          <w:sz w:val="32"/>
          <w:szCs w:val="32"/>
          <w:lang w:val="en-US" w:eastAsia="zh-CN" w:bidi="ar-SA"/>
        </w:rPr>
        <w:t>无超支情况。</w:t>
      </w:r>
    </w:p>
    <w:p w14:paraId="5FE43697">
      <w:pPr>
        <w:pStyle w:val="4"/>
        <w:spacing w:line="560" w:lineRule="exact"/>
        <w:ind w:firstLine="640"/>
      </w:pPr>
      <w:bookmarkStart w:id="76" w:name="_Toc15377223"/>
      <w:r>
        <w:rPr>
          <w:rFonts w:hint="eastAsia"/>
        </w:rPr>
        <w:t>（二）政府采购支出情况</w:t>
      </w:r>
      <w:bookmarkEnd w:id="76"/>
    </w:p>
    <w:p w14:paraId="63013773">
      <w:pPr>
        <w:spacing w:line="560" w:lineRule="exact"/>
        <w:ind w:firstLine="640"/>
      </w:pPr>
      <w:r>
        <w:t>20</w:t>
      </w:r>
      <w:r>
        <w:rPr>
          <w:rFonts w:hint="eastAsia"/>
        </w:rPr>
        <w:t>2</w:t>
      </w:r>
      <w:r>
        <w:rPr>
          <w:rFonts w:hint="eastAsia"/>
          <w:lang w:val="en-US" w:eastAsia="zh-CN"/>
        </w:rPr>
        <w:t>3</w:t>
      </w:r>
      <w:r>
        <w:rPr>
          <w:rFonts w:hint="eastAsia"/>
        </w:rPr>
        <w:t>年，安居区农业农村局政府采购支出总额</w:t>
      </w:r>
      <w:r>
        <w:rPr>
          <w:rFonts w:hint="eastAsia"/>
          <w:lang w:val="en-US" w:eastAsia="zh-CN"/>
        </w:rPr>
        <w:t>1070.36</w:t>
      </w:r>
      <w:r>
        <w:rPr>
          <w:rFonts w:hint="eastAsia"/>
        </w:rPr>
        <w:t>万元，其中：政府采购货物支出</w:t>
      </w:r>
      <w:r>
        <w:rPr>
          <w:rFonts w:hint="eastAsia"/>
          <w:lang w:val="en-US" w:eastAsia="zh-CN"/>
        </w:rPr>
        <w:t>370.76</w:t>
      </w:r>
      <w:r>
        <w:rPr>
          <w:rFonts w:hint="eastAsia"/>
        </w:rPr>
        <w:t>万元、政府采购工程支出0万元、政府采购服务支出</w:t>
      </w:r>
      <w:r>
        <w:rPr>
          <w:rFonts w:hint="eastAsia"/>
          <w:lang w:val="en-US" w:eastAsia="zh-CN"/>
        </w:rPr>
        <w:t>699.6</w:t>
      </w:r>
      <w:r>
        <w:rPr>
          <w:rFonts w:hint="eastAsia"/>
        </w:rPr>
        <w:t>万元。主要用于产粮大县种子化肥采购，高标准农田建设项目设计、监理服务项目采购等。授予中小企业合同金额</w:t>
      </w:r>
      <w:r>
        <w:rPr>
          <w:rFonts w:hint="eastAsia"/>
          <w:lang w:val="en-US" w:eastAsia="zh-CN"/>
        </w:rPr>
        <w:t>1070.36</w:t>
      </w:r>
      <w:r>
        <w:rPr>
          <w:rFonts w:hint="eastAsia"/>
        </w:rPr>
        <w:t>万元，占政府采购支出总额的100</w:t>
      </w:r>
      <w:r>
        <w:t>%</w:t>
      </w:r>
      <w:r>
        <w:rPr>
          <w:rFonts w:hint="eastAsia"/>
        </w:rPr>
        <w:t>，其中：授予小微企业合同金额</w:t>
      </w:r>
      <w:r>
        <w:rPr>
          <w:rFonts w:hint="eastAsia"/>
          <w:lang w:val="en-US" w:eastAsia="zh-CN"/>
        </w:rPr>
        <w:t>1070.36</w:t>
      </w:r>
      <w:r>
        <w:rPr>
          <w:rFonts w:hint="eastAsia"/>
        </w:rPr>
        <w:t>万元，占政府采购支出总额的</w:t>
      </w:r>
      <w:r>
        <w:rPr>
          <w:rFonts w:hint="eastAsia"/>
          <w:lang w:val="en-US" w:eastAsia="zh-CN"/>
        </w:rPr>
        <w:t>100</w:t>
      </w:r>
      <w:r>
        <w:t>%</w:t>
      </w:r>
      <w:r>
        <w:rPr>
          <w:rFonts w:hint="eastAsia"/>
        </w:rPr>
        <w:t>。</w:t>
      </w:r>
    </w:p>
    <w:p w14:paraId="14F36A20">
      <w:pPr>
        <w:pStyle w:val="4"/>
        <w:spacing w:line="560" w:lineRule="exact"/>
        <w:ind w:firstLine="640"/>
      </w:pPr>
      <w:bookmarkStart w:id="77" w:name="_Toc15377224"/>
      <w:r>
        <w:rPr>
          <w:rFonts w:hint="eastAsia"/>
        </w:rPr>
        <w:t>（三）国有资产占有使用情况</w:t>
      </w:r>
      <w:bookmarkEnd w:id="77"/>
    </w:p>
    <w:p w14:paraId="03D8E983">
      <w:pPr>
        <w:spacing w:line="560" w:lineRule="exact"/>
        <w:ind w:firstLine="640"/>
      </w:pPr>
      <w:r>
        <w:rPr>
          <w:rFonts w:hint="eastAsia"/>
        </w:rPr>
        <w:t>截至</w:t>
      </w:r>
      <w:r>
        <w:t>20</w:t>
      </w:r>
      <w:r>
        <w:rPr>
          <w:rFonts w:hint="eastAsia"/>
        </w:rPr>
        <w:t>2</w:t>
      </w:r>
      <w:r>
        <w:rPr>
          <w:rFonts w:hint="eastAsia"/>
          <w:lang w:val="en-US" w:eastAsia="zh-CN"/>
        </w:rPr>
        <w:t>3</w:t>
      </w:r>
      <w:r>
        <w:rPr>
          <w:rFonts w:hint="eastAsia"/>
        </w:rPr>
        <w:t>年</w:t>
      </w:r>
      <w:r>
        <w:t>12</w:t>
      </w:r>
      <w:r>
        <w:rPr>
          <w:rFonts w:hint="eastAsia"/>
        </w:rPr>
        <w:t>月</w:t>
      </w:r>
      <w:r>
        <w:t>31</w:t>
      </w:r>
      <w:r>
        <w:rPr>
          <w:rFonts w:hint="eastAsia"/>
        </w:rPr>
        <w:t>日，安居区农业农村局共有车辆1辆，其中：主要领导干部用车0辆、机要通信用车0辆、应急保障用车0辆、执法执勤用车1辆、其他用车0辆，单价</w:t>
      </w:r>
      <w:r>
        <w:t>50</w:t>
      </w:r>
      <w:r>
        <w:rPr>
          <w:rFonts w:hint="eastAsia"/>
        </w:rPr>
        <w:t>万元以上通用设备0台（套），单价</w:t>
      </w:r>
      <w:r>
        <w:t>100</w:t>
      </w:r>
      <w:r>
        <w:rPr>
          <w:rFonts w:hint="eastAsia"/>
        </w:rPr>
        <w:t>万元以上专用设备0台（套）。</w:t>
      </w:r>
    </w:p>
    <w:p w14:paraId="0804452C">
      <w:pPr>
        <w:pStyle w:val="4"/>
        <w:spacing w:line="560" w:lineRule="exact"/>
        <w:ind w:firstLine="640"/>
      </w:pPr>
      <w:r>
        <w:rPr>
          <w:rFonts w:hint="eastAsia"/>
        </w:rPr>
        <w:t>（四）预算绩效管理情况</w:t>
      </w:r>
    </w:p>
    <w:p w14:paraId="3B264020">
      <w:pPr>
        <w:spacing w:line="560" w:lineRule="exact"/>
        <w:ind w:firstLine="640"/>
        <w:rPr>
          <w:rFonts w:hint="eastAsia"/>
        </w:rPr>
      </w:pPr>
      <w:r>
        <w:rPr>
          <w:rFonts w:hint="eastAsia"/>
        </w:rPr>
        <w:t>根据预算绩效管理要求，本部门在202</w:t>
      </w:r>
      <w:r>
        <w:rPr>
          <w:rFonts w:hint="eastAsia"/>
          <w:lang w:val="en-US" w:eastAsia="zh-CN"/>
        </w:rPr>
        <w:t>3</w:t>
      </w:r>
      <w:r>
        <w:rPr>
          <w:rFonts w:hint="eastAsia"/>
        </w:rPr>
        <w:t>年度预算编制阶段，组织对</w:t>
      </w:r>
      <w:r>
        <w:rPr>
          <w:rFonts w:hint="eastAsia"/>
          <w:lang w:eastAsia="zh-CN"/>
        </w:rPr>
        <w:t>区级预算项目</w:t>
      </w:r>
      <w:r>
        <w:rPr>
          <w:rFonts w:hint="default" w:ascii="Times New Roman" w:hAnsi="Times New Roman" w:cs="Times New Roman"/>
        </w:rPr>
        <w:t> 2023年犬只狂犬病防制项目</w:t>
      </w:r>
      <w:r>
        <w:rPr>
          <w:rFonts w:hint="eastAsia" w:ascii="Times New Roman" w:hAnsi="Times New Roman" w:cs="Times New Roman"/>
          <w:lang w:eastAsia="zh-CN"/>
        </w:rPr>
        <w:t>、</w:t>
      </w:r>
      <w:r>
        <w:rPr>
          <w:rFonts w:hint="default" w:ascii="Times New Roman" w:hAnsi="Times New Roman" w:cs="Times New Roman"/>
        </w:rPr>
        <w:t>项目前期工作经费项目</w:t>
      </w:r>
      <w:r>
        <w:rPr>
          <w:rFonts w:hint="eastAsia"/>
        </w:rPr>
        <w:t>开展了预算事前绩效评估，对</w:t>
      </w:r>
      <w:r>
        <w:rPr>
          <w:rFonts w:hint="eastAsia"/>
          <w:lang w:val="en-US" w:eastAsia="zh-CN"/>
        </w:rPr>
        <w:t>2</w:t>
      </w:r>
      <w:r>
        <w:rPr>
          <w:rFonts w:hint="eastAsia"/>
        </w:rPr>
        <w:t>个项目编制了绩效目标，预算执行过程中，选取</w:t>
      </w:r>
      <w:r>
        <w:rPr>
          <w:rFonts w:hint="eastAsia"/>
          <w:lang w:val="en-US" w:eastAsia="zh-CN"/>
        </w:rPr>
        <w:t>2</w:t>
      </w:r>
      <w:r>
        <w:rPr>
          <w:rFonts w:hint="eastAsia"/>
        </w:rPr>
        <w:t>个项目开展绩效监控，年终执行完毕后，对</w:t>
      </w:r>
      <w:r>
        <w:rPr>
          <w:rFonts w:hint="eastAsia"/>
          <w:lang w:val="en-US" w:eastAsia="zh-CN"/>
        </w:rPr>
        <w:t>2</w:t>
      </w:r>
      <w:r>
        <w:rPr>
          <w:rFonts w:hint="eastAsia"/>
        </w:rPr>
        <w:t>个项目开展了绩效自评。</w:t>
      </w:r>
    </w:p>
    <w:p w14:paraId="02941E77">
      <w:pPr>
        <w:spacing w:line="560" w:lineRule="exact"/>
        <w:ind w:firstLine="640"/>
      </w:pPr>
      <w:r>
        <w:rPr>
          <w:rFonts w:hint="default" w:ascii="Times New Roman" w:hAnsi="Times New Roman" w:eastAsia="仿宋_GB2312" w:cs="Times New Roman"/>
          <w:b w:val="0"/>
          <w:bCs w:val="0"/>
          <w:i w:val="0"/>
          <w:iCs w:val="0"/>
          <w:color w:val="auto"/>
          <w:sz w:val="32"/>
          <w:szCs w:val="32"/>
          <w:highlight w:val="none"/>
          <w:lang w:eastAsia="zh-CN"/>
        </w:rPr>
        <w:t>组织</w:t>
      </w:r>
      <w:r>
        <w:rPr>
          <w:rFonts w:hint="default" w:ascii="Times New Roman" w:hAnsi="Times New Roman" w:eastAsia="仿宋_GB2312" w:cs="Times New Roman"/>
          <w:b w:val="0"/>
          <w:bCs w:val="0"/>
          <w:i w:val="0"/>
          <w:iCs w:val="0"/>
          <w:color w:val="auto"/>
          <w:sz w:val="32"/>
          <w:szCs w:val="32"/>
          <w:highlight w:val="none"/>
        </w:rPr>
        <w:t>对</w:t>
      </w:r>
      <w:r>
        <w:rPr>
          <w:rFonts w:hint="default" w:ascii="Times New Roman" w:hAnsi="Times New Roman" w:eastAsia="仿宋_GB2312" w:cs="Times New Roman"/>
          <w:b w:val="0"/>
          <w:bCs w:val="0"/>
          <w:i w:val="0"/>
          <w:iCs w:val="0"/>
          <w:color w:val="auto"/>
          <w:sz w:val="32"/>
          <w:szCs w:val="32"/>
          <w:highlight w:val="none"/>
          <w:lang w:val="en-US" w:eastAsia="zh-CN"/>
        </w:rPr>
        <w:t>2023年度一般公共预算、</w:t>
      </w:r>
      <w:r>
        <w:rPr>
          <w:rFonts w:hint="default" w:ascii="Times New Roman" w:hAnsi="Times New Roman" w:eastAsia="仿宋_GB2312" w:cs="Times New Roman"/>
          <w:b w:val="0"/>
          <w:bCs w:val="0"/>
          <w:i w:val="0"/>
          <w:iCs w:val="0"/>
          <w:color w:val="auto"/>
          <w:sz w:val="32"/>
          <w:szCs w:val="32"/>
          <w:highlight w:val="none"/>
          <w:lang w:eastAsia="zh-CN"/>
        </w:rPr>
        <w:t>政府性基金预算、</w:t>
      </w:r>
      <w:r>
        <w:rPr>
          <w:rFonts w:hint="default" w:ascii="Times New Roman" w:hAnsi="Times New Roman" w:eastAsia="仿宋_GB2312" w:cs="Times New Roman"/>
          <w:b w:val="0"/>
          <w:bCs w:val="0"/>
          <w:i w:val="0"/>
          <w:iCs w:val="0"/>
          <w:color w:val="auto"/>
          <w:sz w:val="32"/>
          <w:szCs w:val="32"/>
          <w:highlight w:val="none"/>
          <w:lang w:val="en-US" w:eastAsia="zh-CN"/>
        </w:rPr>
        <w:t>全面开展绩效自评，形成</w:t>
      </w:r>
      <w:r>
        <w:rPr>
          <w:rFonts w:hint="eastAsia"/>
        </w:rPr>
        <w:t>遂宁市安居区农业农村局</w:t>
      </w:r>
      <w:r>
        <w:rPr>
          <w:rFonts w:hint="default" w:ascii="Times New Roman" w:hAnsi="Times New Roman" w:eastAsia="仿宋_GB2312" w:cs="Times New Roman"/>
          <w:b w:val="0"/>
          <w:bCs w:val="0"/>
          <w:i w:val="0"/>
          <w:iCs w:val="0"/>
          <w:color w:val="auto"/>
          <w:sz w:val="32"/>
          <w:szCs w:val="32"/>
          <w:highlight w:val="none"/>
          <w:lang w:eastAsia="zh-CN"/>
        </w:rPr>
        <w:t>部门整体（含部门预算项目）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cs="Times New Roman"/>
        </w:rPr>
        <w:t> 2023年犬只狂犬病防制</w:t>
      </w:r>
      <w:r>
        <w:rPr>
          <w:rFonts w:hint="eastAsia" w:cs="Times New Roman"/>
          <w:lang w:eastAsia="zh-CN"/>
        </w:rPr>
        <w:t>、</w:t>
      </w:r>
      <w:r>
        <w:rPr>
          <w:rFonts w:hint="default" w:ascii="Times New Roman" w:hAnsi="Times New Roman" w:cs="Times New Roman"/>
        </w:rPr>
        <w:t>项目前期工作经费</w:t>
      </w:r>
      <w:r>
        <w:rPr>
          <w:rFonts w:hint="default" w:ascii="Times New Roman" w:hAnsi="Times New Roman" w:eastAsia="仿宋_GB2312" w:cs="Times New Roman"/>
          <w:b w:val="0"/>
          <w:bCs w:val="0"/>
          <w:i w:val="0"/>
          <w:iCs w:val="0"/>
          <w:color w:val="auto"/>
          <w:sz w:val="32"/>
          <w:szCs w:val="32"/>
          <w:highlight w:val="none"/>
          <w:lang w:eastAsia="zh-CN"/>
        </w:rPr>
        <w:t>专项预算项目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绩效自评报告，其中，</w:t>
      </w:r>
      <w:r>
        <w:rPr>
          <w:rFonts w:hint="eastAsia"/>
        </w:rPr>
        <w:t>遂宁市安居区农业农村局</w:t>
      </w:r>
      <w:r>
        <w:rPr>
          <w:rFonts w:hint="default" w:ascii="Times New Roman" w:hAnsi="Times New Roman" w:eastAsia="仿宋_GB2312" w:cs="Times New Roman"/>
          <w:b w:val="0"/>
          <w:bCs w:val="0"/>
          <w:i w:val="0"/>
          <w:iCs w:val="0"/>
          <w:color w:val="auto"/>
          <w:sz w:val="32"/>
          <w:szCs w:val="32"/>
          <w:highlight w:val="none"/>
          <w:lang w:val="en-US" w:eastAsia="zh-CN"/>
        </w:rPr>
        <w:t>部门整体</w:t>
      </w:r>
      <w:r>
        <w:rPr>
          <w:rFonts w:hint="default" w:ascii="Times New Roman" w:hAnsi="Times New Roman" w:eastAsia="仿宋_GB2312" w:cs="Times New Roman"/>
          <w:b w:val="0"/>
          <w:bCs w:val="0"/>
          <w:i w:val="0"/>
          <w:iCs w:val="0"/>
          <w:color w:val="auto"/>
          <w:sz w:val="32"/>
          <w:szCs w:val="32"/>
          <w:highlight w:val="none"/>
          <w:lang w:eastAsia="zh-CN"/>
        </w:rPr>
        <w:t>（含部门预算项目）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ascii="Times New Roman" w:hAnsi="Times New Roman" w:cs="Times New Roman"/>
          <w:b w:val="0"/>
          <w:bCs w:val="0"/>
          <w:i w:val="0"/>
          <w:iCs w:val="0"/>
          <w:color w:val="auto"/>
          <w:sz w:val="32"/>
          <w:szCs w:val="32"/>
          <w:highlight w:val="none"/>
          <w:lang w:val="en-US" w:eastAsia="zh-CN"/>
        </w:rPr>
        <w:t>当年财政拨款保障了</w:t>
      </w:r>
      <w:r>
        <w:rPr>
          <w:rFonts w:hint="default" w:ascii="Times New Roman" w:hAnsi="Times New Roman" w:eastAsia="仿宋_GB2312" w:cs="Times New Roman"/>
          <w:b w:val="0"/>
          <w:bCs w:val="0"/>
          <w:i w:val="0"/>
          <w:iCs w:val="0"/>
          <w:color w:val="auto"/>
          <w:sz w:val="32"/>
          <w:szCs w:val="32"/>
          <w:highlight w:val="none"/>
          <w:lang w:val="en-US" w:eastAsia="zh-CN"/>
        </w:rPr>
        <w:t>部门职工基本工资，津补贴，绩效工资、奖金等人员经费</w:t>
      </w:r>
      <w:r>
        <w:rPr>
          <w:rFonts w:hint="eastAsia" w:ascii="Times New Roman" w:hAnsi="Times New Roman"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lang w:val="en-US" w:eastAsia="zh-CN"/>
        </w:rPr>
        <w:t>保障部门正常运转</w:t>
      </w:r>
      <w:r>
        <w:rPr>
          <w:rFonts w:hint="eastAsia" w:ascii="Times New Roman" w:hAnsi="Times New Roman" w:cs="Times New Roman"/>
          <w:b w:val="0"/>
          <w:bCs w:val="0"/>
          <w:i w:val="0"/>
          <w:iCs w:val="0"/>
          <w:color w:val="auto"/>
          <w:sz w:val="32"/>
          <w:szCs w:val="32"/>
          <w:highlight w:val="none"/>
          <w:lang w:val="en-US" w:eastAsia="zh-CN"/>
        </w:rPr>
        <w:t>及各个项目正常推进，开展狂犬病等疫病防治免疫工作防止重大动物疫病发生。</w:t>
      </w:r>
      <w:r>
        <w:rPr>
          <w:rFonts w:hint="default" w:ascii="Times New Roman" w:hAnsi="Times New Roman" w:cs="Times New Roman"/>
        </w:rPr>
        <w:t>2023年犬只狂犬病防制</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ascii="Times New Roman" w:hAnsi="Times New Roman" w:cs="Times New Roman"/>
          <w:b w:val="0"/>
          <w:bCs w:val="0"/>
          <w:i w:val="0"/>
          <w:iCs w:val="0"/>
          <w:color w:val="auto"/>
          <w:sz w:val="32"/>
          <w:szCs w:val="32"/>
          <w:highlight w:val="none"/>
          <w:lang w:val="en-US" w:eastAsia="zh-CN"/>
        </w:rPr>
        <w:t>通过开展狂犬病疫病防治免疫工作</w:t>
      </w:r>
      <w:r>
        <w:rPr>
          <w:rFonts w:hint="eastAsia" w:cs="Times New Roman"/>
          <w:b w:val="0"/>
          <w:bCs w:val="0"/>
          <w:i w:val="0"/>
          <w:iCs w:val="0"/>
          <w:color w:val="auto"/>
          <w:sz w:val="32"/>
          <w:szCs w:val="32"/>
          <w:highlight w:val="none"/>
          <w:lang w:val="en-US" w:eastAsia="zh-CN"/>
        </w:rPr>
        <w:t>避免了犬只狂犬病发作，保障人民生命安全</w:t>
      </w:r>
      <w:r>
        <w:rPr>
          <w:rFonts w:hint="eastAsia" w:ascii="Times New Roman" w:hAnsi="Times New Roman" w:cs="Times New Roman"/>
          <w:b w:val="0"/>
          <w:bCs w:val="0"/>
          <w:i w:val="0"/>
          <w:iCs w:val="0"/>
          <w:color w:val="auto"/>
          <w:sz w:val="32"/>
          <w:szCs w:val="32"/>
          <w:highlight w:val="none"/>
          <w:lang w:val="en-US" w:eastAsia="zh-CN"/>
        </w:rPr>
        <w:t>；</w:t>
      </w:r>
      <w:r>
        <w:rPr>
          <w:rFonts w:hint="default" w:ascii="Times New Roman" w:hAnsi="Times New Roman" w:cs="Times New Roman"/>
        </w:rPr>
        <w:t>项目前期工作经费</w:t>
      </w:r>
      <w:r>
        <w:rPr>
          <w:rFonts w:hint="default" w:ascii="Times New Roman" w:hAnsi="Times New Roman" w:eastAsia="仿宋_GB2312" w:cs="Times New Roman"/>
          <w:b w:val="0"/>
          <w:bCs w:val="0"/>
          <w:i w:val="0"/>
          <w:iCs w:val="0"/>
          <w:color w:val="auto"/>
          <w:sz w:val="32"/>
          <w:szCs w:val="32"/>
          <w:highlight w:val="none"/>
          <w:lang w:eastAsia="zh-CN"/>
        </w:rPr>
        <w:t>专项预算项目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cs="Times New Roman"/>
          <w:b w:val="0"/>
          <w:bCs w:val="0"/>
          <w:i w:val="0"/>
          <w:iCs w:val="0"/>
          <w:color w:val="auto"/>
          <w:sz w:val="32"/>
          <w:szCs w:val="32"/>
          <w:highlight w:val="none"/>
          <w:lang w:val="en-US" w:eastAsia="zh-CN"/>
        </w:rPr>
        <w:t>项目前期工作经费在一定程度保障了项目实施积极推进从而按时完成项目任务。</w:t>
      </w:r>
      <w:r>
        <w:rPr>
          <w:rFonts w:hint="default" w:ascii="Times New Roman" w:hAnsi="Times New Roman" w:eastAsia="仿宋_GB2312" w:cs="Times New Roman"/>
          <w:b w:val="0"/>
          <w:bCs w:val="0"/>
          <w:i w:val="0"/>
          <w:iCs w:val="0"/>
          <w:color w:val="auto"/>
          <w:sz w:val="32"/>
          <w:szCs w:val="32"/>
          <w:highlight w:val="none"/>
          <w:lang w:val="en-US" w:eastAsia="zh-CN"/>
        </w:rPr>
        <w:t>报告详见附件。</w:t>
      </w:r>
    </w:p>
    <w:p w14:paraId="20B61908">
      <w:pPr>
        <w:widowControl/>
        <w:ind w:firstLine="641"/>
        <w:jc w:val="center"/>
        <w:outlineLvl w:val="0"/>
        <w:rPr>
          <w:rStyle w:val="30"/>
          <w:rFonts w:ascii="黑体" w:hAnsi="黑体" w:eastAsia="黑体"/>
          <w:b w:val="0"/>
        </w:rPr>
      </w:pPr>
      <w:r>
        <w:rPr>
          <w:rFonts w:ascii="仿宋_GB2312"/>
          <w:b/>
          <w:szCs w:val="32"/>
        </w:rPr>
        <w:br w:type="page"/>
      </w:r>
      <w:bookmarkStart w:id="78" w:name="_Toc15396613"/>
      <w:bookmarkStart w:id="79" w:name="_Toc15377225"/>
      <w:bookmarkStart w:id="80" w:name="_Toc13427"/>
      <w:r>
        <w:rPr>
          <w:rFonts w:hint="eastAsia" w:ascii="黑体" w:hAnsi="黑体" w:eastAsia="黑体"/>
          <w:sz w:val="44"/>
          <w:szCs w:val="44"/>
        </w:rPr>
        <w:t>第三部分</w:t>
      </w:r>
      <w:r>
        <w:rPr>
          <w:rFonts w:hint="eastAsia" w:ascii="黑体" w:hAnsi="黑体" w:eastAsia="黑体"/>
          <w:sz w:val="44"/>
          <w:szCs w:val="44"/>
          <w:lang w:val="en-US" w:eastAsia="zh-CN"/>
        </w:rPr>
        <w:t xml:space="preserve">  </w:t>
      </w:r>
      <w:r>
        <w:rPr>
          <w:rFonts w:hint="eastAsia" w:ascii="黑体" w:hAnsi="黑体" w:eastAsia="黑体"/>
          <w:sz w:val="44"/>
          <w:szCs w:val="44"/>
        </w:rPr>
        <w:t>名</w:t>
      </w:r>
      <w:r>
        <w:rPr>
          <w:rStyle w:val="30"/>
          <w:rFonts w:hint="eastAsia" w:ascii="黑体" w:hAnsi="黑体" w:eastAsia="黑体"/>
          <w:b w:val="0"/>
        </w:rPr>
        <w:t>词解释</w:t>
      </w:r>
      <w:bookmarkEnd w:id="78"/>
      <w:bookmarkEnd w:id="79"/>
      <w:bookmarkEnd w:id="80"/>
    </w:p>
    <w:p w14:paraId="21F630C1">
      <w:pPr>
        <w:spacing w:line="600" w:lineRule="exact"/>
        <w:ind w:firstLine="881"/>
        <w:jc w:val="left"/>
        <w:rPr>
          <w:rFonts w:ascii="宋体"/>
          <w:b/>
          <w:sz w:val="44"/>
          <w:szCs w:val="44"/>
        </w:rPr>
      </w:pPr>
    </w:p>
    <w:p w14:paraId="71FD56E4">
      <w:pPr>
        <w:spacing w:line="560" w:lineRule="exact"/>
        <w:ind w:firstLine="640"/>
      </w:pPr>
      <w:r>
        <w:t>1.</w:t>
      </w:r>
      <w:r>
        <w:rPr>
          <w:rFonts w:hint="eastAsia"/>
        </w:rPr>
        <w:t>财政拨款收入：指单位从同级财政部门取得的财政预算资金。</w:t>
      </w:r>
    </w:p>
    <w:p w14:paraId="501E0800">
      <w:pPr>
        <w:spacing w:line="560" w:lineRule="exact"/>
        <w:ind w:firstLine="640"/>
      </w:pPr>
      <w:r>
        <w:rPr>
          <w:rFonts w:hint="eastAsia"/>
          <w:lang w:val="en-US" w:eastAsia="zh-CN"/>
        </w:rPr>
        <w:t>2</w:t>
      </w:r>
      <w:r>
        <w:rPr>
          <w:rFonts w:hint="eastAsia"/>
        </w:rPr>
        <w:t>、一般公共服务</w:t>
      </w:r>
      <w:r>
        <w:rPr>
          <w:rFonts w:hint="eastAsia"/>
          <w:lang w:eastAsia="zh-CN"/>
        </w:rPr>
        <w:t>支出</w:t>
      </w:r>
      <w:r>
        <w:rPr>
          <w:rFonts w:hint="eastAsia"/>
        </w:rPr>
        <w:t>（类）其他一般公共服务支出（款）其他一般公共服务支出（项）：反映其他一般公共服务支出。</w:t>
      </w:r>
    </w:p>
    <w:p w14:paraId="1D690996">
      <w:pPr>
        <w:spacing w:line="560" w:lineRule="exact"/>
        <w:ind w:firstLine="640"/>
      </w:pPr>
      <w:bookmarkStart w:id="81" w:name="_Toc15396614"/>
      <w:bookmarkStart w:id="82" w:name="_Toc15377226"/>
      <w:r>
        <w:rPr>
          <w:rFonts w:hint="eastAsia"/>
          <w:lang w:val="en-US" w:eastAsia="zh-CN"/>
        </w:rPr>
        <w:t>3</w:t>
      </w:r>
      <w:r>
        <w:t>.社会保障和就业</w:t>
      </w:r>
      <w:r>
        <w:rPr>
          <w:rFonts w:hint="eastAsia"/>
          <w:lang w:eastAsia="zh-CN"/>
        </w:rPr>
        <w:t>支出</w:t>
      </w:r>
      <w:r>
        <w:t>（类）</w:t>
      </w:r>
      <w:r>
        <w:rPr>
          <w:rFonts w:hint="eastAsia"/>
        </w:rPr>
        <w:t>行政事业单位养老支出</w:t>
      </w:r>
      <w:r>
        <w:t>（款）机关事业单位基本养老保险缴费支出（项）：指机关事业单位实施养老保险制度由单位缴纳的基本养老保险费支出。</w:t>
      </w:r>
    </w:p>
    <w:p w14:paraId="4B0AC2AC">
      <w:pPr>
        <w:spacing w:line="560" w:lineRule="exact"/>
        <w:ind w:firstLine="640"/>
      </w:pPr>
      <w:r>
        <w:rPr>
          <w:rFonts w:hint="eastAsia"/>
          <w:lang w:val="en-US" w:eastAsia="zh-CN"/>
        </w:rPr>
        <w:t>4</w:t>
      </w:r>
      <w:r>
        <w:t>.社会保障和就业（类）其他社会保障和就业支出（款）其他社会保障和就业支出（项）：指反映其他用于社会保障和就业方面的支出。</w:t>
      </w:r>
    </w:p>
    <w:p w14:paraId="70D58CB4">
      <w:pPr>
        <w:spacing w:line="560" w:lineRule="exact"/>
        <w:ind w:firstLine="640"/>
      </w:pPr>
      <w:r>
        <w:rPr>
          <w:rFonts w:hint="eastAsia"/>
          <w:lang w:val="en-US" w:eastAsia="zh-CN"/>
        </w:rPr>
        <w:t>5</w:t>
      </w:r>
      <w:r>
        <w:t>.</w:t>
      </w:r>
      <w:r>
        <w:rPr>
          <w:rFonts w:hint="eastAsia"/>
        </w:rPr>
        <w:t>卫生健康支出</w:t>
      </w:r>
      <w:r>
        <w:t>（类）行政事业单位医疗（款）行政单位医疗（项）：指财政部门集中安排的行政单位基本医疗保险缴费经费，未参加医疗保险的行政单位的公费医疗经费，按照国家规定享受离休人员、红军老战士待遇人员的医疗经费。</w:t>
      </w:r>
    </w:p>
    <w:p w14:paraId="057A4BE2">
      <w:pPr>
        <w:spacing w:line="560" w:lineRule="exact"/>
        <w:ind w:firstLine="640"/>
      </w:pPr>
      <w:r>
        <w:rPr>
          <w:rFonts w:hint="eastAsia"/>
          <w:lang w:val="en-US" w:eastAsia="zh-CN"/>
        </w:rPr>
        <w:t>6</w:t>
      </w:r>
      <w:r>
        <w:t>.</w:t>
      </w:r>
      <w:r>
        <w:rPr>
          <w:rFonts w:hint="eastAsia"/>
        </w:rPr>
        <w:t>卫生健康支出</w:t>
      </w:r>
      <w:r>
        <w:t>（类）行政事业单位医疗（款）事业单位医疗（项）：指财政部门集中安排的事业单位的基本医疗保险缴费经费，未参加医疗保险的事业单位的公费医疗经费，按国家规定享受离休人员待遇的医疗经费。</w:t>
      </w:r>
    </w:p>
    <w:p w14:paraId="1E1BBC21">
      <w:pPr>
        <w:spacing w:line="560" w:lineRule="exact"/>
        <w:ind w:firstLine="640"/>
      </w:pPr>
      <w:r>
        <w:rPr>
          <w:rFonts w:hint="eastAsia"/>
          <w:lang w:val="en-US" w:eastAsia="zh-CN"/>
        </w:rPr>
        <w:t>7</w:t>
      </w:r>
      <w:r>
        <w:t>.</w:t>
      </w:r>
      <w:r>
        <w:rPr>
          <w:rFonts w:hint="eastAsia"/>
        </w:rPr>
        <w:t>卫生健康支出</w:t>
      </w:r>
      <w:r>
        <w:t>（类</w:t>
      </w:r>
      <w:r>
        <w:rPr>
          <w:rFonts w:hint="eastAsia"/>
          <w:lang w:eastAsia="zh-CN"/>
        </w:rPr>
        <w:t>）</w:t>
      </w:r>
      <w:r>
        <w:t>行政事业单位医疗（款）公务员医疗补助（项）：指财政部门集中安排的公务员医疗补助经费。</w:t>
      </w:r>
    </w:p>
    <w:p w14:paraId="7647B598">
      <w:pPr>
        <w:spacing w:line="560" w:lineRule="exact"/>
        <w:ind w:firstLine="640"/>
      </w:pPr>
      <w:r>
        <w:rPr>
          <w:rFonts w:hint="eastAsia"/>
          <w:lang w:val="en-US" w:eastAsia="zh-CN"/>
        </w:rPr>
        <w:t>8</w:t>
      </w:r>
      <w:r>
        <w:t>.农林水</w:t>
      </w:r>
      <w:r>
        <w:rPr>
          <w:rFonts w:hint="eastAsia"/>
          <w:lang w:eastAsia="zh-CN"/>
        </w:rPr>
        <w:t>支出</w:t>
      </w:r>
      <w:r>
        <w:t>（类）农业</w:t>
      </w:r>
      <w:r>
        <w:rPr>
          <w:rFonts w:hint="eastAsia"/>
          <w:lang w:eastAsia="zh-CN"/>
        </w:rPr>
        <w:t>农村</w:t>
      </w:r>
      <w:r>
        <w:t>（款）行政运行（项）：指行政单位（包括实行公务员管理的事业单位）的基本支出。</w:t>
      </w:r>
    </w:p>
    <w:p w14:paraId="7C06574D">
      <w:pPr>
        <w:spacing w:line="560" w:lineRule="exact"/>
        <w:ind w:firstLine="640"/>
      </w:pPr>
      <w:r>
        <w:rPr>
          <w:rFonts w:hint="eastAsia"/>
          <w:highlight w:val="none"/>
          <w:lang w:val="en-US" w:eastAsia="zh-CN"/>
        </w:rPr>
        <w:t>9</w:t>
      </w:r>
      <w:r>
        <w:rPr>
          <w:highlight w:val="none"/>
        </w:rPr>
        <w:t>.农林水</w:t>
      </w:r>
      <w:r>
        <w:rPr>
          <w:rFonts w:hint="eastAsia"/>
          <w:highlight w:val="none"/>
          <w:lang w:eastAsia="zh-CN"/>
        </w:rPr>
        <w:t>支出</w:t>
      </w:r>
      <w:r>
        <w:t>（类）农业</w:t>
      </w:r>
      <w:r>
        <w:rPr>
          <w:rFonts w:hint="eastAsia"/>
          <w:lang w:eastAsia="zh-CN"/>
        </w:rPr>
        <w:t>农村</w:t>
      </w:r>
      <w:r>
        <w:t>（款）事业运行（项）：指用于农业事业单位基本支出，事业单位设施、系统运行与资产维护等方面的支出。</w:t>
      </w:r>
    </w:p>
    <w:p w14:paraId="79DCCB27">
      <w:pPr>
        <w:spacing w:line="560" w:lineRule="exact"/>
        <w:ind w:firstLine="640"/>
      </w:pPr>
      <w:r>
        <w:rPr>
          <w:rFonts w:hint="eastAsia"/>
        </w:rPr>
        <w:t>1</w:t>
      </w:r>
      <w:r>
        <w:rPr>
          <w:rFonts w:hint="eastAsia"/>
          <w:lang w:val="en-US" w:eastAsia="zh-CN"/>
        </w:rPr>
        <w:t>0</w:t>
      </w:r>
      <w:r>
        <w:t>.农林水</w:t>
      </w:r>
      <w:r>
        <w:rPr>
          <w:rFonts w:hint="eastAsia"/>
          <w:lang w:eastAsia="zh-CN"/>
        </w:rPr>
        <w:t>支出</w:t>
      </w:r>
      <w:r>
        <w:t>（类）</w:t>
      </w:r>
      <w:r>
        <w:rPr>
          <w:rFonts w:hint="eastAsia"/>
          <w:lang w:eastAsia="zh-CN"/>
        </w:rPr>
        <w:t>农</w:t>
      </w:r>
      <w:r>
        <w:t>业</w:t>
      </w:r>
      <w:r>
        <w:rPr>
          <w:rFonts w:hint="eastAsia"/>
          <w:lang w:eastAsia="zh-CN"/>
        </w:rPr>
        <w:t>农村</w:t>
      </w:r>
      <w:r>
        <w:t>（款）病虫害控制（项）：指用于病虫鼠害及疫情监测、预报、预防、控制、检疫、防疫所需的仪器、设施、药物、疫苗、种苗、疫畜（禽、鱼、植物）防治、扑杀补偿及劳务补助、菌（毒）种保藏及动植物及其产品检疫、检测等方面的支出。</w:t>
      </w:r>
    </w:p>
    <w:p w14:paraId="2EFE1E0C">
      <w:pPr>
        <w:spacing w:line="560" w:lineRule="exact"/>
        <w:ind w:firstLine="640"/>
      </w:pPr>
      <w:r>
        <w:rPr>
          <w:rFonts w:hint="eastAsia"/>
        </w:rPr>
        <w:t>1</w:t>
      </w:r>
      <w:r>
        <w:rPr>
          <w:rFonts w:hint="eastAsia"/>
          <w:lang w:val="en-US" w:eastAsia="zh-CN"/>
        </w:rPr>
        <w:t>1</w:t>
      </w:r>
      <w:r>
        <w:t>.农林水</w:t>
      </w:r>
      <w:r>
        <w:rPr>
          <w:rFonts w:hint="eastAsia"/>
          <w:lang w:eastAsia="zh-CN"/>
        </w:rPr>
        <w:t>支出</w:t>
      </w:r>
      <w:r>
        <w:t>（类）</w:t>
      </w:r>
      <w:r>
        <w:rPr>
          <w:rFonts w:hint="eastAsia"/>
          <w:lang w:eastAsia="zh-CN"/>
        </w:rPr>
        <w:t>农</w:t>
      </w:r>
      <w:r>
        <w:t>业</w:t>
      </w:r>
      <w:r>
        <w:rPr>
          <w:rFonts w:hint="eastAsia"/>
          <w:lang w:eastAsia="zh-CN"/>
        </w:rPr>
        <w:t>农村</w:t>
      </w:r>
      <w:r>
        <w:t>（款）其他农业支出（项）：指其他用于农业方面的支出。</w:t>
      </w:r>
    </w:p>
    <w:p w14:paraId="5B677204">
      <w:pPr>
        <w:spacing w:line="560" w:lineRule="exact"/>
        <w:ind w:firstLine="640"/>
      </w:pPr>
      <w:r>
        <w:rPr>
          <w:rFonts w:hint="eastAsia"/>
        </w:rPr>
        <w:t>1</w:t>
      </w:r>
      <w:r>
        <w:rPr>
          <w:rFonts w:hint="eastAsia"/>
          <w:lang w:val="en-US" w:eastAsia="zh-CN"/>
        </w:rPr>
        <w:t>2</w:t>
      </w:r>
      <w:r>
        <w:t>.农林水（类）其他农林水支出（款）其他农林水支出（项）：指其他用于农林水方面的支出。</w:t>
      </w:r>
    </w:p>
    <w:p w14:paraId="46F0D9B2">
      <w:pPr>
        <w:spacing w:line="560" w:lineRule="exact"/>
        <w:ind w:firstLine="640"/>
      </w:pPr>
      <w:r>
        <w:rPr>
          <w:rFonts w:hint="eastAsia"/>
        </w:rPr>
        <w:t>1</w:t>
      </w:r>
      <w:r>
        <w:rPr>
          <w:rFonts w:hint="eastAsia"/>
          <w:lang w:val="en-US" w:eastAsia="zh-CN"/>
        </w:rPr>
        <w:t>3</w:t>
      </w:r>
      <w:r>
        <w:t>.商业服务业（类）商业流通事务（款）其他商业流通事务支出（项）：指其他用于商业事务方面的支出。</w:t>
      </w:r>
    </w:p>
    <w:p w14:paraId="64934A28">
      <w:pPr>
        <w:spacing w:line="560" w:lineRule="exact"/>
        <w:ind w:firstLine="640"/>
      </w:pPr>
      <w:r>
        <w:rPr>
          <w:rFonts w:hint="eastAsia"/>
        </w:rPr>
        <w:t>1</w:t>
      </w:r>
      <w:r>
        <w:rPr>
          <w:rFonts w:hint="eastAsia"/>
          <w:lang w:val="en-US" w:eastAsia="zh-CN"/>
        </w:rPr>
        <w:t>4</w:t>
      </w:r>
      <w:r>
        <w:t>.住房保障</w:t>
      </w:r>
      <w:r>
        <w:rPr>
          <w:rFonts w:hint="eastAsia"/>
          <w:lang w:eastAsia="zh-CN"/>
        </w:rPr>
        <w:t>支出</w:t>
      </w:r>
      <w:r>
        <w:t>（类）住房改革支出（款）住房公积金（项）：指行政事业单位按人力资源和社会保障部、财政部规定的基本工资和津贴补贴以及规定比例为职工缴纳的住房公积金。</w:t>
      </w:r>
    </w:p>
    <w:p w14:paraId="1EF3671D">
      <w:pPr>
        <w:spacing w:line="560" w:lineRule="exact"/>
        <w:ind w:firstLine="640"/>
      </w:pPr>
      <w:r>
        <w:rPr>
          <w:rFonts w:hint="eastAsia"/>
          <w:lang w:val="en-US" w:eastAsia="zh-CN"/>
        </w:rPr>
        <w:t>15</w:t>
      </w:r>
      <w:r>
        <w:t>.其他支出（类）其他支出（款）其他支出（项）：指其他不能划分到具体功能科目中的支出项目。</w:t>
      </w:r>
    </w:p>
    <w:p w14:paraId="38EEAB0B">
      <w:pPr>
        <w:spacing w:line="560" w:lineRule="exact"/>
        <w:ind w:firstLine="640"/>
      </w:pPr>
      <w:r>
        <w:rPr>
          <w:rFonts w:hint="eastAsia"/>
          <w:lang w:val="en-US" w:eastAsia="zh-CN"/>
        </w:rPr>
        <w:t>16</w:t>
      </w:r>
      <w:r>
        <w:t>.基本支出：指为保障机构正常运转、完成日常工作任务而发生的人员支出和公用支出。</w:t>
      </w:r>
    </w:p>
    <w:p w14:paraId="2C29B686">
      <w:pPr>
        <w:spacing w:line="560" w:lineRule="exact"/>
        <w:ind w:firstLine="640"/>
      </w:pPr>
      <w:r>
        <w:rPr>
          <w:rFonts w:hint="eastAsia"/>
          <w:lang w:val="en-US" w:eastAsia="zh-CN"/>
        </w:rPr>
        <w:t>17</w:t>
      </w:r>
      <w:r>
        <w:t>.项目支出：指在基本支出之外为完成特定行政任务和事业发展目标所发生的支出。</w:t>
      </w:r>
    </w:p>
    <w:p w14:paraId="3B0A47A0">
      <w:pPr>
        <w:spacing w:line="560" w:lineRule="exact"/>
        <w:ind w:firstLine="640"/>
      </w:pPr>
      <w:r>
        <w:rPr>
          <w:rFonts w:hint="eastAsia"/>
          <w:lang w:val="en-US" w:eastAsia="zh-CN"/>
        </w:rPr>
        <w:t>18</w:t>
      </w:r>
      <w: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5661AC">
      <w:pPr>
        <w:spacing w:line="560" w:lineRule="exact"/>
        <w:ind w:firstLine="640"/>
      </w:pPr>
      <w:r>
        <w:rPr>
          <w:rFonts w:hint="eastAsia"/>
          <w:lang w:val="en-US" w:eastAsia="zh-CN"/>
        </w:rPr>
        <w:t>19</w:t>
      </w:r>
      <w: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AC75B7">
      <w:pPr>
        <w:spacing w:line="560" w:lineRule="exact"/>
        <w:ind w:firstLine="640"/>
      </w:pPr>
      <w:r>
        <w:rPr>
          <w:rFonts w:hint="eastAsia"/>
          <w:lang w:val="en-US" w:eastAsia="zh-CN"/>
        </w:rPr>
        <w:t>20</w:t>
      </w:r>
      <w:r>
        <w:t>.农林水支出（类）农业</w:t>
      </w:r>
      <w:r>
        <w:rPr>
          <w:rFonts w:hint="eastAsia"/>
          <w:lang w:eastAsia="zh-CN"/>
        </w:rPr>
        <w:t>农村</w:t>
      </w:r>
      <w:r>
        <w:t>（款）农业生产支持补贴（项）：指对种粮农民直接补贴、对农业生产资料补贴、技术物化补贴，推广先进适用农机农艺技术等方面支出。</w:t>
      </w:r>
    </w:p>
    <w:p w14:paraId="48C16CD4">
      <w:pPr>
        <w:spacing w:line="560" w:lineRule="exact"/>
        <w:ind w:firstLine="640"/>
      </w:pPr>
      <w:r>
        <w:rPr>
          <w:rFonts w:hint="eastAsia"/>
          <w:lang w:val="en-US" w:eastAsia="zh-CN"/>
        </w:rPr>
        <w:t>21</w:t>
      </w:r>
      <w:r>
        <w:t>.农林水</w:t>
      </w:r>
      <w:r>
        <w:rPr>
          <w:rFonts w:hint="eastAsia"/>
          <w:lang w:eastAsia="zh-CN"/>
        </w:rPr>
        <w:t>支出</w:t>
      </w:r>
      <w:r>
        <w:t>（类）</w:t>
      </w:r>
      <w:r>
        <w:rPr>
          <w:rFonts w:hint="eastAsia"/>
          <w:lang w:eastAsia="zh-CN"/>
        </w:rPr>
        <w:t>农</w:t>
      </w:r>
      <w:r>
        <w:t>业</w:t>
      </w:r>
      <w:r>
        <w:rPr>
          <w:rFonts w:hint="eastAsia"/>
          <w:lang w:eastAsia="zh-CN"/>
        </w:rPr>
        <w:t>农村</w:t>
      </w:r>
      <w:r>
        <w:t>（款）（款）农业组织化与产业化经营（项）：指对农民专业合作组织、农业产业化龙头企业等开展基地建设、质量标准认证等方面的补助支出。</w:t>
      </w:r>
    </w:p>
    <w:p w14:paraId="608FBEB2">
      <w:pPr>
        <w:spacing w:line="560" w:lineRule="exact"/>
        <w:ind w:firstLine="640"/>
      </w:pPr>
      <w:r>
        <w:rPr>
          <w:rFonts w:hint="eastAsia"/>
          <w:lang w:val="en-US" w:eastAsia="zh-CN"/>
        </w:rPr>
        <w:t>22</w:t>
      </w:r>
      <w:r>
        <w:t>.农林水支出（类）</w:t>
      </w:r>
      <w:r>
        <w:rPr>
          <w:rFonts w:hint="eastAsia"/>
          <w:lang w:eastAsia="zh-CN"/>
        </w:rPr>
        <w:t>农村综合改革</w:t>
      </w:r>
      <w:r>
        <w:t>（款）</w:t>
      </w:r>
      <w:r>
        <w:rPr>
          <w:rFonts w:hint="eastAsia"/>
          <w:lang w:eastAsia="zh-CN"/>
        </w:rPr>
        <w:t>对村级</w:t>
      </w:r>
      <w:r>
        <w:t>公益事业</w:t>
      </w:r>
      <w:r>
        <w:rPr>
          <w:rFonts w:hint="eastAsia"/>
          <w:lang w:eastAsia="zh-CN"/>
        </w:rPr>
        <w:t>建设的补助</w:t>
      </w:r>
      <w:r>
        <w:t>（项）：指对农村公益事业、垦区公益设施建设及农村能源综合建设等方面的支出。</w:t>
      </w:r>
    </w:p>
    <w:p w14:paraId="3855EDCF">
      <w:pPr>
        <w:spacing w:line="560" w:lineRule="exact"/>
        <w:ind w:firstLine="640"/>
      </w:pPr>
      <w:r>
        <w:rPr>
          <w:rFonts w:hint="eastAsia"/>
          <w:lang w:val="en-US" w:eastAsia="zh-CN"/>
        </w:rPr>
        <w:t>23</w:t>
      </w:r>
      <w:r>
        <w:t>.农林水</w:t>
      </w:r>
      <w:r>
        <w:rPr>
          <w:rFonts w:hint="eastAsia"/>
          <w:lang w:eastAsia="zh-CN"/>
        </w:rPr>
        <w:t>支出</w:t>
      </w:r>
      <w:r>
        <w:t>（类）</w:t>
      </w:r>
      <w:r>
        <w:rPr>
          <w:rFonts w:hint="eastAsia"/>
          <w:lang w:eastAsia="zh-CN"/>
        </w:rPr>
        <w:t>农</w:t>
      </w:r>
      <w:r>
        <w:t>业</w:t>
      </w:r>
      <w:r>
        <w:rPr>
          <w:rFonts w:hint="eastAsia"/>
          <w:lang w:eastAsia="zh-CN"/>
        </w:rPr>
        <w:t>农村</w:t>
      </w:r>
      <w:r>
        <w:t>（款））农业资源保护修复与利用（项）：指用于农业耕地保护、修复与建设，草原草场生态保护、改良、利用及建设，渔业水产及水生生物资源保护与利用等方面的支出。</w:t>
      </w:r>
    </w:p>
    <w:p w14:paraId="491CC96F">
      <w:pPr>
        <w:spacing w:line="560" w:lineRule="exact"/>
        <w:ind w:firstLine="640"/>
        <w:rPr>
          <w:szCs w:val="32"/>
        </w:rPr>
      </w:pPr>
      <w:r>
        <w:rPr>
          <w:rFonts w:hint="eastAsia"/>
          <w:lang w:val="en-US" w:eastAsia="zh-CN"/>
        </w:rPr>
        <w:t>24</w:t>
      </w:r>
      <w:r>
        <w:t>.农林水</w:t>
      </w:r>
      <w:r>
        <w:rPr>
          <w:rFonts w:hint="eastAsia"/>
          <w:lang w:eastAsia="zh-CN"/>
        </w:rPr>
        <w:t>支出</w:t>
      </w:r>
      <w:r>
        <w:t>（类）</w:t>
      </w:r>
      <w:r>
        <w:rPr>
          <w:rFonts w:hint="eastAsia"/>
          <w:lang w:eastAsia="zh-CN"/>
        </w:rPr>
        <w:t>农</w:t>
      </w:r>
      <w:r>
        <w:t>业</w:t>
      </w:r>
      <w:r>
        <w:rPr>
          <w:rFonts w:hint="eastAsia"/>
          <w:lang w:eastAsia="zh-CN"/>
        </w:rPr>
        <w:t>农村</w:t>
      </w:r>
      <w:r>
        <w:t>（款）农田水利（项）：指国家对农田水利和打井、集雨设施、节水浇灌等水利设施的补助，小型水库除险补助及排灌站、小水电站补助等。</w:t>
      </w:r>
    </w:p>
    <w:p w14:paraId="2207F987">
      <w:pPr>
        <w:pStyle w:val="28"/>
        <w:spacing w:line="560" w:lineRule="exact"/>
        <w:ind w:firstLine="640" w:firstLineChars="200"/>
        <w:jc w:val="both"/>
        <w:rPr>
          <w:rFonts w:ascii="Times New Roman" w:hAnsi="Times New Roman" w:eastAsia="仿宋_GB2312" w:cs="Times New Roman"/>
          <w:color w:val="auto"/>
          <w:sz w:val="32"/>
          <w:szCs w:val="32"/>
        </w:rPr>
      </w:pPr>
    </w:p>
    <w:p w14:paraId="640B0B53">
      <w:pPr>
        <w:pStyle w:val="28"/>
        <w:spacing w:line="560" w:lineRule="exact"/>
        <w:ind w:firstLine="640" w:firstLineChars="200"/>
        <w:jc w:val="both"/>
        <w:rPr>
          <w:rFonts w:ascii="Times New Roman" w:hAnsi="Times New Roman" w:eastAsia="仿宋_GB2312" w:cs="Times New Roman"/>
          <w:color w:val="auto"/>
          <w:sz w:val="32"/>
          <w:szCs w:val="32"/>
        </w:rPr>
      </w:pPr>
    </w:p>
    <w:p w14:paraId="5B9FA4D9">
      <w:pPr>
        <w:pStyle w:val="28"/>
        <w:spacing w:line="560" w:lineRule="exact"/>
        <w:ind w:firstLine="640" w:firstLineChars="200"/>
        <w:jc w:val="both"/>
        <w:rPr>
          <w:rFonts w:ascii="Times New Roman" w:hAnsi="Times New Roman" w:eastAsia="仿宋_GB2312" w:cs="Times New Roman"/>
          <w:color w:val="auto"/>
          <w:sz w:val="32"/>
          <w:szCs w:val="32"/>
        </w:rPr>
      </w:pPr>
    </w:p>
    <w:p w14:paraId="5F3FCCAC">
      <w:pPr>
        <w:spacing w:line="240" w:lineRule="auto"/>
        <w:ind w:firstLine="0" w:firstLineChars="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p>
    <w:p w14:paraId="4F346E7B">
      <w:pPr>
        <w:pStyle w:val="3"/>
        <w:ind w:left="0" w:leftChars="0" w:firstLine="0" w:firstLineChars="0"/>
        <w:jc w:val="center"/>
        <w:rPr>
          <w:rFonts w:ascii="黑体" w:hAnsi="黑体" w:eastAsia="黑体"/>
          <w:b w:val="0"/>
        </w:rPr>
      </w:pPr>
      <w:bookmarkStart w:id="83" w:name="_Toc7548"/>
      <w:r>
        <w:rPr>
          <w:rFonts w:hint="eastAsia" w:ascii="黑体" w:hAnsi="黑体" w:eastAsia="黑体"/>
          <w:b w:val="0"/>
        </w:rPr>
        <w:t>第四部分</w:t>
      </w:r>
      <w:r>
        <w:rPr>
          <w:rFonts w:hint="eastAsia" w:ascii="黑体" w:hAnsi="黑体" w:eastAsia="黑体"/>
          <w:b w:val="0"/>
          <w:lang w:val="en-US" w:eastAsia="zh-CN"/>
        </w:rPr>
        <w:t xml:space="preserve"> </w:t>
      </w:r>
      <w:r>
        <w:rPr>
          <w:rFonts w:hint="eastAsia" w:ascii="黑体" w:hAnsi="黑体" w:eastAsia="黑体"/>
          <w:b w:val="0"/>
        </w:rPr>
        <w:t>附件</w:t>
      </w:r>
      <w:bookmarkEnd w:id="81"/>
      <w:bookmarkEnd w:id="83"/>
    </w:p>
    <w:p w14:paraId="5B3BE464">
      <w:pPr>
        <w:ind w:firstLine="0" w:firstLineChars="0"/>
        <w:rPr>
          <w:rFonts w:hint="eastAsia" w:eastAsia="仿宋_GB2312"/>
          <w:lang w:val="en-US" w:eastAsia="zh-CN"/>
        </w:rPr>
      </w:pPr>
      <w:bookmarkStart w:id="84" w:name="_Toc29198"/>
      <w:r>
        <w:rPr>
          <w:rFonts w:hint="eastAsia"/>
        </w:rPr>
        <w:t>附件</w:t>
      </w:r>
      <w:bookmarkEnd w:id="84"/>
      <w:r>
        <w:rPr>
          <w:rFonts w:hint="eastAsia"/>
          <w:lang w:val="en-US" w:eastAsia="zh-CN"/>
        </w:rPr>
        <w:t>1</w:t>
      </w:r>
    </w:p>
    <w:p w14:paraId="55678C70">
      <w:pPr>
        <w:pStyle w:val="2"/>
        <w:ind w:firstLine="800"/>
        <w:jc w:val="center"/>
        <w:rPr>
          <w:rFonts w:ascii="方正小标宋简体" w:hAnsi="方正小标宋简体" w:eastAsia="方正小标宋简体" w:cs="方正小标宋简体"/>
          <w:b/>
          <w:bCs w:val="0"/>
          <w:sz w:val="32"/>
          <w:szCs w:val="32"/>
          <w:lang w:val="zh-CN"/>
        </w:rPr>
      </w:pPr>
      <w:bookmarkStart w:id="85" w:name="_Toc25639"/>
      <w:bookmarkStart w:id="86" w:name="_Toc14693"/>
      <w:r>
        <w:rPr>
          <w:rFonts w:hint="eastAsia" w:ascii="方正小标宋简体" w:hAnsi="方正小标宋简体" w:eastAsia="方正小标宋简体" w:cs="方正小标宋简体"/>
          <w:b/>
          <w:bCs w:val="0"/>
          <w:sz w:val="32"/>
          <w:szCs w:val="32"/>
        </w:rPr>
        <w:t>202</w:t>
      </w:r>
      <w:r>
        <w:rPr>
          <w:rFonts w:hint="eastAsia" w:ascii="方正小标宋简体" w:hAnsi="方正小标宋简体" w:eastAsia="方正小标宋简体" w:cs="方正小标宋简体"/>
          <w:b/>
          <w:bCs w:val="0"/>
          <w:sz w:val="32"/>
          <w:szCs w:val="32"/>
          <w:lang w:val="en-US" w:eastAsia="zh-CN"/>
        </w:rPr>
        <w:t>3</w:t>
      </w:r>
      <w:r>
        <w:rPr>
          <w:rFonts w:hint="eastAsia" w:ascii="方正小标宋简体" w:hAnsi="方正小标宋简体" w:eastAsia="方正小标宋简体" w:cs="方正小标宋简体"/>
          <w:b/>
          <w:bCs w:val="0"/>
          <w:sz w:val="32"/>
          <w:szCs w:val="32"/>
        </w:rPr>
        <w:t>年遂宁市安居区农业农村局</w:t>
      </w:r>
      <w:r>
        <w:rPr>
          <w:rFonts w:hint="eastAsia" w:ascii="方正小标宋简体" w:hAnsi="方正小标宋简体" w:eastAsia="方正小标宋简体" w:cs="方正小标宋简体"/>
          <w:b/>
          <w:bCs w:val="0"/>
          <w:sz w:val="32"/>
          <w:szCs w:val="32"/>
          <w:lang w:eastAsia="zh-CN"/>
        </w:rPr>
        <w:t>整体</w:t>
      </w:r>
      <w:r>
        <w:rPr>
          <w:rFonts w:hint="eastAsia" w:ascii="方正小标宋简体" w:hAnsi="方正小标宋简体" w:eastAsia="方正小标宋简体" w:cs="方正小标宋简体"/>
          <w:b/>
          <w:bCs w:val="0"/>
          <w:sz w:val="32"/>
          <w:szCs w:val="32"/>
        </w:rPr>
        <w:t>绩效评价报告</w:t>
      </w:r>
      <w:bookmarkEnd w:id="85"/>
      <w:bookmarkEnd w:id="86"/>
    </w:p>
    <w:p w14:paraId="7AAD8830">
      <w:pPr>
        <w:widowControl/>
        <w:spacing w:line="572" w:lineRule="exact"/>
        <w:ind w:firstLine="640"/>
        <w:contextualSpacing/>
        <w:jc w:val="center"/>
        <w:rPr>
          <w:rFonts w:ascii="仿宋_GB2312" w:hAnsi="宋体"/>
          <w:szCs w:val="32"/>
          <w:shd w:val="clear" w:color="auto" w:fill="FFFFFF"/>
        </w:rPr>
      </w:pPr>
      <w:r>
        <w:rPr>
          <w:rFonts w:hint="eastAsia" w:ascii="仿宋_GB2312" w:hAnsi="宋体"/>
          <w:szCs w:val="32"/>
          <w:shd w:val="clear" w:color="auto" w:fill="FFFFFF"/>
        </w:rPr>
        <w:t>（报告范围包括机关和下属单位）</w:t>
      </w:r>
    </w:p>
    <w:p w14:paraId="5F25230B">
      <w:pPr>
        <w:pStyle w:val="2"/>
        <w:pageBreakBefore w:val="0"/>
        <w:kinsoku/>
        <w:wordWrap/>
        <w:overflowPunct/>
        <w:topLinePunct w:val="0"/>
        <w:autoSpaceDE/>
        <w:autoSpaceDN/>
        <w:bidi w:val="0"/>
        <w:spacing w:before="0" w:after="0" w:line="576" w:lineRule="exact"/>
        <w:ind w:firstLine="640"/>
        <w:textAlignment w:val="auto"/>
        <w:rPr>
          <w:lang w:val="zh-CN"/>
        </w:rPr>
      </w:pPr>
      <w:bookmarkStart w:id="87" w:name="_Toc30975"/>
      <w:bookmarkStart w:id="88" w:name="_Toc32146"/>
      <w:r>
        <w:rPr>
          <w:rFonts w:hint="eastAsia"/>
        </w:rPr>
        <w:t>一、</w:t>
      </w:r>
      <w:r>
        <w:rPr>
          <w:rFonts w:hint="eastAsia"/>
          <w:lang w:val="zh-CN"/>
        </w:rPr>
        <w:t>部门（单位）概况</w:t>
      </w:r>
      <w:bookmarkEnd w:id="87"/>
      <w:bookmarkEnd w:id="88"/>
    </w:p>
    <w:p w14:paraId="2191EE91">
      <w:pPr>
        <w:pStyle w:val="4"/>
        <w:pageBreakBefore w:val="0"/>
        <w:kinsoku/>
        <w:wordWrap/>
        <w:overflowPunct/>
        <w:topLinePunct w:val="0"/>
        <w:autoSpaceDE/>
        <w:autoSpaceDN/>
        <w:bidi w:val="0"/>
        <w:spacing w:line="576" w:lineRule="exact"/>
        <w:ind w:firstLine="640"/>
        <w:textAlignment w:val="auto"/>
        <w:rPr>
          <w:lang w:val="zh-CN"/>
        </w:rPr>
      </w:pPr>
      <w:r>
        <w:rPr>
          <w:rFonts w:hint="eastAsia"/>
          <w:lang w:val="zh-CN"/>
        </w:rPr>
        <w:t>（一）机构组成</w:t>
      </w:r>
    </w:p>
    <w:p w14:paraId="2CB19A1F">
      <w:pPr>
        <w:pageBreakBefore w:val="0"/>
        <w:kinsoku/>
        <w:wordWrap/>
        <w:overflowPunct/>
        <w:topLinePunct w:val="0"/>
        <w:autoSpaceDE/>
        <w:autoSpaceDN/>
        <w:bidi w:val="0"/>
        <w:spacing w:line="576" w:lineRule="exact"/>
        <w:ind w:firstLine="640"/>
        <w:textAlignment w:val="auto"/>
      </w:pPr>
      <w:r>
        <w:rPr>
          <w:lang w:val="zh-CN"/>
        </w:rPr>
        <w:t>遂宁市安居区农业</w:t>
      </w:r>
      <w:r>
        <w:rPr>
          <w:rFonts w:hint="eastAsia"/>
          <w:lang w:val="zh-CN"/>
        </w:rPr>
        <w:t>农村</w:t>
      </w:r>
      <w:r>
        <w:rPr>
          <w:lang w:val="zh-CN"/>
        </w:rPr>
        <w:t>局是全额拨款的行政单位，行政机构1个，</w:t>
      </w:r>
      <w:r>
        <w:t>下属</w:t>
      </w:r>
      <w:r>
        <w:rPr>
          <w:rFonts w:hint="eastAsia"/>
        </w:rPr>
        <w:t>站股</w:t>
      </w:r>
      <w:r>
        <w:t>:遂宁市安居区农村能源办公室</w:t>
      </w:r>
      <w:r>
        <w:rPr>
          <w:rFonts w:hint="eastAsia"/>
        </w:rPr>
        <w:t>、农广校、蔬菜办公室、农业技术推广服务中心、植保植检站、农产品质量检测管理中心、农机监理站、农机技术推广站、水产站、农经站、农田建设管理办公室、农业综合开发办公室、动物疫病预防控制中心、动物卫生监督所、14个畜牧兽医站。</w:t>
      </w:r>
    </w:p>
    <w:p w14:paraId="308CCC17">
      <w:pPr>
        <w:pStyle w:val="4"/>
        <w:pageBreakBefore w:val="0"/>
        <w:kinsoku/>
        <w:wordWrap/>
        <w:overflowPunct/>
        <w:topLinePunct w:val="0"/>
        <w:autoSpaceDE/>
        <w:autoSpaceDN/>
        <w:bidi w:val="0"/>
        <w:spacing w:line="576" w:lineRule="exact"/>
        <w:ind w:firstLine="640"/>
        <w:textAlignment w:val="auto"/>
        <w:rPr>
          <w:lang w:val="zh-CN"/>
        </w:rPr>
      </w:pPr>
      <w:r>
        <w:rPr>
          <w:rFonts w:hint="eastAsia"/>
          <w:lang w:val="zh-CN"/>
        </w:rPr>
        <w:t>（二）机构职能</w:t>
      </w:r>
    </w:p>
    <w:p w14:paraId="5FDFBCE2">
      <w:pPr>
        <w:pageBreakBefore w:val="0"/>
        <w:kinsoku/>
        <w:wordWrap/>
        <w:overflowPunct/>
        <w:topLinePunct w:val="0"/>
        <w:autoSpaceDE/>
        <w:autoSpaceDN/>
        <w:bidi w:val="0"/>
        <w:spacing w:line="576" w:lineRule="exact"/>
        <w:ind w:firstLine="640"/>
        <w:textAlignment w:val="auto"/>
        <w:rPr>
          <w:lang w:val="zh-CN"/>
        </w:rPr>
      </w:pPr>
      <w:r>
        <w:rPr>
          <w:lang w:val="zh-CN"/>
        </w:rPr>
        <w:t>区农业</w:t>
      </w:r>
      <w:r>
        <w:rPr>
          <w:rFonts w:hint="eastAsia"/>
          <w:lang w:val="zh-CN"/>
        </w:rPr>
        <w:t>农村</w:t>
      </w:r>
      <w:r>
        <w:rPr>
          <w:lang w:val="zh-CN"/>
        </w:rPr>
        <w:t>局基本职能主要为：</w:t>
      </w:r>
    </w:p>
    <w:p w14:paraId="21B70683">
      <w:pPr>
        <w:pageBreakBefore w:val="0"/>
        <w:numPr>
          <w:ilvl w:val="0"/>
          <w:numId w:val="3"/>
        </w:numPr>
        <w:kinsoku/>
        <w:wordWrap/>
        <w:overflowPunct/>
        <w:topLinePunct w:val="0"/>
        <w:autoSpaceDE/>
        <w:autoSpaceDN/>
        <w:bidi w:val="0"/>
        <w:spacing w:line="576" w:lineRule="exact"/>
        <w:ind w:firstLine="640"/>
        <w:textAlignment w:val="auto"/>
      </w:pPr>
      <w:r>
        <w:rPr>
          <w:rFonts w:hint="eastAsia"/>
        </w:rPr>
        <w:t>贯彻执行国家和省、市有关农业工作的法律法规和方针政策，提出我区农业和农村经济发展战略，拟订并组织实施我区农业产业政策，参与拟订各项涉农政策，组织、开展农业行政综合执法工作。</w:t>
      </w:r>
    </w:p>
    <w:p w14:paraId="74A8DE87">
      <w:pPr>
        <w:pageBreakBefore w:val="0"/>
        <w:numPr>
          <w:ilvl w:val="0"/>
          <w:numId w:val="3"/>
        </w:numPr>
        <w:kinsoku/>
        <w:wordWrap/>
        <w:overflowPunct/>
        <w:topLinePunct w:val="0"/>
        <w:autoSpaceDE/>
        <w:autoSpaceDN/>
        <w:bidi w:val="0"/>
        <w:spacing w:line="576" w:lineRule="exact"/>
        <w:ind w:firstLine="640"/>
        <w:textAlignment w:val="auto"/>
      </w:pPr>
      <w:r>
        <w:rPr>
          <w:rFonts w:hint="eastAsia"/>
        </w:rPr>
        <w:t>负责完善农村经营管理体制。指导粮食、经济作物、畜牧及水产等主要农产品生产，组织落实促进粮食等主要农产品生产的相关政策措施，引导农业产业结构调整和产品品质改善。</w:t>
      </w:r>
    </w:p>
    <w:p w14:paraId="31816EE1">
      <w:pPr>
        <w:pageBreakBefore w:val="0"/>
        <w:numPr>
          <w:ilvl w:val="0"/>
          <w:numId w:val="3"/>
        </w:numPr>
        <w:kinsoku/>
        <w:wordWrap/>
        <w:overflowPunct/>
        <w:topLinePunct w:val="0"/>
        <w:autoSpaceDE/>
        <w:autoSpaceDN/>
        <w:bidi w:val="0"/>
        <w:spacing w:line="576" w:lineRule="exact"/>
        <w:ind w:firstLine="640"/>
        <w:textAlignment w:val="auto"/>
      </w:pPr>
      <w:r>
        <w:rPr>
          <w:rFonts w:hint="eastAsia"/>
        </w:rPr>
        <w:t>拟订农业产业化经营的政策措施并组织实施，推进农业产前、产中、产后一体化发展。承担提升农产品质量安全水平的责任。</w:t>
      </w:r>
    </w:p>
    <w:p w14:paraId="46C157DD">
      <w:pPr>
        <w:pageBreakBefore w:val="0"/>
        <w:numPr>
          <w:ilvl w:val="0"/>
          <w:numId w:val="3"/>
        </w:numPr>
        <w:kinsoku/>
        <w:wordWrap/>
        <w:overflowPunct/>
        <w:topLinePunct w:val="0"/>
        <w:autoSpaceDE/>
        <w:autoSpaceDN/>
        <w:bidi w:val="0"/>
        <w:spacing w:line="576" w:lineRule="exact"/>
        <w:ind w:firstLine="640"/>
        <w:textAlignment w:val="auto"/>
      </w:pPr>
      <w:r>
        <w:rPr>
          <w:rFonts w:hint="eastAsia"/>
        </w:rPr>
        <w:t>负责农作物种子(种苗)、草种、种畜禽、农药、兽药、饲料、饲料添加剂的监督管理；负责农作物、畜禽及水生动植物重大病虫害防治，承担农业防灾减灾责任。</w:t>
      </w:r>
    </w:p>
    <w:p w14:paraId="07DF0AF0">
      <w:pPr>
        <w:pageBreakBefore w:val="0"/>
        <w:numPr>
          <w:ilvl w:val="0"/>
          <w:numId w:val="3"/>
        </w:numPr>
        <w:kinsoku/>
        <w:wordWrap/>
        <w:overflowPunct/>
        <w:topLinePunct w:val="0"/>
        <w:autoSpaceDE/>
        <w:autoSpaceDN/>
        <w:bidi w:val="0"/>
        <w:spacing w:line="576" w:lineRule="exact"/>
        <w:ind w:firstLine="640"/>
        <w:textAlignment w:val="auto"/>
      </w:pPr>
      <w:r>
        <w:rPr>
          <w:rFonts w:hint="eastAsia"/>
        </w:rPr>
        <w:t>拟订农业科研、农技推广的规划、计划和有关政策，组织农业资源区划工作。拟订农业生态建设规划并组织实施，指导农村可再生能源综合开发与利用，负责全区国有农场土地的保护、利用和管理工作，指导国有农场的改革和发展。</w:t>
      </w:r>
    </w:p>
    <w:p w14:paraId="1BE044CC">
      <w:pPr>
        <w:pageBreakBefore w:val="0"/>
        <w:numPr>
          <w:ilvl w:val="0"/>
          <w:numId w:val="3"/>
        </w:numPr>
        <w:kinsoku/>
        <w:wordWrap/>
        <w:overflowPunct/>
        <w:topLinePunct w:val="0"/>
        <w:autoSpaceDE/>
        <w:autoSpaceDN/>
        <w:bidi w:val="0"/>
        <w:spacing w:line="576" w:lineRule="exact"/>
        <w:ind w:firstLine="640"/>
        <w:textAlignment w:val="auto"/>
      </w:pPr>
      <w:r>
        <w:rPr>
          <w:rFonts w:hint="eastAsia"/>
        </w:rPr>
        <w:t>负责农业机械化管理工作，研究拟订农业机械化促进政策，拟订农业机械化发展规划和重大技术措施并组织实施。</w:t>
      </w:r>
    </w:p>
    <w:p w14:paraId="451D201E">
      <w:pPr>
        <w:pageBreakBefore w:val="0"/>
        <w:numPr>
          <w:ilvl w:val="0"/>
          <w:numId w:val="3"/>
        </w:numPr>
        <w:kinsoku/>
        <w:wordWrap/>
        <w:overflowPunct/>
        <w:topLinePunct w:val="0"/>
        <w:autoSpaceDE/>
        <w:autoSpaceDN/>
        <w:bidi w:val="0"/>
        <w:spacing w:line="576" w:lineRule="exact"/>
        <w:ind w:firstLine="640"/>
        <w:textAlignment w:val="auto"/>
      </w:pPr>
      <w:r>
        <w:rPr>
          <w:rFonts w:hint="eastAsia"/>
        </w:rPr>
        <w:t>承办政府间农业涉外事务。参与拟订农业对外开放和外向型农民发展规划，指导外向型农业发展，组织开展农业贸易促进工作和技术交流与合作。</w:t>
      </w:r>
    </w:p>
    <w:p w14:paraId="41B0662C">
      <w:pPr>
        <w:pStyle w:val="4"/>
        <w:pageBreakBefore w:val="0"/>
        <w:kinsoku/>
        <w:wordWrap/>
        <w:overflowPunct/>
        <w:topLinePunct w:val="0"/>
        <w:autoSpaceDE/>
        <w:autoSpaceDN/>
        <w:bidi w:val="0"/>
        <w:spacing w:line="576" w:lineRule="exact"/>
        <w:ind w:firstLine="640"/>
        <w:textAlignment w:val="auto"/>
        <w:rPr>
          <w:lang w:val="zh-CN"/>
        </w:rPr>
      </w:pPr>
      <w:r>
        <w:rPr>
          <w:rFonts w:hint="eastAsia"/>
          <w:lang w:val="zh-CN"/>
        </w:rPr>
        <w:t>（三）人员概况</w:t>
      </w:r>
    </w:p>
    <w:p w14:paraId="3E34DE81">
      <w:pPr>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Times New Roman" w:hAnsi="Times New Roman" w:cs="Times New Roman"/>
          <w:lang w:val="zh-CN"/>
        </w:rPr>
      </w:pPr>
      <w:r>
        <w:rPr>
          <w:rFonts w:hint="eastAsia" w:ascii="Times New Roman" w:hAnsi="Times New Roman" w:cs="Times New Roman"/>
          <w:lang w:val="en-US" w:eastAsia="zh-CN"/>
        </w:rPr>
        <w:t>202</w:t>
      </w:r>
      <w:r>
        <w:rPr>
          <w:rFonts w:hint="eastAsia" w:cs="Times New Roman"/>
          <w:lang w:val="en-US" w:eastAsia="zh-CN"/>
        </w:rPr>
        <w:t>3</w:t>
      </w:r>
      <w:r>
        <w:rPr>
          <w:rFonts w:hint="eastAsia" w:ascii="Times New Roman" w:hAnsi="Times New Roman" w:cs="Times New Roman"/>
          <w:lang w:val="en-US" w:eastAsia="zh-CN"/>
        </w:rPr>
        <w:t>年末实有在职人员2</w:t>
      </w:r>
      <w:r>
        <w:rPr>
          <w:rFonts w:hint="eastAsia" w:cs="Times New Roman"/>
          <w:lang w:val="en-US" w:eastAsia="zh-CN"/>
        </w:rPr>
        <w:t>3</w:t>
      </w:r>
      <w:r>
        <w:rPr>
          <w:rFonts w:hint="eastAsia" w:ascii="Times New Roman" w:hAnsi="Times New Roman" w:cs="Times New Roman"/>
          <w:lang w:val="en-US" w:eastAsia="zh-CN"/>
        </w:rPr>
        <w:t>9人，其中：行政人员15人，参公管理的人员20人，机关工勤人员5人，事业人员</w:t>
      </w:r>
      <w:r>
        <w:rPr>
          <w:rFonts w:hint="eastAsia" w:cs="Times New Roman"/>
          <w:lang w:val="en-US" w:eastAsia="zh-CN"/>
        </w:rPr>
        <w:t>199</w:t>
      </w:r>
      <w:r>
        <w:rPr>
          <w:rFonts w:hint="eastAsia" w:ascii="Times New Roman" w:hAnsi="Times New Roman" w:cs="Times New Roman"/>
          <w:lang w:val="en-US" w:eastAsia="zh-CN"/>
        </w:rPr>
        <w:t>人</w:t>
      </w:r>
      <w:r>
        <w:rPr>
          <w:rFonts w:hint="eastAsia" w:ascii="Times New Roman" w:hAnsi="Times New Roman" w:cs="Times New Roman"/>
        </w:rPr>
        <w:t>。</w:t>
      </w:r>
    </w:p>
    <w:p w14:paraId="368D758C">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14:paraId="2DA67464">
      <w:pPr>
        <w:pStyle w:val="4"/>
        <w:pageBreakBefore w:val="0"/>
        <w:kinsoku/>
        <w:wordWrap/>
        <w:overflowPunct/>
        <w:topLinePunct w:val="0"/>
        <w:autoSpaceDE/>
        <w:autoSpaceDN/>
        <w:bidi w:val="0"/>
        <w:spacing w:line="576" w:lineRule="exact"/>
        <w:ind w:firstLine="640"/>
        <w:textAlignment w:val="auto"/>
        <w:rPr>
          <w:lang w:val="zh-CN"/>
        </w:rPr>
      </w:pPr>
      <w:r>
        <w:rPr>
          <w:rFonts w:hint="eastAsia"/>
          <w:lang w:val="zh-CN"/>
        </w:rPr>
        <w:t>（一）部门财政资金收入情况</w:t>
      </w:r>
    </w:p>
    <w:p w14:paraId="0DCB7DF6">
      <w:pPr>
        <w:pageBreakBefore w:val="0"/>
        <w:kinsoku/>
        <w:wordWrap/>
        <w:overflowPunct/>
        <w:topLinePunct w:val="0"/>
        <w:autoSpaceDE/>
        <w:autoSpaceDN/>
        <w:bidi w:val="0"/>
        <w:spacing w:line="576" w:lineRule="exact"/>
        <w:ind w:firstLine="640"/>
        <w:textAlignment w:val="auto"/>
      </w:pPr>
      <w:r>
        <w:t>20</w:t>
      </w:r>
      <w:r>
        <w:rPr>
          <w:rFonts w:hint="eastAsia"/>
        </w:rPr>
        <w:t>2</w:t>
      </w:r>
      <w:r>
        <w:rPr>
          <w:rFonts w:hint="eastAsia"/>
          <w:lang w:val="en-US" w:eastAsia="zh-CN"/>
        </w:rPr>
        <w:t>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本年</w:t>
      </w:r>
      <w:r>
        <w:rPr>
          <w:rFonts w:hint="eastAsia" w:cs="Times New Roman"/>
          <w:b w:val="0"/>
          <w:bCs w:val="0"/>
          <w:i w:val="0"/>
          <w:iCs w:val="0"/>
          <w:color w:val="auto"/>
          <w:sz w:val="32"/>
          <w:szCs w:val="32"/>
          <w:highlight w:val="none"/>
          <w:lang w:eastAsia="zh-CN"/>
        </w:rPr>
        <w:t>预算</w:t>
      </w:r>
      <w:r>
        <w:rPr>
          <w:rFonts w:hint="default" w:ascii="Times New Roman" w:hAnsi="Times New Roman" w:eastAsia="仿宋_GB2312" w:cs="Times New Roman"/>
          <w:b w:val="0"/>
          <w:bCs w:val="0"/>
          <w:i w:val="0"/>
          <w:iCs w:val="0"/>
          <w:color w:val="auto"/>
          <w:sz w:val="32"/>
          <w:szCs w:val="32"/>
          <w:highlight w:val="none"/>
        </w:rPr>
        <w:t>收入</w:t>
      </w:r>
      <w:r>
        <w:rPr>
          <w:rFonts w:hint="eastAsia" w:cs="Times New Roman"/>
          <w:b w:val="0"/>
          <w:bCs w:val="0"/>
          <w:i w:val="0"/>
          <w:iCs w:val="0"/>
          <w:color w:val="auto"/>
          <w:sz w:val="32"/>
          <w:szCs w:val="32"/>
          <w:highlight w:val="none"/>
          <w:lang w:eastAsia="zh-CN"/>
        </w:rPr>
        <w:t>和决算报表收入均为</w:t>
      </w:r>
      <w:r>
        <w:rPr>
          <w:rFonts w:hint="eastAsia" w:ascii="Times New Roman" w:hAnsi="Times New Roman" w:cs="Times New Roman"/>
          <w:b w:val="0"/>
          <w:bCs w:val="0"/>
          <w:i w:val="0"/>
          <w:iCs w:val="0"/>
          <w:color w:val="auto"/>
          <w:sz w:val="32"/>
          <w:szCs w:val="32"/>
          <w:highlight w:val="none"/>
          <w:lang w:val="en-US" w:eastAsia="zh-CN"/>
        </w:rPr>
        <w:t>49811.93</w:t>
      </w:r>
      <w:r>
        <w:rPr>
          <w:rFonts w:hint="default" w:ascii="Times New Roman" w:hAnsi="Times New Roman" w:eastAsia="仿宋_GB2312" w:cs="Times New Roman"/>
          <w:b w:val="0"/>
          <w:bCs w:val="0"/>
          <w:i w:val="0"/>
          <w:iCs w:val="0"/>
          <w:color w:val="auto"/>
          <w:sz w:val="32"/>
          <w:szCs w:val="32"/>
          <w:highlight w:val="none"/>
        </w:rPr>
        <w:t>万元，其中：一般公共预算财政拨款收入</w:t>
      </w:r>
      <w:r>
        <w:rPr>
          <w:rFonts w:hint="eastAsia" w:ascii="Times New Roman" w:hAnsi="Times New Roman" w:cs="Times New Roman"/>
          <w:b w:val="0"/>
          <w:bCs w:val="0"/>
          <w:i w:val="0"/>
          <w:iCs w:val="0"/>
          <w:color w:val="auto"/>
          <w:sz w:val="32"/>
          <w:szCs w:val="32"/>
          <w:highlight w:val="none"/>
          <w:lang w:val="en-US" w:eastAsia="zh-CN"/>
        </w:rPr>
        <w:t>44440.31</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89.22</w:t>
      </w:r>
      <w:r>
        <w:rPr>
          <w:rFonts w:hint="default" w:ascii="Times New Roman" w:hAnsi="Times New Roman" w:eastAsia="仿宋_GB2312" w:cs="Times New Roman"/>
          <w:b w:val="0"/>
          <w:bCs w:val="0"/>
          <w:i w:val="0"/>
          <w:iCs w:val="0"/>
          <w:color w:val="auto"/>
          <w:sz w:val="32"/>
          <w:szCs w:val="32"/>
          <w:highlight w:val="none"/>
        </w:rPr>
        <w:t>%；政府性基金预算财政拨款收入</w:t>
      </w:r>
      <w:r>
        <w:rPr>
          <w:rFonts w:hint="eastAsia" w:ascii="Times New Roman" w:hAnsi="Times New Roman" w:cs="Times New Roman"/>
          <w:b w:val="0"/>
          <w:bCs w:val="0"/>
          <w:i w:val="0"/>
          <w:iCs w:val="0"/>
          <w:color w:val="auto"/>
          <w:sz w:val="32"/>
          <w:szCs w:val="32"/>
          <w:highlight w:val="none"/>
          <w:lang w:val="en-US" w:eastAsia="zh-CN"/>
        </w:rPr>
        <w:t>5371.62</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10.78</w:t>
      </w:r>
      <w:r>
        <w:rPr>
          <w:rFonts w:hint="default" w:ascii="Times New Roman" w:hAnsi="Times New Roman" w:eastAsia="仿宋_GB2312" w:cs="Times New Roman"/>
          <w:b w:val="0"/>
          <w:bCs w:val="0"/>
          <w:i w:val="0"/>
          <w:iCs w:val="0"/>
          <w:color w:val="auto"/>
          <w:sz w:val="32"/>
          <w:szCs w:val="32"/>
          <w:highlight w:val="none"/>
        </w:rPr>
        <w:t>%</w:t>
      </w:r>
    </w:p>
    <w:p w14:paraId="0423BD77">
      <w:pPr>
        <w:pStyle w:val="4"/>
        <w:pageBreakBefore w:val="0"/>
        <w:kinsoku/>
        <w:wordWrap/>
        <w:overflowPunct/>
        <w:topLinePunct w:val="0"/>
        <w:autoSpaceDE/>
        <w:autoSpaceDN/>
        <w:bidi w:val="0"/>
        <w:spacing w:line="576" w:lineRule="exact"/>
        <w:ind w:firstLine="640"/>
        <w:textAlignment w:val="auto"/>
        <w:rPr>
          <w:lang w:val="zh-CN"/>
        </w:rPr>
      </w:pPr>
      <w:r>
        <w:rPr>
          <w:rFonts w:hint="eastAsia"/>
          <w:lang w:val="zh-CN"/>
        </w:rPr>
        <w:t>（二）部门财政资金支出情况</w:t>
      </w:r>
    </w:p>
    <w:p w14:paraId="44F70A6B">
      <w:pPr>
        <w:pageBreakBefore w:val="0"/>
        <w:kinsoku/>
        <w:wordWrap/>
        <w:overflowPunct/>
        <w:topLinePunct w:val="0"/>
        <w:autoSpaceDE/>
        <w:autoSpaceDN/>
        <w:bidi w:val="0"/>
        <w:spacing w:line="576" w:lineRule="exact"/>
        <w:ind w:firstLine="640"/>
        <w:textAlignment w:val="auto"/>
      </w:pPr>
      <w:r>
        <w:t>20</w:t>
      </w:r>
      <w:r>
        <w:rPr>
          <w:rFonts w:hint="eastAsia"/>
        </w:rPr>
        <w:t>2</w:t>
      </w:r>
      <w:r>
        <w:rPr>
          <w:rFonts w:hint="eastAsia"/>
          <w:lang w:val="en-US" w:eastAsia="zh-CN"/>
        </w:rPr>
        <w:t>3</w:t>
      </w:r>
      <w:r>
        <w:rPr>
          <w:rFonts w:hint="eastAsia"/>
        </w:rPr>
        <w:t>年本年</w:t>
      </w:r>
      <w:r>
        <w:rPr>
          <w:rFonts w:hint="eastAsia"/>
          <w:lang w:eastAsia="zh-CN"/>
        </w:rPr>
        <w:t>预算</w:t>
      </w:r>
      <w:r>
        <w:rPr>
          <w:rFonts w:hint="eastAsia"/>
        </w:rPr>
        <w:t>支出</w:t>
      </w:r>
      <w:r>
        <w:rPr>
          <w:rFonts w:hint="eastAsia"/>
          <w:lang w:eastAsia="zh-CN"/>
        </w:rPr>
        <w:t>和决算报表支出均为</w:t>
      </w:r>
      <w:r>
        <w:rPr>
          <w:rFonts w:hint="eastAsia"/>
          <w:lang w:val="en-US" w:eastAsia="zh-CN"/>
        </w:rPr>
        <w:t>49811.93</w:t>
      </w:r>
      <w:r>
        <w:rPr>
          <w:rFonts w:hint="eastAsia"/>
        </w:rPr>
        <w:t>万元，其中：基本支出</w:t>
      </w:r>
      <w:r>
        <w:rPr>
          <w:rFonts w:hint="eastAsia"/>
          <w:lang w:val="en-US" w:eastAsia="zh-CN"/>
        </w:rPr>
        <w:t>4970.1</w:t>
      </w:r>
      <w:r>
        <w:rPr>
          <w:rFonts w:hint="eastAsia"/>
        </w:rPr>
        <w:t>万元，占</w:t>
      </w:r>
      <w:r>
        <w:rPr>
          <w:rFonts w:hint="eastAsia"/>
          <w:lang w:val="en-US" w:eastAsia="zh-CN"/>
        </w:rPr>
        <w:t>9.98</w:t>
      </w:r>
      <w:r>
        <w:t>%</w:t>
      </w:r>
      <w:r>
        <w:rPr>
          <w:rFonts w:hint="eastAsia"/>
        </w:rPr>
        <w:t>；项目支出</w:t>
      </w:r>
      <w:r>
        <w:rPr>
          <w:rFonts w:hint="eastAsia"/>
          <w:lang w:val="en-US" w:eastAsia="zh-CN"/>
        </w:rPr>
        <w:t>44841.82</w:t>
      </w:r>
      <w:r>
        <w:rPr>
          <w:rFonts w:hint="eastAsia"/>
        </w:rPr>
        <w:t>万元，占</w:t>
      </w:r>
      <w:r>
        <w:rPr>
          <w:rFonts w:hint="eastAsia"/>
          <w:lang w:val="en-US" w:eastAsia="zh-CN"/>
        </w:rPr>
        <w:t>90.02</w:t>
      </w:r>
      <w:r>
        <w:t>%</w:t>
      </w:r>
      <w:r>
        <w:rPr>
          <w:rFonts w:hint="eastAsia"/>
        </w:rPr>
        <w:t>。</w:t>
      </w:r>
    </w:p>
    <w:p w14:paraId="4EB93772">
      <w:pPr>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eastAsia" w:ascii="Times New Roman" w:hAnsi="Times New Roman" w:eastAsia="黑体" w:cs="Times New Roman"/>
          <w:b w:val="0"/>
          <w:bCs w:val="0"/>
          <w:i w:val="0"/>
          <w:iCs w:val="0"/>
          <w:color w:val="000000"/>
          <w:kern w:val="0"/>
          <w:sz w:val="32"/>
          <w:szCs w:val="32"/>
          <w:highlight w:val="none"/>
          <w:shd w:val="clear" w:color="auto" w:fill="FFFFFF"/>
          <w:lang w:val="zh-CN" w:eastAsia="zh-CN"/>
        </w:rPr>
        <w:t>三、</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部门预算绩效分析</w:t>
      </w:r>
    </w:p>
    <w:p w14:paraId="398881EF">
      <w:pPr>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宋体" w:cs="宋体"/>
          <w:color w:val="000000"/>
          <w:kern w:val="0"/>
          <w:szCs w:val="32"/>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p>
    <w:p w14:paraId="2EDD64F8">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eastAsia="仿宋_GB2312"/>
          <w:lang w:val="en-US" w:eastAsia="zh-CN"/>
        </w:rPr>
      </w:pPr>
      <w:r>
        <w:t>根据预算绩效管理要求，区农业</w:t>
      </w:r>
      <w:r>
        <w:rPr>
          <w:rFonts w:hint="eastAsia"/>
        </w:rPr>
        <w:t>农村</w:t>
      </w:r>
      <w:r>
        <w:t>局在年初预算编制阶段，组织对</w:t>
      </w:r>
      <w:r>
        <w:rPr>
          <w:rFonts w:hint="eastAsia"/>
          <w:lang w:val="en-US" w:eastAsia="zh-CN"/>
        </w:rPr>
        <w:t>5</w:t>
      </w:r>
      <w:r>
        <w:rPr>
          <w:rFonts w:hint="eastAsia"/>
        </w:rPr>
        <w:t>个</w:t>
      </w:r>
      <w:r>
        <w:t>项目开展了预算事前绩效评价，对</w:t>
      </w:r>
      <w:r>
        <w:rPr>
          <w:rFonts w:hint="eastAsia"/>
          <w:lang w:val="en-US" w:eastAsia="zh-CN"/>
        </w:rPr>
        <w:t>5</w:t>
      </w:r>
      <w:r>
        <w:t>个项目编制了绩效目标</w:t>
      </w:r>
      <w:r>
        <w:rPr>
          <w:rFonts w:hint="eastAsia"/>
          <w:lang w:eastAsia="zh-CN"/>
        </w:rPr>
        <w:t>，执行过程中预算目标</w:t>
      </w:r>
      <w:r>
        <w:rPr>
          <w:rFonts w:hint="eastAsia"/>
          <w:lang w:val="en-US" w:eastAsia="zh-CN"/>
        </w:rPr>
        <w:t>100%完成，支出控制在预算数据内，编制较准确，无违规违纪等情况。</w:t>
      </w:r>
    </w:p>
    <w:p w14:paraId="5B0F8E5B">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履职效能</w:t>
      </w:r>
    </w:p>
    <w:p w14:paraId="6577AEEA">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lang w:eastAsia="zh-CN"/>
        </w:rPr>
      </w:pPr>
      <w:r>
        <w:t>区农业</w:t>
      </w:r>
      <w:r>
        <w:rPr>
          <w:rFonts w:hint="eastAsia"/>
        </w:rPr>
        <w:t>农村</w:t>
      </w:r>
      <w:r>
        <w:t>局</w:t>
      </w:r>
      <w:r>
        <w:rPr>
          <w:rFonts w:hint="eastAsia"/>
          <w:lang w:eastAsia="zh-CN"/>
        </w:rPr>
        <w:t>在</w:t>
      </w:r>
      <w:r>
        <w:rPr>
          <w:rFonts w:hint="eastAsia"/>
          <w:lang w:val="en-US" w:eastAsia="zh-CN"/>
        </w:rPr>
        <w:t>2023年</w:t>
      </w:r>
      <w:r>
        <w:rPr>
          <w:rFonts w:hint="eastAsia"/>
        </w:rPr>
        <w:t>保障</w:t>
      </w:r>
      <w:r>
        <w:rPr>
          <w:rFonts w:hint="eastAsia"/>
          <w:lang w:eastAsia="zh-CN"/>
        </w:rPr>
        <w:t>了</w:t>
      </w:r>
      <w:r>
        <w:rPr>
          <w:rFonts w:hint="eastAsia"/>
        </w:rPr>
        <w:t>部门职工基本工资，津补贴，绩效工资、奖金等人员经费</w:t>
      </w:r>
      <w:r>
        <w:rPr>
          <w:rFonts w:hint="eastAsia"/>
          <w:lang w:eastAsia="zh-CN"/>
        </w:rPr>
        <w:t>正常发放，公用经费保障了部门正常运转，狂犬病等防治专项经费避免了区内狂犬病等重大疫病发生，农村公益事业等乡村振兴项目提升了农村人居环境，所有项目都达到了绩效目标。</w:t>
      </w:r>
    </w:p>
    <w:p w14:paraId="1036252D">
      <w:pPr>
        <w:pStyle w:val="15"/>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预算管理</w:t>
      </w:r>
    </w:p>
    <w:p w14:paraId="757DE78D">
      <w:pPr>
        <w:pStyle w:val="9"/>
        <w:pageBreakBefore w:val="0"/>
        <w:numPr>
          <w:ilvl w:val="0"/>
          <w:numId w:val="0"/>
        </w:numPr>
        <w:kinsoku/>
        <w:wordWrap/>
        <w:overflowPunct/>
        <w:topLinePunct w:val="0"/>
        <w:autoSpaceDE/>
        <w:autoSpaceDN/>
        <w:bidi w:val="0"/>
        <w:spacing w:after="0" w:line="576" w:lineRule="exact"/>
        <w:textAlignment w:val="auto"/>
        <w:rPr>
          <w:rFonts w:hint="default"/>
          <w:lang w:val="en-US" w:eastAsia="zh-CN"/>
        </w:rPr>
      </w:pPr>
      <w:r>
        <w:rPr>
          <w:rFonts w:hint="eastAsia"/>
          <w:lang w:val="en-US" w:eastAsia="zh-CN"/>
        </w:rPr>
        <w:t xml:space="preserve">   本部门</w:t>
      </w:r>
      <w:r>
        <w:rPr>
          <w:rFonts w:hint="default" w:ascii="Times New Roman" w:hAnsi="Times New Roman" w:eastAsia="仿宋" w:cs="Times New Roman"/>
          <w:b w:val="0"/>
          <w:bCs w:val="0"/>
          <w:color w:val="auto"/>
          <w:sz w:val="32"/>
          <w:szCs w:val="32"/>
        </w:rPr>
        <w:t>预算金额结合上年结转情况和上级专项资金下达情况准确编制。</w:t>
      </w:r>
      <w:r>
        <w:rPr>
          <w:rFonts w:hint="eastAsia" w:ascii="Times New Roman" w:eastAsia="仿宋" w:cs="Times New Roman"/>
          <w:b w:val="0"/>
          <w:bCs w:val="0"/>
          <w:color w:val="auto"/>
          <w:sz w:val="32"/>
          <w:szCs w:val="32"/>
          <w:lang w:eastAsia="zh-CN"/>
        </w:rPr>
        <w:t>单位收入实行收支两条线，</w:t>
      </w:r>
      <w:r>
        <w:rPr>
          <w:rFonts w:hint="default" w:ascii="Times New Roman" w:hAnsi="Times New Roman" w:eastAsia="仿宋" w:cs="Times New Roman"/>
          <w:b w:val="0"/>
          <w:bCs w:val="0"/>
          <w:color w:val="auto"/>
          <w:sz w:val="32"/>
          <w:szCs w:val="32"/>
        </w:rPr>
        <w:t>加强预算执行管理，根据实际情况定期做好预算执行分析，掌握预算执行进度，及时找出预算实际执行情况与预算绩效目标之间存在的差异，采取有效措施纠正偏差，提高预算执行的时效性和均衡性</w:t>
      </w:r>
    </w:p>
    <w:p w14:paraId="393D5EA8">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财务管理</w:t>
      </w:r>
    </w:p>
    <w:p w14:paraId="7F11A20F">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rPr>
        <w:t>本单位202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年进一步完善了</w:t>
      </w:r>
      <w:r>
        <w:rPr>
          <w:rFonts w:hint="eastAsia" w:ascii="仿宋_GB2312" w:hAnsi="仿宋" w:eastAsia="仿宋_GB2312"/>
          <w:sz w:val="32"/>
          <w:szCs w:val="32"/>
          <w:lang w:eastAsia="zh-CN"/>
        </w:rPr>
        <w:t>公用经费</w:t>
      </w:r>
      <w:r>
        <w:rPr>
          <w:rFonts w:hint="eastAsia" w:ascii="仿宋_GB2312" w:hAnsi="仿宋" w:eastAsia="仿宋_GB2312"/>
          <w:sz w:val="32"/>
          <w:szCs w:val="32"/>
        </w:rPr>
        <w:t>报销审批手续等各项财务管理制度，严格控制三公经费支出，逐步完善了内控制度。</w:t>
      </w:r>
      <w:r>
        <w:rPr>
          <w:rFonts w:hint="eastAsia" w:ascii="仿宋_GB2312" w:hAnsi="仿宋" w:eastAsia="仿宋_GB2312"/>
          <w:sz w:val="32"/>
          <w:szCs w:val="32"/>
          <w:lang w:eastAsia="zh-CN"/>
        </w:rPr>
        <w:t>各项资金使用严格按照使用范围和方案执行。</w:t>
      </w:r>
    </w:p>
    <w:p w14:paraId="4C488026">
      <w:pPr>
        <w:pStyle w:val="15"/>
        <w:pageBreakBefore w:val="0"/>
        <w:numPr>
          <w:ilvl w:val="0"/>
          <w:numId w:val="0"/>
        </w:numPr>
        <w:kinsoku/>
        <w:wordWrap/>
        <w:overflowPunct/>
        <w:topLinePunct w:val="0"/>
        <w:autoSpaceDE/>
        <w:autoSpaceDN/>
        <w:bidi w:val="0"/>
        <w:spacing w:line="576" w:lineRule="exact"/>
        <w:ind w:left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资产管理</w:t>
      </w:r>
    </w:p>
    <w:p w14:paraId="1F0FC67E">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2023年</w:t>
      </w:r>
      <w:r>
        <w:rPr>
          <w:rFonts w:hint="eastAsia" w:ascii="仿宋_GB2312" w:hAnsi="仿宋"/>
          <w:sz w:val="32"/>
          <w:szCs w:val="32"/>
          <w:lang w:val="en-US" w:eastAsia="zh-CN"/>
        </w:rPr>
        <w:t>在用</w:t>
      </w:r>
      <w:r>
        <w:rPr>
          <w:rFonts w:hint="eastAsia" w:ascii="仿宋_GB2312" w:hAnsi="仿宋" w:eastAsia="仿宋_GB2312"/>
          <w:sz w:val="32"/>
          <w:szCs w:val="32"/>
          <w:lang w:val="en-US" w:eastAsia="zh-CN"/>
        </w:rPr>
        <w:t>资产利用率100%，在用资产发挥了效用，</w:t>
      </w:r>
      <w:r>
        <w:rPr>
          <w:rFonts w:hint="eastAsia" w:ascii="仿宋_GB2312" w:hAnsi="仿宋"/>
          <w:sz w:val="32"/>
          <w:szCs w:val="32"/>
          <w:lang w:val="en-US" w:eastAsia="zh-CN"/>
        </w:rPr>
        <w:t>保障了各项工作正常开展。</w:t>
      </w:r>
      <w:r>
        <w:rPr>
          <w:rFonts w:hint="eastAsia" w:ascii="仿宋_GB2312" w:hAnsi="仿宋" w:eastAsia="仿宋_GB2312"/>
          <w:sz w:val="32"/>
          <w:szCs w:val="32"/>
          <w:lang w:val="en-US" w:eastAsia="zh-CN"/>
        </w:rPr>
        <w:t>资产处置严格按照相关手续执行。</w:t>
      </w:r>
    </w:p>
    <w:p w14:paraId="7C4BD7FC">
      <w:pPr>
        <w:pStyle w:val="15"/>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采购管理</w:t>
      </w:r>
    </w:p>
    <w:p w14:paraId="365184D5">
      <w:pPr>
        <w:pageBreakBefore w:val="0"/>
        <w:kinsoku/>
        <w:wordWrap/>
        <w:overflowPunct/>
        <w:topLinePunct w:val="0"/>
        <w:autoSpaceDE/>
        <w:autoSpaceDN/>
        <w:bidi w:val="0"/>
        <w:spacing w:line="576" w:lineRule="exact"/>
        <w:ind w:firstLine="640"/>
        <w:textAlignment w:val="auto"/>
        <w:rPr>
          <w:rFonts w:hint="eastAsia" w:ascii="Times New Roman" w:hAnsi="Times New Roman" w:cs="Times New Roman"/>
          <w:b w:val="0"/>
          <w:bCs w:val="0"/>
          <w:i w:val="0"/>
          <w:iCs w:val="0"/>
          <w:sz w:val="32"/>
          <w:szCs w:val="32"/>
          <w:lang w:val="en-US" w:eastAsia="zh-CN"/>
        </w:rPr>
      </w:pPr>
      <w:r>
        <w:t>20</w:t>
      </w:r>
      <w:r>
        <w:rPr>
          <w:rFonts w:hint="eastAsia"/>
        </w:rPr>
        <w:t>2</w:t>
      </w:r>
      <w:r>
        <w:rPr>
          <w:rFonts w:hint="eastAsia"/>
          <w:lang w:val="en-US" w:eastAsia="zh-CN"/>
        </w:rPr>
        <w:t>3</w:t>
      </w:r>
      <w:r>
        <w:rPr>
          <w:rFonts w:hint="eastAsia"/>
        </w:rPr>
        <w:t>年，安居区农业农村局政府采购支出总额</w:t>
      </w:r>
      <w:r>
        <w:rPr>
          <w:rFonts w:hint="eastAsia"/>
          <w:lang w:val="en-US" w:eastAsia="zh-CN"/>
        </w:rPr>
        <w:t>1070.36</w:t>
      </w:r>
      <w:r>
        <w:rPr>
          <w:rFonts w:hint="eastAsia"/>
        </w:rPr>
        <w:t>万元，授予小微企业合同金额</w:t>
      </w:r>
      <w:r>
        <w:rPr>
          <w:rFonts w:hint="eastAsia"/>
          <w:lang w:val="en-US" w:eastAsia="zh-CN"/>
        </w:rPr>
        <w:t>1070.36</w:t>
      </w:r>
      <w:r>
        <w:rPr>
          <w:rFonts w:hint="eastAsia"/>
        </w:rPr>
        <w:t>万元，占政府采购支出总额的</w:t>
      </w:r>
      <w:r>
        <w:rPr>
          <w:rFonts w:hint="eastAsia"/>
          <w:lang w:val="en-US" w:eastAsia="zh-CN"/>
        </w:rPr>
        <w:t>100</w:t>
      </w:r>
      <w:r>
        <w:t>%</w:t>
      </w:r>
      <w:r>
        <w:rPr>
          <w:rFonts w:hint="eastAsia"/>
        </w:rPr>
        <w:t>。</w:t>
      </w:r>
      <w:r>
        <w:rPr>
          <w:rFonts w:hint="default" w:ascii="Times New Roman" w:hAnsi="Times New Roman" w:eastAsia="仿宋_GB2312" w:cs="Times New Roman"/>
          <w:b w:val="0"/>
          <w:bCs w:val="0"/>
          <w:i w:val="0"/>
          <w:iCs w:val="0"/>
          <w:sz w:val="32"/>
          <w:szCs w:val="32"/>
          <w:lang w:val="zh-CN" w:eastAsia="zh-CN"/>
        </w:rPr>
        <w:t>采购执行率</w:t>
      </w:r>
      <w:r>
        <w:rPr>
          <w:rFonts w:hint="eastAsia" w:ascii="Times New Roman" w:hAnsi="Times New Roman" w:cs="Times New Roman"/>
          <w:b w:val="0"/>
          <w:bCs w:val="0"/>
          <w:i w:val="0"/>
          <w:iCs w:val="0"/>
          <w:sz w:val="32"/>
          <w:szCs w:val="32"/>
          <w:lang w:val="zh-CN" w:eastAsia="zh-CN"/>
        </w:rPr>
        <w:t>达到</w:t>
      </w:r>
      <w:r>
        <w:rPr>
          <w:rFonts w:hint="eastAsia" w:ascii="Times New Roman" w:hAnsi="Times New Roman" w:cs="Times New Roman"/>
          <w:b w:val="0"/>
          <w:bCs w:val="0"/>
          <w:i w:val="0"/>
          <w:iCs w:val="0"/>
          <w:sz w:val="32"/>
          <w:szCs w:val="32"/>
          <w:lang w:val="en-US" w:eastAsia="zh-CN"/>
        </w:rPr>
        <w:t>91%。所有采购严格按照相关制度执行。</w:t>
      </w:r>
    </w:p>
    <w:p w14:paraId="0B02616B">
      <w:pPr>
        <w:pStyle w:val="15"/>
        <w:pageBreakBefore w:val="0"/>
        <w:numPr>
          <w:ilvl w:val="0"/>
          <w:numId w:val="4"/>
        </w:numPr>
        <w:kinsoku/>
        <w:wordWrap/>
        <w:overflowPunct/>
        <w:topLinePunct w:val="0"/>
        <w:autoSpaceDE/>
        <w:autoSpaceDN/>
        <w:bidi w:val="0"/>
        <w:spacing w:line="576" w:lineRule="exact"/>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部门预算项目绩效分析</w:t>
      </w:r>
    </w:p>
    <w:p w14:paraId="4CAD225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常年项目绩效分析。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eastAsia" w:ascii="Times New Roman" w:hAnsi="Times New Roman"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个，涉及预算总金额</w:t>
      </w:r>
      <w:r>
        <w:rPr>
          <w:rFonts w:hint="default" w:ascii="Times New Roman" w:hAnsi="Times New Roman" w:eastAsia="仿宋_GB2312" w:cs="Times New Roman"/>
          <w:b w:val="0"/>
          <w:bCs w:val="0"/>
          <w:i w:val="0"/>
          <w:iCs w:val="0"/>
          <w:sz w:val="32"/>
          <w:szCs w:val="32"/>
          <w:lang w:val="en-US" w:eastAsia="zh-CN"/>
        </w:rPr>
        <w:t xml:space="preserve"> </w:t>
      </w:r>
      <w:r>
        <w:rPr>
          <w:rFonts w:hint="eastAsia" w:ascii="Times New Roman" w:hAnsi="Times New Roman" w:cs="Times New Roman"/>
          <w:b w:val="0"/>
          <w:bCs w:val="0"/>
          <w:i w:val="0"/>
          <w:iCs w:val="0"/>
          <w:sz w:val="32"/>
          <w:szCs w:val="32"/>
          <w:lang w:val="en-US" w:eastAsia="zh-CN"/>
        </w:rPr>
        <w:t>15</w:t>
      </w:r>
      <w:r>
        <w:rPr>
          <w:rFonts w:hint="default" w:ascii="Times New Roman" w:hAnsi="Times New Roman" w:eastAsia="仿宋_GB2312" w:cs="Times New Roman"/>
          <w:b w:val="0"/>
          <w:bCs w:val="0"/>
          <w:i w:val="0"/>
          <w:iCs w:val="0"/>
          <w:sz w:val="32"/>
          <w:szCs w:val="32"/>
          <w:lang w:val="zh-CN" w:eastAsia="zh-CN"/>
        </w:rPr>
        <w:t>万元，1—1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月预算执行总体进度为</w:t>
      </w:r>
      <w:r>
        <w:rPr>
          <w:rFonts w:hint="default" w:ascii="Times New Roman" w:hAnsi="Times New Roman" w:eastAsia="仿宋_GB2312" w:cs="Times New Roman"/>
          <w:b w:val="0"/>
          <w:bCs w:val="0"/>
          <w:i w:val="0"/>
          <w:iCs w:val="0"/>
          <w:sz w:val="32"/>
          <w:szCs w:val="32"/>
          <w:lang w:val="en-US" w:eastAsia="zh-CN"/>
        </w:rPr>
        <w:t xml:space="preserve"> </w:t>
      </w:r>
      <w:r>
        <w:rPr>
          <w:rFonts w:hint="eastAsia" w:ascii="Times New Roman" w:hAnsi="Times New Roman" w:cs="Times New Roman"/>
          <w:b w:val="0"/>
          <w:bCs w:val="0"/>
          <w:i w:val="0"/>
          <w:iCs w:val="0"/>
          <w:sz w:val="32"/>
          <w:szCs w:val="32"/>
          <w:lang w:val="en-US" w:eastAsia="zh-CN"/>
        </w:rPr>
        <w:t>100</w:t>
      </w:r>
      <w:r>
        <w:rPr>
          <w:rFonts w:hint="default" w:ascii="Times New Roman" w:hAnsi="Times New Roman" w:eastAsia="仿宋_GB2312" w:cs="Times New Roman"/>
          <w:b w:val="0"/>
          <w:bCs w:val="0"/>
          <w:i w:val="0"/>
          <w:iCs w:val="0"/>
          <w:sz w:val="32"/>
          <w:szCs w:val="32"/>
          <w:lang w:val="en-US" w:eastAsia="zh-CN"/>
        </w:rPr>
        <w:t xml:space="preserve"> </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default" w:ascii="Times New Roman" w:hAnsi="Times New Roman" w:eastAsia="仿宋_GB2312" w:cs="Times New Roman"/>
          <w:b w:val="0"/>
          <w:bCs w:val="0"/>
          <w:i w:val="0"/>
          <w:iCs w:val="0"/>
          <w:sz w:val="32"/>
          <w:szCs w:val="32"/>
          <w:lang w:val="en-US" w:eastAsia="zh-CN"/>
        </w:rPr>
        <w:t xml:space="preserve"> </w:t>
      </w:r>
      <w:r>
        <w:rPr>
          <w:rFonts w:hint="eastAsia" w:ascii="Times New Roman" w:hAnsi="Times New Roman"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en-US" w:eastAsia="zh-CN"/>
        </w:rPr>
        <w:t xml:space="preserve"> </w:t>
      </w:r>
      <w:r>
        <w:rPr>
          <w:rFonts w:hint="default" w:ascii="Times New Roman" w:hAnsi="Times New Roman" w:eastAsia="仿宋_GB2312" w:cs="Times New Roman"/>
          <w:b w:val="0"/>
          <w:bCs w:val="0"/>
          <w:i w:val="0"/>
          <w:iCs w:val="0"/>
          <w:sz w:val="32"/>
          <w:szCs w:val="32"/>
          <w:lang w:val="zh-CN" w:eastAsia="zh-CN"/>
        </w:rPr>
        <w:t>个。</w:t>
      </w:r>
    </w:p>
    <w:p w14:paraId="50B2F83F">
      <w:pPr>
        <w:pStyle w:val="15"/>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项目决策</w:t>
      </w:r>
    </w:p>
    <w:p w14:paraId="0392BB84">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lang w:val="zh-CN"/>
        </w:rPr>
      </w:pPr>
      <w:r>
        <w:rPr>
          <w:rFonts w:hint="eastAsia"/>
          <w:lang w:val="zh-CN"/>
        </w:rPr>
        <w:t>本单位项目由各股室申报，制定项目方案提请局党组通过，待项目资金下达后进行项目资金入库申拨。</w:t>
      </w:r>
    </w:p>
    <w:p w14:paraId="1E7F031F">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项目执行</w:t>
      </w:r>
    </w:p>
    <w:p w14:paraId="5FD1F428">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pP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本单位项目执行严格按照项目方案执行，项目调整须报请相关部门通过。</w:t>
      </w:r>
    </w:p>
    <w:p w14:paraId="3FDB8E76">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目标实现</w:t>
      </w:r>
    </w:p>
    <w:p w14:paraId="46F9DB43">
      <w:pPr>
        <w:pStyle w:val="9"/>
        <w:pageBreakBefore w:val="0"/>
        <w:numPr>
          <w:ilvl w:val="0"/>
          <w:numId w:val="0"/>
        </w:numPr>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pP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 xml:space="preserve">    本单位2023年项目目标基本实现，目标偏离度控制在5%以内。</w:t>
      </w:r>
    </w:p>
    <w:p w14:paraId="114E3F48">
      <w:pPr>
        <w:pStyle w:val="9"/>
        <w:pageBreakBefore w:val="0"/>
        <w:numPr>
          <w:ilvl w:val="0"/>
          <w:numId w:val="4"/>
        </w:numPr>
        <w:kinsoku/>
        <w:wordWrap/>
        <w:overflowPunct/>
        <w:topLinePunct w:val="0"/>
        <w:autoSpaceDE/>
        <w:autoSpaceDN/>
        <w:bidi w:val="0"/>
        <w:spacing w:after="0" w:line="576" w:lineRule="exact"/>
        <w:ind w:left="0" w:leftChars="0" w:firstLine="640"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绩效分析</w:t>
      </w:r>
    </w:p>
    <w:p w14:paraId="7DA8BD19">
      <w:pPr>
        <w:pStyle w:val="9"/>
        <w:pageBreakBefore w:val="0"/>
        <w:numPr>
          <w:ilvl w:val="0"/>
          <w:numId w:val="0"/>
        </w:numPr>
        <w:kinsoku/>
        <w:wordWrap/>
        <w:overflowPunct/>
        <w:topLinePunct w:val="0"/>
        <w:autoSpaceDE/>
        <w:autoSpaceDN/>
        <w:bidi w:val="0"/>
        <w:spacing w:after="0" w:line="576" w:lineRule="exact"/>
        <w:ind w:left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en-US" w:eastAsia="zh-CN"/>
        </w:rPr>
      </w:pP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en-US" w:eastAsia="zh-CN"/>
        </w:rPr>
        <w:t>该项不涉及本部门。</w:t>
      </w:r>
    </w:p>
    <w:p w14:paraId="68ABB0FE">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宋体" w:cs="宋体"/>
          <w:color w:val="000000"/>
          <w:kern w:val="0"/>
          <w:szCs w:val="32"/>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（四）绩效结果应用情况</w:t>
      </w:r>
    </w:p>
    <w:p w14:paraId="71FAA8B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shd w:val="clear" w:color="auto" w:fill="FFFFFF"/>
          <w:lang w:eastAsia="zh-CN"/>
        </w:rPr>
      </w:pPr>
      <w:r>
        <w:rPr>
          <w:rFonts w:hint="eastAsia" w:ascii="Times New Roman" w:hAnsi="Times New Roman" w:eastAsia="仿宋" w:cs="Times New Roman"/>
          <w:b w:val="0"/>
          <w:bCs w:val="0"/>
          <w:i w:val="0"/>
          <w:iCs w:val="0"/>
          <w:color w:val="auto"/>
          <w:kern w:val="0"/>
          <w:sz w:val="32"/>
          <w:szCs w:val="32"/>
          <w:u w:val="none"/>
          <w:lang w:val="en-US" w:eastAsia="zh-CN" w:bidi="ar"/>
        </w:rPr>
        <w:t>（1）</w:t>
      </w:r>
      <w:r>
        <w:rPr>
          <w:rFonts w:hint="default" w:ascii="Times New Roman" w:hAnsi="Times New Roman" w:eastAsia="仿宋" w:cs="Times New Roman"/>
          <w:b w:val="0"/>
          <w:bCs w:val="0"/>
          <w:i w:val="0"/>
          <w:iCs w:val="0"/>
          <w:color w:val="auto"/>
          <w:kern w:val="0"/>
          <w:sz w:val="32"/>
          <w:szCs w:val="32"/>
          <w:u w:val="none"/>
          <w:lang w:val="en-US" w:eastAsia="zh-CN" w:bidi="ar"/>
        </w:rPr>
        <w:t>我局对事前绩效评估</w:t>
      </w:r>
      <w:r>
        <w:rPr>
          <w:rFonts w:hint="eastAsia" w:ascii="Times New Roman" w:hAnsi="Times New Roman" w:eastAsia="仿宋" w:cs="Times New Roman"/>
          <w:b w:val="0"/>
          <w:bCs w:val="0"/>
          <w:i w:val="0"/>
          <w:iCs w:val="0"/>
          <w:color w:val="auto"/>
          <w:kern w:val="0"/>
          <w:sz w:val="32"/>
          <w:szCs w:val="32"/>
          <w:u w:val="none"/>
          <w:lang w:val="en-US" w:eastAsia="zh-CN" w:bidi="ar"/>
        </w:rPr>
        <w:t>及</w:t>
      </w:r>
      <w:r>
        <w:rPr>
          <w:rFonts w:hint="default" w:ascii="Times New Roman" w:hAnsi="Times New Roman" w:eastAsia="仿宋" w:cs="Times New Roman"/>
          <w:b w:val="0"/>
          <w:bCs w:val="0"/>
          <w:i w:val="0"/>
          <w:iCs w:val="0"/>
          <w:color w:val="auto"/>
          <w:kern w:val="0"/>
          <w:sz w:val="32"/>
          <w:szCs w:val="32"/>
          <w:u w:val="none"/>
          <w:lang w:val="en-US" w:eastAsia="zh-CN" w:bidi="ar"/>
        </w:rPr>
        <w:t>财政重点绩效评估结果应在预算编制中加以应用。</w:t>
      </w:r>
      <w:r>
        <w:rPr>
          <w:rFonts w:hint="default" w:ascii="Times New Roman" w:hAnsi="Times New Roman" w:eastAsia="仿宋" w:cs="Times New Roman"/>
          <w:b w:val="0"/>
          <w:bCs w:val="0"/>
          <w:i w:val="0"/>
          <w:iCs w:val="0"/>
          <w:caps w:val="0"/>
          <w:color w:val="auto"/>
          <w:spacing w:val="0"/>
          <w:sz w:val="32"/>
          <w:szCs w:val="32"/>
          <w:shd w:val="clear" w:color="auto" w:fill="FFFFFF"/>
        </w:rPr>
        <w:t>积极落实措施</w:t>
      </w:r>
      <w:r>
        <w:rPr>
          <w:rFonts w:hint="default" w:ascii="Times New Roman" w:hAnsi="Times New Roman" w:eastAsia="仿宋" w:cs="Times New Roman"/>
          <w:b w:val="0"/>
          <w:bCs w:val="0"/>
          <w:i w:val="0"/>
          <w:iCs w:val="0"/>
          <w:caps w:val="0"/>
          <w:color w:val="auto"/>
          <w:spacing w:val="0"/>
          <w:sz w:val="32"/>
          <w:szCs w:val="32"/>
          <w:shd w:val="clear" w:color="auto" w:fill="FFFFFF"/>
          <w:lang w:eastAsia="zh-CN"/>
        </w:rPr>
        <w:t>并加强</w:t>
      </w:r>
      <w:r>
        <w:rPr>
          <w:rFonts w:hint="default" w:ascii="Times New Roman" w:hAnsi="Times New Roman" w:eastAsia="仿宋" w:cs="Times New Roman"/>
          <w:b w:val="0"/>
          <w:bCs w:val="0"/>
          <w:i w:val="0"/>
          <w:iCs w:val="0"/>
          <w:caps w:val="0"/>
          <w:color w:val="auto"/>
          <w:spacing w:val="0"/>
          <w:sz w:val="32"/>
          <w:szCs w:val="32"/>
          <w:shd w:val="clear" w:color="auto" w:fill="FFFFFF"/>
        </w:rPr>
        <w:t>针对性完善管理措施，加强对</w:t>
      </w:r>
      <w:r>
        <w:rPr>
          <w:rFonts w:hint="default" w:ascii="Times New Roman" w:hAnsi="Times New Roman" w:eastAsia="仿宋" w:cs="Times New Roman"/>
          <w:b w:val="0"/>
          <w:bCs w:val="0"/>
          <w:i w:val="0"/>
          <w:iCs w:val="0"/>
          <w:caps w:val="0"/>
          <w:color w:val="auto"/>
          <w:spacing w:val="0"/>
          <w:sz w:val="32"/>
          <w:szCs w:val="32"/>
          <w:shd w:val="clear" w:color="auto" w:fill="FFFFFF"/>
          <w:lang w:eastAsia="zh-CN"/>
        </w:rPr>
        <w:t>区财政</w:t>
      </w:r>
      <w:r>
        <w:rPr>
          <w:rFonts w:hint="default" w:ascii="Times New Roman" w:hAnsi="Times New Roman" w:eastAsia="仿宋" w:cs="Times New Roman"/>
          <w:b w:val="0"/>
          <w:bCs w:val="0"/>
          <w:i w:val="0"/>
          <w:iCs w:val="0"/>
          <w:caps w:val="0"/>
          <w:color w:val="auto"/>
          <w:spacing w:val="0"/>
          <w:sz w:val="32"/>
          <w:szCs w:val="32"/>
          <w:shd w:val="clear" w:color="auto" w:fill="FFFFFF"/>
        </w:rPr>
        <w:t>的沟通</w:t>
      </w:r>
      <w:r>
        <w:rPr>
          <w:rFonts w:hint="default" w:ascii="Times New Roman" w:hAnsi="Times New Roman" w:eastAsia="仿宋" w:cs="Times New Roman"/>
          <w:b w:val="0"/>
          <w:bCs w:val="0"/>
          <w:i w:val="0"/>
          <w:iCs w:val="0"/>
          <w:caps w:val="0"/>
          <w:color w:val="auto"/>
          <w:spacing w:val="0"/>
          <w:sz w:val="32"/>
          <w:szCs w:val="32"/>
          <w:shd w:val="clear" w:color="auto" w:fill="FFFFFF"/>
          <w:lang w:eastAsia="zh-CN"/>
        </w:rPr>
        <w:t>衔接</w:t>
      </w:r>
      <w:r>
        <w:rPr>
          <w:rFonts w:hint="default" w:ascii="Times New Roman" w:hAnsi="Times New Roman" w:eastAsia="仿宋" w:cs="Times New Roman"/>
          <w:b w:val="0"/>
          <w:bCs w:val="0"/>
          <w:i w:val="0"/>
          <w:iCs w:val="0"/>
          <w:caps w:val="0"/>
          <w:color w:val="auto"/>
          <w:spacing w:val="0"/>
          <w:sz w:val="32"/>
          <w:szCs w:val="32"/>
          <w:shd w:val="clear" w:color="auto" w:fill="FFFFFF"/>
        </w:rPr>
        <w:t>，提高预算安排的合理性。对发现的问题边评边改，不断予以自我规范;按照评价结果规范管理，深化了管理层级</w:t>
      </w:r>
      <w:r>
        <w:rPr>
          <w:rFonts w:hint="default" w:ascii="Times New Roman" w:hAnsi="Times New Roman" w:eastAsia="仿宋" w:cs="Times New Roman"/>
          <w:b w:val="0"/>
          <w:bCs w:val="0"/>
          <w:i w:val="0"/>
          <w:iCs w:val="0"/>
          <w:caps w:val="0"/>
          <w:color w:val="auto"/>
          <w:spacing w:val="0"/>
          <w:sz w:val="32"/>
          <w:szCs w:val="32"/>
          <w:shd w:val="clear" w:color="auto" w:fill="FFFFFF"/>
          <w:lang w:eastAsia="zh-CN"/>
        </w:rPr>
        <w:t>。</w:t>
      </w:r>
    </w:p>
    <w:p w14:paraId="08EFF86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Times New Roman" w:hAnsi="Times New Roman" w:eastAsia="仿宋" w:cs="Times New Roman"/>
          <w:b w:val="0"/>
          <w:bCs w:val="0"/>
          <w:i w:val="0"/>
          <w:iCs w:val="0"/>
          <w:color w:val="auto"/>
          <w:kern w:val="0"/>
          <w:sz w:val="32"/>
          <w:szCs w:val="32"/>
          <w:u w:val="none"/>
          <w:lang w:val="en-US" w:eastAsia="zh-CN" w:bidi="ar"/>
        </w:rPr>
      </w:pPr>
      <w:r>
        <w:rPr>
          <w:rFonts w:hint="default" w:ascii="Times New Roman" w:hAnsi="Times New Roman" w:eastAsia="仿宋" w:cs="Times New Roman"/>
          <w:b w:val="0"/>
          <w:bCs w:val="0"/>
          <w:i w:val="0"/>
          <w:iCs w:val="0"/>
          <w:color w:val="auto"/>
          <w:kern w:val="0"/>
          <w:sz w:val="32"/>
          <w:szCs w:val="32"/>
          <w:u w:val="none"/>
          <w:lang w:val="en-US" w:eastAsia="zh-CN" w:bidi="ar"/>
        </w:rPr>
        <w:t>（2）绩效目标审核结果。未发现问题</w:t>
      </w:r>
      <w:r>
        <w:rPr>
          <w:rFonts w:hint="eastAsia" w:ascii="Times New Roman" w:hAnsi="Times New Roman" w:eastAsia="仿宋" w:cs="Times New Roman"/>
          <w:b w:val="0"/>
          <w:bCs w:val="0"/>
          <w:i w:val="0"/>
          <w:iCs w:val="0"/>
          <w:color w:val="auto"/>
          <w:kern w:val="0"/>
          <w:sz w:val="32"/>
          <w:szCs w:val="32"/>
          <w:u w:val="none"/>
          <w:lang w:val="en-US" w:eastAsia="zh-CN" w:bidi="ar"/>
        </w:rPr>
        <w:t>。</w:t>
      </w:r>
    </w:p>
    <w:p w14:paraId="790C79C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default" w:ascii="Times New Roman" w:hAnsi="Times New Roman" w:eastAsia="仿宋" w:cs="Times New Roman"/>
          <w:b w:val="0"/>
          <w:bCs w:val="0"/>
          <w:i w:val="0"/>
          <w:iCs w:val="0"/>
          <w:color w:val="auto"/>
          <w:kern w:val="0"/>
          <w:sz w:val="32"/>
          <w:szCs w:val="32"/>
          <w:u w:val="none"/>
          <w:lang w:val="en-US" w:eastAsia="zh-CN" w:bidi="ar"/>
        </w:rPr>
      </w:pPr>
      <w:r>
        <w:rPr>
          <w:rFonts w:hint="default" w:ascii="Times New Roman" w:hAnsi="Times New Roman" w:eastAsia="仿宋" w:cs="Times New Roman"/>
          <w:b w:val="0"/>
          <w:bCs w:val="0"/>
          <w:i w:val="0"/>
          <w:iCs w:val="0"/>
          <w:color w:val="auto"/>
          <w:kern w:val="0"/>
          <w:sz w:val="32"/>
          <w:szCs w:val="32"/>
          <w:u w:val="none"/>
          <w:lang w:val="en-US" w:eastAsia="zh-CN" w:bidi="ar"/>
        </w:rPr>
        <w:t>（3）绩效运行监控绩效运行监控中未发现无法完成的绩效目标及其他问题。</w:t>
      </w:r>
    </w:p>
    <w:p w14:paraId="387AB6A0">
      <w:pPr>
        <w:pageBreakBefore w:val="0"/>
        <w:kinsoku/>
        <w:wordWrap/>
        <w:overflowPunct/>
        <w:topLinePunct w:val="0"/>
        <w:autoSpaceDE/>
        <w:autoSpaceDN/>
        <w:bidi w:val="0"/>
        <w:spacing w:line="576" w:lineRule="exact"/>
        <w:ind w:firstLine="640" w:firstLineChars="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i w:val="0"/>
          <w:iCs w:val="0"/>
          <w:color w:val="auto"/>
          <w:kern w:val="0"/>
          <w:sz w:val="32"/>
          <w:szCs w:val="32"/>
          <w:u w:val="none"/>
          <w:lang w:val="en-US" w:eastAsia="zh-CN" w:bidi="ar"/>
        </w:rPr>
        <w:t>（4）事后绩效评价结果应用。财政开展部门整体支出、财政政策、项目重点绩效评价提出问题均开展了整改。一是</w:t>
      </w:r>
      <w:r>
        <w:rPr>
          <w:rFonts w:hint="default" w:ascii="Times New Roman" w:hAnsi="Times New Roman" w:eastAsia="仿宋" w:cs="Times New Roman"/>
          <w:b w:val="0"/>
          <w:bCs w:val="0"/>
          <w:color w:val="auto"/>
          <w:sz w:val="32"/>
          <w:szCs w:val="32"/>
          <w:lang w:val="en-US" w:eastAsia="zh-CN"/>
        </w:rPr>
        <w:t>202</w:t>
      </w:r>
      <w:r>
        <w:rPr>
          <w:rFonts w:hint="eastAsia" w:eastAsia="仿宋" w:cs="Times New Roman"/>
          <w:b w:val="0"/>
          <w:bCs w:val="0"/>
          <w:color w:val="auto"/>
          <w:sz w:val="32"/>
          <w:szCs w:val="32"/>
          <w:lang w:val="en-US" w:eastAsia="zh-CN"/>
        </w:rPr>
        <w:t>3</w:t>
      </w:r>
      <w:r>
        <w:rPr>
          <w:rFonts w:hint="default" w:ascii="Times New Roman" w:hAnsi="Times New Roman" w:eastAsia="仿宋" w:cs="Times New Roman"/>
          <w:b w:val="0"/>
          <w:bCs w:val="0"/>
          <w:color w:val="auto"/>
          <w:sz w:val="32"/>
          <w:szCs w:val="32"/>
          <w:lang w:val="en-US" w:eastAsia="zh-CN"/>
        </w:rPr>
        <w:t>年我局更加</w:t>
      </w:r>
      <w:r>
        <w:rPr>
          <w:rFonts w:hint="default" w:ascii="Times New Roman" w:hAnsi="Times New Roman" w:eastAsia="仿宋" w:cs="Times New Roman"/>
          <w:b w:val="0"/>
          <w:bCs w:val="0"/>
          <w:color w:val="auto"/>
          <w:sz w:val="32"/>
          <w:szCs w:val="32"/>
        </w:rPr>
        <w:t>重视预算绩效管理，落实绩效相关工作。加强部门绩效目标管理，预算编制应加强精细化管理，确保测算依据充分，预算执行符合度高。</w:t>
      </w:r>
      <w:r>
        <w:rPr>
          <w:rFonts w:hint="default" w:ascii="Times New Roman" w:hAnsi="Times New Roman" w:eastAsia="仿宋" w:cs="Times New Roman"/>
          <w:b w:val="0"/>
          <w:bCs w:val="0"/>
          <w:color w:val="auto"/>
          <w:sz w:val="32"/>
          <w:szCs w:val="32"/>
          <w:lang w:eastAsia="zh-CN"/>
        </w:rPr>
        <w:t>二是</w:t>
      </w:r>
      <w:r>
        <w:rPr>
          <w:rFonts w:hint="default" w:ascii="Times New Roman" w:hAnsi="Times New Roman" w:eastAsia="仿宋" w:cs="Times New Roman"/>
          <w:b w:val="0"/>
          <w:bCs w:val="0"/>
          <w:color w:val="auto"/>
          <w:sz w:val="32"/>
          <w:szCs w:val="32"/>
        </w:rPr>
        <w:t>提高预算编制准确性</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预算金额应结合上年结转情况和上级专项资金下达情况准确编制，避免出现较多的指标调减。加强预算执行管理，根据实际情况定期做好预算执行分析，掌握预算执行进度，及时找出预算实际执行情况与预算绩效目标之间存在的差异，采取有效措施纠正偏差，提高预算执行的时效性和均衡性，同时为下一年度准确地编制部门预算积累经验。</w:t>
      </w:r>
    </w:p>
    <w:p w14:paraId="04565890">
      <w:pPr>
        <w:pStyle w:val="5"/>
        <w:pageBreakBefore w:val="0"/>
        <w:numPr>
          <w:ilvl w:val="0"/>
          <w:numId w:val="0"/>
        </w:numPr>
        <w:kinsoku/>
        <w:wordWrap/>
        <w:overflowPunct/>
        <w:topLinePunct w:val="0"/>
        <w:autoSpaceDE/>
        <w:autoSpaceDN/>
        <w:bidi w:val="0"/>
        <w:spacing w:line="576" w:lineRule="exact"/>
        <w:ind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i w:val="0"/>
          <w:iCs w:val="0"/>
          <w:color w:val="auto"/>
          <w:kern w:val="0"/>
          <w:sz w:val="32"/>
          <w:szCs w:val="32"/>
          <w:u w:val="none"/>
          <w:lang w:val="en-US" w:eastAsia="zh-CN" w:bidi="ar"/>
        </w:rPr>
        <w:t>绩效信息公开。</w:t>
      </w:r>
      <w:r>
        <w:rPr>
          <w:rFonts w:hint="default" w:ascii="Times New Roman" w:hAnsi="Times New Roman" w:eastAsia="仿宋" w:cs="Times New Roman"/>
          <w:b w:val="0"/>
          <w:bCs w:val="0"/>
          <w:i w:val="0"/>
          <w:iCs w:val="0"/>
          <w:caps w:val="0"/>
          <w:color w:val="auto"/>
          <w:spacing w:val="0"/>
          <w:sz w:val="32"/>
          <w:szCs w:val="32"/>
          <w:shd w:val="clear" w:color="auto" w:fill="FFFFFF"/>
        </w:rPr>
        <w:t>我单位在政府网站上</w:t>
      </w:r>
      <w:r>
        <w:rPr>
          <w:rFonts w:hint="default" w:ascii="Times New Roman" w:hAnsi="Times New Roman" w:eastAsia="仿宋" w:cs="Times New Roman"/>
          <w:b w:val="0"/>
          <w:bCs w:val="0"/>
          <w:i w:val="0"/>
          <w:iCs w:val="0"/>
          <w:color w:val="auto"/>
          <w:kern w:val="0"/>
          <w:sz w:val="32"/>
          <w:szCs w:val="32"/>
          <w:u w:val="none"/>
          <w:lang w:val="en-US" w:eastAsia="zh-CN" w:bidi="ar"/>
        </w:rPr>
        <w:t>按规定将绩效目标完成情况、部门整体支出绩效自评报告等内容随202</w:t>
      </w:r>
      <w:r>
        <w:rPr>
          <w:rFonts w:hint="eastAsia" w:eastAsia="仿宋" w:cs="Times New Roman"/>
          <w:b w:val="0"/>
          <w:bCs w:val="0"/>
          <w:i w:val="0"/>
          <w:iCs w:val="0"/>
          <w:color w:val="auto"/>
          <w:kern w:val="0"/>
          <w:sz w:val="32"/>
          <w:szCs w:val="32"/>
          <w:u w:val="none"/>
          <w:lang w:val="en-US" w:eastAsia="zh-CN" w:bidi="ar"/>
        </w:rPr>
        <w:t>3</w:t>
      </w:r>
      <w:r>
        <w:rPr>
          <w:rFonts w:hint="default" w:ascii="Times New Roman" w:hAnsi="Times New Roman" w:eastAsia="仿宋" w:cs="Times New Roman"/>
          <w:b w:val="0"/>
          <w:bCs w:val="0"/>
          <w:i w:val="0"/>
          <w:iCs w:val="0"/>
          <w:color w:val="auto"/>
          <w:kern w:val="0"/>
          <w:sz w:val="32"/>
          <w:szCs w:val="32"/>
          <w:u w:val="none"/>
          <w:lang w:val="en-US" w:eastAsia="zh-CN" w:bidi="ar"/>
        </w:rPr>
        <w:t>年部门年终决算同步公开。</w:t>
      </w:r>
      <w:r>
        <w:rPr>
          <w:rFonts w:hint="default" w:ascii="Times New Roman" w:hAnsi="Times New Roman" w:eastAsia="仿宋" w:cs="Times New Roman"/>
          <w:b w:val="0"/>
          <w:bCs w:val="0"/>
          <w:i w:val="0"/>
          <w:iCs w:val="0"/>
          <w:caps w:val="0"/>
          <w:color w:val="auto"/>
          <w:spacing w:val="0"/>
          <w:sz w:val="32"/>
          <w:szCs w:val="32"/>
          <w:shd w:val="clear" w:color="auto" w:fill="FFFFFF"/>
        </w:rPr>
        <w:t>实现绩效信息公开全覆盖。</w:t>
      </w:r>
    </w:p>
    <w:p w14:paraId="690D8998">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14:paraId="26F9A2D4">
      <w:pPr>
        <w:pageBreakBefore w:val="0"/>
        <w:kinsoku/>
        <w:wordWrap/>
        <w:overflowPunct/>
        <w:topLinePunct w:val="0"/>
        <w:autoSpaceDE/>
        <w:autoSpaceDN/>
        <w:bidi w:val="0"/>
        <w:spacing w:line="576" w:lineRule="exact"/>
        <w:ind w:firstLine="640"/>
        <w:textAlignment w:val="auto"/>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w:t>
      </w:r>
    </w:p>
    <w:p w14:paraId="713A108C">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 w:cs="Times New Roman"/>
          <w:b w:val="0"/>
          <w:bCs w:val="0"/>
          <w:i w:val="0"/>
          <w:iCs w:val="0"/>
          <w:caps w:val="0"/>
          <w:color w:val="333333"/>
          <w:spacing w:val="0"/>
          <w:sz w:val="32"/>
          <w:szCs w:val="32"/>
          <w:shd w:val="clear" w:color="auto" w:fill="FFFFFF"/>
          <w:lang w:eastAsia="zh-CN"/>
        </w:rPr>
      </w:pPr>
      <w:r>
        <w:rPr>
          <w:rFonts w:hint="eastAsia"/>
        </w:rPr>
        <w:t>部门整体支出绩效自评较为准确。</w:t>
      </w:r>
      <w:r>
        <w:rPr>
          <w:rFonts w:hint="eastAsia"/>
          <w:lang w:eastAsia="zh-CN"/>
        </w:rPr>
        <w:t>自评得分</w:t>
      </w:r>
      <w:r>
        <w:rPr>
          <w:rFonts w:hint="eastAsia"/>
          <w:lang w:val="en-US" w:eastAsia="zh-CN"/>
        </w:rPr>
        <w:t>100分。</w:t>
      </w:r>
      <w:r>
        <w:rPr>
          <w:rFonts w:hint="eastAsia" w:ascii="Times New Roman" w:hAnsi="Times New Roman" w:eastAsia="方正仿宋简体" w:cs="Times New Roman"/>
          <w:b w:val="0"/>
          <w:bCs w:val="0"/>
          <w:color w:val="auto"/>
          <w:kern w:val="0"/>
          <w:sz w:val="32"/>
          <w:szCs w:val="32"/>
          <w:u w:val="none"/>
          <w:lang w:val="en-US" w:eastAsia="zh-CN" w:bidi="ar"/>
        </w:rPr>
        <w:t>1.</w:t>
      </w:r>
      <w:r>
        <w:rPr>
          <w:rFonts w:hint="default" w:ascii="Times New Roman" w:hAnsi="Times New Roman" w:eastAsia="仿宋" w:cs="Times New Roman"/>
          <w:b w:val="0"/>
          <w:bCs w:val="0"/>
          <w:i w:val="0"/>
          <w:iCs w:val="0"/>
          <w:caps w:val="0"/>
          <w:color w:val="333333"/>
          <w:spacing w:val="0"/>
          <w:sz w:val="32"/>
          <w:szCs w:val="32"/>
          <w:shd w:val="clear" w:color="auto" w:fill="FFFFFF"/>
        </w:rPr>
        <w:t>管理意识增强，资金使用和管理逐年规范</w:t>
      </w:r>
      <w:r>
        <w:rPr>
          <w:rFonts w:hint="eastAsia" w:ascii="Times New Roman" w:hAnsi="Times New Roman" w:eastAsia="仿宋" w:cs="Times New Roman"/>
          <w:b w:val="0"/>
          <w:bCs w:val="0"/>
          <w:i w:val="0"/>
          <w:iCs w:val="0"/>
          <w:caps w:val="0"/>
          <w:color w:val="333333"/>
          <w:spacing w:val="0"/>
          <w:sz w:val="32"/>
          <w:szCs w:val="32"/>
          <w:shd w:val="clear" w:color="auto" w:fill="FFFFFF"/>
          <w:lang w:eastAsia="zh-CN"/>
        </w:rPr>
        <w:t>；</w:t>
      </w:r>
      <w:r>
        <w:rPr>
          <w:rFonts w:hint="eastAsia" w:ascii="Times New Roman" w:hAnsi="Times New Roman" w:eastAsia="仿宋" w:cs="Times New Roman"/>
          <w:b w:val="0"/>
          <w:bCs w:val="0"/>
          <w:i w:val="0"/>
          <w:iCs w:val="0"/>
          <w:caps w:val="0"/>
          <w:color w:val="333333"/>
          <w:spacing w:val="0"/>
          <w:sz w:val="32"/>
          <w:szCs w:val="32"/>
          <w:shd w:val="clear" w:color="auto" w:fill="FFFFFF"/>
          <w:lang w:val="en-US" w:eastAsia="zh-CN"/>
        </w:rPr>
        <w:t>2</w:t>
      </w:r>
      <w:r>
        <w:rPr>
          <w:rFonts w:hint="eastAsia" w:ascii="Times New Roman" w:hAnsi="Times New Roman" w:eastAsia="仿宋"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仿宋" w:cs="Times New Roman"/>
          <w:b w:val="0"/>
          <w:bCs w:val="0"/>
          <w:i w:val="0"/>
          <w:iCs w:val="0"/>
          <w:caps w:val="0"/>
          <w:color w:val="333333"/>
          <w:spacing w:val="0"/>
          <w:sz w:val="32"/>
          <w:szCs w:val="32"/>
          <w:shd w:val="clear" w:color="auto" w:fill="FFFFFF"/>
        </w:rPr>
        <w:t>绩效意识进一步增强，项目完成情况总体较好</w:t>
      </w:r>
      <w:r>
        <w:rPr>
          <w:rFonts w:hint="eastAsia" w:ascii="Times New Roman" w:hAnsi="Times New Roman" w:eastAsia="仿宋" w:cs="Times New Roman"/>
          <w:b w:val="0"/>
          <w:bCs w:val="0"/>
          <w:i w:val="0"/>
          <w:iCs w:val="0"/>
          <w:caps w:val="0"/>
          <w:color w:val="333333"/>
          <w:spacing w:val="0"/>
          <w:sz w:val="32"/>
          <w:szCs w:val="32"/>
          <w:shd w:val="clear" w:color="auto" w:fill="FFFFFF"/>
          <w:lang w:eastAsia="zh-CN"/>
        </w:rPr>
        <w:t>；</w:t>
      </w:r>
      <w:r>
        <w:rPr>
          <w:rFonts w:hint="eastAsia" w:ascii="Times New Roman" w:hAnsi="Times New Roman" w:eastAsia="仿宋" w:cs="Times New Roman"/>
          <w:b w:val="0"/>
          <w:bCs w:val="0"/>
          <w:i w:val="0"/>
          <w:iCs w:val="0"/>
          <w:caps w:val="0"/>
          <w:color w:val="333333"/>
          <w:spacing w:val="0"/>
          <w:sz w:val="32"/>
          <w:szCs w:val="32"/>
          <w:shd w:val="clear" w:color="auto" w:fill="FFFFFF"/>
          <w:lang w:val="en-US" w:eastAsia="zh-CN"/>
        </w:rPr>
        <w:t>3</w:t>
      </w:r>
      <w:r>
        <w:rPr>
          <w:rFonts w:hint="eastAsia" w:ascii="Times New Roman" w:hAnsi="Times New Roman" w:eastAsia="仿宋"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仿宋" w:cs="Times New Roman"/>
          <w:b w:val="0"/>
          <w:bCs w:val="0"/>
          <w:i w:val="0"/>
          <w:iCs w:val="0"/>
          <w:caps w:val="0"/>
          <w:color w:val="333333"/>
          <w:spacing w:val="0"/>
          <w:sz w:val="32"/>
          <w:szCs w:val="32"/>
          <w:shd w:val="clear" w:color="auto" w:fill="FFFFFF"/>
        </w:rPr>
        <w:t>评价结果应用逐步深化</w:t>
      </w:r>
      <w:r>
        <w:rPr>
          <w:rFonts w:hint="eastAsia" w:ascii="Times New Roman" w:hAnsi="Times New Roman" w:eastAsia="仿宋" w:cs="Times New Roman"/>
          <w:b w:val="0"/>
          <w:bCs w:val="0"/>
          <w:i w:val="0"/>
          <w:iCs w:val="0"/>
          <w:caps w:val="0"/>
          <w:color w:val="333333"/>
          <w:spacing w:val="0"/>
          <w:sz w:val="32"/>
          <w:szCs w:val="32"/>
          <w:shd w:val="clear" w:color="auto" w:fill="FFFFFF"/>
          <w:lang w:eastAsia="zh-CN"/>
        </w:rPr>
        <w:t>；</w:t>
      </w:r>
      <w:r>
        <w:rPr>
          <w:rFonts w:hint="eastAsia" w:ascii="Times New Roman" w:hAnsi="Times New Roman" w:eastAsia="仿宋" w:cs="Times New Roman"/>
          <w:b w:val="0"/>
          <w:bCs w:val="0"/>
          <w:i w:val="0"/>
          <w:iCs w:val="0"/>
          <w:caps w:val="0"/>
          <w:color w:val="333333"/>
          <w:spacing w:val="0"/>
          <w:sz w:val="32"/>
          <w:szCs w:val="32"/>
          <w:shd w:val="clear" w:color="auto" w:fill="FFFFFF"/>
          <w:lang w:val="en-US" w:eastAsia="zh-CN"/>
        </w:rPr>
        <w:t>4.</w:t>
      </w:r>
      <w:r>
        <w:rPr>
          <w:rFonts w:hint="default" w:ascii="Times New Roman" w:hAnsi="Times New Roman" w:eastAsia="仿宋" w:cs="Times New Roman"/>
          <w:b w:val="0"/>
          <w:bCs w:val="0"/>
          <w:i w:val="0"/>
          <w:iCs w:val="0"/>
          <w:caps w:val="0"/>
          <w:color w:val="333333"/>
          <w:spacing w:val="0"/>
          <w:sz w:val="32"/>
          <w:szCs w:val="32"/>
          <w:shd w:val="clear" w:color="auto" w:fill="FFFFFF"/>
        </w:rPr>
        <w:t>项目成本分析范围进一步拓展</w:t>
      </w:r>
      <w:r>
        <w:rPr>
          <w:rFonts w:hint="eastAsia" w:ascii="Times New Roman" w:hAnsi="Times New Roman" w:eastAsia="仿宋" w:cs="Times New Roman"/>
          <w:b w:val="0"/>
          <w:bCs w:val="0"/>
          <w:i w:val="0"/>
          <w:iCs w:val="0"/>
          <w:caps w:val="0"/>
          <w:color w:val="333333"/>
          <w:spacing w:val="0"/>
          <w:sz w:val="32"/>
          <w:szCs w:val="32"/>
          <w:shd w:val="clear" w:color="auto" w:fill="FFFFFF"/>
          <w:lang w:eastAsia="zh-CN"/>
        </w:rPr>
        <w:t>。</w:t>
      </w:r>
    </w:p>
    <w:p w14:paraId="694C8997">
      <w:pPr>
        <w:pageBreakBefore w:val="0"/>
        <w:widowControl/>
        <w:numPr>
          <w:ilvl w:val="0"/>
          <w:numId w:val="5"/>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存在问题</w:t>
      </w:r>
    </w:p>
    <w:p w14:paraId="5725F9E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76" w:lineRule="exact"/>
        <w:ind w:right="0"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i w:val="0"/>
          <w:iCs w:val="0"/>
          <w:caps w:val="0"/>
          <w:color w:val="333333"/>
          <w:spacing w:val="0"/>
          <w:sz w:val="32"/>
          <w:szCs w:val="32"/>
          <w:shd w:val="clear" w:color="auto" w:fill="FFFFFF"/>
        </w:rPr>
        <w:t>202</w:t>
      </w:r>
      <w:r>
        <w:rPr>
          <w:rFonts w:hint="eastAsia" w:eastAsia="仿宋" w:cs="Times New Roman"/>
          <w:i w:val="0"/>
          <w:iCs w:val="0"/>
          <w:caps w:val="0"/>
          <w:color w:val="333333"/>
          <w:spacing w:val="0"/>
          <w:sz w:val="32"/>
          <w:szCs w:val="32"/>
          <w:shd w:val="clear" w:color="auto" w:fill="FFFFFF"/>
          <w:lang w:val="en-US" w:eastAsia="zh-CN"/>
        </w:rPr>
        <w:t>3</w:t>
      </w:r>
      <w:r>
        <w:rPr>
          <w:rFonts w:hint="default" w:ascii="Times New Roman" w:hAnsi="Times New Roman" w:eastAsia="仿宋" w:cs="Times New Roman"/>
          <w:i w:val="0"/>
          <w:iCs w:val="0"/>
          <w:caps w:val="0"/>
          <w:color w:val="333333"/>
          <w:spacing w:val="0"/>
          <w:sz w:val="32"/>
          <w:szCs w:val="32"/>
          <w:shd w:val="clear" w:color="auto" w:fill="FFFFFF"/>
        </w:rPr>
        <w:t>年绩效评价反映总体情况较好，但也发现了一些问题和不足:一是部分项目管理和支出绩效水平仍有提升的空间。在评价中发现，少数项目管理深度不够，管理机制与业务开展不相匹配，财政资金的使用绩效有待进一步提高。二是业务开展与预算编制、执行衔接不够紧密，部分项目预算执行率低，按照财政加快预算支出执行率的有关要求，评价项目的总体预算执行率较往年逐步提高，但依然有少数项目存在预算执行率偏低的问题。</w:t>
      </w:r>
    </w:p>
    <w:p w14:paraId="0FE4ADD9">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（三）改进建议</w:t>
      </w:r>
    </w:p>
    <w:p w14:paraId="7298FF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76" w:lineRule="exact"/>
        <w:ind w:left="0" w:leftChars="0" w:right="0" w:firstLine="640" w:firstLineChars="200"/>
        <w:jc w:val="left"/>
        <w:textAlignment w:val="auto"/>
        <w:rPr>
          <w:rFonts w:hint="eastAsia" w:ascii="仿宋" w:hAnsi="仿宋" w:eastAsia="仿宋" w:cs="仿宋"/>
          <w:b w:val="0"/>
          <w:bCs w:val="0"/>
          <w:i w:val="0"/>
          <w:iCs w:val="0"/>
          <w:caps w:val="0"/>
          <w:color w:val="333333"/>
          <w:spacing w:val="0"/>
          <w:sz w:val="32"/>
          <w:szCs w:val="32"/>
          <w:shd w:val="clear" w:color="auto" w:fill="FFFFFF"/>
          <w:lang w:eastAsia="zh-CN"/>
        </w:rPr>
      </w:pPr>
      <w:r>
        <w:rPr>
          <w:rFonts w:hint="eastAsia" w:ascii="仿宋" w:hAnsi="仿宋" w:eastAsia="仿宋" w:cs="仿宋"/>
          <w:b w:val="0"/>
          <w:bCs w:val="0"/>
          <w:i w:val="0"/>
          <w:iCs w:val="0"/>
          <w:caps w:val="0"/>
          <w:color w:val="333333"/>
          <w:spacing w:val="0"/>
          <w:sz w:val="32"/>
          <w:szCs w:val="32"/>
          <w:lang w:val="en-US" w:eastAsia="zh-CN"/>
        </w:rPr>
        <w:t>1、</w:t>
      </w:r>
      <w:r>
        <w:rPr>
          <w:rFonts w:hint="eastAsia" w:ascii="仿宋" w:hAnsi="仿宋" w:eastAsia="仿宋" w:cs="仿宋"/>
          <w:b w:val="0"/>
          <w:bCs w:val="0"/>
          <w:i w:val="0"/>
          <w:iCs w:val="0"/>
          <w:caps w:val="0"/>
          <w:color w:val="auto"/>
          <w:spacing w:val="0"/>
          <w:sz w:val="32"/>
          <w:szCs w:val="32"/>
          <w:u w:val="none"/>
          <w:shd w:val="clear" w:color="auto" w:fill="FFFFFF"/>
        </w:rPr>
        <w:t>加强监督，积极整改到位</w:t>
      </w:r>
    </w:p>
    <w:p w14:paraId="7BD00D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76" w:lineRule="exact"/>
        <w:ind w:left="0" w:leftChars="0" w:right="0" w:firstLine="640" w:firstLineChars="200"/>
        <w:jc w:val="left"/>
        <w:textAlignment w:val="auto"/>
        <w:rPr>
          <w:rFonts w:hint="default" w:ascii="Times New Roman" w:hAnsi="Times New Roman" w:eastAsia="仿宋" w:cs="Times New Roman"/>
          <w:i w:val="0"/>
          <w:iCs w:val="0"/>
          <w:caps w:val="0"/>
          <w:color w:val="333333"/>
          <w:spacing w:val="0"/>
          <w:sz w:val="32"/>
          <w:szCs w:val="32"/>
          <w:shd w:val="clear" w:color="auto" w:fill="FFFFFF"/>
          <w:lang w:eastAsia="zh-CN"/>
        </w:rPr>
      </w:pPr>
      <w:r>
        <w:rPr>
          <w:rFonts w:hint="default" w:ascii="Times New Roman" w:hAnsi="Times New Roman" w:eastAsia="仿宋" w:cs="Times New Roman"/>
          <w:i w:val="0"/>
          <w:iCs w:val="0"/>
          <w:caps w:val="0"/>
          <w:color w:val="333333"/>
          <w:spacing w:val="0"/>
          <w:sz w:val="32"/>
          <w:szCs w:val="32"/>
          <w:shd w:val="clear" w:color="auto" w:fill="FFFFFF"/>
        </w:rPr>
        <w:t>按规定，预算单位应在收到绩效评价和绩效跟踪结果后的3月内落实整改，涉及违规的限期纠正，</w:t>
      </w:r>
      <w:r>
        <w:rPr>
          <w:rFonts w:hint="default" w:ascii="Times New Roman" w:hAnsi="Times New Roman" w:eastAsia="仿宋" w:cs="Times New Roman"/>
          <w:i w:val="0"/>
          <w:iCs w:val="0"/>
          <w:caps w:val="0"/>
          <w:color w:val="333333"/>
          <w:spacing w:val="0"/>
          <w:sz w:val="32"/>
          <w:szCs w:val="32"/>
          <w:shd w:val="clear" w:color="auto" w:fill="FFFFFF"/>
          <w:lang w:eastAsia="zh-CN"/>
        </w:rPr>
        <w:t>我局</w:t>
      </w:r>
      <w:r>
        <w:rPr>
          <w:rFonts w:hint="default" w:ascii="Times New Roman" w:hAnsi="Times New Roman" w:eastAsia="仿宋" w:cs="Times New Roman"/>
          <w:i w:val="0"/>
          <w:iCs w:val="0"/>
          <w:caps w:val="0"/>
          <w:color w:val="333333"/>
          <w:spacing w:val="0"/>
          <w:sz w:val="32"/>
          <w:szCs w:val="32"/>
          <w:shd w:val="clear" w:color="auto" w:fill="FFFFFF"/>
        </w:rPr>
        <w:t>将</w:t>
      </w:r>
      <w:r>
        <w:rPr>
          <w:rFonts w:hint="default" w:ascii="Times New Roman" w:hAnsi="Times New Roman" w:eastAsia="仿宋" w:cs="Times New Roman"/>
          <w:i w:val="0"/>
          <w:iCs w:val="0"/>
          <w:caps w:val="0"/>
          <w:color w:val="333333"/>
          <w:spacing w:val="0"/>
          <w:sz w:val="32"/>
          <w:szCs w:val="32"/>
          <w:shd w:val="clear" w:color="auto" w:fill="FFFFFF"/>
          <w:lang w:eastAsia="zh-CN"/>
        </w:rPr>
        <w:t>在区财政局和督促下</w:t>
      </w:r>
      <w:r>
        <w:rPr>
          <w:rFonts w:hint="default" w:ascii="Times New Roman" w:hAnsi="Times New Roman" w:eastAsia="仿宋" w:cs="Times New Roman"/>
          <w:i w:val="0"/>
          <w:iCs w:val="0"/>
          <w:caps w:val="0"/>
          <w:color w:val="333333"/>
          <w:spacing w:val="0"/>
          <w:sz w:val="32"/>
          <w:szCs w:val="32"/>
          <w:shd w:val="clear" w:color="auto" w:fill="FFFFFF"/>
        </w:rPr>
        <w:t>积极照问题按时落实整改，并对202</w:t>
      </w:r>
      <w:r>
        <w:rPr>
          <w:rFonts w:hint="eastAsia" w:ascii="Times New Roman" w:hAnsi="Times New Roman" w:eastAsia="仿宋" w:cs="Times New Roman"/>
          <w:i w:val="0"/>
          <w:iCs w:val="0"/>
          <w:caps w:val="0"/>
          <w:color w:val="333333"/>
          <w:spacing w:val="0"/>
          <w:sz w:val="32"/>
          <w:szCs w:val="32"/>
          <w:shd w:val="clear" w:color="auto" w:fill="FFFFFF"/>
          <w:lang w:val="en-US" w:eastAsia="zh-CN"/>
        </w:rPr>
        <w:t>3</w:t>
      </w:r>
      <w:r>
        <w:rPr>
          <w:rFonts w:hint="default" w:ascii="Times New Roman" w:hAnsi="Times New Roman" w:eastAsia="仿宋" w:cs="Times New Roman"/>
          <w:i w:val="0"/>
          <w:iCs w:val="0"/>
          <w:caps w:val="0"/>
          <w:color w:val="333333"/>
          <w:spacing w:val="0"/>
          <w:sz w:val="32"/>
          <w:szCs w:val="32"/>
          <w:shd w:val="clear" w:color="auto" w:fill="FFFFFF"/>
        </w:rPr>
        <w:t>年部门预算编制的相应内容进行调整。从机制上加强管理，着力从源头上提高财政资金绩效</w:t>
      </w:r>
      <w:r>
        <w:rPr>
          <w:rFonts w:hint="default" w:ascii="Times New Roman" w:hAnsi="Times New Roman" w:eastAsia="仿宋" w:cs="Times New Roman"/>
          <w:i w:val="0"/>
          <w:iCs w:val="0"/>
          <w:caps w:val="0"/>
          <w:color w:val="333333"/>
          <w:spacing w:val="0"/>
          <w:sz w:val="32"/>
          <w:szCs w:val="32"/>
          <w:shd w:val="clear" w:color="auto" w:fill="FFFFFF"/>
          <w:lang w:eastAsia="zh-CN"/>
        </w:rPr>
        <w:t>。</w:t>
      </w:r>
    </w:p>
    <w:p w14:paraId="4D790C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76" w:lineRule="exact"/>
        <w:ind w:left="630" w:leftChars="0" w:right="0" w:rightChars="0"/>
        <w:jc w:val="left"/>
        <w:textAlignment w:val="auto"/>
        <w:rPr>
          <w:rFonts w:hint="eastAsia" w:ascii="仿宋" w:hAnsi="仿宋" w:eastAsia="仿宋" w:cs="仿宋"/>
          <w:b w:val="0"/>
          <w:bCs w:val="0"/>
          <w:i w:val="0"/>
          <w:iCs w:val="0"/>
          <w:caps w:val="0"/>
          <w:color w:val="333333"/>
          <w:spacing w:val="0"/>
          <w:sz w:val="32"/>
          <w:szCs w:val="32"/>
          <w:shd w:val="clear" w:color="auto" w:fill="FFFFFF"/>
        </w:rPr>
      </w:pPr>
      <w:r>
        <w:rPr>
          <w:rFonts w:hint="eastAsia" w:ascii="仿宋" w:hAnsi="仿宋" w:eastAsia="仿宋" w:cs="仿宋"/>
          <w:b w:val="0"/>
          <w:bCs w:val="0"/>
          <w:i w:val="0"/>
          <w:iCs w:val="0"/>
          <w:caps w:val="0"/>
          <w:color w:val="auto"/>
          <w:spacing w:val="0"/>
          <w:sz w:val="32"/>
          <w:szCs w:val="32"/>
          <w:u w:val="none"/>
          <w:shd w:val="clear" w:color="auto" w:fill="FFFFFF"/>
          <w:lang w:val="en-US" w:eastAsia="zh-CN"/>
        </w:rPr>
        <w:t>2、</w:t>
      </w:r>
      <w:r>
        <w:rPr>
          <w:rFonts w:hint="eastAsia" w:ascii="仿宋" w:hAnsi="仿宋" w:eastAsia="仿宋" w:cs="仿宋"/>
          <w:b w:val="0"/>
          <w:bCs w:val="0"/>
          <w:i w:val="0"/>
          <w:iCs w:val="0"/>
          <w:caps w:val="0"/>
          <w:color w:val="auto"/>
          <w:spacing w:val="0"/>
          <w:sz w:val="32"/>
          <w:szCs w:val="32"/>
          <w:u w:val="none"/>
          <w:shd w:val="clear" w:color="auto" w:fill="FFFFFF"/>
        </w:rPr>
        <w:t>细化管理，提高评价结果应用水平</w:t>
      </w:r>
    </w:p>
    <w:p w14:paraId="7E833F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76" w:lineRule="exact"/>
        <w:ind w:right="0" w:firstLine="640" w:firstLineChars="200"/>
        <w:jc w:val="left"/>
        <w:textAlignment w:val="auto"/>
        <w:rPr>
          <w:rFonts w:hint="default" w:ascii="Times New Roman" w:hAnsi="Times New Roman" w:eastAsia="仿宋" w:cs="Times New Roman"/>
          <w:i w:val="0"/>
          <w:iCs w:val="0"/>
          <w:caps w:val="0"/>
          <w:color w:val="333333"/>
          <w:spacing w:val="0"/>
          <w:sz w:val="32"/>
          <w:szCs w:val="32"/>
          <w:shd w:val="clear" w:color="auto" w:fill="FFFFFF"/>
        </w:rPr>
      </w:pPr>
      <w:r>
        <w:rPr>
          <w:rFonts w:hint="default" w:ascii="Times New Roman" w:hAnsi="Times New Roman" w:eastAsia="仿宋" w:cs="Times New Roman"/>
          <w:i w:val="0"/>
          <w:iCs w:val="0"/>
          <w:caps w:val="0"/>
          <w:color w:val="333333"/>
          <w:spacing w:val="0"/>
          <w:sz w:val="32"/>
          <w:szCs w:val="32"/>
          <w:shd w:val="clear" w:color="auto" w:fill="FFFFFF"/>
        </w:rPr>
        <w:t>针对评价中发现的问题和有关情况，要加强精细化管理，将在</w:t>
      </w:r>
      <w:r>
        <w:rPr>
          <w:rFonts w:hint="default" w:ascii="Times New Roman" w:hAnsi="Times New Roman" w:eastAsia="仿宋" w:cs="Times New Roman"/>
          <w:i w:val="0"/>
          <w:iCs w:val="0"/>
          <w:caps w:val="0"/>
          <w:color w:val="333333"/>
          <w:spacing w:val="0"/>
          <w:sz w:val="32"/>
          <w:szCs w:val="32"/>
          <w:shd w:val="clear" w:color="auto" w:fill="FFFFFF"/>
          <w:lang w:eastAsia="zh-CN"/>
        </w:rPr>
        <w:t>区财政下达给我局的财政</w:t>
      </w:r>
      <w:r>
        <w:rPr>
          <w:rFonts w:hint="default" w:ascii="Times New Roman" w:hAnsi="Times New Roman" w:eastAsia="仿宋" w:cs="Times New Roman"/>
          <w:i w:val="0"/>
          <w:iCs w:val="0"/>
          <w:caps w:val="0"/>
          <w:color w:val="333333"/>
          <w:spacing w:val="0"/>
          <w:sz w:val="32"/>
          <w:szCs w:val="32"/>
          <w:shd w:val="clear" w:color="auto" w:fill="FFFFFF"/>
        </w:rPr>
        <w:t>预算中充分考虑上一年度的绩效情况，进一步优化支出结构，提高预算安排科学性。</w:t>
      </w:r>
    </w:p>
    <w:p w14:paraId="15C010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76" w:lineRule="exact"/>
        <w:ind w:leftChars="200" w:right="0" w:rightChars="0"/>
        <w:jc w:val="left"/>
        <w:textAlignment w:val="auto"/>
        <w:rPr>
          <w:rFonts w:hint="eastAsia" w:ascii="仿宋" w:hAnsi="仿宋" w:eastAsia="仿宋" w:cs="仿宋"/>
          <w:b w:val="0"/>
          <w:bCs w:val="0"/>
          <w:i w:val="0"/>
          <w:iCs w:val="0"/>
          <w:caps w:val="0"/>
          <w:color w:val="333333"/>
          <w:spacing w:val="0"/>
          <w:sz w:val="32"/>
          <w:szCs w:val="32"/>
          <w:shd w:val="clear" w:color="auto" w:fill="FFFFFF"/>
        </w:rPr>
      </w:pPr>
      <w:r>
        <w:rPr>
          <w:rFonts w:hint="eastAsia" w:ascii="仿宋" w:hAnsi="仿宋" w:eastAsia="仿宋" w:cs="仿宋"/>
          <w:b w:val="0"/>
          <w:bCs w:val="0"/>
          <w:i w:val="0"/>
          <w:iCs w:val="0"/>
          <w:caps w:val="0"/>
          <w:color w:val="auto"/>
          <w:spacing w:val="0"/>
          <w:sz w:val="32"/>
          <w:szCs w:val="32"/>
          <w:u w:val="none"/>
          <w:shd w:val="clear" w:color="auto" w:fill="FFFFFF"/>
          <w:lang w:val="en-US" w:eastAsia="zh-CN"/>
        </w:rPr>
        <w:t>3、</w:t>
      </w:r>
      <w:r>
        <w:rPr>
          <w:rFonts w:hint="eastAsia" w:ascii="仿宋" w:hAnsi="仿宋" w:eastAsia="仿宋" w:cs="仿宋"/>
          <w:b w:val="0"/>
          <w:bCs w:val="0"/>
          <w:i w:val="0"/>
          <w:iCs w:val="0"/>
          <w:caps w:val="0"/>
          <w:color w:val="auto"/>
          <w:spacing w:val="0"/>
          <w:sz w:val="32"/>
          <w:szCs w:val="32"/>
          <w:u w:val="none"/>
          <w:shd w:val="clear" w:color="auto" w:fill="FFFFFF"/>
        </w:rPr>
        <w:t>提高预算</w:t>
      </w:r>
      <w:r>
        <w:rPr>
          <w:rFonts w:hint="eastAsia" w:ascii="仿宋" w:hAnsi="仿宋" w:eastAsia="仿宋" w:cs="仿宋"/>
          <w:b w:val="0"/>
          <w:bCs w:val="0"/>
          <w:i w:val="0"/>
          <w:iCs w:val="0"/>
          <w:caps w:val="0"/>
          <w:color w:val="auto"/>
          <w:spacing w:val="0"/>
          <w:sz w:val="32"/>
          <w:szCs w:val="32"/>
          <w:u w:val="none"/>
          <w:shd w:val="clear" w:color="auto" w:fill="FFFFFF"/>
          <w:lang w:eastAsia="zh-CN"/>
        </w:rPr>
        <w:t>管理</w:t>
      </w:r>
      <w:r>
        <w:rPr>
          <w:rFonts w:hint="eastAsia" w:ascii="仿宋" w:hAnsi="仿宋" w:eastAsia="仿宋" w:cs="仿宋"/>
          <w:b w:val="0"/>
          <w:bCs w:val="0"/>
          <w:i w:val="0"/>
          <w:iCs w:val="0"/>
          <w:caps w:val="0"/>
          <w:color w:val="auto"/>
          <w:spacing w:val="0"/>
          <w:sz w:val="32"/>
          <w:szCs w:val="32"/>
          <w:u w:val="none"/>
          <w:shd w:val="clear" w:color="auto" w:fill="FFFFFF"/>
        </w:rPr>
        <w:t>的主体责任意识</w:t>
      </w:r>
    </w:p>
    <w:p w14:paraId="4933BF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76" w:lineRule="exact"/>
        <w:ind w:right="0" w:firstLine="640" w:firstLineChars="200"/>
        <w:jc w:val="left"/>
        <w:textAlignment w:val="auto"/>
        <w:rPr>
          <w:rFonts w:hint="default" w:ascii="Times New Roman" w:hAnsi="Times New Roman" w:eastAsia="仿宋" w:cs="Times New Roman"/>
          <w:i w:val="0"/>
          <w:iCs w:val="0"/>
          <w:caps w:val="0"/>
          <w:color w:val="333333"/>
          <w:spacing w:val="0"/>
          <w:sz w:val="32"/>
          <w:szCs w:val="32"/>
          <w:shd w:val="clear" w:color="auto" w:fill="FFFFFF"/>
        </w:rPr>
      </w:pPr>
      <w:r>
        <w:rPr>
          <w:rFonts w:hint="default" w:ascii="Times New Roman" w:hAnsi="Times New Roman" w:eastAsia="仿宋" w:cs="Times New Roman"/>
          <w:i w:val="0"/>
          <w:iCs w:val="0"/>
          <w:caps w:val="0"/>
          <w:color w:val="333333"/>
          <w:spacing w:val="0"/>
          <w:sz w:val="32"/>
          <w:szCs w:val="32"/>
          <w:shd w:val="clear" w:color="auto" w:fill="FFFFFF"/>
        </w:rPr>
        <w:t>要增强绩效管理的主体责任意识，将绩效管理工作与预算编制工作同布置、同落实，与</w:t>
      </w:r>
      <w:r>
        <w:rPr>
          <w:rFonts w:hint="default" w:ascii="Times New Roman" w:hAnsi="Times New Roman" w:eastAsia="仿宋" w:cs="Times New Roman"/>
          <w:i w:val="0"/>
          <w:iCs w:val="0"/>
          <w:caps w:val="0"/>
          <w:color w:val="333333"/>
          <w:spacing w:val="0"/>
          <w:sz w:val="32"/>
          <w:szCs w:val="32"/>
          <w:shd w:val="clear" w:color="auto" w:fill="FFFFFF"/>
          <w:lang w:eastAsia="zh-CN"/>
        </w:rPr>
        <w:t>区</w:t>
      </w:r>
      <w:r>
        <w:rPr>
          <w:rFonts w:hint="default" w:ascii="Times New Roman" w:hAnsi="Times New Roman" w:eastAsia="仿宋" w:cs="Times New Roman"/>
          <w:i w:val="0"/>
          <w:iCs w:val="0"/>
          <w:caps w:val="0"/>
          <w:color w:val="333333"/>
          <w:spacing w:val="0"/>
          <w:sz w:val="32"/>
          <w:szCs w:val="32"/>
          <w:shd w:val="clear" w:color="auto" w:fill="FFFFFF"/>
        </w:rPr>
        <w:t>政府工作</w:t>
      </w:r>
      <w:r>
        <w:rPr>
          <w:rFonts w:hint="default" w:ascii="Times New Roman" w:hAnsi="Times New Roman" w:eastAsia="仿宋" w:cs="Times New Roman"/>
          <w:i w:val="0"/>
          <w:iCs w:val="0"/>
          <w:caps w:val="0"/>
          <w:color w:val="333333"/>
          <w:spacing w:val="0"/>
          <w:sz w:val="32"/>
          <w:szCs w:val="32"/>
          <w:shd w:val="clear" w:color="auto" w:fill="FFFFFF"/>
          <w:lang w:eastAsia="zh-CN"/>
        </w:rPr>
        <w:t>目</w:t>
      </w:r>
      <w:r>
        <w:rPr>
          <w:rFonts w:hint="default" w:ascii="Times New Roman" w:hAnsi="Times New Roman" w:eastAsia="仿宋" w:cs="Times New Roman"/>
          <w:i w:val="0"/>
          <w:iCs w:val="0"/>
          <w:caps w:val="0"/>
          <w:color w:val="333333"/>
          <w:spacing w:val="0"/>
          <w:sz w:val="32"/>
          <w:szCs w:val="32"/>
          <w:shd w:val="clear" w:color="auto" w:fill="FFFFFF"/>
        </w:rPr>
        <w:t>标管理有机结合。不仅是</w:t>
      </w:r>
      <w:r>
        <w:rPr>
          <w:rFonts w:hint="default" w:ascii="Times New Roman" w:hAnsi="Times New Roman" w:eastAsia="仿宋" w:cs="Times New Roman"/>
          <w:i w:val="0"/>
          <w:iCs w:val="0"/>
          <w:caps w:val="0"/>
          <w:color w:val="333333"/>
          <w:spacing w:val="0"/>
          <w:sz w:val="32"/>
          <w:szCs w:val="32"/>
          <w:shd w:val="clear" w:color="auto" w:fill="FFFFFF"/>
          <w:lang w:eastAsia="zh-CN"/>
        </w:rPr>
        <w:t>计财</w:t>
      </w:r>
      <w:r>
        <w:rPr>
          <w:rFonts w:hint="default" w:ascii="Times New Roman" w:hAnsi="Times New Roman" w:eastAsia="仿宋" w:cs="Times New Roman"/>
          <w:i w:val="0"/>
          <w:iCs w:val="0"/>
          <w:caps w:val="0"/>
          <w:color w:val="333333"/>
          <w:spacing w:val="0"/>
          <w:sz w:val="32"/>
          <w:szCs w:val="32"/>
          <w:shd w:val="clear" w:color="auto" w:fill="FFFFFF"/>
        </w:rPr>
        <w:t>部门，涉及项目经费使用的业务</w:t>
      </w:r>
      <w:r>
        <w:rPr>
          <w:rFonts w:hint="default" w:ascii="Times New Roman" w:hAnsi="Times New Roman" w:eastAsia="仿宋" w:cs="Times New Roman"/>
          <w:i w:val="0"/>
          <w:iCs w:val="0"/>
          <w:caps w:val="0"/>
          <w:color w:val="333333"/>
          <w:spacing w:val="0"/>
          <w:sz w:val="32"/>
          <w:szCs w:val="32"/>
          <w:shd w:val="clear" w:color="auto" w:fill="FFFFFF"/>
          <w:lang w:eastAsia="zh-CN"/>
        </w:rPr>
        <w:t>股室</w:t>
      </w:r>
      <w:r>
        <w:rPr>
          <w:rFonts w:hint="default" w:ascii="Times New Roman" w:hAnsi="Times New Roman" w:eastAsia="仿宋" w:cs="Times New Roman"/>
          <w:i w:val="0"/>
          <w:iCs w:val="0"/>
          <w:caps w:val="0"/>
          <w:color w:val="333333"/>
          <w:spacing w:val="0"/>
          <w:sz w:val="32"/>
          <w:szCs w:val="32"/>
          <w:shd w:val="clear" w:color="auto" w:fill="FFFFFF"/>
        </w:rPr>
        <w:t>也应该加强意识，配合做好绩效各项工作。要结合</w:t>
      </w:r>
      <w:r>
        <w:rPr>
          <w:rFonts w:hint="default" w:ascii="Times New Roman" w:hAnsi="Times New Roman" w:eastAsia="仿宋" w:cs="Times New Roman"/>
          <w:i w:val="0"/>
          <w:iCs w:val="0"/>
          <w:caps w:val="0"/>
          <w:color w:val="333333"/>
          <w:spacing w:val="0"/>
          <w:sz w:val="32"/>
          <w:szCs w:val="32"/>
          <w:shd w:val="clear" w:color="auto" w:fill="FFFFFF"/>
          <w:lang w:eastAsia="zh-CN"/>
        </w:rPr>
        <w:t>项目实施</w:t>
      </w:r>
      <w:r>
        <w:rPr>
          <w:rFonts w:hint="default" w:ascii="Times New Roman" w:hAnsi="Times New Roman" w:eastAsia="仿宋" w:cs="Times New Roman"/>
          <w:i w:val="0"/>
          <w:iCs w:val="0"/>
          <w:caps w:val="0"/>
          <w:color w:val="333333"/>
          <w:spacing w:val="0"/>
          <w:sz w:val="32"/>
          <w:szCs w:val="32"/>
          <w:shd w:val="clear" w:color="auto" w:fill="FFFFFF"/>
        </w:rPr>
        <w:t>工作，主动公开预算绩效管理情况，自我加压，对于每年度绩效评价的情况、问题，要举一反三，提高管理水平。</w:t>
      </w:r>
    </w:p>
    <w:p w14:paraId="16498774">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p>
    <w:p w14:paraId="35B49FF3">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t>附表：</w:t>
      </w:r>
      <w:r>
        <w:rPr>
          <w:rFonts w:hint="default" w:ascii="Times New Roman" w:hAnsi="Times New Roman" w:cs="Times New Roman"/>
          <w:b w:val="0"/>
          <w:bCs w:val="0"/>
          <w:i w:val="0"/>
          <w:iCs w:val="0"/>
          <w:color w:val="auto"/>
          <w:sz w:val="32"/>
          <w:szCs w:val="32"/>
          <w:highlight w:val="none"/>
          <w:lang w:val="en-US" w:eastAsia="zh-CN"/>
        </w:rPr>
        <w:t>部门预算项目支出绩效自评表（2023年度）</w:t>
      </w:r>
    </w:p>
    <w:p w14:paraId="5A95494D">
      <w:pPr>
        <w:pStyle w:val="7"/>
        <w:spacing w:before="93"/>
        <w:ind w:firstLine="640"/>
        <w:rPr>
          <w:rFonts w:hAnsi="宋体" w:cs="宋体"/>
          <w:sz w:val="32"/>
          <w:szCs w:val="32"/>
          <w:shd w:val="clear" w:color="auto" w:fill="FFFFFF"/>
          <w:lang w:val="zh-CN"/>
        </w:rPr>
      </w:pPr>
    </w:p>
    <w:p w14:paraId="5626B3D2">
      <w:pPr>
        <w:pStyle w:val="7"/>
        <w:spacing w:before="93"/>
        <w:ind w:firstLine="640"/>
        <w:rPr>
          <w:rFonts w:hAnsi="宋体" w:cs="宋体"/>
          <w:sz w:val="32"/>
          <w:szCs w:val="32"/>
          <w:shd w:val="clear" w:color="auto" w:fill="FFFFFF"/>
          <w:lang w:val="zh-CN"/>
        </w:rPr>
      </w:pPr>
    </w:p>
    <w:p w14:paraId="6F46D300">
      <w:pPr>
        <w:pStyle w:val="7"/>
        <w:spacing w:before="93"/>
        <w:ind w:firstLine="640"/>
        <w:rPr>
          <w:rFonts w:hAnsi="宋体" w:cs="宋体"/>
          <w:sz w:val="32"/>
          <w:szCs w:val="32"/>
          <w:shd w:val="clear" w:color="auto" w:fill="FFFFFF"/>
          <w:lang w:val="zh-CN"/>
        </w:rPr>
      </w:pPr>
    </w:p>
    <w:p w14:paraId="4B5FA356">
      <w:pPr>
        <w:pStyle w:val="7"/>
        <w:spacing w:before="93"/>
        <w:ind w:firstLine="640"/>
        <w:rPr>
          <w:rFonts w:hAnsi="宋体" w:cs="宋体"/>
          <w:sz w:val="32"/>
          <w:szCs w:val="32"/>
          <w:shd w:val="clear" w:color="auto" w:fill="FFFFFF"/>
          <w:lang w:val="zh-CN"/>
        </w:rPr>
      </w:pPr>
    </w:p>
    <w:p w14:paraId="4EF1A979">
      <w:pPr>
        <w:pStyle w:val="7"/>
        <w:spacing w:before="93"/>
        <w:ind w:firstLine="640"/>
        <w:rPr>
          <w:rFonts w:hAnsi="宋体" w:cs="宋体"/>
          <w:sz w:val="32"/>
          <w:szCs w:val="32"/>
          <w:shd w:val="clear" w:color="auto" w:fill="FFFFFF"/>
          <w:lang w:val="zh-CN"/>
        </w:rPr>
      </w:pPr>
    </w:p>
    <w:p w14:paraId="36F9EE92">
      <w:pPr>
        <w:pStyle w:val="7"/>
        <w:spacing w:before="93"/>
        <w:ind w:firstLine="640"/>
        <w:rPr>
          <w:rFonts w:hAnsi="宋体" w:cs="宋体"/>
          <w:sz w:val="32"/>
          <w:szCs w:val="32"/>
          <w:shd w:val="clear" w:color="auto" w:fill="FFFFFF"/>
          <w:lang w:val="zh-CN"/>
        </w:rPr>
      </w:pPr>
    </w:p>
    <w:p w14:paraId="01A9D7C2">
      <w:pPr>
        <w:pStyle w:val="7"/>
        <w:spacing w:before="93"/>
        <w:ind w:firstLine="640"/>
        <w:rPr>
          <w:rFonts w:hAnsi="宋体" w:cs="宋体"/>
          <w:sz w:val="32"/>
          <w:szCs w:val="32"/>
          <w:shd w:val="clear" w:color="auto" w:fill="FFFFFF"/>
          <w:lang w:val="zh-CN"/>
        </w:rPr>
      </w:pPr>
    </w:p>
    <w:tbl>
      <w:tblPr>
        <w:tblStyle w:val="18"/>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90"/>
        <w:gridCol w:w="846"/>
        <w:gridCol w:w="846"/>
        <w:gridCol w:w="691"/>
        <w:gridCol w:w="847"/>
        <w:gridCol w:w="691"/>
        <w:gridCol w:w="951"/>
        <w:gridCol w:w="743"/>
        <w:gridCol w:w="743"/>
        <w:gridCol w:w="691"/>
      </w:tblGrid>
      <w:tr w14:paraId="02C9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307BC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763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D197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23A56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51090423T000008856955-2023年犬只狂犬病防制</w:t>
            </w:r>
          </w:p>
        </w:tc>
      </w:tr>
      <w:tr w14:paraId="01BC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B0D8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2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AD2E9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遂宁市安居区农业农村局部门</w:t>
            </w:r>
          </w:p>
        </w:tc>
        <w:tc>
          <w:tcPr>
            <w:tcW w:w="951" w:type="dxa"/>
            <w:tcBorders>
              <w:top w:val="nil"/>
              <w:left w:val="nil"/>
              <w:bottom w:val="nil"/>
              <w:right w:val="nil"/>
            </w:tcBorders>
            <w:shd w:val="clear" w:color="auto" w:fill="FFFFFF"/>
            <w:vAlign w:val="center"/>
          </w:tcPr>
          <w:p w14:paraId="6DEEC1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6479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w:t>
            </w:r>
          </w:p>
        </w:tc>
      </w:tr>
      <w:tr w14:paraId="541F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7AC4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7F6E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2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42987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CB87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E35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72CE6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4F1F0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392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93E5B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按照《动物防疫法》及《四川省预防控制狂犬病条例》。1.0204万只犬，疫苗4.8元/头份，免疫牌1.8元/个，注射费3.2元/只。（4.8+1.8+3.2）元/只*1.0204万只=10万元。</w:t>
            </w:r>
          </w:p>
        </w:tc>
        <w:tc>
          <w:tcPr>
            <w:tcW w:w="31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1AC30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r>
      <w:tr w14:paraId="56E3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205B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7ED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3E271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购买狂犬疫苗，免疫标识牌，以及支付注射费及疫病防治相关费用。</w:t>
            </w:r>
          </w:p>
        </w:tc>
      </w:tr>
      <w:tr w14:paraId="422C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4B7F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9C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F28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61C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AE532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979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DF4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BEA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4D5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28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95A39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1C5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38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89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E942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E5C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7A1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FAF52">
            <w:pPr>
              <w:keepNext w:val="0"/>
              <w:keepLines w:val="0"/>
              <w:pageBreakBefore w:val="0"/>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8D9872">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44A5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68B9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531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800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07B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E041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BC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51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4CB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E911DF">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20F2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A602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431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0BD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76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D121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990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D4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CBE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F46C53">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0CD9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81A0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481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157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3CD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E15B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B8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6EB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B96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95D791">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05E5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4691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F8B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60BD">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871E">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31B937">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76E57">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20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032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EA059">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7FAA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90B9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771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810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435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F18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503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39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4F0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F6C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F4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5D0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r>
      <w:tr w14:paraId="280B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2931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3479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728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8BD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防疫犬只</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0F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B0D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10204</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C68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只</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06F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10204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C34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6F4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FFFF4">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1F9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7B82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D6FE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9E1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36A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犬只免疫率</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C61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F32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3D3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889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EBB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334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F32F8">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32CB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1C7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7A96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377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4E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疫苗注射完成时间</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903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FCF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BDB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2EE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5C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AAD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95DCC">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7E55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EA6B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01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4F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236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犬只防疫程度</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2FB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94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9AF8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0D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有所提升</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3DE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D6B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2B8D0">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1AE1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143C0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D73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B29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14C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对象满意度</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128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6F8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D85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D4E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B15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EA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72914">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17D7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312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1C39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65A7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DE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疫苗每头份单价</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A2E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EE5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3D5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元/头只</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7C4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4.8</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CAD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A0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CA57D">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7E10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03A43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502F4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DBFE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B06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免疫牌单价</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152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19C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F1C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元/个</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B2A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1.8</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E2F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1E4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BE397">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2AD0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A3AF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9C64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561FF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F04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注射费单价</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3F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B4A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973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元/头只</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B8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C4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4E1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34086">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1A56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5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9D9AD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51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7B4C1">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074E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r>
      <w:tr w14:paraId="5902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703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0BCE0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项目总评分100分，2023年犬只狂犬病防制项目保障了广大群众生命安全，防止狂犬疫病发生。通过项目实施，安居区犬只狂犬病应免密度达到90%，抗体合格率达到75%以上。</w:t>
            </w:r>
          </w:p>
        </w:tc>
      </w:tr>
      <w:tr w14:paraId="5B89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03F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616D35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资金有限，导致免疫密度不够，无法做到应免尽免。</w:t>
            </w:r>
          </w:p>
        </w:tc>
      </w:tr>
      <w:tr w14:paraId="2AB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15C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D15A0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与财政部门加强沟通，争取更多资金，提高免疫率，做到应免尽免。</w:t>
            </w:r>
          </w:p>
        </w:tc>
      </w:tr>
      <w:tr w14:paraId="1DF1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660C9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项目负责人：覃丽</w:t>
            </w:r>
          </w:p>
        </w:tc>
        <w:tc>
          <w:tcPr>
            <w:tcW w:w="46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CA10A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8"/>
                <w:szCs w:val="18"/>
                <w:u w:val="none"/>
                <w:lang w:val="en-US" w:eastAsia="zh-CN" w:bidi="ar"/>
              </w:rPr>
              <w:t>财务负责人：唐继秋</w:t>
            </w:r>
          </w:p>
        </w:tc>
      </w:tr>
      <w:tr w14:paraId="4279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nil"/>
              <w:left w:val="nil"/>
              <w:bottom w:val="nil"/>
              <w:right w:val="nil"/>
            </w:tcBorders>
            <w:shd w:val="clear" w:color="auto" w:fill="FFFFFF"/>
            <w:vAlign w:val="center"/>
          </w:tcPr>
          <w:p w14:paraId="1FE8E2D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FFFFFF"/>
            <w:vAlign w:val="center"/>
          </w:tcPr>
          <w:p w14:paraId="36A78DC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FFFFFF"/>
            <w:vAlign w:val="center"/>
          </w:tcPr>
          <w:p w14:paraId="30797BC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FFFFFF"/>
            <w:vAlign w:val="center"/>
          </w:tcPr>
          <w:p w14:paraId="3738540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691" w:type="dxa"/>
            <w:tcBorders>
              <w:top w:val="nil"/>
              <w:left w:val="nil"/>
              <w:bottom w:val="nil"/>
              <w:right w:val="nil"/>
            </w:tcBorders>
            <w:shd w:val="clear" w:color="auto" w:fill="FFFFFF"/>
            <w:vAlign w:val="center"/>
          </w:tcPr>
          <w:p w14:paraId="17B58A3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847" w:type="dxa"/>
            <w:tcBorders>
              <w:top w:val="nil"/>
              <w:left w:val="nil"/>
              <w:bottom w:val="nil"/>
              <w:right w:val="nil"/>
            </w:tcBorders>
            <w:shd w:val="clear" w:color="auto" w:fill="FFFFFF"/>
            <w:vAlign w:val="center"/>
          </w:tcPr>
          <w:p w14:paraId="4B25786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691" w:type="dxa"/>
            <w:tcBorders>
              <w:top w:val="nil"/>
              <w:left w:val="nil"/>
              <w:bottom w:val="nil"/>
              <w:right w:val="nil"/>
            </w:tcBorders>
            <w:shd w:val="clear" w:color="auto" w:fill="FFFFFF"/>
            <w:vAlign w:val="center"/>
          </w:tcPr>
          <w:p w14:paraId="5B594CA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951" w:type="dxa"/>
            <w:tcBorders>
              <w:top w:val="nil"/>
              <w:left w:val="nil"/>
              <w:bottom w:val="nil"/>
              <w:right w:val="nil"/>
            </w:tcBorders>
            <w:shd w:val="clear" w:color="auto" w:fill="FFFFFF"/>
            <w:vAlign w:val="center"/>
          </w:tcPr>
          <w:p w14:paraId="0EAE16D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743" w:type="dxa"/>
            <w:tcBorders>
              <w:top w:val="nil"/>
              <w:left w:val="nil"/>
              <w:bottom w:val="nil"/>
              <w:right w:val="nil"/>
            </w:tcBorders>
            <w:shd w:val="clear" w:color="auto" w:fill="FFFFFF"/>
            <w:vAlign w:val="center"/>
          </w:tcPr>
          <w:p w14:paraId="1917D9F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743" w:type="dxa"/>
            <w:tcBorders>
              <w:top w:val="nil"/>
              <w:left w:val="nil"/>
              <w:bottom w:val="nil"/>
              <w:right w:val="nil"/>
            </w:tcBorders>
            <w:shd w:val="clear" w:color="auto" w:fill="FFFFFF"/>
            <w:vAlign w:val="center"/>
          </w:tcPr>
          <w:p w14:paraId="67FBE71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691" w:type="dxa"/>
            <w:tcBorders>
              <w:top w:val="nil"/>
              <w:left w:val="nil"/>
              <w:bottom w:val="nil"/>
              <w:right w:val="nil"/>
            </w:tcBorders>
            <w:shd w:val="clear" w:color="auto" w:fill="FFFFFF"/>
            <w:vAlign w:val="center"/>
          </w:tcPr>
          <w:p w14:paraId="114D580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r>
      <w:tr w14:paraId="6722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nil"/>
              <w:left w:val="nil"/>
              <w:bottom w:val="nil"/>
              <w:right w:val="nil"/>
            </w:tcBorders>
            <w:shd w:val="clear" w:color="auto" w:fill="FFFFFF"/>
            <w:vAlign w:val="center"/>
          </w:tcPr>
          <w:p w14:paraId="50AD374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FFFFFF"/>
            <w:vAlign w:val="center"/>
          </w:tcPr>
          <w:p w14:paraId="0EC56B9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6" w:type="dxa"/>
            <w:tcBorders>
              <w:top w:val="nil"/>
              <w:left w:val="nil"/>
              <w:bottom w:val="nil"/>
              <w:right w:val="nil"/>
            </w:tcBorders>
            <w:shd w:val="clear" w:color="auto" w:fill="FFFFFF"/>
            <w:vAlign w:val="center"/>
          </w:tcPr>
          <w:p w14:paraId="048800F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6" w:type="dxa"/>
            <w:tcBorders>
              <w:top w:val="nil"/>
              <w:left w:val="nil"/>
              <w:bottom w:val="nil"/>
              <w:right w:val="nil"/>
            </w:tcBorders>
            <w:shd w:val="clear" w:color="auto" w:fill="FFFFFF"/>
            <w:vAlign w:val="center"/>
          </w:tcPr>
          <w:p w14:paraId="7C8496D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4A9155D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7" w:type="dxa"/>
            <w:tcBorders>
              <w:top w:val="nil"/>
              <w:left w:val="nil"/>
              <w:bottom w:val="nil"/>
              <w:right w:val="nil"/>
            </w:tcBorders>
            <w:shd w:val="clear" w:color="auto" w:fill="FFFFFF"/>
            <w:vAlign w:val="center"/>
          </w:tcPr>
          <w:p w14:paraId="1F2D182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5FD3EDF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951" w:type="dxa"/>
            <w:tcBorders>
              <w:top w:val="nil"/>
              <w:left w:val="nil"/>
              <w:bottom w:val="nil"/>
              <w:right w:val="nil"/>
            </w:tcBorders>
            <w:shd w:val="clear" w:color="auto" w:fill="FFFFFF"/>
            <w:vAlign w:val="center"/>
          </w:tcPr>
          <w:p w14:paraId="787C90B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743" w:type="dxa"/>
            <w:tcBorders>
              <w:top w:val="nil"/>
              <w:left w:val="nil"/>
              <w:bottom w:val="nil"/>
              <w:right w:val="nil"/>
            </w:tcBorders>
            <w:shd w:val="clear" w:color="auto" w:fill="FFFFFF"/>
            <w:vAlign w:val="center"/>
          </w:tcPr>
          <w:p w14:paraId="0AB5906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743" w:type="dxa"/>
            <w:tcBorders>
              <w:top w:val="nil"/>
              <w:left w:val="nil"/>
              <w:bottom w:val="nil"/>
              <w:right w:val="nil"/>
            </w:tcBorders>
            <w:shd w:val="clear" w:color="auto" w:fill="FFFFFF"/>
            <w:vAlign w:val="center"/>
          </w:tcPr>
          <w:p w14:paraId="4F49710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10B1395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r>
      <w:tr w14:paraId="5A38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nil"/>
              <w:left w:val="nil"/>
              <w:bottom w:val="nil"/>
              <w:right w:val="nil"/>
            </w:tcBorders>
            <w:shd w:val="clear" w:color="auto" w:fill="FFFFFF"/>
            <w:vAlign w:val="center"/>
          </w:tcPr>
          <w:p w14:paraId="4D8A87E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FFFFFF"/>
            <w:vAlign w:val="center"/>
          </w:tcPr>
          <w:p w14:paraId="2DDC261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6" w:type="dxa"/>
            <w:tcBorders>
              <w:top w:val="nil"/>
              <w:left w:val="nil"/>
              <w:bottom w:val="nil"/>
              <w:right w:val="nil"/>
            </w:tcBorders>
            <w:shd w:val="clear" w:color="auto" w:fill="FFFFFF"/>
            <w:vAlign w:val="center"/>
          </w:tcPr>
          <w:p w14:paraId="7FE02D3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6" w:type="dxa"/>
            <w:tcBorders>
              <w:top w:val="nil"/>
              <w:left w:val="nil"/>
              <w:bottom w:val="nil"/>
              <w:right w:val="nil"/>
            </w:tcBorders>
            <w:shd w:val="clear" w:color="auto" w:fill="FFFFFF"/>
            <w:vAlign w:val="center"/>
          </w:tcPr>
          <w:p w14:paraId="112B3B1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362AEED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7" w:type="dxa"/>
            <w:tcBorders>
              <w:top w:val="nil"/>
              <w:left w:val="nil"/>
              <w:bottom w:val="nil"/>
              <w:right w:val="nil"/>
            </w:tcBorders>
            <w:shd w:val="clear" w:color="auto" w:fill="FFFFFF"/>
            <w:vAlign w:val="center"/>
          </w:tcPr>
          <w:p w14:paraId="5E49199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0B759A1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951" w:type="dxa"/>
            <w:tcBorders>
              <w:top w:val="nil"/>
              <w:left w:val="nil"/>
              <w:bottom w:val="nil"/>
              <w:right w:val="nil"/>
            </w:tcBorders>
            <w:shd w:val="clear" w:color="auto" w:fill="FFFFFF"/>
            <w:vAlign w:val="center"/>
          </w:tcPr>
          <w:p w14:paraId="332C4D9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743" w:type="dxa"/>
            <w:tcBorders>
              <w:top w:val="nil"/>
              <w:left w:val="nil"/>
              <w:bottom w:val="nil"/>
              <w:right w:val="nil"/>
            </w:tcBorders>
            <w:shd w:val="clear" w:color="auto" w:fill="FFFFFF"/>
            <w:vAlign w:val="center"/>
          </w:tcPr>
          <w:p w14:paraId="4D52CF7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743" w:type="dxa"/>
            <w:tcBorders>
              <w:top w:val="nil"/>
              <w:left w:val="nil"/>
              <w:bottom w:val="nil"/>
              <w:right w:val="nil"/>
            </w:tcBorders>
            <w:shd w:val="clear" w:color="auto" w:fill="FFFFFF"/>
            <w:vAlign w:val="center"/>
          </w:tcPr>
          <w:p w14:paraId="68323B6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2C36480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r>
      <w:tr w14:paraId="4B38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nil"/>
              <w:left w:val="nil"/>
              <w:bottom w:val="nil"/>
              <w:right w:val="nil"/>
            </w:tcBorders>
            <w:shd w:val="clear" w:color="auto" w:fill="FFFFFF"/>
            <w:vAlign w:val="center"/>
          </w:tcPr>
          <w:p w14:paraId="54A28CE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FFFFFF"/>
            <w:vAlign w:val="center"/>
          </w:tcPr>
          <w:p w14:paraId="56E9E49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6" w:type="dxa"/>
            <w:tcBorders>
              <w:top w:val="nil"/>
              <w:left w:val="nil"/>
              <w:bottom w:val="nil"/>
              <w:right w:val="nil"/>
            </w:tcBorders>
            <w:shd w:val="clear" w:color="auto" w:fill="FFFFFF"/>
            <w:vAlign w:val="center"/>
          </w:tcPr>
          <w:p w14:paraId="539D23E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6" w:type="dxa"/>
            <w:tcBorders>
              <w:top w:val="nil"/>
              <w:left w:val="nil"/>
              <w:bottom w:val="nil"/>
              <w:right w:val="nil"/>
            </w:tcBorders>
            <w:shd w:val="clear" w:color="auto" w:fill="FFFFFF"/>
            <w:vAlign w:val="center"/>
          </w:tcPr>
          <w:p w14:paraId="1137432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745FDB1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847" w:type="dxa"/>
            <w:tcBorders>
              <w:top w:val="nil"/>
              <w:left w:val="nil"/>
              <w:bottom w:val="nil"/>
              <w:right w:val="nil"/>
            </w:tcBorders>
            <w:shd w:val="clear" w:color="auto" w:fill="FFFFFF"/>
            <w:vAlign w:val="center"/>
          </w:tcPr>
          <w:p w14:paraId="79ECD93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7C93D2C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951" w:type="dxa"/>
            <w:tcBorders>
              <w:top w:val="nil"/>
              <w:left w:val="nil"/>
              <w:bottom w:val="nil"/>
              <w:right w:val="nil"/>
            </w:tcBorders>
            <w:shd w:val="clear" w:color="auto" w:fill="FFFFFF"/>
            <w:vAlign w:val="center"/>
          </w:tcPr>
          <w:p w14:paraId="0FAEF76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743" w:type="dxa"/>
            <w:tcBorders>
              <w:top w:val="nil"/>
              <w:left w:val="nil"/>
              <w:bottom w:val="nil"/>
              <w:right w:val="nil"/>
            </w:tcBorders>
            <w:shd w:val="clear" w:color="auto" w:fill="FFFFFF"/>
            <w:vAlign w:val="center"/>
          </w:tcPr>
          <w:p w14:paraId="2C04CB3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743" w:type="dxa"/>
            <w:tcBorders>
              <w:top w:val="nil"/>
              <w:left w:val="nil"/>
              <w:bottom w:val="nil"/>
              <w:right w:val="nil"/>
            </w:tcBorders>
            <w:shd w:val="clear" w:color="auto" w:fill="FFFFFF"/>
            <w:vAlign w:val="center"/>
          </w:tcPr>
          <w:p w14:paraId="4B5B171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691" w:type="dxa"/>
            <w:tcBorders>
              <w:top w:val="nil"/>
              <w:left w:val="nil"/>
              <w:bottom w:val="nil"/>
              <w:right w:val="nil"/>
            </w:tcBorders>
            <w:shd w:val="clear" w:color="auto" w:fill="FFFFFF"/>
            <w:vAlign w:val="center"/>
          </w:tcPr>
          <w:p w14:paraId="7F18101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r>
      <w:tr w14:paraId="3CC5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258B20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540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40FB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BEE69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51090423T000009164944-项目前期工作经费</w:t>
            </w:r>
          </w:p>
        </w:tc>
      </w:tr>
      <w:tr w14:paraId="03FB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36C0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2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EAB29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遂宁市安居区农业农村局部门</w:t>
            </w:r>
          </w:p>
        </w:tc>
        <w:tc>
          <w:tcPr>
            <w:tcW w:w="951" w:type="dxa"/>
            <w:tcBorders>
              <w:top w:val="nil"/>
              <w:left w:val="nil"/>
              <w:bottom w:val="nil"/>
              <w:right w:val="nil"/>
            </w:tcBorders>
            <w:shd w:val="clear" w:color="auto" w:fill="FFFFFF"/>
            <w:vAlign w:val="center"/>
          </w:tcPr>
          <w:p w14:paraId="70E437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7CE5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w:t>
            </w:r>
          </w:p>
        </w:tc>
      </w:tr>
      <w:tr w14:paraId="7EB6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B099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95E4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2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B4361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3C1E6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179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DECE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1F70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392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E6EB45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sz w:val="18"/>
                <w:szCs w:val="18"/>
                <w:u w:val="none"/>
                <w:shd w:val="clear" w:color="auto" w:fill="auto"/>
              </w:rPr>
              <w:t>项目前期工作经费</w:t>
            </w:r>
          </w:p>
        </w:tc>
        <w:tc>
          <w:tcPr>
            <w:tcW w:w="31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EBAFA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完成</w:t>
            </w:r>
          </w:p>
        </w:tc>
      </w:tr>
      <w:tr w14:paraId="0F41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5A3F6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9A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5DCE3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用于项目前期经费开支</w:t>
            </w:r>
          </w:p>
        </w:tc>
      </w:tr>
      <w:tr w14:paraId="6AFE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FF6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C88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40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13F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540F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CC9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C13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CF1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B10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14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F0FA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D9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9A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12B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708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8EC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D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BD8F">
            <w:pPr>
              <w:keepNext w:val="0"/>
              <w:keepLines w:val="0"/>
              <w:pageBreakBefore w:val="0"/>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8C1C3B">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474F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A35FE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C2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5AE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940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CFFBE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00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659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2D5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A7B00F">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1624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4368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A7D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3B0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735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B1B9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C0F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27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E7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9EFA5">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7F80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B81A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0D7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EF6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B52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0889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D66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799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520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28946D">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15DD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3D323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F77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DADEB">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8798B">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8705BF5">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E997F">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3B8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18F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C19F6">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0521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F2BE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663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4F3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F2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1A2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5D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393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60D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1F3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3BB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46C8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r>
      <w:tr w14:paraId="18DD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B945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20CD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74D7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0379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C2E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4492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4026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CB1A">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1FB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F738A">
            <w:pPr>
              <w:keepNext w:val="0"/>
              <w:keepLines w:val="0"/>
              <w:pageBreakBefore w:val="0"/>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8526A">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EAA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5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ECF0F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05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A9950">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BCE0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r>
      <w:tr w14:paraId="1D0C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E5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A31B8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项目总评分100分，项目前期工作经费推进各项目能够得到及时实施。</w:t>
            </w:r>
          </w:p>
        </w:tc>
      </w:tr>
      <w:tr w14:paraId="12A2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4F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8BFC6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资金有限，导致项目前期工作经费严重不足，占用本单位日常公用经费。</w:t>
            </w:r>
          </w:p>
        </w:tc>
      </w:tr>
      <w:tr w14:paraId="0472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D2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C2DDE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与财政部门加强沟通，争取更多资金，保障无项目管理费的中省市项目能够得到及时实施。</w:t>
            </w:r>
          </w:p>
        </w:tc>
      </w:tr>
      <w:tr w14:paraId="614B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2528D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项目负责人：唐继秋</w:t>
            </w:r>
          </w:p>
        </w:tc>
        <w:tc>
          <w:tcPr>
            <w:tcW w:w="46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9306A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财务负责人：唐继秋</w:t>
            </w:r>
          </w:p>
        </w:tc>
      </w:tr>
    </w:tbl>
    <w:p w14:paraId="586626C0">
      <w:pPr>
        <w:pStyle w:val="7"/>
        <w:keepNext w:val="0"/>
        <w:keepLines w:val="0"/>
        <w:pageBreakBefore w:val="0"/>
        <w:kinsoku/>
        <w:wordWrap/>
        <w:overflowPunct/>
        <w:topLinePunct w:val="0"/>
        <w:autoSpaceDE/>
        <w:autoSpaceDN/>
        <w:bidi w:val="0"/>
        <w:adjustRightInd/>
        <w:snapToGrid/>
        <w:spacing w:before="93"/>
        <w:ind w:firstLine="0" w:firstLineChars="0"/>
        <w:rPr>
          <w:rFonts w:hint="eastAsia"/>
          <w:lang w:val="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856"/>
        <w:gridCol w:w="1139"/>
        <w:gridCol w:w="1052"/>
        <w:gridCol w:w="588"/>
        <w:gridCol w:w="822"/>
        <w:gridCol w:w="574"/>
        <w:gridCol w:w="891"/>
        <w:gridCol w:w="527"/>
        <w:gridCol w:w="743"/>
        <w:gridCol w:w="593"/>
      </w:tblGrid>
      <w:tr w14:paraId="7650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688A60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B4D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4E6C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4"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0DA6CA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51090423T000008836447-遂财农[2022]80号2023年中央财政动物防疫等补助经费</w:t>
            </w:r>
          </w:p>
        </w:tc>
      </w:tr>
      <w:tr w14:paraId="6E46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D4E3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9"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AE1ED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遂宁市安居区农业农村局部门</w:t>
            </w:r>
          </w:p>
        </w:tc>
        <w:tc>
          <w:tcPr>
            <w:tcW w:w="522" w:type="pct"/>
            <w:tcBorders>
              <w:top w:val="nil"/>
              <w:left w:val="nil"/>
              <w:bottom w:val="nil"/>
              <w:right w:val="nil"/>
            </w:tcBorders>
            <w:shd w:val="clear" w:color="auto" w:fill="FFFFFF"/>
            <w:vAlign w:val="center"/>
          </w:tcPr>
          <w:p w14:paraId="2B9123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r>
              <w:rPr>
                <w:rFonts w:hint="eastAsia" w:ascii="黑体" w:hAnsi="黑体" w:eastAsia="黑体" w:cs="黑体"/>
                <w:i w:val="0"/>
                <w:iCs w:val="0"/>
                <w:color w:val="000000"/>
                <w:kern w:val="0"/>
                <w:sz w:val="18"/>
                <w:szCs w:val="18"/>
                <w:u w:val="none"/>
                <w:lang w:val="en-US" w:eastAsia="zh-CN" w:bidi="ar"/>
              </w:rPr>
              <w:t>）</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A5A4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w:t>
            </w:r>
          </w:p>
        </w:tc>
      </w:tr>
      <w:tr w14:paraId="1472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62D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2872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9"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BE969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1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54598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624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C2C6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42C0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2449"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EE6AF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加强重点动物疫病国家强制免疫补助、无害化处理等</w:t>
            </w:r>
          </w:p>
        </w:tc>
        <w:tc>
          <w:tcPr>
            <w:tcW w:w="161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C93DF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r>
      <w:tr w14:paraId="286E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8FE9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D71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4"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0313C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动物强制免疫资金260.69万元；2022年1月1日-2022年12月31日期间养殖环节病死动物（病死育肥猪除外）无害化处理补助，补助资金65.93万元。</w:t>
            </w:r>
          </w:p>
        </w:tc>
      </w:tr>
      <w:tr w14:paraId="1C8F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C608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2A8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BFC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E64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6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A762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E12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D86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D7F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0F9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60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220C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DBA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21E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326.62</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8B3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326.62</w:t>
            </w:r>
          </w:p>
        </w:tc>
        <w:tc>
          <w:tcPr>
            <w:tcW w:w="116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A5F71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326.16</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2D2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99.86%</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19B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992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03B8BA">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56C4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4F91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16F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037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326.62</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2DB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326.62</w:t>
            </w:r>
          </w:p>
        </w:tc>
        <w:tc>
          <w:tcPr>
            <w:tcW w:w="116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4829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326.16</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B13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99.86%</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F0D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441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3751C">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5E3E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7A57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239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2C7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22E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2D23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BA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9BA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5EA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F5CB6A">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1800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6743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06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A23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C35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F5E5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63B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F83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F8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41DBD">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131E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176E6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3A4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DEE6B">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1CBEF">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116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25F136">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4CF3B">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E0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DEC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5A6DCD">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4A9A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81DA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7FA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788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086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EDA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5E5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2E1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0CC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FD2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809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02B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62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CB70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B23B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B39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B41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购买禽流感病毒三价灭活疫苗数量</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18A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017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82A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D59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CDA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C26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694F4">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2347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76840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8742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5F4D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031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依法对重大动物疫情处置率</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25B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209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C44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E9E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BFD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2B8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D0088">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891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D8FF3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FEC24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54FB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633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高致病性禽流感等应免畜禽免疫密度</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ED6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250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DF8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339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442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1C7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50753">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5872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3313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1C12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EAAB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B86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抗体合格率</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826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578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168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83A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EB7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834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6C347">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5191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34DA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2F4D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9B5B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318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中央财政补助经费使用率</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950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9B4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482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768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A97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EA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EE7D4">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50B8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7DCB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80F8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A4B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BFF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发放无害化处理补助经费时间</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F3C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9D7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045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CA1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081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B5F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8E905">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AFD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B9177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3C6A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CC1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315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资金使用无重大违规违纪问题</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A8F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B12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B87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388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532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546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168A2">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351D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8F79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12555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098F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57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高致病性禽流感等优先防治病种防治工作疫情保持平稳</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F5E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7C9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BB9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1B6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A83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802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96108">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520E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F71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00C06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B3AA2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8A1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不发生大规模随意抛弃病死猪事件</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B61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4E7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ABC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2CB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027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11E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4E2CF">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0B9C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34C6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4D8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7C0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A0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补助对象对项目实施满意率</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F04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BB9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49C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7D6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9B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844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CB5B9">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0C95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0149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31A3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4244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A41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养殖环节生猪无害化处理补贴</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92B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5F7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FA8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元/头只</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38E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B5D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6CC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9F998">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4DB5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45EEB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3CB6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0997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CB9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疫苗直补资金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D70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174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122.68</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FC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E94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122.68</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D92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8AE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FF9E3">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0741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07"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C38C7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4FB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44EB3">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C908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r>
      <w:tr w14:paraId="68D6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232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66"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60FA6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达到了总体绩效目标。通过强制免疫有效控制重大动物疫病发生，经费使用效率较高。评价总分100分。</w:t>
            </w:r>
          </w:p>
        </w:tc>
      </w:tr>
      <w:tr w14:paraId="67EE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04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66"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C4E23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未发现的存在问题。</w:t>
            </w:r>
          </w:p>
        </w:tc>
      </w:tr>
      <w:tr w14:paraId="4249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E63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66"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6CE6D6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进一步提高免疫密度。</w:t>
            </w:r>
          </w:p>
        </w:tc>
      </w:tr>
      <w:tr w14:paraId="5DFC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A96C4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r>
              <w:rPr>
                <w:rFonts w:hint="eastAsia" w:ascii="宋体" w:hAnsi="宋体" w:eastAsia="宋体" w:cs="宋体"/>
                <w:i w:val="0"/>
                <w:iCs w:val="0"/>
                <w:color w:val="000000"/>
                <w:kern w:val="0"/>
                <w:sz w:val="18"/>
                <w:szCs w:val="18"/>
                <w:u w:val="none"/>
                <w:lang w:val="en-US" w:eastAsia="zh-CN" w:bidi="ar"/>
              </w:rPr>
              <w:t>覃丽</w:t>
            </w:r>
          </w:p>
        </w:tc>
        <w:tc>
          <w:tcPr>
            <w:tcW w:w="2434"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BCA25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r>
              <w:rPr>
                <w:rFonts w:hint="eastAsia" w:ascii="宋体" w:hAnsi="宋体" w:eastAsia="宋体" w:cs="宋体"/>
                <w:i w:val="0"/>
                <w:iCs w:val="0"/>
                <w:color w:val="000000"/>
                <w:kern w:val="0"/>
                <w:sz w:val="18"/>
                <w:szCs w:val="18"/>
                <w:u w:val="none"/>
                <w:lang w:val="en-US" w:eastAsia="zh-CN" w:bidi="ar"/>
              </w:rPr>
              <w:t>唐继秋</w:t>
            </w:r>
          </w:p>
        </w:tc>
      </w:tr>
    </w:tbl>
    <w:p w14:paraId="5E4E1A2B">
      <w:pPr>
        <w:pStyle w:val="7"/>
        <w:keepNext w:val="0"/>
        <w:keepLines w:val="0"/>
        <w:pageBreakBefore w:val="0"/>
        <w:kinsoku/>
        <w:wordWrap/>
        <w:overflowPunct/>
        <w:topLinePunct w:val="0"/>
        <w:autoSpaceDE/>
        <w:autoSpaceDN/>
        <w:bidi w:val="0"/>
        <w:adjustRightInd/>
        <w:snapToGrid/>
        <w:spacing w:before="93"/>
        <w:ind w:firstLine="0" w:firstLineChars="0"/>
        <w:rPr>
          <w:rFonts w:hint="eastAsia"/>
          <w:lang w:val="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871"/>
        <w:gridCol w:w="1161"/>
        <w:gridCol w:w="1065"/>
        <w:gridCol w:w="597"/>
        <w:gridCol w:w="694"/>
        <w:gridCol w:w="581"/>
        <w:gridCol w:w="920"/>
        <w:gridCol w:w="527"/>
        <w:gridCol w:w="757"/>
        <w:gridCol w:w="605"/>
      </w:tblGrid>
      <w:tr w14:paraId="32E1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CCDF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339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648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1A35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51090423T000008836228-遂财农[2022]75号2023年农村综合改革转移支付预算</w:t>
            </w:r>
          </w:p>
        </w:tc>
      </w:tr>
      <w:tr w14:paraId="3194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137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01F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遂宁市安居区农业农村局部门</w:t>
            </w:r>
          </w:p>
        </w:tc>
        <w:tc>
          <w:tcPr>
            <w:tcW w:w="539" w:type="pct"/>
            <w:tcBorders>
              <w:top w:val="nil"/>
              <w:left w:val="nil"/>
              <w:bottom w:val="nil"/>
              <w:right w:val="nil"/>
            </w:tcBorders>
            <w:shd w:val="clear" w:color="auto" w:fill="auto"/>
            <w:vAlign w:val="center"/>
          </w:tcPr>
          <w:p w14:paraId="2D102C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86A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w:t>
            </w:r>
          </w:p>
        </w:tc>
      </w:tr>
      <w:tr w14:paraId="32B0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063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8F6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F9A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FCF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520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7B9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E0F0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87B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1.推进农村公益事业项目建设；</w:t>
            </w:r>
          </w:p>
          <w:p w14:paraId="14AF6A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2.建设一批美丽乡村；</w:t>
            </w:r>
          </w:p>
          <w:p w14:paraId="4E8081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3.开展农村综合改革示范点。</w:t>
            </w:r>
          </w:p>
        </w:tc>
        <w:tc>
          <w:tcPr>
            <w:tcW w:w="16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AC0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r>
      <w:tr w14:paraId="0421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D94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DC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8504D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1.推进农村公益事业项目建设，完成农村公益事业建设项目56个</w:t>
            </w:r>
          </w:p>
          <w:p w14:paraId="748BE3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2.完成美丽乡村建设项目1个。</w:t>
            </w:r>
          </w:p>
        </w:tc>
      </w:tr>
      <w:tr w14:paraId="76A7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900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13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89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A4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E1A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23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BA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5A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6F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60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EDF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8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58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13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750.00</w:t>
            </w:r>
          </w:p>
        </w:tc>
        <w:tc>
          <w:tcPr>
            <w:tcW w:w="10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CA8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A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65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FF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D143B">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1EA0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B1A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C5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F5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DD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750.00</w:t>
            </w:r>
          </w:p>
        </w:tc>
        <w:tc>
          <w:tcPr>
            <w:tcW w:w="10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AFA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AF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2A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6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3E43">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6F01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C49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B6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74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72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72E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11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F8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B2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1F25">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386C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9C1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A2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49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84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F10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0F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8E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B1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0B8BC">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3C7F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3B7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6A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91F7">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6D08">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10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B141C">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6718">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EC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40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0987">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4260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8BD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55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EE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1C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17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31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2F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57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2E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F6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DEB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r>
      <w:tr w14:paraId="7CE0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9F7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8CF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69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A3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开展农村综合改革示范试点</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39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89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E8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B3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F5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DE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BDE1">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3A7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C93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7576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AE5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FA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支持美丽乡村建设数量</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3B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E1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65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FE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77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5E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B723">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0B58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32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BBA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2CD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2A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支持农村公益设施建设数量</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F6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7F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8B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43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7A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31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4766">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437E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938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9BE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D5F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D5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农村综合改革示范点建设工程验收合格率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6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DA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23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29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6C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20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B306">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3FC1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3BC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4FF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90A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F3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农村公益事业建设工程验收合格率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60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40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2D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F5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15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E8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51A2">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3BE6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9FA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91C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A5A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59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美丽乡村建设工程验收合格率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E8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87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78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DA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77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AD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EE67">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3BC7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115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36D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0B8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16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建立健全美丽乡村建设台账</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AB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68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A0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DA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4B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19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BF00">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442D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8E3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ECD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228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CE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截至2023年底，年度农村综合改革转移支付资金执行率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0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90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71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EE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83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AA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C1AF">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7D3C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AB4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DE51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9F7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CC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年度农村综合改革示范点任务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48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5C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基本完成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7F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4C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基本完成</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8F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7A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7E61">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7646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916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F12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F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A7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乡村治理能力</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4A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CD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F47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4E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F4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7F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20B7">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276B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16C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C97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3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02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农村人居环境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37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9C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有效改善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7F3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B7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有效改善</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36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E9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396D">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513F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FA3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596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6E6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BB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通过农村综合改革示范点试验探索的可复制、可推广的机制创新模式</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50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0B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04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87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EA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41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EE80">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1A6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6EC0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4DF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259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23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农村公益事业滚动项目库</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FB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2D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基本建立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E00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AE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基本建立</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D4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90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530F">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3624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990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4CB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C56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DF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项目区农民满意度</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DB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5B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15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80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BE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E3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18B0">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1217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490A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DBE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798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6C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项目区基层干部满意度</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B3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E1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7B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72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66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D1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01E2">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5A0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86A5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1E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6966">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770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r>
      <w:tr w14:paraId="547F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C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62"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6EE028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项目自评得分100分，开展农村综合改革示范试点1个，支持美丽乡村建设1个</w:t>
            </w:r>
          </w:p>
        </w:tc>
      </w:tr>
      <w:tr w14:paraId="1CEC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CB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62"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42680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存在的问题：一是上级奖补资金少；二是外出务工人员多，项目议事程序难度大；三是监督力量薄弱，项目质量不能全面保证。</w:t>
            </w:r>
          </w:p>
        </w:tc>
      </w:tr>
      <w:tr w14:paraId="64DC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34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62"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64B58F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与财政部门加强沟通，争取更多资金，建设更多农村公益设施。</w:t>
            </w:r>
          </w:p>
        </w:tc>
      </w:tr>
      <w:tr w14:paraId="4678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04"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5FEE6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项目负责人：谭鑫</w:t>
            </w:r>
          </w:p>
        </w:tc>
        <w:tc>
          <w:tcPr>
            <w:tcW w:w="23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A41D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财务负责人：唐继秋</w:t>
            </w:r>
          </w:p>
        </w:tc>
      </w:tr>
    </w:tbl>
    <w:p w14:paraId="62A606DB">
      <w:pPr>
        <w:pStyle w:val="7"/>
        <w:keepNext w:val="0"/>
        <w:keepLines w:val="0"/>
        <w:pageBreakBefore w:val="0"/>
        <w:kinsoku/>
        <w:wordWrap/>
        <w:overflowPunct/>
        <w:topLinePunct w:val="0"/>
        <w:autoSpaceDE/>
        <w:autoSpaceDN/>
        <w:bidi w:val="0"/>
        <w:adjustRightInd/>
        <w:snapToGrid/>
        <w:spacing w:before="93"/>
        <w:ind w:firstLine="0" w:firstLineChars="0"/>
        <w:rPr>
          <w:rFonts w:hint="eastAsia"/>
          <w:lang w:val="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868"/>
        <w:gridCol w:w="1166"/>
        <w:gridCol w:w="1074"/>
        <w:gridCol w:w="597"/>
        <w:gridCol w:w="692"/>
        <w:gridCol w:w="581"/>
        <w:gridCol w:w="922"/>
        <w:gridCol w:w="527"/>
        <w:gridCol w:w="753"/>
        <w:gridCol w:w="602"/>
      </w:tblGrid>
      <w:tr w14:paraId="3F91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4A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9B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81A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BD32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51090423T000008839865-遂财农[2022]71号2023年中央财政农田建设补助资金</w:t>
            </w:r>
          </w:p>
        </w:tc>
      </w:tr>
      <w:tr w14:paraId="5A0A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399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281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遂宁市安居区农业农村局部门</w:t>
            </w:r>
          </w:p>
        </w:tc>
        <w:tc>
          <w:tcPr>
            <w:tcW w:w="539" w:type="pct"/>
            <w:tcBorders>
              <w:top w:val="nil"/>
              <w:left w:val="nil"/>
              <w:bottom w:val="nil"/>
              <w:right w:val="nil"/>
            </w:tcBorders>
            <w:shd w:val="clear" w:color="auto" w:fill="auto"/>
            <w:vAlign w:val="center"/>
          </w:tcPr>
          <w:p w14:paraId="4B48F1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r>
              <w:rPr>
                <w:rFonts w:hint="eastAsia" w:ascii="黑体" w:hAnsi="黑体" w:eastAsia="黑体" w:cs="黑体"/>
                <w:i w:val="0"/>
                <w:iCs w:val="0"/>
                <w:color w:val="000000"/>
                <w:kern w:val="0"/>
                <w:sz w:val="18"/>
                <w:szCs w:val="18"/>
                <w:u w:val="none"/>
                <w:lang w:val="en-US" w:eastAsia="zh-CN" w:bidi="ar"/>
              </w:rPr>
              <w:t>）</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47E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遂宁市安居区农业农村局</w:t>
            </w:r>
          </w:p>
        </w:tc>
      </w:tr>
      <w:tr w14:paraId="76E9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F59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19A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2CB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CF6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989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970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048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A67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提高耕地质量，增加耕地面积，扩大农民收益</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F418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基本完成</w:t>
            </w:r>
          </w:p>
        </w:tc>
      </w:tr>
      <w:tr w14:paraId="730B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56D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6D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5"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EDBC7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建设高标准农田4.7万亩、新增节水灌溉0.2万亩</w:t>
            </w:r>
          </w:p>
        </w:tc>
      </w:tr>
      <w:tr w14:paraId="1934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941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B5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EF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B8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56D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70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5E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AF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95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A0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2725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F2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08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3,351.00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D9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3,351.00</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150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19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17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A2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5C19F">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29D1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D5D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B5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AE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3,351.00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BE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3,351.00</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89F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40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1D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90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4171">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173A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162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65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16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F1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4DA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16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3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7D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97B6">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5897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77D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F9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AE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7E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A4E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65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68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B4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66F8">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2DDD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768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89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713F">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6EC5">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BBC3B">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3B42">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D5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F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5931">
            <w:pPr>
              <w:keepNext w:val="0"/>
              <w:keepLines w:val="0"/>
              <w:pageBreakBefore w:val="0"/>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u w:val="none"/>
              </w:rPr>
            </w:pPr>
          </w:p>
        </w:tc>
      </w:tr>
      <w:tr w14:paraId="7757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A00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91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EC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B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C9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B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FE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DC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4F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6B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55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638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467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A87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A53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11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新增高效节水灌溉面积</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1B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AA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50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88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15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9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6ED0">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4D3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C9F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BE2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C34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26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新建高标准农田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51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5D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EE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1F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6A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31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369C">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549F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BE5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EEC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65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E8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53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96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17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05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51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F7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096A">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787A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20D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A91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09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55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任务完成时限</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8A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59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05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E6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EB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DD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88BB">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76F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DB7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33E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59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0A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资金使用无重大违规违纪问题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05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9E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85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88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1D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61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354E">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0582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088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807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4B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99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粮食综合生产能力亩均增加产能</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66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E0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4E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EF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3D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B7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52E9">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2B5E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3F7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E92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B48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67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田间道路通达度平原区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92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F1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5A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03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8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8B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E7CE">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1C00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94B4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1F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02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99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76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67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9B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8A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7D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24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ABD7">
            <w:pPr>
              <w:keepNext w:val="0"/>
              <w:keepLines w:val="0"/>
              <w:pageBreakBefore w:val="0"/>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u w:val="none"/>
              </w:rPr>
            </w:pPr>
          </w:p>
        </w:tc>
      </w:tr>
      <w:tr w14:paraId="6DF2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0AFA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14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93D9">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775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r>
      <w:tr w14:paraId="6410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2B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86AD7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建设高标准农田4.7万亩、新增节水灌溉0.2万亩、验收合格率95%以上、粮食综合生产能力增加5%、田间道路通达度90%、受益群众满意度90%。自评得分100分。</w:t>
            </w:r>
          </w:p>
        </w:tc>
      </w:tr>
      <w:tr w14:paraId="5C4C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4E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E1DCC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资金拨付进度较为缓慢</w:t>
            </w:r>
          </w:p>
        </w:tc>
      </w:tr>
      <w:tr w14:paraId="724E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A9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E7B40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加快资金拨付力度，保证项目建设快速推进</w:t>
            </w:r>
          </w:p>
        </w:tc>
      </w:tr>
      <w:tr w14:paraId="02A8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8"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F5B54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项目负责人：申强</w:t>
            </w:r>
          </w:p>
        </w:tc>
        <w:tc>
          <w:tcPr>
            <w:tcW w:w="23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0B23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财务负责人：唐继秋</w:t>
            </w:r>
          </w:p>
        </w:tc>
      </w:tr>
    </w:tbl>
    <w:p w14:paraId="48F6A9B9">
      <w:pPr>
        <w:pStyle w:val="7"/>
        <w:spacing w:before="93"/>
        <w:ind w:firstLine="0" w:firstLineChars="0"/>
        <w:rPr>
          <w:rFonts w:hint="eastAsia"/>
          <w:lang w:val="zh-CN"/>
        </w:rPr>
      </w:pPr>
    </w:p>
    <w:p w14:paraId="0060BA68">
      <w:pPr>
        <w:rPr>
          <w:rFonts w:hint="eastAsia"/>
          <w:lang w:val="zh-CN"/>
        </w:rPr>
      </w:pPr>
      <w:r>
        <w:rPr>
          <w:rFonts w:hint="eastAsia"/>
          <w:lang w:val="zh-CN"/>
        </w:rPr>
        <w:br w:type="page"/>
      </w:r>
    </w:p>
    <w:p w14:paraId="2BB67674">
      <w:pPr>
        <w:pStyle w:val="7"/>
        <w:spacing w:before="93"/>
        <w:ind w:firstLine="0" w:firstLineChars="0"/>
        <w:rPr>
          <w:rFonts w:hint="eastAsia"/>
          <w:b w:val="0"/>
          <w:bCs w:val="0"/>
          <w:lang w:val="en-US" w:eastAsia="zh-CN"/>
        </w:rPr>
      </w:pPr>
      <w:r>
        <w:rPr>
          <w:rFonts w:hint="eastAsia"/>
          <w:lang w:val="zh-CN"/>
        </w:rPr>
        <w:t>附件</w:t>
      </w:r>
      <w:r>
        <w:rPr>
          <w:rFonts w:hint="eastAsia"/>
          <w:lang w:val="en-US" w:eastAsia="zh-CN"/>
        </w:rPr>
        <w:t xml:space="preserve"> 2        </w:t>
      </w:r>
      <w:r>
        <w:rPr>
          <w:rFonts w:hint="eastAsia"/>
          <w:b w:val="0"/>
          <w:bCs w:val="0"/>
          <w:lang w:val="en-US" w:eastAsia="zh-CN"/>
        </w:rPr>
        <w:t xml:space="preserve"> </w:t>
      </w:r>
    </w:p>
    <w:p w14:paraId="67ADE3EF">
      <w:pPr>
        <w:pStyle w:val="7"/>
        <w:spacing w:before="93"/>
        <w:ind w:firstLine="0" w:firstLineChars="0"/>
        <w:jc w:val="center"/>
        <w:rPr>
          <w:b w:val="0"/>
          <w:bCs w:val="0"/>
          <w:lang w:val="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2023年专项预算项目绩效自评报告</w:t>
      </w:r>
    </w:p>
    <w:p w14:paraId="5425709A">
      <w:pPr>
        <w:pStyle w:val="40"/>
        <w:spacing w:line="600" w:lineRule="exact"/>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lang w:eastAsia="zh-CN"/>
        </w:rPr>
      </w:pPr>
      <w:r>
        <w:rPr>
          <w:rFonts w:hint="eastAsia" w:ascii="方正小标宋简体" w:hAnsi="方正小标宋简体" w:eastAsia="方正小标宋简体" w:cs="方正小标宋简体"/>
          <w:b w:val="0"/>
          <w:bCs w:val="0"/>
          <w:color w:val="auto"/>
          <w:kern w:val="2"/>
          <w:sz w:val="32"/>
          <w:szCs w:val="32"/>
          <w:lang w:eastAsia="zh-CN"/>
        </w:rPr>
        <w:t>（</w:t>
      </w:r>
      <w:r>
        <w:rPr>
          <w:rFonts w:hint="default" w:ascii="方正小标宋简体" w:hAnsi="方正小标宋简体" w:eastAsia="方正小标宋简体" w:cs="方正小标宋简体"/>
          <w:b w:val="0"/>
          <w:bCs w:val="0"/>
          <w:color w:val="auto"/>
          <w:kern w:val="2"/>
          <w:sz w:val="32"/>
          <w:szCs w:val="32"/>
        </w:rPr>
        <w:t>2023年犬只狂犬病防制</w:t>
      </w:r>
      <w:r>
        <w:rPr>
          <w:rFonts w:hint="eastAsia" w:ascii="方正小标宋简体" w:hAnsi="方正小标宋简体" w:eastAsia="方正小标宋简体" w:cs="方正小标宋简体"/>
          <w:b w:val="0"/>
          <w:bCs w:val="0"/>
          <w:color w:val="auto"/>
          <w:kern w:val="2"/>
          <w:sz w:val="32"/>
          <w:szCs w:val="32"/>
          <w:lang w:eastAsia="zh-CN"/>
        </w:rPr>
        <w:t>）</w:t>
      </w:r>
    </w:p>
    <w:p w14:paraId="24CC79AD">
      <w:pPr>
        <w:pStyle w:val="40"/>
        <w:spacing w:line="600" w:lineRule="exact"/>
        <w:ind w:firstLine="640"/>
        <w:jc w:val="center"/>
        <w:rPr>
          <w:rFonts w:ascii="宋体" w:hAnsi="宋体"/>
          <w:color w:val="auto"/>
          <w:kern w:val="2"/>
          <w:sz w:val="32"/>
          <w:szCs w:val="32"/>
        </w:rPr>
      </w:pPr>
    </w:p>
    <w:p w14:paraId="0AC68D6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509740C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i w:val="0"/>
          <w:iCs w:val="0"/>
          <w:color w:val="auto"/>
          <w:sz w:val="32"/>
          <w:szCs w:val="32"/>
          <w:highlight w:val="none"/>
          <w:u w:val="none"/>
          <w:lang w:val="zh-CN"/>
        </w:rPr>
        <w:t>设立背景及</w:t>
      </w:r>
      <w:r>
        <w:rPr>
          <w:rFonts w:hint="default" w:ascii="Times New Roman" w:hAnsi="Times New Roman" w:eastAsia="楷体_GB2312" w:cs="Times New Roman"/>
          <w:b w:val="0"/>
          <w:bCs w:val="0"/>
          <w:sz w:val="32"/>
          <w:szCs w:val="32"/>
        </w:rPr>
        <w:t>项目基本情况</w:t>
      </w:r>
    </w:p>
    <w:p w14:paraId="7C02DC5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lang w:eastAsia="zh-CN"/>
        </w:rPr>
      </w:pPr>
      <w:r>
        <w:rPr>
          <w:rFonts w:hint="default" w:ascii="Times New Roman" w:hAnsi="Times New Roman" w:eastAsia="仿宋_GB2312" w:cs="Times New Roman"/>
          <w:sz w:val="32"/>
          <w:szCs w:val="32"/>
        </w:rPr>
        <w:t>按照《动物防疫法》及《四川省预防控制狂犬病条例》</w:t>
      </w:r>
      <w:r>
        <w:rPr>
          <w:rFonts w:hint="eastAsia" w:cs="Times New Roman"/>
          <w:sz w:val="32"/>
          <w:szCs w:val="32"/>
          <w:lang w:eastAsia="zh-CN"/>
        </w:rPr>
        <w:t>对该项目进行预算，</w:t>
      </w:r>
      <w:r>
        <w:rPr>
          <w:rFonts w:hint="default" w:ascii="Times New Roman" w:hAnsi="Times New Roman" w:eastAsia="仿宋_GB2312" w:cs="Times New Roman"/>
          <w:sz w:val="32"/>
          <w:szCs w:val="32"/>
        </w:rPr>
        <w:t>2023年犬只狂犬病防制</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预算数为</w:t>
      </w:r>
      <w:r>
        <w:rPr>
          <w:rFonts w:hint="eastAsia" w:cs="Times New Roman"/>
          <w:sz w:val="32"/>
          <w:szCs w:val="32"/>
          <w:lang w:val="en-US" w:eastAsia="zh-CN"/>
        </w:rPr>
        <w:t>10</w:t>
      </w:r>
      <w:r>
        <w:rPr>
          <w:rFonts w:hint="default" w:ascii="Times New Roman" w:hAnsi="Times New Roman" w:eastAsia="仿宋_GB2312" w:cs="Times New Roman"/>
          <w:sz w:val="32"/>
          <w:szCs w:val="32"/>
        </w:rPr>
        <w:t>万元，执行数为</w:t>
      </w:r>
      <w:r>
        <w:rPr>
          <w:rFonts w:hint="eastAsia" w:cs="Times New Roman"/>
          <w:sz w:val="32"/>
          <w:szCs w:val="32"/>
          <w:lang w:val="en-US" w:eastAsia="zh-CN"/>
        </w:rPr>
        <w:t>10</w:t>
      </w:r>
      <w:r>
        <w:rPr>
          <w:rFonts w:hint="default" w:ascii="Times New Roman" w:hAnsi="Times New Roman" w:eastAsia="仿宋_GB2312" w:cs="Times New Roman"/>
          <w:sz w:val="32"/>
          <w:szCs w:val="32"/>
        </w:rPr>
        <w:t>万元，完成预算的100%。</w:t>
      </w:r>
      <w:r>
        <w:rPr>
          <w:rFonts w:hint="eastAsia" w:cs="Times New Roman"/>
          <w:sz w:val="32"/>
          <w:szCs w:val="32"/>
          <w:lang w:eastAsia="zh-CN"/>
        </w:rPr>
        <w:t>主要购买狂</w:t>
      </w:r>
      <w:r>
        <w:rPr>
          <w:rFonts w:hint="eastAsia" w:ascii="Times New Roman" w:hAnsi="Times New Roman" w:eastAsia="仿宋_GB2312" w:cs="Times New Roman"/>
          <w:sz w:val="32"/>
          <w:szCs w:val="32"/>
          <w:lang w:eastAsia="zh-CN"/>
        </w:rPr>
        <w:t>犬疫苗，免疫标识牌，以及支付注射费。</w:t>
      </w:r>
    </w:p>
    <w:p w14:paraId="194E036A">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p>
    <w:p w14:paraId="4FD170F4">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zh-CN" w:eastAsia="zh-CN"/>
        </w:rPr>
        <w:t>为保障广大群众生命安全，防止狂犬疫病发生。</w:t>
      </w:r>
    </w:p>
    <w:p w14:paraId="5146C95D">
      <w:pPr>
        <w:pStyle w:val="9"/>
        <w:keepNext w:val="0"/>
        <w:keepLines w:val="0"/>
        <w:pageBreakBefore w:val="0"/>
        <w:widowControl w:val="0"/>
        <w:numPr>
          <w:numId w:val="0"/>
        </w:numPr>
        <w:kinsoku/>
        <w:wordWrap/>
        <w:overflowPunct/>
        <w:topLinePunct w:val="0"/>
        <w:autoSpaceDE/>
        <w:autoSpaceDN/>
        <w:bidi w:val="0"/>
        <w:spacing w:after="0" w:line="576" w:lineRule="exact"/>
        <w:ind w:leftChars="200"/>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eastAsia="楷体_GB2312" w:cs="Times New Roman"/>
          <w:b w:val="0"/>
          <w:bCs w:val="0"/>
          <w:i w:val="0"/>
          <w:iCs w:val="0"/>
          <w:color w:val="auto"/>
          <w:sz w:val="32"/>
          <w:szCs w:val="32"/>
          <w:highlight w:val="none"/>
          <w:u w:val="none"/>
          <w:lang w:val="en-US"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p>
    <w:p w14:paraId="5A9AE93C">
      <w:pPr>
        <w:pStyle w:val="9"/>
        <w:keepNext w:val="0"/>
        <w:keepLines w:val="0"/>
        <w:pageBreakBefore w:val="0"/>
        <w:widowControl w:val="0"/>
        <w:numPr>
          <w:ilvl w:val="0"/>
          <w:numId w:val="0"/>
        </w:numPr>
        <w:kinsoku/>
        <w:wordWrap/>
        <w:overflowPunct/>
        <w:topLinePunct w:val="0"/>
        <w:autoSpaceDE/>
        <w:autoSpaceDN/>
        <w:bidi w:val="0"/>
        <w:spacing w:after="0" w:line="576" w:lineRule="exact"/>
        <w:ind w:firstLine="640" w:firstLineChars="200"/>
        <w:textAlignment w:val="auto"/>
        <w:rPr>
          <w:rFonts w:hint="eastAsia" w:ascii="Times New Roman"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2023年犬只狂犬病防制</w:t>
      </w:r>
      <w:r>
        <w:rPr>
          <w:rFonts w:hint="eastAsia"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预算数为</w:t>
      </w:r>
      <w:r>
        <w:rPr>
          <w:rFonts w:hint="eastAsia"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，严格</w:t>
      </w:r>
      <w:r>
        <w:rPr>
          <w:rFonts w:hint="eastAsia" w:ascii="Times New Roman" w:cs="Times New Roman"/>
          <w:kern w:val="2"/>
          <w:sz w:val="32"/>
          <w:szCs w:val="32"/>
          <w:lang w:val="en-US" w:eastAsia="zh-CN" w:bidi="ar-SA"/>
        </w:rPr>
        <w:t>按</w:t>
      </w:r>
      <w:r>
        <w:rPr>
          <w:rFonts w:hint="eastAsia" w:ascii="Times New Roman" w:hAnsi="Times New Roman" w:eastAsia="仿宋_GB2312" w:cs="Times New Roman"/>
          <w:kern w:val="2"/>
          <w:sz w:val="32"/>
          <w:szCs w:val="32"/>
          <w:lang w:val="en-US" w:eastAsia="zh-CN" w:bidi="ar-SA"/>
        </w:rPr>
        <w:t>照预算项目专款专用</w:t>
      </w:r>
      <w:r>
        <w:rPr>
          <w:rFonts w:hint="eastAsia" w:ascii="Times New Roman" w:cs="Times New Roman"/>
          <w:kern w:val="2"/>
          <w:sz w:val="32"/>
          <w:szCs w:val="32"/>
          <w:lang w:val="en-US" w:eastAsia="zh-CN" w:bidi="ar-SA"/>
        </w:rPr>
        <w:t>。</w:t>
      </w:r>
    </w:p>
    <w:p w14:paraId="3732391A">
      <w:pPr>
        <w:pStyle w:val="9"/>
        <w:keepNext w:val="0"/>
        <w:keepLines w:val="0"/>
        <w:pageBreakBefore w:val="0"/>
        <w:widowControl w:val="0"/>
        <w:numPr>
          <w:numId w:val="0"/>
        </w:numPr>
        <w:kinsoku/>
        <w:wordWrap/>
        <w:overflowPunct/>
        <w:topLinePunct w:val="0"/>
        <w:autoSpaceDE/>
        <w:autoSpaceDN/>
        <w:bidi w:val="0"/>
        <w:spacing w:after="0" w:line="576" w:lineRule="exact"/>
        <w:ind w:leftChars="200"/>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eastAsia="楷体_GB2312" w:cs="Times New Roman"/>
          <w:b w:val="0"/>
          <w:bCs w:val="0"/>
          <w:i w:val="0"/>
          <w:iCs w:val="0"/>
          <w:color w:val="auto"/>
          <w:sz w:val="32"/>
          <w:szCs w:val="32"/>
          <w:highlight w:val="none"/>
          <w:u w:val="none"/>
          <w:lang w:val="zh-CN" w:eastAsia="zh-CN"/>
        </w:rPr>
        <w:t>（</w:t>
      </w:r>
      <w:r>
        <w:rPr>
          <w:rFonts w:hint="eastAsia" w:ascii="Times New Roman" w:eastAsia="楷体_GB2312" w:cs="Times New Roman"/>
          <w:b w:val="0"/>
          <w:bCs w:val="0"/>
          <w:i w:val="0"/>
          <w:iCs w:val="0"/>
          <w:color w:val="auto"/>
          <w:sz w:val="32"/>
          <w:szCs w:val="32"/>
          <w:highlight w:val="none"/>
          <w:u w:val="none"/>
          <w:lang w:val="en-US" w:eastAsia="zh-CN"/>
        </w:rPr>
        <w:t>四</w:t>
      </w:r>
      <w:r>
        <w:rPr>
          <w:rFonts w:hint="eastAsia" w:ascii="Times New Roman" w:eastAsia="楷体_GB2312" w:cs="Times New Roman"/>
          <w:b w:val="0"/>
          <w:bCs w:val="0"/>
          <w:i w:val="0"/>
          <w:iCs w:val="0"/>
          <w:color w:val="auto"/>
          <w:sz w:val="32"/>
          <w:szCs w:val="32"/>
          <w:highlight w:val="none"/>
          <w:u w:val="none"/>
          <w:lang w:val="zh-CN" w:eastAsia="zh-CN"/>
        </w:rPr>
        <w:t>）</w:t>
      </w:r>
      <w:r>
        <w:rPr>
          <w:rFonts w:hint="default" w:ascii="Times New Roman" w:hAnsi="Times New Roman" w:eastAsia="楷体_GB2312" w:cs="Times New Roman"/>
          <w:b w:val="0"/>
          <w:bCs w:val="0"/>
          <w:i w:val="0"/>
          <w:iCs w:val="0"/>
          <w:color w:val="auto"/>
          <w:sz w:val="32"/>
          <w:szCs w:val="32"/>
          <w:highlight w:val="none"/>
          <w:u w:val="none"/>
          <w:lang w:val="zh-CN" w:eastAsia="zh-CN"/>
        </w:rPr>
        <w:t>项目绩效目标设置</w:t>
      </w:r>
    </w:p>
    <w:p w14:paraId="3998C46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项目绩效目标设置</w:t>
      </w:r>
      <w:r>
        <w:rPr>
          <w:rFonts w:hint="eastAsia" w:ascii="Times New Roman" w:hAnsi="Times New Roman" w:eastAsia="仿宋_GB2312" w:cs="Times New Roman"/>
          <w:kern w:val="2"/>
          <w:sz w:val="32"/>
          <w:szCs w:val="32"/>
          <w:lang w:val="zh-CN" w:eastAsia="zh-CN" w:bidi="ar-SA"/>
        </w:rPr>
        <w:t>犬只免疫率达到</w:t>
      </w:r>
      <w:r>
        <w:rPr>
          <w:rFonts w:hint="eastAsia" w:ascii="Times New Roman" w:hAnsi="Times New Roman" w:eastAsia="仿宋_GB2312" w:cs="Times New Roman"/>
          <w:kern w:val="2"/>
          <w:sz w:val="32"/>
          <w:szCs w:val="32"/>
          <w:lang w:val="en-US" w:eastAsia="zh-CN" w:bidi="ar-SA"/>
        </w:rPr>
        <w:t>85%以上，狂犬病防疫程度有所提升。</w:t>
      </w:r>
      <w:r>
        <w:rPr>
          <w:rFonts w:hint="default" w:ascii="Times New Roman" w:hAnsi="Times New Roman" w:eastAsia="仿宋_GB2312" w:cs="Times New Roman"/>
          <w:kern w:val="2"/>
          <w:sz w:val="32"/>
          <w:szCs w:val="32"/>
          <w:lang w:val="en-US" w:eastAsia="zh-CN" w:bidi="ar-SA"/>
        </w:rPr>
        <w:t>通过项目实施，安居区犬只狂犬病应免密度达到</w:t>
      </w:r>
      <w:r>
        <w:rPr>
          <w:rFonts w:hint="eastAsia" w:ascii="Times New Roman" w:hAnsi="Times New Roman" w:eastAsia="仿宋_GB2312" w:cs="Times New Roman"/>
          <w:kern w:val="2"/>
          <w:sz w:val="32"/>
          <w:szCs w:val="32"/>
          <w:lang w:val="en-US" w:eastAsia="zh-CN" w:bidi="ar-SA"/>
        </w:rPr>
        <w:t>90</w:t>
      </w:r>
      <w:r>
        <w:rPr>
          <w:rFonts w:hint="default" w:ascii="Times New Roman" w:hAnsi="Times New Roman" w:eastAsia="仿宋_GB2312" w:cs="Times New Roman"/>
          <w:kern w:val="2"/>
          <w:sz w:val="32"/>
          <w:szCs w:val="32"/>
          <w:lang w:val="en-US" w:eastAsia="zh-CN" w:bidi="ar-SA"/>
        </w:rPr>
        <w:t>%，抗体合格率达到75%以上。</w:t>
      </w:r>
    </w:p>
    <w:p w14:paraId="77726F8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0D5E1756">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p>
    <w:p w14:paraId="5CDE7651">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eastAsia="仿宋_GB2312" w:cs="Times New Roman"/>
          <w:kern w:val="2"/>
          <w:sz w:val="32"/>
          <w:szCs w:val="32"/>
          <w:lang w:val="en-US" w:eastAsia="zh-CN" w:bidi="ar-SA"/>
        </w:rPr>
        <w:t>狂犬病防疫程度有所提升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78E2338">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left="8" w:leftChars="0" w:firstLine="632" w:firstLineChars="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预设问题及评价重点</w:t>
      </w:r>
    </w:p>
    <w:p w14:paraId="72EA8C4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资金支出使用全过程</w:t>
      </w:r>
      <w:r>
        <w:rPr>
          <w:rFonts w:hint="eastAsia" w:ascii="Times New Roman" w:hAnsi="Times New Roman" w:cs="Times New Roman"/>
          <w:b w:val="0"/>
          <w:bCs w:val="0"/>
          <w:i w:val="0"/>
          <w:iCs w:val="0"/>
          <w:kern w:val="0"/>
          <w:position w:val="0"/>
          <w:sz w:val="32"/>
          <w:szCs w:val="32"/>
          <w:highlight w:val="none"/>
          <w:lang w:val="zh-CN" w:eastAsia="zh-CN" w:bidi="ar-SA"/>
        </w:rPr>
        <w:t>都符合项目实施内容，无违规违纪问题。通过项目实施</w:t>
      </w:r>
      <w:r>
        <w:rPr>
          <w:rFonts w:hint="eastAsia"/>
          <w:lang w:eastAsia="zh-CN"/>
        </w:rPr>
        <w:t>保障了广大群众生命安全，防止狂犬疫病发生。</w:t>
      </w:r>
    </w:p>
    <w:p w14:paraId="4610F01A">
      <w:pPr>
        <w:keepNext w:val="0"/>
        <w:keepLines w:val="0"/>
        <w:pageBreakBefore w:val="0"/>
        <w:widowControl w:val="0"/>
        <w:numPr>
          <w:numId w:val="0"/>
        </w:numPr>
        <w:kinsoku/>
        <w:wordWrap/>
        <w:overflowPunct/>
        <w:topLinePunct w:val="0"/>
        <w:autoSpaceDE/>
        <w:autoSpaceDN/>
        <w:bidi w:val="0"/>
        <w:adjustRightInd w:val="0"/>
        <w:snapToGrid w:val="0"/>
        <w:spacing w:line="576" w:lineRule="exact"/>
        <w:ind w:left="640" w:leftChars="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三</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评价选点</w:t>
      </w:r>
    </w:p>
    <w:p w14:paraId="4CC7DBA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640" w:leftChars="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kern w:val="0"/>
          <w:position w:val="0"/>
          <w:sz w:val="32"/>
          <w:szCs w:val="32"/>
          <w:highlight w:val="none"/>
          <w:lang w:val="zh-CN" w:eastAsia="zh-CN" w:bidi="ar-SA"/>
        </w:rPr>
        <w:t>评价选点在区内各乡镇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49098510">
      <w:pPr>
        <w:keepNext w:val="0"/>
        <w:keepLines w:val="0"/>
        <w:pageBreakBefore w:val="0"/>
        <w:widowControl w:val="0"/>
        <w:numPr>
          <w:numId w:val="0"/>
        </w:numPr>
        <w:kinsoku/>
        <w:wordWrap/>
        <w:overflowPunct/>
        <w:topLinePunct w:val="0"/>
        <w:autoSpaceDE/>
        <w:autoSpaceDN/>
        <w:bidi w:val="0"/>
        <w:spacing w:line="576" w:lineRule="exact"/>
        <w:ind w:left="640" w:leftChars="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四</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评价方法</w:t>
      </w:r>
    </w:p>
    <w:p w14:paraId="7A0D67DF">
      <w:pPr>
        <w:keepNext w:val="0"/>
        <w:keepLines w:val="0"/>
        <w:pageBreakBefore w:val="0"/>
        <w:widowControl w:val="0"/>
        <w:numPr>
          <w:ilvl w:val="0"/>
          <w:numId w:val="0"/>
        </w:numPr>
        <w:kinsoku/>
        <w:wordWrap/>
        <w:overflowPunct/>
        <w:topLinePunct w:val="0"/>
        <w:autoSpaceDE/>
        <w:autoSpaceDN/>
        <w:bidi w:val="0"/>
        <w:spacing w:line="576" w:lineRule="exact"/>
        <w:ind w:left="640" w:leftChars="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根据项目情况和评价重点，采用单位自评法。</w:t>
      </w:r>
    </w:p>
    <w:p w14:paraId="07355E98">
      <w:pPr>
        <w:keepNext w:val="0"/>
        <w:keepLines w:val="0"/>
        <w:pageBreakBefore w:val="0"/>
        <w:widowControl w:val="0"/>
        <w:numPr>
          <w:numId w:val="0"/>
        </w:numPr>
        <w:kinsoku/>
        <w:wordWrap/>
        <w:overflowPunct/>
        <w:topLinePunct w:val="0"/>
        <w:autoSpaceDE/>
        <w:autoSpaceDN/>
        <w:bidi w:val="0"/>
        <w:spacing w:line="576" w:lineRule="exact"/>
        <w:ind w:left="640" w:leftChars="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五</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评价组织</w:t>
      </w:r>
    </w:p>
    <w:p w14:paraId="762292FF">
      <w:pPr>
        <w:keepNext w:val="0"/>
        <w:keepLines w:val="0"/>
        <w:pageBreakBefore w:val="0"/>
        <w:widowControl w:val="0"/>
        <w:numPr>
          <w:ilvl w:val="0"/>
          <w:numId w:val="0"/>
        </w:numPr>
        <w:kinsoku/>
        <w:wordWrap/>
        <w:overflowPunct/>
        <w:topLinePunct w:val="0"/>
        <w:autoSpaceDE/>
        <w:autoSpaceDN/>
        <w:bidi w:val="0"/>
        <w:spacing w:line="576" w:lineRule="exact"/>
        <w:ind w:left="640" w:leftChars="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评价组人员</w:t>
      </w:r>
      <w:r>
        <w:rPr>
          <w:rFonts w:hint="eastAsia" w:ascii="Times New Roman" w:hAnsi="Times New Roman" w:cs="Times New Roman"/>
          <w:b w:val="0"/>
          <w:bCs w:val="0"/>
          <w:i w:val="0"/>
          <w:iCs w:val="0"/>
          <w:kern w:val="0"/>
          <w:position w:val="0"/>
          <w:sz w:val="32"/>
          <w:szCs w:val="32"/>
          <w:highlight w:val="none"/>
          <w:lang w:val="zh-CN" w:eastAsia="zh-CN" w:bidi="ar-SA"/>
        </w:rPr>
        <w:t>由动物疫病防治中心覃丽负责组织该股室人员评价</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16EFED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79968FE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p>
    <w:p w14:paraId="3FF0529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color w:val="auto"/>
          <w:sz w:val="32"/>
          <w:szCs w:val="32"/>
          <w:lang w:eastAsia="zh-CN"/>
        </w:rPr>
        <w:t>该项目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决策程序、资金投向</w:t>
      </w:r>
      <w:r>
        <w:rPr>
          <w:rFonts w:hint="eastAsia" w:ascii="Times New Roman" w:hAnsi="Times New Roman" w:cs="Times New Roman"/>
          <w:b w:val="0"/>
          <w:bCs w:val="0"/>
          <w:i w:val="0"/>
          <w:iCs w:val="0"/>
          <w:kern w:val="0"/>
          <w:position w:val="0"/>
          <w:sz w:val="32"/>
          <w:szCs w:val="32"/>
          <w:highlight w:val="none"/>
          <w:lang w:val="zh-CN" w:eastAsia="zh-CN" w:bidi="ar-SA"/>
        </w:rPr>
        <w:t>都按照既定方案执行</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91E320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b w:val="0"/>
          <w:bCs w:val="0"/>
          <w:i w:val="0"/>
          <w:iCs w:val="0"/>
          <w:color w:val="auto"/>
          <w:sz w:val="32"/>
          <w:szCs w:val="32"/>
          <w:lang w:eastAsia="zh-CN"/>
        </w:rPr>
      </w:pPr>
      <w:r>
        <w:rPr>
          <w:rFonts w:hint="eastAsia" w:ascii="Times New Roman" w:hAnsi="Times New Roman"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p>
    <w:p w14:paraId="0D570B2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kern w:val="0"/>
          <w:position w:val="0"/>
          <w:sz w:val="32"/>
          <w:szCs w:val="32"/>
          <w:highlight w:val="none"/>
          <w:lang w:val="zh-CN" w:eastAsia="zh-CN" w:bidi="ar-SA"/>
        </w:rPr>
        <w:t>项目专款专用</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cs="Times New Roman"/>
          <w:b w:val="0"/>
          <w:bCs w:val="0"/>
          <w:i w:val="0"/>
          <w:iCs w:val="0"/>
          <w:kern w:val="0"/>
          <w:position w:val="0"/>
          <w:sz w:val="32"/>
          <w:szCs w:val="32"/>
          <w:highlight w:val="none"/>
          <w:lang w:val="zh-CN" w:eastAsia="zh-CN" w:bidi="ar-SA"/>
        </w:rPr>
        <w:t>进行了事前、事中</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绩效监管</w:t>
      </w:r>
      <w:r>
        <w:rPr>
          <w:rFonts w:hint="eastAsia" w:ascii="Times New Roman" w:hAnsi="Times New Roman" w:cs="Times New Roman"/>
          <w:b w:val="0"/>
          <w:bCs w:val="0"/>
          <w:i w:val="0"/>
          <w:iCs w:val="0"/>
          <w:kern w:val="0"/>
          <w:position w:val="0"/>
          <w:sz w:val="32"/>
          <w:szCs w:val="32"/>
          <w:highlight w:val="none"/>
          <w:lang w:val="zh-CN" w:eastAsia="zh-CN" w:bidi="ar-SA"/>
        </w:rPr>
        <w:t>及事后绩效评价</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A0E07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p>
    <w:p w14:paraId="5A1D8EE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kern w:val="0"/>
          <w:position w:val="0"/>
          <w:sz w:val="32"/>
          <w:szCs w:val="32"/>
          <w:highlight w:val="none"/>
          <w:lang w:val="zh-CN" w:eastAsia="zh-CN" w:bidi="ar-SA"/>
        </w:rPr>
        <w:t>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预算执行</w:t>
      </w:r>
      <w:r>
        <w:rPr>
          <w:rFonts w:hint="eastAsia" w:ascii="Times New Roman" w:hAnsi="Times New Roman" w:cs="Times New Roman"/>
          <w:b w:val="0"/>
          <w:bCs w:val="0"/>
          <w:i w:val="0"/>
          <w:iCs w:val="0"/>
          <w:kern w:val="0"/>
          <w:position w:val="0"/>
          <w:sz w:val="32"/>
          <w:szCs w:val="32"/>
          <w:highlight w:val="none"/>
          <w:lang w:val="zh-CN" w:eastAsia="zh-CN" w:bidi="ar-SA"/>
        </w:rPr>
        <w:t>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eastAsia" w:ascii="Times New Roman" w:hAnsi="Times New Roman"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资金使用</w:t>
      </w:r>
      <w:r>
        <w:rPr>
          <w:rFonts w:hint="eastAsia" w:ascii="Times New Roman" w:hAnsi="Times New Roman" w:cs="Times New Roman"/>
          <w:b w:val="0"/>
          <w:bCs w:val="0"/>
          <w:i w:val="0"/>
          <w:iCs w:val="0"/>
          <w:kern w:val="0"/>
          <w:position w:val="0"/>
          <w:sz w:val="32"/>
          <w:szCs w:val="32"/>
          <w:highlight w:val="none"/>
          <w:lang w:val="zh-CN" w:eastAsia="zh-CN" w:bidi="ar-SA"/>
        </w:rPr>
        <w:t>达到预期效果</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395BEA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en-US" w:eastAsia="zh-CN"/>
        </w:rPr>
        <w:t>项目结果</w:t>
      </w:r>
    </w:p>
    <w:p w14:paraId="425FAC5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kern w:val="0"/>
          <w:position w:val="0"/>
          <w:sz w:val="32"/>
          <w:szCs w:val="32"/>
          <w:highlight w:val="none"/>
          <w:lang w:val="zh-CN" w:eastAsia="zh-CN" w:bidi="ar-SA"/>
        </w:rPr>
        <w:t>项目设定</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完成、</w:t>
      </w:r>
      <w:r>
        <w:rPr>
          <w:rFonts w:hint="eastAsia" w:ascii="Times New Roman" w:hAnsi="Times New Roman" w:cs="Times New Roman"/>
          <w:b w:val="0"/>
          <w:bCs w:val="0"/>
          <w:i w:val="0"/>
          <w:iCs w:val="0"/>
          <w:kern w:val="0"/>
          <w:position w:val="0"/>
          <w:sz w:val="32"/>
          <w:szCs w:val="32"/>
          <w:highlight w:val="none"/>
          <w:lang w:val="zh-CN" w:eastAsia="zh-CN" w:bidi="ar-SA"/>
        </w:rPr>
        <w:t>按照规定时间</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完成。</w:t>
      </w:r>
    </w:p>
    <w:p w14:paraId="2C5A40B1">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2E18FE8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2023年犬只狂犬病防制</w:t>
      </w:r>
      <w:r>
        <w:rPr>
          <w:rFonts w:hint="eastAsia" w:ascii="Times New Roman" w:hAnsi="Times New Roman" w:eastAsia="仿宋_GB2312" w:cs="Times New Roman"/>
          <w:sz w:val="32"/>
          <w:szCs w:val="32"/>
          <w:lang w:eastAsia="zh-CN"/>
        </w:rPr>
        <w:t>项目</w:t>
      </w:r>
      <w:r>
        <w:rPr>
          <w:rFonts w:hint="eastAsia"/>
          <w:lang w:eastAsia="zh-CN"/>
        </w:rPr>
        <w:t>保障了广大群众生命安全，防止狂犬疫病发生。在规定时间内，</w:t>
      </w:r>
      <w:r>
        <w:rPr>
          <w:rFonts w:hint="eastAsia" w:ascii="Times New Roman" w:hAnsi="Times New Roman" w:cs="Times New Roman"/>
          <w:b w:val="0"/>
          <w:bCs w:val="0"/>
          <w:i w:val="0"/>
          <w:iCs w:val="0"/>
          <w:kern w:val="0"/>
          <w:position w:val="0"/>
          <w:sz w:val="32"/>
          <w:szCs w:val="32"/>
          <w:highlight w:val="none"/>
          <w:lang w:val="zh-CN" w:eastAsia="zh-CN" w:bidi="ar-SA"/>
        </w:rPr>
        <w:t>项目设定</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完成。</w:t>
      </w:r>
      <w:r>
        <w:rPr>
          <w:rFonts w:hint="default" w:ascii="Times New Roman" w:hAnsi="Times New Roman" w:eastAsia="仿宋_GB2312" w:cs="Times New Roman"/>
          <w:kern w:val="2"/>
          <w:sz w:val="32"/>
          <w:szCs w:val="32"/>
          <w:lang w:val="en-US" w:eastAsia="zh-CN" w:bidi="ar-SA"/>
        </w:rPr>
        <w:t>通过项目实施，安居区犬只狂犬病应免密度达到</w:t>
      </w:r>
      <w:r>
        <w:rPr>
          <w:rFonts w:hint="eastAsia" w:ascii="Times New Roman" w:hAnsi="Times New Roman" w:eastAsia="仿宋_GB2312" w:cs="Times New Roman"/>
          <w:kern w:val="2"/>
          <w:sz w:val="32"/>
          <w:szCs w:val="32"/>
          <w:lang w:val="en-US" w:eastAsia="zh-CN" w:bidi="ar-SA"/>
        </w:rPr>
        <w:t>90</w:t>
      </w:r>
      <w:r>
        <w:rPr>
          <w:rFonts w:hint="default" w:ascii="Times New Roman" w:hAnsi="Times New Roman" w:eastAsia="仿宋_GB2312" w:cs="Times New Roman"/>
          <w:kern w:val="2"/>
          <w:sz w:val="32"/>
          <w:szCs w:val="32"/>
          <w:lang w:val="en-US" w:eastAsia="zh-CN" w:bidi="ar-SA"/>
        </w:rPr>
        <w:t>%，抗体合格率达到75%以上。</w:t>
      </w:r>
    </w:p>
    <w:p w14:paraId="632D5CB4">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1FE1650C">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资金有限，导致免疫密度不够，无法做到应免尽免。</w:t>
      </w:r>
    </w:p>
    <w:p w14:paraId="1133E240">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2D06C900">
      <w:pPr>
        <w:keepNext w:val="0"/>
        <w:keepLines w:val="0"/>
        <w:pageBreakBefore w:val="0"/>
        <w:widowControl w:val="0"/>
        <w:tabs>
          <w:tab w:val="left" w:pos="1911"/>
        </w:tabs>
        <w:kinsoku/>
        <w:wordWrap/>
        <w:overflowPunct/>
        <w:topLinePunct w:val="0"/>
        <w:autoSpaceDE/>
        <w:autoSpaceDN/>
        <w:bidi w:val="0"/>
        <w:spacing w:line="576" w:lineRule="exact"/>
        <w:jc w:val="left"/>
        <w:textAlignment w:val="auto"/>
        <w:rPr>
          <w:rFonts w:hint="eastAsia" w:ascii="Times New Roman" w:hAnsi="Times New Roman"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与财政部门加强沟通，争取更多资金，提高免疫率，做到应免尽免。</w:t>
      </w:r>
    </w:p>
    <w:p w14:paraId="3282A8BC">
      <w:pPr>
        <w:pStyle w:val="2"/>
        <w:rPr>
          <w:rFonts w:hint="default"/>
          <w:lang w:val="en" w:eastAsia="zh-CN"/>
        </w:rPr>
      </w:pPr>
    </w:p>
    <w:p w14:paraId="32B36C20">
      <w:pPr>
        <w:pStyle w:val="15"/>
        <w:rPr>
          <w:rFonts w:hint="default"/>
          <w:lang w:val="en-US" w:eastAsia="zh-CN"/>
        </w:rPr>
      </w:pPr>
    </w:p>
    <w:p w14:paraId="59AFFBA5">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0CD80ECD">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32A63FC9">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5117A643">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4C063884">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2E6DF906">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1DFB7AC7">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7024B4C6">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42BBFBA1">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7AD56093">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63666800">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7685F10D">
      <w:pPr>
        <w:pStyle w:val="7"/>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en-US" w:eastAsia="zh-CN"/>
        </w:rPr>
      </w:pPr>
    </w:p>
    <w:p w14:paraId="21423789">
      <w:pPr>
        <w:pStyle w:val="7"/>
        <w:pageBreakBefore w:val="0"/>
        <w:kinsoku/>
        <w:wordWrap/>
        <w:overflowPunct/>
        <w:topLinePunct w:val="0"/>
        <w:autoSpaceDE/>
        <w:autoSpaceDN/>
        <w:bidi w:val="0"/>
        <w:spacing w:beforeLines="0" w:line="576" w:lineRule="exact"/>
        <w:ind w:firstLine="1600" w:firstLineChars="500"/>
        <w:textAlignment w:val="auto"/>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2023年专项预算项目绩效自评报告</w:t>
      </w:r>
    </w:p>
    <w:p w14:paraId="7FA7BA03">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简体" w:cs="Times New Roman"/>
          <w:b/>
          <w:bCs/>
          <w:sz w:val="32"/>
          <w:szCs w:val="32"/>
          <w:lang w:eastAsia="zh-CN"/>
        </w:rPr>
      </w:pPr>
      <w:r>
        <w:rPr>
          <w:rFonts w:hint="eastAsia" w:ascii="Times New Roman" w:hAnsi="Times New Roman" w:eastAsia="方正小标宋简体" w:cs="Times New Roman"/>
          <w:b/>
          <w:bCs/>
          <w:sz w:val="32"/>
          <w:szCs w:val="32"/>
          <w:lang w:eastAsia="zh-CN"/>
        </w:rPr>
        <w:t>（</w:t>
      </w:r>
      <w:r>
        <w:rPr>
          <w:rFonts w:hint="default" w:ascii="Times New Roman" w:hAnsi="Times New Roman" w:eastAsia="方正小标宋简体" w:cs="Times New Roman"/>
          <w:b/>
          <w:bCs/>
          <w:sz w:val="32"/>
          <w:szCs w:val="32"/>
        </w:rPr>
        <w:t>项目前期工作经费</w:t>
      </w:r>
      <w:r>
        <w:rPr>
          <w:rFonts w:hint="eastAsia" w:ascii="Times New Roman" w:hAnsi="Times New Roman" w:eastAsia="方正小标宋简体" w:cs="Times New Roman"/>
          <w:b/>
          <w:bCs/>
          <w:sz w:val="32"/>
          <w:szCs w:val="32"/>
          <w:lang w:eastAsia="zh-CN"/>
        </w:rPr>
        <w:t>）</w:t>
      </w:r>
    </w:p>
    <w:p w14:paraId="1212D35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4AF6946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14:paraId="12414C5F">
      <w:pPr>
        <w:pStyle w:val="15"/>
        <w:pageBreakBefore w:val="0"/>
        <w:kinsoku/>
        <w:wordWrap/>
        <w:overflowPunct/>
        <w:topLinePunct w:val="0"/>
        <w:autoSpaceDE/>
        <w:autoSpaceDN/>
        <w:bidi w:val="0"/>
        <w:spacing w:line="576" w:lineRule="exact"/>
        <w:textAlignment w:val="auto"/>
        <w:rPr>
          <w:rFonts w:hint="eastAsia" w:eastAsia="仿宋_GB2312"/>
          <w:sz w:val="32"/>
          <w:szCs w:val="32"/>
          <w:lang w:val="en-US" w:eastAsia="zh-CN"/>
        </w:rPr>
      </w:pPr>
      <w:r>
        <w:rPr>
          <w:rFonts w:hint="eastAsia" w:ascii="Times New Roman" w:hAnsi="Times New Roman" w:eastAsia="仿宋_GB2312" w:cs="Times New Roman"/>
          <w:sz w:val="32"/>
          <w:szCs w:val="32"/>
          <w:lang w:val="zh-CN"/>
        </w:rPr>
        <w:t>由于本单位</w:t>
      </w:r>
      <w:r>
        <w:rPr>
          <w:rFonts w:hint="eastAsia" w:cs="Times New Roman"/>
          <w:sz w:val="32"/>
          <w:szCs w:val="32"/>
          <w:lang w:val="zh-CN"/>
        </w:rPr>
        <w:t>中省市上级下达</w:t>
      </w:r>
      <w:r>
        <w:rPr>
          <w:rFonts w:hint="eastAsia" w:ascii="Times New Roman" w:hAnsi="Times New Roman" w:eastAsia="仿宋_GB2312" w:cs="Times New Roman"/>
          <w:sz w:val="32"/>
          <w:szCs w:val="32"/>
          <w:lang w:val="zh-CN"/>
        </w:rPr>
        <w:t>项目较多，无专门用于项目</w:t>
      </w:r>
      <w:r>
        <w:rPr>
          <w:rFonts w:hint="eastAsia" w:cs="Times New Roman"/>
          <w:sz w:val="32"/>
          <w:szCs w:val="32"/>
          <w:lang w:val="zh-CN"/>
        </w:rPr>
        <w:t>实施</w:t>
      </w:r>
      <w:r>
        <w:rPr>
          <w:rFonts w:hint="eastAsia" w:ascii="Times New Roman" w:hAnsi="Times New Roman" w:eastAsia="仿宋_GB2312" w:cs="Times New Roman"/>
          <w:sz w:val="32"/>
          <w:szCs w:val="32"/>
          <w:lang w:val="zh-CN"/>
        </w:rPr>
        <w:t>的管理费，而项目实施前需要立项，论证等项目前期经费，故</w:t>
      </w:r>
      <w:r>
        <w:rPr>
          <w:rFonts w:hint="eastAsia" w:ascii="Times New Roman" w:hAnsi="Times New Roman" w:eastAsia="仿宋_GB2312" w:cs="Times New Roman"/>
          <w:sz w:val="32"/>
          <w:szCs w:val="32"/>
          <w:lang w:val="en-US" w:eastAsia="zh-CN"/>
        </w:rPr>
        <w:t>2023年预算了项目前期工作经费5万元，</w:t>
      </w:r>
      <w:r>
        <w:rPr>
          <w:rFonts w:hint="default" w:ascii="Times New Roman" w:hAnsi="Times New Roman" w:eastAsia="仿宋_GB2312" w:cs="Times New Roman"/>
          <w:sz w:val="32"/>
          <w:szCs w:val="32"/>
        </w:rPr>
        <w:t>执行数为</w:t>
      </w:r>
      <w:r>
        <w:rPr>
          <w:rFonts w:hint="eastAsia" w:cs="Times New Roman"/>
          <w:sz w:val="32"/>
          <w:szCs w:val="32"/>
          <w:lang w:val="en-US" w:eastAsia="zh-CN"/>
        </w:rPr>
        <w:t>5</w:t>
      </w:r>
      <w:r>
        <w:rPr>
          <w:rFonts w:hint="default" w:ascii="Times New Roman" w:hAnsi="Times New Roman" w:eastAsia="仿宋_GB2312" w:cs="Times New Roman"/>
          <w:sz w:val="32"/>
          <w:szCs w:val="32"/>
        </w:rPr>
        <w:t>万元，完成预算的100%。</w:t>
      </w:r>
      <w:r>
        <w:rPr>
          <w:rFonts w:hint="eastAsia" w:cs="Times New Roman"/>
          <w:sz w:val="32"/>
          <w:szCs w:val="32"/>
          <w:lang w:eastAsia="zh-CN"/>
        </w:rPr>
        <w:t>用于项目前期工作经费开支。</w:t>
      </w:r>
    </w:p>
    <w:p w14:paraId="7B08C8F0">
      <w:pPr>
        <w:keepNext w:val="0"/>
        <w:keepLines w:val="0"/>
        <w:pageBreakBefore w:val="0"/>
        <w:numPr>
          <w:numId w:val="0"/>
        </w:numPr>
        <w:kinsoku/>
        <w:wordWrap/>
        <w:overflowPunct/>
        <w:topLinePunct w:val="0"/>
        <w:autoSpaceDE/>
        <w:autoSpaceDN/>
        <w:bidi w:val="0"/>
        <w:adjustRightInd w:val="0"/>
        <w:snapToGrid w:val="0"/>
        <w:spacing w:line="576" w:lineRule="exact"/>
        <w:ind w:leftChars="200"/>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p>
    <w:p w14:paraId="5748E49A">
      <w:pPr>
        <w:pStyle w:val="15"/>
        <w:pageBreakBefore w:val="0"/>
        <w:numPr>
          <w:ilvl w:val="0"/>
          <w:numId w:val="0"/>
        </w:numPr>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lang w:val="en-US" w:eastAsia="zh-CN"/>
        </w:rPr>
      </w:pPr>
      <w:r>
        <w:rPr>
          <w:rFonts w:hint="eastAsia"/>
          <w:sz w:val="32"/>
          <w:szCs w:val="32"/>
          <w:lang w:val="en-US" w:eastAsia="zh-CN"/>
        </w:rPr>
        <w:t xml:space="preserve">     </w:t>
      </w:r>
      <w:r>
        <w:rPr>
          <w:rFonts w:hint="eastAsia" w:ascii="Times New Roman" w:hAnsi="Times New Roman" w:eastAsia="仿宋_GB2312" w:cs="Times New Roman"/>
          <w:sz w:val="32"/>
          <w:szCs w:val="32"/>
          <w:lang w:val="en-US" w:eastAsia="zh-CN"/>
        </w:rPr>
        <w:t>项目资金完全用于项目前期经费开支</w:t>
      </w:r>
      <w:r>
        <w:rPr>
          <w:rFonts w:hint="eastAsia" w:cs="Times New Roman"/>
          <w:sz w:val="32"/>
          <w:szCs w:val="32"/>
          <w:lang w:val="en-US" w:eastAsia="zh-CN"/>
        </w:rPr>
        <w:t>。</w:t>
      </w:r>
    </w:p>
    <w:p w14:paraId="78CED459">
      <w:pPr>
        <w:keepNext w:val="0"/>
        <w:keepLines w:val="0"/>
        <w:pageBreakBefore w:val="0"/>
        <w:widowControl/>
        <w:numPr>
          <w:numId w:val="0"/>
        </w:numPr>
        <w:kinsoku/>
        <w:wordWrap/>
        <w:overflowPunct/>
        <w:topLinePunct w:val="0"/>
        <w:autoSpaceDE/>
        <w:autoSpaceDN/>
        <w:bidi w:val="0"/>
        <w:adjustRightInd w:val="0"/>
        <w:snapToGrid w:val="0"/>
        <w:spacing w:line="576" w:lineRule="exact"/>
        <w:ind w:left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eastAsia="楷体_GB2312" w:cs="Times New Roman"/>
          <w:b w:val="0"/>
          <w:bCs w:val="0"/>
          <w:i w:val="0"/>
          <w:iCs w:val="0"/>
          <w:color w:val="auto"/>
          <w:sz w:val="32"/>
          <w:szCs w:val="32"/>
          <w:highlight w:val="none"/>
          <w:u w:val="none"/>
          <w:lang w:val="en-US"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p>
    <w:p w14:paraId="4F550ECC">
      <w:pPr>
        <w:pStyle w:val="15"/>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项目预算安排</w:t>
      </w:r>
      <w:r>
        <w:rPr>
          <w:rFonts w:hint="eastAsia" w:ascii="Times New Roman" w:hAnsi="Times New Roman" w:eastAsia="仿宋_GB2312" w:cs="Times New Roman"/>
          <w:sz w:val="32"/>
          <w:szCs w:val="32"/>
          <w:lang w:val="en-US" w:eastAsia="zh-CN"/>
        </w:rPr>
        <w:t>5万元，用于乡村振兴衔接资金等项</w:t>
      </w:r>
      <w:r>
        <w:rPr>
          <w:rFonts w:hint="eastAsia" w:cs="Times New Roman"/>
          <w:sz w:val="32"/>
          <w:szCs w:val="32"/>
          <w:lang w:val="en-US" w:eastAsia="zh-CN"/>
        </w:rPr>
        <w:t>目</w:t>
      </w:r>
      <w:r>
        <w:rPr>
          <w:rFonts w:hint="eastAsia" w:ascii="Times New Roman" w:hAnsi="Times New Roman" w:eastAsia="仿宋_GB2312" w:cs="Times New Roman"/>
          <w:sz w:val="32"/>
          <w:szCs w:val="32"/>
          <w:lang w:val="en-US" w:eastAsia="zh-CN"/>
        </w:rPr>
        <w:t>前期工作</w:t>
      </w:r>
      <w:r>
        <w:rPr>
          <w:rFonts w:hint="default" w:ascii="Times New Roman" w:hAnsi="Times New Roman" w:eastAsia="仿宋_GB2312" w:cs="Times New Roman"/>
          <w:sz w:val="32"/>
          <w:szCs w:val="32"/>
          <w:lang w:val="zh-CN" w:eastAsia="zh-CN"/>
        </w:rPr>
        <w:t>。</w:t>
      </w:r>
    </w:p>
    <w:p w14:paraId="68D5DD50">
      <w:pPr>
        <w:keepNext w:val="0"/>
        <w:keepLines w:val="0"/>
        <w:pageBreakBefore w:val="0"/>
        <w:numPr>
          <w:numId w:val="0"/>
        </w:numPr>
        <w:kinsoku/>
        <w:wordWrap/>
        <w:overflowPunct/>
        <w:topLinePunct w:val="0"/>
        <w:autoSpaceDE/>
        <w:autoSpaceDN/>
        <w:bidi w:val="0"/>
        <w:adjustRightInd w:val="0"/>
        <w:snapToGrid w:val="0"/>
        <w:spacing w:line="576" w:lineRule="exact"/>
        <w:ind w:leftChars="200"/>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zh-CN" w:eastAsia="zh-CN"/>
        </w:rPr>
        <w:t>（</w:t>
      </w:r>
      <w:r>
        <w:rPr>
          <w:rFonts w:hint="eastAsia" w:eastAsia="楷体_GB2312" w:cs="Times New Roman"/>
          <w:b w:val="0"/>
          <w:bCs w:val="0"/>
          <w:i w:val="0"/>
          <w:iCs w:val="0"/>
          <w:color w:val="auto"/>
          <w:sz w:val="32"/>
          <w:szCs w:val="32"/>
          <w:highlight w:val="none"/>
          <w:u w:val="none"/>
          <w:lang w:val="en-US" w:eastAsia="zh-CN"/>
        </w:rPr>
        <w:t>四</w:t>
      </w:r>
      <w:r>
        <w:rPr>
          <w:rFonts w:hint="eastAsia" w:eastAsia="楷体_GB2312" w:cs="Times New Roman"/>
          <w:b w:val="0"/>
          <w:bCs w:val="0"/>
          <w:i w:val="0"/>
          <w:iCs w:val="0"/>
          <w:color w:val="auto"/>
          <w:sz w:val="32"/>
          <w:szCs w:val="32"/>
          <w:highlight w:val="none"/>
          <w:u w:val="none"/>
          <w:lang w:val="zh-CN" w:eastAsia="zh-CN"/>
        </w:rPr>
        <w:t>）</w:t>
      </w:r>
      <w:r>
        <w:rPr>
          <w:rFonts w:hint="default" w:ascii="Times New Roman" w:hAnsi="Times New Roman" w:eastAsia="楷体_GB2312" w:cs="Times New Roman"/>
          <w:b w:val="0"/>
          <w:bCs w:val="0"/>
          <w:i w:val="0"/>
          <w:iCs w:val="0"/>
          <w:color w:val="auto"/>
          <w:sz w:val="32"/>
          <w:szCs w:val="32"/>
          <w:highlight w:val="none"/>
          <w:u w:val="none"/>
          <w:lang w:val="zh-CN" w:eastAsia="zh-CN"/>
        </w:rPr>
        <w:t>项目绩效目标设置</w:t>
      </w:r>
    </w:p>
    <w:p w14:paraId="6FD1B904">
      <w:pPr>
        <w:pStyle w:val="15"/>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项目前期工作经费推进各项目能够得到及时实施。</w:t>
      </w:r>
    </w:p>
    <w:p w14:paraId="0595FAB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0746C0CC">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p>
    <w:p w14:paraId="3FAE7E64">
      <w:pPr>
        <w:pStyle w:val="15"/>
        <w:pageBreakBefore w:val="0"/>
        <w:kinsoku/>
        <w:wordWrap/>
        <w:overflowPunct/>
        <w:topLinePunct w:val="0"/>
        <w:autoSpaceDE/>
        <w:autoSpaceDN/>
        <w:bidi w:val="0"/>
        <w:spacing w:line="576" w:lineRule="exact"/>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项目前期工作经费推进各项目能够得到及时实施。</w:t>
      </w:r>
    </w:p>
    <w:p w14:paraId="78534F33">
      <w:pPr>
        <w:keepNext w:val="0"/>
        <w:keepLines w:val="0"/>
        <w:pageBreakBefore w:val="0"/>
        <w:widowControl w:val="0"/>
        <w:numPr>
          <w:numId w:val="0"/>
        </w:numPr>
        <w:kinsoku/>
        <w:wordWrap/>
        <w:overflowPunct/>
        <w:topLinePunct w:val="0"/>
        <w:autoSpaceDE/>
        <w:autoSpaceDN/>
        <w:bidi w:val="0"/>
        <w:adjustRightInd w:val="0"/>
        <w:snapToGrid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二</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预设问题及评价重点</w:t>
      </w:r>
    </w:p>
    <w:p w14:paraId="4C9BFB5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资金支出使用全过程</w:t>
      </w:r>
      <w:r>
        <w:rPr>
          <w:rFonts w:hint="eastAsia" w:ascii="Times New Roman" w:hAnsi="Times New Roman" w:cs="Times New Roman"/>
          <w:b w:val="0"/>
          <w:bCs w:val="0"/>
          <w:i w:val="0"/>
          <w:iCs w:val="0"/>
          <w:kern w:val="0"/>
          <w:position w:val="0"/>
          <w:sz w:val="32"/>
          <w:szCs w:val="32"/>
          <w:highlight w:val="none"/>
          <w:lang w:val="zh-CN" w:eastAsia="zh-CN" w:bidi="ar-SA"/>
        </w:rPr>
        <w:t>都符合项目实施内容，无违规违纪问题。</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推进了各项目能够得到及时实施。</w:t>
      </w:r>
    </w:p>
    <w:p w14:paraId="24B6503C">
      <w:pPr>
        <w:keepNext w:val="0"/>
        <w:keepLines w:val="0"/>
        <w:pageBreakBefore w:val="0"/>
        <w:widowControl w:val="0"/>
        <w:numPr>
          <w:numId w:val="0"/>
        </w:numPr>
        <w:kinsoku/>
        <w:wordWrap/>
        <w:overflowPunct/>
        <w:topLinePunct w:val="0"/>
        <w:autoSpaceDE/>
        <w:autoSpaceDN/>
        <w:bidi w:val="0"/>
        <w:adjustRightInd w:val="0"/>
        <w:snapToGrid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三</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评价选点</w:t>
      </w:r>
    </w:p>
    <w:p w14:paraId="0D0A691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cs="Times New Roman"/>
          <w:b w:val="0"/>
          <w:bCs w:val="0"/>
          <w:i w:val="0"/>
          <w:iCs w:val="0"/>
          <w:kern w:val="0"/>
          <w:position w:val="0"/>
          <w:sz w:val="32"/>
          <w:szCs w:val="32"/>
          <w:highlight w:val="none"/>
          <w:lang w:val="zh-CN" w:eastAsia="zh-CN" w:bidi="ar-SA"/>
        </w:rPr>
        <w:t>根据</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项目前期经费实际发生</w:t>
      </w:r>
      <w:r>
        <w:rPr>
          <w:rFonts w:hint="eastAsia" w:cs="Times New Roman"/>
          <w:b w:val="0"/>
          <w:bCs w:val="0"/>
          <w:i w:val="0"/>
          <w:iCs w:val="0"/>
          <w:kern w:val="0"/>
          <w:position w:val="0"/>
          <w:sz w:val="32"/>
          <w:szCs w:val="32"/>
          <w:highlight w:val="none"/>
          <w:lang w:val="zh-CN" w:eastAsia="zh-CN" w:bidi="ar-SA"/>
        </w:rPr>
        <w:t>情况。</w:t>
      </w:r>
    </w:p>
    <w:p w14:paraId="441E37E2">
      <w:pPr>
        <w:keepNext w:val="0"/>
        <w:keepLines w:val="0"/>
        <w:pageBreakBefore w:val="0"/>
        <w:widowControl w:val="0"/>
        <w:numPr>
          <w:numId w:val="0"/>
        </w:numPr>
        <w:kinsoku/>
        <w:wordWrap/>
        <w:overflowPunct/>
        <w:topLinePunct w:val="0"/>
        <w:autoSpaceDE/>
        <w:autoSpaceDN/>
        <w:bidi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四</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评价方法</w:t>
      </w:r>
    </w:p>
    <w:p w14:paraId="684B9F5F">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根据项目情况和评价重点，单位自评法。</w:t>
      </w:r>
    </w:p>
    <w:p w14:paraId="687B2D9E">
      <w:pPr>
        <w:keepNext w:val="0"/>
        <w:keepLines w:val="0"/>
        <w:pageBreakBefore w:val="0"/>
        <w:widowControl w:val="0"/>
        <w:numPr>
          <w:numId w:val="0"/>
        </w:numPr>
        <w:kinsoku/>
        <w:wordWrap/>
        <w:overflowPunct/>
        <w:topLinePunct w:val="0"/>
        <w:autoSpaceDE/>
        <w:autoSpaceDN/>
        <w:bidi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五</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评价组织</w:t>
      </w:r>
    </w:p>
    <w:p w14:paraId="51E40A3B">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ascii="Times New Roman" w:hAnsi="Times New Roman" w:eastAsia="仿宋_GB2312" w:cs="Times New Roman"/>
          <w:b w:val="0"/>
          <w:bCs w:val="0"/>
          <w:i w:val="0"/>
          <w:iCs w:val="0"/>
          <w:sz w:val="32"/>
          <w:szCs w:val="32"/>
          <w:lang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评价组人员</w:t>
      </w:r>
      <w:r>
        <w:rPr>
          <w:rFonts w:hint="eastAsia" w:ascii="Times New Roman" w:hAnsi="Times New Roman" w:cs="Times New Roman"/>
          <w:b w:val="0"/>
          <w:bCs w:val="0"/>
          <w:i w:val="0"/>
          <w:iCs w:val="0"/>
          <w:kern w:val="0"/>
          <w:position w:val="0"/>
          <w:sz w:val="32"/>
          <w:szCs w:val="32"/>
          <w:highlight w:val="none"/>
          <w:lang w:val="zh-CN" w:eastAsia="zh-CN" w:bidi="ar-SA"/>
        </w:rPr>
        <w:t>由计财股唐继秋为组长组织人员进行绩效评价</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675DE95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4D15E66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仿宋_GB2312" w:cs="Times New Roman"/>
          <w:b w:val="0"/>
          <w:bCs w:val="0"/>
          <w:i w:val="0"/>
          <w:iCs w:val="0"/>
          <w:color w:val="auto"/>
          <w:sz w:val="32"/>
          <w:szCs w:val="32"/>
          <w:lang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p>
    <w:p w14:paraId="7659766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color w:val="auto"/>
          <w:sz w:val="32"/>
          <w:szCs w:val="32"/>
          <w:lang w:eastAsia="zh-CN"/>
        </w:rPr>
        <w:t>该项目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决策程序、资金投向</w:t>
      </w:r>
      <w:r>
        <w:rPr>
          <w:rFonts w:hint="eastAsia" w:ascii="Times New Roman" w:hAnsi="Times New Roman" w:cs="Times New Roman"/>
          <w:b w:val="0"/>
          <w:bCs w:val="0"/>
          <w:i w:val="0"/>
          <w:iCs w:val="0"/>
          <w:kern w:val="0"/>
          <w:position w:val="0"/>
          <w:sz w:val="32"/>
          <w:szCs w:val="32"/>
          <w:highlight w:val="none"/>
          <w:lang w:val="zh-CN" w:eastAsia="zh-CN" w:bidi="ar-SA"/>
        </w:rPr>
        <w:t>都按照既定方案执行</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1A556E7">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b w:val="0"/>
          <w:bCs w:val="0"/>
          <w:i w:val="0"/>
          <w:iCs w:val="0"/>
          <w:color w:val="auto"/>
          <w:sz w:val="32"/>
          <w:szCs w:val="32"/>
          <w:lang w:eastAsia="zh-CN"/>
        </w:rPr>
      </w:pPr>
      <w:r>
        <w:rPr>
          <w:rFonts w:hint="eastAsia"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p>
    <w:p w14:paraId="730AEC3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sz w:val="32"/>
          <w:szCs w:val="32"/>
          <w:lang w:val="zh-CN" w:eastAsia="zh-CN"/>
        </w:rPr>
      </w:pPr>
      <w:r>
        <w:rPr>
          <w:rFonts w:hint="eastAsia" w:ascii="Times New Roman" w:hAnsi="Times New Roman" w:cs="Times New Roman"/>
          <w:b w:val="0"/>
          <w:bCs w:val="0"/>
          <w:i w:val="0"/>
          <w:iCs w:val="0"/>
          <w:kern w:val="0"/>
          <w:position w:val="0"/>
          <w:sz w:val="32"/>
          <w:szCs w:val="32"/>
          <w:highlight w:val="none"/>
          <w:lang w:val="zh-CN" w:eastAsia="zh-CN" w:bidi="ar-SA"/>
        </w:rPr>
        <w:t>项目专款专用</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cs="Times New Roman"/>
          <w:b w:val="0"/>
          <w:bCs w:val="0"/>
          <w:i w:val="0"/>
          <w:iCs w:val="0"/>
          <w:kern w:val="0"/>
          <w:position w:val="0"/>
          <w:sz w:val="32"/>
          <w:szCs w:val="32"/>
          <w:highlight w:val="none"/>
          <w:lang w:val="zh-CN" w:eastAsia="zh-CN" w:bidi="ar-SA"/>
        </w:rPr>
        <w:t>进行了事前、事中</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绩效监管</w:t>
      </w:r>
      <w:r>
        <w:rPr>
          <w:rFonts w:hint="eastAsia" w:ascii="Times New Roman" w:hAnsi="Times New Roman" w:cs="Times New Roman"/>
          <w:b w:val="0"/>
          <w:bCs w:val="0"/>
          <w:i w:val="0"/>
          <w:iCs w:val="0"/>
          <w:kern w:val="0"/>
          <w:position w:val="0"/>
          <w:sz w:val="32"/>
          <w:szCs w:val="32"/>
          <w:highlight w:val="none"/>
          <w:lang w:val="zh-CN" w:eastAsia="zh-CN" w:bidi="ar-SA"/>
        </w:rPr>
        <w:t>及事后绩效评价</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1D2E2A3">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p>
    <w:p w14:paraId="34AA826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kern w:val="0"/>
          <w:position w:val="0"/>
          <w:sz w:val="32"/>
          <w:szCs w:val="32"/>
          <w:highlight w:val="none"/>
          <w:lang w:val="zh-CN" w:eastAsia="zh-CN" w:bidi="ar-SA"/>
        </w:rPr>
        <w:t>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预算执行</w:t>
      </w:r>
      <w:r>
        <w:rPr>
          <w:rFonts w:hint="eastAsia" w:ascii="Times New Roman" w:hAnsi="Times New Roman" w:cs="Times New Roman"/>
          <w:b w:val="0"/>
          <w:bCs w:val="0"/>
          <w:i w:val="0"/>
          <w:iCs w:val="0"/>
          <w:kern w:val="0"/>
          <w:position w:val="0"/>
          <w:sz w:val="32"/>
          <w:szCs w:val="32"/>
          <w:highlight w:val="none"/>
          <w:lang w:val="zh-CN" w:eastAsia="zh-CN" w:bidi="ar-SA"/>
        </w:rPr>
        <w:t>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eastAsia" w:ascii="Times New Roman" w:hAnsi="Times New Roman"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资金使用</w:t>
      </w:r>
      <w:r>
        <w:rPr>
          <w:rFonts w:hint="eastAsia" w:ascii="Times New Roman" w:hAnsi="Times New Roman" w:cs="Times New Roman"/>
          <w:b w:val="0"/>
          <w:bCs w:val="0"/>
          <w:i w:val="0"/>
          <w:iCs w:val="0"/>
          <w:kern w:val="0"/>
          <w:position w:val="0"/>
          <w:sz w:val="32"/>
          <w:szCs w:val="32"/>
          <w:highlight w:val="none"/>
          <w:lang w:val="zh-CN" w:eastAsia="zh-CN" w:bidi="ar-SA"/>
        </w:rPr>
        <w:t>达到预期效果</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DDC8067">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en-US" w:eastAsia="zh-CN"/>
        </w:rPr>
        <w:t>项目结果</w:t>
      </w:r>
    </w:p>
    <w:p w14:paraId="7859DF07">
      <w:pPr>
        <w:pStyle w:val="15"/>
        <w:pageBreakBefore w:val="0"/>
        <w:kinsoku/>
        <w:wordWrap/>
        <w:overflowPunct/>
        <w:topLinePunct w:val="0"/>
        <w:autoSpaceDE/>
        <w:autoSpaceDN/>
        <w:bidi w:val="0"/>
        <w:spacing w:line="576" w:lineRule="exact"/>
        <w:textAlignment w:val="auto"/>
        <w:rPr>
          <w:rFonts w:hint="default" w:ascii="Times New Roman" w:hAnsi="Times New Roman"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zh-CN" w:eastAsia="zh-CN" w:bidi="ar-SA"/>
        </w:rPr>
        <w:t>项目设定</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完成</w:t>
      </w:r>
      <w:r>
        <w:rPr>
          <w:rFonts w:hint="eastAsia" w:cs="Times New Roman"/>
          <w:b w:val="0"/>
          <w:bCs w:val="0"/>
          <w:i w:val="0"/>
          <w:iCs w:val="0"/>
          <w:kern w:val="0"/>
          <w:position w:val="0"/>
          <w:sz w:val="32"/>
          <w:szCs w:val="32"/>
          <w:highlight w:val="none"/>
          <w:lang w:val="zh-CN" w:eastAsia="zh-CN" w:bidi="ar-SA"/>
        </w:rPr>
        <w:t>，</w:t>
      </w:r>
      <w:r>
        <w:rPr>
          <w:rFonts w:hint="eastAsia" w:ascii="Times New Roman" w:hAnsi="Times New Roman" w:cs="Times New Roman"/>
          <w:b w:val="0"/>
          <w:bCs w:val="0"/>
          <w:i w:val="0"/>
          <w:iCs w:val="0"/>
          <w:kern w:val="0"/>
          <w:position w:val="0"/>
          <w:sz w:val="32"/>
          <w:szCs w:val="32"/>
          <w:highlight w:val="none"/>
          <w:lang w:val="zh-CN" w:eastAsia="zh-CN" w:bidi="ar-SA"/>
        </w:rPr>
        <w:t>推进各项目能够得到及时实施。</w:t>
      </w:r>
    </w:p>
    <w:p w14:paraId="248B0785">
      <w:pPr>
        <w:pStyle w:val="7"/>
        <w:pageBreakBefore w:val="0"/>
        <w:numPr>
          <w:ilvl w:val="0"/>
          <w:numId w:val="0"/>
        </w:numP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4C6CF72D">
      <w:pPr>
        <w:pStyle w:val="15"/>
        <w:pageBreakBefore w:val="0"/>
        <w:kinsoku/>
        <w:wordWrap/>
        <w:overflowPunct/>
        <w:topLinePunct w:val="0"/>
        <w:autoSpaceDE/>
        <w:autoSpaceDN/>
        <w:bidi w:val="0"/>
        <w:spacing w:line="576" w:lineRule="exact"/>
        <w:textAlignment w:val="auto"/>
        <w:rPr>
          <w:rFonts w:hint="default" w:ascii="Times New Roman" w:hAnsi="Times New Roman"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kern w:val="0"/>
          <w:position w:val="0"/>
          <w:sz w:val="32"/>
          <w:szCs w:val="32"/>
          <w:highlight w:val="none"/>
          <w:lang w:val="zh-CN" w:eastAsia="zh-CN" w:bidi="ar-SA"/>
        </w:rPr>
        <w:t>在规定时间内，项目设定</w:t>
      </w:r>
      <w:r>
        <w:rPr>
          <w:rFonts w:hint="default" w:ascii="Times New Roman" w:hAnsi="Times New Roman" w:cs="Times New Roman"/>
          <w:b w:val="0"/>
          <w:bCs w:val="0"/>
          <w:i w:val="0"/>
          <w:iCs w:val="0"/>
          <w:kern w:val="0"/>
          <w:position w:val="0"/>
          <w:sz w:val="32"/>
          <w:szCs w:val="32"/>
          <w:highlight w:val="none"/>
          <w:lang w:val="zh-CN" w:eastAsia="zh-CN" w:bidi="ar-SA"/>
        </w:rPr>
        <w:t>目标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default" w:ascii="Times New Roman" w:hAnsi="Times New Roman" w:cs="Times New Roman"/>
          <w:b w:val="0"/>
          <w:bCs w:val="0"/>
          <w:i w:val="0"/>
          <w:iCs w:val="0"/>
          <w:kern w:val="0"/>
          <w:position w:val="0"/>
          <w:sz w:val="32"/>
          <w:szCs w:val="32"/>
          <w:highlight w:val="none"/>
          <w:lang w:val="zh-CN" w:eastAsia="zh-CN" w:bidi="ar-SA"/>
        </w:rPr>
        <w:t>完成。</w:t>
      </w:r>
      <w:r>
        <w:rPr>
          <w:rFonts w:hint="eastAsia" w:ascii="Times New Roman" w:hAnsi="Times New Roman" w:cs="Times New Roman"/>
          <w:b w:val="0"/>
          <w:bCs w:val="0"/>
          <w:i w:val="0"/>
          <w:iCs w:val="0"/>
          <w:kern w:val="0"/>
          <w:position w:val="0"/>
          <w:sz w:val="32"/>
          <w:szCs w:val="32"/>
          <w:highlight w:val="none"/>
          <w:lang w:val="zh-CN" w:eastAsia="zh-CN" w:bidi="ar-SA"/>
        </w:rPr>
        <w:t>项目前期工作经费推进各项目能够得到及时实施。</w:t>
      </w:r>
    </w:p>
    <w:p w14:paraId="430BB39A">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03D656D3">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cs="Times New Roman"/>
          <w:b w:val="0"/>
          <w:bCs w:val="0"/>
          <w:i w:val="0"/>
          <w:iCs w:val="0"/>
          <w:kern w:val="2"/>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资金有限，导致</w:t>
      </w:r>
      <w:r>
        <w:rPr>
          <w:rFonts w:hint="eastAsia" w:ascii="Times New Roman" w:cs="Times New Roman"/>
          <w:b w:val="0"/>
          <w:bCs w:val="0"/>
          <w:i w:val="0"/>
          <w:iCs w:val="0"/>
          <w:kern w:val="0"/>
          <w:position w:val="0"/>
          <w:sz w:val="32"/>
          <w:szCs w:val="32"/>
          <w:highlight w:val="none"/>
          <w:lang w:val="en-US" w:eastAsia="zh-CN" w:bidi="ar-SA"/>
        </w:rPr>
        <w:t>项目前期工作经费严重不足，占用本单位日常公用经费。</w:t>
      </w:r>
    </w:p>
    <w:p w14:paraId="61D3EDF6">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498F0015">
      <w:pPr>
        <w:pageBreakBefore w:val="0"/>
        <w:tabs>
          <w:tab w:val="left" w:pos="1911"/>
        </w:tabs>
        <w:kinsoku/>
        <w:wordWrap/>
        <w:overflowPunct/>
        <w:topLinePunct w:val="0"/>
        <w:autoSpaceDE/>
        <w:autoSpaceDN/>
        <w:bidi w:val="0"/>
        <w:spacing w:line="576" w:lineRule="exact"/>
        <w:ind w:left="0" w:leftChars="0" w:firstLine="640" w:firstLineChars="200"/>
        <w:jc w:val="left"/>
        <w:textAlignment w:val="auto"/>
        <w:rPr>
          <w:rFonts w:hint="eastAsia"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与财政部门加强沟通，争取更多资金，</w:t>
      </w:r>
      <w:r>
        <w:rPr>
          <w:rFonts w:hint="eastAsia" w:cs="Times New Roman"/>
          <w:b w:val="0"/>
          <w:bCs w:val="0"/>
          <w:i w:val="0"/>
          <w:iCs w:val="0"/>
          <w:kern w:val="0"/>
          <w:position w:val="0"/>
          <w:sz w:val="32"/>
          <w:szCs w:val="32"/>
          <w:highlight w:val="none"/>
          <w:lang w:val="en-US" w:eastAsia="zh-CN" w:bidi="ar-SA"/>
        </w:rPr>
        <w:t>保障无项目管理费的中省市项目能够得到及时实施。</w:t>
      </w:r>
    </w:p>
    <w:p w14:paraId="3364B88A">
      <w:pPr>
        <w:pStyle w:val="7"/>
        <w:pageBreakBefore w:val="0"/>
        <w:kinsoku/>
        <w:wordWrap/>
        <w:overflowPunct/>
        <w:topLinePunct w:val="0"/>
        <w:autoSpaceDE/>
        <w:autoSpaceDN/>
        <w:bidi w:val="0"/>
        <w:spacing w:beforeLines="0" w:line="576" w:lineRule="exact"/>
        <w:ind w:firstLine="1600" w:firstLineChars="500"/>
        <w:textAlignment w:val="auto"/>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2023年专项预算项目绩效自评报告</w:t>
      </w:r>
    </w:p>
    <w:p w14:paraId="0BE29073">
      <w:pPr>
        <w:keepNext w:val="0"/>
        <w:keepLines w:val="0"/>
        <w:pageBreakBefore w:val="0"/>
        <w:widowControl w:val="0"/>
        <w:kinsoku/>
        <w:wordWrap/>
        <w:overflowPunct/>
        <w:topLinePunct w:val="0"/>
        <w:autoSpaceDE/>
        <w:autoSpaceDN/>
        <w:bidi w:val="0"/>
        <w:adjustRightInd/>
        <w:snapToGrid/>
        <w:spacing w:line="576" w:lineRule="exact"/>
        <w:ind w:firstLine="1285" w:firstLineChars="400"/>
        <w:jc w:val="both"/>
        <w:textAlignment w:val="auto"/>
        <w:rPr>
          <w:rFonts w:hint="eastAsia" w:ascii="Times New Roman" w:hAnsi="Times New Roman" w:eastAsia="方正小标宋简体" w:cs="Times New Roman"/>
          <w:b/>
          <w:bCs/>
          <w:sz w:val="32"/>
          <w:szCs w:val="32"/>
          <w:lang w:val="en-US" w:eastAsia="zh-CN"/>
        </w:rPr>
      </w:pPr>
      <w:r>
        <w:rPr>
          <w:rFonts w:hint="eastAsia" w:ascii="Times New Roman" w:hAnsi="Times New Roman" w:eastAsia="方正小标宋简体" w:cs="Times New Roman"/>
          <w:b/>
          <w:bCs/>
          <w:sz w:val="32"/>
          <w:szCs w:val="32"/>
          <w:lang w:val="en-US" w:eastAsia="zh-CN"/>
        </w:rPr>
        <w:t>（2023年中央财政动物防疫补助经费）</w:t>
      </w:r>
    </w:p>
    <w:p w14:paraId="21E01B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一、项目概况</w:t>
      </w:r>
    </w:p>
    <w:p w14:paraId="3A26AE2E">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rPr>
      </w:pPr>
      <w:r>
        <w:rPr>
          <w:rFonts w:hint="default" w:eastAsia="楷体_GB2312" w:cs="Times New Roman"/>
          <w:b w:val="0"/>
          <w:bCs w:val="0"/>
          <w:i w:val="0"/>
          <w:iCs w:val="0"/>
          <w:color w:val="auto"/>
          <w:sz w:val="32"/>
          <w:szCs w:val="32"/>
          <w:highlight w:val="none"/>
          <w:u w:val="none"/>
          <w:lang w:val="zh-CN" w:eastAsia="zh-CN"/>
        </w:rPr>
        <w:t>（一）</w:t>
      </w:r>
      <w:r>
        <w:rPr>
          <w:rFonts w:hint="default" w:eastAsia="楷体_GB2312" w:cs="Times New Roman"/>
          <w:b w:val="0"/>
          <w:bCs w:val="0"/>
          <w:i w:val="0"/>
          <w:iCs w:val="0"/>
          <w:color w:val="auto"/>
          <w:sz w:val="32"/>
          <w:szCs w:val="32"/>
          <w:highlight w:val="none"/>
          <w:u w:val="none"/>
          <w:lang w:val="zh-CN"/>
        </w:rPr>
        <w:t>设立背景及基本情况</w:t>
      </w:r>
    </w:p>
    <w:p w14:paraId="0730B4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年全省动物疫病强制免疫计划实施方案</w:t>
      </w:r>
      <w:r>
        <w:rPr>
          <w:rFonts w:hint="default" w:ascii="Times New Roman" w:hAnsi="Times New Roman" w:eastAsia="仿宋_GB2312" w:cs="Times New Roman"/>
          <w:sz w:val="32"/>
          <w:szCs w:val="32"/>
          <w:lang w:val="en-US" w:eastAsia="zh-CN"/>
        </w:rPr>
        <w:t>》及《202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年遂宁市动物疫病强制免疫实施方案》，结合我区实际情况，对严重危害养殖业生产和人体健康的高致病性禽流感、口蹄疫、小反刍兽疫等重大动物疫病实行强制免疫。</w:t>
      </w:r>
    </w:p>
    <w:p w14:paraId="0C96DC8F">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（二）</w:t>
      </w:r>
      <w:r>
        <w:rPr>
          <w:rFonts w:hint="default" w:eastAsia="楷体_GB2312" w:cs="Times New Roman"/>
          <w:b w:val="0"/>
          <w:bCs w:val="0"/>
          <w:i w:val="0"/>
          <w:iCs w:val="0"/>
          <w:color w:val="auto"/>
          <w:sz w:val="32"/>
          <w:szCs w:val="32"/>
          <w:highlight w:val="none"/>
          <w:u w:val="none"/>
          <w:lang w:val="en-US" w:eastAsia="zh-CN"/>
        </w:rPr>
        <w:t>实施目的及支持方向</w:t>
      </w:r>
    </w:p>
    <w:p w14:paraId="0CCAC0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依法对重大动物疫情处置。高致病性禽流感、口蹄疫、小反刍兽疫等优先防治病种防治工作疫情保持平稳；不发生大规模随意抛弃病死猪事件。</w:t>
      </w:r>
    </w:p>
    <w:p w14:paraId="5DE8B76D">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en-US" w:eastAsia="zh-CN"/>
        </w:rPr>
        <w:t>（三）</w:t>
      </w:r>
      <w:r>
        <w:rPr>
          <w:rFonts w:hint="default" w:eastAsia="楷体_GB2312" w:cs="Times New Roman"/>
          <w:b w:val="0"/>
          <w:bCs w:val="0"/>
          <w:i w:val="0"/>
          <w:iCs w:val="0"/>
          <w:color w:val="auto"/>
          <w:sz w:val="32"/>
          <w:szCs w:val="32"/>
          <w:highlight w:val="none"/>
          <w:u w:val="none"/>
          <w:lang w:val="en-US" w:eastAsia="zh-CN"/>
        </w:rPr>
        <w:t>预算安排及分配管理</w:t>
      </w:r>
    </w:p>
    <w:p w14:paraId="6A3AA2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《遂宁市财政局、遂宁市农业农村局</w:t>
      </w:r>
      <w:r>
        <w:rPr>
          <w:rFonts w:hint="eastAsia" w:ascii="Times New Roman" w:hAnsi="Times New Roman" w:eastAsia="仿宋_GB2312" w:cs="Times New Roman"/>
          <w:sz w:val="32"/>
          <w:szCs w:val="32"/>
          <w:lang w:val="en-US" w:eastAsia="zh-CN"/>
        </w:rPr>
        <w:t>提前</w:t>
      </w:r>
      <w:r>
        <w:rPr>
          <w:rFonts w:hint="default" w:ascii="Times New Roman" w:hAnsi="Times New Roman" w:eastAsia="仿宋_GB2312" w:cs="Times New Roman"/>
          <w:sz w:val="32"/>
          <w:szCs w:val="32"/>
          <w:lang w:val="en-US" w:eastAsia="zh-CN"/>
        </w:rPr>
        <w:t>下达202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年中央财政动物防疫等补助经费的通知》（遂财农[202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val="en-US" w:eastAsia="zh-CN"/>
        </w:rPr>
        <w:t>号）下达</w:t>
      </w:r>
      <w:r>
        <w:rPr>
          <w:rFonts w:hint="eastAsia" w:ascii="Times New Roman" w:hAnsi="Times New Roman" w:eastAsia="仿宋_GB2312" w:cs="Times New Roman"/>
          <w:sz w:val="32"/>
          <w:szCs w:val="32"/>
          <w:lang w:val="en-US" w:eastAsia="zh-CN"/>
        </w:rPr>
        <w:t>动物防疫补助</w:t>
      </w:r>
      <w:r>
        <w:rPr>
          <w:rFonts w:hint="default" w:ascii="Times New Roman" w:hAnsi="Times New Roman" w:eastAsia="仿宋_GB2312" w:cs="Times New Roman"/>
          <w:sz w:val="32"/>
          <w:szCs w:val="32"/>
          <w:lang w:val="en-US" w:eastAsia="zh-CN"/>
        </w:rPr>
        <w:t>资金</w:t>
      </w:r>
      <w:r>
        <w:rPr>
          <w:rFonts w:hint="eastAsia" w:ascii="Times New Roman" w:hAnsi="Times New Roman" w:eastAsia="仿宋_GB2312" w:cs="Times New Roman"/>
          <w:sz w:val="32"/>
          <w:szCs w:val="32"/>
          <w:lang w:val="en-US" w:eastAsia="zh-CN"/>
        </w:rPr>
        <w:t>326.62</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其中动物强制免疫资金260.69万元；2022年1月1日-2022年12月31日期间养殖环节病死动物（病死育肥猪除外）无害化处理补助，补助资金65.93万元。</w:t>
      </w:r>
    </w:p>
    <w:p w14:paraId="4AF1FE46">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en-US" w:eastAsia="zh-CN"/>
        </w:rPr>
        <w:t>（四）</w:t>
      </w:r>
      <w:r>
        <w:rPr>
          <w:rFonts w:hint="default" w:eastAsia="楷体_GB2312" w:cs="Times New Roman"/>
          <w:b w:val="0"/>
          <w:bCs w:val="0"/>
          <w:i w:val="0"/>
          <w:iCs w:val="0"/>
          <w:color w:val="auto"/>
          <w:sz w:val="32"/>
          <w:szCs w:val="32"/>
          <w:highlight w:val="none"/>
          <w:u w:val="none"/>
          <w:lang w:val="zh-CN" w:eastAsia="zh-CN"/>
        </w:rPr>
        <w:t>项目绩效目标设置</w:t>
      </w:r>
    </w:p>
    <w:p w14:paraId="3CC43D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法对重大动物疫情处置率100%；高致病性区禽流感、口蹄疫、小反刍兽疫等应免畜禽免疫密度达到90%以上，抗体合格率达到70%以上；发放2022年1月1日-2022年12月31日期间养殖环节病死猪无害化处理补助经费。高致病性禽流感、口蹄疫、小反刍兽疫等优先防治病种防治工作疫情保持平稳；不发生大规模随意抛弃病死猪事件；资金使用无重大违规违纪问题。补助对象对项目实施满意率</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90%。</w:t>
      </w:r>
    </w:p>
    <w:p w14:paraId="4BD6DD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二、评价实施</w:t>
      </w:r>
    </w:p>
    <w:p w14:paraId="178BEE65">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default" w:eastAsia="楷体_GB2312" w:cs="Times New Roman"/>
          <w:b w:val="0"/>
          <w:bCs w:val="0"/>
          <w:i w:val="0"/>
          <w:iCs w:val="0"/>
          <w:color w:val="auto"/>
          <w:sz w:val="32"/>
          <w:szCs w:val="32"/>
          <w:highlight w:val="none"/>
          <w:u w:val="none"/>
          <w:lang w:val="zh-CN" w:eastAsia="zh-CN"/>
        </w:rPr>
        <w:t>（一）评价目的</w:t>
      </w:r>
    </w:p>
    <w:p w14:paraId="790E6B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通过绩效评价检验</w:t>
      </w:r>
      <w:r>
        <w:rPr>
          <w:rFonts w:hint="default" w:ascii="Times New Roman" w:hAnsi="Times New Roman" w:eastAsia="仿宋_GB2312" w:cs="Times New Roman"/>
          <w:sz w:val="32"/>
          <w:szCs w:val="32"/>
          <w:lang w:val="en-US" w:eastAsia="zh-CN"/>
        </w:rPr>
        <w:t>中央财政动物防疫等补助经费</w:t>
      </w:r>
      <w:r>
        <w:rPr>
          <w:rFonts w:hint="eastAsia" w:ascii="Times New Roman" w:hAnsi="Times New Roman" w:eastAsia="仿宋_GB2312" w:cs="Times New Roman"/>
          <w:sz w:val="32"/>
          <w:szCs w:val="32"/>
          <w:lang w:val="en-US" w:eastAsia="zh-CN"/>
        </w:rPr>
        <w:t>绩效目标设置完成情况。</w:t>
      </w:r>
    </w:p>
    <w:p w14:paraId="5D9CDBC7">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en-US" w:eastAsia="zh-CN"/>
        </w:rPr>
      </w:pPr>
      <w:r>
        <w:rPr>
          <w:rFonts w:hint="default" w:eastAsia="楷体_GB2312" w:cs="Times New Roman"/>
          <w:b w:val="0"/>
          <w:bCs w:val="0"/>
          <w:i w:val="0"/>
          <w:iCs w:val="0"/>
          <w:color w:val="auto"/>
          <w:sz w:val="32"/>
          <w:szCs w:val="32"/>
          <w:highlight w:val="none"/>
          <w:u w:val="none"/>
          <w:lang w:val="zh-CN"/>
        </w:rPr>
        <w:t>（二）预设问题及评价重点</w:t>
      </w:r>
    </w:p>
    <w:p w14:paraId="2C5AA4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镇人民政府负责辖区内重大动物疫病防控的组织领导；免疫工作具体实施由各镇政府牵头、兽防站组织相关技术机构或人员实施，集中免疫结束后，由区农业农村局组织随机抽查强制免疫密度，确保不留免疫死角；随机采集畜禽血清检测免疫质量。区财政局负责资金监管、拨付等工作，严禁滞拨、截留、挤占、挪用以及虚报冒领。</w:t>
      </w:r>
      <w:r>
        <w:rPr>
          <w:rFonts w:hint="eastAsia" w:ascii="Times New Roman" w:hAnsi="Times New Roman" w:eastAsia="仿宋_GB2312" w:cs="Times New Roman"/>
          <w:sz w:val="32"/>
          <w:szCs w:val="32"/>
          <w:lang w:val="en-US" w:eastAsia="zh-CN"/>
        </w:rPr>
        <w:t>各项绩效指标都达到预期设定。</w:t>
      </w:r>
    </w:p>
    <w:p w14:paraId="6F79E976">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en-US" w:eastAsia="zh-CN"/>
        </w:rPr>
      </w:pPr>
      <w:r>
        <w:rPr>
          <w:rFonts w:hint="default" w:eastAsia="楷体_GB2312" w:cs="Times New Roman"/>
          <w:b w:val="0"/>
          <w:bCs w:val="0"/>
          <w:i w:val="0"/>
          <w:iCs w:val="0"/>
          <w:color w:val="auto"/>
          <w:sz w:val="32"/>
          <w:szCs w:val="32"/>
          <w:highlight w:val="none"/>
          <w:u w:val="none"/>
          <w:lang w:val="zh-CN" w:eastAsia="zh-CN"/>
        </w:rPr>
        <w:t>（三）评价选点</w:t>
      </w:r>
    </w:p>
    <w:p w14:paraId="345993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zh-CN" w:eastAsia="zh-CN"/>
        </w:rPr>
        <w:t>评价选点在区内各乡镇</w:t>
      </w:r>
      <w:r>
        <w:rPr>
          <w:rFonts w:hint="eastAsia" w:ascii="Times New Roman" w:hAnsi="Times New Roman" w:eastAsia="仿宋_GB2312" w:cs="Times New Roman"/>
          <w:sz w:val="32"/>
          <w:szCs w:val="32"/>
          <w:lang w:val="en-US" w:eastAsia="zh-CN"/>
        </w:rPr>
        <w:t>随机抽查</w:t>
      </w:r>
      <w:r>
        <w:rPr>
          <w:rFonts w:hint="default" w:ascii="Times New Roman" w:hAnsi="Times New Roman" w:eastAsia="仿宋_GB2312" w:cs="Times New Roman"/>
          <w:sz w:val="32"/>
          <w:szCs w:val="32"/>
          <w:lang w:val="zh-CN" w:eastAsia="zh-CN"/>
        </w:rPr>
        <w:t>。</w:t>
      </w:r>
    </w:p>
    <w:p w14:paraId="68C832BF">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en-US" w:eastAsia="zh-CN"/>
        </w:rPr>
        <w:t>（四）</w:t>
      </w:r>
      <w:r>
        <w:rPr>
          <w:rFonts w:hint="default" w:eastAsia="楷体_GB2312" w:cs="Times New Roman"/>
          <w:b w:val="0"/>
          <w:bCs w:val="0"/>
          <w:i w:val="0"/>
          <w:iCs w:val="0"/>
          <w:color w:val="auto"/>
          <w:sz w:val="32"/>
          <w:szCs w:val="32"/>
          <w:highlight w:val="none"/>
          <w:u w:val="none"/>
          <w:lang w:val="zh-CN" w:eastAsia="zh-CN"/>
        </w:rPr>
        <w:t>评价方法</w:t>
      </w:r>
    </w:p>
    <w:p w14:paraId="4136FDBD">
      <w:pPr>
        <w:keepNext w:val="0"/>
        <w:keepLines w:val="0"/>
        <w:pageBreakBefore w:val="0"/>
        <w:widowControl w:val="0"/>
        <w:numPr>
          <w:ilvl w:val="0"/>
          <w:numId w:val="0"/>
        </w:numPr>
        <w:kinsoku/>
        <w:wordWrap/>
        <w:overflowPunct/>
        <w:topLinePunct w:val="0"/>
        <w:autoSpaceDE/>
        <w:autoSpaceDN/>
        <w:bidi w:val="0"/>
        <w:spacing w:line="576" w:lineRule="exact"/>
        <w:ind w:left="640" w:leftChars="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lang w:val="en-US" w:eastAsia="zh-CN"/>
        </w:rPr>
        <w:t xml:space="preserve"> </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根据项目情况和评价重点，采用案卷研究法</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和</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单位自评法。</w:t>
      </w:r>
    </w:p>
    <w:p w14:paraId="37762BC1">
      <w:pPr>
        <w:pStyle w:val="15"/>
        <w:pageBreakBefore w:val="0"/>
        <w:numPr>
          <w:ilvl w:val="0"/>
          <w:numId w:val="0"/>
        </w:numPr>
        <w:kinsoku/>
        <w:wordWrap/>
        <w:overflowPunct/>
        <w:topLinePunct w:val="0"/>
        <w:autoSpaceDE/>
        <w:autoSpaceDN/>
        <w:bidi w:val="0"/>
        <w:spacing w:line="576" w:lineRule="exact"/>
        <w:ind w:left="630" w:leftChars="0"/>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p>
    <w:p w14:paraId="3439B891">
      <w:pPr>
        <w:keepNext w:val="0"/>
        <w:keepLines w:val="0"/>
        <w:pageBreakBefore w:val="0"/>
        <w:widowControl w:val="0"/>
        <w:numPr>
          <w:ilvl w:val="0"/>
          <w:numId w:val="0"/>
        </w:numP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en-US" w:eastAsia="zh-CN"/>
        </w:rPr>
        <w:t>（五</w:t>
      </w:r>
      <w:r>
        <w:rPr>
          <w:rFonts w:hint="eastAsia" w:eastAsia="楷体_GB2312" w:cs="Times New Roman"/>
          <w:b w:val="0"/>
          <w:bCs w:val="0"/>
          <w:i w:val="0"/>
          <w:iCs w:val="0"/>
          <w:color w:val="auto"/>
          <w:sz w:val="32"/>
          <w:szCs w:val="32"/>
          <w:highlight w:val="none"/>
          <w:u w:val="none"/>
          <w:lang w:val="zh-CN" w:eastAsia="zh-CN"/>
        </w:rPr>
        <w:t>）</w:t>
      </w:r>
      <w:r>
        <w:rPr>
          <w:rFonts w:hint="default" w:eastAsia="楷体_GB2312" w:cs="Times New Roman"/>
          <w:b w:val="0"/>
          <w:bCs w:val="0"/>
          <w:i w:val="0"/>
          <w:iCs w:val="0"/>
          <w:color w:val="auto"/>
          <w:sz w:val="32"/>
          <w:szCs w:val="32"/>
          <w:highlight w:val="none"/>
          <w:u w:val="none"/>
          <w:lang w:val="zh-CN" w:eastAsia="zh-CN"/>
        </w:rPr>
        <w:t>评价组织</w:t>
      </w:r>
    </w:p>
    <w:p w14:paraId="6C4AC17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eastAsia" w:cs="Times New Roman"/>
          <w:sz w:val="32"/>
          <w:szCs w:val="32"/>
          <w:lang w:val="en-US" w:eastAsia="zh-CN"/>
        </w:rPr>
        <w:t>以</w:t>
      </w:r>
      <w:r>
        <w:rPr>
          <w:rFonts w:hint="default" w:ascii="Times New Roman" w:hAnsi="Times New Roman" w:eastAsia="仿宋_GB2312" w:cs="Times New Roman"/>
          <w:sz w:val="32"/>
          <w:szCs w:val="32"/>
          <w:lang w:val="en-US" w:eastAsia="zh-CN"/>
        </w:rPr>
        <w:t>区动物疫病预防控制中心</w:t>
      </w:r>
      <w:r>
        <w:rPr>
          <w:rFonts w:hint="eastAsia" w:ascii="Times New Roman" w:hAnsi="Times New Roman" w:eastAsia="仿宋_GB2312" w:cs="Times New Roman"/>
          <w:sz w:val="32"/>
          <w:szCs w:val="32"/>
          <w:lang w:val="en-US" w:eastAsia="zh-CN"/>
        </w:rPr>
        <w:t>覃丽为组长</w:t>
      </w:r>
      <w:r>
        <w:rPr>
          <w:rFonts w:hint="default" w:ascii="Times New Roman" w:hAnsi="Times New Roman" w:eastAsia="仿宋_GB2312" w:cs="Times New Roman"/>
          <w:sz w:val="32"/>
          <w:szCs w:val="32"/>
          <w:lang w:val="en-US" w:eastAsia="zh-CN"/>
        </w:rPr>
        <w:t>、区动物卫生监督所和镇畜牧兽医站负责人为成员。</w:t>
      </w:r>
      <w:r>
        <w:rPr>
          <w:rFonts w:hint="eastAsia" w:ascii="Times New Roman" w:hAnsi="Times New Roman" w:eastAsia="仿宋_GB2312" w:cs="Times New Roman"/>
          <w:sz w:val="32"/>
          <w:szCs w:val="32"/>
          <w:lang w:val="en-US" w:eastAsia="zh-CN"/>
        </w:rPr>
        <w:t>通过采样</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案卷研究</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和单位自评进行绩效评价。</w:t>
      </w:r>
    </w:p>
    <w:p w14:paraId="23AC1456">
      <w:pPr>
        <w:pStyle w:val="15"/>
        <w:pageBreakBefore w:val="0"/>
        <w:numPr>
          <w:ilvl w:val="0"/>
          <w:numId w:val="7"/>
        </w:numPr>
        <w:kinsoku/>
        <w:wordWrap/>
        <w:overflowPunct/>
        <w:topLinePunct w:val="0"/>
        <w:autoSpaceDE/>
        <w:autoSpaceDN/>
        <w:bidi w:val="0"/>
        <w:spacing w:line="576" w:lineRule="exact"/>
        <w:ind w:left="640" w:leftChars="0" w:firstLine="0" w:firstLineChars="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绩效分析</w:t>
      </w:r>
    </w:p>
    <w:p w14:paraId="4A23C4EE">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lang w:eastAsia="zh-CN"/>
        </w:rPr>
      </w:pPr>
      <w:r>
        <w:rPr>
          <w:rFonts w:hint="eastAsia"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p>
    <w:p w14:paraId="1A45A76A">
      <w:pPr>
        <w:pStyle w:val="9"/>
        <w:pageBreakBefore w:val="0"/>
        <w:numPr>
          <w:ilvl w:val="0"/>
          <w:numId w:val="0"/>
        </w:numPr>
        <w:kinsoku/>
        <w:wordWrap/>
        <w:overflowPunct/>
        <w:topLinePunct w:val="0"/>
        <w:autoSpaceDE/>
        <w:autoSpaceDN/>
        <w:bidi w:val="0"/>
        <w:spacing w:after="0" w:line="576" w:lineRule="exact"/>
        <w:ind w:leftChars="200"/>
        <w:textAlignment w:val="auto"/>
        <w:rPr>
          <w:rFonts w:hint="default" w:ascii="Times New Roman" w:hAnsi="Times New Roman" w:eastAsia="仿宋_GB2312" w:cs="Times New Roman"/>
          <w:b w:val="0"/>
          <w:bCs w:val="0"/>
          <w:i w:val="0"/>
          <w:iCs w:val="0"/>
          <w:color w:val="auto"/>
          <w:sz w:val="32"/>
          <w:szCs w:val="32"/>
          <w:lang w:eastAsia="zh-CN"/>
        </w:rPr>
      </w:pPr>
      <w:r>
        <w:rPr>
          <w:rFonts w:hint="eastAsia" w:ascii="Times New Roman" w:hAnsi="Times New Roman" w:cs="Times New Roman"/>
          <w:b w:val="0"/>
          <w:bCs w:val="0"/>
          <w:i w:val="0"/>
          <w:iCs w:val="0"/>
          <w:color w:val="auto"/>
          <w:sz w:val="32"/>
          <w:szCs w:val="32"/>
          <w:lang w:eastAsia="zh-CN"/>
        </w:rPr>
        <w:t>该项目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决策程序、资金投向</w:t>
      </w:r>
      <w:r>
        <w:rPr>
          <w:rFonts w:hint="eastAsia" w:ascii="Times New Roman" w:hAnsi="Times New Roman" w:cs="Times New Roman"/>
          <w:b w:val="0"/>
          <w:bCs w:val="0"/>
          <w:i w:val="0"/>
          <w:iCs w:val="0"/>
          <w:kern w:val="0"/>
          <w:position w:val="0"/>
          <w:sz w:val="32"/>
          <w:szCs w:val="32"/>
          <w:highlight w:val="none"/>
          <w:lang w:val="zh-CN" w:eastAsia="zh-CN" w:bidi="ar-SA"/>
        </w:rPr>
        <w:t>都按照既定方案执行</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682DCED0">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lang w:eastAsia="zh-CN"/>
        </w:rPr>
      </w:pPr>
      <w:r>
        <w:rPr>
          <w:rFonts w:hint="eastAsia"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p>
    <w:p w14:paraId="13C13C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b w:val="0"/>
          <w:bCs w:val="0"/>
          <w:i w:val="0"/>
          <w:iCs w:val="0"/>
          <w:color w:val="auto"/>
          <w:sz w:val="32"/>
          <w:szCs w:val="32"/>
          <w:lang w:eastAsia="zh-CN"/>
        </w:rPr>
      </w:pPr>
      <w:r>
        <w:rPr>
          <w:rFonts w:hint="eastAsia" w:ascii="Times New Roman" w:hAnsi="Times New Roman" w:cs="Times New Roman"/>
          <w:b w:val="0"/>
          <w:bCs w:val="0"/>
          <w:i w:val="0"/>
          <w:iCs w:val="0"/>
          <w:kern w:val="0"/>
          <w:position w:val="0"/>
          <w:sz w:val="32"/>
          <w:szCs w:val="32"/>
          <w:highlight w:val="none"/>
          <w:lang w:val="zh-CN" w:eastAsia="zh-CN" w:bidi="ar-SA"/>
        </w:rPr>
        <w:t>项目专款专用</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cs="Times New Roman"/>
          <w:b w:val="0"/>
          <w:bCs w:val="0"/>
          <w:i w:val="0"/>
          <w:iCs w:val="0"/>
          <w:kern w:val="0"/>
          <w:position w:val="0"/>
          <w:sz w:val="32"/>
          <w:szCs w:val="32"/>
          <w:highlight w:val="none"/>
          <w:lang w:val="zh-CN" w:eastAsia="zh-CN" w:bidi="ar-SA"/>
        </w:rPr>
        <w:t>进行了事前、事中</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绩效监管</w:t>
      </w:r>
      <w:r>
        <w:rPr>
          <w:rFonts w:hint="eastAsia" w:ascii="Times New Roman" w:hAnsi="Times New Roman" w:cs="Times New Roman"/>
          <w:b w:val="0"/>
          <w:bCs w:val="0"/>
          <w:i w:val="0"/>
          <w:iCs w:val="0"/>
          <w:kern w:val="0"/>
          <w:position w:val="0"/>
          <w:sz w:val="32"/>
          <w:szCs w:val="32"/>
          <w:highlight w:val="none"/>
          <w:lang w:val="zh-CN" w:eastAsia="zh-CN" w:bidi="ar-SA"/>
        </w:rPr>
        <w:t>及事后绩效评价</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C43109C">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p>
    <w:p w14:paraId="023B02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cs="Times New Roman"/>
          <w:b w:val="0"/>
          <w:bCs w:val="0"/>
          <w:i w:val="0"/>
          <w:iCs w:val="0"/>
          <w:kern w:val="0"/>
          <w:position w:val="0"/>
          <w:sz w:val="32"/>
          <w:szCs w:val="32"/>
          <w:highlight w:val="none"/>
          <w:lang w:val="zh-CN" w:eastAsia="zh-CN" w:bidi="ar-SA"/>
        </w:rPr>
        <w:t>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预算执行</w:t>
      </w:r>
      <w:r>
        <w:rPr>
          <w:rFonts w:hint="eastAsia" w:ascii="Times New Roman" w:hAnsi="Times New Roman" w:cs="Times New Roman"/>
          <w:b w:val="0"/>
          <w:bCs w:val="0"/>
          <w:i w:val="0"/>
          <w:iCs w:val="0"/>
          <w:kern w:val="0"/>
          <w:position w:val="0"/>
          <w:sz w:val="32"/>
          <w:szCs w:val="32"/>
          <w:highlight w:val="none"/>
          <w:lang w:val="zh-CN" w:eastAsia="zh-CN" w:bidi="ar-SA"/>
        </w:rPr>
        <w:t>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eastAsia" w:ascii="Times New Roman" w:hAnsi="Times New Roman"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资金使用</w:t>
      </w:r>
      <w:r>
        <w:rPr>
          <w:rFonts w:hint="eastAsia" w:ascii="Times New Roman" w:hAnsi="Times New Roman" w:cs="Times New Roman"/>
          <w:b w:val="0"/>
          <w:bCs w:val="0"/>
          <w:i w:val="0"/>
          <w:iCs w:val="0"/>
          <w:kern w:val="0"/>
          <w:position w:val="0"/>
          <w:sz w:val="32"/>
          <w:szCs w:val="32"/>
          <w:highlight w:val="none"/>
          <w:lang w:val="zh-CN" w:eastAsia="zh-CN" w:bidi="ar-SA"/>
        </w:rPr>
        <w:t>达到预期效果</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E31C744">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en-US" w:eastAsia="zh-CN"/>
        </w:rPr>
        <w:t>项目结果</w:t>
      </w:r>
    </w:p>
    <w:p w14:paraId="311691F7">
      <w:pPr>
        <w:pStyle w:val="9"/>
        <w:pageBreakBefore w:val="0"/>
        <w:numPr>
          <w:ilvl w:val="0"/>
          <w:numId w:val="0"/>
        </w:numPr>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cs="Times New Roman"/>
          <w:b w:val="0"/>
          <w:bCs w:val="0"/>
          <w:i w:val="0"/>
          <w:iCs w:val="0"/>
          <w:kern w:val="0"/>
          <w:position w:val="0"/>
          <w:sz w:val="32"/>
          <w:szCs w:val="32"/>
          <w:highlight w:val="none"/>
          <w:lang w:val="zh-CN" w:eastAsia="zh-CN" w:bidi="ar-SA"/>
        </w:rPr>
        <w:t>项目设定</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完成、</w:t>
      </w:r>
      <w:r>
        <w:rPr>
          <w:rFonts w:hint="eastAsia" w:ascii="Times New Roman" w:hAnsi="Times New Roman" w:cs="Times New Roman"/>
          <w:b w:val="0"/>
          <w:bCs w:val="0"/>
          <w:i w:val="0"/>
          <w:iCs w:val="0"/>
          <w:kern w:val="0"/>
          <w:position w:val="0"/>
          <w:sz w:val="32"/>
          <w:szCs w:val="32"/>
          <w:highlight w:val="none"/>
          <w:lang w:val="zh-CN" w:eastAsia="zh-CN" w:bidi="ar-SA"/>
        </w:rPr>
        <w:t>按照规定时间</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完成。</w:t>
      </w:r>
    </w:p>
    <w:p w14:paraId="421D93A5">
      <w:pPr>
        <w:pStyle w:val="7"/>
        <w:pageBreakBefore w:val="0"/>
        <w:numPr>
          <w:ilvl w:val="0"/>
          <w:numId w:val="0"/>
        </w:numP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3FC469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达到了总体绩效目标。对高致病性禽流感、口蹄疫、小反刍兽疫群体免疫密度常年保持在95%以上，其中应免畜禽免疫密度达到100%；通过强制免疫有效控制重大动物疫病发生，经费使用效率较高。</w:t>
      </w:r>
      <w:r>
        <w:rPr>
          <w:rFonts w:hint="eastAsia" w:ascii="Times New Roman" w:hAnsi="Times New Roman" w:eastAsia="仿宋_GB2312" w:cs="Times New Roman"/>
          <w:sz w:val="32"/>
          <w:szCs w:val="32"/>
          <w:lang w:val="en-US" w:eastAsia="zh-CN"/>
        </w:rPr>
        <w:t>评价总分100分。</w:t>
      </w:r>
    </w:p>
    <w:p w14:paraId="3402B367">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7ED1B6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未</w:t>
      </w:r>
      <w:r>
        <w:rPr>
          <w:rFonts w:hint="default" w:ascii="Times New Roman" w:hAnsi="Times New Roman" w:eastAsia="仿宋_GB2312" w:cs="Times New Roman"/>
          <w:sz w:val="32"/>
          <w:szCs w:val="32"/>
          <w:lang w:val="en-US" w:eastAsia="zh-CN"/>
        </w:rPr>
        <w:t>发现的</w:t>
      </w:r>
      <w:r>
        <w:rPr>
          <w:rFonts w:hint="eastAsia"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lang w:val="en-US" w:eastAsia="zh-CN"/>
        </w:rPr>
        <w:t>问题。</w:t>
      </w:r>
    </w:p>
    <w:p w14:paraId="7A1A83CA">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改进建议</w:t>
      </w:r>
    </w:p>
    <w:p w14:paraId="2B0F5FBC">
      <w:pPr>
        <w:pStyle w:val="15"/>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进一步提高免疫密度。</w:t>
      </w:r>
    </w:p>
    <w:p w14:paraId="5845FD36">
      <w:pPr>
        <w:pStyle w:val="9"/>
        <w:pageBreakBefore w:val="0"/>
        <w:kinsoku/>
        <w:wordWrap/>
        <w:overflowPunct/>
        <w:topLinePunct w:val="0"/>
        <w:autoSpaceDE/>
        <w:autoSpaceDN/>
        <w:bidi w:val="0"/>
        <w:spacing w:after="0" w:line="576" w:lineRule="exact"/>
        <w:textAlignment w:val="auto"/>
        <w:rPr>
          <w:lang w:val="zh-CN"/>
        </w:rPr>
      </w:pPr>
    </w:p>
    <w:p w14:paraId="6717285F">
      <w:pPr>
        <w:pStyle w:val="9"/>
        <w:pageBreakBefore w:val="0"/>
        <w:kinsoku/>
        <w:wordWrap/>
        <w:overflowPunct/>
        <w:topLinePunct w:val="0"/>
        <w:autoSpaceDE/>
        <w:autoSpaceDN/>
        <w:bidi w:val="0"/>
        <w:spacing w:after="0" w:line="576" w:lineRule="exact"/>
        <w:textAlignment w:val="auto"/>
        <w:rPr>
          <w:lang w:val="zh-CN"/>
        </w:rPr>
      </w:pPr>
    </w:p>
    <w:p w14:paraId="0E215F8D">
      <w:pPr>
        <w:pStyle w:val="9"/>
        <w:pageBreakBefore w:val="0"/>
        <w:kinsoku/>
        <w:wordWrap/>
        <w:overflowPunct/>
        <w:topLinePunct w:val="0"/>
        <w:autoSpaceDE/>
        <w:autoSpaceDN/>
        <w:bidi w:val="0"/>
        <w:spacing w:after="0" w:line="576" w:lineRule="exact"/>
        <w:textAlignment w:val="auto"/>
        <w:rPr>
          <w:lang w:val="zh-CN"/>
        </w:rPr>
      </w:pPr>
    </w:p>
    <w:p w14:paraId="3A1AC9E4">
      <w:pPr>
        <w:pStyle w:val="9"/>
        <w:pageBreakBefore w:val="0"/>
        <w:kinsoku/>
        <w:wordWrap/>
        <w:overflowPunct/>
        <w:topLinePunct w:val="0"/>
        <w:autoSpaceDE/>
        <w:autoSpaceDN/>
        <w:bidi w:val="0"/>
        <w:spacing w:after="0" w:line="576" w:lineRule="exact"/>
        <w:textAlignment w:val="auto"/>
        <w:rPr>
          <w:lang w:val="zh-CN"/>
        </w:rPr>
      </w:pPr>
    </w:p>
    <w:p w14:paraId="1F3A9A76">
      <w:pPr>
        <w:pStyle w:val="7"/>
        <w:pageBreakBefore w:val="0"/>
        <w:kinsoku/>
        <w:wordWrap/>
        <w:overflowPunct/>
        <w:topLinePunct w:val="0"/>
        <w:autoSpaceDE/>
        <w:autoSpaceDN/>
        <w:bidi w:val="0"/>
        <w:spacing w:beforeLines="0" w:line="576" w:lineRule="exact"/>
        <w:ind w:firstLine="1600" w:firstLineChars="500"/>
        <w:textAlignment w:val="auto"/>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2023年专项预算项目绩效自评报告</w:t>
      </w:r>
    </w:p>
    <w:p w14:paraId="2AB183BB">
      <w:pPr>
        <w:keepNext w:val="0"/>
        <w:keepLines w:val="0"/>
        <w:pageBreakBefore w:val="0"/>
        <w:widowControl w:val="0"/>
        <w:kinsoku/>
        <w:wordWrap/>
        <w:overflowPunct/>
        <w:topLinePunct w:val="0"/>
        <w:autoSpaceDE/>
        <w:autoSpaceDN/>
        <w:bidi w:val="0"/>
        <w:adjustRightInd/>
        <w:snapToGrid/>
        <w:spacing w:line="576" w:lineRule="exact"/>
        <w:ind w:firstLine="1285" w:firstLineChars="400"/>
        <w:jc w:val="both"/>
        <w:textAlignment w:val="auto"/>
        <w:rPr>
          <w:rFonts w:hint="eastAsia" w:ascii="Times New Roman" w:hAnsi="Times New Roman" w:eastAsia="方正小标宋简体" w:cs="Times New Roman"/>
          <w:b/>
          <w:bCs/>
          <w:sz w:val="32"/>
          <w:szCs w:val="32"/>
          <w:lang w:val="en-US" w:eastAsia="zh-CN"/>
        </w:rPr>
      </w:pPr>
      <w:r>
        <w:rPr>
          <w:rFonts w:hint="eastAsia" w:ascii="Times New Roman" w:hAnsi="Times New Roman" w:eastAsia="方正小标宋简体" w:cs="Times New Roman"/>
          <w:b/>
          <w:bCs/>
          <w:sz w:val="32"/>
          <w:szCs w:val="32"/>
          <w:lang w:val="en-US" w:eastAsia="zh-CN"/>
        </w:rPr>
        <w:t>（2023年农村综合改革转移支付预算）</w:t>
      </w:r>
    </w:p>
    <w:p w14:paraId="0973E14C">
      <w:pPr>
        <w:pStyle w:val="7"/>
        <w:pageBreakBefore w:val="0"/>
        <w:kinsoku/>
        <w:wordWrap/>
        <w:overflowPunct/>
        <w:topLinePunct w:val="0"/>
        <w:autoSpaceDE/>
        <w:autoSpaceDN/>
        <w:bidi w:val="0"/>
        <w:spacing w:beforeLines="0" w:line="576" w:lineRule="exact"/>
        <w:ind w:firstLine="600"/>
        <w:textAlignment w:val="auto"/>
        <w:rPr>
          <w:lang w:val="zh-CN"/>
        </w:rPr>
      </w:pPr>
    </w:p>
    <w:p w14:paraId="2DC6F4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4C07B6E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14:paraId="3656DD09">
      <w:pPr>
        <w:keepNext w:val="0"/>
        <w:keepLines w:val="0"/>
        <w:pageBreakBefore w:val="0"/>
        <w:widowControl w:val="0"/>
        <w:kinsoku/>
        <w:wordWrap/>
        <w:overflowPunct/>
        <w:topLinePunct w:val="0"/>
        <w:autoSpaceDE/>
        <w:autoSpaceDN/>
        <w:bidi w:val="0"/>
        <w:snapToGrid/>
        <w:spacing w:line="576"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年上级下达我区农村综合改革转移支付资金</w:t>
      </w:r>
      <w:r>
        <w:rPr>
          <w:rFonts w:hint="eastAsia" w:ascii="仿宋_GB2312" w:hAnsi="仿宋_GB2312" w:cs="仿宋_GB2312"/>
          <w:sz w:val="32"/>
          <w:szCs w:val="32"/>
          <w:lang w:val="en-US" w:eastAsia="zh-CN"/>
        </w:rPr>
        <w:t>1243.1</w:t>
      </w:r>
      <w:r>
        <w:rPr>
          <w:rFonts w:hint="eastAsia" w:ascii="仿宋_GB2312" w:hAnsi="仿宋_GB2312" w:eastAsia="仿宋_GB2312" w:cs="仿宋_GB2312"/>
          <w:sz w:val="32"/>
          <w:szCs w:val="32"/>
          <w:lang w:val="en-US" w:eastAsia="zh-CN"/>
        </w:rPr>
        <w:t>万元（其中中央</w:t>
      </w:r>
      <w:r>
        <w:rPr>
          <w:rFonts w:hint="eastAsia" w:ascii="仿宋_GB2312" w:hAnsi="仿宋_GB2312" w:cs="仿宋_GB2312"/>
          <w:sz w:val="32"/>
          <w:szCs w:val="32"/>
          <w:lang w:val="en-US" w:eastAsia="zh-CN"/>
        </w:rPr>
        <w:t>686</w:t>
      </w:r>
      <w:r>
        <w:rPr>
          <w:rFonts w:hint="eastAsia" w:ascii="仿宋_GB2312" w:hAnsi="仿宋_GB2312" w:eastAsia="仿宋_GB2312" w:cs="仿宋_GB2312"/>
          <w:sz w:val="32"/>
          <w:szCs w:val="32"/>
          <w:lang w:val="en-US" w:eastAsia="zh-CN"/>
        </w:rPr>
        <w:t>万元，省市</w:t>
      </w:r>
      <w:r>
        <w:rPr>
          <w:rFonts w:hint="eastAsia" w:ascii="仿宋_GB2312" w:hAnsi="仿宋_GB2312" w:cs="仿宋_GB2312"/>
          <w:sz w:val="32"/>
          <w:szCs w:val="32"/>
          <w:lang w:val="en-US" w:eastAsia="zh-CN"/>
        </w:rPr>
        <w:t>557.1</w:t>
      </w:r>
      <w:r>
        <w:rPr>
          <w:rFonts w:hint="eastAsia" w:ascii="仿宋_GB2312" w:hAnsi="仿宋_GB2312" w:eastAsia="仿宋_GB2312" w:cs="仿宋_GB2312"/>
          <w:sz w:val="32"/>
          <w:szCs w:val="32"/>
          <w:lang w:val="en-US" w:eastAsia="zh-CN"/>
        </w:rPr>
        <w:t>万元），区级配套农村综合改革转移支付资金</w:t>
      </w:r>
      <w:r>
        <w:rPr>
          <w:rFonts w:hint="eastAsia" w:ascii="仿宋_GB2312" w:hAnsi="仿宋_GB2312" w:cs="仿宋_GB2312"/>
          <w:sz w:val="32"/>
          <w:szCs w:val="32"/>
          <w:lang w:val="en-US" w:eastAsia="zh-CN"/>
        </w:rPr>
        <w:t>200</w:t>
      </w:r>
      <w:r>
        <w:rPr>
          <w:rFonts w:hint="eastAsia" w:ascii="仿宋_GB2312" w:hAnsi="仿宋_GB2312" w:eastAsia="仿宋_GB2312" w:cs="仿宋_GB2312"/>
          <w:sz w:val="32"/>
          <w:szCs w:val="32"/>
          <w:lang w:val="en-US" w:eastAsia="zh-CN"/>
        </w:rPr>
        <w:t>万元，资金总量</w:t>
      </w:r>
      <w:r>
        <w:rPr>
          <w:rFonts w:hint="eastAsia" w:ascii="仿宋_GB2312" w:hAnsi="仿宋_GB2312" w:cs="仿宋_GB2312"/>
          <w:sz w:val="32"/>
          <w:szCs w:val="32"/>
          <w:lang w:val="en-US" w:eastAsia="zh-CN"/>
        </w:rPr>
        <w:t>1443.1</w:t>
      </w:r>
      <w:r>
        <w:rPr>
          <w:rFonts w:hint="eastAsia" w:ascii="仿宋_GB2312" w:hAnsi="仿宋_GB2312" w:eastAsia="仿宋_GB2312" w:cs="仿宋_GB2312"/>
          <w:sz w:val="32"/>
          <w:szCs w:val="32"/>
          <w:lang w:val="en-US" w:eastAsia="zh-CN"/>
        </w:rPr>
        <w:t>万元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支持农村公益事业建设绩效目标数56个，美丽乡村建设绩效目标数1个</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zh-CN" w:eastAsia="zh-CN"/>
        </w:rPr>
        <w:t>遂财农</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zh-CN" w:eastAsia="zh-CN"/>
        </w:rPr>
        <w:t>2022]75号2023年农村综合改革转移支付预算</w:t>
      </w:r>
      <w:r>
        <w:rPr>
          <w:rFonts w:hint="eastAsia" w:ascii="仿宋_GB2312" w:hAnsi="仿宋_GB2312" w:eastAsia="仿宋_GB2312" w:cs="仿宋_GB2312"/>
          <w:sz w:val="32"/>
          <w:szCs w:val="32"/>
          <w:lang w:val="en-US" w:eastAsia="zh-CN"/>
        </w:rPr>
        <w:t>750万元只是其中一部分。</w:t>
      </w:r>
    </w:p>
    <w:p w14:paraId="5A51C0D9">
      <w:pPr>
        <w:keepNext w:val="0"/>
        <w:keepLines w:val="0"/>
        <w:pageBreakBefore w:val="0"/>
        <w:numPr>
          <w:ilvl w:val="0"/>
          <w:numId w:val="9"/>
        </w:numPr>
        <w:kinsoku/>
        <w:wordWrap/>
        <w:overflowPunct/>
        <w:topLinePunct w:val="0"/>
        <w:autoSpaceDE/>
        <w:autoSpaceDN/>
        <w:bidi w:val="0"/>
        <w:adjustRightInd w:val="0"/>
        <w:snapToGrid w:val="0"/>
        <w:spacing w:line="576" w:lineRule="exact"/>
        <w:ind w:left="-2" w:leftChars="0" w:firstLine="632" w:firstLineChars="0"/>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p>
    <w:p w14:paraId="54BE0BE4">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支持农村公益事业建设绩效目标数56个，美丽乡村建设绩效目标数1个。</w:t>
      </w:r>
    </w:p>
    <w:p w14:paraId="6FF13C7B">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p>
    <w:p w14:paraId="0D63EC6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eastAsia" w:ascii="Times New Roman" w:hAnsi="Times New Roman" w:eastAsia="仿宋_GB2312" w:cs="Times New Roman"/>
          <w:sz w:val="32"/>
          <w:szCs w:val="32"/>
          <w:lang w:val="en-US" w:eastAsia="zh-CN"/>
        </w:rPr>
        <w:t>2023年我区合计投入资金1443.1万元（其中中央686万元，省市557.1万元），区级配套农村综合改革转移支付资金200万元。2023年安排资金750万元。</w:t>
      </w:r>
    </w:p>
    <w:p w14:paraId="209317E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（四）</w:t>
      </w:r>
      <w:r>
        <w:rPr>
          <w:rFonts w:hint="default" w:ascii="Times New Roman" w:hAnsi="Times New Roman" w:eastAsia="楷体_GB2312" w:cs="Times New Roman"/>
          <w:b w:val="0"/>
          <w:bCs w:val="0"/>
          <w:i w:val="0"/>
          <w:iCs w:val="0"/>
          <w:color w:val="auto"/>
          <w:sz w:val="32"/>
          <w:szCs w:val="32"/>
          <w:highlight w:val="none"/>
          <w:u w:val="none"/>
          <w:lang w:val="zh-CN" w:eastAsia="zh-CN"/>
        </w:rPr>
        <w:t>项目绩效目标设置</w:t>
      </w:r>
    </w:p>
    <w:p w14:paraId="3157541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项目绩效目标：支持农村公益事业建设绩效目标数为56个，美丽乡村建设目标数1个</w:t>
      </w:r>
      <w:r>
        <w:rPr>
          <w:rFonts w:hint="eastAsia" w:eastAsia="楷体_GB2312" w:cs="Times New Roman"/>
          <w:b w:val="0"/>
          <w:bCs w:val="0"/>
          <w:i w:val="0"/>
          <w:iCs w:val="0"/>
          <w:color w:val="auto"/>
          <w:sz w:val="32"/>
          <w:szCs w:val="32"/>
          <w:highlight w:val="none"/>
          <w:u w:val="none"/>
          <w:lang w:val="zh-CN" w:eastAsia="zh-CN"/>
        </w:rPr>
        <w:t>。</w:t>
      </w:r>
    </w:p>
    <w:p w14:paraId="5697C9F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28DBB9D4">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320" w:firstLineChars="1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p>
    <w:p w14:paraId="110FDDB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仿宋_GB2312" w:cs="Times New Roman"/>
          <w:sz w:val="32"/>
          <w:szCs w:val="32"/>
          <w:lang w:val="en-US" w:eastAsia="zh-CN"/>
        </w:rPr>
        <w:t>按照省财政厅《关于做好2023年农村综合改革转移支付资金绩效评价和农村综合改革发展示范试点项目度评估工作的通知》（川财农〔2024〕7号）要求，我区认真组织开展了2023年农村综合改革转移支付资金绩效评价工作，从资金保障、项目管理、资金使用成效、机制创新等方面客观自评，确保数据准确、自评全面、反映真实。</w:t>
      </w:r>
    </w:p>
    <w:p w14:paraId="562B755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（二）</w:t>
      </w:r>
      <w:r>
        <w:rPr>
          <w:rFonts w:hint="default" w:ascii="Times New Roman" w:hAnsi="Times New Roman" w:eastAsia="楷体_GB2312" w:cs="Times New Roman"/>
          <w:b w:val="0"/>
          <w:bCs w:val="0"/>
          <w:i w:val="0"/>
          <w:iCs w:val="0"/>
          <w:color w:val="auto"/>
          <w:sz w:val="32"/>
          <w:szCs w:val="32"/>
          <w:highlight w:val="none"/>
          <w:u w:val="none"/>
          <w:lang w:val="zh-CN"/>
        </w:rPr>
        <w:t>预设问题及评价重点</w:t>
      </w:r>
    </w:p>
    <w:p w14:paraId="69660F1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Times New Roman" w:hAnsi="Times New Roman" w:eastAsia="楷体_GB2312" w:cs="Times New Roman"/>
          <w:b w:val="0"/>
          <w:bCs w:val="0"/>
          <w:i w:val="0"/>
          <w:iCs w:val="0"/>
          <w:color w:val="auto"/>
          <w:sz w:val="32"/>
          <w:szCs w:val="32"/>
          <w:highlight w:val="none"/>
          <w:u w:val="none"/>
          <w:lang w:val="en-US" w:eastAsia="zh-CN"/>
        </w:rPr>
      </w:pPr>
      <w:r>
        <w:rPr>
          <w:rFonts w:hint="eastAsia" w:ascii="Times New Roman" w:hAnsi="Times New Roman" w:eastAsia="仿宋_GB2312" w:cs="Times New Roman"/>
          <w:sz w:val="32"/>
          <w:szCs w:val="32"/>
          <w:lang w:val="en-US" w:eastAsia="zh-CN"/>
        </w:rPr>
        <w:t>2023年我区支持农村公益事业建设绩效目标数为56个，美丽乡村建设目标数1个，全年实际完成绩效目标数57个，完成率100%。农村人居环境得到了很大的改善。2023年完成村道水泥路建设项目30个，全长18公里；塘库堰建设项目22个；其他公益设施建设项目4个。</w:t>
      </w:r>
    </w:p>
    <w:p w14:paraId="3985500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（三）</w:t>
      </w:r>
      <w:r>
        <w:rPr>
          <w:rFonts w:hint="default" w:ascii="Times New Roman" w:hAnsi="Times New Roman" w:eastAsia="楷体_GB2312" w:cs="Times New Roman"/>
          <w:b w:val="0"/>
          <w:bCs w:val="0"/>
          <w:i w:val="0"/>
          <w:iCs w:val="0"/>
          <w:color w:val="auto"/>
          <w:sz w:val="32"/>
          <w:szCs w:val="32"/>
          <w:highlight w:val="none"/>
          <w:u w:val="none"/>
          <w:lang w:val="zh-CN" w:eastAsia="zh-CN"/>
        </w:rPr>
        <w:t>评价选点</w:t>
      </w:r>
    </w:p>
    <w:p w14:paraId="48B3DD2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各乡镇农村公益事业建设项目。</w:t>
      </w:r>
    </w:p>
    <w:p w14:paraId="2E8DF5B6">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（四）</w:t>
      </w:r>
      <w:r>
        <w:rPr>
          <w:rFonts w:hint="default" w:ascii="Times New Roman" w:hAnsi="Times New Roman" w:eastAsia="楷体_GB2312" w:cs="Times New Roman"/>
          <w:b w:val="0"/>
          <w:bCs w:val="0"/>
          <w:i w:val="0"/>
          <w:iCs w:val="0"/>
          <w:color w:val="auto"/>
          <w:sz w:val="32"/>
          <w:szCs w:val="32"/>
          <w:highlight w:val="none"/>
          <w:u w:val="none"/>
          <w:lang w:val="zh-CN" w:eastAsia="zh-CN"/>
        </w:rPr>
        <w:t>评价方法</w:t>
      </w:r>
    </w:p>
    <w:p w14:paraId="41A08E9C">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根据项目情况和评价重点，采用单位自评法、实地勘察法、问卷调查法。</w:t>
      </w:r>
    </w:p>
    <w:p w14:paraId="72789C0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（五）</w:t>
      </w:r>
      <w:r>
        <w:rPr>
          <w:rFonts w:hint="default" w:ascii="Times New Roman" w:hAnsi="Times New Roman" w:eastAsia="楷体_GB2312" w:cs="Times New Roman"/>
          <w:b w:val="0"/>
          <w:bCs w:val="0"/>
          <w:i w:val="0"/>
          <w:iCs w:val="0"/>
          <w:color w:val="auto"/>
          <w:sz w:val="32"/>
          <w:szCs w:val="32"/>
          <w:highlight w:val="none"/>
          <w:u w:val="none"/>
          <w:lang w:val="zh-CN" w:eastAsia="zh-CN"/>
        </w:rPr>
        <w:t>评价组织</w:t>
      </w:r>
    </w:p>
    <w:p w14:paraId="271A8FD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该项目绩效评价由秘书股牵头通过</w:t>
      </w:r>
      <w:r>
        <w:rPr>
          <w:rFonts w:hint="default" w:ascii="Times New Roman" w:hAnsi="Times New Roman" w:eastAsia="楷体_GB2312" w:cs="Times New Roman"/>
          <w:b w:val="0"/>
          <w:bCs w:val="0"/>
          <w:i w:val="0"/>
          <w:iCs w:val="0"/>
          <w:color w:val="auto"/>
          <w:sz w:val="32"/>
          <w:szCs w:val="32"/>
          <w:highlight w:val="none"/>
          <w:u w:val="none"/>
          <w:lang w:val="zh-CN" w:eastAsia="zh-CN"/>
        </w:rPr>
        <w:t>自评法、实地勘察法、问卷调查法</w:t>
      </w:r>
      <w:r>
        <w:rPr>
          <w:rFonts w:hint="eastAsia" w:ascii="Times New Roman" w:hAnsi="Times New Roman" w:eastAsia="楷体_GB2312" w:cs="Times New Roman"/>
          <w:b w:val="0"/>
          <w:bCs w:val="0"/>
          <w:i w:val="0"/>
          <w:iCs w:val="0"/>
          <w:color w:val="auto"/>
          <w:sz w:val="32"/>
          <w:szCs w:val="32"/>
          <w:highlight w:val="none"/>
          <w:u w:val="none"/>
          <w:lang w:val="en-US" w:eastAsia="zh-CN"/>
        </w:rPr>
        <w:t>开展自评。</w:t>
      </w:r>
    </w:p>
    <w:p w14:paraId="269A8B3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3F9F658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仿宋_GB2312" w:cs="Times New Roman"/>
          <w:b w:val="0"/>
          <w:bCs w:val="0"/>
          <w:i w:val="0"/>
          <w:iCs w:val="0"/>
          <w:color w:val="auto"/>
          <w:sz w:val="32"/>
          <w:szCs w:val="32"/>
          <w:lang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p>
    <w:p w14:paraId="1F0BA52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color w:val="auto"/>
          <w:sz w:val="32"/>
          <w:szCs w:val="32"/>
          <w:lang w:eastAsia="zh-CN"/>
        </w:rPr>
        <w:t>该项目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决策程序、资金投向</w:t>
      </w:r>
      <w:r>
        <w:rPr>
          <w:rFonts w:hint="eastAsia" w:ascii="Times New Roman" w:hAnsi="Times New Roman" w:cs="Times New Roman"/>
          <w:b w:val="0"/>
          <w:bCs w:val="0"/>
          <w:i w:val="0"/>
          <w:iCs w:val="0"/>
          <w:kern w:val="0"/>
          <w:position w:val="0"/>
          <w:sz w:val="32"/>
          <w:szCs w:val="32"/>
          <w:highlight w:val="none"/>
          <w:lang w:val="zh-CN" w:eastAsia="zh-CN" w:bidi="ar-SA"/>
        </w:rPr>
        <w:t>都按照既定方案执行</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B9ED7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b w:val="0"/>
          <w:bCs w:val="0"/>
          <w:i w:val="0"/>
          <w:iCs w:val="0"/>
          <w:color w:val="auto"/>
          <w:sz w:val="32"/>
          <w:szCs w:val="32"/>
          <w:lang w:eastAsia="zh-CN"/>
        </w:rPr>
      </w:pPr>
      <w:r>
        <w:rPr>
          <w:rFonts w:hint="eastAsia" w:ascii="Times New Roman" w:hAnsi="Times New Roman"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p>
    <w:p w14:paraId="12F8B47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lang w:val="zh-CN" w:eastAsia="zh-CN"/>
        </w:rPr>
      </w:pPr>
      <w:r>
        <w:rPr>
          <w:rFonts w:hint="eastAsia" w:ascii="Times New Roman" w:hAnsi="Times New Roman" w:cs="Times New Roman"/>
          <w:b w:val="0"/>
          <w:bCs w:val="0"/>
          <w:i w:val="0"/>
          <w:iCs w:val="0"/>
          <w:kern w:val="0"/>
          <w:position w:val="0"/>
          <w:sz w:val="32"/>
          <w:szCs w:val="32"/>
          <w:highlight w:val="none"/>
          <w:lang w:val="zh-CN" w:eastAsia="zh-CN" w:bidi="ar-SA"/>
        </w:rPr>
        <w:t>项目专款专用</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cs="Times New Roman"/>
          <w:b w:val="0"/>
          <w:bCs w:val="0"/>
          <w:i w:val="0"/>
          <w:iCs w:val="0"/>
          <w:kern w:val="0"/>
          <w:position w:val="0"/>
          <w:sz w:val="32"/>
          <w:szCs w:val="32"/>
          <w:highlight w:val="none"/>
          <w:lang w:val="zh-CN" w:eastAsia="zh-CN" w:bidi="ar-SA"/>
        </w:rPr>
        <w:t>进行了事前、事中</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绩效监管</w:t>
      </w:r>
      <w:r>
        <w:rPr>
          <w:rFonts w:hint="eastAsia" w:ascii="Times New Roman" w:hAnsi="Times New Roman" w:cs="Times New Roman"/>
          <w:b w:val="0"/>
          <w:bCs w:val="0"/>
          <w:i w:val="0"/>
          <w:iCs w:val="0"/>
          <w:kern w:val="0"/>
          <w:position w:val="0"/>
          <w:sz w:val="32"/>
          <w:szCs w:val="32"/>
          <w:highlight w:val="none"/>
          <w:lang w:val="zh-CN" w:eastAsia="zh-CN" w:bidi="ar-SA"/>
        </w:rPr>
        <w:t>及事后绩效评价</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98EAD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p>
    <w:p w14:paraId="5154BB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 w:val="0"/>
          <w:bCs w:val="0"/>
          <w:i w:val="0"/>
          <w:iCs w:val="0"/>
          <w:kern w:val="0"/>
          <w:position w:val="0"/>
          <w:sz w:val="32"/>
          <w:szCs w:val="32"/>
          <w:highlight w:val="none"/>
          <w:lang w:val="zh-CN" w:eastAsia="zh-CN" w:bidi="ar-SA"/>
        </w:rPr>
        <w:t>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预算执行</w:t>
      </w:r>
      <w:r>
        <w:rPr>
          <w:rFonts w:hint="eastAsia" w:ascii="Times New Roman" w:hAnsi="Times New Roman" w:cs="Times New Roman"/>
          <w:b w:val="0"/>
          <w:bCs w:val="0"/>
          <w:i w:val="0"/>
          <w:iCs w:val="0"/>
          <w:kern w:val="0"/>
          <w:position w:val="0"/>
          <w:sz w:val="32"/>
          <w:szCs w:val="32"/>
          <w:highlight w:val="none"/>
          <w:lang w:val="zh-CN" w:eastAsia="zh-CN" w:bidi="ar-SA"/>
        </w:rPr>
        <w:t>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eastAsia" w:ascii="Times New Roman" w:hAnsi="Times New Roman"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资金使用</w:t>
      </w:r>
      <w:r>
        <w:rPr>
          <w:rFonts w:hint="eastAsia" w:ascii="Times New Roman" w:hAnsi="Times New Roman" w:cs="Times New Roman"/>
          <w:b w:val="0"/>
          <w:bCs w:val="0"/>
          <w:i w:val="0"/>
          <w:iCs w:val="0"/>
          <w:kern w:val="0"/>
          <w:position w:val="0"/>
          <w:sz w:val="32"/>
          <w:szCs w:val="32"/>
          <w:highlight w:val="none"/>
          <w:lang w:val="zh-CN" w:eastAsia="zh-CN" w:bidi="ar-SA"/>
        </w:rPr>
        <w:t>达到预期效果</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4D192E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en-US" w:eastAsia="zh-CN"/>
        </w:rPr>
        <w:t>项目结果</w:t>
      </w:r>
    </w:p>
    <w:p w14:paraId="70DAD609">
      <w:pPr>
        <w:pStyle w:val="15"/>
        <w:pageBreakBefore w:val="0"/>
        <w:kinsoku/>
        <w:wordWrap/>
        <w:overflowPunct/>
        <w:topLinePunct w:val="0"/>
        <w:autoSpaceDE/>
        <w:autoSpaceDN/>
        <w:bidi w:val="0"/>
        <w:spacing w:line="576" w:lineRule="exact"/>
        <w:ind w:firstLine="640" w:firstLineChars="200"/>
        <w:textAlignment w:val="auto"/>
        <w:rPr>
          <w:rFonts w:hint="default"/>
          <w:lang w:eastAsia="zh-CN"/>
        </w:rPr>
      </w:pPr>
      <w:r>
        <w:rPr>
          <w:rFonts w:hint="eastAsia" w:ascii="Times New Roman" w:hAnsi="Times New Roman" w:cs="Times New Roman"/>
          <w:b w:val="0"/>
          <w:bCs w:val="0"/>
          <w:i w:val="0"/>
          <w:iCs w:val="0"/>
          <w:kern w:val="0"/>
          <w:position w:val="0"/>
          <w:sz w:val="32"/>
          <w:szCs w:val="32"/>
          <w:highlight w:val="none"/>
          <w:lang w:val="zh-CN" w:eastAsia="zh-CN" w:bidi="ar-SA"/>
        </w:rPr>
        <w:t>项目设定</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目标</w:t>
      </w:r>
      <w:r>
        <w:rPr>
          <w:rFonts w:hint="eastAsia" w:ascii="Times New Roman" w:hAnsi="Times New Roman"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完成</w:t>
      </w:r>
      <w:r>
        <w:rPr>
          <w:rFonts w:hint="eastAsia" w:cs="Times New Roman"/>
          <w:b w:val="0"/>
          <w:bCs w:val="0"/>
          <w:i w:val="0"/>
          <w:iCs w:val="0"/>
          <w:kern w:val="0"/>
          <w:position w:val="0"/>
          <w:sz w:val="32"/>
          <w:szCs w:val="32"/>
          <w:highlight w:val="none"/>
          <w:lang w:val="zh-CN" w:eastAsia="zh-CN" w:bidi="ar-SA"/>
        </w:rPr>
        <w:t>，</w:t>
      </w:r>
      <w:r>
        <w:rPr>
          <w:rFonts w:hint="eastAsia" w:ascii="Times New Roman" w:hAnsi="Times New Roman" w:cs="Times New Roman"/>
          <w:b w:val="0"/>
          <w:bCs w:val="0"/>
          <w:i w:val="0"/>
          <w:iCs w:val="0"/>
          <w:kern w:val="0"/>
          <w:position w:val="0"/>
          <w:sz w:val="32"/>
          <w:szCs w:val="32"/>
          <w:highlight w:val="none"/>
          <w:lang w:val="zh-CN" w:eastAsia="zh-CN" w:bidi="ar-SA"/>
        </w:rPr>
        <w:t>推进各项目能够得到及时实施。</w:t>
      </w:r>
    </w:p>
    <w:p w14:paraId="40E73560">
      <w:pPr>
        <w:pStyle w:val="7"/>
        <w:pageBreakBefore w:val="0"/>
        <w:numPr>
          <w:ilvl w:val="0"/>
          <w:numId w:val="0"/>
        </w:numP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751E0C11">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2023年美丽乡村建设任务工程验收合格率100%。农村公益事业建设项目，项目验收合格率100%。农村人居环境得到了很大的改善。自评得分100分。</w:t>
      </w:r>
    </w:p>
    <w:p w14:paraId="572AD5C2">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5F0063A0">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存在的问题：一是上级奖补资金少。我区农村公益设施基础薄弱，农村点多、面广，加之有些乡镇农民收入水平低、承受能力限，农民自主参与村内公益事业建设的积极性没有得到充分发挥，各乡镇一事一议财政奖补工作开展不平衡。建议上级加大奖补标准，调动农民积极开展村级公益事业建设财政奖补工作的积极性。二是外出务工人员多，项目议事程序难度大。我区青壮年人员大部分都外出务工，留守在家多为老人、妇女小孩，由于人员少、给一事一议财政奖补实施中的召开村民代表会、筹资等都带来很多不便。建议上级减少部分议事程序，使一事一议工作更好的开展。三是监督力量薄弱，项目质量不能全面保证。由于项目点多面广，实施过程较长，管理部门人员少，村级项目质量监督小组人员技术不专业，造成项目实施全过程的监督管理不规范，有可能一些项目质量达不到要求。</w:t>
      </w:r>
    </w:p>
    <w:p w14:paraId="6C02DC5A">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7D5E7A3E">
      <w:pPr>
        <w:pageBreakBefore w:val="0"/>
        <w:tabs>
          <w:tab w:val="left" w:pos="1911"/>
        </w:tabs>
        <w:kinsoku/>
        <w:wordWrap/>
        <w:overflowPunct/>
        <w:topLinePunct w:val="0"/>
        <w:autoSpaceDE/>
        <w:autoSpaceDN/>
        <w:bidi w:val="0"/>
        <w:spacing w:line="576" w:lineRule="exact"/>
        <w:ind w:left="0" w:leftChars="0" w:firstLine="320" w:firstLineChars="100"/>
        <w:jc w:val="left"/>
        <w:textAlignment w:val="auto"/>
        <w:rPr>
          <w:rFonts w:hint="eastAsia" w:ascii="仿宋_GB2312" w:hAnsi="仿宋_GB2312" w:cs="仿宋_GB2312"/>
          <w:sz w:val="32"/>
          <w:szCs w:val="32"/>
          <w:lang w:val="en-US" w:eastAsia="zh-CN"/>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w:t>
      </w:r>
      <w:r>
        <w:rPr>
          <w:rFonts w:hint="eastAsia" w:ascii="Times New Roman" w:hAnsi="Times New Roman" w:cs="Times New Roman"/>
          <w:b w:val="0"/>
          <w:bCs w:val="0"/>
          <w:i w:val="0"/>
          <w:iCs w:val="0"/>
          <w:kern w:val="0"/>
          <w:position w:val="0"/>
          <w:sz w:val="32"/>
          <w:szCs w:val="32"/>
          <w:highlight w:val="none"/>
          <w:lang w:val="en-US" w:eastAsia="zh-CN" w:bidi="ar-SA"/>
        </w:rPr>
        <w:t>与财政部门加强沟通，争取更多资金，建设更多</w:t>
      </w:r>
      <w:r>
        <w:rPr>
          <w:rFonts w:hint="eastAsia" w:ascii="仿宋_GB2312" w:hAnsi="仿宋_GB2312" w:cs="仿宋_GB2312"/>
          <w:sz w:val="32"/>
          <w:szCs w:val="32"/>
          <w:lang w:val="en-US" w:eastAsia="zh-CN"/>
        </w:rPr>
        <w:t>农村公益设施。</w:t>
      </w:r>
    </w:p>
    <w:p w14:paraId="6F543746">
      <w:pPr>
        <w:pStyle w:val="2"/>
        <w:pageBreakBefore w:val="0"/>
        <w:kinsoku/>
        <w:wordWrap/>
        <w:overflowPunct/>
        <w:topLinePunct w:val="0"/>
        <w:autoSpaceDE/>
        <w:autoSpaceDN/>
        <w:bidi w:val="0"/>
        <w:spacing w:before="0" w:after="0" w:line="576" w:lineRule="exact"/>
        <w:textAlignment w:val="auto"/>
        <w:rPr>
          <w:rFonts w:hint="default"/>
          <w:lang w:val="en" w:eastAsia="zh-CN"/>
        </w:rPr>
      </w:pPr>
    </w:p>
    <w:p w14:paraId="7A01C366">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eastAsia="仿宋_GB2312"/>
          <w:kern w:val="2"/>
          <w:sz w:val="32"/>
          <w:szCs w:val="24"/>
          <w:lang w:val="en-US" w:eastAsia="zh-CN" w:bidi="ar-SA"/>
        </w:rPr>
      </w:pPr>
    </w:p>
    <w:p w14:paraId="0399365D">
      <w:pPr>
        <w:pStyle w:val="2"/>
        <w:rPr>
          <w:rFonts w:hint="default" w:eastAsia="仿宋_GB2312"/>
          <w:kern w:val="2"/>
          <w:sz w:val="32"/>
          <w:szCs w:val="24"/>
          <w:lang w:val="en-US" w:eastAsia="zh-CN" w:bidi="ar-SA"/>
        </w:rPr>
      </w:pPr>
    </w:p>
    <w:p w14:paraId="481919A3">
      <w:pPr>
        <w:rPr>
          <w:rFonts w:hint="default" w:eastAsia="仿宋_GB2312"/>
          <w:kern w:val="2"/>
          <w:sz w:val="32"/>
          <w:szCs w:val="24"/>
          <w:lang w:val="en-US" w:eastAsia="zh-CN" w:bidi="ar-SA"/>
        </w:rPr>
      </w:pPr>
    </w:p>
    <w:p w14:paraId="3C36BCCB">
      <w:pPr>
        <w:pStyle w:val="2"/>
        <w:rPr>
          <w:rFonts w:hint="default" w:eastAsia="仿宋_GB2312"/>
          <w:kern w:val="2"/>
          <w:sz w:val="32"/>
          <w:szCs w:val="24"/>
          <w:lang w:val="en-US" w:eastAsia="zh-CN" w:bidi="ar-SA"/>
        </w:rPr>
      </w:pPr>
    </w:p>
    <w:p w14:paraId="4E0D71D2">
      <w:pPr>
        <w:rPr>
          <w:rFonts w:hint="default" w:eastAsia="仿宋_GB2312"/>
          <w:kern w:val="2"/>
          <w:sz w:val="32"/>
          <w:szCs w:val="24"/>
          <w:lang w:val="en-US" w:eastAsia="zh-CN" w:bidi="ar-SA"/>
        </w:rPr>
      </w:pPr>
    </w:p>
    <w:p w14:paraId="5F4067C9">
      <w:pPr>
        <w:pStyle w:val="2"/>
        <w:rPr>
          <w:rFonts w:hint="default" w:eastAsia="仿宋_GB2312"/>
          <w:kern w:val="2"/>
          <w:sz w:val="32"/>
          <w:szCs w:val="24"/>
          <w:lang w:val="en-US" w:eastAsia="zh-CN" w:bidi="ar-SA"/>
        </w:rPr>
      </w:pPr>
    </w:p>
    <w:p w14:paraId="7A468693">
      <w:pPr>
        <w:rPr>
          <w:rFonts w:hint="default" w:eastAsia="仿宋_GB2312"/>
          <w:kern w:val="2"/>
          <w:sz w:val="32"/>
          <w:szCs w:val="24"/>
          <w:lang w:val="en-US" w:eastAsia="zh-CN" w:bidi="ar-SA"/>
        </w:rPr>
      </w:pPr>
    </w:p>
    <w:p w14:paraId="6178109C">
      <w:pPr>
        <w:pStyle w:val="2"/>
        <w:rPr>
          <w:rFonts w:hint="default" w:eastAsia="仿宋_GB2312"/>
          <w:kern w:val="2"/>
          <w:sz w:val="32"/>
          <w:szCs w:val="24"/>
          <w:lang w:val="en-US" w:eastAsia="zh-CN" w:bidi="ar-SA"/>
        </w:rPr>
      </w:pPr>
    </w:p>
    <w:p w14:paraId="4C1888CC">
      <w:pPr>
        <w:rPr>
          <w:rFonts w:hint="default" w:eastAsia="仿宋_GB2312"/>
          <w:kern w:val="2"/>
          <w:sz w:val="32"/>
          <w:szCs w:val="24"/>
          <w:lang w:val="en-US" w:eastAsia="zh-CN" w:bidi="ar-SA"/>
        </w:rPr>
      </w:pPr>
    </w:p>
    <w:p w14:paraId="15CFB6EC">
      <w:pPr>
        <w:pStyle w:val="2"/>
        <w:rPr>
          <w:rFonts w:hint="default" w:eastAsia="仿宋_GB2312"/>
          <w:kern w:val="2"/>
          <w:sz w:val="32"/>
          <w:szCs w:val="24"/>
          <w:lang w:val="en-US" w:eastAsia="zh-CN" w:bidi="ar-SA"/>
        </w:rPr>
      </w:pPr>
    </w:p>
    <w:p w14:paraId="43DA2479">
      <w:pPr>
        <w:rPr>
          <w:rFonts w:hint="default" w:eastAsia="仿宋_GB2312"/>
          <w:kern w:val="2"/>
          <w:sz w:val="32"/>
          <w:szCs w:val="24"/>
          <w:lang w:val="en-US" w:eastAsia="zh-CN" w:bidi="ar-SA"/>
        </w:rPr>
      </w:pPr>
    </w:p>
    <w:p w14:paraId="339E7884">
      <w:pPr>
        <w:pStyle w:val="7"/>
        <w:pageBreakBefore w:val="0"/>
        <w:kinsoku/>
        <w:wordWrap/>
        <w:overflowPunct/>
        <w:topLinePunct w:val="0"/>
        <w:autoSpaceDE/>
        <w:autoSpaceDN/>
        <w:bidi w:val="0"/>
        <w:spacing w:beforeLines="0" w:line="576" w:lineRule="exact"/>
        <w:ind w:firstLine="0" w:firstLineChars="0"/>
        <w:textAlignment w:val="auto"/>
        <w:rPr>
          <w:rFonts w:hint="eastAsia"/>
          <w:lang w:val="en-US" w:eastAsia="zh-CN"/>
        </w:rPr>
      </w:pPr>
    </w:p>
    <w:p w14:paraId="50297614">
      <w:pPr>
        <w:pStyle w:val="7"/>
        <w:pageBreakBefore w:val="0"/>
        <w:kinsoku/>
        <w:wordWrap/>
        <w:overflowPunct/>
        <w:topLinePunct w:val="0"/>
        <w:autoSpaceDE/>
        <w:autoSpaceDN/>
        <w:bidi w:val="0"/>
        <w:spacing w:beforeLines="0" w:line="576" w:lineRule="exact"/>
        <w:ind w:firstLine="0" w:firstLineChars="0"/>
        <w:jc w:val="center"/>
        <w:textAlignment w:val="auto"/>
        <w:rPr>
          <w:b w:val="0"/>
          <w:bCs w:val="0"/>
          <w:lang w:val="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2023年专项预算项目绩效自评报告</w:t>
      </w:r>
    </w:p>
    <w:p w14:paraId="545F8B7D">
      <w:pPr>
        <w:pStyle w:val="40"/>
        <w:pageBreakBefore w:val="0"/>
        <w:kinsoku/>
        <w:wordWrap/>
        <w:overflowPunct/>
        <w:topLinePunct w:val="0"/>
        <w:autoSpaceDE/>
        <w:autoSpaceDN/>
        <w:bidi w:val="0"/>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2"/>
          <w:sz w:val="32"/>
          <w:szCs w:val="32"/>
        </w:rPr>
      </w:pPr>
      <w:r>
        <w:rPr>
          <w:rFonts w:hint="eastAsia" w:ascii="方正小标宋简体" w:hAnsi="方正小标宋简体" w:eastAsia="方正小标宋简体" w:cs="方正小标宋简体"/>
          <w:b w:val="0"/>
          <w:bCs w:val="0"/>
          <w:color w:val="000000" w:themeColor="text1"/>
          <w:kern w:val="2"/>
          <w:sz w:val="32"/>
          <w:szCs w:val="32"/>
          <w:lang w:eastAsia="zh-CN"/>
          <w14:textFill>
            <w14:solidFill>
              <w14:schemeClr w14:val="tx1"/>
            </w14:solidFill>
          </w14:textFill>
        </w:rPr>
        <w:t>（</w:t>
      </w:r>
      <w:r>
        <w:rPr>
          <w:rFonts w:hint="default" w:ascii="方正小标宋简体" w:hAnsi="方正小标宋简体" w:eastAsia="方正小标宋简体" w:cs="方正小标宋简体"/>
          <w:b w:val="0"/>
          <w:bCs w:val="0"/>
          <w:color w:val="auto"/>
          <w:kern w:val="2"/>
          <w:sz w:val="32"/>
          <w:szCs w:val="32"/>
        </w:rPr>
        <w:t>2023年中央财政农田建设补助资金</w:t>
      </w:r>
      <w:r>
        <w:rPr>
          <w:rFonts w:hint="eastAsia" w:ascii="方正小标宋简体" w:hAnsi="方正小标宋简体" w:eastAsia="方正小标宋简体" w:cs="方正小标宋简体"/>
          <w:b w:val="0"/>
          <w:bCs w:val="0"/>
          <w:color w:val="000000" w:themeColor="text1"/>
          <w:kern w:val="2"/>
          <w:sz w:val="32"/>
          <w:szCs w:val="32"/>
          <w:lang w:eastAsia="zh-CN"/>
          <w14:textFill>
            <w14:solidFill>
              <w14:schemeClr w14:val="tx1"/>
            </w14:solidFill>
          </w14:textFill>
        </w:rPr>
        <w:t>）</w:t>
      </w:r>
    </w:p>
    <w:p w14:paraId="2553D5B6">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zh-CN" w:eastAsia="zh-CN"/>
        </w:rPr>
      </w:pPr>
      <w:r>
        <w:rPr>
          <w:rFonts w:hint="default" w:ascii="Times New Roman" w:hAnsi="Times New Roman" w:eastAsia="黑体" w:cs="Times New Roman"/>
          <w:b w:val="0"/>
          <w:bCs w:val="0"/>
          <w:i w:val="0"/>
          <w:iCs w:val="0"/>
          <w:color w:val="auto"/>
          <w:sz w:val="32"/>
          <w:szCs w:val="32"/>
          <w:highlight w:val="none"/>
          <w:u w:val="none"/>
          <w:lang w:val="zh-CN" w:eastAsia="zh-CN"/>
        </w:rPr>
        <w:t>一、项目概况</w:t>
      </w:r>
    </w:p>
    <w:p w14:paraId="20FE275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14:paraId="1D835CE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关于守牢建好遂宁“天府良田”扎实做好2023年高标准农田建设工作的通知》（遂农发〔2023〕21号）要求，下达我区2023年高标准农田建设任务5.6万亩（新建3.7万亩、改造提升2.1万亩），并获得《关于2023年安居区财政转移支付高标准农田建设项目实施方案的批复》（遂农函〔2023〕146号），分为3个片区实施项目，总投资33169.71万元，主要建设内容为实施土地平整、土壤改良、灌溉和排水、田间道路等建设措施。</w:t>
      </w:r>
    </w:p>
    <w:p w14:paraId="7AD2C3F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p>
    <w:p w14:paraId="4EC5F33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为如期高质量完成全市农田建设年度目标任务，守牢建好遂宁“天府良田”，着力全方位夯实粮食安全根基，聚焦打造新时代更高水平“天府粮仓”目标，</w:t>
      </w:r>
      <w:r>
        <w:rPr>
          <w:rFonts w:hint="eastAsia" w:ascii="Times New Roman" w:hAnsi="Times New Roman" w:eastAsia="仿宋_GB2312" w:cs="Times New Roman"/>
          <w:sz w:val="32"/>
          <w:szCs w:val="32"/>
          <w:lang w:val="en-US" w:eastAsia="zh-CN"/>
        </w:rPr>
        <w:t>完成我区2023年高标准农田5.8万亩建设任务。</w:t>
      </w:r>
    </w:p>
    <w:p w14:paraId="7CC881DB">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p>
    <w:p w14:paraId="17654FF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项目总投资33169.71万元，其中中央资金7092万元、省级资金2922万元、市级资金843万元、政府贷款22312.71万元。2023年遂财农[2022]71号2023年中央财政农田建设补助资金安排3351万元</w:t>
      </w:r>
    </w:p>
    <w:p w14:paraId="500AED1F">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（四）</w:t>
      </w:r>
      <w:r>
        <w:rPr>
          <w:rFonts w:hint="default" w:ascii="Times New Roman" w:hAnsi="Times New Roman" w:eastAsia="楷体_GB2312" w:cs="Times New Roman"/>
          <w:b w:val="0"/>
          <w:bCs w:val="0"/>
          <w:i w:val="0"/>
          <w:iCs w:val="0"/>
          <w:color w:val="auto"/>
          <w:sz w:val="32"/>
          <w:szCs w:val="32"/>
          <w:highlight w:val="none"/>
          <w:u w:val="none"/>
          <w:lang w:val="zh-CN" w:eastAsia="zh-CN"/>
        </w:rPr>
        <w:t>项目绩效目标设置</w:t>
      </w:r>
    </w:p>
    <w:p w14:paraId="6D2C402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建设高标准农田4.7万亩、新增节水灌溉0.2万亩、验收合格率95%以上、粮食综合生产能力增加5%、田间道路通达度90%、受益群众满意度90%。</w:t>
      </w:r>
    </w:p>
    <w:p w14:paraId="2E9C015A">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zh-CN" w:eastAsia="zh-CN"/>
        </w:rPr>
      </w:pPr>
      <w:r>
        <w:rPr>
          <w:rFonts w:hint="default" w:ascii="Times New Roman" w:hAnsi="Times New Roman" w:eastAsia="黑体" w:cs="Times New Roman"/>
          <w:b w:val="0"/>
          <w:bCs w:val="0"/>
          <w:i w:val="0"/>
          <w:iCs w:val="0"/>
          <w:color w:val="auto"/>
          <w:sz w:val="32"/>
          <w:szCs w:val="32"/>
          <w:highlight w:val="none"/>
          <w:u w:val="none"/>
          <w:lang w:val="zh-CN" w:eastAsia="zh-CN"/>
        </w:rPr>
        <w:t>二、评价实施</w:t>
      </w:r>
    </w:p>
    <w:p w14:paraId="364F276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p>
    <w:p w14:paraId="0B0A7F3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从资金保障、项目管理、资金使用成效、机制创新等方面客观自评，确保数据准确、自评全面、反映真实。</w:t>
      </w:r>
    </w:p>
    <w:p w14:paraId="48FCDD7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（二）</w:t>
      </w:r>
      <w:r>
        <w:rPr>
          <w:rFonts w:hint="default" w:ascii="Times New Roman" w:hAnsi="Times New Roman" w:eastAsia="楷体_GB2312" w:cs="Times New Roman"/>
          <w:b w:val="0"/>
          <w:bCs w:val="0"/>
          <w:i w:val="0"/>
          <w:iCs w:val="0"/>
          <w:color w:val="auto"/>
          <w:sz w:val="32"/>
          <w:szCs w:val="32"/>
          <w:highlight w:val="none"/>
          <w:u w:val="none"/>
          <w:lang w:val="zh-CN"/>
        </w:rPr>
        <w:t>预设问题及评价重点</w:t>
      </w:r>
    </w:p>
    <w:p w14:paraId="3DBDE7B6">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项目绩效指标建设高标准农田4.7万亩、新增节水灌溉0.2万亩、验收合格率95%以上全部完成。</w:t>
      </w:r>
    </w:p>
    <w:p w14:paraId="3513CE1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（三）</w:t>
      </w:r>
      <w:r>
        <w:rPr>
          <w:rFonts w:hint="default" w:ascii="Times New Roman" w:hAnsi="Times New Roman" w:eastAsia="楷体_GB2312" w:cs="Times New Roman"/>
          <w:b w:val="0"/>
          <w:bCs w:val="0"/>
          <w:i w:val="0"/>
          <w:iCs w:val="0"/>
          <w:color w:val="auto"/>
          <w:sz w:val="32"/>
          <w:szCs w:val="32"/>
          <w:highlight w:val="none"/>
          <w:u w:val="none"/>
          <w:lang w:val="zh-CN"/>
        </w:rPr>
        <w:t>评价选点</w:t>
      </w:r>
    </w:p>
    <w:p w14:paraId="5120362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从项目实施乡镇进行选点。</w:t>
      </w:r>
    </w:p>
    <w:p w14:paraId="0DA9C66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ascii="Times New Roman" w:hAnsi="Times New Roman" w:eastAsia="楷体_GB2312" w:cs="Times New Roman"/>
          <w:b w:val="0"/>
          <w:bCs w:val="0"/>
          <w:i w:val="0"/>
          <w:iCs w:val="0"/>
          <w:color w:val="auto"/>
          <w:sz w:val="32"/>
          <w:szCs w:val="32"/>
          <w:highlight w:val="none"/>
          <w:u w:val="none"/>
          <w:lang w:val="en-US" w:eastAsia="zh-CN"/>
        </w:rPr>
        <w:t>（四）</w:t>
      </w:r>
      <w:r>
        <w:rPr>
          <w:rFonts w:hint="default" w:ascii="Times New Roman" w:hAnsi="Times New Roman" w:eastAsia="楷体_GB2312" w:cs="Times New Roman"/>
          <w:b w:val="0"/>
          <w:bCs w:val="0"/>
          <w:i w:val="0"/>
          <w:iCs w:val="0"/>
          <w:color w:val="auto"/>
          <w:sz w:val="32"/>
          <w:szCs w:val="32"/>
          <w:highlight w:val="none"/>
          <w:u w:val="none"/>
          <w:lang w:val="zh-CN"/>
        </w:rPr>
        <w:t>评价方法</w:t>
      </w:r>
    </w:p>
    <w:p w14:paraId="13DA25D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仿宋_GB2312" w:cs="Times New Roman"/>
          <w:sz w:val="32"/>
          <w:szCs w:val="32"/>
          <w:lang w:val="zh-CN" w:eastAsia="zh-CN"/>
        </w:rPr>
        <w:t>根据项目情况和评价重点，用单位自评法、实地勘察法、问卷调查法。</w:t>
      </w:r>
    </w:p>
    <w:p w14:paraId="02A828E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（五）</w:t>
      </w:r>
      <w:r>
        <w:rPr>
          <w:rFonts w:hint="default" w:ascii="Times New Roman" w:hAnsi="Times New Roman" w:eastAsia="楷体_GB2312" w:cs="Times New Roman"/>
          <w:b w:val="0"/>
          <w:bCs w:val="0"/>
          <w:i w:val="0"/>
          <w:iCs w:val="0"/>
          <w:color w:val="auto"/>
          <w:sz w:val="32"/>
          <w:szCs w:val="32"/>
          <w:highlight w:val="none"/>
          <w:u w:val="none"/>
          <w:lang w:val="zh-CN"/>
        </w:rPr>
        <w:t>评价组织</w:t>
      </w:r>
    </w:p>
    <w:p w14:paraId="7107067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评价组人员</w:t>
      </w:r>
      <w:r>
        <w:rPr>
          <w:rFonts w:hint="eastAsia" w:ascii="Times New Roman" w:hAnsi="Times New Roman" w:eastAsia="仿宋_GB2312" w:cs="Times New Roman"/>
          <w:sz w:val="32"/>
          <w:szCs w:val="32"/>
          <w:lang w:val="en-US" w:eastAsia="zh-CN"/>
        </w:rPr>
        <w:t>由农建股申强组织人员通过</w:t>
      </w:r>
      <w:r>
        <w:rPr>
          <w:rFonts w:hint="default" w:ascii="Times New Roman" w:hAnsi="Times New Roman" w:eastAsia="仿宋_GB2312" w:cs="Times New Roman"/>
          <w:sz w:val="32"/>
          <w:szCs w:val="32"/>
          <w:lang w:val="zh-CN" w:eastAsia="zh-CN"/>
        </w:rPr>
        <w:t>单位自评法、实地勘察法、问卷调查法</w:t>
      </w:r>
      <w:r>
        <w:rPr>
          <w:rFonts w:hint="eastAsia" w:ascii="Times New Roman" w:hAnsi="Times New Roman" w:eastAsia="仿宋_GB2312" w:cs="Times New Roman"/>
          <w:sz w:val="32"/>
          <w:szCs w:val="32"/>
          <w:lang w:val="en-US" w:eastAsia="zh-CN"/>
        </w:rPr>
        <w:t>进行自评</w:t>
      </w:r>
      <w:r>
        <w:rPr>
          <w:rFonts w:hint="default" w:ascii="Times New Roman" w:hAnsi="Times New Roman" w:eastAsia="仿宋_GB2312" w:cs="Times New Roman"/>
          <w:sz w:val="32"/>
          <w:szCs w:val="32"/>
          <w:lang w:val="zh-CN" w:eastAsia="zh-CN"/>
        </w:rPr>
        <w:t>。</w:t>
      </w:r>
    </w:p>
    <w:p w14:paraId="1EE23B38">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zh-CN" w:eastAsia="zh-CN"/>
        </w:rPr>
      </w:pPr>
      <w:r>
        <w:rPr>
          <w:rFonts w:hint="default" w:ascii="Times New Roman" w:hAnsi="Times New Roman" w:eastAsia="黑体" w:cs="Times New Roman"/>
          <w:b w:val="0"/>
          <w:bCs w:val="0"/>
          <w:i w:val="0"/>
          <w:iCs w:val="0"/>
          <w:color w:val="auto"/>
          <w:sz w:val="32"/>
          <w:szCs w:val="32"/>
          <w:highlight w:val="none"/>
          <w:u w:val="none"/>
          <w:lang w:val="zh-CN" w:eastAsia="zh-CN"/>
        </w:rPr>
        <w:t>三、绩效分析</w:t>
      </w:r>
      <w:r>
        <w:rPr>
          <w:rFonts w:hint="default" w:ascii="Times New Roman" w:hAnsi="Times New Roman" w:eastAsia="黑体" w:cs="Times New Roman"/>
          <w:b w:val="0"/>
          <w:bCs w:val="0"/>
          <w:i w:val="0"/>
          <w:iCs w:val="0"/>
          <w:color w:val="auto"/>
          <w:sz w:val="32"/>
          <w:szCs w:val="32"/>
          <w:highlight w:val="none"/>
          <w:u w:val="none"/>
          <w:lang w:val="zh-CN" w:eastAsia="zh-CN"/>
        </w:rPr>
        <w:tab/>
      </w:r>
    </w:p>
    <w:p w14:paraId="50C58BB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项目决策</w:t>
      </w:r>
    </w:p>
    <w:p w14:paraId="0AED3D6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该项目</w:t>
      </w:r>
      <w:r>
        <w:rPr>
          <w:rFonts w:hint="default" w:ascii="Times New Roman" w:hAnsi="Times New Roman" w:eastAsia="仿宋_GB2312" w:cs="Times New Roman"/>
          <w:sz w:val="32"/>
          <w:szCs w:val="32"/>
          <w:lang w:val="zh-CN" w:eastAsia="zh-CN"/>
        </w:rPr>
        <w:t>决策程序、资金投向</w:t>
      </w:r>
      <w:r>
        <w:rPr>
          <w:rFonts w:hint="eastAsia" w:ascii="Times New Roman" w:hAnsi="Times New Roman" w:eastAsia="仿宋_GB2312" w:cs="Times New Roman"/>
          <w:sz w:val="32"/>
          <w:szCs w:val="32"/>
          <w:lang w:val="zh-CN" w:eastAsia="zh-CN"/>
        </w:rPr>
        <w:t>都按照既定方案执行</w:t>
      </w:r>
      <w:r>
        <w:rPr>
          <w:rFonts w:hint="default" w:ascii="Times New Roman" w:hAnsi="Times New Roman" w:eastAsia="仿宋_GB2312" w:cs="Times New Roman"/>
          <w:sz w:val="32"/>
          <w:szCs w:val="32"/>
          <w:lang w:val="zh-CN" w:eastAsia="zh-CN"/>
        </w:rPr>
        <w:t>。</w:t>
      </w:r>
    </w:p>
    <w:p w14:paraId="4B5DA7A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项目管理</w:t>
      </w:r>
    </w:p>
    <w:p w14:paraId="155BDCA6">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项目专款专用</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zh-CN" w:eastAsia="zh-CN"/>
        </w:rPr>
        <w:t>进行了事前、事中</w:t>
      </w:r>
      <w:r>
        <w:rPr>
          <w:rFonts w:hint="default" w:ascii="Times New Roman" w:hAnsi="Times New Roman" w:eastAsia="仿宋_GB2312" w:cs="Times New Roman"/>
          <w:sz w:val="32"/>
          <w:szCs w:val="32"/>
          <w:lang w:val="zh-CN" w:eastAsia="zh-CN"/>
        </w:rPr>
        <w:t>绩效监管</w:t>
      </w:r>
      <w:r>
        <w:rPr>
          <w:rFonts w:hint="eastAsia" w:ascii="Times New Roman" w:hAnsi="Times New Roman" w:eastAsia="仿宋_GB2312" w:cs="Times New Roman"/>
          <w:sz w:val="32"/>
          <w:szCs w:val="32"/>
          <w:lang w:val="zh-CN" w:eastAsia="zh-CN"/>
        </w:rPr>
        <w:t>及事后绩效评价</w:t>
      </w:r>
      <w:r>
        <w:rPr>
          <w:rFonts w:hint="default" w:ascii="Times New Roman" w:hAnsi="Times New Roman" w:eastAsia="仿宋_GB2312" w:cs="Times New Roman"/>
          <w:sz w:val="32"/>
          <w:szCs w:val="32"/>
          <w:lang w:val="zh-CN" w:eastAsia="zh-CN"/>
        </w:rPr>
        <w:t>。</w:t>
      </w:r>
    </w:p>
    <w:p w14:paraId="7F2AD07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项目实施</w:t>
      </w:r>
    </w:p>
    <w:p w14:paraId="4748688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项目</w:t>
      </w:r>
      <w:r>
        <w:rPr>
          <w:rFonts w:hint="default" w:ascii="Times New Roman" w:hAnsi="Times New Roman" w:eastAsia="仿宋_GB2312" w:cs="Times New Roman"/>
          <w:sz w:val="32"/>
          <w:szCs w:val="32"/>
          <w:lang w:val="zh-CN" w:eastAsia="zh-CN"/>
        </w:rPr>
        <w:t>预算执行</w:t>
      </w:r>
      <w:r>
        <w:rPr>
          <w:rFonts w:hint="eastAsia" w:ascii="Times New Roman" w:hAnsi="Times New Roman" w:eastAsia="仿宋_GB2312" w:cs="Times New Roman"/>
          <w:sz w:val="32"/>
          <w:szCs w:val="32"/>
          <w:lang w:val="zh-CN" w:eastAsia="zh-CN"/>
        </w:rPr>
        <w:t>率</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资金使用</w:t>
      </w:r>
      <w:r>
        <w:rPr>
          <w:rFonts w:hint="eastAsia" w:ascii="Times New Roman" w:hAnsi="Times New Roman" w:eastAsia="仿宋_GB2312" w:cs="Times New Roman"/>
          <w:sz w:val="32"/>
          <w:szCs w:val="32"/>
          <w:lang w:val="zh-CN" w:eastAsia="zh-CN"/>
        </w:rPr>
        <w:t>达到预期效果</w:t>
      </w:r>
      <w:r>
        <w:rPr>
          <w:rFonts w:hint="default" w:ascii="Times New Roman" w:hAnsi="Times New Roman" w:eastAsia="仿宋_GB2312" w:cs="Times New Roman"/>
          <w:sz w:val="32"/>
          <w:szCs w:val="32"/>
          <w:lang w:val="zh-CN" w:eastAsia="zh-CN"/>
        </w:rPr>
        <w:t>。</w:t>
      </w:r>
    </w:p>
    <w:p w14:paraId="16C5863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项目结果</w:t>
      </w:r>
    </w:p>
    <w:p w14:paraId="2B2F0D5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项目设定</w:t>
      </w:r>
      <w:r>
        <w:rPr>
          <w:rFonts w:hint="default" w:ascii="Times New Roman" w:hAnsi="Times New Roman" w:eastAsia="仿宋_GB2312" w:cs="Times New Roman"/>
          <w:sz w:val="32"/>
          <w:szCs w:val="32"/>
          <w:lang w:val="zh-CN" w:eastAsia="zh-CN"/>
        </w:rPr>
        <w:t>目标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完成</w:t>
      </w:r>
      <w:r>
        <w:rPr>
          <w:rFonts w:hint="eastAsia" w:ascii="Times New Roman" w:hAnsi="Times New Roman" w:eastAsia="仿宋_GB2312" w:cs="Times New Roman"/>
          <w:sz w:val="32"/>
          <w:szCs w:val="32"/>
          <w:lang w:val="zh-CN" w:eastAsia="zh-CN"/>
        </w:rPr>
        <w:t>，推进各项目能够得到及时实施。</w:t>
      </w:r>
    </w:p>
    <w:p w14:paraId="3D363757">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zh-CN" w:eastAsia="zh-CN"/>
        </w:rPr>
      </w:pPr>
      <w:r>
        <w:rPr>
          <w:rFonts w:hint="default" w:ascii="Times New Roman" w:hAnsi="Times New Roman" w:eastAsia="黑体" w:cs="Times New Roman"/>
          <w:b w:val="0"/>
          <w:bCs w:val="0"/>
          <w:i w:val="0"/>
          <w:iCs w:val="0"/>
          <w:color w:val="auto"/>
          <w:sz w:val="32"/>
          <w:szCs w:val="32"/>
          <w:highlight w:val="none"/>
          <w:u w:val="none"/>
          <w:lang w:val="zh-CN" w:eastAsia="zh-CN"/>
        </w:rPr>
        <w:t>四、评价结论</w:t>
      </w:r>
    </w:p>
    <w:p w14:paraId="6EB9742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项目绩效指标建设高标准农田4.7万亩、新增节水灌溉0.2万亩、验收合格率95%以上全部完成。项目绩效自评分100分。</w:t>
      </w:r>
    </w:p>
    <w:p w14:paraId="56379F7A">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zh-CN" w:eastAsia="zh-CN"/>
        </w:rPr>
      </w:pPr>
      <w:r>
        <w:rPr>
          <w:rFonts w:hint="default" w:ascii="Times New Roman" w:hAnsi="Times New Roman" w:eastAsia="黑体" w:cs="Times New Roman"/>
          <w:b w:val="0"/>
          <w:bCs w:val="0"/>
          <w:i w:val="0"/>
          <w:iCs w:val="0"/>
          <w:color w:val="auto"/>
          <w:sz w:val="32"/>
          <w:szCs w:val="32"/>
          <w:highlight w:val="none"/>
          <w:u w:val="none"/>
          <w:lang w:val="zh-CN" w:eastAsia="zh-CN"/>
        </w:rPr>
        <w:t>五、存在主要问题</w:t>
      </w:r>
    </w:p>
    <w:p w14:paraId="67E2A9F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资金拨付进度较缓慢。</w:t>
      </w:r>
    </w:p>
    <w:p w14:paraId="2007EFEC">
      <w:pPr>
        <w:pStyle w:val="7"/>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zh-CN" w:eastAsia="zh-CN"/>
        </w:rPr>
      </w:pPr>
      <w:r>
        <w:rPr>
          <w:rFonts w:hint="default" w:ascii="Times New Roman" w:hAnsi="Times New Roman" w:eastAsia="黑体" w:cs="Times New Roman"/>
          <w:b w:val="0"/>
          <w:bCs w:val="0"/>
          <w:i w:val="0"/>
          <w:iCs w:val="0"/>
          <w:color w:val="auto"/>
          <w:sz w:val="32"/>
          <w:szCs w:val="32"/>
          <w:highlight w:val="none"/>
          <w:u w:val="none"/>
          <w:lang w:val="zh-CN" w:eastAsia="zh-CN"/>
        </w:rPr>
        <w:t>六、改进建议</w:t>
      </w:r>
    </w:p>
    <w:p w14:paraId="4D7E2AF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加快资金拨付进度，保障项目有序推进。</w:t>
      </w:r>
    </w:p>
    <w:p w14:paraId="25BC7F76">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eastAsia="仿宋_GB2312"/>
          <w:kern w:val="2"/>
          <w:sz w:val="32"/>
          <w:szCs w:val="24"/>
          <w:lang w:val="en-US" w:eastAsia="zh-CN" w:bidi="ar-SA"/>
        </w:rPr>
      </w:pPr>
    </w:p>
    <w:p w14:paraId="6DC3FB49">
      <w:pPr>
        <w:pStyle w:val="7"/>
        <w:pageBreakBefore w:val="0"/>
        <w:kinsoku/>
        <w:wordWrap/>
        <w:overflowPunct/>
        <w:topLinePunct w:val="0"/>
        <w:autoSpaceDE/>
        <w:autoSpaceDN/>
        <w:bidi w:val="0"/>
        <w:spacing w:beforeLines="0" w:line="576" w:lineRule="exact"/>
        <w:ind w:firstLine="600"/>
        <w:textAlignment w:val="auto"/>
        <w:rPr>
          <w:lang w:val="zh-CN"/>
        </w:rPr>
      </w:pPr>
    </w:p>
    <w:p w14:paraId="08A6DB78">
      <w:pPr>
        <w:pStyle w:val="3"/>
        <w:pageBreakBefore w:val="0"/>
        <w:kinsoku/>
        <w:wordWrap/>
        <w:overflowPunct/>
        <w:topLinePunct w:val="0"/>
        <w:autoSpaceDE/>
        <w:autoSpaceDN/>
        <w:bidi w:val="0"/>
        <w:spacing w:before="0" w:after="0" w:line="576" w:lineRule="exact"/>
        <w:ind w:left="0" w:leftChars="0" w:firstLine="2640" w:firstLineChars="600"/>
        <w:jc w:val="both"/>
        <w:textAlignment w:val="auto"/>
        <w:rPr>
          <w:rFonts w:ascii="黑体" w:hAnsi="黑体" w:eastAsia="黑体"/>
          <w:b w:val="0"/>
        </w:rPr>
      </w:pPr>
      <w:bookmarkStart w:id="89" w:name="_Toc15396618"/>
      <w:bookmarkStart w:id="90" w:name="_Toc21119"/>
      <w:r>
        <w:rPr>
          <w:rFonts w:hint="eastAsia" w:ascii="黑体" w:hAnsi="黑体" w:eastAsia="黑体"/>
          <w:b w:val="0"/>
        </w:rPr>
        <w:t>第五部分</w:t>
      </w:r>
      <w:r>
        <w:rPr>
          <w:rFonts w:hint="eastAsia" w:ascii="黑体" w:hAnsi="黑体" w:eastAsia="黑体"/>
          <w:b w:val="0"/>
          <w:lang w:val="en-US" w:eastAsia="zh-CN"/>
        </w:rPr>
        <w:t xml:space="preserve">  </w:t>
      </w:r>
      <w:r>
        <w:rPr>
          <w:rFonts w:hint="eastAsia" w:ascii="黑体" w:hAnsi="黑体" w:eastAsia="黑体"/>
          <w:b w:val="0"/>
        </w:rPr>
        <w:t>附表</w:t>
      </w:r>
      <w:bookmarkEnd w:id="82"/>
      <w:bookmarkEnd w:id="89"/>
      <w:bookmarkEnd w:id="90"/>
      <w:bookmarkStart w:id="91" w:name="_Toc15396619"/>
    </w:p>
    <w:bookmarkEnd w:id="91"/>
    <w:p w14:paraId="5814391E">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2" w:name="_Toc29638"/>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92"/>
    </w:p>
    <w:p w14:paraId="4743A4C4">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3" w:name="_Toc15396620"/>
      <w:bookmarkStart w:id="94" w:name="_Toc25212"/>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93"/>
      <w:bookmarkEnd w:id="94"/>
    </w:p>
    <w:p w14:paraId="11340C2C">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5" w:name="_Toc15396621"/>
      <w:bookmarkStart w:id="96" w:name="_Toc18093"/>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95"/>
      <w:bookmarkEnd w:id="96"/>
    </w:p>
    <w:p w14:paraId="5763CC4C">
      <w:pPr>
        <w:pStyle w:val="2"/>
        <w:pageBreakBefore w:val="0"/>
        <w:kinsoku/>
        <w:wordWrap/>
        <w:overflowPunct/>
        <w:topLinePunct w:val="0"/>
        <w:autoSpaceDE/>
        <w:autoSpaceDN/>
        <w:bidi w:val="0"/>
        <w:spacing w:before="0" w:after="0" w:line="576" w:lineRule="exact"/>
        <w:textAlignment w:val="auto"/>
        <w:rPr>
          <w:rFonts w:ascii="仿宋" w:hAnsi="仿宋" w:eastAsia="仿宋"/>
          <w:b w:val="0"/>
          <w:color w:val="auto"/>
          <w:highlight w:val="none"/>
        </w:rPr>
      </w:pPr>
      <w:bookmarkStart w:id="97" w:name="_Toc15396622"/>
      <w:bookmarkStart w:id="98" w:name="_Toc20814"/>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97"/>
      <w:bookmarkEnd w:id="98"/>
    </w:p>
    <w:p w14:paraId="64E64C36">
      <w:pPr>
        <w:pStyle w:val="2"/>
        <w:pageBreakBefore w:val="0"/>
        <w:kinsoku/>
        <w:wordWrap/>
        <w:overflowPunct/>
        <w:topLinePunct w:val="0"/>
        <w:autoSpaceDE/>
        <w:autoSpaceDN/>
        <w:bidi w:val="0"/>
        <w:spacing w:before="0" w:after="0" w:line="576" w:lineRule="exact"/>
        <w:textAlignment w:val="auto"/>
        <w:rPr>
          <w:rStyle w:val="31"/>
          <w:rFonts w:ascii="仿宋" w:hAnsi="仿宋" w:eastAsia="仿宋"/>
          <w:b w:val="0"/>
          <w:bCs w:val="0"/>
          <w:color w:val="auto"/>
          <w:highlight w:val="none"/>
        </w:rPr>
      </w:pPr>
      <w:bookmarkStart w:id="99" w:name="_Toc15396623"/>
      <w:bookmarkStart w:id="100" w:name="_Toc29505"/>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99"/>
      <w:bookmarkEnd w:id="100"/>
      <w:bookmarkStart w:id="101" w:name="_Toc15396624"/>
    </w:p>
    <w:p w14:paraId="1CC1AEE8">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2" w:name="_Toc20884"/>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101"/>
      <w:bookmarkEnd w:id="102"/>
    </w:p>
    <w:p w14:paraId="3B244157">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3" w:name="_Toc15396625"/>
      <w:bookmarkStart w:id="104" w:name="_Toc3333"/>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103"/>
      <w:bookmarkEnd w:id="104"/>
    </w:p>
    <w:p w14:paraId="6548B85B">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5" w:name="_Toc15396626"/>
      <w:bookmarkStart w:id="106" w:name="_Toc11934"/>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105"/>
      <w:bookmarkEnd w:id="106"/>
    </w:p>
    <w:p w14:paraId="5D4642F5">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7" w:name="_Toc15396627"/>
      <w:bookmarkStart w:id="108" w:name="_Toc2176"/>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107"/>
      <w:bookmarkEnd w:id="108"/>
    </w:p>
    <w:p w14:paraId="2E6D7939">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9" w:name="_Toc15396628"/>
      <w:bookmarkStart w:id="110" w:name="_Toc20359"/>
      <w:r>
        <w:rPr>
          <w:rStyle w:val="31"/>
          <w:rFonts w:hint="eastAsia" w:ascii="仿宋" w:hAnsi="仿宋" w:eastAsia="仿宋"/>
          <w:b w:val="0"/>
          <w:bCs w:val="0"/>
          <w:color w:val="auto"/>
          <w:highlight w:val="none"/>
        </w:rPr>
        <w:t>十、</w:t>
      </w:r>
      <w:bookmarkEnd w:id="109"/>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110"/>
    </w:p>
    <w:p w14:paraId="1265BBFA">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11" w:name="_Toc15396629"/>
      <w:bookmarkStart w:id="112" w:name="_Toc2658"/>
      <w:r>
        <w:rPr>
          <w:rStyle w:val="31"/>
          <w:rFonts w:hint="eastAsia" w:ascii="仿宋" w:hAnsi="仿宋" w:eastAsia="仿宋"/>
          <w:b w:val="0"/>
          <w:bCs w:val="0"/>
          <w:color w:val="auto"/>
          <w:highlight w:val="none"/>
        </w:rPr>
        <w:t>十一、</w:t>
      </w:r>
      <w:bookmarkEnd w:id="111"/>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12"/>
    </w:p>
    <w:p w14:paraId="742BCF7B">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13" w:name="_Toc15396630"/>
      <w:bookmarkStart w:id="114" w:name="_Toc16432"/>
      <w:r>
        <w:rPr>
          <w:rStyle w:val="31"/>
          <w:rFonts w:hint="eastAsia" w:ascii="仿宋" w:hAnsi="仿宋" w:eastAsia="仿宋"/>
          <w:b w:val="0"/>
          <w:bCs w:val="0"/>
          <w:color w:val="auto"/>
          <w:highlight w:val="none"/>
        </w:rPr>
        <w:t>十二、</w:t>
      </w:r>
      <w:bookmarkEnd w:id="113"/>
      <w:r>
        <w:rPr>
          <w:rStyle w:val="31"/>
          <w:rFonts w:hint="eastAsia" w:ascii="仿宋" w:hAnsi="仿宋" w:eastAsia="仿宋"/>
          <w:b w:val="0"/>
          <w:bCs w:val="0"/>
          <w:color w:val="auto"/>
          <w:highlight w:val="none"/>
          <w:lang w:eastAsia="zh-CN"/>
        </w:rPr>
        <w:t>国有资本经营预算财政拨款支出决算表</w:t>
      </w:r>
      <w:bookmarkEnd w:id="114"/>
    </w:p>
    <w:p w14:paraId="744D0B56">
      <w:pPr>
        <w:pStyle w:val="2"/>
        <w:pageBreakBefore w:val="0"/>
        <w:kinsoku/>
        <w:wordWrap/>
        <w:overflowPunct/>
        <w:topLinePunct w:val="0"/>
        <w:autoSpaceDE/>
        <w:autoSpaceDN/>
        <w:bidi w:val="0"/>
        <w:spacing w:before="0" w:after="0" w:line="576" w:lineRule="exact"/>
        <w:textAlignment w:val="auto"/>
        <w:rPr>
          <w:rFonts w:hint="eastAsia" w:eastAsia="仿宋"/>
          <w:color w:val="auto"/>
          <w:highlight w:val="none"/>
          <w:lang w:eastAsia="zh-CN"/>
        </w:rPr>
      </w:pPr>
      <w:bookmarkStart w:id="115" w:name="_Toc15396631"/>
      <w:bookmarkStart w:id="116" w:name="_Toc26900"/>
      <w:r>
        <w:rPr>
          <w:rStyle w:val="31"/>
          <w:rFonts w:hint="eastAsia" w:ascii="仿宋" w:hAnsi="仿宋" w:eastAsia="仿宋"/>
          <w:b w:val="0"/>
          <w:bCs w:val="0"/>
          <w:color w:val="auto"/>
          <w:highlight w:val="none"/>
        </w:rPr>
        <w:t>十三、</w:t>
      </w:r>
      <w:bookmarkEnd w:id="115"/>
      <w:r>
        <w:rPr>
          <w:rStyle w:val="31"/>
          <w:rFonts w:hint="eastAsia" w:ascii="仿宋" w:hAnsi="仿宋" w:eastAsia="仿宋"/>
          <w:b w:val="0"/>
          <w:bCs w:val="0"/>
          <w:color w:val="auto"/>
          <w:highlight w:val="none"/>
          <w:lang w:eastAsia="zh-CN"/>
        </w:rPr>
        <w:t>财政拨款“三公”经费支出决算表</w:t>
      </w:r>
      <w:bookmarkEnd w:id="116"/>
    </w:p>
    <w:p w14:paraId="525D0192">
      <w:pPr>
        <w:ind w:firstLine="640"/>
        <w:rPr>
          <w:rFonts w:eastAsia="仿宋"/>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7E993A-A7E7-4380-B27F-56286224E1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79D5EF1-5B9C-475D-933E-8A6F52BA446A}"/>
  </w:font>
  <w:font w:name="Cambria">
    <w:panose1 w:val="02040503050406030204"/>
    <w:charset w:val="00"/>
    <w:family w:val="roman"/>
    <w:pitch w:val="default"/>
    <w:sig w:usb0="E00006FF" w:usb1="420024FF" w:usb2="02000000" w:usb3="00000000" w:csb0="2000019F" w:csb1="00000000"/>
    <w:embedRegular r:id="rId3" w:fontKey="{58858DFC-96EC-46F4-BB2C-C0B77FA3DD56}"/>
  </w:font>
  <w:font w:name="仿宋">
    <w:panose1 w:val="02010609060101010101"/>
    <w:charset w:val="86"/>
    <w:family w:val="auto"/>
    <w:pitch w:val="default"/>
    <w:sig w:usb0="800002BF" w:usb1="38CF7CFA" w:usb2="00000016" w:usb3="00000000" w:csb0="00040001" w:csb1="00000000"/>
    <w:embedRegular r:id="rId4" w:fontKey="{C2200CE7-D53E-4B19-8D7D-C9C03493ED4D}"/>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35D35766-0B74-42E8-935E-ECAD17E00C4F}"/>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18E8C3E3-BEA7-48CE-A5CA-7FB69B9B9C06}"/>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D92A638">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075B87B1">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3913">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9C96">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6B01">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C5B1">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436A">
    <w:pPr>
      <w:pStyle w:val="1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FE57"/>
    <w:multiLevelType w:val="singleLevel"/>
    <w:tmpl w:val="8423FE57"/>
    <w:lvl w:ilvl="0" w:tentative="0">
      <w:start w:val="1"/>
      <w:numFmt w:val="decimal"/>
      <w:lvlText w:val="(%1)"/>
      <w:lvlJc w:val="left"/>
      <w:pPr>
        <w:tabs>
          <w:tab w:val="left" w:pos="312"/>
        </w:tabs>
      </w:pPr>
    </w:lvl>
  </w:abstractNum>
  <w:abstractNum w:abstractNumId="1">
    <w:nsid w:val="878F93B5"/>
    <w:multiLevelType w:val="singleLevel"/>
    <w:tmpl w:val="878F93B5"/>
    <w:lvl w:ilvl="0" w:tentative="0">
      <w:start w:val="2"/>
      <w:numFmt w:val="chineseCounting"/>
      <w:suff w:val="nothing"/>
      <w:lvlText w:val="（%1）"/>
      <w:lvlJc w:val="left"/>
      <w:pPr>
        <w:ind w:left="-2"/>
      </w:pPr>
      <w:rPr>
        <w:rFonts w:hint="eastAsia"/>
      </w:rPr>
    </w:lvl>
  </w:abstractNum>
  <w:abstractNum w:abstractNumId="2">
    <w:nsid w:val="A33035C2"/>
    <w:multiLevelType w:val="singleLevel"/>
    <w:tmpl w:val="A33035C2"/>
    <w:lvl w:ilvl="0" w:tentative="0">
      <w:start w:val="2"/>
      <w:numFmt w:val="chineseCounting"/>
      <w:suff w:val="nothing"/>
      <w:lvlText w:val="（%1）"/>
      <w:lvlJc w:val="left"/>
      <w:rPr>
        <w:rFonts w:hint="eastAsia"/>
      </w:rPr>
    </w:lvl>
  </w:abstractNum>
  <w:abstractNum w:abstractNumId="3">
    <w:nsid w:val="A4E35B1C"/>
    <w:multiLevelType w:val="singleLevel"/>
    <w:tmpl w:val="A4E35B1C"/>
    <w:lvl w:ilvl="0" w:tentative="0">
      <w:start w:val="3"/>
      <w:numFmt w:val="chineseCounting"/>
      <w:suff w:val="nothing"/>
      <w:lvlText w:val="%1、"/>
      <w:lvlJc w:val="left"/>
      <w:pPr>
        <w:ind w:left="640" w:leftChars="0" w:firstLine="0" w:firstLineChars="0"/>
      </w:pPr>
      <w:rPr>
        <w:rFonts w:hint="eastAsia"/>
      </w:rPr>
    </w:lvl>
  </w:abstractNum>
  <w:abstractNum w:abstractNumId="4">
    <w:nsid w:val="AC1A63F8"/>
    <w:multiLevelType w:val="singleLevel"/>
    <w:tmpl w:val="AC1A63F8"/>
    <w:lvl w:ilvl="0" w:tentative="0">
      <w:start w:val="1"/>
      <w:numFmt w:val="decimal"/>
      <w:lvlText w:val="(%1)"/>
      <w:lvlJc w:val="left"/>
      <w:pPr>
        <w:tabs>
          <w:tab w:val="left" w:pos="312"/>
        </w:tabs>
      </w:pPr>
    </w:lvl>
  </w:abstractNum>
  <w:abstractNum w:abstractNumId="5">
    <w:nsid w:val="DDEB4DC5"/>
    <w:multiLevelType w:val="singleLevel"/>
    <w:tmpl w:val="DDEB4DC5"/>
    <w:lvl w:ilvl="0" w:tentative="0">
      <w:start w:val="2"/>
      <w:numFmt w:val="chineseCounting"/>
      <w:suff w:val="nothing"/>
      <w:lvlText w:val="（%1）"/>
      <w:lvlJc w:val="left"/>
      <w:rPr>
        <w:rFonts w:hint="eastAsia"/>
      </w:rPr>
    </w:lvl>
  </w:abstractNum>
  <w:abstractNum w:abstractNumId="6">
    <w:nsid w:val="12C23F3F"/>
    <w:multiLevelType w:val="singleLevel"/>
    <w:tmpl w:val="12C23F3F"/>
    <w:lvl w:ilvl="0" w:tentative="0">
      <w:start w:val="2"/>
      <w:numFmt w:val="chineseCounting"/>
      <w:suff w:val="nothing"/>
      <w:lvlText w:val="（%1）"/>
      <w:lvlJc w:val="left"/>
      <w:pPr>
        <w:ind w:left="8"/>
      </w:pPr>
      <w:rPr>
        <w:rFonts w:hint="eastAsia"/>
      </w:rPr>
    </w:lvl>
  </w:abstractNum>
  <w:abstractNum w:abstractNumId="7">
    <w:nsid w:val="57FB0BF7"/>
    <w:multiLevelType w:val="singleLevel"/>
    <w:tmpl w:val="57FB0BF7"/>
    <w:lvl w:ilvl="0" w:tentative="0">
      <w:start w:val="1"/>
      <w:numFmt w:val="decimal"/>
      <w:pStyle w:val="5"/>
      <w:lvlText w:val="%1."/>
      <w:lvlJc w:val="left"/>
      <w:pPr>
        <w:tabs>
          <w:tab w:val="left" w:pos="360"/>
        </w:tabs>
        <w:ind w:left="360" w:hanging="360"/>
      </w:pPr>
    </w:lvl>
  </w:abstractNum>
  <w:abstractNum w:abstractNumId="8">
    <w:nsid w:val="7DC8928C"/>
    <w:multiLevelType w:val="singleLevel"/>
    <w:tmpl w:val="7DC8928C"/>
    <w:lvl w:ilvl="0" w:tentative="0">
      <w:start w:val="6"/>
      <w:numFmt w:val="chineseCounting"/>
      <w:suff w:val="nothing"/>
      <w:lvlText w:val="%1、"/>
      <w:lvlJc w:val="left"/>
      <w:rPr>
        <w:rFonts w:hint="eastAsia"/>
      </w:rPr>
    </w:lvl>
  </w:abstractNum>
  <w:num w:numId="1">
    <w:abstractNumId w:val="7"/>
  </w:num>
  <w:num w:numId="2">
    <w:abstractNumId w:val="0"/>
  </w:num>
  <w:num w:numId="3">
    <w:abstractNumId w:val="4"/>
  </w:num>
  <w:num w:numId="4">
    <w:abstractNumId w:val="2"/>
  </w:num>
  <w:num w:numId="5">
    <w:abstractNumId w:val="5"/>
  </w:num>
  <w:num w:numId="6">
    <w:abstractNumId w:val="6"/>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YWYwN2NmMGNjNTY5OGUxZTk3YzdkYmZjZDI0ZjMifQ=="/>
    <w:docVar w:name="KSO_WPS_MARK_KEY" w:val="b9ab6d34-5b82-4f7b-95f2-d7ad2fd8085e"/>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CF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1AFE"/>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503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6E9D"/>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F62621"/>
    <w:rsid w:val="03121EC8"/>
    <w:rsid w:val="03A64B19"/>
    <w:rsid w:val="040B73D8"/>
    <w:rsid w:val="058A350A"/>
    <w:rsid w:val="066E0107"/>
    <w:rsid w:val="07996F6E"/>
    <w:rsid w:val="0A2032A3"/>
    <w:rsid w:val="0A5F04A7"/>
    <w:rsid w:val="0CAE698D"/>
    <w:rsid w:val="0F413C12"/>
    <w:rsid w:val="0F5E24A3"/>
    <w:rsid w:val="101860EC"/>
    <w:rsid w:val="10643D1F"/>
    <w:rsid w:val="10C055FF"/>
    <w:rsid w:val="11393A1B"/>
    <w:rsid w:val="118107EC"/>
    <w:rsid w:val="13D50BC4"/>
    <w:rsid w:val="15EB34E6"/>
    <w:rsid w:val="16BB723D"/>
    <w:rsid w:val="16ED3B2F"/>
    <w:rsid w:val="1BAD015F"/>
    <w:rsid w:val="1BE8440E"/>
    <w:rsid w:val="1CE6547E"/>
    <w:rsid w:val="1D155CEE"/>
    <w:rsid w:val="216D442B"/>
    <w:rsid w:val="23860B96"/>
    <w:rsid w:val="23B743B8"/>
    <w:rsid w:val="240371BF"/>
    <w:rsid w:val="27691C18"/>
    <w:rsid w:val="287D1E9E"/>
    <w:rsid w:val="29FD04D3"/>
    <w:rsid w:val="2BBA09D7"/>
    <w:rsid w:val="2BE06A82"/>
    <w:rsid w:val="2C8A61B5"/>
    <w:rsid w:val="2CCD555C"/>
    <w:rsid w:val="2DF04E50"/>
    <w:rsid w:val="2F9870F5"/>
    <w:rsid w:val="319F7F4E"/>
    <w:rsid w:val="322B3F74"/>
    <w:rsid w:val="33DD3662"/>
    <w:rsid w:val="34C96B3F"/>
    <w:rsid w:val="356319E8"/>
    <w:rsid w:val="36AA5135"/>
    <w:rsid w:val="375642DA"/>
    <w:rsid w:val="37E16F03"/>
    <w:rsid w:val="38D46765"/>
    <w:rsid w:val="39ED632F"/>
    <w:rsid w:val="3A260AF4"/>
    <w:rsid w:val="3D98207C"/>
    <w:rsid w:val="3E1D65B9"/>
    <w:rsid w:val="3FA86319"/>
    <w:rsid w:val="40261437"/>
    <w:rsid w:val="4244281D"/>
    <w:rsid w:val="44E268DA"/>
    <w:rsid w:val="46D9696D"/>
    <w:rsid w:val="49320B4B"/>
    <w:rsid w:val="4A627F82"/>
    <w:rsid w:val="4B4F25DA"/>
    <w:rsid w:val="4BE068DB"/>
    <w:rsid w:val="4BF02AF6"/>
    <w:rsid w:val="4CCE784A"/>
    <w:rsid w:val="4D577224"/>
    <w:rsid w:val="4D912B85"/>
    <w:rsid w:val="4EAB630A"/>
    <w:rsid w:val="4ECE2238"/>
    <w:rsid w:val="4F746827"/>
    <w:rsid w:val="507B4399"/>
    <w:rsid w:val="59201569"/>
    <w:rsid w:val="593975D8"/>
    <w:rsid w:val="5AF92295"/>
    <w:rsid w:val="5B984D03"/>
    <w:rsid w:val="5CD71FC4"/>
    <w:rsid w:val="5E372795"/>
    <w:rsid w:val="5E6A7F4A"/>
    <w:rsid w:val="6035352F"/>
    <w:rsid w:val="60A91BDE"/>
    <w:rsid w:val="61016CC9"/>
    <w:rsid w:val="627F6692"/>
    <w:rsid w:val="667F03AA"/>
    <w:rsid w:val="6C4A05C8"/>
    <w:rsid w:val="6E7E3605"/>
    <w:rsid w:val="6F7E68C0"/>
    <w:rsid w:val="6F96453B"/>
    <w:rsid w:val="6FF5CC65"/>
    <w:rsid w:val="706C19C2"/>
    <w:rsid w:val="71453AD1"/>
    <w:rsid w:val="715C0E4B"/>
    <w:rsid w:val="72734D90"/>
    <w:rsid w:val="73AD73D5"/>
    <w:rsid w:val="73B6EB34"/>
    <w:rsid w:val="79C063C8"/>
    <w:rsid w:val="79EE5BA4"/>
    <w:rsid w:val="7A894339"/>
    <w:rsid w:val="7E193136"/>
    <w:rsid w:val="7EB83159"/>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4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1"/>
    <w:unhideWhenUsed/>
    <w:qFormat/>
    <w:uiPriority w:val="9"/>
    <w:pPr>
      <w:keepNext/>
      <w:keepLines/>
      <w:spacing w:before="260" w:after="260" w:line="416" w:lineRule="auto"/>
      <w:outlineLvl w:val="1"/>
    </w:pPr>
    <w:rPr>
      <w:rFonts w:eastAsia="黑体" w:asciiTheme="majorHAnsi" w:hAnsiTheme="majorHAnsi" w:cstheme="majorBidi"/>
      <w:bCs/>
      <w:szCs w:val="32"/>
    </w:rPr>
  </w:style>
  <w:style w:type="paragraph" w:styleId="4">
    <w:name w:val="heading 3"/>
    <w:basedOn w:val="1"/>
    <w:next w:val="1"/>
    <w:link w:val="34"/>
    <w:unhideWhenUsed/>
    <w:qFormat/>
    <w:uiPriority w:val="9"/>
    <w:pPr>
      <w:keepNext/>
      <w:keepLines/>
      <w:outlineLvl w:val="2"/>
    </w:pPr>
    <w:rPr>
      <w:bCs/>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List Number"/>
    <w:basedOn w:val="1"/>
    <w:unhideWhenUsed/>
    <w:qFormat/>
    <w:uiPriority w:val="99"/>
    <w:pPr>
      <w:numPr>
        <w:ilvl w:val="0"/>
        <w:numId w:val="1"/>
      </w:numPr>
    </w:pPr>
  </w:style>
  <w:style w:type="paragraph" w:styleId="6">
    <w:name w:val="annotation text"/>
    <w:basedOn w:val="1"/>
    <w:unhideWhenUsed/>
    <w:qFormat/>
    <w:uiPriority w:val="99"/>
    <w:pPr>
      <w:jc w:val="left"/>
    </w:pPr>
  </w:style>
  <w:style w:type="paragraph" w:styleId="7">
    <w:name w:val="Body Text"/>
    <w:basedOn w:val="1"/>
    <w:link w:val="27"/>
    <w:qFormat/>
    <w:uiPriority w:val="99"/>
    <w:pPr>
      <w:spacing w:beforeLines="30"/>
    </w:pPr>
    <w:rPr>
      <w:rFonts w:ascii="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pPr>
    <w:rPr>
      <w:rFonts w:eastAsia="仿宋"/>
    </w:rPr>
  </w:style>
  <w:style w:type="paragraph" w:styleId="11">
    <w:name w:val="Balloon Text"/>
    <w:basedOn w:val="1"/>
    <w:link w:val="33"/>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rPr>
      <w:rFonts w:eastAsia="黑体"/>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2"/>
    <w:qFormat/>
    <w:uiPriority w:val="9"/>
    <w:rPr>
      <w:rFonts w:eastAsia="黑体" w:asciiTheme="majorHAnsi" w:hAnsiTheme="majorHAnsi" w:cstheme="majorBidi"/>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4"/>
    <w:qFormat/>
    <w:uiPriority w:val="9"/>
    <w:rPr>
      <w:rFonts w:ascii="Times New Roman" w:hAnsi="Times New Roman" w:eastAsia="仿宋_GB2312"/>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Char Char3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37">
    <w:name w:val="节标题"/>
    <w:basedOn w:val="1"/>
    <w:next w:val="1"/>
    <w:unhideWhenUsed/>
    <w:qFormat/>
    <w:uiPriority w:val="99"/>
    <w:pPr>
      <w:widowControl/>
      <w:spacing w:line="289" w:lineRule="atLeast"/>
      <w:jc w:val="center"/>
      <w:textAlignment w:val="baseline"/>
    </w:pPr>
    <w:rPr>
      <w:rFonts w:hint="eastAsia"/>
      <w:color w:val="000000"/>
      <w:sz w:val="28"/>
      <w:u w:color="000000"/>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25"/>
          <c:y val="0.18220823798627"/>
          <c:w val="0.8938"/>
          <c:h val="0.6994851258581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2023年收入</c:v>
                </c:pt>
                <c:pt idx="1">
                  <c:v>2022年收入</c:v>
                </c:pt>
                <c:pt idx="2">
                  <c:v>2023年支出</c:v>
                </c:pt>
                <c:pt idx="3">
                  <c:v>2022年支出</c:v>
                </c:pt>
              </c:strCache>
            </c:strRef>
          </c:cat>
          <c:val>
            <c:numRef>
              <c:f>Sheet1!$B$2:$B$5</c:f>
              <c:numCache>
                <c:formatCode>General</c:formatCode>
                <c:ptCount val="4"/>
                <c:pt idx="0">
                  <c:v>49811.93</c:v>
                </c:pt>
                <c:pt idx="1">
                  <c:v>51404.57</c:v>
                </c:pt>
                <c:pt idx="2">
                  <c:v>49811.93</c:v>
                </c:pt>
                <c:pt idx="3">
                  <c:v>51404.57</c:v>
                </c:pt>
              </c:numCache>
            </c:numRef>
          </c:val>
        </c:ser>
        <c:dLbls>
          <c:showLegendKey val="0"/>
          <c:showVal val="1"/>
          <c:showCatName val="0"/>
          <c:showSerName val="0"/>
          <c:showPercent val="0"/>
          <c:showBubbleSize val="0"/>
        </c:dLbls>
        <c:gapWidth val="219"/>
        <c:overlap val="-27"/>
        <c:axId val="143914496"/>
        <c:axId val="143916032"/>
      </c:barChart>
      <c:catAx>
        <c:axId val="1439144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16032"/>
        <c:crosses val="autoZero"/>
        <c:auto val="1"/>
        <c:lblAlgn val="ctr"/>
        <c:lblOffset val="100"/>
        <c:noMultiLvlLbl val="0"/>
      </c:catAx>
      <c:valAx>
        <c:axId val="143916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1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267242170998"/>
          <c:y val="0.107722649969045"/>
          <c:w val="0.378466254717518"/>
          <c:h val="0.748482705983338"/>
        </c:manualLayout>
      </c:layout>
      <c:pieChart>
        <c:varyColors val="1"/>
        <c:ser>
          <c:idx val="0"/>
          <c:order val="0"/>
          <c:tx>
            <c:strRef>
              <c:f>Sheet1!$B$1</c:f>
              <c:strCache>
                <c:ptCount val="1"/>
                <c:pt idx="0">
                  <c:v>销售额</c:v>
                </c:pt>
              </c:strCache>
            </c:strRef>
          </c:tx>
          <c:explosion val="0"/>
          <c:dPt>
            <c:idx val="0"/>
            <c:bubble3D val="0"/>
          </c:dPt>
          <c:dPt>
            <c:idx val="1"/>
            <c:bubble3D val="0"/>
          </c:dPt>
          <c:dLbls>
            <c:dLbl>
              <c:idx val="0"/>
              <c:layout>
                <c:manualLayout>
                  <c:x val="-0.00868876424217616"/>
                  <c:y val="-0.1639160395269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0.8922</c:v>
                </c:pt>
                <c:pt idx="1">
                  <c:v>0.1078</c:v>
                </c:pt>
              </c:numCache>
            </c:numRef>
          </c:val>
        </c:ser>
        <c:ser>
          <c:idx val="1"/>
          <c:order val="1"/>
          <c:tx>
            <c:strRef>
              <c:f>Sheet1!$C$1</c:f>
              <c:strCache>
                <c:ptCount val="1"/>
                <c:pt idx="0">
                  <c:v>列1</c:v>
                </c:pt>
              </c:strCache>
            </c:strRef>
          </c:tx>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119714202391"/>
          <c:y val="0.0595238095238095"/>
          <c:w val="0.458333333333333"/>
          <c:h val="0.785714285714286"/>
        </c:manualLayout>
      </c:layout>
      <c:pieChart>
        <c:varyColors val="1"/>
        <c:ser>
          <c:idx val="0"/>
          <c:order val="0"/>
          <c:tx>
            <c:strRef>
              <c:f>Sheet1!$B$1</c:f>
              <c:strCache>
                <c:ptCount val="1"/>
                <c:pt idx="0">
                  <c:v>列1</c:v>
                </c:pt>
              </c:strCache>
            </c:strRef>
          </c:tx>
          <c:explosion val="0"/>
          <c:dPt>
            <c:idx val="0"/>
            <c:bubble3D val="0"/>
          </c:dPt>
          <c:dPt>
            <c:idx val="1"/>
            <c:bubble3D val="0"/>
          </c:dPt>
          <c:dLbls>
            <c:dLbl>
              <c:idx val="0"/>
              <c:layout>
                <c:manualLayout>
                  <c:x val="0.0208953364864315"/>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0.0998</c:v>
                </c:pt>
                <c:pt idx="1">
                  <c:v>0.9002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26424795858851"/>
          <c:y val="0.888559867516561"/>
          <c:w val="0.335612241178186"/>
          <c:h val="0.080444815896266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25"/>
          <c:y val="0.18220823798627"/>
          <c:w val="0.8938"/>
          <c:h val="0.6994851258581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2023年收入</c:v>
                </c:pt>
                <c:pt idx="1">
                  <c:v>2022年收入</c:v>
                </c:pt>
                <c:pt idx="2">
                  <c:v>2023年支出</c:v>
                </c:pt>
                <c:pt idx="3">
                  <c:v>2022年支出</c:v>
                </c:pt>
              </c:strCache>
            </c:strRef>
          </c:cat>
          <c:val>
            <c:numRef>
              <c:f>Sheet1!$B$2:$B$5</c:f>
              <c:numCache>
                <c:formatCode>General</c:formatCode>
                <c:ptCount val="4"/>
                <c:pt idx="0">
                  <c:v>49811.93</c:v>
                </c:pt>
                <c:pt idx="1">
                  <c:v>51404.57</c:v>
                </c:pt>
                <c:pt idx="2">
                  <c:v>49811.93</c:v>
                </c:pt>
                <c:pt idx="3">
                  <c:v>51404.57</c:v>
                </c:pt>
              </c:numCache>
            </c:numRef>
          </c:val>
        </c:ser>
        <c:dLbls>
          <c:showLegendKey val="0"/>
          <c:showVal val="1"/>
          <c:showCatName val="0"/>
          <c:showSerName val="0"/>
          <c:showPercent val="0"/>
          <c:showBubbleSize val="0"/>
        </c:dLbls>
        <c:gapWidth val="219"/>
        <c:overlap val="-27"/>
        <c:axId val="47350144"/>
        <c:axId val="47351680"/>
      </c:barChart>
      <c:catAx>
        <c:axId val="47350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1680"/>
        <c:crosses val="autoZero"/>
        <c:auto val="1"/>
        <c:lblAlgn val="ctr"/>
        <c:lblOffset val="100"/>
        <c:noMultiLvlLbl val="0"/>
      </c:catAx>
      <c:valAx>
        <c:axId val="473516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40319757265"/>
          <c:y val="0.179452054794521"/>
          <c:w val="0.775516396312288"/>
          <c:h val="0.6131050228310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2022年支出</c:v>
                </c:pt>
                <c:pt idx="1">
                  <c:v>2023年支出</c:v>
                </c:pt>
              </c:strCache>
            </c:strRef>
          </c:cat>
          <c:val>
            <c:numRef>
              <c:f>Sheet1!$B$2:$B$3</c:f>
              <c:numCache>
                <c:formatCode>General</c:formatCode>
                <c:ptCount val="2"/>
                <c:pt idx="0">
                  <c:v>42498.67</c:v>
                </c:pt>
                <c:pt idx="1">
                  <c:v>44440.31</c:v>
                </c:pt>
              </c:numCache>
            </c:numRef>
          </c:val>
        </c:ser>
        <c:dLbls>
          <c:showLegendKey val="0"/>
          <c:showVal val="0"/>
          <c:showCatName val="0"/>
          <c:showSerName val="0"/>
          <c:showPercent val="0"/>
          <c:showBubbleSize val="0"/>
        </c:dLbls>
        <c:gapWidth val="75"/>
        <c:overlap val="-25"/>
        <c:axId val="213857408"/>
        <c:axId val="213858944"/>
      </c:barChart>
      <c:catAx>
        <c:axId val="2138574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858944"/>
        <c:crosses val="autoZero"/>
        <c:auto val="1"/>
        <c:lblAlgn val="ctr"/>
        <c:lblOffset val="100"/>
        <c:noMultiLvlLbl val="0"/>
      </c:catAx>
      <c:valAx>
        <c:axId val="213858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857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75"/>
          <c:y val="0.0995000000000001"/>
          <c:w val="0.510625"/>
          <c:h val="0.680833333333333"/>
        </c:manualLayout>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dPt>
          <c:dPt>
            <c:idx val="8"/>
            <c:bubble3D val="0"/>
          </c:dPt>
          <c:dLbls>
            <c:dLbl>
              <c:idx val="0"/>
              <c:layout>
                <c:manualLayout>
                  <c:x val="0.00836094372603111"/>
                  <c:y val="0.001275941675040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0645023809701"/>
                  <c:y val="0.04644241392471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3186023466975"/>
                  <c:y val="0.09100272853513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07097801036638"/>
                  <c:y val="0.012733409435951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67375"/>
                      <c:h val="0.073293172690763"/>
                    </c:manualLayout>
                  </c15:layout>
                </c:ext>
              </c:extLst>
            </c:dLbl>
            <c:dLbl>
              <c:idx val="5"/>
              <c:layout>
                <c:manualLayout>
                  <c:x val="-0.126422024352938"/>
                  <c:y val="-0.05945220650078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291262984216349"/>
                  <c:y val="-0.0563307196556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407390067156738"/>
                  <c:y val="-0.0593240470969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Sheet1!$A$2:$A$10</c:f>
              <c:strCache>
                <c:ptCount val="9"/>
                <c:pt idx="0">
                  <c:v>社会保障和就业支出</c:v>
                </c:pt>
                <c:pt idx="1">
                  <c:v>卫生健康支出</c:v>
                </c:pt>
                <c:pt idx="2">
                  <c:v>农林水支出</c:v>
                </c:pt>
                <c:pt idx="3">
                  <c:v>住房保障支出</c:v>
                </c:pt>
                <c:pt idx="4">
                  <c:v>一般公共服务支出</c:v>
                </c:pt>
                <c:pt idx="5">
                  <c:v>粮油物资储备支出</c:v>
                </c:pt>
                <c:pt idx="6">
                  <c:v>商业服务业支出</c:v>
                </c:pt>
                <c:pt idx="7">
                  <c:v>节能环保支出</c:v>
                </c:pt>
                <c:pt idx="8">
                  <c:v>资源勘探工业信息等支出</c:v>
                </c:pt>
              </c:strCache>
            </c:strRef>
          </c:cat>
          <c:val>
            <c:numRef>
              <c:f>Sheet1!$B$2:$B$10</c:f>
              <c:numCache>
                <c:formatCode>0.00%</c:formatCode>
                <c:ptCount val="9"/>
                <c:pt idx="0">
                  <c:v>0.0178</c:v>
                </c:pt>
                <c:pt idx="1">
                  <c:v>0.0048</c:v>
                </c:pt>
                <c:pt idx="2">
                  <c:v>0.8488</c:v>
                </c:pt>
                <c:pt idx="3">
                  <c:v>0.0083</c:v>
                </c:pt>
                <c:pt idx="4">
                  <c:v>0.0009</c:v>
                </c:pt>
                <c:pt idx="5">
                  <c:v>0.0219</c:v>
                </c:pt>
                <c:pt idx="6">
                  <c:v>0.0047</c:v>
                </c:pt>
                <c:pt idx="7">
                  <c:v>0.0002</c:v>
                </c:pt>
                <c:pt idx="8">
                  <c:v>0.0926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0.3333</c:v>
                </c:pt>
                <c:pt idx="1">
                  <c:v>0.6667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53</Pages>
  <Words>18240</Words>
  <Characters>20299</Characters>
  <Lines>122</Lines>
  <Paragraphs>34</Paragraphs>
  <TotalTime>6</TotalTime>
  <ScaleCrop>false</ScaleCrop>
  <LinksUpToDate>false</LinksUpToDate>
  <CharactersWithSpaces>20459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王海</cp:lastModifiedBy>
  <cp:lastPrinted>2022-08-08T09:11:00Z</cp:lastPrinted>
  <dcterms:modified xsi:type="dcterms:W3CDTF">2024-08-27T08:40:09Z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327EDA82EA884C978D197D53F623C99D</vt:lpwstr>
  </property>
</Properties>
</file>