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68B3D">
      <w:pPr>
        <w:adjustRightInd w:val="0"/>
        <w:snapToGrid w:val="0"/>
        <w:spacing w:line="360" w:lineRule="auto"/>
        <w:jc w:val="center"/>
        <w:outlineLvl w:val="0"/>
        <w:rPr>
          <w:rFonts w:ascii="黑体" w:hAnsi="黑体" w:eastAsia="黑体"/>
          <w:color w:val="000000"/>
          <w:sz w:val="72"/>
          <w:szCs w:val="72"/>
        </w:rPr>
      </w:pPr>
      <w:bookmarkStart w:id="0" w:name="_Toc15377425"/>
      <w:bookmarkStart w:id="1" w:name="_Toc15396475"/>
      <w:bookmarkStart w:id="2" w:name="_Toc15396597"/>
      <w:bookmarkStart w:id="3" w:name="_Toc15377193"/>
      <w:bookmarkStart w:id="4" w:name="_Toc15378441"/>
    </w:p>
    <w:p w14:paraId="3E2721AE">
      <w:pPr>
        <w:adjustRightInd w:val="0"/>
        <w:snapToGrid w:val="0"/>
        <w:spacing w:line="360" w:lineRule="auto"/>
        <w:jc w:val="center"/>
        <w:outlineLvl w:val="0"/>
        <w:rPr>
          <w:rFonts w:ascii="黑体" w:hAnsi="黑体" w:eastAsia="黑体"/>
          <w:color w:val="000000"/>
          <w:sz w:val="72"/>
          <w:szCs w:val="72"/>
        </w:rPr>
      </w:pPr>
    </w:p>
    <w:p w14:paraId="2FE7ED2B">
      <w:pPr>
        <w:adjustRightInd w:val="0"/>
        <w:snapToGrid w:val="0"/>
        <w:spacing w:line="360" w:lineRule="auto"/>
        <w:jc w:val="center"/>
        <w:outlineLvl w:val="0"/>
        <w:rPr>
          <w:rFonts w:ascii="黑体" w:hAnsi="黑体" w:eastAsia="黑体"/>
          <w:color w:val="000000"/>
          <w:sz w:val="72"/>
          <w:szCs w:val="72"/>
        </w:rPr>
      </w:pPr>
    </w:p>
    <w:p w14:paraId="75C22E73">
      <w:pPr>
        <w:adjustRightInd w:val="0"/>
        <w:snapToGrid w:val="0"/>
        <w:spacing w:line="360" w:lineRule="auto"/>
        <w:jc w:val="center"/>
        <w:outlineLvl w:val="0"/>
        <w:rPr>
          <w:rFonts w:ascii="黑体" w:hAnsi="黑体" w:eastAsia="黑体"/>
          <w:color w:val="000000"/>
          <w:sz w:val="72"/>
          <w:szCs w:val="72"/>
        </w:rPr>
      </w:pPr>
    </w:p>
    <w:p w14:paraId="14E102FC">
      <w:pPr>
        <w:jc w:val="center"/>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2023年</w:t>
      </w:r>
      <w:r>
        <w:rPr>
          <w:rFonts w:hint="eastAsia" w:ascii="方正小标宋简体" w:hAnsi="宋体" w:eastAsia="方正小标宋简体"/>
          <w:color w:val="000000"/>
          <w:sz w:val="72"/>
          <w:szCs w:val="72"/>
        </w:rPr>
        <w:t>度</w:t>
      </w:r>
      <w:bookmarkEnd w:id="0"/>
      <w:bookmarkEnd w:id="1"/>
      <w:bookmarkEnd w:id="2"/>
      <w:bookmarkEnd w:id="3"/>
      <w:bookmarkEnd w:id="4"/>
    </w:p>
    <w:p w14:paraId="3EAFD6B9">
      <w:pPr>
        <w:jc w:val="center"/>
        <w:rPr>
          <w:rFonts w:hint="default" w:ascii="方正小标宋简体" w:hAnsi="宋体" w:eastAsia="方正小标宋简体"/>
          <w:color w:val="000000"/>
          <w:sz w:val="72"/>
          <w:szCs w:val="72"/>
          <w:lang w:val="en-US" w:eastAsia="zh-CN"/>
        </w:rPr>
      </w:pPr>
      <w:r>
        <w:rPr>
          <w:rFonts w:hint="eastAsia" w:ascii="方正小标宋简体" w:hAnsi="宋体" w:eastAsia="方正小标宋简体"/>
          <w:color w:val="000000"/>
          <w:sz w:val="72"/>
          <w:szCs w:val="72"/>
        </w:rPr>
        <w:t>四川省遂宁市安居区工商业联合会部门决</w:t>
      </w:r>
      <w:r>
        <w:rPr>
          <w:rFonts w:hint="eastAsia" w:ascii="方正小标宋简体" w:hAnsi="宋体" w:eastAsia="方正小标宋简体"/>
          <w:color w:val="000000"/>
          <w:sz w:val="72"/>
          <w:szCs w:val="72"/>
          <w:lang w:eastAsia="zh-CN"/>
        </w:rPr>
        <w:t>算</w:t>
      </w:r>
    </w:p>
    <w:p w14:paraId="541EF0AE">
      <w:pPr>
        <w:pStyle w:val="12"/>
        <w:rPr>
          <w:rFonts w:hint="eastAsia" w:ascii="方正小标宋简体" w:hAnsi="宋体" w:eastAsia="方正小标宋简体"/>
          <w:color w:val="000000"/>
          <w:sz w:val="72"/>
          <w:szCs w:val="72"/>
          <w:lang w:eastAsia="zh-CN"/>
        </w:rPr>
      </w:pPr>
    </w:p>
    <w:p w14:paraId="1546E2F7">
      <w:pPr>
        <w:pStyle w:val="12"/>
        <w:rPr>
          <w:rFonts w:hint="eastAsia"/>
          <w:b/>
          <w:bCs/>
          <w:sz w:val="48"/>
          <w:szCs w:val="48"/>
        </w:rPr>
      </w:pPr>
    </w:p>
    <w:p w14:paraId="571DBA65">
      <w:pPr>
        <w:rPr>
          <w:rFonts w:hint="eastAsia"/>
        </w:rPr>
      </w:pPr>
    </w:p>
    <w:p w14:paraId="245CCB4D">
      <w:pPr>
        <w:rPr>
          <w:rFonts w:hint="eastAsia"/>
        </w:rPr>
      </w:pPr>
    </w:p>
    <w:p w14:paraId="5ED0D82E">
      <w:pPr>
        <w:jc w:val="center"/>
        <w:rPr>
          <w:rFonts w:hint="eastAsia" w:ascii="黑体" w:hAnsi="黑体" w:eastAsia="黑体" w:cs="黑体"/>
          <w:b/>
          <w:bCs/>
          <w:sz w:val="48"/>
          <w:szCs w:val="48"/>
          <w:lang w:eastAsia="zh-CN"/>
        </w:rPr>
      </w:pPr>
    </w:p>
    <w:p w14:paraId="5E1384D5">
      <w:pPr>
        <w:pStyle w:val="2"/>
        <w:rPr>
          <w:rFonts w:hint="eastAsia" w:ascii="黑体" w:hAnsi="黑体" w:eastAsia="黑体" w:cs="黑体"/>
          <w:b/>
          <w:bCs/>
          <w:sz w:val="48"/>
          <w:szCs w:val="48"/>
          <w:lang w:eastAsia="zh-CN"/>
        </w:rPr>
      </w:pPr>
    </w:p>
    <w:p w14:paraId="504F8219">
      <w:pPr>
        <w:pStyle w:val="3"/>
        <w:rPr>
          <w:rFonts w:hint="eastAsia"/>
          <w:lang w:eastAsia="zh-CN"/>
        </w:rPr>
      </w:pPr>
    </w:p>
    <w:p w14:paraId="79EE9D11">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目录</w:t>
      </w:r>
    </w:p>
    <w:p w14:paraId="30FC36B9">
      <w:pPr>
        <w:pStyle w:val="12"/>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公开时间：</w:t>
      </w:r>
      <w:r>
        <w:rPr>
          <w:rFonts w:hint="default" w:ascii="Times New Roman" w:hAnsi="Times New Roman" w:eastAsia="仿宋_GB2312" w:cs="Times New Roman"/>
          <w:b w:val="0"/>
          <w:bCs w:val="0"/>
          <w:sz w:val="32"/>
          <w:szCs w:val="32"/>
          <w:lang w:val="en-US" w:eastAsia="zh-CN"/>
        </w:rPr>
        <w:t>2024年8月2</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日</w:t>
      </w:r>
    </w:p>
    <w:p w14:paraId="5D44404F">
      <w:pPr>
        <w:pStyle w:val="1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u w:val="none"/>
        </w:rPr>
        <w:t>第一部分 部门概况</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4</w:t>
      </w:r>
    </w:p>
    <w:p w14:paraId="6D09660B">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一、基本职能及机构设置</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 xml:space="preserve">4 </w:t>
      </w:r>
    </w:p>
    <w:p w14:paraId="1BCF40CE">
      <w:pPr>
        <w:pStyle w:val="13"/>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u w:val="none"/>
        </w:rPr>
        <w:t>二、</w:t>
      </w:r>
      <w:r>
        <w:rPr>
          <w:rFonts w:hint="default" w:ascii="Times New Roman" w:hAnsi="Times New Roman" w:eastAsia="仿宋_GB2312" w:cs="Times New Roman"/>
          <w:color w:val="auto"/>
          <w:sz w:val="32"/>
          <w:szCs w:val="32"/>
          <w:u w:val="none"/>
          <w:lang w:val="en-US" w:eastAsia="zh-CN"/>
        </w:rPr>
        <w:t>2023年重点工作完成情况</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5</w:t>
      </w:r>
    </w:p>
    <w:p w14:paraId="5C7CBEFA">
      <w:pPr>
        <w:pStyle w:val="1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 xml:space="preserve">第二部分 </w:t>
      </w:r>
      <w:r>
        <w:rPr>
          <w:rFonts w:hint="default" w:ascii="Times New Roman" w:hAnsi="Times New Roman" w:eastAsia="仿宋_GB2312" w:cs="Times New Roman"/>
          <w:color w:val="auto"/>
          <w:sz w:val="32"/>
          <w:szCs w:val="32"/>
          <w:u w:val="none"/>
          <w:lang w:eastAsia="zh-CN"/>
        </w:rPr>
        <w:t>2023年</w:t>
      </w:r>
      <w:r>
        <w:rPr>
          <w:rFonts w:hint="default" w:ascii="Times New Roman" w:hAnsi="Times New Roman" w:eastAsia="仿宋_GB2312" w:cs="Times New Roman"/>
          <w:color w:val="auto"/>
          <w:sz w:val="32"/>
          <w:szCs w:val="32"/>
          <w:u w:val="none"/>
        </w:rPr>
        <w:t>度部门决算情况说明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8</w:t>
      </w:r>
    </w:p>
    <w:p w14:paraId="3DC10E81">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一、</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入支出决算总体情况说明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8</w:t>
      </w:r>
    </w:p>
    <w:p w14:paraId="0F5CD700">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二、</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8</w:t>
      </w:r>
    </w:p>
    <w:p w14:paraId="62F2D402">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u w:val="none"/>
        </w:rPr>
        <w:t>三、</w:t>
      </w:r>
      <w:r>
        <w:rPr>
          <w:rFonts w:hint="default" w:ascii="Times New Roman" w:hAnsi="Times New Roman" w:eastAsia="仿宋_GB2312" w:cs="Times New Roman"/>
          <w:color w:val="auto"/>
          <w:sz w:val="32"/>
          <w:szCs w:val="32"/>
          <w:u w:val="none"/>
        </w:rPr>
        <w:t>支</w:t>
      </w:r>
      <w:r>
        <w:rPr>
          <w:rFonts w:hint="default" w:ascii="Times New Roman" w:hAnsi="Times New Roman" w:eastAsia="仿宋_GB2312" w:cs="Times New Roman"/>
          <w:bCs/>
          <w:color w:val="auto"/>
          <w:sz w:val="32"/>
          <w:szCs w:val="32"/>
          <w:u w:val="none"/>
        </w:rPr>
        <w:t>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9</w:t>
      </w:r>
    </w:p>
    <w:p w14:paraId="62068DFD">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四、财</w:t>
      </w:r>
      <w:r>
        <w:rPr>
          <w:rFonts w:hint="default" w:ascii="Times New Roman" w:hAnsi="Times New Roman" w:eastAsia="仿宋_GB2312" w:cs="Times New Roman"/>
          <w:bCs/>
          <w:color w:val="auto"/>
          <w:sz w:val="32"/>
          <w:szCs w:val="32"/>
          <w:u w:val="none"/>
        </w:rPr>
        <w:t>政拨款收入支出决算总体情况说明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10</w:t>
      </w:r>
    </w:p>
    <w:p w14:paraId="0EAB2FE8">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五、一</w:t>
      </w:r>
      <w:r>
        <w:rPr>
          <w:rFonts w:hint="default" w:ascii="Times New Roman" w:hAnsi="Times New Roman" w:eastAsia="仿宋_GB2312" w:cs="Times New Roman"/>
          <w:bCs/>
          <w:color w:val="auto"/>
          <w:sz w:val="32"/>
          <w:szCs w:val="32"/>
          <w:u w:val="none"/>
        </w:rPr>
        <w:t>般公共预算财政拨款支出决算情况说明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11</w:t>
      </w:r>
    </w:p>
    <w:p w14:paraId="5CA5C6CB">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六、一</w:t>
      </w:r>
      <w:r>
        <w:rPr>
          <w:rFonts w:hint="default" w:ascii="Times New Roman" w:hAnsi="Times New Roman" w:eastAsia="仿宋_GB2312" w:cs="Times New Roman"/>
          <w:bCs/>
          <w:color w:val="auto"/>
          <w:sz w:val="32"/>
          <w:szCs w:val="32"/>
          <w:u w:val="none"/>
        </w:rPr>
        <w:t>般公共预算财政拨款基本支出决算情况说明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12</w:t>
      </w:r>
    </w:p>
    <w:p w14:paraId="1047619F">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七、</w:t>
      </w:r>
      <w:r>
        <w:rPr>
          <w:rFonts w:hint="default" w:ascii="Times New Roman" w:hAnsi="Times New Roman" w:eastAsia="仿宋_GB2312" w:cs="Times New Roman"/>
          <w:bCs/>
          <w:color w:val="auto"/>
          <w:sz w:val="32"/>
          <w:szCs w:val="32"/>
          <w:u w:val="none"/>
        </w:rPr>
        <w:t>财政拨款</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Cs/>
          <w:color w:val="auto"/>
          <w:sz w:val="32"/>
          <w:szCs w:val="32"/>
          <w:u w:val="none"/>
        </w:rPr>
        <w:t>三公”经费支出决算情况说明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3</w:t>
      </w:r>
    </w:p>
    <w:p w14:paraId="488ABA33">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八、</w:t>
      </w:r>
      <w:r>
        <w:rPr>
          <w:rFonts w:hint="default" w:ascii="Times New Roman" w:hAnsi="Times New Roman" w:eastAsia="仿宋_GB2312" w:cs="Times New Roman"/>
          <w:bCs/>
          <w:color w:val="auto"/>
          <w:sz w:val="32"/>
          <w:szCs w:val="32"/>
          <w:u w:val="none"/>
        </w:rPr>
        <w:t>政府性基金预算支出决算情况说明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5</w:t>
      </w:r>
    </w:p>
    <w:p w14:paraId="07DE59BF">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九、</w:t>
      </w:r>
      <w:r>
        <w:rPr>
          <w:rFonts w:hint="default" w:ascii="Times New Roman" w:hAnsi="Times New Roman" w:eastAsia="仿宋_GB2312" w:cs="Times New Roman"/>
          <w:color w:val="auto"/>
          <w:sz w:val="32"/>
          <w:szCs w:val="32"/>
          <w:u w:val="none"/>
        </w:rPr>
        <w:t>国</w:t>
      </w:r>
      <w:r>
        <w:rPr>
          <w:rFonts w:hint="default" w:ascii="Times New Roman" w:hAnsi="Times New Roman" w:eastAsia="仿宋_GB2312" w:cs="Times New Roman"/>
          <w:bCs/>
          <w:color w:val="auto"/>
          <w:sz w:val="32"/>
          <w:szCs w:val="32"/>
          <w:u w:val="none"/>
        </w:rPr>
        <w:t>有资本经营预算支出决算情况说明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5</w:t>
      </w:r>
    </w:p>
    <w:p w14:paraId="70F82189">
      <w:pPr>
        <w:pStyle w:val="2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20" w:leftChars="200" w:firstLine="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bidi="ar-SA"/>
        </w:rPr>
        <w:t>十、</w:t>
      </w:r>
      <w:r>
        <w:rPr>
          <w:rFonts w:hint="default" w:ascii="Times New Roman" w:hAnsi="Times New Roman" w:eastAsia="仿宋_GB2312" w:cs="Times New Roman"/>
          <w:bCs/>
          <w:color w:val="auto"/>
          <w:sz w:val="32"/>
          <w:szCs w:val="32"/>
          <w:u w:val="none"/>
        </w:rPr>
        <w:t>其他重要事项的情况说明</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 w:val="0"/>
          <w:bCs w:val="0"/>
          <w:color w:val="000000"/>
          <w:kern w:val="0"/>
          <w:sz w:val="32"/>
          <w:szCs w:val="32"/>
          <w:lang w:val="en-US" w:eastAsia="zh-CN" w:bidi="ar-SA"/>
        </w:rPr>
        <w:t>1</w:t>
      </w:r>
      <w:r>
        <w:rPr>
          <w:rFonts w:hint="eastAsia" w:ascii="Times New Roman" w:hAnsi="Times New Roman" w:eastAsia="仿宋_GB2312" w:cs="Times New Roman"/>
          <w:b w:val="0"/>
          <w:bCs w:val="0"/>
          <w:color w:val="000000"/>
          <w:kern w:val="0"/>
          <w:sz w:val="32"/>
          <w:szCs w:val="32"/>
          <w:lang w:val="en-US" w:eastAsia="zh-CN" w:bidi="ar-SA"/>
        </w:rPr>
        <w:t>5</w:t>
      </w:r>
    </w:p>
    <w:p w14:paraId="4E6739F4">
      <w:pPr>
        <w:pStyle w:val="11"/>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kern w:val="44"/>
          <w:sz w:val="32"/>
          <w:szCs w:val="32"/>
          <w:u w:val="none"/>
        </w:rPr>
        <w:t>第三部分</w:t>
      </w:r>
      <w:r>
        <w:rPr>
          <w:rFonts w:hint="default" w:ascii="Times New Roman" w:hAnsi="Times New Roman" w:eastAsia="仿宋_GB2312" w:cs="Times New Roman"/>
          <w:color w:val="auto"/>
          <w:sz w:val="32"/>
          <w:szCs w:val="32"/>
          <w:u w:val="none"/>
        </w:rPr>
        <w:t xml:space="preserve"> 名</w:t>
      </w:r>
      <w:r>
        <w:rPr>
          <w:rFonts w:hint="default" w:ascii="Times New Roman" w:hAnsi="Times New Roman" w:eastAsia="仿宋_GB2312" w:cs="Times New Roman"/>
          <w:bCs/>
          <w:color w:val="auto"/>
          <w:kern w:val="44"/>
          <w:sz w:val="32"/>
          <w:szCs w:val="32"/>
          <w:u w:val="none"/>
        </w:rPr>
        <w:t>词解释</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18</w:t>
      </w:r>
    </w:p>
    <w:p w14:paraId="04A771DF">
      <w:pPr>
        <w:pStyle w:val="1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第</w:t>
      </w:r>
      <w:r>
        <w:rPr>
          <w:rFonts w:hint="default" w:ascii="Times New Roman" w:hAnsi="Times New Roman" w:eastAsia="仿宋_GB2312" w:cs="Times New Roman"/>
          <w:bCs/>
          <w:color w:val="auto"/>
          <w:kern w:val="44"/>
          <w:sz w:val="32"/>
          <w:szCs w:val="32"/>
          <w:u w:val="none"/>
        </w:rPr>
        <w:t>四部分 附件</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23</w:t>
      </w:r>
    </w:p>
    <w:p w14:paraId="62088608">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44"/>
          <w:sz w:val="32"/>
          <w:szCs w:val="32"/>
          <w:u w:val="none"/>
        </w:rPr>
        <w:t>附件1</w:t>
      </w:r>
      <w:r>
        <w:rPr>
          <w:rFonts w:hint="eastAsia" w:ascii="Times New Roman" w:hAnsi="Times New Roman" w:eastAsia="仿宋_GB2312" w:cs="Times New Roman"/>
          <w:color w:val="auto"/>
          <w:kern w:val="44"/>
          <w:sz w:val="32"/>
          <w:szCs w:val="32"/>
          <w:u w:val="none"/>
          <w:lang w:val="en-US" w:eastAsia="zh-CN"/>
        </w:rPr>
        <w:t>.区工商联2023年部门整体支出绩效评价报告</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23</w:t>
      </w:r>
    </w:p>
    <w:p w14:paraId="29F743C5">
      <w:pPr>
        <w:pStyle w:val="13"/>
        <w:ind w:left="1380" w:hanging="960" w:hangingChars="3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44"/>
          <w:sz w:val="32"/>
          <w:szCs w:val="32"/>
          <w:u w:val="none"/>
        </w:rPr>
        <w:t>附件</w:t>
      </w:r>
      <w:r>
        <w:rPr>
          <w:rFonts w:hint="default" w:ascii="Times New Roman" w:hAnsi="Times New Roman" w:eastAsia="仿宋_GB2312" w:cs="Times New Roman"/>
          <w:color w:val="auto"/>
          <w:kern w:val="44"/>
          <w:sz w:val="32"/>
          <w:szCs w:val="32"/>
          <w:u w:val="none"/>
          <w:lang w:val="en-US" w:eastAsia="zh-CN"/>
        </w:rPr>
        <w:t>2</w:t>
      </w:r>
      <w:r>
        <w:rPr>
          <w:rFonts w:hint="eastAsia" w:ascii="Times New Roman" w:hAnsi="Times New Roman" w:eastAsia="仿宋_GB2312" w:cs="Times New Roman"/>
          <w:color w:val="auto"/>
          <w:kern w:val="44"/>
          <w:sz w:val="32"/>
          <w:szCs w:val="32"/>
          <w:u w:val="none"/>
          <w:lang w:val="en-US" w:eastAsia="zh-CN"/>
        </w:rPr>
        <w:t>.</w:t>
      </w:r>
      <w:r>
        <w:rPr>
          <w:rFonts w:hint="default" w:ascii="Times New Roman" w:hAnsi="Times New Roman" w:eastAsia="仿宋_GB2312" w:cs="Times New Roman"/>
          <w:color w:val="auto"/>
          <w:kern w:val="44"/>
          <w:sz w:val="32"/>
          <w:szCs w:val="32"/>
          <w:u w:val="none"/>
          <w:lang w:eastAsia="zh-CN"/>
        </w:rPr>
        <w:t>区工商联参政议政考察调研经费项目支出绩效评价报告</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31</w:t>
      </w:r>
    </w:p>
    <w:p w14:paraId="2017EB98">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44"/>
          <w:sz w:val="32"/>
          <w:szCs w:val="32"/>
          <w:u w:val="none"/>
        </w:rPr>
        <w:t>附件</w:t>
      </w:r>
      <w:r>
        <w:rPr>
          <w:rFonts w:hint="default" w:ascii="Times New Roman" w:hAnsi="Times New Roman" w:eastAsia="仿宋_GB2312" w:cs="Times New Roman"/>
          <w:color w:val="auto"/>
          <w:kern w:val="44"/>
          <w:sz w:val="32"/>
          <w:szCs w:val="32"/>
          <w:u w:val="none"/>
          <w:lang w:val="en-US" w:eastAsia="zh-CN"/>
        </w:rPr>
        <w:t>3</w:t>
      </w:r>
      <w:r>
        <w:rPr>
          <w:rFonts w:hint="eastAsia" w:ascii="Times New Roman" w:hAnsi="Times New Roman" w:eastAsia="仿宋_GB2312" w:cs="Times New Roman"/>
          <w:color w:val="auto"/>
          <w:kern w:val="44"/>
          <w:sz w:val="32"/>
          <w:szCs w:val="32"/>
          <w:u w:val="none"/>
          <w:lang w:val="en-US" w:eastAsia="zh-CN"/>
        </w:rPr>
        <w:t>.</w:t>
      </w:r>
      <w:r>
        <w:rPr>
          <w:rFonts w:hint="default" w:ascii="Times New Roman" w:hAnsi="Times New Roman" w:eastAsia="仿宋_GB2312" w:cs="Times New Roman"/>
          <w:color w:val="auto"/>
          <w:kern w:val="44"/>
          <w:sz w:val="32"/>
          <w:szCs w:val="32"/>
          <w:u w:val="none"/>
          <w:lang w:eastAsia="zh-CN"/>
        </w:rPr>
        <w:t>区工商联临聘人员经费项目支出绩效评价报告</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39</w:t>
      </w:r>
    </w:p>
    <w:p w14:paraId="6C9B5849">
      <w:pPr>
        <w:pStyle w:val="1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第</w:t>
      </w:r>
      <w:r>
        <w:rPr>
          <w:rFonts w:hint="default" w:ascii="Times New Roman" w:hAnsi="Times New Roman" w:eastAsia="仿宋_GB2312" w:cs="Times New Roman"/>
          <w:bCs/>
          <w:color w:val="auto"/>
          <w:kern w:val="44"/>
          <w:sz w:val="32"/>
          <w:szCs w:val="32"/>
          <w:u w:val="none"/>
        </w:rPr>
        <w:t>五部分 附表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60E1088B">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auto"/>
          <w:sz w:val="32"/>
          <w:szCs w:val="32"/>
          <w:u w:val="none"/>
        </w:rPr>
        <w:t>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7ACC8BC0">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auto"/>
          <w:sz w:val="32"/>
          <w:szCs w:val="32"/>
          <w:u w:val="none"/>
        </w:rPr>
        <w:t>收入</w:t>
      </w:r>
      <w:r>
        <w:rPr>
          <w:rFonts w:hint="default" w:ascii="Times New Roman" w:hAnsi="Times New Roman" w:eastAsia="仿宋_GB2312" w:cs="Times New Roman"/>
          <w:color w:val="auto"/>
          <w:sz w:val="32"/>
          <w:szCs w:val="32"/>
          <w:u w:val="none"/>
          <w:lang w:eastAsia="zh-CN"/>
        </w:rPr>
        <w:t>决算</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5669DB79">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lang w:eastAsia="zh-CN"/>
        </w:rPr>
        <w:t>支出决算</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01134957">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color w:val="auto"/>
          <w:sz w:val="32"/>
          <w:szCs w:val="32"/>
          <w:u w:val="none"/>
        </w:rPr>
        <w:t>财政拨款收入支出决算总表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16FB14D5">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财政拨款支出决算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19E14219">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2B79ECF3">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w:t>
      </w:r>
      <w:r>
        <w:rPr>
          <w:rFonts w:hint="eastAsia" w:ascii="Times New Roman" w:hAnsi="Times New Roman" w:eastAsia="仿宋_GB2312" w:cs="Times New Roman"/>
          <w:color w:val="auto"/>
          <w:sz w:val="32"/>
          <w:szCs w:val="32"/>
          <w:u w:val="none"/>
          <w:lang w:val="en-US" w:eastAsia="zh-CN"/>
        </w:rPr>
        <w:t>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14E671FA">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一般公共预算财政拨款基本支出决算</w:t>
      </w:r>
      <w:r>
        <w:rPr>
          <w:rFonts w:hint="eastAsia" w:ascii="Times New Roman" w:hAnsi="Times New Roman" w:eastAsia="仿宋_GB2312" w:cs="Times New Roman"/>
          <w:color w:val="auto"/>
          <w:sz w:val="32"/>
          <w:szCs w:val="32"/>
          <w:u w:val="none"/>
          <w:lang w:val="en-US"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67BBFBE9">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w:t>
      </w:r>
      <w:r>
        <w:rPr>
          <w:rFonts w:hint="default" w:ascii="Times New Roman" w:hAnsi="Times New Roman" w:eastAsia="仿宋_GB2312" w:cs="Times New Roman"/>
          <w:color w:val="auto"/>
          <w:sz w:val="32"/>
          <w:szCs w:val="32"/>
          <w:u w:val="none"/>
          <w:lang w:eastAsia="zh-CN"/>
        </w:rPr>
        <w:t>项目</w:t>
      </w:r>
      <w:r>
        <w:rPr>
          <w:rFonts w:hint="default" w:ascii="Times New Roman" w:hAnsi="Times New Roman" w:eastAsia="仿宋_GB2312" w:cs="Times New Roman"/>
          <w:color w:val="auto"/>
          <w:sz w:val="32"/>
          <w:szCs w:val="32"/>
          <w:u w:val="none"/>
        </w:rPr>
        <w:t>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1D6D66BF">
      <w:pPr>
        <w:pStyle w:val="1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、政府性基金预算财政拨款收入支出决算表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4998963C">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、国有资本经营预算财政拨款收入支出决算表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784D7BDF">
      <w:pPr>
        <w:pStyle w:val="13"/>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、国有资本经营预算财政拨款支出决算表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7964E9A4">
      <w:pPr>
        <w:pStyle w:val="13"/>
        <w:rPr>
          <w:rFonts w:hint="default" w:ascii="Times New Roman" w:hAnsi="Times New Roman" w:eastAsia="仿宋_GB2312" w:cs="Times New Roman"/>
          <w:color w:val="auto"/>
          <w:sz w:val="32"/>
          <w:szCs w:val="32"/>
          <w:u w:val="none"/>
          <w:lang w:val="en-US" w:eastAsia="zh-CN"/>
        </w:rPr>
        <w:sectPr>
          <w:footerReference r:id="rId3" w:type="default"/>
          <w:footerReference r:id="rId4" w:type="even"/>
          <w:pgSz w:w="11906" w:h="16838"/>
          <w:pgMar w:top="1440" w:right="1800" w:bottom="1440" w:left="1800" w:header="851" w:footer="992" w:gutter="0"/>
          <w:pgNumType w:fmt="decimal"/>
          <w:cols w:space="720" w:num="1"/>
          <w:rtlGutter w:val="0"/>
          <w:docGrid w:type="lines" w:linePitch="312" w:charSpace="0"/>
        </w:sect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、财政拨款“三公”经费支出决算表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45</w:t>
      </w:r>
    </w:p>
    <w:p w14:paraId="615AE10D">
      <w:pPr>
        <w:pStyle w:val="5"/>
        <w:bidi w:val="0"/>
        <w:jc w:val="cente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pP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第一部分 部门概况</w:t>
      </w:r>
    </w:p>
    <w:p w14:paraId="3C064EB6">
      <w:pPr>
        <w:snapToGrid w:val="0"/>
        <w:spacing w:line="52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一、部门</w:t>
      </w:r>
      <w:r>
        <w:rPr>
          <w:rFonts w:hint="eastAsia" w:ascii="黑体" w:hAnsi="黑体" w:eastAsia="黑体"/>
          <w:sz w:val="32"/>
          <w:szCs w:val="32"/>
          <w:lang w:val="en-US" w:eastAsia="zh-CN"/>
        </w:rPr>
        <w:t>概况</w:t>
      </w:r>
    </w:p>
    <w:p w14:paraId="39CD85A3">
      <w:pPr>
        <w:snapToGrid w:val="0"/>
        <w:spacing w:line="520" w:lineRule="exact"/>
        <w:ind w:firstLine="640" w:firstLineChars="200"/>
        <w:rPr>
          <w:rFonts w:hint="default" w:ascii="楷体_GB2312" w:hAnsi="仿宋" w:eastAsia="楷体_GB2312"/>
          <w:b w:val="0"/>
          <w:bCs/>
          <w:color w:val="auto"/>
          <w:sz w:val="32"/>
          <w:szCs w:val="32"/>
          <w:lang w:val="en-US" w:eastAsia="zh-CN"/>
        </w:rPr>
      </w:pPr>
      <w:r>
        <w:rPr>
          <w:rFonts w:hint="eastAsia" w:ascii="楷体_GB2312" w:hAnsi="仿宋" w:eastAsia="楷体_GB2312"/>
          <w:b w:val="0"/>
          <w:bCs/>
          <w:color w:val="auto"/>
          <w:sz w:val="32"/>
          <w:szCs w:val="32"/>
        </w:rPr>
        <w:t>（一）基本</w:t>
      </w:r>
      <w:r>
        <w:rPr>
          <w:rFonts w:hint="eastAsia" w:ascii="楷体_GB2312" w:hAnsi="仿宋" w:eastAsia="楷体_GB2312"/>
          <w:b w:val="0"/>
          <w:bCs/>
          <w:color w:val="auto"/>
          <w:sz w:val="32"/>
          <w:szCs w:val="32"/>
          <w:lang w:val="en-US" w:eastAsia="zh-CN"/>
        </w:rPr>
        <w:t>职能及机构设置</w:t>
      </w:r>
    </w:p>
    <w:p w14:paraId="63BD57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主要职能。</w:t>
      </w:r>
      <w:r>
        <w:rPr>
          <w:rFonts w:hint="default" w:ascii="Times New Roman" w:hAnsi="Times New Roman" w:eastAsia="仿宋_GB2312" w:cs="Times New Roman"/>
          <w:color w:val="auto"/>
          <w:sz w:val="32"/>
          <w:szCs w:val="32"/>
          <w:lang w:eastAsia="zh-CN"/>
        </w:rPr>
        <w:t>参与大政方针及政治、经济、社会生活中的重要问题的政治协商，参政议政，民主监督；引导会员积极参加国家经济建设，推动社会主义市场经济体制逐步完善，促进社会全面进步；</w:t>
      </w:r>
      <w:bookmarkStart w:id="22" w:name="_GoBack"/>
      <w:bookmarkEnd w:id="22"/>
      <w:r>
        <w:rPr>
          <w:rFonts w:hint="eastAsia" w:ascii="Times New Roman" w:hAnsi="Times New Roman" w:eastAsia="仿宋_GB2312" w:cs="Times New Roman"/>
          <w:color w:val="auto"/>
          <w:sz w:val="32"/>
          <w:szCs w:val="32"/>
          <w:lang w:eastAsia="zh-CN"/>
        </w:rPr>
        <w:t>做好工商界代表</w:t>
      </w:r>
      <w:r>
        <w:rPr>
          <w:rFonts w:hint="default" w:ascii="Times New Roman" w:hAnsi="Times New Roman" w:eastAsia="仿宋_GB2312" w:cs="Times New Roman"/>
          <w:color w:val="auto"/>
          <w:sz w:val="32"/>
          <w:szCs w:val="32"/>
          <w:lang w:eastAsia="zh-CN"/>
        </w:rPr>
        <w:t>人士政治安排的推荐工作；在非公有制经济人士中，宣传、贯彻党和国家的方针政策，加强思想政治工作，推动企业文化建设，引导会员做中国特色社会主义事业的建设者；代表并维护会员的合法权益，反映会员的意见、要求和建议；引导会员积极参与“光彩事业”；为会员提供信息和科技、管理、法律、会计、审计、融资、咨询等服务；开展工商专业培训，帮助会员改进经营管理，完善财会管理，提高生产技术和产品质量；组织会员举办和参加各种对内对外展销会、交易会，组织会员出国、出境考察访问，帮助会员开拓国内、国际市场；增进与香港特别行政区、澳门特别行政区及台湾地区和世界各国工商社团及工商经济界人士的联系和友谊，促进经济、技术和贸易合作；办好</w:t>
      </w:r>
      <w:r>
        <w:rPr>
          <w:rFonts w:hint="default" w:ascii="Times New Roman" w:hAnsi="Times New Roman" w:eastAsia="仿宋_GB2312" w:cs="Times New Roman"/>
          <w:color w:val="auto"/>
          <w:sz w:val="32"/>
          <w:szCs w:val="32"/>
          <w:lang w:val="en-US" w:eastAsia="zh-CN"/>
        </w:rPr>
        <w:t>会员</w:t>
      </w:r>
      <w:r>
        <w:rPr>
          <w:rFonts w:hint="default" w:ascii="Times New Roman" w:hAnsi="Times New Roman" w:eastAsia="仿宋_GB2312" w:cs="Times New Roman"/>
          <w:color w:val="auto"/>
          <w:sz w:val="32"/>
          <w:szCs w:val="32"/>
          <w:lang w:eastAsia="zh-CN"/>
        </w:rPr>
        <w:t>企业、事业；承办政府和有关部门的委托事项。</w:t>
      </w:r>
    </w:p>
    <w:p w14:paraId="45617EB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机构情况。</w:t>
      </w:r>
      <w:r>
        <w:rPr>
          <w:rFonts w:hint="default" w:ascii="Times New Roman" w:hAnsi="Times New Roman" w:eastAsia="仿宋_GB2312" w:cs="Times New Roman"/>
          <w:color w:val="auto"/>
          <w:sz w:val="32"/>
          <w:szCs w:val="32"/>
          <w:lang w:eastAsia="zh-CN"/>
        </w:rPr>
        <w:t>安居区工商联属行政机关，</w:t>
      </w:r>
      <w:r>
        <w:rPr>
          <w:rFonts w:hint="default" w:ascii="Times New Roman" w:hAnsi="Times New Roman" w:eastAsia="仿宋_GB2312" w:cs="Times New Roman"/>
          <w:color w:val="auto"/>
          <w:sz w:val="32"/>
          <w:szCs w:val="32"/>
          <w:lang w:val="en-US" w:eastAsia="zh-CN"/>
        </w:rPr>
        <w:t>内设办公</w:t>
      </w:r>
      <w:r>
        <w:rPr>
          <w:rFonts w:hint="eastAsia" w:ascii="Times New Roman" w:hAnsi="Times New Roman" w:eastAsia="仿宋_GB2312" w:cs="Times New Roman"/>
          <w:color w:val="auto"/>
          <w:sz w:val="32"/>
          <w:szCs w:val="32"/>
          <w:lang w:val="en-US" w:eastAsia="zh-CN"/>
        </w:rPr>
        <w:t>室</w:t>
      </w:r>
      <w:r>
        <w:rPr>
          <w:rFonts w:hint="default" w:ascii="Times New Roman" w:hAnsi="Times New Roman" w:eastAsia="仿宋_GB2312" w:cs="Times New Roman"/>
          <w:color w:val="auto"/>
          <w:sz w:val="32"/>
          <w:szCs w:val="32"/>
          <w:lang w:val="en-US" w:eastAsia="zh-CN"/>
        </w:rPr>
        <w:t>及经济股；</w:t>
      </w:r>
      <w:r>
        <w:rPr>
          <w:rFonts w:hint="default" w:ascii="Times New Roman" w:hAnsi="Times New Roman" w:eastAsia="仿宋_GB2312" w:cs="Times New Roman"/>
          <w:color w:val="auto"/>
          <w:sz w:val="32"/>
          <w:szCs w:val="32"/>
          <w:lang w:eastAsia="zh-CN"/>
        </w:rPr>
        <w:t>下属二级决算单位</w:t>
      </w:r>
      <w:r>
        <w:rPr>
          <w:rFonts w:hint="default" w:ascii="Times New Roman" w:hAnsi="Times New Roman" w:eastAsia="仿宋_GB2312" w:cs="Times New Roman"/>
          <w:color w:val="auto"/>
          <w:sz w:val="32"/>
          <w:szCs w:val="32"/>
          <w:lang w:val="en-US" w:eastAsia="zh-CN"/>
        </w:rPr>
        <w:t>0个，其中行政单位0个，参照公务员法管理的事业单位0个，其他事业单位0个。</w:t>
      </w:r>
    </w:p>
    <w:p w14:paraId="5CB59D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人员情况。</w:t>
      </w:r>
      <w:r>
        <w:rPr>
          <w:rFonts w:hint="default" w:ascii="Times New Roman" w:hAnsi="Times New Roman" w:eastAsia="仿宋_GB2312" w:cs="Times New Roman"/>
          <w:color w:val="auto"/>
          <w:sz w:val="32"/>
          <w:szCs w:val="32"/>
          <w:lang w:eastAsia="zh-CN"/>
        </w:rPr>
        <w:t>安居区工商联核定行政编制</w:t>
      </w:r>
      <w:r>
        <w:rPr>
          <w:rFonts w:hint="default" w:ascii="Times New Roman" w:hAnsi="Times New Roman" w:eastAsia="仿宋_GB2312" w:cs="Times New Roman"/>
          <w:color w:val="auto"/>
          <w:sz w:val="32"/>
          <w:szCs w:val="32"/>
          <w:lang w:val="en-US" w:eastAsia="zh-CN"/>
        </w:rPr>
        <w:t>4名、工勤编制1名；实有在编在岗行政编制4名，机关工勤1名，退休干部1名。2016年度因退休人员退休费纳入社保统一发放，人员不再纳入单位决算统计，2023年度决算人数5人，行政人员4名，机关工勤1名。</w:t>
      </w:r>
    </w:p>
    <w:p w14:paraId="397CA87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楷体_GB2312" w:hAnsi="仿宋" w:eastAsia="楷体_GB2312"/>
          <w:b w:val="0"/>
          <w:bCs/>
          <w:color w:val="auto"/>
          <w:sz w:val="32"/>
          <w:szCs w:val="32"/>
          <w:lang w:val="en-US" w:eastAsia="zh-CN"/>
        </w:rPr>
      </w:pPr>
      <w:r>
        <w:rPr>
          <w:rFonts w:hint="eastAsia" w:ascii="楷体_GB2312" w:hAnsi="仿宋" w:eastAsia="楷体_GB2312"/>
          <w:b w:val="0"/>
          <w:bCs/>
          <w:color w:val="auto"/>
          <w:sz w:val="32"/>
          <w:szCs w:val="32"/>
          <w:lang w:val="en-US" w:eastAsia="zh-CN"/>
        </w:rPr>
        <w:t>（二）2023年重点工作完成情况</w:t>
      </w:r>
    </w:p>
    <w:p w14:paraId="638E4F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5" w:name="_Toc15396602"/>
      <w:bookmarkStart w:id="6" w:name="_Toc15377204"/>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提高政治意识，强化党的引领。</w:t>
      </w:r>
      <w:r>
        <w:rPr>
          <w:rFonts w:hint="default" w:ascii="Times New Roman" w:hAnsi="Times New Roman" w:eastAsia="仿宋_GB2312" w:cs="Times New Roman"/>
          <w:sz w:val="32"/>
          <w:szCs w:val="32"/>
          <w:lang w:val="en-US" w:eastAsia="zh-CN"/>
        </w:rPr>
        <w:t>坚持加强民营经济人士的思想教育工作。通过开展专题教育、红色主题活动、日常交流引导等方式，教育引导广大民营经济人士坚持用习近平新时代中国特色社会主义思想武装头脑、锤炼思想，自觉在政治立场、政治方向、政治原则、政治道路上同党中央保持高度一致，持续增强在党领导下走中国特色社会主义道路的坚定信念。不断引导和督促广大民营经济人士树牢“四个意识”，坚定“四个自信”，坚决做“两个确立”的忠诚拥护者和“两个维护”的坚定践行者。组织开展民营经济人士理想信念集中教育活动3次。协助非公经济综合党委新发展党员8名。</w:t>
      </w:r>
    </w:p>
    <w:p w14:paraId="7C9BF9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提高核心意识，围绕中心工作。</w:t>
      </w:r>
      <w:r>
        <w:rPr>
          <w:rFonts w:hint="default" w:ascii="Times New Roman" w:hAnsi="Times New Roman" w:eastAsia="仿宋_GB2312" w:cs="Times New Roman"/>
          <w:color w:val="auto"/>
          <w:kern w:val="2"/>
          <w:sz w:val="32"/>
          <w:szCs w:val="32"/>
          <w:lang w:val="en-US" w:eastAsia="zh-CN" w:bidi="ar-SA"/>
        </w:rPr>
        <w:t>区工商联始终紧紧围绕区委中心，</w:t>
      </w:r>
      <w:r>
        <w:rPr>
          <w:rFonts w:hint="eastAsia" w:ascii="Times New Roman" w:hAnsi="Times New Roman" w:eastAsia="仿宋_GB2312" w:cs="Times New Roman"/>
          <w:color w:val="auto"/>
          <w:kern w:val="2"/>
          <w:sz w:val="32"/>
          <w:szCs w:val="32"/>
          <w:lang w:val="en-US" w:eastAsia="zh-CN" w:bidi="ar-SA"/>
        </w:rPr>
        <w:t>紧盯区政府工作</w:t>
      </w:r>
      <w:r>
        <w:rPr>
          <w:rFonts w:hint="default" w:ascii="Times New Roman" w:hAnsi="Times New Roman" w:eastAsia="仿宋_GB2312" w:cs="Times New Roman"/>
          <w:color w:val="auto"/>
          <w:kern w:val="2"/>
          <w:sz w:val="32"/>
          <w:szCs w:val="32"/>
          <w:lang w:val="en-US" w:eastAsia="zh-CN" w:bidi="ar-SA"/>
        </w:rPr>
        <w:t>重心，主动作为、靠前作为，以出题有应交卷有答的务实工作作风，确保各项工作顺利推进。</w:t>
      </w:r>
    </w:p>
    <w:p w14:paraId="33878C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充分发挥桥梁纽带作用。</w:t>
      </w:r>
      <w:r>
        <w:rPr>
          <w:rFonts w:hint="default" w:ascii="Times New Roman" w:hAnsi="Times New Roman" w:eastAsia="仿宋_GB2312" w:cs="Times New Roman"/>
          <w:color w:val="auto"/>
          <w:kern w:val="2"/>
          <w:sz w:val="32"/>
          <w:szCs w:val="32"/>
          <w:lang w:val="en-US" w:eastAsia="zh-CN" w:bidi="ar-SA"/>
        </w:rPr>
        <w:t>区工商联充分发挥联系商会、企业的桥梁纽带作用，积极参与区委对外中心工作和各项活动。牵头组织和深度参与了安居区“双招双引”暨战略合作协议签约大会成都专场与长三角专场、“三招三引”深圳专场，以及安居区在豫成功人士暨遂商代表座谈会，不断凝聚和团结在外安居成功人士的精神与力量，展现担当作为。组织工商银行安居支行与会员企业开展银政企面对面交流活动1次。新推荐1名年轻企业家进入市青商会。</w:t>
      </w:r>
    </w:p>
    <w:p w14:paraId="5CE06D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全力落实异地商会建设。</w:t>
      </w:r>
      <w:r>
        <w:rPr>
          <w:rFonts w:hint="default" w:ascii="Times New Roman" w:hAnsi="Times New Roman" w:eastAsia="仿宋_GB2312" w:cs="Times New Roman"/>
          <w:color w:val="auto"/>
          <w:kern w:val="2"/>
          <w:sz w:val="32"/>
          <w:szCs w:val="32"/>
          <w:lang w:val="en-US" w:eastAsia="zh-CN" w:bidi="ar-SA"/>
        </w:rPr>
        <w:t>组织召开四川天府新区安居商会筹备会议2次，成立大会1次，顺利建成安居区第一个异地商会四川天府新区安居商会。组织召开西藏四川安居商会（报审名称）筹备会议2次，目前已进入建会报审程序，力争春节前完成审批工作，明年一季度召开成立大会。组织召开北京安居商会碰头会一次。</w:t>
      </w:r>
    </w:p>
    <w:p w14:paraId="4F7751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积极助力推动乡村振兴。</w:t>
      </w:r>
      <w:r>
        <w:rPr>
          <w:rFonts w:hint="default" w:ascii="Times New Roman" w:hAnsi="Times New Roman" w:eastAsia="仿宋_GB2312" w:cs="Times New Roman"/>
          <w:color w:val="auto"/>
          <w:kern w:val="2"/>
          <w:sz w:val="32"/>
          <w:szCs w:val="32"/>
          <w:lang w:val="en-US" w:eastAsia="zh-CN" w:bidi="ar-SA"/>
        </w:rPr>
        <w:t>区工商联大力推进“万企兴万村”行动，承办了全市“万企兴万村”工作现场会，海龙村创建2023年全省“万企兴万村”示范实践基地通过了省工商联实地复核考察，海龙村、三门村、朝天村等成功建成“万企兴万村”市级示范实践村。今年10月和3月，省工商联唐燕主席和孙宁副主席分别带队莅临安居区开展了“万企兴万村”助力乡村振兴实地调研。</w:t>
      </w:r>
    </w:p>
    <w:p w14:paraId="1A34BB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持续用力开展招商引资。</w:t>
      </w:r>
      <w:r>
        <w:rPr>
          <w:rFonts w:hint="default" w:ascii="Times New Roman" w:hAnsi="Times New Roman" w:eastAsia="仿宋_GB2312" w:cs="Times New Roman"/>
          <w:color w:val="auto"/>
          <w:kern w:val="2"/>
          <w:sz w:val="32"/>
          <w:szCs w:val="32"/>
          <w:lang w:val="en-US" w:eastAsia="zh-CN" w:bidi="ar-SA"/>
        </w:rPr>
        <w:t>区工商联不断</w:t>
      </w:r>
      <w:r>
        <w:rPr>
          <w:rFonts w:hint="default" w:ascii="Times New Roman" w:hAnsi="Times New Roman" w:eastAsia="仿宋_GB2312" w:cs="Times New Roman"/>
          <w:color w:val="auto"/>
          <w:kern w:val="2"/>
          <w:sz w:val="32"/>
          <w:szCs w:val="32"/>
          <w:lang w:eastAsia="zh-CN" w:bidi="ar-SA"/>
        </w:rPr>
        <w:t>紧密</w:t>
      </w:r>
      <w:r>
        <w:rPr>
          <w:rFonts w:hint="default" w:ascii="Times New Roman" w:hAnsi="Times New Roman" w:eastAsia="仿宋_GB2312" w:cs="Times New Roman"/>
          <w:color w:val="auto"/>
          <w:kern w:val="2"/>
          <w:sz w:val="32"/>
          <w:szCs w:val="32"/>
          <w:lang w:val="en-US" w:eastAsia="zh-CN" w:bidi="ar-SA"/>
        </w:rPr>
        <w:t>与遂宁市各异地商会和相关企业联系，组织北京遂宁商会、广东遂宁商会、成都遂宁商会</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四川天府新区安居商会和知本大健康集团以及四川志涯电器有限公司等商会与企业，组团或单独来安开展投资考察活动7批次。</w:t>
      </w:r>
    </w:p>
    <w:p w14:paraId="5C97ED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大力推进民企百强创建。</w:t>
      </w:r>
      <w:r>
        <w:rPr>
          <w:rFonts w:hint="default" w:ascii="Times New Roman" w:hAnsi="Times New Roman" w:eastAsia="仿宋_GB2312" w:cs="Times New Roman"/>
          <w:color w:val="auto"/>
          <w:kern w:val="2"/>
          <w:sz w:val="32"/>
          <w:szCs w:val="32"/>
          <w:lang w:val="en-US" w:eastAsia="zh-CN" w:bidi="ar-SA"/>
        </w:rPr>
        <w:t>区工商联积极加强与省联、市联沟通联系，及时了解掌握四川裕能上市进程。在全省民营企业100强申报工作启动后，第一时间组织四川裕能开展资料整理和报送工作。11月7日，四川裕能以第15名的成绩顺利入围四川省2023年民营企业100强榜单，安居成功实现全省民营企业100强零的突破。</w:t>
      </w:r>
    </w:p>
    <w:p w14:paraId="782042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（6）</w:t>
      </w:r>
      <w:r>
        <w:rPr>
          <w:rFonts w:hint="default" w:ascii="Times New Roman" w:hAnsi="Times New Roman" w:eastAsia="仿宋_GB2312" w:cs="Times New Roman"/>
          <w:b w:val="0"/>
          <w:bCs w:val="0"/>
          <w:color w:val="auto"/>
          <w:kern w:val="2"/>
          <w:sz w:val="32"/>
          <w:szCs w:val="32"/>
          <w:lang w:val="en-US" w:eastAsia="zh-CN" w:bidi="ar-SA"/>
        </w:rPr>
        <w:t>全面完善基础信息数据。</w:t>
      </w:r>
      <w:r>
        <w:rPr>
          <w:rFonts w:hint="default" w:ascii="Times New Roman" w:hAnsi="Times New Roman" w:eastAsia="仿宋_GB2312" w:cs="Times New Roman"/>
          <w:color w:val="auto"/>
          <w:kern w:val="2"/>
          <w:sz w:val="32"/>
          <w:szCs w:val="32"/>
          <w:lang w:val="en-US" w:eastAsia="zh-CN" w:bidi="ar-SA"/>
        </w:rPr>
        <w:t>区工商联全面发挥全国工商联会员信息系统的作用，一方面对原有会员信息进行核实清理，对原始纸质会员信息甄别整理；另一方面对我区非会员民营企业加强联系，加大新会员发展力度，积极加强与非会员民营企业家沟通联系，大力加强会员发展力度和服务工作。截止11月底，全区会员总</w:t>
      </w:r>
      <w:r>
        <w:rPr>
          <w:rFonts w:hint="default" w:ascii="Times New Roman" w:hAnsi="Times New Roman" w:eastAsia="仿宋_GB2312" w:cs="Times New Roman"/>
          <w:color w:val="auto"/>
          <w:kern w:val="2"/>
          <w:sz w:val="32"/>
          <w:szCs w:val="32"/>
          <w:highlight w:val="none"/>
          <w:lang w:val="en-US" w:eastAsia="zh-CN" w:bidi="ar-SA"/>
        </w:rPr>
        <w:t>数达到456个，</w:t>
      </w:r>
      <w:r>
        <w:rPr>
          <w:rFonts w:hint="default" w:ascii="Times New Roman" w:hAnsi="Times New Roman" w:eastAsia="仿宋_GB2312" w:cs="Times New Roman"/>
          <w:color w:val="auto"/>
          <w:kern w:val="2"/>
          <w:sz w:val="32"/>
          <w:szCs w:val="32"/>
          <w:highlight w:val="none"/>
          <w:lang w:eastAsia="zh-CN" w:bidi="ar-SA"/>
        </w:rPr>
        <w:t>超额</w:t>
      </w:r>
      <w:r>
        <w:rPr>
          <w:rFonts w:hint="default" w:ascii="Times New Roman" w:hAnsi="Times New Roman" w:eastAsia="仿宋_GB2312" w:cs="Times New Roman"/>
          <w:color w:val="auto"/>
          <w:kern w:val="2"/>
          <w:sz w:val="32"/>
          <w:szCs w:val="32"/>
          <w:lang w:val="en-US" w:eastAsia="zh-CN" w:bidi="ar-SA"/>
        </w:rPr>
        <w:t>完成上级下达的目标任务。</w:t>
      </w:r>
    </w:p>
    <w:p w14:paraId="251EE4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720" w:num="1"/>
          <w:rtlGutter w:val="0"/>
          <w:docGrid w:type="lines" w:linePitch="312" w:charSpace="0"/>
        </w:sect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提高责任意识，弘扬光彩精神。</w:t>
      </w:r>
      <w:r>
        <w:rPr>
          <w:rFonts w:hint="default" w:ascii="Times New Roman" w:hAnsi="Times New Roman" w:eastAsia="仿宋_GB2312" w:cs="Times New Roman"/>
          <w:sz w:val="32"/>
          <w:szCs w:val="32"/>
          <w:lang w:val="en-US" w:eastAsia="zh-CN"/>
        </w:rPr>
        <w:t>区工商联始终坚持贯彻落实习近平总书记“推动广大非公有制经济人士做合格的中国特色社会主义事业建设者,积极践行社会主义核心价值观”的要求，引导民营经济人士争做“四个典范”（爱国敬业、守法经营、创业创新、回报社会），进一步弘扬“致富思源，富而思进”的光彩精神，积极担负社会责任，体现社会担当。组织四川天府新区安居商会、安居区返乡创业协会、安居区酒店餐饮商会、金旺食品进出口公司等商协会和会员企业，通过开展安居特校儿童关爱活动、全区未成年人关爱行动、困难家庭儿童关爱活动等，捐款捐物100余万元</w:t>
      </w:r>
      <w:r>
        <w:rPr>
          <w:rFonts w:hint="eastAsia" w:ascii="Times New Roman" w:hAnsi="Times New Roman" w:eastAsia="仿宋_GB2312" w:cs="Times New Roman"/>
          <w:sz w:val="32"/>
          <w:szCs w:val="32"/>
          <w:lang w:val="en-US" w:eastAsia="zh-CN"/>
        </w:rPr>
        <w:t>。</w:t>
      </w:r>
    </w:p>
    <w:p w14:paraId="579B5410">
      <w:pPr>
        <w:pStyle w:val="5"/>
        <w:bidi w:val="0"/>
        <w:jc w:val="cente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pP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第二部分 2023年度部门决算情况说明</w:t>
      </w:r>
      <w:bookmarkEnd w:id="5"/>
      <w:bookmarkEnd w:id="6"/>
    </w:p>
    <w:p w14:paraId="671A9E2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bookmarkStart w:id="7" w:name="_Toc15377205"/>
      <w:bookmarkStart w:id="8" w:name="_Toc15396603"/>
      <w:r>
        <w:rPr>
          <w:rFonts w:hint="eastAsia" w:ascii="黑体" w:hAnsi="黑体" w:eastAsia="黑体" w:cs="黑体"/>
          <w:sz w:val="32"/>
          <w:szCs w:val="32"/>
          <w:lang w:val="en-US" w:eastAsia="zh-CN"/>
        </w:rPr>
        <w:t>一、收入支出决算总体情况说明</w:t>
      </w:r>
      <w:bookmarkEnd w:id="7"/>
      <w:bookmarkEnd w:id="8"/>
    </w:p>
    <w:p w14:paraId="5CA975B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2022年度财政拨款收入支出总计122.15万元；2023年度财政拨款收入支出总计152.2万元。与2022年相比，财政拨款收、支总计增加30.05万元，上升24.6%。主要原因是项目增加及单位人员增加导致。</w:t>
      </w:r>
    </w:p>
    <w:p w14:paraId="46B420A6">
      <w:pPr>
        <w:spacing w:line="600" w:lineRule="exac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anchor distT="0" distB="0" distL="114300" distR="114300" simplePos="0" relativeHeight="251659264" behindDoc="0" locked="0" layoutInCell="1" allowOverlap="1">
            <wp:simplePos x="0" y="0"/>
            <wp:positionH relativeFrom="column">
              <wp:posOffset>106045</wp:posOffset>
            </wp:positionH>
            <wp:positionV relativeFrom="page">
              <wp:posOffset>3768725</wp:posOffset>
            </wp:positionV>
            <wp:extent cx="5080000" cy="3352165"/>
            <wp:effectExtent l="4445" t="4445" r="20955" b="1524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16FFD12">
      <w:pPr>
        <w:spacing w:line="600" w:lineRule="exact"/>
        <w:rPr>
          <w:rFonts w:hint="eastAsia" w:ascii="仿宋_GB2312" w:eastAsia="仿宋_GB2312"/>
          <w:color w:val="000000"/>
          <w:sz w:val="32"/>
          <w:szCs w:val="32"/>
          <w:lang w:eastAsia="zh-CN"/>
        </w:rPr>
      </w:pPr>
    </w:p>
    <w:p w14:paraId="660F9C4A">
      <w:pPr>
        <w:spacing w:line="600" w:lineRule="exact"/>
        <w:rPr>
          <w:rFonts w:hint="eastAsia" w:ascii="仿宋_GB2312" w:eastAsia="仿宋_GB2312"/>
          <w:color w:val="000000"/>
          <w:sz w:val="32"/>
          <w:szCs w:val="32"/>
          <w:lang w:eastAsia="zh-CN"/>
        </w:rPr>
      </w:pPr>
    </w:p>
    <w:p w14:paraId="42C2BFA4">
      <w:pPr>
        <w:spacing w:line="600" w:lineRule="exact"/>
        <w:rPr>
          <w:rFonts w:hint="eastAsia" w:ascii="仿宋_GB2312" w:eastAsia="仿宋_GB2312"/>
          <w:color w:val="000000"/>
          <w:sz w:val="32"/>
          <w:szCs w:val="32"/>
          <w:lang w:eastAsia="zh-CN"/>
        </w:rPr>
      </w:pPr>
    </w:p>
    <w:p w14:paraId="44904AB7">
      <w:pPr>
        <w:spacing w:line="600" w:lineRule="exact"/>
        <w:rPr>
          <w:rFonts w:hint="eastAsia" w:ascii="仿宋_GB2312" w:eastAsia="仿宋_GB2312"/>
          <w:color w:val="000000"/>
          <w:sz w:val="32"/>
          <w:szCs w:val="32"/>
          <w:lang w:eastAsia="zh-CN"/>
        </w:rPr>
      </w:pPr>
    </w:p>
    <w:p w14:paraId="7F5B96B4">
      <w:pPr>
        <w:spacing w:line="600" w:lineRule="exact"/>
        <w:ind w:firstLine="640"/>
        <w:rPr>
          <w:rFonts w:hint="eastAsia" w:ascii="仿宋_GB2312" w:eastAsia="仿宋_GB2312"/>
          <w:color w:val="000000"/>
          <w:sz w:val="32"/>
          <w:szCs w:val="32"/>
          <w:lang w:eastAsia="zh-CN"/>
        </w:rPr>
      </w:pPr>
    </w:p>
    <w:p w14:paraId="5F103D31">
      <w:pPr>
        <w:spacing w:line="600" w:lineRule="exact"/>
        <w:ind w:firstLine="640"/>
        <w:rPr>
          <w:rFonts w:hint="eastAsia" w:ascii="仿宋_GB2312" w:eastAsia="仿宋_GB2312"/>
          <w:color w:val="000000"/>
          <w:sz w:val="32"/>
          <w:szCs w:val="32"/>
          <w:lang w:eastAsia="zh-CN"/>
        </w:rPr>
      </w:pPr>
    </w:p>
    <w:p w14:paraId="3F8144D8">
      <w:pPr>
        <w:pStyle w:val="12"/>
        <w:rPr>
          <w:rFonts w:hint="eastAsia" w:ascii="仿宋_GB2312" w:eastAsia="仿宋_GB2312"/>
          <w:color w:val="000000"/>
          <w:sz w:val="32"/>
          <w:szCs w:val="32"/>
          <w:lang w:eastAsia="zh-CN"/>
        </w:rPr>
      </w:pPr>
    </w:p>
    <w:p w14:paraId="6A280645">
      <w:pPr>
        <w:rPr>
          <w:rFonts w:hint="eastAsia"/>
          <w:lang w:eastAsia="zh-CN"/>
        </w:rPr>
      </w:pPr>
    </w:p>
    <w:p w14:paraId="1F872EF5">
      <w:pPr>
        <w:pStyle w:val="12"/>
        <w:rPr>
          <w:rFonts w:hint="eastAsia"/>
          <w:lang w:eastAsia="zh-CN"/>
        </w:rPr>
      </w:pPr>
    </w:p>
    <w:p w14:paraId="5A4478E5">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eastAsia="仿宋_GB2312"/>
          <w:b w:val="0"/>
          <w:bCs/>
          <w:color w:val="000000"/>
          <w:sz w:val="32"/>
          <w:szCs w:val="32"/>
          <w:lang w:eastAsia="zh-CN"/>
        </w:rPr>
      </w:pPr>
      <w:r>
        <w:rPr>
          <w:rStyle w:val="23"/>
          <w:rFonts w:hint="eastAsia" w:ascii="黑体" w:hAnsi="黑体" w:eastAsia="黑体"/>
          <w:b w:val="0"/>
          <w:bCs/>
          <w:lang w:eastAsia="zh-CN"/>
        </w:rPr>
        <w:t>二、</w:t>
      </w:r>
      <w:r>
        <w:rPr>
          <w:rStyle w:val="23"/>
          <w:rFonts w:hint="eastAsia" w:ascii="黑体" w:hAnsi="黑体" w:eastAsia="黑体"/>
          <w:b w:val="0"/>
          <w:bCs/>
          <w:lang w:val="en-US" w:eastAsia="zh-CN"/>
        </w:rPr>
        <w:t>收入决算</w:t>
      </w:r>
      <w:r>
        <w:rPr>
          <w:rStyle w:val="23"/>
          <w:rFonts w:hint="eastAsia" w:ascii="黑体" w:hAnsi="黑体" w:eastAsia="黑体"/>
          <w:b w:val="0"/>
          <w:bCs/>
        </w:rPr>
        <w:t>情况说明</w:t>
      </w:r>
    </w:p>
    <w:p w14:paraId="7AFFBC98">
      <w:pPr>
        <w:snapToGrid/>
        <w:spacing w:line="560" w:lineRule="exact"/>
        <w:ind w:firstLine="640" w:firstLineChars="200"/>
        <w:jc w:val="both"/>
        <w:rPr>
          <w:rFonts w:hint="eastAsia" w:ascii="仿宋_GB2312" w:eastAsia="仿宋_GB2312"/>
          <w:color w:val="000000"/>
          <w:sz w:val="32"/>
          <w:szCs w:val="32"/>
        </w:rPr>
      </w:pPr>
      <w:r>
        <w:rPr>
          <w:rFonts w:hint="default" w:ascii="Times New Roman" w:hAnsi="Times New Roman" w:eastAsia="仿宋_GB2312" w:cs="Times New Roman"/>
          <w:color w:val="000000"/>
          <w:sz w:val="32"/>
          <w:szCs w:val="32"/>
          <w:lang w:eastAsia="zh-CN"/>
        </w:rPr>
        <w:t>2023年区工商联</w:t>
      </w:r>
      <w:r>
        <w:rPr>
          <w:rFonts w:hint="default" w:ascii="Times New Roman" w:hAnsi="Times New Roman" w:eastAsia="仿宋_GB2312" w:cs="Times New Roman"/>
          <w:color w:val="000000"/>
          <w:sz w:val="32"/>
          <w:szCs w:val="32"/>
        </w:rPr>
        <w:t>本年收入合计</w:t>
      </w:r>
      <w:r>
        <w:rPr>
          <w:rFonts w:hint="default" w:ascii="Times New Roman" w:hAnsi="Times New Roman" w:eastAsia="仿宋_GB2312" w:cs="Times New Roman"/>
          <w:color w:val="000000"/>
          <w:sz w:val="32"/>
          <w:szCs w:val="32"/>
          <w:lang w:val="en-US" w:eastAsia="zh-CN"/>
        </w:rPr>
        <w:t>152.2万元</w:t>
      </w: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color w:val="000000"/>
          <w:sz w:val="32"/>
          <w:szCs w:val="32"/>
          <w:shd w:val="clear" w:color="auto" w:fill="auto"/>
        </w:rPr>
        <w:t>一</w:t>
      </w:r>
      <w:r>
        <w:rPr>
          <w:rFonts w:hint="eastAsia" w:ascii="Times New Roman" w:hAnsi="Times New Roman" w:eastAsia="仿宋_GB2312" w:cs="Times New Roman"/>
          <w:color w:val="000000"/>
          <w:sz w:val="32"/>
          <w:szCs w:val="32"/>
          <w:shd w:val="clear" w:color="auto" w:fill="auto"/>
          <w:lang w:val="en-US" w:eastAsia="zh-CN"/>
        </w:rPr>
        <w:t>般</w:t>
      </w:r>
      <w:r>
        <w:rPr>
          <w:rFonts w:hint="default" w:ascii="Times New Roman" w:hAnsi="Times New Roman" w:eastAsia="仿宋_GB2312" w:cs="Times New Roman"/>
          <w:color w:val="000000"/>
          <w:sz w:val="32"/>
          <w:szCs w:val="32"/>
          <w:shd w:val="clear" w:color="auto" w:fill="auto"/>
        </w:rPr>
        <w:t>公共预算财政拨款收入</w:t>
      </w:r>
      <w:r>
        <w:rPr>
          <w:rFonts w:hint="default" w:ascii="Times New Roman" w:hAnsi="Times New Roman" w:eastAsia="仿宋_GB2312" w:cs="Times New Roman"/>
          <w:color w:val="000000"/>
          <w:sz w:val="32"/>
          <w:szCs w:val="32"/>
          <w:shd w:val="clear" w:color="auto" w:fill="auto"/>
          <w:lang w:val="en-US" w:eastAsia="zh-CN"/>
        </w:rPr>
        <w:t>152.2万元</w:t>
      </w:r>
      <w:r>
        <w:rPr>
          <w:rFonts w:hint="default" w:ascii="Times New Roman" w:hAnsi="Times New Roman" w:eastAsia="仿宋_GB2312" w:cs="Times New Roman"/>
          <w:color w:val="000000"/>
          <w:sz w:val="32"/>
          <w:szCs w:val="32"/>
          <w:shd w:val="clear" w:color="auto" w:fill="auto"/>
        </w:rPr>
        <w:t>，占</w:t>
      </w:r>
      <w:r>
        <w:rPr>
          <w:rFonts w:hint="default" w:ascii="Times New Roman" w:hAnsi="Times New Roman" w:eastAsia="仿宋_GB2312" w:cs="Times New Roman"/>
          <w:color w:val="000000"/>
          <w:sz w:val="32"/>
          <w:szCs w:val="32"/>
          <w:shd w:val="clear" w:color="auto" w:fill="auto"/>
          <w:lang w:val="en-US" w:eastAsia="zh-CN"/>
        </w:rPr>
        <w:t>100</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上年结余</w:t>
      </w:r>
      <w:r>
        <w:rPr>
          <w:rFonts w:hint="default" w:ascii="Times New Roman" w:hAnsi="Times New Roman" w:eastAsia="仿宋_GB2312" w:cs="Times New Roman"/>
          <w:color w:val="000000"/>
          <w:sz w:val="32"/>
          <w:szCs w:val="32"/>
          <w:shd w:val="clear" w:color="auto" w:fill="auto"/>
          <w:lang w:val="en-US" w:eastAsia="zh-CN"/>
        </w:rPr>
        <w:t>0万元；</w:t>
      </w:r>
      <w:r>
        <w:rPr>
          <w:rFonts w:hint="default" w:ascii="Times New Roman" w:hAnsi="Times New Roman" w:eastAsia="仿宋_GB2312" w:cs="Times New Roman"/>
          <w:color w:val="000000"/>
          <w:sz w:val="32"/>
          <w:szCs w:val="32"/>
          <w:shd w:val="clear" w:color="auto" w:fill="auto"/>
        </w:rPr>
        <w:t>占</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%；政府性基金预算财政拨款收入</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万元，占</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%；国有资本经营预算财政拨款收入</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万元，占</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rPr>
        <w:t>事业收入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%；经营收入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%；附属单位上缴收入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%；其他收入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4B2FE5E1">
      <w:pPr>
        <w:spacing w:line="600" w:lineRule="exact"/>
        <w:rPr>
          <w:rFonts w:hint="eastAsia" w:ascii="仿宋_GB2312" w:eastAsia="仿宋_GB2312"/>
          <w:color w:val="000000"/>
          <w:sz w:val="32"/>
          <w:szCs w:val="32"/>
        </w:rPr>
      </w:pPr>
    </w:p>
    <w:p w14:paraId="6A6EB635">
      <w:pPr>
        <w:spacing w:line="600" w:lineRule="exact"/>
        <w:rPr>
          <w:rFonts w:hint="eastAsia" w:ascii="仿宋_GB2312" w:eastAsia="仿宋_GB2312"/>
          <w:color w:val="000000"/>
          <w:sz w:val="32"/>
          <w:szCs w:val="32"/>
        </w:rPr>
      </w:pPr>
    </w:p>
    <w:p w14:paraId="6DFAB216">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eastAsia="zh-CN"/>
        </w:rPr>
        <w:drawing>
          <wp:anchor distT="0" distB="0" distL="114300" distR="114300" simplePos="0" relativeHeight="251663360" behindDoc="0" locked="1" layoutInCell="1" allowOverlap="1">
            <wp:simplePos x="0" y="0"/>
            <wp:positionH relativeFrom="column">
              <wp:posOffset>43815</wp:posOffset>
            </wp:positionH>
            <wp:positionV relativeFrom="page">
              <wp:posOffset>1029970</wp:posOffset>
            </wp:positionV>
            <wp:extent cx="5080000" cy="3228975"/>
            <wp:effectExtent l="4445" t="4445" r="20955" b="50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3B42D68">
      <w:pPr>
        <w:spacing w:line="600" w:lineRule="exact"/>
        <w:ind w:firstLine="640"/>
        <w:rPr>
          <w:rFonts w:hint="eastAsia" w:ascii="仿宋_GB2312" w:eastAsia="仿宋_GB2312"/>
          <w:color w:val="000000"/>
          <w:sz w:val="32"/>
          <w:szCs w:val="32"/>
        </w:rPr>
      </w:pPr>
    </w:p>
    <w:p w14:paraId="485C12AA">
      <w:pPr>
        <w:spacing w:line="600" w:lineRule="exact"/>
        <w:rPr>
          <w:rFonts w:hint="eastAsia" w:ascii="仿宋_GB2312" w:eastAsia="仿宋_GB2312"/>
          <w:color w:val="000000"/>
          <w:sz w:val="32"/>
          <w:szCs w:val="32"/>
          <w:lang w:eastAsia="zh-CN"/>
        </w:rPr>
      </w:pPr>
    </w:p>
    <w:p w14:paraId="73D40227">
      <w:pPr>
        <w:pStyle w:val="12"/>
        <w:rPr>
          <w:rFonts w:hint="eastAsia" w:ascii="仿宋_GB2312" w:eastAsia="仿宋_GB2312"/>
          <w:color w:val="000000"/>
          <w:sz w:val="32"/>
          <w:szCs w:val="32"/>
          <w:lang w:eastAsia="zh-CN"/>
        </w:rPr>
      </w:pPr>
    </w:p>
    <w:p w14:paraId="1DF9BF67">
      <w:pPr>
        <w:rPr>
          <w:rFonts w:hint="eastAsia" w:ascii="仿宋_GB2312" w:eastAsia="仿宋_GB2312"/>
          <w:color w:val="000000"/>
          <w:sz w:val="32"/>
          <w:szCs w:val="32"/>
          <w:lang w:eastAsia="zh-CN"/>
        </w:rPr>
      </w:pPr>
    </w:p>
    <w:p w14:paraId="763761BE">
      <w:pPr>
        <w:pStyle w:val="12"/>
        <w:spacing w:line="560" w:lineRule="exact"/>
        <w:rPr>
          <w:rFonts w:hint="eastAsia"/>
          <w:lang w:eastAsia="zh-CN"/>
        </w:rPr>
      </w:pPr>
    </w:p>
    <w:p w14:paraId="0A003D04">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3"/>
          <w:rFonts w:hint="default" w:ascii="Times New Roman" w:hAnsi="Times New Roman" w:eastAsia="黑体" w:cs="Times New Roman"/>
          <w:b w:val="0"/>
          <w:bCs/>
          <w:lang w:eastAsia="zh-CN"/>
        </w:rPr>
      </w:pPr>
      <w:bookmarkStart w:id="9" w:name="_Toc15396605"/>
      <w:bookmarkStart w:id="10" w:name="_Toc15377207"/>
    </w:p>
    <w:p w14:paraId="00CF9C12">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bCs/>
          <w:color w:val="000000"/>
          <w:sz w:val="32"/>
          <w:szCs w:val="32"/>
          <w:lang w:eastAsia="zh-CN"/>
        </w:rPr>
      </w:pPr>
      <w:r>
        <w:rPr>
          <w:rStyle w:val="23"/>
          <w:rFonts w:hint="default" w:ascii="Times New Roman" w:hAnsi="Times New Roman" w:eastAsia="黑体" w:cs="Times New Roman"/>
          <w:b w:val="0"/>
          <w:bCs/>
          <w:lang w:eastAsia="zh-CN"/>
        </w:rPr>
        <w:t>三、</w:t>
      </w:r>
      <w:r>
        <w:rPr>
          <w:rStyle w:val="23"/>
          <w:rFonts w:hint="eastAsia" w:ascii="Times New Roman" w:hAnsi="Times New Roman" w:eastAsia="黑体" w:cs="Times New Roman"/>
          <w:b w:val="0"/>
          <w:bCs/>
          <w:lang w:val="en-US" w:eastAsia="zh-CN"/>
        </w:rPr>
        <w:t>支出决算</w:t>
      </w:r>
      <w:r>
        <w:rPr>
          <w:rStyle w:val="23"/>
          <w:rFonts w:hint="default" w:ascii="Times New Roman" w:hAnsi="Times New Roman" w:eastAsia="黑体" w:cs="Times New Roman"/>
          <w:b w:val="0"/>
          <w:bCs/>
        </w:rPr>
        <w:t>情况说明</w:t>
      </w:r>
      <w:bookmarkEnd w:id="9"/>
      <w:bookmarkEnd w:id="10"/>
    </w:p>
    <w:p w14:paraId="5A314A1C">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本年支出合计</w:t>
      </w:r>
      <w:r>
        <w:rPr>
          <w:rFonts w:hint="default" w:ascii="Times New Roman" w:hAnsi="Times New Roman" w:eastAsia="仿宋_GB2312" w:cs="Times New Roman"/>
          <w:color w:val="000000"/>
          <w:sz w:val="32"/>
          <w:szCs w:val="32"/>
          <w:lang w:val="en-US" w:eastAsia="zh-CN"/>
        </w:rPr>
        <w:t>152.2万元</w:t>
      </w:r>
      <w:r>
        <w:rPr>
          <w:rFonts w:hint="default" w:ascii="Times New Roman" w:hAnsi="Times New Roman" w:eastAsia="仿宋_GB2312" w:cs="Times New Roman"/>
          <w:color w:val="000000"/>
          <w:sz w:val="32"/>
          <w:szCs w:val="32"/>
        </w:rPr>
        <w:t>，其中：基本支出</w:t>
      </w:r>
      <w:r>
        <w:rPr>
          <w:rFonts w:hint="default" w:ascii="Times New Roman" w:hAnsi="Times New Roman" w:eastAsia="仿宋_GB2312" w:cs="Times New Roman"/>
          <w:color w:val="000000"/>
          <w:sz w:val="32"/>
          <w:szCs w:val="32"/>
          <w:lang w:val="en-US" w:eastAsia="zh-CN"/>
        </w:rPr>
        <w:t>125.29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82.32</w:t>
      </w:r>
      <w:r>
        <w:rPr>
          <w:rFonts w:hint="default" w:ascii="Times New Roman" w:hAnsi="Times New Roman" w:eastAsia="仿宋_GB2312" w:cs="Times New Roman"/>
          <w:color w:val="000000"/>
          <w:sz w:val="32"/>
          <w:szCs w:val="32"/>
        </w:rPr>
        <w:t>%；项目支出</w:t>
      </w:r>
      <w:r>
        <w:rPr>
          <w:rFonts w:hint="default" w:ascii="Times New Roman" w:hAnsi="Times New Roman" w:eastAsia="仿宋_GB2312" w:cs="Times New Roman"/>
          <w:color w:val="000000"/>
          <w:sz w:val="32"/>
          <w:szCs w:val="32"/>
          <w:lang w:val="en-US" w:eastAsia="zh-CN"/>
        </w:rPr>
        <w:t>26.91</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17.68</w:t>
      </w:r>
      <w:r>
        <w:rPr>
          <w:rFonts w:hint="default" w:ascii="Times New Roman" w:hAnsi="Times New Roman" w:eastAsia="仿宋_GB2312" w:cs="Times New Roman"/>
          <w:color w:val="000000"/>
          <w:sz w:val="32"/>
          <w:szCs w:val="32"/>
        </w:rPr>
        <w:t>%；上缴上级支出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%；经营支出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%；对附属单位补助支出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p>
    <w:p w14:paraId="6BEE6616">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drawing>
          <wp:anchor distT="0" distB="0" distL="114300" distR="114300" simplePos="0" relativeHeight="251661312" behindDoc="0" locked="1" layoutInCell="1" allowOverlap="1">
            <wp:simplePos x="0" y="0"/>
            <wp:positionH relativeFrom="column">
              <wp:posOffset>95885</wp:posOffset>
            </wp:positionH>
            <wp:positionV relativeFrom="page">
              <wp:posOffset>6228715</wp:posOffset>
            </wp:positionV>
            <wp:extent cx="5098415" cy="3114040"/>
            <wp:effectExtent l="4445" t="4445" r="21590" b="571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CB61D89">
      <w:pPr>
        <w:spacing w:line="600" w:lineRule="exact"/>
        <w:ind w:firstLine="640" w:firstLineChars="200"/>
        <w:rPr>
          <w:rFonts w:hint="eastAsia" w:ascii="仿宋_GB2312" w:eastAsia="仿宋_GB2312"/>
          <w:color w:val="000000"/>
          <w:sz w:val="32"/>
          <w:szCs w:val="32"/>
        </w:rPr>
      </w:pPr>
    </w:p>
    <w:p w14:paraId="54929878">
      <w:pPr>
        <w:spacing w:line="600" w:lineRule="exact"/>
        <w:ind w:firstLine="640" w:firstLineChars="200"/>
        <w:rPr>
          <w:rFonts w:hint="eastAsia" w:ascii="仿宋_GB2312" w:eastAsia="仿宋_GB2312"/>
          <w:color w:val="000000"/>
          <w:sz w:val="32"/>
          <w:szCs w:val="32"/>
        </w:rPr>
      </w:pPr>
    </w:p>
    <w:p w14:paraId="4D09DAA5">
      <w:pPr>
        <w:spacing w:line="600" w:lineRule="exact"/>
        <w:ind w:firstLine="640" w:firstLineChars="200"/>
        <w:rPr>
          <w:rFonts w:hint="eastAsia" w:ascii="仿宋_GB2312" w:eastAsia="仿宋_GB2312"/>
          <w:color w:val="000000"/>
          <w:sz w:val="32"/>
          <w:szCs w:val="32"/>
        </w:rPr>
      </w:pPr>
    </w:p>
    <w:p w14:paraId="7C23B08E">
      <w:pPr>
        <w:spacing w:line="600" w:lineRule="exact"/>
        <w:ind w:firstLine="640" w:firstLineChars="200"/>
        <w:rPr>
          <w:rFonts w:hint="eastAsia" w:ascii="仿宋_GB2312" w:eastAsia="仿宋_GB2312"/>
          <w:color w:val="000000"/>
          <w:sz w:val="32"/>
          <w:szCs w:val="32"/>
        </w:rPr>
      </w:pPr>
    </w:p>
    <w:p w14:paraId="04567160">
      <w:pPr>
        <w:spacing w:line="600" w:lineRule="exact"/>
        <w:rPr>
          <w:rFonts w:hint="eastAsia" w:ascii="仿宋_GB2312" w:eastAsia="仿宋_GB2312"/>
          <w:color w:val="000000"/>
          <w:sz w:val="32"/>
          <w:szCs w:val="32"/>
        </w:rPr>
      </w:pPr>
    </w:p>
    <w:p w14:paraId="0EEBB520">
      <w:pPr>
        <w:spacing w:line="600" w:lineRule="exact"/>
        <w:rPr>
          <w:rFonts w:hint="eastAsia" w:ascii="黑体" w:eastAsia="黑体"/>
          <w:color w:val="000000"/>
          <w:sz w:val="32"/>
          <w:szCs w:val="32"/>
        </w:rPr>
      </w:pPr>
    </w:p>
    <w:p w14:paraId="120AE96F">
      <w:pPr>
        <w:spacing w:line="600" w:lineRule="exact"/>
        <w:ind w:firstLine="640" w:firstLineChars="200"/>
        <w:rPr>
          <w:rFonts w:hint="eastAsia" w:ascii="黑体" w:eastAsia="黑体"/>
          <w:color w:val="000000"/>
          <w:sz w:val="32"/>
          <w:szCs w:val="32"/>
        </w:rPr>
      </w:pPr>
    </w:p>
    <w:p w14:paraId="71EDD5EF">
      <w:pPr>
        <w:spacing w:line="560" w:lineRule="exact"/>
        <w:ind w:firstLine="640" w:firstLineChars="200"/>
        <w:rPr>
          <w:rFonts w:hint="default" w:ascii="Times New Roman" w:hAnsi="Times New Roman" w:eastAsia="黑体" w:cs="Times New Roman"/>
          <w:color w:val="000000"/>
          <w:sz w:val="32"/>
          <w:szCs w:val="32"/>
        </w:rPr>
      </w:pPr>
    </w:p>
    <w:p w14:paraId="2CF1F269">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四、财政拨款收入支出决算总体情况说明</w:t>
      </w:r>
    </w:p>
    <w:p w14:paraId="69092C10">
      <w:pPr>
        <w:spacing w:line="600" w:lineRule="exact"/>
        <w:ind w:firstLine="640"/>
        <w:rPr>
          <w:rFonts w:hint="eastAsia" w:ascii="仿宋_GB2312" w:eastAsia="仿宋_GB2312"/>
          <w:color w:val="000000"/>
          <w:sz w:val="32"/>
          <w:szCs w:val="32"/>
          <w:lang w:eastAsia="zh-CN"/>
        </w:rPr>
      </w:pPr>
      <w:r>
        <w:rPr>
          <w:rFonts w:hint="eastAsia" w:ascii="Times New Roman" w:hAnsi="Times New Roman" w:eastAsia="仿宋_GB2312" w:cs="Times New Roman"/>
          <w:sz w:val="32"/>
          <w:szCs w:val="32"/>
          <w:lang w:val="en-US" w:eastAsia="zh-CN"/>
        </w:rPr>
        <w:t>2022年度财政拨款收入支出总计122.15万元；2023年度财政拨款收入支出总计152.2万元。与2022年相比，财政拨款收、支总计增加30.05万元，上升24.6%。主要原因是项目增加及单位人员增加导致。</w:t>
      </w:r>
      <w:r>
        <w:rPr>
          <w:rFonts w:hint="eastAsia" w:ascii="仿宋_GB2312" w:eastAsia="仿宋_GB2312"/>
          <w:color w:val="000000"/>
          <w:sz w:val="32"/>
          <w:szCs w:val="32"/>
          <w:lang w:eastAsia="zh-CN"/>
        </w:rPr>
        <w:drawing>
          <wp:anchor distT="0" distB="0" distL="114300" distR="114300" simplePos="0" relativeHeight="251662336" behindDoc="0" locked="1" layoutInCell="1" allowOverlap="1">
            <wp:simplePos x="0" y="0"/>
            <wp:positionH relativeFrom="column">
              <wp:posOffset>266700</wp:posOffset>
            </wp:positionH>
            <wp:positionV relativeFrom="page">
              <wp:posOffset>2803525</wp:posOffset>
            </wp:positionV>
            <wp:extent cx="4727575" cy="3486150"/>
            <wp:effectExtent l="4445" t="4445" r="11430" b="14605"/>
            <wp:wrapNone/>
            <wp:docPr id="6" name="图表 6"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D6E074D">
      <w:pPr>
        <w:spacing w:line="600" w:lineRule="exact"/>
        <w:ind w:firstLine="640" w:firstLineChars="200"/>
        <w:rPr>
          <w:rFonts w:hint="eastAsia" w:ascii="仿宋_GB2312" w:eastAsia="仿宋_GB2312"/>
          <w:color w:val="000000"/>
          <w:sz w:val="32"/>
          <w:szCs w:val="32"/>
          <w:lang w:eastAsia="zh-CN"/>
        </w:rPr>
      </w:pPr>
    </w:p>
    <w:p w14:paraId="4B6C2611">
      <w:pPr>
        <w:spacing w:line="600" w:lineRule="exact"/>
        <w:ind w:firstLine="640" w:firstLineChars="200"/>
        <w:rPr>
          <w:rFonts w:hint="eastAsia" w:ascii="仿宋_GB2312" w:eastAsia="仿宋_GB2312"/>
          <w:color w:val="000000"/>
          <w:sz w:val="32"/>
          <w:szCs w:val="32"/>
          <w:lang w:eastAsia="zh-CN"/>
        </w:rPr>
      </w:pPr>
    </w:p>
    <w:p w14:paraId="58E72DCA">
      <w:pPr>
        <w:spacing w:line="600" w:lineRule="exact"/>
        <w:ind w:firstLine="640" w:firstLineChars="200"/>
        <w:rPr>
          <w:rFonts w:hint="eastAsia" w:ascii="仿宋_GB2312" w:eastAsia="仿宋_GB2312"/>
          <w:color w:val="000000"/>
          <w:sz w:val="32"/>
          <w:szCs w:val="32"/>
          <w:lang w:eastAsia="zh-CN"/>
        </w:rPr>
      </w:pPr>
    </w:p>
    <w:p w14:paraId="09E1510A">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p>
    <w:p w14:paraId="1126C3B0">
      <w:pPr>
        <w:spacing w:line="600" w:lineRule="exact"/>
        <w:ind w:firstLine="640" w:firstLineChars="200"/>
        <w:rPr>
          <w:rFonts w:hint="eastAsia" w:ascii="仿宋_GB2312" w:eastAsia="仿宋_GB2312"/>
          <w:color w:val="000000"/>
          <w:sz w:val="32"/>
          <w:szCs w:val="32"/>
          <w:lang w:eastAsia="zh-CN"/>
        </w:rPr>
      </w:pPr>
    </w:p>
    <w:p w14:paraId="3A80A77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eastAsia="仿宋_GB2312"/>
          <w:color w:val="000000"/>
          <w:sz w:val="32"/>
          <w:szCs w:val="32"/>
          <w:lang w:val="en-US" w:eastAsia="zh-CN"/>
        </w:rPr>
      </w:pPr>
    </w:p>
    <w:p w14:paraId="2632CA5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eastAsia="仿宋_GB2312"/>
          <w:color w:val="000000"/>
          <w:sz w:val="32"/>
          <w:szCs w:val="32"/>
          <w:lang w:val="en-US" w:eastAsia="zh-CN"/>
        </w:rPr>
      </w:pPr>
    </w:p>
    <w:p w14:paraId="430509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p>
    <w:p w14:paraId="56C31D58">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textAlignment w:val="auto"/>
        <w:rPr>
          <w:rFonts w:hint="eastAsia" w:ascii="楷体_GB2312" w:hAnsi="楷体_GB2312" w:eastAsia="楷体_GB2312" w:cs="楷体_GB2312"/>
          <w:color w:val="000000"/>
          <w:sz w:val="32"/>
          <w:szCs w:val="32"/>
          <w:lang w:val="en-US" w:eastAsia="zh-CN"/>
        </w:rPr>
      </w:pPr>
    </w:p>
    <w:p w14:paraId="453DF1F9">
      <w:pPr>
        <w:pStyle w:val="18"/>
        <w:spacing w:beforeLines="0"/>
        <w:ind w:firstLine="640" w:firstLineChars="200"/>
        <w:rPr>
          <w:rFonts w:hint="eastAsia" w:ascii="黑体" w:hAnsi="黑体" w:eastAsia="黑体" w:cs="黑体"/>
          <w:b w:val="0"/>
          <w:bCs w:val="0"/>
          <w:color w:val="000000"/>
          <w:sz w:val="32"/>
          <w:szCs w:val="32"/>
          <w:lang w:eastAsia="zh-CN"/>
        </w:rPr>
      </w:pPr>
    </w:p>
    <w:p w14:paraId="4A07D7F8">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 w:val="0"/>
          <w:bCs w:val="0"/>
          <w:color w:val="000000"/>
          <w:sz w:val="32"/>
          <w:szCs w:val="32"/>
          <w:lang w:val="en-US" w:eastAsia="zh-CN"/>
        </w:rPr>
        <w:t>一般公共预算财政拨款支出决算结构情况</w:t>
      </w:r>
    </w:p>
    <w:p w14:paraId="7042A2CE">
      <w:pPr>
        <w:spacing w:line="600" w:lineRule="exact"/>
        <w:ind w:firstLine="640" w:firstLineChars="200"/>
        <w:outlineLvl w:val="1"/>
        <w:rPr>
          <w:rFonts w:hint="eastAsia" w:ascii="黑体" w:hAnsi="黑体" w:eastAsia="黑体" w:cs="黑体"/>
          <w:b w:val="0"/>
          <w:bCs w:val="0"/>
          <w:color w:val="000000"/>
          <w:sz w:val="32"/>
          <w:szCs w:val="32"/>
          <w:lang w:eastAsia="zh-CN"/>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一般公共预算财政拨款支出</w:t>
      </w:r>
      <w:r>
        <w:rPr>
          <w:rFonts w:hint="default" w:ascii="Times New Roman" w:hAnsi="Times New Roman" w:eastAsia="仿宋_GB2312" w:cs="Times New Roman"/>
          <w:color w:val="000000"/>
          <w:sz w:val="32"/>
          <w:szCs w:val="32"/>
          <w:lang w:val="en-US" w:eastAsia="zh-CN"/>
        </w:rPr>
        <w:t>152.2万元</w:t>
      </w:r>
      <w:r>
        <w:rPr>
          <w:rFonts w:hint="default" w:ascii="Times New Roman" w:hAnsi="Times New Roman" w:eastAsia="仿宋_GB2312" w:cs="Times New Roman"/>
          <w:color w:val="000000"/>
          <w:sz w:val="32"/>
          <w:szCs w:val="32"/>
        </w:rPr>
        <w:t>，主要用于以下方面</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一般公共服务支出</w:t>
      </w:r>
      <w:r>
        <w:rPr>
          <w:rFonts w:hint="default" w:ascii="Times New Roman" w:hAnsi="Times New Roman" w:eastAsia="仿宋_GB2312" w:cs="Times New Roman"/>
          <w:color w:val="000000"/>
          <w:sz w:val="32"/>
          <w:szCs w:val="32"/>
          <w:lang w:val="en-US" w:eastAsia="zh-CN"/>
        </w:rPr>
        <w:t>106.04</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69.67</w:t>
      </w:r>
      <w:r>
        <w:rPr>
          <w:rFonts w:hint="default" w:ascii="Times New Roman" w:hAnsi="Times New Roman" w:eastAsia="仿宋_GB2312" w:cs="Times New Roman"/>
          <w:color w:val="000000"/>
          <w:sz w:val="32"/>
          <w:szCs w:val="32"/>
        </w:rPr>
        <w:t>%；社会保障和就业支出</w:t>
      </w:r>
      <w:r>
        <w:rPr>
          <w:rFonts w:hint="default" w:ascii="Times New Roman" w:hAnsi="Times New Roman" w:eastAsia="仿宋_GB2312" w:cs="Times New Roman"/>
          <w:color w:val="000000"/>
          <w:sz w:val="32"/>
          <w:szCs w:val="32"/>
          <w:lang w:val="en-US" w:eastAsia="zh-CN"/>
        </w:rPr>
        <w:t>31.45万元，占20.66%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5.45</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3.58</w:t>
      </w:r>
      <w:r>
        <w:rPr>
          <w:rFonts w:hint="default" w:ascii="Times New Roman" w:hAnsi="Times New Roman" w:eastAsia="仿宋_GB2312" w:cs="Times New Roman"/>
          <w:color w:val="000000"/>
          <w:sz w:val="32"/>
          <w:szCs w:val="32"/>
        </w:rPr>
        <w:t>%；住房保障支出</w:t>
      </w:r>
      <w:r>
        <w:rPr>
          <w:rFonts w:hint="default" w:ascii="Times New Roman" w:hAnsi="Times New Roman" w:eastAsia="仿宋_GB2312" w:cs="Times New Roman"/>
          <w:color w:val="000000"/>
          <w:sz w:val="32"/>
          <w:szCs w:val="32"/>
          <w:lang w:val="en-US" w:eastAsia="zh-CN"/>
        </w:rPr>
        <w:t>9.26</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6.09</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drawing>
          <wp:anchor distT="0" distB="0" distL="114300" distR="114300" simplePos="0" relativeHeight="251664384" behindDoc="0" locked="1" layoutInCell="1" allowOverlap="1">
            <wp:simplePos x="0" y="0"/>
            <wp:positionH relativeFrom="column">
              <wp:posOffset>299720</wp:posOffset>
            </wp:positionH>
            <wp:positionV relativeFrom="page">
              <wp:posOffset>1433195</wp:posOffset>
            </wp:positionV>
            <wp:extent cx="4709160" cy="3105150"/>
            <wp:effectExtent l="4445" t="4445" r="10795" b="52705"/>
            <wp:wrapTopAndBottom/>
            <wp:docPr id="8" name="图表 8"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FFD08F2">
      <w:pPr>
        <w:pStyle w:val="18"/>
        <w:spacing w:beforeLines="0"/>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一般公共预算财政拨款支出决算情况</w:t>
      </w:r>
      <w:r>
        <w:rPr>
          <w:rFonts w:hint="eastAsia" w:ascii="黑体" w:hAnsi="黑体" w:eastAsia="黑体" w:cs="黑体"/>
          <w:b w:val="0"/>
          <w:bCs w:val="0"/>
          <w:color w:val="000000"/>
          <w:sz w:val="32"/>
          <w:szCs w:val="32"/>
          <w:lang w:val="en-US" w:eastAsia="zh-CN"/>
        </w:rPr>
        <w:t>说明</w:t>
      </w:r>
    </w:p>
    <w:p w14:paraId="6D275FC2">
      <w:pPr>
        <w:spacing w:beforeLines="0" w:line="560" w:lineRule="exact"/>
        <w:ind w:firstLine="643" w:firstLineChars="200"/>
        <w:outlineLvl w:val="2"/>
        <w:rPr>
          <w:rFonts w:hint="default" w:ascii="Times New Roman" w:hAnsi="Times New Roman" w:cs="Times New Roman"/>
        </w:rPr>
      </w:pPr>
      <w:bookmarkStart w:id="11" w:name="_Toc15377444"/>
      <w:bookmarkStart w:id="12" w:name="_Toc15378460"/>
      <w:bookmarkStart w:id="13" w:name="_Toc15377213"/>
      <w:r>
        <w:rPr>
          <w:rFonts w:hint="eastAsia" w:ascii="Times New Roman" w:hAnsi="Times New Roman" w:eastAsia="仿宋" w:cs="Times New Roman"/>
          <w:b/>
          <w:color w:val="000000"/>
          <w:sz w:val="32"/>
          <w:szCs w:val="32"/>
          <w:lang w:eastAsia="zh-CN"/>
        </w:rPr>
        <w:t>（</w:t>
      </w:r>
      <w:r>
        <w:rPr>
          <w:rFonts w:hint="eastAsia" w:ascii="Times New Roman" w:hAnsi="Times New Roman" w:eastAsia="仿宋" w:cs="Times New Roman"/>
          <w:b/>
          <w:color w:val="000000"/>
          <w:sz w:val="32"/>
          <w:szCs w:val="32"/>
          <w:lang w:val="en-US" w:eastAsia="zh-CN"/>
        </w:rPr>
        <w:t>一</w:t>
      </w:r>
      <w:r>
        <w:rPr>
          <w:rFonts w:hint="eastAsia" w:ascii="Times New Roman" w:hAnsi="Times New Roman" w:eastAsia="仿宋" w:cs="Times New Roman"/>
          <w:b/>
          <w:color w:val="000000"/>
          <w:sz w:val="32"/>
          <w:szCs w:val="32"/>
          <w:lang w:eastAsia="zh-CN"/>
        </w:rPr>
        <w:t>）</w:t>
      </w:r>
      <w:r>
        <w:rPr>
          <w:rFonts w:hint="default" w:ascii="Times New Roman" w:hAnsi="Times New Roman" w:eastAsia="仿宋" w:cs="Times New Roman"/>
          <w:b/>
          <w:color w:val="000000"/>
          <w:sz w:val="32"/>
          <w:szCs w:val="32"/>
          <w:lang w:eastAsia="zh-CN"/>
        </w:rPr>
        <w:t>2023年</w:t>
      </w:r>
      <w:r>
        <w:rPr>
          <w:rFonts w:hint="default" w:ascii="Times New Roman" w:hAnsi="Times New Roman" w:eastAsia="仿宋" w:cs="Times New Roman"/>
          <w:b/>
          <w:color w:val="000000"/>
          <w:sz w:val="32"/>
          <w:szCs w:val="32"/>
        </w:rPr>
        <w:t>一般公共预算支出决算数为</w:t>
      </w:r>
      <w:r>
        <w:rPr>
          <w:rFonts w:hint="default" w:ascii="Times New Roman" w:hAnsi="Times New Roman" w:eastAsia="仿宋" w:cs="Times New Roman"/>
          <w:b/>
          <w:color w:val="000000"/>
          <w:sz w:val="32"/>
          <w:szCs w:val="32"/>
          <w:lang w:val="en-US" w:eastAsia="zh-CN"/>
        </w:rPr>
        <w:t>152.2万元</w:t>
      </w:r>
      <w:r>
        <w:rPr>
          <w:rFonts w:hint="default" w:ascii="Times New Roman" w:hAnsi="Times New Roman" w:eastAsia="仿宋" w:cs="Times New Roman"/>
          <w:color w:val="000000"/>
          <w:sz w:val="32"/>
          <w:szCs w:val="32"/>
        </w:rPr>
        <w:t>，</w:t>
      </w:r>
      <w:r>
        <w:rPr>
          <w:rStyle w:val="17"/>
          <w:rFonts w:hint="default" w:ascii="Times New Roman" w:hAnsi="Times New Roman" w:eastAsia="仿宋" w:cs="Times New Roman"/>
          <w:bCs/>
          <w:color w:val="000000"/>
          <w:sz w:val="32"/>
          <w:szCs w:val="32"/>
        </w:rPr>
        <w:t>完成预算</w:t>
      </w:r>
      <w:r>
        <w:rPr>
          <w:rStyle w:val="17"/>
          <w:rFonts w:ascii="Times New Roman" w:hAnsi="Times New Roman" w:eastAsia="仿宋" w:cs="Times New Roman"/>
          <w:bCs/>
          <w:color w:val="000000"/>
          <w:sz w:val="32"/>
          <w:szCs w:val="32"/>
        </w:rPr>
        <w:t>100%</w:t>
      </w:r>
      <w:r>
        <w:rPr>
          <w:rStyle w:val="17"/>
          <w:rFonts w:hint="default" w:ascii="Times New Roman" w:hAnsi="Times New Roman" w:eastAsia="仿宋" w:cs="Times New Roman"/>
          <w:bCs/>
          <w:color w:val="000000"/>
          <w:sz w:val="32"/>
          <w:szCs w:val="32"/>
        </w:rPr>
        <w:t>。其中：</w:t>
      </w:r>
      <w:bookmarkEnd w:id="11"/>
      <w:bookmarkEnd w:id="12"/>
      <w:bookmarkEnd w:id="13"/>
    </w:p>
    <w:p w14:paraId="752E12F8">
      <w:pPr>
        <w:spacing w:beforeLines="0" w:line="560" w:lineRule="exact"/>
        <w:ind w:firstLine="643" w:firstLineChars="200"/>
        <w:rPr>
          <w:rFonts w:ascii="Times New Roman" w:hAnsi="Times New Roman" w:eastAsia="仿宋" w:cs="Times New Roman"/>
          <w:b/>
          <w:color w:val="auto"/>
          <w:sz w:val="32"/>
          <w:szCs w:val="32"/>
          <w:highlight w:val="none"/>
        </w:rPr>
      </w:pPr>
      <w:r>
        <w:rPr>
          <w:rStyle w:val="17"/>
          <w:rFonts w:ascii="Times New Roman" w:hAnsi="Times New Roman" w:eastAsia="仿宋" w:cs="Times New Roman"/>
          <w:bCs/>
          <w:color w:val="auto"/>
          <w:sz w:val="32"/>
          <w:szCs w:val="32"/>
          <w:highlight w:val="none"/>
        </w:rPr>
        <w:t>1.</w:t>
      </w:r>
      <w:r>
        <w:rPr>
          <w:rStyle w:val="17"/>
          <w:rFonts w:hint="default" w:ascii="Times New Roman" w:hAnsi="Times New Roman" w:eastAsia="仿宋" w:cs="Times New Roman"/>
          <w:bCs/>
          <w:color w:val="auto"/>
          <w:sz w:val="32"/>
          <w:szCs w:val="32"/>
          <w:highlight w:val="none"/>
        </w:rPr>
        <w:t>一般公共服务（类）民主党派及工商联事务（款</w:t>
      </w:r>
      <w:r>
        <w:rPr>
          <w:rStyle w:val="17"/>
          <w:rFonts w:hint="default" w:ascii="Times New Roman" w:hAnsi="Times New Roman" w:eastAsia="仿宋" w:cs="Times New Roman"/>
          <w:bCs/>
          <w:color w:val="auto"/>
          <w:sz w:val="32"/>
          <w:szCs w:val="32"/>
          <w:highlight w:val="none"/>
          <w:lang w:eastAsia="zh-CN"/>
        </w:rPr>
        <w:t>）</w:t>
      </w:r>
      <w:r>
        <w:rPr>
          <w:rStyle w:val="17"/>
          <w:rFonts w:hint="default" w:ascii="Times New Roman" w:hAnsi="Times New Roman" w:eastAsia="仿宋" w:cs="Times New Roman"/>
          <w:bCs/>
          <w:color w:val="auto"/>
          <w:sz w:val="32"/>
          <w:szCs w:val="32"/>
          <w:highlight w:val="none"/>
        </w:rPr>
        <w:t>行政运行（项）</w:t>
      </w:r>
      <w:r>
        <w:rPr>
          <w:rStyle w:val="17"/>
          <w:rFonts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支出决算为</w:t>
      </w:r>
      <w:r>
        <w:rPr>
          <w:rStyle w:val="17"/>
          <w:rFonts w:hint="default" w:ascii="Times New Roman" w:hAnsi="Times New Roman" w:eastAsia="仿宋" w:cs="Times New Roman"/>
          <w:b w:val="0"/>
          <w:bCs/>
          <w:color w:val="auto"/>
          <w:sz w:val="32"/>
          <w:szCs w:val="32"/>
          <w:highlight w:val="none"/>
          <w:lang w:val="en-US" w:eastAsia="zh-CN"/>
        </w:rPr>
        <w:t>79.13</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ascii="Times New Roman" w:hAnsi="Times New Roman" w:eastAsia="仿宋" w:cs="Times New Roman"/>
          <w:b w:val="0"/>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 w:cs="Times New Roman"/>
          <w:b w:val="0"/>
          <w:bCs/>
          <w:color w:val="auto"/>
          <w:sz w:val="32"/>
          <w:szCs w:val="32"/>
          <w:highlight w:val="none"/>
        </w:rPr>
        <w:t>。</w:t>
      </w:r>
    </w:p>
    <w:p w14:paraId="57C9DFE0">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Style w:val="17"/>
          <w:rFonts w:hint="default" w:ascii="Times New Roman" w:hAnsi="Times New Roman" w:eastAsia="仿宋_GB2312" w:cs="Times New Roman"/>
          <w:b w:val="0"/>
          <w:color w:val="000000"/>
          <w:sz w:val="32"/>
          <w:szCs w:val="32"/>
        </w:rPr>
      </w:pPr>
      <w:r>
        <w:rPr>
          <w:rStyle w:val="17"/>
          <w:rFonts w:hint="default" w:ascii="Times New Roman" w:hAnsi="Times New Roman" w:eastAsia="仿宋_GB2312" w:cs="Times New Roman"/>
          <w:b/>
          <w:bCs/>
          <w:color w:val="000000"/>
          <w:sz w:val="32"/>
          <w:szCs w:val="32"/>
          <w:lang w:val="en-US" w:eastAsia="zh-CN"/>
        </w:rPr>
        <w:t>2</w:t>
      </w:r>
      <w:r>
        <w:rPr>
          <w:rStyle w:val="17"/>
          <w:rFonts w:hint="default" w:ascii="Times New Roman" w:hAnsi="Times New Roman" w:eastAsia="仿宋_GB2312" w:cs="Times New Roman"/>
          <w:b/>
          <w:bCs/>
          <w:color w:val="000000"/>
          <w:sz w:val="32"/>
          <w:szCs w:val="32"/>
        </w:rPr>
        <w:t>.一般公共服务</w:t>
      </w:r>
      <w:r>
        <w:rPr>
          <w:rStyle w:val="17"/>
          <w:rFonts w:hint="default" w:ascii="Times New Roman" w:hAnsi="Times New Roman" w:eastAsia="仿宋_GB2312" w:cs="Times New Roman"/>
          <w:b/>
          <w:bCs/>
          <w:color w:val="000000"/>
          <w:sz w:val="32"/>
          <w:szCs w:val="32"/>
          <w:lang w:eastAsia="zh-CN"/>
        </w:rPr>
        <w:t>支出（类）</w:t>
      </w:r>
      <w:r>
        <w:rPr>
          <w:rStyle w:val="17"/>
          <w:rFonts w:hint="default" w:ascii="Times New Roman" w:hAnsi="Times New Roman" w:eastAsia="仿宋" w:cs="Times New Roman"/>
          <w:bCs/>
          <w:color w:val="auto"/>
          <w:sz w:val="32"/>
          <w:szCs w:val="32"/>
          <w:highlight w:val="none"/>
        </w:rPr>
        <w:t>民主党派及工商联事务</w:t>
      </w:r>
      <w:r>
        <w:rPr>
          <w:rStyle w:val="17"/>
          <w:rFonts w:hint="default" w:ascii="Times New Roman" w:hAnsi="Times New Roman" w:eastAsia="仿宋_GB2312" w:cs="Times New Roman"/>
          <w:b/>
          <w:bCs/>
          <w:color w:val="000000"/>
          <w:sz w:val="32"/>
          <w:szCs w:val="32"/>
          <w:lang w:eastAsia="zh-CN"/>
        </w:rPr>
        <w:t>（款）</w:t>
      </w:r>
      <w:r>
        <w:rPr>
          <w:rStyle w:val="17"/>
          <w:rFonts w:hint="default" w:ascii="Times New Roman" w:hAnsi="Times New Roman" w:cs="Times New Roman"/>
          <w:b/>
          <w:bCs/>
          <w:color w:val="000000"/>
          <w:sz w:val="32"/>
          <w:szCs w:val="32"/>
          <w:lang w:val="en-US" w:eastAsia="zh-CN"/>
        </w:rPr>
        <w:t>其他民主党派及工商联事务支出</w:t>
      </w:r>
      <w:r>
        <w:rPr>
          <w:rStyle w:val="17"/>
          <w:rFonts w:hint="default" w:ascii="Times New Roman" w:hAnsi="Times New Roman" w:eastAsia="仿宋_GB2312" w:cs="Times New Roman"/>
          <w:b/>
          <w:bCs/>
          <w:color w:val="000000"/>
          <w:sz w:val="32"/>
          <w:szCs w:val="32"/>
          <w:lang w:eastAsia="zh-CN"/>
        </w:rPr>
        <w:t>（项）：</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cs="Times New Roman"/>
          <w:b w:val="0"/>
          <w:color w:val="000000"/>
          <w:sz w:val="32"/>
          <w:szCs w:val="32"/>
          <w:lang w:val="en-US" w:eastAsia="zh-CN"/>
        </w:rPr>
        <w:t>26.91</w:t>
      </w:r>
      <w:r>
        <w:rPr>
          <w:rStyle w:val="17"/>
          <w:rFonts w:hint="default" w:ascii="Times New Roman" w:hAnsi="Times New Roman" w:eastAsia="仿宋_GB2312" w:cs="Times New Roman"/>
          <w:b w:val="0"/>
          <w:color w:val="000000"/>
          <w:sz w:val="32"/>
          <w:szCs w:val="32"/>
        </w:rPr>
        <w:t>万元，完成预算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11668B00">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Style w:val="17"/>
          <w:rFonts w:hint="default" w:ascii="Times New Roman" w:hAnsi="Times New Roman" w:eastAsia="仿宋_GB2312" w:cs="Times New Roman"/>
          <w:b w:val="0"/>
          <w:color w:val="000000"/>
          <w:sz w:val="32"/>
          <w:szCs w:val="32"/>
          <w:lang w:eastAsia="zh-CN"/>
        </w:rPr>
      </w:pPr>
      <w:r>
        <w:rPr>
          <w:rStyle w:val="17"/>
          <w:rFonts w:hint="default" w:ascii="Times New Roman" w:hAnsi="Times New Roman" w:cs="Times New Roman"/>
          <w:b/>
          <w:bCs/>
          <w:color w:val="000000"/>
          <w:sz w:val="32"/>
          <w:szCs w:val="32"/>
          <w:lang w:val="en-US" w:eastAsia="zh-CN"/>
        </w:rPr>
        <w:t>3</w:t>
      </w:r>
      <w:r>
        <w:rPr>
          <w:rStyle w:val="17"/>
          <w:rFonts w:hint="default" w:ascii="Times New Roman" w:hAnsi="Times New Roman" w:eastAsia="仿宋_GB2312" w:cs="Times New Roman"/>
          <w:b/>
          <w:bCs/>
          <w:color w:val="000000"/>
          <w:sz w:val="32"/>
          <w:szCs w:val="32"/>
        </w:rPr>
        <w:t>.</w:t>
      </w:r>
      <w:r>
        <w:rPr>
          <w:rStyle w:val="17"/>
          <w:rFonts w:hint="default" w:ascii="Times New Roman" w:hAnsi="Times New Roman" w:eastAsia="仿宋_GB2312" w:cs="Times New Roman"/>
          <w:b/>
          <w:bCs/>
          <w:color w:val="000000"/>
          <w:sz w:val="32"/>
          <w:szCs w:val="32"/>
          <w:lang w:eastAsia="zh-CN"/>
        </w:rPr>
        <w:t>社会保障和就业支出（类）行政事业单位</w:t>
      </w:r>
      <w:r>
        <w:rPr>
          <w:rStyle w:val="17"/>
          <w:rFonts w:hint="default" w:ascii="Times New Roman" w:hAnsi="Times New Roman" w:cs="Times New Roman"/>
          <w:b/>
          <w:bCs/>
          <w:color w:val="000000"/>
          <w:sz w:val="32"/>
          <w:szCs w:val="32"/>
          <w:lang w:val="en-US" w:eastAsia="zh-CN"/>
        </w:rPr>
        <w:t>养老支出</w:t>
      </w:r>
      <w:r>
        <w:rPr>
          <w:rStyle w:val="17"/>
          <w:rFonts w:hint="default" w:ascii="Times New Roman" w:hAnsi="Times New Roman" w:eastAsia="仿宋_GB2312" w:cs="Times New Roman"/>
          <w:b/>
          <w:bCs/>
          <w:color w:val="000000"/>
          <w:sz w:val="32"/>
          <w:szCs w:val="32"/>
          <w:lang w:eastAsia="zh-CN"/>
        </w:rPr>
        <w:t>（款）机关事业单位基本养老保险缴费支出（项）：</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cs="Times New Roman"/>
          <w:b w:val="0"/>
          <w:color w:val="000000"/>
          <w:sz w:val="32"/>
          <w:szCs w:val="32"/>
          <w:lang w:val="en-US" w:eastAsia="zh-CN"/>
        </w:rPr>
        <w:t>9.96</w:t>
      </w:r>
      <w:r>
        <w:rPr>
          <w:rStyle w:val="17"/>
          <w:rFonts w:hint="default" w:ascii="Times New Roman" w:hAnsi="Times New Roman" w:eastAsia="仿宋_GB2312" w:cs="Times New Roman"/>
          <w:b w:val="0"/>
          <w:color w:val="000000"/>
          <w:sz w:val="32"/>
          <w:szCs w:val="32"/>
        </w:rPr>
        <w:t>万元，完成预算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50E3450B">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Style w:val="17"/>
          <w:rFonts w:hint="default" w:ascii="Times New Roman" w:hAnsi="Times New Roman" w:eastAsia="仿宋_GB2312" w:cs="Times New Roman"/>
          <w:b w:val="0"/>
          <w:color w:val="000000"/>
          <w:sz w:val="32"/>
          <w:szCs w:val="32"/>
        </w:rPr>
      </w:pPr>
      <w:r>
        <w:rPr>
          <w:rStyle w:val="17"/>
          <w:rFonts w:hint="default" w:ascii="Times New Roman" w:hAnsi="Times New Roman" w:cs="Times New Roman"/>
          <w:b/>
          <w:bCs/>
          <w:color w:val="000000"/>
          <w:sz w:val="32"/>
          <w:szCs w:val="32"/>
          <w:lang w:val="en-US" w:eastAsia="zh-CN"/>
        </w:rPr>
        <w:t>4</w:t>
      </w:r>
      <w:r>
        <w:rPr>
          <w:rStyle w:val="17"/>
          <w:rFonts w:hint="default" w:ascii="Times New Roman" w:hAnsi="Times New Roman" w:eastAsia="仿宋_GB2312" w:cs="Times New Roman"/>
          <w:b/>
          <w:bCs/>
          <w:color w:val="000000"/>
          <w:sz w:val="32"/>
          <w:szCs w:val="32"/>
          <w:lang w:val="en-US" w:eastAsia="zh-CN"/>
        </w:rPr>
        <w:t>.</w:t>
      </w:r>
      <w:r>
        <w:rPr>
          <w:rStyle w:val="17"/>
          <w:rFonts w:hint="default" w:ascii="Times New Roman" w:hAnsi="Times New Roman" w:eastAsia="仿宋_GB2312" w:cs="Times New Roman"/>
          <w:b/>
          <w:bCs/>
          <w:color w:val="000000"/>
          <w:sz w:val="32"/>
          <w:szCs w:val="32"/>
          <w:lang w:eastAsia="zh-CN"/>
        </w:rPr>
        <w:t>医疗卫生与计划生育支出（类）行政事业单位医疗（款）行政单位医疗（项）</w:t>
      </w:r>
      <w:r>
        <w:rPr>
          <w:rStyle w:val="17"/>
          <w:rFonts w:hint="default" w:ascii="Times New Roman" w:hAnsi="Times New Roman" w:eastAsia="仿宋_GB2312" w:cs="Times New Roman"/>
          <w:color w:val="000000"/>
          <w:sz w:val="32"/>
          <w:szCs w:val="32"/>
        </w:rPr>
        <w:t>:</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cs="Times New Roman"/>
          <w:b w:val="0"/>
          <w:color w:val="000000"/>
          <w:sz w:val="32"/>
          <w:szCs w:val="32"/>
          <w:lang w:val="en-US" w:eastAsia="zh-CN"/>
        </w:rPr>
        <w:t>3.87</w:t>
      </w:r>
      <w:r>
        <w:rPr>
          <w:rStyle w:val="17"/>
          <w:rFonts w:hint="default" w:ascii="Times New Roman" w:hAnsi="Times New Roman" w:eastAsia="仿宋_GB2312" w:cs="Times New Roman"/>
          <w:b w:val="0"/>
          <w:color w:val="000000"/>
          <w:sz w:val="32"/>
          <w:szCs w:val="32"/>
        </w:rPr>
        <w:t>万元，完成预算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775534D6">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Style w:val="17"/>
          <w:rFonts w:hint="default" w:ascii="Times New Roman" w:hAnsi="Times New Roman" w:eastAsia="仿宋_GB2312" w:cs="Times New Roman"/>
          <w:b w:val="0"/>
          <w:color w:val="000000"/>
          <w:sz w:val="32"/>
          <w:szCs w:val="32"/>
        </w:rPr>
      </w:pPr>
      <w:r>
        <w:rPr>
          <w:rStyle w:val="17"/>
          <w:rFonts w:hint="default" w:ascii="Times New Roman" w:hAnsi="Times New Roman" w:cs="Times New Roman"/>
          <w:b/>
          <w:bCs/>
          <w:color w:val="000000"/>
          <w:sz w:val="32"/>
          <w:szCs w:val="32"/>
          <w:lang w:val="en-US" w:eastAsia="zh-CN"/>
        </w:rPr>
        <w:t>5</w:t>
      </w:r>
      <w:r>
        <w:rPr>
          <w:rStyle w:val="17"/>
          <w:rFonts w:hint="default" w:ascii="Times New Roman" w:hAnsi="Times New Roman" w:eastAsia="仿宋_GB2312" w:cs="Times New Roman"/>
          <w:b/>
          <w:bCs/>
          <w:color w:val="000000"/>
          <w:sz w:val="32"/>
          <w:szCs w:val="32"/>
        </w:rPr>
        <w:t>.</w:t>
      </w:r>
      <w:r>
        <w:rPr>
          <w:rStyle w:val="17"/>
          <w:rFonts w:hint="default" w:ascii="Times New Roman" w:hAnsi="Times New Roman" w:eastAsia="仿宋_GB2312" w:cs="Times New Roman"/>
          <w:b/>
          <w:bCs/>
          <w:color w:val="000000"/>
          <w:sz w:val="32"/>
          <w:szCs w:val="32"/>
          <w:lang w:eastAsia="zh-CN"/>
        </w:rPr>
        <w:t xml:space="preserve">社会保障和就业支出（类）行政事业单位离退休（款） </w:t>
      </w:r>
      <w:r>
        <w:rPr>
          <w:rStyle w:val="17"/>
          <w:rFonts w:hint="default" w:ascii="Times New Roman" w:hAnsi="Times New Roman" w:cs="Times New Roman"/>
          <w:b/>
          <w:bCs/>
          <w:color w:val="000000"/>
          <w:sz w:val="32"/>
          <w:szCs w:val="32"/>
          <w:lang w:eastAsia="zh-CN"/>
        </w:rPr>
        <w:t>公务员医疗保险</w:t>
      </w:r>
      <w:r>
        <w:rPr>
          <w:rStyle w:val="17"/>
          <w:rFonts w:hint="default" w:ascii="Times New Roman" w:hAnsi="Times New Roman" w:eastAsia="仿宋_GB2312" w:cs="Times New Roman"/>
          <w:b/>
          <w:bCs/>
          <w:color w:val="000000"/>
          <w:sz w:val="32"/>
          <w:szCs w:val="32"/>
          <w:lang w:eastAsia="zh-CN"/>
        </w:rPr>
        <w:t>支出（项）：</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cs="Times New Roman"/>
          <w:b w:val="0"/>
          <w:color w:val="000000"/>
          <w:sz w:val="32"/>
          <w:szCs w:val="32"/>
          <w:lang w:val="en-US" w:eastAsia="zh-CN"/>
        </w:rPr>
        <w:t>1.58</w:t>
      </w:r>
      <w:r>
        <w:rPr>
          <w:rStyle w:val="17"/>
          <w:rFonts w:hint="default" w:ascii="Times New Roman" w:hAnsi="Times New Roman" w:eastAsia="仿宋_GB2312" w:cs="Times New Roman"/>
          <w:b w:val="0"/>
          <w:color w:val="000000"/>
          <w:sz w:val="32"/>
          <w:szCs w:val="32"/>
        </w:rPr>
        <w:t>万元，完成预算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637264FE">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3" w:firstLineChars="200"/>
        <w:textAlignment w:val="auto"/>
        <w:rPr>
          <w:rStyle w:val="17"/>
          <w:rFonts w:hint="default" w:ascii="Times New Roman" w:hAnsi="Times New Roman" w:eastAsia="仿宋_GB2312" w:cs="Times New Roman"/>
          <w:b w:val="0"/>
          <w:color w:val="000000"/>
          <w:sz w:val="32"/>
          <w:szCs w:val="32"/>
        </w:rPr>
      </w:pPr>
      <w:r>
        <w:rPr>
          <w:rStyle w:val="17"/>
          <w:rFonts w:hint="default" w:ascii="Times New Roman" w:hAnsi="Times New Roman" w:eastAsia="仿宋_GB2312" w:cs="Times New Roman"/>
          <w:b/>
          <w:bCs/>
          <w:color w:val="000000"/>
          <w:sz w:val="32"/>
          <w:szCs w:val="32"/>
          <w:lang w:val="en-US" w:eastAsia="zh-CN"/>
        </w:rPr>
        <w:t>6.</w:t>
      </w:r>
      <w:r>
        <w:rPr>
          <w:rStyle w:val="17"/>
          <w:rFonts w:hint="default" w:ascii="Times New Roman" w:hAnsi="Times New Roman" w:eastAsia="仿宋_GB2312" w:cs="Times New Roman"/>
          <w:b/>
          <w:bCs/>
          <w:color w:val="000000"/>
          <w:sz w:val="32"/>
          <w:szCs w:val="32"/>
          <w:lang w:eastAsia="zh-CN"/>
        </w:rPr>
        <w:t>住房保障支出（类）住房改革支出（款）住房公积金（项）</w:t>
      </w:r>
      <w:r>
        <w:rPr>
          <w:rStyle w:val="17"/>
          <w:rFonts w:hint="default" w:ascii="Times New Roman" w:hAnsi="Times New Roman" w:eastAsia="仿宋_GB2312" w:cs="Times New Roman"/>
          <w:color w:val="000000"/>
          <w:sz w:val="32"/>
          <w:szCs w:val="32"/>
        </w:rPr>
        <w:t>:</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eastAsia="仿宋_GB2312" w:cs="Times New Roman"/>
          <w:b w:val="0"/>
          <w:color w:val="000000"/>
          <w:sz w:val="32"/>
          <w:szCs w:val="32"/>
          <w:lang w:val="en-US" w:eastAsia="zh-CN"/>
        </w:rPr>
        <w:t>9.26</w:t>
      </w:r>
      <w:r>
        <w:rPr>
          <w:rStyle w:val="17"/>
          <w:rFonts w:hint="default" w:ascii="Times New Roman" w:hAnsi="Times New Roman" w:eastAsia="仿宋_GB2312" w:cs="Times New Roman"/>
          <w:b w:val="0"/>
          <w:color w:val="000000"/>
          <w:sz w:val="32"/>
          <w:szCs w:val="32"/>
        </w:rPr>
        <w:t>万元，完成预算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2FCE7F16">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Style w:val="17"/>
          <w:rFonts w:hint="default" w:ascii="Times New Roman" w:hAnsi="Times New Roman" w:eastAsia="仿宋_GB2312" w:cs="Times New Roman"/>
          <w:b w:val="0"/>
          <w:color w:val="000000"/>
          <w:sz w:val="32"/>
          <w:szCs w:val="32"/>
        </w:rPr>
      </w:pPr>
      <w:r>
        <w:rPr>
          <w:rStyle w:val="17"/>
          <w:rFonts w:hint="default" w:ascii="Times New Roman" w:hAnsi="Times New Roman" w:cs="Times New Roman"/>
          <w:b/>
          <w:bCs/>
          <w:color w:val="000000"/>
          <w:sz w:val="32"/>
          <w:szCs w:val="32"/>
          <w:lang w:val="en-US" w:eastAsia="zh-CN"/>
        </w:rPr>
        <w:t>7</w:t>
      </w:r>
      <w:r>
        <w:rPr>
          <w:rStyle w:val="17"/>
          <w:rFonts w:hint="default" w:ascii="Times New Roman" w:hAnsi="Times New Roman" w:eastAsia="仿宋_GB2312" w:cs="Times New Roman"/>
          <w:b/>
          <w:bCs/>
          <w:color w:val="000000"/>
          <w:sz w:val="32"/>
          <w:szCs w:val="32"/>
        </w:rPr>
        <w:t>.</w:t>
      </w:r>
      <w:r>
        <w:rPr>
          <w:rStyle w:val="17"/>
          <w:rFonts w:hint="default" w:ascii="Times New Roman" w:hAnsi="Times New Roman" w:eastAsia="仿宋_GB2312" w:cs="Times New Roman"/>
          <w:b/>
          <w:bCs/>
          <w:color w:val="000000"/>
          <w:sz w:val="32"/>
          <w:szCs w:val="32"/>
          <w:lang w:eastAsia="zh-CN"/>
        </w:rPr>
        <w:t>社会保障和就业支出（类）行政事业单位</w:t>
      </w:r>
      <w:r>
        <w:rPr>
          <w:rStyle w:val="17"/>
          <w:rFonts w:hint="default" w:ascii="Times New Roman" w:hAnsi="Times New Roman" w:cs="Times New Roman"/>
          <w:b/>
          <w:bCs/>
          <w:color w:val="000000"/>
          <w:sz w:val="32"/>
          <w:szCs w:val="32"/>
          <w:lang w:val="en-US" w:eastAsia="zh-CN"/>
        </w:rPr>
        <w:t>养老支出</w:t>
      </w:r>
      <w:r>
        <w:rPr>
          <w:rStyle w:val="17"/>
          <w:rFonts w:hint="default" w:ascii="Times New Roman" w:hAnsi="Times New Roman" w:eastAsia="仿宋_GB2312" w:cs="Times New Roman"/>
          <w:b/>
          <w:bCs/>
          <w:color w:val="000000"/>
          <w:sz w:val="32"/>
          <w:szCs w:val="32"/>
          <w:lang w:eastAsia="zh-CN"/>
        </w:rPr>
        <w:t>（款）</w:t>
      </w:r>
      <w:r>
        <w:rPr>
          <w:rStyle w:val="17"/>
          <w:rFonts w:hint="default" w:ascii="Times New Roman" w:hAnsi="Times New Roman" w:cs="Times New Roman"/>
          <w:b/>
          <w:bCs/>
          <w:color w:val="000000"/>
          <w:sz w:val="32"/>
          <w:szCs w:val="32"/>
          <w:lang w:val="en-US" w:eastAsia="zh-CN"/>
        </w:rPr>
        <w:t>行政单位离退休</w:t>
      </w:r>
      <w:r>
        <w:rPr>
          <w:rStyle w:val="17"/>
          <w:rFonts w:hint="default" w:ascii="Times New Roman" w:hAnsi="Times New Roman" w:eastAsia="仿宋_GB2312" w:cs="Times New Roman"/>
          <w:b/>
          <w:bCs/>
          <w:color w:val="000000"/>
          <w:sz w:val="32"/>
          <w:szCs w:val="32"/>
          <w:lang w:eastAsia="zh-CN"/>
        </w:rPr>
        <w:t>（项）：</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cs="Times New Roman"/>
          <w:b w:val="0"/>
          <w:color w:val="000000"/>
          <w:sz w:val="32"/>
          <w:szCs w:val="32"/>
          <w:lang w:val="en-US" w:eastAsia="zh-CN"/>
        </w:rPr>
        <w:t>0.2</w:t>
      </w:r>
      <w:r>
        <w:rPr>
          <w:rStyle w:val="17"/>
          <w:rFonts w:hint="default" w:ascii="Times New Roman" w:hAnsi="Times New Roman" w:eastAsia="仿宋_GB2312" w:cs="Times New Roman"/>
          <w:b w:val="0"/>
          <w:color w:val="000000"/>
          <w:sz w:val="32"/>
          <w:szCs w:val="32"/>
        </w:rPr>
        <w:t>万元，完成预算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78ABD4DA">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Style w:val="17"/>
          <w:rFonts w:hint="default" w:ascii="Times New Roman" w:hAnsi="Times New Roman" w:eastAsia="仿宋_GB2312" w:cs="Times New Roman"/>
          <w:b w:val="0"/>
          <w:color w:val="000000"/>
          <w:sz w:val="32"/>
          <w:szCs w:val="32"/>
          <w:lang w:eastAsia="zh-CN"/>
        </w:rPr>
      </w:pPr>
      <w:r>
        <w:rPr>
          <w:rStyle w:val="17"/>
          <w:rFonts w:hint="default" w:ascii="Times New Roman" w:hAnsi="Times New Roman" w:cs="Times New Roman"/>
          <w:b/>
          <w:bCs/>
          <w:color w:val="000000"/>
          <w:sz w:val="32"/>
          <w:szCs w:val="32"/>
          <w:lang w:val="en-US" w:eastAsia="zh-CN"/>
        </w:rPr>
        <w:t>8</w:t>
      </w:r>
      <w:r>
        <w:rPr>
          <w:rStyle w:val="17"/>
          <w:rFonts w:hint="default" w:ascii="Times New Roman" w:hAnsi="Times New Roman" w:eastAsia="仿宋_GB2312" w:cs="Times New Roman"/>
          <w:b/>
          <w:bCs/>
          <w:color w:val="000000"/>
          <w:sz w:val="32"/>
          <w:szCs w:val="32"/>
        </w:rPr>
        <w:t>.</w:t>
      </w:r>
      <w:r>
        <w:rPr>
          <w:rStyle w:val="17"/>
          <w:rFonts w:hint="default" w:ascii="Times New Roman" w:hAnsi="Times New Roman" w:eastAsia="仿宋_GB2312" w:cs="Times New Roman"/>
          <w:b/>
          <w:bCs/>
          <w:color w:val="000000"/>
          <w:sz w:val="32"/>
          <w:szCs w:val="32"/>
          <w:lang w:eastAsia="zh-CN"/>
        </w:rPr>
        <w:t>社会保障和就业支出（类）</w:t>
      </w:r>
      <w:r>
        <w:rPr>
          <w:rStyle w:val="17"/>
          <w:rFonts w:hint="default" w:ascii="Times New Roman" w:hAnsi="Times New Roman" w:cs="Times New Roman"/>
          <w:b/>
          <w:bCs/>
          <w:color w:val="000000"/>
          <w:sz w:val="32"/>
          <w:szCs w:val="32"/>
          <w:lang w:val="en-US" w:eastAsia="zh-CN"/>
        </w:rPr>
        <w:t>抚恤</w:t>
      </w:r>
      <w:r>
        <w:rPr>
          <w:rStyle w:val="17"/>
          <w:rFonts w:hint="default" w:ascii="Times New Roman" w:hAnsi="Times New Roman" w:eastAsia="仿宋_GB2312" w:cs="Times New Roman"/>
          <w:b/>
          <w:bCs/>
          <w:color w:val="000000"/>
          <w:sz w:val="32"/>
          <w:szCs w:val="32"/>
          <w:lang w:eastAsia="zh-CN"/>
        </w:rPr>
        <w:t>（款）</w:t>
      </w:r>
      <w:r>
        <w:rPr>
          <w:rStyle w:val="17"/>
          <w:rFonts w:hint="default" w:ascii="Times New Roman" w:hAnsi="Times New Roman" w:cs="Times New Roman"/>
          <w:b/>
          <w:bCs/>
          <w:color w:val="000000"/>
          <w:sz w:val="32"/>
          <w:szCs w:val="32"/>
          <w:lang w:val="en-US" w:eastAsia="zh-CN"/>
        </w:rPr>
        <w:t>死亡抚恤</w:t>
      </w:r>
      <w:r>
        <w:rPr>
          <w:rStyle w:val="17"/>
          <w:rFonts w:hint="default" w:ascii="Times New Roman" w:hAnsi="Times New Roman" w:eastAsia="仿宋_GB2312" w:cs="Times New Roman"/>
          <w:b/>
          <w:bCs/>
          <w:color w:val="000000"/>
          <w:sz w:val="32"/>
          <w:szCs w:val="32"/>
          <w:lang w:eastAsia="zh-CN"/>
        </w:rPr>
        <w:t>（项）：</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cs="Times New Roman"/>
          <w:b w:val="0"/>
          <w:color w:val="000000"/>
          <w:sz w:val="32"/>
          <w:szCs w:val="32"/>
          <w:lang w:val="en-US" w:eastAsia="zh-CN"/>
        </w:rPr>
        <w:t>21.1</w:t>
      </w:r>
      <w:r>
        <w:rPr>
          <w:rStyle w:val="17"/>
          <w:rFonts w:hint="eastAsia" w:ascii="Times New Roman" w:hAnsi="Times New Roman" w:cs="Times New Roman"/>
          <w:b w:val="0"/>
          <w:color w:val="000000"/>
          <w:sz w:val="32"/>
          <w:szCs w:val="32"/>
          <w:lang w:val="en-US" w:eastAsia="zh-CN"/>
        </w:rPr>
        <w:t>5</w:t>
      </w:r>
      <w:r>
        <w:rPr>
          <w:rStyle w:val="17"/>
          <w:rFonts w:hint="default" w:ascii="Times New Roman" w:hAnsi="Times New Roman" w:cs="Times New Roman"/>
          <w:b w:val="0"/>
          <w:color w:val="000000"/>
          <w:sz w:val="32"/>
          <w:szCs w:val="32"/>
          <w:lang w:val="en-US" w:eastAsia="zh-CN"/>
        </w:rPr>
        <w:t>万元</w:t>
      </w:r>
      <w:r>
        <w:rPr>
          <w:rStyle w:val="17"/>
          <w:rFonts w:hint="default" w:ascii="Times New Roman" w:hAnsi="Times New Roman" w:eastAsia="仿宋_GB2312" w:cs="Times New Roman"/>
          <w:b w:val="0"/>
          <w:color w:val="000000"/>
          <w:sz w:val="32"/>
          <w:szCs w:val="32"/>
        </w:rPr>
        <w:t>，完成预算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54219D01">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Fonts w:hint="default" w:ascii="Times New Roman" w:hAnsi="Times New Roman" w:eastAsia="黑体" w:cs="Times New Roman"/>
          <w:b w:val="0"/>
          <w:bCs w:val="0"/>
          <w:color w:val="000000"/>
          <w:sz w:val="32"/>
          <w:szCs w:val="32"/>
        </w:rPr>
      </w:pPr>
      <w:r>
        <w:rPr>
          <w:rStyle w:val="17"/>
          <w:rFonts w:hint="default" w:ascii="Times New Roman" w:hAnsi="Times New Roman" w:cs="Times New Roman"/>
          <w:b/>
          <w:bCs/>
          <w:color w:val="000000"/>
          <w:sz w:val="32"/>
          <w:szCs w:val="32"/>
          <w:lang w:val="en-US" w:eastAsia="zh-CN"/>
        </w:rPr>
        <w:t>9</w:t>
      </w:r>
      <w:r>
        <w:rPr>
          <w:rStyle w:val="17"/>
          <w:rFonts w:hint="default" w:ascii="Times New Roman" w:hAnsi="Times New Roman" w:eastAsia="仿宋_GB2312" w:cs="Times New Roman"/>
          <w:b/>
          <w:bCs/>
          <w:color w:val="000000"/>
          <w:sz w:val="32"/>
          <w:szCs w:val="32"/>
        </w:rPr>
        <w:t>.</w:t>
      </w:r>
      <w:r>
        <w:rPr>
          <w:rStyle w:val="17"/>
          <w:rFonts w:hint="default" w:ascii="Times New Roman" w:hAnsi="Times New Roman" w:eastAsia="仿宋_GB2312" w:cs="Times New Roman"/>
          <w:b/>
          <w:bCs/>
          <w:color w:val="000000"/>
          <w:sz w:val="32"/>
          <w:szCs w:val="32"/>
          <w:lang w:eastAsia="zh-CN"/>
        </w:rPr>
        <w:t>社会保障和就业支出（类）</w:t>
      </w:r>
      <w:r>
        <w:rPr>
          <w:rStyle w:val="17"/>
          <w:rFonts w:hint="default" w:ascii="Times New Roman" w:hAnsi="Times New Roman" w:cs="Times New Roman"/>
          <w:b/>
          <w:bCs/>
          <w:color w:val="000000"/>
          <w:sz w:val="32"/>
          <w:szCs w:val="32"/>
          <w:lang w:val="en-US" w:eastAsia="zh-CN"/>
        </w:rPr>
        <w:t>其他</w:t>
      </w:r>
      <w:r>
        <w:rPr>
          <w:rStyle w:val="17"/>
          <w:rFonts w:hint="default" w:ascii="Times New Roman" w:hAnsi="Times New Roman" w:eastAsia="仿宋_GB2312" w:cs="Times New Roman"/>
          <w:b/>
          <w:bCs/>
          <w:color w:val="000000"/>
          <w:sz w:val="32"/>
          <w:szCs w:val="32"/>
          <w:lang w:eastAsia="zh-CN"/>
        </w:rPr>
        <w:t>社会保障和就业支出（款）</w:t>
      </w:r>
      <w:r>
        <w:rPr>
          <w:rStyle w:val="17"/>
          <w:rFonts w:hint="default" w:ascii="Times New Roman" w:hAnsi="Times New Roman" w:cs="Times New Roman"/>
          <w:b/>
          <w:bCs/>
          <w:color w:val="000000"/>
          <w:sz w:val="32"/>
          <w:szCs w:val="32"/>
          <w:lang w:val="en-US" w:eastAsia="zh-CN"/>
        </w:rPr>
        <w:t>其他</w:t>
      </w:r>
      <w:r>
        <w:rPr>
          <w:rStyle w:val="17"/>
          <w:rFonts w:hint="default" w:ascii="Times New Roman" w:hAnsi="Times New Roman" w:eastAsia="仿宋_GB2312" w:cs="Times New Roman"/>
          <w:b/>
          <w:bCs/>
          <w:color w:val="000000"/>
          <w:sz w:val="32"/>
          <w:szCs w:val="32"/>
          <w:lang w:eastAsia="zh-CN"/>
        </w:rPr>
        <w:t>社会保障和就业支出（项）：</w:t>
      </w:r>
      <w:r>
        <w:rPr>
          <w:rStyle w:val="17"/>
          <w:rFonts w:hint="default" w:ascii="Times New Roman" w:hAnsi="Times New Roman" w:eastAsia="仿宋_GB2312" w:cs="Times New Roman"/>
          <w:b w:val="0"/>
          <w:color w:val="000000"/>
          <w:sz w:val="32"/>
          <w:szCs w:val="32"/>
        </w:rPr>
        <w:t>支出决算为</w:t>
      </w:r>
      <w:r>
        <w:rPr>
          <w:rStyle w:val="17"/>
          <w:rFonts w:hint="default" w:ascii="Times New Roman" w:hAnsi="Times New Roman" w:cs="Times New Roman"/>
          <w:b w:val="0"/>
          <w:color w:val="000000"/>
          <w:sz w:val="32"/>
          <w:szCs w:val="32"/>
          <w:lang w:val="en-US" w:eastAsia="zh-CN"/>
        </w:rPr>
        <w:t>0.14</w:t>
      </w:r>
      <w:r>
        <w:rPr>
          <w:rStyle w:val="17"/>
          <w:rFonts w:hint="default" w:ascii="Times New Roman" w:hAnsi="Times New Roman" w:eastAsia="仿宋_GB2312" w:cs="Times New Roman"/>
          <w:b w:val="0"/>
          <w:color w:val="000000"/>
          <w:sz w:val="32"/>
          <w:szCs w:val="32"/>
        </w:rPr>
        <w:t>万元，完成预算</w:t>
      </w:r>
      <w:r>
        <w:rPr>
          <w:rStyle w:val="17"/>
          <w:rFonts w:hint="default" w:ascii="Times New Roman" w:hAnsi="Times New Roman" w:eastAsia="仿宋_GB2312" w:cs="Times New Roman"/>
          <w:b w:val="0"/>
          <w:color w:val="000000"/>
          <w:sz w:val="32"/>
          <w:szCs w:val="32"/>
          <w:lang w:val="en-US" w:eastAsia="zh-CN"/>
        </w:rPr>
        <w:t>100</w:t>
      </w:r>
      <w:r>
        <w:rPr>
          <w:rStyle w:val="17"/>
          <w:rFonts w:hint="default" w:ascii="Times New Roman" w:hAnsi="Times New Roman" w:eastAsia="仿宋_GB2312" w:cs="Times New Roman"/>
          <w:b w:val="0"/>
          <w:color w:val="000000"/>
          <w:sz w:val="32"/>
          <w:szCs w:val="32"/>
        </w:rPr>
        <w:t>%，决算数</w:t>
      </w:r>
      <w:r>
        <w:rPr>
          <w:rStyle w:val="17"/>
          <w:rFonts w:hint="default" w:ascii="Times New Roman" w:hAnsi="Times New Roman" w:eastAsia="仿宋_GB2312" w:cs="Times New Roman"/>
          <w:b w:val="0"/>
          <w:color w:val="000000"/>
          <w:sz w:val="32"/>
          <w:szCs w:val="32"/>
          <w:lang w:eastAsia="zh-CN"/>
        </w:rPr>
        <w:t>与</w:t>
      </w:r>
      <w:r>
        <w:rPr>
          <w:rStyle w:val="17"/>
          <w:rFonts w:hint="default" w:ascii="Times New Roman" w:hAnsi="Times New Roman" w:eastAsia="仿宋_GB2312" w:cs="Times New Roman"/>
          <w:b w:val="0"/>
          <w:color w:val="000000"/>
          <w:sz w:val="32"/>
          <w:szCs w:val="32"/>
        </w:rPr>
        <w:t>预算数</w:t>
      </w:r>
      <w:r>
        <w:rPr>
          <w:rStyle w:val="17"/>
          <w:rFonts w:hint="default" w:ascii="Times New Roman" w:hAnsi="Times New Roman" w:eastAsia="仿宋_GB2312" w:cs="Times New Roman"/>
          <w:b w:val="0"/>
          <w:color w:val="000000"/>
          <w:sz w:val="32"/>
          <w:szCs w:val="32"/>
          <w:lang w:eastAsia="zh-CN"/>
        </w:rPr>
        <w:t>持平</w:t>
      </w:r>
      <w:r>
        <w:rPr>
          <w:rStyle w:val="17"/>
          <w:rFonts w:hint="default" w:ascii="Times New Roman" w:hAnsi="Times New Roman" w:eastAsia="仿宋_GB2312" w:cs="Times New Roman"/>
          <w:b w:val="0"/>
          <w:color w:val="000000"/>
          <w:sz w:val="32"/>
          <w:szCs w:val="32"/>
        </w:rPr>
        <w:t>。</w:t>
      </w:r>
    </w:p>
    <w:p w14:paraId="1F2D81AD">
      <w:pPr>
        <w:spacing w:beforeLines="0" w:line="56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六、一般公共预算财政拨款基本支出决算情况说明</w:t>
      </w:r>
    </w:p>
    <w:p w14:paraId="6AC27D89">
      <w:pPr>
        <w:spacing w:beforeLines="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度一般公共预算财政拨款基本支出</w:t>
      </w:r>
      <w:r>
        <w:rPr>
          <w:rFonts w:hint="default" w:ascii="Times New Roman" w:hAnsi="Times New Roman" w:eastAsia="仿宋_GB2312" w:cs="Times New Roman"/>
          <w:color w:val="000000"/>
          <w:sz w:val="32"/>
          <w:szCs w:val="32"/>
          <w:lang w:val="en-US" w:eastAsia="zh-CN"/>
        </w:rPr>
        <w:t>125.29</w:t>
      </w:r>
      <w:r>
        <w:rPr>
          <w:rFonts w:hint="default" w:ascii="Times New Roman" w:hAnsi="Times New Roman" w:eastAsia="仿宋_GB2312" w:cs="Times New Roman"/>
          <w:color w:val="000000"/>
          <w:sz w:val="32"/>
          <w:szCs w:val="32"/>
        </w:rPr>
        <w:t>万元，其中：</w:t>
      </w:r>
    </w:p>
    <w:p w14:paraId="6A56E2AB">
      <w:pPr>
        <w:spacing w:beforeLines="0"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人员经费</w:t>
      </w:r>
      <w:r>
        <w:rPr>
          <w:rFonts w:hint="default" w:ascii="Times New Roman" w:hAnsi="Times New Roman" w:eastAsia="仿宋_GB2312" w:cs="Times New Roman"/>
          <w:color w:val="000000"/>
          <w:sz w:val="32"/>
          <w:szCs w:val="32"/>
          <w:lang w:val="en-US" w:eastAsia="zh-CN"/>
        </w:rPr>
        <w:t>112.01</w:t>
      </w:r>
      <w:r>
        <w:rPr>
          <w:rFonts w:hint="default" w:ascii="Times New Roman" w:hAnsi="Times New Roman" w:eastAsia="仿宋_GB2312" w:cs="Times New Roman"/>
          <w:color w:val="000000"/>
          <w:sz w:val="32"/>
          <w:szCs w:val="32"/>
        </w:rPr>
        <w:t>万元，主要包括：基本工资</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.29万元、</w:t>
      </w:r>
      <w:r>
        <w:rPr>
          <w:rFonts w:hint="default" w:ascii="Times New Roman" w:hAnsi="Times New Roman" w:eastAsia="仿宋_GB2312" w:cs="Times New Roman"/>
          <w:color w:val="000000"/>
          <w:sz w:val="32"/>
          <w:szCs w:val="32"/>
        </w:rPr>
        <w:t>津贴补</w:t>
      </w:r>
      <w:r>
        <w:rPr>
          <w:rFonts w:hint="default" w:ascii="Times New Roman" w:hAnsi="Times New Roman" w:eastAsia="仿宋_GB2312" w:cs="Times New Roman"/>
          <w:color w:val="000000"/>
          <w:sz w:val="32"/>
          <w:szCs w:val="32"/>
          <w:lang w:val="en-US" w:eastAsia="zh-CN"/>
        </w:rPr>
        <w:t>14.1</w:t>
      </w:r>
      <w:r>
        <w:rPr>
          <w:rFonts w:hint="default" w:ascii="Times New Roman" w:hAnsi="Times New Roman" w:eastAsia="仿宋_GB2312" w:cs="Times New Roman"/>
          <w:color w:val="000000"/>
          <w:sz w:val="32"/>
          <w:szCs w:val="32"/>
        </w:rPr>
        <w:t>万元、奖金</w:t>
      </w:r>
      <w:r>
        <w:rPr>
          <w:rFonts w:hint="default" w:ascii="Times New Roman" w:hAnsi="Times New Roman" w:eastAsia="仿宋_GB2312" w:cs="Times New Roman"/>
          <w:color w:val="000000"/>
          <w:sz w:val="32"/>
          <w:szCs w:val="32"/>
          <w:lang w:val="en-US" w:eastAsia="zh-CN"/>
        </w:rPr>
        <w:t>23.97</w:t>
      </w:r>
      <w:r>
        <w:rPr>
          <w:rFonts w:hint="default" w:ascii="Times New Roman" w:hAnsi="Times New Roman" w:eastAsia="仿宋_GB2312" w:cs="Times New Roman"/>
          <w:color w:val="000000"/>
          <w:sz w:val="32"/>
          <w:szCs w:val="32"/>
        </w:rPr>
        <w:t>万元、机关事业单位基本养老保险缴费</w:t>
      </w:r>
      <w:r>
        <w:rPr>
          <w:rFonts w:hint="default" w:ascii="Times New Roman" w:hAnsi="Times New Roman" w:eastAsia="仿宋_GB2312" w:cs="Times New Roman"/>
          <w:color w:val="000000"/>
          <w:sz w:val="32"/>
          <w:szCs w:val="32"/>
          <w:lang w:val="en-US" w:eastAsia="zh-CN"/>
        </w:rPr>
        <w:t>9.96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职工基本医疗保险及公务员医疗保险补助缴费</w:t>
      </w:r>
      <w:r>
        <w:rPr>
          <w:rFonts w:hint="default" w:ascii="Times New Roman" w:hAnsi="Times New Roman" w:eastAsia="仿宋_GB2312" w:cs="Times New Roman"/>
          <w:color w:val="000000"/>
          <w:sz w:val="32"/>
          <w:szCs w:val="32"/>
          <w:lang w:val="en-US" w:eastAsia="zh-CN"/>
        </w:rPr>
        <w:t>5.45万元、</w:t>
      </w:r>
      <w:r>
        <w:rPr>
          <w:rFonts w:hint="default" w:ascii="Times New Roman" w:hAnsi="Times New Roman" w:eastAsia="仿宋_GB2312" w:cs="Times New Roman"/>
          <w:color w:val="000000"/>
          <w:sz w:val="32"/>
          <w:szCs w:val="32"/>
        </w:rPr>
        <w:t>其他社会保障缴费</w:t>
      </w:r>
      <w:r>
        <w:rPr>
          <w:rFonts w:hint="default" w:ascii="Times New Roman" w:hAnsi="Times New Roman" w:eastAsia="仿宋_GB2312" w:cs="Times New Roman"/>
          <w:color w:val="000000"/>
          <w:sz w:val="32"/>
          <w:szCs w:val="32"/>
          <w:lang w:val="en-US" w:eastAsia="zh-CN"/>
        </w:rPr>
        <w:t>0.14</w:t>
      </w:r>
      <w:r>
        <w:rPr>
          <w:rFonts w:hint="default" w:ascii="Times New Roman" w:hAnsi="Times New Roman" w:eastAsia="仿宋_GB2312" w:cs="Times New Roman"/>
          <w:color w:val="000000"/>
          <w:sz w:val="32"/>
          <w:szCs w:val="32"/>
        </w:rPr>
        <w:t>万元、其他工资福利支出</w:t>
      </w:r>
      <w:r>
        <w:rPr>
          <w:rFonts w:hint="default" w:ascii="Times New Roman" w:hAnsi="Times New Roman" w:eastAsia="仿宋_GB2312" w:cs="Times New Roman"/>
          <w:color w:val="000000"/>
          <w:sz w:val="32"/>
          <w:szCs w:val="32"/>
          <w:lang w:val="en-US" w:eastAsia="zh-CN"/>
        </w:rPr>
        <w:t>4.5</w:t>
      </w:r>
      <w:r>
        <w:rPr>
          <w:rFonts w:hint="default" w:ascii="Times New Roman" w:hAnsi="Times New Roman" w:eastAsia="仿宋_GB2312" w:cs="Times New Roman"/>
          <w:color w:val="000000"/>
          <w:sz w:val="32"/>
          <w:szCs w:val="32"/>
        </w:rPr>
        <w:t>万元、抚恤金</w:t>
      </w:r>
      <w:r>
        <w:rPr>
          <w:rFonts w:hint="default" w:ascii="Times New Roman" w:hAnsi="Times New Roman" w:eastAsia="仿宋_GB2312" w:cs="Times New Roman"/>
          <w:color w:val="000000"/>
          <w:sz w:val="32"/>
          <w:szCs w:val="32"/>
          <w:lang w:val="en-US" w:eastAsia="zh-CN"/>
        </w:rPr>
        <w:t>21.1</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rPr>
        <w:t>、生活补助</w:t>
      </w:r>
      <w:r>
        <w:rPr>
          <w:rFonts w:hint="default" w:ascii="Times New Roman" w:hAnsi="Times New Roman"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rPr>
        <w:t>万元、住房公积金</w:t>
      </w:r>
      <w:r>
        <w:rPr>
          <w:rFonts w:hint="default" w:ascii="Times New Roman" w:hAnsi="Times New Roman" w:eastAsia="仿宋_GB2312" w:cs="Times New Roman"/>
          <w:color w:val="000000"/>
          <w:sz w:val="32"/>
          <w:szCs w:val="32"/>
          <w:lang w:val="en-US" w:eastAsia="zh-CN"/>
        </w:rPr>
        <w:t>9.26</w:t>
      </w:r>
      <w:r>
        <w:rPr>
          <w:rFonts w:hint="default" w:ascii="Times New Roman" w:hAnsi="Times New Roman" w:eastAsia="仿宋_GB2312" w:cs="Times New Roman"/>
          <w:color w:val="000000"/>
          <w:sz w:val="32"/>
          <w:szCs w:val="32"/>
        </w:rPr>
        <w:t>万元。</w:t>
      </w:r>
    </w:p>
    <w:p w14:paraId="3749B9AD">
      <w:pPr>
        <w:spacing w:beforeLines="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公用经费</w:t>
      </w:r>
      <w:r>
        <w:rPr>
          <w:rFonts w:hint="default" w:ascii="Times New Roman" w:hAnsi="Times New Roman" w:eastAsia="仿宋_GB2312" w:cs="Times New Roman"/>
          <w:color w:val="000000"/>
          <w:sz w:val="32"/>
          <w:szCs w:val="32"/>
          <w:lang w:val="en-US" w:eastAsia="zh-CN"/>
        </w:rPr>
        <w:t>13.28</w:t>
      </w:r>
      <w:r>
        <w:rPr>
          <w:rFonts w:hint="default" w:ascii="Times New Roman" w:hAnsi="Times New Roman" w:eastAsia="仿宋_GB2312" w:cs="Times New Roman"/>
          <w:color w:val="000000"/>
          <w:sz w:val="32"/>
          <w:szCs w:val="32"/>
        </w:rPr>
        <w:t>万元，主要包括：办公费</w:t>
      </w:r>
      <w:r>
        <w:rPr>
          <w:rFonts w:hint="default" w:ascii="Times New Roman" w:hAnsi="Times New Roman" w:eastAsia="仿宋_GB2312" w:cs="Times New Roman"/>
          <w:color w:val="000000"/>
          <w:sz w:val="32"/>
          <w:szCs w:val="32"/>
          <w:lang w:val="en-US" w:eastAsia="zh-CN"/>
        </w:rPr>
        <w:t>3.39</w:t>
      </w:r>
      <w:r>
        <w:rPr>
          <w:rFonts w:hint="default" w:ascii="Times New Roman" w:hAnsi="Times New Roman" w:eastAsia="仿宋_GB2312" w:cs="Times New Roman"/>
          <w:color w:val="000000"/>
          <w:sz w:val="32"/>
          <w:szCs w:val="32"/>
        </w:rPr>
        <w:t>万元、电费</w:t>
      </w:r>
      <w:r>
        <w:rPr>
          <w:rFonts w:hint="default" w:ascii="Times New Roman" w:hAnsi="Times New Roman" w:eastAsia="仿宋_GB2312" w:cs="Times New Roman"/>
          <w:color w:val="000000"/>
          <w:sz w:val="32"/>
          <w:szCs w:val="32"/>
          <w:lang w:val="en-US" w:eastAsia="zh-CN"/>
        </w:rPr>
        <w:t>0.4</w:t>
      </w:r>
      <w:r>
        <w:rPr>
          <w:rFonts w:hint="default" w:ascii="Times New Roman" w:hAnsi="Times New Roman" w:eastAsia="仿宋_GB2312" w:cs="Times New Roman"/>
          <w:color w:val="000000"/>
          <w:sz w:val="32"/>
          <w:szCs w:val="32"/>
        </w:rPr>
        <w:t>万元、差旅费</w:t>
      </w:r>
      <w:r>
        <w:rPr>
          <w:rFonts w:hint="default" w:ascii="Times New Roman" w:hAnsi="Times New Roman" w:eastAsia="仿宋_GB2312" w:cs="Times New Roman"/>
          <w:color w:val="000000"/>
          <w:sz w:val="32"/>
          <w:szCs w:val="32"/>
          <w:lang w:val="en-US" w:eastAsia="zh-CN"/>
        </w:rPr>
        <w:t>1.99</w:t>
      </w:r>
      <w:r>
        <w:rPr>
          <w:rFonts w:hint="default" w:ascii="Times New Roman" w:hAnsi="Times New Roman" w:eastAsia="仿宋_GB2312" w:cs="Times New Roman"/>
          <w:color w:val="000000"/>
          <w:sz w:val="32"/>
          <w:szCs w:val="32"/>
        </w:rPr>
        <w:t>万元、公务接待费</w:t>
      </w:r>
      <w:r>
        <w:rPr>
          <w:rFonts w:hint="default" w:ascii="Times New Roman" w:hAnsi="Times New Roman"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工会经费</w:t>
      </w:r>
      <w:r>
        <w:rPr>
          <w:rFonts w:hint="default" w:ascii="Times New Roman" w:hAnsi="Times New Roman" w:eastAsia="仿宋_GB2312" w:cs="Times New Roman"/>
          <w:color w:val="000000"/>
          <w:sz w:val="32"/>
          <w:szCs w:val="32"/>
          <w:lang w:val="en-US" w:eastAsia="zh-CN"/>
        </w:rPr>
        <w:t>0.93</w:t>
      </w:r>
      <w:r>
        <w:rPr>
          <w:rFonts w:hint="default" w:ascii="Times New Roman" w:hAnsi="Times New Roman" w:eastAsia="仿宋_GB2312" w:cs="Times New Roman"/>
          <w:color w:val="000000"/>
          <w:sz w:val="32"/>
          <w:szCs w:val="32"/>
        </w:rPr>
        <w:t>万元、福利费</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万元、其他交通费</w:t>
      </w:r>
      <w:r>
        <w:rPr>
          <w:rFonts w:hint="default" w:ascii="Times New Roman" w:hAnsi="Times New Roman" w:eastAsia="仿宋_GB2312" w:cs="Times New Roman"/>
          <w:color w:val="000000"/>
          <w:sz w:val="32"/>
          <w:szCs w:val="32"/>
          <w:lang w:val="en-US" w:eastAsia="zh-CN"/>
        </w:rPr>
        <w:t>3.72</w:t>
      </w:r>
      <w:r>
        <w:rPr>
          <w:rFonts w:hint="default" w:ascii="Times New Roman" w:hAnsi="Times New Roman" w:eastAsia="仿宋_GB2312" w:cs="Times New Roman"/>
          <w:color w:val="000000"/>
          <w:sz w:val="32"/>
          <w:szCs w:val="32"/>
        </w:rPr>
        <w:t>万元、其他商品和服务支出</w:t>
      </w:r>
      <w:r>
        <w:rPr>
          <w:rFonts w:hint="default" w:ascii="Times New Roman" w:hAnsi="Times New Roman" w:eastAsia="仿宋_GB2312" w:cs="Times New Roman"/>
          <w:color w:val="000000"/>
          <w:sz w:val="32"/>
          <w:szCs w:val="32"/>
          <w:lang w:val="en-US" w:eastAsia="zh-CN"/>
        </w:rPr>
        <w:t>0.25</w:t>
      </w:r>
      <w:r>
        <w:rPr>
          <w:rFonts w:hint="default" w:ascii="Times New Roman" w:hAnsi="Times New Roman" w:eastAsia="仿宋_GB2312" w:cs="Times New Roman"/>
          <w:color w:val="000000"/>
          <w:sz w:val="32"/>
          <w:szCs w:val="32"/>
        </w:rPr>
        <w:t>万元。</w:t>
      </w:r>
    </w:p>
    <w:p w14:paraId="42920A4D">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七、财政拨款“三公”经费支出决算情况说明</w:t>
      </w:r>
    </w:p>
    <w:p w14:paraId="1DD43EAA">
      <w:p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（一）“三公”经费财政拨款支出决算总体情况说明</w:t>
      </w:r>
    </w:p>
    <w:p w14:paraId="03E28063">
      <w:pPr>
        <w:spacing w:line="560" w:lineRule="exact"/>
        <w:ind w:firstLine="640" w:firstLineChars="200"/>
        <w:rPr>
          <w:rFonts w:hint="eastAsia" w:eastAsia="仿宋_GB2312"/>
          <w:lang w:val="en-US" w:eastAsia="zh-CN"/>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%；公务接待费支出决算</w:t>
      </w:r>
      <w:r>
        <w:rPr>
          <w:rFonts w:hint="default" w:ascii="Times New Roman" w:hAnsi="Times New Roman"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%；完成预算</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决算</w:t>
      </w:r>
      <w:r>
        <w:rPr>
          <w:rFonts w:hint="default" w:ascii="Times New Roman" w:hAnsi="Times New Roman"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lang w:eastAsia="zh-CN"/>
        </w:rPr>
        <w:t>预算</w:t>
      </w:r>
      <w:r>
        <w:rPr>
          <w:rFonts w:hint="default" w:ascii="Times New Roman" w:hAnsi="Times New Roman" w:eastAsia="仿宋_GB2312" w:cs="Times New Roman"/>
          <w:color w:val="000000"/>
          <w:sz w:val="32"/>
          <w:szCs w:val="32"/>
          <w:lang w:val="en-US" w:eastAsia="zh-CN"/>
        </w:rPr>
        <w:t>持平</w:t>
      </w:r>
      <w:r>
        <w:rPr>
          <w:rFonts w:hint="default" w:ascii="Times New Roman" w:hAnsi="Times New Roman" w:eastAsia="仿宋_GB2312" w:cs="Times New Roman"/>
          <w:color w:val="000000"/>
          <w:sz w:val="32"/>
          <w:szCs w:val="32"/>
        </w:rPr>
        <w:t>。</w:t>
      </w:r>
    </w:p>
    <w:p w14:paraId="56AC14F9">
      <w:pPr>
        <w:spacing w:line="560" w:lineRule="exact"/>
        <w:ind w:firstLine="640"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（二）“三公”经费财政拨款支出决算具体情况说明</w:t>
      </w:r>
    </w:p>
    <w:p w14:paraId="67DFB139">
      <w:pPr>
        <w:spacing w:line="56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公务接待费支出决算</w:t>
      </w:r>
      <w:r>
        <w:rPr>
          <w:rFonts w:hint="default" w:ascii="Times New Roman" w:hAnsi="Times New Roman"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%。具体情况如下：</w:t>
      </w:r>
      <w:r>
        <w:rPr>
          <w:rFonts w:hint="eastAsia" w:ascii="Times New Roman" w:hAnsi="Times New Roman" w:eastAsia="仿宋_GB2312" w:cs="Times New Roman"/>
          <w:b/>
          <w:color w:val="000000"/>
          <w:sz w:val="32"/>
          <w:szCs w:val="32"/>
          <w:lang w:eastAsia="zh-CN"/>
        </w:rPr>
        <w:tab/>
      </w:r>
    </w:p>
    <w:p w14:paraId="5B71CC16">
      <w:pPr>
        <w:spacing w:line="560" w:lineRule="exact"/>
        <w:ind w:firstLine="643" w:firstLineChars="200"/>
        <w:rPr>
          <w:rFonts w:hint="eastAsia" w:ascii="Times New Roman" w:hAnsi="Times New Roman" w:eastAsia="仿宋_GB2312" w:cs="Times New Roman"/>
          <w:b/>
          <w:color w:val="000000"/>
          <w:sz w:val="32"/>
          <w:szCs w:val="32"/>
          <w:lang w:eastAsia="zh-CN"/>
        </w:rPr>
      </w:pPr>
    </w:p>
    <w:p w14:paraId="3C1D84DC">
      <w:pPr>
        <w:pStyle w:val="2"/>
        <w:rPr>
          <w:rFonts w:hint="default"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lang w:eastAsia="zh-CN"/>
        </w:rPr>
        <w:drawing>
          <wp:inline distT="0" distB="0" distL="114300" distR="114300">
            <wp:extent cx="5256530" cy="2988310"/>
            <wp:effectExtent l="5080" t="4445" r="15240" b="55245"/>
            <wp:docPr id="9" name="图表 9" descr="7b0a202020202263686172745265734964223a2022323034373539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59936F">
      <w:pPr>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万元。全年安排因公出国（境）团组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与上年持平</w:t>
      </w:r>
      <w:r>
        <w:rPr>
          <w:rFonts w:hint="default" w:ascii="Times New Roman" w:hAnsi="Times New Roman" w:eastAsia="仿宋_GB2312" w:cs="Times New Roman"/>
          <w:color w:val="000000"/>
          <w:sz w:val="32"/>
          <w:szCs w:val="32"/>
        </w:rPr>
        <w:t>。</w:t>
      </w:r>
    </w:p>
    <w:p w14:paraId="5E1EE1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完</w:t>
      </w:r>
      <w:r>
        <w:rPr>
          <w:rStyle w:val="17"/>
          <w:rFonts w:hint="default" w:ascii="Times New Roman" w:hAnsi="Times New Roman" w:eastAsia="仿宋_GB2312" w:cs="Times New Roman"/>
          <w:b w:val="0"/>
          <w:bCs w:val="0"/>
          <w:i w:val="0"/>
          <w:iCs w:val="0"/>
          <w:color w:val="auto"/>
          <w:sz w:val="32"/>
          <w:szCs w:val="32"/>
          <w:highlight w:val="none"/>
        </w:rPr>
        <w:t>成预算</w:t>
      </w:r>
      <w:r>
        <w:rPr>
          <w:rStyle w:val="17"/>
          <w:rFonts w:hint="default" w:ascii="Times New Roman" w:hAnsi="Times New Roman" w:eastAsia="仿宋_GB2312" w:cs="Times New Roman"/>
          <w:b w:val="0"/>
          <w:bCs w:val="0"/>
          <w:i w:val="0"/>
          <w:iCs w:val="0"/>
          <w:color w:val="auto"/>
          <w:sz w:val="32"/>
          <w:szCs w:val="32"/>
          <w:highlight w:val="none"/>
          <w:lang w:val="en-US" w:eastAsia="zh-CN"/>
        </w:rPr>
        <w:t>100</w:t>
      </w:r>
      <w:r>
        <w:rPr>
          <w:rStyle w:val="17"/>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ascii="Times New Roman" w:hAnsi="Times New Roman" w:eastAsia="仿宋_GB2312" w:cs="Times New Roman"/>
          <w:b w:val="0"/>
          <w:bCs w:val="0"/>
          <w:i w:val="0"/>
          <w:iCs w:val="0"/>
          <w:color w:val="auto"/>
          <w:sz w:val="32"/>
          <w:szCs w:val="32"/>
          <w:highlight w:val="none"/>
          <w:lang w:val="en-US" w:eastAsia="zh-CN"/>
        </w:rPr>
        <w:t>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lang w:val="en-US" w:eastAsia="zh-CN"/>
        </w:rPr>
        <w:t>持平</w:t>
      </w:r>
      <w:r>
        <w:rPr>
          <w:rFonts w:hint="default" w:ascii="Times New Roman" w:hAnsi="Times New Roman" w:eastAsia="仿宋_GB2312" w:cs="Times New Roman"/>
          <w:color w:val="000000"/>
          <w:sz w:val="32"/>
          <w:szCs w:val="32"/>
          <w:lang w:eastAsia="zh-CN"/>
        </w:rPr>
        <w:t>。</w:t>
      </w:r>
    </w:p>
    <w:p w14:paraId="7C52906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w:t>
      </w:r>
    </w:p>
    <w:p w14:paraId="78CBA567">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w:t>
      </w:r>
    </w:p>
    <w:p w14:paraId="7475B3B2">
      <w:pPr>
        <w:spacing w:line="560" w:lineRule="exact"/>
        <w:ind w:firstLine="643" w:firstLineChars="20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万元。完成预算</w:t>
      </w:r>
      <w:r>
        <w:rPr>
          <w:rFonts w:hint="eastAsia" w:ascii="Times New Roman" w:hAnsi="Times New Roman" w:eastAsia="仿宋_GB2312" w:cs="Times New Roman"/>
          <w:color w:val="000000"/>
          <w:sz w:val="32"/>
          <w:szCs w:val="32"/>
          <w:lang w:eastAsia="zh-CN"/>
        </w:rPr>
        <w:t>100</w:t>
      </w:r>
      <w:r>
        <w:rPr>
          <w:rFonts w:hint="default" w:ascii="Times New Roman" w:hAnsi="Times New Roman" w:eastAsia="仿宋_GB2312" w:cs="Times New Roman"/>
          <w:color w:val="000000"/>
          <w:sz w:val="32"/>
          <w:szCs w:val="32"/>
        </w:rPr>
        <w:t>%。公务接待费支出决算比</w:t>
      </w:r>
      <w:r>
        <w:rPr>
          <w:rFonts w:hint="default" w:ascii="Times New Roman" w:hAnsi="Times New Roman"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度</w:t>
      </w:r>
      <w:r>
        <w:rPr>
          <w:rFonts w:hint="default" w:ascii="Times New Roman" w:hAnsi="Times New Roman" w:eastAsia="仿宋_GB2312" w:cs="Times New Roman"/>
          <w:color w:val="000000"/>
          <w:sz w:val="32"/>
          <w:szCs w:val="32"/>
        </w:rPr>
        <w:t>增加</w:t>
      </w:r>
      <w:r>
        <w:rPr>
          <w:rFonts w:hint="eastAsia" w:ascii="Times New Roman" w:hAnsi="Times New Roman" w:eastAsia="仿宋_GB2312" w:cs="Times New Roman"/>
          <w:color w:val="000000"/>
          <w:sz w:val="32"/>
          <w:szCs w:val="32"/>
          <w:lang w:eastAsia="zh-CN"/>
        </w:rPr>
        <w:t>0.26</w:t>
      </w:r>
      <w:r>
        <w:rPr>
          <w:rFonts w:hint="default" w:ascii="Times New Roman" w:hAnsi="Times New Roman" w:eastAsia="仿宋_GB2312" w:cs="Times New Roman"/>
          <w:color w:val="000000"/>
          <w:sz w:val="32"/>
          <w:szCs w:val="32"/>
        </w:rPr>
        <w:t>万元，增长</w:t>
      </w:r>
      <w:r>
        <w:rPr>
          <w:rFonts w:hint="eastAsia" w:ascii="Times New Roman" w:hAnsi="Times New Roman" w:eastAsia="仿宋_GB2312" w:cs="Times New Roman"/>
          <w:color w:val="000000"/>
          <w:sz w:val="32"/>
          <w:szCs w:val="32"/>
          <w:lang w:eastAsia="zh-CN"/>
        </w:rPr>
        <w:t>48.4</w:t>
      </w:r>
      <w:r>
        <w:rPr>
          <w:rFonts w:hint="default" w:ascii="Times New Roman" w:hAnsi="Times New Roman" w:eastAsia="仿宋_GB2312" w:cs="Times New Roman"/>
          <w:color w:val="000000"/>
          <w:sz w:val="32"/>
          <w:szCs w:val="32"/>
        </w:rPr>
        <w:t>%。主要</w:t>
      </w:r>
      <w:r>
        <w:rPr>
          <w:rFonts w:hint="eastAsia" w:ascii="Times New Roman" w:hAnsi="Times New Roman" w:eastAsia="仿宋_GB2312" w:cs="Times New Roman"/>
          <w:color w:val="000000"/>
          <w:sz w:val="32"/>
          <w:szCs w:val="32"/>
          <w:lang w:eastAsia="zh-CN"/>
        </w:rPr>
        <w:t>原因是因2022年区工商联公务接待费未全额使用有余额；2023年全部使用。</w:t>
      </w:r>
      <w:r>
        <w:rPr>
          <w:rFonts w:hint="eastAsia" w:ascii="Times New Roman" w:hAnsi="Times New Roman" w:eastAsia="仿宋_GB2312" w:cs="Times New Roman"/>
          <w:color w:val="000000"/>
          <w:sz w:val="32"/>
          <w:szCs w:val="32"/>
          <w:lang w:val="en-US" w:eastAsia="zh-CN"/>
        </w:rPr>
        <w:t>其中：</w:t>
      </w:r>
    </w:p>
    <w:p w14:paraId="25B7F0F4">
      <w:pPr>
        <w:spacing w:line="560" w:lineRule="exact"/>
        <w:ind w:firstLine="643"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国内公务接待支出</w:t>
      </w:r>
      <w:r>
        <w:rPr>
          <w:rFonts w:hint="default" w:ascii="Times New Roman" w:hAnsi="Times New Roman" w:eastAsia="仿宋_GB2312" w:cs="Times New Roman"/>
          <w:b w:val="0"/>
          <w:bCs w:val="0"/>
          <w:i w:val="0"/>
          <w:iCs w:val="0"/>
          <w:color w:val="auto"/>
          <w:sz w:val="32"/>
          <w:szCs w:val="32"/>
          <w:highlight w:val="none"/>
          <w:lang w:val="en-US" w:eastAsia="zh-CN"/>
        </w:rPr>
        <w:t>0.8万元，</w:t>
      </w:r>
      <w:r>
        <w:rPr>
          <w:rFonts w:hint="default" w:ascii="Times New Roman" w:hAnsi="Times New Roman" w:eastAsia="仿宋_GB2312" w:cs="Times New Roman"/>
          <w:b w:val="0"/>
          <w:bCs w:val="0"/>
          <w:i w:val="0"/>
          <w:iCs w:val="0"/>
          <w:color w:val="auto"/>
          <w:sz w:val="32"/>
          <w:szCs w:val="32"/>
          <w:highlight w:val="none"/>
        </w:rPr>
        <w:t>主要用于</w:t>
      </w:r>
      <w:r>
        <w:rPr>
          <w:rFonts w:hint="default" w:ascii="Times New Roman" w:hAnsi="Times New Roman" w:eastAsia="仿宋_GB2312" w:cs="Times New Roman"/>
          <w:b w:val="0"/>
          <w:bCs w:val="0"/>
          <w:i w:val="0"/>
          <w:iCs w:val="0"/>
          <w:color w:val="auto"/>
          <w:sz w:val="32"/>
          <w:szCs w:val="32"/>
          <w:highlight w:val="none"/>
          <w:lang w:val="en-US" w:eastAsia="zh-CN"/>
        </w:rPr>
        <w:t>区工商联参政议政项目</w:t>
      </w:r>
      <w:r>
        <w:rPr>
          <w:rFonts w:hint="default" w:ascii="Times New Roman" w:hAnsi="Times New Roman" w:eastAsia="仿宋_GB2312" w:cs="Times New Roman"/>
          <w:b w:val="0"/>
          <w:bCs w:val="0"/>
          <w:i w:val="0"/>
          <w:iCs w:val="0"/>
          <w:color w:val="auto"/>
          <w:sz w:val="32"/>
          <w:szCs w:val="32"/>
          <w:highlight w:val="none"/>
        </w:rPr>
        <w:t>开支的交通费、住宿费、用餐费等。国内公务接待</w:t>
      </w:r>
      <w:r>
        <w:rPr>
          <w:rFonts w:hint="default" w:ascii="Times New Roman" w:hAnsi="Times New Roman" w:eastAsia="仿宋_GB2312" w:cs="Times New Roman"/>
          <w:b w:val="0"/>
          <w:bCs w:val="0"/>
          <w:i w:val="0"/>
          <w:iCs w:val="0"/>
          <w:color w:val="auto"/>
          <w:sz w:val="32"/>
          <w:szCs w:val="32"/>
          <w:highlight w:val="none"/>
          <w:lang w:val="en-US" w:eastAsia="zh-CN"/>
        </w:rPr>
        <w:t>14</w:t>
      </w:r>
      <w:r>
        <w:rPr>
          <w:rFonts w:hint="default" w:ascii="Times New Roman" w:hAnsi="Times New Roman" w:eastAsia="仿宋_GB2312" w:cs="Times New Roman"/>
          <w:b w:val="0"/>
          <w:bCs w:val="0"/>
          <w:i w:val="0"/>
          <w:iCs w:val="0"/>
          <w:color w:val="auto"/>
          <w:sz w:val="32"/>
          <w:szCs w:val="32"/>
          <w:highlight w:val="none"/>
        </w:rPr>
        <w:t>批次，</w:t>
      </w:r>
      <w:r>
        <w:rPr>
          <w:rFonts w:hint="default" w:ascii="Times New Roman" w:hAnsi="Times New Roman" w:eastAsia="仿宋_GB2312" w:cs="Times New Roman"/>
          <w:b w:val="0"/>
          <w:bCs w:val="0"/>
          <w:i w:val="0"/>
          <w:iCs w:val="0"/>
          <w:color w:val="auto"/>
          <w:sz w:val="32"/>
          <w:szCs w:val="32"/>
          <w:highlight w:val="none"/>
          <w:lang w:val="en-US" w:eastAsia="zh-CN"/>
        </w:rPr>
        <w:t>60</w:t>
      </w:r>
      <w:r>
        <w:rPr>
          <w:rFonts w:hint="default" w:ascii="Times New Roman" w:hAnsi="Times New Roman" w:eastAsia="仿宋_GB2312" w:cs="Times New Roman"/>
          <w:b w:val="0"/>
          <w:bCs w:val="0"/>
          <w:i w:val="0"/>
          <w:iCs w:val="0"/>
          <w:color w:val="auto"/>
          <w:sz w:val="32"/>
          <w:szCs w:val="32"/>
          <w:highlight w:val="none"/>
        </w:rPr>
        <w:t>人次（不包括陪同人员），共计支出</w:t>
      </w:r>
      <w:r>
        <w:rPr>
          <w:rFonts w:hint="default" w:ascii="Times New Roman" w:hAnsi="Times New Roman" w:eastAsia="仿宋_GB2312" w:cs="Times New Roman"/>
          <w:b w:val="0"/>
          <w:bCs w:val="0"/>
          <w:i w:val="0"/>
          <w:iCs w:val="0"/>
          <w:color w:val="auto"/>
          <w:sz w:val="32"/>
          <w:szCs w:val="32"/>
          <w:highlight w:val="none"/>
          <w:lang w:val="en-US" w:eastAsia="zh-CN"/>
        </w:rPr>
        <w:t>0.8</w:t>
      </w:r>
      <w:r>
        <w:rPr>
          <w:rFonts w:hint="default" w:ascii="Times New Roman" w:hAnsi="Times New Roman" w:eastAsia="仿宋_GB2312" w:cs="Times New Roman"/>
          <w:b w:val="0"/>
          <w:bCs w:val="0"/>
          <w:i w:val="0"/>
          <w:iCs w:val="0"/>
          <w:color w:val="auto"/>
          <w:sz w:val="32"/>
          <w:szCs w:val="32"/>
          <w:highlight w:val="none"/>
        </w:rPr>
        <w:t>万元，具体内容包括：</w:t>
      </w:r>
      <w:r>
        <w:rPr>
          <w:rFonts w:hint="default" w:ascii="Times New Roman" w:hAnsi="Times New Roman" w:eastAsia="仿宋_GB2312" w:cs="Times New Roman"/>
          <w:color w:val="000000"/>
          <w:sz w:val="32"/>
          <w:szCs w:val="32"/>
          <w:lang w:eastAsia="zh-CN"/>
        </w:rPr>
        <w:t>接待上级部门</w:t>
      </w:r>
      <w:r>
        <w:rPr>
          <w:rFonts w:hint="eastAsia" w:ascii="Times New Roman" w:hAnsi="Times New Roman" w:eastAsia="仿宋_GB2312" w:cs="Times New Roman"/>
          <w:color w:val="000000"/>
          <w:sz w:val="32"/>
          <w:szCs w:val="32"/>
          <w:lang w:val="en-US" w:eastAsia="zh-CN"/>
        </w:rPr>
        <w:t>检查</w:t>
      </w:r>
      <w:r>
        <w:rPr>
          <w:rFonts w:hint="default" w:ascii="Times New Roman" w:hAnsi="Times New Roman" w:eastAsia="仿宋_GB2312" w:cs="Times New Roman"/>
          <w:color w:val="000000"/>
          <w:sz w:val="32"/>
          <w:szCs w:val="32"/>
        </w:rPr>
        <w:t>。</w:t>
      </w:r>
    </w:p>
    <w:p w14:paraId="1E5CBBAF">
      <w:pPr>
        <w:snapToGrid/>
        <w:spacing w:line="560" w:lineRule="exact"/>
        <w:ind w:firstLine="643" w:firstLineChars="200"/>
        <w:rPr>
          <w:rFonts w:hint="default" w:ascii="Times New Roman" w:hAnsi="Times New Roman" w:cs="Times New Roman"/>
        </w:rPr>
      </w:pPr>
      <w:r>
        <w:rPr>
          <w:rFonts w:hint="default" w:ascii="Times New Roman" w:hAnsi="Times New Roman" w:eastAsia="仿宋_GB2312" w:cs="Times New Roman"/>
          <w:b/>
          <w:bCs/>
          <w:i w:val="0"/>
          <w:iCs w:val="0"/>
          <w:color w:val="auto"/>
          <w:sz w:val="32"/>
          <w:szCs w:val="32"/>
          <w:highlight w:val="none"/>
        </w:rPr>
        <w:t>外事接待支出</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万元，主要用于接待</w:t>
      </w:r>
      <w:r>
        <w:rPr>
          <w:rFonts w:hint="default" w:ascii="Times New Roman" w:hAnsi="Times New Roman" w:eastAsia="仿宋_GB2312" w:cs="Times New Roman"/>
          <w:b w:val="0"/>
          <w:bCs w:val="0"/>
          <w:i w:val="0"/>
          <w:iCs w:val="0"/>
          <w:color w:val="auto"/>
          <w:sz w:val="32"/>
          <w:szCs w:val="32"/>
          <w:highlight w:val="none"/>
          <w:lang w:val="en-US" w:eastAsia="zh-CN"/>
        </w:rPr>
        <w:t>国外公务接待事宜</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410CE10E">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八、政府性基金预算支出决算情况说明</w:t>
      </w:r>
    </w:p>
    <w:p w14:paraId="158353D8">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度政府性基金预算拨款支出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41159DD3">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九、国有资本经营预算支出决算情况说明</w:t>
      </w:r>
    </w:p>
    <w:p w14:paraId="3B993C65">
      <w:pPr>
        <w:spacing w:line="56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lang w:eastAsia="zh-CN"/>
        </w:rPr>
        <w:t>2023年</w:t>
      </w:r>
      <w:r>
        <w:rPr>
          <w:rFonts w:hint="default" w:ascii="Times New Roman" w:hAnsi="Times New Roman" w:eastAsia="仿宋_GB2312"/>
          <w:color w:val="000000"/>
          <w:sz w:val="32"/>
          <w:szCs w:val="32"/>
        </w:rPr>
        <w:t>度国有资本经营预算拨款支出</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万元。</w:t>
      </w:r>
    </w:p>
    <w:p w14:paraId="1B0B96A3">
      <w:pPr>
        <w:numPr>
          <w:ilvl w:val="-1"/>
          <w:numId w:val="0"/>
        </w:numPr>
        <w:snapToGrid/>
        <w:spacing w:line="560" w:lineRule="exact"/>
        <w:ind w:firstLine="640" w:firstLineChars="200"/>
        <w:rPr>
          <w:rFonts w:hint="eastAsia" w:ascii="黑体" w:hAnsi="Calibri" w:eastAsia="黑体" w:cs="Times New Roman"/>
          <w:b w:val="0"/>
          <w:bCs w:val="0"/>
          <w:color w:val="000000"/>
          <w:kern w:val="2"/>
          <w:sz w:val="32"/>
          <w:szCs w:val="32"/>
          <w:lang w:val="en-US" w:eastAsia="zh-CN" w:bidi="ar-SA"/>
        </w:rPr>
      </w:pPr>
      <w:r>
        <w:rPr>
          <w:rFonts w:hint="eastAsia" w:ascii="黑体" w:eastAsia="黑体" w:cs="Times New Roman"/>
          <w:b w:val="0"/>
          <w:bCs w:val="0"/>
          <w:color w:val="000000"/>
          <w:kern w:val="2"/>
          <w:sz w:val="32"/>
          <w:szCs w:val="32"/>
          <w:lang w:val="en-US" w:eastAsia="zh-CN" w:bidi="ar-SA"/>
        </w:rPr>
        <w:t>十、其他重要事项的</w:t>
      </w:r>
      <w:r>
        <w:rPr>
          <w:rFonts w:hint="eastAsia" w:ascii="黑体" w:hAnsi="Calibri" w:eastAsia="黑体" w:cs="Times New Roman"/>
          <w:b w:val="0"/>
          <w:bCs w:val="0"/>
          <w:color w:val="000000"/>
          <w:kern w:val="2"/>
          <w:sz w:val="32"/>
          <w:szCs w:val="32"/>
          <w:lang w:val="en-US" w:eastAsia="zh-CN" w:bidi="ar-SA"/>
        </w:rPr>
        <w:t>情况说明</w:t>
      </w:r>
    </w:p>
    <w:p w14:paraId="5C0892A0">
      <w:pPr>
        <w:numPr>
          <w:ilvl w:val="0"/>
          <w:numId w:val="0"/>
        </w:numPr>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val="0"/>
          <w:color w:val="000000"/>
          <w:kern w:val="0"/>
          <w:sz w:val="32"/>
          <w:szCs w:val="32"/>
        </w:rPr>
        <w:t>（一）机关运行经费支出情况</w:t>
      </w:r>
    </w:p>
    <w:p w14:paraId="78E08B02">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w:t>
      </w:r>
      <w:r>
        <w:rPr>
          <w:rFonts w:hint="default" w:ascii="Times New Roman" w:hAnsi="Times New Roman" w:eastAsia="仿宋_GB2312" w:cs="Times New Roman"/>
          <w:color w:val="000000"/>
          <w:sz w:val="32"/>
          <w:szCs w:val="32"/>
          <w:lang w:eastAsia="zh-CN"/>
        </w:rPr>
        <w:t>区工商联</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13.28</w:t>
      </w:r>
      <w:r>
        <w:rPr>
          <w:rFonts w:hint="default"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lang w:eastAsia="zh-CN"/>
        </w:rPr>
        <w:t>2022年增加</w:t>
      </w:r>
      <w:r>
        <w:rPr>
          <w:rFonts w:hint="default" w:ascii="Times New Roman" w:hAnsi="Times New Roman" w:eastAsia="仿宋_GB2312" w:cs="Times New Roman"/>
          <w:color w:val="000000"/>
          <w:sz w:val="32"/>
          <w:szCs w:val="32"/>
          <w:lang w:val="en-US" w:eastAsia="zh-CN"/>
        </w:rPr>
        <w:t>1.61</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增长</w:t>
      </w:r>
      <w:r>
        <w:rPr>
          <w:rFonts w:hint="default" w:ascii="Times New Roman" w:hAnsi="Times New Roman" w:eastAsia="仿宋_GB2312" w:cs="Times New Roman"/>
          <w:color w:val="000000"/>
          <w:sz w:val="32"/>
          <w:szCs w:val="32"/>
          <w:lang w:val="en-US" w:eastAsia="zh-CN"/>
        </w:rPr>
        <w:t>13.18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;主要是由于人员增加经费增加。</w:t>
      </w:r>
    </w:p>
    <w:p w14:paraId="1FE76B91">
      <w:pPr>
        <w:numPr>
          <w:ilvl w:val="0"/>
          <w:numId w:val="0"/>
        </w:numPr>
        <w:autoSpaceDE/>
        <w:autoSpaceDN/>
        <w:adjustRightInd/>
        <w:spacing w:line="560" w:lineRule="exact"/>
        <w:ind w:firstLine="640" w:firstLineChars="200"/>
        <w:jc w:val="both"/>
        <w:rPr>
          <w:rFonts w:hint="eastAsia" w:ascii="楷体_GB2312" w:hAnsi="楷体_GB2312" w:eastAsia="楷体_GB2312" w:cs="楷体_GB2312"/>
          <w:b w:val="0"/>
          <w:color w:val="000000"/>
          <w:kern w:val="0"/>
          <w:sz w:val="32"/>
          <w:szCs w:val="32"/>
        </w:rPr>
      </w:pPr>
      <w:r>
        <w:rPr>
          <w:rFonts w:hint="eastAsia" w:ascii="楷体_GB2312" w:hAnsi="楷体_GB2312" w:eastAsia="楷体_GB2312" w:cs="楷体_GB2312"/>
          <w:b w:val="0"/>
          <w:color w:val="000000"/>
          <w:kern w:val="0"/>
          <w:sz w:val="32"/>
          <w:szCs w:val="32"/>
        </w:rPr>
        <w:t>（二）政府采购支出情况</w:t>
      </w:r>
    </w:p>
    <w:p w14:paraId="5E6BFB0E">
      <w:pPr>
        <w:spacing w:line="560" w:lineRule="exact"/>
        <w:ind w:firstLine="640" w:firstLineChars="200"/>
        <w:rPr>
          <w:rFonts w:hint="default" w:ascii="Times New Roman" w:hAnsi="Times New Roman" w:eastAsia="仿宋_GB2312"/>
          <w:b w:val="0"/>
          <w:color w:val="000000"/>
          <w:sz w:val="32"/>
          <w:szCs w:val="32"/>
        </w:rPr>
      </w:pPr>
      <w:r>
        <w:rPr>
          <w:rFonts w:hint="default" w:ascii="Times New Roman" w:hAnsi="Times New Roman" w:eastAsia="仿宋_GB2312"/>
          <w:color w:val="000000"/>
          <w:sz w:val="32"/>
          <w:szCs w:val="32"/>
          <w:lang w:eastAsia="zh-CN"/>
        </w:rPr>
        <w:t>2023年</w:t>
      </w:r>
      <w:r>
        <w:rPr>
          <w:rFonts w:hint="default" w:ascii="Times New Roman" w:hAnsi="Times New Roman" w:eastAsia="仿宋_GB2312"/>
          <w:color w:val="000000"/>
          <w:sz w:val="32"/>
          <w:szCs w:val="32"/>
        </w:rPr>
        <w:t>度，</w:t>
      </w:r>
      <w:r>
        <w:rPr>
          <w:rFonts w:hint="default" w:ascii="Times New Roman" w:hAnsi="Times New Roman" w:eastAsia="仿宋_GB2312"/>
          <w:color w:val="000000"/>
          <w:sz w:val="32"/>
          <w:szCs w:val="32"/>
          <w:lang w:eastAsia="zh-CN"/>
        </w:rPr>
        <w:t>区工商联</w:t>
      </w:r>
      <w:r>
        <w:rPr>
          <w:rFonts w:hint="default" w:ascii="Times New Roman" w:hAnsi="Times New Roman" w:eastAsia="仿宋_GB2312"/>
          <w:color w:val="000000"/>
          <w:sz w:val="32"/>
          <w:szCs w:val="32"/>
        </w:rPr>
        <w:t>政府采购支出总额</w:t>
      </w:r>
      <w:r>
        <w:rPr>
          <w:rFonts w:hint="default"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val="en-US" w:eastAsia="zh-CN"/>
        </w:rPr>
        <w:t>.6</w:t>
      </w:r>
      <w:r>
        <w:rPr>
          <w:rFonts w:hint="default" w:ascii="Times New Roman" w:hAnsi="Times New Roman" w:eastAsia="仿宋_GB2312"/>
          <w:color w:val="000000"/>
          <w:sz w:val="32"/>
          <w:szCs w:val="32"/>
        </w:rPr>
        <w:t>万元，其中：政府采购货物支出</w:t>
      </w:r>
      <w:r>
        <w:rPr>
          <w:rFonts w:hint="default"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val="en-US" w:eastAsia="zh-CN"/>
        </w:rPr>
        <w:t>.6</w:t>
      </w:r>
      <w:r>
        <w:rPr>
          <w:rFonts w:hint="default" w:ascii="Times New Roman" w:hAnsi="Times New Roman" w:eastAsia="仿宋_GB2312"/>
          <w:color w:val="000000"/>
          <w:sz w:val="32"/>
          <w:szCs w:val="32"/>
        </w:rPr>
        <w:t>万元、政府采购工程支出</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万元、政府采购服务支出</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万元。</w:t>
      </w:r>
    </w:p>
    <w:p w14:paraId="07B02DCA">
      <w:pPr>
        <w:numPr>
          <w:ilvl w:val="0"/>
          <w:numId w:val="0"/>
        </w:numPr>
        <w:autoSpaceDE/>
        <w:autoSpaceDN/>
        <w:adjustRightInd/>
        <w:spacing w:line="560" w:lineRule="exact"/>
        <w:ind w:firstLine="640" w:firstLineChars="200"/>
        <w:jc w:val="both"/>
        <w:rPr>
          <w:rFonts w:hint="eastAsia" w:ascii="楷体_GB2312" w:hAnsi="楷体_GB2312" w:eastAsia="楷体_GB2312" w:cs="楷体_GB2312"/>
          <w:b w:val="0"/>
          <w:color w:val="000000"/>
          <w:kern w:val="0"/>
          <w:sz w:val="32"/>
          <w:szCs w:val="32"/>
        </w:rPr>
      </w:pPr>
      <w:r>
        <w:rPr>
          <w:rFonts w:hint="eastAsia" w:ascii="楷体_GB2312" w:hAnsi="楷体_GB2312" w:eastAsia="楷体_GB2312" w:cs="楷体_GB2312"/>
          <w:b w:val="0"/>
          <w:color w:val="000000"/>
          <w:kern w:val="0"/>
          <w:sz w:val="32"/>
          <w:szCs w:val="32"/>
        </w:rPr>
        <w:t>（三）国有资产占有使用情况</w:t>
      </w:r>
    </w:p>
    <w:p w14:paraId="200C7A5F">
      <w:pPr>
        <w:autoSpaceDE/>
        <w:autoSpaceDN/>
        <w:adjustRightInd/>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截至</w:t>
      </w:r>
      <w:r>
        <w:rPr>
          <w:rFonts w:hint="default" w:ascii="Times New Roman" w:hAnsi="Times New Roman" w:eastAsia="仿宋_GB2312"/>
          <w:color w:val="000000"/>
          <w:sz w:val="32"/>
          <w:szCs w:val="32"/>
          <w:lang w:eastAsia="zh-CN"/>
        </w:rPr>
        <w:t>2023年</w:t>
      </w:r>
      <w:r>
        <w:rPr>
          <w:rFonts w:hint="default" w:ascii="Times New Roman" w:hAnsi="Times New Roman" w:eastAsia="仿宋_GB2312"/>
          <w:color w:val="000000"/>
          <w:sz w:val="32"/>
          <w:szCs w:val="32"/>
        </w:rPr>
        <w:t>12月31日，</w:t>
      </w:r>
      <w:r>
        <w:rPr>
          <w:rFonts w:hint="default" w:ascii="Times New Roman" w:hAnsi="Times New Roman" w:eastAsia="仿宋_GB2312"/>
          <w:color w:val="000000"/>
          <w:sz w:val="32"/>
          <w:szCs w:val="32"/>
          <w:lang w:eastAsia="zh-CN"/>
        </w:rPr>
        <w:t>区工商联</w:t>
      </w:r>
      <w:r>
        <w:rPr>
          <w:rFonts w:hint="default" w:ascii="Times New Roman" w:hAnsi="Times New Roman" w:eastAsia="仿宋_GB2312"/>
          <w:color w:val="000000"/>
          <w:sz w:val="32"/>
          <w:szCs w:val="32"/>
        </w:rPr>
        <w:t>共有车辆</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辆，其中：部级领导干部用车</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辆、一般公务用车</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辆、一般执法执勤用车</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辆、特种专业技术用车</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辆、其他用车</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辆；单价</w:t>
      </w:r>
      <w:r>
        <w:rPr>
          <w:rFonts w:hint="default" w:ascii="Times New Roman" w:hAnsi="Times New Roman" w:eastAsia="仿宋_GB2312"/>
          <w:color w:val="000000"/>
          <w:sz w:val="32"/>
          <w:szCs w:val="32"/>
          <w:lang w:eastAsia="zh-CN"/>
        </w:rPr>
        <w:t>49</w:t>
      </w:r>
      <w:r>
        <w:rPr>
          <w:rFonts w:hint="default" w:ascii="Times New Roman" w:hAnsi="Times New Roman" w:eastAsia="仿宋_GB2312"/>
          <w:color w:val="000000"/>
          <w:sz w:val="32"/>
          <w:szCs w:val="32"/>
        </w:rPr>
        <w:t>万元以上通用设备</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台（套），单价100万元以上专用设备</w:t>
      </w:r>
      <w:r>
        <w:rPr>
          <w:rFonts w:hint="default" w:ascii="Times New Roman" w:hAnsi="Times New Roman" w:eastAsia="仿宋_GB2312"/>
          <w:color w:val="000000"/>
          <w:sz w:val="32"/>
          <w:szCs w:val="32"/>
          <w:lang w:val="en-US" w:eastAsia="zh-CN"/>
        </w:rPr>
        <w:t>0</w:t>
      </w:r>
      <w:r>
        <w:rPr>
          <w:rFonts w:hint="default" w:ascii="Times New Roman" w:hAnsi="Times New Roman" w:eastAsia="仿宋_GB2312"/>
          <w:color w:val="000000"/>
          <w:sz w:val="32"/>
          <w:szCs w:val="32"/>
        </w:rPr>
        <w:t>台（套）</w:t>
      </w:r>
    </w:p>
    <w:p w14:paraId="7F32D9A9">
      <w:pPr>
        <w:numPr>
          <w:ilvl w:val="-1"/>
          <w:numId w:val="0"/>
        </w:numPr>
        <w:spacing w:line="560" w:lineRule="exact"/>
        <w:ind w:firstLine="640" w:firstLineChars="200"/>
        <w:rPr>
          <w:rFonts w:hint="eastAsia"/>
          <w:lang w:val="en-US" w:eastAsia="zh-CN"/>
        </w:rPr>
      </w:pPr>
      <w:r>
        <w:rPr>
          <w:rFonts w:hint="eastAsia" w:ascii="楷体_GB2312" w:hAnsi="楷体_GB2312" w:eastAsia="楷体_GB2312" w:cs="楷体_GB2312"/>
          <w:b w:val="0"/>
          <w:bCs w:val="0"/>
          <w:color w:val="000000"/>
          <w:kern w:val="0"/>
          <w:sz w:val="32"/>
          <w:szCs w:val="32"/>
          <w:lang w:val="en-US" w:eastAsia="zh-CN" w:bidi="ar-SA"/>
        </w:rPr>
        <w:t>（四）预算绩效管理情况</w:t>
      </w:r>
    </w:p>
    <w:p w14:paraId="27FC6D31">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lang w:val="en-US" w:eastAsia="zh-CN"/>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2023年度</w:t>
      </w:r>
      <w:r>
        <w:rPr>
          <w:rFonts w:hint="default" w:ascii="Times New Roman" w:hAnsi="Times New Roman" w:eastAsia="仿宋_GB2312" w:cs="Times New Roman"/>
          <w:b w:val="0"/>
          <w:bCs w:val="0"/>
          <w:i w:val="0"/>
          <w:iCs w:val="0"/>
          <w:color w:val="auto"/>
          <w:sz w:val="32"/>
          <w:szCs w:val="32"/>
          <w:highlight w:val="none"/>
        </w:rPr>
        <w:t>预算编制阶段，2023年参政议政经费项目与临聘人员经费2个项目开展了预算事前绩效评估，对2个项目编制了绩效目标，预算执行过程中，选取2个项目开展事中绩效监控。</w:t>
      </w:r>
    </w:p>
    <w:p w14:paraId="110DB27D">
      <w:pPr>
        <w:pStyle w:val="3"/>
        <w:spacing w:after="0" w:line="560" w:lineRule="exact"/>
        <w:ind w:leftChars="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组织对2023年度一般公共预算开展绩效自评，形成2023年部门整体绩效自评报告与对2023年参政议政经费项目与临聘人员经费2个专项预算项目绩效自评报告，其中：</w:t>
      </w:r>
    </w:p>
    <w:p w14:paraId="603AF3EB">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default" w:ascii="Times New Roman" w:hAnsi="Times New Roman" w:eastAsia="仿宋_GB2312" w:cs="Times New Roman"/>
          <w:b w:val="0"/>
          <w:bCs/>
          <w:color w:val="000000"/>
          <w:kern w:val="2"/>
          <w:sz w:val="32"/>
          <w:szCs w:val="32"/>
          <w:highlight w:val="none"/>
          <w:lang w:val="en-US" w:eastAsia="zh-CN" w:bidi="ar-SA"/>
        </w:rPr>
        <w:t>2023年部门整体绩效自评得分为100分，绩效自评综述：区工商联基本支出125.2万元；其中：</w:t>
      </w:r>
      <w:r>
        <w:rPr>
          <w:rFonts w:hint="default" w:ascii="Times New Roman" w:hAnsi="Times New Roman" w:eastAsia="仿宋_GB2312" w:cs="Times New Roman"/>
          <w:color w:val="000000"/>
          <w:sz w:val="32"/>
          <w:szCs w:val="32"/>
        </w:rPr>
        <w:t>人员经费</w:t>
      </w:r>
      <w:r>
        <w:rPr>
          <w:rFonts w:hint="default" w:ascii="Times New Roman" w:hAnsi="Times New Roman" w:eastAsia="仿宋_GB2312" w:cs="Times New Roman"/>
          <w:color w:val="000000"/>
          <w:sz w:val="32"/>
          <w:szCs w:val="32"/>
          <w:lang w:val="en-US" w:eastAsia="zh-CN"/>
        </w:rPr>
        <w:t>112.01</w:t>
      </w:r>
      <w:r>
        <w:rPr>
          <w:rFonts w:hint="default" w:ascii="Times New Roman" w:hAnsi="Times New Roman" w:eastAsia="仿宋_GB2312" w:cs="Times New Roman"/>
          <w:color w:val="000000"/>
          <w:sz w:val="32"/>
          <w:szCs w:val="32"/>
        </w:rPr>
        <w:t>万元，主要包括：基本工资</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.29万元、</w:t>
      </w:r>
      <w:r>
        <w:rPr>
          <w:rFonts w:hint="default" w:ascii="Times New Roman" w:hAnsi="Times New Roman" w:eastAsia="仿宋_GB2312" w:cs="Times New Roman"/>
          <w:color w:val="000000"/>
          <w:sz w:val="32"/>
          <w:szCs w:val="32"/>
        </w:rPr>
        <w:t>津贴补</w:t>
      </w:r>
      <w:r>
        <w:rPr>
          <w:rFonts w:hint="default" w:ascii="Times New Roman" w:hAnsi="Times New Roman" w:eastAsia="仿宋_GB2312" w:cs="Times New Roman"/>
          <w:color w:val="000000"/>
          <w:sz w:val="32"/>
          <w:szCs w:val="32"/>
          <w:lang w:val="en-US" w:eastAsia="zh-CN"/>
        </w:rPr>
        <w:t>14.1</w:t>
      </w:r>
      <w:r>
        <w:rPr>
          <w:rFonts w:hint="default" w:ascii="Times New Roman" w:hAnsi="Times New Roman" w:eastAsia="仿宋_GB2312" w:cs="Times New Roman"/>
          <w:color w:val="000000"/>
          <w:sz w:val="32"/>
          <w:szCs w:val="32"/>
        </w:rPr>
        <w:t>万元、奖金</w:t>
      </w:r>
      <w:r>
        <w:rPr>
          <w:rFonts w:hint="default" w:ascii="Times New Roman" w:hAnsi="Times New Roman" w:eastAsia="仿宋_GB2312" w:cs="Times New Roman"/>
          <w:color w:val="000000"/>
          <w:sz w:val="32"/>
          <w:szCs w:val="32"/>
          <w:lang w:val="en-US" w:eastAsia="zh-CN"/>
        </w:rPr>
        <w:t>23.97</w:t>
      </w:r>
      <w:r>
        <w:rPr>
          <w:rFonts w:hint="default" w:ascii="Times New Roman" w:hAnsi="Times New Roman" w:eastAsia="仿宋_GB2312" w:cs="Times New Roman"/>
          <w:color w:val="000000"/>
          <w:sz w:val="32"/>
          <w:szCs w:val="32"/>
        </w:rPr>
        <w:t>万元、机关事业单位基本养老保险缴费</w:t>
      </w:r>
      <w:r>
        <w:rPr>
          <w:rFonts w:hint="default" w:ascii="Times New Roman" w:hAnsi="Times New Roman" w:eastAsia="仿宋_GB2312" w:cs="Times New Roman"/>
          <w:color w:val="000000"/>
          <w:sz w:val="32"/>
          <w:szCs w:val="32"/>
          <w:lang w:val="en-US" w:eastAsia="zh-CN"/>
        </w:rPr>
        <w:t>9.96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职工基本医疗保险及公务员医疗保险补助缴费</w:t>
      </w:r>
      <w:r>
        <w:rPr>
          <w:rFonts w:hint="default" w:ascii="Times New Roman" w:hAnsi="Times New Roman" w:eastAsia="仿宋_GB2312" w:cs="Times New Roman"/>
          <w:color w:val="000000"/>
          <w:sz w:val="32"/>
          <w:szCs w:val="32"/>
          <w:lang w:val="en-US" w:eastAsia="zh-CN"/>
        </w:rPr>
        <w:t>5.45万元、</w:t>
      </w:r>
      <w:r>
        <w:rPr>
          <w:rFonts w:hint="default" w:ascii="Times New Roman" w:hAnsi="Times New Roman" w:eastAsia="仿宋_GB2312" w:cs="Times New Roman"/>
          <w:color w:val="000000"/>
          <w:sz w:val="32"/>
          <w:szCs w:val="32"/>
        </w:rPr>
        <w:t>其他社会保障缴费</w:t>
      </w:r>
      <w:r>
        <w:rPr>
          <w:rFonts w:hint="default" w:ascii="Times New Roman" w:hAnsi="Times New Roman" w:eastAsia="仿宋_GB2312" w:cs="Times New Roman"/>
          <w:color w:val="000000"/>
          <w:sz w:val="32"/>
          <w:szCs w:val="32"/>
          <w:lang w:val="en-US" w:eastAsia="zh-CN"/>
        </w:rPr>
        <w:t>0.14</w:t>
      </w:r>
      <w:r>
        <w:rPr>
          <w:rFonts w:hint="default" w:ascii="Times New Roman" w:hAnsi="Times New Roman" w:eastAsia="仿宋_GB2312" w:cs="Times New Roman"/>
          <w:color w:val="000000"/>
          <w:sz w:val="32"/>
          <w:szCs w:val="32"/>
        </w:rPr>
        <w:t>万元、其他工资福利支出</w:t>
      </w:r>
      <w:r>
        <w:rPr>
          <w:rFonts w:hint="default" w:ascii="Times New Roman" w:hAnsi="Times New Roman" w:eastAsia="仿宋_GB2312" w:cs="Times New Roman"/>
          <w:color w:val="000000"/>
          <w:sz w:val="32"/>
          <w:szCs w:val="32"/>
          <w:lang w:val="en-US" w:eastAsia="zh-CN"/>
        </w:rPr>
        <w:t>4.5</w:t>
      </w:r>
      <w:r>
        <w:rPr>
          <w:rFonts w:hint="default" w:ascii="Times New Roman" w:hAnsi="Times New Roman" w:eastAsia="仿宋_GB2312" w:cs="Times New Roman"/>
          <w:color w:val="000000"/>
          <w:sz w:val="32"/>
          <w:szCs w:val="32"/>
        </w:rPr>
        <w:t>万元、抚恤金</w:t>
      </w:r>
      <w:r>
        <w:rPr>
          <w:rFonts w:hint="default" w:ascii="Times New Roman" w:hAnsi="Times New Roman" w:eastAsia="仿宋_GB2312" w:cs="Times New Roman"/>
          <w:color w:val="000000"/>
          <w:sz w:val="32"/>
          <w:szCs w:val="32"/>
          <w:lang w:val="en-US" w:eastAsia="zh-CN"/>
        </w:rPr>
        <w:t>21.1</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rPr>
        <w:t>、生活补助</w:t>
      </w:r>
      <w:r>
        <w:rPr>
          <w:rFonts w:hint="default" w:ascii="Times New Roman" w:hAnsi="Times New Roman"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rPr>
        <w:t>万元、住房公积金</w:t>
      </w:r>
      <w:r>
        <w:rPr>
          <w:rFonts w:hint="default" w:ascii="Times New Roman" w:hAnsi="Times New Roman" w:eastAsia="仿宋_GB2312" w:cs="Times New Roman"/>
          <w:color w:val="000000"/>
          <w:sz w:val="32"/>
          <w:szCs w:val="32"/>
          <w:lang w:val="en-US" w:eastAsia="zh-CN"/>
        </w:rPr>
        <w:t>9.26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p>
    <w:p w14:paraId="6D34D6C6">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公用经费</w:t>
      </w:r>
      <w:r>
        <w:rPr>
          <w:rFonts w:hint="default" w:ascii="Times New Roman" w:hAnsi="Times New Roman" w:eastAsia="仿宋_GB2312" w:cs="Times New Roman"/>
          <w:color w:val="000000"/>
          <w:sz w:val="32"/>
          <w:szCs w:val="32"/>
          <w:lang w:val="en-US" w:eastAsia="zh-CN"/>
        </w:rPr>
        <w:t>13.28</w:t>
      </w:r>
      <w:r>
        <w:rPr>
          <w:rFonts w:hint="default" w:ascii="Times New Roman" w:hAnsi="Times New Roman" w:eastAsia="仿宋_GB2312" w:cs="Times New Roman"/>
          <w:color w:val="000000"/>
          <w:sz w:val="32"/>
          <w:szCs w:val="32"/>
        </w:rPr>
        <w:t>万元，主要包括：办公费</w:t>
      </w:r>
      <w:r>
        <w:rPr>
          <w:rFonts w:hint="default" w:ascii="Times New Roman" w:hAnsi="Times New Roman" w:eastAsia="仿宋_GB2312" w:cs="Times New Roman"/>
          <w:color w:val="000000"/>
          <w:sz w:val="32"/>
          <w:szCs w:val="32"/>
          <w:lang w:val="en-US" w:eastAsia="zh-CN"/>
        </w:rPr>
        <w:t>3.39</w:t>
      </w:r>
      <w:r>
        <w:rPr>
          <w:rFonts w:hint="default" w:ascii="Times New Roman" w:hAnsi="Times New Roman" w:eastAsia="仿宋_GB2312" w:cs="Times New Roman"/>
          <w:color w:val="000000"/>
          <w:sz w:val="32"/>
          <w:szCs w:val="32"/>
        </w:rPr>
        <w:t>万元、电费</w:t>
      </w:r>
      <w:r>
        <w:rPr>
          <w:rFonts w:hint="default" w:ascii="Times New Roman" w:hAnsi="Times New Roman" w:eastAsia="仿宋_GB2312" w:cs="Times New Roman"/>
          <w:color w:val="000000"/>
          <w:sz w:val="32"/>
          <w:szCs w:val="32"/>
          <w:lang w:val="en-US" w:eastAsia="zh-CN"/>
        </w:rPr>
        <w:t>0.4</w:t>
      </w:r>
      <w:r>
        <w:rPr>
          <w:rFonts w:hint="default" w:ascii="Times New Roman" w:hAnsi="Times New Roman" w:eastAsia="仿宋_GB2312" w:cs="Times New Roman"/>
          <w:color w:val="000000"/>
          <w:sz w:val="32"/>
          <w:szCs w:val="32"/>
        </w:rPr>
        <w:t>万元、差旅费</w:t>
      </w:r>
      <w:r>
        <w:rPr>
          <w:rFonts w:hint="default" w:ascii="Times New Roman" w:hAnsi="Times New Roman" w:eastAsia="仿宋_GB2312" w:cs="Times New Roman"/>
          <w:color w:val="000000"/>
          <w:sz w:val="32"/>
          <w:szCs w:val="32"/>
          <w:lang w:val="en-US" w:eastAsia="zh-CN"/>
        </w:rPr>
        <w:t>1.99</w:t>
      </w:r>
      <w:r>
        <w:rPr>
          <w:rFonts w:hint="default" w:ascii="Times New Roman" w:hAnsi="Times New Roman" w:eastAsia="仿宋_GB2312" w:cs="Times New Roman"/>
          <w:color w:val="000000"/>
          <w:sz w:val="32"/>
          <w:szCs w:val="32"/>
        </w:rPr>
        <w:t>万元、公务接待费</w:t>
      </w:r>
      <w:r>
        <w:rPr>
          <w:rFonts w:hint="default" w:ascii="Times New Roman" w:hAnsi="Times New Roman"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万元、工会经费</w:t>
      </w:r>
      <w:r>
        <w:rPr>
          <w:rFonts w:hint="default" w:ascii="Times New Roman" w:hAnsi="Times New Roman" w:eastAsia="仿宋_GB2312" w:cs="Times New Roman"/>
          <w:color w:val="000000"/>
          <w:sz w:val="32"/>
          <w:szCs w:val="32"/>
          <w:lang w:val="en-US" w:eastAsia="zh-CN"/>
        </w:rPr>
        <w:t>0.93</w:t>
      </w:r>
      <w:r>
        <w:rPr>
          <w:rFonts w:hint="default" w:ascii="Times New Roman" w:hAnsi="Times New Roman" w:eastAsia="仿宋_GB2312" w:cs="Times New Roman"/>
          <w:color w:val="000000"/>
          <w:sz w:val="32"/>
          <w:szCs w:val="32"/>
        </w:rPr>
        <w:t>万元、福利费</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万元、其他交通费</w:t>
      </w:r>
      <w:r>
        <w:rPr>
          <w:rFonts w:hint="default" w:ascii="Times New Roman" w:hAnsi="Times New Roman" w:eastAsia="仿宋_GB2312" w:cs="Times New Roman"/>
          <w:color w:val="000000"/>
          <w:sz w:val="32"/>
          <w:szCs w:val="32"/>
          <w:lang w:val="en-US" w:eastAsia="zh-CN"/>
        </w:rPr>
        <w:t>3.72</w:t>
      </w:r>
      <w:r>
        <w:rPr>
          <w:rFonts w:hint="default" w:ascii="Times New Roman" w:hAnsi="Times New Roman" w:eastAsia="仿宋_GB2312" w:cs="Times New Roman"/>
          <w:color w:val="000000"/>
          <w:sz w:val="32"/>
          <w:szCs w:val="32"/>
        </w:rPr>
        <w:t>万元、其他商品和服务支出</w:t>
      </w:r>
      <w:r>
        <w:rPr>
          <w:rFonts w:hint="default" w:ascii="Times New Roman" w:hAnsi="Times New Roman" w:eastAsia="仿宋_GB2312" w:cs="Times New Roman"/>
          <w:color w:val="000000"/>
          <w:sz w:val="32"/>
          <w:szCs w:val="32"/>
          <w:lang w:val="en-US" w:eastAsia="zh-CN"/>
        </w:rPr>
        <w:t>0.25</w:t>
      </w:r>
      <w:r>
        <w:rPr>
          <w:rFonts w:hint="default" w:ascii="Times New Roman" w:hAnsi="Times New Roman" w:eastAsia="仿宋_GB2312" w:cs="Times New Roman"/>
          <w:color w:val="000000"/>
          <w:sz w:val="32"/>
          <w:szCs w:val="32"/>
        </w:rPr>
        <w:t>万元。</w:t>
      </w:r>
    </w:p>
    <w:p w14:paraId="2BADFF3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default" w:ascii="Times New Roman" w:hAnsi="Times New Roman" w:eastAsia="仿宋_GB2312" w:cs="Times New Roman"/>
          <w:b w:val="0"/>
          <w:bCs/>
          <w:color w:val="000000"/>
          <w:kern w:val="2"/>
          <w:sz w:val="32"/>
          <w:szCs w:val="32"/>
          <w:highlight w:val="none"/>
          <w:lang w:val="en-US" w:eastAsia="zh-CN" w:bidi="ar-SA"/>
        </w:rPr>
        <w:t>2023年参政议政经费专项预算项目绩效自评得分为100分，绩效自评综述：</w:t>
      </w:r>
      <w:r>
        <w:rPr>
          <w:rFonts w:hint="default" w:ascii="Times New Roman" w:hAnsi="Times New Roman" w:eastAsia="仿宋_GB2312" w:cs="Times New Roman"/>
          <w:sz w:val="32"/>
          <w:szCs w:val="32"/>
          <w:lang w:eastAsia="zh-CN"/>
        </w:rPr>
        <w:t>2023年参政议政考察调研经费</w:t>
      </w:r>
      <w:r>
        <w:rPr>
          <w:rFonts w:hint="default" w:ascii="Times New Roman" w:hAnsi="Times New Roman" w:eastAsia="仿宋_GB2312" w:cs="Times New Roman"/>
          <w:kern w:val="2"/>
          <w:sz w:val="32"/>
          <w:szCs w:val="32"/>
          <w:lang w:val="en-US" w:eastAsia="zh-CN" w:bidi="ar-SA"/>
        </w:rPr>
        <w:t>项目涉及区工商联</w:t>
      </w:r>
      <w:r>
        <w:rPr>
          <w:rFonts w:hint="default" w:ascii="Times New Roman" w:hAnsi="Times New Roman" w:eastAsia="仿宋_GB2312" w:cs="Times New Roman"/>
          <w:sz w:val="32"/>
          <w:szCs w:val="32"/>
          <w:lang w:eastAsia="zh-CN"/>
        </w:rPr>
        <w:t>建设及日常活动开展等</w:t>
      </w:r>
      <w:r>
        <w:rPr>
          <w:rFonts w:hint="default" w:ascii="Times New Roman" w:hAnsi="Times New Roman" w:eastAsia="仿宋_GB2312" w:cs="Times New Roman"/>
          <w:kern w:val="2"/>
          <w:sz w:val="32"/>
          <w:szCs w:val="32"/>
          <w:lang w:val="en-US" w:eastAsia="zh-CN" w:bidi="ar-SA"/>
        </w:rPr>
        <w:t>相关事宜。</w:t>
      </w:r>
    </w:p>
    <w:p w14:paraId="58233D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_GB2312" w:cs="Times New Roman"/>
          <w:b w:val="0"/>
          <w:bCs/>
          <w:color w:val="000000"/>
          <w:kern w:val="2"/>
          <w:sz w:val="32"/>
          <w:szCs w:val="32"/>
          <w:highlight w:val="none"/>
          <w:lang w:val="en-US" w:eastAsia="zh-CN" w:bidi="ar-SA"/>
        </w:rPr>
        <w:t>（3）</w:t>
      </w: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b w:val="0"/>
          <w:bCs/>
          <w:color w:val="000000"/>
          <w:kern w:val="2"/>
          <w:sz w:val="32"/>
          <w:szCs w:val="32"/>
          <w:highlight w:val="none"/>
          <w:lang w:val="en-US" w:eastAsia="zh-CN" w:bidi="ar-SA"/>
        </w:rPr>
        <w:t>专项预算项目绩效自评得分为100分，绩效自评综述：</w:t>
      </w: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kern w:val="2"/>
          <w:sz w:val="32"/>
          <w:szCs w:val="32"/>
          <w:lang w:val="en-US" w:eastAsia="zh-CN" w:bidi="ar-SA"/>
        </w:rPr>
        <w:t>项目涉及区工商联</w:t>
      </w:r>
      <w:r>
        <w:rPr>
          <w:rFonts w:hint="default" w:ascii="Times New Roman" w:hAnsi="Times New Roman" w:eastAsia="仿宋_GB2312" w:cs="Times New Roman"/>
          <w:sz w:val="32"/>
          <w:szCs w:val="32"/>
          <w:lang w:eastAsia="zh-CN"/>
        </w:rPr>
        <w:t>临时人员工资保险等经费保障</w:t>
      </w:r>
      <w:r>
        <w:rPr>
          <w:rFonts w:hint="default" w:ascii="Times New Roman" w:hAnsi="Times New Roman" w:eastAsia="仿宋_GB2312" w:cs="Times New Roman"/>
          <w:kern w:val="2"/>
          <w:sz w:val="32"/>
          <w:szCs w:val="32"/>
          <w:lang w:val="en-US" w:eastAsia="zh-CN" w:bidi="ar-SA"/>
        </w:rPr>
        <w:t>相关事宜；</w:t>
      </w:r>
      <w:r>
        <w:rPr>
          <w:rFonts w:hint="default" w:ascii="Times New Roman" w:hAnsi="Times New Roman" w:eastAsia="仿宋_GB2312" w:cs="Times New Roman"/>
          <w:b w:val="0"/>
          <w:bCs/>
          <w:color w:val="000000"/>
          <w:kern w:val="2"/>
          <w:sz w:val="32"/>
          <w:szCs w:val="32"/>
          <w:highlight w:val="none"/>
          <w:lang w:val="en-US" w:eastAsia="zh-CN" w:bidi="ar-SA"/>
        </w:rPr>
        <w:t>绩效自评报告详见附件。</w:t>
      </w:r>
    </w:p>
    <w:p w14:paraId="51A9DC23">
      <w:pPr>
        <w:numPr>
          <w:ilvl w:val="0"/>
          <w:numId w:val="0"/>
        </w:numPr>
        <w:spacing w:line="560" w:lineRule="exact"/>
        <w:ind w:firstLine="640" w:firstLineChars="200"/>
        <w:rPr>
          <w:rFonts w:ascii="Times New Roman" w:hAnsi="Times New Roman" w:cs="Times New Roman"/>
        </w:rPr>
      </w:pPr>
      <w:r>
        <w:rPr>
          <w:rFonts w:hint="default" w:ascii="Times New Roman" w:hAnsi="Times New Roman" w:eastAsia="仿宋_GB2312" w:cs="Times New Roman"/>
          <w:color w:val="000000"/>
          <w:kern w:val="0"/>
          <w:sz w:val="32"/>
          <w:szCs w:val="32"/>
          <w:lang w:val="en-US" w:eastAsia="zh-CN" w:bidi="ar-SA"/>
        </w:rPr>
        <w:t>本部门在2023年度部门决算中反映</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参政议政经费</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临聘人员经费</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等2个项目绩效目标实际完成情况。</w:t>
      </w:r>
    </w:p>
    <w:p w14:paraId="64C6BB1A">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kern w:val="0"/>
          <w:sz w:val="32"/>
          <w:szCs w:val="32"/>
          <w:lang w:val="en-US" w:eastAsia="zh-CN" w:bidi="ar-SA"/>
        </w:rPr>
        <w:t>本部门自行组织对部门整体项目与2个专项预算项目开展了绩效评价，《</w:t>
      </w:r>
      <w:r>
        <w:rPr>
          <w:rFonts w:hint="eastAsia" w:ascii="Times New Roman" w:hAnsi="Times New Roman" w:eastAsia="仿宋_GB2312" w:cs="Times New Roman"/>
          <w:color w:val="000000"/>
          <w:kern w:val="0"/>
          <w:sz w:val="32"/>
          <w:szCs w:val="32"/>
          <w:lang w:val="en-US" w:eastAsia="zh-CN" w:bidi="ar-SA"/>
        </w:rPr>
        <w:t>区工商联</w:t>
      </w:r>
      <w:r>
        <w:rPr>
          <w:rFonts w:hint="default" w:ascii="Times New Roman" w:hAnsi="Times New Roman" w:eastAsia="仿宋_GB2312" w:cs="Times New Roman"/>
          <w:color w:val="000000"/>
          <w:kern w:val="0"/>
          <w:sz w:val="32"/>
          <w:szCs w:val="32"/>
          <w:lang w:val="en-US" w:eastAsia="zh-CN" w:bidi="ar-SA"/>
        </w:rPr>
        <w:t>2023年绩效评价报告》见附件。</w:t>
      </w:r>
    </w:p>
    <w:p w14:paraId="5D224E3A">
      <w:pPr>
        <w:pStyle w:val="3"/>
        <w:rPr>
          <w:rFonts w:hint="default"/>
        </w:rPr>
        <w:sectPr>
          <w:pgSz w:w="11906" w:h="16838"/>
          <w:pgMar w:top="1440" w:right="1800" w:bottom="1440" w:left="1800" w:header="851" w:footer="992" w:gutter="0"/>
          <w:pgNumType w:fmt="decimal"/>
          <w:cols w:space="720" w:num="1"/>
          <w:rtlGutter w:val="0"/>
          <w:docGrid w:type="lines" w:linePitch="312" w:charSpace="0"/>
        </w:sectPr>
      </w:pPr>
    </w:p>
    <w:p w14:paraId="2CCB02E1">
      <w:pPr>
        <w:pStyle w:val="5"/>
        <w:spacing w:before="0" w:after="0" w:line="240" w:lineRule="auto"/>
        <w:jc w:val="center"/>
        <w:rPr>
          <w:rFonts w:hint="eastAsia" w:ascii="Times New Roman" w:hAnsi="Times New Roman" w:eastAsia="方正小标宋简体"/>
          <w:b w:val="0"/>
          <w:bCs w:val="0"/>
          <w:color w:val="auto"/>
          <w:kern w:val="2"/>
          <w:highlight w:val="none"/>
        </w:rPr>
      </w:pPr>
      <w:r>
        <w:rPr>
          <w:rFonts w:hint="eastAsia" w:ascii="Times New Roman" w:hAnsi="Times New Roman" w:eastAsia="方正小标宋简体"/>
          <w:b w:val="0"/>
          <w:bCs w:val="0"/>
          <w:color w:val="auto"/>
          <w:kern w:val="2"/>
          <w:highlight w:val="none"/>
          <w:lang w:val="en-US" w:eastAsia="zh-CN"/>
        </w:rPr>
        <w:t>第三部分</w:t>
      </w:r>
      <w:bookmarkStart w:id="14" w:name="_Toc15377225"/>
      <w:bookmarkStart w:id="15" w:name="_Toc15396613"/>
      <w:r>
        <w:rPr>
          <w:rFonts w:hint="eastAsia" w:ascii="Times New Roman" w:hAnsi="Times New Roman" w:eastAsia="方正小标宋简体"/>
          <w:b w:val="0"/>
          <w:bCs w:val="0"/>
          <w:color w:val="auto"/>
          <w:kern w:val="2"/>
          <w:highlight w:val="none"/>
          <w:lang w:val="en-US" w:eastAsia="zh-CN"/>
        </w:rPr>
        <w:t xml:space="preserve"> </w:t>
      </w:r>
      <w:r>
        <w:rPr>
          <w:rFonts w:hint="eastAsia" w:ascii="Times New Roman" w:hAnsi="Times New Roman" w:eastAsia="方正小标宋简体"/>
          <w:b w:val="0"/>
          <w:bCs w:val="0"/>
          <w:color w:val="auto"/>
          <w:kern w:val="2"/>
          <w:sz w:val="44"/>
          <w:szCs w:val="44"/>
          <w:highlight w:val="none"/>
        </w:rPr>
        <w:t>名</w:t>
      </w:r>
      <w:r>
        <w:rPr>
          <w:rFonts w:hint="eastAsia" w:ascii="Times New Roman" w:hAnsi="Times New Roman" w:eastAsia="方正小标宋简体"/>
          <w:b w:val="0"/>
          <w:bCs w:val="0"/>
          <w:color w:val="auto"/>
          <w:kern w:val="2"/>
          <w:highlight w:val="none"/>
        </w:rPr>
        <w:t>词解释</w:t>
      </w:r>
      <w:bookmarkEnd w:id="14"/>
      <w:bookmarkEnd w:id="15"/>
    </w:p>
    <w:p w14:paraId="59D3327F">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3257EA27">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0CD57715">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6A8281E0">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 </w:t>
      </w:r>
    </w:p>
    <w:p w14:paraId="68AA2D5F">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6805594">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5D69B35C">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7.结余分配：指事业单位按照事业单位会计制度的规定从非财政补助结余中分配的事业基金和职工福利基金等。</w:t>
      </w:r>
    </w:p>
    <w:p w14:paraId="6F367D4B">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6C721C30">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9.一般公共服务支出（类）人大事务（款）代表工作（项），主要用于：乡镇人大代表监督、视察等经费。</w:t>
      </w:r>
    </w:p>
    <w:p w14:paraId="5EE40119">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10.一般公共服务支出（类）人大事务（款）其他人大事务支出（项），主要用于：乡镇人大代表、政协委员差旅费等。</w:t>
      </w:r>
    </w:p>
    <w:p w14:paraId="1A584FDB">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11.一般公共服务支出（类）政府办公厅（室）及相关机构事务（款）行政运行（项），主要用于：人员基本工资、津贴补贴、绩效目标、福利费、办公费、手续费、差旅费、电费、邮电费等。</w:t>
      </w:r>
    </w:p>
    <w:p w14:paraId="01EB8214">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12.一般公共服务支出（类）政府办公厅（室）及相关机构事务（款）信访事务（项），主要用于：接待群众来信来访方面的差旅费等。</w:t>
      </w:r>
    </w:p>
    <w:p w14:paraId="334BCDB8">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13.一般公共服务支出（类）政府办公厅（室）及相关机构事务（款）其他政府办公厅（室）及相关机构事务支出（项），主要用于：差旅费、伙食补助费、维修维护费等。</w:t>
      </w:r>
    </w:p>
    <w:p w14:paraId="40E855E3">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14.一般公共服务支出（类）财政事务（款）行政运行（项），主要用于：人员基本工资、津贴补贴、绩效目标、福利费等。</w:t>
      </w:r>
    </w:p>
    <w:p w14:paraId="51975041">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15.一般公共服务支出（类）财政事务（款）其他财政事务支出（项），主要用于：差旅费、维修维护费等。</w:t>
      </w:r>
    </w:p>
    <w:p w14:paraId="24BDFD3A">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一般公共服务支出（类）民政事务（款）其他民政事务支出（项）</w:t>
      </w:r>
      <w:r>
        <w:rPr>
          <w:rFonts w:hint="default" w:ascii="Times New Roman" w:hAnsi="Times New Roman" w:eastAsia="仿宋_GB2312" w:cs="Times New Roman"/>
          <w:sz w:val="32"/>
          <w:szCs w:val="32"/>
          <w:lang w:val="en-US" w:eastAsia="zh-CN"/>
        </w:rPr>
        <w:t>:主要用于：印刷费、租车费等</w:t>
      </w:r>
      <w:r>
        <w:rPr>
          <w:rFonts w:hint="default" w:ascii="Times New Roman" w:hAnsi="Times New Roman" w:eastAsia="仿宋_GB2312" w:cs="Times New Roman"/>
          <w:sz w:val="32"/>
          <w:szCs w:val="32"/>
        </w:rPr>
        <w:t>。</w:t>
      </w:r>
    </w:p>
    <w:p w14:paraId="2A9E284C">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一般公共服务支出（类）其他共产党事务（款）其他共产党事务支出（项）</w:t>
      </w:r>
      <w:r>
        <w:rPr>
          <w:rFonts w:hint="default" w:ascii="Times New Roman" w:hAnsi="Times New Roman" w:eastAsia="仿宋_GB2312" w:cs="Times New Roman"/>
          <w:sz w:val="32"/>
          <w:szCs w:val="32"/>
          <w:lang w:val="en-US" w:eastAsia="zh-CN"/>
        </w:rPr>
        <w:t>:主要用于：印刷费、租车费等</w:t>
      </w:r>
      <w:r>
        <w:rPr>
          <w:rFonts w:hint="default" w:ascii="Times New Roman" w:hAnsi="Times New Roman" w:eastAsia="仿宋_GB2312" w:cs="Times New Roman"/>
          <w:sz w:val="32"/>
          <w:szCs w:val="32"/>
        </w:rPr>
        <w:t>。</w:t>
      </w:r>
    </w:p>
    <w:p w14:paraId="39994C33">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18.文化体育与传媒支出（类）文化群众文化（项），主要用于：印刷费、劳务费等。</w:t>
      </w:r>
    </w:p>
    <w:p w14:paraId="1D81EF85">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19.社会保障和就业支出（类）民政管理事务（款）其他民政管理事务支出（项），主要用于：印刷费、劳务费等。</w:t>
      </w:r>
    </w:p>
    <w:p w14:paraId="3DBEEC74">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20.社会保障和就业支出（类）行政事业单位离退休（款）机关事业单位基本养老保险缴费支出（项），主要用于：机关事业单位基本养老保险缴费。</w:t>
      </w:r>
    </w:p>
    <w:p w14:paraId="556F6724">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21.社会保障和就业支出（类）抚恤（款）死亡抚恤（项），主要用于：遗属生活补助。</w:t>
      </w:r>
    </w:p>
    <w:p w14:paraId="62C99C2C">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22.社会保障和就业支出（类）抚恤（款）其他优抚支出（项），主要用于：精简人员补助。</w:t>
      </w:r>
    </w:p>
    <w:p w14:paraId="5ED3127B">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23.社会保障和就业支出（类）特困人员救助供养（款）农村特困人员救助供养支出（项），主要用于：农村特困人员生活补贴。</w:t>
      </w:r>
    </w:p>
    <w:p w14:paraId="06C4B5E9">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24.社会保障和就业支出（类）其他社会保障和就业支出（款）其他社会保障和就业支出（项），主要用于：其他社会保障和就业支出。</w:t>
      </w:r>
    </w:p>
    <w:p w14:paraId="2263283E">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25.医疗卫生与计划生育支出（类）行政事业单位医疗（款）行政单位医疗（项），主要用于：基本医疗保险缴费、其他社会保障缴费。</w:t>
      </w:r>
    </w:p>
    <w:p w14:paraId="44FE3162">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26.医疗卫生与计划生育支出（类）行政事业单位医疗（款）事业单位医疗（项），主要用于：基本医疗保险缴费、其他社会保障缴费。</w:t>
      </w:r>
    </w:p>
    <w:p w14:paraId="0A8A56BB">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27.医疗卫生与计划生育支出（类）行政事业单位医疗（款）公务员医疗补助（项），主要用于：公务员医疗补助缴费。</w:t>
      </w:r>
    </w:p>
    <w:p w14:paraId="2024E374">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28.医疗卫生与计划生育支出（类）行政事业单位医疗（款）其他行政事业单位医疗支出（项），主要用于：基本医疗保险缴费、其他社会保障缴费。</w:t>
      </w:r>
    </w:p>
    <w:p w14:paraId="2FCA7C79">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29.节能环保支出（类）自然生态保护（款）农村环境保护（项），主要用于：农村环境保护中的劳务费、其他交通费等。</w:t>
      </w:r>
    </w:p>
    <w:p w14:paraId="22133352">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节能环保支出（类）其他节能环保支出（款）其他节能环保支出（项）</w:t>
      </w:r>
      <w:r>
        <w:rPr>
          <w:rFonts w:hint="default" w:ascii="Times New Roman" w:hAnsi="Times New Roman" w:eastAsia="仿宋_GB2312" w:cs="Times New Roman"/>
          <w:sz w:val="32"/>
          <w:szCs w:val="32"/>
          <w:lang w:val="en-US" w:eastAsia="zh-CN"/>
        </w:rPr>
        <w:t>，主要用于：农村环境保护中的劳务费等。</w:t>
      </w:r>
    </w:p>
    <w:p w14:paraId="548589E6">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31.城乡社区支出（类）城乡社区公共设施（款）其他城乡社区公共设施支出（项），主要用于：劳务费等。</w:t>
      </w:r>
    </w:p>
    <w:p w14:paraId="40E23892">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32.农林水支出（类）农业（款）事业运行（项），主要用于：人员基本工资、津贴补贴、绩效目标、办公费、差旅费、福利费等。</w:t>
      </w:r>
    </w:p>
    <w:p w14:paraId="7D39AA3F">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33.农林水支出（类）农业（款）对高校毕业生到基层任职补助（项），主要用于：大学生村官生活补贴。</w:t>
      </w:r>
    </w:p>
    <w:p w14:paraId="4351E7E8">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eastAsia="zh-CN"/>
        </w:rPr>
        <w:t>农林水支出（类）农村综合改革（款）对村级一事一议的补助（项）</w:t>
      </w:r>
      <w:r>
        <w:rPr>
          <w:rFonts w:hint="default" w:ascii="Times New Roman" w:hAnsi="Times New Roman" w:eastAsia="仿宋_GB2312" w:cs="Times New Roman"/>
          <w:sz w:val="32"/>
          <w:szCs w:val="32"/>
          <w:lang w:val="en-US" w:eastAsia="zh-CN"/>
        </w:rPr>
        <w:t>，主要用于：一事一议财政奖补经费。</w:t>
      </w:r>
    </w:p>
    <w:p w14:paraId="3143E46B">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35.农林水支出（类）农村综合改革（款）对村民委员会和村党支部的补助（项），主要用于：村干部工资、伙食补助、差旅费等。</w:t>
      </w:r>
    </w:p>
    <w:p w14:paraId="0EB7C78A">
      <w:pPr>
        <w:pStyle w:val="24"/>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eastAsia="zh-CN"/>
        </w:rPr>
        <w:t>农林水支出（类）其他农林水支出（款）其他农林水支出（项）</w:t>
      </w:r>
      <w:r>
        <w:rPr>
          <w:rFonts w:hint="default" w:ascii="Times New Roman" w:hAnsi="Times New Roman" w:eastAsia="仿宋_GB2312" w:cs="Times New Roman"/>
          <w:sz w:val="32"/>
          <w:szCs w:val="32"/>
          <w:lang w:val="en-US" w:eastAsia="zh-CN"/>
        </w:rPr>
        <w:t>主要用于：贫困村副书记、第一书记经费等。</w:t>
      </w:r>
    </w:p>
    <w:p w14:paraId="279BE22C">
      <w:pPr>
        <w:spacing w:line="56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37.住房保障支出（类）住房改革支出（款）住房公积金（项），主要用于：缴纳住房公积金。</w:t>
      </w:r>
    </w:p>
    <w:p w14:paraId="3942C584">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38</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14:paraId="30EA30FC">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39</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14:paraId="23F4209A">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.经营支出：指事业单位在专业业务活动及其辅助活动之外开展非独立核算经营活动发生的支出。</w:t>
      </w:r>
    </w:p>
    <w:p w14:paraId="39361BE9">
      <w:pPr>
        <w:pStyle w:val="2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62FC94">
      <w:pPr>
        <w:spacing w:line="560" w:lineRule="exact"/>
        <w:ind w:firstLine="640" w:firstLineChars="200"/>
        <w:rPr>
          <w:rFonts w:hint="eastAsia"/>
        </w:rPr>
        <w:sectPr>
          <w:pgSz w:w="11906" w:h="16838"/>
          <w:pgMar w:top="1440" w:right="1800" w:bottom="1440" w:left="1800" w:header="851" w:footer="992" w:gutter="0"/>
          <w:pgNumType w:fmt="decimal"/>
          <w:cols w:space="720" w:num="1"/>
          <w:rtlGutter w:val="0"/>
          <w:docGrid w:type="lines" w:linePitch="312" w:charSpace="0"/>
        </w:sectPr>
      </w:pP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6" w:name="_Toc15396614"/>
    </w:p>
    <w:p w14:paraId="1EAFF537">
      <w:pPr>
        <w:pStyle w:val="5"/>
        <w:spacing w:line="240" w:lineRule="auto"/>
        <w:jc w:val="center"/>
        <w:rPr>
          <w:rFonts w:hint="eastAsia" w:ascii="Times New Roman" w:hAnsi="Times New Roman" w:eastAsia="方正小标宋简体"/>
          <w:b w:val="0"/>
          <w:bCs w:val="0"/>
          <w:color w:val="auto"/>
          <w:kern w:val="2"/>
          <w:highlight w:val="none"/>
        </w:rPr>
      </w:pPr>
      <w:r>
        <w:rPr>
          <w:rFonts w:hint="eastAsia" w:ascii="Times New Roman" w:hAnsi="Times New Roman" w:eastAsia="方正小标宋简体"/>
          <w:b w:val="0"/>
          <w:bCs w:val="0"/>
          <w:color w:val="auto"/>
          <w:kern w:val="2"/>
          <w:highlight w:val="none"/>
          <w:lang w:val="en-US" w:eastAsia="zh-CN"/>
        </w:rPr>
        <w:t xml:space="preserve">第四部分 </w:t>
      </w:r>
      <w:r>
        <w:rPr>
          <w:rFonts w:hint="eastAsia" w:ascii="Times New Roman" w:hAnsi="Times New Roman" w:eastAsia="方正小标宋简体"/>
          <w:b w:val="0"/>
          <w:bCs w:val="0"/>
          <w:color w:val="auto"/>
          <w:kern w:val="2"/>
          <w:highlight w:val="none"/>
        </w:rPr>
        <w:t>附件</w:t>
      </w:r>
      <w:bookmarkEnd w:id="16"/>
    </w:p>
    <w:p w14:paraId="0A002F67">
      <w:pPr>
        <w:keepNext w:val="0"/>
        <w:keepLines w:val="0"/>
        <w:spacing w:line="572" w:lineRule="exact"/>
        <w:jc w:val="left"/>
        <w:outlineLvl w:val="0"/>
        <w:rPr>
          <w:rStyle w:val="22"/>
          <w:rFonts w:hint="eastAsia" w:ascii="黑体" w:hAnsi="黑体" w:eastAsia="黑体" w:cs="黑体"/>
          <w:b w:val="0"/>
          <w:bCs w:val="0"/>
          <w:sz w:val="32"/>
          <w:szCs w:val="32"/>
          <w:lang w:val="en-US" w:eastAsia="zh-CN"/>
        </w:rPr>
      </w:pPr>
      <w:bookmarkStart w:id="17" w:name="_Toc15396616"/>
      <w:r>
        <w:rPr>
          <w:rStyle w:val="22"/>
          <w:rFonts w:hint="eastAsia" w:ascii="黑体" w:hAnsi="黑体" w:eastAsia="黑体" w:cs="黑体"/>
          <w:b w:val="0"/>
          <w:bCs w:val="0"/>
          <w:sz w:val="32"/>
          <w:szCs w:val="32"/>
          <w:lang w:val="en-US" w:eastAsia="zh-CN"/>
        </w:rPr>
        <w:t>附件1</w:t>
      </w:r>
    </w:p>
    <w:p w14:paraId="46125E5E">
      <w:pPr>
        <w:keepNext w:val="0"/>
        <w:keepLines w:val="0"/>
        <w:widowControl/>
        <w:spacing w:line="578" w:lineRule="exact"/>
        <w:contextualSpacing/>
        <w:jc w:val="center"/>
        <w:outlineLvl w:val="9"/>
        <w:rPr>
          <w:rFonts w:hint="default" w:ascii="Times New Roman" w:hAnsi="Times New Roman" w:eastAsia="方正小标宋简体" w:cs="Times New Roman"/>
          <w:sz w:val="44"/>
          <w:szCs w:val="44"/>
          <w:highlight w:val="none"/>
          <w:shd w:val="clear" w:color="auto" w:fill="FFFFFF"/>
        </w:rPr>
      </w:pPr>
      <w:r>
        <w:rPr>
          <w:rFonts w:hint="eastAsia" w:ascii="Times New Roman" w:hAnsi="Times New Roman" w:eastAsia="方正小标宋简体" w:cs="Times New Roman"/>
          <w:sz w:val="44"/>
          <w:szCs w:val="44"/>
          <w:highlight w:val="none"/>
          <w:shd w:val="clear" w:color="auto" w:fill="FFFFFF"/>
          <w:lang w:val="en-US" w:eastAsia="zh-CN"/>
        </w:rPr>
        <w:t>区工商联</w:t>
      </w:r>
      <w:r>
        <w:rPr>
          <w:rFonts w:hint="default" w:ascii="Times New Roman" w:hAnsi="Times New Roman" w:eastAsia="方正小标宋简体" w:cs="Times New Roman"/>
          <w:sz w:val="44"/>
          <w:szCs w:val="44"/>
          <w:highlight w:val="none"/>
          <w:shd w:val="clear" w:color="auto" w:fill="FFFFFF"/>
          <w:lang w:eastAsia="zh-CN"/>
        </w:rPr>
        <w:t>2023年</w:t>
      </w:r>
      <w:r>
        <w:rPr>
          <w:rFonts w:hint="default" w:ascii="Times New Roman" w:hAnsi="Times New Roman" w:eastAsia="方正小标宋简体" w:cs="Times New Roman"/>
          <w:sz w:val="44"/>
          <w:szCs w:val="44"/>
          <w:highlight w:val="none"/>
          <w:shd w:val="clear" w:color="auto" w:fill="FFFFFF"/>
        </w:rPr>
        <w:t>部门整体支出绩效评价</w:t>
      </w:r>
    </w:p>
    <w:p w14:paraId="6AE09DE6">
      <w:pPr>
        <w:keepNext w:val="0"/>
        <w:keepLines w:val="0"/>
        <w:widowControl/>
        <w:spacing w:line="578" w:lineRule="exact"/>
        <w:contextualSpacing/>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报告</w:t>
      </w:r>
      <w:bookmarkEnd w:id="17"/>
    </w:p>
    <w:p w14:paraId="0E9865C9">
      <w:pPr>
        <w:spacing w:line="580" w:lineRule="exact"/>
        <w:ind w:firstLine="640" w:firstLineChars="200"/>
        <w:rPr>
          <w:rFonts w:hint="eastAsia" w:ascii="仿宋_GB2312" w:hAnsi="仿宋_GB2312" w:eastAsia="仿宋_GB2312" w:cs="仿宋_GB2312"/>
          <w:sz w:val="32"/>
          <w:szCs w:val="32"/>
        </w:rPr>
      </w:pPr>
    </w:p>
    <w:p w14:paraId="4E003512">
      <w:pPr>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一、部门（单位）概况</w:t>
      </w:r>
    </w:p>
    <w:p w14:paraId="2C145383">
      <w:p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（一）机构组成</w:t>
      </w:r>
    </w:p>
    <w:p w14:paraId="273A1A35">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安居区工商联属行政机关，</w:t>
      </w:r>
      <w:r>
        <w:rPr>
          <w:rFonts w:hint="default" w:ascii="Times New Roman" w:hAnsi="Times New Roman" w:eastAsia="仿宋_GB2312" w:cs="Times New Roman"/>
          <w:color w:val="auto"/>
          <w:sz w:val="32"/>
          <w:szCs w:val="32"/>
          <w:lang w:val="en-US" w:eastAsia="zh-CN"/>
        </w:rPr>
        <w:t>内设区工商联办公室</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经济股；</w:t>
      </w:r>
      <w:r>
        <w:rPr>
          <w:rFonts w:hint="default" w:ascii="Times New Roman" w:hAnsi="Times New Roman" w:eastAsia="仿宋_GB2312" w:cs="Times New Roman"/>
          <w:color w:val="auto"/>
          <w:sz w:val="32"/>
          <w:szCs w:val="32"/>
          <w:lang w:eastAsia="zh-CN"/>
        </w:rPr>
        <w:t>下属二级决算单位</w:t>
      </w:r>
      <w:r>
        <w:rPr>
          <w:rFonts w:hint="default" w:ascii="Times New Roman" w:hAnsi="Times New Roman" w:eastAsia="仿宋_GB2312" w:cs="Times New Roman"/>
          <w:color w:val="auto"/>
          <w:sz w:val="32"/>
          <w:szCs w:val="32"/>
          <w:lang w:val="en-US" w:eastAsia="zh-CN"/>
        </w:rPr>
        <w:t>0个，其中行政单位0个，参照公务员法管理的事业单位0个，其他事业单位0个。</w:t>
      </w:r>
    </w:p>
    <w:p w14:paraId="6A4E7890">
      <w:pPr>
        <w:numPr>
          <w:ilvl w:val="-1"/>
          <w:numId w:val="0"/>
        </w:num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lang w:val="en-US" w:eastAsia="zh-CN"/>
        </w:rPr>
        <w:t>二</w:t>
      </w: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rPr>
        <w:t>机构职能</w:t>
      </w:r>
    </w:p>
    <w:p w14:paraId="7FD63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参与大政方针及政治、经济、社会生活中的重要问题的</w:t>
      </w:r>
      <w:r>
        <w:rPr>
          <w:rFonts w:hint="default" w:ascii="Times New Roman" w:hAnsi="Times New Roman" w:eastAsia="仿宋_GB2312" w:cs="Times New Roman"/>
          <w:sz w:val="32"/>
          <w:szCs w:val="32"/>
          <w:lang w:val="en-US" w:eastAsia="zh-CN"/>
        </w:rPr>
        <w:t>政治协商，参政议政，民主监督；引导会员积极参加国家经济建设，推动</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"http://www.so.com/s?q=%E7%A4%BE%E4%BC%9A%E4%B8%BB%E4%B9%89%E5%B8%82%E5%9C%BA%E7%BB%8F%E6%B5%8E%E4%BD%93%E5%88%B6&amp;ie=utf-8&amp;src=wenda_link"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社会主义市场经济体制</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逐步完善，促进社会全面进步；</w:t>
      </w:r>
      <w:r>
        <w:rPr>
          <w:rFonts w:hint="eastAsia" w:ascii="Times New Roman" w:hAnsi="Times New Roman" w:eastAsia="仿宋_GB2312" w:cs="Times New Roman"/>
          <w:sz w:val="32"/>
          <w:szCs w:val="32"/>
          <w:lang w:val="en-US" w:eastAsia="zh-CN"/>
        </w:rPr>
        <w:t>做好工商界代表</w:t>
      </w:r>
      <w:r>
        <w:rPr>
          <w:rFonts w:hint="default" w:ascii="Times New Roman" w:hAnsi="Times New Roman" w:eastAsia="仿宋_GB2312" w:cs="Times New Roman"/>
          <w:sz w:val="32"/>
          <w:szCs w:val="32"/>
          <w:lang w:val="en-US" w:eastAsia="zh-CN"/>
        </w:rPr>
        <w:t>人士政治安排的推荐工作；在</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"http://www.so.com/s?q=%E9%9D%9E%E5%85%AC%E6%9C%89%E5%88%B6%E7%BB%8F%E6%B5%8E&amp;ie=utf-8&amp;src=wenda_link"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非公有制经济</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人士中，宣传、贯彻党和国家的方针政策，加强</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"http://www.so.com/s?q=%E6%80%9D%E6%83%B3%E6%94%BF%E6%B2%BB%E5%B7%A5%E4%BD%9C&amp;ie=utf-8&amp;src=wenda_link"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思想政治工作</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"http://www.so.com/s?q=%E4%BC%81%E4%B8%9A%E6%96%87%E5%8C%96%E5%BB%BA%E8%AE%BE&amp;ie=utf-8&amp;src=wenda_link"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企业文化建设</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，引导会员做</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"http://www.so.com/s?q=%E4%B8%AD%E5%9B%BD%E7%89%B9%E8%89%B2%E7%A4%BE%E4%BC%9A%E4%B8%BB%E4%B9%89&amp;ie=utf-8&amp;src=wenda_link"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中国特色社会主义</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事业的建设者；代表并维护会员的合法权益，反映会员的意见、要求和建议；引导会员积极参与“光彩事业”；为会员提供信息和科技、管理、法律、</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"http://www.so.com/s?q=%E4%BC%9A%E8%AE%A1&amp;ie=utf-8&amp;src=wenda_link"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会计</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、审计、融资、咨询等服务；开展工商专业培训，帮助会员改进经营管理，完善财会管理，提高生产技术和产品质量；组织会员举办和参加各种对内对外</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"http://www.so.com/s?q=%E5%B1%95%E9%94%80%E4%BC%9A&amp;ie=utf-8&amp;src=wenda_link"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展销会</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、交易会，组织会员出国、出境考察访问，帮助会员开拓国内、国际市场；增进与香港特别行政区、澳门特别行政区及台湾地区和世界各国工商社团及工商经济界人士的联系和友谊，促进经济、技术和贸易合作；</w:t>
      </w:r>
      <w:r>
        <w:rPr>
          <w:rFonts w:hint="eastAsia" w:ascii="Times New Roman" w:hAnsi="Times New Roman" w:eastAsia="仿宋_GB2312" w:cs="Times New Roman"/>
          <w:sz w:val="32"/>
          <w:szCs w:val="32"/>
          <w:lang w:val="en-US" w:eastAsia="zh-CN"/>
        </w:rPr>
        <w:t>办好社会办企业</w:t>
      </w:r>
      <w:r>
        <w:rPr>
          <w:rFonts w:hint="default" w:ascii="Times New Roman" w:hAnsi="Times New Roman" w:eastAsia="仿宋_GB2312" w:cs="Times New Roman"/>
          <w:sz w:val="32"/>
          <w:szCs w:val="32"/>
          <w:lang w:val="en-US" w:eastAsia="zh-CN"/>
        </w:rPr>
        <w:t xml:space="preserve">、事业；承办政府和有关部门的委托事项。 </w:t>
      </w:r>
    </w:p>
    <w:p w14:paraId="6540D045">
      <w:pPr>
        <w:spacing w:line="580" w:lineRule="exact"/>
        <w:ind w:firstLine="640" w:firstLineChars="200"/>
        <w:rPr>
          <w:rFonts w:hint="eastAsia" w:ascii="仿宋" w:hAnsi="仿宋" w:eastAsia="仿宋" w:cs="仿宋"/>
          <w:b/>
          <w:bCs/>
          <w:sz w:val="32"/>
          <w:szCs w:val="32"/>
        </w:rPr>
      </w:pPr>
      <w:r>
        <w:rPr>
          <w:rFonts w:hint="eastAsia" w:ascii="楷体_GB2312" w:hAnsi="楷体_GB2312" w:eastAsia="楷体_GB2312" w:cs="楷体_GB2312"/>
          <w:b w:val="0"/>
          <w:bCs/>
          <w:color w:val="000000"/>
          <w:sz w:val="32"/>
          <w:szCs w:val="32"/>
        </w:rPr>
        <w:t>（三）人员概况</w:t>
      </w:r>
    </w:p>
    <w:p w14:paraId="18A67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eastAsia="zh-CN"/>
        </w:rPr>
        <w:t>安居区工商联核定行政编制</w:t>
      </w:r>
      <w:r>
        <w:rPr>
          <w:rFonts w:hint="default" w:ascii="Times New Roman" w:hAnsi="Times New Roman" w:eastAsia="仿宋_GB2312" w:cs="Times New Roman"/>
          <w:sz w:val="32"/>
          <w:szCs w:val="32"/>
          <w:lang w:val="en-US" w:eastAsia="zh-CN"/>
        </w:rPr>
        <w:t>4名、工勤编制1名；实有在编在岗行政编制4名，机关工勤1名，退休干部1名。调入工商联主席1名。2023年度决算人数5人，行政人员4名，机关工勤</w:t>
      </w:r>
      <w:r>
        <w:rPr>
          <w:rFonts w:hint="default" w:ascii="Times New Roman" w:hAnsi="Times New Roman" w:eastAsia="仿宋_GB2312" w:cs="Times New Roman"/>
          <w:color w:val="auto"/>
          <w:sz w:val="32"/>
          <w:szCs w:val="32"/>
          <w:lang w:val="en-US" w:eastAsia="zh-CN"/>
        </w:rPr>
        <w:t>1名。</w:t>
      </w:r>
    </w:p>
    <w:p w14:paraId="0004884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二、部门财政资金收支情况</w:t>
      </w:r>
    </w:p>
    <w:p w14:paraId="57A5D587">
      <w:p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（一）部门财政资金收入情况</w:t>
      </w:r>
    </w:p>
    <w:p w14:paraId="2F9594F4">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2023年本年收入合计152.2万元，其中：一般公共预算财政拨款收入152.2万元，占100%；政府性基金预算财政拨款收入0万元，占0%。</w:t>
      </w:r>
    </w:p>
    <w:p w14:paraId="5C854998">
      <w:pPr>
        <w:numPr>
          <w:ilvl w:val="-1"/>
          <w:numId w:val="0"/>
        </w:numPr>
        <w:spacing w:line="560" w:lineRule="exact"/>
        <w:ind w:left="0" w:leftChars="0"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lang w:val="en-US" w:eastAsia="zh-CN"/>
        </w:rPr>
        <w:t>二</w:t>
      </w: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rPr>
        <w:t>部门财政资金支出情况</w:t>
      </w:r>
    </w:p>
    <w:p w14:paraId="70550B8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w:t>
      </w: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152.2万元</w:t>
      </w:r>
      <w:r>
        <w:rPr>
          <w:rFonts w:hint="default" w:ascii="Times New Roman" w:hAnsi="Times New Roman" w:eastAsia="仿宋_GB2312" w:cs="Times New Roman"/>
          <w:sz w:val="32"/>
          <w:szCs w:val="32"/>
        </w:rPr>
        <w:t>，其中：</w:t>
      </w:r>
      <w:r>
        <w:rPr>
          <w:rFonts w:hint="default" w:ascii="Times New Roman" w:hAnsi="Times New Roman" w:eastAsia="仿宋_GB2312"/>
          <w:sz w:val="32"/>
          <w:szCs w:val="32"/>
        </w:rPr>
        <w:t>基本支出</w:t>
      </w:r>
      <w:r>
        <w:rPr>
          <w:rFonts w:hint="default" w:ascii="Times New Roman" w:hAnsi="Times New Roman" w:eastAsia="仿宋_GB2312"/>
          <w:sz w:val="32"/>
          <w:szCs w:val="32"/>
          <w:lang w:val="en-US" w:eastAsia="zh-CN"/>
        </w:rPr>
        <w:t>125.29</w:t>
      </w:r>
      <w:r>
        <w:rPr>
          <w:rFonts w:hint="default" w:ascii="Times New Roman" w:hAnsi="Times New Roman" w:eastAsia="仿宋_GB2312"/>
          <w:sz w:val="32"/>
          <w:szCs w:val="32"/>
        </w:rPr>
        <w:t>万元，占</w:t>
      </w:r>
      <w:r>
        <w:rPr>
          <w:rFonts w:hint="default" w:ascii="Times New Roman" w:hAnsi="Times New Roman" w:eastAsia="仿宋_GB2312"/>
          <w:sz w:val="32"/>
          <w:szCs w:val="32"/>
          <w:lang w:val="en-US" w:eastAsia="zh-CN"/>
        </w:rPr>
        <w:t>82.32</w:t>
      </w:r>
      <w:r>
        <w:rPr>
          <w:rFonts w:hint="default" w:ascii="Times New Roman" w:hAnsi="Times New Roman" w:eastAsia="仿宋_GB2312"/>
          <w:sz w:val="32"/>
          <w:szCs w:val="32"/>
        </w:rPr>
        <w:t>%；项目支出</w:t>
      </w:r>
      <w:r>
        <w:rPr>
          <w:rFonts w:hint="default" w:ascii="Times New Roman" w:hAnsi="Times New Roman" w:eastAsia="仿宋_GB2312"/>
          <w:sz w:val="32"/>
          <w:szCs w:val="32"/>
          <w:lang w:val="en-US" w:eastAsia="zh-CN"/>
        </w:rPr>
        <w:t>26.91</w:t>
      </w:r>
      <w:r>
        <w:rPr>
          <w:rFonts w:hint="default" w:ascii="Times New Roman" w:hAnsi="Times New Roman" w:eastAsia="仿宋_GB2312"/>
          <w:sz w:val="32"/>
          <w:szCs w:val="32"/>
        </w:rPr>
        <w:t>万元，占</w:t>
      </w:r>
      <w:r>
        <w:rPr>
          <w:rFonts w:hint="default" w:ascii="Times New Roman" w:hAnsi="Times New Roman" w:eastAsia="仿宋_GB2312"/>
          <w:sz w:val="32"/>
          <w:szCs w:val="32"/>
          <w:lang w:val="en-US" w:eastAsia="zh-CN"/>
        </w:rPr>
        <w:t>17.68</w:t>
      </w:r>
      <w:r>
        <w:rPr>
          <w:rFonts w:hint="default" w:ascii="Times New Roman" w:hAnsi="Times New Roman" w:eastAsia="仿宋_GB2312"/>
          <w:sz w:val="32"/>
          <w:szCs w:val="32"/>
        </w:rPr>
        <w:t>%</w:t>
      </w:r>
      <w:r>
        <w:rPr>
          <w:rFonts w:hint="default" w:ascii="Times New Roman" w:hAnsi="Times New Roman" w:eastAsia="仿宋_GB2312" w:cs="Times New Roman"/>
          <w:sz w:val="32"/>
          <w:szCs w:val="32"/>
          <w:lang w:eastAsia="zh-CN"/>
        </w:rPr>
        <w:t>。</w:t>
      </w:r>
    </w:p>
    <w:p w14:paraId="3AAC2A43">
      <w:pPr>
        <w:numPr>
          <w:ilvl w:val="0"/>
          <w:numId w:val="0"/>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部门整体预算绩效管理情况</w:t>
      </w:r>
    </w:p>
    <w:p w14:paraId="06C96343">
      <w:pPr>
        <w:numPr>
          <w:ilvl w:val="-1"/>
          <w:numId w:val="0"/>
        </w:numPr>
        <w:spacing w:line="560" w:lineRule="exact"/>
        <w:ind w:left="0" w:leftChars="0"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（一）部门预算管理</w:t>
      </w:r>
    </w:p>
    <w:p w14:paraId="40E6E0A3">
      <w:pPr>
        <w:widowControl/>
        <w:numPr>
          <w:ilvl w:val="0"/>
          <w:numId w:val="0"/>
        </w:num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支出总额控制在预算总额以内，本年部门预算未进行预算相关事项的调整；我单位预算内在取得财政局的年度预算批复时，随批复一同进行了下达；“三公”经费总体控制较好，未超本年预算和上年决算支出。</w:t>
      </w:r>
    </w:p>
    <w:p w14:paraId="12ABCCD0">
      <w:pPr>
        <w:numPr>
          <w:ilvl w:val="0"/>
          <w:numId w:val="0"/>
        </w:num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（二）专项预算管理</w:t>
      </w:r>
    </w:p>
    <w:p w14:paraId="48FDAEC0">
      <w:pPr>
        <w:widowControl/>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项目资金，从立项、审批、设计、财评、建设、验收、审计全程监管，并由专人具体负责项目实施，取得了较好的经济效益和社会效益。</w:t>
      </w:r>
    </w:p>
    <w:p w14:paraId="212485A7">
      <w:p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（三）结果应用情况</w:t>
      </w:r>
    </w:p>
    <w:p w14:paraId="0D74FFEA">
      <w:pPr>
        <w:widowControl/>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包括部门自评质量、绩效目标公开和自评公开、评价结果整改和应用结果反馈等情况。</w:t>
      </w:r>
    </w:p>
    <w:p w14:paraId="4D08DCF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四、评价结论及建议</w:t>
      </w:r>
    </w:p>
    <w:p w14:paraId="02159896">
      <w:pPr>
        <w:spacing w:line="560" w:lineRule="exact"/>
        <w:ind w:firstLine="640" w:firstLineChars="200"/>
        <w:rPr>
          <w:rFonts w:hint="default"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rPr>
        <w:t>（一）评价结论</w:t>
      </w:r>
      <w:r>
        <w:rPr>
          <w:rFonts w:hint="eastAsia" w:ascii="楷体_GB2312" w:hAnsi="楷体_GB2312" w:eastAsia="楷体_GB2312" w:cs="楷体_GB2312"/>
          <w:b w:val="0"/>
          <w:bCs/>
          <w:color w:val="000000"/>
          <w:sz w:val="32"/>
          <w:szCs w:val="32"/>
          <w:lang w:val="en-US" w:eastAsia="zh-CN"/>
        </w:rPr>
        <w:t>及得分</w:t>
      </w:r>
    </w:p>
    <w:p w14:paraId="77A71BFB">
      <w:pPr>
        <w:widowControl/>
        <w:numPr>
          <w:ilvl w:val="0"/>
          <w:numId w:val="0"/>
        </w:numPr>
        <w:spacing w:line="56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2023年，根据单位年初工作规划和重点性工作，围绕区政府全面建成小康社会的发展蓝图，积极履职，强化管理，较好的完成了年度工作目标。通过加强预算收支管理，不断建立健全内部管理制度，梳理内部管理流程，部门整体支出管理情况得到提升。经单位自评得分100分。（见附件）</w:t>
      </w:r>
    </w:p>
    <w:p w14:paraId="2F6068D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存在问题</w:t>
      </w:r>
    </w:p>
    <w:p w14:paraId="3DCAA3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在看到成绩的同时，我们也清醒地意识到，在与人民群众的要求相比，还存在一些不足和问题，主要体现在以下几个方面：</w:t>
      </w:r>
    </w:p>
    <w:p w14:paraId="66AB824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对</w:t>
      </w:r>
      <w:r>
        <w:rPr>
          <w:rFonts w:hint="default" w:ascii="Times New Roman" w:hAnsi="Times New Roman" w:eastAsia="仿宋_GB2312" w:cs="Times New Roman"/>
          <w:b w:val="0"/>
          <w:bCs w:val="0"/>
          <w:sz w:val="32"/>
          <w:szCs w:val="32"/>
          <w:lang w:eastAsia="zh-CN"/>
        </w:rPr>
        <w:t>民营经济</w:t>
      </w:r>
      <w:r>
        <w:rPr>
          <w:rFonts w:hint="default" w:ascii="Times New Roman" w:hAnsi="Times New Roman" w:eastAsia="仿宋_GB2312" w:cs="Times New Roman"/>
          <w:kern w:val="2"/>
          <w:sz w:val="32"/>
          <w:szCs w:val="32"/>
          <w:lang w:val="en-US" w:eastAsia="zh-CN" w:bidi="ar-SA"/>
        </w:rPr>
        <w:t>投入和服务不够，缺乏资金和技术支持</w:t>
      </w:r>
      <w:r>
        <w:rPr>
          <w:rFonts w:hint="eastAsia" w:ascii="Times New Roman" w:hAnsi="Times New Roman" w:eastAsia="仿宋_GB2312" w:cs="Times New Roman"/>
          <w:kern w:val="2"/>
          <w:sz w:val="32"/>
          <w:szCs w:val="32"/>
          <w:lang w:val="en-US" w:eastAsia="zh-CN" w:bidi="ar-SA"/>
        </w:rPr>
        <w:t>；</w:t>
      </w:r>
    </w:p>
    <w:p w14:paraId="3F262C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2"/>
          <w:sz w:val="32"/>
          <w:szCs w:val="32"/>
          <w:lang w:val="en-US" w:eastAsia="zh-CN" w:bidi="ar-SA"/>
        </w:rPr>
        <w:t>由于人员短缺对工商联商会组织的联络与政策支持方面有一些短板</w:t>
      </w:r>
      <w:r>
        <w:rPr>
          <w:rFonts w:hint="eastAsia" w:ascii="Times New Roman" w:hAnsi="Times New Roman" w:eastAsia="仿宋_GB2312" w:cs="Times New Roman"/>
          <w:kern w:val="2"/>
          <w:sz w:val="32"/>
          <w:szCs w:val="32"/>
          <w:lang w:val="en-US" w:eastAsia="zh-CN" w:bidi="ar-SA"/>
        </w:rPr>
        <w:t>；</w:t>
      </w:r>
    </w:p>
    <w:p w14:paraId="1F3FAF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3.财务制度方面不够规范、人员分工不明等原因造成的财务工作的拖延和滞后。</w:t>
      </w:r>
    </w:p>
    <w:p w14:paraId="380C918A">
      <w:pPr>
        <w:numPr>
          <w:ilvl w:val="0"/>
          <w:numId w:val="0"/>
        </w:num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（三）改进建议</w:t>
      </w:r>
    </w:p>
    <w:p w14:paraId="2F6912D5">
      <w:pPr>
        <w:widowControl/>
        <w:numPr>
          <w:ilvl w:val="0"/>
          <w:numId w:val="0"/>
        </w:numPr>
        <w:pBdr>
          <w:top w:val="none" w:color="auto" w:sz="0" w:space="0"/>
          <w:left w:val="none" w:color="auto" w:sz="0" w:space="0"/>
          <w:bottom w:val="none" w:color="auto" w:sz="0" w:space="0"/>
          <w:right w:val="none" w:color="auto" w:sz="0" w:space="0"/>
        </w:pBdr>
        <w:snapToGrid/>
        <w:spacing w:line="560" w:lineRule="exact"/>
        <w:ind w:firstLine="640" w:firstLineChars="200"/>
        <w:rPr>
          <w:rFonts w:hint="default" w:ascii="Times New Roman" w:hAnsi="Times New Roman" w:eastAsia="仿宋_GB2312"/>
          <w:b w:val="0"/>
          <w:bCs w:val="0"/>
          <w:sz w:val="32"/>
          <w:szCs w:val="32"/>
          <w:lang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抓好思想教育，做好政治引领工作</w:t>
      </w:r>
    </w:p>
    <w:p w14:paraId="4644045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是继续组织在民营企业中深入开展党史学习教育、“两学一做”学习教育和理想信念教育实践活动。二是组织民营企业开展党的十九大、十九届五中、六中全会精神、习近平同志关于促进民营经济健康发展相关讲话精神、省委、市委、区委相关会议精神的学习；三是加强民营经济代表人士思想政治教育，组织会员企业有针对性地参加各类培训，提升其政治思想和业务素质。</w:t>
      </w:r>
    </w:p>
    <w:p w14:paraId="770C2F7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抓好调查研究，做好参政议政工作</w:t>
      </w:r>
    </w:p>
    <w:p w14:paraId="6B81B04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一是深入企业扎实开展调研，了解企业存在的困难和问题，及时向党委政府反馈，积极帮助协调解决。二是引导会员企业家中的人大代表、政协委员积极履行职责，依托人大、政协等参政议政平台，扎实开展重点课题调研，形成高质量的提案、议案、意见建议供区委、区府参考。三是持续帮助和服务民营企业做好新冠疫情预防工作，确保民营企业健康发展。</w:t>
      </w:r>
    </w:p>
    <w:p w14:paraId="43BB11E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抓好组织建设，做好商会发展工作</w:t>
      </w:r>
    </w:p>
    <w:p w14:paraId="26FA8C5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一是进一步加大对民营企业吸收入会的宣传和动员力度，让更多的入驻安居有良好发展前景的民营企业加入到工商联队伍中来，发挥好商会会员在招商引资中的桥梁作用。二是积极推进成都安居商会、西藏安居商会、北京安居商会筹建工作，启动重庆遂宁安居商会筹建工作。三是加强民营企业党建工作指导，按照成熟一个建立一个、发展一个的思路，助推民营经济组织党的工作全覆盖。</w:t>
      </w:r>
    </w:p>
    <w:p w14:paraId="5ACC74B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抓好内联外引，做好协调服务工作</w:t>
      </w:r>
    </w:p>
    <w:p w14:paraId="4EAC97C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一是健全融资、信息服务、法律维权等平台机制，引导企业科学防控疫情，加强对内对外的联络，多层面、多渠道地牵线搭桥，为民营企业提供更多服务和帮助。二是以全市深入开展的“对标竞进、比学赶超、提质晋位”活动为契机，加强与异地商会、友好商会联系对接，让民营企业走出去、请进来，通过商会将安居籍在外成功企业、企业家和安居相关主导产业企业招引回安居置业，助力以商招商、招大引强。探索抱团发展与项目合作的新途径。三是积极引导企业参与到融入成渝双城经济圈，推动遂潼一体化发展行动中来。</w:t>
      </w:r>
    </w:p>
    <w:p w14:paraId="41E058F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抓好典型树造，做好光彩事业工作</w:t>
      </w:r>
    </w:p>
    <w:p w14:paraId="493476F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一是做好“万企兴万村”行动先进典型的树造和宣传，引导民营企业主动融入乡村振兴行动中；二是引导更多的爱心企业、爱心人士参</w:t>
      </w:r>
      <w:r>
        <w:rPr>
          <w:rFonts w:hint="eastAsia" w:ascii="Times New Roman" w:hAnsi="Times New Roman" w:eastAsia="仿宋_GB2312" w:cs="Times New Roman"/>
          <w:b w:val="0"/>
          <w:bCs w:val="0"/>
          <w:sz w:val="32"/>
          <w:szCs w:val="32"/>
          <w:lang w:val="en-US" w:eastAsia="zh-CN"/>
        </w:rPr>
        <w:t>与</w:t>
      </w:r>
      <w:r>
        <w:rPr>
          <w:rFonts w:hint="eastAsia" w:ascii="Times New Roman" w:hAnsi="Times New Roman" w:eastAsia="仿宋_GB2312" w:cs="Times New Roman"/>
          <w:b w:val="0"/>
          <w:bCs w:val="0"/>
          <w:sz w:val="32"/>
          <w:szCs w:val="32"/>
          <w:lang w:eastAsia="zh-CN"/>
        </w:rPr>
        <w:t>扶贫济困、共同防疫、捐款捐物等行动，增强民营经济代表人士投身光彩事业的自觉。</w:t>
      </w:r>
    </w:p>
    <w:p w14:paraId="61AF822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抓好自身建设，做好服务大局工作</w:t>
      </w:r>
    </w:p>
    <w:p w14:paraId="46CD7B4C">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以党史学习教育和“问题大排查、作风大整治、工作大提升”专项活动为契机，紧紧区委“五个领跑两个提升”“十四五”奋斗目标，按照2023年区委“137”工作思路和五届区委“1336”发展战略，切实提高素质、改进作风、增强服务本领，提高工作水平，把工商联、商会建设成会员企业“娘家”，为加快建设“成渝之星”安居极核和湖光山色中的安逸安居作出更大的贡献。</w:t>
      </w:r>
    </w:p>
    <w:p w14:paraId="1322BD9D">
      <w:pPr>
        <w:pStyle w:val="12"/>
        <w:numPr>
          <w:ilvl w:val="0"/>
          <w:numId w:val="0"/>
        </w:numPr>
        <w:spacing w:line="560" w:lineRule="exact"/>
        <w:ind w:leftChars="0" w:firstLine="640" w:firstLineChars="200"/>
      </w:pPr>
      <w:r>
        <w:rPr>
          <w:rFonts w:hint="eastAsia" w:ascii="Times New Roman" w:hAnsi="Times New Roman" w:eastAsia="仿宋_GB2312" w:cs="Times New Roman"/>
          <w:b w:val="0"/>
          <w:bCs w:val="0"/>
          <w:sz w:val="32"/>
          <w:szCs w:val="32"/>
          <w:lang w:val="en-US" w:eastAsia="zh-CN"/>
        </w:rPr>
        <w:t>7.建立健全财务管理制作与体系保障单位</w:t>
      </w:r>
      <w:r>
        <w:rPr>
          <w:rFonts w:hint="eastAsia" w:ascii="Times New Roman" w:hAnsi="Times New Roman" w:eastAsia="仿宋_GB2312" w:cs="Times New Roman"/>
          <w:sz w:val="32"/>
          <w:szCs w:val="32"/>
          <w:lang w:val="en-US" w:eastAsia="zh-CN"/>
        </w:rPr>
        <w:t>财经制度的正常有序运行；加强会计人员的业务培训，提升财务管理水平，为单位领导决策提供有力的支撑依据。</w:t>
      </w:r>
    </w:p>
    <w:p w14:paraId="04A50867">
      <w:pPr>
        <w:spacing w:line="600" w:lineRule="exact"/>
        <w:jc w:val="center"/>
        <w:outlineLvl w:val="0"/>
        <w:rPr>
          <w:rStyle w:val="22"/>
        </w:rPr>
        <w:sectPr>
          <w:pgSz w:w="11906" w:h="16838"/>
          <w:pgMar w:top="1440" w:right="1800" w:bottom="1440" w:left="1800" w:header="851" w:footer="992" w:gutter="0"/>
          <w:pgNumType w:fmt="decimal"/>
          <w:cols w:space="720" w:num="1"/>
          <w:rtlGutter w:val="0"/>
          <w:docGrid w:type="lines" w:linePitch="312" w:charSpace="0"/>
        </w:sectPr>
      </w:pPr>
    </w:p>
    <w:tbl>
      <w:tblPr>
        <w:tblStyle w:val="15"/>
        <w:tblW w:w="87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129"/>
        <w:gridCol w:w="1044"/>
        <w:gridCol w:w="1257"/>
        <w:gridCol w:w="527"/>
        <w:gridCol w:w="780"/>
        <w:gridCol w:w="527"/>
        <w:gridCol w:w="872"/>
        <w:gridCol w:w="518"/>
        <w:gridCol w:w="501"/>
        <w:gridCol w:w="915"/>
      </w:tblGrid>
      <w:tr w14:paraId="497C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8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DCD15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18" w:name="_Toc15396615"/>
            <w:r>
              <w:rPr>
                <w:rFonts w:hint="eastAsia" w:ascii="黑体" w:hAnsi="宋体" w:eastAsia="黑体" w:cs="黑体"/>
                <w:b/>
                <w:bCs/>
                <w:i w:val="0"/>
                <w:iCs w:val="0"/>
                <w:color w:val="000000"/>
                <w:kern w:val="0"/>
                <w:sz w:val="30"/>
                <w:szCs w:val="30"/>
                <w:u w:val="none"/>
                <w:lang w:val="en-US" w:eastAsia="zh-CN" w:bidi="ar"/>
              </w:rPr>
              <w:t>区工商联整体项目支出绩效自评表（2023年度）</w:t>
            </w:r>
          </w:p>
        </w:tc>
      </w:tr>
      <w:tr w14:paraId="1410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64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09B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51090421R000000028305-区工商联基本人员经费</w:t>
            </w:r>
          </w:p>
        </w:tc>
      </w:tr>
      <w:tr w14:paraId="0368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73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76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遂宁市安居区工商业联合会部门</w:t>
            </w:r>
          </w:p>
        </w:tc>
        <w:tc>
          <w:tcPr>
            <w:tcW w:w="872" w:type="dxa"/>
            <w:tcBorders>
              <w:top w:val="nil"/>
              <w:left w:val="nil"/>
              <w:bottom w:val="nil"/>
              <w:right w:val="nil"/>
            </w:tcBorders>
            <w:shd w:val="clear" w:color="auto" w:fill="auto"/>
            <w:vAlign w:val="center"/>
          </w:tcPr>
          <w:p w14:paraId="22006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实施单位（盖章）</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39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遂宁市安居区工商业联合会</w:t>
            </w:r>
          </w:p>
        </w:tc>
      </w:tr>
      <w:tr w14:paraId="6673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19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AC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63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8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0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0C2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38E24">
            <w:pP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9C29">
            <w:pPr>
              <w:rPr>
                <w:rFonts w:hint="eastAsia" w:ascii="宋体" w:hAnsi="宋体" w:eastAsia="宋体" w:cs="宋体"/>
                <w:i w:val="0"/>
                <w:iCs w:val="0"/>
                <w:color w:val="000000"/>
                <w:sz w:val="18"/>
                <w:szCs w:val="18"/>
                <w:u w:val="none"/>
              </w:rPr>
            </w:pPr>
          </w:p>
        </w:tc>
        <w:tc>
          <w:tcPr>
            <w:tcW w:w="4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23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8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F7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2023年区工商联严格执行相关政策，保障工资及时、足额发放或社保及时、足额缴纳。</w:t>
            </w:r>
          </w:p>
        </w:tc>
      </w:tr>
      <w:tr w14:paraId="1D28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B63A">
            <w:pP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5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A5A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2023年区工商联严格执行相关政策，保障工资及时、足额发放或社保及时、足额缴纳。</w:t>
            </w:r>
          </w:p>
        </w:tc>
      </w:tr>
      <w:tr w14:paraId="3A7F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24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9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A5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5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54F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0ECE">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5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1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3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B9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6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606BE">
            <w:pPr>
              <w:rPr>
                <w:rFonts w:hint="eastAsia" w:ascii="宋体" w:hAnsi="宋体" w:eastAsia="宋体" w:cs="宋体"/>
                <w:i w:val="0"/>
                <w:iCs w:val="0"/>
                <w:color w:val="000000"/>
                <w:sz w:val="18"/>
                <w:szCs w:val="18"/>
                <w:u w:val="none"/>
              </w:rPr>
            </w:pPr>
          </w:p>
        </w:tc>
      </w:tr>
      <w:tr w14:paraId="5ED2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A37D">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2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5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B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B1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E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5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8C82">
            <w:pPr>
              <w:rPr>
                <w:rFonts w:hint="eastAsia" w:ascii="宋体" w:hAnsi="宋体" w:eastAsia="宋体" w:cs="宋体"/>
                <w:i w:val="0"/>
                <w:iCs w:val="0"/>
                <w:color w:val="000000"/>
                <w:sz w:val="18"/>
                <w:szCs w:val="18"/>
                <w:u w:val="none"/>
              </w:rPr>
            </w:pPr>
          </w:p>
        </w:tc>
      </w:tr>
      <w:tr w14:paraId="1AFC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CAC2">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3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B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32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9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5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3C22">
            <w:pPr>
              <w:rPr>
                <w:rFonts w:hint="eastAsia" w:ascii="宋体" w:hAnsi="宋体" w:eastAsia="宋体" w:cs="宋体"/>
                <w:i w:val="0"/>
                <w:iCs w:val="0"/>
                <w:color w:val="000000"/>
                <w:sz w:val="18"/>
                <w:szCs w:val="18"/>
                <w:u w:val="none"/>
              </w:rPr>
            </w:pPr>
          </w:p>
        </w:tc>
      </w:tr>
      <w:tr w14:paraId="5FA8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2EF8">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8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0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EC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7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A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C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775A9">
            <w:pPr>
              <w:rPr>
                <w:rFonts w:hint="eastAsia" w:ascii="宋体" w:hAnsi="宋体" w:eastAsia="宋体" w:cs="宋体"/>
                <w:i w:val="0"/>
                <w:iCs w:val="0"/>
                <w:color w:val="000000"/>
                <w:sz w:val="18"/>
                <w:szCs w:val="18"/>
                <w:u w:val="none"/>
              </w:rPr>
            </w:pPr>
          </w:p>
        </w:tc>
      </w:tr>
      <w:tr w14:paraId="2924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E780">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3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6930">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A2B6">
            <w:pPr>
              <w:jc w:val="center"/>
              <w:rPr>
                <w:rFonts w:hint="eastAsia" w:ascii="宋体" w:hAnsi="宋体" w:eastAsia="宋体" w:cs="宋体"/>
                <w:i w:val="0"/>
                <w:iCs w:val="0"/>
                <w:color w:val="000000"/>
                <w:sz w:val="18"/>
                <w:szCs w:val="18"/>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3B346">
            <w:pPr>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8A1C">
            <w:pPr>
              <w:jc w:val="center"/>
              <w:rPr>
                <w:rFonts w:hint="eastAsia" w:ascii="宋体" w:hAnsi="宋体" w:eastAsia="宋体" w:cs="宋体"/>
                <w:i w:val="0"/>
                <w:iCs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5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0B8F">
            <w:pPr>
              <w:rPr>
                <w:rFonts w:hint="eastAsia" w:ascii="宋体" w:hAnsi="宋体" w:eastAsia="宋体" w:cs="宋体"/>
                <w:i w:val="0"/>
                <w:iCs w:val="0"/>
                <w:color w:val="000000"/>
                <w:sz w:val="18"/>
                <w:szCs w:val="18"/>
                <w:u w:val="none"/>
              </w:rPr>
            </w:pPr>
          </w:p>
        </w:tc>
      </w:tr>
      <w:tr w14:paraId="5179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EE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9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F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0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B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7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D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E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8DC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7FDE">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0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0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8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66A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99B1">
            <w:pPr>
              <w:jc w:val="center"/>
              <w:rPr>
                <w:rFonts w:hint="eastAsia" w:ascii="宋体" w:hAnsi="宋体" w:eastAsia="宋体" w:cs="宋体"/>
                <w:i w:val="0"/>
                <w:iCs w:val="0"/>
                <w:color w:val="000000"/>
                <w:sz w:val="18"/>
                <w:szCs w:val="18"/>
                <w:u w:val="none"/>
              </w:rPr>
            </w:pPr>
          </w:p>
        </w:tc>
      </w:tr>
      <w:tr w14:paraId="43E1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E39D">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1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足额保障率（参保率）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6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3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831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7B8F">
            <w:pPr>
              <w:jc w:val="center"/>
              <w:rPr>
                <w:rFonts w:hint="eastAsia" w:ascii="宋体" w:hAnsi="宋体" w:eastAsia="宋体" w:cs="宋体"/>
                <w:i w:val="0"/>
                <w:iCs w:val="0"/>
                <w:color w:val="000000"/>
                <w:sz w:val="18"/>
                <w:szCs w:val="18"/>
                <w:u w:val="none"/>
              </w:rPr>
            </w:pPr>
          </w:p>
        </w:tc>
      </w:tr>
      <w:tr w14:paraId="6FB4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DC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5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2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FEBD">
            <w:pPr>
              <w:rPr>
                <w:rFonts w:hint="eastAsia" w:ascii="宋体" w:hAnsi="宋体" w:eastAsia="宋体" w:cs="宋体"/>
                <w:i w:val="0"/>
                <w:iCs w:val="0"/>
                <w:color w:val="000000"/>
                <w:sz w:val="18"/>
                <w:szCs w:val="18"/>
                <w:u w:val="none"/>
              </w:rPr>
            </w:pPr>
          </w:p>
        </w:tc>
      </w:tr>
      <w:tr w14:paraId="02C8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B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27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2023年区工商联保障工资及时、足额发放或社保及时、足额缴纳；经单位自评得分100分。</w:t>
            </w:r>
          </w:p>
        </w:tc>
      </w:tr>
      <w:tr w14:paraId="7C07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042F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1.对民营经济投入和服务不够，缺乏资金和技术支持；</w:t>
            </w:r>
          </w:p>
          <w:p w14:paraId="31D56C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2.由于人员短缺对工商联商会组织的联络与政策支持方面有一些短板；</w:t>
            </w:r>
          </w:p>
          <w:p w14:paraId="29FBB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3.财务制度方面不够规范、人员分工不明等原因造成的财务工作的拖延和滞后。</w:t>
            </w:r>
          </w:p>
        </w:tc>
      </w:tr>
      <w:tr w14:paraId="6480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1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429AEE">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1.抓好思想教育，做好政治引领工作</w:t>
            </w:r>
          </w:p>
          <w:p w14:paraId="242851F4">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2.抓好调查研究，做好参政议政工作</w:t>
            </w:r>
          </w:p>
          <w:p w14:paraId="6DA27601">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3.抓好组织建设，做好商会发展工作</w:t>
            </w:r>
          </w:p>
          <w:p w14:paraId="126D30CD">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4.抓好内联外引，做好协调服务工作</w:t>
            </w:r>
          </w:p>
          <w:p w14:paraId="1516B22C">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5.抓好典型树造，做好光彩事业工作</w:t>
            </w:r>
          </w:p>
          <w:p w14:paraId="6C07CAAF">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6.抓好自身建设，做好服务大局工作</w:t>
            </w:r>
          </w:p>
          <w:p w14:paraId="6AFECB5D">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sz w:val="18"/>
                <w:szCs w:val="18"/>
                <w:u w:val="none"/>
                <w:lang w:val="en-US" w:eastAsia="zh-CN"/>
              </w:rPr>
              <w:t>7.建立健全财务管理制作与体系保障单位财经制度的正常有序运行；加强会计人员的业务培训，提升财务管理水平，为单位领导决策提供有力的支撑依据。</w:t>
            </w:r>
          </w:p>
          <w:p w14:paraId="55C8A87E">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p>
        </w:tc>
      </w:tr>
      <w:tr w14:paraId="6434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E7C8F6">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 xml:space="preserve">项目负责人：张少林 </w:t>
            </w:r>
            <w:r>
              <w:rPr>
                <w:rFonts w:hint="eastAsia" w:ascii="宋体" w:hAnsi="宋体" w:cs="宋体"/>
                <w:i w:val="0"/>
                <w:iCs w:val="0"/>
                <w:color w:val="000000"/>
                <w:sz w:val="18"/>
                <w:szCs w:val="18"/>
                <w:u w:val="none"/>
                <w:lang w:val="en-US" w:eastAsia="zh-CN"/>
              </w:rPr>
              <w:t xml:space="preserve">   </w:t>
            </w:r>
            <w:r>
              <w:rPr>
                <w:rFonts w:hint="eastAsia" w:ascii="宋体" w:hAnsi="宋体" w:eastAsia="宋体" w:cs="宋体"/>
                <w:i w:val="0"/>
                <w:iCs w:val="0"/>
                <w:color w:val="000000"/>
                <w:sz w:val="18"/>
                <w:szCs w:val="18"/>
                <w:u w:val="none"/>
                <w:lang w:val="en-US" w:eastAsia="zh-CN"/>
              </w:rPr>
              <w:t xml:space="preserve">     财务负责人：冯迎辉</w:t>
            </w:r>
          </w:p>
        </w:tc>
      </w:tr>
    </w:tbl>
    <w:p w14:paraId="1BD4A611">
      <w:pPr>
        <w:keepNext w:val="0"/>
        <w:keepLines w:val="0"/>
        <w:spacing w:line="572" w:lineRule="exact"/>
        <w:jc w:val="left"/>
        <w:outlineLvl w:val="0"/>
        <w:rPr>
          <w:rStyle w:val="22"/>
          <w:rFonts w:hint="eastAsia" w:ascii="方正仿宋_GB2312" w:hAnsi="方正仿宋_GB2312" w:eastAsia="方正仿宋_GB2312" w:cs="方正仿宋_GB2312"/>
          <w:b w:val="0"/>
          <w:bCs w:val="0"/>
          <w:sz w:val="32"/>
          <w:szCs w:val="32"/>
          <w:lang w:val="en-US" w:eastAsia="zh-CN"/>
        </w:rPr>
        <w:sectPr>
          <w:pgSz w:w="11906" w:h="16838"/>
          <w:pgMar w:top="1440" w:right="1800" w:bottom="1440" w:left="1800" w:header="851" w:footer="992" w:gutter="0"/>
          <w:pgNumType w:fmt="decimal"/>
          <w:cols w:space="720" w:num="1"/>
          <w:rtlGutter w:val="0"/>
          <w:docGrid w:type="lines" w:linePitch="312" w:charSpace="0"/>
        </w:sectPr>
      </w:pPr>
    </w:p>
    <w:p w14:paraId="3BB2576B">
      <w:pPr>
        <w:keepNext w:val="0"/>
        <w:keepLines w:val="0"/>
        <w:spacing w:line="572" w:lineRule="exact"/>
        <w:jc w:val="left"/>
        <w:outlineLvl w:val="0"/>
        <w:rPr>
          <w:rStyle w:val="22"/>
          <w:rFonts w:hint="eastAsia" w:ascii="黑体" w:hAnsi="黑体" w:eastAsia="黑体" w:cs="黑体"/>
          <w:b w:val="0"/>
          <w:bCs w:val="0"/>
          <w:sz w:val="32"/>
          <w:szCs w:val="32"/>
          <w:lang w:val="en-US" w:eastAsia="zh-CN"/>
        </w:rPr>
      </w:pPr>
      <w:r>
        <w:rPr>
          <w:rStyle w:val="22"/>
          <w:rFonts w:hint="eastAsia" w:ascii="黑体" w:hAnsi="黑体" w:eastAsia="黑体" w:cs="黑体"/>
          <w:b w:val="0"/>
          <w:bCs w:val="0"/>
          <w:sz w:val="32"/>
          <w:szCs w:val="32"/>
        </w:rPr>
        <w:t>附件</w:t>
      </w:r>
      <w:bookmarkEnd w:id="18"/>
      <w:r>
        <w:rPr>
          <w:rStyle w:val="22"/>
          <w:rFonts w:hint="eastAsia" w:ascii="黑体" w:hAnsi="黑体" w:eastAsia="黑体" w:cs="黑体"/>
          <w:b w:val="0"/>
          <w:bCs w:val="0"/>
          <w:sz w:val="32"/>
          <w:szCs w:val="32"/>
          <w:lang w:val="en-US" w:eastAsia="zh-CN"/>
        </w:rPr>
        <w:t>2</w:t>
      </w:r>
    </w:p>
    <w:p w14:paraId="407E7820">
      <w:pPr>
        <w:keepNext w:val="0"/>
        <w:keepLines w:val="0"/>
        <w:widowControl/>
        <w:spacing w:line="578" w:lineRule="exact"/>
        <w:contextualSpacing/>
        <w:jc w:val="center"/>
        <w:outlineLvl w:val="9"/>
        <w:rPr>
          <w:rFonts w:hint="default" w:ascii="Times New Roman" w:hAnsi="Times New Roman" w:eastAsia="方正小标宋简体"/>
          <w:sz w:val="44"/>
          <w:szCs w:val="44"/>
          <w:highlight w:val="none"/>
          <w:shd w:val="clear" w:color="auto" w:fill="FFFFFF"/>
        </w:rPr>
      </w:pPr>
      <w:r>
        <w:rPr>
          <w:rFonts w:hint="default" w:ascii="Times New Roman" w:hAnsi="Times New Roman" w:eastAsia="方正小标宋简体"/>
          <w:sz w:val="44"/>
          <w:szCs w:val="44"/>
          <w:highlight w:val="none"/>
          <w:shd w:val="clear" w:color="auto" w:fill="FFFFFF"/>
          <w:lang w:eastAsia="zh-CN"/>
        </w:rPr>
        <w:t>区工商联参政议政考察调研经费</w:t>
      </w:r>
      <w:r>
        <w:rPr>
          <w:rFonts w:hint="default" w:ascii="Times New Roman" w:hAnsi="Times New Roman" w:eastAsia="方正小标宋简体"/>
          <w:sz w:val="44"/>
          <w:szCs w:val="44"/>
          <w:highlight w:val="none"/>
          <w:shd w:val="clear" w:color="auto" w:fill="FFFFFF"/>
        </w:rPr>
        <w:t>项目支出绩效评价报告</w:t>
      </w:r>
    </w:p>
    <w:p w14:paraId="228AC8A8">
      <w:pPr>
        <w:spacing w:line="580" w:lineRule="exact"/>
        <w:ind w:firstLine="640" w:firstLineChars="200"/>
        <w:rPr>
          <w:rFonts w:hint="eastAsia" w:ascii="仿宋_GB2312" w:hAnsi="仿宋_GB2312" w:eastAsia="仿宋_GB2312" w:cs="仿宋_GB2312"/>
          <w:sz w:val="32"/>
          <w:szCs w:val="32"/>
        </w:rPr>
      </w:pPr>
    </w:p>
    <w:p w14:paraId="6940210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一、评价工作开展及项目情况</w:t>
      </w:r>
    </w:p>
    <w:p w14:paraId="0174953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财政关于绩效评价选点要求，选取了</w:t>
      </w:r>
      <w:r>
        <w:rPr>
          <w:rFonts w:hint="default" w:ascii="Times New Roman" w:hAnsi="Times New Roman" w:eastAsia="仿宋_GB2312" w:cs="Times New Roman"/>
          <w:sz w:val="32"/>
          <w:szCs w:val="32"/>
          <w:lang w:eastAsia="zh-CN"/>
        </w:rPr>
        <w:t>2023年参政议政考察调研经费</w:t>
      </w:r>
      <w:r>
        <w:rPr>
          <w:rFonts w:hint="default" w:ascii="Times New Roman" w:hAnsi="Times New Roman" w:eastAsia="仿宋_GB2312" w:cs="Times New Roman"/>
          <w:sz w:val="32"/>
          <w:szCs w:val="32"/>
        </w:rPr>
        <w:t>进行评价。</w:t>
      </w:r>
    </w:p>
    <w:p w14:paraId="03158EE9">
      <w:pPr>
        <w:spacing w:line="580" w:lineRule="exact"/>
        <w:ind w:firstLine="640" w:firstLineChars="200"/>
        <w:rPr>
          <w:rFonts w:hint="default" w:ascii="黑体" w:hAnsi="黑体" w:eastAsia="黑体" w:cs="黑体"/>
          <w:sz w:val="32"/>
          <w:szCs w:val="32"/>
        </w:rPr>
      </w:pPr>
      <w:r>
        <w:rPr>
          <w:rFonts w:hint="default" w:ascii="黑体" w:hAnsi="黑体" w:eastAsia="黑体" w:cs="黑体"/>
          <w:sz w:val="32"/>
          <w:szCs w:val="32"/>
        </w:rPr>
        <w:t>二、评价结论及绩效分析</w:t>
      </w:r>
    </w:p>
    <w:p w14:paraId="67E4F84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14:paraId="0D54E0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参政议政考察调研经费</w:t>
      </w:r>
      <w:r>
        <w:rPr>
          <w:rFonts w:hint="default" w:ascii="Times New Roman" w:hAnsi="Times New Roman" w:eastAsia="仿宋_GB2312" w:cs="Times New Roman"/>
          <w:sz w:val="32"/>
          <w:szCs w:val="32"/>
        </w:rPr>
        <w:t>较好地实现了绩效目标。</w:t>
      </w:r>
    </w:p>
    <w:p w14:paraId="44FAA3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（二）绩效分析</w:t>
      </w:r>
    </w:p>
    <w:p w14:paraId="7205382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1、项目决策</w:t>
      </w:r>
    </w:p>
    <w:p w14:paraId="434282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绩效目标情况</w:t>
      </w:r>
    </w:p>
    <w:p w14:paraId="738757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2023年参政议政考察调研经费</w:t>
      </w:r>
      <w:r>
        <w:rPr>
          <w:rFonts w:hint="default" w:ascii="Times New Roman" w:hAnsi="Times New Roman" w:eastAsia="仿宋_GB2312" w:cs="Times New Roman"/>
          <w:kern w:val="2"/>
          <w:sz w:val="32"/>
          <w:szCs w:val="32"/>
          <w:lang w:val="en-US" w:eastAsia="zh-CN" w:bidi="ar-SA"/>
        </w:rPr>
        <w:t>项目涉及区工商联</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eastAsia="zh-CN"/>
        </w:rPr>
        <w:t>总</w:t>
      </w:r>
      <w:r>
        <w:rPr>
          <w:rFonts w:hint="eastAsia" w:ascii="Times New Roman" w:hAnsi="Times New Roman" w:eastAsia="仿宋_GB2312" w:cs="Times New Roman"/>
          <w:sz w:val="32"/>
          <w:szCs w:val="32"/>
          <w:lang w:val="en-US" w:eastAsia="zh-CN"/>
        </w:rPr>
        <w:t>商</w:t>
      </w:r>
      <w:r>
        <w:rPr>
          <w:rFonts w:hint="default" w:ascii="Times New Roman" w:hAnsi="Times New Roman" w:eastAsia="仿宋_GB2312" w:cs="Times New Roman"/>
          <w:sz w:val="32"/>
          <w:szCs w:val="32"/>
          <w:lang w:eastAsia="zh-CN"/>
        </w:rPr>
        <w:t>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eastAsia="zh-CN"/>
        </w:rPr>
        <w:t>建设及日常活动开展等</w:t>
      </w:r>
      <w:r>
        <w:rPr>
          <w:rFonts w:hint="default" w:ascii="Times New Roman" w:hAnsi="Times New Roman" w:eastAsia="仿宋_GB2312" w:cs="Times New Roman"/>
          <w:kern w:val="2"/>
          <w:sz w:val="32"/>
          <w:szCs w:val="32"/>
          <w:lang w:val="en-US" w:eastAsia="zh-CN" w:bidi="ar-SA"/>
        </w:rPr>
        <w:t>相关事宜。</w:t>
      </w:r>
    </w:p>
    <w:p w14:paraId="1EF63E9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2023年参政议政考察调研经费</w:t>
      </w:r>
      <w:r>
        <w:rPr>
          <w:rFonts w:hint="default" w:ascii="Times New Roman" w:hAnsi="Times New Roman" w:eastAsia="仿宋_GB2312" w:cs="Times New Roman"/>
          <w:kern w:val="2"/>
          <w:sz w:val="32"/>
          <w:szCs w:val="32"/>
          <w:lang w:val="en-US" w:eastAsia="zh-CN" w:bidi="ar-SA"/>
        </w:rPr>
        <w:t>项目具体项目内容为按照法律赋予的职权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在事关经济发展、社会稳定、民计民生等方面进行全面监督</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开展调研、视察、检查等活动，有效地促进政府工作规范，</w:t>
      </w:r>
      <w:r>
        <w:rPr>
          <w:rFonts w:hint="eastAsia" w:ascii="Times New Roman" w:hAnsi="Times New Roman" w:eastAsia="仿宋_GB2312" w:cs="Times New Roman"/>
          <w:kern w:val="2"/>
          <w:sz w:val="32"/>
          <w:szCs w:val="32"/>
          <w:lang w:val="en-US" w:eastAsia="zh-CN" w:bidi="ar-SA"/>
        </w:rPr>
        <w:t>依</w:t>
      </w:r>
      <w:r>
        <w:rPr>
          <w:rFonts w:hint="default" w:ascii="Times New Roman" w:hAnsi="Times New Roman" w:eastAsia="仿宋_GB2312" w:cs="Times New Roman"/>
          <w:kern w:val="2"/>
          <w:sz w:val="32"/>
          <w:szCs w:val="32"/>
          <w:lang w:val="en-US" w:eastAsia="zh-CN" w:bidi="ar-SA"/>
        </w:rPr>
        <w:t>法行政、树立良</w:t>
      </w:r>
      <w:r>
        <w:rPr>
          <w:rFonts w:hint="eastAsia" w:ascii="Times New Roman" w:hAnsi="Times New Roman" w:eastAsia="仿宋_GB2312" w:cs="Times New Roman"/>
          <w:kern w:val="2"/>
          <w:sz w:val="32"/>
          <w:szCs w:val="32"/>
          <w:lang w:val="en-US" w:eastAsia="zh-CN" w:bidi="ar-SA"/>
        </w:rPr>
        <w:t>好</w:t>
      </w:r>
      <w:r>
        <w:rPr>
          <w:rFonts w:hint="default" w:ascii="Times New Roman" w:hAnsi="Times New Roman" w:eastAsia="仿宋_GB2312" w:cs="Times New Roman"/>
          <w:kern w:val="2"/>
          <w:sz w:val="32"/>
          <w:szCs w:val="32"/>
          <w:lang w:val="en-US" w:eastAsia="zh-CN" w:bidi="ar-SA"/>
        </w:rPr>
        <w:t>形象，同时也能较好地维护人民群众的合法利益</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为减少矛盾</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维护稳定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保障经济健康发展创造了良好的人居环境和生产环境。</w:t>
      </w:r>
    </w:p>
    <w:p w14:paraId="560956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决策依据情况</w:t>
      </w:r>
    </w:p>
    <w:p w14:paraId="6289238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参政议政考察调研经费</w:t>
      </w:r>
      <w:r>
        <w:rPr>
          <w:rFonts w:hint="default" w:ascii="Times New Roman" w:hAnsi="Times New Roman" w:eastAsia="仿宋_GB2312" w:cs="Times New Roman"/>
          <w:kern w:val="2"/>
          <w:sz w:val="32"/>
          <w:szCs w:val="32"/>
          <w:lang w:val="en-US" w:eastAsia="zh-CN" w:bidi="ar-SA"/>
        </w:rPr>
        <w:t>，是指政府、部门协作、公众参与，对政府在事关经济发展、社会稳定、民计民生等方面进行全面监督的活动。以《四川省政协监督条例》2011年7月29日四川省人民代表大会常务委员会发布的文件为决策依据；明确规定了单位负责辖区内</w:t>
      </w:r>
      <w:r>
        <w:rPr>
          <w:rFonts w:hint="default" w:ascii="Times New Roman" w:hAnsi="Times New Roman" w:eastAsia="仿宋_GB2312" w:cs="Times New Roman"/>
          <w:sz w:val="32"/>
          <w:szCs w:val="32"/>
          <w:lang w:eastAsia="zh-CN"/>
        </w:rPr>
        <w:t>参政议政考察调研</w:t>
      </w:r>
      <w:r>
        <w:rPr>
          <w:rFonts w:hint="default" w:ascii="Times New Roman" w:hAnsi="Times New Roman" w:eastAsia="仿宋_GB2312" w:cs="Times New Roman"/>
          <w:kern w:val="2"/>
          <w:sz w:val="32"/>
          <w:szCs w:val="32"/>
          <w:lang w:val="en-US" w:eastAsia="zh-CN" w:bidi="ar-SA"/>
        </w:rPr>
        <w:t>的具体工作，指导和督促居（村）民委员会、相关单位开展</w:t>
      </w:r>
      <w:r>
        <w:rPr>
          <w:rFonts w:hint="default" w:ascii="Times New Roman" w:hAnsi="Times New Roman" w:eastAsia="仿宋_GB2312" w:cs="Times New Roman"/>
          <w:sz w:val="32"/>
          <w:szCs w:val="32"/>
          <w:lang w:eastAsia="zh-CN"/>
        </w:rPr>
        <w:t>参政议政考察调研</w:t>
      </w:r>
      <w:r>
        <w:rPr>
          <w:rFonts w:hint="default" w:ascii="Times New Roman" w:hAnsi="Times New Roman" w:eastAsia="仿宋_GB2312" w:cs="Times New Roman"/>
          <w:kern w:val="2"/>
          <w:sz w:val="32"/>
          <w:szCs w:val="32"/>
          <w:lang w:val="en-US" w:eastAsia="zh-CN" w:bidi="ar-SA"/>
        </w:rPr>
        <w:t>工作。</w:t>
      </w:r>
    </w:p>
    <w:p w14:paraId="265DA5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资金分配情况</w:t>
      </w:r>
    </w:p>
    <w:p w14:paraId="586B5B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参政议政考察调研</w:t>
      </w:r>
      <w:r>
        <w:rPr>
          <w:rFonts w:hint="default" w:ascii="Times New Roman" w:hAnsi="Times New Roman" w:eastAsia="仿宋_GB2312" w:cs="Times New Roman"/>
          <w:kern w:val="2"/>
          <w:sz w:val="32"/>
          <w:szCs w:val="32"/>
          <w:lang w:val="en-US" w:eastAsia="zh-CN" w:bidi="ar-SA"/>
        </w:rPr>
        <w:t>项目资金分配按照预算申报财政资金10万元，进行分配，具体项目分配情况如下：</w:t>
      </w:r>
    </w:p>
    <w:p w14:paraId="7D80BF1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eastAsia="zh-CN"/>
        </w:rPr>
        <w:t>参政议政考察调研</w:t>
      </w:r>
      <w:r>
        <w:rPr>
          <w:rFonts w:hint="default" w:ascii="Times New Roman" w:hAnsi="Times New Roman" w:eastAsia="仿宋_GB2312" w:cs="Times New Roman"/>
          <w:kern w:val="2"/>
          <w:sz w:val="32"/>
          <w:szCs w:val="32"/>
          <w:lang w:val="en-US" w:eastAsia="zh-CN" w:bidi="ar-SA"/>
        </w:rPr>
        <w:t>补助支出2万元（由单位在相关人员外出调研后到单位报销）。</w:t>
      </w:r>
    </w:p>
    <w:p w14:paraId="2DC5B41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（2）购买办公用品支出1万元（主要用于临时性会议支出）。</w:t>
      </w:r>
    </w:p>
    <w:p w14:paraId="5CA922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（3）车辆运行维护支出1万元。（主要用于</w:t>
      </w:r>
      <w:r>
        <w:rPr>
          <w:rFonts w:hint="default" w:ascii="Times New Roman" w:hAnsi="Times New Roman" w:eastAsia="仿宋_GB2312" w:cs="Times New Roman"/>
          <w:sz w:val="32"/>
          <w:szCs w:val="32"/>
          <w:lang w:eastAsia="zh-CN"/>
        </w:rPr>
        <w:t>参政议政考察调研</w:t>
      </w:r>
      <w:r>
        <w:rPr>
          <w:rFonts w:hint="default" w:ascii="Times New Roman" w:hAnsi="Times New Roman" w:eastAsia="仿宋_GB2312" w:cs="Times New Roman"/>
          <w:kern w:val="2"/>
          <w:sz w:val="32"/>
          <w:szCs w:val="32"/>
          <w:lang w:val="en-US" w:eastAsia="zh-CN" w:bidi="ar-SA"/>
        </w:rPr>
        <w:t>车辆运行）</w:t>
      </w:r>
    </w:p>
    <w:p w14:paraId="35D5ECD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eastAsia="zh-CN"/>
        </w:rPr>
        <w:t>参政议政考察调研经</w:t>
      </w:r>
      <w:r>
        <w:rPr>
          <w:rFonts w:hint="default" w:ascii="Times New Roman" w:hAnsi="Times New Roman" w:eastAsia="仿宋_GB2312" w:cs="Times New Roman"/>
          <w:kern w:val="2"/>
          <w:sz w:val="32"/>
          <w:szCs w:val="32"/>
          <w:lang w:val="en-US" w:eastAsia="zh-CN" w:bidi="ar-SA"/>
        </w:rPr>
        <w:t>费支出6万元（主要用于</w:t>
      </w:r>
      <w:r>
        <w:rPr>
          <w:rFonts w:hint="default" w:ascii="Times New Roman" w:hAnsi="Times New Roman" w:eastAsia="仿宋_GB2312" w:cs="Times New Roman"/>
          <w:sz w:val="32"/>
          <w:szCs w:val="32"/>
          <w:lang w:eastAsia="zh-CN"/>
        </w:rPr>
        <w:t>参政议政考察调研</w:t>
      </w:r>
      <w:r>
        <w:rPr>
          <w:rFonts w:hint="default" w:ascii="Times New Roman" w:hAnsi="Times New Roman" w:eastAsia="仿宋_GB2312" w:cs="Times New Roman"/>
          <w:kern w:val="2"/>
          <w:sz w:val="32"/>
          <w:szCs w:val="32"/>
          <w:lang w:val="en-US" w:eastAsia="zh-CN" w:bidi="ar-SA"/>
        </w:rPr>
        <w:t>差旅及其它广告制作费用支出）。</w:t>
      </w:r>
    </w:p>
    <w:p w14:paraId="77ADB6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2、项目管理</w:t>
      </w:r>
    </w:p>
    <w:p w14:paraId="7F741C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资金到位情况</w:t>
      </w:r>
    </w:p>
    <w:p w14:paraId="5FB9D9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该项目申报金额为10万元，根据区财政局2023年财政预算，该项目实际下达金额为10万元。</w:t>
      </w:r>
    </w:p>
    <w:p w14:paraId="647E432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2023年财政实际下拨10万元，项目实际支出为10万元，项目资金按照项目实施进度支付。</w:t>
      </w:r>
    </w:p>
    <w:p w14:paraId="7343B95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资金管理情况</w:t>
      </w:r>
    </w:p>
    <w:p w14:paraId="0F23C7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295AC8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财务管理情况</w:t>
      </w:r>
    </w:p>
    <w:p w14:paraId="58CED2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023BFF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组织实施情况</w:t>
      </w:r>
    </w:p>
    <w:p w14:paraId="1F4392A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根据区工商联自评和现场抽样考核，项目未出现重大调整或无法实施的情况，项目实施方面按照《四川省政协监督条例》的相关规定严格执行。</w:t>
      </w:r>
    </w:p>
    <w:p w14:paraId="405D9F2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3、项目绩效</w:t>
      </w:r>
    </w:p>
    <w:p w14:paraId="47ED5C7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目标完成</w:t>
      </w:r>
    </w:p>
    <w:p w14:paraId="3ECEB3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目标任务量完成情况</w:t>
      </w:r>
    </w:p>
    <w:p w14:paraId="4E4D11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2023年通过</w:t>
      </w:r>
      <w:r>
        <w:rPr>
          <w:rFonts w:hint="default" w:ascii="Times New Roman" w:hAnsi="Times New Roman" w:eastAsia="仿宋_GB2312" w:cs="Times New Roman"/>
          <w:sz w:val="32"/>
          <w:szCs w:val="32"/>
          <w:lang w:eastAsia="zh-CN"/>
        </w:rPr>
        <w:t>参政议政考察调研经费</w:t>
      </w:r>
      <w:r>
        <w:rPr>
          <w:rFonts w:hint="default" w:ascii="Times New Roman" w:hAnsi="Times New Roman" w:eastAsia="仿宋_GB2312" w:cs="Times New Roman"/>
          <w:kern w:val="2"/>
          <w:sz w:val="32"/>
          <w:szCs w:val="32"/>
          <w:lang w:val="en-US" w:eastAsia="zh-CN" w:bidi="ar-SA"/>
        </w:rPr>
        <w:t>的计划基本完成，项目在区财政局的关心、单位</w:t>
      </w:r>
      <w:r>
        <w:rPr>
          <w:rFonts w:hint="eastAsia" w:ascii="Times New Roman" w:hAnsi="Times New Roman" w:eastAsia="仿宋_GB2312" w:cs="Times New Roman"/>
          <w:kern w:val="2"/>
          <w:sz w:val="32"/>
          <w:szCs w:val="32"/>
          <w:lang w:val="en-US" w:eastAsia="zh-CN" w:bidi="ar-SA"/>
        </w:rPr>
        <w:t>党组</w:t>
      </w:r>
      <w:r>
        <w:rPr>
          <w:rFonts w:hint="default" w:ascii="Times New Roman" w:hAnsi="Times New Roman" w:eastAsia="仿宋_GB2312" w:cs="Times New Roman"/>
          <w:kern w:val="2"/>
          <w:sz w:val="32"/>
          <w:szCs w:val="32"/>
          <w:lang w:val="en-US" w:eastAsia="zh-CN" w:bidi="ar-SA"/>
        </w:rPr>
        <w:t>高度重视以及各村组的大力配合下，顺利推进，圆满完成任务，</w:t>
      </w:r>
      <w:r>
        <w:rPr>
          <w:rFonts w:hint="default" w:ascii="Times New Roman" w:hAnsi="Times New Roman" w:eastAsia="仿宋_GB2312" w:cs="Times New Roman"/>
          <w:sz w:val="32"/>
          <w:szCs w:val="32"/>
          <w:lang w:eastAsia="zh-CN"/>
        </w:rPr>
        <w:t>政协委员视察</w:t>
      </w:r>
      <w:r>
        <w:rPr>
          <w:rFonts w:hint="default" w:ascii="Times New Roman" w:hAnsi="Times New Roman" w:eastAsia="仿宋_GB2312" w:cs="Times New Roman"/>
          <w:kern w:val="2"/>
          <w:sz w:val="32"/>
          <w:szCs w:val="32"/>
          <w:lang w:val="en-US" w:eastAsia="zh-CN" w:bidi="ar-SA"/>
        </w:rPr>
        <w:t>工作等得到了较大的提升。</w:t>
      </w:r>
    </w:p>
    <w:p w14:paraId="0605EF4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项目完成质量</w:t>
      </w:r>
    </w:p>
    <w:p w14:paraId="187BB2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根据现场查阅相关资料，单位</w:t>
      </w:r>
      <w:r>
        <w:rPr>
          <w:rFonts w:hint="eastAsia" w:ascii="Times New Roman" w:hAnsi="Times New Roman" w:eastAsia="仿宋_GB2312" w:cs="Times New Roman"/>
          <w:kern w:val="2"/>
          <w:sz w:val="32"/>
          <w:szCs w:val="32"/>
          <w:lang w:val="en-US" w:eastAsia="zh-CN" w:bidi="ar-SA"/>
        </w:rPr>
        <w:t>参政</w:t>
      </w:r>
      <w:r>
        <w:rPr>
          <w:rFonts w:hint="default" w:ascii="Times New Roman" w:hAnsi="Times New Roman" w:eastAsia="仿宋_GB2312" w:cs="Times New Roman"/>
          <w:sz w:val="32"/>
          <w:szCs w:val="32"/>
          <w:lang w:eastAsia="zh-CN"/>
        </w:rPr>
        <w:t>议政考察调研</w:t>
      </w:r>
      <w:r>
        <w:rPr>
          <w:rFonts w:hint="default" w:ascii="Times New Roman" w:hAnsi="Times New Roman" w:eastAsia="仿宋_GB2312" w:cs="Times New Roman"/>
          <w:kern w:val="2"/>
          <w:sz w:val="32"/>
          <w:szCs w:val="32"/>
          <w:lang w:val="en-US" w:eastAsia="zh-CN" w:bidi="ar-SA"/>
        </w:rPr>
        <w:t>项目已按照绩效目标完成情况见表。</w:t>
      </w:r>
    </w:p>
    <w:p w14:paraId="3AE69A6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496478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p>
    <w:tbl>
      <w:tblPr>
        <w:tblStyle w:val="15"/>
        <w:tblpPr w:leftFromText="180" w:rightFromText="180" w:vertAnchor="text" w:horzAnchor="page" w:tblpXSpec="center" w:tblpY="423"/>
        <w:tblOverlap w:val="never"/>
        <w:tblW w:w="5000" w:type="pct"/>
        <w:jc w:val="center"/>
        <w:tblLayout w:type="autofit"/>
        <w:tblCellMar>
          <w:top w:w="0" w:type="dxa"/>
          <w:left w:w="0" w:type="dxa"/>
          <w:bottom w:w="0" w:type="dxa"/>
          <w:right w:w="0" w:type="dxa"/>
        </w:tblCellMar>
      </w:tblPr>
      <w:tblGrid>
        <w:gridCol w:w="679"/>
        <w:gridCol w:w="1032"/>
        <w:gridCol w:w="1130"/>
        <w:gridCol w:w="1480"/>
        <w:gridCol w:w="2001"/>
        <w:gridCol w:w="2014"/>
      </w:tblGrid>
      <w:tr w14:paraId="3B33417C">
        <w:tblPrEx>
          <w:tblCellMar>
            <w:top w:w="0" w:type="dxa"/>
            <w:left w:w="0" w:type="dxa"/>
            <w:bottom w:w="0" w:type="dxa"/>
            <w:right w:w="0" w:type="dxa"/>
          </w:tblCellMar>
        </w:tblPrEx>
        <w:trPr>
          <w:trHeight w:val="554" w:hRule="atLeast"/>
          <w:jc w:val="center"/>
        </w:trPr>
        <w:tc>
          <w:tcPr>
            <w:tcW w:w="5000" w:type="pct"/>
            <w:gridSpan w:val="6"/>
            <w:tcBorders>
              <w:top w:val="nil"/>
              <w:left w:val="nil"/>
              <w:bottom w:val="nil"/>
              <w:right w:val="nil"/>
            </w:tcBorders>
            <w:noWrap w:val="0"/>
            <w:tcMar>
              <w:top w:w="15" w:type="dxa"/>
              <w:left w:w="15" w:type="dxa"/>
              <w:right w:w="15" w:type="dxa"/>
            </w:tcMar>
            <w:vAlign w:val="center"/>
          </w:tcPr>
          <w:p w14:paraId="0BEA9EB6">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6"/>
                <w:szCs w:val="36"/>
              </w:rPr>
              <w:t>项目绩效目标完成情况表</w:t>
            </w:r>
          </w:p>
          <w:p w14:paraId="30C0AC41">
            <w:pPr>
              <w:widowControl/>
              <w:jc w:val="center"/>
              <w:textAlignment w:val="center"/>
              <w:rPr>
                <w:rFonts w:hint="eastAsia" w:ascii="宋体" w:hAnsi="宋体" w:eastAsia="宋体" w:cs="宋体"/>
                <w:color w:val="000000"/>
                <w:sz w:val="36"/>
                <w:szCs w:val="36"/>
              </w:rPr>
            </w:pPr>
            <w:r>
              <w:rPr>
                <w:rFonts w:hint="default" w:ascii="Times New Roman" w:hAnsi="Times New Roman" w:eastAsia="宋体" w:cs="Times New Roman"/>
                <w:color w:val="000000"/>
                <w:kern w:val="0"/>
                <w:sz w:val="36"/>
                <w:szCs w:val="36"/>
              </w:rPr>
              <w:t>(</w:t>
            </w:r>
            <w:r>
              <w:rPr>
                <w:rFonts w:hint="default" w:ascii="Times New Roman" w:hAnsi="Times New Roman" w:eastAsia="宋体" w:cs="Times New Roman"/>
                <w:color w:val="000000"/>
                <w:kern w:val="0"/>
                <w:sz w:val="36"/>
                <w:szCs w:val="36"/>
                <w:lang w:eastAsia="zh-CN"/>
              </w:rPr>
              <w:t>2023</w:t>
            </w:r>
            <w:r>
              <w:rPr>
                <w:rFonts w:hint="eastAsia" w:ascii="宋体" w:hAnsi="宋体" w:eastAsia="宋体" w:cs="宋体"/>
                <w:color w:val="000000"/>
                <w:kern w:val="0"/>
                <w:sz w:val="36"/>
                <w:szCs w:val="36"/>
                <w:lang w:eastAsia="zh-CN"/>
              </w:rPr>
              <w:t>年度</w:t>
            </w:r>
            <w:r>
              <w:rPr>
                <w:rFonts w:hint="eastAsia" w:ascii="宋体" w:hAnsi="宋体" w:eastAsia="宋体" w:cs="宋体"/>
                <w:color w:val="000000"/>
                <w:kern w:val="0"/>
                <w:sz w:val="36"/>
                <w:szCs w:val="36"/>
              </w:rPr>
              <w:t>)</w:t>
            </w:r>
          </w:p>
        </w:tc>
      </w:tr>
      <w:tr w14:paraId="08A23018">
        <w:tblPrEx>
          <w:tblCellMar>
            <w:top w:w="0" w:type="dxa"/>
            <w:left w:w="0" w:type="dxa"/>
            <w:bottom w:w="0" w:type="dxa"/>
            <w:right w:w="0" w:type="dxa"/>
          </w:tblCellMar>
        </w:tblPrEx>
        <w:trPr>
          <w:trHeight w:val="276" w:hRule="atLeast"/>
          <w:jc w:val="center"/>
        </w:trPr>
        <w:tc>
          <w:tcPr>
            <w:tcW w:w="17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41430">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项目名称</w:t>
            </w:r>
          </w:p>
        </w:tc>
        <w:tc>
          <w:tcPr>
            <w:tcW w:w="329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A7B66">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2023年</w:t>
            </w:r>
            <w:r>
              <w:rPr>
                <w:rFonts w:hint="default" w:ascii="Times New Roman" w:hAnsi="Times New Roman" w:eastAsia="宋体" w:cs="Times New Roman"/>
                <w:color w:val="000000"/>
                <w:sz w:val="24"/>
                <w:lang w:eastAsia="zh-CN"/>
              </w:rPr>
              <w:t>参政议政</w:t>
            </w:r>
            <w:r>
              <w:rPr>
                <w:rFonts w:hint="default" w:ascii="Times New Roman" w:hAnsi="Times New Roman" w:eastAsia="宋体" w:cs="Times New Roman"/>
                <w:color w:val="000000"/>
                <w:sz w:val="24"/>
                <w:lang w:val="en-US" w:eastAsia="zh-CN"/>
              </w:rPr>
              <w:t>经费</w:t>
            </w:r>
          </w:p>
        </w:tc>
      </w:tr>
      <w:tr w14:paraId="18195317">
        <w:tblPrEx>
          <w:tblCellMar>
            <w:top w:w="0" w:type="dxa"/>
            <w:left w:w="0" w:type="dxa"/>
            <w:bottom w:w="0" w:type="dxa"/>
            <w:right w:w="0" w:type="dxa"/>
          </w:tblCellMar>
        </w:tblPrEx>
        <w:trPr>
          <w:trHeight w:val="276" w:hRule="atLeast"/>
          <w:jc w:val="center"/>
        </w:trPr>
        <w:tc>
          <w:tcPr>
            <w:tcW w:w="17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0E4B6">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预算单位</w:t>
            </w:r>
          </w:p>
        </w:tc>
        <w:tc>
          <w:tcPr>
            <w:tcW w:w="329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B0794">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遂宁市安居区工商业联合会</w:t>
            </w:r>
          </w:p>
        </w:tc>
      </w:tr>
      <w:tr w14:paraId="7D81FFBE">
        <w:tblPrEx>
          <w:tblCellMar>
            <w:top w:w="0" w:type="dxa"/>
            <w:left w:w="0" w:type="dxa"/>
            <w:bottom w:w="0" w:type="dxa"/>
            <w:right w:w="0" w:type="dxa"/>
          </w:tblCellMar>
        </w:tblPrEx>
        <w:trPr>
          <w:trHeight w:val="276" w:hRule="atLeast"/>
          <w:jc w:val="center"/>
        </w:trPr>
        <w:tc>
          <w:tcPr>
            <w:tcW w:w="4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DF523">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预算执行情况(万元)</w:t>
            </w:r>
          </w:p>
        </w:tc>
        <w:tc>
          <w:tcPr>
            <w:tcW w:w="129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16966">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预算数:</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76675">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10</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1348D">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执行数:</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E5C3F">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10</w:t>
            </w:r>
          </w:p>
        </w:tc>
      </w:tr>
      <w:tr w14:paraId="6581368F">
        <w:tblPrEx>
          <w:tblCellMar>
            <w:top w:w="0" w:type="dxa"/>
            <w:left w:w="0" w:type="dxa"/>
            <w:bottom w:w="0" w:type="dxa"/>
            <w:right w:w="0" w:type="dxa"/>
          </w:tblCellMar>
        </w:tblPrEx>
        <w:trPr>
          <w:trHeight w:val="276"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B46E0">
            <w:pPr>
              <w:jc w:val="center"/>
              <w:rPr>
                <w:rFonts w:hint="default" w:ascii="Times New Roman" w:hAnsi="Times New Roman" w:eastAsia="宋体" w:cs="Times New Roman"/>
                <w:color w:val="000000"/>
                <w:sz w:val="24"/>
              </w:rPr>
            </w:pPr>
          </w:p>
        </w:tc>
        <w:tc>
          <w:tcPr>
            <w:tcW w:w="129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1D4BA">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其中-财政拨款:</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A2542">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10</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A4336">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其中-财政拨款:</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79C33">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10</w:t>
            </w:r>
          </w:p>
        </w:tc>
      </w:tr>
      <w:tr w14:paraId="2F6983E5">
        <w:tblPrEx>
          <w:tblCellMar>
            <w:top w:w="0" w:type="dxa"/>
            <w:left w:w="0" w:type="dxa"/>
            <w:bottom w:w="0" w:type="dxa"/>
            <w:right w:w="0" w:type="dxa"/>
          </w:tblCellMar>
        </w:tblPrEx>
        <w:trPr>
          <w:trHeight w:val="446"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AC3E9">
            <w:pPr>
              <w:jc w:val="center"/>
              <w:rPr>
                <w:rFonts w:hint="default" w:ascii="Times New Roman" w:hAnsi="Times New Roman" w:eastAsia="宋体" w:cs="Times New Roman"/>
                <w:color w:val="000000"/>
                <w:sz w:val="24"/>
              </w:rPr>
            </w:pPr>
          </w:p>
        </w:tc>
        <w:tc>
          <w:tcPr>
            <w:tcW w:w="129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FDB5A">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其它资金:</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E1B17">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F5D42">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其它资金:</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E40E1">
            <w:pPr>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r>
      <w:tr w14:paraId="30E01EE2">
        <w:tblPrEx>
          <w:tblCellMar>
            <w:top w:w="0" w:type="dxa"/>
            <w:left w:w="0" w:type="dxa"/>
            <w:bottom w:w="0" w:type="dxa"/>
            <w:right w:w="0" w:type="dxa"/>
          </w:tblCellMar>
        </w:tblPrEx>
        <w:trPr>
          <w:trHeight w:val="276" w:hRule="atLeast"/>
          <w:jc w:val="center"/>
        </w:trPr>
        <w:tc>
          <w:tcPr>
            <w:tcW w:w="4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648F8">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年度目标完成情况</w:t>
            </w:r>
          </w:p>
        </w:tc>
        <w:tc>
          <w:tcPr>
            <w:tcW w:w="218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13AE5">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预期目标</w:t>
            </w:r>
          </w:p>
        </w:tc>
        <w:tc>
          <w:tcPr>
            <w:tcW w:w="240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C33F3">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实际完成目标</w:t>
            </w:r>
          </w:p>
        </w:tc>
      </w:tr>
      <w:tr w14:paraId="3F0CB1D8">
        <w:tblPrEx>
          <w:tblCellMar>
            <w:top w:w="0" w:type="dxa"/>
            <w:left w:w="0" w:type="dxa"/>
            <w:bottom w:w="0" w:type="dxa"/>
            <w:right w:w="0" w:type="dxa"/>
          </w:tblCellMar>
        </w:tblPrEx>
        <w:trPr>
          <w:trHeight w:val="1159"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5D0FE">
            <w:pPr>
              <w:jc w:val="center"/>
              <w:rPr>
                <w:rFonts w:hint="default" w:ascii="Times New Roman" w:hAnsi="Times New Roman" w:eastAsia="宋体" w:cs="Times New Roman"/>
                <w:color w:val="000000"/>
                <w:sz w:val="24"/>
                <w:szCs w:val="24"/>
              </w:rPr>
            </w:pPr>
          </w:p>
        </w:tc>
        <w:tc>
          <w:tcPr>
            <w:tcW w:w="218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AC253">
            <w:pPr>
              <w:widowControl/>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kern w:val="0"/>
                <w:sz w:val="24"/>
                <w:szCs w:val="24"/>
              </w:rPr>
              <w:t>向区委、区政府和有关部门及时反映意见，要求，积极维护会员的合法权益。开展与全国工商联（商会）、四川省总商会及全国性社团、工商界人士的联络工作，协调会员的关系，协助企业引进资金、技术和人才。协助政府有关部门开展有关方面的立法调查研究</w:t>
            </w:r>
            <w:r>
              <w:rPr>
                <w:rFonts w:hint="default" w:ascii="Times New Roman" w:hAnsi="Times New Roman" w:cs="Times New Roman"/>
                <w:color w:val="000000"/>
                <w:kern w:val="0"/>
                <w:sz w:val="24"/>
                <w:szCs w:val="24"/>
                <w:lang w:eastAsia="zh-CN"/>
              </w:rPr>
              <w:t>；</w:t>
            </w:r>
            <w:r>
              <w:rPr>
                <w:rFonts w:hint="default" w:ascii="Times New Roman" w:hAnsi="Times New Roman" w:eastAsia="宋体" w:cs="Times New Roman"/>
                <w:color w:val="000000"/>
                <w:kern w:val="0"/>
                <w:sz w:val="24"/>
                <w:szCs w:val="24"/>
              </w:rPr>
              <w:t>非公经济组织党建</w:t>
            </w:r>
            <w:r>
              <w:rPr>
                <w:rFonts w:hint="default" w:ascii="Times New Roman" w:hAnsi="Times New Roman" w:cs="Times New Roman"/>
                <w:color w:val="000000"/>
                <w:kern w:val="0"/>
                <w:sz w:val="24"/>
                <w:szCs w:val="24"/>
                <w:lang w:eastAsia="zh-CN"/>
              </w:rPr>
              <w:t>；</w:t>
            </w:r>
          </w:p>
        </w:tc>
        <w:tc>
          <w:tcPr>
            <w:tcW w:w="240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B7BA2">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向区委、区政府和有关部门及时反映意见，要求，积极维护会员的合法权益。开展与全国工商联（商会）、四川省总商会及全国性社团、工商界人士的联络工作，协调会员的关系，协助企业引进资金、技术和人才。协助政府有关部门开展有关方面的立法调查研究</w:t>
            </w:r>
            <w:r>
              <w:rPr>
                <w:rFonts w:hint="default"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非公经济组织党建</w:t>
            </w:r>
            <w:r>
              <w:rPr>
                <w:rFonts w:hint="default" w:ascii="Times New Roman" w:hAnsi="Times New Roman" w:cs="Times New Roman"/>
                <w:color w:val="000000"/>
                <w:sz w:val="24"/>
                <w:lang w:eastAsia="zh-CN"/>
              </w:rPr>
              <w:t>；</w:t>
            </w:r>
          </w:p>
        </w:tc>
      </w:tr>
      <w:tr w14:paraId="6C9A0E4C">
        <w:tblPrEx>
          <w:tblCellMar>
            <w:top w:w="0" w:type="dxa"/>
            <w:left w:w="0" w:type="dxa"/>
            <w:bottom w:w="0" w:type="dxa"/>
            <w:right w:w="0" w:type="dxa"/>
          </w:tblCellMar>
        </w:tblPrEx>
        <w:trPr>
          <w:trHeight w:val="1042" w:hRule="atLeast"/>
          <w:jc w:val="center"/>
        </w:trPr>
        <w:tc>
          <w:tcPr>
            <w:tcW w:w="407"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D3CBBC">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绩效指标完成情况</w:t>
            </w: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A3DF1">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一级指标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58721">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二级指标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00FF2">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三级指标</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4AB03">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预期指标值(包含数字及文字描述)</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79607">
            <w:pPr>
              <w:widowControl/>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实际完成指标值(包含数字及文字描述)</w:t>
            </w:r>
          </w:p>
        </w:tc>
      </w:tr>
      <w:tr w14:paraId="3D9B61DD">
        <w:tblPrEx>
          <w:tblCellMar>
            <w:top w:w="0" w:type="dxa"/>
            <w:left w:w="0" w:type="dxa"/>
            <w:bottom w:w="0" w:type="dxa"/>
            <w:right w:w="0" w:type="dxa"/>
          </w:tblCellMar>
        </w:tblPrEx>
        <w:trPr>
          <w:trHeight w:val="953"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2646072D">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B612A">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产出指标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3B0CB">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数量指标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79E4A">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商会设立位置预计地</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4D01F">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西藏、北京</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AE386">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西藏、北京</w:t>
            </w:r>
          </w:p>
        </w:tc>
      </w:tr>
      <w:tr w14:paraId="71A929A0">
        <w:tblPrEx>
          <w:tblCellMar>
            <w:top w:w="0" w:type="dxa"/>
            <w:left w:w="0" w:type="dxa"/>
            <w:bottom w:w="0" w:type="dxa"/>
            <w:right w:w="0" w:type="dxa"/>
          </w:tblCellMar>
        </w:tblPrEx>
        <w:trPr>
          <w:trHeight w:val="1297"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1B63A724">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56FCC">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产出指标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69ED3">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数量指标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FD333">
            <w:pPr>
              <w:widowControl/>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商会预计建设数量</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E10CF">
            <w:pPr>
              <w:widowControl/>
              <w:spacing w:line="280" w:lineRule="exact"/>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2个</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9EFF6">
            <w:pPr>
              <w:widowControl/>
              <w:spacing w:line="280" w:lineRule="exact"/>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个</w:t>
            </w:r>
          </w:p>
        </w:tc>
      </w:tr>
      <w:tr w14:paraId="5A5A0C75">
        <w:tblPrEx>
          <w:tblCellMar>
            <w:top w:w="0" w:type="dxa"/>
            <w:left w:w="0" w:type="dxa"/>
            <w:bottom w:w="0" w:type="dxa"/>
            <w:right w:w="0" w:type="dxa"/>
          </w:tblCellMar>
        </w:tblPrEx>
        <w:trPr>
          <w:trHeight w:val="1297"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000B4C2B">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00C5C">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产出指标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5F808">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质量指标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B9E20">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保障资金使用率</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D28DD">
            <w:pPr>
              <w:widowControl/>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98%</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3F3C5">
            <w:pPr>
              <w:widowControl/>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100%</w:t>
            </w:r>
            <w:r>
              <w:rPr>
                <w:rFonts w:hint="default" w:ascii="Times New Roman" w:hAnsi="Times New Roman" w:eastAsia="宋体" w:cs="Times New Roman"/>
                <w:color w:val="000000"/>
                <w:kern w:val="0"/>
                <w:sz w:val="24"/>
                <w:szCs w:val="24"/>
              </w:rPr>
              <w:t>　</w:t>
            </w:r>
          </w:p>
        </w:tc>
      </w:tr>
      <w:tr w14:paraId="3BAB2F3F">
        <w:tblPrEx>
          <w:tblCellMar>
            <w:top w:w="0" w:type="dxa"/>
            <w:left w:w="0" w:type="dxa"/>
            <w:bottom w:w="0" w:type="dxa"/>
            <w:right w:w="0" w:type="dxa"/>
          </w:tblCellMar>
        </w:tblPrEx>
        <w:trPr>
          <w:trHeight w:val="1042"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739E0092">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26B0B">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产出指标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E3A32">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eastAsia="zh-CN"/>
              </w:rPr>
              <w:t>时效</w:t>
            </w:r>
            <w:r>
              <w:rPr>
                <w:rFonts w:hint="default" w:ascii="Times New Roman" w:hAnsi="Times New Roman" w:eastAsia="宋体" w:cs="Times New Roman"/>
                <w:color w:val="000000"/>
                <w:kern w:val="0"/>
                <w:sz w:val="24"/>
                <w:szCs w:val="24"/>
              </w:rPr>
              <w:t>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55E40">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eastAsia="zh-CN"/>
              </w:rPr>
              <w:t>资金使用年度</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02B09">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2023年12月完成</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8A504">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2023年11月底完成</w:t>
            </w:r>
          </w:p>
        </w:tc>
      </w:tr>
      <w:tr w14:paraId="1F827373">
        <w:tblPrEx>
          <w:tblCellMar>
            <w:top w:w="0" w:type="dxa"/>
            <w:left w:w="0" w:type="dxa"/>
            <w:bottom w:w="0" w:type="dxa"/>
            <w:right w:w="0" w:type="dxa"/>
          </w:tblCellMar>
        </w:tblPrEx>
        <w:trPr>
          <w:trHeight w:val="1042"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5ADD23B5">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142AE">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成本</w:t>
            </w:r>
            <w:r>
              <w:rPr>
                <w:rFonts w:hint="default" w:ascii="Times New Roman" w:hAnsi="Times New Roman" w:eastAsia="宋体" w:cs="Times New Roman"/>
                <w:color w:val="000000"/>
                <w:kern w:val="0"/>
                <w:sz w:val="24"/>
                <w:szCs w:val="24"/>
              </w:rPr>
              <w:t>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05328">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经济成本</w:t>
            </w:r>
            <w:r>
              <w:rPr>
                <w:rFonts w:hint="default" w:ascii="Times New Roman" w:hAnsi="Times New Roman" w:eastAsia="宋体" w:cs="Times New Roman"/>
                <w:color w:val="000000"/>
                <w:kern w:val="0"/>
                <w:sz w:val="24"/>
                <w:szCs w:val="24"/>
              </w:rPr>
              <w:t>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053EC">
            <w:pPr>
              <w:widowControl/>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印刷费、咨询费4.5万元</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A1E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商会会员资料印刷及宣传广告制作</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EAC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商会会员资料印刷及宣传广告制作费4.5万元</w:t>
            </w:r>
          </w:p>
        </w:tc>
      </w:tr>
      <w:tr w14:paraId="5E092B5C">
        <w:tblPrEx>
          <w:tblCellMar>
            <w:top w:w="0" w:type="dxa"/>
            <w:left w:w="0" w:type="dxa"/>
            <w:bottom w:w="0" w:type="dxa"/>
            <w:right w:w="0" w:type="dxa"/>
          </w:tblCellMar>
        </w:tblPrEx>
        <w:trPr>
          <w:trHeight w:val="1042"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7663B4E5">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ECE77">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成本</w:t>
            </w:r>
            <w:r>
              <w:rPr>
                <w:rFonts w:hint="default" w:ascii="Times New Roman" w:hAnsi="Times New Roman" w:eastAsia="宋体" w:cs="Times New Roman"/>
                <w:color w:val="000000"/>
                <w:kern w:val="0"/>
                <w:sz w:val="24"/>
                <w:szCs w:val="24"/>
              </w:rPr>
              <w:t>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DF7BB">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经济成本</w:t>
            </w:r>
            <w:r>
              <w:rPr>
                <w:rFonts w:hint="default" w:ascii="Times New Roman" w:hAnsi="Times New Roman" w:eastAsia="宋体" w:cs="Times New Roman"/>
                <w:color w:val="000000"/>
                <w:kern w:val="0"/>
                <w:sz w:val="24"/>
                <w:szCs w:val="24"/>
              </w:rPr>
              <w:t>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F67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租赁费3.5万元</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B40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外地商会建立活动场租赁及设备费等</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35DA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外地商会建立活动场租赁及设备费3.5万元</w:t>
            </w:r>
          </w:p>
        </w:tc>
      </w:tr>
      <w:tr w14:paraId="3962C72B">
        <w:tblPrEx>
          <w:tblCellMar>
            <w:top w:w="0" w:type="dxa"/>
            <w:left w:w="0" w:type="dxa"/>
            <w:bottom w:w="0" w:type="dxa"/>
            <w:right w:w="0" w:type="dxa"/>
          </w:tblCellMar>
        </w:tblPrEx>
        <w:trPr>
          <w:trHeight w:val="1042"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58E016FA">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C52A4">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成本</w:t>
            </w:r>
            <w:r>
              <w:rPr>
                <w:rFonts w:hint="default" w:ascii="Times New Roman" w:hAnsi="Times New Roman" w:eastAsia="宋体" w:cs="Times New Roman"/>
                <w:color w:val="000000"/>
                <w:kern w:val="0"/>
                <w:sz w:val="24"/>
                <w:szCs w:val="24"/>
              </w:rPr>
              <w:t>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6716B">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经济成本</w:t>
            </w:r>
            <w:r>
              <w:rPr>
                <w:rFonts w:hint="default" w:ascii="Times New Roman" w:hAnsi="Times New Roman" w:eastAsia="宋体" w:cs="Times New Roman"/>
                <w:color w:val="000000"/>
                <w:kern w:val="0"/>
                <w:sz w:val="24"/>
                <w:szCs w:val="24"/>
              </w:rPr>
              <w:t>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964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其他商品和服务支出2.0万元</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F65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参政议政专项报刊杂志征订及其它支出</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CEA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参政议政专项报刊杂志征订支出2万元</w:t>
            </w:r>
          </w:p>
        </w:tc>
      </w:tr>
      <w:tr w14:paraId="671F37EA">
        <w:tblPrEx>
          <w:tblCellMar>
            <w:top w:w="0" w:type="dxa"/>
            <w:left w:w="0" w:type="dxa"/>
            <w:bottom w:w="0" w:type="dxa"/>
            <w:right w:w="0" w:type="dxa"/>
          </w:tblCellMar>
        </w:tblPrEx>
        <w:trPr>
          <w:trHeight w:val="1042"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42D1A7DB">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BF1F6">
            <w:pPr>
              <w:widowControl/>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效益指标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F90CE">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经济效益指标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EE5A0">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实施项目确保社会幸福率</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E418E">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90</w:t>
            </w:r>
            <w:r>
              <w:rPr>
                <w:rFonts w:hint="default" w:ascii="Times New Roman" w:hAnsi="Times New Roman" w:eastAsia="宋体" w:cs="Times New Roman"/>
                <w:color w:val="000000"/>
                <w:sz w:val="24"/>
                <w:szCs w:val="24"/>
              </w:rPr>
              <w:t>%</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25BB2">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95</w:t>
            </w:r>
            <w:r>
              <w:rPr>
                <w:rFonts w:hint="default" w:ascii="Times New Roman" w:hAnsi="Times New Roman" w:eastAsia="宋体" w:cs="Times New Roman"/>
                <w:color w:val="000000"/>
                <w:sz w:val="24"/>
                <w:szCs w:val="24"/>
              </w:rPr>
              <w:t>%</w:t>
            </w:r>
          </w:p>
        </w:tc>
      </w:tr>
      <w:tr w14:paraId="75FE88F3">
        <w:tblPrEx>
          <w:tblCellMar>
            <w:top w:w="0" w:type="dxa"/>
            <w:left w:w="0" w:type="dxa"/>
            <w:bottom w:w="0" w:type="dxa"/>
            <w:right w:w="0" w:type="dxa"/>
          </w:tblCellMar>
        </w:tblPrEx>
        <w:trPr>
          <w:trHeight w:val="1042" w:hRule="atLeast"/>
          <w:jc w:val="center"/>
        </w:trPr>
        <w:tc>
          <w:tcPr>
            <w:tcW w:w="407" w:type="pct"/>
            <w:vMerge w:val="continue"/>
            <w:tcBorders>
              <w:left w:val="single" w:color="000000" w:sz="4" w:space="0"/>
              <w:right w:val="single" w:color="000000" w:sz="4" w:space="0"/>
            </w:tcBorders>
            <w:noWrap w:val="0"/>
            <w:tcMar>
              <w:top w:w="15" w:type="dxa"/>
              <w:left w:w="15" w:type="dxa"/>
              <w:right w:w="15" w:type="dxa"/>
            </w:tcMar>
            <w:vAlign w:val="center"/>
          </w:tcPr>
          <w:p w14:paraId="0D78B74A">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A7805">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效益指标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E5102">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社会效益指标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15E20">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项目绩效完成</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28383">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90</w:t>
            </w:r>
            <w:r>
              <w:rPr>
                <w:rFonts w:hint="default" w:ascii="Times New Roman" w:hAnsi="Times New Roman" w:eastAsia="宋体" w:cs="Times New Roman"/>
                <w:color w:val="000000"/>
                <w:sz w:val="24"/>
                <w:szCs w:val="24"/>
              </w:rPr>
              <w:t>%</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EBC12">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95</w:t>
            </w:r>
            <w:r>
              <w:rPr>
                <w:rFonts w:hint="default" w:ascii="Times New Roman" w:hAnsi="Times New Roman" w:eastAsia="宋体" w:cs="Times New Roman"/>
                <w:color w:val="000000"/>
                <w:sz w:val="24"/>
                <w:szCs w:val="24"/>
              </w:rPr>
              <w:t>%</w:t>
            </w:r>
          </w:p>
        </w:tc>
      </w:tr>
      <w:tr w14:paraId="63239BF4">
        <w:tblPrEx>
          <w:tblCellMar>
            <w:top w:w="0" w:type="dxa"/>
            <w:left w:w="0" w:type="dxa"/>
            <w:bottom w:w="0" w:type="dxa"/>
            <w:right w:w="0" w:type="dxa"/>
          </w:tblCellMar>
        </w:tblPrEx>
        <w:trPr>
          <w:trHeight w:val="1050" w:hRule="atLeast"/>
          <w:jc w:val="center"/>
        </w:trPr>
        <w:tc>
          <w:tcPr>
            <w:tcW w:w="407"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4C55E20">
            <w:pPr>
              <w:widowControl/>
              <w:jc w:val="center"/>
              <w:textAlignment w:val="center"/>
              <w:rPr>
                <w:rFonts w:hint="default" w:ascii="Times New Roman" w:hAnsi="Times New Roman" w:eastAsia="宋体" w:cs="Times New Roman"/>
                <w:color w:val="000000"/>
                <w:sz w:val="24"/>
              </w:rPr>
            </w:pPr>
          </w:p>
        </w:tc>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E528B">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满意度指标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28A9C">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满意度指标</w:t>
            </w:r>
          </w:p>
        </w:tc>
        <w:tc>
          <w:tcPr>
            <w:tcW w:w="8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E1360">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rPr>
              <w:t>群众满意度</w:t>
            </w:r>
          </w:p>
        </w:tc>
        <w:tc>
          <w:tcPr>
            <w:tcW w:w="12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3DB3C">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95</w:t>
            </w:r>
            <w:r>
              <w:rPr>
                <w:rFonts w:hint="default" w:ascii="Times New Roman" w:hAnsi="Times New Roman" w:eastAsia="宋体" w:cs="Times New Roman"/>
                <w:color w:val="000000"/>
                <w:sz w:val="24"/>
                <w:szCs w:val="24"/>
              </w:rPr>
              <w:t>%</w:t>
            </w:r>
          </w:p>
        </w:tc>
        <w:tc>
          <w:tcPr>
            <w:tcW w:w="1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3918F">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100%</w:t>
            </w:r>
          </w:p>
        </w:tc>
      </w:tr>
    </w:tbl>
    <w:p w14:paraId="20464BC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（3）项目完成进度</w:t>
      </w:r>
    </w:p>
    <w:p w14:paraId="02C5E7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经现场检查财务资料，项目严格按项目进度支付，项目资金预</w:t>
      </w:r>
      <w:r>
        <w:rPr>
          <w:rFonts w:hint="default" w:ascii="Times New Roman" w:hAnsi="Times New Roman" w:eastAsia="仿宋_GB2312" w:cs="Times New Roman"/>
          <w:kern w:val="2"/>
          <w:sz w:val="32"/>
          <w:szCs w:val="32"/>
          <w:lang w:val="en-US" w:eastAsia="zh-CN" w:bidi="ar-SA"/>
        </w:rPr>
        <w:t>算10万元，财政实际下达10万元已全</w:t>
      </w:r>
      <w:r>
        <w:rPr>
          <w:rFonts w:hint="eastAsia" w:ascii="仿宋_GB2312" w:hAnsi="仿宋_GB2312" w:eastAsia="仿宋_GB2312" w:cs="仿宋_GB2312"/>
          <w:kern w:val="2"/>
          <w:sz w:val="32"/>
          <w:szCs w:val="32"/>
          <w:lang w:val="en-US" w:eastAsia="zh-CN" w:bidi="ar-SA"/>
        </w:rPr>
        <w:t>部支付。</w:t>
      </w:r>
    </w:p>
    <w:p w14:paraId="6D462B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2.项目评价结论及得分</w:t>
      </w:r>
    </w:p>
    <w:p w14:paraId="00D416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参政议政考察调研</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w:t>
      </w:r>
      <w:r>
        <w:rPr>
          <w:rFonts w:hint="eastAsia" w:ascii="Times New Roman" w:hAnsi="Times New Roman" w:eastAsia="仿宋_GB2312" w:cs="Times New Roman"/>
          <w:kern w:val="2"/>
          <w:sz w:val="32"/>
          <w:szCs w:val="32"/>
          <w:lang w:val="en-US" w:eastAsia="zh-CN" w:bidi="ar-SA"/>
        </w:rPr>
        <w:t>依</w:t>
      </w:r>
      <w:r>
        <w:rPr>
          <w:rFonts w:hint="default" w:ascii="Times New Roman" w:hAnsi="Times New Roman" w:eastAsia="仿宋_GB2312" w:cs="Times New Roman"/>
          <w:kern w:val="2"/>
          <w:sz w:val="32"/>
          <w:szCs w:val="32"/>
          <w:lang w:val="en-US" w:eastAsia="zh-CN" w:bidi="ar-SA"/>
        </w:rPr>
        <w:t>法行政、树立良好形象，同时也能较好地维护人民群众的合法利益</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为减少矛盾</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维护稳定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保障经济健康发展创造了良好的人居环境和生产环境；经单位自评得分100分。（见附件）</w:t>
      </w:r>
    </w:p>
    <w:p w14:paraId="08D388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三、存在主要问题</w:t>
      </w:r>
    </w:p>
    <w:p w14:paraId="6561E0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项目实施目标不够具体，根据《四川省项目支出绩效评价指标体系》的评分标准，需对项目目标进行量化。</w:t>
      </w:r>
    </w:p>
    <w:p w14:paraId="7C9C88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21E1B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四、相关措施建议</w:t>
      </w:r>
    </w:p>
    <w:p w14:paraId="17150B7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4C1076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pgNumType w:fmt="decimal"/>
          <w:cols w:space="720" w:num="1"/>
          <w:rtlGutter w:val="0"/>
          <w:docGrid w:type="lines" w:linePitch="312" w:charSpace="0"/>
        </w:sectPr>
      </w:pPr>
      <w:r>
        <w:rPr>
          <w:rFonts w:hint="default" w:ascii="Times New Roman" w:hAnsi="Times New Roman" w:eastAsia="仿宋_GB2312" w:cs="Times New Roman"/>
          <w:kern w:val="2"/>
          <w:sz w:val="32"/>
          <w:szCs w:val="32"/>
          <w:lang w:val="en-US" w:eastAsia="zh-CN" w:bidi="ar-SA"/>
        </w:rPr>
        <w:t>2.加强资金管理，规范各项支出</w:t>
      </w:r>
      <w:bookmarkStart w:id="19" w:name="_Toc15396618"/>
    </w:p>
    <w:tbl>
      <w:tblPr>
        <w:tblStyle w:val="1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95"/>
        <w:gridCol w:w="1006"/>
        <w:gridCol w:w="1227"/>
        <w:gridCol w:w="511"/>
        <w:gridCol w:w="757"/>
        <w:gridCol w:w="511"/>
        <w:gridCol w:w="846"/>
        <w:gridCol w:w="503"/>
        <w:gridCol w:w="486"/>
        <w:gridCol w:w="888"/>
      </w:tblGrid>
      <w:tr w14:paraId="28E7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8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E43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51090423T000008858661-参政议政经费</w:t>
            </w:r>
          </w:p>
        </w:tc>
      </w:tr>
      <w:tr w14:paraId="3F52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49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B3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遂宁市安居区工商业联合会部门</w:t>
            </w:r>
          </w:p>
        </w:tc>
        <w:tc>
          <w:tcPr>
            <w:tcW w:w="846" w:type="dxa"/>
            <w:tcBorders>
              <w:top w:val="nil"/>
              <w:left w:val="nil"/>
              <w:bottom w:val="nil"/>
              <w:right w:val="nil"/>
            </w:tcBorders>
            <w:shd w:val="clear" w:color="auto" w:fill="auto"/>
            <w:vAlign w:val="center"/>
          </w:tcPr>
          <w:p w14:paraId="7ED77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6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遂宁市安居区工商业联合会</w:t>
            </w:r>
          </w:p>
        </w:tc>
      </w:tr>
      <w:tr w14:paraId="0F76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80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50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A4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45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34D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6E3F">
            <w:pP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D81E">
            <w:pPr>
              <w:rPr>
                <w:rFonts w:hint="eastAsia" w:ascii="宋体" w:hAnsi="宋体" w:eastAsia="宋体" w:cs="宋体"/>
                <w:i w:val="0"/>
                <w:iCs w:val="0"/>
                <w:color w:val="000000"/>
                <w:sz w:val="18"/>
                <w:szCs w:val="18"/>
                <w:u w:val="none"/>
              </w:rPr>
            </w:pPr>
          </w:p>
        </w:tc>
        <w:tc>
          <w:tcPr>
            <w:tcW w:w="4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79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用于参政议政商会建设、招商引资活动，乡村振兴帮扶、商会活动交流等</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8A2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2023年区工商联顺利完成参政议政项目</w:t>
            </w:r>
          </w:p>
        </w:tc>
      </w:tr>
      <w:tr w14:paraId="2AC8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1D20">
            <w:pP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9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D0F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2023年创建了3个商会办事处，完成了招商引资及乡村帮扶与商会交流活动。</w:t>
            </w:r>
          </w:p>
        </w:tc>
      </w:tr>
      <w:tr w14:paraId="6F02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E5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2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0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09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9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D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3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5A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903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3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9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0A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3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139A1">
            <w:pPr>
              <w:rPr>
                <w:rFonts w:hint="eastAsia" w:ascii="宋体" w:hAnsi="宋体" w:eastAsia="宋体" w:cs="宋体"/>
                <w:i/>
                <w:iCs/>
                <w:color w:val="000000"/>
                <w:sz w:val="18"/>
                <w:szCs w:val="18"/>
                <w:u w:val="none"/>
              </w:rPr>
            </w:pPr>
          </w:p>
        </w:tc>
      </w:tr>
      <w:tr w14:paraId="2421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FFF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C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1D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F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3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2728">
            <w:pPr>
              <w:rPr>
                <w:rFonts w:hint="eastAsia" w:ascii="宋体" w:hAnsi="宋体" w:eastAsia="宋体" w:cs="宋体"/>
                <w:i/>
                <w:iCs/>
                <w:color w:val="000000"/>
                <w:sz w:val="18"/>
                <w:szCs w:val="18"/>
                <w:u w:val="none"/>
              </w:rPr>
            </w:pPr>
          </w:p>
        </w:tc>
      </w:tr>
      <w:tr w14:paraId="26AF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D048">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9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2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3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52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4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D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9DC5">
            <w:pPr>
              <w:rPr>
                <w:rFonts w:hint="eastAsia" w:ascii="宋体" w:hAnsi="宋体" w:eastAsia="宋体" w:cs="宋体"/>
                <w:i/>
                <w:iCs/>
                <w:color w:val="000000"/>
                <w:sz w:val="18"/>
                <w:szCs w:val="18"/>
                <w:u w:val="none"/>
              </w:rPr>
            </w:pPr>
          </w:p>
        </w:tc>
      </w:tr>
      <w:tr w14:paraId="222D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80C8">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F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F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7D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6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4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E42E">
            <w:pPr>
              <w:rPr>
                <w:rFonts w:hint="eastAsia" w:ascii="宋体" w:hAnsi="宋体" w:eastAsia="宋体" w:cs="宋体"/>
                <w:i/>
                <w:iCs/>
                <w:color w:val="000000"/>
                <w:sz w:val="18"/>
                <w:szCs w:val="18"/>
                <w:u w:val="none"/>
              </w:rPr>
            </w:pPr>
          </w:p>
        </w:tc>
      </w:tr>
      <w:tr w14:paraId="032E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BD8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D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C57D">
            <w:pPr>
              <w:jc w:val="center"/>
              <w:rPr>
                <w:rFonts w:hint="eastAsia" w:ascii="宋体" w:hAnsi="宋体" w:eastAsia="宋体" w:cs="宋体"/>
                <w:i/>
                <w:iCs/>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D3A8">
            <w:pPr>
              <w:jc w:val="center"/>
              <w:rPr>
                <w:rFonts w:hint="eastAsia" w:ascii="宋体" w:hAnsi="宋体" w:eastAsia="宋体" w:cs="宋体"/>
                <w:i/>
                <w:iCs/>
                <w:color w:val="000000"/>
                <w:sz w:val="18"/>
                <w:szCs w:val="18"/>
                <w:u w:val="none"/>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347CF">
            <w:pPr>
              <w:jc w:val="center"/>
              <w:rPr>
                <w:rFonts w:hint="eastAsia" w:ascii="宋体" w:hAnsi="宋体" w:eastAsia="宋体" w:cs="宋体"/>
                <w:i/>
                <w:iCs/>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20BD">
            <w:pPr>
              <w:jc w:val="center"/>
              <w:rPr>
                <w:rFonts w:hint="eastAsia" w:ascii="宋体" w:hAnsi="宋体" w:eastAsia="宋体" w:cs="宋体"/>
                <w:i/>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7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8DF7">
            <w:pPr>
              <w:rPr>
                <w:rFonts w:hint="eastAsia" w:ascii="宋体" w:hAnsi="宋体" w:eastAsia="宋体" w:cs="宋体"/>
                <w:i/>
                <w:iCs/>
                <w:color w:val="000000"/>
                <w:sz w:val="18"/>
                <w:szCs w:val="18"/>
                <w:u w:val="none"/>
              </w:rPr>
            </w:pPr>
          </w:p>
        </w:tc>
      </w:tr>
      <w:tr w14:paraId="2A91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6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B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9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1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0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8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D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4F3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D489D">
            <w:pPr>
              <w:jc w:val="center"/>
              <w:rPr>
                <w:rFonts w:hint="eastAsia" w:ascii="宋体" w:hAnsi="宋体" w:eastAsia="宋体" w:cs="宋体"/>
                <w:i w:val="0"/>
                <w:iCs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8A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0A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2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计划建立时间</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F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4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4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半年</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C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F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396">
            <w:pPr>
              <w:jc w:val="center"/>
              <w:rPr>
                <w:rFonts w:hint="eastAsia" w:ascii="宋体" w:hAnsi="宋体" w:eastAsia="宋体" w:cs="宋体"/>
                <w:i/>
                <w:iCs/>
                <w:color w:val="000000"/>
                <w:sz w:val="18"/>
                <w:szCs w:val="18"/>
                <w:u w:val="none"/>
              </w:rPr>
            </w:pPr>
          </w:p>
        </w:tc>
      </w:tr>
      <w:tr w14:paraId="7898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7F88">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79F7">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6848">
            <w:pPr>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建设多个办事商会联络点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1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0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1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030E">
            <w:pPr>
              <w:jc w:val="center"/>
              <w:rPr>
                <w:rFonts w:hint="eastAsia" w:ascii="宋体" w:hAnsi="宋体" w:eastAsia="宋体" w:cs="宋体"/>
                <w:i/>
                <w:iCs/>
                <w:color w:val="000000"/>
                <w:sz w:val="18"/>
                <w:szCs w:val="18"/>
                <w:u w:val="none"/>
              </w:rPr>
            </w:pPr>
          </w:p>
        </w:tc>
      </w:tr>
      <w:tr w14:paraId="4905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BF35">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B770">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9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保障资金使用率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E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4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A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1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0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4361">
            <w:pPr>
              <w:jc w:val="center"/>
              <w:rPr>
                <w:rFonts w:hint="eastAsia" w:ascii="宋体" w:hAnsi="宋体" w:eastAsia="宋体" w:cs="宋体"/>
                <w:i/>
                <w:iCs/>
                <w:color w:val="000000"/>
                <w:sz w:val="18"/>
                <w:szCs w:val="18"/>
                <w:u w:val="none"/>
              </w:rPr>
            </w:pPr>
          </w:p>
        </w:tc>
      </w:tr>
      <w:tr w14:paraId="6C36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77C1">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C240">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1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12月以前拨付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9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9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11月完成</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0F10">
            <w:pPr>
              <w:jc w:val="center"/>
              <w:rPr>
                <w:rFonts w:hint="eastAsia" w:ascii="宋体" w:hAnsi="宋体" w:eastAsia="宋体" w:cs="宋体"/>
                <w:i/>
                <w:iCs/>
                <w:color w:val="000000"/>
                <w:sz w:val="18"/>
                <w:szCs w:val="18"/>
                <w:u w:val="none"/>
              </w:rPr>
            </w:pPr>
          </w:p>
        </w:tc>
      </w:tr>
      <w:tr w14:paraId="54D7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11FC">
            <w:pPr>
              <w:jc w:val="center"/>
              <w:rPr>
                <w:rFonts w:hint="eastAsia" w:ascii="宋体" w:hAnsi="宋体" w:eastAsia="宋体" w:cs="宋体"/>
                <w:i w:val="0"/>
                <w:iCs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6E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2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招商引资提升率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6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D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9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B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3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0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2144">
            <w:pPr>
              <w:jc w:val="center"/>
              <w:rPr>
                <w:rFonts w:hint="eastAsia" w:ascii="宋体" w:hAnsi="宋体" w:eastAsia="宋体" w:cs="宋体"/>
                <w:i/>
                <w:iCs/>
                <w:color w:val="000000"/>
                <w:sz w:val="18"/>
                <w:szCs w:val="18"/>
                <w:u w:val="none"/>
              </w:rPr>
            </w:pPr>
          </w:p>
        </w:tc>
      </w:tr>
      <w:tr w14:paraId="0DAF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A347">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EFD9">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8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A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创造安居工商联合会的社会影响力</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E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25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提升安居社会经济环境优化营商秩序</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61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提升了营商环境</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7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E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CB1">
            <w:pPr>
              <w:jc w:val="center"/>
              <w:rPr>
                <w:rFonts w:hint="eastAsia" w:ascii="宋体" w:hAnsi="宋体" w:eastAsia="宋体" w:cs="宋体"/>
                <w:i/>
                <w:iCs/>
                <w:color w:val="000000"/>
                <w:sz w:val="18"/>
                <w:szCs w:val="18"/>
                <w:u w:val="none"/>
              </w:rPr>
            </w:pPr>
          </w:p>
        </w:tc>
      </w:tr>
      <w:tr w14:paraId="0C42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394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51546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06" w:type="dxa"/>
            <w:tcBorders>
              <w:top w:val="single" w:color="000000" w:sz="4" w:space="0"/>
              <w:left w:val="single" w:color="000000" w:sz="4" w:space="0"/>
              <w:bottom w:val="nil"/>
              <w:right w:val="single" w:color="000000" w:sz="4" w:space="0"/>
            </w:tcBorders>
            <w:shd w:val="clear" w:color="auto" w:fill="auto"/>
            <w:vAlign w:val="center"/>
          </w:tcPr>
          <w:p w14:paraId="1475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27" w:type="dxa"/>
            <w:tcBorders>
              <w:top w:val="single" w:color="000000" w:sz="4" w:space="0"/>
              <w:left w:val="single" w:color="000000" w:sz="4" w:space="0"/>
              <w:bottom w:val="nil"/>
              <w:right w:val="single" w:color="000000" w:sz="4" w:space="0"/>
            </w:tcBorders>
            <w:shd w:val="clear" w:color="auto" w:fill="auto"/>
            <w:vAlign w:val="center"/>
          </w:tcPr>
          <w:p w14:paraId="543B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11" w:type="dxa"/>
            <w:tcBorders>
              <w:top w:val="single" w:color="000000" w:sz="4" w:space="0"/>
              <w:left w:val="single" w:color="000000" w:sz="4" w:space="0"/>
              <w:bottom w:val="nil"/>
              <w:right w:val="single" w:color="000000" w:sz="4" w:space="0"/>
            </w:tcBorders>
            <w:shd w:val="clear" w:color="auto" w:fill="auto"/>
            <w:vAlign w:val="center"/>
          </w:tcPr>
          <w:p w14:paraId="271E7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1497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11" w:type="dxa"/>
            <w:tcBorders>
              <w:top w:val="single" w:color="000000" w:sz="4" w:space="0"/>
              <w:left w:val="single" w:color="000000" w:sz="4" w:space="0"/>
              <w:bottom w:val="nil"/>
              <w:right w:val="single" w:color="000000" w:sz="4" w:space="0"/>
            </w:tcBorders>
            <w:shd w:val="clear" w:color="auto" w:fill="auto"/>
            <w:vAlign w:val="center"/>
          </w:tcPr>
          <w:p w14:paraId="426D0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2476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nil"/>
              <w:right w:val="single" w:color="000000" w:sz="4" w:space="0"/>
            </w:tcBorders>
            <w:shd w:val="clear" w:color="auto" w:fill="auto"/>
            <w:vAlign w:val="center"/>
          </w:tcPr>
          <w:p w14:paraId="05093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1E17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nil"/>
              <w:right w:val="single" w:color="000000" w:sz="4" w:space="0"/>
            </w:tcBorders>
            <w:shd w:val="clear" w:color="auto" w:fill="auto"/>
            <w:vAlign w:val="center"/>
          </w:tcPr>
          <w:p w14:paraId="5F634445">
            <w:pPr>
              <w:jc w:val="center"/>
              <w:rPr>
                <w:rFonts w:hint="eastAsia" w:ascii="宋体" w:hAnsi="宋体" w:eastAsia="宋体" w:cs="宋体"/>
                <w:i/>
                <w:iCs/>
                <w:color w:val="000000"/>
                <w:sz w:val="18"/>
                <w:szCs w:val="18"/>
                <w:u w:val="none"/>
              </w:rPr>
            </w:pPr>
          </w:p>
        </w:tc>
      </w:tr>
      <w:tr w14:paraId="40E2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C290">
            <w:pPr>
              <w:jc w:val="center"/>
              <w:rPr>
                <w:rFonts w:hint="eastAsia" w:ascii="宋体" w:hAnsi="宋体" w:eastAsia="宋体" w:cs="宋体"/>
                <w:i w:val="0"/>
                <w:iCs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9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08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1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印刷费、咨询费4.5万元</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8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1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1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B670">
            <w:pPr>
              <w:jc w:val="center"/>
              <w:rPr>
                <w:rFonts w:hint="eastAsia" w:ascii="宋体" w:hAnsi="宋体" w:eastAsia="宋体" w:cs="宋体"/>
                <w:i/>
                <w:iCs/>
                <w:color w:val="000000"/>
                <w:sz w:val="18"/>
                <w:szCs w:val="18"/>
                <w:u w:val="none"/>
              </w:rPr>
            </w:pPr>
          </w:p>
        </w:tc>
      </w:tr>
      <w:tr w14:paraId="6EF8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D00F">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BAFC">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3080">
            <w:pPr>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0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租赁费3.5万元</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0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2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1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2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F265">
            <w:pPr>
              <w:jc w:val="center"/>
              <w:rPr>
                <w:rFonts w:hint="eastAsia" w:ascii="宋体" w:hAnsi="宋体" w:eastAsia="宋体" w:cs="宋体"/>
                <w:i/>
                <w:iCs/>
                <w:color w:val="000000"/>
                <w:sz w:val="18"/>
                <w:szCs w:val="18"/>
                <w:u w:val="none"/>
              </w:rPr>
            </w:pPr>
          </w:p>
        </w:tc>
      </w:tr>
      <w:tr w14:paraId="5B67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EE72">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AEAE">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86B8">
            <w:pPr>
              <w:jc w:val="center"/>
              <w:rPr>
                <w:rFonts w:hint="eastAsia" w:ascii="宋体" w:hAnsi="宋体" w:eastAsia="宋体" w:cs="宋体"/>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其他商品和服务支出2.0万元</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6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E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F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B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616">
            <w:pPr>
              <w:jc w:val="center"/>
              <w:rPr>
                <w:rFonts w:hint="eastAsia" w:ascii="宋体" w:hAnsi="宋体" w:eastAsia="宋体" w:cs="宋体"/>
                <w:i/>
                <w:iCs/>
                <w:color w:val="000000"/>
                <w:sz w:val="18"/>
                <w:szCs w:val="18"/>
                <w:u w:val="none"/>
              </w:rPr>
            </w:pPr>
          </w:p>
        </w:tc>
      </w:tr>
      <w:tr w14:paraId="19BD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628" w:type="dxa"/>
            <w:gridSpan w:val="8"/>
            <w:tcBorders>
              <w:top w:val="nil"/>
              <w:left w:val="single" w:color="000000" w:sz="4" w:space="0"/>
              <w:bottom w:val="single" w:color="000000" w:sz="4" w:space="0"/>
              <w:right w:val="single" w:color="000000" w:sz="4" w:space="0"/>
            </w:tcBorders>
            <w:shd w:val="clear" w:color="auto" w:fill="auto"/>
            <w:vAlign w:val="center"/>
          </w:tcPr>
          <w:p w14:paraId="7E14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3" w:type="dxa"/>
            <w:tcBorders>
              <w:top w:val="nil"/>
              <w:left w:val="single" w:color="000000" w:sz="4" w:space="0"/>
              <w:bottom w:val="single" w:color="000000" w:sz="4" w:space="0"/>
              <w:right w:val="single" w:color="000000" w:sz="4" w:space="0"/>
            </w:tcBorders>
            <w:shd w:val="clear" w:color="auto" w:fill="auto"/>
            <w:vAlign w:val="center"/>
          </w:tcPr>
          <w:p w14:paraId="7561C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nil"/>
              <w:left w:val="single" w:color="000000" w:sz="4" w:space="0"/>
              <w:bottom w:val="single" w:color="000000" w:sz="4" w:space="0"/>
              <w:right w:val="single" w:color="000000" w:sz="4" w:space="0"/>
            </w:tcBorders>
            <w:shd w:val="clear" w:color="auto" w:fill="auto"/>
            <w:vAlign w:val="center"/>
          </w:tcPr>
          <w:p w14:paraId="71C474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8" w:type="dxa"/>
            <w:tcBorders>
              <w:top w:val="nil"/>
              <w:left w:val="single" w:color="000000" w:sz="4" w:space="0"/>
              <w:bottom w:val="single" w:color="000000" w:sz="4" w:space="0"/>
              <w:right w:val="single" w:color="000000" w:sz="4" w:space="0"/>
            </w:tcBorders>
            <w:shd w:val="clear" w:color="auto" w:fill="auto"/>
            <w:vAlign w:val="center"/>
          </w:tcPr>
          <w:p w14:paraId="3F2B6138">
            <w:pPr>
              <w:rPr>
                <w:rFonts w:hint="eastAsia" w:ascii="宋体" w:hAnsi="宋体" w:eastAsia="宋体" w:cs="宋体"/>
                <w:i w:val="0"/>
                <w:iCs w:val="0"/>
                <w:color w:val="000000"/>
                <w:sz w:val="18"/>
                <w:szCs w:val="18"/>
                <w:u w:val="none"/>
              </w:rPr>
            </w:pPr>
          </w:p>
        </w:tc>
      </w:tr>
      <w:tr w14:paraId="0B27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FD4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2023年创建了3个商会办事处，完成了招商引资及乡村帮扶与商会交流活动；单位自评得分100分</w:t>
            </w:r>
          </w:p>
        </w:tc>
      </w:tr>
      <w:tr w14:paraId="6C73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8C3796">
            <w:pPr>
              <w:keepNext w:val="0"/>
              <w:keepLines w:val="0"/>
              <w:widowControl/>
              <w:suppressLineNumbers w:val="0"/>
              <w:tabs>
                <w:tab w:val="left" w:pos="313"/>
              </w:tabs>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ab/>
            </w:r>
            <w:r>
              <w:rPr>
                <w:rFonts w:hint="eastAsia" w:ascii="宋体" w:hAnsi="宋体" w:cs="宋体"/>
                <w:i w:val="0"/>
                <w:iCs w:val="0"/>
                <w:color w:val="000000"/>
                <w:kern w:val="0"/>
                <w:sz w:val="18"/>
                <w:szCs w:val="18"/>
                <w:u w:val="none"/>
                <w:lang w:val="en-US" w:eastAsia="zh-CN" w:bidi="ar"/>
              </w:rPr>
              <w:t>项目实施目标不够具体，根据《四川省项目支出绩效评价指标体系》的评分标准，需对项目目标进行量化。</w:t>
            </w:r>
          </w:p>
        </w:tc>
      </w:tr>
      <w:tr w14:paraId="05DE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A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BEE168">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1.参考《四川省项目支出绩效评价指标体系》，根据每年项目开展的实际情况，提出明确、合理的目标，制定绩效目标时应对目标进行量化，使项目实施做到科学合理。</w:t>
            </w:r>
          </w:p>
          <w:p w14:paraId="72E1F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2.加强资金管理，规范各项支出</w:t>
            </w:r>
          </w:p>
        </w:tc>
      </w:tr>
      <w:tr w14:paraId="74B4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EFF402">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项目负责人：张少林      财务负责人：冯迎辉</w:t>
            </w:r>
          </w:p>
        </w:tc>
      </w:tr>
    </w:tbl>
    <w:p w14:paraId="712743C5">
      <w:pPr>
        <w:keepNext w:val="0"/>
        <w:keepLines w:val="0"/>
        <w:spacing w:line="572" w:lineRule="exact"/>
        <w:jc w:val="left"/>
        <w:outlineLvl w:val="0"/>
        <w:rPr>
          <w:rFonts w:hint="default" w:ascii="仿宋_GB2312" w:hAnsi="仿宋_GB2312" w:eastAsia="仿宋_GB2312" w:cs="仿宋_GB2312"/>
          <w:kern w:val="2"/>
          <w:sz w:val="32"/>
          <w:szCs w:val="32"/>
          <w:lang w:val="en-US" w:eastAsia="zh-CN" w:bidi="ar-SA"/>
        </w:rPr>
        <w:sectPr>
          <w:pgSz w:w="11906" w:h="16838"/>
          <w:pgMar w:top="1440" w:right="1800" w:bottom="1440" w:left="1800" w:header="851" w:footer="992" w:gutter="0"/>
          <w:pgNumType w:fmt="decimal"/>
          <w:cols w:space="720" w:num="1"/>
          <w:rtlGutter w:val="0"/>
          <w:docGrid w:type="lines" w:linePitch="312" w:charSpace="0"/>
        </w:sectPr>
      </w:pPr>
    </w:p>
    <w:p w14:paraId="747F0570">
      <w:pPr>
        <w:keepNext w:val="0"/>
        <w:keepLines w:val="0"/>
        <w:spacing w:line="572" w:lineRule="exact"/>
        <w:jc w:val="left"/>
        <w:outlineLvl w:val="0"/>
        <w:rPr>
          <w:rStyle w:val="22"/>
          <w:rFonts w:hint="default" w:ascii="黑体" w:hAnsi="黑体" w:eastAsia="黑体" w:cs="黑体"/>
          <w:b w:val="0"/>
          <w:bCs w:val="0"/>
          <w:sz w:val="32"/>
          <w:szCs w:val="32"/>
          <w:lang w:val="en-US" w:eastAsia="zh-CN"/>
        </w:rPr>
      </w:pPr>
      <w:r>
        <w:rPr>
          <w:rStyle w:val="22"/>
          <w:rFonts w:hint="eastAsia" w:ascii="黑体" w:hAnsi="黑体" w:eastAsia="黑体" w:cs="黑体"/>
          <w:b w:val="0"/>
          <w:bCs w:val="0"/>
          <w:sz w:val="32"/>
          <w:szCs w:val="32"/>
          <w:lang w:val="en-US" w:eastAsia="zh-CN"/>
        </w:rPr>
        <w:t>附件3</w:t>
      </w:r>
    </w:p>
    <w:p w14:paraId="1E1BD7E8">
      <w:pPr>
        <w:keepNext w:val="0"/>
        <w:keepLines w:val="0"/>
        <w:widowControl/>
        <w:spacing w:line="578" w:lineRule="exact"/>
        <w:contextualSpacing/>
        <w:jc w:val="center"/>
        <w:outlineLvl w:val="9"/>
        <w:rPr>
          <w:rFonts w:hint="eastAsia" w:ascii="Times New Roman" w:hAnsi="Times New Roman" w:eastAsia="方正小标宋简体" w:cs="Times New Roman"/>
          <w:sz w:val="44"/>
          <w:szCs w:val="44"/>
          <w:highlight w:val="none"/>
          <w:shd w:val="clear" w:color="auto" w:fill="FFFFFF"/>
        </w:rPr>
      </w:pPr>
      <w:r>
        <w:rPr>
          <w:rFonts w:hint="eastAsia" w:ascii="Times New Roman" w:hAnsi="Times New Roman" w:eastAsia="方正小标宋简体" w:cs="Times New Roman"/>
          <w:sz w:val="44"/>
          <w:szCs w:val="44"/>
          <w:highlight w:val="none"/>
          <w:shd w:val="clear" w:color="auto" w:fill="FFFFFF"/>
          <w:lang w:eastAsia="zh-CN"/>
        </w:rPr>
        <w:t>区工商联临聘人员经费</w:t>
      </w:r>
      <w:r>
        <w:rPr>
          <w:rFonts w:hint="eastAsia" w:ascii="Times New Roman" w:hAnsi="Times New Roman" w:eastAsia="方正小标宋简体" w:cs="Times New Roman"/>
          <w:sz w:val="44"/>
          <w:szCs w:val="44"/>
          <w:highlight w:val="none"/>
          <w:shd w:val="clear" w:color="auto" w:fill="FFFFFF"/>
        </w:rPr>
        <w:t>项目支出绩效评价报告</w:t>
      </w:r>
    </w:p>
    <w:p w14:paraId="533F3AC7">
      <w:pPr>
        <w:spacing w:line="580" w:lineRule="exact"/>
        <w:ind w:firstLine="640" w:firstLineChars="200"/>
        <w:rPr>
          <w:rFonts w:hint="eastAsia" w:ascii="仿宋_GB2312" w:hAnsi="仿宋_GB2312" w:eastAsia="仿宋_GB2312" w:cs="仿宋_GB2312"/>
          <w:sz w:val="32"/>
          <w:szCs w:val="32"/>
        </w:rPr>
      </w:pPr>
    </w:p>
    <w:p w14:paraId="6D84F43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一、评价工作开展及项目情况</w:t>
      </w:r>
    </w:p>
    <w:p w14:paraId="224599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财政关于绩效评价选点要求，选取了</w:t>
      </w: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sz w:val="32"/>
          <w:szCs w:val="32"/>
        </w:rPr>
        <w:t>进行评价。</w:t>
      </w:r>
    </w:p>
    <w:p w14:paraId="14A6CB9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二、评价结论及绩效分析</w:t>
      </w:r>
    </w:p>
    <w:p w14:paraId="65948BE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（一）评价结论</w:t>
      </w:r>
    </w:p>
    <w:p w14:paraId="5DA9BF6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sz w:val="32"/>
          <w:szCs w:val="32"/>
        </w:rPr>
        <w:t>较好地实现了绩效目标。</w:t>
      </w:r>
    </w:p>
    <w:p w14:paraId="138A8A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（二）绩效分析</w:t>
      </w:r>
    </w:p>
    <w:p w14:paraId="1CFD22A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1、项目决策</w:t>
      </w:r>
    </w:p>
    <w:p w14:paraId="178C5A7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绩效目标情况</w:t>
      </w:r>
    </w:p>
    <w:p w14:paraId="52880B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kern w:val="2"/>
          <w:sz w:val="32"/>
          <w:szCs w:val="32"/>
          <w:lang w:val="en-US" w:eastAsia="zh-CN" w:bidi="ar-SA"/>
        </w:rPr>
        <w:t>项目涉及区工商联</w:t>
      </w:r>
      <w:r>
        <w:rPr>
          <w:rFonts w:hint="default" w:ascii="Times New Roman" w:hAnsi="Times New Roman" w:eastAsia="仿宋_GB2312" w:cs="Times New Roman"/>
          <w:sz w:val="32"/>
          <w:szCs w:val="32"/>
          <w:lang w:eastAsia="zh-CN"/>
        </w:rPr>
        <w:t>临时人员工资保险等经费保障</w:t>
      </w:r>
      <w:r>
        <w:rPr>
          <w:rFonts w:hint="default" w:ascii="Times New Roman" w:hAnsi="Times New Roman" w:eastAsia="仿宋_GB2312" w:cs="Times New Roman"/>
          <w:kern w:val="2"/>
          <w:sz w:val="32"/>
          <w:szCs w:val="32"/>
          <w:lang w:val="en-US" w:eastAsia="zh-CN" w:bidi="ar-SA"/>
        </w:rPr>
        <w:t>相关事宜。</w:t>
      </w:r>
    </w:p>
    <w:p w14:paraId="7542F8E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kern w:val="2"/>
          <w:sz w:val="32"/>
          <w:szCs w:val="32"/>
          <w:lang w:val="en-US" w:eastAsia="zh-CN" w:bidi="ar-SA"/>
        </w:rPr>
        <w:t>项目具体项目内容为按照法律赋予的职权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在事关经济发展、社会稳定、民计民生等方面进行全面监督</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开展调研、视察、检查等活动，有效地促进政府工作规范，</w:t>
      </w:r>
      <w:r>
        <w:rPr>
          <w:rFonts w:hint="eastAsia" w:ascii="Times New Roman" w:hAnsi="Times New Roman" w:eastAsia="仿宋_GB2312" w:cs="Times New Roman"/>
          <w:kern w:val="2"/>
          <w:sz w:val="32"/>
          <w:szCs w:val="32"/>
          <w:lang w:val="en-US" w:eastAsia="zh-CN" w:bidi="ar-SA"/>
        </w:rPr>
        <w:t>依</w:t>
      </w:r>
      <w:r>
        <w:rPr>
          <w:rFonts w:hint="default" w:ascii="Times New Roman" w:hAnsi="Times New Roman" w:eastAsia="仿宋_GB2312" w:cs="Times New Roman"/>
          <w:kern w:val="2"/>
          <w:sz w:val="32"/>
          <w:szCs w:val="32"/>
          <w:lang w:val="en-US" w:eastAsia="zh-CN" w:bidi="ar-SA"/>
        </w:rPr>
        <w:t>法行政、树立良</w:t>
      </w:r>
      <w:r>
        <w:rPr>
          <w:rFonts w:hint="eastAsia" w:ascii="Times New Roman" w:hAnsi="Times New Roman" w:eastAsia="仿宋_GB2312" w:cs="Times New Roman"/>
          <w:kern w:val="2"/>
          <w:sz w:val="32"/>
          <w:szCs w:val="32"/>
          <w:lang w:val="en-US" w:eastAsia="zh-CN" w:bidi="ar-SA"/>
        </w:rPr>
        <w:t>好</w:t>
      </w:r>
      <w:r>
        <w:rPr>
          <w:rFonts w:hint="default" w:ascii="Times New Roman" w:hAnsi="Times New Roman" w:eastAsia="仿宋_GB2312" w:cs="Times New Roman"/>
          <w:kern w:val="2"/>
          <w:sz w:val="32"/>
          <w:szCs w:val="32"/>
          <w:lang w:val="en-US" w:eastAsia="zh-CN" w:bidi="ar-SA"/>
        </w:rPr>
        <w:t>形象，同时也能较好地维护人民群众的合法利益</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为减少矛盾</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维护稳定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保障经济健康发展创造了良好的人居环境和生产环境。</w:t>
      </w:r>
    </w:p>
    <w:p w14:paraId="3BA7653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决策依据情况</w:t>
      </w:r>
    </w:p>
    <w:p w14:paraId="567C33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是指政府、部门协作、公众参与，对政府在事关经济发展、社会稳定、民计民生等方面进行全面监督的活动。以《四川省政府行政综合管理条例》2011年7月29日四川省人民代表大会常务委员会发布的文件为决策依据；明确规定了单位负责辖区内</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的具体工作，指导和督促居（村）民委员会、相关单位开展</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工作。</w:t>
      </w:r>
    </w:p>
    <w:p w14:paraId="2D66C16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资金分配情况</w:t>
      </w:r>
    </w:p>
    <w:p w14:paraId="07AF4D3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项目资金分配按照预算申报财政资金4.5万元，进行分配，具体项目分配情况如下：</w:t>
      </w:r>
    </w:p>
    <w:p w14:paraId="0B3A9F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补助支出4.5万元（由单位聘用相关人员后报销）。</w:t>
      </w:r>
    </w:p>
    <w:p w14:paraId="54CD051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2、项目管理</w:t>
      </w:r>
    </w:p>
    <w:p w14:paraId="4299563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资金到位情况</w:t>
      </w:r>
    </w:p>
    <w:p w14:paraId="39F6C4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该项目申报金额为4.5万元，根据区财政局2023年财政预算，该项目实际下达金额为4.5万元。</w:t>
      </w:r>
    </w:p>
    <w:p w14:paraId="4B52B5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2023年财政实际下拨4.5万元，项目实际支出为4.5万元，项目资金按照项目实施进度支付。</w:t>
      </w:r>
    </w:p>
    <w:p w14:paraId="719DE8A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资金管理情况</w:t>
      </w:r>
    </w:p>
    <w:p w14:paraId="26358F4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22AED74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财务管理情况</w:t>
      </w:r>
    </w:p>
    <w:p w14:paraId="69A2AFA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294526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组织实施情况</w:t>
      </w:r>
    </w:p>
    <w:p w14:paraId="461EA5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根据区工商联自评和现场抽样考核，项目未出现重大调整或无法实施的情况，项目实施方面按照《四川省政府行政综合管理条例》的相关规定严格执行。</w:t>
      </w:r>
    </w:p>
    <w:p w14:paraId="103D25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lang w:val="en-US" w:eastAsia="zh-CN"/>
        </w:rPr>
        <w:t>三、部门预算绩效分析</w:t>
      </w:r>
    </w:p>
    <w:p w14:paraId="15FDBE2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目标完成</w:t>
      </w:r>
    </w:p>
    <w:p w14:paraId="174023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目标任务量完成情况</w:t>
      </w:r>
    </w:p>
    <w:p w14:paraId="6FCF60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2023年通过</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的计划基本完成，项目在区财政局的关心、单位</w:t>
      </w:r>
      <w:r>
        <w:rPr>
          <w:rFonts w:hint="eastAsia" w:ascii="Times New Roman" w:hAnsi="Times New Roman" w:eastAsia="仿宋_GB2312" w:cs="Times New Roman"/>
          <w:kern w:val="2"/>
          <w:sz w:val="32"/>
          <w:szCs w:val="32"/>
          <w:lang w:val="en-US" w:eastAsia="zh-CN" w:bidi="ar-SA"/>
        </w:rPr>
        <w:t>党组</w:t>
      </w:r>
      <w:r>
        <w:rPr>
          <w:rFonts w:hint="default" w:ascii="Times New Roman" w:hAnsi="Times New Roman" w:eastAsia="仿宋_GB2312" w:cs="Times New Roman"/>
          <w:kern w:val="2"/>
          <w:sz w:val="32"/>
          <w:szCs w:val="32"/>
          <w:lang w:val="en-US" w:eastAsia="zh-CN" w:bidi="ar-SA"/>
        </w:rPr>
        <w:t>高度重视以及各村组的大力配合下，顺利推进，圆满完成任务，</w:t>
      </w:r>
      <w:r>
        <w:rPr>
          <w:rFonts w:hint="default" w:ascii="Times New Roman" w:hAnsi="Times New Roman" w:eastAsia="仿宋_GB2312" w:cs="Times New Roman"/>
          <w:sz w:val="32"/>
          <w:szCs w:val="32"/>
          <w:lang w:eastAsia="zh-CN"/>
        </w:rPr>
        <w:t>政协委员视察</w:t>
      </w:r>
      <w:r>
        <w:rPr>
          <w:rFonts w:hint="default" w:ascii="Times New Roman" w:hAnsi="Times New Roman" w:eastAsia="仿宋_GB2312" w:cs="Times New Roman"/>
          <w:kern w:val="2"/>
          <w:sz w:val="32"/>
          <w:szCs w:val="32"/>
          <w:lang w:val="en-US" w:eastAsia="zh-CN" w:bidi="ar-SA"/>
        </w:rPr>
        <w:t>工作等得到了较大的提升。</w:t>
      </w:r>
    </w:p>
    <w:p w14:paraId="2983B9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项目完成质量</w:t>
      </w:r>
    </w:p>
    <w:p w14:paraId="174A2B6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根据现场查阅相关资料，单位</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项目已按照绩效目标完成情况见表。</w:t>
      </w:r>
    </w:p>
    <w:tbl>
      <w:tblPr>
        <w:tblStyle w:val="15"/>
        <w:tblpPr w:leftFromText="180" w:rightFromText="180" w:vertAnchor="text" w:horzAnchor="page" w:tblpXSpec="center" w:tblpY="423"/>
        <w:tblOverlap w:val="never"/>
        <w:tblW w:w="5000" w:type="pct"/>
        <w:tblInd w:w="0" w:type="dxa"/>
        <w:tblLayout w:type="autofit"/>
        <w:tblCellMar>
          <w:top w:w="0" w:type="dxa"/>
          <w:left w:w="0" w:type="dxa"/>
          <w:bottom w:w="0" w:type="dxa"/>
          <w:right w:w="0" w:type="dxa"/>
        </w:tblCellMar>
      </w:tblPr>
      <w:tblGrid>
        <w:gridCol w:w="1060"/>
        <w:gridCol w:w="777"/>
        <w:gridCol w:w="842"/>
        <w:gridCol w:w="1649"/>
        <w:gridCol w:w="2002"/>
        <w:gridCol w:w="2006"/>
      </w:tblGrid>
      <w:tr w14:paraId="084847A0">
        <w:tblPrEx>
          <w:tblCellMar>
            <w:top w:w="0" w:type="dxa"/>
            <w:left w:w="0" w:type="dxa"/>
            <w:bottom w:w="0" w:type="dxa"/>
            <w:right w:w="0" w:type="dxa"/>
          </w:tblCellMar>
        </w:tblPrEx>
        <w:trPr>
          <w:trHeight w:val="1034" w:hRule="atLeast"/>
        </w:trPr>
        <w:tc>
          <w:tcPr>
            <w:tcW w:w="5000" w:type="pct"/>
            <w:gridSpan w:val="6"/>
            <w:noWrap w:val="0"/>
            <w:tcMar>
              <w:top w:w="15" w:type="dxa"/>
              <w:left w:w="15" w:type="dxa"/>
              <w:bottom w:w="0" w:type="dxa"/>
              <w:right w:w="15" w:type="dxa"/>
            </w:tcMar>
            <w:vAlign w:val="center"/>
          </w:tcPr>
          <w:p w14:paraId="7E32371C">
            <w:pPr>
              <w:widowControl/>
              <w:jc w:val="center"/>
              <w:textAlignment w:val="center"/>
              <w:rPr>
                <w:rFonts w:hint="eastAsia" w:ascii="Times New Roman" w:hAnsi="Times New Roman" w:eastAsia="宋体" w:cs="Times New Roman"/>
                <w:color w:val="000000"/>
                <w:kern w:val="0"/>
                <w:sz w:val="36"/>
                <w:szCs w:val="36"/>
                <w:lang w:val="en-US" w:eastAsia="zh-CN"/>
              </w:rPr>
            </w:pPr>
            <w:r>
              <w:rPr>
                <w:rFonts w:hint="eastAsia" w:ascii="宋体" w:hAnsi="宋体" w:eastAsia="宋体" w:cs="宋体"/>
                <w:b/>
                <w:bCs/>
                <w:color w:val="000000"/>
                <w:kern w:val="0"/>
                <w:sz w:val="36"/>
                <w:szCs w:val="36"/>
                <w:lang w:val="en-US" w:eastAsia="zh-CN"/>
              </w:rPr>
              <w:t>项目支出绩效目标完成情况表</w:t>
            </w:r>
          </w:p>
          <w:p w14:paraId="6EE9011E">
            <w:pPr>
              <w:widowControl/>
              <w:jc w:val="center"/>
              <w:textAlignment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kern w:val="0"/>
                <w:sz w:val="36"/>
                <w:szCs w:val="36"/>
                <w:lang w:val="en-US" w:eastAsia="zh-CN"/>
              </w:rPr>
              <w:t>(2023年度)</w:t>
            </w:r>
          </w:p>
        </w:tc>
      </w:tr>
      <w:tr w14:paraId="7B195B1E">
        <w:tblPrEx>
          <w:tblCellMar>
            <w:top w:w="0" w:type="dxa"/>
            <w:left w:w="0" w:type="dxa"/>
            <w:bottom w:w="0" w:type="dxa"/>
            <w:right w:w="0" w:type="dxa"/>
          </w:tblCellMar>
        </w:tblPrEx>
        <w:trPr>
          <w:trHeight w:val="276" w:hRule="atLeast"/>
        </w:trPr>
        <w:tc>
          <w:tcPr>
            <w:tcW w:w="1607"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60D235">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项目名称</w:t>
            </w:r>
          </w:p>
        </w:tc>
        <w:tc>
          <w:tcPr>
            <w:tcW w:w="339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25CBD3">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eastAsia="zh-CN"/>
              </w:rPr>
              <w:t>临聘人员经费</w:t>
            </w:r>
          </w:p>
        </w:tc>
      </w:tr>
      <w:tr w14:paraId="1C0086E4">
        <w:tblPrEx>
          <w:tblCellMar>
            <w:top w:w="0" w:type="dxa"/>
            <w:left w:w="0" w:type="dxa"/>
            <w:bottom w:w="0" w:type="dxa"/>
            <w:right w:w="0" w:type="dxa"/>
          </w:tblCellMar>
        </w:tblPrEx>
        <w:trPr>
          <w:trHeight w:val="276" w:hRule="atLeast"/>
        </w:trPr>
        <w:tc>
          <w:tcPr>
            <w:tcW w:w="1607"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1E12B3">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预算单位</w:t>
            </w:r>
          </w:p>
        </w:tc>
        <w:tc>
          <w:tcPr>
            <w:tcW w:w="339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880EF6">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遂宁市安居区工商</w:t>
            </w:r>
            <w:r>
              <w:rPr>
                <w:rFonts w:hint="eastAsia" w:ascii="Times New Roman" w:hAnsi="Times New Roman" w:cs="Times New Roman"/>
                <w:color w:val="000000"/>
                <w:sz w:val="24"/>
                <w:szCs w:val="24"/>
                <w:lang w:val="en-US" w:eastAsia="zh-CN"/>
              </w:rPr>
              <w:t>业联合会</w:t>
            </w:r>
          </w:p>
        </w:tc>
      </w:tr>
      <w:tr w14:paraId="4BE5F6A8">
        <w:tblPrEx>
          <w:tblCellMar>
            <w:top w:w="0" w:type="dxa"/>
            <w:left w:w="0" w:type="dxa"/>
            <w:bottom w:w="0" w:type="dxa"/>
            <w:right w:w="0" w:type="dxa"/>
          </w:tblCellMar>
        </w:tblPrEx>
        <w:trPr>
          <w:trHeight w:val="276" w:hRule="atLeast"/>
        </w:trPr>
        <w:tc>
          <w:tcPr>
            <w:tcW w:w="6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7BD72F">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预算执行情况(万元)</w:t>
            </w:r>
          </w:p>
        </w:tc>
        <w:tc>
          <w:tcPr>
            <w:tcW w:w="9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5E7BC4">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预算数:</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100161">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4.5万元</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851F9E">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执行数:</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F96EFD">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4.5万元</w:t>
            </w:r>
          </w:p>
        </w:tc>
      </w:tr>
      <w:tr w14:paraId="51D6514A">
        <w:tblPrEx>
          <w:tblCellMar>
            <w:top w:w="0" w:type="dxa"/>
            <w:left w:w="0" w:type="dxa"/>
            <w:bottom w:w="0" w:type="dxa"/>
            <w:right w:w="0" w:type="dxa"/>
          </w:tblCellMar>
        </w:tblPrEx>
        <w:trPr>
          <w:trHeight w:val="276"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EF9D1">
            <w:pPr>
              <w:jc w:val="center"/>
              <w:rPr>
                <w:rFonts w:hint="eastAsia" w:ascii="Times New Roman" w:hAnsi="Times New Roman" w:eastAsia="宋体" w:cs="Times New Roman"/>
                <w:color w:val="000000"/>
                <w:sz w:val="24"/>
                <w:szCs w:val="24"/>
                <w:lang w:val="en-US" w:eastAsia="zh-CN"/>
              </w:rPr>
            </w:pPr>
          </w:p>
        </w:tc>
        <w:tc>
          <w:tcPr>
            <w:tcW w:w="9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4EE04F">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其中-财政拨款:</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8EF1FA">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4.5万元</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8E4F69">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其中-财政拨款:</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5EE566">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4.5万元</w:t>
            </w:r>
          </w:p>
        </w:tc>
      </w:tr>
      <w:tr w14:paraId="6E133D55">
        <w:tblPrEx>
          <w:tblCellMar>
            <w:top w:w="0" w:type="dxa"/>
            <w:left w:w="0" w:type="dxa"/>
            <w:bottom w:w="0" w:type="dxa"/>
            <w:right w:w="0" w:type="dxa"/>
          </w:tblCellMar>
        </w:tblPrEx>
        <w:trPr>
          <w:trHeight w:val="347"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7E1627">
            <w:pPr>
              <w:jc w:val="center"/>
              <w:rPr>
                <w:rFonts w:hint="eastAsia" w:ascii="Times New Roman" w:hAnsi="Times New Roman" w:eastAsia="宋体" w:cs="Times New Roman"/>
                <w:color w:val="000000"/>
                <w:sz w:val="24"/>
                <w:szCs w:val="24"/>
                <w:lang w:val="en-US" w:eastAsia="zh-CN"/>
              </w:rPr>
            </w:pPr>
          </w:p>
        </w:tc>
        <w:tc>
          <w:tcPr>
            <w:tcW w:w="9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3A782F">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其它资金:</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209039">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6603C5">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其它资金:</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E17EA6">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w:t>
            </w:r>
          </w:p>
        </w:tc>
      </w:tr>
      <w:tr w14:paraId="19834D0F">
        <w:tblPrEx>
          <w:tblCellMar>
            <w:top w:w="0" w:type="dxa"/>
            <w:left w:w="0" w:type="dxa"/>
            <w:bottom w:w="0" w:type="dxa"/>
            <w:right w:w="0" w:type="dxa"/>
          </w:tblCellMar>
        </w:tblPrEx>
        <w:trPr>
          <w:trHeight w:val="276" w:hRule="atLeast"/>
        </w:trPr>
        <w:tc>
          <w:tcPr>
            <w:tcW w:w="6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27B2F6">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年度目标完成情况</w:t>
            </w:r>
          </w:p>
        </w:tc>
        <w:tc>
          <w:tcPr>
            <w:tcW w:w="19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CC6DBF">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预期目标</w:t>
            </w:r>
          </w:p>
        </w:tc>
        <w:tc>
          <w:tcPr>
            <w:tcW w:w="240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03AEB0">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实际完成目标</w:t>
            </w:r>
          </w:p>
        </w:tc>
      </w:tr>
      <w:tr w14:paraId="6B3DF8A5">
        <w:tblPrEx>
          <w:tblCellMar>
            <w:top w:w="0" w:type="dxa"/>
            <w:left w:w="0" w:type="dxa"/>
            <w:bottom w:w="0" w:type="dxa"/>
            <w:right w:w="0" w:type="dxa"/>
          </w:tblCellMar>
        </w:tblPrEx>
        <w:trPr>
          <w:trHeight w:val="1293"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C51C9">
            <w:pPr>
              <w:jc w:val="center"/>
              <w:rPr>
                <w:rFonts w:hint="eastAsia" w:ascii="Times New Roman" w:hAnsi="Times New Roman" w:eastAsia="宋体" w:cs="Times New Roman"/>
                <w:color w:val="000000"/>
                <w:sz w:val="24"/>
                <w:szCs w:val="24"/>
                <w:lang w:val="en-US" w:eastAsia="zh-CN"/>
              </w:rPr>
            </w:pPr>
          </w:p>
        </w:tc>
        <w:tc>
          <w:tcPr>
            <w:tcW w:w="19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3EC652">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单位按照区委区政府给予的用人指标聘用临时人员1名</w:t>
            </w:r>
          </w:p>
        </w:tc>
        <w:tc>
          <w:tcPr>
            <w:tcW w:w="240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7614D7">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单位按照区委区政府给予的用人指标聘用临时人员1名</w:t>
            </w:r>
          </w:p>
        </w:tc>
      </w:tr>
      <w:tr w14:paraId="7DE74CEA">
        <w:tblPrEx>
          <w:tblCellMar>
            <w:top w:w="0" w:type="dxa"/>
            <w:left w:w="0" w:type="dxa"/>
            <w:bottom w:w="0" w:type="dxa"/>
            <w:right w:w="0" w:type="dxa"/>
          </w:tblCellMar>
        </w:tblPrEx>
        <w:trPr>
          <w:trHeight w:val="1042" w:hRule="atLeast"/>
        </w:trPr>
        <w:tc>
          <w:tcPr>
            <w:tcW w:w="6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E43FCE">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绩效指标完成情况</w:t>
            </w: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D90A9B">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一级指标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664372">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二级指标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273617">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三级指标</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DCDE82">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E7CAE3">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实际完成指标值(包含数字及文字描述)</w:t>
            </w:r>
          </w:p>
        </w:tc>
      </w:tr>
      <w:tr w14:paraId="532A1F32">
        <w:tblPrEx>
          <w:tblCellMar>
            <w:top w:w="0" w:type="dxa"/>
            <w:left w:w="0" w:type="dxa"/>
            <w:bottom w:w="0" w:type="dxa"/>
            <w:right w:w="0" w:type="dxa"/>
          </w:tblCellMar>
        </w:tblPrEx>
        <w:trPr>
          <w:trHeight w:val="953"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CB325C">
            <w:pPr>
              <w:jc w:val="center"/>
              <w:rPr>
                <w:rFonts w:hint="eastAsia" w:ascii="Times New Roman" w:hAnsi="Times New Roman" w:eastAsia="宋体" w:cs="Times New Roman"/>
                <w:color w:val="000000"/>
                <w:sz w:val="24"/>
                <w:szCs w:val="24"/>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C3A1F6">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产出指标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922D77">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数量指标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A21195">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聘用人员</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A09A8C">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ECB450">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w:t>
            </w:r>
          </w:p>
        </w:tc>
      </w:tr>
      <w:tr w14:paraId="1FC8D7ED">
        <w:tblPrEx>
          <w:tblCellMar>
            <w:top w:w="0" w:type="dxa"/>
            <w:left w:w="0" w:type="dxa"/>
            <w:bottom w:w="0" w:type="dxa"/>
            <w:right w:w="0" w:type="dxa"/>
          </w:tblCellMar>
        </w:tblPrEx>
        <w:trPr>
          <w:trHeight w:val="1297"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799F7">
            <w:pPr>
              <w:jc w:val="center"/>
              <w:rPr>
                <w:rFonts w:hint="eastAsia" w:ascii="Times New Roman" w:hAnsi="Times New Roman" w:eastAsia="宋体" w:cs="Times New Roman"/>
                <w:color w:val="000000"/>
                <w:sz w:val="24"/>
                <w:szCs w:val="24"/>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D2810C">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产出指标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8CCB5F">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数量指标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AFABB6">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政府指标</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741A8B">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CC2C2D">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w:t>
            </w:r>
          </w:p>
        </w:tc>
      </w:tr>
      <w:tr w14:paraId="1F7A2FB1">
        <w:tblPrEx>
          <w:tblCellMar>
            <w:top w:w="0" w:type="dxa"/>
            <w:left w:w="0" w:type="dxa"/>
            <w:bottom w:w="0" w:type="dxa"/>
            <w:right w:w="0" w:type="dxa"/>
          </w:tblCellMar>
        </w:tblPrEx>
        <w:trPr>
          <w:trHeight w:val="1042"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1FFFCD">
            <w:pPr>
              <w:jc w:val="center"/>
              <w:rPr>
                <w:rFonts w:hint="eastAsia" w:ascii="Times New Roman" w:hAnsi="Times New Roman" w:eastAsia="宋体" w:cs="Times New Roman"/>
                <w:color w:val="000000"/>
                <w:sz w:val="24"/>
                <w:szCs w:val="24"/>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C25159">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产出指标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ABE1E5">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质量指标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92E9C4">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完成</w:t>
            </w:r>
            <w:r>
              <w:rPr>
                <w:rFonts w:hint="eastAsia" w:ascii="Times New Roman" w:hAnsi="Times New Roman" w:eastAsia="宋体" w:cs="Times New Roman"/>
                <w:color w:val="000000"/>
                <w:sz w:val="24"/>
                <w:szCs w:val="24"/>
                <w:lang w:eastAsia="zh-CN"/>
              </w:rPr>
              <w:t>临聘人员</w:t>
            </w:r>
            <w:r>
              <w:rPr>
                <w:rFonts w:hint="eastAsia" w:ascii="Times New Roman" w:hAnsi="Times New Roman" w:eastAsia="宋体" w:cs="Times New Roman"/>
                <w:color w:val="000000"/>
                <w:sz w:val="24"/>
                <w:szCs w:val="24"/>
                <w:lang w:val="en-US" w:eastAsia="zh-CN"/>
              </w:rPr>
              <w:t>工作</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AE9198">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2E0036">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r>
      <w:tr w14:paraId="7B24CD5A">
        <w:tblPrEx>
          <w:tblCellMar>
            <w:top w:w="0" w:type="dxa"/>
            <w:left w:w="0" w:type="dxa"/>
            <w:bottom w:w="0" w:type="dxa"/>
            <w:right w:w="0" w:type="dxa"/>
          </w:tblCellMar>
        </w:tblPrEx>
        <w:trPr>
          <w:trHeight w:val="1042"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3E4F2">
            <w:pPr>
              <w:jc w:val="center"/>
              <w:rPr>
                <w:rFonts w:hint="eastAsia" w:ascii="Times New Roman" w:hAnsi="Times New Roman" w:eastAsia="宋体" w:cs="Times New Roman"/>
                <w:color w:val="000000"/>
                <w:sz w:val="24"/>
                <w:szCs w:val="24"/>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DA48AF">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产出指标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351779">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时效指标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780D91">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全年</w:t>
            </w:r>
            <w:r>
              <w:rPr>
                <w:rFonts w:hint="eastAsia" w:ascii="Times New Roman" w:hAnsi="Times New Roman" w:eastAsia="宋体" w:cs="Times New Roman"/>
                <w:color w:val="000000"/>
                <w:sz w:val="24"/>
                <w:szCs w:val="24"/>
                <w:lang w:eastAsia="zh-CN"/>
              </w:rPr>
              <w:t>临聘人员</w:t>
            </w:r>
            <w:r>
              <w:rPr>
                <w:rFonts w:hint="eastAsia" w:ascii="Times New Roman" w:hAnsi="Times New Roman" w:eastAsia="宋体" w:cs="Times New Roman"/>
                <w:color w:val="000000"/>
                <w:sz w:val="24"/>
                <w:szCs w:val="24"/>
                <w:lang w:val="en-US" w:eastAsia="zh-CN"/>
              </w:rPr>
              <w:t>年终考核</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0A6EDB">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5DFCD5">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w:t>
            </w:r>
          </w:p>
        </w:tc>
      </w:tr>
      <w:tr w14:paraId="6878A02D">
        <w:tblPrEx>
          <w:tblCellMar>
            <w:top w:w="0" w:type="dxa"/>
            <w:left w:w="0" w:type="dxa"/>
            <w:bottom w:w="0" w:type="dxa"/>
            <w:right w:w="0" w:type="dxa"/>
          </w:tblCellMar>
        </w:tblPrEx>
        <w:trPr>
          <w:trHeight w:val="1042"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18321">
            <w:pPr>
              <w:jc w:val="center"/>
              <w:rPr>
                <w:rFonts w:hint="eastAsia" w:ascii="Times New Roman" w:hAnsi="Times New Roman" w:eastAsia="宋体" w:cs="Times New Roman"/>
                <w:color w:val="000000"/>
                <w:sz w:val="24"/>
                <w:szCs w:val="24"/>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93F885">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效益指标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415638">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经济指标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A28931">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全年工作完成率，</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6D90E2">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421B1A">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r>
      <w:tr w14:paraId="10CFFD72">
        <w:tblPrEx>
          <w:tblCellMar>
            <w:top w:w="0" w:type="dxa"/>
            <w:left w:w="0" w:type="dxa"/>
            <w:bottom w:w="0" w:type="dxa"/>
            <w:right w:w="0" w:type="dxa"/>
          </w:tblCellMar>
        </w:tblPrEx>
        <w:trPr>
          <w:trHeight w:val="1297"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682129">
            <w:pPr>
              <w:jc w:val="center"/>
              <w:rPr>
                <w:rFonts w:hint="eastAsia" w:ascii="Times New Roman" w:hAnsi="Times New Roman" w:eastAsia="宋体" w:cs="Times New Roman"/>
                <w:color w:val="000000"/>
                <w:sz w:val="24"/>
                <w:szCs w:val="24"/>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CA09D8">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效益指标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BDE1A1">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社会效益指标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65D83D">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完成区委区政府交办的工作达标率。</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5A09BB">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C729AA">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r>
      <w:tr w14:paraId="224BBF4C">
        <w:tblPrEx>
          <w:tblCellMar>
            <w:top w:w="0" w:type="dxa"/>
            <w:left w:w="0" w:type="dxa"/>
            <w:bottom w:w="0" w:type="dxa"/>
            <w:right w:w="0" w:type="dxa"/>
          </w:tblCellMar>
        </w:tblPrEx>
        <w:trPr>
          <w:trHeight w:val="1050" w:hRule="atLeast"/>
        </w:trPr>
        <w:tc>
          <w:tcPr>
            <w:tcW w:w="6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D4F17">
            <w:pPr>
              <w:jc w:val="center"/>
              <w:rPr>
                <w:rFonts w:hint="eastAsia" w:ascii="Times New Roman" w:hAnsi="Times New Roman" w:eastAsia="宋体" w:cs="Times New Roman"/>
                <w:color w:val="000000"/>
                <w:sz w:val="24"/>
                <w:szCs w:val="24"/>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B85A3E">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满意度指标</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46114B">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满意度指标</w:t>
            </w:r>
          </w:p>
        </w:tc>
        <w:tc>
          <w:tcPr>
            <w:tcW w:w="989"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D62DBF">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工作质量达标率。</w:t>
            </w:r>
          </w:p>
        </w:tc>
        <w:tc>
          <w:tcPr>
            <w:tcW w:w="1201"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EEAFED">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32CDC6">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w:t>
            </w:r>
          </w:p>
        </w:tc>
      </w:tr>
    </w:tbl>
    <w:p w14:paraId="48332F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3.项目完成进度</w:t>
      </w:r>
    </w:p>
    <w:p w14:paraId="34189A7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经现场检查财务资料，项目严格按项目进度支付，项目资金预算4.5万元，财政实际下达4.5万元已全部支付。</w:t>
      </w:r>
    </w:p>
    <w:p w14:paraId="6C08752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eastAsia" w:ascii="Times New Roman" w:hAnsi="Times New Roman" w:eastAsia="黑体" w:cs="Times New Roman"/>
          <w:b w:val="0"/>
          <w:bCs w:val="0"/>
          <w:i w:val="0"/>
          <w:iCs w:val="0"/>
          <w:color w:val="000000"/>
          <w:kern w:val="0"/>
          <w:sz w:val="32"/>
          <w:szCs w:val="32"/>
          <w:highlight w:val="none"/>
          <w:shd w:val="clear" w:color="auto" w:fill="FFFFFF"/>
          <w:lang w:val="en-US"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p>
    <w:p w14:paraId="445730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（一）评价结论及得分</w:t>
      </w:r>
    </w:p>
    <w:p w14:paraId="48C516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w:t>
      </w:r>
      <w:r>
        <w:rPr>
          <w:rFonts w:hint="eastAsia" w:ascii="Times New Roman" w:hAnsi="Times New Roman" w:eastAsia="仿宋_GB2312" w:cs="Times New Roman"/>
          <w:kern w:val="2"/>
          <w:sz w:val="32"/>
          <w:szCs w:val="32"/>
          <w:lang w:val="en-US" w:eastAsia="zh-CN" w:bidi="ar-SA"/>
        </w:rPr>
        <w:t>依</w:t>
      </w:r>
      <w:r>
        <w:rPr>
          <w:rFonts w:hint="default" w:ascii="Times New Roman" w:hAnsi="Times New Roman" w:eastAsia="仿宋_GB2312" w:cs="Times New Roman"/>
          <w:kern w:val="2"/>
          <w:sz w:val="32"/>
          <w:szCs w:val="32"/>
          <w:lang w:val="en-US" w:eastAsia="zh-CN" w:bidi="ar-SA"/>
        </w:rPr>
        <w:t>法行政、树立良好形象，同时也能较好地维护人民群众的合法利益</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为减少矛盾</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维护稳定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保障经济健康发展创造了良好的环境；经单位自评得分100分。（见附件）</w:t>
      </w:r>
    </w:p>
    <w:p w14:paraId="31731A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（二）存在主要问题</w:t>
      </w:r>
    </w:p>
    <w:p w14:paraId="3633A7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项目实施目标不够具体，根据《四川省项目支出绩效评价指标体系》的评分标准，需对项目目标进行量化。</w:t>
      </w:r>
    </w:p>
    <w:p w14:paraId="7F5C0D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0BA7E1F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（三）相关措施建议</w:t>
      </w:r>
    </w:p>
    <w:p w14:paraId="65A77D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2E96553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pgNumType w:fmt="decimal"/>
          <w:cols w:space="720" w:num="1"/>
          <w:rtlGutter w:val="0"/>
          <w:docGrid w:type="lines" w:linePitch="312" w:charSpace="0"/>
        </w:sectPr>
      </w:pPr>
      <w:r>
        <w:rPr>
          <w:rFonts w:hint="default" w:ascii="Times New Roman" w:hAnsi="Times New Roman" w:eastAsia="仿宋_GB2312" w:cs="Times New Roman"/>
          <w:kern w:val="2"/>
          <w:sz w:val="32"/>
          <w:szCs w:val="32"/>
          <w:lang w:val="en-US" w:eastAsia="zh-CN" w:bidi="ar-SA"/>
        </w:rPr>
        <w:t>2.加强资金管理，规范各项支出。</w:t>
      </w:r>
    </w:p>
    <w:p w14:paraId="039AFCD5">
      <w:pPr>
        <w:pStyle w:val="2"/>
        <w:rPr>
          <w:rFonts w:hint="eastAsia"/>
        </w:rPr>
      </w:pPr>
    </w:p>
    <w:tbl>
      <w:tblPr>
        <w:tblStyle w:val="1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98"/>
        <w:gridCol w:w="1001"/>
        <w:gridCol w:w="1223"/>
        <w:gridCol w:w="512"/>
        <w:gridCol w:w="758"/>
        <w:gridCol w:w="512"/>
        <w:gridCol w:w="846"/>
        <w:gridCol w:w="504"/>
        <w:gridCol w:w="486"/>
        <w:gridCol w:w="890"/>
      </w:tblGrid>
      <w:tr w14:paraId="669C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0B796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5B4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42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566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51090421R000000042946-临聘人员经费</w:t>
            </w:r>
          </w:p>
        </w:tc>
      </w:tr>
      <w:tr w14:paraId="38A1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63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69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遂宁市安居区工商业联合会部门</w:t>
            </w:r>
          </w:p>
        </w:tc>
        <w:tc>
          <w:tcPr>
            <w:tcW w:w="846" w:type="dxa"/>
            <w:tcBorders>
              <w:top w:val="nil"/>
              <w:left w:val="nil"/>
              <w:bottom w:val="nil"/>
              <w:right w:val="nil"/>
            </w:tcBorders>
            <w:shd w:val="clear" w:color="auto" w:fill="auto"/>
            <w:vAlign w:val="center"/>
          </w:tcPr>
          <w:p w14:paraId="07FD4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91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遂宁市安居区工商业联合会</w:t>
            </w:r>
          </w:p>
        </w:tc>
      </w:tr>
      <w:tr w14:paraId="5D2F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7C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92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29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58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265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D033">
            <w:pP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9B0B">
            <w:pPr>
              <w:rPr>
                <w:rFonts w:hint="eastAsia" w:ascii="宋体" w:hAnsi="宋体" w:eastAsia="宋体" w:cs="宋体"/>
                <w:i w:val="0"/>
                <w:iCs w:val="0"/>
                <w:color w:val="000000"/>
                <w:sz w:val="18"/>
                <w:szCs w:val="18"/>
                <w:u w:val="none"/>
              </w:rPr>
            </w:pPr>
          </w:p>
        </w:tc>
        <w:tc>
          <w:tcPr>
            <w:tcW w:w="40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B7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5A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2023年保障单位临时聘用人员的经费支出。</w:t>
            </w:r>
          </w:p>
        </w:tc>
      </w:tr>
      <w:tr w14:paraId="598E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ABCC">
            <w:pP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7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583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区工商联临时聘用人员1人，为其保障工资保险等支出</w:t>
            </w:r>
          </w:p>
        </w:tc>
      </w:tr>
      <w:tr w14:paraId="7744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44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1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E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C0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B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C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6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683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2FC6">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E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4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C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83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5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A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6F6FC">
            <w:pPr>
              <w:rPr>
                <w:rFonts w:hint="eastAsia" w:ascii="宋体" w:hAnsi="宋体" w:eastAsia="宋体" w:cs="宋体"/>
                <w:i/>
                <w:iCs/>
                <w:color w:val="000000"/>
                <w:sz w:val="18"/>
                <w:szCs w:val="18"/>
                <w:u w:val="none"/>
              </w:rPr>
            </w:pPr>
          </w:p>
        </w:tc>
      </w:tr>
      <w:tr w14:paraId="4F5D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A3DE">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5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F5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1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0FEC">
            <w:pPr>
              <w:rPr>
                <w:rFonts w:hint="eastAsia" w:ascii="宋体" w:hAnsi="宋体" w:eastAsia="宋体" w:cs="宋体"/>
                <w:i/>
                <w:iCs/>
                <w:color w:val="000000"/>
                <w:sz w:val="18"/>
                <w:szCs w:val="18"/>
                <w:u w:val="none"/>
              </w:rPr>
            </w:pPr>
          </w:p>
        </w:tc>
      </w:tr>
      <w:tr w14:paraId="3FB8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3547">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F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B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C7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30AC">
            <w:pPr>
              <w:rPr>
                <w:rFonts w:hint="eastAsia" w:ascii="宋体" w:hAnsi="宋体" w:eastAsia="宋体" w:cs="宋体"/>
                <w:i/>
                <w:iCs/>
                <w:color w:val="000000"/>
                <w:sz w:val="18"/>
                <w:szCs w:val="18"/>
                <w:u w:val="none"/>
              </w:rPr>
            </w:pPr>
          </w:p>
        </w:tc>
      </w:tr>
      <w:tr w14:paraId="5249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CFFE">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8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C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5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0B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F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0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D191">
            <w:pPr>
              <w:rPr>
                <w:rFonts w:hint="eastAsia" w:ascii="宋体" w:hAnsi="宋体" w:eastAsia="宋体" w:cs="宋体"/>
                <w:i/>
                <w:iCs/>
                <w:color w:val="000000"/>
                <w:sz w:val="18"/>
                <w:szCs w:val="18"/>
                <w:u w:val="none"/>
              </w:rPr>
            </w:pPr>
          </w:p>
        </w:tc>
      </w:tr>
      <w:tr w14:paraId="0DFE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5FCC">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6AFD">
            <w:pPr>
              <w:jc w:val="center"/>
              <w:rPr>
                <w:rFonts w:hint="eastAsia" w:ascii="宋体" w:hAnsi="宋体" w:eastAsia="宋体" w:cs="宋体"/>
                <w:i/>
                <w:iCs/>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3517">
            <w:pPr>
              <w:jc w:val="center"/>
              <w:rPr>
                <w:rFonts w:hint="eastAsia" w:ascii="宋体" w:hAnsi="宋体" w:eastAsia="宋体" w:cs="宋体"/>
                <w:i/>
                <w:iCs/>
                <w:color w:val="000000"/>
                <w:sz w:val="18"/>
                <w:szCs w:val="18"/>
                <w:u w:val="none"/>
              </w:rPr>
            </w:pP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C5E34">
            <w:pPr>
              <w:jc w:val="center"/>
              <w:rPr>
                <w:rFonts w:hint="eastAsia" w:ascii="宋体" w:hAnsi="宋体" w:eastAsia="宋体" w:cs="宋体"/>
                <w:i/>
                <w:iCs/>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C74">
            <w:pPr>
              <w:jc w:val="center"/>
              <w:rPr>
                <w:rFonts w:hint="eastAsia" w:ascii="宋体" w:hAnsi="宋体" w:eastAsia="宋体" w:cs="宋体"/>
                <w:i/>
                <w:iCs/>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4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A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CC77">
            <w:pPr>
              <w:rPr>
                <w:rFonts w:hint="eastAsia" w:ascii="宋体" w:hAnsi="宋体" w:eastAsia="宋体" w:cs="宋体"/>
                <w:i/>
                <w:iCs/>
                <w:color w:val="000000"/>
                <w:sz w:val="18"/>
                <w:szCs w:val="18"/>
                <w:u w:val="none"/>
              </w:rPr>
            </w:pPr>
          </w:p>
        </w:tc>
      </w:tr>
      <w:tr w14:paraId="1077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29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4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B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8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0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1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5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8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32C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11EB">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9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6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195">
            <w:pPr>
              <w:jc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F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4845">
            <w:pPr>
              <w:jc w:val="center"/>
              <w:rPr>
                <w:rFonts w:hint="eastAsia" w:ascii="宋体" w:hAnsi="宋体" w:eastAsia="宋体" w:cs="宋体"/>
                <w:i/>
                <w:iCs/>
                <w:color w:val="000000"/>
                <w:sz w:val="18"/>
                <w:szCs w:val="18"/>
                <w:u w:val="none"/>
              </w:rPr>
            </w:pPr>
          </w:p>
        </w:tc>
      </w:tr>
      <w:tr w14:paraId="1CA0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BED6">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7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D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足额保障率（参保率）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8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9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3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5AF6">
            <w:pPr>
              <w:jc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7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E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3D70">
            <w:pPr>
              <w:jc w:val="center"/>
              <w:rPr>
                <w:rFonts w:hint="eastAsia" w:ascii="宋体" w:hAnsi="宋体" w:eastAsia="宋体" w:cs="宋体"/>
                <w:i/>
                <w:iCs/>
                <w:color w:val="000000"/>
                <w:sz w:val="18"/>
                <w:szCs w:val="18"/>
                <w:u w:val="none"/>
              </w:rPr>
            </w:pPr>
          </w:p>
        </w:tc>
      </w:tr>
      <w:tr w14:paraId="1EC6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F10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A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6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71F4">
            <w:pPr>
              <w:rPr>
                <w:rFonts w:hint="eastAsia" w:ascii="宋体" w:hAnsi="宋体" w:eastAsia="宋体" w:cs="宋体"/>
                <w:i w:val="0"/>
                <w:iCs w:val="0"/>
                <w:color w:val="000000"/>
                <w:sz w:val="18"/>
                <w:szCs w:val="18"/>
                <w:u w:val="none"/>
              </w:rPr>
            </w:pPr>
          </w:p>
        </w:tc>
      </w:tr>
      <w:tr w14:paraId="32B9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2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947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区工商联临时聘用人员1人，为其保障工资保险等支出；经单位自评得分100分</w:t>
            </w:r>
          </w:p>
        </w:tc>
      </w:tr>
      <w:tr w14:paraId="718D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6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D31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四川省项目支出绩效评价指标体系》的评分标准，绩效目标的目标内容包括项目预期提供的产品、服务、效益或其他目标，要针对项目数量、质量、功能、受益群体满意度等提出绩效目标，最后达到目标量化。</w:t>
            </w:r>
          </w:p>
        </w:tc>
      </w:tr>
      <w:tr w14:paraId="2423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E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25CD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1.参考《四川省项目支出绩效评价指标体系》，根据每年项目开展的实际情况，提出明确、合理的目标，制定绩效目标时应对目标进行量化，使项目实施做到科学合理。</w:t>
            </w:r>
          </w:p>
          <w:p w14:paraId="186D1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2.加强资金管理，规范各项支出。</w:t>
            </w:r>
          </w:p>
        </w:tc>
      </w:tr>
      <w:tr w14:paraId="49B8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5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B8A2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项目负责人：张少林      财务负责人：冯迎辉</w:t>
            </w:r>
          </w:p>
        </w:tc>
      </w:tr>
      <w:bookmarkEnd w:id="19"/>
    </w:tbl>
    <w:p w14:paraId="0B5AF1E7">
      <w:pPr>
        <w:pStyle w:val="5"/>
        <w:tabs>
          <w:tab w:val="left" w:pos="531"/>
          <w:tab w:val="center" w:pos="4213"/>
        </w:tabs>
        <w:spacing w:line="240" w:lineRule="auto"/>
        <w:jc w:val="center"/>
        <w:rPr>
          <w:rFonts w:hint="default"/>
        </w:rPr>
      </w:pPr>
      <w:bookmarkStart w:id="20" w:name="_Toc4943"/>
      <w:r>
        <w:rPr>
          <w:rFonts w:hint="eastAsia" w:ascii="Times New Roman" w:hAnsi="Times New Roman" w:eastAsia="方正小标宋简体"/>
          <w:b w:val="0"/>
          <w:bCs w:val="0"/>
          <w:color w:val="auto"/>
          <w:kern w:val="2"/>
          <w:highlight w:val="none"/>
          <w:lang w:val="en-US" w:eastAsia="zh-CN"/>
        </w:rPr>
        <w:t xml:space="preserve">第五部分 </w:t>
      </w:r>
      <w:r>
        <w:rPr>
          <w:rFonts w:hint="default" w:ascii="Times New Roman" w:hAnsi="Times New Roman" w:eastAsia="方正小标宋简体"/>
          <w:b w:val="0"/>
          <w:bCs w:val="0"/>
          <w:color w:val="auto"/>
          <w:kern w:val="2"/>
          <w:highlight w:val="none"/>
          <w:lang w:val="en-US" w:eastAsia="zh-CN"/>
        </w:rPr>
        <w:t>附表</w:t>
      </w:r>
      <w:bookmarkEnd w:id="20"/>
      <w:bookmarkStart w:id="21" w:name="_Toc15396619"/>
    </w:p>
    <w:p w14:paraId="7AB054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一、收入支出决算总表</w:t>
      </w:r>
    </w:p>
    <w:p w14:paraId="6A0145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二、收入决算表</w:t>
      </w:r>
    </w:p>
    <w:p w14:paraId="06C79D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三、支出决算表</w:t>
      </w:r>
    </w:p>
    <w:p w14:paraId="75EF7D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四、财政拨款收入支出决算总表</w:t>
      </w:r>
    </w:p>
    <w:p w14:paraId="1499B3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五、财政拨款支出决算明细表</w:t>
      </w:r>
    </w:p>
    <w:p w14:paraId="2991169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六、一般公共预算财政拨款支出决算表</w:t>
      </w:r>
    </w:p>
    <w:p w14:paraId="313489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七、一般公共预算财政拨款支出决算明细表</w:t>
      </w:r>
    </w:p>
    <w:p w14:paraId="475961F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八、一般公共预算财政拨款基本支出决算明细表</w:t>
      </w:r>
    </w:p>
    <w:p w14:paraId="7054A83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九、一般公共预算财政拨款项目支出决算表</w:t>
      </w:r>
    </w:p>
    <w:p w14:paraId="4FA7B15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十、政府性基金预算财政拨款收入支出决算表</w:t>
      </w:r>
    </w:p>
    <w:p w14:paraId="259635F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十一、国有资本经营预算财政拨款收入支出决算表</w:t>
      </w:r>
    </w:p>
    <w:p w14:paraId="0B4BD3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十二、国有资本经营预算财政拨款支出决算表</w:t>
      </w:r>
    </w:p>
    <w:p w14:paraId="7B25CB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eastAsia" w:ascii="Times New Roman" w:hAnsi="Times New Roman" w:eastAsia="仿宋_GB2312" w:cs="Times New Roman"/>
          <w:kern w:val="2"/>
          <w:sz w:val="32"/>
          <w:szCs w:val="32"/>
          <w:lang w:val="en-US" w:eastAsia="zh-CN" w:bidi="ar-SA"/>
        </w:rPr>
        <w:t>十三、财政拨款“三公”经费支出决算表</w:t>
      </w:r>
      <w:bookmarkEnd w:id="21"/>
    </w:p>
    <w:sectPr>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619C67-79D3-4B6E-A5E5-8FEBB738CD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AEDC62E-2F71-493E-B53F-42A32FBC26E1}"/>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97FAF04D-52E6-4924-A954-E3BE53982595}"/>
  </w:font>
  <w:font w:name="仿宋">
    <w:panose1 w:val="02010609060101010101"/>
    <w:charset w:val="86"/>
    <w:family w:val="auto"/>
    <w:pitch w:val="default"/>
    <w:sig w:usb0="800002BF" w:usb1="38CF7CFA" w:usb2="00000016" w:usb3="00000000" w:csb0="00040001" w:csb1="00000000"/>
    <w:embedRegular r:id="rId4" w:fontKey="{6AB859C6-EA85-4348-BC6E-9BC4810ACB96}"/>
  </w:font>
  <w:font w:name="方正仿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5" w:fontKey="{DAF78430-CBF6-4174-BC87-BCE5BC6C55EB}"/>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embedRegular r:id="rId6" w:fontKey="{80E6FDDB-BA9A-4FC9-B40A-3F1BCCB7701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3A684">
    <w:pPr>
      <w:pStyle w:val="10"/>
      <w:tabs>
        <w:tab w:val="left" w:pos="3592"/>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8D01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58D01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503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EE829">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3FEE829">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F3EE4"/>
    <w:multiLevelType w:val="singleLevel"/>
    <w:tmpl w:val="92BF3EE4"/>
    <w:lvl w:ilvl="0" w:tentative="0">
      <w:start w:val="2"/>
      <w:numFmt w:val="chineseCounting"/>
      <w:suff w:val="nothing"/>
      <w:lvlText w:val="（%1）"/>
      <w:lvlJc w:val="left"/>
      <w:rPr>
        <w:rFonts w:hint="eastAsia"/>
      </w:rPr>
    </w:lvl>
  </w:abstractNum>
  <w:abstractNum w:abstractNumId="1">
    <w:nsid w:val="9E3D3958"/>
    <w:multiLevelType w:val="singleLevel"/>
    <w:tmpl w:val="9E3D3958"/>
    <w:lvl w:ilvl="0" w:tentative="0">
      <w:start w:val="1"/>
      <w:numFmt w:val="decimal"/>
      <w:pStyle w:val="7"/>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000000"/>
    <w:rsid w:val="00105BB9"/>
    <w:rsid w:val="00444E98"/>
    <w:rsid w:val="0049598F"/>
    <w:rsid w:val="00C12DE3"/>
    <w:rsid w:val="00C67DD0"/>
    <w:rsid w:val="00DA747E"/>
    <w:rsid w:val="00E1070C"/>
    <w:rsid w:val="01314F01"/>
    <w:rsid w:val="013E5A33"/>
    <w:rsid w:val="018C3B2B"/>
    <w:rsid w:val="01E808EA"/>
    <w:rsid w:val="01FE76B3"/>
    <w:rsid w:val="0231002F"/>
    <w:rsid w:val="029C724C"/>
    <w:rsid w:val="02B872FD"/>
    <w:rsid w:val="032B053F"/>
    <w:rsid w:val="032E5FCD"/>
    <w:rsid w:val="03541A84"/>
    <w:rsid w:val="03A85738"/>
    <w:rsid w:val="04003C23"/>
    <w:rsid w:val="041937B3"/>
    <w:rsid w:val="042D255E"/>
    <w:rsid w:val="04534781"/>
    <w:rsid w:val="04C45BCE"/>
    <w:rsid w:val="04F973C6"/>
    <w:rsid w:val="056117E3"/>
    <w:rsid w:val="0563090D"/>
    <w:rsid w:val="06505911"/>
    <w:rsid w:val="066030AA"/>
    <w:rsid w:val="06FD682D"/>
    <w:rsid w:val="06FE6C86"/>
    <w:rsid w:val="072A0DCF"/>
    <w:rsid w:val="0741482C"/>
    <w:rsid w:val="074B6D5B"/>
    <w:rsid w:val="078E065B"/>
    <w:rsid w:val="079900AB"/>
    <w:rsid w:val="07A262F2"/>
    <w:rsid w:val="07D7159F"/>
    <w:rsid w:val="07EE658E"/>
    <w:rsid w:val="07F6399B"/>
    <w:rsid w:val="08886505"/>
    <w:rsid w:val="08BE33E4"/>
    <w:rsid w:val="099D025E"/>
    <w:rsid w:val="09E839B6"/>
    <w:rsid w:val="09F50440"/>
    <w:rsid w:val="09FA5B55"/>
    <w:rsid w:val="0A172EE2"/>
    <w:rsid w:val="0A2444C3"/>
    <w:rsid w:val="0B100BEF"/>
    <w:rsid w:val="0B18666F"/>
    <w:rsid w:val="0B19630D"/>
    <w:rsid w:val="0B227255"/>
    <w:rsid w:val="0B270CD9"/>
    <w:rsid w:val="0B512617"/>
    <w:rsid w:val="0B545847"/>
    <w:rsid w:val="0B5D0834"/>
    <w:rsid w:val="0B70236D"/>
    <w:rsid w:val="0B7B1A34"/>
    <w:rsid w:val="0B7D32E8"/>
    <w:rsid w:val="0BF82C31"/>
    <w:rsid w:val="0C115DA8"/>
    <w:rsid w:val="0CE61E1A"/>
    <w:rsid w:val="0D002E6D"/>
    <w:rsid w:val="0D2B7F62"/>
    <w:rsid w:val="0D3A1F53"/>
    <w:rsid w:val="0D6227A2"/>
    <w:rsid w:val="0DD5003B"/>
    <w:rsid w:val="0E1503BE"/>
    <w:rsid w:val="0E5B4A99"/>
    <w:rsid w:val="0E692E0B"/>
    <w:rsid w:val="0E714CC8"/>
    <w:rsid w:val="0F1F7BDB"/>
    <w:rsid w:val="0FAB7138"/>
    <w:rsid w:val="0FC00DA2"/>
    <w:rsid w:val="0FE12FC2"/>
    <w:rsid w:val="10123ADB"/>
    <w:rsid w:val="10383F2B"/>
    <w:rsid w:val="106732D8"/>
    <w:rsid w:val="1079390F"/>
    <w:rsid w:val="10860011"/>
    <w:rsid w:val="10B4760B"/>
    <w:rsid w:val="10DE213A"/>
    <w:rsid w:val="10FC0977"/>
    <w:rsid w:val="112453F4"/>
    <w:rsid w:val="11874169"/>
    <w:rsid w:val="119B4F8B"/>
    <w:rsid w:val="11F41C82"/>
    <w:rsid w:val="11FA13B1"/>
    <w:rsid w:val="11FC0FAC"/>
    <w:rsid w:val="122B00C8"/>
    <w:rsid w:val="12753A2E"/>
    <w:rsid w:val="127F57FD"/>
    <w:rsid w:val="128733D3"/>
    <w:rsid w:val="128B258D"/>
    <w:rsid w:val="12A84323"/>
    <w:rsid w:val="12AE1BAC"/>
    <w:rsid w:val="12BA3E6D"/>
    <w:rsid w:val="12C166E0"/>
    <w:rsid w:val="12ED7FB3"/>
    <w:rsid w:val="12F978FE"/>
    <w:rsid w:val="13053D01"/>
    <w:rsid w:val="133B4B25"/>
    <w:rsid w:val="133E280F"/>
    <w:rsid w:val="1371315A"/>
    <w:rsid w:val="139D5626"/>
    <w:rsid w:val="13EB12FF"/>
    <w:rsid w:val="148461AA"/>
    <w:rsid w:val="14E876C0"/>
    <w:rsid w:val="150B4838"/>
    <w:rsid w:val="1524753B"/>
    <w:rsid w:val="15CA32A0"/>
    <w:rsid w:val="161539CC"/>
    <w:rsid w:val="1616144D"/>
    <w:rsid w:val="162153B9"/>
    <w:rsid w:val="16302567"/>
    <w:rsid w:val="168E516C"/>
    <w:rsid w:val="16AD725D"/>
    <w:rsid w:val="16CB61AB"/>
    <w:rsid w:val="16CE67AE"/>
    <w:rsid w:val="16D62899"/>
    <w:rsid w:val="17315514"/>
    <w:rsid w:val="174043B2"/>
    <w:rsid w:val="181D34EA"/>
    <w:rsid w:val="1864706C"/>
    <w:rsid w:val="18D80C51"/>
    <w:rsid w:val="18E0046A"/>
    <w:rsid w:val="18F850A6"/>
    <w:rsid w:val="191C02F1"/>
    <w:rsid w:val="193E4421"/>
    <w:rsid w:val="19671630"/>
    <w:rsid w:val="1A026162"/>
    <w:rsid w:val="1A3A2E16"/>
    <w:rsid w:val="1A3D2EB3"/>
    <w:rsid w:val="1A585451"/>
    <w:rsid w:val="1A6C0332"/>
    <w:rsid w:val="1AA36242"/>
    <w:rsid w:val="1AD92435"/>
    <w:rsid w:val="1AF21B13"/>
    <w:rsid w:val="1B0D536D"/>
    <w:rsid w:val="1B9D7E31"/>
    <w:rsid w:val="1C163621"/>
    <w:rsid w:val="1C414FDE"/>
    <w:rsid w:val="1CC91CBD"/>
    <w:rsid w:val="1CDD0E6C"/>
    <w:rsid w:val="1CDE7EC3"/>
    <w:rsid w:val="1CEA73D5"/>
    <w:rsid w:val="1D155742"/>
    <w:rsid w:val="1D32648A"/>
    <w:rsid w:val="1D4D111F"/>
    <w:rsid w:val="1DE01993"/>
    <w:rsid w:val="1DE44C31"/>
    <w:rsid w:val="1DF274A3"/>
    <w:rsid w:val="1E067C30"/>
    <w:rsid w:val="1E7B678E"/>
    <w:rsid w:val="1F0A01E3"/>
    <w:rsid w:val="1F202AA9"/>
    <w:rsid w:val="1F3A2EC9"/>
    <w:rsid w:val="1F761A29"/>
    <w:rsid w:val="1FF27485"/>
    <w:rsid w:val="20081891"/>
    <w:rsid w:val="200A70AF"/>
    <w:rsid w:val="208E3842"/>
    <w:rsid w:val="212F7F40"/>
    <w:rsid w:val="21592161"/>
    <w:rsid w:val="22031113"/>
    <w:rsid w:val="223E3E3C"/>
    <w:rsid w:val="226F3FF6"/>
    <w:rsid w:val="22880A2E"/>
    <w:rsid w:val="22AF59F3"/>
    <w:rsid w:val="22B83BEE"/>
    <w:rsid w:val="22D8603F"/>
    <w:rsid w:val="230C03A4"/>
    <w:rsid w:val="23A21B04"/>
    <w:rsid w:val="23AA169E"/>
    <w:rsid w:val="23DA6BB4"/>
    <w:rsid w:val="23E612F3"/>
    <w:rsid w:val="23EB1DA2"/>
    <w:rsid w:val="23EB4A57"/>
    <w:rsid w:val="23F7700F"/>
    <w:rsid w:val="2403321B"/>
    <w:rsid w:val="243922A1"/>
    <w:rsid w:val="24F904EE"/>
    <w:rsid w:val="250255F5"/>
    <w:rsid w:val="251203DC"/>
    <w:rsid w:val="25C428AA"/>
    <w:rsid w:val="26726A99"/>
    <w:rsid w:val="26AA787D"/>
    <w:rsid w:val="26B77214"/>
    <w:rsid w:val="26E05EF3"/>
    <w:rsid w:val="26F7099A"/>
    <w:rsid w:val="27046C92"/>
    <w:rsid w:val="270C081B"/>
    <w:rsid w:val="27392E24"/>
    <w:rsid w:val="273E0E93"/>
    <w:rsid w:val="2778594C"/>
    <w:rsid w:val="27852BF6"/>
    <w:rsid w:val="27DB3EDB"/>
    <w:rsid w:val="280478D6"/>
    <w:rsid w:val="284832BA"/>
    <w:rsid w:val="28731956"/>
    <w:rsid w:val="287C746C"/>
    <w:rsid w:val="288758E7"/>
    <w:rsid w:val="28A7603E"/>
    <w:rsid w:val="2909285F"/>
    <w:rsid w:val="291667C6"/>
    <w:rsid w:val="293B5132"/>
    <w:rsid w:val="295142D9"/>
    <w:rsid w:val="297D4494"/>
    <w:rsid w:val="2A3337B7"/>
    <w:rsid w:val="2A663705"/>
    <w:rsid w:val="2A874143"/>
    <w:rsid w:val="2AA57F13"/>
    <w:rsid w:val="2ADC2444"/>
    <w:rsid w:val="2AE00267"/>
    <w:rsid w:val="2B0025D7"/>
    <w:rsid w:val="2B2406AA"/>
    <w:rsid w:val="2B3F747D"/>
    <w:rsid w:val="2B6C7A10"/>
    <w:rsid w:val="2B7833C8"/>
    <w:rsid w:val="2C1C6F4D"/>
    <w:rsid w:val="2C554FCF"/>
    <w:rsid w:val="2CAC1558"/>
    <w:rsid w:val="2CB2323A"/>
    <w:rsid w:val="2CD258AD"/>
    <w:rsid w:val="2CF12B82"/>
    <w:rsid w:val="2D005BE1"/>
    <w:rsid w:val="2D703A18"/>
    <w:rsid w:val="2D8F5E4F"/>
    <w:rsid w:val="2D927958"/>
    <w:rsid w:val="2DD20798"/>
    <w:rsid w:val="2DF91EDD"/>
    <w:rsid w:val="2E0B706C"/>
    <w:rsid w:val="2E4610C5"/>
    <w:rsid w:val="2E505623"/>
    <w:rsid w:val="2E55175F"/>
    <w:rsid w:val="2EAC1FF6"/>
    <w:rsid w:val="2EE1627B"/>
    <w:rsid w:val="2EE81141"/>
    <w:rsid w:val="2F937945"/>
    <w:rsid w:val="2F9846A2"/>
    <w:rsid w:val="2FA93287"/>
    <w:rsid w:val="2FD67BC4"/>
    <w:rsid w:val="300A115E"/>
    <w:rsid w:val="303865CF"/>
    <w:rsid w:val="3039642A"/>
    <w:rsid w:val="30817D16"/>
    <w:rsid w:val="30D45CC6"/>
    <w:rsid w:val="311F308B"/>
    <w:rsid w:val="314224E0"/>
    <w:rsid w:val="314F17F5"/>
    <w:rsid w:val="316F0A25"/>
    <w:rsid w:val="31754A04"/>
    <w:rsid w:val="31C14142"/>
    <w:rsid w:val="31C36008"/>
    <w:rsid w:val="31F931DE"/>
    <w:rsid w:val="320E558D"/>
    <w:rsid w:val="3220355E"/>
    <w:rsid w:val="322437A6"/>
    <w:rsid w:val="32445100"/>
    <w:rsid w:val="32712BD2"/>
    <w:rsid w:val="32B1515E"/>
    <w:rsid w:val="32C149FC"/>
    <w:rsid w:val="32EB3A86"/>
    <w:rsid w:val="32F2587B"/>
    <w:rsid w:val="33233373"/>
    <w:rsid w:val="33315597"/>
    <w:rsid w:val="333F1A9A"/>
    <w:rsid w:val="3340306E"/>
    <w:rsid w:val="335A3BF1"/>
    <w:rsid w:val="339C3CE5"/>
    <w:rsid w:val="33F26834"/>
    <w:rsid w:val="340D42B2"/>
    <w:rsid w:val="34EF0411"/>
    <w:rsid w:val="351E175D"/>
    <w:rsid w:val="35653EA9"/>
    <w:rsid w:val="35CC2AA3"/>
    <w:rsid w:val="364F7F6E"/>
    <w:rsid w:val="367A0699"/>
    <w:rsid w:val="36CB3D28"/>
    <w:rsid w:val="36DB108A"/>
    <w:rsid w:val="36F909D9"/>
    <w:rsid w:val="37831EE7"/>
    <w:rsid w:val="37A66AEE"/>
    <w:rsid w:val="37CC6816"/>
    <w:rsid w:val="37D02C9E"/>
    <w:rsid w:val="38365EC5"/>
    <w:rsid w:val="38415140"/>
    <w:rsid w:val="38666A14"/>
    <w:rsid w:val="39101896"/>
    <w:rsid w:val="39167387"/>
    <w:rsid w:val="394308F3"/>
    <w:rsid w:val="394D7819"/>
    <w:rsid w:val="397305AE"/>
    <w:rsid w:val="398546BD"/>
    <w:rsid w:val="39981987"/>
    <w:rsid w:val="39991390"/>
    <w:rsid w:val="39B03534"/>
    <w:rsid w:val="39B67E8C"/>
    <w:rsid w:val="3A1A2DAF"/>
    <w:rsid w:val="3A3470B2"/>
    <w:rsid w:val="3A9E3C7E"/>
    <w:rsid w:val="3B0C4E59"/>
    <w:rsid w:val="3B164F65"/>
    <w:rsid w:val="3B4823E7"/>
    <w:rsid w:val="3B740774"/>
    <w:rsid w:val="3B882DB9"/>
    <w:rsid w:val="3B9662BA"/>
    <w:rsid w:val="3B9D74DC"/>
    <w:rsid w:val="3BCA190E"/>
    <w:rsid w:val="3BCB003B"/>
    <w:rsid w:val="3C125CC6"/>
    <w:rsid w:val="3C1D2032"/>
    <w:rsid w:val="3C367A80"/>
    <w:rsid w:val="3C5E1FB8"/>
    <w:rsid w:val="3C94542C"/>
    <w:rsid w:val="3CA75EAC"/>
    <w:rsid w:val="3CBD7933"/>
    <w:rsid w:val="3D336BE0"/>
    <w:rsid w:val="3D38109C"/>
    <w:rsid w:val="3DD751BC"/>
    <w:rsid w:val="3DF32FB5"/>
    <w:rsid w:val="3DFD2C80"/>
    <w:rsid w:val="3E0930F8"/>
    <w:rsid w:val="3E2D0A8E"/>
    <w:rsid w:val="3E65064E"/>
    <w:rsid w:val="3EC23058"/>
    <w:rsid w:val="3EF81411"/>
    <w:rsid w:val="3F0B4B16"/>
    <w:rsid w:val="3F20114F"/>
    <w:rsid w:val="3F47745D"/>
    <w:rsid w:val="3F7F7B9C"/>
    <w:rsid w:val="3F9D57ED"/>
    <w:rsid w:val="400536E3"/>
    <w:rsid w:val="40620A2E"/>
    <w:rsid w:val="407966E0"/>
    <w:rsid w:val="414F17BA"/>
    <w:rsid w:val="415F764C"/>
    <w:rsid w:val="41A30DB1"/>
    <w:rsid w:val="41F9457B"/>
    <w:rsid w:val="41FA461E"/>
    <w:rsid w:val="4213148C"/>
    <w:rsid w:val="421C3167"/>
    <w:rsid w:val="424E36DA"/>
    <w:rsid w:val="42577309"/>
    <w:rsid w:val="4285143A"/>
    <w:rsid w:val="42902646"/>
    <w:rsid w:val="42A31D6D"/>
    <w:rsid w:val="42AC2964"/>
    <w:rsid w:val="42AC4856"/>
    <w:rsid w:val="42BF416F"/>
    <w:rsid w:val="43577E92"/>
    <w:rsid w:val="43A2307E"/>
    <w:rsid w:val="43BB0C28"/>
    <w:rsid w:val="43DE49D2"/>
    <w:rsid w:val="44385B1F"/>
    <w:rsid w:val="444360F3"/>
    <w:rsid w:val="44650D7A"/>
    <w:rsid w:val="446C42DD"/>
    <w:rsid w:val="447137A5"/>
    <w:rsid w:val="44986F84"/>
    <w:rsid w:val="45B569E3"/>
    <w:rsid w:val="461C4E8C"/>
    <w:rsid w:val="463912FF"/>
    <w:rsid w:val="46541381"/>
    <w:rsid w:val="466F4B82"/>
    <w:rsid w:val="470E037C"/>
    <w:rsid w:val="47961EA1"/>
    <w:rsid w:val="47ED0A5B"/>
    <w:rsid w:val="48220665"/>
    <w:rsid w:val="48870CD1"/>
    <w:rsid w:val="488747B1"/>
    <w:rsid w:val="48D30530"/>
    <w:rsid w:val="495A6EFE"/>
    <w:rsid w:val="49753626"/>
    <w:rsid w:val="49A02AFF"/>
    <w:rsid w:val="49DB1F32"/>
    <w:rsid w:val="49ED225A"/>
    <w:rsid w:val="4A1C7526"/>
    <w:rsid w:val="4A1F34D6"/>
    <w:rsid w:val="4A6D2636"/>
    <w:rsid w:val="4AE22D67"/>
    <w:rsid w:val="4B341A04"/>
    <w:rsid w:val="4B6F563A"/>
    <w:rsid w:val="4BCE5ACA"/>
    <w:rsid w:val="4C4625AC"/>
    <w:rsid w:val="4CDF698B"/>
    <w:rsid w:val="4CF30842"/>
    <w:rsid w:val="4DB27309"/>
    <w:rsid w:val="4E013989"/>
    <w:rsid w:val="4E0B5254"/>
    <w:rsid w:val="4E4E112E"/>
    <w:rsid w:val="4E986BAF"/>
    <w:rsid w:val="4FB158CE"/>
    <w:rsid w:val="4FBE650E"/>
    <w:rsid w:val="50521BD4"/>
    <w:rsid w:val="50A72C35"/>
    <w:rsid w:val="50F00906"/>
    <w:rsid w:val="5127643C"/>
    <w:rsid w:val="514F4E55"/>
    <w:rsid w:val="51AA6147"/>
    <w:rsid w:val="51B11685"/>
    <w:rsid w:val="51E52B06"/>
    <w:rsid w:val="51FD47E2"/>
    <w:rsid w:val="52373BD8"/>
    <w:rsid w:val="523A1E43"/>
    <w:rsid w:val="525635A3"/>
    <w:rsid w:val="527C0A42"/>
    <w:rsid w:val="52995F82"/>
    <w:rsid w:val="52A31603"/>
    <w:rsid w:val="52B87B64"/>
    <w:rsid w:val="52D87FE4"/>
    <w:rsid w:val="52DE0004"/>
    <w:rsid w:val="530D0370"/>
    <w:rsid w:val="533D7674"/>
    <w:rsid w:val="534212A0"/>
    <w:rsid w:val="538E6B22"/>
    <w:rsid w:val="539F3074"/>
    <w:rsid w:val="53B27FDC"/>
    <w:rsid w:val="53FE33DD"/>
    <w:rsid w:val="54105DF7"/>
    <w:rsid w:val="54CA68AA"/>
    <w:rsid w:val="54E64B55"/>
    <w:rsid w:val="550F3998"/>
    <w:rsid w:val="55681CB5"/>
    <w:rsid w:val="55A32D1B"/>
    <w:rsid w:val="55B96506"/>
    <w:rsid w:val="55E005F1"/>
    <w:rsid w:val="560A5808"/>
    <w:rsid w:val="56511C33"/>
    <w:rsid w:val="56513437"/>
    <w:rsid w:val="56A75E3B"/>
    <w:rsid w:val="56C22ED7"/>
    <w:rsid w:val="5765213F"/>
    <w:rsid w:val="577D4497"/>
    <w:rsid w:val="57BD2E27"/>
    <w:rsid w:val="57E45843"/>
    <w:rsid w:val="58171515"/>
    <w:rsid w:val="585E3E88"/>
    <w:rsid w:val="587E693B"/>
    <w:rsid w:val="5909228A"/>
    <w:rsid w:val="59133E27"/>
    <w:rsid w:val="591F4D02"/>
    <w:rsid w:val="59AE4AAE"/>
    <w:rsid w:val="59E630B3"/>
    <w:rsid w:val="59F70970"/>
    <w:rsid w:val="5A6D19E9"/>
    <w:rsid w:val="5A732C24"/>
    <w:rsid w:val="5A8C05C6"/>
    <w:rsid w:val="5ABC0512"/>
    <w:rsid w:val="5AE23BA6"/>
    <w:rsid w:val="5BC67809"/>
    <w:rsid w:val="5C052A04"/>
    <w:rsid w:val="5C1B0A57"/>
    <w:rsid w:val="5C2E2250"/>
    <w:rsid w:val="5C2E7413"/>
    <w:rsid w:val="5C2F10B9"/>
    <w:rsid w:val="5C540A2E"/>
    <w:rsid w:val="5C5911BF"/>
    <w:rsid w:val="5C7368BB"/>
    <w:rsid w:val="5C7559A0"/>
    <w:rsid w:val="5D5675C1"/>
    <w:rsid w:val="5D7008F2"/>
    <w:rsid w:val="5D8C6B8E"/>
    <w:rsid w:val="5D9E3BC1"/>
    <w:rsid w:val="5DA311AC"/>
    <w:rsid w:val="5DAB37BF"/>
    <w:rsid w:val="5DC34EDD"/>
    <w:rsid w:val="5E6E1B79"/>
    <w:rsid w:val="5E83292D"/>
    <w:rsid w:val="5EC416ED"/>
    <w:rsid w:val="5F223539"/>
    <w:rsid w:val="5F700BF9"/>
    <w:rsid w:val="5FB1711E"/>
    <w:rsid w:val="5FDC5F4D"/>
    <w:rsid w:val="60AA14A4"/>
    <w:rsid w:val="60C84691"/>
    <w:rsid w:val="60CE03DF"/>
    <w:rsid w:val="6124783C"/>
    <w:rsid w:val="617A1C1F"/>
    <w:rsid w:val="617D20E0"/>
    <w:rsid w:val="61AC4C69"/>
    <w:rsid w:val="61B50D1E"/>
    <w:rsid w:val="61BD1027"/>
    <w:rsid w:val="61D5719A"/>
    <w:rsid w:val="62862BCF"/>
    <w:rsid w:val="62A72D5C"/>
    <w:rsid w:val="62B96C85"/>
    <w:rsid w:val="62CC631F"/>
    <w:rsid w:val="62D90EC5"/>
    <w:rsid w:val="630A5B7E"/>
    <w:rsid w:val="63165DA4"/>
    <w:rsid w:val="63853B45"/>
    <w:rsid w:val="63B14F84"/>
    <w:rsid w:val="64256284"/>
    <w:rsid w:val="644B76D2"/>
    <w:rsid w:val="647240F9"/>
    <w:rsid w:val="6496460F"/>
    <w:rsid w:val="64D03DF2"/>
    <w:rsid w:val="6519611E"/>
    <w:rsid w:val="652455A3"/>
    <w:rsid w:val="655544D6"/>
    <w:rsid w:val="65586590"/>
    <w:rsid w:val="65750EF0"/>
    <w:rsid w:val="65C750A6"/>
    <w:rsid w:val="65EE218E"/>
    <w:rsid w:val="664F49CE"/>
    <w:rsid w:val="665761F7"/>
    <w:rsid w:val="66CE576B"/>
    <w:rsid w:val="66F209E4"/>
    <w:rsid w:val="6729574E"/>
    <w:rsid w:val="676459AA"/>
    <w:rsid w:val="67A822FD"/>
    <w:rsid w:val="67AC7A22"/>
    <w:rsid w:val="67E378C6"/>
    <w:rsid w:val="680B583D"/>
    <w:rsid w:val="682041EA"/>
    <w:rsid w:val="68580AF2"/>
    <w:rsid w:val="68597456"/>
    <w:rsid w:val="687C6E78"/>
    <w:rsid w:val="68CE46CD"/>
    <w:rsid w:val="69063947"/>
    <w:rsid w:val="69156FF4"/>
    <w:rsid w:val="69281030"/>
    <w:rsid w:val="692D201B"/>
    <w:rsid w:val="69473047"/>
    <w:rsid w:val="69A2465A"/>
    <w:rsid w:val="69E05A85"/>
    <w:rsid w:val="6A190093"/>
    <w:rsid w:val="6A7214AF"/>
    <w:rsid w:val="6AB9347C"/>
    <w:rsid w:val="6AD1407E"/>
    <w:rsid w:val="6AD93CCF"/>
    <w:rsid w:val="6AE508C6"/>
    <w:rsid w:val="6B3E29C2"/>
    <w:rsid w:val="6B6A3024"/>
    <w:rsid w:val="6BD63F55"/>
    <w:rsid w:val="6BF344DF"/>
    <w:rsid w:val="6C044D7B"/>
    <w:rsid w:val="6CA57B99"/>
    <w:rsid w:val="6CC509FF"/>
    <w:rsid w:val="6D9013CC"/>
    <w:rsid w:val="6DCF41E3"/>
    <w:rsid w:val="6DD92224"/>
    <w:rsid w:val="6DF66946"/>
    <w:rsid w:val="6E077745"/>
    <w:rsid w:val="6E0A6B6E"/>
    <w:rsid w:val="6E3623E2"/>
    <w:rsid w:val="6E492A3A"/>
    <w:rsid w:val="6F062BB9"/>
    <w:rsid w:val="6F3E5618"/>
    <w:rsid w:val="6F3F5890"/>
    <w:rsid w:val="6F555835"/>
    <w:rsid w:val="6F5D32A0"/>
    <w:rsid w:val="6F96218E"/>
    <w:rsid w:val="6FC55BD1"/>
    <w:rsid w:val="701706B8"/>
    <w:rsid w:val="705C4D63"/>
    <w:rsid w:val="70614DEC"/>
    <w:rsid w:val="70C634A7"/>
    <w:rsid w:val="70DE3CBA"/>
    <w:rsid w:val="70FE236E"/>
    <w:rsid w:val="710A1D75"/>
    <w:rsid w:val="71390ECE"/>
    <w:rsid w:val="720C6784"/>
    <w:rsid w:val="72192EE6"/>
    <w:rsid w:val="722647B3"/>
    <w:rsid w:val="72694E43"/>
    <w:rsid w:val="727D7636"/>
    <w:rsid w:val="730B4811"/>
    <w:rsid w:val="73F52377"/>
    <w:rsid w:val="74232937"/>
    <w:rsid w:val="74582108"/>
    <w:rsid w:val="74B524D1"/>
    <w:rsid w:val="74D26DEB"/>
    <w:rsid w:val="74D85EC1"/>
    <w:rsid w:val="7535239A"/>
    <w:rsid w:val="755619CC"/>
    <w:rsid w:val="75776322"/>
    <w:rsid w:val="758E6B93"/>
    <w:rsid w:val="75A213EC"/>
    <w:rsid w:val="76297B0A"/>
    <w:rsid w:val="765661D4"/>
    <w:rsid w:val="7664671C"/>
    <w:rsid w:val="76676E3A"/>
    <w:rsid w:val="76BF3A61"/>
    <w:rsid w:val="77161E07"/>
    <w:rsid w:val="779D6649"/>
    <w:rsid w:val="77C367EF"/>
    <w:rsid w:val="77DA3A4B"/>
    <w:rsid w:val="783416CF"/>
    <w:rsid w:val="787813D0"/>
    <w:rsid w:val="78B937FB"/>
    <w:rsid w:val="78BA2BD0"/>
    <w:rsid w:val="797650E6"/>
    <w:rsid w:val="7A071041"/>
    <w:rsid w:val="7A241E2E"/>
    <w:rsid w:val="7A7007FA"/>
    <w:rsid w:val="7A8D4C16"/>
    <w:rsid w:val="7AA91A0D"/>
    <w:rsid w:val="7ABE2D6E"/>
    <w:rsid w:val="7ACD289A"/>
    <w:rsid w:val="7AD21A0F"/>
    <w:rsid w:val="7ADF2DAC"/>
    <w:rsid w:val="7AE0385D"/>
    <w:rsid w:val="7AEE5ABC"/>
    <w:rsid w:val="7AF00FBF"/>
    <w:rsid w:val="7B3366C3"/>
    <w:rsid w:val="7B735B8B"/>
    <w:rsid w:val="7B9519BC"/>
    <w:rsid w:val="7C02477F"/>
    <w:rsid w:val="7C36430C"/>
    <w:rsid w:val="7C484A74"/>
    <w:rsid w:val="7C690A14"/>
    <w:rsid w:val="7C9A0FFB"/>
    <w:rsid w:val="7CE85E00"/>
    <w:rsid w:val="7D5671AF"/>
    <w:rsid w:val="7DB55ED6"/>
    <w:rsid w:val="7DBD3236"/>
    <w:rsid w:val="7DD4653F"/>
    <w:rsid w:val="7DDA1739"/>
    <w:rsid w:val="7DED5DED"/>
    <w:rsid w:val="7E745D91"/>
    <w:rsid w:val="7E801FD1"/>
    <w:rsid w:val="7E8835EA"/>
    <w:rsid w:val="7F342A2C"/>
    <w:rsid w:val="7F3A52D5"/>
    <w:rsid w:val="7F5A73B5"/>
    <w:rsid w:val="7F91066B"/>
    <w:rsid w:val="7FCE29D8"/>
    <w:rsid w:val="7FFE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5"/>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List Number"/>
    <w:basedOn w:val="1"/>
    <w:qFormat/>
    <w:uiPriority w:val="0"/>
    <w:pPr>
      <w:numPr>
        <w:ilvl w:val="0"/>
        <w:numId w:val="1"/>
      </w:numPr>
    </w:pPr>
  </w:style>
  <w:style w:type="paragraph" w:styleId="8">
    <w:name w:val="Body Text"/>
    <w:basedOn w:val="1"/>
    <w:qFormat/>
    <w:uiPriority w:val="99"/>
    <w:pPr>
      <w:spacing w:beforeLines="30"/>
    </w:pPr>
    <w:rPr>
      <w:rFonts w:ascii="仿宋_GB2312" w:eastAsia="仿宋_GB2312"/>
      <w:kern w:val="0"/>
      <w:sz w:val="24"/>
      <w:szCs w:val="20"/>
    </w:rPr>
  </w:style>
  <w:style w:type="paragraph" w:styleId="9">
    <w:name w:val="toc 8"/>
    <w:basedOn w:val="1"/>
    <w:next w:val="1"/>
    <w:qFormat/>
    <w:uiPriority w:val="0"/>
    <w:pPr>
      <w:widowControl w:val="0"/>
      <w:ind w:left="2940"/>
      <w:jc w:val="both"/>
    </w:pPr>
    <w:rPr>
      <w:rFonts w:ascii="Calibri" w:hAnsi="Calibri" w:eastAsia="宋体" w:cs="Times New Roman"/>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22"/>
    <w:rPr>
      <w:b/>
      <w:bCs/>
    </w:rPr>
  </w:style>
  <w:style w:type="paragraph" w:customStyle="1" w:styleId="18">
    <w:name w:val="常用样式（方正仿宋简）"/>
    <w:basedOn w:val="1"/>
    <w:next w:val="9"/>
    <w:qFormat/>
    <w:uiPriority w:val="99"/>
    <w:pPr>
      <w:spacing w:line="560" w:lineRule="exact"/>
      <w:ind w:firstLine="640" w:firstLineChars="200"/>
    </w:pPr>
    <w:rPr>
      <w:rFonts w:ascii="Calibri" w:hAnsi="Calibri" w:eastAsia="方正仿宋简体"/>
      <w:sz w:val="32"/>
      <w:szCs w:val="24"/>
    </w:rPr>
  </w:style>
  <w:style w:type="paragraph" w:customStyle="1" w:styleId="19">
    <w:name w:val="章标题"/>
    <w:basedOn w:val="1"/>
    <w:next w:val="20"/>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0">
    <w:name w:val="节标题"/>
    <w:basedOn w:val="1"/>
    <w:next w:val="1"/>
    <w:qFormat/>
    <w:uiPriority w:val="99"/>
    <w:pPr>
      <w:widowControl/>
      <w:spacing w:line="289" w:lineRule="atLeast"/>
      <w:jc w:val="center"/>
      <w:textAlignment w:val="baseline"/>
    </w:pPr>
    <w:rPr>
      <w:color w:val="000000"/>
      <w:sz w:val="28"/>
    </w:rPr>
  </w:style>
  <w:style w:type="paragraph" w:styleId="21">
    <w:name w:val="List Paragraph"/>
    <w:basedOn w:val="1"/>
    <w:qFormat/>
    <w:uiPriority w:val="34"/>
    <w:pPr>
      <w:ind w:firstLine="420" w:firstLineChars="200"/>
    </w:pPr>
  </w:style>
  <w:style w:type="character" w:customStyle="1" w:styleId="22">
    <w:name w:val="标题 1 Char"/>
    <w:basedOn w:val="16"/>
    <w:link w:val="5"/>
    <w:qFormat/>
    <w:uiPriority w:val="9"/>
    <w:rPr>
      <w:b/>
      <w:bCs/>
      <w:kern w:val="44"/>
      <w:sz w:val="44"/>
      <w:szCs w:val="44"/>
    </w:rPr>
  </w:style>
  <w:style w:type="character" w:customStyle="1" w:styleId="23">
    <w:name w:val="标题 2 Char"/>
    <w:basedOn w:val="16"/>
    <w:link w:val="6"/>
    <w:qFormat/>
    <w:uiPriority w:val="9"/>
    <w:rPr>
      <w:rFonts w:ascii="Cambria" w:hAnsi="Cambria" w:eastAsia="宋体" w:cs="Times New Roman"/>
      <w:b/>
      <w:bCs/>
      <w:sz w:val="32"/>
      <w:szCs w:val="32"/>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5">
    <w:name w:val="标题 2 字符"/>
    <w:link w:val="6"/>
    <w:qFormat/>
    <w:locked/>
    <w:uiPriority w:val="9"/>
    <w:rPr>
      <w:rFonts w:ascii="Cambria" w:hAnsi="Cambria"/>
      <w:b/>
      <w:bCs/>
      <w:sz w:val="32"/>
      <w:szCs w:val="32"/>
    </w:rPr>
  </w:style>
  <w:style w:type="character" w:customStyle="1" w:styleId="26">
    <w:name w:val="bjh-p"/>
    <w:qFormat/>
    <w:uiPriority w:val="0"/>
  </w:style>
  <w:style w:type="character" w:customStyle="1" w:styleId="27">
    <w:name w:val="NormalCharacter"/>
    <w:semiHidden/>
    <w:qFormat/>
    <w:uiPriority w:val="0"/>
    <w:rPr>
      <w:rFonts w:ascii="等线" w:hAnsi="等线" w:eastAsia="等线" w:cs="Times New Roman"/>
      <w:kern w:val="2"/>
      <w:sz w:val="21"/>
      <w:szCs w:val="22"/>
      <w:lang w:val="en-US" w:eastAsia="zh-CN" w:bidi="ar-SA"/>
    </w:rPr>
  </w:style>
  <w:style w:type="paragraph" w:customStyle="1" w:styleId="28">
    <w:name w:val="List Paragraph_a3767909-5028-4aa5-8399-fc7463166b80"/>
    <w:basedOn w:val="1"/>
    <w:qFormat/>
    <w:uiPriority w:val="34"/>
    <w:pPr>
      <w:ind w:firstLine="420" w:firstLineChars="200"/>
    </w:pPr>
  </w:style>
  <w:style w:type="character" w:customStyle="1" w:styleId="29">
    <w:name w:val=" Char Char6"/>
    <w:basedOn w:val="16"/>
    <w:link w:val="5"/>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endParaRPr altLang="en-US"/>
          </a:p>
        </c:rich>
      </c:tx>
      <c:layout>
        <c:manualLayout>
          <c:xMode val="edge"/>
          <c:yMode val="edge"/>
          <c:x val="0.259375"/>
          <c:y val="0.0966092062890699"/>
        </c:manualLayout>
      </c:layout>
      <c:overlay val="0"/>
      <c:spPr>
        <a:noFill/>
        <a:ln>
          <a:noFill/>
        </a:ln>
        <a:effectLst/>
      </c:spPr>
    </c:title>
    <c:autoTitleDeleted val="0"/>
    <c:plotArea>
      <c:layout>
        <c:manualLayout>
          <c:layoutTarget val="inner"/>
          <c:xMode val="edge"/>
          <c:yMode val="edge"/>
          <c:x val="0.0466532802084583"/>
          <c:y val="0.295408062930187"/>
          <c:w val="0.902816839154127"/>
          <c:h val="0.59202275600505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2022年财政收入总计</c:v>
                </c:pt>
                <c:pt idx="1">
                  <c:v>2023年财政收入总计</c:v>
                </c:pt>
                <c:pt idx="2">
                  <c:v>2022年财政支出总计</c:v>
                </c:pt>
                <c:pt idx="3">
                  <c:v>2023年财政支出总计</c:v>
                </c:pt>
              </c:strCache>
            </c:strRef>
          </c:cat>
          <c:val>
            <c:numRef>
              <c:f>Sheet1!$B$2:$B$5</c:f>
              <c:numCache>
                <c:formatCode>General</c:formatCode>
                <c:ptCount val="4"/>
                <c:pt idx="0">
                  <c:v>122.15</c:v>
                </c:pt>
                <c:pt idx="1">
                  <c:v>152.2</c:v>
                </c:pt>
                <c:pt idx="2">
                  <c:v>122.15</c:v>
                </c:pt>
                <c:pt idx="3">
                  <c:v>152.2</c:v>
                </c:pt>
              </c:numCache>
            </c:numRef>
          </c:val>
        </c:ser>
        <c:dLbls>
          <c:showLegendKey val="0"/>
          <c:showVal val="1"/>
          <c:showCatName val="0"/>
          <c:showSerName val="0"/>
          <c:showPercent val="0"/>
          <c:showBubbleSize val="0"/>
        </c:dLbls>
        <c:gapWidth val="219"/>
        <c:overlap val="-27"/>
        <c:axId val="282351828"/>
        <c:axId val="516529510"/>
      </c:barChart>
      <c:catAx>
        <c:axId val="2823518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529510"/>
        <c:crosses val="autoZero"/>
        <c:auto val="1"/>
        <c:lblAlgn val="ctr"/>
        <c:lblOffset val="0"/>
        <c:tickMarkSkip val="10"/>
        <c:noMultiLvlLbl val="0"/>
      </c:catAx>
      <c:valAx>
        <c:axId val="516529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3518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en-US"/>
              <a:t>收入决算结构图</a:t>
            </a:r>
            <a:endParaRPr altLang="zh-CN"/>
          </a:p>
        </c:rich>
      </c:tx>
      <c:layout>
        <c:manualLayout>
          <c:xMode val="edge"/>
          <c:yMode val="edge"/>
          <c:x val="0.327125"/>
          <c:y val="0.035398230088495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152.2</a:t>
                    </a:r>
                    <a:r>
                      <a:t>万元, </a:t>
                    </a:r>
                    <a:r>
                      <a:rPr lang="en-US" altLang="zh-CN"/>
                      <a:t>100%</a:t>
                    </a:r>
                    <a:endParaRPr lang="en-US" altLang="zh-CN"/>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0.09"/>
                  <c:y val="0.02359882005899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altLang="zh-CN"/>
                      <a:t> </a:t>
                    </a:r>
                    <a:r>
                      <a:rPr lang="en-US" altLang="zh-CN"/>
                      <a:t>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4375"/>
                  <c:y val="0.05899705014749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66875"/>
                  <c:y val="0.1209439528023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65625"/>
                  <c:y val="0.038348082595870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Sheet1!$A$2:$A$7</c:f>
              <c:strCache>
                <c:ptCount val="6"/>
                <c:pt idx="0">
                  <c:v>一般公共预算财政拨款收入</c:v>
                </c:pt>
                <c:pt idx="1">
                  <c:v>上年结余</c:v>
                </c:pt>
                <c:pt idx="2">
                  <c:v>政府性基金预算财政拨款收入</c:v>
                </c:pt>
                <c:pt idx="3">
                  <c:v>国有资本经营预算财政拨款收入</c:v>
                </c:pt>
                <c:pt idx="4">
                  <c:v>事业收入</c:v>
                </c:pt>
                <c:pt idx="5">
                  <c:v>上年结转结余</c:v>
                </c:pt>
              </c:strCache>
            </c:strRef>
          </c:cat>
          <c:val>
            <c:numRef>
              <c:f>Sheet1!$B$2:$B$7</c:f>
              <c:numCache>
                <c:formatCode>General</c:formatCode>
                <c:ptCount val="6"/>
                <c:pt idx="0">
                  <c:v>152.2</c:v>
                </c:pt>
                <c:pt idx="1">
                  <c:v>0</c:v>
                </c:pt>
                <c:pt idx="2">
                  <c:v>0</c:v>
                </c:pt>
                <c:pt idx="3">
                  <c:v>0</c:v>
                </c:pt>
                <c:pt idx="4">
                  <c:v>0</c:v>
                </c:pt>
                <c:pt idx="5">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2022年公共财政预算支出统计</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rPr>
                      <a:t>125.29</a:t>
                    </a:r>
                    <a:r>
                      <a:rPr altLang="en-US">
                        <a:solidFill>
                          <a:schemeClr val="tx1"/>
                        </a:solidFill>
                      </a:rPr>
                      <a:t>万元</a:t>
                    </a:r>
                    <a:r>
                      <a:rPr>
                        <a:solidFill>
                          <a:schemeClr val="tx1"/>
                        </a:solidFill>
                      </a:rPr>
                      <a:t>  ，</a:t>
                    </a:r>
                    <a:r>
                      <a:rPr lang="en-US" altLang="zh-CN">
                        <a:solidFill>
                          <a:schemeClr val="tx1"/>
                        </a:solidFill>
                      </a:rPr>
                      <a:t>82.32%</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rPr>
                      <a:t>26.91</a:t>
                    </a:r>
                    <a:r>
                      <a:rPr altLang="zh-CN">
                        <a:solidFill>
                          <a:schemeClr val="tx1"/>
                        </a:solidFill>
                      </a:rPr>
                      <a:t>万元</a:t>
                    </a:r>
                    <a:r>
                      <a:rPr>
                        <a:solidFill>
                          <a:schemeClr val="tx1"/>
                        </a:solidFill>
                      </a:rPr>
                      <a:t>，</a:t>
                    </a:r>
                    <a:r>
                      <a:rPr lang="en-US" altLang="zh-CN">
                        <a:solidFill>
                          <a:schemeClr val="tx1"/>
                        </a:solidFill>
                      </a:rPr>
                      <a:t>17.68%</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1"/>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103.93</c:v>
                </c:pt>
                <c:pt idx="1">
                  <c:v>18.22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accent4">
        <a:lumMod val="60000"/>
        <a:lumOff val="4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en-US" sz="1500"/>
              <a:t>财政拨款收、支决算总计变动情况</a:t>
            </a:r>
            <a:endParaRPr sz="1500"/>
          </a:p>
        </c:rich>
      </c:tx>
      <c:layout>
        <c:manualLayout>
          <c:xMode val="edge"/>
          <c:yMode val="edge"/>
          <c:x val="0.188247145735393"/>
          <c:y val="0.036455275402079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财政收入支出总计</c:v>
                </c:pt>
              </c:strCache>
            </c:strRef>
          </c:tx>
          <c:spPr>
            <a:solidFill>
              <a:schemeClr val="accent1">
                <a:alpha val="85000"/>
              </a:schemeClr>
            </a:solidFill>
            <a:ln w="9525" cap="flat" cmpd="sng" algn="ctr">
              <a:solidFill>
                <a:schemeClr val="lt1">
                  <a:alpha val="50000"/>
                </a:schemeClr>
              </a:solidFill>
              <a:round/>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2022年财政收入总计</c:v>
                </c:pt>
                <c:pt idx="1">
                  <c:v>2023年财政收入总计</c:v>
                </c:pt>
                <c:pt idx="2">
                  <c:v>2022年财政支出总计</c:v>
                </c:pt>
                <c:pt idx="3">
                  <c:v>2023年财政支出总计</c:v>
                </c:pt>
              </c:strCache>
            </c:strRef>
          </c:cat>
          <c:val>
            <c:numRef>
              <c:f>Sheet1!$B$2:$B$5</c:f>
              <c:numCache>
                <c:formatCode>General</c:formatCode>
                <c:ptCount val="4"/>
                <c:pt idx="0">
                  <c:v>122.15</c:v>
                </c:pt>
                <c:pt idx="1">
                  <c:v>152.2</c:v>
                </c:pt>
                <c:pt idx="2">
                  <c:v>122.15</c:v>
                </c:pt>
                <c:pt idx="3">
                  <c:v>152.2</c:v>
                </c:pt>
              </c:numCache>
            </c:numRef>
          </c:val>
        </c:ser>
        <c:dLbls>
          <c:showLegendKey val="0"/>
          <c:showVal val="1"/>
          <c:showCatName val="0"/>
          <c:showSerName val="0"/>
          <c:showPercent val="0"/>
          <c:showBubbleSize val="0"/>
        </c:dLbls>
        <c:gapWidth val="65"/>
        <c:overlap val="0"/>
        <c:axId val="759698592"/>
        <c:axId val="308566884"/>
      </c:barChart>
      <c:catAx>
        <c:axId val="759698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308566884"/>
        <c:crosses val="autoZero"/>
        <c:auto val="1"/>
        <c:lblAlgn val="ctr"/>
        <c:lblOffset val="100"/>
        <c:noMultiLvlLbl val="0"/>
      </c:catAx>
      <c:valAx>
        <c:axId val="3085668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75969859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一般公共预算财政拨款支出决算结构</a:t>
            </a:r>
          </a:p>
        </c:rich>
      </c:tx>
      <c:layout/>
      <c:overlay val="0"/>
      <c:spPr>
        <a:noFill/>
        <a:ln>
          <a:noFill/>
        </a:ln>
        <a:effectLst/>
      </c:spPr>
    </c:title>
    <c:autoTitleDeleted val="0"/>
    <c:plotArea>
      <c:layout/>
      <c:pieChart>
        <c:varyColors val="1"/>
        <c:ser>
          <c:idx val="0"/>
          <c:order val="0"/>
          <c:spPr>
            <a:solidFill>
              <a:srgbClr val="63B1EF">
                <a:alpha val="67000"/>
              </a:srgbClr>
            </a:solidFill>
            <a:ln w="19050" cap="rnd">
              <a:noFill/>
              <a:round/>
            </a:ln>
            <a:effectLst/>
          </c:spPr>
          <c:explosion val="0"/>
          <c:dPt>
            <c:idx val="0"/>
            <c:bubble3D val="0"/>
            <c:spPr>
              <a:solidFill>
                <a:srgbClr val="63B1EF">
                  <a:alpha val="67000"/>
                </a:srgbClr>
              </a:solidFill>
              <a:ln w="19050" cap="rnd">
                <a:noFill/>
                <a:round/>
              </a:ln>
              <a:effectLst/>
            </c:spPr>
          </c:dPt>
          <c:dPt>
            <c:idx val="1"/>
            <c:bubble3D val="0"/>
            <c:spPr>
              <a:solidFill>
                <a:srgbClr val="75D890">
                  <a:alpha val="67000"/>
                </a:srgbClr>
              </a:solidFill>
              <a:ln w="19050" cap="rnd">
                <a:noFill/>
                <a:round/>
              </a:ln>
              <a:effectLst/>
            </c:spPr>
          </c:dPt>
          <c:dPt>
            <c:idx val="2"/>
            <c:bubble3D val="0"/>
            <c:spPr>
              <a:solidFill>
                <a:srgbClr val="FB7E72">
                  <a:alpha val="67000"/>
                </a:srgbClr>
              </a:solidFill>
              <a:ln w="19050" cap="rnd">
                <a:noFill/>
                <a:round/>
              </a:ln>
              <a:effectLst/>
            </c:spPr>
          </c:dPt>
          <c:dPt>
            <c:idx val="3"/>
            <c:bubble3D val="0"/>
            <c:spPr>
              <a:solidFill>
                <a:srgbClr val="F8AC41">
                  <a:alpha val="67000"/>
                </a:srgbClr>
              </a:solidFill>
              <a:ln w="19050" cap="rnd">
                <a:no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106.04</c:v>
                </c:pt>
                <c:pt idx="1">
                  <c:v>31.45</c:v>
                </c:pt>
                <c:pt idx="2">
                  <c:v>5.45</c:v>
                </c:pt>
                <c:pt idx="3">
                  <c:v>9.26</c:v>
                </c:pt>
              </c:numCache>
            </c:numRef>
          </c:val>
        </c:ser>
        <c:dLbls>
          <c:showLegendKey val="0"/>
          <c:showVal val="0"/>
          <c:showCatName val="1"/>
          <c:showSerName val="0"/>
          <c:showPercent val="1"/>
          <c:showBubbleSize val="0"/>
          <c:showLeaderLines val="1"/>
        </c:dLbls>
        <c:firstSliceAng val="0"/>
      </c:pieChart>
      <c:spPr>
        <a:pattFill prst="lgGrid">
          <a:fgClr>
            <a:srgbClr val="F8F8F8"/>
          </a:fgClr>
          <a:bgClr>
            <a:schemeClr val="bg1"/>
          </a:bgClr>
        </a:pattFill>
        <a:ln>
          <a:solidFill>
            <a:schemeClr val="bg1">
              <a:lumMod val="95000"/>
            </a:schemeClr>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15875">
              <a:solidFill>
                <a:schemeClr val="bg1"/>
              </a:solidFill>
            </a:ln>
            <a:effectLst>
              <a:outerShdw blurRad="63500" sx="102000" sy="102000" algn="ctr" rotWithShape="0">
                <a:schemeClr val="tx1">
                  <a:lumMod val="50000"/>
                  <a:lumOff val="50000"/>
                  <a:alpha val="40000"/>
                </a:schemeClr>
              </a:outerShdw>
            </a:effectLst>
            <a:sp3d contourW="15875"/>
          </c:spPr>
          <c:explosion val="0"/>
          <c:dPt>
            <c:idx val="0"/>
            <c:bubble3D val="0"/>
            <c:spPr>
              <a:gradFill>
                <a:gsLst>
                  <a:gs pos="0">
                    <a:schemeClr val="accent1">
                      <a:lumMod val="60000"/>
                      <a:lumOff val="40000"/>
                    </a:schemeClr>
                  </a:gs>
                  <a:gs pos="80000">
                    <a:schemeClr val="accent1"/>
                  </a:gs>
                </a:gsLst>
                <a:lin ang="2700000" scaled="0"/>
              </a:gra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1"/>
            <c:bubble3D val="0"/>
            <c:spPr>
              <a:gradFill>
                <a:gsLst>
                  <a:gs pos="0">
                    <a:schemeClr val="accent2">
                      <a:lumMod val="60000"/>
                      <a:lumOff val="40000"/>
                    </a:schemeClr>
                  </a:gs>
                  <a:gs pos="80000">
                    <a:schemeClr val="accent2"/>
                  </a:gs>
                </a:gsLst>
                <a:lin ang="2700000" scaled="0"/>
              </a:gra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2"/>
            <c:bubble3D val="0"/>
            <c:spPr>
              <a:gradFill>
                <a:gsLst>
                  <a:gs pos="0">
                    <a:schemeClr val="accent3">
                      <a:lumMod val="60000"/>
                      <a:lumOff val="40000"/>
                    </a:schemeClr>
                  </a:gs>
                  <a:gs pos="80000">
                    <a:schemeClr val="accent3"/>
                  </a:gs>
                </a:gsLst>
                <a:lin ang="2700000" scaled="0"/>
              </a:gradFill>
              <a:ln w="19050">
                <a:solidFill>
                  <a:schemeClr val="bg1"/>
                </a:solidFill>
              </a:ln>
              <a:effectLst>
                <a:outerShdw blurRad="63500" sx="102000" sy="102000" algn="ctr" rotWithShape="0">
                  <a:schemeClr val="tx1">
                    <a:lumMod val="50000"/>
                    <a:lumOff val="50000"/>
                    <a:alpha val="40000"/>
                  </a:schemeClr>
                </a:outerShdw>
              </a:effectLst>
              <a:sp3d contourW="19050"/>
            </c:spPr>
          </c:dPt>
          <c:dLbls>
            <c:dLbl>
              <c:idx val="0"/>
              <c:layout>
                <c:manualLayout>
                  <c:x val="0.0906014010639928"/>
                  <c:y val="0.0283531661703755"/>
                </c:manualLayout>
              </c:layout>
              <c:numFmt formatCode="General" sourceLinked="1"/>
              <c:spPr>
                <a:noFill/>
                <a:ln>
                  <a:solidFill>
                    <a:schemeClr val="accent1"/>
                  </a:solidFill>
                </a:ln>
                <a:effectLst>
                  <a:outerShdw blurRad="63500" sx="102000" sy="102000" algn="ctr" rotWithShape="0">
                    <a:schemeClr val="accent1">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57646522498497"/>
                  <c:y val="-0.0466383340432232"/>
                </c:manualLayout>
              </c:layout>
              <c:numFmt formatCode="General" sourceLinked="1"/>
              <c:spPr>
                <a:noFill/>
                <a:ln>
                  <a:solidFill>
                    <a:schemeClr val="accent2"/>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0653539502295241"/>
                      <c:h val="0.0684232894177646"/>
                    </c:manualLayout>
                  </c15:layout>
                </c:ext>
              </c:extLst>
            </c:dLbl>
            <c:dLbl>
              <c:idx val="2"/>
              <c:layout>
                <c:manualLayout>
                  <c:x val="-0.0887897741392718"/>
                  <c:y val="0.00604122396883943"/>
                </c:manualLayout>
              </c:layout>
              <c:numFmt formatCode="General" sourceLinked="1"/>
              <c:spPr>
                <a:noFill/>
                <a:ln>
                  <a:solidFill>
                    <a:schemeClr val="accent3"/>
                  </a:solidFill>
                </a:ln>
                <a:effectLst>
                  <a:outerShdw blurRad="63500" sx="102000" sy="102000" algn="ctr" rotWithShape="0">
                    <a:schemeClr val="accent3">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0579850205363614"/>
                      <c:h val="0.0548236294092648"/>
                    </c:manualLayout>
                  </c15:layout>
                </c:ext>
              </c:extLst>
            </c:dLbl>
            <c:numFmt formatCode="General" sourceLinked="1"/>
            <c:spPr>
              <a:no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因公出国（境）费支出</c:v>
                </c:pt>
                <c:pt idx="2">
                  <c:v>公务用车购置及运行维护费支出</c:v>
                </c:pt>
              </c:strCache>
            </c:strRef>
          </c:cat>
          <c:val>
            <c:numRef>
              <c:f>Sheet1!$B$2:$B$4</c:f>
              <c:numCache>
                <c:formatCode>General</c:formatCode>
                <c:ptCount val="3"/>
                <c:pt idx="0">
                  <c:v>0</c:v>
                </c:pt>
                <c:pt idx="1">
                  <c:v>0.8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17126</Words>
  <Characters>18458</Characters>
  <Lines>0</Lines>
  <Paragraphs>0</Paragraphs>
  <TotalTime>16</TotalTime>
  <ScaleCrop>false</ScaleCrop>
  <LinksUpToDate>false</LinksUpToDate>
  <CharactersWithSpaces>18533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2024-08-27T02:48:00Z</cp:lastPrinted>
  <dcterms:modified xsi:type="dcterms:W3CDTF">2024-08-28T03:16:54Z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E03FF5D9E63240AB8654166E053A2A17</vt:lpwstr>
  </property>
</Properties>
</file>