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1" w:name="_Toc15396475"/>
      <w:bookmarkStart w:id="2" w:name="_Toc15377193"/>
      <w:bookmarkStart w:id="3" w:name="_Toc15378441"/>
      <w:bookmarkStart w:id="4" w:name="_Toc15377425"/>
      <w:bookmarkStart w:id="5" w:name="_Toc15396597"/>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6" w:name="_Toc15377426"/>
      <w:bookmarkStart w:id="7" w:name="_Toc15396476"/>
      <w:bookmarkStart w:id="8" w:name="_Toc15378442"/>
      <w:bookmarkStart w:id="9" w:name="_Toc15377194"/>
      <w:bookmarkStart w:id="10" w:name="_Toc15396598"/>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lang w:val="en-US" w:eastAsia="zh-CN"/>
        </w:rPr>
        <w:t>遂宁市安居区横山镇</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观音小学校</w:t>
      </w:r>
      <w:r>
        <w:rPr>
          <w:rFonts w:hint="eastAsia" w:ascii="方正小标宋简体" w:hAnsi="方正小标宋简体" w:eastAsia="方正小标宋简体" w:cs="方正小标宋简体"/>
          <w:sz w:val="52"/>
          <w:szCs w:val="52"/>
          <w:lang w:eastAsia="zh-CN"/>
        </w:rPr>
        <w:t>部门</w:t>
      </w:r>
      <w:r>
        <w:rPr>
          <w:rFonts w:hint="eastAsia" w:ascii="方正小标宋简体" w:hAnsi="方正小标宋简体" w:eastAsia="方正小标宋简体" w:cs="方正小标宋简体"/>
          <w:sz w:val="52"/>
          <w:szCs w:val="5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lang w:eastAsia="zh-CN"/>
        </w:rPr>
        <w:t>部门</w:t>
      </w:r>
      <w:r>
        <w:rPr>
          <w:rFonts w:hint="eastAsia"/>
          <w:sz w:val="24"/>
        </w:rPr>
        <w:t>概况</w:t>
      </w:r>
    </w:p>
    <w:p>
      <w:pPr>
        <w:pStyle w:val="13"/>
        <w:adjustRightInd w:val="0"/>
        <w:snapToGrid w:val="0"/>
        <w:spacing w:line="440" w:lineRule="exact"/>
        <w:jc w:val="left"/>
        <w:rPr>
          <w:sz w:val="24"/>
        </w:rPr>
      </w:pPr>
      <w:r>
        <w:rPr>
          <w:rFonts w:hint="eastAsia"/>
          <w:sz w:val="24"/>
        </w:rPr>
        <w:t>一、主要职责</w:t>
      </w:r>
      <w:r>
        <w:rPr>
          <w:rFonts w:hint="default"/>
          <w:sz w:val="24"/>
          <w:szCs w:val="24"/>
        </w:rPr>
        <w:tab/>
      </w:r>
      <w:r>
        <w:rPr>
          <w:rFonts w:hint="eastAsia"/>
          <w:sz w:val="24"/>
          <w:szCs w:val="24"/>
          <w:lang w:val="en-US" w:eastAsia="zh-CN"/>
        </w:rPr>
        <w:t>4</w:t>
      </w:r>
    </w:p>
    <w:p>
      <w:pPr>
        <w:pStyle w:val="13"/>
        <w:adjustRightInd w:val="0"/>
        <w:snapToGrid w:val="0"/>
        <w:spacing w:line="440" w:lineRule="exact"/>
        <w:jc w:val="left"/>
      </w:pPr>
      <w:r>
        <w:rPr>
          <w:rFonts w:hint="eastAsia"/>
          <w:sz w:val="24"/>
        </w:rPr>
        <w:t>二、机构设置</w:t>
      </w:r>
      <w:r>
        <w:rPr>
          <w:rFonts w:hint="default"/>
          <w:sz w:val="24"/>
          <w:szCs w:val="24"/>
        </w:rPr>
        <w:tab/>
      </w:r>
      <w:r>
        <w:rPr>
          <w:rFonts w:hint="default"/>
          <w:sz w:val="24"/>
          <w:szCs w:val="24"/>
          <w:lang w:val="en-US" w:eastAsia="zh-CN"/>
        </w:rPr>
        <w:t>4</w:t>
      </w:r>
    </w:p>
    <w:p>
      <w:pPr>
        <w:pStyle w:val="12"/>
        <w:adjustRightInd w:val="0"/>
        <w:snapToGrid w:val="0"/>
        <w:spacing w:before="0" w:line="440" w:lineRule="exact"/>
        <w:jc w:val="left"/>
        <w:rPr>
          <w:sz w:val="24"/>
          <w:szCs w:val="24"/>
        </w:rPr>
      </w:pPr>
      <w:r>
        <w:rPr>
          <w:rFonts w:hint="eastAsia"/>
          <w:sz w:val="24"/>
        </w:rPr>
        <w:t>第二部分 2023年度</w:t>
      </w:r>
      <w:r>
        <w:rPr>
          <w:rFonts w:hint="eastAsia"/>
          <w:sz w:val="24"/>
          <w:lang w:eastAsia="zh-CN"/>
        </w:rPr>
        <w:t>部门</w:t>
      </w:r>
      <w:r>
        <w:rPr>
          <w:rFonts w:hint="eastAsia"/>
          <w:sz w:val="24"/>
        </w:rPr>
        <w:t>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default"/>
          <w:sz w:val="24"/>
          <w:szCs w:val="24"/>
        </w:rPr>
        <w:tab/>
      </w:r>
      <w:r>
        <w:rPr>
          <w:rFonts w:hint="default"/>
          <w:sz w:val="24"/>
          <w:szCs w:val="24"/>
          <w:lang w:val="en-US" w:eastAsia="zh-CN"/>
        </w:rPr>
        <w:t>5</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default"/>
          <w:sz w:val="24"/>
          <w:szCs w:val="24"/>
        </w:rPr>
        <w:tab/>
      </w:r>
      <w:r>
        <w:rPr>
          <w:rFonts w:hint="default"/>
          <w:sz w:val="24"/>
          <w:szCs w:val="24"/>
          <w:lang w:val="en-US" w:eastAsia="zh-CN"/>
        </w:rPr>
        <w:t>5</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default"/>
          <w:sz w:val="24"/>
          <w:szCs w:val="24"/>
        </w:rPr>
        <w:tab/>
      </w:r>
      <w:r>
        <w:rPr>
          <w:rFonts w:hint="default"/>
          <w:sz w:val="24"/>
          <w:szCs w:val="24"/>
          <w:lang w:val="en-US" w:eastAsia="zh-CN"/>
        </w:rPr>
        <w:t>6</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default"/>
          <w:sz w:val="24"/>
          <w:szCs w:val="24"/>
        </w:rPr>
        <w:tab/>
      </w:r>
      <w:r>
        <w:rPr>
          <w:rFonts w:hint="eastAsia"/>
          <w:sz w:val="24"/>
          <w:szCs w:val="24"/>
          <w:lang w:val="en-US" w:eastAsia="zh-CN"/>
        </w:rPr>
        <w:t>7</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default"/>
          <w:sz w:val="24"/>
          <w:szCs w:val="24"/>
        </w:rPr>
        <w:tab/>
      </w:r>
      <w:r>
        <w:rPr>
          <w:rFonts w:hint="default"/>
          <w:sz w:val="24"/>
          <w:szCs w:val="24"/>
          <w:lang w:val="en-US" w:eastAsia="zh-CN"/>
        </w:rPr>
        <w:t>7</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default"/>
          <w:sz w:val="24"/>
          <w:szCs w:val="24"/>
        </w:rPr>
        <w:tab/>
      </w:r>
      <w:r>
        <w:rPr>
          <w:rFonts w:hint="eastAsia"/>
          <w:sz w:val="24"/>
          <w:szCs w:val="24"/>
          <w:lang w:val="en-US" w:eastAsia="zh-CN"/>
        </w:rPr>
        <w:t>9</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default"/>
          <w:sz w:val="24"/>
          <w:szCs w:val="24"/>
        </w:rPr>
        <w:tab/>
      </w:r>
      <w:r>
        <w:rPr>
          <w:rFonts w:hint="eastAsia"/>
          <w:sz w:val="24"/>
          <w:szCs w:val="24"/>
          <w:lang w:val="en-US" w:eastAsia="zh-CN"/>
        </w:rPr>
        <w:t>10</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default"/>
          <w:sz w:val="24"/>
          <w:szCs w:val="24"/>
        </w:rPr>
        <w:tab/>
      </w:r>
      <w:r>
        <w:rPr>
          <w:rFonts w:hint="default"/>
          <w:sz w:val="24"/>
          <w:szCs w:val="24"/>
          <w:lang w:val="en-US" w:eastAsia="zh-CN"/>
        </w:rPr>
        <w:t>11</w:t>
      </w:r>
    </w:p>
    <w:p>
      <w:pPr>
        <w:pStyle w:val="13"/>
        <w:adjustRightInd w:val="0"/>
        <w:snapToGrid w:val="0"/>
        <w:spacing w:line="440" w:lineRule="exact"/>
        <w:jc w:val="left"/>
        <w:rPr>
          <w:rFonts w:hint="default"/>
          <w:sz w:val="24"/>
          <w:lang w:val="en-US"/>
        </w:rPr>
      </w:pPr>
      <w:r>
        <w:rPr>
          <w:rFonts w:hint="eastAsia"/>
          <w:sz w:val="24"/>
        </w:rPr>
        <w:t>九、国有资本经营预算支出决算情况说明</w:t>
      </w:r>
      <w:r>
        <w:rPr>
          <w:rFonts w:hint="default"/>
          <w:sz w:val="24"/>
          <w:szCs w:val="24"/>
        </w:rPr>
        <w:tab/>
      </w:r>
      <w:r>
        <w:rPr>
          <w:rFonts w:hint="eastAsia"/>
          <w:sz w:val="24"/>
          <w:szCs w:val="24"/>
          <w:lang w:val="en-US" w:eastAsia="zh-CN"/>
        </w:rPr>
        <w:t>11</w:t>
      </w:r>
    </w:p>
    <w:p>
      <w:pPr>
        <w:pStyle w:val="13"/>
        <w:adjustRightInd w:val="0"/>
        <w:snapToGrid w:val="0"/>
        <w:spacing w:line="440" w:lineRule="exact"/>
        <w:jc w:val="left"/>
        <w:rPr>
          <w:rFonts w:hint="default"/>
          <w:sz w:val="24"/>
          <w:lang w:val="en-US"/>
        </w:rPr>
      </w:pPr>
      <w:r>
        <w:rPr>
          <w:rFonts w:hint="eastAsia"/>
          <w:sz w:val="24"/>
        </w:rPr>
        <w:t>十、其他重要事项的情况说明</w:t>
      </w:r>
      <w:r>
        <w:rPr>
          <w:rFonts w:hint="default"/>
          <w:sz w:val="24"/>
          <w:szCs w:val="24"/>
        </w:rPr>
        <w:tab/>
      </w:r>
      <w:r>
        <w:rPr>
          <w:rFonts w:hint="eastAsia"/>
          <w:sz w:val="24"/>
          <w:szCs w:val="24"/>
          <w:lang w:val="en-US" w:eastAsia="zh-CN"/>
        </w:rPr>
        <w:t>11</w:t>
      </w:r>
    </w:p>
    <w:p>
      <w:pPr>
        <w:pStyle w:val="12"/>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default"/>
          <w:sz w:val="24"/>
          <w:szCs w:val="24"/>
        </w:rPr>
        <w:tab/>
      </w:r>
      <w:r>
        <w:rPr>
          <w:rFonts w:hint="default"/>
          <w:sz w:val="24"/>
          <w:szCs w:val="24"/>
          <w:lang w:val="en-US" w:eastAsia="zh-CN"/>
        </w:rPr>
        <w:t>1</w:t>
      </w:r>
      <w:r>
        <w:rPr>
          <w:rFonts w:hint="eastAsia"/>
          <w:sz w:val="24"/>
          <w:szCs w:val="24"/>
          <w:lang w:val="en-US" w:eastAsia="zh-CN"/>
        </w:rPr>
        <w:t>3</w:t>
      </w:r>
    </w:p>
    <w:p>
      <w:pPr>
        <w:pStyle w:val="12"/>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default"/>
          <w:sz w:val="24"/>
          <w:szCs w:val="24"/>
        </w:rPr>
        <w:tab/>
      </w:r>
      <w:r>
        <w:rPr>
          <w:rFonts w:hint="default"/>
          <w:sz w:val="24"/>
          <w:szCs w:val="24"/>
          <w:lang w:val="en-US" w:eastAsia="zh-CN"/>
        </w:rPr>
        <w:t>1</w:t>
      </w:r>
      <w:r>
        <w:rPr>
          <w:rFonts w:hint="eastAsia"/>
          <w:sz w:val="24"/>
          <w:szCs w:val="24"/>
          <w:lang w:val="en-US" w:eastAsia="zh-CN"/>
        </w:rPr>
        <w:t>5</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default"/>
          <w:sz w:val="24"/>
          <w:szCs w:val="24"/>
        </w:rPr>
        <w:tab/>
      </w:r>
      <w:r>
        <w:rPr>
          <w:rFonts w:hint="eastAsia"/>
          <w:sz w:val="24"/>
          <w:szCs w:val="24"/>
          <w:lang w:val="en-US" w:eastAsia="zh-CN"/>
        </w:rPr>
        <w:t>30</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Fonts w:hint="eastAsia" w:ascii="黑体" w:hAnsi="黑体" w:eastAsia="黑体"/>
          <w:b w:val="0"/>
          <w:lang w:eastAsia="zh-CN"/>
        </w:rPr>
        <w:t>部门</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pPr>
        <w:ind w:firstLine="640" w:firstLineChars="200"/>
      </w:pPr>
      <w:r>
        <w:rPr>
          <w:rFonts w:hint="eastAsia" w:ascii="仿宋" w:hAnsi="仿宋" w:eastAsia="仿宋"/>
          <w:sz w:val="32"/>
          <w:szCs w:val="24"/>
        </w:rPr>
        <w:t>我校的主要职能为实施</w:t>
      </w:r>
      <w:r>
        <w:rPr>
          <w:rFonts w:hint="eastAsia" w:ascii="仿宋" w:hAnsi="仿宋" w:eastAsia="仿宋"/>
          <w:sz w:val="32"/>
          <w:szCs w:val="24"/>
          <w:lang w:val="en-US" w:eastAsia="zh-CN"/>
        </w:rPr>
        <w:t>小学</w:t>
      </w:r>
      <w:r>
        <w:rPr>
          <w:rFonts w:hint="eastAsia" w:ascii="仿宋" w:hAnsi="仿宋" w:eastAsia="仿宋"/>
          <w:sz w:val="32"/>
          <w:szCs w:val="24"/>
        </w:rPr>
        <w:t>教育，促进基础教育发展，负责</w:t>
      </w:r>
      <w:r>
        <w:rPr>
          <w:rFonts w:hint="eastAsia" w:ascii="仿宋" w:hAnsi="仿宋" w:eastAsia="仿宋"/>
          <w:sz w:val="32"/>
          <w:szCs w:val="24"/>
          <w:lang w:val="en-US" w:eastAsia="zh-CN"/>
        </w:rPr>
        <w:t>小学</w:t>
      </w:r>
      <w:r>
        <w:rPr>
          <w:rFonts w:hint="eastAsia" w:ascii="仿宋" w:hAnsi="仿宋" w:eastAsia="仿宋"/>
          <w:sz w:val="32"/>
          <w:szCs w:val="24"/>
        </w:rPr>
        <w:t>学历教育和相关社会服务</w:t>
      </w:r>
      <w:r>
        <w:rPr>
          <w:rFonts w:hint="eastAsia" w:ascii="仿宋" w:hAnsi="仿宋" w:eastAsia="仿宋"/>
          <w:sz w:val="32"/>
          <w:szCs w:val="24"/>
          <w:lang w:eastAsia="zh-CN"/>
        </w:rPr>
        <w:t>等</w:t>
      </w:r>
      <w:r>
        <w:rPr>
          <w:rFonts w:hint="eastAsia" w:ascii="仿宋" w:hAnsi="仿宋" w:eastAsia="仿宋"/>
          <w:sz w:val="32"/>
          <w:szCs w:val="24"/>
        </w:rPr>
        <w:t>。</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numPr>
          <w:ilvl w:val="0"/>
          <w:numId w:val="0"/>
        </w:numPr>
        <w:ind w:leftChars="0"/>
        <w:rPr>
          <w:rFonts w:hint="default" w:eastAsia="宋体"/>
          <w:lang w:val="en-US" w:eastAsia="zh-CN"/>
        </w:rPr>
      </w:pPr>
      <w:r>
        <w:rPr>
          <w:rFonts w:hint="eastAsia"/>
          <w:lang w:val="en-US" w:eastAsia="zh-CN"/>
        </w:rPr>
        <w:t xml:space="preserve">      </w:t>
      </w:r>
      <w:r>
        <w:rPr>
          <w:rFonts w:hint="eastAsia" w:ascii="仿宋" w:hAnsi="仿宋" w:eastAsia="仿宋" w:cs="仿宋"/>
          <w:sz w:val="32"/>
          <w:szCs w:val="32"/>
          <w:lang w:eastAsia="zh-CN"/>
        </w:rPr>
        <w:t>遂宁市安居区横山镇观音</w:t>
      </w:r>
      <w:r>
        <w:rPr>
          <w:rFonts w:hint="eastAsia" w:ascii="仿宋" w:hAnsi="仿宋" w:eastAsia="仿宋" w:cs="仿宋"/>
          <w:sz w:val="32"/>
          <w:szCs w:val="32"/>
          <w:lang w:val="en-US" w:eastAsia="zh-CN"/>
        </w:rPr>
        <w:t>小</w:t>
      </w:r>
      <w:r>
        <w:rPr>
          <w:rFonts w:hint="eastAsia" w:ascii="仿宋" w:hAnsi="仿宋" w:eastAsia="仿宋" w:cs="仿宋"/>
          <w:sz w:val="32"/>
          <w:szCs w:val="32"/>
          <w:lang w:eastAsia="zh-CN"/>
        </w:rPr>
        <w:t>学校</w:t>
      </w:r>
      <w:r>
        <w:rPr>
          <w:rFonts w:hint="eastAsia" w:ascii="仿宋" w:hAnsi="仿宋" w:eastAsia="仿宋" w:cs="仿宋"/>
          <w:sz w:val="32"/>
          <w:szCs w:val="32"/>
        </w:rPr>
        <w:t>属于公益一类事业单位</w:t>
      </w:r>
      <w:r>
        <w:rPr>
          <w:rFonts w:hint="eastAsia" w:ascii="仿宋" w:hAnsi="仿宋" w:eastAsia="仿宋" w:cs="仿宋"/>
          <w:sz w:val="32"/>
          <w:szCs w:val="32"/>
          <w:lang w:eastAsia="zh-CN"/>
        </w:rPr>
        <w:t>，</w:t>
      </w:r>
      <w:r>
        <w:rPr>
          <w:rFonts w:hint="eastAsia" w:ascii="仿宋" w:hAnsi="仿宋" w:eastAsia="仿宋" w:cs="仿宋"/>
          <w:sz w:val="32"/>
          <w:szCs w:val="32"/>
        </w:rPr>
        <w:t>学校的主管部门为四川</w:t>
      </w:r>
      <w:r>
        <w:rPr>
          <w:rFonts w:hint="eastAsia" w:ascii="仿宋" w:hAnsi="仿宋" w:eastAsia="仿宋" w:cs="仿宋"/>
          <w:sz w:val="32"/>
          <w:szCs w:val="32"/>
          <w:lang w:val="en-US" w:eastAsia="zh-CN"/>
        </w:rPr>
        <w:t>省</w:t>
      </w:r>
      <w:r>
        <w:rPr>
          <w:rFonts w:hint="eastAsia" w:ascii="仿宋" w:hAnsi="仿宋" w:eastAsia="仿宋" w:cs="仿宋"/>
          <w:sz w:val="32"/>
          <w:szCs w:val="32"/>
        </w:rPr>
        <w:t>遂宁</w:t>
      </w:r>
      <w:r>
        <w:rPr>
          <w:rFonts w:hint="eastAsia" w:ascii="仿宋" w:hAnsi="仿宋" w:eastAsia="仿宋" w:cs="仿宋"/>
          <w:sz w:val="32"/>
          <w:szCs w:val="32"/>
          <w:lang w:val="en-US" w:eastAsia="zh-CN"/>
        </w:rPr>
        <w:t>市安居区教育和体育局</w:t>
      </w:r>
      <w:r>
        <w:rPr>
          <w:rFonts w:hint="eastAsia" w:ascii="仿宋" w:hAnsi="仿宋" w:eastAsia="仿宋" w:cs="仿宋"/>
          <w:sz w:val="32"/>
          <w:szCs w:val="32"/>
        </w:rPr>
        <w:t>。</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8"/>
          <w:rFonts w:hint="eastAsia" w:ascii="黑体" w:hAnsi="黑体" w:eastAsia="黑体"/>
          <w:b w:val="0"/>
          <w:bCs/>
          <w:lang w:eastAsia="zh-CN"/>
        </w:rPr>
        <w:t>部门</w:t>
      </w:r>
      <w:r>
        <w:rPr>
          <w:rStyle w:val="28"/>
          <w:rFonts w:hint="eastAsia" w:ascii="黑体" w:hAnsi="黑体" w:eastAsia="黑体"/>
          <w:b w:val="0"/>
          <w:bCs/>
        </w:rPr>
        <w:t>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2023年度收、支总计均为409.34万元。与2022年度相比，收、支总计各减少315.57万元，下降</w:t>
      </w:r>
      <w:r>
        <w:rPr>
          <w:rFonts w:hint="eastAsia" w:ascii="仿宋" w:hAnsi="仿宋" w:eastAsia="仿宋"/>
          <w:sz w:val="32"/>
          <w:szCs w:val="32"/>
          <w:lang w:val="en-US" w:eastAsia="zh-CN"/>
        </w:rPr>
        <w:t>43.53</w:t>
      </w:r>
      <w:r>
        <w:rPr>
          <w:rFonts w:hint="eastAsia" w:ascii="仿宋" w:hAnsi="仿宋" w:eastAsia="仿宋"/>
          <w:sz w:val="32"/>
          <w:szCs w:val="32"/>
        </w:rPr>
        <w:t>%。主要变动原因是</w:t>
      </w:r>
      <w:r>
        <w:rPr>
          <w:rFonts w:hint="eastAsia" w:ascii="仿宋" w:hAnsi="仿宋" w:eastAsia="仿宋"/>
          <w:sz w:val="32"/>
          <w:szCs w:val="32"/>
          <w:lang w:val="zh-CN"/>
        </w:rPr>
        <w:t>人员变化导致工资保险等有变化</w:t>
      </w:r>
      <w:r>
        <w:rPr>
          <w:rFonts w:hint="eastAsia" w:ascii="仿宋" w:hAnsi="仿宋" w:eastAsia="仿宋"/>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4397375" cy="2478405"/>
            <wp:effectExtent l="0" t="0" r="6985" b="571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6"/>
                    <a:stretch>
                      <a:fillRect/>
                    </a:stretch>
                  </pic:blipFill>
                  <pic:spPr>
                    <a:xfrm>
                      <a:off x="0" y="0"/>
                      <a:ext cx="4397375" cy="2478405"/>
                    </a:xfrm>
                    <a:prstGeom prst="rect">
                      <a:avLst/>
                    </a:prstGeom>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收入合计409.34万元，其中：一般公共预算财政拨款收入409.34万元，占100%；政府性基金预算财政拨款收入0万元，占0%；国有资本经营预算财政拨款收入0万元，占0%；上级补助收入0万元，占0%；事业收入0万元，占0%；经营收入0万元，占0%；附属单位上缴收入0万元，占0%；其他收入0万元，占0%</w:t>
      </w:r>
    </w:p>
    <w:p>
      <w:pPr>
        <w:spacing w:line="240" w:lineRule="auto"/>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657090" cy="2672080"/>
            <wp:effectExtent l="0" t="0" r="6350" b="1016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7"/>
                    <a:stretch>
                      <a:fillRect/>
                    </a:stretch>
                  </pic:blipFill>
                  <pic:spPr>
                    <a:xfrm>
                      <a:off x="0" y="0"/>
                      <a:ext cx="4657090" cy="2672080"/>
                    </a:xfrm>
                    <a:prstGeom prst="rect">
                      <a:avLst/>
                    </a:prstGeom>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2023年度本年支出合计409.34万元，其中：基本支出363.61万元，占88.82%；项目支出45.74万元，占11.17%；上缴上级支出0万元，占0%；经营支出0万元，占0%；对附属单位补助支出0万元，占0%。</w:t>
      </w:r>
    </w:p>
    <w:p>
      <w:pPr>
        <w:spacing w:line="240" w:lineRule="auto"/>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inline distT="0" distB="0" distL="114300" distR="114300">
            <wp:extent cx="5467985" cy="3097530"/>
            <wp:effectExtent l="0" t="0" r="3175" b="1143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8"/>
                    <a:stretch>
                      <a:fillRect/>
                    </a:stretch>
                  </pic:blipFill>
                  <pic:spPr>
                    <a:xfrm>
                      <a:off x="0" y="0"/>
                      <a:ext cx="5467985" cy="3097530"/>
                    </a:xfrm>
                    <a:prstGeom prst="rect">
                      <a:avLst/>
                    </a:prstGeom>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2023年度财政拨款收、支总计均为409.34万元。与2022年度相比，财政拨款收、支总计减少315.57万元，下降</w:t>
      </w:r>
      <w:r>
        <w:rPr>
          <w:rFonts w:hint="eastAsia" w:ascii="仿宋" w:hAnsi="仿宋" w:eastAsia="仿宋"/>
          <w:sz w:val="32"/>
          <w:szCs w:val="32"/>
          <w:lang w:val="en-US" w:eastAsia="zh-CN"/>
        </w:rPr>
        <w:t>43.53</w:t>
      </w:r>
      <w:r>
        <w:rPr>
          <w:rFonts w:hint="eastAsia" w:ascii="仿宋" w:hAnsi="仿宋" w:eastAsia="仿宋"/>
          <w:sz w:val="32"/>
          <w:szCs w:val="32"/>
        </w:rPr>
        <w:t>%。主要变动原因是</w:t>
      </w:r>
      <w:r>
        <w:rPr>
          <w:rFonts w:hint="eastAsia" w:ascii="仿宋" w:hAnsi="仿宋" w:eastAsia="仿宋"/>
          <w:sz w:val="32"/>
          <w:szCs w:val="32"/>
          <w:lang w:val="zh-CN"/>
        </w:rPr>
        <w:t>人员变化导致工资保险等有变化。</w:t>
      </w:r>
    </w:p>
    <w:p>
      <w:pPr>
        <w:spacing w:line="240" w:lineRule="auto"/>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drawing>
          <wp:inline distT="0" distB="0" distL="114300" distR="114300">
            <wp:extent cx="3802380" cy="2125980"/>
            <wp:effectExtent l="0" t="0" r="7620" b="7620"/>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9"/>
                    <a:stretch>
                      <a:fillRect/>
                    </a:stretch>
                  </pic:blipFill>
                  <pic:spPr>
                    <a:xfrm>
                      <a:off x="0" y="0"/>
                      <a:ext cx="3802380" cy="2125980"/>
                    </a:xfrm>
                    <a:prstGeom prst="rect">
                      <a:avLst/>
                    </a:prstGeom>
                  </pic:spPr>
                </pic:pic>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2023年度一般公共预算财政拨款支出409.34万元，占本年支出合计的100%。与2022年度相比，一般公共预算财政拨款支出减少315.57万元，下降</w:t>
      </w:r>
      <w:r>
        <w:rPr>
          <w:rFonts w:hint="eastAsia" w:ascii="仿宋" w:hAnsi="仿宋" w:eastAsia="仿宋"/>
          <w:sz w:val="32"/>
          <w:szCs w:val="32"/>
          <w:lang w:val="en-US" w:eastAsia="zh-CN"/>
        </w:rPr>
        <w:t>43.53</w:t>
      </w:r>
      <w:r>
        <w:rPr>
          <w:rFonts w:hint="eastAsia" w:ascii="仿宋" w:hAnsi="仿宋" w:eastAsia="仿宋"/>
          <w:sz w:val="32"/>
          <w:szCs w:val="32"/>
        </w:rPr>
        <w:t>%。主要变动原因是</w:t>
      </w:r>
      <w:r>
        <w:rPr>
          <w:rFonts w:hint="eastAsia" w:ascii="仿宋" w:hAnsi="仿宋" w:eastAsia="仿宋"/>
          <w:sz w:val="32"/>
          <w:szCs w:val="32"/>
          <w:lang w:val="zh-CN"/>
        </w:rPr>
        <w:t>人员变化导致工资保险等有变化。</w:t>
      </w: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3472180" cy="1993900"/>
            <wp:effectExtent l="0" t="0" r="2540" b="2540"/>
            <wp:docPr id="11" name="图片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
                    <pic:cNvPicPr>
                      <a:picLocks noChangeAspect="1"/>
                    </pic:cNvPicPr>
                  </pic:nvPicPr>
                  <pic:blipFill>
                    <a:blip r:embed="rId10"/>
                    <a:stretch>
                      <a:fillRect/>
                    </a:stretch>
                  </pic:blipFill>
                  <pic:spPr>
                    <a:xfrm>
                      <a:off x="0" y="0"/>
                      <a:ext cx="3472180" cy="1993900"/>
                    </a:xfrm>
                    <a:prstGeom prst="rect">
                      <a:avLst/>
                    </a:prstGeom>
                  </pic:spPr>
                </pic:pic>
              </a:graphicData>
            </a:graphic>
          </wp:inline>
        </w:drawing>
      </w:r>
    </w:p>
    <w:p>
      <w:pPr>
        <w:spacing w:line="240" w:lineRule="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409.34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345.05万元，占</w:t>
      </w:r>
      <w:r>
        <w:rPr>
          <w:rFonts w:hint="eastAsia" w:ascii="仿宋" w:hAnsi="仿宋" w:eastAsia="仿宋"/>
          <w:sz w:val="32"/>
          <w:szCs w:val="32"/>
          <w:lang w:val="en-US" w:eastAsia="zh-CN"/>
        </w:rPr>
        <w:t>84.29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31.72万元，占</w:t>
      </w:r>
      <w:r>
        <w:rPr>
          <w:rFonts w:hint="eastAsia" w:ascii="仿宋" w:hAnsi="仿宋" w:eastAsia="仿宋"/>
          <w:sz w:val="32"/>
          <w:szCs w:val="32"/>
          <w:lang w:val="en-US" w:eastAsia="zh-CN"/>
        </w:rPr>
        <w:t>7.75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12.40万元，占</w:t>
      </w:r>
      <w:r>
        <w:rPr>
          <w:rFonts w:hint="eastAsia" w:ascii="仿宋" w:hAnsi="仿宋" w:eastAsia="仿宋"/>
          <w:sz w:val="32"/>
          <w:szCs w:val="32"/>
          <w:lang w:val="en-US" w:eastAsia="zh-CN"/>
        </w:rPr>
        <w:t>3.03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20.17万元，占</w:t>
      </w:r>
      <w:r>
        <w:rPr>
          <w:rFonts w:hint="eastAsia" w:ascii="仿宋" w:hAnsi="仿宋" w:eastAsia="仿宋"/>
          <w:sz w:val="32"/>
          <w:szCs w:val="32"/>
          <w:lang w:val="en-US" w:eastAsia="zh-CN"/>
        </w:rPr>
        <w:t>4.93</w:t>
      </w:r>
      <w:r>
        <w:rPr>
          <w:rFonts w:ascii="仿宋" w:hAnsi="仿宋" w:eastAsia="仿宋"/>
          <w:sz w:val="32"/>
          <w:szCs w:val="32"/>
        </w:rPr>
        <w:t>%</w:t>
      </w:r>
      <w:r>
        <w:rPr>
          <w:rFonts w:hint="eastAsia" w:ascii="仿宋" w:hAnsi="仿宋" w:eastAsia="仿宋"/>
          <w:sz w:val="32"/>
          <w:szCs w:val="32"/>
        </w:rPr>
        <w:t>。</w:t>
      </w:r>
    </w:p>
    <w:p>
      <w:pPr>
        <w:spacing w:line="24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16120" cy="2538095"/>
            <wp:effectExtent l="0" t="0" r="10160" b="6985"/>
            <wp:docPr id="12" name="图片 1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
                    <pic:cNvPicPr>
                      <a:picLocks noChangeAspect="1"/>
                    </pic:cNvPicPr>
                  </pic:nvPicPr>
                  <pic:blipFill>
                    <a:blip r:embed="rId11"/>
                    <a:stretch>
                      <a:fillRect/>
                    </a:stretch>
                  </pic:blipFill>
                  <pic:spPr>
                    <a:xfrm>
                      <a:off x="0" y="0"/>
                      <a:ext cx="4516120" cy="2538095"/>
                    </a:xfrm>
                    <a:prstGeom prst="rect">
                      <a:avLst/>
                    </a:prstGeom>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409.34</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01</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支出决算为3.26万元，完成预算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支出决算为299.31万元，完成预算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支出决算为16.48万元，完成预算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09</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支出决算为26.00万元，完成预算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2</w:t>
      </w:r>
      <w:r>
        <w:rPr>
          <w:rStyle w:val="17"/>
          <w:rFonts w:ascii="仿宋" w:hAnsi="仿宋" w:eastAsia="仿宋"/>
          <w:bCs/>
          <w:sz w:val="32"/>
          <w:szCs w:val="32"/>
        </w:rPr>
        <w:t>.</w:t>
      </w:r>
      <w:r>
        <w:rPr>
          <w:rStyle w:val="17"/>
          <w:rFonts w:hint="eastAsia" w:ascii="仿宋" w:hAnsi="仿宋" w:eastAsia="仿宋"/>
          <w:bCs/>
          <w:sz w:val="32"/>
          <w:szCs w:val="32"/>
        </w:rPr>
        <w:t>社会保障和就业</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支出决算为6.09万元，完成预算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支出决算为24.54万元，完成预算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支出决算为1.08万元，完成预算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210</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支出决算为12.40万元，完成预算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keepLines/>
        <w:numPr>
          <w:ilvl w:val="0"/>
          <w:numId w:val="0"/>
        </w:numPr>
        <w:spacing w:beforeLines="0" w:afterLines="0" w:line="576" w:lineRule="exact"/>
        <w:ind w:firstLine="643" w:firstLineChars="200"/>
        <w:jc w:val="both"/>
        <w:rPr>
          <w:rFonts w:hint="eastAsia" w:ascii="Times New Roman" w:hAnsi="Times New Roman" w:eastAsia="仿宋"/>
          <w:sz w:val="24"/>
          <w:szCs w:val="24"/>
          <w:lang w:val="en-US" w:eastAsia="zh-CN"/>
        </w:rPr>
      </w:pPr>
      <w:r>
        <w:rPr>
          <w:rFonts w:hint="eastAsia" w:ascii="仿宋" w:hAnsi="仿宋" w:eastAsia="仿宋"/>
          <w:b/>
          <w:color w:val="auto"/>
          <w:sz w:val="32"/>
          <w:szCs w:val="24"/>
          <w:lang w:val="en-US" w:eastAsia="zh-CN"/>
        </w:rPr>
        <w:t>4、</w:t>
      </w:r>
      <w:r>
        <w:rPr>
          <w:rFonts w:hint="eastAsia" w:ascii="仿宋" w:hAnsi="仿宋" w:eastAsia="仿宋"/>
          <w:b/>
          <w:color w:val="auto"/>
          <w:sz w:val="32"/>
          <w:szCs w:val="24"/>
        </w:rPr>
        <w:t>住房保障221</w:t>
      </w:r>
      <w:r>
        <w:rPr>
          <w:rStyle w:val="17"/>
          <w:rFonts w:hint="eastAsia" w:ascii="仿宋" w:hAnsi="仿宋" w:eastAsia="仿宋"/>
          <w:color w:val="auto"/>
          <w:sz w:val="32"/>
          <w:szCs w:val="24"/>
        </w:rPr>
        <w:t>（类）</w:t>
      </w:r>
      <w:r>
        <w:rPr>
          <w:rStyle w:val="17"/>
          <w:rFonts w:hint="eastAsia" w:ascii="仿宋" w:hAnsi="仿宋" w:eastAsia="仿宋"/>
          <w:color w:val="auto"/>
          <w:sz w:val="32"/>
          <w:szCs w:val="24"/>
          <w:lang w:val="en-US" w:eastAsia="zh-CN"/>
        </w:rPr>
        <w:t>02</w:t>
      </w:r>
      <w:r>
        <w:rPr>
          <w:rStyle w:val="17"/>
          <w:rFonts w:hint="eastAsia" w:ascii="仿宋" w:hAnsi="仿宋" w:eastAsia="仿宋"/>
          <w:color w:val="auto"/>
          <w:sz w:val="32"/>
          <w:szCs w:val="24"/>
        </w:rPr>
        <w:t>（款）</w:t>
      </w:r>
      <w:r>
        <w:rPr>
          <w:rStyle w:val="17"/>
          <w:rFonts w:hint="eastAsia" w:ascii="仿宋" w:hAnsi="仿宋" w:eastAsia="仿宋"/>
          <w:color w:val="auto"/>
          <w:sz w:val="32"/>
          <w:szCs w:val="24"/>
          <w:lang w:val="en-US" w:eastAsia="zh-CN"/>
        </w:rPr>
        <w:t>01</w:t>
      </w:r>
      <w:r>
        <w:rPr>
          <w:rStyle w:val="17"/>
          <w:rFonts w:hint="eastAsia" w:ascii="仿宋" w:hAnsi="仿宋" w:eastAsia="仿宋"/>
          <w:color w:val="auto"/>
          <w:sz w:val="32"/>
          <w:szCs w:val="24"/>
        </w:rPr>
        <w:t>（项）</w:t>
      </w:r>
      <w:r>
        <w:rPr>
          <w:rStyle w:val="17"/>
          <w:rFonts w:hint="eastAsia" w:ascii="仿宋" w:hAnsi="仿宋" w:eastAsia="仿宋"/>
          <w:color w:val="auto"/>
          <w:sz w:val="32"/>
          <w:szCs w:val="24"/>
          <w:lang w:eastAsia="zh-CN"/>
        </w:rPr>
        <w:t>：</w:t>
      </w:r>
      <w:r>
        <w:rPr>
          <w:rFonts w:hint="eastAsia" w:ascii="仿宋" w:hAnsi="仿宋" w:eastAsia="仿宋"/>
          <w:color w:val="auto"/>
          <w:kern w:val="2"/>
          <w:sz w:val="32"/>
          <w:szCs w:val="24"/>
          <w:lang w:val="en-US"/>
        </w:rPr>
        <w:t>支出决算为20.17万元，完成预算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363.61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360.18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3.43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tabs>
          <w:tab w:val="right" w:pos="8306"/>
        </w:tabs>
        <w:spacing w:line="600" w:lineRule="exact"/>
        <w:ind w:firstLine="640"/>
        <w:outlineLvl w:val="1"/>
        <w:rPr>
          <w:rFonts w:hint="eastAsia" w:ascii="黑体" w:hAnsi="黑体" w:eastAsia="黑体" w:cs="Times New Roman"/>
          <w:b/>
          <w:sz w:val="32"/>
          <w:szCs w:val="32"/>
        </w:rPr>
      </w:pPr>
      <w:r>
        <w:rPr>
          <w:rFonts w:hint="eastAsia" w:ascii="黑体" w:hAnsi="黑体" w:eastAsia="黑体" w:cs="Times New Roman"/>
          <w:b/>
          <w:sz w:val="32"/>
          <w:szCs w:val="32"/>
        </w:rPr>
        <w:t>七、财政拨款“三公”经费支出决算情况说明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（一）“三公”经费财政拨款支出决算总体情况说明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2023年度“三公”经费财政拨款支出决算为0万元，完成预算100%，较上年度增加0万元，增长0%。</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（二）“三公”经费财政拨款支出决算具体情况说明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2023年“三公”经费财政拨款支出决算中，因公出国（境）费支出决算0万元，占0%；公务用车购置及运行维护费支出决算0万元，占0%；公务接待费支出决算0万元，占0%。</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1.因公出国（境）经费支出0万元，完成预算</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0%。全年安排因公出国（境）团组0次，出国（境）0人。因公出国（境）支出决算比2022年增加0万元，增长0%。</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2.公务用车购置及运行维护费支出0万元,完成预算</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0%。公务用车购置及运行维护费支出决算比2022年度增加0万元，增长0%。</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其中：公务用车购置支出0万元。全年按规定更新购置公务用车0辆，其中：轿车0辆、金额0元，越野车0辆、金额0万元，载客汽车0辆、金额0万元。截至2023年12月31日，单位共有公务用车0辆，其中：轿车0辆、越野车0辆、载客汽车0辆。</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公务用车运行维护费支出0万元。</w:t>
      </w:r>
    </w:p>
    <w:p>
      <w:pPr>
        <w:numPr>
          <w:ilvl w:val="0"/>
          <w:numId w:val="0"/>
        </w:numPr>
        <w:spacing w:line="600" w:lineRule="exact"/>
        <w:ind w:firstLine="640" w:firstLineChars="200"/>
        <w:rPr>
          <w:rFonts w:hint="eastAsia" w:ascii="仿宋_GB2312" w:eastAsia="仿宋_GB2312"/>
          <w:sz w:val="32"/>
          <w:szCs w:val="32"/>
        </w:rPr>
      </w:pPr>
      <w:r>
        <w:rPr>
          <w:rFonts w:hint="eastAsia" w:ascii="仿宋" w:hAnsi="仿宋" w:eastAsia="仿宋" w:cs="Times New Roman"/>
          <w:sz w:val="32"/>
          <w:szCs w:val="32"/>
        </w:rPr>
        <w:t>3.公务接待费支出0万元，完成预算</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0%。</w:t>
      </w:r>
      <w:r>
        <w:rPr>
          <w:rFonts w:hint="eastAsia" w:ascii="仿宋_GB2312" w:eastAsia="仿宋_GB2312"/>
          <w:sz w:val="32"/>
          <w:szCs w:val="32"/>
        </w:rPr>
        <w:t>公务接待费支出决算与2022年度持平。其中：</w:t>
      </w:r>
    </w:p>
    <w:p>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w:t>
      </w:r>
      <w:r>
        <w:rPr>
          <w:rFonts w:hint="eastAsia" w:ascii="仿宋_GB2312" w:eastAsia="仿宋_GB2312"/>
          <w:sz w:val="32"/>
          <w:szCs w:val="32"/>
        </w:rPr>
        <w:t>外事接待0批次，0人次（不包括陪同人员），共计支出0万元。</w:t>
      </w:r>
    </w:p>
    <w:p>
      <w:pPr>
        <w:spacing w:line="600" w:lineRule="exact"/>
        <w:ind w:firstLine="645"/>
        <w:rPr>
          <w:rFonts w:hint="eastAsia" w:ascii="仿宋" w:hAnsi="仿宋" w:eastAsia="仿宋" w:cs="Times New Roman"/>
          <w:sz w:val="32"/>
          <w:szCs w:val="32"/>
        </w:rPr>
      </w:pPr>
    </w:p>
    <w:p>
      <w:pPr>
        <w:tabs>
          <w:tab w:val="right" w:pos="8306"/>
        </w:tabs>
        <w:spacing w:line="600" w:lineRule="exact"/>
        <w:ind w:firstLine="640"/>
        <w:outlineLvl w:val="1"/>
        <w:rPr>
          <w:rFonts w:hint="eastAsia" w:ascii="黑体" w:hAnsi="黑体" w:eastAsia="黑体" w:cs="Times New Roman"/>
          <w:b/>
          <w:sz w:val="32"/>
          <w:szCs w:val="32"/>
        </w:rPr>
      </w:pPr>
      <w:r>
        <w:rPr>
          <w:rFonts w:hint="eastAsia" w:ascii="黑体" w:hAnsi="黑体" w:eastAsia="黑体" w:cs="Times New Roman"/>
          <w:b/>
          <w:sz w:val="32"/>
          <w:szCs w:val="32"/>
        </w:rPr>
        <w:t>八、政府性基金预算支出决算情况说明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2023年度政府性基金预算财政拨款支出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w:t>
      </w:r>
    </w:p>
    <w:p>
      <w:pPr>
        <w:tabs>
          <w:tab w:val="right" w:pos="8306"/>
        </w:tabs>
        <w:spacing w:line="600" w:lineRule="exact"/>
        <w:ind w:firstLine="640"/>
        <w:outlineLvl w:val="1"/>
        <w:rPr>
          <w:rFonts w:hint="eastAsia" w:ascii="黑体" w:hAnsi="黑体" w:eastAsia="黑体" w:cs="Times New Roman"/>
          <w:b/>
          <w:sz w:val="32"/>
          <w:szCs w:val="32"/>
        </w:rPr>
      </w:pPr>
      <w:r>
        <w:rPr>
          <w:rFonts w:hint="eastAsia" w:ascii="黑体" w:hAnsi="黑体" w:eastAsia="黑体" w:cs="Times New Roman"/>
          <w:b/>
          <w:sz w:val="32"/>
          <w:szCs w:val="32"/>
        </w:rPr>
        <w:t>九、国有资本经营预算支出决算情况说明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2023年度国有资本经营预算财政拨款支出0万元。</w:t>
      </w:r>
    </w:p>
    <w:p>
      <w:pPr>
        <w:spacing w:line="600" w:lineRule="exact"/>
        <w:ind w:firstLine="645"/>
        <w:rPr>
          <w:rFonts w:hint="eastAsia" w:ascii="仿宋" w:hAnsi="仿宋" w:eastAsia="仿宋" w:cs="Times New Roman"/>
          <w:sz w:val="32"/>
          <w:szCs w:val="32"/>
        </w:rPr>
      </w:pPr>
      <w:r>
        <w:rPr>
          <w:rFonts w:hint="eastAsia" w:ascii="黑体" w:hAnsi="黑体" w:eastAsia="黑体" w:cs="Times New Roman"/>
          <w:b/>
          <w:sz w:val="32"/>
          <w:szCs w:val="32"/>
        </w:rPr>
        <w:t>十、其他重要事项的情况说明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（一）机关运行经费支出情况</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2023年度，</w:t>
      </w:r>
      <w:r>
        <w:rPr>
          <w:rFonts w:hint="eastAsia" w:ascii="仿宋" w:hAnsi="仿宋" w:eastAsia="仿宋" w:cs="Times New Roman"/>
          <w:sz w:val="32"/>
          <w:szCs w:val="32"/>
          <w:lang w:eastAsia="zh-CN"/>
        </w:rPr>
        <w:t>遂宁市安居区横山镇观音小学校</w:t>
      </w:r>
      <w:r>
        <w:rPr>
          <w:rFonts w:hint="eastAsia" w:ascii="仿宋" w:hAnsi="仿宋" w:eastAsia="仿宋" w:cs="Times New Roman"/>
          <w:sz w:val="32"/>
          <w:szCs w:val="32"/>
        </w:rPr>
        <w:t>，学校机关运行经费支出0万元。与2022年度决算数持平。</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（二）政府采购支出情况</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2023年度，</w:t>
      </w:r>
      <w:r>
        <w:rPr>
          <w:rFonts w:hint="eastAsia" w:ascii="仿宋" w:hAnsi="仿宋" w:eastAsia="仿宋" w:cs="Times New Roman"/>
          <w:sz w:val="32"/>
          <w:szCs w:val="32"/>
          <w:lang w:eastAsia="zh-CN"/>
        </w:rPr>
        <w:t>遂宁市安居区横山镇观音小学校</w:t>
      </w:r>
      <w:r>
        <w:rPr>
          <w:rFonts w:hint="eastAsia" w:ascii="仿宋" w:hAnsi="仿宋" w:eastAsia="仿宋" w:cs="Times New Roman"/>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（三）国有资产占有使用情况</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截至2023年12月31日，</w:t>
      </w:r>
      <w:r>
        <w:rPr>
          <w:rFonts w:hint="eastAsia" w:ascii="仿宋" w:hAnsi="仿宋" w:eastAsia="仿宋" w:cs="Times New Roman"/>
          <w:sz w:val="32"/>
          <w:szCs w:val="32"/>
          <w:lang w:eastAsia="zh-CN"/>
        </w:rPr>
        <w:t>遂宁市安居区横山镇观音小学校</w:t>
      </w:r>
      <w:r>
        <w:rPr>
          <w:rFonts w:hint="eastAsia" w:ascii="仿宋" w:hAnsi="仿宋" w:eastAsia="仿宋" w:cs="Times New Roman"/>
          <w:sz w:val="32"/>
          <w:szCs w:val="32"/>
        </w:rPr>
        <w:t>共有车辆0辆，其中：主要领导干部用车0辆、机要通信用车0辆、应急保障用车0辆、其他用车0辆。单价100万元以上设备（不含车辆）0台（套）。</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（四）预算绩效管理情况</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根据预算绩效管理要求，本部门在2023年度预算编制阶段，组织对义务教育家庭经济困难学生生活补助等</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个项目开展了预算事前绩效评估，对</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个项目编制了绩效目标，预算执行过程中，选取</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个项目开展绩效监控。</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组织对2023年度一般公共预算、政府性基金预算、国有资本经营预算、社会保险基金预算以及资本资产、债券资金等全面开展绩效自评，形成</w:t>
      </w:r>
      <w:r>
        <w:rPr>
          <w:rFonts w:hint="eastAsia" w:ascii="仿宋" w:hAnsi="仿宋" w:eastAsia="仿宋" w:cs="Times New Roman"/>
          <w:sz w:val="32"/>
          <w:szCs w:val="32"/>
          <w:lang w:val="en-US" w:eastAsia="zh-CN"/>
        </w:rPr>
        <w:t>观音小学</w:t>
      </w:r>
      <w:r>
        <w:rPr>
          <w:rFonts w:hint="eastAsia" w:ascii="仿宋" w:hAnsi="仿宋" w:eastAsia="仿宋" w:cs="Times New Roman"/>
          <w:sz w:val="32"/>
          <w:szCs w:val="32"/>
        </w:rPr>
        <w:t>2023年部门整体支出绩效评价报告、绩效自评报告、校舍维修等专项预算项目绩效自评报告，其中，2023年部门整体（含部门预算项目）绩效自评得分为100分；校舍维修专项预算项目绩效自评得分为100分，绩效自评综述：顺利完成目标。绩效自评报告详见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36" w:name="_Toc15396613"/>
      <w:bookmarkStart w:id="37" w:name="_Toc15377225"/>
      <w:r>
        <w:rPr>
          <w:rFonts w:hint="eastAsia" w:ascii="黑体" w:hAnsi="黑体" w:eastAsia="黑体"/>
          <w:sz w:val="44"/>
          <w:szCs w:val="44"/>
        </w:rPr>
        <w:t>名</w:t>
      </w:r>
      <w:r>
        <w:rPr>
          <w:rStyle w:val="28"/>
          <w:rFonts w:hint="eastAsia" w:ascii="黑体" w:hAnsi="黑体" w:eastAsia="黑体"/>
          <w:b w:val="0"/>
        </w:rPr>
        <w:t>词解释</w:t>
      </w:r>
      <w:bookmarkEnd w:id="36"/>
      <w:bookmarkEnd w:id="37"/>
    </w:p>
    <w:p>
      <w:pPr>
        <w:spacing w:line="600" w:lineRule="exact"/>
        <w:jc w:val="left"/>
        <w:rPr>
          <w:rFonts w:ascii="宋体"/>
          <w:b/>
          <w:sz w:val="44"/>
          <w:szCs w:val="44"/>
        </w:rPr>
      </w:pP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2.其他收入：指单位取得的除上述收入以外的各项收入。主要是利息。</w:t>
      </w:r>
    </w:p>
    <w:p>
      <w:pPr>
        <w:pStyle w:val="26"/>
        <w:spacing w:line="560" w:lineRule="exact"/>
        <w:ind w:firstLine="640" w:firstLineChars="200"/>
        <w:rPr>
          <w:rFonts w:ascii="仿宋_GB2312" w:eastAsia="仿宋_GB2312"/>
          <w:color w:val="auto"/>
          <w:sz w:val="32"/>
          <w:szCs w:val="32"/>
          <w:highlight w:val="none"/>
          <w:shd w:val="clear" w:color="auto" w:fill="auto"/>
        </w:rPr>
      </w:pP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highlight w:val="none"/>
          <w:shd w:val="clear" w:color="auto" w:fill="auto"/>
        </w:rPr>
        <w:t>教育</w:t>
      </w:r>
      <w:r>
        <w:rPr>
          <w:rFonts w:hint="eastAsia" w:ascii="仿宋_GB2312" w:eastAsia="仿宋_GB2312" w:cs="Times New Roman"/>
          <w:color w:val="auto"/>
          <w:sz w:val="32"/>
          <w:szCs w:val="32"/>
          <w:highlight w:val="none"/>
          <w:shd w:val="clear" w:color="auto" w:fill="auto"/>
          <w:lang w:eastAsia="zh-CN"/>
        </w:rPr>
        <w:t>（</w:t>
      </w:r>
      <w:r>
        <w:rPr>
          <w:rFonts w:hint="eastAsia" w:ascii="仿宋_GB2312" w:hAnsi="Times New Roman" w:eastAsia="仿宋_GB2312" w:cs="Times New Roman"/>
          <w:color w:val="auto"/>
          <w:sz w:val="32"/>
          <w:szCs w:val="32"/>
          <w:highlight w:val="none"/>
          <w:shd w:val="clear" w:color="auto" w:fill="auto"/>
          <w:lang w:val="en-US" w:eastAsia="zh-CN"/>
        </w:rPr>
        <w:t>205</w:t>
      </w:r>
      <w:r>
        <w:rPr>
          <w:rFonts w:hint="eastAsia" w:ascii="仿宋_GB2312" w:hAnsi="Times New Roman" w:eastAsia="仿宋_GB2312" w:cs="Times New Roman"/>
          <w:color w:val="auto"/>
          <w:sz w:val="32"/>
          <w:szCs w:val="32"/>
          <w:highlight w:val="none"/>
          <w:shd w:val="clear" w:color="auto" w:fill="auto"/>
        </w:rPr>
        <w:t>类）</w:t>
      </w:r>
      <w:r>
        <w:rPr>
          <w:rFonts w:hint="eastAsia" w:ascii="仿宋_GB2312" w:eastAsia="仿宋_GB2312"/>
          <w:color w:val="auto"/>
          <w:sz w:val="32"/>
          <w:szCs w:val="32"/>
          <w:highlight w:val="none"/>
          <w:shd w:val="clear" w:color="auto" w:fill="auto"/>
        </w:rPr>
        <w:t>普通教育</w:t>
      </w:r>
      <w:r>
        <w:rPr>
          <w:rFonts w:hint="eastAsia" w:ascii="仿宋_GB2312" w:hAnsi="Times New Roman" w:eastAsia="仿宋_GB2312" w:cs="Times New Roman"/>
          <w:color w:val="auto"/>
          <w:sz w:val="32"/>
          <w:szCs w:val="32"/>
          <w:highlight w:val="none"/>
          <w:shd w:val="clear" w:color="auto" w:fill="auto"/>
          <w:lang w:val="en-US" w:eastAsia="zh-CN"/>
        </w:rPr>
        <w:t>02</w:t>
      </w:r>
      <w:r>
        <w:rPr>
          <w:rFonts w:hint="eastAsia" w:ascii="仿宋_GB2312" w:hAnsi="Times New Roman" w:eastAsia="仿宋_GB2312" w:cs="Times New Roman"/>
          <w:color w:val="auto"/>
          <w:sz w:val="32"/>
          <w:szCs w:val="32"/>
          <w:highlight w:val="none"/>
          <w:shd w:val="clear" w:color="auto" w:fill="auto"/>
        </w:rPr>
        <w:t>（款）</w:t>
      </w:r>
      <w:r>
        <w:rPr>
          <w:rFonts w:hint="eastAsia" w:ascii="仿宋_GB2312" w:eastAsia="仿宋_GB2312"/>
          <w:color w:val="auto"/>
          <w:sz w:val="32"/>
          <w:szCs w:val="32"/>
          <w:highlight w:val="none"/>
          <w:shd w:val="clear" w:color="auto" w:fill="auto"/>
        </w:rPr>
        <w:t>学前教育支出</w:t>
      </w:r>
      <w:r>
        <w:rPr>
          <w:rFonts w:hint="eastAsia" w:ascii="仿宋_GB2312" w:hAnsi="Times New Roman" w:eastAsia="仿宋_GB2312" w:cs="Times New Roman"/>
          <w:color w:val="auto"/>
          <w:sz w:val="32"/>
          <w:szCs w:val="32"/>
          <w:highlight w:val="none"/>
          <w:shd w:val="clear" w:color="auto" w:fill="auto"/>
          <w:lang w:val="en-US" w:eastAsia="zh-CN"/>
        </w:rPr>
        <w:t>01</w:t>
      </w:r>
      <w:r>
        <w:rPr>
          <w:rFonts w:hint="eastAsia" w:ascii="仿宋_GB2312" w:hAnsi="Times New Roman" w:eastAsia="仿宋_GB2312" w:cs="Times New Roman"/>
          <w:color w:val="auto"/>
          <w:sz w:val="32"/>
          <w:szCs w:val="32"/>
          <w:highlight w:val="none"/>
          <w:shd w:val="clear" w:color="auto" w:fill="auto"/>
        </w:rPr>
        <w:t xml:space="preserve">（项）: </w:t>
      </w:r>
      <w:r>
        <w:rPr>
          <w:rFonts w:ascii="仿宋_GB2312" w:eastAsia="仿宋_GB2312"/>
          <w:color w:val="auto"/>
          <w:sz w:val="32"/>
          <w:szCs w:val="32"/>
          <w:highlight w:val="none"/>
          <w:shd w:val="clear" w:color="auto" w:fill="auto"/>
        </w:rPr>
        <w:t>反映用于学前教育的工资、绩效、津补贴、工会经费、福利费、资助、公用经费、保教费等支出。</w:t>
      </w:r>
    </w:p>
    <w:p>
      <w:pPr>
        <w:ind w:firstLine="640" w:firstLineChars="200"/>
        <w:rPr>
          <w:rFonts w:hint="eastAsia" w:ascii="仿宋_GB2312" w:hAnsi="Times New Roman" w:eastAsia="仿宋_GB2312" w:cs="Times New Roman"/>
          <w:color w:val="auto"/>
          <w:sz w:val="32"/>
          <w:szCs w:val="32"/>
          <w:highlight w:val="none"/>
          <w:shd w:val="clear" w:color="auto" w:fill="auto"/>
        </w:rPr>
      </w:pPr>
      <w:r>
        <w:rPr>
          <w:rFonts w:hint="eastAsia" w:ascii="仿宋_GB2312" w:hAnsi="Times New Roman" w:eastAsia="仿宋_GB2312" w:cs="Times New Roman"/>
          <w:color w:val="auto"/>
          <w:sz w:val="32"/>
          <w:szCs w:val="32"/>
          <w:highlight w:val="none"/>
          <w:shd w:val="clear" w:color="auto" w:fill="auto"/>
        </w:rPr>
        <w:t>教育</w:t>
      </w:r>
      <w:r>
        <w:rPr>
          <w:rFonts w:hint="eastAsia" w:ascii="仿宋_GB2312" w:hAnsi="Times New Roman" w:eastAsia="仿宋_GB2312" w:cs="Times New Roman"/>
          <w:color w:val="auto"/>
          <w:sz w:val="32"/>
          <w:szCs w:val="32"/>
          <w:highlight w:val="none"/>
          <w:shd w:val="clear" w:color="auto" w:fill="auto"/>
          <w:lang w:val="en-US" w:eastAsia="zh-CN"/>
        </w:rPr>
        <w:t>205</w:t>
      </w:r>
      <w:r>
        <w:rPr>
          <w:rFonts w:hint="eastAsia" w:ascii="仿宋_GB2312" w:hAnsi="Times New Roman" w:eastAsia="仿宋_GB2312" w:cs="Times New Roman"/>
          <w:color w:val="auto"/>
          <w:sz w:val="32"/>
          <w:szCs w:val="32"/>
          <w:highlight w:val="none"/>
          <w:shd w:val="clear" w:color="auto" w:fill="auto"/>
        </w:rPr>
        <w:t>（类）普通教育</w:t>
      </w:r>
      <w:r>
        <w:rPr>
          <w:rFonts w:hint="eastAsia" w:ascii="仿宋_GB2312" w:hAnsi="Times New Roman" w:eastAsia="仿宋_GB2312" w:cs="Times New Roman"/>
          <w:color w:val="auto"/>
          <w:sz w:val="32"/>
          <w:szCs w:val="32"/>
          <w:highlight w:val="none"/>
          <w:shd w:val="clear" w:color="auto" w:fill="auto"/>
          <w:lang w:val="en-US" w:eastAsia="zh-CN"/>
        </w:rPr>
        <w:t>02</w:t>
      </w:r>
      <w:r>
        <w:rPr>
          <w:rFonts w:hint="eastAsia" w:ascii="仿宋_GB2312" w:hAnsi="Times New Roman" w:eastAsia="仿宋_GB2312" w:cs="Times New Roman"/>
          <w:color w:val="auto"/>
          <w:sz w:val="32"/>
          <w:szCs w:val="32"/>
          <w:highlight w:val="none"/>
          <w:shd w:val="clear" w:color="auto" w:fill="auto"/>
        </w:rPr>
        <w:t>（款）小学教育</w:t>
      </w:r>
      <w:r>
        <w:rPr>
          <w:rFonts w:hint="eastAsia" w:ascii="仿宋_GB2312" w:eastAsia="仿宋_GB2312" w:cs="Times New Roman"/>
          <w:color w:val="auto"/>
          <w:sz w:val="32"/>
          <w:szCs w:val="32"/>
          <w:highlight w:val="none"/>
          <w:shd w:val="clear" w:color="auto" w:fill="auto"/>
          <w:lang w:val="en-US" w:eastAsia="zh-CN"/>
        </w:rPr>
        <w:t>支出</w:t>
      </w:r>
      <w:r>
        <w:rPr>
          <w:rFonts w:hint="eastAsia" w:ascii="仿宋_GB2312" w:hAnsi="Times New Roman" w:eastAsia="仿宋_GB2312" w:cs="Times New Roman"/>
          <w:color w:val="auto"/>
          <w:sz w:val="32"/>
          <w:szCs w:val="32"/>
          <w:highlight w:val="none"/>
          <w:shd w:val="clear" w:color="auto" w:fill="auto"/>
          <w:lang w:val="en-US" w:eastAsia="zh-CN"/>
        </w:rPr>
        <w:t>02</w:t>
      </w:r>
      <w:r>
        <w:rPr>
          <w:rFonts w:hint="eastAsia" w:ascii="仿宋_GB2312" w:hAnsi="Times New Roman" w:eastAsia="仿宋_GB2312" w:cs="Times New Roman"/>
          <w:color w:val="auto"/>
          <w:sz w:val="32"/>
          <w:szCs w:val="32"/>
          <w:highlight w:val="none"/>
          <w:shd w:val="clear" w:color="auto" w:fill="auto"/>
        </w:rPr>
        <w:t>（项）:</w:t>
      </w:r>
      <w:r>
        <w:rPr>
          <w:rFonts w:ascii="仿宋_GB2312" w:eastAsia="仿宋_GB2312"/>
          <w:color w:val="auto"/>
          <w:sz w:val="32"/>
          <w:szCs w:val="32"/>
          <w:highlight w:val="none"/>
          <w:shd w:val="clear" w:color="auto" w:fill="auto"/>
        </w:rPr>
        <w:t>反映用于</w:t>
      </w:r>
      <w:r>
        <w:rPr>
          <w:rFonts w:hint="eastAsia" w:ascii="仿宋_GB2312" w:eastAsia="仿宋_GB2312"/>
          <w:color w:val="auto"/>
          <w:sz w:val="32"/>
          <w:szCs w:val="32"/>
          <w:highlight w:val="none"/>
          <w:shd w:val="clear" w:color="auto" w:fill="auto"/>
          <w:lang w:val="en-US" w:eastAsia="zh-CN"/>
        </w:rPr>
        <w:t>小学</w:t>
      </w:r>
      <w:r>
        <w:rPr>
          <w:rFonts w:ascii="仿宋_GB2312" w:eastAsia="仿宋_GB2312"/>
          <w:color w:val="auto"/>
          <w:sz w:val="32"/>
          <w:szCs w:val="32"/>
          <w:highlight w:val="none"/>
          <w:shd w:val="clear" w:color="auto" w:fill="auto"/>
        </w:rPr>
        <w:t>教育的工资、绩效、津补贴、工会经费、福利费、资助、公用经费等支出。</w:t>
      </w:r>
    </w:p>
    <w:p>
      <w:pPr>
        <w:ind w:firstLine="640" w:firstLineChars="200"/>
        <w:rPr>
          <w:rFonts w:hint="eastAsia" w:ascii="仿宋_GB2312" w:hAnsi="Times New Roman" w:eastAsia="仿宋_GB2312" w:cs="Times New Roman"/>
          <w:color w:val="auto"/>
          <w:sz w:val="32"/>
          <w:szCs w:val="32"/>
          <w:highlight w:val="none"/>
          <w:shd w:val="clear" w:color="auto" w:fill="auto"/>
          <w:lang w:eastAsia="zh-CN"/>
        </w:rPr>
      </w:pPr>
      <w:r>
        <w:rPr>
          <w:rFonts w:hint="eastAsia" w:ascii="仿宋_GB2312" w:hAnsi="Times New Roman" w:eastAsia="仿宋_GB2312" w:cs="Times New Roman"/>
          <w:color w:val="auto"/>
          <w:sz w:val="32"/>
          <w:szCs w:val="32"/>
          <w:highlight w:val="none"/>
          <w:shd w:val="clear" w:color="auto" w:fill="auto"/>
        </w:rPr>
        <w:t>教育</w:t>
      </w:r>
      <w:r>
        <w:rPr>
          <w:rFonts w:hint="eastAsia" w:ascii="仿宋_GB2312" w:hAnsi="Times New Roman" w:eastAsia="仿宋_GB2312" w:cs="Times New Roman"/>
          <w:color w:val="auto"/>
          <w:sz w:val="32"/>
          <w:szCs w:val="32"/>
          <w:highlight w:val="none"/>
          <w:shd w:val="clear" w:color="auto" w:fill="auto"/>
          <w:lang w:val="en-US" w:eastAsia="zh-CN"/>
        </w:rPr>
        <w:t>205</w:t>
      </w:r>
      <w:r>
        <w:rPr>
          <w:rFonts w:hint="eastAsia" w:ascii="仿宋_GB2312" w:hAnsi="Times New Roman" w:eastAsia="仿宋_GB2312" w:cs="Times New Roman"/>
          <w:color w:val="auto"/>
          <w:sz w:val="32"/>
          <w:szCs w:val="32"/>
          <w:highlight w:val="none"/>
          <w:shd w:val="clear" w:color="auto" w:fill="auto"/>
        </w:rPr>
        <w:t>（类）普通教育</w:t>
      </w:r>
      <w:r>
        <w:rPr>
          <w:rFonts w:hint="eastAsia" w:ascii="仿宋_GB2312" w:hAnsi="Times New Roman" w:eastAsia="仿宋_GB2312" w:cs="Times New Roman"/>
          <w:color w:val="auto"/>
          <w:sz w:val="32"/>
          <w:szCs w:val="32"/>
          <w:highlight w:val="none"/>
          <w:shd w:val="clear" w:color="auto" w:fill="auto"/>
          <w:lang w:val="en-US" w:eastAsia="zh-CN"/>
        </w:rPr>
        <w:t>02</w:t>
      </w:r>
      <w:r>
        <w:rPr>
          <w:rFonts w:hint="eastAsia" w:ascii="仿宋_GB2312" w:hAnsi="Times New Roman" w:eastAsia="仿宋_GB2312" w:cs="Times New Roman"/>
          <w:color w:val="auto"/>
          <w:sz w:val="32"/>
          <w:szCs w:val="32"/>
          <w:highlight w:val="none"/>
          <w:shd w:val="clear" w:color="auto" w:fill="auto"/>
        </w:rPr>
        <w:t>（款）其他普通教育支出</w:t>
      </w:r>
      <w:r>
        <w:rPr>
          <w:rFonts w:hint="eastAsia" w:ascii="仿宋_GB2312" w:hAnsi="Times New Roman" w:eastAsia="仿宋_GB2312" w:cs="Times New Roman"/>
          <w:color w:val="auto"/>
          <w:sz w:val="32"/>
          <w:szCs w:val="32"/>
          <w:highlight w:val="none"/>
          <w:shd w:val="clear" w:color="auto" w:fill="auto"/>
          <w:lang w:val="en-US" w:eastAsia="zh-CN"/>
        </w:rPr>
        <w:t>99</w:t>
      </w:r>
      <w:r>
        <w:rPr>
          <w:rFonts w:hint="eastAsia" w:ascii="仿宋_GB2312" w:hAnsi="Times New Roman" w:eastAsia="仿宋_GB2312" w:cs="Times New Roman"/>
          <w:color w:val="auto"/>
          <w:sz w:val="32"/>
          <w:szCs w:val="32"/>
          <w:highlight w:val="none"/>
          <w:shd w:val="clear" w:color="auto" w:fill="auto"/>
        </w:rPr>
        <w:t>（项）:反映用于</w:t>
      </w:r>
      <w:r>
        <w:rPr>
          <w:rFonts w:hint="eastAsia" w:ascii="仿宋_GB2312" w:hAnsi="Times New Roman" w:eastAsia="仿宋_GB2312" w:cs="Times New Roman"/>
          <w:color w:val="auto"/>
          <w:sz w:val="32"/>
          <w:szCs w:val="32"/>
          <w:highlight w:val="none"/>
          <w:shd w:val="clear" w:color="auto" w:fill="auto"/>
          <w:lang w:val="en-US" w:eastAsia="zh-CN"/>
        </w:rPr>
        <w:t>小学</w:t>
      </w:r>
      <w:r>
        <w:rPr>
          <w:rFonts w:hint="eastAsia" w:ascii="仿宋_GB2312" w:hAnsi="Times New Roman" w:eastAsia="仿宋_GB2312" w:cs="Times New Roman"/>
          <w:color w:val="auto"/>
          <w:sz w:val="32"/>
          <w:szCs w:val="32"/>
          <w:highlight w:val="none"/>
          <w:shd w:val="clear" w:color="auto" w:fill="auto"/>
        </w:rPr>
        <w:t>教育的绩效、津补贴等支出</w:t>
      </w:r>
      <w:r>
        <w:rPr>
          <w:rFonts w:hint="eastAsia" w:ascii="仿宋_GB2312" w:eastAsia="仿宋_GB2312" w:cs="Times New Roman"/>
          <w:color w:val="auto"/>
          <w:sz w:val="32"/>
          <w:szCs w:val="32"/>
          <w:highlight w:val="none"/>
          <w:shd w:val="clear" w:color="auto" w:fill="auto"/>
          <w:lang w:eastAsia="zh-CN"/>
        </w:rPr>
        <w:t>。</w:t>
      </w:r>
    </w:p>
    <w:p>
      <w:pPr>
        <w:ind w:firstLine="640" w:firstLineChars="200"/>
        <w:rPr>
          <w:rFonts w:hint="eastAsia" w:ascii="仿宋_GB2312" w:hAnsi="Times New Roman" w:eastAsia="仿宋_GB2312" w:cs="Times New Roman"/>
          <w:color w:val="auto"/>
          <w:sz w:val="32"/>
          <w:szCs w:val="32"/>
          <w:highlight w:val="none"/>
          <w:shd w:val="clear" w:color="auto" w:fill="auto"/>
        </w:rPr>
      </w:pPr>
      <w:r>
        <w:rPr>
          <w:rFonts w:hint="eastAsia" w:ascii="仿宋_GB2312" w:hAnsi="Times New Roman" w:eastAsia="仿宋_GB2312" w:cs="Times New Roman"/>
          <w:color w:val="auto"/>
          <w:sz w:val="32"/>
          <w:szCs w:val="32"/>
          <w:highlight w:val="none"/>
          <w:shd w:val="clear" w:color="auto" w:fill="auto"/>
        </w:rPr>
        <w:t>教育</w:t>
      </w:r>
      <w:r>
        <w:rPr>
          <w:rFonts w:hint="eastAsia" w:ascii="仿宋_GB2312" w:hAnsi="Times New Roman" w:eastAsia="仿宋_GB2312" w:cs="Times New Roman"/>
          <w:color w:val="auto"/>
          <w:sz w:val="32"/>
          <w:szCs w:val="32"/>
          <w:highlight w:val="none"/>
          <w:shd w:val="clear" w:color="auto" w:fill="auto"/>
          <w:lang w:val="en-US" w:eastAsia="zh-CN"/>
        </w:rPr>
        <w:t>205</w:t>
      </w:r>
      <w:r>
        <w:rPr>
          <w:rFonts w:hint="eastAsia" w:ascii="仿宋_GB2312" w:hAnsi="Times New Roman" w:eastAsia="仿宋_GB2312" w:cs="Times New Roman"/>
          <w:color w:val="auto"/>
          <w:sz w:val="32"/>
          <w:szCs w:val="32"/>
          <w:highlight w:val="none"/>
          <w:shd w:val="clear" w:color="auto" w:fill="auto"/>
        </w:rPr>
        <w:t>（类）教育费附加安排的支出</w:t>
      </w:r>
      <w:r>
        <w:rPr>
          <w:rFonts w:hint="eastAsia" w:ascii="仿宋_GB2312" w:hAnsi="Times New Roman" w:eastAsia="仿宋_GB2312" w:cs="Times New Roman"/>
          <w:color w:val="auto"/>
          <w:sz w:val="32"/>
          <w:szCs w:val="32"/>
          <w:highlight w:val="none"/>
          <w:shd w:val="clear" w:color="auto" w:fill="auto"/>
          <w:lang w:val="en-US" w:eastAsia="zh-CN"/>
        </w:rPr>
        <w:t>99</w:t>
      </w:r>
      <w:r>
        <w:rPr>
          <w:rFonts w:hint="eastAsia" w:ascii="仿宋_GB2312" w:hAnsi="Times New Roman" w:eastAsia="仿宋_GB2312" w:cs="Times New Roman"/>
          <w:color w:val="auto"/>
          <w:sz w:val="32"/>
          <w:szCs w:val="32"/>
          <w:highlight w:val="none"/>
          <w:shd w:val="clear" w:color="auto" w:fill="auto"/>
        </w:rPr>
        <w:t>（款）其他教育费附加安排的支出</w:t>
      </w:r>
      <w:r>
        <w:rPr>
          <w:rFonts w:hint="eastAsia" w:ascii="仿宋_GB2312" w:hAnsi="Times New Roman" w:eastAsia="仿宋_GB2312" w:cs="Times New Roman"/>
          <w:color w:val="auto"/>
          <w:sz w:val="32"/>
          <w:szCs w:val="32"/>
          <w:highlight w:val="none"/>
          <w:shd w:val="clear" w:color="auto" w:fill="auto"/>
          <w:lang w:val="en-US" w:eastAsia="zh-CN"/>
        </w:rPr>
        <w:t>99</w:t>
      </w:r>
      <w:r>
        <w:rPr>
          <w:rFonts w:hint="eastAsia" w:ascii="仿宋_GB2312" w:hAnsi="Times New Roman" w:eastAsia="仿宋_GB2312" w:cs="Times New Roman"/>
          <w:color w:val="auto"/>
          <w:sz w:val="32"/>
          <w:szCs w:val="32"/>
          <w:highlight w:val="none"/>
          <w:shd w:val="clear" w:color="auto" w:fill="auto"/>
        </w:rPr>
        <w:t xml:space="preserve">（项）: </w:t>
      </w:r>
      <w:r>
        <w:rPr>
          <w:rFonts w:hint="eastAsia" w:ascii="仿宋_GB2312" w:hAnsi="Times New Roman" w:eastAsia="仿宋_GB2312" w:cs="Times New Roman"/>
          <w:color w:val="auto"/>
          <w:sz w:val="32"/>
          <w:szCs w:val="32"/>
          <w:highlight w:val="none"/>
          <w:shd w:val="clear" w:color="auto" w:fill="auto"/>
          <w:lang w:val="en-US" w:eastAsia="zh-CN"/>
        </w:rPr>
        <w:t>指校舍维修等专项经费</w:t>
      </w:r>
      <w:r>
        <w:rPr>
          <w:rFonts w:hint="eastAsia" w:ascii="仿宋_GB2312" w:hAnsi="Times New Roman" w:eastAsia="仿宋_GB2312" w:cs="Times New Roman"/>
          <w:color w:val="auto"/>
          <w:sz w:val="32"/>
          <w:szCs w:val="32"/>
          <w:highlight w:val="none"/>
          <w:shd w:val="clear" w:color="auto" w:fill="auto"/>
        </w:rPr>
        <w:t>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 xml:space="preserve">4.社会保障和就业208（类）事业单位养老支出05（款）事业单位离退休02（项）: </w:t>
      </w:r>
      <w:r>
        <w:rPr>
          <w:rFonts w:hint="eastAsia" w:ascii="仿宋_GB2312" w:hAnsi="Times New Roman" w:eastAsia="仿宋_GB2312" w:cs="Times New Roman"/>
          <w:color w:val="auto"/>
          <w:sz w:val="32"/>
          <w:szCs w:val="32"/>
          <w:highlight w:val="none"/>
          <w:shd w:val="clear" w:color="auto" w:fill="auto"/>
        </w:rPr>
        <w:t>反映用于</w:t>
      </w:r>
      <w:r>
        <w:rPr>
          <w:rFonts w:hint="eastAsia" w:ascii="仿宋_GB2312" w:hAnsi="Times New Roman" w:eastAsia="仿宋_GB2312" w:cs="Times New Roman"/>
          <w:color w:val="auto"/>
          <w:sz w:val="32"/>
          <w:szCs w:val="32"/>
          <w:highlight w:val="none"/>
          <w:shd w:val="clear" w:color="auto" w:fill="auto"/>
          <w:lang w:val="en-US" w:eastAsia="zh-CN"/>
        </w:rPr>
        <w:t>离岗民师退休费等支出</w:t>
      </w:r>
      <w:r>
        <w:rPr>
          <w:rFonts w:hint="eastAsia" w:ascii="仿宋_GB2312" w:eastAsia="仿宋_GB2312" w:cs="Times New Roman"/>
          <w:color w:val="auto"/>
          <w:sz w:val="32"/>
          <w:szCs w:val="32"/>
          <w:highlight w:val="none"/>
          <w:shd w:val="clear" w:color="auto" w:fill="auto"/>
          <w:lang w:val="en-US" w:eastAsia="zh-CN"/>
        </w:rPr>
        <w:t>；</w:t>
      </w:r>
      <w:r>
        <w:rPr>
          <w:rFonts w:hint="eastAsia" w:ascii="仿宋_GB2312" w:hAnsi="Times New Roman" w:eastAsia="仿宋_GB2312" w:cs="Times New Roman"/>
          <w:color w:val="auto"/>
          <w:sz w:val="32"/>
          <w:szCs w:val="32"/>
          <w:highlight w:val="none"/>
          <w:shd w:val="clear" w:color="auto" w:fill="auto"/>
          <w:lang w:val="en-US" w:eastAsia="zh-CN"/>
        </w:rPr>
        <w:t xml:space="preserve">    </w:t>
      </w:r>
      <w:r>
        <w:rPr>
          <w:rFonts w:hint="eastAsia" w:ascii="仿宋_GB2312" w:eastAsia="仿宋_GB2312" w:cs="Times New Roman"/>
          <w:color w:val="auto"/>
          <w:sz w:val="32"/>
          <w:szCs w:val="32"/>
          <w:highlight w:val="none"/>
          <w:shd w:val="clear" w:color="auto" w:fill="auto"/>
          <w:lang w:val="en-US" w:eastAsia="zh-CN"/>
        </w:rPr>
        <w:t xml:space="preserve">             </w:t>
      </w:r>
      <w:r>
        <w:rPr>
          <w:rFonts w:hint="eastAsia" w:ascii="仿宋_GB2312" w:hAnsi="Times New Roman" w:eastAsia="仿宋_GB2312" w:cs="Times New Roman"/>
          <w:color w:val="auto"/>
          <w:sz w:val="32"/>
          <w:szCs w:val="32"/>
          <w:highlight w:val="none"/>
          <w:shd w:val="clear" w:color="auto" w:fill="auto"/>
          <w:lang w:val="en-US" w:eastAsia="zh-CN"/>
        </w:rPr>
        <w:t xml:space="preserve">社会保障和就业208（类）行政事业单位养老支出05（款）机关事业单位基本养老保险缴费支出05（项）: </w:t>
      </w:r>
      <w:r>
        <w:rPr>
          <w:rFonts w:hint="eastAsia" w:ascii="仿宋_GB2312" w:hAnsi="Times New Roman" w:eastAsia="仿宋_GB2312" w:cs="Times New Roman"/>
          <w:color w:val="auto"/>
          <w:sz w:val="32"/>
          <w:szCs w:val="32"/>
          <w:highlight w:val="none"/>
          <w:shd w:val="clear" w:color="auto" w:fill="auto"/>
        </w:rPr>
        <w:t>反映机关事业单位实施养老保险制度由单位缴纳的基本养老保险费支出</w:t>
      </w:r>
      <w:r>
        <w:rPr>
          <w:rFonts w:hint="eastAsia" w:ascii="仿宋_GB2312" w:eastAsia="仿宋_GB2312" w:cs="Times New Roman"/>
          <w:color w:val="auto"/>
          <w:sz w:val="32"/>
          <w:szCs w:val="32"/>
          <w:highlight w:val="none"/>
          <w:shd w:val="clear" w:color="auto" w:fill="auto"/>
          <w:lang w:eastAsia="zh-CN"/>
        </w:rPr>
        <w:t>；</w:t>
      </w:r>
      <w:r>
        <w:rPr>
          <w:rFonts w:hint="eastAsia" w:ascii="仿宋_GB2312" w:hAnsi="Times New Roman" w:eastAsia="仿宋_GB2312" w:cs="Times New Roman"/>
          <w:color w:val="auto"/>
          <w:sz w:val="32"/>
          <w:szCs w:val="32"/>
          <w:highlight w:val="none"/>
          <w:shd w:val="clear" w:color="auto" w:fill="auto"/>
          <w:lang w:val="en-US" w:eastAsia="zh-CN"/>
        </w:rPr>
        <w:t xml:space="preserve">社会保障和就业208（类）其他社会保障和就业支出99（款）其他社会保障和就业支出99（项）: </w:t>
      </w:r>
      <w:r>
        <w:rPr>
          <w:rFonts w:hint="eastAsia" w:ascii="仿宋_GB2312" w:eastAsia="仿宋_GB2312" w:cs="Times New Roman"/>
          <w:color w:val="auto"/>
          <w:sz w:val="32"/>
          <w:szCs w:val="32"/>
          <w:highlight w:val="none"/>
          <w:shd w:val="clear" w:color="auto" w:fill="auto"/>
          <w:lang w:eastAsia="zh-CN"/>
        </w:rPr>
        <w:t>反映用于</w:t>
      </w:r>
      <w:r>
        <w:rPr>
          <w:rFonts w:hint="eastAsia" w:ascii="仿宋_GB2312" w:hAnsi="Times New Roman" w:eastAsia="仿宋_GB2312" w:cs="Times New Roman"/>
          <w:color w:val="auto"/>
          <w:sz w:val="32"/>
          <w:szCs w:val="32"/>
          <w:highlight w:val="none"/>
          <w:shd w:val="clear" w:color="auto" w:fill="auto"/>
        </w:rPr>
        <w:t>本单位职工工伤及失业保险单位缴费支出。</w:t>
      </w:r>
    </w:p>
    <w:p>
      <w:pPr>
        <w:ind w:firstLine="640" w:firstLineChars="200"/>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5.卫生健康210（类）行政事业单位医疗11（款）事业单位医疗支出02（项）:</w:t>
      </w:r>
      <w:r>
        <w:rPr>
          <w:rFonts w:hint="eastAsia" w:ascii="仿宋_GB2312" w:hAnsi="Times New Roman" w:eastAsia="仿宋_GB2312" w:cs="Times New Roman"/>
          <w:color w:val="auto"/>
          <w:sz w:val="32"/>
          <w:szCs w:val="32"/>
          <w:highlight w:val="none"/>
          <w:shd w:val="clear" w:color="auto" w:fill="auto"/>
        </w:rPr>
        <w:t>反映用于本单位职工基本医疗保险及住院补充医疗保险单位缴费支出。</w:t>
      </w:r>
    </w:p>
    <w:p>
      <w:pPr>
        <w:ind w:firstLine="640" w:firstLineChars="200"/>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6、住房保障221（类）住房改革支出02（款）住房公积金支出01（项）：</w:t>
      </w:r>
      <w:r>
        <w:rPr>
          <w:rFonts w:hint="eastAsia" w:ascii="仿宋_GB2312" w:hAnsi="Times New Roman" w:eastAsia="仿宋_GB2312" w:cs="Times New Roman"/>
          <w:color w:val="auto"/>
          <w:sz w:val="32"/>
          <w:szCs w:val="32"/>
          <w:highlight w:val="none"/>
          <w:shd w:val="clear" w:color="auto" w:fill="auto"/>
        </w:rPr>
        <w:t>反映用于本单位职工住房公积金单位缴费支出。</w:t>
      </w:r>
    </w:p>
    <w:p>
      <w:pPr>
        <w:ind w:firstLine="640" w:firstLineChars="200"/>
        <w:rPr>
          <w:rFonts w:hint="eastAsia" w:ascii="仿宋_GB2312" w:eastAsia="仿宋_GB2312"/>
          <w:sz w:val="32"/>
          <w:szCs w:val="32"/>
        </w:rPr>
      </w:pPr>
      <w:r>
        <w:rPr>
          <w:rFonts w:hint="eastAsia" w:ascii="仿宋_GB2312" w:hAnsi="Times New Roman" w:eastAsia="仿宋_GB2312" w:cs="Times New Roman"/>
          <w:color w:val="auto"/>
          <w:sz w:val="32"/>
          <w:szCs w:val="32"/>
          <w:highlight w:val="none"/>
          <w:shd w:val="clear" w:color="auto" w:fill="auto"/>
        </w:rPr>
        <w:t>7.基本支出：指为保障机构正常运转、完成日常工作任</w:t>
      </w:r>
      <w:r>
        <w:rPr>
          <w:rFonts w:hint="eastAsia" w:ascii="仿宋_GB2312" w:eastAsia="仿宋_GB2312"/>
          <w:sz w:val="32"/>
          <w:szCs w:val="32"/>
        </w:rPr>
        <w:t>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rPr>
        <w:t>8.项目支出：指在基本支出之外为完成特定行政任务和事业发展目标所发生的支出。</w:t>
      </w:r>
    </w:p>
    <w:p>
      <w:pPr>
        <w:ind w:firstLine="640" w:firstLineChars="200"/>
        <w:rPr>
          <w:rFonts w:hint="eastAsia" w:ascii="仿宋_GB2312" w:eastAsia="仿宋_GB2312"/>
          <w:sz w:val="32"/>
          <w:szCs w:val="32"/>
        </w:rPr>
      </w:pPr>
      <w:r>
        <w:rPr>
          <w:rFonts w:hint="eastAsia" w:ascii="仿宋_GB2312" w:eastAsia="仿宋_GB2312"/>
          <w:sz w:val="32"/>
          <w:szCs w:val="32"/>
        </w:rPr>
        <w:t>9.工资福利：反映单位开支的在职职工和编制外长期聘用人员的各类劳动报酬，以及为上述人员缴纳的各项社会保险费等。</w:t>
      </w:r>
    </w:p>
    <w:p>
      <w:pPr>
        <w:ind w:firstLine="640" w:firstLineChars="200"/>
        <w:rPr>
          <w:rFonts w:hint="eastAsia" w:ascii="仿宋_GB2312" w:eastAsia="仿宋_GB2312"/>
          <w:sz w:val="32"/>
          <w:szCs w:val="32"/>
        </w:rPr>
      </w:pPr>
      <w:r>
        <w:rPr>
          <w:rFonts w:hint="eastAsia" w:ascii="仿宋_GB2312" w:eastAsia="仿宋_GB2312"/>
          <w:sz w:val="32"/>
          <w:szCs w:val="32"/>
        </w:rPr>
        <w:t>10.商品和服务：反映单位购买商品和服务的支出，不包括用于购置固定资产、战略性和应急性物资储备等资本支出。</w:t>
      </w:r>
    </w:p>
    <w:p>
      <w:pPr>
        <w:ind w:firstLine="640" w:firstLineChars="200"/>
        <w:rPr>
          <w:rFonts w:hint="eastAsia" w:ascii="仿宋_GB2312" w:eastAsia="仿宋_GB2312"/>
          <w:sz w:val="32"/>
          <w:szCs w:val="32"/>
        </w:rPr>
      </w:pPr>
      <w:r>
        <w:rPr>
          <w:rFonts w:hint="eastAsia" w:ascii="仿宋_GB2312" w:eastAsia="仿宋_GB2312"/>
          <w:sz w:val="32"/>
          <w:szCs w:val="32"/>
        </w:rPr>
        <w:t>11.对个人和家庭的补助：反映政府用于</w:t>
      </w:r>
      <w:r>
        <w:rPr>
          <w:rFonts w:hint="eastAsia" w:ascii="仿宋_GB2312" w:eastAsia="仿宋_GB2312"/>
          <w:sz w:val="32"/>
          <w:szCs w:val="32"/>
          <w:lang w:eastAsia="zh-CN"/>
        </w:rPr>
        <w:t>对个人和家庭</w:t>
      </w:r>
      <w:r>
        <w:rPr>
          <w:rFonts w:hint="eastAsia" w:ascii="仿宋_GB2312" w:eastAsia="仿宋_GB2312"/>
          <w:sz w:val="32"/>
          <w:szCs w:val="32"/>
        </w:rPr>
        <w:t>的补助支出。</w:t>
      </w:r>
    </w:p>
    <w:p>
      <w:pPr>
        <w:ind w:firstLine="640" w:firstLineChars="200"/>
        <w:rPr>
          <w:rFonts w:hint="eastAsia" w:ascii="仿宋_GB2312" w:eastAsia="仿宋_GB2312"/>
          <w:sz w:val="32"/>
          <w:szCs w:val="32"/>
        </w:rPr>
      </w:pPr>
      <w:r>
        <w:rPr>
          <w:rFonts w:hint="eastAsia" w:ascii="仿宋_GB2312" w:eastAsia="仿宋_GB2312"/>
          <w:sz w:val="32"/>
          <w:szCs w:val="32"/>
        </w:rPr>
        <w:t>12.资本性支出：反映各单位安排的资本性支出。切块由发展改革部门安排的基本建设支出不在此科目反映。</w:t>
      </w:r>
    </w:p>
    <w:p>
      <w:pPr>
        <w:spacing w:line="600" w:lineRule="exact"/>
        <w:jc w:val="center"/>
        <w:outlineLvl w:val="0"/>
        <w:rPr>
          <w:rStyle w:val="28"/>
          <w:rFonts w:ascii="黑体" w:hAnsi="黑体" w:eastAsia="黑体"/>
          <w:b w:val="0"/>
        </w:rPr>
      </w:pPr>
      <w:bookmarkStart w:id="38" w:name="_Toc15377226"/>
      <w:r>
        <w:rPr>
          <w:rFonts w:ascii="宋体"/>
          <w:b/>
          <w:sz w:val="44"/>
          <w:szCs w:val="44"/>
        </w:rPr>
        <w:br w:type="page"/>
      </w:r>
      <w:bookmarkStart w:id="39" w:name="_Toc15396614"/>
      <w:r>
        <w:rPr>
          <w:rFonts w:hint="eastAsia" w:ascii="黑体" w:hAnsi="黑体" w:eastAsia="黑体"/>
          <w:sz w:val="44"/>
          <w:szCs w:val="44"/>
        </w:rPr>
        <w:t>第</w:t>
      </w:r>
      <w:r>
        <w:rPr>
          <w:rStyle w:val="28"/>
          <w:rFonts w:hint="eastAsia" w:ascii="黑体" w:hAnsi="黑体" w:eastAsia="黑体"/>
          <w:b w:val="0"/>
        </w:rPr>
        <w:t>四部分 附件</w:t>
      </w:r>
      <w:bookmarkEnd w:id="39"/>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遂宁市安居区横山镇观音小学校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w:t>
      </w:r>
      <w:bookmarkStart w:id="54" w:name="_GoBack"/>
      <w:bookmarkEnd w:id="54"/>
      <w:r>
        <w:rPr>
          <w:rFonts w:hint="eastAsia" w:ascii="仿宋" w:hAnsi="仿宋" w:eastAsia="仿宋"/>
          <w:sz w:val="32"/>
          <w:szCs w:val="32"/>
          <w:lang w:eastAsia="zh-CN"/>
        </w:rPr>
        <w:t>经常</w:t>
      </w:r>
      <w:r>
        <w:rPr>
          <w:rFonts w:ascii="仿宋" w:hAnsi="仿宋" w:eastAsia="仿宋"/>
          <w:sz w:val="32"/>
          <w:szCs w:val="32"/>
        </w:rPr>
        <w:t>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遂宁市安居区横山镇观音小学校</w:t>
      </w:r>
      <w:r>
        <w:rPr>
          <w:rFonts w:hint="eastAsia" w:ascii="仿宋" w:hAnsi="仿宋" w:eastAsia="仿宋"/>
          <w:sz w:val="32"/>
          <w:szCs w:val="32"/>
        </w:rPr>
        <w:t>年初在职教师</w:t>
      </w:r>
      <w:r>
        <w:rPr>
          <w:rFonts w:hint="eastAsia" w:ascii="仿宋" w:hAnsi="仿宋" w:eastAsia="仿宋"/>
          <w:sz w:val="32"/>
          <w:szCs w:val="32"/>
          <w:lang w:val="en-US" w:eastAsia="zh-CN"/>
        </w:rPr>
        <w:t>25</w:t>
      </w:r>
      <w:r>
        <w:rPr>
          <w:rFonts w:ascii="仿宋" w:hAnsi="仿宋" w:eastAsia="仿宋"/>
          <w:sz w:val="32"/>
          <w:szCs w:val="32"/>
        </w:rPr>
        <w:t>人，</w:t>
      </w:r>
      <w:r>
        <w:rPr>
          <w:rFonts w:hint="eastAsia" w:ascii="仿宋" w:hAnsi="仿宋" w:eastAsia="仿宋"/>
          <w:sz w:val="32"/>
          <w:szCs w:val="32"/>
        </w:rPr>
        <w:t>年末在职教师</w:t>
      </w:r>
      <w:r>
        <w:rPr>
          <w:rFonts w:hint="eastAsia" w:ascii="仿宋" w:hAnsi="仿宋" w:eastAsia="仿宋"/>
          <w:sz w:val="32"/>
          <w:szCs w:val="32"/>
          <w:lang w:val="en-US" w:eastAsia="zh-CN"/>
        </w:rPr>
        <w:t>25</w:t>
      </w:r>
      <w:r>
        <w:rPr>
          <w:rFonts w:ascii="仿宋" w:hAnsi="仿宋" w:eastAsia="仿宋"/>
          <w:sz w:val="32"/>
          <w:szCs w:val="32"/>
        </w:rPr>
        <w:t>人。</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3年本年收入合计409.34万元，其中：一般公共预算财政拨款收入409.34万元，占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4"/>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3年本年支出合计409.34万元，其中：教育支出345.05万元，占</w:t>
      </w:r>
      <w:r>
        <w:rPr>
          <w:rFonts w:hint="eastAsia" w:ascii="仿宋" w:hAnsi="仿宋" w:eastAsia="仿宋"/>
          <w:color w:val="000000"/>
          <w:sz w:val="32"/>
          <w:szCs w:val="32"/>
          <w:lang w:val="en-US" w:eastAsia="zh-CN"/>
        </w:rPr>
        <w:t>84.29</w:t>
      </w:r>
      <w:r>
        <w:rPr>
          <w:rFonts w:ascii="仿宋" w:hAnsi="仿宋" w:eastAsia="仿宋"/>
          <w:color w:val="000000"/>
          <w:sz w:val="32"/>
          <w:szCs w:val="32"/>
        </w:rPr>
        <w:t>%</w:t>
      </w:r>
      <w:r>
        <w:rPr>
          <w:rFonts w:hint="eastAsia" w:ascii="仿宋" w:hAnsi="仿宋" w:eastAsia="仿宋"/>
          <w:color w:val="000000"/>
          <w:sz w:val="32"/>
          <w:szCs w:val="32"/>
        </w:rPr>
        <w:t>；社会保障和就业支出31.72万元，占</w:t>
      </w:r>
      <w:r>
        <w:rPr>
          <w:rFonts w:hint="eastAsia" w:ascii="仿宋" w:hAnsi="仿宋" w:eastAsia="仿宋"/>
          <w:color w:val="000000"/>
          <w:sz w:val="32"/>
          <w:szCs w:val="32"/>
          <w:lang w:val="en-US" w:eastAsia="zh-CN"/>
        </w:rPr>
        <w:t>7.75</w:t>
      </w:r>
      <w:r>
        <w:rPr>
          <w:rFonts w:ascii="仿宋" w:hAnsi="仿宋" w:eastAsia="仿宋"/>
          <w:color w:val="000000"/>
          <w:sz w:val="32"/>
          <w:szCs w:val="32"/>
        </w:rPr>
        <w:t>%</w:t>
      </w:r>
      <w:r>
        <w:rPr>
          <w:rFonts w:hint="eastAsia" w:ascii="仿宋" w:hAnsi="仿宋" w:eastAsia="仿宋"/>
          <w:color w:val="000000"/>
          <w:sz w:val="32"/>
          <w:szCs w:val="32"/>
        </w:rPr>
        <w:t>；卫生健康支出12.4万元，占</w:t>
      </w:r>
      <w:r>
        <w:rPr>
          <w:rFonts w:hint="eastAsia" w:ascii="仿宋" w:hAnsi="仿宋" w:eastAsia="仿宋"/>
          <w:color w:val="000000"/>
          <w:sz w:val="32"/>
          <w:szCs w:val="32"/>
          <w:lang w:val="en-US" w:eastAsia="zh-CN"/>
        </w:rPr>
        <w:t>3.03</w:t>
      </w:r>
      <w:r>
        <w:rPr>
          <w:rFonts w:ascii="仿宋" w:hAnsi="仿宋" w:eastAsia="仿宋"/>
          <w:color w:val="000000"/>
          <w:sz w:val="32"/>
          <w:szCs w:val="32"/>
        </w:rPr>
        <w:t>%</w:t>
      </w:r>
      <w:r>
        <w:rPr>
          <w:rFonts w:hint="eastAsia" w:ascii="仿宋" w:hAnsi="仿宋" w:eastAsia="仿宋"/>
          <w:color w:val="000000"/>
          <w:sz w:val="32"/>
          <w:szCs w:val="32"/>
        </w:rPr>
        <w:t>；住房保障支出20.17万元，占</w:t>
      </w:r>
      <w:r>
        <w:rPr>
          <w:rFonts w:hint="eastAsia" w:ascii="仿宋" w:hAnsi="仿宋" w:eastAsia="仿宋"/>
          <w:color w:val="000000"/>
          <w:sz w:val="32"/>
          <w:szCs w:val="32"/>
          <w:lang w:val="en-US" w:eastAsia="zh-CN"/>
        </w:rPr>
        <w:t>4.93</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遂宁市安居区横山镇观音小学校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spacing w:line="572" w:lineRule="exact"/>
        <w:jc w:val="left"/>
        <w:outlineLvl w:val="0"/>
        <w:rPr>
          <w:rFonts w:ascii="仿宋_GB2312" w:hAnsi="仿宋_GB2312" w:eastAsia="仿宋_GB2312" w:cs="仿宋_GB2312"/>
          <w:sz w:val="32"/>
          <w:szCs w:val="32"/>
        </w:rPr>
      </w:pPr>
    </w:p>
    <w:p>
      <w:pPr>
        <w:pStyle w:val="2"/>
      </w:pPr>
    </w:p>
    <w:p>
      <w:pPr>
        <w:spacing w:line="600" w:lineRule="exact"/>
        <w:jc w:val="center"/>
        <w:outlineLvl w:val="0"/>
        <w:rPr>
          <w:rFonts w:hint="eastAsia"/>
          <w:sz w:val="32"/>
          <w:szCs w:val="32"/>
        </w:rPr>
      </w:pPr>
      <w:bookmarkStart w:id="40" w:name="_Toc15396618"/>
    </w:p>
    <w:p>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部门预算项目支出绩效自评表（2023年度）</w:t>
      </w:r>
    </w:p>
    <w:p>
      <w:pPr>
        <w:pStyle w:val="14"/>
        <w:spacing w:line="560" w:lineRule="exact"/>
        <w:ind w:left="0" w:leftChars="0" w:firstLine="640"/>
        <w:rPr>
          <w:sz w:val="32"/>
        </w:rPr>
      </w:pPr>
    </w:p>
    <w:tbl>
      <w:tblPr>
        <w:tblStyle w:val="15"/>
        <w:tblW w:w="91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259"/>
        <w:gridCol w:w="1159"/>
        <w:gridCol w:w="985"/>
        <w:gridCol w:w="467"/>
        <w:gridCol w:w="932"/>
        <w:gridCol w:w="467"/>
        <w:gridCol w:w="977"/>
        <w:gridCol w:w="486"/>
        <w:gridCol w:w="486"/>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51090422T000005741428-2018学前教育中央资金（遂财教[2018]22号）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严格按照相关文件精神，合法有序实施该项目</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严格按照合同履约，有序地开展该项目工作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以审计结果将资金支付到位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按时、足额将资金支付到位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受到社会各界好评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按时、足额将资金支付到位，项目实施取得良好成效。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项目负责人：蒋国</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财务负责人：何云进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严格按照相关文件精神，合法有序实施该项目</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将幼儿保教费减免按时、足额将资金支付到位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按时、足额将资金支付到位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受到社会各界好评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按时、足额将资金支付到位，项目实施取得良好成效。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项目负责人：蒋国</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财务负责人：何云进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51090423T000008957685-2021年城乡义务教育中央补助经费-校舍维修改造资金1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严格按照相关文件精神，合法有序实施该项目</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严格按照合同履约，有序地开展该项目工作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按时、足额将资金支付到位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受到社会各界好评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按时、足额将资金支付到位，项目实施取得良好成效。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项目负责人：蒋国</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财务负责人：何云进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51090423T000008957691-改建教师周转房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严格按照相关文件精神，合法有序实施该项目</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严格按照合同履约，有序地开展该项目工作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按时、足额将资金支付到位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受到社会各界好评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按时、足额将资金支付到位，项目实施取得良好成效。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项目负责人：蒋国</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财务负责人：何云进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遂宁市安居区横山镇观音小学校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严格按照相关文件精神，合法有序实施该项目</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将作业本费按时、足额将资金支付到位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按时、足额将资金支付到位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受到社会各界好评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按时、足额将资金支付到位，项目实施取得良好成效。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项目负责人：蒋国</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财务负责人：何云进</w:t>
            </w:r>
          </w:p>
        </w:tc>
      </w:tr>
    </w:tbl>
    <w:p>
      <w:pPr>
        <w:pStyle w:val="14"/>
        <w:spacing w:line="560" w:lineRule="exact"/>
        <w:ind w:left="0" w:leftChars="0" w:firstLine="0" w:firstLineChars="0"/>
        <w:rPr>
          <w:rFonts w:hAnsi="Calibri" w:eastAsia="仿宋_GB2312" w:cs="仿宋"/>
          <w:sz w:val="32"/>
          <w:lang w:val="zh-CN"/>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38"/>
      <w:bookmarkEnd w:id="40"/>
      <w:bookmarkStart w:id="41"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41"/>
    </w:p>
    <w:p>
      <w:pPr>
        <w:pStyle w:val="4"/>
        <w:rPr>
          <w:rFonts w:ascii="仿宋" w:hAnsi="仿宋" w:eastAsia="仿宋"/>
        </w:rPr>
      </w:pPr>
      <w:bookmarkStart w:id="42" w:name="_Toc15396620"/>
      <w:r>
        <w:rPr>
          <w:rFonts w:hint="eastAsia" w:ascii="仿宋" w:hAnsi="仿宋" w:eastAsia="仿宋"/>
          <w:b w:val="0"/>
        </w:rPr>
        <w:t>二、收</w:t>
      </w:r>
      <w:r>
        <w:rPr>
          <w:rStyle w:val="29"/>
          <w:rFonts w:hint="eastAsia" w:ascii="仿宋" w:hAnsi="仿宋" w:eastAsia="仿宋"/>
          <w:b w:val="0"/>
          <w:bCs w:val="0"/>
        </w:rPr>
        <w:t>入决算表</w:t>
      </w:r>
      <w:bookmarkEnd w:id="42"/>
    </w:p>
    <w:p>
      <w:pPr>
        <w:pStyle w:val="4"/>
        <w:rPr>
          <w:rFonts w:ascii="仿宋" w:hAnsi="仿宋" w:eastAsia="仿宋"/>
        </w:rPr>
      </w:pPr>
      <w:bookmarkStart w:id="43"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43"/>
    </w:p>
    <w:p>
      <w:pPr>
        <w:pStyle w:val="4"/>
        <w:rPr>
          <w:rFonts w:ascii="仿宋" w:hAnsi="仿宋" w:eastAsia="仿宋"/>
          <w:b w:val="0"/>
        </w:rPr>
      </w:pPr>
      <w:bookmarkStart w:id="44"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44"/>
    </w:p>
    <w:p>
      <w:pPr>
        <w:pStyle w:val="4"/>
        <w:rPr>
          <w:rStyle w:val="29"/>
          <w:rFonts w:ascii="仿宋" w:hAnsi="仿宋" w:eastAsia="仿宋"/>
          <w:b w:val="0"/>
          <w:bCs w:val="0"/>
        </w:rPr>
      </w:pPr>
      <w:bookmarkStart w:id="45"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45"/>
      <w:bookmarkStart w:id="46"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46"/>
    </w:p>
    <w:p>
      <w:pPr>
        <w:pStyle w:val="4"/>
        <w:rPr>
          <w:rFonts w:ascii="仿宋" w:hAnsi="仿宋" w:eastAsia="仿宋"/>
        </w:rPr>
      </w:pPr>
      <w:bookmarkStart w:id="47"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47"/>
    </w:p>
    <w:p>
      <w:pPr>
        <w:pStyle w:val="4"/>
        <w:rPr>
          <w:rFonts w:ascii="仿宋" w:hAnsi="仿宋" w:eastAsia="仿宋"/>
        </w:rPr>
      </w:pPr>
      <w:bookmarkStart w:id="48"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48"/>
    </w:p>
    <w:p>
      <w:pPr>
        <w:pStyle w:val="4"/>
        <w:rPr>
          <w:rFonts w:ascii="仿宋" w:hAnsi="仿宋" w:eastAsia="仿宋"/>
        </w:rPr>
      </w:pPr>
      <w:bookmarkStart w:id="49"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49"/>
    </w:p>
    <w:p>
      <w:pPr>
        <w:pStyle w:val="4"/>
        <w:rPr>
          <w:rFonts w:ascii="仿宋" w:hAnsi="仿宋" w:eastAsia="仿宋"/>
        </w:rPr>
      </w:pPr>
      <w:bookmarkStart w:id="50" w:name="_Toc15396628"/>
      <w:r>
        <w:rPr>
          <w:rStyle w:val="29"/>
          <w:rFonts w:hint="eastAsia" w:ascii="仿宋" w:hAnsi="仿宋" w:eastAsia="仿宋"/>
          <w:b w:val="0"/>
          <w:bCs w:val="0"/>
        </w:rPr>
        <w:t>十、</w:t>
      </w:r>
      <w:bookmarkEnd w:id="50"/>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51" w:name="_Toc15396629"/>
      <w:r>
        <w:rPr>
          <w:rStyle w:val="29"/>
          <w:rFonts w:hint="eastAsia" w:ascii="仿宋" w:hAnsi="仿宋" w:eastAsia="仿宋"/>
          <w:b w:val="0"/>
          <w:bCs w:val="0"/>
        </w:rPr>
        <w:t>十一、</w:t>
      </w:r>
      <w:bookmarkEnd w:id="51"/>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52" w:name="_Toc15396630"/>
      <w:r>
        <w:rPr>
          <w:rStyle w:val="29"/>
          <w:rFonts w:hint="eastAsia" w:ascii="仿宋" w:hAnsi="仿宋" w:eastAsia="仿宋"/>
          <w:b w:val="0"/>
          <w:bCs w:val="0"/>
        </w:rPr>
        <w:t>十二、</w:t>
      </w:r>
      <w:bookmarkEnd w:id="52"/>
      <w:r>
        <w:rPr>
          <w:rStyle w:val="29"/>
          <w:rFonts w:hint="eastAsia" w:ascii="仿宋" w:hAnsi="仿宋" w:eastAsia="仿宋"/>
          <w:b w:val="0"/>
          <w:bCs w:val="0"/>
        </w:rPr>
        <w:t>国有资本经营预算财政拨款支出决算表</w:t>
      </w:r>
    </w:p>
    <w:p>
      <w:pPr>
        <w:pStyle w:val="4"/>
        <w:rPr>
          <w:rFonts w:eastAsia="仿宋"/>
        </w:rPr>
      </w:pPr>
      <w:bookmarkStart w:id="53" w:name="_Toc15396631"/>
      <w:r>
        <w:rPr>
          <w:rStyle w:val="29"/>
          <w:rFonts w:hint="eastAsia" w:ascii="仿宋" w:hAnsi="仿宋" w:eastAsia="仿宋"/>
          <w:b w:val="0"/>
          <w:bCs w:val="0"/>
        </w:rPr>
        <w:t>十三、</w:t>
      </w:r>
      <w:bookmarkEnd w:id="53"/>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MDdiNzAxZGUxYTQ4ODdmZDY0ZmQ3NjM4NDlkO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5B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E2F6B"/>
    <w:rsid w:val="03DC2831"/>
    <w:rsid w:val="04BE5FB8"/>
    <w:rsid w:val="057C1C30"/>
    <w:rsid w:val="05B47B7F"/>
    <w:rsid w:val="081B5E94"/>
    <w:rsid w:val="0913264A"/>
    <w:rsid w:val="0A2032A3"/>
    <w:rsid w:val="0B8A37D8"/>
    <w:rsid w:val="0D3F57BC"/>
    <w:rsid w:val="0F5FFB2F"/>
    <w:rsid w:val="0FFFCF60"/>
    <w:rsid w:val="10C055FF"/>
    <w:rsid w:val="118107EC"/>
    <w:rsid w:val="11DD6519"/>
    <w:rsid w:val="13225964"/>
    <w:rsid w:val="14A81E98"/>
    <w:rsid w:val="16BB723D"/>
    <w:rsid w:val="18015F3F"/>
    <w:rsid w:val="1B320621"/>
    <w:rsid w:val="1BE8440E"/>
    <w:rsid w:val="1C1E77DB"/>
    <w:rsid w:val="1D155CEE"/>
    <w:rsid w:val="1E3A05F7"/>
    <w:rsid w:val="1FDBBF84"/>
    <w:rsid w:val="20F57F95"/>
    <w:rsid w:val="219F0AC7"/>
    <w:rsid w:val="226C09A9"/>
    <w:rsid w:val="22D16A5E"/>
    <w:rsid w:val="240371BF"/>
    <w:rsid w:val="25711CC6"/>
    <w:rsid w:val="25C741E6"/>
    <w:rsid w:val="26920BFA"/>
    <w:rsid w:val="276F80C0"/>
    <w:rsid w:val="27842671"/>
    <w:rsid w:val="29CC7F7F"/>
    <w:rsid w:val="29FD04D3"/>
    <w:rsid w:val="2A261D85"/>
    <w:rsid w:val="2ABE7A3E"/>
    <w:rsid w:val="2AFF09B6"/>
    <w:rsid w:val="2C7C7A3B"/>
    <w:rsid w:val="2C8D5B10"/>
    <w:rsid w:val="2CA234A8"/>
    <w:rsid w:val="2E1A5D6F"/>
    <w:rsid w:val="2EF266DA"/>
    <w:rsid w:val="2EFA178C"/>
    <w:rsid w:val="2EFDF86C"/>
    <w:rsid w:val="2F9D17E1"/>
    <w:rsid w:val="2FF53999"/>
    <w:rsid w:val="30B46D73"/>
    <w:rsid w:val="319F7F4E"/>
    <w:rsid w:val="356A28F1"/>
    <w:rsid w:val="357A2F85"/>
    <w:rsid w:val="357C035A"/>
    <w:rsid w:val="368E000D"/>
    <w:rsid w:val="383D272C"/>
    <w:rsid w:val="39AE70AB"/>
    <w:rsid w:val="3A4DCE41"/>
    <w:rsid w:val="3BCB56FA"/>
    <w:rsid w:val="3C0C0783"/>
    <w:rsid w:val="3E6E24B2"/>
    <w:rsid w:val="3EE7C2F4"/>
    <w:rsid w:val="3F371B56"/>
    <w:rsid w:val="3F792ED8"/>
    <w:rsid w:val="3F9F3A96"/>
    <w:rsid w:val="3FECA4B2"/>
    <w:rsid w:val="3FF58C48"/>
    <w:rsid w:val="42FF6694"/>
    <w:rsid w:val="448E07FB"/>
    <w:rsid w:val="48BF60AB"/>
    <w:rsid w:val="493C27E9"/>
    <w:rsid w:val="496F39ED"/>
    <w:rsid w:val="49FF41D3"/>
    <w:rsid w:val="4BE068DB"/>
    <w:rsid w:val="4BF6002B"/>
    <w:rsid w:val="4BFFC6BE"/>
    <w:rsid w:val="4C9D5A7F"/>
    <w:rsid w:val="4ECE2238"/>
    <w:rsid w:val="51051E45"/>
    <w:rsid w:val="51DB4B86"/>
    <w:rsid w:val="51F64DB0"/>
    <w:rsid w:val="52CA4018"/>
    <w:rsid w:val="546F0370"/>
    <w:rsid w:val="55333C3E"/>
    <w:rsid w:val="55A34213"/>
    <w:rsid w:val="56DB78D0"/>
    <w:rsid w:val="597309CF"/>
    <w:rsid w:val="5A274BDA"/>
    <w:rsid w:val="5D2E1276"/>
    <w:rsid w:val="5D395350"/>
    <w:rsid w:val="5F67802D"/>
    <w:rsid w:val="5F7DC4F2"/>
    <w:rsid w:val="5FB36814"/>
    <w:rsid w:val="5FBB8E56"/>
    <w:rsid w:val="5FFB5535"/>
    <w:rsid w:val="63A70B3A"/>
    <w:rsid w:val="64CA39A1"/>
    <w:rsid w:val="64F12FBB"/>
    <w:rsid w:val="664E34EF"/>
    <w:rsid w:val="69630ADE"/>
    <w:rsid w:val="69BD5F13"/>
    <w:rsid w:val="69FB0B4B"/>
    <w:rsid w:val="6B44491C"/>
    <w:rsid w:val="6BFFE1FB"/>
    <w:rsid w:val="6C4A05C8"/>
    <w:rsid w:val="6D2D2D19"/>
    <w:rsid w:val="6D3B1A89"/>
    <w:rsid w:val="6DB7D8A3"/>
    <w:rsid w:val="6EC78701"/>
    <w:rsid w:val="6EF2070F"/>
    <w:rsid w:val="6F7A5481"/>
    <w:rsid w:val="6FFE07A9"/>
    <w:rsid w:val="70F353BF"/>
    <w:rsid w:val="71BF4EC2"/>
    <w:rsid w:val="72734D90"/>
    <w:rsid w:val="73E75B71"/>
    <w:rsid w:val="7412278C"/>
    <w:rsid w:val="74C0380A"/>
    <w:rsid w:val="75DDCDA9"/>
    <w:rsid w:val="75FF44B1"/>
    <w:rsid w:val="77043E82"/>
    <w:rsid w:val="77670518"/>
    <w:rsid w:val="777FA627"/>
    <w:rsid w:val="77DF1B5F"/>
    <w:rsid w:val="77EF2D9D"/>
    <w:rsid w:val="791A3E30"/>
    <w:rsid w:val="79386064"/>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semiHidden/>
    <w:unhideWhenUsed/>
    <w:uiPriority w:val="99"/>
    <w:pPr>
      <w:jc w:val="left"/>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10730</Words>
  <Characters>11867</Characters>
  <Lines>54</Lines>
  <Paragraphs>15</Paragraphs>
  <TotalTime>29</TotalTime>
  <ScaleCrop>false</ScaleCrop>
  <LinksUpToDate>false</LinksUpToDate>
  <CharactersWithSpaces>11942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2024-08-28T01:38:32Z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7F02CB6753CB4CF18DC0CB87149AD675_12</vt:lpwstr>
  </property>
</Properties>
</file>