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22DC7B">
      <w:pPr>
        <w:pStyle w:val="8"/>
        <w:spacing w:line="250" w:lineRule="auto"/>
      </w:pPr>
    </w:p>
    <w:p w14:paraId="727C5A60">
      <w:pPr>
        <w:pStyle w:val="8"/>
        <w:spacing w:line="250" w:lineRule="auto"/>
      </w:pPr>
    </w:p>
    <w:p w14:paraId="690E9817">
      <w:pPr>
        <w:pStyle w:val="8"/>
        <w:spacing w:line="250" w:lineRule="auto"/>
      </w:pPr>
    </w:p>
    <w:p w14:paraId="0F7E46D2">
      <w:pPr>
        <w:pStyle w:val="8"/>
        <w:spacing w:line="250" w:lineRule="auto"/>
      </w:pPr>
    </w:p>
    <w:p w14:paraId="3A49B768">
      <w:pPr>
        <w:pStyle w:val="8"/>
        <w:spacing w:line="250" w:lineRule="auto"/>
      </w:pPr>
    </w:p>
    <w:p w14:paraId="4985F865">
      <w:pPr>
        <w:pStyle w:val="8"/>
        <w:spacing w:line="250" w:lineRule="auto"/>
      </w:pPr>
    </w:p>
    <w:p w14:paraId="025187FA">
      <w:pPr>
        <w:pStyle w:val="8"/>
        <w:spacing w:line="250" w:lineRule="auto"/>
      </w:pPr>
    </w:p>
    <w:p w14:paraId="1518E0E5">
      <w:pPr>
        <w:pStyle w:val="8"/>
        <w:spacing w:line="250" w:lineRule="auto"/>
      </w:pPr>
    </w:p>
    <w:p w14:paraId="767197EF">
      <w:pPr>
        <w:pStyle w:val="8"/>
        <w:spacing w:line="250" w:lineRule="auto"/>
      </w:pPr>
    </w:p>
    <w:p w14:paraId="1268052F">
      <w:pPr>
        <w:pStyle w:val="8"/>
        <w:spacing w:line="250" w:lineRule="auto"/>
      </w:pPr>
    </w:p>
    <w:p w14:paraId="0AB7B14B">
      <w:pPr>
        <w:pStyle w:val="8"/>
        <w:spacing w:line="250" w:lineRule="auto"/>
      </w:pPr>
    </w:p>
    <w:p w14:paraId="51547A6C">
      <w:pPr>
        <w:pStyle w:val="8"/>
        <w:spacing w:line="250" w:lineRule="auto"/>
      </w:pPr>
    </w:p>
    <w:p w14:paraId="1E823028">
      <w:pPr>
        <w:pStyle w:val="8"/>
        <w:spacing w:line="250" w:lineRule="auto"/>
      </w:pPr>
    </w:p>
    <w:p w14:paraId="14E180E7">
      <w:pPr>
        <w:pStyle w:val="8"/>
        <w:spacing w:line="250" w:lineRule="auto"/>
      </w:pPr>
    </w:p>
    <w:p w14:paraId="70C20235">
      <w:pPr>
        <w:pStyle w:val="8"/>
        <w:spacing w:line="250" w:lineRule="auto"/>
      </w:pPr>
    </w:p>
    <w:p w14:paraId="23DF75C7">
      <w:pPr>
        <w:pStyle w:val="8"/>
        <w:spacing w:line="250" w:lineRule="auto"/>
      </w:pPr>
    </w:p>
    <w:p w14:paraId="34BB6230">
      <w:pPr>
        <w:pStyle w:val="8"/>
        <w:spacing w:line="250" w:lineRule="auto"/>
      </w:pPr>
    </w:p>
    <w:p w14:paraId="1DBE120D">
      <w:pPr>
        <w:pStyle w:val="8"/>
        <w:spacing w:line="240" w:lineRule="auto"/>
      </w:pPr>
    </w:p>
    <w:p w14:paraId="1C897DBA">
      <w:pPr>
        <w:pStyle w:val="8"/>
        <w:spacing w:line="240" w:lineRule="auto"/>
      </w:pPr>
    </w:p>
    <w:p w14:paraId="28AB3FAB">
      <w:pPr>
        <w:bidi w:val="0"/>
        <w:spacing w:line="240" w:lineRule="auto"/>
        <w:ind w:left="0" w:leftChars="0" w:right="0" w:rightChars="0" w:firstLine="0" w:firstLineChars="0"/>
        <w:jc w:val="center"/>
        <w:rPr>
          <w:rFonts w:hint="eastAsia" w:ascii="黑体" w:hAnsi="黑体" w:eastAsia="黑体" w:cs="黑体"/>
          <w:b/>
          <w:bCs/>
          <w:spacing w:val="-3"/>
          <w:sz w:val="52"/>
          <w:szCs w:val="52"/>
          <w:lang w:eastAsia="zh-CN"/>
        </w:rPr>
      </w:pPr>
      <w:r>
        <w:rPr>
          <w:rFonts w:hint="eastAsia" w:ascii="黑体" w:hAnsi="黑体" w:eastAsia="黑体" w:cs="黑体"/>
          <w:b/>
          <w:bCs/>
          <w:spacing w:val="-3"/>
          <w:sz w:val="52"/>
          <w:szCs w:val="52"/>
          <w:lang w:eastAsia="zh-CN"/>
        </w:rPr>
        <w:t>安居区麻子滩等13座水库特许经营项目</w:t>
      </w:r>
    </w:p>
    <w:p w14:paraId="403CF066">
      <w:pPr>
        <w:bidi w:val="0"/>
        <w:spacing w:line="240" w:lineRule="auto"/>
        <w:ind w:left="0" w:leftChars="0" w:right="0" w:rightChars="0" w:firstLine="0" w:firstLineChars="0"/>
        <w:jc w:val="center"/>
        <w:rPr>
          <w:rFonts w:hint="eastAsia" w:ascii="黑体" w:hAnsi="黑体" w:eastAsia="黑体" w:cs="黑体"/>
          <w:sz w:val="52"/>
          <w:szCs w:val="52"/>
          <w:lang w:eastAsia="zh-CN"/>
        </w:rPr>
      </w:pPr>
      <w:r>
        <w:rPr>
          <w:rFonts w:hint="eastAsia" w:ascii="黑体" w:hAnsi="黑体" w:eastAsia="黑体" w:cs="黑体"/>
          <w:b/>
          <w:bCs/>
          <w:sz w:val="52"/>
          <w:szCs w:val="52"/>
          <w:lang w:eastAsia="zh-CN"/>
        </w:rPr>
        <w:t>实施方案</w:t>
      </w:r>
    </w:p>
    <w:p w14:paraId="5514CDB1">
      <w:pPr>
        <w:pStyle w:val="8"/>
        <w:spacing w:line="253" w:lineRule="auto"/>
      </w:pPr>
    </w:p>
    <w:p w14:paraId="3901481D">
      <w:pPr>
        <w:pStyle w:val="8"/>
        <w:tabs>
          <w:tab w:val="left" w:pos="8402"/>
        </w:tabs>
        <w:spacing w:line="253" w:lineRule="auto"/>
        <w:rPr>
          <w:rFonts w:hint="eastAsia" w:eastAsia="宋体"/>
          <w:lang w:eastAsia="zh-CN"/>
        </w:rPr>
      </w:pPr>
      <w:r>
        <w:rPr>
          <w:rFonts w:hint="eastAsia" w:eastAsia="宋体"/>
          <w:lang w:eastAsia="zh-CN"/>
        </w:rPr>
        <w:tab/>
      </w:r>
    </w:p>
    <w:p w14:paraId="4565EB36">
      <w:pPr>
        <w:pStyle w:val="8"/>
        <w:spacing w:line="253" w:lineRule="auto"/>
      </w:pPr>
    </w:p>
    <w:p w14:paraId="620E25CE">
      <w:pPr>
        <w:pStyle w:val="8"/>
        <w:spacing w:line="253" w:lineRule="auto"/>
      </w:pPr>
    </w:p>
    <w:p w14:paraId="2507377C">
      <w:pPr>
        <w:pStyle w:val="8"/>
        <w:spacing w:line="253" w:lineRule="auto"/>
      </w:pPr>
    </w:p>
    <w:p w14:paraId="3C023781">
      <w:pPr>
        <w:pStyle w:val="8"/>
        <w:spacing w:line="253" w:lineRule="auto"/>
      </w:pPr>
    </w:p>
    <w:p w14:paraId="43703183">
      <w:pPr>
        <w:pStyle w:val="8"/>
        <w:spacing w:line="253" w:lineRule="auto"/>
      </w:pPr>
    </w:p>
    <w:p w14:paraId="1F75B087">
      <w:pPr>
        <w:pStyle w:val="8"/>
        <w:spacing w:line="253" w:lineRule="auto"/>
      </w:pPr>
    </w:p>
    <w:p w14:paraId="6A959D4E">
      <w:pPr>
        <w:pStyle w:val="8"/>
        <w:spacing w:line="253" w:lineRule="auto"/>
      </w:pPr>
    </w:p>
    <w:p w14:paraId="16C23C68">
      <w:pPr>
        <w:pStyle w:val="8"/>
        <w:spacing w:line="253" w:lineRule="auto"/>
      </w:pPr>
    </w:p>
    <w:p w14:paraId="3C36517A">
      <w:pPr>
        <w:pStyle w:val="8"/>
        <w:spacing w:line="253" w:lineRule="auto"/>
      </w:pPr>
    </w:p>
    <w:p w14:paraId="56E86BEC">
      <w:pPr>
        <w:pStyle w:val="8"/>
        <w:spacing w:line="254" w:lineRule="auto"/>
      </w:pPr>
    </w:p>
    <w:p w14:paraId="1644DBD4">
      <w:pPr>
        <w:pStyle w:val="8"/>
        <w:spacing w:line="254" w:lineRule="auto"/>
      </w:pPr>
    </w:p>
    <w:p w14:paraId="60D6A9B1">
      <w:pPr>
        <w:pStyle w:val="8"/>
        <w:spacing w:line="254" w:lineRule="auto"/>
      </w:pPr>
    </w:p>
    <w:p w14:paraId="55BB83B0">
      <w:pPr>
        <w:pStyle w:val="8"/>
        <w:spacing w:line="254" w:lineRule="auto"/>
      </w:pPr>
    </w:p>
    <w:p w14:paraId="4E0D3A83">
      <w:pPr>
        <w:spacing w:before="91" w:line="398" w:lineRule="auto"/>
        <w:ind w:left="0" w:leftChars="0" w:right="0" w:rightChars="0" w:firstLine="0" w:firstLineChars="0"/>
        <w:jc w:val="center"/>
        <w:rPr>
          <w:rFonts w:hint="eastAsia" w:ascii="宋体" w:hAnsi="宋体" w:eastAsia="宋体" w:cs="宋体"/>
          <w:sz w:val="28"/>
          <w:szCs w:val="28"/>
          <w:lang w:val="en-US" w:eastAsia="zh-CN"/>
        </w:rPr>
      </w:pPr>
      <w:r>
        <w:rPr>
          <w:rFonts w:hint="eastAsia" w:ascii="宋体" w:hAnsi="宋体" w:eastAsia="宋体" w:cs="宋体"/>
          <w:spacing w:val="-3"/>
          <w:sz w:val="28"/>
          <w:szCs w:val="28"/>
          <w:lang w:eastAsia="zh-CN"/>
        </w:rPr>
        <w:t>安居区水利局</w:t>
      </w:r>
    </w:p>
    <w:p w14:paraId="38139DFE">
      <w:pPr>
        <w:spacing w:before="91" w:line="398" w:lineRule="auto"/>
        <w:ind w:left="0" w:leftChars="0" w:right="0" w:rightChars="0" w:firstLine="0" w:firstLineChars="0"/>
        <w:jc w:val="center"/>
        <w:rPr>
          <w:rFonts w:ascii="宋体" w:hAnsi="宋体" w:eastAsia="宋体" w:cs="宋体"/>
          <w:sz w:val="28"/>
          <w:szCs w:val="28"/>
        </w:rPr>
      </w:pPr>
      <w:r>
        <w:rPr>
          <w:rFonts w:ascii="宋体" w:hAnsi="宋体" w:eastAsia="宋体" w:cs="宋体"/>
          <w:spacing w:val="-3"/>
          <w:sz w:val="28"/>
          <w:szCs w:val="28"/>
        </w:rPr>
        <w:t>二〇二四年</w:t>
      </w:r>
      <w:r>
        <w:rPr>
          <w:rFonts w:hint="eastAsia" w:ascii="宋体" w:hAnsi="宋体" w:eastAsia="宋体" w:cs="宋体"/>
          <w:spacing w:val="-3"/>
          <w:sz w:val="28"/>
          <w:szCs w:val="28"/>
          <w:lang w:val="en-US" w:eastAsia="zh-CN"/>
        </w:rPr>
        <w:t>八</w:t>
      </w:r>
      <w:r>
        <w:rPr>
          <w:rFonts w:ascii="宋体" w:hAnsi="宋体" w:eastAsia="宋体" w:cs="宋体"/>
          <w:spacing w:val="-3"/>
          <w:sz w:val="28"/>
          <w:szCs w:val="28"/>
        </w:rPr>
        <w:t>月</w:t>
      </w:r>
    </w:p>
    <w:p w14:paraId="61BF0842">
      <w:pPr>
        <w:spacing w:line="398" w:lineRule="auto"/>
        <w:rPr>
          <w:rFonts w:ascii="宋体" w:hAnsi="宋体" w:eastAsia="宋体" w:cs="宋体"/>
          <w:sz w:val="28"/>
          <w:szCs w:val="28"/>
        </w:rPr>
        <w:sectPr>
          <w:headerReference r:id="rId5" w:type="default"/>
          <w:pgSz w:w="11906" w:h="16839"/>
          <w:pgMar w:top="1090" w:right="1245" w:bottom="0" w:left="1276" w:header="1075" w:footer="0" w:gutter="0"/>
          <w:cols w:space="720" w:num="1"/>
        </w:sectPr>
      </w:pPr>
    </w:p>
    <w:p w14:paraId="4DFE861D">
      <w:pPr>
        <w:pStyle w:val="8"/>
        <w:spacing w:line="253" w:lineRule="auto"/>
        <w:ind w:left="0" w:leftChars="0" w:firstLine="0" w:firstLineChars="0"/>
      </w:pPr>
    </w:p>
    <w:sdt>
      <w:sdtPr>
        <w:rPr>
          <w:rFonts w:ascii="宋体" w:hAnsi="宋体" w:eastAsia="宋体" w:cs="Arial"/>
          <w:snapToGrid w:val="0"/>
          <w:color w:val="000000"/>
          <w:kern w:val="0"/>
          <w:sz w:val="21"/>
          <w:szCs w:val="21"/>
          <w:lang w:val="en-US" w:eastAsia="en-US" w:bidi="ar-SA"/>
        </w:rPr>
        <w:id w:val="147480785"/>
        <w15:color w:val="DBDBDB"/>
        <w:docPartObj>
          <w:docPartGallery w:val="Table of Contents"/>
          <w:docPartUnique/>
        </w:docPartObj>
      </w:sdtPr>
      <w:sdtEndPr>
        <w:rPr>
          <w:rFonts w:ascii="宋体" w:hAnsi="宋体" w:eastAsia="宋体" w:cs="Arial"/>
          <w:b/>
          <w:snapToGrid w:val="0"/>
          <w:color w:val="000000"/>
          <w:kern w:val="0"/>
          <w:sz w:val="21"/>
          <w:szCs w:val="21"/>
          <w:lang w:val="en-US" w:eastAsia="en-US" w:bidi="ar-SA"/>
        </w:rPr>
      </w:sdtEndPr>
      <w:sdtContent>
        <w:p w14:paraId="21210B74">
          <w:pPr>
            <w:spacing w:before="0" w:beforeLines="0" w:after="0" w:afterLines="0" w:line="240" w:lineRule="auto"/>
            <w:ind w:left="0" w:leftChars="0" w:right="0" w:rightChars="0" w:firstLine="0" w:firstLineChars="0"/>
            <w:jc w:val="center"/>
          </w:pPr>
          <w:r>
            <w:rPr>
              <w:rFonts w:ascii="宋体" w:hAnsi="宋体" w:eastAsia="宋体"/>
              <w:sz w:val="21"/>
            </w:rPr>
            <w:t>目录</w:t>
          </w:r>
        </w:p>
        <w:p w14:paraId="317643C0">
          <w:pPr>
            <w:pStyle w:val="11"/>
            <w:keepNext w:val="0"/>
            <w:keepLines w:val="0"/>
            <w:pageBreakBefore w:val="0"/>
            <w:widowControl/>
            <w:tabs>
              <w:tab w:val="right" w:leader="dot" w:pos="8829"/>
            </w:tabs>
            <w:kinsoku w:val="0"/>
            <w:wordWrap/>
            <w:overflowPunct/>
            <w:topLinePunct w:val="0"/>
            <w:autoSpaceDE w:val="0"/>
            <w:autoSpaceDN w:val="0"/>
            <w:bidi w:val="0"/>
            <w:adjustRightInd w:val="0"/>
            <w:snapToGrid w:val="0"/>
            <w:spacing w:before="0" w:beforeLines="50" w:line="360" w:lineRule="auto"/>
            <w:textAlignment w:val="baseline"/>
          </w:pPr>
          <w:r>
            <w:fldChar w:fldCharType="begin"/>
          </w:r>
          <w:r>
            <w:instrText xml:space="preserve">TOC \o "1-2" \h \u </w:instrText>
          </w:r>
          <w:r>
            <w:fldChar w:fldCharType="separate"/>
          </w:r>
          <w:r>
            <w:fldChar w:fldCharType="begin"/>
          </w:r>
          <w:r>
            <w:instrText xml:space="preserve"> HYPERLINK \l _Toc12297 </w:instrText>
          </w:r>
          <w:r>
            <w:fldChar w:fldCharType="separate"/>
          </w:r>
          <w:r>
            <w:rPr>
              <w:rFonts w:hint="eastAsia"/>
            </w:rPr>
            <w:t>第一章</w:t>
          </w:r>
          <w:r>
            <w:t>概述</w:t>
          </w:r>
          <w:r>
            <w:tab/>
          </w:r>
          <w:r>
            <w:fldChar w:fldCharType="begin"/>
          </w:r>
          <w:r>
            <w:instrText xml:space="preserve"> PAGEREF _Toc12297 \h </w:instrText>
          </w:r>
          <w:r>
            <w:fldChar w:fldCharType="separate"/>
          </w:r>
          <w:r>
            <w:t>1</w:t>
          </w:r>
          <w:r>
            <w:fldChar w:fldCharType="end"/>
          </w:r>
          <w:r>
            <w:fldChar w:fldCharType="end"/>
          </w:r>
        </w:p>
        <w:p w14:paraId="4F102399">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_Toc1499 </w:instrText>
          </w:r>
          <w:r>
            <w:fldChar w:fldCharType="separate"/>
          </w:r>
          <w:r>
            <w:rPr>
              <w:rFonts w:hint="eastAsia"/>
            </w:rPr>
            <w:t>一、</w:t>
          </w:r>
          <w:r>
            <w:t>项目概况</w:t>
          </w:r>
          <w:r>
            <w:tab/>
          </w:r>
          <w:r>
            <w:fldChar w:fldCharType="begin"/>
          </w:r>
          <w:r>
            <w:instrText xml:space="preserve"> PAGEREF _Toc1499 \h </w:instrText>
          </w:r>
          <w:r>
            <w:fldChar w:fldCharType="separate"/>
          </w:r>
          <w:r>
            <w:t>1</w:t>
          </w:r>
          <w:r>
            <w:fldChar w:fldCharType="end"/>
          </w:r>
          <w:r>
            <w:fldChar w:fldCharType="end"/>
          </w:r>
        </w:p>
        <w:p w14:paraId="6799290D">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_Toc10370 </w:instrText>
          </w:r>
          <w:r>
            <w:fldChar w:fldCharType="separate"/>
          </w:r>
          <w:r>
            <w:rPr>
              <w:rFonts w:hint="eastAsia" w:ascii="Arial" w:hAnsi="Arial"/>
            </w:rPr>
            <w:t>二、</w:t>
          </w:r>
          <w:r>
            <w:rPr>
              <w:rFonts w:ascii="Arial" w:hAnsi="Arial"/>
            </w:rPr>
            <w:t>项目实施机构</w:t>
          </w:r>
          <w:r>
            <w:tab/>
          </w:r>
          <w:r>
            <w:fldChar w:fldCharType="begin"/>
          </w:r>
          <w:r>
            <w:instrText xml:space="preserve"> PAGEREF _Toc10370 \h </w:instrText>
          </w:r>
          <w:r>
            <w:fldChar w:fldCharType="separate"/>
          </w:r>
          <w:r>
            <w:t>7</w:t>
          </w:r>
          <w:r>
            <w:fldChar w:fldCharType="end"/>
          </w:r>
          <w:r>
            <w:fldChar w:fldCharType="end"/>
          </w:r>
        </w:p>
        <w:p w14:paraId="3A1F4D69">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_Toc2732 </w:instrText>
          </w:r>
          <w:r>
            <w:fldChar w:fldCharType="separate"/>
          </w:r>
          <w:r>
            <w:rPr>
              <w:rFonts w:hint="eastAsia" w:ascii="Arial" w:hAnsi="Arial"/>
            </w:rPr>
            <w:t>三、</w:t>
          </w:r>
          <w:r>
            <w:rPr>
              <w:rFonts w:ascii="Arial" w:hAnsi="Arial"/>
            </w:rPr>
            <w:t>特许经营主要内容</w:t>
          </w:r>
          <w:r>
            <w:tab/>
          </w:r>
          <w:r>
            <w:fldChar w:fldCharType="begin"/>
          </w:r>
          <w:r>
            <w:instrText xml:space="preserve"> PAGEREF _Toc2732 \h </w:instrText>
          </w:r>
          <w:r>
            <w:fldChar w:fldCharType="separate"/>
          </w:r>
          <w:r>
            <w:t>7</w:t>
          </w:r>
          <w:r>
            <w:fldChar w:fldCharType="end"/>
          </w:r>
          <w:r>
            <w:fldChar w:fldCharType="end"/>
          </w:r>
        </w:p>
        <w:p w14:paraId="466F6FD2">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_Toc8833 </w:instrText>
          </w:r>
          <w:r>
            <w:fldChar w:fldCharType="separate"/>
          </w:r>
          <w:r>
            <w:rPr>
              <w:rFonts w:hint="eastAsia" w:ascii="Arial" w:hAnsi="Arial"/>
            </w:rPr>
            <w:t>四、</w:t>
          </w:r>
          <w:r>
            <w:rPr>
              <w:rFonts w:ascii="Arial" w:hAnsi="Arial"/>
            </w:rPr>
            <w:t>政府承诺和保障</w:t>
          </w:r>
          <w:r>
            <w:tab/>
          </w:r>
          <w:r>
            <w:fldChar w:fldCharType="begin"/>
          </w:r>
          <w:r>
            <w:instrText xml:space="preserve"> PAGEREF _Toc8833 \h </w:instrText>
          </w:r>
          <w:r>
            <w:fldChar w:fldCharType="separate"/>
          </w:r>
          <w:r>
            <w:t>8</w:t>
          </w:r>
          <w:r>
            <w:fldChar w:fldCharType="end"/>
          </w:r>
          <w:r>
            <w:fldChar w:fldCharType="end"/>
          </w:r>
        </w:p>
        <w:p w14:paraId="40B85B11">
          <w:pPr>
            <w:pStyle w:val="11"/>
            <w:keepNext w:val="0"/>
            <w:keepLines w:val="0"/>
            <w:pageBreakBefore w:val="0"/>
            <w:widowControl/>
            <w:tabs>
              <w:tab w:val="right" w:leader="dot" w:pos="8829"/>
            </w:tabs>
            <w:kinsoku w:val="0"/>
            <w:wordWrap/>
            <w:overflowPunct/>
            <w:topLinePunct w:val="0"/>
            <w:autoSpaceDE w:val="0"/>
            <w:autoSpaceDN w:val="0"/>
            <w:bidi w:val="0"/>
            <w:adjustRightInd w:val="0"/>
            <w:snapToGrid w:val="0"/>
            <w:spacing w:before="0" w:beforeLines="50" w:line="360" w:lineRule="auto"/>
            <w:textAlignment w:val="baseline"/>
          </w:pPr>
          <w:r>
            <w:fldChar w:fldCharType="begin"/>
          </w:r>
          <w:r>
            <w:instrText xml:space="preserve"> HYPERLINK \l _Toc2556 </w:instrText>
          </w:r>
          <w:r>
            <w:fldChar w:fldCharType="separate"/>
          </w:r>
          <w:r>
            <w:rPr>
              <w:rFonts w:hint="eastAsia"/>
              <w:lang w:val="en-US" w:eastAsia="zh-CN"/>
            </w:rPr>
            <w:t>第二章项目可行性分析</w:t>
          </w:r>
          <w:r>
            <w:tab/>
          </w:r>
          <w:r>
            <w:fldChar w:fldCharType="begin"/>
          </w:r>
          <w:r>
            <w:instrText xml:space="preserve"> PAGEREF _Toc2556 \h </w:instrText>
          </w:r>
          <w:r>
            <w:fldChar w:fldCharType="separate"/>
          </w:r>
          <w:r>
            <w:t>9</w:t>
          </w:r>
          <w:r>
            <w:fldChar w:fldCharType="end"/>
          </w:r>
          <w:r>
            <w:fldChar w:fldCharType="end"/>
          </w:r>
        </w:p>
        <w:p w14:paraId="7B84550F">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_Toc18633 </w:instrText>
          </w:r>
          <w:r>
            <w:fldChar w:fldCharType="separate"/>
          </w:r>
          <w:r>
            <w:rPr>
              <w:rFonts w:hint="eastAsia"/>
            </w:rPr>
            <w:t>一、</w:t>
          </w:r>
          <w:r>
            <w:t>实施必要性</w:t>
          </w:r>
          <w:r>
            <w:tab/>
          </w:r>
          <w:r>
            <w:fldChar w:fldCharType="begin"/>
          </w:r>
          <w:r>
            <w:instrText xml:space="preserve"> PAGEREF _Toc18633 \h </w:instrText>
          </w:r>
          <w:r>
            <w:fldChar w:fldCharType="separate"/>
          </w:r>
          <w:r>
            <w:t>9</w:t>
          </w:r>
          <w:r>
            <w:fldChar w:fldCharType="end"/>
          </w:r>
          <w:r>
            <w:fldChar w:fldCharType="end"/>
          </w:r>
        </w:p>
        <w:p w14:paraId="5FDD7B93">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_Toc26132 </w:instrText>
          </w:r>
          <w:r>
            <w:fldChar w:fldCharType="separate"/>
          </w:r>
          <w:r>
            <w:rPr>
              <w:rFonts w:hint="eastAsia"/>
            </w:rPr>
            <w:t>二、</w:t>
          </w:r>
          <w:r>
            <w:t>运营服务要求</w:t>
          </w:r>
          <w:r>
            <w:tab/>
          </w:r>
          <w:r>
            <w:fldChar w:fldCharType="begin"/>
          </w:r>
          <w:r>
            <w:instrText xml:space="preserve"> PAGEREF _Toc26132 \h </w:instrText>
          </w:r>
          <w:r>
            <w:fldChar w:fldCharType="separate"/>
          </w:r>
          <w:r>
            <w:t>12</w:t>
          </w:r>
          <w:r>
            <w:fldChar w:fldCharType="end"/>
          </w:r>
          <w:r>
            <w:fldChar w:fldCharType="end"/>
          </w:r>
        </w:p>
        <w:p w14:paraId="6808277F">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_Toc5326 </w:instrText>
          </w:r>
          <w:r>
            <w:fldChar w:fldCharType="separate"/>
          </w:r>
          <w:r>
            <w:rPr>
              <w:rFonts w:hint="eastAsia"/>
            </w:rPr>
            <w:t>三、</w:t>
          </w:r>
          <w:r>
            <w:t>主要风险识别</w:t>
          </w:r>
          <w:r>
            <w:tab/>
          </w:r>
          <w:r>
            <w:fldChar w:fldCharType="begin"/>
          </w:r>
          <w:r>
            <w:instrText xml:space="preserve"> PAGEREF _Toc5326 \h </w:instrText>
          </w:r>
          <w:r>
            <w:fldChar w:fldCharType="separate"/>
          </w:r>
          <w:r>
            <w:t>14</w:t>
          </w:r>
          <w:r>
            <w:fldChar w:fldCharType="end"/>
          </w:r>
          <w:r>
            <w:fldChar w:fldCharType="end"/>
          </w:r>
        </w:p>
        <w:p w14:paraId="3E5364DE">
          <w:pPr>
            <w:pStyle w:val="11"/>
            <w:keepNext w:val="0"/>
            <w:keepLines w:val="0"/>
            <w:pageBreakBefore w:val="0"/>
            <w:widowControl/>
            <w:tabs>
              <w:tab w:val="right" w:leader="dot" w:pos="8829"/>
            </w:tabs>
            <w:kinsoku w:val="0"/>
            <w:wordWrap/>
            <w:overflowPunct/>
            <w:topLinePunct w:val="0"/>
            <w:autoSpaceDE w:val="0"/>
            <w:autoSpaceDN w:val="0"/>
            <w:bidi w:val="0"/>
            <w:adjustRightInd w:val="0"/>
            <w:snapToGrid w:val="0"/>
            <w:spacing w:before="0" w:beforeLines="50" w:line="360" w:lineRule="auto"/>
            <w:textAlignment w:val="baseline"/>
          </w:pPr>
          <w:r>
            <w:fldChar w:fldCharType="begin"/>
          </w:r>
          <w:r>
            <w:instrText xml:space="preserve"> HYPERLINK \l _Toc31164 </w:instrText>
          </w:r>
          <w:r>
            <w:fldChar w:fldCharType="separate"/>
          </w:r>
          <w:r>
            <w:rPr>
              <w:rFonts w:hint="eastAsia"/>
              <w:lang w:val="en-US" w:eastAsia="zh-CN"/>
            </w:rPr>
            <w:t>第三章特许经营模式可行性论证</w:t>
          </w:r>
          <w:r>
            <w:tab/>
          </w:r>
          <w:r>
            <w:fldChar w:fldCharType="begin"/>
          </w:r>
          <w:r>
            <w:instrText xml:space="preserve"> PAGEREF _Toc31164 \h </w:instrText>
          </w:r>
          <w:r>
            <w:fldChar w:fldCharType="separate"/>
          </w:r>
          <w:r>
            <w:t>15</w:t>
          </w:r>
          <w:r>
            <w:fldChar w:fldCharType="end"/>
          </w:r>
          <w:r>
            <w:fldChar w:fldCharType="end"/>
          </w:r>
        </w:p>
        <w:p w14:paraId="0F4CE005">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_Toc10451 </w:instrText>
          </w:r>
          <w:r>
            <w:fldChar w:fldCharType="separate"/>
          </w:r>
          <w:r>
            <w:rPr>
              <w:rFonts w:hint="eastAsia"/>
            </w:rPr>
            <w:t>一、</w:t>
          </w:r>
          <w:r>
            <w:rPr>
              <w:lang w:val="en-US" w:eastAsia="en-US"/>
            </w:rPr>
            <w:t>项目属性分析</w:t>
          </w:r>
          <w:r>
            <w:tab/>
          </w:r>
          <w:r>
            <w:fldChar w:fldCharType="begin"/>
          </w:r>
          <w:r>
            <w:instrText xml:space="preserve"> PAGEREF _Toc10451 \h </w:instrText>
          </w:r>
          <w:r>
            <w:fldChar w:fldCharType="separate"/>
          </w:r>
          <w:r>
            <w:t>15</w:t>
          </w:r>
          <w:r>
            <w:fldChar w:fldCharType="end"/>
          </w:r>
          <w:r>
            <w:fldChar w:fldCharType="end"/>
          </w:r>
        </w:p>
        <w:p w14:paraId="4ED42F45">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_Toc11869 </w:instrText>
          </w:r>
          <w:r>
            <w:fldChar w:fldCharType="separate"/>
          </w:r>
          <w:r>
            <w:rPr>
              <w:rFonts w:hint="eastAsia"/>
              <w:lang w:val="en-US" w:eastAsia="en-US"/>
            </w:rPr>
            <w:t>二、</w:t>
          </w:r>
          <w:r>
            <w:rPr>
              <w:lang w:val="en-US" w:eastAsia="en-US"/>
            </w:rPr>
            <w:t>项目收费渠道和方式</w:t>
          </w:r>
          <w:r>
            <w:tab/>
          </w:r>
          <w:r>
            <w:fldChar w:fldCharType="begin"/>
          </w:r>
          <w:r>
            <w:instrText xml:space="preserve"> PAGEREF _Toc11869 \h </w:instrText>
          </w:r>
          <w:r>
            <w:fldChar w:fldCharType="separate"/>
          </w:r>
          <w:r>
            <w:t>17</w:t>
          </w:r>
          <w:r>
            <w:fldChar w:fldCharType="end"/>
          </w:r>
          <w:r>
            <w:fldChar w:fldCharType="end"/>
          </w:r>
        </w:p>
        <w:p w14:paraId="218EFA6E">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_Toc8192 </w:instrText>
          </w:r>
          <w:r>
            <w:fldChar w:fldCharType="separate"/>
          </w:r>
          <w:r>
            <w:rPr>
              <w:rFonts w:hint="eastAsia"/>
              <w:lang w:val="en-US" w:eastAsia="en-US"/>
            </w:rPr>
            <w:t>三、</w:t>
          </w:r>
          <w:r>
            <w:rPr>
              <w:lang w:val="en-US" w:eastAsia="en-US"/>
            </w:rPr>
            <w:t>项目盈利能力分析</w:t>
          </w:r>
          <w:r>
            <w:tab/>
          </w:r>
          <w:r>
            <w:fldChar w:fldCharType="begin"/>
          </w:r>
          <w:r>
            <w:instrText xml:space="preserve"> PAGEREF _Toc8192 \h </w:instrText>
          </w:r>
          <w:r>
            <w:fldChar w:fldCharType="separate"/>
          </w:r>
          <w:r>
            <w:t>22</w:t>
          </w:r>
          <w:r>
            <w:fldChar w:fldCharType="end"/>
          </w:r>
          <w:r>
            <w:fldChar w:fldCharType="end"/>
          </w:r>
        </w:p>
        <w:p w14:paraId="5068A247">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_Toc21566 </w:instrText>
          </w:r>
          <w:r>
            <w:fldChar w:fldCharType="separate"/>
          </w:r>
          <w:r>
            <w:rPr>
              <w:rFonts w:hint="eastAsia"/>
              <w:lang w:val="en-US" w:eastAsia="en-US"/>
            </w:rPr>
            <w:t>四、</w:t>
          </w:r>
          <w:r>
            <w:rPr>
              <w:lang w:val="en-US" w:eastAsia="en-US"/>
            </w:rPr>
            <w:t>比较优势分析</w:t>
          </w:r>
          <w:r>
            <w:tab/>
          </w:r>
          <w:r>
            <w:fldChar w:fldCharType="begin"/>
          </w:r>
          <w:r>
            <w:instrText xml:space="preserve"> PAGEREF _Toc21566 \h </w:instrText>
          </w:r>
          <w:r>
            <w:fldChar w:fldCharType="separate"/>
          </w:r>
          <w:r>
            <w:t>32</w:t>
          </w:r>
          <w:r>
            <w:fldChar w:fldCharType="end"/>
          </w:r>
          <w:r>
            <w:fldChar w:fldCharType="end"/>
          </w:r>
        </w:p>
        <w:p w14:paraId="1598945E">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_Toc11328 </w:instrText>
          </w:r>
          <w:r>
            <w:fldChar w:fldCharType="separate"/>
          </w:r>
          <w:r>
            <w:rPr>
              <w:rFonts w:hint="eastAsia"/>
              <w:lang w:val="en-US" w:eastAsia="en-US"/>
            </w:rPr>
            <w:t>五、</w:t>
          </w:r>
          <w:r>
            <w:rPr>
              <w:lang w:val="en-US" w:eastAsia="en-US"/>
            </w:rPr>
            <w:t>参与意愿分析</w:t>
          </w:r>
          <w:r>
            <w:tab/>
          </w:r>
          <w:r>
            <w:fldChar w:fldCharType="begin"/>
          </w:r>
          <w:r>
            <w:instrText xml:space="preserve"> PAGEREF _Toc11328 \h </w:instrText>
          </w:r>
          <w:r>
            <w:fldChar w:fldCharType="separate"/>
          </w:r>
          <w:r>
            <w:t>35</w:t>
          </w:r>
          <w:r>
            <w:fldChar w:fldCharType="end"/>
          </w:r>
          <w:r>
            <w:fldChar w:fldCharType="end"/>
          </w:r>
        </w:p>
        <w:p w14:paraId="53F108CD">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_Toc21876 </w:instrText>
          </w:r>
          <w:r>
            <w:fldChar w:fldCharType="separate"/>
          </w:r>
          <w:r>
            <w:rPr>
              <w:rFonts w:hint="eastAsia"/>
              <w:lang w:val="en-US" w:eastAsia="en-US"/>
            </w:rPr>
            <w:t>六、</w:t>
          </w:r>
          <w:r>
            <w:rPr>
              <w:lang w:val="en-US" w:eastAsia="en-US"/>
            </w:rPr>
            <w:t>合法合规性分析</w:t>
          </w:r>
          <w:r>
            <w:tab/>
          </w:r>
          <w:r>
            <w:fldChar w:fldCharType="begin"/>
          </w:r>
          <w:r>
            <w:instrText xml:space="preserve"> PAGEREF _Toc21876 \h </w:instrText>
          </w:r>
          <w:r>
            <w:fldChar w:fldCharType="separate"/>
          </w:r>
          <w:r>
            <w:t>37</w:t>
          </w:r>
          <w:r>
            <w:fldChar w:fldCharType="end"/>
          </w:r>
          <w:r>
            <w:fldChar w:fldCharType="end"/>
          </w:r>
        </w:p>
        <w:p w14:paraId="1B5C280B">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_Toc22495 </w:instrText>
          </w:r>
          <w:r>
            <w:fldChar w:fldCharType="separate"/>
          </w:r>
          <w:r>
            <w:rPr>
              <w:rFonts w:hint="eastAsia"/>
              <w:lang w:val="en-US" w:eastAsia="en-US"/>
            </w:rPr>
            <w:t>七、</w:t>
          </w:r>
          <w:r>
            <w:rPr>
              <w:lang w:val="en-US" w:eastAsia="en-US"/>
            </w:rPr>
            <w:t>特许经营风险分析</w:t>
          </w:r>
          <w:r>
            <w:tab/>
          </w:r>
          <w:r>
            <w:fldChar w:fldCharType="begin"/>
          </w:r>
          <w:r>
            <w:instrText xml:space="preserve"> PAGEREF _Toc22495 \h </w:instrText>
          </w:r>
          <w:r>
            <w:fldChar w:fldCharType="separate"/>
          </w:r>
          <w:r>
            <w:t>37</w:t>
          </w:r>
          <w:r>
            <w:fldChar w:fldCharType="end"/>
          </w:r>
          <w:r>
            <w:fldChar w:fldCharType="end"/>
          </w:r>
        </w:p>
        <w:p w14:paraId="5E3A2078">
          <w:pPr>
            <w:pStyle w:val="11"/>
            <w:keepNext w:val="0"/>
            <w:keepLines w:val="0"/>
            <w:pageBreakBefore w:val="0"/>
            <w:widowControl/>
            <w:tabs>
              <w:tab w:val="right" w:leader="dot" w:pos="8829"/>
            </w:tabs>
            <w:kinsoku w:val="0"/>
            <w:wordWrap/>
            <w:overflowPunct/>
            <w:topLinePunct w:val="0"/>
            <w:autoSpaceDE w:val="0"/>
            <w:autoSpaceDN w:val="0"/>
            <w:bidi w:val="0"/>
            <w:adjustRightInd w:val="0"/>
            <w:snapToGrid w:val="0"/>
            <w:spacing w:before="0" w:beforeLines="50" w:line="360" w:lineRule="auto"/>
            <w:textAlignment w:val="baseline"/>
          </w:pPr>
          <w:r>
            <w:fldChar w:fldCharType="begin"/>
          </w:r>
          <w:r>
            <w:instrText xml:space="preserve"> HYPERLINK \l _Toc24954 </w:instrText>
          </w:r>
          <w:r>
            <w:fldChar w:fldCharType="separate"/>
          </w:r>
          <w:r>
            <w:rPr>
              <w:rFonts w:hint="eastAsia"/>
              <w:lang w:val="en-US" w:eastAsia="zh-CN"/>
            </w:rPr>
            <w:t>第四章特许经营主要内容</w:t>
          </w:r>
          <w:r>
            <w:tab/>
          </w:r>
          <w:r>
            <w:fldChar w:fldCharType="begin"/>
          </w:r>
          <w:r>
            <w:instrText xml:space="preserve"> PAGEREF _Toc24954 \h </w:instrText>
          </w:r>
          <w:r>
            <w:fldChar w:fldCharType="separate"/>
          </w:r>
          <w:r>
            <w:t>40</w:t>
          </w:r>
          <w:r>
            <w:fldChar w:fldCharType="end"/>
          </w:r>
          <w:r>
            <w:fldChar w:fldCharType="end"/>
          </w:r>
        </w:p>
        <w:p w14:paraId="58E10202">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_Toc12607 </w:instrText>
          </w:r>
          <w:r>
            <w:fldChar w:fldCharType="separate"/>
          </w:r>
          <w:r>
            <w:rPr>
              <w:rFonts w:hint="eastAsia"/>
              <w:lang w:val="en-US" w:eastAsia="en-US"/>
            </w:rPr>
            <w:t>一、</w:t>
          </w:r>
          <w:r>
            <w:rPr>
              <w:lang w:val="en-US" w:eastAsia="en-US"/>
            </w:rPr>
            <w:t>特许经营范围</w:t>
          </w:r>
          <w:r>
            <w:tab/>
          </w:r>
          <w:r>
            <w:fldChar w:fldCharType="begin"/>
          </w:r>
          <w:r>
            <w:instrText xml:space="preserve"> PAGEREF _Toc12607 \h </w:instrText>
          </w:r>
          <w:r>
            <w:fldChar w:fldCharType="separate"/>
          </w:r>
          <w:r>
            <w:t>40</w:t>
          </w:r>
          <w:r>
            <w:fldChar w:fldCharType="end"/>
          </w:r>
          <w:r>
            <w:fldChar w:fldCharType="end"/>
          </w:r>
        </w:p>
        <w:p w14:paraId="3F51AE66">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_Toc24224 </w:instrText>
          </w:r>
          <w:r>
            <w:fldChar w:fldCharType="separate"/>
          </w:r>
          <w:r>
            <w:rPr>
              <w:rFonts w:hint="eastAsia"/>
              <w:lang w:val="en-US" w:eastAsia="en-US"/>
            </w:rPr>
            <w:t>二、</w:t>
          </w:r>
          <w:r>
            <w:rPr>
              <w:lang w:val="en-US" w:eastAsia="en-US"/>
            </w:rPr>
            <w:t>实施方式</w:t>
          </w:r>
          <w:r>
            <w:tab/>
          </w:r>
          <w:r>
            <w:fldChar w:fldCharType="begin"/>
          </w:r>
          <w:r>
            <w:instrText xml:space="preserve"> PAGEREF _Toc24224 \h </w:instrText>
          </w:r>
          <w:r>
            <w:fldChar w:fldCharType="separate"/>
          </w:r>
          <w:r>
            <w:t>40</w:t>
          </w:r>
          <w:r>
            <w:fldChar w:fldCharType="end"/>
          </w:r>
          <w:r>
            <w:fldChar w:fldCharType="end"/>
          </w:r>
        </w:p>
        <w:p w14:paraId="344529DC">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_Toc6435 </w:instrText>
          </w:r>
          <w:r>
            <w:fldChar w:fldCharType="separate"/>
          </w:r>
          <w:r>
            <w:rPr>
              <w:rFonts w:hint="eastAsia"/>
              <w:lang w:val="en-US" w:eastAsia="en-US"/>
            </w:rPr>
            <w:t>三、</w:t>
          </w:r>
          <w:r>
            <w:rPr>
              <w:lang w:val="en-US" w:eastAsia="en-US"/>
            </w:rPr>
            <w:t>特许经营期限和资产权属</w:t>
          </w:r>
          <w:r>
            <w:tab/>
          </w:r>
          <w:r>
            <w:fldChar w:fldCharType="begin"/>
          </w:r>
          <w:r>
            <w:instrText xml:space="preserve"> PAGEREF _Toc6435 \h </w:instrText>
          </w:r>
          <w:r>
            <w:fldChar w:fldCharType="separate"/>
          </w:r>
          <w:r>
            <w:t>40</w:t>
          </w:r>
          <w:r>
            <w:fldChar w:fldCharType="end"/>
          </w:r>
          <w:r>
            <w:fldChar w:fldCharType="end"/>
          </w:r>
        </w:p>
        <w:p w14:paraId="4E0DE7BB">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_Toc6043 </w:instrText>
          </w:r>
          <w:r>
            <w:fldChar w:fldCharType="separate"/>
          </w:r>
          <w:r>
            <w:rPr>
              <w:rFonts w:hint="eastAsia"/>
              <w:lang w:val="en-US" w:eastAsia="en-US"/>
            </w:rPr>
            <w:t>四、</w:t>
          </w:r>
          <w:r>
            <w:rPr>
              <w:lang w:val="en-US" w:eastAsia="en-US"/>
            </w:rPr>
            <w:t>特许经营主要原则和合作边界</w:t>
          </w:r>
          <w:r>
            <w:tab/>
          </w:r>
          <w:r>
            <w:fldChar w:fldCharType="begin"/>
          </w:r>
          <w:r>
            <w:instrText xml:space="preserve"> PAGEREF _Toc6043 \h </w:instrText>
          </w:r>
          <w:r>
            <w:fldChar w:fldCharType="separate"/>
          </w:r>
          <w:r>
            <w:t>42</w:t>
          </w:r>
          <w:r>
            <w:fldChar w:fldCharType="end"/>
          </w:r>
          <w:r>
            <w:fldChar w:fldCharType="end"/>
          </w:r>
        </w:p>
        <w:p w14:paraId="044F1064">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_Toc28764 </w:instrText>
          </w:r>
          <w:r>
            <w:fldChar w:fldCharType="separate"/>
          </w:r>
          <w:r>
            <w:rPr>
              <w:rFonts w:hint="eastAsia"/>
              <w:lang w:val="en-US" w:eastAsia="en-US"/>
            </w:rPr>
            <w:t>五、</w:t>
          </w:r>
          <w:r>
            <w:rPr>
              <w:lang w:val="en-US" w:eastAsia="en-US"/>
            </w:rPr>
            <w:t>特许经营者选择</w:t>
          </w:r>
          <w:r>
            <w:tab/>
          </w:r>
          <w:r>
            <w:fldChar w:fldCharType="begin"/>
          </w:r>
          <w:r>
            <w:instrText xml:space="preserve"> PAGEREF _Toc28764 \h </w:instrText>
          </w:r>
          <w:r>
            <w:fldChar w:fldCharType="separate"/>
          </w:r>
          <w:r>
            <w:t>47</w:t>
          </w:r>
          <w:r>
            <w:fldChar w:fldCharType="end"/>
          </w:r>
          <w:r>
            <w:fldChar w:fldCharType="end"/>
          </w:r>
        </w:p>
        <w:p w14:paraId="772225EF">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_Toc3849 </w:instrText>
          </w:r>
          <w:r>
            <w:fldChar w:fldCharType="separate"/>
          </w:r>
          <w:r>
            <w:rPr>
              <w:rFonts w:hint="eastAsia"/>
              <w:lang w:val="en-US" w:eastAsia="en-US"/>
            </w:rPr>
            <w:t>六、</w:t>
          </w:r>
          <w:r>
            <w:rPr>
              <w:lang w:val="en-US" w:eastAsia="en-US"/>
            </w:rPr>
            <w:t>交易结构与投融资结构</w:t>
          </w:r>
          <w:r>
            <w:tab/>
          </w:r>
          <w:r>
            <w:fldChar w:fldCharType="begin"/>
          </w:r>
          <w:r>
            <w:instrText xml:space="preserve"> PAGEREF _Toc3849 \h </w:instrText>
          </w:r>
          <w:r>
            <w:fldChar w:fldCharType="separate"/>
          </w:r>
          <w:r>
            <w:t>51</w:t>
          </w:r>
          <w:r>
            <w:fldChar w:fldCharType="end"/>
          </w:r>
          <w:r>
            <w:fldChar w:fldCharType="end"/>
          </w:r>
        </w:p>
        <w:p w14:paraId="708CE4C6">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_Toc2019 </w:instrText>
          </w:r>
          <w:r>
            <w:fldChar w:fldCharType="separate"/>
          </w:r>
          <w:r>
            <w:rPr>
              <w:rFonts w:hint="eastAsia"/>
              <w:lang w:val="en-US" w:eastAsia="en-US"/>
            </w:rPr>
            <w:t>七、</w:t>
          </w:r>
          <w:r>
            <w:rPr>
              <w:lang w:val="en-US" w:eastAsia="en-US"/>
            </w:rPr>
            <w:t>监督管理和项目运营评价</w:t>
          </w:r>
          <w:r>
            <w:tab/>
          </w:r>
          <w:r>
            <w:fldChar w:fldCharType="begin"/>
          </w:r>
          <w:r>
            <w:instrText xml:space="preserve"> PAGEREF _Toc2019 \h </w:instrText>
          </w:r>
          <w:r>
            <w:fldChar w:fldCharType="separate"/>
          </w:r>
          <w:r>
            <w:t>54</w:t>
          </w:r>
          <w:r>
            <w:fldChar w:fldCharType="end"/>
          </w:r>
          <w:r>
            <w:fldChar w:fldCharType="end"/>
          </w:r>
        </w:p>
        <w:p w14:paraId="39381891">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_Toc28581 </w:instrText>
          </w:r>
          <w:r>
            <w:fldChar w:fldCharType="separate"/>
          </w:r>
          <w:r>
            <w:rPr>
              <w:rFonts w:hint="eastAsia"/>
              <w:lang w:val="en-US" w:eastAsia="en-US"/>
            </w:rPr>
            <w:t>八、</w:t>
          </w:r>
          <w:r>
            <w:rPr>
              <w:lang w:val="en-US" w:eastAsia="en-US"/>
            </w:rPr>
            <w:t>风险管控</w:t>
          </w:r>
          <w:r>
            <w:tab/>
          </w:r>
          <w:r>
            <w:fldChar w:fldCharType="begin"/>
          </w:r>
          <w:r>
            <w:instrText xml:space="preserve"> PAGEREF _Toc28581 \h </w:instrText>
          </w:r>
          <w:r>
            <w:fldChar w:fldCharType="separate"/>
          </w:r>
          <w:r>
            <w:t>57</w:t>
          </w:r>
          <w:r>
            <w:fldChar w:fldCharType="end"/>
          </w:r>
          <w:r>
            <w:fldChar w:fldCharType="end"/>
          </w:r>
        </w:p>
        <w:p w14:paraId="76C8D310">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_Toc3738 </w:instrText>
          </w:r>
          <w:r>
            <w:fldChar w:fldCharType="separate"/>
          </w:r>
          <w:r>
            <w:rPr>
              <w:rFonts w:hint="eastAsia"/>
              <w:lang w:val="en-US" w:eastAsia="en-US"/>
            </w:rPr>
            <w:t>九、</w:t>
          </w:r>
          <w:r>
            <w:rPr>
              <w:lang w:val="en-US" w:eastAsia="en-US"/>
            </w:rPr>
            <w:t>政府承诺和保障</w:t>
          </w:r>
          <w:r>
            <w:tab/>
          </w:r>
          <w:r>
            <w:fldChar w:fldCharType="begin"/>
          </w:r>
          <w:r>
            <w:instrText xml:space="preserve"> PAGEREF _Toc3738 \h </w:instrText>
          </w:r>
          <w:r>
            <w:fldChar w:fldCharType="separate"/>
          </w:r>
          <w:r>
            <w:t>62</w:t>
          </w:r>
          <w:r>
            <w:fldChar w:fldCharType="end"/>
          </w:r>
          <w:r>
            <w:fldChar w:fldCharType="end"/>
          </w:r>
        </w:p>
        <w:p w14:paraId="55CD54D0">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_Toc1914 </w:instrText>
          </w:r>
          <w:r>
            <w:fldChar w:fldCharType="separate"/>
          </w:r>
          <w:r>
            <w:rPr>
              <w:rFonts w:hint="eastAsia"/>
              <w:lang w:val="en-US" w:eastAsia="en-US"/>
            </w:rPr>
            <w:t>十、</w:t>
          </w:r>
          <w:r>
            <w:rPr>
              <w:lang w:val="en-US" w:eastAsia="en-US"/>
            </w:rPr>
            <w:t>调整、变更等其他要求</w:t>
          </w:r>
          <w:r>
            <w:tab/>
          </w:r>
          <w:r>
            <w:fldChar w:fldCharType="begin"/>
          </w:r>
          <w:r>
            <w:instrText xml:space="preserve"> PAGEREF _Toc1914 \h </w:instrText>
          </w:r>
          <w:r>
            <w:fldChar w:fldCharType="separate"/>
          </w:r>
          <w:r>
            <w:t>63</w:t>
          </w:r>
          <w:r>
            <w:fldChar w:fldCharType="end"/>
          </w:r>
          <w:r>
            <w:fldChar w:fldCharType="end"/>
          </w:r>
        </w:p>
        <w:p w14:paraId="75067BAB">
          <w:pPr>
            <w:pStyle w:val="11"/>
            <w:keepNext w:val="0"/>
            <w:keepLines w:val="0"/>
            <w:pageBreakBefore w:val="0"/>
            <w:widowControl/>
            <w:tabs>
              <w:tab w:val="right" w:leader="dot" w:pos="8829"/>
            </w:tabs>
            <w:kinsoku w:val="0"/>
            <w:wordWrap/>
            <w:overflowPunct/>
            <w:topLinePunct w:val="0"/>
            <w:autoSpaceDE w:val="0"/>
            <w:autoSpaceDN w:val="0"/>
            <w:bidi w:val="0"/>
            <w:adjustRightInd w:val="0"/>
            <w:snapToGrid w:val="0"/>
            <w:spacing w:before="0" w:beforeLines="50" w:line="360" w:lineRule="auto"/>
            <w:textAlignment w:val="baseline"/>
          </w:pPr>
          <w:r>
            <w:fldChar w:fldCharType="begin"/>
          </w:r>
          <w:r>
            <w:instrText xml:space="preserve"> HYPERLINK \l _Toc21072 </w:instrText>
          </w:r>
          <w:r>
            <w:fldChar w:fldCharType="separate"/>
          </w:r>
          <w:r>
            <w:rPr>
              <w:rFonts w:hint="eastAsia" w:ascii="Arial" w:hAnsi="Arial"/>
              <w:lang w:val="en-US" w:eastAsia="zh-CN"/>
            </w:rPr>
            <w:t>第五章结论和建议</w:t>
          </w:r>
          <w:r>
            <w:tab/>
          </w:r>
          <w:r>
            <w:fldChar w:fldCharType="begin"/>
          </w:r>
          <w:r>
            <w:instrText xml:space="preserve"> PAGEREF _Toc21072 \h </w:instrText>
          </w:r>
          <w:r>
            <w:fldChar w:fldCharType="separate"/>
          </w:r>
          <w:r>
            <w:t>70</w:t>
          </w:r>
          <w:r>
            <w:fldChar w:fldCharType="end"/>
          </w:r>
          <w:r>
            <w:fldChar w:fldCharType="end"/>
          </w:r>
        </w:p>
        <w:p w14:paraId="6F32938C">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_Toc27995 </w:instrText>
          </w:r>
          <w:r>
            <w:fldChar w:fldCharType="separate"/>
          </w:r>
          <w:r>
            <w:rPr>
              <w:rFonts w:hint="eastAsia"/>
              <w:lang w:val="en-US" w:eastAsia="en-US"/>
            </w:rPr>
            <w:t>一、</w:t>
          </w:r>
          <w:r>
            <w:rPr>
              <w:lang w:val="en-US" w:eastAsia="en-US"/>
            </w:rPr>
            <w:t>主要研究结论</w:t>
          </w:r>
          <w:r>
            <w:tab/>
          </w:r>
          <w:r>
            <w:fldChar w:fldCharType="begin"/>
          </w:r>
          <w:r>
            <w:instrText xml:space="preserve"> PAGEREF _Toc27995 \h </w:instrText>
          </w:r>
          <w:r>
            <w:fldChar w:fldCharType="separate"/>
          </w:r>
          <w:r>
            <w:t>70</w:t>
          </w:r>
          <w:r>
            <w:fldChar w:fldCharType="end"/>
          </w:r>
          <w:r>
            <w:fldChar w:fldCharType="end"/>
          </w:r>
        </w:p>
        <w:p w14:paraId="4D83E6F2">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_Toc5570 </w:instrText>
          </w:r>
          <w:r>
            <w:fldChar w:fldCharType="separate"/>
          </w:r>
          <w:r>
            <w:rPr>
              <w:rFonts w:hint="eastAsia"/>
              <w:lang w:val="en-US" w:eastAsia="en-US"/>
            </w:rPr>
            <w:t>二、</w:t>
          </w:r>
          <w:r>
            <w:rPr>
              <w:lang w:val="en-US" w:eastAsia="en-US"/>
            </w:rPr>
            <w:t>问题与建议</w:t>
          </w:r>
          <w:r>
            <w:tab/>
          </w:r>
          <w:r>
            <w:fldChar w:fldCharType="begin"/>
          </w:r>
          <w:r>
            <w:instrText xml:space="preserve"> PAGEREF _Toc5570 \h </w:instrText>
          </w:r>
          <w:r>
            <w:fldChar w:fldCharType="separate"/>
          </w:r>
          <w:r>
            <w:t>70</w:t>
          </w:r>
          <w:r>
            <w:fldChar w:fldCharType="end"/>
          </w:r>
          <w:r>
            <w:fldChar w:fldCharType="end"/>
          </w:r>
        </w:p>
        <w:p w14:paraId="51A6E7F1">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pPr>
          <w:r>
            <w:fldChar w:fldCharType="begin"/>
          </w:r>
          <w:r>
            <w:instrText xml:space="preserve"> HYPERLINK \l _Toc11110 </w:instrText>
          </w:r>
          <w:r>
            <w:fldChar w:fldCharType="separate"/>
          </w:r>
          <w:r>
            <w:rPr>
              <w:rFonts w:hint="eastAsia"/>
              <w:lang w:val="en-US" w:eastAsia="en-US"/>
            </w:rPr>
            <w:t>三、</w:t>
          </w:r>
          <w:r>
            <w:rPr>
              <w:lang w:val="en-US" w:eastAsia="en-US"/>
            </w:rPr>
            <w:t>附表、附图和附件</w:t>
          </w:r>
          <w:r>
            <w:tab/>
          </w:r>
          <w:r>
            <w:fldChar w:fldCharType="begin"/>
          </w:r>
          <w:r>
            <w:instrText xml:space="preserve"> PAGEREF _Toc11110 \h </w:instrText>
          </w:r>
          <w:r>
            <w:fldChar w:fldCharType="separate"/>
          </w:r>
          <w:r>
            <w:t>71</w:t>
          </w:r>
          <w:r>
            <w:fldChar w:fldCharType="end"/>
          </w:r>
          <w:r>
            <w:fldChar w:fldCharType="end"/>
          </w:r>
        </w:p>
        <w:p w14:paraId="16F55B66">
          <w:pPr>
            <w:pStyle w:val="13"/>
            <w:keepNext w:val="0"/>
            <w:keepLines w:val="0"/>
            <w:pageBreakBefore w:val="0"/>
            <w:widowControl/>
            <w:tabs>
              <w:tab w:val="right" w:leader="dot" w:pos="8829"/>
            </w:tabs>
            <w:kinsoku w:val="0"/>
            <w:wordWrap/>
            <w:overflowPunct/>
            <w:topLinePunct w:val="0"/>
            <w:autoSpaceDE w:val="0"/>
            <w:autoSpaceDN w:val="0"/>
            <w:bidi w:val="0"/>
            <w:adjustRightInd w:val="0"/>
            <w:snapToGrid w:val="0"/>
            <w:spacing w:line="320" w:lineRule="exact"/>
            <w:textAlignment w:val="baseline"/>
            <w:sectPr>
              <w:headerReference r:id="rId6" w:type="default"/>
              <w:footerReference r:id="rId7" w:type="default"/>
              <w:pgSz w:w="11906" w:h="16839"/>
              <w:pgMar w:top="1440" w:right="1800" w:bottom="1440" w:left="1800" w:header="862" w:footer="1414" w:gutter="0"/>
              <w:pgNumType w:fmt="upperRoman" w:start="1"/>
              <w:cols w:space="720" w:num="1"/>
            </w:sectPr>
          </w:pPr>
        </w:p>
        <w:p w14:paraId="6561BFE1">
          <w:pPr>
            <w:rPr>
              <w:b/>
            </w:rPr>
          </w:pPr>
          <w:r>
            <w:fldChar w:fldCharType="end"/>
          </w:r>
        </w:p>
      </w:sdtContent>
    </w:sdt>
    <w:p w14:paraId="330512C0">
      <w:pPr>
        <w:pStyle w:val="3"/>
        <w:numPr>
          <w:ilvl w:val="0"/>
          <w:numId w:val="4"/>
        </w:numPr>
        <w:tabs>
          <w:tab w:val="left" w:pos="0"/>
        </w:tabs>
        <w:bidi w:val="0"/>
        <w:ind w:left="0" w:leftChars="0" w:firstLine="402" w:firstLineChars="0"/>
      </w:pPr>
      <w:bookmarkStart w:id="0" w:name="_Toc12297"/>
      <w:r>
        <w:t>概述</w:t>
      </w:r>
      <w:bookmarkEnd w:id="0"/>
    </w:p>
    <w:p w14:paraId="49C1DD90">
      <w:pPr>
        <w:pStyle w:val="4"/>
        <w:numPr>
          <w:ilvl w:val="1"/>
          <w:numId w:val="4"/>
        </w:numPr>
        <w:bidi w:val="0"/>
        <w:ind w:left="575" w:leftChars="0" w:hanging="575" w:firstLineChars="0"/>
      </w:pPr>
      <w:bookmarkStart w:id="1" w:name="bookmark3"/>
      <w:bookmarkEnd w:id="1"/>
      <w:bookmarkStart w:id="2" w:name="_Toc1499"/>
      <w:r>
        <w:t>项目概况</w:t>
      </w:r>
      <w:bookmarkEnd w:id="2"/>
    </w:p>
    <w:p w14:paraId="5255540A">
      <w:pPr>
        <w:pStyle w:val="5"/>
        <w:bidi w:val="0"/>
      </w:pPr>
      <w:bookmarkStart w:id="3" w:name="bookmark4"/>
      <w:bookmarkEnd w:id="3"/>
      <w:r>
        <w:t>项目名称</w:t>
      </w:r>
    </w:p>
    <w:p w14:paraId="5875FB49">
      <w:pPr>
        <w:bidi w:val="0"/>
        <w:rPr>
          <w:rFonts w:hint="eastAsia" w:eastAsia="仿宋"/>
          <w:lang w:eastAsia="zh-CN"/>
        </w:rPr>
      </w:pPr>
      <w:r>
        <w:rPr>
          <w:rFonts w:hint="eastAsia"/>
          <w:lang w:eastAsia="zh-CN"/>
        </w:rPr>
        <w:t>安居区麻子滩等13座水库特许经营项目</w:t>
      </w:r>
      <w:r>
        <w:t>（下称“本项目”或“项目”</w:t>
      </w:r>
      <w:r>
        <w:rPr>
          <w:rFonts w:hint="eastAsia"/>
          <w:lang w:eastAsia="zh-CN"/>
        </w:rPr>
        <w:t>）</w:t>
      </w:r>
    </w:p>
    <w:p w14:paraId="5FB385A9">
      <w:pPr>
        <w:pStyle w:val="5"/>
        <w:bidi w:val="0"/>
      </w:pPr>
      <w:bookmarkStart w:id="4" w:name="bookmark5"/>
      <w:bookmarkEnd w:id="4"/>
      <w:r>
        <w:t>项目目标和任务</w:t>
      </w:r>
    </w:p>
    <w:p w14:paraId="44EA5C72">
      <w:pPr>
        <w:bidi w:val="0"/>
      </w:pPr>
      <w:r>
        <w:t>提高</w:t>
      </w:r>
      <w:r>
        <w:rPr>
          <w:rFonts w:hint="eastAsia"/>
          <w:lang w:eastAsia="zh-CN"/>
        </w:rPr>
        <w:t>安居区麻子滩等13座</w:t>
      </w:r>
      <w:r>
        <w:t>水库的经营效率和服务水平；保护水库资源，实现水资源效益最大化；盘活存量资产降低政府债务压力</w:t>
      </w:r>
      <w:r>
        <w:rPr>
          <w:rFonts w:hint="eastAsia"/>
          <w:lang w:eastAsia="zh-CN"/>
        </w:rPr>
        <w:t>、</w:t>
      </w:r>
      <w:r>
        <w:t>扩大有效投资，形成存量资产和新增投资的良性循环，激发市场活力，推动全</w:t>
      </w:r>
      <w:r>
        <w:rPr>
          <w:rFonts w:hint="eastAsia"/>
          <w:lang w:eastAsia="zh-CN"/>
        </w:rPr>
        <w:t>区</w:t>
      </w:r>
      <w:r>
        <w:t>经济社会高质量发展。</w:t>
      </w:r>
    </w:p>
    <w:p w14:paraId="58018732">
      <w:pPr>
        <w:pStyle w:val="5"/>
        <w:bidi w:val="0"/>
      </w:pPr>
      <w:bookmarkStart w:id="5" w:name="bookmark6"/>
      <w:bookmarkEnd w:id="5"/>
      <w:r>
        <w:t>项目功能和定位</w:t>
      </w:r>
    </w:p>
    <w:p w14:paraId="615F4F69">
      <w:pPr>
        <w:pStyle w:val="6"/>
        <w:keepNext/>
        <w:keepLines/>
        <w:pageBreakBefore w:val="0"/>
        <w:widowControl/>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z w:val="31"/>
          <w:szCs w:val="31"/>
        </w:rPr>
      </w:pPr>
      <w:r>
        <w:rPr>
          <w:rFonts w:ascii="仿宋" w:hAnsi="仿宋" w:eastAsia="仿宋" w:cs="仿宋"/>
          <w:b/>
          <w:bCs/>
          <w:spacing w:val="-9"/>
          <w:sz w:val="31"/>
          <w:szCs w:val="31"/>
        </w:rPr>
        <w:t>项目功能</w:t>
      </w:r>
    </w:p>
    <w:p w14:paraId="52C46A4B">
      <w:pPr>
        <w:bidi w:val="0"/>
      </w:pPr>
      <w:r>
        <w:t>防洪功能：通过滞洪和蓄洪的方式，来减少下游河道洪峰流量</w:t>
      </w:r>
      <w:r>
        <w:rPr>
          <w:rFonts w:hint="eastAsia"/>
          <w:lang w:eastAsia="zh-CN"/>
        </w:rPr>
        <w:t>，</w:t>
      </w:r>
      <w:r>
        <w:t>保持河道安全泄量，从而保护下游防洪保护区的安全。</w:t>
      </w:r>
    </w:p>
    <w:p w14:paraId="263C35B3">
      <w:pPr>
        <w:bidi w:val="0"/>
      </w:pPr>
      <w:r>
        <w:t>灌溉功能：可以储存和调节水资源，用于农业灌溉，以支持农业生产和保障粮食安全。</w:t>
      </w:r>
    </w:p>
    <w:p w14:paraId="41D58333">
      <w:pPr>
        <w:bidi w:val="0"/>
      </w:pPr>
      <w:r>
        <w:t>供水功能：水库可以收集雨水和河水，为城市、农村和工业提供水源，保证人们的生活和工业生产用水。</w:t>
      </w:r>
    </w:p>
    <w:p w14:paraId="0CE9271A">
      <w:pPr>
        <w:bidi w:val="0"/>
      </w:pPr>
      <w:r>
        <w:t>生态功能：水库对周边的环境有一定的降温、增湿、净化空气的作用。</w:t>
      </w:r>
    </w:p>
    <w:p w14:paraId="0A203D4A">
      <w:pPr>
        <w:pStyle w:val="6"/>
        <w:keepNext/>
        <w:keepLines/>
        <w:pageBreakBefore w:val="0"/>
        <w:widowControl/>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bookmarkStart w:id="6" w:name="bookmark118"/>
      <w:bookmarkEnd w:id="6"/>
      <w:r>
        <w:rPr>
          <w:rFonts w:ascii="仿宋" w:hAnsi="仿宋" w:eastAsia="仿宋" w:cs="仿宋"/>
          <w:b/>
          <w:bCs/>
          <w:spacing w:val="-9"/>
          <w:sz w:val="31"/>
          <w:szCs w:val="31"/>
        </w:rPr>
        <w:t>项目各水库功能定位</w:t>
      </w:r>
    </w:p>
    <w:p w14:paraId="5A1666FA">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一</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水库功能定位表</w:t>
      </w:r>
    </w:p>
    <w:tbl>
      <w:tblPr>
        <w:tblStyle w:val="15"/>
        <w:tblW w:w="4997"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25"/>
        <w:gridCol w:w="1530"/>
        <w:gridCol w:w="1135"/>
        <w:gridCol w:w="750"/>
        <w:gridCol w:w="4577"/>
      </w:tblGrid>
      <w:tr w14:paraId="02102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FFA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bCs/>
                <w:spacing w:val="-4"/>
                <w:sz w:val="20"/>
                <w:szCs w:val="20"/>
              </w:rPr>
            </w:pPr>
            <w:r>
              <w:rPr>
                <w:rFonts w:hint="eastAsia" w:ascii="仿宋" w:hAnsi="仿宋" w:eastAsia="仿宋" w:cs="仿宋"/>
                <w:b/>
                <w:bCs/>
                <w:spacing w:val="-4"/>
                <w:sz w:val="20"/>
                <w:szCs w:val="20"/>
                <w:lang w:val="en-US" w:eastAsia="zh-CN"/>
              </w:rPr>
              <w:t>序号</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F41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bCs/>
                <w:spacing w:val="-4"/>
                <w:sz w:val="20"/>
                <w:szCs w:val="20"/>
              </w:rPr>
            </w:pPr>
            <w:r>
              <w:rPr>
                <w:rFonts w:hint="eastAsia" w:ascii="仿宋" w:hAnsi="仿宋" w:eastAsia="仿宋" w:cs="仿宋"/>
                <w:b/>
                <w:bCs/>
                <w:spacing w:val="-4"/>
                <w:sz w:val="20"/>
                <w:szCs w:val="20"/>
                <w:lang w:val="en-US" w:eastAsia="zh-CN"/>
              </w:rPr>
              <w:t>水库名称</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71E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bCs/>
                <w:spacing w:val="-4"/>
                <w:sz w:val="20"/>
                <w:szCs w:val="20"/>
              </w:rPr>
            </w:pPr>
            <w:r>
              <w:rPr>
                <w:rFonts w:hint="eastAsia" w:ascii="仿宋" w:hAnsi="仿宋" w:eastAsia="仿宋" w:cs="仿宋"/>
                <w:b/>
                <w:bCs/>
                <w:spacing w:val="-4"/>
                <w:sz w:val="20"/>
                <w:szCs w:val="20"/>
                <w:lang w:val="en-US" w:eastAsia="zh-CN"/>
              </w:rPr>
              <w:t>规模</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63FF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bCs/>
                <w:spacing w:val="-4"/>
                <w:sz w:val="20"/>
                <w:szCs w:val="20"/>
              </w:rPr>
            </w:pPr>
            <w:r>
              <w:rPr>
                <w:rFonts w:hint="eastAsia" w:ascii="仿宋" w:hAnsi="仿宋" w:eastAsia="仿宋" w:cs="仿宋"/>
                <w:b/>
                <w:bCs/>
                <w:spacing w:val="-4"/>
                <w:sz w:val="20"/>
                <w:szCs w:val="20"/>
                <w:lang w:val="en-US" w:eastAsia="zh-CN"/>
              </w:rPr>
              <w:t>等别</w:t>
            </w:r>
          </w:p>
        </w:tc>
        <w:tc>
          <w:tcPr>
            <w:tcW w:w="2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86D6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bCs/>
                <w:spacing w:val="-4"/>
                <w:sz w:val="20"/>
                <w:szCs w:val="20"/>
              </w:rPr>
            </w:pPr>
            <w:r>
              <w:rPr>
                <w:rFonts w:hint="eastAsia" w:ascii="仿宋" w:hAnsi="仿宋" w:eastAsia="仿宋" w:cs="仿宋"/>
                <w:b/>
                <w:bCs/>
                <w:spacing w:val="-4"/>
                <w:sz w:val="20"/>
                <w:szCs w:val="20"/>
                <w:lang w:val="en-US" w:eastAsia="zh-CN"/>
              </w:rPr>
              <w:t>功能定位</w:t>
            </w:r>
          </w:p>
        </w:tc>
      </w:tr>
      <w:tr w14:paraId="480BC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7935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1</w:t>
            </w:r>
          </w:p>
        </w:tc>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BCA8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麻子滩水库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CC7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中型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92B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Ⅲ</w:t>
            </w:r>
          </w:p>
        </w:tc>
        <w:tc>
          <w:tcPr>
            <w:tcW w:w="2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CDBD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以蓄水灌溉为主，兼有防洪、养殖等综合利用</w:t>
            </w:r>
          </w:p>
        </w:tc>
      </w:tr>
      <w:tr w14:paraId="097B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1C6B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2</w:t>
            </w:r>
          </w:p>
        </w:tc>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F474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跑马滩水库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8A21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中型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E7F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Ⅲ</w:t>
            </w:r>
          </w:p>
        </w:tc>
        <w:tc>
          <w:tcPr>
            <w:tcW w:w="2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C314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以农业灌溉为主，兼有防洪、发电、水运、水产养殖、旅游等综合利用的中型水利工程</w:t>
            </w:r>
          </w:p>
        </w:tc>
      </w:tr>
      <w:tr w14:paraId="76219A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3029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3</w:t>
            </w:r>
          </w:p>
        </w:tc>
        <w:tc>
          <w:tcPr>
            <w:tcW w:w="8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E959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新生水库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B104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中型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B9F9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Ⅲ</w:t>
            </w:r>
          </w:p>
        </w:tc>
        <w:tc>
          <w:tcPr>
            <w:tcW w:w="2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0C10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作为一座中型水库，新生水库承担着拦江镇、保石镇12万人口和3.13万亩农田的生产生活用水。</w:t>
            </w:r>
          </w:p>
        </w:tc>
      </w:tr>
      <w:tr w14:paraId="74E053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708B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4</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40D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双龙桥水库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3CFF9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889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43C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防洪和灌溉</w:t>
            </w:r>
          </w:p>
        </w:tc>
      </w:tr>
      <w:tr w14:paraId="06F2F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931B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5</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1C95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吊石岩水库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22CB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D061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208F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防洪和灌溉</w:t>
            </w:r>
          </w:p>
        </w:tc>
      </w:tr>
      <w:tr w14:paraId="2A89C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D66F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6</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DA0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白鹤嘴水库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900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073C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DFE1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防洪和灌溉</w:t>
            </w:r>
          </w:p>
        </w:tc>
      </w:tr>
      <w:tr w14:paraId="635D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2BC0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7</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694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席家埝水库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E1C0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5FF0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CB12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防洪和灌溉</w:t>
            </w:r>
          </w:p>
        </w:tc>
      </w:tr>
      <w:tr w14:paraId="134BF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A9B7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8</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6343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白强寺水库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8D75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041B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A33F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防洪和灌溉</w:t>
            </w:r>
          </w:p>
        </w:tc>
      </w:tr>
      <w:tr w14:paraId="149226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81F3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9</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40BB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东岳庙水库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6518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976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1A57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以灌溉为主，兼有防洪、养殖等综合利用的小（二）型水利工程</w:t>
            </w:r>
          </w:p>
        </w:tc>
      </w:tr>
      <w:tr w14:paraId="086D79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82F1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10</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7B20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雷音寺水库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A7A6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E237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C12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防洪、灌溉</w:t>
            </w:r>
          </w:p>
        </w:tc>
      </w:tr>
      <w:tr w14:paraId="2BE0D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F861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11</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2BA8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谭家坝水库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8584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716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3B06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以灌溉为主，兼有防洪、养殖等</w:t>
            </w:r>
          </w:p>
        </w:tc>
      </w:tr>
      <w:tr w14:paraId="57249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A6E1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12</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A78C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狮子湾水库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FCE9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CC74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D993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供水水源地和生态环境保护地。</w:t>
            </w:r>
          </w:p>
        </w:tc>
      </w:tr>
      <w:tr w14:paraId="24107D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0EAF5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13</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A71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萝卜园水库</w:t>
            </w:r>
          </w:p>
        </w:tc>
        <w:tc>
          <w:tcPr>
            <w:tcW w:w="66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CF2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小（1）型</w:t>
            </w:r>
          </w:p>
        </w:tc>
        <w:tc>
          <w:tcPr>
            <w:tcW w:w="4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D879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Ⅳ</w:t>
            </w:r>
          </w:p>
        </w:tc>
        <w:tc>
          <w:tcPr>
            <w:tcW w:w="268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68CF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仿宋" w:hAnsi="仿宋" w:eastAsia="仿宋" w:cs="仿宋"/>
                <w:b w:val="0"/>
                <w:bCs w:val="0"/>
                <w:spacing w:val="-4"/>
                <w:sz w:val="20"/>
                <w:szCs w:val="20"/>
              </w:rPr>
            </w:pPr>
            <w:r>
              <w:rPr>
                <w:rFonts w:hint="eastAsia" w:ascii="仿宋" w:hAnsi="仿宋" w:eastAsia="仿宋" w:cs="仿宋"/>
                <w:b w:val="0"/>
                <w:bCs w:val="0"/>
                <w:spacing w:val="-4"/>
                <w:sz w:val="20"/>
                <w:szCs w:val="20"/>
                <w:lang w:val="en-US" w:eastAsia="zh-CN"/>
              </w:rPr>
              <w:t>防洪、灌溉</w:t>
            </w:r>
          </w:p>
        </w:tc>
      </w:tr>
    </w:tbl>
    <w:p w14:paraId="75275596">
      <w:pPr>
        <w:spacing w:line="121" w:lineRule="exact"/>
      </w:pPr>
    </w:p>
    <w:p w14:paraId="7CCD294D">
      <w:pPr>
        <w:pStyle w:val="5"/>
        <w:bidi w:val="0"/>
      </w:pPr>
      <w:bookmarkStart w:id="7" w:name="bookmark1"/>
      <w:bookmarkEnd w:id="7"/>
      <w:r>
        <w:t>项目地址</w:t>
      </w:r>
    </w:p>
    <w:p w14:paraId="16937B38">
      <w:pPr>
        <w:bidi w:val="0"/>
      </w:pPr>
      <w:r>
        <w:rPr>
          <w:rFonts w:hint="eastAsia"/>
        </w:rPr>
        <w:t>本项目13座水库地点</w:t>
      </w:r>
      <w:r>
        <w:rPr>
          <w:rFonts w:hint="eastAsia"/>
          <w:lang w:val="en-US" w:eastAsia="zh-CN"/>
        </w:rPr>
        <w:t>分别</w:t>
      </w:r>
      <w:r>
        <w:rPr>
          <w:rFonts w:hint="eastAsia"/>
        </w:rPr>
        <w:t>位于安居区白马镇、东禅镇、拦江镇</w:t>
      </w:r>
      <w:r>
        <w:rPr>
          <w:rFonts w:hint="eastAsia"/>
          <w:lang w:eastAsia="zh-CN"/>
        </w:rPr>
        <w:t>、</w:t>
      </w:r>
      <w:r>
        <w:rPr>
          <w:rFonts w:hint="eastAsia"/>
        </w:rPr>
        <w:t>保石镇、横山镇、常理镇、西眉镇、磨溪镇、安居镇</w:t>
      </w:r>
      <w:r>
        <w:t>。</w:t>
      </w:r>
    </w:p>
    <w:p w14:paraId="76DF5FA2">
      <w:pPr>
        <w:pStyle w:val="5"/>
        <w:bidi w:val="0"/>
      </w:pPr>
      <w:bookmarkStart w:id="8" w:name="bookmark1"/>
      <w:bookmarkEnd w:id="8"/>
      <w:r>
        <w:t>特许经营期限</w:t>
      </w:r>
    </w:p>
    <w:p w14:paraId="0FB218A5">
      <w:pPr>
        <w:bidi w:val="0"/>
        <w:rPr>
          <w:rFonts w:hint="eastAsia" w:eastAsia="仿宋"/>
          <w:lang w:eastAsia="zh-CN"/>
        </w:rPr>
      </w:pPr>
      <w:r>
        <w:t>本项目</w:t>
      </w:r>
      <w:r>
        <w:rPr>
          <w:rFonts w:hint="eastAsia"/>
          <w:lang w:eastAsia="zh-CN"/>
        </w:rPr>
        <w:t>特许经营期限35年</w:t>
      </w:r>
      <w:r>
        <w:t>，自《特许经营协议》签订之日起算</w:t>
      </w:r>
      <w:r>
        <w:rPr>
          <w:rFonts w:hint="eastAsia"/>
          <w:lang w:eastAsia="zh-CN"/>
        </w:rPr>
        <w:t>。</w:t>
      </w:r>
      <w:r>
        <w:t>本项目为存量项目，不涉及建设期，特许经营期等同于运营期</w:t>
      </w:r>
      <w:r>
        <w:rPr>
          <w:rFonts w:hint="eastAsia"/>
          <w:lang w:eastAsia="zh-CN"/>
        </w:rPr>
        <w:t>。</w:t>
      </w:r>
    </w:p>
    <w:p w14:paraId="2E40808B">
      <w:pPr>
        <w:pStyle w:val="5"/>
        <w:bidi w:val="0"/>
      </w:pPr>
      <w:bookmarkStart w:id="9" w:name="bookmark1"/>
      <w:bookmarkEnd w:id="9"/>
      <w:r>
        <w:t>存量资产内容</w:t>
      </w:r>
    </w:p>
    <w:p w14:paraId="59DC541E">
      <w:pPr>
        <w:bidi w:val="0"/>
      </w:pPr>
      <w:r>
        <w:t>本项目中存量资产</w:t>
      </w:r>
      <w:r>
        <w:rPr>
          <w:rFonts w:hint="eastAsia"/>
          <w:lang w:val="en-US" w:eastAsia="zh-CN"/>
        </w:rPr>
        <w:t>为麻子滩水库、跑马滩水库、新生水库、双龙桥水库、吊石岩水库、白鹤嘴水库、席家埝水库、白强寺水库、东岳庙水库、雷音寺水库、谭家坝水库、狮子湾水库、萝卜园水库共13座</w:t>
      </w:r>
      <w:r>
        <w:t>水库</w:t>
      </w:r>
      <w:r>
        <w:rPr>
          <w:rFonts w:hint="eastAsia"/>
          <w:lang w:eastAsia="zh-CN"/>
        </w:rPr>
        <w:t>（</w:t>
      </w:r>
      <w:r>
        <w:rPr>
          <w:rFonts w:hint="eastAsia"/>
          <w:lang w:val="en-US" w:eastAsia="zh-CN"/>
        </w:rPr>
        <w:t>后简称“麻子滩等13座水库”</w:t>
      </w:r>
      <w:r>
        <w:rPr>
          <w:rFonts w:hint="eastAsia"/>
          <w:lang w:eastAsia="zh-CN"/>
        </w:rPr>
        <w:t>）。</w:t>
      </w:r>
      <w:r>
        <w:t>特许经营者通过拍卖方式取得本项目</w:t>
      </w:r>
      <w:r>
        <w:rPr>
          <w:rFonts w:hint="eastAsia"/>
          <w:lang w:val="en-US" w:eastAsia="zh-CN"/>
        </w:rPr>
        <w:t>13</w:t>
      </w:r>
      <w:r>
        <w:t>座水库特许经营权，在特许经营期内提供运营维护本项目设施的服务</w:t>
      </w:r>
      <w:r>
        <w:rPr>
          <w:rFonts w:hint="eastAsia"/>
          <w:lang w:eastAsia="zh-CN"/>
        </w:rPr>
        <w:t>。</w:t>
      </w:r>
      <w:r>
        <w:t>按照特许经营协议约定，特许经营者享有水库经营权，包括但不限于水库范围内的</w:t>
      </w:r>
      <w:r>
        <w:rPr>
          <w:rFonts w:hint="eastAsia"/>
          <w:lang w:eastAsia="zh-CN"/>
        </w:rPr>
        <w:t>原水供水</w:t>
      </w:r>
      <w:r>
        <w:t>销售、农业灌溉用水销售等权利</w:t>
      </w:r>
      <w:r>
        <w:rPr>
          <w:rFonts w:hint="eastAsia"/>
          <w:lang w:eastAsia="zh-CN"/>
        </w:rPr>
        <w:t>，</w:t>
      </w:r>
      <w:r>
        <w:t>在保证水库满足基础供水功能的前提下可合理利用水资源开展经营业务（包括但不限于</w:t>
      </w:r>
      <w:r>
        <w:rPr>
          <w:rFonts w:hint="eastAsia"/>
          <w:lang w:eastAsia="zh-CN"/>
        </w:rPr>
        <w:t>生态渔业养殖</w:t>
      </w:r>
      <w:r>
        <w:t>业务及休闲垂钓业务等）并获得经营性收入。</w:t>
      </w:r>
    </w:p>
    <w:p w14:paraId="0BC66F8E">
      <w:pPr>
        <w:pStyle w:val="5"/>
        <w:bidi w:val="0"/>
      </w:pPr>
      <w:bookmarkStart w:id="10" w:name="bookmark7"/>
      <w:bookmarkEnd w:id="10"/>
      <w:bookmarkStart w:id="11" w:name="bookmark119"/>
      <w:bookmarkEnd w:id="11"/>
      <w:r>
        <w:t>资产价值</w:t>
      </w:r>
    </w:p>
    <w:p w14:paraId="5A11FE33">
      <w:pPr>
        <w:bidi w:val="0"/>
      </w:pPr>
      <w:r>
        <w:t>根据</w:t>
      </w:r>
      <w:r>
        <w:rPr>
          <w:rFonts w:hint="eastAsia"/>
          <w:lang w:eastAsia="zh-CN"/>
        </w:rPr>
        <w:t>四川众成房地产评估咨询有限公司出具的《遂宁市安居区水利局因特许经营权出让事宜涉及的安居区麻子滩等13座水库35年特许经营权的市场价值资产评估报告》川众资评报字〔2024〕第128号：本项目采用收益法评估，对安居区麻子滩等13座</w:t>
      </w:r>
      <w:r>
        <w:rPr>
          <w:rFonts w:hint="eastAsia"/>
          <w:lang w:val="en-US" w:eastAsia="zh-CN"/>
        </w:rPr>
        <w:t>水库</w:t>
      </w:r>
      <w:r>
        <w:rPr>
          <w:rFonts w:hint="eastAsia"/>
          <w:lang w:eastAsia="zh-CN"/>
        </w:rPr>
        <w:t>35年特许经营权于评估基准日2024年</w:t>
      </w:r>
      <w:r>
        <w:rPr>
          <w:rFonts w:hint="eastAsia"/>
          <w:lang w:val="en-US" w:eastAsia="zh-CN"/>
        </w:rPr>
        <w:t>6</w:t>
      </w:r>
      <w:r>
        <w:rPr>
          <w:rFonts w:hint="eastAsia"/>
          <w:lang w:eastAsia="zh-CN"/>
        </w:rPr>
        <w:t>月30日的市场</w:t>
      </w:r>
      <w:r>
        <w:t>价值，在本报告评估假设与限制条件下的</w:t>
      </w:r>
      <w:r>
        <w:rPr>
          <w:highlight w:val="none"/>
        </w:rPr>
        <w:t>评估总价为</w:t>
      </w:r>
      <w:r>
        <w:rPr>
          <w:rFonts w:hint="eastAsia"/>
          <w:highlight w:val="none"/>
          <w:lang w:eastAsia="zh-CN"/>
        </w:rPr>
        <w:t>35529.85</w:t>
      </w:r>
      <w:r>
        <w:rPr>
          <w:highlight w:val="none"/>
        </w:rPr>
        <w:t>万元。</w:t>
      </w:r>
      <w:r>
        <w:t>存量资产基本情况详见附件</w:t>
      </w:r>
      <w:r>
        <w:rPr>
          <w:rFonts w:hint="eastAsia"/>
          <w:lang w:val="en-US" w:eastAsia="zh-CN"/>
        </w:rPr>
        <w:t>8－资产评估报告</w:t>
      </w:r>
      <w:r>
        <w:t>。</w:t>
      </w:r>
    </w:p>
    <w:p w14:paraId="18FF7B21">
      <w:pPr>
        <w:pStyle w:val="5"/>
        <w:bidi w:val="0"/>
      </w:pPr>
      <w:bookmarkStart w:id="12" w:name="bookmark8"/>
      <w:bookmarkEnd w:id="12"/>
      <w:r>
        <w:t>资产权属</w:t>
      </w:r>
    </w:p>
    <w:p w14:paraId="315EDFE4">
      <w:pPr>
        <w:bidi w:val="0"/>
      </w:pPr>
      <w:r>
        <w:rPr>
          <w:rFonts w:hint="eastAsia"/>
          <w:lang w:eastAsia="zh-CN"/>
        </w:rPr>
        <w:t>安居区麻子滩等13座水库</w:t>
      </w:r>
      <w:r>
        <w:t>的资产权属于</w:t>
      </w:r>
      <w:r>
        <w:rPr>
          <w:rFonts w:hint="eastAsia"/>
          <w:lang w:eastAsia="zh-CN"/>
        </w:rPr>
        <w:t>安居区</w:t>
      </w:r>
      <w:r>
        <w:rPr>
          <w:rFonts w:hint="eastAsia"/>
          <w:lang w:val="en-US" w:eastAsia="zh-CN"/>
        </w:rPr>
        <w:t>水利局</w:t>
      </w:r>
      <w:r>
        <w:t>。</w:t>
      </w:r>
    </w:p>
    <w:p w14:paraId="62C6A33A">
      <w:pPr>
        <w:pStyle w:val="5"/>
        <w:bidi w:val="0"/>
      </w:pPr>
      <w:bookmarkStart w:id="13" w:name="bookmark9"/>
      <w:bookmarkEnd w:id="13"/>
      <w:r>
        <w:t>存量债务情况</w:t>
      </w:r>
    </w:p>
    <w:p w14:paraId="6DAB3576">
      <w:pPr>
        <w:bidi w:val="0"/>
      </w:pPr>
      <w:r>
        <w:rPr>
          <w:rFonts w:hint="eastAsia"/>
          <w:lang w:eastAsia="zh-CN"/>
        </w:rPr>
        <w:t>安居区麻子滩等13座水库</w:t>
      </w:r>
      <w:r>
        <w:t>不涉及存量债务。</w:t>
      </w:r>
    </w:p>
    <w:p w14:paraId="49BE9A93">
      <w:pPr>
        <w:pStyle w:val="5"/>
        <w:bidi w:val="0"/>
      </w:pPr>
      <w:bookmarkStart w:id="14" w:name="bookmark10"/>
      <w:bookmarkEnd w:id="14"/>
      <w:r>
        <w:t>投资规模和资金来源</w:t>
      </w:r>
    </w:p>
    <w:p w14:paraId="552B80B6">
      <w:pPr>
        <w:bidi w:val="0"/>
      </w:pPr>
      <w:r>
        <w:t>根据</w:t>
      </w:r>
      <w:r>
        <w:rPr>
          <w:rFonts w:hint="eastAsia"/>
          <w:lang w:eastAsia="zh-CN"/>
        </w:rPr>
        <w:t>四川众成房地产评估咨询有限公司</w:t>
      </w:r>
      <w:r>
        <w:t>出具的《资产评估报告》，本项目资产价值</w:t>
      </w:r>
      <w:r>
        <w:rPr>
          <w:rFonts w:hint="eastAsia"/>
          <w:highlight w:val="none"/>
          <w:lang w:eastAsia="zh-CN"/>
        </w:rPr>
        <w:t>35529.85</w:t>
      </w:r>
      <w:r>
        <w:t>万元。项目为存量资产项目，不涉及新建项目</w:t>
      </w:r>
      <w:r>
        <w:rPr>
          <w:rFonts w:hint="eastAsia"/>
          <w:lang w:eastAsia="zh-CN"/>
        </w:rPr>
        <w:t>，</w:t>
      </w:r>
      <w:r>
        <w:t>项目投资仅为存量资产经营权转让价值。</w:t>
      </w:r>
    </w:p>
    <w:p w14:paraId="7C2FAE0B">
      <w:pPr>
        <w:bidi w:val="0"/>
      </w:pPr>
      <w:r>
        <w:t>资金来源：本项目采用特许经营模式实施，资金来源为特许经营者自筹，项目资本金应不低于本项目特许经营权转让价值的20.00%，其他资金可通过融资方式解决。</w:t>
      </w:r>
    </w:p>
    <w:p w14:paraId="6F96A4A2">
      <w:pPr>
        <w:pStyle w:val="5"/>
        <w:bidi w:val="0"/>
        <w:rPr>
          <w:highlight w:val="none"/>
        </w:rPr>
      </w:pPr>
      <w:bookmarkStart w:id="15" w:name="bookmark11"/>
      <w:bookmarkEnd w:id="15"/>
      <w:r>
        <w:rPr>
          <w:highlight w:val="none"/>
        </w:rPr>
        <w:t>项目资产运营和效益情况</w:t>
      </w:r>
    </w:p>
    <w:p w14:paraId="669B32D9">
      <w:pPr>
        <w:bidi w:val="0"/>
      </w:pPr>
      <w:r>
        <w:t>经测算，特许经营者通过本项目的运营，在项目特许经营期内收入合计</w:t>
      </w:r>
      <w:r>
        <w:rPr>
          <w:rFonts w:hint="eastAsia"/>
          <w:lang w:eastAsia="zh-CN"/>
        </w:rPr>
        <w:t>87786.26</w:t>
      </w:r>
      <w:r>
        <w:t>万元，其中</w:t>
      </w:r>
      <w:r>
        <w:rPr>
          <w:rFonts w:hint="eastAsia"/>
          <w:lang w:val="en-US" w:eastAsia="zh-CN"/>
        </w:rPr>
        <w:t>生活</w:t>
      </w:r>
      <w:r>
        <w:t>原水供水销售收入</w:t>
      </w:r>
      <w:r>
        <w:rPr>
          <w:rFonts w:hint="eastAsia"/>
        </w:rPr>
        <w:t>41369.70</w:t>
      </w:r>
      <w:r>
        <w:t>万元</w:t>
      </w:r>
      <w:r>
        <w:rPr>
          <w:rFonts w:hint="eastAsia"/>
          <w:lang w:eastAsia="zh-CN"/>
        </w:rPr>
        <w:t>，</w:t>
      </w:r>
      <w:r>
        <w:t>农业灌溉用水销售收入</w:t>
      </w:r>
      <w:r>
        <w:rPr>
          <w:rFonts w:hint="eastAsia"/>
          <w:lang w:eastAsia="zh-CN"/>
        </w:rPr>
        <w:t>18015.61</w:t>
      </w:r>
      <w:r>
        <w:t>万元，</w:t>
      </w:r>
      <w:r>
        <w:rPr>
          <w:rFonts w:hint="eastAsia"/>
          <w:lang w:val="en-US" w:eastAsia="zh-CN"/>
        </w:rPr>
        <w:t>水库</w:t>
      </w:r>
      <w:r>
        <w:rPr>
          <w:rFonts w:hint="eastAsia"/>
        </w:rPr>
        <w:t>水域租赁收入</w:t>
      </w:r>
      <w:r>
        <w:rPr>
          <w:rFonts w:hint="eastAsia"/>
          <w:lang w:eastAsia="zh-CN"/>
        </w:rPr>
        <w:t>（</w:t>
      </w:r>
      <w:r>
        <w:rPr>
          <w:rFonts w:hint="eastAsia"/>
          <w:lang w:val="en-US" w:eastAsia="zh-CN"/>
        </w:rPr>
        <w:t>生态养殖、垂钓等</w:t>
      </w:r>
      <w:r>
        <w:rPr>
          <w:rFonts w:hint="eastAsia"/>
          <w:lang w:eastAsia="zh-CN"/>
        </w:rPr>
        <w:t>）28400.98</w:t>
      </w:r>
      <w:r>
        <w:t>万</w:t>
      </w:r>
      <w:r>
        <w:rPr>
          <w:highlight w:val="none"/>
        </w:rPr>
        <w:t>元。运营成本共计</w:t>
      </w:r>
      <w:r>
        <w:rPr>
          <w:rFonts w:hint="eastAsia"/>
          <w:highlight w:val="none"/>
          <w:lang w:eastAsia="zh-CN"/>
        </w:rPr>
        <w:t>63844.84</w:t>
      </w:r>
      <w:r>
        <w:rPr>
          <w:highlight w:val="none"/>
        </w:rPr>
        <w:t>万元，包括燃料及动力费、人员工资及福利、</w:t>
      </w:r>
      <w:r>
        <w:rPr>
          <w:rFonts w:hint="eastAsia"/>
          <w:highlight w:val="none"/>
        </w:rPr>
        <w:t>工程检维修费</w:t>
      </w:r>
      <w:r>
        <w:rPr>
          <w:highlight w:val="none"/>
        </w:rPr>
        <w:t>和</w:t>
      </w:r>
      <w:r>
        <w:rPr>
          <w:rFonts w:hint="eastAsia"/>
          <w:highlight w:val="none"/>
        </w:rPr>
        <w:t>材料费</w:t>
      </w:r>
      <w:r>
        <w:rPr>
          <w:highlight w:val="none"/>
        </w:rPr>
        <w:t>。根据财务测算结果</w:t>
      </w:r>
      <w:r>
        <w:rPr>
          <w:rFonts w:hint="eastAsia"/>
          <w:highlight w:val="none"/>
          <w:lang w:eastAsia="zh-CN"/>
        </w:rPr>
        <w:t>，</w:t>
      </w:r>
      <w:r>
        <w:rPr>
          <w:highlight w:val="none"/>
        </w:rPr>
        <w:t>项目银行贷款偿债备付率1.3</w:t>
      </w:r>
      <w:r>
        <w:rPr>
          <w:rFonts w:hint="eastAsia"/>
          <w:highlight w:val="none"/>
          <w:lang w:val="en-US" w:eastAsia="zh-CN"/>
        </w:rPr>
        <w:t>5</w:t>
      </w:r>
      <w:r>
        <w:rPr>
          <w:highlight w:val="none"/>
        </w:rPr>
        <w:t>，投资财务内部收益率（所得税后）</w:t>
      </w:r>
      <w:r>
        <w:rPr>
          <w:rFonts w:hint="eastAsia"/>
          <w:highlight w:val="none"/>
        </w:rPr>
        <w:t>5.</w:t>
      </w:r>
      <w:r>
        <w:rPr>
          <w:rFonts w:hint="eastAsia"/>
          <w:highlight w:val="none"/>
          <w:lang w:val="en-US" w:eastAsia="zh-CN"/>
        </w:rPr>
        <w:t>15</w:t>
      </w:r>
      <w:r>
        <w:rPr>
          <w:rFonts w:hint="eastAsia"/>
          <w:highlight w:val="none"/>
        </w:rPr>
        <w:t>%</w:t>
      </w:r>
      <w:r>
        <w:rPr>
          <w:highlight w:val="none"/>
        </w:rPr>
        <w:t>，项目资本金财务内部收益率（所得税后）</w:t>
      </w:r>
      <w:r>
        <w:rPr>
          <w:rFonts w:hint="eastAsia"/>
          <w:highlight w:val="none"/>
          <w:lang w:val="en-US" w:eastAsia="zh-CN"/>
        </w:rPr>
        <w:t>5.06</w:t>
      </w:r>
      <w:r>
        <w:rPr>
          <w:rFonts w:hint="eastAsia"/>
          <w:highlight w:val="none"/>
        </w:rPr>
        <w:t>%</w:t>
      </w:r>
      <w:r>
        <w:rPr>
          <w:highlight w:val="none"/>
        </w:rPr>
        <w:t>。</w:t>
      </w:r>
    </w:p>
    <w:p w14:paraId="15D895E5">
      <w:pPr>
        <w:pStyle w:val="5"/>
        <w:bidi w:val="0"/>
      </w:pPr>
      <w:bookmarkStart w:id="16" w:name="bookmark12"/>
      <w:bookmarkEnd w:id="16"/>
      <w:r>
        <w:t>主要技术经济指标</w:t>
      </w:r>
    </w:p>
    <w:p w14:paraId="06BEDFE2">
      <w:pPr>
        <w:bidi w:val="0"/>
        <w:rPr>
          <w:rFonts w:hint="eastAsia" w:eastAsia="仿宋"/>
          <w:lang w:eastAsia="zh-CN"/>
        </w:rPr>
      </w:pPr>
      <w:r>
        <w:t>本项目中各水库主要经济技术指标和建设运营时间如下表所示</w:t>
      </w:r>
      <w:r>
        <w:rPr>
          <w:rFonts w:hint="eastAsia"/>
          <w:lang w:eastAsia="zh-CN"/>
        </w:rPr>
        <w:t>。</w:t>
      </w:r>
    </w:p>
    <w:p w14:paraId="5C1C9DFD">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一</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eastAsia="zh-CN"/>
        </w:rPr>
        <w:t>各水库主要经济技术指标和建设运营时间表</w:t>
      </w:r>
    </w:p>
    <w:tbl>
      <w:tblPr>
        <w:tblStyle w:val="15"/>
        <w:tblW w:w="616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7"/>
        <w:gridCol w:w="1253"/>
        <w:gridCol w:w="877"/>
        <w:gridCol w:w="1124"/>
        <w:gridCol w:w="385"/>
        <w:gridCol w:w="1093"/>
        <w:gridCol w:w="1093"/>
        <w:gridCol w:w="1093"/>
        <w:gridCol w:w="975"/>
        <w:gridCol w:w="1130"/>
        <w:gridCol w:w="1063"/>
      </w:tblGrid>
      <w:tr w14:paraId="473EC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E4BF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序号</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9A58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水库名称</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AE9F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lang w:val="en-US" w:eastAsia="zh-CN"/>
              </w:rPr>
            </w:pPr>
            <w:r>
              <w:rPr>
                <w:rFonts w:hint="eastAsia" w:ascii="宋体" w:hAnsi="宋体" w:eastAsia="宋体" w:cs="宋体"/>
                <w:b/>
                <w:bCs/>
                <w:spacing w:val="-3"/>
                <w:sz w:val="20"/>
                <w:szCs w:val="20"/>
                <w:lang w:val="en-US" w:eastAsia="zh-CN"/>
              </w:rPr>
              <w:t>建成时间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43B6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规模</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DC2F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等别</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DE9F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总库容</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C4F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防洪库容</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5084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调节（兴利）库容</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8C54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死库容</w:t>
            </w:r>
          </w:p>
        </w:tc>
        <w:tc>
          <w:tcPr>
            <w:tcW w:w="5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7119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设计灌溉面积（万亩）</w:t>
            </w:r>
          </w:p>
        </w:tc>
        <w:tc>
          <w:tcPr>
            <w:tcW w:w="50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BC3F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bCs/>
                <w:spacing w:val="-3"/>
                <w:sz w:val="20"/>
                <w:szCs w:val="20"/>
              </w:rPr>
            </w:pPr>
            <w:r>
              <w:rPr>
                <w:rFonts w:hint="eastAsia" w:ascii="宋体" w:hAnsi="宋体" w:eastAsia="宋体" w:cs="宋体"/>
                <w:b/>
                <w:bCs/>
                <w:spacing w:val="-3"/>
                <w:sz w:val="20"/>
                <w:szCs w:val="20"/>
                <w:lang w:val="en-US" w:eastAsia="zh-CN"/>
              </w:rPr>
              <w:t>水面面积</w:t>
            </w:r>
            <w:r>
              <w:rPr>
                <w:rFonts w:hint="eastAsia" w:ascii="宋体" w:hAnsi="宋体" w:eastAsia="宋体" w:cs="宋体"/>
                <w:b/>
                <w:bCs/>
                <w:spacing w:val="-3"/>
                <w:sz w:val="20"/>
                <w:szCs w:val="20"/>
                <w:lang w:val="en-US" w:eastAsia="zh-CN"/>
              </w:rPr>
              <w:br w:type="textWrapping"/>
            </w:r>
            <w:r>
              <w:rPr>
                <w:rFonts w:hint="eastAsia" w:ascii="宋体" w:hAnsi="宋体" w:eastAsia="宋体" w:cs="宋体"/>
                <w:b/>
                <w:bCs/>
                <w:spacing w:val="-3"/>
                <w:sz w:val="20"/>
                <w:szCs w:val="20"/>
                <w:lang w:val="en-US" w:eastAsia="zh-CN"/>
              </w:rPr>
              <w:t>（亩）</w:t>
            </w:r>
          </w:p>
        </w:tc>
      </w:tr>
      <w:tr w14:paraId="3528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1A1A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09AFF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麻子滩水库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D7FB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1978年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EF50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中型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3688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Ⅲ</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4590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8216.00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95EE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2487.00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B0D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5106.00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B8E7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623.00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0F9F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22.887</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67A4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12000.00</w:t>
            </w:r>
          </w:p>
        </w:tc>
      </w:tr>
      <w:tr w14:paraId="5D414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2A33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9191B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跑马滩水库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F96B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1961年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A696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中型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F889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Ⅲ</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055A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3260.00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54E6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571.00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174B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950.00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04A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350.00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1262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3.14</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17B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2500.00</w:t>
            </w:r>
          </w:p>
        </w:tc>
      </w:tr>
      <w:tr w14:paraId="2ED0D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8426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w:t>
            </w:r>
          </w:p>
        </w:tc>
        <w:tc>
          <w:tcPr>
            <w:tcW w:w="5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28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新生水库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AE99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1976年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7C94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中型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C406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Ⅲ</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B871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1680.00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0DAC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560.00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11B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952.00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D3BC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168.00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B75A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3.13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D37AA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6500.00</w:t>
            </w:r>
          </w:p>
        </w:tc>
      </w:tr>
      <w:tr w14:paraId="210DE0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65EA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BEEE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双龙桥水库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6B5D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1970年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290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1AE4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96A1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222.42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1B5F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162.42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CC74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46.80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5DF5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13.20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9299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0.255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676E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2940.00</w:t>
            </w:r>
          </w:p>
        </w:tc>
      </w:tr>
      <w:tr w14:paraId="772B2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526D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56DB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吊石岩水库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AEC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1977年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C7CF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092B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768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691.00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B1D9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573.00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BBA0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84.00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08B9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34.00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DA11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0.43</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B941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4250.00</w:t>
            </w:r>
          </w:p>
        </w:tc>
      </w:tr>
      <w:tr w14:paraId="09396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07EF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2FD5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白鹤嘴水库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36DF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1959年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4BBA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29F4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71CF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161.75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759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120.75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53D7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41.00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4D4D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6CE8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0.325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BF60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2620.00</w:t>
            </w:r>
          </w:p>
        </w:tc>
      </w:tr>
      <w:tr w14:paraId="2605D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B1B1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7</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7EA1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席家埝水库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8508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1976年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B1C9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1A0E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B66B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146.71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0D1A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71.33</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B849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61.38</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A53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14.00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C5DA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0.524</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CCD3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2360.000</w:t>
            </w:r>
          </w:p>
        </w:tc>
      </w:tr>
      <w:tr w14:paraId="1AEB9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B596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8</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5204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白强寺水库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4A60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2000年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AA3D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FB2C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7303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105.00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E6D5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81.00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C8C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22.70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7E4D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1.30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6744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0.372</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0D1A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950.000</w:t>
            </w:r>
          </w:p>
        </w:tc>
      </w:tr>
      <w:tr w14:paraId="66D3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2642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9</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81D9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东岳庙水库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96E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1979年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5E87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88A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DCF0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312.30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7503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177.30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9A3C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107.00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C6FB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28.00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523E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0.528</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61E3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3860.000</w:t>
            </w:r>
          </w:p>
        </w:tc>
      </w:tr>
      <w:tr w14:paraId="0E993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D548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10</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2035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雷音寺水库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AA76D">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1977年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AEF6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5A47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20F0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147.32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42EB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30.71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2C98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110.49</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5733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6.12</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15F9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0.7</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E4B7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1180.000</w:t>
            </w:r>
          </w:p>
        </w:tc>
      </w:tr>
      <w:tr w14:paraId="6D3C39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F0CE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11</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98EE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谭家坝水库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F237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1977年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33F6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F06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5703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153.33</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DE43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63.33</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4942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85.80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1E2A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4.20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9B14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0.334</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AEBE">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1260.000</w:t>
            </w:r>
          </w:p>
        </w:tc>
      </w:tr>
      <w:tr w14:paraId="74378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F0D7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12</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5DA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狮子湾水库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F926B">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1959年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2BF26">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7586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2A2F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224.07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C03F3">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169.07</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4886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44.20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FC82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10.80</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75D9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0.5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9A612">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2530.000</w:t>
            </w:r>
          </w:p>
        </w:tc>
      </w:tr>
      <w:tr w14:paraId="7B307F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A8FBE1">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13</w:t>
            </w:r>
          </w:p>
        </w:tc>
        <w:tc>
          <w:tcPr>
            <w:tcW w:w="59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31D4">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萝卜园水库</w:t>
            </w:r>
          </w:p>
        </w:tc>
        <w:tc>
          <w:tcPr>
            <w:tcW w:w="41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A575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2017年</w:t>
            </w:r>
          </w:p>
        </w:tc>
        <w:tc>
          <w:tcPr>
            <w:tcW w:w="5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054FC">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小（1）型</w:t>
            </w:r>
          </w:p>
        </w:tc>
        <w:tc>
          <w:tcPr>
            <w:tcW w:w="1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FD29F">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Ⅳ</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0F2A8">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995.00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4FCBA">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9B697">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258.00</w:t>
            </w:r>
          </w:p>
        </w:tc>
        <w:tc>
          <w:tcPr>
            <w:tcW w:w="4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EBBC5">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lang w:val="en-US" w:eastAsia="zh-CN"/>
              </w:rPr>
            </w:pPr>
            <w:r>
              <w:rPr>
                <w:rFonts w:hint="eastAsia" w:ascii="宋体" w:hAnsi="宋体" w:eastAsia="宋体" w:cs="宋体"/>
                <w:b w:val="0"/>
                <w:bCs w:val="0"/>
                <w:spacing w:val="-3"/>
                <w:sz w:val="20"/>
                <w:szCs w:val="20"/>
                <w:lang w:val="en-US" w:eastAsia="zh-CN"/>
              </w:rPr>
              <w:t>-</w:t>
            </w:r>
          </w:p>
        </w:tc>
        <w:tc>
          <w:tcPr>
            <w:tcW w:w="5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C589">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1.55</w:t>
            </w:r>
          </w:p>
        </w:tc>
        <w:tc>
          <w:tcPr>
            <w:tcW w:w="5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91370">
            <w:pPr>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b w:val="0"/>
                <w:bCs w:val="0"/>
                <w:spacing w:val="-3"/>
                <w:sz w:val="20"/>
                <w:szCs w:val="20"/>
              </w:rPr>
            </w:pPr>
            <w:r>
              <w:rPr>
                <w:rFonts w:hint="eastAsia" w:ascii="宋体" w:hAnsi="宋体" w:eastAsia="宋体" w:cs="宋体"/>
                <w:b w:val="0"/>
                <w:bCs w:val="0"/>
                <w:spacing w:val="-3"/>
                <w:sz w:val="20"/>
                <w:szCs w:val="20"/>
                <w:lang w:val="en-US" w:eastAsia="zh-CN"/>
              </w:rPr>
              <w:t>5060.000</w:t>
            </w:r>
          </w:p>
        </w:tc>
      </w:tr>
    </w:tbl>
    <w:p w14:paraId="7E36392A">
      <w:pPr>
        <w:spacing w:line="123" w:lineRule="exact"/>
        <w:ind w:left="0" w:leftChars="0" w:firstLine="0" w:firstLineChars="0"/>
      </w:pPr>
    </w:p>
    <w:p w14:paraId="3B059D8E">
      <w:pPr>
        <w:pStyle w:val="5"/>
        <w:bidi w:val="0"/>
        <w:ind w:left="0" w:firstLine="402"/>
        <w:rPr>
          <w:rFonts w:ascii="Arial" w:hAnsi="Arial"/>
        </w:rPr>
      </w:pPr>
      <w:bookmarkStart w:id="17" w:name="bookmark13"/>
      <w:bookmarkEnd w:id="17"/>
      <w:r>
        <w:rPr>
          <w:rFonts w:ascii="Arial" w:hAnsi="Arial"/>
        </w:rPr>
        <w:t>前期工作进展</w:t>
      </w:r>
    </w:p>
    <w:p w14:paraId="17B2017B">
      <w:pPr>
        <w:bidi w:val="0"/>
        <w:rPr>
          <w:highlight w:val="none"/>
        </w:rPr>
      </w:pPr>
      <w:r>
        <w:rPr>
          <w:highlight w:val="none"/>
        </w:rPr>
        <w:t>已取得人民政府授权实施机构的授权文件文号：</w:t>
      </w:r>
      <w:r>
        <w:rPr>
          <w:rFonts w:hint="eastAsia"/>
          <w:highlight w:val="none"/>
          <w:lang w:val="en-US" w:eastAsia="zh-CN"/>
        </w:rPr>
        <w:t>遂安府阅（2024）26号《关于专题研究安居区麻子滩等13座水库特许经营权项目实施主体授权的会议纪要》</w:t>
      </w:r>
    </w:p>
    <w:p w14:paraId="4D076623">
      <w:pPr>
        <w:bidi w:val="0"/>
        <w:rPr>
          <w:rFonts w:hint="eastAsia" w:eastAsia="仿宋"/>
          <w:highlight w:val="none"/>
          <w:lang w:eastAsia="zh-CN"/>
        </w:rPr>
      </w:pPr>
      <w:r>
        <w:t>已完成项目资</w:t>
      </w:r>
      <w:r>
        <w:rPr>
          <w:highlight w:val="none"/>
        </w:rPr>
        <w:t>产特许经营权评估（</w:t>
      </w:r>
      <w:r>
        <w:rPr>
          <w:rFonts w:hint="eastAsia"/>
          <w:highlight w:val="none"/>
          <w:lang w:eastAsia="zh-CN"/>
        </w:rPr>
        <w:t>川众资评报字〔2024〕第128号</w:t>
      </w:r>
      <w:r>
        <w:rPr>
          <w:highlight w:val="none"/>
        </w:rPr>
        <w:t>）</w:t>
      </w:r>
      <w:r>
        <w:rPr>
          <w:rFonts w:hint="eastAsia"/>
          <w:highlight w:val="none"/>
          <w:lang w:eastAsia="zh-CN"/>
        </w:rPr>
        <w:t>。</w:t>
      </w:r>
    </w:p>
    <w:p w14:paraId="676D1F4B">
      <w:pPr>
        <w:pStyle w:val="5"/>
        <w:bidi w:val="0"/>
        <w:ind w:left="0" w:firstLine="402"/>
        <w:rPr>
          <w:rFonts w:ascii="Arial" w:hAnsi="Arial"/>
        </w:rPr>
      </w:pPr>
      <w:bookmarkStart w:id="18" w:name="bookmark120"/>
      <w:bookmarkEnd w:id="18"/>
      <w:bookmarkStart w:id="19" w:name="bookmark14"/>
      <w:bookmarkEnd w:id="19"/>
      <w:r>
        <w:rPr>
          <w:rFonts w:ascii="Arial" w:hAnsi="Arial"/>
        </w:rPr>
        <w:t>实施依据和编制原则</w:t>
      </w:r>
    </w:p>
    <w:p w14:paraId="2D9256C9">
      <w:pPr>
        <w:pStyle w:val="6"/>
        <w:keepNext/>
        <w:keepLines/>
        <w:pageBreakBefore w:val="0"/>
        <w:widowControl/>
        <w:numPr>
          <w:ilvl w:val="3"/>
          <w:numId w:val="5"/>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实施依据</w:t>
      </w:r>
    </w:p>
    <w:p w14:paraId="728D6188">
      <w:pPr>
        <w:numPr>
          <w:ilvl w:val="0"/>
          <w:numId w:val="6"/>
        </w:numPr>
        <w:bidi w:val="0"/>
        <w:ind w:left="0" w:leftChars="0" w:firstLine="562" w:firstLineChars="200"/>
        <w:rPr>
          <w:b/>
          <w:bCs/>
        </w:rPr>
      </w:pPr>
      <w:r>
        <w:rPr>
          <w:b/>
          <w:bCs/>
        </w:rPr>
        <w:t>相关法律法规</w:t>
      </w:r>
    </w:p>
    <w:p w14:paraId="7DE2F572">
      <w:pPr>
        <w:bidi w:val="0"/>
      </w:pPr>
      <w:r>
        <w:t>《中华人民共和国政府采购法》</w:t>
      </w:r>
    </w:p>
    <w:p w14:paraId="51224873">
      <w:pPr>
        <w:bidi w:val="0"/>
      </w:pPr>
      <w:r>
        <w:t>《中华人民共和国政府采购法实施条例》</w:t>
      </w:r>
    </w:p>
    <w:p w14:paraId="254C8063">
      <w:pPr>
        <w:bidi w:val="0"/>
      </w:pPr>
      <w:r>
        <w:t>《中华人民共和国招标投标法》</w:t>
      </w:r>
    </w:p>
    <w:p w14:paraId="7BDE047A">
      <w:pPr>
        <w:bidi w:val="0"/>
        <w:rPr>
          <w:rFonts w:hint="eastAsia" w:eastAsia="仿宋"/>
          <w:lang w:eastAsia="zh-CN"/>
        </w:rPr>
      </w:pPr>
      <w:r>
        <w:t>《中华人民共和国招标投标法实施条例》</w:t>
      </w:r>
    </w:p>
    <w:p w14:paraId="3C7B3F10">
      <w:pPr>
        <w:bidi w:val="0"/>
      </w:pPr>
      <w:r>
        <w:t>《中华人民共和国预算法》</w:t>
      </w:r>
    </w:p>
    <w:p w14:paraId="28F8F6CA">
      <w:pPr>
        <w:bidi w:val="0"/>
      </w:pPr>
      <w:r>
        <w:t>《中华人民共和国土地管理法》</w:t>
      </w:r>
    </w:p>
    <w:p w14:paraId="5373A32E">
      <w:pPr>
        <w:bidi w:val="0"/>
        <w:rPr>
          <w:rFonts w:hint="eastAsia" w:eastAsia="仿宋"/>
          <w:lang w:eastAsia="zh-CN"/>
        </w:rPr>
      </w:pPr>
      <w:r>
        <w:t>《中华人民共和国税收征收管理法》</w:t>
      </w:r>
    </w:p>
    <w:p w14:paraId="7DE8E578">
      <w:pPr>
        <w:bidi w:val="0"/>
      </w:pPr>
      <w:r>
        <w:t>《中华人民共和国企业所得税法》</w:t>
      </w:r>
    </w:p>
    <w:p w14:paraId="5B48DAA3">
      <w:pPr>
        <w:bidi w:val="0"/>
        <w:rPr>
          <w:rFonts w:hint="eastAsia" w:eastAsia="仿宋"/>
          <w:lang w:eastAsia="zh-CN"/>
        </w:rPr>
      </w:pPr>
      <w:r>
        <w:t>《中华人民共和国增值税暂行条例》</w:t>
      </w:r>
    </w:p>
    <w:p w14:paraId="78C254C1">
      <w:pPr>
        <w:bidi w:val="0"/>
      </w:pPr>
      <w:r>
        <w:t>《中华人民共和国公司法》</w:t>
      </w:r>
    </w:p>
    <w:p w14:paraId="251E7128">
      <w:pPr>
        <w:bidi w:val="0"/>
      </w:pPr>
      <w:r>
        <w:t>《政府投资条例》</w:t>
      </w:r>
    </w:p>
    <w:p w14:paraId="6F9B2495">
      <w:pPr>
        <w:numPr>
          <w:ilvl w:val="0"/>
          <w:numId w:val="6"/>
        </w:numPr>
        <w:bidi w:val="0"/>
        <w:ind w:left="0" w:leftChars="0" w:firstLine="562" w:firstLineChars="200"/>
        <w:rPr>
          <w:rFonts w:ascii="Arial" w:hAnsi="Arial"/>
          <w:b/>
          <w:bCs/>
        </w:rPr>
      </w:pPr>
      <w:r>
        <w:rPr>
          <w:rFonts w:ascii="Arial" w:hAnsi="Arial"/>
          <w:b/>
          <w:bCs/>
        </w:rPr>
        <w:t>国家和省市相关政策</w:t>
      </w:r>
    </w:p>
    <w:p w14:paraId="34CF0FF0">
      <w:pPr>
        <w:bidi w:val="0"/>
      </w:pPr>
      <w:r>
        <w:t>《国务院关于固定资产投资项目试行资本金制度的通知》（国发〔1996〕35号）</w:t>
      </w:r>
    </w:p>
    <w:p w14:paraId="709FCA33">
      <w:pPr>
        <w:bidi w:val="0"/>
      </w:pPr>
      <w:r>
        <w:t>《国务院关于加强固定资产投资项目资本金管理的通知》（国发〔2019〕26号）</w:t>
      </w:r>
    </w:p>
    <w:p w14:paraId="31F40177">
      <w:pPr>
        <w:bidi w:val="0"/>
      </w:pPr>
      <w:r>
        <w:t>《关于进一步规范地方政府举债融资行为的通知》（财预〔2017〕50号）</w:t>
      </w:r>
    </w:p>
    <w:p w14:paraId="6C179644">
      <w:pPr>
        <w:bidi w:val="0"/>
      </w:pPr>
      <w:r>
        <w:t>《关于坚决制止地方以政府购买服务名义违法违规融资的通知》（财预〔2017〕87号）</w:t>
      </w:r>
    </w:p>
    <w:p w14:paraId="09960ECF">
      <w:pPr>
        <w:bidi w:val="0"/>
      </w:pPr>
      <w:r>
        <w:t>《关于规范金融企业对地方政府和国有企业投融资行为有关问题的通知》（财金〔2018〕23号）</w:t>
      </w:r>
    </w:p>
    <w:p w14:paraId="32CB01EF">
      <w:pPr>
        <w:bidi w:val="0"/>
      </w:pPr>
      <w:r>
        <w:t>《国务院办公厅转发国家发展改革委、财政部〈关于规范实施政府和社会资本合作新机制的指导意见〉的通知》（国办函〔2023〕115号）</w:t>
      </w:r>
    </w:p>
    <w:p w14:paraId="63963D76">
      <w:pPr>
        <w:bidi w:val="0"/>
      </w:pPr>
      <w:r>
        <w:t>《基础设施和公用事业特许经营管理办法》（中华人民共和国国家发展和改革委员会中华人民共和国财政部中华人民共和国住房和城乡建设部中华人民共和国交通运输部中华人民共和国水利部中国人民银行2024年第17号令）</w:t>
      </w:r>
    </w:p>
    <w:p w14:paraId="5442ED3C">
      <w:pPr>
        <w:bidi w:val="0"/>
      </w:pPr>
      <w:r>
        <w:t>国家发展改革委办公厅关于印发《政府和社会资本合作项目</w:t>
      </w:r>
      <w:r>
        <w:rPr>
          <w:rFonts w:hint="eastAsia"/>
          <w:lang w:eastAsia="zh-CN"/>
        </w:rPr>
        <w:t>实施方案</w:t>
      </w:r>
      <w:r>
        <w:t>编写大纲（2024年试行版）》的通知（发改办投资〔2024〕227号）</w:t>
      </w:r>
    </w:p>
    <w:p w14:paraId="28D1CC4C">
      <w:pPr>
        <w:bidi w:val="0"/>
      </w:pPr>
      <w:r>
        <w:t>《关于做好盘活存量资产扩大有效投资有关工作的通知》（发改办投资〔2022〕561号）</w:t>
      </w:r>
    </w:p>
    <w:p w14:paraId="1C4261E2">
      <w:pPr>
        <w:bidi w:val="0"/>
      </w:pPr>
      <w:r>
        <w:t>《关于深入推进农业水价综合改革的通知》（发改价格〔2021〕1017号）</w:t>
      </w:r>
    </w:p>
    <w:p w14:paraId="5907E930">
      <w:pPr>
        <w:bidi w:val="0"/>
        <w:rPr>
          <w:rFonts w:hint="eastAsia" w:eastAsia="仿宋"/>
          <w:lang w:eastAsia="zh-CN"/>
        </w:rPr>
      </w:pPr>
      <w:r>
        <w:t>《四川省用水定额》（川府函〔2021〕8号）</w:t>
      </w:r>
    </w:p>
    <w:p w14:paraId="6794A662">
      <w:pPr>
        <w:bidi w:val="0"/>
      </w:pPr>
      <w:r>
        <w:t>《四川省水利厅关于做好2023年度小型水库维修养护项目相关工作的通知》（川水函〔2023〕598号）</w:t>
      </w:r>
    </w:p>
    <w:p w14:paraId="11124433">
      <w:pPr>
        <w:pStyle w:val="6"/>
        <w:keepNext/>
        <w:keepLines/>
        <w:pageBreakBefore w:val="0"/>
        <w:widowControl/>
        <w:numPr>
          <w:ilvl w:val="3"/>
          <w:numId w:val="5"/>
        </w:numPr>
        <w:tabs>
          <w:tab w:val="left" w:pos="6437"/>
        </w:tabs>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编制原则</w:t>
      </w:r>
      <w:r>
        <w:rPr>
          <w:rFonts w:hint="eastAsia" w:ascii="仿宋" w:hAnsi="仿宋" w:eastAsia="仿宋" w:cs="仿宋"/>
          <w:b/>
          <w:bCs/>
          <w:spacing w:val="-9"/>
          <w:sz w:val="31"/>
          <w:szCs w:val="31"/>
          <w:lang w:eastAsia="zh-CN"/>
        </w:rPr>
        <w:tab/>
      </w:r>
    </w:p>
    <w:p w14:paraId="0D25FC78">
      <w:pPr>
        <w:bidi w:val="0"/>
      </w:pPr>
      <w:r>
        <w:t>基础设施和公用事业特许经营应当坚持公开、公平、公正，保护各方合法利益，并遵循以下原则：</w:t>
      </w:r>
    </w:p>
    <w:p w14:paraId="374E7AA8">
      <w:pPr>
        <w:numPr>
          <w:ilvl w:val="0"/>
          <w:numId w:val="7"/>
        </w:numPr>
        <w:bidi w:val="0"/>
        <w:ind w:left="0" w:leftChars="0" w:firstLine="560" w:firstLineChars="200"/>
      </w:pPr>
      <w:r>
        <w:t>发挥社会资本融资、专业、技术和管理优势，提高公共服务质量效率；</w:t>
      </w:r>
    </w:p>
    <w:p w14:paraId="65136B1A">
      <w:pPr>
        <w:numPr>
          <w:ilvl w:val="0"/>
          <w:numId w:val="7"/>
        </w:numPr>
        <w:bidi w:val="0"/>
        <w:ind w:left="0" w:leftChars="0" w:firstLine="560" w:firstLineChars="200"/>
      </w:pPr>
      <w:r>
        <w:t>转变政府职能，强化政府与社会资本协商合作；</w:t>
      </w:r>
    </w:p>
    <w:p w14:paraId="0BCE9643">
      <w:pPr>
        <w:numPr>
          <w:ilvl w:val="0"/>
          <w:numId w:val="7"/>
        </w:numPr>
        <w:bidi w:val="0"/>
        <w:ind w:left="0" w:leftChars="0" w:firstLine="560" w:firstLineChars="200"/>
      </w:pPr>
      <w:r>
        <w:t>保护社会资本合法权益，保证特许经营持续性和稳定性；</w:t>
      </w:r>
    </w:p>
    <w:p w14:paraId="6A6EEC66">
      <w:pPr>
        <w:numPr>
          <w:ilvl w:val="0"/>
          <w:numId w:val="7"/>
        </w:numPr>
        <w:bidi w:val="0"/>
        <w:ind w:left="0" w:leftChars="0" w:firstLine="560" w:firstLineChars="200"/>
      </w:pPr>
      <w:r>
        <w:t>兼顾经营性和公益性平衡，维护公共利益；</w:t>
      </w:r>
    </w:p>
    <w:p w14:paraId="15F10CDF">
      <w:pPr>
        <w:numPr>
          <w:ilvl w:val="0"/>
          <w:numId w:val="7"/>
        </w:numPr>
        <w:bidi w:val="0"/>
        <w:ind w:left="0" w:leftChars="0" w:firstLine="560" w:firstLineChars="200"/>
      </w:pPr>
      <w:r>
        <w:t>根据风险性质以及特许经营各方风险管控能力，明确风险分担机制并切实执行，保障项目持续稳定实施。</w:t>
      </w:r>
    </w:p>
    <w:p w14:paraId="5E973B43">
      <w:pPr>
        <w:pStyle w:val="4"/>
        <w:numPr>
          <w:ilvl w:val="1"/>
          <w:numId w:val="4"/>
        </w:numPr>
        <w:bidi w:val="0"/>
        <w:ind w:left="575" w:leftChars="0" w:hanging="575" w:firstLineChars="0"/>
        <w:rPr>
          <w:rFonts w:ascii="Arial" w:hAnsi="Arial"/>
        </w:rPr>
      </w:pPr>
      <w:bookmarkStart w:id="20" w:name="bookmark15"/>
      <w:bookmarkEnd w:id="20"/>
      <w:bookmarkStart w:id="21" w:name="_Toc10370"/>
      <w:r>
        <w:rPr>
          <w:rFonts w:ascii="Arial" w:hAnsi="Arial"/>
        </w:rPr>
        <w:t>项目实施机构</w:t>
      </w:r>
      <w:bookmarkEnd w:id="21"/>
    </w:p>
    <w:p w14:paraId="4AFC98F9">
      <w:pPr>
        <w:bidi w:val="0"/>
      </w:pPr>
      <w:r>
        <w:t>经</w:t>
      </w:r>
      <w:r>
        <w:rPr>
          <w:rFonts w:hint="eastAsia"/>
          <w:lang w:eastAsia="zh-CN"/>
        </w:rPr>
        <w:t>安居区人民政府</w:t>
      </w:r>
      <w:r>
        <w:t>（下称“</w:t>
      </w:r>
      <w:r>
        <w:rPr>
          <w:rFonts w:hint="eastAsia"/>
          <w:lang w:val="en-US" w:eastAsia="zh-CN"/>
        </w:rPr>
        <w:t>区</w:t>
      </w:r>
      <w:r>
        <w:t>政府”）授权，</w:t>
      </w:r>
      <w:r>
        <w:rPr>
          <w:rFonts w:hint="eastAsia"/>
          <w:lang w:eastAsia="zh-CN"/>
        </w:rPr>
        <w:t>安居区水利局</w:t>
      </w:r>
      <w:r>
        <w:t>作为本项目实施机构，负责本项目</w:t>
      </w:r>
      <w:r>
        <w:rPr>
          <w:rFonts w:hint="eastAsia"/>
          <w:lang w:eastAsia="zh-CN"/>
        </w:rPr>
        <w:t>实施方案</w:t>
      </w:r>
      <w:r>
        <w:t>编制、特许经营者选择</w:t>
      </w:r>
      <w:r>
        <w:rPr>
          <w:rFonts w:hint="eastAsia"/>
          <w:lang w:eastAsia="zh-CN"/>
        </w:rPr>
        <w:t>、</w:t>
      </w:r>
      <w:r>
        <w:t>特许经营协议签订、项目实施监管、合作期满移交接收等工作，详见附件1。</w:t>
      </w:r>
    </w:p>
    <w:p w14:paraId="5353BC3D">
      <w:pPr>
        <w:pStyle w:val="4"/>
        <w:numPr>
          <w:ilvl w:val="1"/>
          <w:numId w:val="4"/>
        </w:numPr>
        <w:bidi w:val="0"/>
        <w:ind w:left="575" w:leftChars="0" w:hanging="575" w:firstLineChars="0"/>
        <w:rPr>
          <w:rFonts w:ascii="Arial" w:hAnsi="Arial"/>
        </w:rPr>
      </w:pPr>
      <w:bookmarkStart w:id="22" w:name="bookmark16"/>
      <w:bookmarkEnd w:id="22"/>
      <w:bookmarkStart w:id="23" w:name="_Toc2732"/>
      <w:r>
        <w:rPr>
          <w:rFonts w:ascii="Arial" w:hAnsi="Arial"/>
        </w:rPr>
        <w:t>特许经营主要内容</w:t>
      </w:r>
      <w:bookmarkEnd w:id="23"/>
    </w:p>
    <w:p w14:paraId="084E1784">
      <w:pPr>
        <w:bidi w:val="0"/>
      </w:pPr>
      <w:r>
        <w:t>本项目特许经营实施方式为转让</w:t>
      </w:r>
      <w:r>
        <w:rPr>
          <w:rFonts w:hint="eastAsia"/>
          <w:lang w:val="en-US" w:eastAsia="zh-CN"/>
        </w:rPr>
        <w:t>—</w:t>
      </w:r>
      <w:r>
        <w:t>运营</w:t>
      </w:r>
      <w:r>
        <w:rPr>
          <w:rFonts w:hint="eastAsia"/>
          <w:lang w:eastAsia="zh-CN"/>
        </w:rPr>
        <w:t>—</w:t>
      </w:r>
      <w:r>
        <w:t>移交（TOT），特许经营期限为</w:t>
      </w:r>
      <w:r>
        <w:rPr>
          <w:rFonts w:hint="eastAsia"/>
          <w:lang w:eastAsia="zh-CN"/>
        </w:rPr>
        <w:t>35年</w:t>
      </w:r>
      <w:r>
        <w:t>。</w:t>
      </w:r>
    </w:p>
    <w:p w14:paraId="0207D42E">
      <w:pPr>
        <w:bidi w:val="0"/>
      </w:pPr>
      <w:bookmarkStart w:id="24" w:name="bookmark121"/>
      <w:bookmarkEnd w:id="24"/>
      <w:r>
        <w:rPr>
          <w:rFonts w:hint="eastAsia"/>
          <w:lang w:val="en-US" w:eastAsia="zh-CN"/>
        </w:rPr>
        <w:t>区</w:t>
      </w:r>
      <w:r>
        <w:t>政府授权</w:t>
      </w:r>
      <w:r>
        <w:rPr>
          <w:rFonts w:hint="eastAsia"/>
          <w:lang w:eastAsia="zh-CN"/>
        </w:rPr>
        <w:t>安居区水利局</w:t>
      </w:r>
      <w:r>
        <w:t>为本项目实施机构，实施机构通过公开拍卖方式依法依规选择特许经营者。</w:t>
      </w:r>
    </w:p>
    <w:p w14:paraId="22952FDA">
      <w:pPr>
        <w:bidi w:val="0"/>
      </w:pPr>
      <w:r>
        <w:t>本项目特许经营范围涉</w:t>
      </w:r>
      <w:r>
        <w:rPr>
          <w:highlight w:val="none"/>
        </w:rPr>
        <w:t>及</w:t>
      </w:r>
      <w:r>
        <w:rPr>
          <w:rFonts w:hint="eastAsia"/>
          <w:highlight w:val="none"/>
          <w:lang w:val="en-US" w:eastAsia="zh-CN"/>
        </w:rPr>
        <w:t>麻子滩等13座水库</w:t>
      </w:r>
      <w:r>
        <w:t>，通过特许经营权转让引入特许经营者，在特许经营期内由特许经营者负责存量水库设施的运营和维护，提供</w:t>
      </w:r>
      <w:r>
        <w:rPr>
          <w:rFonts w:hint="eastAsia"/>
          <w:lang w:eastAsia="zh-CN"/>
        </w:rPr>
        <w:t>原水供水</w:t>
      </w:r>
      <w:r>
        <w:t>销售、农业灌溉用水销售服务，在保证</w:t>
      </w:r>
      <w:r>
        <w:rPr>
          <w:rFonts w:ascii="仿宋" w:hAnsi="仿宋" w:eastAsia="仿宋" w:cs="仿宋"/>
          <w:spacing w:val="5"/>
          <w:szCs w:val="31"/>
        </w:rPr>
        <w:t>水</w:t>
      </w:r>
      <w:r>
        <w:t>库满足基础供水功能的</w:t>
      </w:r>
      <w:r>
        <w:rPr>
          <w:highlight w:val="none"/>
        </w:rPr>
        <w:t>前提下合理利用水资源开展</w:t>
      </w:r>
      <w:r>
        <w:rPr>
          <w:rFonts w:hint="eastAsia"/>
          <w:highlight w:val="none"/>
          <w:lang w:val="en-US" w:eastAsia="zh-CN"/>
        </w:rPr>
        <w:t>租赁水域水面获得经营服务收入（生态渔业养殖活动及休闲垂钓等经营性业务）。</w:t>
      </w:r>
    </w:p>
    <w:p w14:paraId="095EE54A">
      <w:pPr>
        <w:bidi w:val="0"/>
      </w:pPr>
      <w:r>
        <w:t>实施机构与特许经营者签订特许经营协议，授予特许经营者投资、融资、运营、维护本项目的权利，特许经营者根据特许经营协议的约定行使权利，履行义务，承担责任。特许经营者根据特许经营协议约定支付特许经营权转让价款，完成融资交割，负责按照特许经营协议的约定提供项目设施运营维护服务，利用项目设施开展经营性业务获得经营性收入。特许经营期届满，特许经营者按特许经营协议约定依法依规向</w:t>
      </w:r>
      <w:r>
        <w:rPr>
          <w:rFonts w:hint="eastAsia"/>
          <w:lang w:eastAsia="zh-CN"/>
        </w:rPr>
        <w:t>政府</w:t>
      </w:r>
      <w:r>
        <w:t>指定机构无偿、完好地移交项目设施所有权和所有权益。</w:t>
      </w:r>
    </w:p>
    <w:p w14:paraId="603EE3DB">
      <w:pPr>
        <w:bidi w:val="0"/>
      </w:pPr>
      <w:r>
        <w:t>本项目为盘活存量资产项目，项目无建设投资，无需政府提供建设投资支持。项目运营期内，项目公司或政府方可依照规定申请中央水利发展资金、省级水利发展基金等补助资金，用于水库的工程维修养护。</w:t>
      </w:r>
    </w:p>
    <w:p w14:paraId="3A80EDCC">
      <w:pPr>
        <w:pStyle w:val="4"/>
        <w:numPr>
          <w:ilvl w:val="1"/>
          <w:numId w:val="4"/>
        </w:numPr>
        <w:bidi w:val="0"/>
        <w:ind w:left="575" w:leftChars="0" w:hanging="575" w:firstLineChars="0"/>
        <w:rPr>
          <w:rFonts w:ascii="Arial" w:hAnsi="Arial"/>
        </w:rPr>
      </w:pPr>
      <w:bookmarkStart w:id="25" w:name="bookmark122"/>
      <w:bookmarkEnd w:id="25"/>
      <w:bookmarkStart w:id="26" w:name="bookmark17"/>
      <w:bookmarkEnd w:id="26"/>
      <w:bookmarkStart w:id="27" w:name="_Toc8833"/>
      <w:r>
        <w:rPr>
          <w:rFonts w:ascii="Arial" w:hAnsi="Arial"/>
        </w:rPr>
        <w:t>政府承诺和保障</w:t>
      </w:r>
      <w:bookmarkEnd w:id="27"/>
    </w:p>
    <w:p w14:paraId="20F5B84E">
      <w:pPr>
        <w:bidi w:val="0"/>
      </w:pPr>
      <w:r>
        <w:t>政府方应按照特许经营协议，为本项目前期工作、运营维护工作等提供便利和支持，保障授予本项目特许经营者的权利在整个特许经营期内始终持续有效和完整。政府承诺和保障内容详见</w:t>
      </w:r>
      <w:r>
        <w:rPr>
          <w:rFonts w:hint="eastAsia"/>
          <w:lang w:eastAsia="zh-CN"/>
        </w:rPr>
        <w:t>实施方案“</w:t>
      </w:r>
      <w:r>
        <w:t>特许经营主要内容——政府承诺和保障</w:t>
      </w:r>
      <w:r>
        <w:rPr>
          <w:rFonts w:hint="eastAsia"/>
          <w:lang w:eastAsia="zh-CN"/>
        </w:rPr>
        <w:t>”</w:t>
      </w:r>
      <w:r>
        <w:t>部分。</w:t>
      </w:r>
    </w:p>
    <w:p w14:paraId="3782BBA6">
      <w:pPr>
        <w:bidi w:val="0"/>
        <w:sectPr>
          <w:footerReference r:id="rId8" w:type="default"/>
          <w:pgSz w:w="11906" w:h="16839"/>
          <w:pgMar w:top="1440" w:right="1800" w:bottom="1440" w:left="1800" w:header="862" w:footer="1414" w:gutter="0"/>
          <w:pgNumType w:fmt="decimal" w:start="1"/>
          <w:cols w:space="720" w:num="1"/>
        </w:sectPr>
      </w:pPr>
    </w:p>
    <w:p w14:paraId="6F7CA89E">
      <w:pPr>
        <w:pStyle w:val="8"/>
        <w:spacing w:line="253" w:lineRule="auto"/>
        <w:ind w:left="0" w:leftChars="0" w:firstLine="0" w:firstLineChars="0"/>
      </w:pPr>
    </w:p>
    <w:p w14:paraId="4002CCD7">
      <w:pPr>
        <w:pStyle w:val="3"/>
        <w:numPr>
          <w:ilvl w:val="0"/>
          <w:numId w:val="4"/>
        </w:numPr>
        <w:bidi w:val="0"/>
        <w:rPr>
          <w:rFonts w:hint="eastAsia"/>
          <w:lang w:val="en-US" w:eastAsia="zh-CN"/>
        </w:rPr>
      </w:pPr>
      <w:bookmarkStart w:id="28" w:name="bookmark123"/>
      <w:bookmarkEnd w:id="28"/>
      <w:bookmarkStart w:id="29" w:name="_Toc2556"/>
      <w:r>
        <w:rPr>
          <w:rFonts w:hint="eastAsia"/>
          <w:lang w:val="en-US" w:eastAsia="zh-CN"/>
        </w:rPr>
        <w:t>项目可行性分析</w:t>
      </w:r>
      <w:bookmarkEnd w:id="29"/>
    </w:p>
    <w:p w14:paraId="5C302F65">
      <w:pPr>
        <w:rPr>
          <w:rFonts w:hint="eastAsia"/>
          <w:lang w:val="en-US" w:eastAsia="zh-CN"/>
        </w:rPr>
      </w:pPr>
    </w:p>
    <w:p w14:paraId="5B53BCDD">
      <w:pPr>
        <w:pStyle w:val="4"/>
        <w:numPr>
          <w:ilvl w:val="1"/>
          <w:numId w:val="4"/>
        </w:numPr>
        <w:bidi w:val="0"/>
        <w:ind w:left="575" w:leftChars="0" w:hanging="575" w:firstLineChars="0"/>
        <w:rPr>
          <w:rFonts w:ascii="Arial" w:hAnsi="Arial"/>
        </w:rPr>
      </w:pPr>
      <w:bookmarkStart w:id="30" w:name="bookmark19"/>
      <w:bookmarkEnd w:id="30"/>
      <w:bookmarkStart w:id="31" w:name="_Toc18633"/>
      <w:r>
        <w:rPr>
          <w:rFonts w:ascii="Arial" w:hAnsi="Arial"/>
        </w:rPr>
        <w:t>实施必要性</w:t>
      </w:r>
      <w:bookmarkEnd w:id="31"/>
    </w:p>
    <w:p w14:paraId="4B2E9EAD">
      <w:pPr>
        <w:pStyle w:val="5"/>
        <w:numPr>
          <w:ilvl w:val="2"/>
          <w:numId w:val="8"/>
        </w:numPr>
        <w:bidi w:val="0"/>
        <w:ind w:left="0" w:firstLine="402"/>
        <w:rPr>
          <w:rFonts w:ascii="Arial" w:hAnsi="Arial"/>
        </w:rPr>
      </w:pPr>
      <w:bookmarkStart w:id="32" w:name="bookmark20"/>
      <w:bookmarkEnd w:id="32"/>
      <w:r>
        <w:rPr>
          <w:rFonts w:ascii="Arial" w:hAnsi="Arial"/>
        </w:rPr>
        <w:t>实施背景及公共需求</w:t>
      </w:r>
    </w:p>
    <w:p w14:paraId="60D81201">
      <w:pPr>
        <w:bidi w:val="0"/>
      </w:pPr>
      <w:r>
        <w:t>本次拟实施的</w:t>
      </w:r>
      <w:r>
        <w:rPr>
          <w:rFonts w:hint="eastAsia"/>
          <w:lang w:val="en-US" w:eastAsia="zh-CN"/>
        </w:rPr>
        <w:t>安居区麻子滩等13座</w:t>
      </w:r>
      <w:r>
        <w:t>水库项目为</w:t>
      </w:r>
      <w:r>
        <w:rPr>
          <w:rFonts w:hint="eastAsia"/>
          <w:lang w:eastAsia="zh-CN"/>
        </w:rPr>
        <w:t>安居区</w:t>
      </w:r>
      <w:r>
        <w:t>存量水利基础设施</w:t>
      </w:r>
      <w:r>
        <w:rPr>
          <w:rFonts w:hint="eastAsia"/>
          <w:lang w:eastAsia="zh-CN"/>
        </w:rPr>
        <w:t>，</w:t>
      </w:r>
      <w:r>
        <w:t>承担着该区域部分的群众生活和农业生产用水，对推动经济发展发挥着重要作用。</w:t>
      </w:r>
    </w:p>
    <w:p w14:paraId="28466046">
      <w:pPr>
        <w:bidi w:val="0"/>
      </w:pPr>
      <w:r>
        <w:t>目前水库普遍存在着水库工程设施的老化程度较深，管理体制落后</w:t>
      </w:r>
      <w:r>
        <w:rPr>
          <w:rFonts w:hint="eastAsia"/>
          <w:lang w:eastAsia="zh-CN"/>
        </w:rPr>
        <w:t>，</w:t>
      </w:r>
      <w:r>
        <w:t>水库维修养护跟不上等问题，通过本项目的实施能够健全管理体制、完善水库的各项配套设施，及时维修养护水库，科学合理调度运用水库，解决灌区群众生活和工农业生产用水的用水需求，同时保护下游灌区居民及农田防洪安全。</w:t>
      </w:r>
    </w:p>
    <w:p w14:paraId="65B4C5BA">
      <w:pPr>
        <w:bidi w:val="0"/>
      </w:pPr>
      <w:r>
        <w:t>本项目通过盘活存量资产，对于提升基础设施运营管理水平、拓宽社会投资渠道、合理扩大有效投资、降低政府债务风险等具有重要意义</w:t>
      </w:r>
      <w:r>
        <w:rPr>
          <w:rFonts w:hint="eastAsia"/>
          <w:lang w:eastAsia="zh-CN"/>
        </w:rPr>
        <w:t>。</w:t>
      </w:r>
      <w:r>
        <w:t>就本项目而言，通过盘活现有水库资产，既能引入专业运营机构运营维护水利基础设施，提升水库管理质量、保证水库运营安全、提高水资源利用效率、延伸水库经济效益，又能通过盘活存量资产回收部分资金，有效缓解政府当前面临的资金短缺问题，实现存量资产和新增投资的良性循环。</w:t>
      </w:r>
    </w:p>
    <w:p w14:paraId="663D8989">
      <w:pPr>
        <w:pStyle w:val="5"/>
        <w:numPr>
          <w:ilvl w:val="2"/>
          <w:numId w:val="8"/>
        </w:numPr>
        <w:bidi w:val="0"/>
        <w:ind w:left="0" w:firstLine="402"/>
        <w:rPr>
          <w:rFonts w:ascii="Arial" w:hAnsi="Arial"/>
        </w:rPr>
      </w:pPr>
      <w:bookmarkStart w:id="33" w:name="bookmark21"/>
      <w:bookmarkEnd w:id="33"/>
      <w:r>
        <w:rPr>
          <w:rFonts w:ascii="Arial" w:hAnsi="Arial"/>
        </w:rPr>
        <w:t>政策符合性</w:t>
      </w:r>
    </w:p>
    <w:p w14:paraId="60D60FA9">
      <w:pPr>
        <w:pStyle w:val="6"/>
        <w:keepNext/>
        <w:keepLines/>
        <w:pageBreakBefore w:val="0"/>
        <w:widowControl/>
        <w:numPr>
          <w:ilvl w:val="3"/>
          <w:numId w:val="9"/>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与国家政策的符合性</w:t>
      </w:r>
    </w:p>
    <w:p w14:paraId="274DE169">
      <w:pPr>
        <w:bidi w:val="0"/>
      </w:pPr>
      <w:r>
        <w:t>根据国务院办公厅《关于进一步盘活存量资产扩大有效投资</w:t>
      </w:r>
      <w:bookmarkStart w:id="34" w:name="bookmark124"/>
      <w:bookmarkEnd w:id="34"/>
      <w:r>
        <w:t>的意见》（国办发〔2022〕19号），</w:t>
      </w:r>
      <w:r>
        <w:rPr>
          <w:rFonts w:hint="eastAsia"/>
          <w:lang w:eastAsia="zh-CN"/>
        </w:rPr>
        <w:t>“</w:t>
      </w:r>
      <w:r>
        <w:t>重点盘活存量规模较大、当前收益较好或增长潜力较大的基础设施项目资产，包括交通、水利、清洁能源、保障性租赁住房、水电气热等市政设施、</w:t>
      </w:r>
      <w:r>
        <w:rPr>
          <w:rFonts w:hint="eastAsia"/>
          <w:lang w:eastAsia="zh-CN"/>
        </w:rPr>
        <w:t>生态环境</w:t>
      </w:r>
      <w:r>
        <w:t>、产业园区、仓储物流</w:t>
      </w:r>
      <w:r>
        <w:rPr>
          <w:rFonts w:hint="eastAsia"/>
          <w:lang w:eastAsia="zh-CN"/>
        </w:rPr>
        <w:t>、</w:t>
      </w:r>
      <w:r>
        <w:t>旅游、新型基础设施等</w:t>
      </w:r>
      <w:r>
        <w:rPr>
          <w:rFonts w:hint="eastAsia"/>
          <w:lang w:eastAsia="zh-CN"/>
        </w:rPr>
        <w:t>”</w:t>
      </w:r>
      <w:r>
        <w:t>。本项目水库存量资产盘活是盘活存量资产支持的重点领域。</w:t>
      </w:r>
    </w:p>
    <w:p w14:paraId="4AB781F6">
      <w:pPr>
        <w:pStyle w:val="6"/>
        <w:keepNext/>
        <w:keepLines/>
        <w:pageBreakBefore w:val="0"/>
        <w:widowControl/>
        <w:numPr>
          <w:ilvl w:val="3"/>
          <w:numId w:val="9"/>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与地方政策的符合性</w:t>
      </w:r>
    </w:p>
    <w:p w14:paraId="7CF2F796">
      <w:pPr>
        <w:bidi w:val="0"/>
      </w:pPr>
      <w:r>
        <w:t>四川省人民政府办公厅《关于切实加强水库除险加固和运行管护工作的通知》川办发〔2021〕63号发布，通知提出积极创新水库管护机制</w:t>
      </w:r>
      <w:r>
        <w:rPr>
          <w:rFonts w:hint="eastAsia"/>
          <w:lang w:eastAsia="zh-CN"/>
        </w:rPr>
        <w:t>。</w:t>
      </w:r>
      <w:r>
        <w:t>推进水库管理体制机制改革，逐步明确所有权、管理权、使用权。健全制度、标准体系，大力推进大中型水库标准化管理，探索“水管单位管理</w:t>
      </w:r>
      <w:r>
        <w:rPr>
          <w:rFonts w:hint="eastAsia"/>
          <w:lang w:eastAsia="zh-CN"/>
        </w:rPr>
        <w:t>、</w:t>
      </w:r>
      <w:r>
        <w:t>平台公司运营”的新型管理模式。切实管好用好中央和省级财政小型水库维修养护补助资金，发挥其撬动作用。积极培育管护市场，推行社会化、专业化、标准化管理，有序引导具备条件的社会力量参与水库管护。探索水库及配套设施通过资产证券化等方式，盘活存量资产，形成投资良性循环。</w:t>
      </w:r>
    </w:p>
    <w:p w14:paraId="57914B2E">
      <w:pPr>
        <w:bidi w:val="0"/>
      </w:pPr>
      <w:r>
        <w:t>《四川省人民政府办公厅关于创新投融资体制机制加大水利投入的实施意见》（川办发〔2023〕9号），对规模较大、收益较好的存量水利资产，支持通过资产证券化等市场化方式予以盘活，回收的资金可继续用于水利基础设施建设，形成存量资产和新增投资良性循环的机制。</w:t>
      </w:r>
    </w:p>
    <w:p w14:paraId="68CD83FE">
      <w:pPr>
        <w:pStyle w:val="5"/>
        <w:numPr>
          <w:ilvl w:val="2"/>
          <w:numId w:val="8"/>
        </w:numPr>
        <w:bidi w:val="0"/>
        <w:ind w:left="0" w:firstLine="402"/>
        <w:rPr>
          <w:rFonts w:ascii="Arial" w:hAnsi="Arial"/>
        </w:rPr>
      </w:pPr>
      <w:bookmarkStart w:id="35" w:name="bookmark22"/>
      <w:bookmarkEnd w:id="35"/>
      <w:bookmarkStart w:id="36" w:name="bookmark125"/>
      <w:bookmarkEnd w:id="36"/>
      <w:r>
        <w:rPr>
          <w:rFonts w:ascii="Arial" w:hAnsi="Arial"/>
        </w:rPr>
        <w:t>实施必要性及时机适当性</w:t>
      </w:r>
    </w:p>
    <w:p w14:paraId="2987D11F">
      <w:pPr>
        <w:pStyle w:val="6"/>
        <w:keepNext/>
        <w:keepLines/>
        <w:pageBreakBefore w:val="0"/>
        <w:widowControl/>
        <w:numPr>
          <w:ilvl w:val="3"/>
          <w:numId w:val="10"/>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必要性分析</w:t>
      </w:r>
      <w:r>
        <w:rPr>
          <w:rFonts w:hint="eastAsia" w:ascii="仿宋" w:hAnsi="仿宋" w:eastAsia="仿宋" w:cs="仿宋"/>
          <w:b/>
          <w:bCs/>
          <w:spacing w:val="-9"/>
          <w:sz w:val="31"/>
          <w:szCs w:val="31"/>
          <w:lang w:eastAsia="zh-CN"/>
        </w:rPr>
        <w:t>－－</w:t>
      </w:r>
      <w:r>
        <w:rPr>
          <w:rFonts w:ascii="仿宋" w:hAnsi="仿宋" w:eastAsia="仿宋" w:cs="仿宋"/>
          <w:b/>
          <w:bCs/>
          <w:spacing w:val="-9"/>
          <w:sz w:val="31"/>
          <w:szCs w:val="31"/>
        </w:rPr>
        <w:t>保护水库资源，实现水资源效益最大化</w:t>
      </w:r>
    </w:p>
    <w:p w14:paraId="38E70DEB">
      <w:pPr>
        <w:bidi w:val="0"/>
      </w:pPr>
      <w:r>
        <w:t>目前，由于水库分布不均、灌溉渠道老化，各水库资源规模较小且较为分散，而运营能力、管理标准和维护水平参差不齐，导致水资源未能得到充分</w:t>
      </w:r>
      <w:r>
        <w:rPr>
          <w:rFonts w:hint="eastAsia"/>
          <w:lang w:eastAsia="zh-CN"/>
        </w:rPr>
        <w:t>有效地利用</w:t>
      </w:r>
      <w:r>
        <w:t>。随着农业、观光旅游业发展，对于水资源的需求增加</w:t>
      </w:r>
      <w:r>
        <w:rPr>
          <w:rFonts w:hint="eastAsia"/>
          <w:lang w:eastAsia="zh-CN"/>
        </w:rPr>
        <w:t>，</w:t>
      </w:r>
      <w:r>
        <w:t>水利基础设施的合理保护和利用</w:t>
      </w:r>
      <w:r>
        <w:rPr>
          <w:rFonts w:hint="eastAsia"/>
          <w:lang w:eastAsia="zh-CN"/>
        </w:rPr>
        <w:t>成为</w:t>
      </w:r>
      <w:r>
        <w:t>重要内容。通过本项目的实施，引入专业运营单位负责管理，依靠科学调度，合理利用水源，确保水库供水安全，同时注重保护水资源生态环境，维护水库周边生态平衡，亦可通过积极开发水库周边旅游资源、水资源综合利用等方式，优化经营收入结构</w:t>
      </w:r>
      <w:r>
        <w:rPr>
          <w:rFonts w:hint="eastAsia"/>
          <w:lang w:eastAsia="zh-CN"/>
        </w:rPr>
        <w:t>，</w:t>
      </w:r>
      <w:r>
        <w:t>推动水库效益的充分发挥。</w:t>
      </w:r>
    </w:p>
    <w:p w14:paraId="60691955">
      <w:pPr>
        <w:pStyle w:val="6"/>
        <w:keepNext/>
        <w:keepLines/>
        <w:pageBreakBefore w:val="0"/>
        <w:widowControl/>
        <w:numPr>
          <w:ilvl w:val="3"/>
          <w:numId w:val="10"/>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适当性分析</w:t>
      </w:r>
      <w:r>
        <w:rPr>
          <w:rFonts w:hint="eastAsia" w:ascii="仿宋" w:hAnsi="仿宋" w:eastAsia="仿宋" w:cs="仿宋"/>
          <w:b/>
          <w:bCs/>
          <w:spacing w:val="-9"/>
          <w:sz w:val="31"/>
          <w:szCs w:val="31"/>
          <w:lang w:eastAsia="zh-CN"/>
        </w:rPr>
        <w:t>－－</w:t>
      </w:r>
      <w:r>
        <w:rPr>
          <w:rFonts w:ascii="仿宋" w:hAnsi="仿宋" w:eastAsia="仿宋" w:cs="仿宋"/>
          <w:b/>
          <w:bCs/>
          <w:spacing w:val="-9"/>
          <w:sz w:val="31"/>
          <w:szCs w:val="31"/>
        </w:rPr>
        <w:t>盘活存量资产，发挥市场竞争优势</w:t>
      </w:r>
    </w:p>
    <w:p w14:paraId="5942DED7">
      <w:pPr>
        <w:bidi w:val="0"/>
      </w:pPr>
      <w:r>
        <w:t>采用特许经营模式实施本项目有利于盘活现有存量资产，</w:t>
      </w:r>
      <w:r>
        <w:rPr>
          <w:rFonts w:hint="eastAsia"/>
          <w:lang w:eastAsia="zh-CN"/>
        </w:rPr>
        <w:t>区政府</w:t>
      </w:r>
      <w:r>
        <w:t>可获得特许经营权转让价款，一定程度上增加了财政收入，同时回收资金可以投入到新项目的建设中，有利于实现存量资产盘活和投资良性循环</w:t>
      </w:r>
      <w:r>
        <w:rPr>
          <w:rFonts w:hint="eastAsia"/>
          <w:lang w:eastAsia="zh-CN"/>
        </w:rPr>
        <w:t>，</w:t>
      </w:r>
      <w:r>
        <w:t>形成多元化、可持续的资金投入机制。</w:t>
      </w:r>
    </w:p>
    <w:p w14:paraId="26AE45E3">
      <w:pPr>
        <w:bidi w:val="0"/>
      </w:pPr>
      <w:r>
        <w:t>另一方面，项目按照市场机制运作有利于充分发挥特许经营者的管理优势和创新能力，提高水利基础设施的管理水平，保障供水安全，维护水生态环境。</w:t>
      </w:r>
    </w:p>
    <w:p w14:paraId="04725247">
      <w:pPr>
        <w:pStyle w:val="6"/>
        <w:keepNext/>
        <w:keepLines/>
        <w:pageBreakBefore w:val="0"/>
        <w:widowControl/>
        <w:numPr>
          <w:ilvl w:val="3"/>
          <w:numId w:val="10"/>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适当性分析</w:t>
      </w:r>
      <w:r>
        <w:rPr>
          <w:rFonts w:hint="eastAsia" w:ascii="仿宋" w:hAnsi="仿宋" w:eastAsia="仿宋" w:cs="仿宋"/>
          <w:b/>
          <w:bCs/>
          <w:spacing w:val="-9"/>
          <w:sz w:val="31"/>
          <w:szCs w:val="31"/>
          <w:lang w:eastAsia="zh-CN"/>
        </w:rPr>
        <w:t>－－</w:t>
      </w:r>
      <w:r>
        <w:rPr>
          <w:rFonts w:ascii="仿宋" w:hAnsi="仿宋" w:eastAsia="仿宋" w:cs="仿宋"/>
          <w:b/>
          <w:bCs/>
          <w:spacing w:val="-9"/>
          <w:sz w:val="31"/>
          <w:szCs w:val="31"/>
        </w:rPr>
        <w:t>转变政府职能，提升政府治理能力</w:t>
      </w:r>
    </w:p>
    <w:p w14:paraId="7623D3B7">
      <w:pPr>
        <w:bidi w:val="0"/>
      </w:pPr>
      <w:r>
        <w:t>采取特许经营模式实施本项目能够减少政府对微观事务的过度参与</w:t>
      </w:r>
      <w:r>
        <w:rPr>
          <w:rFonts w:hint="eastAsia"/>
          <w:lang w:eastAsia="zh-CN"/>
        </w:rPr>
        <w:t>，</w:t>
      </w:r>
      <w:r>
        <w:t>政府一方面要积极推进简政放权，最大限度激发市场和社会活力，另一方面又要切实强化监管职能，推动政府管理由注重事前审批向注重事中事后监管转变。用好政府“有形之手”，放活市场</w:t>
      </w:r>
      <w:r>
        <w:rPr>
          <w:rFonts w:hint="eastAsia"/>
          <w:lang w:eastAsia="zh-CN"/>
        </w:rPr>
        <w:t>“无形之手”</w:t>
      </w:r>
      <w:r>
        <w:t>，完善社会</w:t>
      </w:r>
      <w:r>
        <w:rPr>
          <w:rFonts w:hint="eastAsia"/>
          <w:lang w:eastAsia="zh-CN"/>
        </w:rPr>
        <w:t>“</w:t>
      </w:r>
      <w:r>
        <w:t>自治之手</w:t>
      </w:r>
      <w:r>
        <w:rPr>
          <w:rFonts w:hint="eastAsia"/>
          <w:lang w:eastAsia="zh-CN"/>
        </w:rPr>
        <w:t>”</w:t>
      </w:r>
      <w:r>
        <w:t>，推动政府职能向提供优质公共服务、维护社会公平正义、创造良好发展环境的根本转变。</w:t>
      </w:r>
    </w:p>
    <w:p w14:paraId="1593B741">
      <w:pPr>
        <w:bidi w:val="0"/>
        <w:rPr>
          <w:rFonts w:ascii="仿宋" w:hAnsi="仿宋" w:eastAsia="仿宋" w:cs="仿宋"/>
          <w:sz w:val="31"/>
          <w:szCs w:val="31"/>
        </w:rPr>
      </w:pPr>
      <w:r>
        <w:t>引入社会其他经营主体后，政府可以真正履行“裁判员”角色，把工作重点放在加强对城市建设规划，引导社会资金投入方向，更好地服务企业，监督企业经济行为等方面工作上来，更好地发挥政府严谨、细致</w:t>
      </w:r>
      <w:r>
        <w:rPr>
          <w:rFonts w:hint="eastAsia"/>
          <w:lang w:eastAsia="zh-CN"/>
        </w:rPr>
        <w:t>、</w:t>
      </w:r>
      <w:r>
        <w:t>科学的行政职能。</w:t>
      </w:r>
    </w:p>
    <w:p w14:paraId="269E3286">
      <w:pPr>
        <w:pStyle w:val="6"/>
        <w:keepNext/>
        <w:keepLines/>
        <w:pageBreakBefore w:val="0"/>
        <w:widowControl/>
        <w:numPr>
          <w:ilvl w:val="3"/>
          <w:numId w:val="10"/>
        </w:numPr>
        <w:kinsoku w:val="0"/>
        <w:wordWrap/>
        <w:overflowPunct/>
        <w:topLinePunct w:val="0"/>
        <w:autoSpaceDE w:val="0"/>
        <w:autoSpaceDN w:val="0"/>
        <w:bidi w:val="0"/>
        <w:adjustRightInd w:val="0"/>
        <w:snapToGrid w:val="0"/>
        <w:ind w:left="0" w:firstLine="586" w:firstLineChars="200"/>
        <w:textAlignment w:val="baseline"/>
        <w:rPr>
          <w:rFonts w:ascii="仿宋" w:hAnsi="仿宋" w:eastAsia="仿宋" w:cs="仿宋"/>
          <w:b/>
          <w:bCs/>
          <w:spacing w:val="-9"/>
          <w:sz w:val="31"/>
          <w:szCs w:val="31"/>
        </w:rPr>
      </w:pPr>
      <w:r>
        <w:rPr>
          <w:rFonts w:ascii="仿宋" w:hAnsi="仿宋" w:eastAsia="仿宋" w:cs="仿宋"/>
          <w:b/>
          <w:bCs/>
          <w:spacing w:val="-9"/>
          <w:sz w:val="31"/>
          <w:szCs w:val="31"/>
        </w:rPr>
        <w:t>适当性分析</w:t>
      </w:r>
      <w:r>
        <w:rPr>
          <w:rFonts w:hint="eastAsia" w:ascii="仿宋" w:hAnsi="仿宋" w:eastAsia="仿宋" w:cs="仿宋"/>
          <w:b/>
          <w:bCs/>
          <w:spacing w:val="-9"/>
          <w:sz w:val="31"/>
          <w:szCs w:val="31"/>
          <w:lang w:eastAsia="zh-CN"/>
        </w:rPr>
        <w:t>－－</w:t>
      </w:r>
      <w:r>
        <w:rPr>
          <w:rFonts w:ascii="仿宋" w:hAnsi="仿宋" w:eastAsia="仿宋" w:cs="仿宋"/>
          <w:b/>
          <w:bCs/>
          <w:spacing w:val="-9"/>
          <w:sz w:val="31"/>
          <w:szCs w:val="31"/>
        </w:rPr>
        <w:t>增加就业带动相关产业链发展的需要</w:t>
      </w:r>
    </w:p>
    <w:p w14:paraId="0869B690">
      <w:pPr>
        <w:bidi w:val="0"/>
      </w:pPr>
      <w:r>
        <w:t>本项目除少数管理人员和关键岗位技术人员由项目经营单位解决外</w:t>
      </w:r>
      <w:r>
        <w:rPr>
          <w:rFonts w:hint="eastAsia"/>
          <w:lang w:eastAsia="zh-CN"/>
        </w:rPr>
        <w:t>，</w:t>
      </w:r>
      <w:r>
        <w:t>新增员工均由当地招工解决，项目实施后，将为当地提供大量就业机会</w:t>
      </w:r>
      <w:r>
        <w:rPr>
          <w:rFonts w:hint="eastAsia"/>
          <w:lang w:eastAsia="zh-CN"/>
        </w:rPr>
        <w:t>，</w:t>
      </w:r>
      <w:r>
        <w:t>吸收下岗职工与闲置人口再就业，可促进当地经济和谐发展。</w:t>
      </w:r>
    </w:p>
    <w:p w14:paraId="36BC395F">
      <w:pPr>
        <w:pStyle w:val="4"/>
        <w:numPr>
          <w:ilvl w:val="1"/>
          <w:numId w:val="4"/>
        </w:numPr>
        <w:bidi w:val="0"/>
        <w:ind w:left="575" w:leftChars="0" w:hanging="575" w:firstLineChars="0"/>
        <w:rPr>
          <w:rFonts w:ascii="Arial" w:hAnsi="Arial"/>
        </w:rPr>
      </w:pPr>
      <w:bookmarkStart w:id="37" w:name="bookmark23"/>
      <w:bookmarkEnd w:id="37"/>
      <w:bookmarkStart w:id="38" w:name="_Toc26132"/>
      <w:r>
        <w:rPr>
          <w:rFonts w:ascii="Arial" w:hAnsi="Arial"/>
        </w:rPr>
        <w:t>运营服务要求</w:t>
      </w:r>
      <w:bookmarkEnd w:id="38"/>
    </w:p>
    <w:p w14:paraId="0ED647D1">
      <w:pPr>
        <w:pStyle w:val="5"/>
        <w:numPr>
          <w:ilvl w:val="2"/>
          <w:numId w:val="11"/>
        </w:numPr>
        <w:bidi w:val="0"/>
        <w:ind w:left="0" w:firstLine="402"/>
        <w:rPr>
          <w:rFonts w:ascii="Arial" w:hAnsi="Arial"/>
        </w:rPr>
      </w:pPr>
      <w:bookmarkStart w:id="39" w:name="bookmark24"/>
      <w:bookmarkEnd w:id="39"/>
      <w:r>
        <w:rPr>
          <w:rFonts w:ascii="Arial" w:hAnsi="Arial"/>
        </w:rPr>
        <w:t>运营维护内容</w:t>
      </w:r>
    </w:p>
    <w:p w14:paraId="1FA898ED">
      <w:pPr>
        <w:bidi w:val="0"/>
      </w:pPr>
      <w:r>
        <w:t>运营期内，特许经营者应按照适用法律和谨慎运营惯例，提供运营维护服务，保障项目设施的正常使用。主要运营维护内容如下：</w:t>
      </w:r>
    </w:p>
    <w:p w14:paraId="096440F2">
      <w:pPr>
        <w:bidi w:val="0"/>
        <w:rPr>
          <w:rFonts w:ascii="仿宋" w:hAnsi="仿宋" w:eastAsia="仿宋" w:cs="仿宋"/>
          <w:szCs w:val="31"/>
        </w:rPr>
      </w:pPr>
      <w:r>
        <w:t>为本项目中所有水库提供运营维护和管理工作，为周边农户提供农业灌溉用水，为自来水厂提供</w:t>
      </w:r>
      <w:r>
        <w:rPr>
          <w:rFonts w:hint="eastAsia"/>
          <w:lang w:eastAsia="zh-CN"/>
        </w:rPr>
        <w:t>原水供水</w:t>
      </w:r>
      <w:r>
        <w:t>销售，在不影响水库本质功能的前提下，合理开展</w:t>
      </w:r>
      <w:r>
        <w:rPr>
          <w:rFonts w:hint="eastAsia"/>
          <w:lang w:eastAsia="zh-CN"/>
        </w:rPr>
        <w:t>生态渔业养殖</w:t>
      </w:r>
      <w:r>
        <w:t>、休闲垂钓等经营活动。其中，水库资产的管理需满足《四川省水利厅</w:t>
      </w:r>
      <w:r>
        <w:rPr>
          <w:rFonts w:hint="eastAsia"/>
          <w:lang w:eastAsia="zh-CN"/>
        </w:rPr>
        <w:t>〈</w:t>
      </w:r>
      <w:r>
        <w:t>关于推进全省水利工程标准化管理的指导意见</w:t>
      </w:r>
      <w:r>
        <w:rPr>
          <w:rFonts w:hint="eastAsia"/>
          <w:lang w:eastAsia="zh-CN"/>
        </w:rPr>
        <w:t>〉》《</w:t>
      </w:r>
      <w:r>
        <w:t>四川省小型水库标准化管理规程》《四川省人民政府办公厅</w:t>
      </w:r>
      <w:r>
        <w:rPr>
          <w:rFonts w:hint="eastAsia"/>
          <w:lang w:eastAsia="zh-CN"/>
        </w:rPr>
        <w:t>〈</w:t>
      </w:r>
      <w:r>
        <w:t>关于切实加强水库除险加固和运行管护工作的通知</w:t>
      </w:r>
      <w:r>
        <w:rPr>
          <w:rFonts w:hint="eastAsia"/>
          <w:lang w:eastAsia="zh-CN"/>
        </w:rPr>
        <w:t>〉</w:t>
      </w:r>
      <w:r>
        <w:t>》（川办发〔2021〕63号）及其他适用法律法规规定。其余服务内容需满足国家</w:t>
      </w:r>
      <w:r>
        <w:rPr>
          <w:rFonts w:hint="eastAsia"/>
          <w:lang w:eastAsia="zh-CN"/>
        </w:rPr>
        <w:t>、</w:t>
      </w:r>
      <w:r>
        <w:t>四川省、</w:t>
      </w:r>
      <w:r>
        <w:rPr>
          <w:rFonts w:hint="eastAsia"/>
          <w:lang w:eastAsia="zh-CN"/>
        </w:rPr>
        <w:t>遂宁市</w:t>
      </w:r>
      <w:r>
        <w:t>和</w:t>
      </w:r>
      <w:r>
        <w:rPr>
          <w:rFonts w:hint="eastAsia"/>
          <w:lang w:eastAsia="zh-CN"/>
        </w:rPr>
        <w:t>安居区</w:t>
      </w:r>
      <w:r>
        <w:t>等相关法律法规的规定，运营标准较为明确。</w:t>
      </w:r>
    </w:p>
    <w:p w14:paraId="0A9A1A0C">
      <w:pPr>
        <w:pStyle w:val="5"/>
        <w:numPr>
          <w:ilvl w:val="2"/>
          <w:numId w:val="11"/>
        </w:numPr>
        <w:bidi w:val="0"/>
        <w:ind w:left="0" w:firstLine="402"/>
        <w:rPr>
          <w:rFonts w:ascii="Arial" w:hAnsi="Arial"/>
        </w:rPr>
      </w:pPr>
      <w:bookmarkStart w:id="40" w:name="bookmark127"/>
      <w:bookmarkEnd w:id="40"/>
      <w:bookmarkStart w:id="41" w:name="bookmark25"/>
      <w:bookmarkEnd w:id="41"/>
      <w:r>
        <w:rPr>
          <w:rFonts w:ascii="Arial" w:hAnsi="Arial"/>
        </w:rPr>
        <w:t>运营维护基本要求</w:t>
      </w:r>
    </w:p>
    <w:p w14:paraId="321CA82C">
      <w:pPr>
        <w:bidi w:val="0"/>
      </w:pPr>
      <w:r>
        <w:t>特许经营者应根据适用法律、谨慎运营惯例及相关标准编制运营维护手册，并经项目实施机构同意后遵照执行。运营维护手册应包括日常维护服务计划、运营维护标准、人员安排、抢修抢险和应急预案、安全保护措施、检查验收制度、财务管理制度、日常巡查制度、质量控制体系等。特许经营者还应对运营维护手册不定期进行修改和补充。</w:t>
      </w:r>
    </w:p>
    <w:p w14:paraId="2B47A0A7">
      <w:pPr>
        <w:bidi w:val="0"/>
      </w:pPr>
      <w:r>
        <w:t>特许经营者应根据特许经营协议的约定、运营维护手册、谨慎运营惯例、有关部门发布的与本项目相关的运营管理制度以及与项目设施有关的设备制造商提供的一切有关手册、指导和建议及适用法律的规定提供运营维护服务。</w:t>
      </w:r>
    </w:p>
    <w:p w14:paraId="1EF432F1">
      <w:pPr>
        <w:bidi w:val="0"/>
      </w:pPr>
      <w:r>
        <w:t>特许经营者应当根据有关法律、行政法规、标准规范和特许经营协议，提供优质、持续、高效、安全的公共产品或者公共服务。</w:t>
      </w:r>
    </w:p>
    <w:p w14:paraId="6D146ECE">
      <w:pPr>
        <w:pStyle w:val="5"/>
        <w:numPr>
          <w:ilvl w:val="2"/>
          <w:numId w:val="11"/>
        </w:numPr>
        <w:bidi w:val="0"/>
        <w:ind w:left="0" w:firstLine="402"/>
        <w:rPr>
          <w:rFonts w:ascii="Arial" w:hAnsi="Arial"/>
        </w:rPr>
      </w:pPr>
      <w:bookmarkStart w:id="42" w:name="bookmark26"/>
      <w:bookmarkEnd w:id="42"/>
      <w:r>
        <w:rPr>
          <w:rFonts w:ascii="Arial" w:hAnsi="Arial"/>
        </w:rPr>
        <w:t>项目运营需落实的外部条件</w:t>
      </w:r>
    </w:p>
    <w:p w14:paraId="039687B2">
      <w:pPr>
        <w:bidi w:val="0"/>
      </w:pPr>
      <w:r>
        <w:t>政府需制定农业灌溉用水和</w:t>
      </w:r>
      <w:r>
        <w:rPr>
          <w:rFonts w:hint="eastAsia"/>
          <w:lang w:eastAsia="zh-CN"/>
        </w:rPr>
        <w:t>原水供水</w:t>
      </w:r>
      <w:r>
        <w:t>收费的价格文件，并督促价格文件的执行，另相关水库维修养护的补助资金按规定补贴到本项目。</w:t>
      </w:r>
    </w:p>
    <w:p w14:paraId="2CC23B32">
      <w:pPr>
        <w:pStyle w:val="5"/>
        <w:numPr>
          <w:ilvl w:val="2"/>
          <w:numId w:val="11"/>
        </w:numPr>
        <w:bidi w:val="0"/>
        <w:ind w:left="0" w:firstLine="402"/>
        <w:rPr>
          <w:rFonts w:ascii="Arial" w:hAnsi="Arial"/>
        </w:rPr>
      </w:pPr>
      <w:bookmarkStart w:id="43" w:name="bookmark27"/>
      <w:bookmarkEnd w:id="43"/>
      <w:r>
        <w:rPr>
          <w:rFonts w:ascii="Arial" w:hAnsi="Arial"/>
        </w:rPr>
        <w:t>抢修抢险和应急处置</w:t>
      </w:r>
    </w:p>
    <w:p w14:paraId="3C896461">
      <w:pPr>
        <w:bidi w:val="0"/>
      </w:pPr>
      <w:r>
        <w:t>特许经营者应建立健全项目设施安全运营和应急处理机制，制定紧急情况下（包括重大事故、突发社会公共事件、不可抗力事件、洪涝灾害等）的抢修抢险和应急预案，并建立与之相应的组织、指挥、设备、物资等安全保障体系。特许经营者应建立抢修、急救队伍，并配备必需的防护用品、车辆器材、通信及抢修、急救设备。</w:t>
      </w:r>
    </w:p>
    <w:p w14:paraId="4F1BA808">
      <w:pPr>
        <w:bidi w:val="0"/>
        <w:rPr>
          <w:rFonts w:hint="eastAsia" w:eastAsia="仿宋"/>
          <w:lang w:eastAsia="zh-CN"/>
        </w:rPr>
      </w:pPr>
      <w:r>
        <w:t>当发生紧急事件时，特许经营者应及时向政府部门报告情况，严格执行抢修抢险和应急预案，服从政府部门的指挥，采取各种有效措施进行补救，协调相关单位进行抢修抢险，尽量减轻紧急事件对公众的影响</w:t>
      </w:r>
      <w:r>
        <w:rPr>
          <w:rFonts w:hint="eastAsia"/>
          <w:lang w:eastAsia="zh-CN"/>
        </w:rPr>
        <w:t>。</w:t>
      </w:r>
    </w:p>
    <w:p w14:paraId="6F43E799">
      <w:pPr>
        <w:pStyle w:val="5"/>
        <w:numPr>
          <w:ilvl w:val="2"/>
          <w:numId w:val="11"/>
        </w:numPr>
        <w:bidi w:val="0"/>
        <w:ind w:left="0" w:firstLine="402"/>
        <w:rPr>
          <w:rFonts w:ascii="Arial" w:hAnsi="Arial"/>
        </w:rPr>
      </w:pPr>
      <w:bookmarkStart w:id="44" w:name="bookmark28"/>
      <w:bookmarkEnd w:id="44"/>
      <w:r>
        <w:rPr>
          <w:rFonts w:ascii="Arial" w:hAnsi="Arial"/>
        </w:rPr>
        <w:t>监督检查</w:t>
      </w:r>
    </w:p>
    <w:p w14:paraId="15C31FB2">
      <w:pPr>
        <w:bidi w:val="0"/>
      </w:pPr>
      <w:r>
        <w:t>项目实施机构有权检查特许经营者是否按规范建立了完善的管理制度体系，包括管理制度、业务流程、作业规范、考核管理办法等。项目实施机构有权定期或不定期地检查特许经营者的现场作业。项目实施机构有权指定任何代表在任何时候进入项目设施，以检查项目设施的运营和维护情况，但项目实施机构应尽量减少该等检查对项目设施运营和维护可能产生的干扰。特许经营者应对此等检查和监督提供完全的协助，并提供项目实施机构所需的信息和资料。</w:t>
      </w:r>
    </w:p>
    <w:p w14:paraId="68D535FD">
      <w:pPr>
        <w:pStyle w:val="4"/>
        <w:numPr>
          <w:ilvl w:val="1"/>
          <w:numId w:val="4"/>
        </w:numPr>
        <w:bidi w:val="0"/>
        <w:ind w:left="575" w:leftChars="0" w:hanging="575" w:firstLineChars="0"/>
        <w:rPr>
          <w:rFonts w:ascii="Arial" w:hAnsi="Arial"/>
        </w:rPr>
      </w:pPr>
      <w:bookmarkStart w:id="45" w:name="bookmark29"/>
      <w:bookmarkEnd w:id="45"/>
      <w:bookmarkStart w:id="46" w:name="_Toc5326"/>
      <w:r>
        <w:rPr>
          <w:rFonts w:ascii="Arial" w:hAnsi="Arial"/>
        </w:rPr>
        <w:t>主要风险识别</w:t>
      </w:r>
      <w:bookmarkEnd w:id="46"/>
    </w:p>
    <w:p w14:paraId="3E0E535C">
      <w:pPr>
        <w:bidi w:val="0"/>
      </w:pPr>
      <w:r>
        <w:t>本项目主要风险识别如下表所示：</w:t>
      </w:r>
    </w:p>
    <w:p w14:paraId="79264AF5">
      <w:pPr>
        <w:spacing w:before="187" w:line="219" w:lineRule="auto"/>
        <w:ind w:left="3525"/>
        <w:rPr>
          <w:rFonts w:ascii="仿宋" w:hAnsi="仿宋" w:eastAsia="仿宋" w:cs="仿宋"/>
          <w:sz w:val="28"/>
          <w:szCs w:val="28"/>
        </w:rPr>
      </w:pPr>
      <w:r>
        <w:rPr>
          <w:rFonts w:ascii="仿宋" w:hAnsi="仿宋" w:eastAsia="仿宋" w:cs="仿宋"/>
          <w:b/>
          <w:bCs/>
          <w:spacing w:val="-3"/>
          <w:sz w:val="28"/>
          <w:szCs w:val="28"/>
        </w:rPr>
        <w:t>表</w:t>
      </w:r>
      <w:r>
        <w:rPr>
          <w:rFonts w:ascii="Times New Roman" w:hAnsi="Times New Roman" w:eastAsia="Times New Roman" w:cs="Times New Roman"/>
          <w:b/>
          <w:bCs/>
          <w:spacing w:val="-3"/>
          <w:sz w:val="28"/>
          <w:szCs w:val="28"/>
        </w:rPr>
        <w:t>3</w:t>
      </w:r>
      <w:r>
        <w:rPr>
          <w:rFonts w:ascii="仿宋" w:hAnsi="仿宋" w:eastAsia="仿宋" w:cs="仿宋"/>
          <w:b/>
          <w:bCs/>
          <w:spacing w:val="-3"/>
          <w:sz w:val="28"/>
          <w:szCs w:val="28"/>
        </w:rPr>
        <w:t>风险识别表</w:t>
      </w:r>
    </w:p>
    <w:p w14:paraId="70FEA759">
      <w:pPr>
        <w:spacing w:line="120" w:lineRule="exact"/>
      </w:pPr>
    </w:p>
    <w:tbl>
      <w:tblPr>
        <w:tblStyle w:val="26"/>
        <w:tblW w:w="500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14"/>
        <w:gridCol w:w="6973"/>
        <w:gridCol w:w="7"/>
      </w:tblGrid>
      <w:tr w14:paraId="55E3C5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76" w:type="pct"/>
            <w:tcBorders>
              <w:top w:val="single" w:color="auto" w:sz="4" w:space="0"/>
              <w:left w:val="single" w:color="auto" w:sz="4" w:space="0"/>
              <w:bottom w:val="single" w:color="auto" w:sz="4" w:space="0"/>
              <w:right w:val="single" w:color="auto" w:sz="4" w:space="0"/>
            </w:tcBorders>
            <w:vAlign w:val="center"/>
          </w:tcPr>
          <w:p w14:paraId="67D5132B">
            <w:pPr>
              <w:pStyle w:val="27"/>
              <w:keepNext w:val="0"/>
              <w:keepLines w:val="0"/>
              <w:pageBreakBefore w:val="0"/>
              <w:widowControl/>
              <w:kinsoku w:val="0"/>
              <w:wordWrap/>
              <w:overflowPunct/>
              <w:topLinePunct w:val="0"/>
              <w:autoSpaceDE w:val="0"/>
              <w:autoSpaceDN w:val="0"/>
              <w:bidi w:val="0"/>
              <w:adjustRightInd w:val="0"/>
              <w:snapToGrid w:val="0"/>
              <w:spacing w:before="4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7"/>
                <w:sz w:val="20"/>
                <w:szCs w:val="20"/>
              </w:rPr>
              <w:t>风险类型</w:t>
            </w:r>
          </w:p>
        </w:tc>
        <w:tc>
          <w:tcPr>
            <w:tcW w:w="3923" w:type="pct"/>
            <w:gridSpan w:val="2"/>
            <w:tcBorders>
              <w:top w:val="single" w:color="auto" w:sz="4" w:space="0"/>
              <w:left w:val="single" w:color="auto" w:sz="4" w:space="0"/>
              <w:bottom w:val="single" w:color="auto" w:sz="4" w:space="0"/>
              <w:right w:val="single" w:color="auto" w:sz="4" w:space="0"/>
            </w:tcBorders>
            <w:vAlign w:val="center"/>
          </w:tcPr>
          <w:p w14:paraId="4CFECAB2">
            <w:pPr>
              <w:pStyle w:val="27"/>
              <w:keepNext w:val="0"/>
              <w:keepLines w:val="0"/>
              <w:pageBreakBefore w:val="0"/>
              <w:widowControl/>
              <w:kinsoku w:val="0"/>
              <w:wordWrap/>
              <w:overflowPunct/>
              <w:topLinePunct w:val="0"/>
              <w:autoSpaceDE w:val="0"/>
              <w:autoSpaceDN w:val="0"/>
              <w:bidi w:val="0"/>
              <w:adjustRightInd w:val="0"/>
              <w:snapToGrid w:val="0"/>
              <w:spacing w:before="4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7"/>
                <w:sz w:val="20"/>
                <w:szCs w:val="20"/>
              </w:rPr>
              <w:t>风险描述</w:t>
            </w:r>
          </w:p>
        </w:tc>
      </w:tr>
      <w:tr w14:paraId="022055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076" w:type="pct"/>
            <w:tcBorders>
              <w:top w:val="single" w:color="auto" w:sz="4" w:space="0"/>
              <w:left w:val="single" w:color="auto" w:sz="4" w:space="0"/>
              <w:bottom w:val="single" w:color="auto" w:sz="4" w:space="0"/>
              <w:right w:val="single" w:color="auto" w:sz="4" w:space="0"/>
            </w:tcBorders>
            <w:vAlign w:val="center"/>
          </w:tcPr>
          <w:p w14:paraId="6B4A4956">
            <w:pPr>
              <w:pStyle w:val="27"/>
              <w:keepNext w:val="0"/>
              <w:keepLines w:val="0"/>
              <w:pageBreakBefore w:val="0"/>
              <w:widowControl/>
              <w:kinsoku w:val="0"/>
              <w:wordWrap/>
              <w:overflowPunct/>
              <w:topLinePunct w:val="0"/>
              <w:autoSpaceDE w:val="0"/>
              <w:autoSpaceDN w:val="0"/>
              <w:bidi w:val="0"/>
              <w:adjustRightInd w:val="0"/>
              <w:snapToGrid w:val="0"/>
              <w:spacing w:before="16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政策风险</w:t>
            </w:r>
          </w:p>
        </w:tc>
        <w:tc>
          <w:tcPr>
            <w:tcW w:w="3923" w:type="pct"/>
            <w:gridSpan w:val="2"/>
            <w:tcBorders>
              <w:top w:val="single" w:color="auto" w:sz="4" w:space="0"/>
              <w:left w:val="single" w:color="auto" w:sz="4" w:space="0"/>
              <w:bottom w:val="single" w:color="auto" w:sz="4" w:space="0"/>
              <w:right w:val="single" w:color="auto" w:sz="4" w:space="0"/>
            </w:tcBorders>
            <w:vAlign w:val="center"/>
          </w:tcPr>
          <w:p w14:paraId="18C4F6B3">
            <w:pPr>
              <w:pStyle w:val="27"/>
              <w:keepNext w:val="0"/>
              <w:keepLines w:val="0"/>
              <w:pageBreakBefore w:val="0"/>
              <w:widowControl/>
              <w:kinsoku w:val="0"/>
              <w:wordWrap/>
              <w:overflowPunct/>
              <w:topLinePunct w:val="0"/>
              <w:autoSpaceDE w:val="0"/>
              <w:autoSpaceDN w:val="0"/>
              <w:bidi w:val="0"/>
              <w:adjustRightInd w:val="0"/>
              <w:snapToGrid w:val="0"/>
              <w:spacing w:before="166"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因国家或社会公众利益需要，征用或提前收回项目资产。</w:t>
            </w:r>
          </w:p>
        </w:tc>
      </w:tr>
      <w:tr w14:paraId="3E086E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tcBorders>
              <w:top w:val="single" w:color="auto" w:sz="4" w:space="0"/>
              <w:left w:val="single" w:color="auto" w:sz="4" w:space="0"/>
              <w:bottom w:val="single" w:color="auto" w:sz="4" w:space="0"/>
              <w:right w:val="single" w:color="auto" w:sz="4" w:space="0"/>
            </w:tcBorders>
            <w:vAlign w:val="center"/>
          </w:tcPr>
          <w:p w14:paraId="7129057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bookmarkStart w:id="47" w:name="bookmark128"/>
            <w:bookmarkEnd w:id="47"/>
            <w:r>
              <w:rPr>
                <w:rFonts w:hint="eastAsia" w:ascii="宋体" w:hAnsi="宋体" w:eastAsia="宋体" w:cs="宋体"/>
                <w:b w:val="0"/>
                <w:bCs w:val="0"/>
                <w:spacing w:val="-7"/>
                <w:sz w:val="20"/>
                <w:szCs w:val="20"/>
              </w:rPr>
              <w:t>法律风险</w:t>
            </w:r>
          </w:p>
        </w:tc>
        <w:tc>
          <w:tcPr>
            <w:tcW w:w="3919" w:type="pct"/>
            <w:tcBorders>
              <w:top w:val="single" w:color="auto" w:sz="4" w:space="0"/>
              <w:left w:val="single" w:color="auto" w:sz="4" w:space="0"/>
              <w:bottom w:val="single" w:color="auto" w:sz="4" w:space="0"/>
              <w:right w:val="single" w:color="auto" w:sz="4" w:space="0"/>
            </w:tcBorders>
            <w:vAlign w:val="center"/>
          </w:tcPr>
          <w:p w14:paraId="4112698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国家、省、市级政府颁布、修改法律法规或相关政策（包括但不限于行业、金融、财税等政策）对本项目造成影响。</w:t>
            </w:r>
          </w:p>
        </w:tc>
      </w:tr>
      <w:tr w14:paraId="27F0A0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restart"/>
            <w:tcBorders>
              <w:top w:val="single" w:color="auto" w:sz="4" w:space="0"/>
              <w:left w:val="single" w:color="auto" w:sz="4" w:space="0"/>
              <w:bottom w:val="single" w:color="auto" w:sz="4" w:space="0"/>
              <w:right w:val="single" w:color="auto" w:sz="4" w:space="0"/>
            </w:tcBorders>
            <w:vAlign w:val="center"/>
          </w:tcPr>
          <w:p w14:paraId="0364D68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5E01B06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财务风险</w:t>
            </w:r>
          </w:p>
        </w:tc>
        <w:tc>
          <w:tcPr>
            <w:tcW w:w="3919" w:type="pct"/>
            <w:tcBorders>
              <w:top w:val="single" w:color="auto" w:sz="4" w:space="0"/>
              <w:left w:val="single" w:color="auto" w:sz="4" w:space="0"/>
              <w:bottom w:val="single" w:color="auto" w:sz="4" w:space="0"/>
              <w:right w:val="single" w:color="auto" w:sz="4" w:space="0"/>
            </w:tcBorders>
            <w:vAlign w:val="center"/>
          </w:tcPr>
          <w:p w14:paraId="74273E9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融资利率变动导致项目财务费用增加。</w:t>
            </w:r>
          </w:p>
        </w:tc>
      </w:tr>
      <w:tr w14:paraId="2557D5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single" w:color="auto" w:sz="4" w:space="0"/>
              <w:left w:val="single" w:color="auto" w:sz="4" w:space="0"/>
              <w:bottom w:val="single" w:color="auto" w:sz="4" w:space="0"/>
              <w:right w:val="single" w:color="auto" w:sz="4" w:space="0"/>
            </w:tcBorders>
            <w:vAlign w:val="center"/>
          </w:tcPr>
          <w:p w14:paraId="3389F25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tcBorders>
              <w:top w:val="single" w:color="auto" w:sz="4" w:space="0"/>
              <w:left w:val="single" w:color="auto" w:sz="4" w:space="0"/>
              <w:bottom w:val="single" w:color="auto" w:sz="4" w:space="0"/>
              <w:right w:val="single" w:color="auto" w:sz="4" w:space="0"/>
            </w:tcBorders>
            <w:vAlign w:val="center"/>
          </w:tcPr>
          <w:p w14:paraId="2D50FE8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资本金筹集不到位。</w:t>
            </w:r>
          </w:p>
        </w:tc>
      </w:tr>
      <w:tr w14:paraId="484E74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single" w:color="auto" w:sz="4" w:space="0"/>
              <w:left w:val="single" w:color="auto" w:sz="4" w:space="0"/>
              <w:bottom w:val="single" w:color="auto" w:sz="4" w:space="0"/>
              <w:right w:val="single" w:color="auto" w:sz="4" w:space="0"/>
            </w:tcBorders>
            <w:vAlign w:val="center"/>
          </w:tcPr>
          <w:p w14:paraId="29F18F5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tcBorders>
              <w:top w:val="single" w:color="auto" w:sz="4" w:space="0"/>
              <w:left w:val="single" w:color="auto" w:sz="4" w:space="0"/>
              <w:bottom w:val="single" w:color="auto" w:sz="4" w:space="0"/>
              <w:right w:val="single" w:color="auto" w:sz="4" w:space="0"/>
            </w:tcBorders>
            <w:vAlign w:val="center"/>
          </w:tcPr>
          <w:p w14:paraId="6657765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融资不到位。</w:t>
            </w:r>
          </w:p>
        </w:tc>
      </w:tr>
      <w:tr w14:paraId="76928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restart"/>
            <w:tcBorders>
              <w:top w:val="single" w:color="auto" w:sz="4" w:space="0"/>
              <w:left w:val="single" w:color="auto" w:sz="4" w:space="0"/>
              <w:bottom w:val="single" w:color="auto" w:sz="4" w:space="0"/>
              <w:right w:val="single" w:color="auto" w:sz="4" w:space="0"/>
            </w:tcBorders>
            <w:vAlign w:val="center"/>
          </w:tcPr>
          <w:p w14:paraId="5DDC1BA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4C6CCB3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不可抗力风险</w:t>
            </w:r>
          </w:p>
        </w:tc>
        <w:tc>
          <w:tcPr>
            <w:tcW w:w="3919" w:type="pct"/>
            <w:tcBorders>
              <w:top w:val="single" w:color="auto" w:sz="4" w:space="0"/>
              <w:left w:val="single" w:color="auto" w:sz="4" w:space="0"/>
              <w:bottom w:val="single" w:color="auto" w:sz="4" w:space="0"/>
              <w:right w:val="single" w:color="auto" w:sz="4" w:space="0"/>
            </w:tcBorders>
            <w:vAlign w:val="center"/>
          </w:tcPr>
          <w:p w14:paraId="59C3BFA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自然不可抗力：指台风、地震、洪水、冰雹、瘟疫等自然不可抗力导致项目不能正常运营。</w:t>
            </w:r>
          </w:p>
        </w:tc>
      </w:tr>
      <w:tr w14:paraId="462718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single" w:color="auto" w:sz="4" w:space="0"/>
              <w:left w:val="single" w:color="auto" w:sz="4" w:space="0"/>
              <w:bottom w:val="single" w:color="auto" w:sz="4" w:space="0"/>
              <w:right w:val="single" w:color="auto" w:sz="4" w:space="0"/>
            </w:tcBorders>
            <w:vAlign w:val="center"/>
          </w:tcPr>
          <w:p w14:paraId="5A8A45D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tcBorders>
              <w:top w:val="single" w:color="auto" w:sz="4" w:space="0"/>
              <w:left w:val="single" w:color="auto" w:sz="4" w:space="0"/>
              <w:bottom w:val="single" w:color="auto" w:sz="4" w:space="0"/>
              <w:right w:val="single" w:color="auto" w:sz="4" w:space="0"/>
            </w:tcBorders>
            <w:vAlign w:val="center"/>
          </w:tcPr>
          <w:p w14:paraId="11770696">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国内外政治不稳定，发生社会异常事件，如战争、罢工、骚乱等不可抗力因素导致项目不能正常运营。</w:t>
            </w:r>
          </w:p>
        </w:tc>
      </w:tr>
      <w:tr w14:paraId="7C7B6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tcBorders>
              <w:top w:val="single" w:color="auto" w:sz="4" w:space="0"/>
              <w:left w:val="single" w:color="auto" w:sz="4" w:space="0"/>
              <w:bottom w:val="single" w:color="auto" w:sz="4" w:space="0"/>
              <w:right w:val="single" w:color="auto" w:sz="4" w:space="0"/>
            </w:tcBorders>
            <w:vAlign w:val="center"/>
          </w:tcPr>
          <w:p w14:paraId="067B902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环境影响风险</w:t>
            </w:r>
          </w:p>
        </w:tc>
        <w:tc>
          <w:tcPr>
            <w:tcW w:w="3919" w:type="pct"/>
            <w:tcBorders>
              <w:top w:val="single" w:color="auto" w:sz="4" w:space="0"/>
              <w:left w:val="single" w:color="auto" w:sz="4" w:space="0"/>
              <w:bottom w:val="single" w:color="auto" w:sz="4" w:space="0"/>
              <w:right w:val="single" w:color="auto" w:sz="4" w:space="0"/>
            </w:tcBorders>
            <w:vAlign w:val="center"/>
          </w:tcPr>
          <w:p w14:paraId="72DDD0B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项目运营对环境造成不良影响。</w:t>
            </w:r>
          </w:p>
        </w:tc>
      </w:tr>
      <w:tr w14:paraId="1D7C2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restart"/>
            <w:tcBorders>
              <w:top w:val="single" w:color="auto" w:sz="4" w:space="0"/>
              <w:left w:val="single" w:color="auto" w:sz="4" w:space="0"/>
              <w:bottom w:val="single" w:color="auto" w:sz="4" w:space="0"/>
              <w:right w:val="single" w:color="auto" w:sz="4" w:space="0"/>
            </w:tcBorders>
            <w:vAlign w:val="center"/>
          </w:tcPr>
          <w:p w14:paraId="331F0B95">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55FC50CB">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运营管理风险</w:t>
            </w:r>
          </w:p>
        </w:tc>
        <w:tc>
          <w:tcPr>
            <w:tcW w:w="3919" w:type="pct"/>
            <w:tcBorders>
              <w:top w:val="single" w:color="auto" w:sz="4" w:space="0"/>
              <w:left w:val="single" w:color="auto" w:sz="4" w:space="0"/>
              <w:bottom w:val="single" w:color="auto" w:sz="4" w:space="0"/>
              <w:right w:val="single" w:color="auto" w:sz="4" w:space="0"/>
            </w:tcBorders>
            <w:vAlign w:val="center"/>
          </w:tcPr>
          <w:p w14:paraId="2EE0B90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运营管理能力不足导致产出内容达不到约定要求。</w:t>
            </w:r>
          </w:p>
        </w:tc>
      </w:tr>
      <w:tr w14:paraId="7C7A64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single" w:color="auto" w:sz="4" w:space="0"/>
              <w:left w:val="single" w:color="auto" w:sz="4" w:space="0"/>
            </w:tcBorders>
            <w:vAlign w:val="center"/>
          </w:tcPr>
          <w:p w14:paraId="761D186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tcBorders>
              <w:top w:val="single" w:color="auto" w:sz="4" w:space="0"/>
            </w:tcBorders>
            <w:vAlign w:val="center"/>
          </w:tcPr>
          <w:p w14:paraId="6D53CBF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运营过程中发生安全事故。</w:t>
            </w:r>
          </w:p>
        </w:tc>
      </w:tr>
      <w:tr w14:paraId="4C14E0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restart"/>
            <w:tcBorders>
              <w:bottom w:val="nil"/>
            </w:tcBorders>
            <w:vAlign w:val="center"/>
          </w:tcPr>
          <w:p w14:paraId="7F9142AE">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0A740923">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63297F7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项目市场风险</w:t>
            </w:r>
          </w:p>
        </w:tc>
        <w:tc>
          <w:tcPr>
            <w:tcW w:w="3919" w:type="pct"/>
            <w:vAlign w:val="center"/>
          </w:tcPr>
          <w:p w14:paraId="61F52AF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供水定价风险，渔业市场波动，潜在收入不足等。</w:t>
            </w:r>
          </w:p>
        </w:tc>
      </w:tr>
      <w:tr w14:paraId="6FBBD9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nil"/>
              <w:bottom w:val="nil"/>
            </w:tcBorders>
            <w:vAlign w:val="center"/>
          </w:tcPr>
          <w:p w14:paraId="400E5282">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vAlign w:val="center"/>
          </w:tcPr>
          <w:p w14:paraId="42BC427F">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水量供应不足（受极端干旱天气影响除外），供水收入等业绩不佳。</w:t>
            </w:r>
          </w:p>
        </w:tc>
      </w:tr>
      <w:tr w14:paraId="765E00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Merge w:val="continue"/>
            <w:tcBorders>
              <w:top w:val="nil"/>
            </w:tcBorders>
            <w:vAlign w:val="center"/>
          </w:tcPr>
          <w:p w14:paraId="5CB03ABA">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tc>
        <w:tc>
          <w:tcPr>
            <w:tcW w:w="3919" w:type="pct"/>
            <w:vAlign w:val="center"/>
          </w:tcPr>
          <w:p w14:paraId="7C235B0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动力费、人员工资等运营成本波动。</w:t>
            </w:r>
          </w:p>
        </w:tc>
      </w:tr>
      <w:tr w14:paraId="2E2D34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Align w:val="center"/>
          </w:tcPr>
          <w:p w14:paraId="08B1B2F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公众风险</w:t>
            </w:r>
          </w:p>
        </w:tc>
        <w:tc>
          <w:tcPr>
            <w:tcW w:w="3919" w:type="pct"/>
            <w:vAlign w:val="center"/>
          </w:tcPr>
          <w:p w14:paraId="7F6F8160">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农业灌溉用水价格调整较大，导致公众不满意等。</w:t>
            </w:r>
          </w:p>
        </w:tc>
      </w:tr>
      <w:tr w14:paraId="0171E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pct"/>
          <w:trHeight w:val="340" w:hRule="atLeast"/>
          <w:jc w:val="center"/>
        </w:trPr>
        <w:tc>
          <w:tcPr>
            <w:tcW w:w="1075" w:type="pct"/>
            <w:vAlign w:val="center"/>
          </w:tcPr>
          <w:p w14:paraId="029E06F9">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p>
          <w:p w14:paraId="3F042B08">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移交风险</w:t>
            </w:r>
          </w:p>
        </w:tc>
        <w:tc>
          <w:tcPr>
            <w:tcW w:w="3919" w:type="pct"/>
            <w:vAlign w:val="center"/>
          </w:tcPr>
          <w:p w14:paraId="3B03F2FD">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b w:val="0"/>
                <w:bCs w:val="0"/>
                <w:spacing w:val="-7"/>
                <w:sz w:val="20"/>
                <w:szCs w:val="20"/>
              </w:rPr>
            </w:pPr>
            <w:r>
              <w:rPr>
                <w:rFonts w:hint="eastAsia" w:ascii="宋体" w:hAnsi="宋体" w:eastAsia="宋体" w:cs="宋体"/>
                <w:b w:val="0"/>
                <w:bCs w:val="0"/>
                <w:spacing w:val="-7"/>
                <w:sz w:val="20"/>
                <w:szCs w:val="20"/>
              </w:rPr>
              <w:t>项目合作期满或提前终止，特许经营者向政府方移交时，有未偿还债务或第三方索赔、项目设施完好率不达标、相关资料不完整、权利移交不完整等。</w:t>
            </w:r>
          </w:p>
        </w:tc>
      </w:tr>
    </w:tbl>
    <w:p w14:paraId="04B0A0A2">
      <w:pPr>
        <w:rPr>
          <w:rFonts w:hint="eastAsia" w:ascii="Arial" w:hAnsi="Arial"/>
          <w:lang w:val="en-US" w:eastAsia="zh-CN"/>
        </w:rPr>
      </w:pPr>
      <w:bookmarkStart w:id="48" w:name="bookmark30"/>
      <w:bookmarkEnd w:id="48"/>
      <w:r>
        <w:rPr>
          <w:rFonts w:hint="eastAsia" w:ascii="Arial" w:hAnsi="Arial"/>
          <w:lang w:val="en-US" w:eastAsia="zh-CN"/>
        </w:rPr>
        <w:br w:type="page"/>
      </w:r>
    </w:p>
    <w:p w14:paraId="7B1908F1">
      <w:pPr>
        <w:bidi w:val="0"/>
        <w:rPr>
          <w:rFonts w:hint="eastAsia"/>
          <w:lang w:val="en-US" w:eastAsia="zh-CN"/>
        </w:rPr>
      </w:pPr>
      <w:bookmarkStart w:id="49" w:name="_Toc31164"/>
    </w:p>
    <w:p w14:paraId="3D636257">
      <w:pPr>
        <w:pStyle w:val="3"/>
        <w:numPr>
          <w:ilvl w:val="0"/>
          <w:numId w:val="4"/>
        </w:numPr>
        <w:bidi w:val="0"/>
        <w:rPr>
          <w:rFonts w:hint="eastAsia" w:ascii="Arial" w:hAnsi="Arial"/>
          <w:lang w:val="en-US" w:eastAsia="zh-CN"/>
        </w:rPr>
      </w:pPr>
      <w:r>
        <w:rPr>
          <w:rFonts w:hint="eastAsia" w:ascii="Arial" w:hAnsi="Arial"/>
          <w:lang w:val="en-US" w:eastAsia="zh-CN"/>
        </w:rPr>
        <w:t>特许</w:t>
      </w:r>
      <w:r>
        <w:rPr>
          <w:rFonts w:hint="eastAsia" w:ascii="宋体" w:hAnsi="宋体"/>
          <w:lang w:val="en-US" w:eastAsia="zh-CN"/>
        </w:rPr>
        <w:t>经营</w:t>
      </w:r>
      <w:r>
        <w:rPr>
          <w:rFonts w:hint="eastAsia" w:ascii="Arial" w:hAnsi="Arial"/>
          <w:lang w:val="en-US" w:eastAsia="zh-CN"/>
        </w:rPr>
        <w:t>模式可行性论证</w:t>
      </w:r>
      <w:bookmarkEnd w:id="49"/>
    </w:p>
    <w:p w14:paraId="646DE59A">
      <w:pPr>
        <w:rPr>
          <w:rFonts w:hint="eastAsia"/>
          <w:lang w:val="en-US" w:eastAsia="zh-CN"/>
        </w:rPr>
      </w:pPr>
    </w:p>
    <w:p w14:paraId="562CAEA8">
      <w:pPr>
        <w:pStyle w:val="4"/>
        <w:numPr>
          <w:ilvl w:val="1"/>
          <w:numId w:val="4"/>
        </w:numPr>
        <w:bidi w:val="0"/>
        <w:ind w:left="575" w:leftChars="0" w:hanging="575" w:firstLineChars="0"/>
        <w:rPr>
          <w:rFonts w:ascii="Arial" w:hAnsi="Arial"/>
        </w:rPr>
      </w:pPr>
      <w:bookmarkStart w:id="50" w:name="bookmark31"/>
      <w:bookmarkEnd w:id="50"/>
      <w:bookmarkStart w:id="51" w:name="_Toc10451"/>
      <w:r>
        <w:rPr>
          <w:rFonts w:ascii="Arial" w:hAnsi="Arial"/>
          <w:lang w:val="en-US" w:eastAsia="en-US"/>
        </w:rPr>
        <w:t>项目属性分析</w:t>
      </w:r>
      <w:bookmarkEnd w:id="51"/>
    </w:p>
    <w:p w14:paraId="2A7852BB">
      <w:pPr>
        <w:bidi w:val="0"/>
      </w:pPr>
      <w:r>
        <w:t>水库项目属于具有一定公益性且存在经营收入的项目。具体如下：</w:t>
      </w:r>
    </w:p>
    <w:p w14:paraId="4ECDF769">
      <w:pPr>
        <w:pStyle w:val="5"/>
        <w:numPr>
          <w:ilvl w:val="2"/>
          <w:numId w:val="12"/>
        </w:numPr>
        <w:bidi w:val="0"/>
        <w:ind w:left="0" w:firstLine="402"/>
        <w:rPr>
          <w:rFonts w:ascii="Arial" w:hAnsi="Arial"/>
        </w:rPr>
      </w:pPr>
      <w:bookmarkStart w:id="52" w:name="bookmark129"/>
      <w:bookmarkEnd w:id="52"/>
      <w:bookmarkStart w:id="53" w:name="bookmark32"/>
      <w:bookmarkEnd w:id="53"/>
      <w:r>
        <w:rPr>
          <w:rFonts w:ascii="Arial" w:hAnsi="Arial"/>
        </w:rPr>
        <w:t>公益性分析</w:t>
      </w:r>
    </w:p>
    <w:p w14:paraId="300CE30C">
      <w:pPr>
        <w:pStyle w:val="6"/>
        <w:numPr>
          <w:ilvl w:val="3"/>
          <w:numId w:val="13"/>
        </w:numPr>
        <w:bidi w:val="0"/>
      </w:pPr>
      <w:r>
        <w:t>提高灌溉效率，增加农业产出</w:t>
      </w:r>
    </w:p>
    <w:p w14:paraId="566CDDDA">
      <w:pPr>
        <w:bidi w:val="0"/>
        <w:rPr>
          <w:rFonts w:hint="eastAsia" w:eastAsia="仿宋"/>
          <w:lang w:eastAsia="zh-CN"/>
        </w:rPr>
      </w:pPr>
      <w:r>
        <w:t>水库项目可以改善农田灌溉条件，提高灌溉效率和水利用率，保证农作物的正常生长，促进农业发展，从而提高农业产出，增加农民收入</w:t>
      </w:r>
      <w:r>
        <w:rPr>
          <w:rFonts w:hint="eastAsia"/>
          <w:lang w:eastAsia="zh-CN"/>
        </w:rPr>
        <w:t>。</w:t>
      </w:r>
    </w:p>
    <w:p w14:paraId="0DF2CF3A">
      <w:pPr>
        <w:pStyle w:val="6"/>
        <w:numPr>
          <w:ilvl w:val="3"/>
          <w:numId w:val="13"/>
        </w:numPr>
        <w:bidi w:val="0"/>
      </w:pPr>
      <w:r>
        <w:t>预防水灾和旱灾</w:t>
      </w:r>
    </w:p>
    <w:p w14:paraId="28D1AF52">
      <w:pPr>
        <w:bidi w:val="0"/>
      </w:pPr>
      <w:r>
        <w:t>水库项目可以保障生态环境，防止洪涝灾害和旱灾，保障人民生命财产安全，减少灾害损失。</w:t>
      </w:r>
    </w:p>
    <w:p w14:paraId="32C1F317">
      <w:pPr>
        <w:pStyle w:val="6"/>
        <w:numPr>
          <w:ilvl w:val="3"/>
          <w:numId w:val="13"/>
        </w:numPr>
        <w:bidi w:val="0"/>
      </w:pPr>
      <w:r>
        <w:t>改善水质和供水</w:t>
      </w:r>
    </w:p>
    <w:p w14:paraId="313BD615">
      <w:pPr>
        <w:bidi w:val="0"/>
      </w:pPr>
      <w:r>
        <w:t>水利工程可以改善水资源质量，保护水源，改善城市和农村的供水条件，满足人民日益增长的生活、生产和发展需求。</w:t>
      </w:r>
    </w:p>
    <w:p w14:paraId="2B06AA69">
      <w:pPr>
        <w:bidi w:val="0"/>
      </w:pPr>
      <w:r>
        <w:t>综上所述，水库存量资产盘活项目的公益性体现在防洪减灾、农业灌溉、供水保障上。这些公益性的体现使得本项目</w:t>
      </w:r>
      <w:r>
        <w:rPr>
          <w:rFonts w:hint="eastAsia"/>
          <w:lang w:eastAsia="zh-CN"/>
        </w:rPr>
        <w:t>成了一个</w:t>
      </w:r>
      <w:r>
        <w:t>具有社会责任感和使命感的重要项目，为社会的可持续发展和生态文明建设做出了积极贡献。</w:t>
      </w:r>
    </w:p>
    <w:p w14:paraId="350C9C69">
      <w:pPr>
        <w:pStyle w:val="5"/>
        <w:numPr>
          <w:ilvl w:val="2"/>
          <w:numId w:val="12"/>
        </w:numPr>
        <w:bidi w:val="0"/>
        <w:ind w:left="0" w:firstLine="402"/>
        <w:rPr>
          <w:rFonts w:ascii="Arial" w:hAnsi="Arial"/>
        </w:rPr>
      </w:pPr>
      <w:bookmarkStart w:id="54" w:name="bookmark33"/>
      <w:bookmarkEnd w:id="54"/>
      <w:r>
        <w:rPr>
          <w:rFonts w:ascii="Arial" w:hAnsi="Arial"/>
        </w:rPr>
        <w:t>收益性分析</w:t>
      </w:r>
    </w:p>
    <w:p w14:paraId="5DA214BD">
      <w:pPr>
        <w:bidi w:val="0"/>
      </w:pPr>
      <w:r>
        <w:t>本项目不仅具有显著的公益性，同时也存在经营性收入，其收益性主要体现在以下几个方面：</w:t>
      </w:r>
    </w:p>
    <w:p w14:paraId="615D16A6">
      <w:pPr>
        <w:pStyle w:val="6"/>
        <w:numPr>
          <w:ilvl w:val="3"/>
          <w:numId w:val="14"/>
        </w:numPr>
        <w:bidi w:val="0"/>
      </w:pPr>
      <w:r>
        <w:rPr>
          <w:rFonts w:hint="eastAsia"/>
          <w:lang w:eastAsia="zh-CN"/>
        </w:rPr>
        <w:t>原水供水</w:t>
      </w:r>
      <w:r>
        <w:t>销售收入</w:t>
      </w:r>
    </w:p>
    <w:p w14:paraId="1D1DE9BD">
      <w:pPr>
        <w:bidi w:val="0"/>
      </w:pPr>
      <w:r>
        <w:t>根据《四川省取水许可和水资源费征收管理办法》要求，“水资源费由县级以上地方人民政府水行政主管部门按照取水许可审批权限负责征收，上级水行政主管部门可以委托下级水行政主管部门或者具有管理公共事务职能的机构征收水资源费。取水单位或者个人应当按规定向取水审批机关报送实际取水量或者发电量，并缴纳水资源费。”</w:t>
      </w:r>
    </w:p>
    <w:p w14:paraId="1C2B66EC">
      <w:pPr>
        <w:bidi w:val="0"/>
      </w:pPr>
      <w:r>
        <w:t>根据</w:t>
      </w:r>
      <w:r>
        <w:rPr>
          <w:highlight w:val="none"/>
        </w:rPr>
        <w:t>《</w:t>
      </w:r>
      <w:r>
        <w:rPr>
          <w:rFonts w:hint="eastAsia"/>
          <w:highlight w:val="none"/>
          <w:lang w:eastAsia="zh-CN"/>
        </w:rPr>
        <w:t>安居区</w:t>
      </w:r>
      <w:r>
        <w:rPr>
          <w:highlight w:val="none"/>
        </w:rPr>
        <w:t>发展和改革局</w:t>
      </w:r>
      <w:r>
        <w:rPr>
          <w:rFonts w:hint="eastAsia"/>
          <w:highlight w:val="none"/>
          <w:lang w:eastAsia="zh-CN"/>
        </w:rPr>
        <w:t>〈</w:t>
      </w:r>
      <w:r>
        <w:rPr>
          <w:highlight w:val="none"/>
        </w:rPr>
        <w:t>关于核定</w:t>
      </w:r>
      <w:r>
        <w:rPr>
          <w:rFonts w:hint="eastAsia"/>
          <w:highlight w:val="none"/>
          <w:lang w:eastAsia="zh-CN"/>
        </w:rPr>
        <w:t>安居区</w:t>
      </w:r>
      <w:r>
        <w:rPr>
          <w:rFonts w:hint="eastAsia"/>
          <w:highlight w:val="none"/>
          <w:lang w:val="en-US" w:eastAsia="zh-CN"/>
        </w:rPr>
        <w:t>麻子滩等13座</w:t>
      </w:r>
      <w:r>
        <w:rPr>
          <w:highlight w:val="none"/>
        </w:rPr>
        <w:t>水库用水价格</w:t>
      </w:r>
      <w:r>
        <w:rPr>
          <w:rFonts w:hint="eastAsia"/>
          <w:highlight w:val="none"/>
          <w:lang w:eastAsia="zh-CN"/>
        </w:rPr>
        <w:t>〉</w:t>
      </w:r>
      <w:r>
        <w:rPr>
          <w:highlight w:val="none"/>
        </w:rPr>
        <w:t>的通知》，</w:t>
      </w:r>
      <w:r>
        <w:rPr>
          <w:rFonts w:hint="eastAsia"/>
          <w:highlight w:val="none"/>
          <w:lang w:eastAsia="zh-CN"/>
        </w:rPr>
        <w:t>原水供水</w:t>
      </w:r>
      <w:r>
        <w:rPr>
          <w:highlight w:val="none"/>
        </w:rPr>
        <w:t>费</w:t>
      </w:r>
      <w:r>
        <w:rPr>
          <w:rFonts w:hint="eastAsia"/>
          <w:highlight w:val="none"/>
          <w:lang w:val="en-US" w:eastAsia="zh-CN"/>
        </w:rPr>
        <w:t>为</w:t>
      </w:r>
      <w:r>
        <w:rPr>
          <w:highlight w:val="none"/>
        </w:rPr>
        <w:t>0.</w:t>
      </w:r>
      <w:r>
        <w:rPr>
          <w:rFonts w:hint="eastAsia"/>
          <w:highlight w:val="none"/>
          <w:lang w:val="en-US" w:eastAsia="zh-CN"/>
        </w:rPr>
        <w:t>8</w:t>
      </w:r>
      <w:r>
        <w:rPr>
          <w:highlight w:val="none"/>
        </w:rPr>
        <w:t>元</w:t>
      </w:r>
      <w:r>
        <w:rPr>
          <w:rFonts w:hint="eastAsia"/>
          <w:highlight w:val="none"/>
          <w:lang w:val="en-US" w:eastAsia="zh-CN"/>
        </w:rPr>
        <w:t>/</w:t>
      </w:r>
      <w:r>
        <w:rPr>
          <w:highlight w:val="none"/>
        </w:rPr>
        <w:t>立方米。</w:t>
      </w:r>
    </w:p>
    <w:p w14:paraId="6A25EC7A">
      <w:pPr>
        <w:bidi w:val="0"/>
      </w:pPr>
      <w:r>
        <w:t>本项目中</w:t>
      </w:r>
      <w:r>
        <w:rPr>
          <w:rFonts w:hint="eastAsia"/>
          <w:lang w:eastAsia="zh-CN"/>
        </w:rPr>
        <w:t>原水供水</w:t>
      </w:r>
      <w:r>
        <w:t>销售收入为水行政主管部门向取水单位或者个人按照</w:t>
      </w:r>
      <w:r>
        <w:rPr>
          <w:rFonts w:hint="eastAsia"/>
          <w:lang w:eastAsia="zh-CN"/>
        </w:rPr>
        <w:t>原水供水</w:t>
      </w:r>
      <w:r>
        <w:t>费标准和实际取水量征收的水资源费，征收的水资源费以原水销售的形式转付给特许经营者。</w:t>
      </w:r>
    </w:p>
    <w:p w14:paraId="196CBD7D">
      <w:pPr>
        <w:pStyle w:val="6"/>
        <w:numPr>
          <w:ilvl w:val="3"/>
          <w:numId w:val="14"/>
        </w:numPr>
        <w:bidi w:val="0"/>
      </w:pPr>
      <w:r>
        <w:t>农业灌溉用水销售收入</w:t>
      </w:r>
    </w:p>
    <w:p w14:paraId="7BADD079">
      <w:pPr>
        <w:bidi w:val="0"/>
      </w:pPr>
      <w:r>
        <w:t>根据</w:t>
      </w:r>
      <w:r>
        <w:rPr>
          <w:rFonts w:hint="eastAsia"/>
          <w:lang w:eastAsia="zh-CN"/>
        </w:rPr>
        <w:t>遂宁市</w:t>
      </w:r>
      <w:r>
        <w:t>人民政府办公室《遂宁市安居区推进农业水价综合改革实施方案</w:t>
      </w:r>
      <w:r>
        <w:rPr>
          <w:rFonts w:hint="eastAsia"/>
          <w:lang w:eastAsia="zh-CN"/>
        </w:rPr>
        <w:t>〉</w:t>
      </w:r>
      <w:r>
        <w:t>的通知》（</w:t>
      </w:r>
      <w:r>
        <w:rPr>
          <w:rFonts w:hint="eastAsia"/>
          <w:lang w:val="en-US" w:eastAsia="zh-CN"/>
        </w:rPr>
        <w:t>遂安府办函〔2017〕104号</w:t>
      </w:r>
      <w:r>
        <w:t>）</w:t>
      </w:r>
      <w:r>
        <w:rPr>
          <w:rFonts w:hint="eastAsia"/>
        </w:rPr>
        <w:t>推行“计量供水</w:t>
      </w:r>
      <w:r>
        <w:rPr>
          <w:rFonts w:hint="eastAsia"/>
          <w:lang w:eastAsia="zh-CN"/>
        </w:rPr>
        <w:t>、</w:t>
      </w:r>
      <w:r>
        <w:rPr>
          <w:rFonts w:hint="eastAsia"/>
        </w:rPr>
        <w:t>配水到户、收费到户、开票到户”的水费计收办法，健全水价、水量、水费“三公开”制度。</w:t>
      </w:r>
      <w:r>
        <w:rPr>
          <w:rFonts w:hint="eastAsia"/>
          <w:lang w:val="en-US" w:eastAsia="zh-CN"/>
        </w:rPr>
        <w:t>支持</w:t>
      </w:r>
      <w:r>
        <w:rPr>
          <w:rFonts w:hint="eastAsia"/>
        </w:rPr>
        <w:t>农民用水合作组织规范发展，充分发挥其在末级渠系管护、用水管理、水费计收等方面的作用。</w:t>
      </w:r>
      <w:bookmarkStart w:id="55" w:name="bookmark130"/>
      <w:bookmarkEnd w:id="55"/>
      <w:r>
        <w:t>”</w:t>
      </w:r>
    </w:p>
    <w:p w14:paraId="36E572A1">
      <w:pPr>
        <w:bidi w:val="0"/>
      </w:pPr>
      <w:r>
        <w:t>根据《</w:t>
      </w:r>
      <w:r>
        <w:rPr>
          <w:rFonts w:hint="eastAsia"/>
          <w:lang w:eastAsia="zh-CN"/>
        </w:rPr>
        <w:t>安居区</w:t>
      </w:r>
      <w:r>
        <w:t>发展和改革局</w:t>
      </w:r>
      <w:r>
        <w:rPr>
          <w:rFonts w:hint="eastAsia"/>
          <w:lang w:eastAsia="zh-CN"/>
        </w:rPr>
        <w:t>〈</w:t>
      </w:r>
      <w:r>
        <w:rPr>
          <w:rFonts w:hint="eastAsia"/>
        </w:rPr>
        <w:t>遂宁市安居区发展和改革局关于农业水价综合改革项目区农业用水价格</w:t>
      </w:r>
      <w:r>
        <w:rPr>
          <w:rFonts w:hint="eastAsia"/>
          <w:lang w:eastAsia="zh-CN"/>
        </w:rPr>
        <w:t>〉（遂安发改〔2019〕60号）</w:t>
      </w:r>
      <w:r>
        <w:t>的通知》</w:t>
      </w:r>
      <w:r>
        <w:rPr>
          <w:rFonts w:hint="eastAsia"/>
          <w:lang w:eastAsia="zh-CN"/>
        </w:rPr>
        <w:t>，</w:t>
      </w:r>
      <w:r>
        <w:t>见附件2，</w:t>
      </w:r>
      <w:r>
        <w:rPr>
          <w:rFonts w:hint="eastAsia"/>
        </w:rPr>
        <w:t>水稻、小麦、玉米、油菜等粮油作物在用水定额内，骨干工程供水价格为每立方米0.10元，末级渠系供水价格为每立方米0.05元，执行农业供水终端价格每立方米0.15元。经济作物、养殖业</w:t>
      </w:r>
      <w:r>
        <w:rPr>
          <w:rFonts w:hint="eastAsia"/>
          <w:lang w:eastAsia="zh-CN"/>
        </w:rPr>
        <w:t>和其他用水</w:t>
      </w:r>
      <w:r>
        <w:rPr>
          <w:rFonts w:hint="eastAsia"/>
        </w:rPr>
        <w:t>在用水定额内，</w:t>
      </w:r>
      <w:r>
        <w:rPr>
          <w:rFonts w:hint="eastAsia"/>
          <w:lang w:eastAsia="zh-CN"/>
        </w:rPr>
        <w:t>骨干</w:t>
      </w:r>
      <w:r>
        <w:rPr>
          <w:rFonts w:hint="eastAsia"/>
        </w:rPr>
        <w:t>工程供水价格为每立方米0.12元，</w:t>
      </w:r>
      <w:r>
        <w:rPr>
          <w:rFonts w:hint="eastAsia"/>
          <w:lang w:eastAsia="zh-CN"/>
        </w:rPr>
        <w:t>末级渠系</w:t>
      </w:r>
      <w:r>
        <w:rPr>
          <w:rFonts w:hint="eastAsia"/>
        </w:rPr>
        <w:t>供水价格为每立方米0.06元，执行农业供水终端价格每立方米0.18元。</w:t>
      </w:r>
    </w:p>
    <w:p w14:paraId="4F34FEFC">
      <w:pPr>
        <w:bidi w:val="0"/>
        <w:rPr>
          <w:highlight w:val="none"/>
        </w:rPr>
      </w:pPr>
      <w:r>
        <w:rPr>
          <w:highlight w:val="none"/>
        </w:rPr>
        <w:t>本项目中农业灌溉收入为特许经营者按照经过计量的供水量和农业灌溉用水标准向农民用水户协会（组织）收取的水费。</w:t>
      </w:r>
    </w:p>
    <w:p w14:paraId="36680557">
      <w:pPr>
        <w:pStyle w:val="6"/>
        <w:numPr>
          <w:ilvl w:val="3"/>
          <w:numId w:val="14"/>
        </w:numPr>
        <w:bidi w:val="0"/>
        <w:rPr>
          <w:highlight w:val="none"/>
        </w:rPr>
      </w:pPr>
      <w:r>
        <w:rPr>
          <w:rFonts w:hint="eastAsia"/>
          <w:highlight w:val="none"/>
        </w:rPr>
        <w:t>水库水面租赁</w:t>
      </w:r>
      <w:r>
        <w:rPr>
          <w:highlight w:val="none"/>
        </w:rPr>
        <w:t>收入</w:t>
      </w:r>
    </w:p>
    <w:p w14:paraId="09B252B0">
      <w:pPr>
        <w:bidi w:val="0"/>
      </w:pPr>
      <w:r>
        <w:t>《</w:t>
      </w:r>
      <w:r>
        <w:rPr>
          <w:rFonts w:hint="eastAsia"/>
          <w:lang w:eastAsia="zh-CN"/>
        </w:rPr>
        <w:t>遂宁市</w:t>
      </w:r>
      <w:r>
        <w:t>人民政府办公室</w:t>
      </w:r>
      <w:r>
        <w:rPr>
          <w:rFonts w:hint="eastAsia"/>
          <w:lang w:eastAsia="zh-CN"/>
        </w:rPr>
        <w:t>〈</w:t>
      </w:r>
      <w:r>
        <w:t>遂宁市养殖水域滩涂规划（2019-2030）</w:t>
      </w:r>
      <w:r>
        <w:rPr>
          <w:rFonts w:hint="eastAsia"/>
          <w:lang w:eastAsia="zh-CN"/>
        </w:rPr>
        <w:t>〉</w:t>
      </w:r>
      <w:r>
        <w:t>的通知》，</w:t>
      </w:r>
      <w:r>
        <w:rPr>
          <w:rFonts w:hint="eastAsia"/>
          <w:lang w:val="en-US" w:eastAsia="zh-CN"/>
        </w:rPr>
        <w:t>遂宁市</w:t>
      </w:r>
      <w:r>
        <w:t>境内的饮用水水源水库一、二级保护区外的水域和非饮用水源水库为水库养殖区。根据水库渔业资源特点，投放一定数量的鲢、鳙鱼类，同时优化生物种群，在不造成水库水域环境污染的条件下</w:t>
      </w:r>
      <w:r>
        <w:rPr>
          <w:rFonts w:hint="eastAsia"/>
          <w:lang w:eastAsia="zh-CN"/>
        </w:rPr>
        <w:t>，</w:t>
      </w:r>
      <w:r>
        <w:t>开展生态健康养殖，实施水库增殖渔业。禁止开展肥水养鱼。</w:t>
      </w:r>
    </w:p>
    <w:p w14:paraId="0B0B91A0">
      <w:pPr>
        <w:bidi w:val="0"/>
        <w:rPr>
          <w:rFonts w:hint="eastAsia"/>
          <w:lang w:eastAsia="zh-CN"/>
        </w:rPr>
      </w:pPr>
      <w:r>
        <w:rPr>
          <w:rFonts w:hint="eastAsia"/>
        </w:rPr>
        <w:t>为充分发挥水库水域资源的经济效益，</w:t>
      </w:r>
      <w:r>
        <w:rPr>
          <w:rFonts w:hint="eastAsia"/>
          <w:lang w:val="en-US" w:eastAsia="zh-CN"/>
        </w:rPr>
        <w:t>本项目拟将</w:t>
      </w:r>
      <w:r>
        <w:t>水库水面资源</w:t>
      </w:r>
      <w:r>
        <w:rPr>
          <w:rFonts w:hint="eastAsia"/>
          <w:lang w:val="en-US" w:eastAsia="zh-CN"/>
        </w:rPr>
        <w:t>租赁给渔业养殖公司获取水面租赁收入，渔业养殖公司</w:t>
      </w:r>
      <w:r>
        <w:t>利用水库</w:t>
      </w:r>
      <w:r>
        <w:rPr>
          <w:rFonts w:hint="eastAsia"/>
          <w:lang w:val="en-US" w:eastAsia="zh-CN"/>
        </w:rPr>
        <w:t>水面</w:t>
      </w:r>
      <w:r>
        <w:t>湖体开展</w:t>
      </w:r>
      <w:r>
        <w:rPr>
          <w:rFonts w:hint="eastAsia"/>
          <w:lang w:val="en-US" w:eastAsia="zh-CN"/>
        </w:rPr>
        <w:t>渔业养殖业务</w:t>
      </w:r>
      <w:r>
        <w:rPr>
          <w:rFonts w:hint="eastAsia"/>
          <w:lang w:eastAsia="zh-CN"/>
        </w:rPr>
        <w:t>。</w:t>
      </w:r>
    </w:p>
    <w:p w14:paraId="1C2F3141">
      <w:pPr>
        <w:pStyle w:val="4"/>
        <w:numPr>
          <w:ilvl w:val="1"/>
          <w:numId w:val="4"/>
        </w:numPr>
        <w:bidi w:val="0"/>
        <w:ind w:left="575" w:leftChars="0" w:hanging="575" w:firstLineChars="0"/>
        <w:rPr>
          <w:rFonts w:ascii="Arial" w:hAnsi="Arial"/>
          <w:lang w:val="en-US" w:eastAsia="en-US"/>
        </w:rPr>
      </w:pPr>
      <w:bookmarkStart w:id="56" w:name="bookmark132"/>
      <w:bookmarkEnd w:id="56"/>
      <w:bookmarkStart w:id="57" w:name="bookmark34"/>
      <w:bookmarkEnd w:id="57"/>
      <w:bookmarkStart w:id="58" w:name="_Toc11869"/>
      <w:r>
        <w:rPr>
          <w:rFonts w:ascii="Arial" w:hAnsi="Arial"/>
          <w:lang w:val="en-US" w:eastAsia="en-US"/>
        </w:rPr>
        <w:t>项目收费渠道和方式</w:t>
      </w:r>
      <w:bookmarkEnd w:id="58"/>
    </w:p>
    <w:p w14:paraId="2082849C">
      <w:pPr>
        <w:pStyle w:val="5"/>
        <w:numPr>
          <w:ilvl w:val="2"/>
          <w:numId w:val="15"/>
        </w:numPr>
        <w:bidi w:val="0"/>
        <w:ind w:left="0" w:firstLine="402"/>
        <w:rPr>
          <w:rFonts w:ascii="Arial" w:hAnsi="Arial"/>
        </w:rPr>
      </w:pPr>
      <w:bookmarkStart w:id="59" w:name="bookmark35"/>
      <w:bookmarkEnd w:id="59"/>
      <w:r>
        <w:rPr>
          <w:rFonts w:ascii="Arial" w:hAnsi="Arial"/>
        </w:rPr>
        <w:t>收费渠道和方式</w:t>
      </w:r>
    </w:p>
    <w:p w14:paraId="3F10784E">
      <w:pPr>
        <w:pStyle w:val="6"/>
        <w:numPr>
          <w:ilvl w:val="3"/>
          <w:numId w:val="16"/>
        </w:numPr>
        <w:bidi w:val="0"/>
      </w:pPr>
      <w:r>
        <w:t>主要收费渠道</w:t>
      </w:r>
    </w:p>
    <w:p w14:paraId="5564996D">
      <w:pPr>
        <w:bidi w:val="0"/>
        <w:rPr>
          <w:highlight w:val="yellow"/>
        </w:rPr>
      </w:pPr>
      <w:r>
        <w:t>主要收费渠道包括</w:t>
      </w:r>
      <w:r>
        <w:rPr>
          <w:rFonts w:hint="eastAsia"/>
          <w:lang w:val="en-US" w:eastAsia="zh-CN"/>
        </w:rPr>
        <w:t>三</w:t>
      </w:r>
      <w:r>
        <w:t>部分：一是农业灌溉用水销售收入，由特许经营者按经过计量的供水量和农业灌溉水价标准向农民用水户收取水费。二是</w:t>
      </w:r>
      <w:r>
        <w:rPr>
          <w:rFonts w:hint="eastAsia"/>
          <w:lang w:eastAsia="zh-CN"/>
        </w:rPr>
        <w:t>原水供水</w:t>
      </w:r>
      <w:r>
        <w:t>销售收入，依据《四川省取水许可和水资源费征收管理办法》文件要求</w:t>
      </w:r>
      <w:r>
        <w:rPr>
          <w:rFonts w:hint="eastAsia"/>
          <w:lang w:eastAsia="zh-CN"/>
        </w:rPr>
        <w:t>“</w:t>
      </w:r>
      <w:r>
        <w:t>水资源费由县级以上地方人民政府水行政主管部门按照取水</w:t>
      </w:r>
      <w:r>
        <w:rPr>
          <w:highlight w:val="none"/>
        </w:rPr>
        <w:t>许可审批权限负责征收，上级水行政主管部门可以委托下级水行政主管部门或者具有管理公共事务职能的机构征收水资源费</w:t>
      </w:r>
      <w:r>
        <w:rPr>
          <w:rFonts w:hint="eastAsia"/>
          <w:highlight w:val="none"/>
          <w:lang w:eastAsia="zh-CN"/>
        </w:rPr>
        <w:t>”</w:t>
      </w:r>
      <w:r>
        <w:rPr>
          <w:highlight w:val="none"/>
        </w:rPr>
        <w:t>，原水销售收入由水行政主管部门征收水资源费用，再以原水销售费用形式转付给特许经营者。三是</w:t>
      </w:r>
      <w:r>
        <w:rPr>
          <w:rFonts w:hint="eastAsia"/>
          <w:highlight w:val="none"/>
        </w:rPr>
        <w:t>水库水面租赁</w:t>
      </w:r>
      <w:r>
        <w:rPr>
          <w:highlight w:val="none"/>
        </w:rPr>
        <w:t>收入，特许经营者依托水库水面资源，</w:t>
      </w:r>
      <w:r>
        <w:rPr>
          <w:rFonts w:hint="eastAsia"/>
          <w:highlight w:val="none"/>
          <w:lang w:val="en-US" w:eastAsia="zh-CN"/>
        </w:rPr>
        <w:t>将</w:t>
      </w:r>
      <w:r>
        <w:rPr>
          <w:rFonts w:hint="eastAsia"/>
          <w:highlight w:val="none"/>
        </w:rPr>
        <w:t>水库水面</w:t>
      </w:r>
      <w:r>
        <w:rPr>
          <w:rFonts w:hint="eastAsia"/>
          <w:highlight w:val="none"/>
          <w:lang w:val="en-US" w:eastAsia="zh-CN"/>
        </w:rPr>
        <w:t>租赁给渔业养殖公司获取水面租赁收入，渔业养殖公司</w:t>
      </w:r>
      <w:r>
        <w:rPr>
          <w:highlight w:val="none"/>
        </w:rPr>
        <w:t>利用</w:t>
      </w:r>
      <w:r>
        <w:rPr>
          <w:rFonts w:hint="eastAsia"/>
          <w:highlight w:val="none"/>
          <w:lang w:eastAsia="zh-CN"/>
        </w:rPr>
        <w:t>水库水体</w:t>
      </w:r>
      <w:r>
        <w:rPr>
          <w:highlight w:val="none"/>
        </w:rPr>
        <w:t>开展</w:t>
      </w:r>
      <w:r>
        <w:rPr>
          <w:rFonts w:hint="eastAsia"/>
          <w:highlight w:val="none"/>
          <w:lang w:val="en-US" w:eastAsia="zh-CN"/>
        </w:rPr>
        <w:t>渔业养殖业务</w:t>
      </w:r>
      <w:r>
        <w:rPr>
          <w:highlight w:val="none"/>
        </w:rPr>
        <w:t>。</w:t>
      </w:r>
    </w:p>
    <w:p w14:paraId="1BD95ABB">
      <w:pPr>
        <w:pStyle w:val="6"/>
        <w:numPr>
          <w:ilvl w:val="3"/>
          <w:numId w:val="16"/>
        </w:numPr>
        <w:bidi w:val="0"/>
      </w:pPr>
      <w:r>
        <w:t>潜在收费渠道</w:t>
      </w:r>
    </w:p>
    <w:p w14:paraId="285DEE5B">
      <w:pPr>
        <w:bidi w:val="0"/>
      </w:pPr>
      <w:r>
        <w:t>除了主要的农业灌溉用水销售收入、</w:t>
      </w:r>
      <w:r>
        <w:rPr>
          <w:rFonts w:hint="eastAsia"/>
          <w:lang w:eastAsia="zh-CN"/>
        </w:rPr>
        <w:t>原水供水</w:t>
      </w:r>
      <w:r>
        <w:t>销售收入、</w:t>
      </w:r>
      <w:r>
        <w:rPr>
          <w:rFonts w:hint="eastAsia"/>
          <w:lang w:eastAsia="zh-CN"/>
        </w:rPr>
        <w:t>水库水面租赁</w:t>
      </w:r>
      <w:r>
        <w:t>业务收入外，项目还可以探索其他潜在收费渠道。例如，根据实际需要，每5</w:t>
      </w:r>
      <w:r>
        <w:rPr>
          <w:rFonts w:hint="eastAsia"/>
          <w:lang w:eastAsia="zh-CN"/>
        </w:rPr>
        <w:t>—</w:t>
      </w:r>
      <w:r>
        <w:t>10年清理水库淤泥，清淤的砂、淤积物中的肥料进行资源化利用可“变废为宝”，疏浚泥沙用来制作建筑材料，淤泥也可用于回填、改良耕地等，亦可带来一定的经济效益。</w:t>
      </w:r>
    </w:p>
    <w:p w14:paraId="006F6F25">
      <w:pPr>
        <w:pStyle w:val="6"/>
        <w:numPr>
          <w:ilvl w:val="3"/>
          <w:numId w:val="16"/>
        </w:numPr>
        <w:bidi w:val="0"/>
      </w:pPr>
      <w:r>
        <w:t>收费方式</w:t>
      </w:r>
    </w:p>
    <w:p w14:paraId="250ADC90">
      <w:pPr>
        <w:numPr>
          <w:ilvl w:val="0"/>
          <w:numId w:val="17"/>
        </w:numPr>
        <w:bidi w:val="0"/>
        <w:ind w:left="0" w:leftChars="0" w:firstLine="560" w:firstLineChars="200"/>
      </w:pPr>
      <w:r>
        <w:t>农业灌溉用水销售收入，农民用水户协会（组织）负责按计量的供水量、终端水价标准向农民用水户收取水费，由特许经营者按经过计量的供水量和核定的骨干工程水价标准，向灌区所涉农民用水户协会收取水费。</w:t>
      </w:r>
    </w:p>
    <w:p w14:paraId="3ED200F7">
      <w:pPr>
        <w:numPr>
          <w:ilvl w:val="0"/>
          <w:numId w:val="17"/>
        </w:numPr>
        <w:bidi w:val="0"/>
        <w:ind w:left="0" w:leftChars="0" w:firstLine="560" w:firstLineChars="200"/>
      </w:pPr>
      <w:r>
        <w:rPr>
          <w:rFonts w:hint="eastAsia"/>
          <w:lang w:eastAsia="zh-CN"/>
        </w:rPr>
        <w:t>原水供水</w:t>
      </w:r>
      <w:r>
        <w:t>销售收入，由水行政主管部门征收水资源费用，再以原水销售费用形式转付给特许经营者。</w:t>
      </w:r>
    </w:p>
    <w:p w14:paraId="570E6F80">
      <w:pPr>
        <w:numPr>
          <w:ilvl w:val="0"/>
          <w:numId w:val="17"/>
        </w:numPr>
        <w:bidi w:val="0"/>
        <w:ind w:left="0" w:leftChars="0" w:firstLine="560" w:firstLineChars="200"/>
        <w:rPr>
          <w:highlight w:val="none"/>
        </w:rPr>
      </w:pPr>
      <w:r>
        <w:rPr>
          <w:rFonts w:hint="eastAsia"/>
          <w:highlight w:val="none"/>
          <w:lang w:val="en-US" w:eastAsia="zh-CN"/>
        </w:rPr>
        <w:t>水库水面租赁</w:t>
      </w:r>
      <w:r>
        <w:rPr>
          <w:highlight w:val="none"/>
        </w:rPr>
        <w:t>收入</w:t>
      </w:r>
      <w:r>
        <w:rPr>
          <w:rFonts w:hint="eastAsia"/>
          <w:highlight w:val="none"/>
          <w:lang w:eastAsia="zh-CN"/>
        </w:rPr>
        <w:t>，</w:t>
      </w:r>
      <w:r>
        <w:rPr>
          <w:highlight w:val="none"/>
        </w:rPr>
        <w:t>按照市场化经营由特许经营者向</w:t>
      </w:r>
      <w:r>
        <w:rPr>
          <w:rFonts w:hint="eastAsia"/>
          <w:highlight w:val="none"/>
          <w:lang w:val="en-US" w:eastAsia="zh-CN"/>
        </w:rPr>
        <w:t>渔业养殖公司</w:t>
      </w:r>
      <w:r>
        <w:rPr>
          <w:highlight w:val="none"/>
        </w:rPr>
        <w:t>直接收取。</w:t>
      </w:r>
    </w:p>
    <w:p w14:paraId="7E4A8C94">
      <w:pPr>
        <w:pStyle w:val="5"/>
        <w:numPr>
          <w:ilvl w:val="2"/>
          <w:numId w:val="15"/>
        </w:numPr>
        <w:bidi w:val="0"/>
        <w:ind w:left="0" w:firstLine="402"/>
        <w:rPr>
          <w:rFonts w:ascii="Arial" w:hAnsi="Arial"/>
        </w:rPr>
      </w:pPr>
      <w:bookmarkStart w:id="60" w:name="bookmark36"/>
      <w:bookmarkEnd w:id="60"/>
      <w:r>
        <w:rPr>
          <w:rFonts w:ascii="Arial" w:hAnsi="Arial"/>
        </w:rPr>
        <w:t>收费依据及合法合规性论证</w:t>
      </w:r>
    </w:p>
    <w:p w14:paraId="5C4DB377">
      <w:pPr>
        <w:bidi w:val="0"/>
        <w:rPr>
          <w:rFonts w:hint="eastAsia" w:eastAsia="仿宋"/>
          <w:highlight w:val="none"/>
          <w:lang w:eastAsia="zh-CN"/>
        </w:rPr>
      </w:pPr>
      <w:r>
        <w:t>项目收费渠道与方式的设置，严格遵循相关法律法规的规定。国家和各地方法律法规均已明确了农业灌溉用水和</w:t>
      </w:r>
      <w:r>
        <w:rPr>
          <w:rFonts w:hint="eastAsia"/>
          <w:lang w:eastAsia="zh-CN"/>
        </w:rPr>
        <w:t>原水供水</w:t>
      </w:r>
      <w:r>
        <w:t>销售费用的征收</w:t>
      </w:r>
      <w:r>
        <w:rPr>
          <w:rFonts w:hint="eastAsia"/>
          <w:lang w:eastAsia="zh-CN"/>
        </w:rPr>
        <w:t>、</w:t>
      </w:r>
      <w:r>
        <w:t>使用和管理等方面的要求，为项目收费提供了坚实的法律基础。本项目中，农业灌溉用水销售收入</w:t>
      </w:r>
      <w:r>
        <w:rPr>
          <w:highlight w:val="none"/>
        </w:rPr>
        <w:t>，</w:t>
      </w:r>
      <w:r>
        <w:rPr>
          <w:rFonts w:hint="eastAsia"/>
          <w:highlight w:val="none"/>
        </w:rPr>
        <w:t>《遂宁市推进农业水价综合改革实施方案》（遂府办发〔2017〕5号）</w:t>
      </w:r>
      <w:r>
        <w:rPr>
          <w:rFonts w:hint="eastAsia"/>
          <w:highlight w:val="none"/>
          <w:lang w:eastAsia="zh-CN"/>
        </w:rPr>
        <w:t>“</w:t>
      </w:r>
      <w:r>
        <w:rPr>
          <w:rFonts w:hint="eastAsia"/>
          <w:highlight w:val="none"/>
        </w:rPr>
        <w:t>推行“计量供水、配水到户、收费到户</w:t>
      </w:r>
      <w:r>
        <w:rPr>
          <w:rFonts w:hint="eastAsia"/>
          <w:highlight w:val="none"/>
          <w:lang w:eastAsia="zh-CN"/>
        </w:rPr>
        <w:t>、</w:t>
      </w:r>
      <w:r>
        <w:rPr>
          <w:rFonts w:hint="eastAsia"/>
          <w:highlight w:val="none"/>
        </w:rPr>
        <w:t>开票到户”的水费计收办法，健全水价、水量、水费“三公开”制度</w:t>
      </w:r>
      <w:r>
        <w:rPr>
          <w:rFonts w:hint="eastAsia"/>
          <w:highlight w:val="none"/>
          <w:lang w:eastAsia="zh-CN"/>
        </w:rPr>
        <w:t>。</w:t>
      </w:r>
      <w:r>
        <w:rPr>
          <w:rFonts w:hint="eastAsia"/>
          <w:highlight w:val="none"/>
        </w:rPr>
        <w:t>持农民用水合作组织规范发展，充分发挥其在末级渠系管护、用水管理</w:t>
      </w:r>
      <w:r>
        <w:rPr>
          <w:rFonts w:hint="eastAsia"/>
          <w:highlight w:val="none"/>
          <w:lang w:eastAsia="zh-CN"/>
        </w:rPr>
        <w:t>、</w:t>
      </w:r>
      <w:r>
        <w:rPr>
          <w:rFonts w:hint="eastAsia"/>
          <w:highlight w:val="none"/>
        </w:rPr>
        <w:t>水费计收等方面的作用。</w:t>
      </w:r>
      <w:r>
        <w:rPr>
          <w:rFonts w:hint="eastAsia"/>
          <w:highlight w:val="none"/>
          <w:lang w:eastAsia="zh-CN"/>
        </w:rPr>
        <w:t>”</w:t>
      </w:r>
    </w:p>
    <w:p w14:paraId="30895DD1">
      <w:pPr>
        <w:bidi w:val="0"/>
        <w:rPr>
          <w:highlight w:val="none"/>
        </w:rPr>
      </w:pPr>
      <w:r>
        <w:rPr>
          <w:highlight w:val="none"/>
        </w:rPr>
        <w:t>根据《</w:t>
      </w:r>
      <w:r>
        <w:rPr>
          <w:rFonts w:hint="eastAsia"/>
          <w:highlight w:val="none"/>
          <w:lang w:eastAsia="zh-CN"/>
        </w:rPr>
        <w:t>遂宁市安居区发展和改革局〈</w:t>
      </w:r>
      <w:r>
        <w:rPr>
          <w:rFonts w:hint="eastAsia"/>
          <w:highlight w:val="none"/>
        </w:rPr>
        <w:t>关于农业水价综合改革项目区农业用水价格</w:t>
      </w:r>
      <w:r>
        <w:rPr>
          <w:rFonts w:hint="eastAsia"/>
          <w:highlight w:val="none"/>
          <w:lang w:eastAsia="zh-CN"/>
        </w:rPr>
        <w:t>〉</w:t>
      </w:r>
      <w:r>
        <w:rPr>
          <w:highlight w:val="none"/>
        </w:rPr>
        <w:t>的通知》（</w:t>
      </w:r>
      <w:r>
        <w:rPr>
          <w:rFonts w:hint="eastAsia"/>
          <w:highlight w:val="none"/>
          <w:lang w:val="en-US" w:eastAsia="zh-CN"/>
        </w:rPr>
        <w:t>遂安发改</w:t>
      </w:r>
      <w:r>
        <w:rPr>
          <w:highlight w:val="none"/>
        </w:rPr>
        <w:t>〔201</w:t>
      </w:r>
      <w:r>
        <w:rPr>
          <w:rFonts w:hint="eastAsia"/>
          <w:highlight w:val="none"/>
          <w:lang w:val="en-US" w:eastAsia="zh-CN"/>
        </w:rPr>
        <w:t>9</w:t>
      </w:r>
      <w:r>
        <w:rPr>
          <w:highlight w:val="none"/>
        </w:rPr>
        <w:t>〕</w:t>
      </w:r>
      <w:r>
        <w:rPr>
          <w:rFonts w:hint="eastAsia"/>
          <w:highlight w:val="none"/>
          <w:lang w:val="en-US" w:eastAsia="zh-CN"/>
        </w:rPr>
        <w:t>60</w:t>
      </w:r>
      <w:r>
        <w:rPr>
          <w:highlight w:val="none"/>
        </w:rPr>
        <w:t>号）</w:t>
      </w:r>
      <w:r>
        <w:rPr>
          <w:rFonts w:hint="eastAsia"/>
          <w:highlight w:val="none"/>
          <w:lang w:eastAsia="zh-CN"/>
        </w:rPr>
        <w:t>“水费征收主体为区管水利工程管理单位和农民用水户协会。区管水利工程管理单位按经过计量的供水量和核定的骨干工程水价标准向农民用水户协会收取水费，农民用水户协会负责按供水量和终端水价标准向农民用水户收取水费。收取水费时间为每年6月底前和11月底前。”</w:t>
      </w:r>
      <w:r>
        <w:rPr>
          <w:rFonts w:hint="eastAsia"/>
          <w:highlight w:val="none"/>
          <w:lang w:val="en-US" w:eastAsia="zh-CN"/>
        </w:rPr>
        <w:t>项目</w:t>
      </w:r>
      <w:r>
        <w:rPr>
          <w:highlight w:val="none"/>
        </w:rPr>
        <w:t>由特许经营者按经过计量的供水量和农业灌溉水价标准向</w:t>
      </w:r>
      <w:r>
        <w:rPr>
          <w:rFonts w:hint="eastAsia"/>
          <w:highlight w:val="none"/>
          <w:lang w:eastAsia="zh-CN"/>
        </w:rPr>
        <w:t>农民用水户协会</w:t>
      </w:r>
      <w:r>
        <w:rPr>
          <w:highlight w:val="none"/>
        </w:rPr>
        <w:t>收取水费。</w:t>
      </w:r>
    </w:p>
    <w:p w14:paraId="31AE5A86">
      <w:pPr>
        <w:bidi w:val="0"/>
      </w:pPr>
      <w:r>
        <w:t>同时，根据《四川省取水许可和水资源费征收管理办法》规定，“在本省行政区域内，单位或者个人利用闸、坝、渠道、人工河道、虹吸管</w:t>
      </w:r>
      <w:r>
        <w:rPr>
          <w:rFonts w:hint="eastAsia"/>
          <w:lang w:eastAsia="zh-CN"/>
        </w:rPr>
        <w:t>、</w:t>
      </w:r>
      <w:r>
        <w:t>水泵、水井、水电站等取水工程或者设施，直接从江河、湖泊、水库或者地下取用水资源的，应当办理取水许可证并缴纳水资源费；县级以上地方人民政府水行政主管部门、财政部门和价格主管部门按照工作职责</w:t>
      </w:r>
      <w:r>
        <w:rPr>
          <w:rFonts w:hint="eastAsia"/>
          <w:lang w:eastAsia="zh-CN"/>
        </w:rPr>
        <w:t>，</w:t>
      </w:r>
      <w:r>
        <w:t>依照法定权限，负责水资源费的征收、管理和监督。</w:t>
      </w:r>
      <w:r>
        <w:rPr>
          <w:rFonts w:hint="eastAsia"/>
          <w:lang w:eastAsia="zh-CN"/>
        </w:rPr>
        <w:t>”</w:t>
      </w:r>
      <w:r>
        <w:t>原水销售收入</w:t>
      </w:r>
      <w:r>
        <w:rPr>
          <w:rFonts w:hint="eastAsia"/>
          <w:lang w:eastAsia="zh-CN"/>
        </w:rPr>
        <w:t>，</w:t>
      </w:r>
      <w:r>
        <w:t>由相关水行政主管部门或者具有管理公共事务职能的机构征收水资源费</w:t>
      </w:r>
      <w:r>
        <w:rPr>
          <w:rFonts w:hint="eastAsia"/>
          <w:lang w:eastAsia="zh-CN"/>
        </w:rPr>
        <w:t>，</w:t>
      </w:r>
      <w:r>
        <w:t>征收的水资源费以原水销售的形式转付给特许经营者。符合使用者付费要求。</w:t>
      </w:r>
    </w:p>
    <w:p w14:paraId="4216EB1B">
      <w:pPr>
        <w:bidi w:val="0"/>
        <w:rPr>
          <w:highlight w:val="none"/>
        </w:rPr>
      </w:pPr>
      <w:r>
        <w:rPr>
          <w:rFonts w:hint="eastAsia"/>
          <w:highlight w:val="none"/>
        </w:rPr>
        <w:t>水库水面租赁收入</w:t>
      </w:r>
      <w:r>
        <w:rPr>
          <w:highlight w:val="none"/>
        </w:rPr>
        <w:t>按照市场化原则获取经营收入。</w:t>
      </w:r>
    </w:p>
    <w:p w14:paraId="6D4D2288">
      <w:pPr>
        <w:bidi w:val="0"/>
        <w:rPr>
          <w:highlight w:val="none"/>
        </w:rPr>
      </w:pPr>
      <w:r>
        <w:t>项目的收费渠道与方式亦符合国家和地方政府出台的相关政策文件</w:t>
      </w:r>
      <w:r>
        <w:rPr>
          <w:rFonts w:hint="eastAsia"/>
          <w:lang w:eastAsia="zh-CN"/>
        </w:rPr>
        <w:t>，</w:t>
      </w:r>
      <w:r>
        <w:t>充分考虑地方</w:t>
      </w:r>
      <w:r>
        <w:rPr>
          <w:highlight w:val="none"/>
        </w:rPr>
        <w:t>政府制定的农业水费和水资源费征收管理办法等规定，确保收费政策与当地实际情况相符，避免因政策不符而引发的风险。</w:t>
      </w:r>
    </w:p>
    <w:p w14:paraId="1022FB85">
      <w:pPr>
        <w:bidi w:val="0"/>
        <w:rPr>
          <w:highlight w:val="none"/>
        </w:rPr>
      </w:pPr>
      <w:r>
        <w:rPr>
          <w:highlight w:val="none"/>
        </w:rPr>
        <w:t>在实际操作中，应严格按照法律法规和政策文件的要求执行收费，农业灌溉用水和</w:t>
      </w:r>
      <w:r>
        <w:rPr>
          <w:rFonts w:hint="eastAsia"/>
          <w:highlight w:val="none"/>
          <w:lang w:eastAsia="zh-CN"/>
        </w:rPr>
        <w:t>原水供水</w:t>
      </w:r>
      <w:r>
        <w:rPr>
          <w:highlight w:val="none"/>
        </w:rPr>
        <w:t>征收标准参照《</w:t>
      </w:r>
      <w:r>
        <w:rPr>
          <w:rFonts w:hint="eastAsia"/>
          <w:highlight w:val="none"/>
          <w:lang w:eastAsia="zh-CN"/>
        </w:rPr>
        <w:t>安居区</w:t>
      </w:r>
      <w:r>
        <w:rPr>
          <w:highlight w:val="none"/>
        </w:rPr>
        <w:t>发展和改革局</w:t>
      </w:r>
      <w:r>
        <w:rPr>
          <w:rFonts w:hint="eastAsia"/>
          <w:highlight w:val="none"/>
          <w:lang w:eastAsia="zh-CN"/>
        </w:rPr>
        <w:t>〈关于核定安居区麻子滩等13座水库用水价格〉</w:t>
      </w:r>
      <w:r>
        <w:rPr>
          <w:highlight w:val="none"/>
        </w:rPr>
        <w:t>的通知》，计量收费</w:t>
      </w:r>
      <w:r>
        <w:rPr>
          <w:rFonts w:hint="eastAsia"/>
          <w:highlight w:val="none"/>
          <w:lang w:eastAsia="zh-CN"/>
        </w:rPr>
        <w:t>，</w:t>
      </w:r>
      <w:r>
        <w:rPr>
          <w:highlight w:val="none"/>
        </w:rPr>
        <w:t>确保收入的合法性和稳定性。</w:t>
      </w:r>
    </w:p>
    <w:p w14:paraId="3AB19240">
      <w:pPr>
        <w:pStyle w:val="5"/>
        <w:numPr>
          <w:ilvl w:val="2"/>
          <w:numId w:val="15"/>
        </w:numPr>
        <w:bidi w:val="0"/>
        <w:ind w:left="0" w:firstLine="402"/>
        <w:rPr>
          <w:rFonts w:ascii="Arial" w:hAnsi="Arial"/>
        </w:rPr>
      </w:pPr>
      <w:bookmarkStart w:id="61" w:name="bookmark37"/>
      <w:bookmarkEnd w:id="61"/>
      <w:r>
        <w:rPr>
          <w:rFonts w:ascii="Arial" w:hAnsi="Arial"/>
        </w:rPr>
        <w:t>使用者支付意愿、支付能力和收益稳定性评价</w:t>
      </w:r>
    </w:p>
    <w:p w14:paraId="6513CEB6">
      <w:pPr>
        <w:bidi w:val="0"/>
      </w:pPr>
      <w:r>
        <w:t>对于农业种植户和自来水企业而言，灌溉用水和</w:t>
      </w:r>
      <w:r>
        <w:rPr>
          <w:rFonts w:hint="eastAsia"/>
          <w:lang w:eastAsia="zh-CN"/>
        </w:rPr>
        <w:t>原水供水</w:t>
      </w:r>
      <w:r>
        <w:t>是种植作业和自来水制水的必备条件，因此对此有着较强的支付意愿。随着居民生活水平的提高，</w:t>
      </w:r>
      <w:r>
        <w:rPr>
          <w:highlight w:val="none"/>
        </w:rPr>
        <w:t>对于</w:t>
      </w:r>
      <w:r>
        <w:rPr>
          <w:rFonts w:hint="eastAsia"/>
          <w:highlight w:val="none"/>
          <w:lang w:eastAsia="zh-CN"/>
        </w:rPr>
        <w:t>生态渔业养殖</w:t>
      </w:r>
      <w:r>
        <w:rPr>
          <w:highlight w:val="none"/>
        </w:rPr>
        <w:t>的食品需求也日益增加，有着较强烈的支付意愿。</w:t>
      </w:r>
    </w:p>
    <w:p w14:paraId="29C54EEF">
      <w:pPr>
        <w:bidi w:val="0"/>
      </w:pPr>
      <w:r>
        <w:t>支付能力主要取决于企业、种植户和居民的经济水平。在项目实施过程中，应对目标市场的经济状况进行深入分析，评估居民和企业的支付能力，同时，制定合理的收费标准和优惠政策，确保各方能够承担得起相关费用。</w:t>
      </w:r>
    </w:p>
    <w:p w14:paraId="6B391D51">
      <w:pPr>
        <w:bidi w:val="0"/>
      </w:pPr>
      <w:r>
        <w:t>本项目中农业灌溉用水销售收入和</w:t>
      </w:r>
      <w:r>
        <w:rPr>
          <w:rFonts w:hint="eastAsia"/>
          <w:lang w:eastAsia="zh-CN"/>
        </w:rPr>
        <w:t>原水供水</w:t>
      </w:r>
      <w:r>
        <w:t>销售收入作为项目的固定收入来源，其稳定性较高。</w:t>
      </w:r>
      <w:r>
        <w:rPr>
          <w:rFonts w:hint="eastAsia"/>
        </w:rPr>
        <w:t>水库水面租赁</w:t>
      </w:r>
      <w:r>
        <w:rPr>
          <w:rFonts w:hint="eastAsia"/>
          <w:lang w:eastAsia="zh-CN"/>
        </w:rPr>
        <w:t>（</w:t>
      </w:r>
      <w:r>
        <w:rPr>
          <w:rFonts w:hint="eastAsia"/>
          <w:lang w:val="en-US" w:eastAsia="zh-CN"/>
        </w:rPr>
        <w:t>生态渔业养殖</w:t>
      </w:r>
      <w:r>
        <w:rPr>
          <w:rFonts w:hint="eastAsia"/>
          <w:lang w:eastAsia="zh-CN"/>
        </w:rPr>
        <w:t>）</w:t>
      </w:r>
      <w:r>
        <w:rPr>
          <w:rFonts w:hint="eastAsia"/>
        </w:rPr>
        <w:t>收入</w:t>
      </w:r>
      <w:r>
        <w:t>则受到市场需求、价格波动及养殖情况等多种因素的影响，存在一定的不确定性。</w:t>
      </w:r>
    </w:p>
    <w:p w14:paraId="39930378">
      <w:pPr>
        <w:pStyle w:val="5"/>
        <w:numPr>
          <w:ilvl w:val="2"/>
          <w:numId w:val="15"/>
        </w:numPr>
        <w:bidi w:val="0"/>
        <w:ind w:left="0" w:firstLine="402"/>
        <w:rPr>
          <w:rFonts w:ascii="Arial" w:hAnsi="Arial"/>
        </w:rPr>
      </w:pPr>
      <w:bookmarkStart w:id="62" w:name="bookmark38"/>
      <w:bookmarkEnd w:id="62"/>
      <w:r>
        <w:rPr>
          <w:rFonts w:ascii="Arial" w:hAnsi="Arial"/>
        </w:rPr>
        <w:t>运营成本与收费情况分析</w:t>
      </w:r>
    </w:p>
    <w:p w14:paraId="641EC653">
      <w:pPr>
        <w:bidi w:val="0"/>
      </w:pPr>
      <w:r>
        <w:t>项目运营成本是评估项目经济效益和可持续性的关键因素，通过对运营成本的详细分析和核算，可以了解项目的实际支出情况。同时，将运营成本与项目收入进行对比分析，可以评估项目的盈利能力和收益水平。</w:t>
      </w:r>
    </w:p>
    <w:p w14:paraId="2829C149">
      <w:pPr>
        <w:bidi w:val="0"/>
      </w:pPr>
      <w:r>
        <w:t>本项目收费能够覆盖运营成本并有一定的利润空间，说明项目的经济效益较好。详见</w:t>
      </w:r>
      <w:r>
        <w:rPr>
          <w:rFonts w:hint="eastAsia"/>
          <w:lang w:eastAsia="zh-CN"/>
        </w:rPr>
        <w:t>实施方案“</w:t>
      </w:r>
      <w:r>
        <w:t>特许经营模式可行性论证</w:t>
      </w:r>
      <w:r>
        <w:rPr>
          <w:rFonts w:hint="eastAsia"/>
          <w:lang w:eastAsia="zh-CN"/>
        </w:rPr>
        <w:t>——</w:t>
      </w:r>
      <w:r>
        <w:t>项目盈利能力分析</w:t>
      </w:r>
      <w:r>
        <w:rPr>
          <w:rFonts w:hint="eastAsia"/>
          <w:lang w:eastAsia="zh-CN"/>
        </w:rPr>
        <w:t>”</w:t>
      </w:r>
      <w:r>
        <w:t>部分。</w:t>
      </w:r>
    </w:p>
    <w:p w14:paraId="77DD85A0">
      <w:pPr>
        <w:pStyle w:val="5"/>
        <w:numPr>
          <w:ilvl w:val="2"/>
          <w:numId w:val="15"/>
        </w:numPr>
        <w:bidi w:val="0"/>
        <w:ind w:left="0" w:firstLine="402"/>
        <w:rPr>
          <w:rFonts w:ascii="Arial" w:hAnsi="Arial"/>
        </w:rPr>
      </w:pPr>
      <w:bookmarkStart w:id="63" w:name="bookmark39"/>
      <w:bookmarkEnd w:id="63"/>
      <w:r>
        <w:rPr>
          <w:rFonts w:ascii="Arial" w:hAnsi="Arial"/>
        </w:rPr>
        <w:t>财政补贴政策</w:t>
      </w:r>
    </w:p>
    <w:p w14:paraId="705A1B87">
      <w:pPr>
        <w:bidi w:val="0"/>
      </w:pPr>
      <w:r>
        <w:t>根据《四川省财政厅四川省水利厅关于印发</w:t>
      </w:r>
      <w:r>
        <w:rPr>
          <w:rFonts w:hint="eastAsia"/>
          <w:lang w:eastAsia="zh-CN"/>
        </w:rPr>
        <w:t>〈</w:t>
      </w:r>
      <w:r>
        <w:t>四川省水利发展资金管理办法</w:t>
      </w:r>
      <w:r>
        <w:rPr>
          <w:rFonts w:hint="eastAsia"/>
          <w:lang w:eastAsia="zh-CN"/>
        </w:rPr>
        <w:t>〉</w:t>
      </w:r>
      <w:r>
        <w:t>的通知》（川财农〔2023〕29号）文件，中央水利发展资金支出范围包括：</w:t>
      </w:r>
    </w:p>
    <w:p w14:paraId="195B7B5D">
      <w:pPr>
        <w:bidi w:val="0"/>
      </w:pPr>
      <w:r>
        <w:t>水旱灾害防御支出。用于流域面积200-3000平方公里的中小河流治理，小型水库除险加固以及雨水情测报、大坝安全监测设施建设，山洪灾害防治，水利工程维修养护等提升水旱灾害防御能力的相关支出。</w:t>
      </w:r>
    </w:p>
    <w:p w14:paraId="0833A476">
      <w:pPr>
        <w:bidi w:val="0"/>
      </w:pPr>
      <w:r>
        <w:t>水资源集约节约利用支出。用于中型灌区建设及节水改造，小型水库及小型引调水工程等小型水源工程建设，水资源刚性约束与调度，农业水价综合改革等促进水资源集约节约利用的相关支出。</w:t>
      </w:r>
    </w:p>
    <w:p w14:paraId="155E701A">
      <w:pPr>
        <w:bidi w:val="0"/>
      </w:pPr>
      <w:r>
        <w:t>（三）水资源保护与修复治理支出。用于水土流失综合治理</w:t>
      </w:r>
      <w:r>
        <w:rPr>
          <w:rFonts w:hint="eastAsia"/>
          <w:lang w:eastAsia="zh-CN"/>
        </w:rPr>
        <w:t>，</w:t>
      </w:r>
      <w:r>
        <w:t>淤地坝治理，河湖水系连通整治复苏，水库河塘清淤，推行河湖长制强化河湖管护等加强水资源保护与修复治理的相关支出。省级水利发展资金支出范围除可用于中央水利发展资金支出范围外，还可用于：</w:t>
      </w:r>
      <w:r>
        <w:rPr>
          <w:rFonts w:hint="eastAsia"/>
          <w:lang w:val="en-US" w:eastAsia="zh-CN"/>
        </w:rPr>
        <w:t>1、</w:t>
      </w:r>
      <w:r>
        <w:t>水利改革创新支出。用于水权改革，水利基础能力提升，水利领域试点示范等实施改革创新的相关支出。</w:t>
      </w:r>
      <w:r>
        <w:rPr>
          <w:rFonts w:hint="eastAsia"/>
          <w:lang w:val="en-US" w:eastAsia="zh-CN"/>
        </w:rPr>
        <w:t>2、</w:t>
      </w:r>
      <w:r>
        <w:t>防灾减灾能力提升支出。大型灌区维修养护</w:t>
      </w:r>
      <w:r>
        <w:rPr>
          <w:rFonts w:hint="eastAsia"/>
          <w:lang w:eastAsia="zh-CN"/>
        </w:rPr>
        <w:t>，</w:t>
      </w:r>
      <w:r>
        <w:t>水利设施灾后恢复重建，山洪灾害危险区责任人履职补助等提升防灾减灾能力的相关支出。</w:t>
      </w:r>
      <w:r>
        <w:rPr>
          <w:rFonts w:hint="eastAsia"/>
          <w:lang w:val="en-US" w:eastAsia="zh-CN"/>
        </w:rPr>
        <w:t>3、</w:t>
      </w:r>
      <w:r>
        <w:t>省委、省政府批准的水利发展其他支出。本项目可依照规定申请中央水利发展资金和省级水利发展资金</w:t>
      </w:r>
      <w:r>
        <w:rPr>
          <w:rFonts w:hint="eastAsia"/>
          <w:lang w:eastAsia="zh-CN"/>
        </w:rPr>
        <w:t>，</w:t>
      </w:r>
      <w:r>
        <w:t>用于水库的维修养护、清淤、除险加固。</w:t>
      </w:r>
    </w:p>
    <w:p w14:paraId="3E85B79B">
      <w:pPr>
        <w:pStyle w:val="5"/>
        <w:numPr>
          <w:ilvl w:val="2"/>
          <w:numId w:val="15"/>
        </w:numPr>
        <w:bidi w:val="0"/>
        <w:ind w:left="0" w:firstLine="402"/>
        <w:rPr>
          <w:rFonts w:ascii="Arial" w:hAnsi="Arial"/>
        </w:rPr>
      </w:pPr>
      <w:bookmarkStart w:id="64" w:name="bookmark40"/>
      <w:bookmarkEnd w:id="64"/>
      <w:r>
        <w:rPr>
          <w:rFonts w:ascii="Arial" w:hAnsi="Arial"/>
        </w:rPr>
        <w:t>政府未来支出责任</w:t>
      </w:r>
    </w:p>
    <w:p w14:paraId="05DA4538">
      <w:pPr>
        <w:bidi w:val="0"/>
        <w:rPr>
          <w:rFonts w:ascii="仿宋" w:hAnsi="仿宋" w:eastAsia="仿宋" w:cs="仿宋"/>
          <w:sz w:val="31"/>
          <w:szCs w:val="31"/>
          <w:highlight w:val="none"/>
        </w:rPr>
      </w:pPr>
      <w:r>
        <w:rPr>
          <w:highlight w:val="none"/>
        </w:rPr>
        <w:t>本项目无论是否采取特许经营模式进行推进，相关单位/个人依旧需要支付相关费用，与项目推进的具体模式并无直接关联。不存在政府需承担运营成本兜底责任的相关条款。综上所述，本项目的实施不会因采用特许经营模式而额外增加地方财政未来的支出责任，也未以任何形式新增地方政府的隐性债务。</w:t>
      </w:r>
    </w:p>
    <w:p w14:paraId="159212CC">
      <w:pPr>
        <w:pStyle w:val="5"/>
        <w:numPr>
          <w:ilvl w:val="2"/>
          <w:numId w:val="15"/>
        </w:numPr>
        <w:bidi w:val="0"/>
        <w:ind w:left="0" w:firstLine="402"/>
        <w:rPr>
          <w:rFonts w:ascii="Arial" w:hAnsi="Arial"/>
        </w:rPr>
      </w:pPr>
      <w:bookmarkStart w:id="65" w:name="bookmark41"/>
      <w:bookmarkEnd w:id="65"/>
      <w:r>
        <w:rPr>
          <w:rFonts w:ascii="Arial" w:hAnsi="Arial"/>
        </w:rPr>
        <w:t>定价机制与调价机制</w:t>
      </w:r>
    </w:p>
    <w:p w14:paraId="3C146AD3">
      <w:pPr>
        <w:bidi w:val="0"/>
      </w:pPr>
      <w:r>
        <w:rPr>
          <w:rFonts w:hint="eastAsia"/>
          <w:lang w:eastAsia="zh-CN"/>
        </w:rPr>
        <w:t>水库水面租赁收入</w:t>
      </w:r>
      <w:r>
        <w:t>收费参照市场价格定价。农业灌溉用水和</w:t>
      </w:r>
      <w:r>
        <w:rPr>
          <w:rFonts w:hint="eastAsia"/>
          <w:lang w:eastAsia="zh-CN"/>
        </w:rPr>
        <w:t>原水供水</w:t>
      </w:r>
      <w:r>
        <w:t>销售属于政府定价或指导价范畴的，应建立明确定价机制。定价机制应综合考虑项目运营成本、市场需求、物价水平等因素，确保定价合理且能够覆盖运营成本。同时，定价机制还应考虑社会公平性和公众接受度，避免过高的收费导致社会不满。</w:t>
      </w:r>
    </w:p>
    <w:p w14:paraId="009B88AA">
      <w:pPr>
        <w:bidi w:val="0"/>
      </w:pPr>
      <w:r>
        <w:t>还应明确调价机制。由于物价水平、运营成本等因素可能随时间发生变化，因此需要建立灵活的调价机制以适应这些变化。调价机制应规定调价的触发条件、调价幅度和调价周期等关键要素，确保调价行为合理、透明和可控。同时，调价机制还应充分考虑公众意见和利益相关方的利益，确保调价过程公平、公正。</w:t>
      </w:r>
    </w:p>
    <w:p w14:paraId="6E8F5A0E">
      <w:pPr>
        <w:bidi w:val="0"/>
      </w:pPr>
      <w:r>
        <w:t>在实施调价机制时，项目方应提前向相关政府部门和公众进行公示和解释，确保调价行为得到理解和支持。同时，项目方还应建立有效的沟通渠道，及时回应公众关切和解答疑问，增强公众对项目的信任和支持。</w:t>
      </w:r>
    </w:p>
    <w:p w14:paraId="601FF476">
      <w:pPr>
        <w:bidi w:val="0"/>
      </w:pPr>
      <w:r>
        <w:t>本项目定价机制与调价机制详见</w:t>
      </w:r>
      <w:r>
        <w:rPr>
          <w:rFonts w:hint="eastAsia"/>
          <w:lang w:eastAsia="zh-CN"/>
        </w:rPr>
        <w:t>“</w:t>
      </w:r>
      <w:r>
        <w:t>特许经营主要内容——特许经营主要原则和合作边界</w:t>
      </w:r>
      <w:r>
        <w:rPr>
          <w:rFonts w:hint="eastAsia"/>
          <w:lang w:eastAsia="zh-CN"/>
        </w:rPr>
        <w:t>”</w:t>
      </w:r>
      <w:r>
        <w:t>部分。</w:t>
      </w:r>
    </w:p>
    <w:p w14:paraId="75A7E6B3">
      <w:pPr>
        <w:pStyle w:val="4"/>
        <w:numPr>
          <w:ilvl w:val="1"/>
          <w:numId w:val="4"/>
        </w:numPr>
        <w:bidi w:val="0"/>
        <w:ind w:left="575" w:leftChars="0" w:hanging="575" w:firstLineChars="0"/>
        <w:rPr>
          <w:rFonts w:ascii="Arial" w:hAnsi="Arial"/>
          <w:lang w:val="en-US" w:eastAsia="en-US"/>
        </w:rPr>
      </w:pPr>
      <w:bookmarkStart w:id="66" w:name="bookmark42"/>
      <w:bookmarkEnd w:id="66"/>
      <w:bookmarkStart w:id="67" w:name="_Toc8192"/>
      <w:r>
        <w:rPr>
          <w:rFonts w:ascii="Arial" w:hAnsi="Arial"/>
          <w:lang w:val="en-US" w:eastAsia="en-US"/>
        </w:rPr>
        <w:t>项目盈利能力分析</w:t>
      </w:r>
      <w:bookmarkEnd w:id="67"/>
    </w:p>
    <w:p w14:paraId="3D9C54F0">
      <w:pPr>
        <w:bidi w:val="0"/>
      </w:pPr>
      <w:r>
        <w:t>通过运用国内类似项目通常引用的财务测算模型，根据类似项目的经验数据，并结合本项目已编制的资产评估报告及项目具体情况，在一系列财务假设条件下，对本项目财务情况进行测算分析。现就测算分析过程说明如下。</w:t>
      </w:r>
    </w:p>
    <w:p w14:paraId="01EC84D2">
      <w:pPr>
        <w:pStyle w:val="5"/>
        <w:numPr>
          <w:ilvl w:val="2"/>
          <w:numId w:val="18"/>
        </w:numPr>
        <w:bidi w:val="0"/>
        <w:ind w:left="0" w:firstLine="402"/>
        <w:rPr>
          <w:rFonts w:ascii="Arial" w:hAnsi="Arial"/>
        </w:rPr>
      </w:pPr>
      <w:bookmarkStart w:id="68" w:name="bookmark43"/>
      <w:bookmarkEnd w:id="68"/>
      <w:r>
        <w:rPr>
          <w:rFonts w:ascii="Arial" w:hAnsi="Arial"/>
        </w:rPr>
        <w:t>财务测算的说明</w:t>
      </w:r>
    </w:p>
    <w:p w14:paraId="1E0D868C">
      <w:pPr>
        <w:bidi w:val="0"/>
      </w:pPr>
      <w:r>
        <w:t>财务测算模型依据财务测算中通用的现金流量折现法编制，即在锁定有关项目边界条件和财务假设条件的前提下测算特许经营者合作期内每年的实际各项收入和各项经营成本费用，通过融资表计算财务费用，并通过损益表计算所得税费用，最后将有关财务数据汇总至现金流量表测算每年现金流量情况，利用现金流量折现法测算项目的内部收益率。</w:t>
      </w:r>
    </w:p>
    <w:p w14:paraId="6E991D21">
      <w:pPr>
        <w:pStyle w:val="5"/>
        <w:numPr>
          <w:ilvl w:val="2"/>
          <w:numId w:val="18"/>
        </w:numPr>
        <w:bidi w:val="0"/>
        <w:ind w:left="0" w:firstLine="402"/>
        <w:rPr>
          <w:rFonts w:ascii="Arial" w:hAnsi="Arial"/>
        </w:rPr>
      </w:pPr>
      <w:bookmarkStart w:id="69" w:name="bookmark44"/>
      <w:bookmarkEnd w:id="69"/>
      <w:r>
        <w:rPr>
          <w:rFonts w:ascii="Arial" w:hAnsi="Arial"/>
        </w:rPr>
        <w:t>项目测算边界条件</w:t>
      </w:r>
    </w:p>
    <w:p w14:paraId="73404C48">
      <w:pPr>
        <w:pStyle w:val="6"/>
        <w:numPr>
          <w:ilvl w:val="3"/>
          <w:numId w:val="19"/>
        </w:numPr>
        <w:bidi w:val="0"/>
      </w:pPr>
      <w:r>
        <w:t>项目投资</w:t>
      </w:r>
    </w:p>
    <w:p w14:paraId="538B74D9">
      <w:pPr>
        <w:bidi w:val="0"/>
      </w:pPr>
      <w:r>
        <w:t>本项目投资为特许经营权转让价款，特许经营权转让价款暂定为资产评估价，即为</w:t>
      </w:r>
      <w:r>
        <w:rPr>
          <w:rFonts w:hint="eastAsia"/>
          <w:lang w:eastAsia="zh-CN"/>
        </w:rPr>
        <w:t>35529.85</w:t>
      </w:r>
      <w:r>
        <w:t>万元，在特许经营期第一年支付。</w:t>
      </w:r>
    </w:p>
    <w:p w14:paraId="778AB625">
      <w:pPr>
        <w:pStyle w:val="6"/>
        <w:numPr>
          <w:ilvl w:val="3"/>
          <w:numId w:val="19"/>
        </w:numPr>
        <w:bidi w:val="0"/>
      </w:pPr>
      <w:r>
        <w:t>特许经营</w:t>
      </w:r>
      <w:r>
        <w:rPr>
          <w:rFonts w:hint="eastAsia"/>
          <w:lang w:val="en-US" w:eastAsia="zh-CN"/>
        </w:rPr>
        <w:t>贷款</w:t>
      </w:r>
      <w:r>
        <w:t>期限</w:t>
      </w:r>
    </w:p>
    <w:p w14:paraId="58BC1450">
      <w:pPr>
        <w:bidi w:val="0"/>
      </w:pPr>
      <w:r>
        <w:t>本项目财务分析中特许经营期限</w:t>
      </w:r>
      <w:r>
        <w:rPr>
          <w:rFonts w:hint="eastAsia"/>
          <w:lang w:val="en-US" w:eastAsia="zh-CN"/>
        </w:rPr>
        <w:t>贷款期限</w:t>
      </w:r>
      <w:r>
        <w:t>按</w:t>
      </w:r>
      <w:r>
        <w:rPr>
          <w:rFonts w:hint="eastAsia"/>
          <w:lang w:val="en-US" w:eastAsia="zh-CN"/>
        </w:rPr>
        <w:t>30</w:t>
      </w:r>
      <w:r>
        <w:rPr>
          <w:rFonts w:hint="eastAsia"/>
          <w:lang w:eastAsia="zh-CN"/>
        </w:rPr>
        <w:t>年</w:t>
      </w:r>
      <w:r>
        <w:t>进行测算。</w:t>
      </w:r>
    </w:p>
    <w:p w14:paraId="1EE9ADAA">
      <w:pPr>
        <w:pStyle w:val="6"/>
        <w:numPr>
          <w:ilvl w:val="3"/>
          <w:numId w:val="19"/>
        </w:numPr>
        <w:bidi w:val="0"/>
      </w:pPr>
      <w:r>
        <w:t>资本金比例</w:t>
      </w:r>
    </w:p>
    <w:p w14:paraId="3E16FDC4">
      <w:pPr>
        <w:bidi w:val="0"/>
        <w:rPr>
          <w:highlight w:val="none"/>
        </w:rPr>
      </w:pPr>
      <w:r>
        <w:rPr>
          <w:highlight w:val="none"/>
        </w:rPr>
        <w:t>本项目测算资本金按总投资的</w:t>
      </w:r>
      <w:r>
        <w:rPr>
          <w:rFonts w:hint="eastAsia"/>
          <w:highlight w:val="none"/>
        </w:rPr>
        <w:t>21.19%</w:t>
      </w:r>
      <w:r>
        <w:rPr>
          <w:highlight w:val="none"/>
        </w:rPr>
        <w:t>，约为</w:t>
      </w:r>
      <w:r>
        <w:rPr>
          <w:rFonts w:hint="eastAsia"/>
          <w:highlight w:val="none"/>
        </w:rPr>
        <w:t>7529.85</w:t>
      </w:r>
      <w:r>
        <w:rPr>
          <w:highlight w:val="none"/>
        </w:rPr>
        <w:t>万元。</w:t>
      </w:r>
    </w:p>
    <w:p w14:paraId="32C83C4A">
      <w:pPr>
        <w:pStyle w:val="6"/>
        <w:numPr>
          <w:ilvl w:val="3"/>
          <w:numId w:val="19"/>
        </w:numPr>
        <w:bidi w:val="0"/>
      </w:pPr>
      <w:r>
        <w:t>贷款偿还</w:t>
      </w:r>
    </w:p>
    <w:p w14:paraId="2A0289A3">
      <w:pPr>
        <w:bidi w:val="0"/>
      </w:pPr>
      <w:r>
        <w:t>假设特许经营者除项目资本金外的项目资金全部通过国内银行贷款获取，贷款综合融资成本按照</w:t>
      </w:r>
      <w:r>
        <w:rPr>
          <w:rFonts w:hint="eastAsia"/>
          <w:lang w:val="en-US" w:eastAsia="zh-CN"/>
        </w:rPr>
        <w:t>5.00</w:t>
      </w:r>
      <w:r>
        <w:t>%进行计算。运营期开始，按照按期还本付息的方式进行贷款偿还，还款期为</w:t>
      </w:r>
      <w:r>
        <w:rPr>
          <w:rFonts w:hint="eastAsia"/>
          <w:lang w:val="en-US" w:eastAsia="zh-CN"/>
        </w:rPr>
        <w:t>30年</w:t>
      </w:r>
      <w:r>
        <w:t>。</w:t>
      </w:r>
    </w:p>
    <w:p w14:paraId="1A67FE55">
      <w:pPr>
        <w:pStyle w:val="6"/>
        <w:numPr>
          <w:ilvl w:val="3"/>
          <w:numId w:val="19"/>
        </w:numPr>
        <w:bidi w:val="0"/>
      </w:pPr>
      <w:r>
        <w:t>摊销费用</w:t>
      </w:r>
    </w:p>
    <w:p w14:paraId="6F0CC6C9">
      <w:pPr>
        <w:bidi w:val="0"/>
      </w:pPr>
      <w:r>
        <w:t>本项目摊销总额为项目总投资，采用直线摊销法在</w:t>
      </w:r>
      <w:r>
        <w:rPr>
          <w:rFonts w:hint="eastAsia"/>
          <w:lang w:val="en-US" w:eastAsia="zh-CN"/>
        </w:rPr>
        <w:t>特许经营</w:t>
      </w:r>
      <w:r>
        <w:t>期</w:t>
      </w:r>
      <w:r>
        <w:rPr>
          <w:rFonts w:hint="eastAsia"/>
          <w:lang w:eastAsia="zh-CN"/>
        </w:rPr>
        <w:t>35年</w:t>
      </w:r>
      <w:r>
        <w:t>内进行摊销，残值为</w:t>
      </w:r>
      <w:r>
        <w:rPr>
          <w:rFonts w:hint="eastAsia"/>
        </w:rPr>
        <w:t>5075.69</w:t>
      </w:r>
      <w:r>
        <w:rPr>
          <w:rFonts w:hint="eastAsia"/>
          <w:lang w:val="en-US" w:eastAsia="zh-CN"/>
        </w:rPr>
        <w:t>万元</w:t>
      </w:r>
      <w:r>
        <w:t>。</w:t>
      </w:r>
    </w:p>
    <w:p w14:paraId="04418590">
      <w:pPr>
        <w:pStyle w:val="6"/>
        <w:numPr>
          <w:ilvl w:val="3"/>
          <w:numId w:val="19"/>
        </w:numPr>
        <w:bidi w:val="0"/>
      </w:pPr>
      <w:r>
        <w:t>税收</w:t>
      </w:r>
    </w:p>
    <w:p w14:paraId="534E223E">
      <w:pPr>
        <w:numPr>
          <w:ilvl w:val="0"/>
          <w:numId w:val="20"/>
        </w:numPr>
        <w:bidi w:val="0"/>
        <w:ind w:left="0" w:leftChars="0" w:firstLine="560" w:firstLineChars="200"/>
      </w:pPr>
      <w:r>
        <w:t>增值税</w:t>
      </w:r>
    </w:p>
    <w:p w14:paraId="3EB5327B">
      <w:pPr>
        <w:bidi w:val="0"/>
      </w:pPr>
      <w:r>
        <w:t>按照《中华人民共和国增值税暂行条例》（2016年修订版）及国家增值税相关政策规定，</w:t>
      </w:r>
      <w:r>
        <w:rPr>
          <w:rFonts w:hint="eastAsia"/>
          <w:lang w:val="en-US" w:eastAsia="zh-CN"/>
        </w:rPr>
        <w:t>水库水面租赁租金</w:t>
      </w:r>
      <w:r>
        <w:t>适用增值税税率暂按</w:t>
      </w:r>
      <w:r>
        <w:rPr>
          <w:rFonts w:hint="eastAsia"/>
          <w:lang w:val="en-US" w:eastAsia="zh-CN"/>
        </w:rPr>
        <w:t>9</w:t>
      </w:r>
      <w:r>
        <w:t>%计</w:t>
      </w:r>
      <w:r>
        <w:rPr>
          <w:rFonts w:hint="eastAsia"/>
          <w:lang w:eastAsia="zh-CN"/>
        </w:rPr>
        <w:t>，</w:t>
      </w:r>
      <w:r>
        <w:t>其他外购材料、燃料及动力费依法计算相应的增值税。根据《国家税务总局关于印发增值税若干具体问题的规定的通知》（国税发〔1993〕154号）第一条规定，征税范围第（七）项，供应或开采未经加工的天然水（如水库供应农业灌溉用水，工厂自采地下水用于生产），不征收增值税，故本次水库农业灌溉用水和</w:t>
      </w:r>
      <w:r>
        <w:rPr>
          <w:rFonts w:hint="eastAsia"/>
          <w:lang w:eastAsia="zh-CN"/>
        </w:rPr>
        <w:t>原水供水</w:t>
      </w:r>
      <w:r>
        <w:t>销售收入免增值税。</w:t>
      </w:r>
    </w:p>
    <w:p w14:paraId="66446CFC">
      <w:pPr>
        <w:numPr>
          <w:ilvl w:val="0"/>
          <w:numId w:val="20"/>
        </w:numPr>
        <w:bidi w:val="0"/>
        <w:ind w:left="0" w:leftChars="0" w:firstLine="560" w:firstLineChars="200"/>
      </w:pPr>
      <w:r>
        <w:t>税金及附加</w:t>
      </w:r>
    </w:p>
    <w:p w14:paraId="11EBC730">
      <w:pPr>
        <w:bidi w:val="0"/>
      </w:pPr>
      <w:r>
        <w:t>《中华人民共和国城市维护建设税法》规定：</w:t>
      </w:r>
      <w:r>
        <w:rPr>
          <w:rFonts w:hint="eastAsia"/>
          <w:lang w:eastAsia="zh-CN"/>
        </w:rPr>
        <w:t>“</w:t>
      </w:r>
      <w:r>
        <w:t>第四条城市维护建设税税率如下：（一）纳税人所在地在市区的，税率为百分之七；（二）纳税人所在地在县城、乡镇的，税率为百分之五；（三）纳税人所在地不在市区、县城或者乡镇的，税率为百分之一。前款所称纳税人所在地</w:t>
      </w:r>
      <w:r>
        <w:rPr>
          <w:rFonts w:hint="eastAsia"/>
          <w:lang w:eastAsia="zh-CN"/>
        </w:rPr>
        <w:t>，</w:t>
      </w:r>
      <w:r>
        <w:t>是指纳税人住所地或者与纳税人生产经营活动相关的其他地点，具体地点由省、自治区、直辖市确定。</w:t>
      </w:r>
      <w:r>
        <w:rPr>
          <w:rFonts w:hint="eastAsia"/>
          <w:lang w:eastAsia="zh-CN"/>
        </w:rPr>
        <w:t>”</w:t>
      </w:r>
    </w:p>
    <w:p w14:paraId="1735C845">
      <w:pPr>
        <w:bidi w:val="0"/>
      </w:pPr>
      <w:r>
        <w:t>本项目所在地为</w:t>
      </w:r>
      <w:r>
        <w:rPr>
          <w:rFonts w:hint="eastAsia"/>
          <w:lang w:eastAsia="zh-CN"/>
        </w:rPr>
        <w:t>安居区</w:t>
      </w:r>
      <w:r>
        <w:t>，城市维护建设税税率为</w:t>
      </w:r>
      <w:r>
        <w:rPr>
          <w:rFonts w:hint="eastAsia"/>
          <w:lang w:val="en-US" w:eastAsia="zh-CN"/>
        </w:rPr>
        <w:t>7</w:t>
      </w:r>
      <w:r>
        <w:t>%。本项目教育费附加税率3%，地方教育附加税率2%。</w:t>
      </w:r>
    </w:p>
    <w:p w14:paraId="4B8C5FA3">
      <w:pPr>
        <w:numPr>
          <w:ilvl w:val="0"/>
          <w:numId w:val="20"/>
        </w:numPr>
        <w:bidi w:val="0"/>
        <w:ind w:left="0" w:leftChars="0" w:firstLine="560" w:firstLineChars="200"/>
      </w:pPr>
      <w:r>
        <w:t>所得税</w:t>
      </w:r>
    </w:p>
    <w:p w14:paraId="22793537">
      <w:pPr>
        <w:bidi w:val="0"/>
        <w:rPr>
          <w:rFonts w:hint="eastAsia" w:eastAsia="仿宋"/>
          <w:lang w:eastAsia="zh-CN"/>
        </w:rPr>
      </w:pPr>
      <w:r>
        <w:t>根据《中华人民共和国企业所得税法》，本次所得税税率按25%计</w:t>
      </w:r>
      <w:r>
        <w:rPr>
          <w:rFonts w:hint="eastAsia"/>
          <w:lang w:eastAsia="zh-CN"/>
        </w:rPr>
        <w:t>。</w:t>
      </w:r>
    </w:p>
    <w:p w14:paraId="1AA0ABBB">
      <w:pPr>
        <w:pStyle w:val="6"/>
        <w:numPr>
          <w:ilvl w:val="3"/>
          <w:numId w:val="19"/>
        </w:numPr>
        <w:bidi w:val="0"/>
      </w:pPr>
      <w:r>
        <w:t>公积金计提</w:t>
      </w:r>
    </w:p>
    <w:p w14:paraId="5E7F1B9C">
      <w:pPr>
        <w:bidi w:val="0"/>
      </w:pPr>
      <w:r>
        <w:t>根据《中华人民共和国公司法》规定，特许经营者分配税后利润前</w:t>
      </w:r>
      <w:r>
        <w:rPr>
          <w:rFonts w:hint="eastAsia"/>
          <w:lang w:eastAsia="zh-CN"/>
        </w:rPr>
        <w:t>，</w:t>
      </w:r>
      <w:r>
        <w:t>应当提取净利润的10%列入特许经营者法定盈余公积金，计提的法定盈余公积累计达到注册资本的50%时，不再提取。本项目财务测算中，暂不</w:t>
      </w:r>
      <w:r>
        <w:rPr>
          <w:rFonts w:hint="eastAsia"/>
          <w:lang w:eastAsia="zh-CN"/>
        </w:rPr>
        <w:t>考虑任何盈余</w:t>
      </w:r>
      <w:r>
        <w:t>公积金。</w:t>
      </w:r>
    </w:p>
    <w:p w14:paraId="60931429">
      <w:pPr>
        <w:pStyle w:val="5"/>
        <w:numPr>
          <w:ilvl w:val="2"/>
          <w:numId w:val="18"/>
        </w:numPr>
        <w:bidi w:val="0"/>
        <w:ind w:left="0" w:firstLine="402"/>
        <w:rPr>
          <w:rFonts w:ascii="Arial" w:hAnsi="Arial"/>
        </w:rPr>
      </w:pPr>
      <w:bookmarkStart w:id="70" w:name="bookmark45"/>
      <w:bookmarkEnd w:id="70"/>
      <w:r>
        <w:rPr>
          <w:rFonts w:ascii="Arial" w:hAnsi="Arial"/>
        </w:rPr>
        <w:t>收入预测</w:t>
      </w:r>
    </w:p>
    <w:p w14:paraId="01328E75">
      <w:pPr>
        <w:pStyle w:val="6"/>
        <w:numPr>
          <w:ilvl w:val="3"/>
          <w:numId w:val="21"/>
        </w:numPr>
        <w:bidi w:val="0"/>
      </w:pPr>
      <w:r>
        <w:t>原水供水销售收入</w:t>
      </w:r>
    </w:p>
    <w:p w14:paraId="2FCB2398">
      <w:pPr>
        <w:bidi w:val="0"/>
      </w:pPr>
      <w:r>
        <w:t>原水销售价格：根据</w:t>
      </w:r>
      <w:r>
        <w:rPr>
          <w:highlight w:val="none"/>
        </w:rPr>
        <w:t>《</w:t>
      </w:r>
      <w:r>
        <w:rPr>
          <w:rFonts w:hint="eastAsia"/>
          <w:highlight w:val="none"/>
          <w:lang w:eastAsia="zh-CN"/>
        </w:rPr>
        <w:t>安居区</w:t>
      </w:r>
      <w:r>
        <w:rPr>
          <w:highlight w:val="none"/>
        </w:rPr>
        <w:t>发展和改革局</w:t>
      </w:r>
      <w:r>
        <w:rPr>
          <w:rFonts w:hint="eastAsia"/>
          <w:highlight w:val="none"/>
          <w:lang w:eastAsia="zh-CN"/>
        </w:rPr>
        <w:t>〈</w:t>
      </w:r>
      <w:r>
        <w:rPr>
          <w:highlight w:val="none"/>
        </w:rPr>
        <w:t>关于核定</w:t>
      </w:r>
      <w:r>
        <w:rPr>
          <w:rFonts w:hint="eastAsia"/>
          <w:highlight w:val="none"/>
          <w:lang w:eastAsia="zh-CN"/>
        </w:rPr>
        <w:t>安居区麻子滩等13座水库</w:t>
      </w:r>
      <w:r>
        <w:rPr>
          <w:highlight w:val="none"/>
        </w:rPr>
        <w:t>用水价格</w:t>
      </w:r>
      <w:r>
        <w:rPr>
          <w:rFonts w:hint="eastAsia"/>
          <w:highlight w:val="none"/>
          <w:lang w:eastAsia="zh-CN"/>
        </w:rPr>
        <w:t>〉</w:t>
      </w:r>
      <w:r>
        <w:rPr>
          <w:highlight w:val="none"/>
        </w:rPr>
        <w:t>的通知》</w:t>
      </w:r>
      <w:r>
        <w:t>，原水销售价格为0.</w:t>
      </w:r>
      <w:r>
        <w:rPr>
          <w:rFonts w:hint="eastAsia"/>
          <w:lang w:val="en-US" w:eastAsia="zh-CN"/>
        </w:rPr>
        <w:t>8</w:t>
      </w:r>
      <w:r>
        <w:t>元/立方米。</w:t>
      </w:r>
    </w:p>
    <w:p w14:paraId="6EC4C5C9">
      <w:pPr>
        <w:bidi w:val="0"/>
      </w:pPr>
      <w:r>
        <w:t>原水销售价格增长率：综合考虑物价上涨、项目运营成本上升等因素</w:t>
      </w:r>
      <w:r>
        <w:rPr>
          <w:rFonts w:hint="eastAsia"/>
          <w:lang w:eastAsia="zh-CN"/>
        </w:rPr>
        <w:t>，</w:t>
      </w:r>
      <w:r>
        <w:t>按照每</w:t>
      </w:r>
      <w:r>
        <w:rPr>
          <w:rFonts w:hint="eastAsia"/>
          <w:lang w:val="en-US" w:eastAsia="zh-CN"/>
        </w:rPr>
        <w:t>10</w:t>
      </w:r>
      <w:r>
        <w:t>年增长</w:t>
      </w:r>
      <w:r>
        <w:rPr>
          <w:rFonts w:hint="eastAsia"/>
          <w:lang w:val="en-US" w:eastAsia="zh-CN"/>
        </w:rPr>
        <w:t>5</w:t>
      </w:r>
      <w:r>
        <w:t>%计算。</w:t>
      </w:r>
    </w:p>
    <w:p w14:paraId="69B7E7A0">
      <w:pPr>
        <w:bidi w:val="0"/>
      </w:pPr>
      <w:r>
        <w:t>年原水销售量：年原水销售量</w:t>
      </w:r>
      <w:r>
        <w:rPr>
          <w:rFonts w:hint="eastAsia"/>
          <w:lang w:val="en-US" w:eastAsia="zh-CN"/>
        </w:rPr>
        <w:t>根据</w:t>
      </w:r>
      <w:r>
        <w:t>取水单位</w:t>
      </w:r>
      <w:r>
        <w:rPr>
          <w:rFonts w:hint="eastAsia"/>
          <w:lang w:val="en-US" w:eastAsia="zh-CN"/>
        </w:rPr>
        <w:t>年供水规模以及</w:t>
      </w:r>
      <w:r>
        <w:t>在各水库取水量</w:t>
      </w:r>
      <w:r>
        <w:rPr>
          <w:rFonts w:hint="eastAsia"/>
          <w:lang w:val="en-US" w:eastAsia="zh-CN"/>
        </w:rPr>
        <w:t>测算，</w:t>
      </w:r>
      <w:r>
        <w:t>各水库年取水量合计</w:t>
      </w:r>
      <w:r>
        <w:rPr>
          <w:rFonts w:hint="eastAsia"/>
          <w:highlight w:val="none"/>
          <w:lang w:val="en-US" w:eastAsia="zh-CN"/>
        </w:rPr>
        <w:t>1640.35</w:t>
      </w:r>
      <w:r>
        <w:t>万立方米。</w:t>
      </w:r>
    </w:p>
    <w:p w14:paraId="78CA4E4E">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三</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水库原水年供水量</w:t>
      </w:r>
    </w:p>
    <w:tbl>
      <w:tblPr>
        <w:tblStyle w:val="15"/>
        <w:tblW w:w="499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81"/>
        <w:gridCol w:w="1851"/>
        <w:gridCol w:w="1527"/>
        <w:gridCol w:w="1741"/>
        <w:gridCol w:w="2187"/>
      </w:tblGrid>
      <w:tr w14:paraId="2F6A2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F131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水库</w:t>
            </w:r>
          </w:p>
        </w:tc>
        <w:tc>
          <w:tcPr>
            <w:tcW w:w="10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8A2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涉及水厂</w:t>
            </w:r>
          </w:p>
        </w:tc>
        <w:tc>
          <w:tcPr>
            <w:tcW w:w="8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861F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lang w:val="en-US" w:eastAsia="zh-CN"/>
              </w:rPr>
            </w:pPr>
            <w:r>
              <w:rPr>
                <w:rFonts w:hint="eastAsia" w:ascii="仿宋" w:hAnsi="仿宋" w:eastAsia="仿宋" w:cs="仿宋"/>
                <w:b/>
                <w:bCs/>
                <w:spacing w:val="-3"/>
                <w:sz w:val="20"/>
                <w:szCs w:val="20"/>
                <w:lang w:val="en-US" w:eastAsia="zh-CN"/>
              </w:rPr>
              <w:t>供水规模</w:t>
            </w:r>
          </w:p>
          <w:p w14:paraId="6061D68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cs="仿宋"/>
                <w:b/>
                <w:bCs/>
                <w:spacing w:val="-3"/>
                <w:sz w:val="20"/>
                <w:szCs w:val="20"/>
                <w:lang w:val="en-US" w:eastAsia="zh-CN"/>
              </w:rPr>
              <w:t>（</w:t>
            </w:r>
            <w:r>
              <w:rPr>
                <w:rFonts w:hint="eastAsia" w:ascii="仿宋" w:hAnsi="仿宋" w:eastAsia="仿宋" w:cs="仿宋"/>
                <w:b/>
                <w:bCs/>
                <w:spacing w:val="-3"/>
                <w:sz w:val="20"/>
                <w:szCs w:val="20"/>
                <w:lang w:val="en-US" w:eastAsia="zh-CN"/>
              </w:rPr>
              <w:t>万m³/年）</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6BB8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产水率</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8DE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原水取水量</w:t>
            </w:r>
          </w:p>
        </w:tc>
      </w:tr>
      <w:tr w14:paraId="00AEF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549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麻子滩水库</w:t>
            </w:r>
          </w:p>
        </w:tc>
        <w:tc>
          <w:tcPr>
            <w:tcW w:w="10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B31D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毗卢寺水厂</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E17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547.5</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6B4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85.00%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0BA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644.12</w:t>
            </w:r>
          </w:p>
        </w:tc>
      </w:tr>
      <w:tr w14:paraId="623C16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795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新生水库</w:t>
            </w:r>
          </w:p>
        </w:tc>
        <w:tc>
          <w:tcPr>
            <w:tcW w:w="10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516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新生水厂</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BA9B7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554.8</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B2C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85.00%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AF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652.71</w:t>
            </w:r>
          </w:p>
        </w:tc>
      </w:tr>
      <w:tr w14:paraId="42D96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9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E0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狮子湾水库</w:t>
            </w:r>
          </w:p>
        </w:tc>
        <w:tc>
          <w:tcPr>
            <w:tcW w:w="10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46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仿宋" w:hAnsi="仿宋" w:eastAsia="仿宋" w:cs="仿宋"/>
                <w:b w:val="0"/>
                <w:bCs w:val="0"/>
                <w:spacing w:val="-3"/>
                <w:sz w:val="20"/>
                <w:szCs w:val="20"/>
              </w:rPr>
            </w:pPr>
            <w:r>
              <w:rPr>
                <w:rFonts w:ascii="仿宋" w:hAnsi="仿宋" w:eastAsia="仿宋" w:cs="仿宋"/>
                <w:b w:val="0"/>
                <w:bCs w:val="0"/>
                <w:spacing w:val="-3"/>
                <w:sz w:val="20"/>
                <w:szCs w:val="20"/>
                <w:lang w:val="en-US" w:eastAsia="zh-CN"/>
              </w:rPr>
              <w:t>狮子湾水厂</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22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292</w:t>
            </w:r>
          </w:p>
        </w:tc>
        <w:tc>
          <w:tcPr>
            <w:tcW w:w="95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7A0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85.00%</w:t>
            </w: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221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val="0"/>
                <w:bCs w:val="0"/>
                <w:spacing w:val="-3"/>
                <w:sz w:val="20"/>
                <w:szCs w:val="20"/>
              </w:rPr>
            </w:pPr>
            <w:r>
              <w:rPr>
                <w:rFonts w:hint="eastAsia" w:ascii="仿宋" w:hAnsi="仿宋" w:eastAsia="仿宋" w:cs="仿宋"/>
                <w:b w:val="0"/>
                <w:bCs w:val="0"/>
                <w:spacing w:val="-3"/>
                <w:sz w:val="20"/>
                <w:szCs w:val="20"/>
                <w:lang w:val="en-US" w:eastAsia="zh-CN"/>
              </w:rPr>
              <w:t>343.53</w:t>
            </w:r>
          </w:p>
        </w:tc>
      </w:tr>
      <w:tr w14:paraId="5E08D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998"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7D1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合计</w:t>
            </w:r>
          </w:p>
        </w:tc>
        <w:tc>
          <w:tcPr>
            <w:tcW w:w="84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14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1394.30</w:t>
            </w:r>
          </w:p>
        </w:tc>
        <w:tc>
          <w:tcPr>
            <w:tcW w:w="9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F9C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p>
        </w:tc>
        <w:tc>
          <w:tcPr>
            <w:tcW w:w="12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F0C6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仿宋" w:hAnsi="仿宋" w:eastAsia="仿宋" w:cs="仿宋"/>
                <w:b/>
                <w:bCs/>
                <w:spacing w:val="-3"/>
                <w:sz w:val="20"/>
                <w:szCs w:val="20"/>
              </w:rPr>
            </w:pPr>
            <w:r>
              <w:rPr>
                <w:rFonts w:hint="eastAsia" w:ascii="仿宋" w:hAnsi="仿宋" w:eastAsia="仿宋" w:cs="仿宋"/>
                <w:b/>
                <w:bCs/>
                <w:spacing w:val="-3"/>
                <w:sz w:val="20"/>
                <w:szCs w:val="20"/>
                <w:lang w:val="en-US" w:eastAsia="zh-CN"/>
              </w:rPr>
              <w:t>1640.35</w:t>
            </w:r>
          </w:p>
        </w:tc>
      </w:tr>
    </w:tbl>
    <w:p w14:paraId="2B84379C">
      <w:pPr>
        <w:spacing w:line="122" w:lineRule="exact"/>
        <w:ind w:left="0" w:leftChars="0" w:firstLine="0" w:firstLineChars="0"/>
      </w:pPr>
    </w:p>
    <w:p w14:paraId="7C47FED6">
      <w:pPr>
        <w:bidi w:val="0"/>
      </w:pPr>
      <w:r>
        <w:rPr>
          <w:rFonts w:hint="eastAsia"/>
          <w:lang w:val="en-US" w:eastAsia="zh-CN"/>
        </w:rPr>
        <w:t>贷款</w:t>
      </w:r>
      <w:r>
        <w:t>运营期内</w:t>
      </w:r>
      <w:r>
        <w:rPr>
          <w:rFonts w:hint="eastAsia"/>
          <w:lang w:eastAsia="zh-CN"/>
        </w:rPr>
        <w:t>原水供水</w:t>
      </w:r>
      <w:r>
        <w:t>销售收入合计</w:t>
      </w:r>
      <w:r>
        <w:rPr>
          <w:rFonts w:hint="eastAsia"/>
          <w:lang w:eastAsia="zh-CN"/>
        </w:rPr>
        <w:t>41369.70</w:t>
      </w:r>
      <w:r>
        <w:t>万元。</w:t>
      </w:r>
    </w:p>
    <w:p w14:paraId="1B5C80FC">
      <w:pPr>
        <w:pStyle w:val="6"/>
        <w:numPr>
          <w:ilvl w:val="3"/>
          <w:numId w:val="21"/>
        </w:numPr>
        <w:bidi w:val="0"/>
      </w:pPr>
      <w:r>
        <w:t>农业灌溉用水销售收入</w:t>
      </w:r>
    </w:p>
    <w:p w14:paraId="62F84497">
      <w:pPr>
        <w:numPr>
          <w:ilvl w:val="0"/>
          <w:numId w:val="22"/>
        </w:numPr>
        <w:bidi w:val="0"/>
        <w:ind w:left="0" w:leftChars="0" w:firstLine="560" w:firstLineChars="200"/>
        <w:rPr>
          <w:highlight w:val="none"/>
        </w:rPr>
      </w:pPr>
      <w:r>
        <w:rPr>
          <w:highlight w:val="none"/>
        </w:rPr>
        <w:t>农业灌溉水价：根据《</w:t>
      </w:r>
      <w:r>
        <w:rPr>
          <w:rFonts w:hint="eastAsia"/>
          <w:highlight w:val="none"/>
          <w:lang w:eastAsia="zh-CN"/>
        </w:rPr>
        <w:t>安居区</w:t>
      </w:r>
      <w:r>
        <w:rPr>
          <w:highlight w:val="none"/>
        </w:rPr>
        <w:t>发展和改革局</w:t>
      </w:r>
      <w:r>
        <w:rPr>
          <w:rFonts w:hint="eastAsia"/>
          <w:highlight w:val="none"/>
          <w:lang w:eastAsia="zh-CN"/>
        </w:rPr>
        <w:t>〈</w:t>
      </w:r>
      <w:r>
        <w:rPr>
          <w:rFonts w:hint="eastAsia"/>
          <w:highlight w:val="none"/>
        </w:rPr>
        <w:t>遂宁市安居区发展和改革局关于农业水价综合改革项目区农业用水价格</w:t>
      </w:r>
      <w:r>
        <w:rPr>
          <w:rFonts w:hint="eastAsia"/>
          <w:highlight w:val="none"/>
          <w:lang w:eastAsia="zh-CN"/>
        </w:rPr>
        <w:t>〉（遂安发改〔2019〕60号）</w:t>
      </w:r>
      <w:r>
        <w:rPr>
          <w:highlight w:val="none"/>
        </w:rPr>
        <w:t>的通知》，</w:t>
      </w:r>
      <w:r>
        <w:rPr>
          <w:rFonts w:hint="eastAsia"/>
          <w:highlight w:val="none"/>
        </w:rPr>
        <w:t>水稻、小麦、玉米、油菜等粮油作物在用水定额内</w:t>
      </w:r>
      <w:r>
        <w:rPr>
          <w:rFonts w:hint="eastAsia"/>
          <w:highlight w:val="none"/>
          <w:lang w:eastAsia="zh-CN"/>
        </w:rPr>
        <w:t>，</w:t>
      </w:r>
      <w:r>
        <w:rPr>
          <w:rFonts w:hint="eastAsia"/>
          <w:highlight w:val="none"/>
        </w:rPr>
        <w:t>骨干工程供水价格为每立方米0.10元，末级渠系供水价格为每立方米0.05元，执行农业供水终端价格每立方米0.15元。经济作物、养殖业</w:t>
      </w:r>
      <w:r>
        <w:rPr>
          <w:rFonts w:hint="eastAsia"/>
          <w:highlight w:val="none"/>
          <w:lang w:eastAsia="zh-CN"/>
        </w:rPr>
        <w:t>和其他用水</w:t>
      </w:r>
      <w:r>
        <w:rPr>
          <w:rFonts w:hint="eastAsia"/>
          <w:highlight w:val="none"/>
        </w:rPr>
        <w:t>在用水定额内，</w:t>
      </w:r>
      <w:r>
        <w:rPr>
          <w:rFonts w:hint="eastAsia"/>
          <w:highlight w:val="none"/>
          <w:lang w:eastAsia="zh-CN"/>
        </w:rPr>
        <w:t>骨干</w:t>
      </w:r>
      <w:r>
        <w:rPr>
          <w:rFonts w:hint="eastAsia"/>
          <w:highlight w:val="none"/>
        </w:rPr>
        <w:t>工程供水价格为每立方米0.12元，</w:t>
      </w:r>
      <w:r>
        <w:rPr>
          <w:rFonts w:hint="eastAsia"/>
          <w:highlight w:val="none"/>
          <w:lang w:eastAsia="zh-CN"/>
        </w:rPr>
        <w:t>末级渠系</w:t>
      </w:r>
      <w:r>
        <w:rPr>
          <w:rFonts w:hint="eastAsia"/>
          <w:highlight w:val="none"/>
        </w:rPr>
        <w:t>供水价格为每立方米0.06元，执行农业供水终端价格每立方米0.18元</w:t>
      </w:r>
      <w:r>
        <w:rPr>
          <w:rFonts w:hint="eastAsia"/>
          <w:highlight w:val="none"/>
          <w:lang w:eastAsia="zh-CN"/>
        </w:rPr>
        <w:t>。</w:t>
      </w:r>
      <w:r>
        <w:rPr>
          <w:rFonts w:hint="eastAsia"/>
          <w:highlight w:val="none"/>
          <w:lang w:val="en-US" w:eastAsia="zh-CN"/>
        </w:rPr>
        <w:t>本项目粮油作物</w:t>
      </w:r>
      <w:r>
        <w:rPr>
          <w:highlight w:val="none"/>
        </w:rPr>
        <w:t>灌溉用水价格</w:t>
      </w:r>
      <w:r>
        <w:rPr>
          <w:rFonts w:hint="eastAsia"/>
          <w:highlight w:val="none"/>
          <w:lang w:val="en-US" w:eastAsia="zh-CN"/>
        </w:rPr>
        <w:t>按</w:t>
      </w:r>
      <w:r>
        <w:rPr>
          <w:rFonts w:hint="eastAsia"/>
          <w:highlight w:val="none"/>
        </w:rPr>
        <w:t>0.15</w:t>
      </w:r>
      <w:r>
        <w:rPr>
          <w:highlight w:val="none"/>
        </w:rPr>
        <w:t>元/立方米</w:t>
      </w:r>
      <w:r>
        <w:rPr>
          <w:rFonts w:hint="eastAsia"/>
          <w:highlight w:val="none"/>
          <w:lang w:val="en-US" w:eastAsia="zh-CN"/>
        </w:rPr>
        <w:t>计取</w:t>
      </w:r>
      <w:r>
        <w:rPr>
          <w:rFonts w:hint="eastAsia"/>
          <w:highlight w:val="none"/>
          <w:lang w:eastAsia="zh-CN"/>
        </w:rPr>
        <w:t>，</w:t>
      </w:r>
      <w:r>
        <w:rPr>
          <w:rFonts w:hint="eastAsia"/>
          <w:highlight w:val="none"/>
          <w:lang w:val="en-US" w:eastAsia="zh-CN"/>
        </w:rPr>
        <w:t>经济作物</w:t>
      </w:r>
      <w:r>
        <w:rPr>
          <w:rFonts w:hint="eastAsia"/>
          <w:highlight w:val="none"/>
          <w:lang w:eastAsia="zh-CN"/>
        </w:rPr>
        <w:t>灌溉用水价格</w:t>
      </w:r>
      <w:r>
        <w:rPr>
          <w:rFonts w:hint="eastAsia"/>
          <w:highlight w:val="none"/>
          <w:lang w:val="en-US" w:eastAsia="zh-CN"/>
        </w:rPr>
        <w:t>按</w:t>
      </w:r>
      <w:r>
        <w:rPr>
          <w:rFonts w:hint="eastAsia"/>
          <w:highlight w:val="none"/>
          <w:lang w:eastAsia="zh-CN"/>
        </w:rPr>
        <w:t>0.1</w:t>
      </w:r>
      <w:r>
        <w:rPr>
          <w:rFonts w:hint="eastAsia"/>
          <w:highlight w:val="none"/>
          <w:lang w:val="en-US" w:eastAsia="zh-CN"/>
        </w:rPr>
        <w:t>8</w:t>
      </w:r>
      <w:r>
        <w:rPr>
          <w:rFonts w:hint="eastAsia"/>
          <w:highlight w:val="none"/>
          <w:lang w:eastAsia="zh-CN"/>
        </w:rPr>
        <w:t>元/立方米</w:t>
      </w:r>
      <w:r>
        <w:rPr>
          <w:rFonts w:hint="eastAsia"/>
          <w:highlight w:val="none"/>
          <w:lang w:val="en-US" w:eastAsia="zh-CN"/>
        </w:rPr>
        <w:t>计取</w:t>
      </w:r>
      <w:r>
        <w:rPr>
          <w:highlight w:val="none"/>
        </w:rPr>
        <w:t>。</w:t>
      </w:r>
    </w:p>
    <w:p w14:paraId="3ED4C6E5">
      <w:pPr>
        <w:numPr>
          <w:ilvl w:val="0"/>
          <w:numId w:val="22"/>
        </w:numPr>
        <w:bidi w:val="0"/>
        <w:ind w:left="0" w:leftChars="0" w:firstLine="560" w:firstLineChars="200"/>
        <w:rPr>
          <w:rFonts w:hint="default"/>
          <w:highlight w:val="none"/>
          <w:lang w:val="en-US" w:eastAsia="zh-CN"/>
        </w:rPr>
      </w:pPr>
      <w:r>
        <w:rPr>
          <w:highlight w:val="none"/>
        </w:rPr>
        <w:t>农业灌溉水价增长率</w:t>
      </w:r>
      <w:r>
        <w:rPr>
          <w:rFonts w:hint="eastAsia"/>
          <w:highlight w:val="none"/>
          <w:lang w:eastAsia="zh-CN"/>
        </w:rPr>
        <w:t>：综</w:t>
      </w:r>
      <w:r>
        <w:rPr>
          <w:highlight w:val="none"/>
        </w:rPr>
        <w:t>合考虑物价上涨、项目运营成本上升等因素</w:t>
      </w:r>
      <w:r>
        <w:rPr>
          <w:rFonts w:hint="eastAsia"/>
          <w:highlight w:val="none"/>
          <w:lang w:eastAsia="zh-CN"/>
        </w:rPr>
        <w:t>，</w:t>
      </w:r>
      <w:r>
        <w:rPr>
          <w:highlight w:val="none"/>
        </w:rPr>
        <w:t>水价按照每</w:t>
      </w:r>
      <w:r>
        <w:rPr>
          <w:rFonts w:hint="eastAsia"/>
          <w:highlight w:val="none"/>
          <w:lang w:val="en-US" w:eastAsia="zh-CN"/>
        </w:rPr>
        <w:t>10</w:t>
      </w:r>
      <w:r>
        <w:rPr>
          <w:highlight w:val="none"/>
        </w:rPr>
        <w:t>年增长</w:t>
      </w:r>
      <w:r>
        <w:rPr>
          <w:rFonts w:hint="eastAsia"/>
          <w:highlight w:val="none"/>
          <w:lang w:val="en-US" w:eastAsia="zh-CN"/>
        </w:rPr>
        <w:t>5</w:t>
      </w:r>
      <w:r>
        <w:rPr>
          <w:highlight w:val="none"/>
        </w:rPr>
        <w:t>%计算。</w:t>
      </w:r>
    </w:p>
    <w:p w14:paraId="1FD9C493">
      <w:pPr>
        <w:numPr>
          <w:ilvl w:val="0"/>
          <w:numId w:val="22"/>
        </w:numPr>
        <w:bidi w:val="0"/>
        <w:ind w:left="0" w:leftChars="0" w:firstLine="560" w:firstLineChars="200"/>
        <w:rPr>
          <w:rFonts w:hint="eastAsia"/>
          <w:highlight w:val="none"/>
          <w:lang w:val="en-US" w:eastAsia="zh-CN"/>
        </w:rPr>
      </w:pPr>
      <w:r>
        <w:rPr>
          <w:highlight w:val="none"/>
        </w:rPr>
        <w:t>农业灌溉</w:t>
      </w:r>
      <w:r>
        <w:rPr>
          <w:rFonts w:hint="eastAsia"/>
          <w:highlight w:val="none"/>
          <w:lang w:val="en-US" w:eastAsia="zh-CN"/>
        </w:rPr>
        <w:t>面积</w:t>
      </w:r>
      <w:r>
        <w:rPr>
          <w:highlight w:val="none"/>
        </w:rPr>
        <w:t>：</w:t>
      </w:r>
      <w:r>
        <w:rPr>
          <w:rFonts w:hint="eastAsia"/>
          <w:highlight w:val="none"/>
          <w:lang w:val="en-US" w:eastAsia="zh-CN"/>
        </w:rPr>
        <w:t>根据《</w:t>
      </w:r>
      <w:r>
        <w:rPr>
          <w:highlight w:val="none"/>
        </w:rPr>
        <w:t>202</w:t>
      </w:r>
      <w:r>
        <w:rPr>
          <w:rFonts w:hint="eastAsia"/>
          <w:highlight w:val="none"/>
          <w:lang w:val="en-US" w:eastAsia="zh-CN"/>
        </w:rPr>
        <w:t>2</w:t>
      </w:r>
      <w:r>
        <w:rPr>
          <w:highlight w:val="none"/>
        </w:rPr>
        <w:t>年遂宁市安居区国民经济和社会发展统计公报</w:t>
      </w:r>
      <w:r>
        <w:rPr>
          <w:rFonts w:hint="eastAsia"/>
          <w:highlight w:val="none"/>
          <w:lang w:val="en-US" w:eastAsia="zh-CN"/>
        </w:rPr>
        <w:t>》</w:t>
      </w:r>
      <w:r>
        <w:rPr>
          <w:rStyle w:val="23"/>
          <w:rFonts w:hint="eastAsia"/>
          <w:highlight w:val="none"/>
          <w:lang w:val="en-US" w:eastAsia="zh-CN"/>
        </w:rPr>
        <w:footnoteReference w:id="0"/>
      </w:r>
      <w:r>
        <w:rPr>
          <w:rFonts w:hint="eastAsia"/>
          <w:highlight w:val="none"/>
          <w:lang w:val="en-US" w:eastAsia="zh-CN"/>
        </w:rPr>
        <w:t>披露，安居区2022年全年粮食作物种植面积为7.84万公顷（117.60万亩），经济作物种植面积为3.01万公顷（45.15万亩）</w:t>
      </w:r>
      <w:r>
        <w:rPr>
          <w:highlight w:val="none"/>
        </w:rPr>
        <w:t>。</w:t>
      </w:r>
      <w:r>
        <w:rPr>
          <w:rFonts w:hint="eastAsia"/>
          <w:highlight w:val="none"/>
          <w:lang w:val="en-US" w:eastAsia="zh-CN"/>
        </w:rPr>
        <w:t>项目运营期第一年灌溉面积按全区种植面积的10%计取，第二年灌溉面积按全区种植面积的15%计取，第三年开始后续为达产年，项目灌溉面积按全区种植面积的20%计取。</w:t>
      </w:r>
    </w:p>
    <w:p w14:paraId="4C8295E6">
      <w:pPr>
        <w:numPr>
          <w:ilvl w:val="0"/>
          <w:numId w:val="22"/>
        </w:numPr>
        <w:bidi w:val="0"/>
        <w:ind w:left="0" w:leftChars="0" w:firstLine="560" w:firstLineChars="200"/>
        <w:rPr>
          <w:highlight w:val="none"/>
        </w:rPr>
      </w:pPr>
      <w:r>
        <w:rPr>
          <w:rFonts w:hint="eastAsia"/>
          <w:highlight w:val="none"/>
        </w:rPr>
        <w:t>每亩</w:t>
      </w:r>
      <w:r>
        <w:rPr>
          <w:rFonts w:hint="eastAsia"/>
          <w:highlight w:val="none"/>
          <w:lang w:val="en-US" w:eastAsia="zh-CN"/>
        </w:rPr>
        <w:t>用</w:t>
      </w:r>
      <w:r>
        <w:rPr>
          <w:rFonts w:hint="eastAsia"/>
          <w:highlight w:val="none"/>
        </w:rPr>
        <w:t>水量</w:t>
      </w:r>
      <w:r>
        <w:rPr>
          <w:rFonts w:hint="eastAsia"/>
          <w:highlight w:val="none"/>
          <w:lang w:eastAsia="zh-CN"/>
        </w:rPr>
        <w:t>：</w:t>
      </w:r>
      <w:r>
        <w:rPr>
          <w:rFonts w:hint="eastAsia"/>
          <w:highlight w:val="none"/>
          <w:lang w:val="en-US" w:eastAsia="zh-CN"/>
        </w:rPr>
        <w:t>每亩农作物灌溉用水量参照《四川省用水定额》，遂宁安居区属于盆中丘陵区Ⅱ区，粮食作物（粮油等）每亩灌溉用水量定额为43—350m³/亩，经济作物（果蔬等）每亩灌溉用水量定额为50—480m³/亩。基于谨慎性原则，本项目粮油作物每亩灌溉用水量取值为130.00m³/亩，经济作物每亩灌溉用水量取值为160.00m³/亩。</w:t>
      </w:r>
    </w:p>
    <w:p w14:paraId="0903093D">
      <w:pPr>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jc w:val="center"/>
        <w:textAlignment w:val="baseline"/>
        <w:rPr>
          <w:highlight w:val="none"/>
        </w:rPr>
      </w:pPr>
      <w:r>
        <w:rPr>
          <w:highlight w:val="none"/>
        </w:rPr>
        <w:drawing>
          <wp:inline distT="0" distB="0" distL="114300" distR="114300">
            <wp:extent cx="5148580" cy="3572510"/>
            <wp:effectExtent l="0" t="0" r="2540" b="1270"/>
            <wp:docPr id="1" name="图片 1" descr="1723798825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3798825533"/>
                    <pic:cNvPicPr>
                      <a:picLocks noChangeAspect="1"/>
                    </pic:cNvPicPr>
                  </pic:nvPicPr>
                  <pic:blipFill>
                    <a:blip r:embed="rId27"/>
                    <a:stretch>
                      <a:fillRect/>
                    </a:stretch>
                  </pic:blipFill>
                  <pic:spPr>
                    <a:xfrm>
                      <a:off x="0" y="0"/>
                      <a:ext cx="5148580" cy="3572510"/>
                    </a:xfrm>
                    <a:prstGeom prst="rect">
                      <a:avLst/>
                    </a:prstGeom>
                  </pic:spPr>
                </pic:pic>
              </a:graphicData>
            </a:graphic>
          </wp:inline>
        </w:drawing>
      </w:r>
    </w:p>
    <w:p w14:paraId="3F6448B1">
      <w:pPr>
        <w:pStyle w:val="7"/>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jc w:val="center"/>
        <w:textAlignment w:val="baseline"/>
        <w:rPr>
          <w:rFonts w:hint="eastAsia"/>
          <w:lang w:eastAsia="zh-CN"/>
        </w:rPr>
      </w:pPr>
      <w:r>
        <w:t>图表</w:t>
      </w:r>
      <w:r>
        <w:fldChar w:fldCharType="begin"/>
      </w:r>
      <w:r>
        <w:instrText xml:space="preserve"> STYLEREF 2 \s </w:instrText>
      </w:r>
      <w:r>
        <w:fldChar w:fldCharType="separate"/>
      </w:r>
      <w:r>
        <w:t>三</w:t>
      </w:r>
      <w:r>
        <w:fldChar w:fldCharType="end"/>
      </w:r>
      <w:r>
        <w:rPr>
          <w:rFonts w:hint="eastAsia"/>
          <w:lang w:eastAsia="zh-CN"/>
        </w:rPr>
        <w:t>-</w:t>
      </w:r>
      <w:r>
        <w:fldChar w:fldCharType="begin"/>
      </w:r>
      <w:r>
        <w:instrText xml:space="preserve"> SEQ 图表 \* ARABIC \s 2 </w:instrText>
      </w:r>
      <w:r>
        <w:fldChar w:fldCharType="separate"/>
      </w:r>
      <w:r>
        <w:t>1</w:t>
      </w:r>
      <w:r>
        <w:fldChar w:fldCharType="end"/>
      </w:r>
      <w:r>
        <w:rPr>
          <w:rFonts w:hint="eastAsia"/>
          <w:lang w:eastAsia="zh-CN"/>
        </w:rPr>
        <w:t>四川省农业灌溉用水定额分区表</w:t>
      </w:r>
    </w:p>
    <w:p w14:paraId="5BFFE9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sz w:val="28"/>
        </w:rPr>
        <mc:AlternateContent>
          <mc:Choice Requires="wps">
            <w:drawing>
              <wp:anchor distT="0" distB="0" distL="114300" distR="114300" simplePos="0" relativeHeight="251659264" behindDoc="0" locked="0" layoutInCell="1" allowOverlap="1">
                <wp:simplePos x="0" y="0"/>
                <wp:positionH relativeFrom="column">
                  <wp:posOffset>3006090</wp:posOffset>
                </wp:positionH>
                <wp:positionV relativeFrom="paragraph">
                  <wp:posOffset>544195</wp:posOffset>
                </wp:positionV>
                <wp:extent cx="215900" cy="2721610"/>
                <wp:effectExtent l="6350" t="6350" r="6350" b="7620"/>
                <wp:wrapNone/>
                <wp:docPr id="3" name="矩形 3"/>
                <wp:cNvGraphicFramePr/>
                <a:graphic xmlns:a="http://schemas.openxmlformats.org/drawingml/2006/main">
                  <a:graphicData uri="http://schemas.microsoft.com/office/word/2010/wordprocessingShape">
                    <wps:wsp>
                      <wps:cNvSpPr/>
                      <wps:spPr>
                        <a:xfrm>
                          <a:off x="3966210" y="4085590"/>
                          <a:ext cx="215900" cy="2721610"/>
                        </a:xfrm>
                        <a:prstGeom prst="rect">
                          <a:avLst/>
                        </a:prstGeom>
                        <a:noFill/>
                        <a:ln w="12700">
                          <a:solidFill>
                            <a:srgbClr val="C0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7pt;margin-top:42.85pt;height:214.3pt;width:17pt;z-index:251659264;v-text-anchor:middle;mso-width-relative:page;mso-height-relative:page;" filled="f" stroked="t" coordsize="21600,21600" o:gfxdata="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Ibg4BdgAAAAKAQAADwAAAAAAAAABACAAAAAiAAAAZHJzL2Rvd25yZXYueG1sUEsB&#10;AhQAFAAAAAgAh07iQPFeSnpnAgAAwAQAAA4AAAAAAAAAAQAgAAAAJwEAAGRycy9lMm9Eb2MueG1s&#10;UEsFBgAAAAAGAAYAWQEAAAAGAAAAAA==&#10;">
                <v:fill on="f" focussize="0,0"/>
                <v:stroke weight="1pt" color="#C00000 [2404]" joinstyle="round"/>
                <v:imagedata o:title=""/>
                <o:lock v:ext="edit" aspectratio="f"/>
              </v:rect>
            </w:pict>
          </mc:Fallback>
        </mc:AlternateContent>
      </w:r>
      <w:r>
        <w:rPr>
          <w:rFonts w:hint="eastAsia"/>
          <w:lang w:eastAsia="zh-CN"/>
        </w:rPr>
        <w:drawing>
          <wp:inline distT="0" distB="0" distL="114300" distR="114300">
            <wp:extent cx="4584700" cy="6800215"/>
            <wp:effectExtent l="0" t="0" r="2540" b="4445"/>
            <wp:docPr id="2" name="图片 2" descr="172386613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23866131345"/>
                    <pic:cNvPicPr>
                      <a:picLocks noChangeAspect="1"/>
                    </pic:cNvPicPr>
                  </pic:nvPicPr>
                  <pic:blipFill>
                    <a:blip r:embed="rId28"/>
                    <a:stretch>
                      <a:fillRect/>
                    </a:stretch>
                  </pic:blipFill>
                  <pic:spPr>
                    <a:xfrm>
                      <a:off x="0" y="0"/>
                      <a:ext cx="4584700" cy="6800215"/>
                    </a:xfrm>
                    <a:prstGeom prst="rect">
                      <a:avLst/>
                    </a:prstGeom>
                  </pic:spPr>
                </pic:pic>
              </a:graphicData>
            </a:graphic>
          </wp:inline>
        </w:drawing>
      </w:r>
    </w:p>
    <w:p w14:paraId="0A103F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053840" cy="3531870"/>
            <wp:effectExtent l="0" t="0" r="0" b="3810"/>
            <wp:docPr id="4" name="图片 4" descr="172388457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3884574364"/>
                    <pic:cNvPicPr>
                      <a:picLocks noChangeAspect="1"/>
                    </pic:cNvPicPr>
                  </pic:nvPicPr>
                  <pic:blipFill>
                    <a:blip r:embed="rId29"/>
                    <a:stretch>
                      <a:fillRect/>
                    </a:stretch>
                  </pic:blipFill>
                  <pic:spPr>
                    <a:xfrm>
                      <a:off x="0" y="0"/>
                      <a:ext cx="4053840" cy="3531870"/>
                    </a:xfrm>
                    <a:prstGeom prst="rect">
                      <a:avLst/>
                    </a:prstGeom>
                  </pic:spPr>
                </pic:pic>
              </a:graphicData>
            </a:graphic>
          </wp:inline>
        </w:drawing>
      </w:r>
    </w:p>
    <w:p w14:paraId="269F303E">
      <w:pPr>
        <w:pStyle w:val="7"/>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t>图表</w:t>
      </w:r>
      <w:r>
        <w:fldChar w:fldCharType="begin"/>
      </w:r>
      <w:r>
        <w:instrText xml:space="preserve"> STYLEREF 2 \s </w:instrText>
      </w:r>
      <w:r>
        <w:fldChar w:fldCharType="separate"/>
      </w:r>
      <w:r>
        <w:t>三</w:t>
      </w:r>
      <w:r>
        <w:fldChar w:fldCharType="end"/>
      </w:r>
      <w:r>
        <w:rPr>
          <w:rFonts w:hint="eastAsia"/>
          <w:lang w:eastAsia="zh-CN"/>
        </w:rPr>
        <w:t>-</w:t>
      </w:r>
      <w:r>
        <w:fldChar w:fldCharType="begin"/>
      </w:r>
      <w:r>
        <w:instrText xml:space="preserve"> SEQ 图表 \* ARABIC \s 2 </w:instrText>
      </w:r>
      <w:r>
        <w:fldChar w:fldCharType="separate"/>
      </w:r>
      <w:r>
        <w:t>2</w:t>
      </w:r>
      <w:r>
        <w:fldChar w:fldCharType="end"/>
      </w:r>
      <w:r>
        <w:rPr>
          <w:rFonts w:hint="eastAsia"/>
          <w:lang w:eastAsia="zh-CN"/>
        </w:rPr>
        <w:t>安居区粮食作物灌溉用水定额情况</w:t>
      </w:r>
    </w:p>
    <w:p w14:paraId="4E0D62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079240" cy="4821555"/>
            <wp:effectExtent l="0" t="0" r="5080" b="1905"/>
            <wp:docPr id="5" name="图片 5" descr="172388475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3884756281"/>
                    <pic:cNvPicPr>
                      <a:picLocks noChangeAspect="1"/>
                    </pic:cNvPicPr>
                  </pic:nvPicPr>
                  <pic:blipFill>
                    <a:blip r:embed="rId30"/>
                    <a:stretch>
                      <a:fillRect/>
                    </a:stretch>
                  </pic:blipFill>
                  <pic:spPr>
                    <a:xfrm>
                      <a:off x="0" y="0"/>
                      <a:ext cx="4079240" cy="4821555"/>
                    </a:xfrm>
                    <a:prstGeom prst="rect">
                      <a:avLst/>
                    </a:prstGeom>
                  </pic:spPr>
                </pic:pic>
              </a:graphicData>
            </a:graphic>
          </wp:inline>
        </w:drawing>
      </w:r>
    </w:p>
    <w:p w14:paraId="07D95184">
      <w:pPr>
        <w:pStyle w:val="7"/>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仿宋"/>
          <w:lang w:eastAsia="zh-CN"/>
        </w:rPr>
      </w:pPr>
      <w:r>
        <w:t>图表</w:t>
      </w:r>
      <w:r>
        <w:fldChar w:fldCharType="begin"/>
      </w:r>
      <w:r>
        <w:instrText xml:space="preserve"> STYLEREF 2 \s </w:instrText>
      </w:r>
      <w:r>
        <w:fldChar w:fldCharType="separate"/>
      </w:r>
      <w:r>
        <w:t>三</w:t>
      </w:r>
      <w:r>
        <w:fldChar w:fldCharType="end"/>
      </w:r>
      <w:r>
        <w:rPr>
          <w:rFonts w:hint="eastAsia"/>
          <w:lang w:eastAsia="zh-CN"/>
        </w:rPr>
        <w:t>-</w:t>
      </w:r>
      <w:r>
        <w:fldChar w:fldCharType="begin"/>
      </w:r>
      <w:r>
        <w:instrText xml:space="preserve"> SEQ 图表 \* ARABIC \s 2 </w:instrText>
      </w:r>
      <w:r>
        <w:fldChar w:fldCharType="separate"/>
      </w:r>
      <w:r>
        <w:t>3</w:t>
      </w:r>
      <w:r>
        <w:fldChar w:fldCharType="end"/>
      </w:r>
      <w:r>
        <w:rPr>
          <w:rFonts w:hint="eastAsia"/>
          <w:lang w:eastAsia="zh-CN"/>
        </w:rPr>
        <w:t>安居区经济作物灌溉用水定额情况</w:t>
      </w:r>
    </w:p>
    <w:p w14:paraId="75F7D534">
      <w:pPr>
        <w:bidi w:val="0"/>
      </w:pPr>
      <w:r>
        <w:rPr>
          <w:rFonts w:hint="eastAsia"/>
          <w:lang w:val="en-US" w:eastAsia="zh-CN"/>
        </w:rPr>
        <w:t>综上，贷款</w:t>
      </w:r>
      <w:r>
        <w:t>运营期内农业灌溉用水合计</w:t>
      </w:r>
      <w:r>
        <w:rPr>
          <w:rFonts w:hint="eastAsia"/>
          <w:lang w:eastAsia="zh-CN"/>
        </w:rPr>
        <w:t>18015.61</w:t>
      </w:r>
      <w:r>
        <w:t>万元。</w:t>
      </w:r>
    </w:p>
    <w:p w14:paraId="184E70C6">
      <w:pPr>
        <w:pStyle w:val="6"/>
        <w:numPr>
          <w:ilvl w:val="3"/>
          <w:numId w:val="21"/>
        </w:numPr>
        <w:bidi w:val="0"/>
      </w:pPr>
      <w:bookmarkStart w:id="71" w:name="bookmark134"/>
      <w:bookmarkEnd w:id="71"/>
      <w:r>
        <w:rPr>
          <w:rFonts w:hint="eastAsia"/>
          <w:lang w:eastAsia="zh-CN"/>
        </w:rPr>
        <w:t>水库水面租赁</w:t>
      </w:r>
      <w:r>
        <w:t>业务收入</w:t>
      </w:r>
    </w:p>
    <w:p w14:paraId="2A1F79DF">
      <w:pPr>
        <w:bidi w:val="0"/>
      </w:pPr>
      <w:r>
        <w:rPr>
          <w:rFonts w:hint="eastAsia"/>
          <w:lang w:val="en-US" w:eastAsia="zh-CN"/>
        </w:rPr>
        <w:t>租赁</w:t>
      </w:r>
      <w:r>
        <w:t>面积：</w:t>
      </w:r>
      <w:r>
        <w:rPr>
          <w:rFonts w:hint="eastAsia"/>
          <w:lang w:val="en-US" w:eastAsia="zh-CN"/>
        </w:rPr>
        <w:t>13</w:t>
      </w:r>
      <w:r>
        <w:t>座水库水域</w:t>
      </w:r>
      <w:r>
        <w:rPr>
          <w:rFonts w:hint="eastAsia"/>
          <w:lang w:val="en-US" w:eastAsia="zh-CN"/>
        </w:rPr>
        <w:t>租赁</w:t>
      </w:r>
      <w:r>
        <w:t>面积共计</w:t>
      </w:r>
      <w:r>
        <w:rPr>
          <w:rFonts w:hint="eastAsia"/>
        </w:rPr>
        <w:t>48010.00</w:t>
      </w:r>
      <w:r>
        <w:t>亩。</w:t>
      </w:r>
    </w:p>
    <w:p w14:paraId="055DC82F">
      <w:pPr>
        <w:bidi w:val="0"/>
        <w:rPr>
          <w:rFonts w:hint="eastAsia"/>
          <w:highlight w:val="none"/>
          <w:lang w:val="en-US" w:eastAsia="zh-CN"/>
        </w:rPr>
      </w:pPr>
      <w:r>
        <w:rPr>
          <w:rFonts w:hint="eastAsia"/>
          <w:highlight w:val="none"/>
          <w:lang w:val="en-US" w:eastAsia="zh-CN"/>
        </w:rPr>
        <w:t>租赁</w:t>
      </w:r>
      <w:r>
        <w:rPr>
          <w:highlight w:val="none"/>
        </w:rPr>
        <w:t>价格：</w:t>
      </w:r>
      <w:r>
        <w:rPr>
          <w:rFonts w:hint="eastAsia"/>
          <w:highlight w:val="none"/>
          <w:lang w:val="en-US" w:eastAsia="zh-CN"/>
        </w:rPr>
        <w:t>查询水库水面租赁案例可知水库水面租赁价格在100-600元/亩/年。</w:t>
      </w:r>
    </w:p>
    <w:p w14:paraId="5373BED4">
      <w:pPr>
        <w:bidi w:val="0"/>
        <w:rPr>
          <w:rFonts w:hint="eastAsia"/>
          <w:highlight w:val="none"/>
          <w:lang w:val="en-US" w:eastAsia="zh-CN"/>
        </w:rPr>
      </w:pPr>
      <w:r>
        <w:rPr>
          <w:rFonts w:hint="eastAsia"/>
          <w:highlight w:val="none"/>
          <w:lang w:val="en-US" w:eastAsia="zh-CN"/>
        </w:rPr>
        <w:t>案例1——平邑县昌里水库增殖放流水面渔业两年期承包经营权拍卖。根据临沂市公共资源交易中心公示平邑县昌里水库增殖放流水面渔业两年期承包经营权拍卖成交结果</w:t>
      </w:r>
      <w:r>
        <w:rPr>
          <w:rStyle w:val="23"/>
          <w:rFonts w:hint="eastAsia"/>
          <w:highlight w:val="none"/>
          <w:lang w:val="en-US" w:eastAsia="zh-CN"/>
        </w:rPr>
        <w:footnoteReference w:id="1"/>
      </w:r>
      <w:r>
        <w:rPr>
          <w:rFonts w:hint="eastAsia"/>
          <w:highlight w:val="none"/>
          <w:lang w:val="en-US" w:eastAsia="zh-CN"/>
        </w:rPr>
        <w:t>，平邑县昌里水库拍卖成交价450万元/2年（水面面积约为4.46平方公里，即6690亩），即水面每亩每年租金为328.85元。</w:t>
      </w:r>
    </w:p>
    <w:p w14:paraId="7C2D8652">
      <w:pPr>
        <w:bidi w:val="0"/>
        <w:rPr>
          <w:rFonts w:hint="eastAsia"/>
          <w:highlight w:val="none"/>
          <w:lang w:val="en-US" w:eastAsia="zh-CN"/>
        </w:rPr>
      </w:pPr>
      <w:r>
        <w:rPr>
          <w:rFonts w:hint="eastAsia"/>
          <w:highlight w:val="none"/>
          <w:lang w:val="en-US" w:eastAsia="zh-CN"/>
        </w:rPr>
        <w:t>案例2——德阳市旌阳区新中镇龙居村东风水库，属村集体资产，水域面积约30亩，2019年1月，以15000元/30亩·年的价格成交（即500元/亩·年），高效盘活资源。</w:t>
      </w:r>
    </w:p>
    <w:p w14:paraId="5328A68E">
      <w:pPr>
        <w:bidi w:val="0"/>
        <w:rPr>
          <w:rFonts w:hint="eastAsia"/>
          <w:highlight w:val="none"/>
          <w:lang w:val="en-US" w:eastAsia="zh-CN"/>
        </w:rPr>
      </w:pPr>
      <w:r>
        <w:rPr>
          <w:rFonts w:hint="eastAsia"/>
          <w:highlight w:val="none"/>
          <w:lang w:val="en-US" w:eastAsia="zh-CN"/>
        </w:rPr>
        <w:t>案例3——蒙山县文圩镇油麻水库出租水域发展生态渔业项目，根据《广西林光工程咨询有限公司蒙山县文圩镇油麻水库出租水域发展生态渔业项目成交结果公告》</w:t>
      </w:r>
      <w:r>
        <w:rPr>
          <w:rStyle w:val="23"/>
          <w:rFonts w:hint="eastAsia"/>
          <w:highlight w:val="none"/>
          <w:lang w:val="en-US" w:eastAsia="zh-CN"/>
        </w:rPr>
        <w:footnoteReference w:id="2"/>
      </w:r>
      <w:r>
        <w:rPr>
          <w:rFonts w:hint="eastAsia"/>
          <w:highlight w:val="none"/>
          <w:lang w:val="en-US" w:eastAsia="zh-CN"/>
        </w:rPr>
        <w:t>披露出租水域用途主要为鱼类养殖，平均水面面积5.35万㎡（约80.25亩），租赁期限四年，租赁单价为115元/亩·年。</w:t>
      </w:r>
    </w:p>
    <w:tbl>
      <w:tblPr>
        <w:tblStyle w:val="16"/>
        <w:tblW w:w="81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5345"/>
        <w:gridCol w:w="2117"/>
      </w:tblGrid>
      <w:tr w14:paraId="6E423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14:paraId="6BC9F010">
            <w:pPr>
              <w:widowControl w:val="0"/>
              <w:kinsoku/>
              <w:autoSpaceDE/>
              <w:autoSpaceDN/>
              <w:adjustRightInd/>
              <w:snapToGrid/>
              <w:spacing w:line="240" w:lineRule="auto"/>
              <w:ind w:left="0" w:leftChars="0" w:right="0" w:rightChars="0" w:firstLine="0" w:firstLineChars="0"/>
              <w:jc w:val="center"/>
              <w:textAlignment w:val="auto"/>
              <w:rPr>
                <w:rFonts w:hint="eastAsia" w:ascii="宋体" w:hAnsi="宋体" w:eastAsia="宋体" w:cs="宋体"/>
                <w:b/>
                <w:bCs/>
                <w:snapToGrid/>
                <w:kern w:val="2"/>
                <w:sz w:val="20"/>
                <w:szCs w:val="20"/>
                <w:lang w:val="en-US" w:eastAsia="zh-CN"/>
              </w:rPr>
            </w:pPr>
            <w:r>
              <w:rPr>
                <w:rFonts w:hint="eastAsia" w:ascii="宋体" w:hAnsi="宋体" w:eastAsia="宋体" w:cs="宋体"/>
                <w:b/>
                <w:bCs/>
                <w:snapToGrid/>
                <w:kern w:val="2"/>
                <w:sz w:val="20"/>
                <w:szCs w:val="20"/>
                <w:lang w:val="en-US" w:eastAsia="zh-CN"/>
              </w:rPr>
              <w:t>名称</w:t>
            </w:r>
          </w:p>
        </w:tc>
        <w:tc>
          <w:tcPr>
            <w:tcW w:w="5345" w:type="dxa"/>
            <w:vAlign w:val="center"/>
          </w:tcPr>
          <w:p w14:paraId="409C9CD6">
            <w:pPr>
              <w:widowControl w:val="0"/>
              <w:kinsoku/>
              <w:autoSpaceDE/>
              <w:autoSpaceDN/>
              <w:adjustRightInd/>
              <w:snapToGrid/>
              <w:spacing w:line="240" w:lineRule="auto"/>
              <w:ind w:left="0" w:leftChars="0" w:right="0" w:rightChars="0" w:firstLine="0" w:firstLineChars="0"/>
              <w:jc w:val="center"/>
              <w:textAlignment w:val="auto"/>
              <w:rPr>
                <w:rFonts w:hint="eastAsia" w:ascii="宋体" w:hAnsi="宋体" w:eastAsia="宋体" w:cs="宋体"/>
                <w:b/>
                <w:bCs/>
                <w:snapToGrid/>
                <w:kern w:val="2"/>
                <w:sz w:val="20"/>
                <w:szCs w:val="20"/>
                <w:lang w:val="en-US" w:eastAsia="zh-CN"/>
              </w:rPr>
            </w:pPr>
            <w:r>
              <w:rPr>
                <w:rFonts w:hint="eastAsia" w:ascii="宋体" w:hAnsi="宋体" w:eastAsia="宋体" w:cs="宋体"/>
                <w:b/>
                <w:bCs/>
                <w:snapToGrid/>
                <w:kern w:val="2"/>
                <w:sz w:val="20"/>
                <w:szCs w:val="20"/>
                <w:lang w:val="en-US" w:eastAsia="zh-CN"/>
              </w:rPr>
              <w:t>依据截图</w:t>
            </w:r>
          </w:p>
        </w:tc>
        <w:tc>
          <w:tcPr>
            <w:tcW w:w="2117" w:type="dxa"/>
            <w:vAlign w:val="center"/>
          </w:tcPr>
          <w:p w14:paraId="49DD7130">
            <w:pPr>
              <w:widowControl/>
              <w:kinsoku/>
              <w:autoSpaceDE/>
              <w:autoSpaceDN/>
              <w:adjustRightInd/>
              <w:snapToGrid/>
              <w:spacing w:line="240" w:lineRule="auto"/>
              <w:ind w:left="0" w:leftChars="0" w:right="0" w:rightChars="0" w:firstLine="0" w:firstLineChars="0"/>
              <w:jc w:val="center"/>
              <w:textAlignment w:val="center"/>
              <w:rPr>
                <w:rFonts w:hint="eastAsia" w:ascii="宋体" w:hAnsi="宋体" w:eastAsia="宋体" w:cs="宋体"/>
                <w:b/>
                <w:bCs/>
                <w:snapToGrid/>
                <w:kern w:val="2"/>
                <w:sz w:val="20"/>
                <w:szCs w:val="20"/>
                <w:lang w:eastAsia="zh-CN"/>
              </w:rPr>
            </w:pPr>
            <w:r>
              <w:rPr>
                <w:rFonts w:hint="eastAsia" w:ascii="宋体" w:hAnsi="宋体" w:eastAsia="宋体" w:cs="宋体"/>
                <w:b/>
                <w:bCs/>
                <w:snapToGrid/>
                <w:kern w:val="2"/>
                <w:sz w:val="20"/>
                <w:szCs w:val="20"/>
                <w:lang w:eastAsia="zh-CN"/>
              </w:rPr>
              <w:t>数据来源</w:t>
            </w:r>
          </w:p>
        </w:tc>
      </w:tr>
      <w:tr w14:paraId="3E5C1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6" w:type="dxa"/>
            <w:vAlign w:val="center"/>
          </w:tcPr>
          <w:p w14:paraId="35EBC2A8">
            <w:pPr>
              <w:widowControl w:val="0"/>
              <w:kinsoku/>
              <w:autoSpaceDE/>
              <w:autoSpaceDN/>
              <w:adjustRightInd/>
              <w:snapToGrid/>
              <w:spacing w:line="240" w:lineRule="auto"/>
              <w:ind w:firstLine="0" w:firstLineChars="0"/>
              <w:jc w:val="center"/>
              <w:textAlignment w:val="auto"/>
              <w:rPr>
                <w:rFonts w:hint="default" w:ascii="宋体" w:hAnsi="宋体" w:eastAsia="宋体" w:cs="宋体"/>
                <w:snapToGrid/>
                <w:kern w:val="2"/>
                <w:sz w:val="20"/>
                <w:szCs w:val="20"/>
                <w:lang w:val="en-US" w:eastAsia="zh-CN"/>
              </w:rPr>
            </w:pPr>
            <w:r>
              <w:rPr>
                <w:rFonts w:hint="eastAsia" w:ascii="宋体" w:hAnsi="宋体" w:eastAsia="宋体" w:cs="宋体"/>
                <w:snapToGrid/>
                <w:kern w:val="2"/>
                <w:sz w:val="20"/>
                <w:szCs w:val="20"/>
                <w:lang w:val="en-US" w:eastAsia="zh-CN"/>
              </w:rPr>
              <w:t>案例1</w:t>
            </w:r>
          </w:p>
        </w:tc>
        <w:tc>
          <w:tcPr>
            <w:tcW w:w="5345" w:type="dxa"/>
            <w:vAlign w:val="center"/>
          </w:tcPr>
          <w:p w14:paraId="4C5B417E">
            <w:pPr>
              <w:widowControl w:val="0"/>
              <w:kinsoku/>
              <w:autoSpaceDE/>
              <w:autoSpaceDN/>
              <w:adjustRightInd/>
              <w:snapToGrid/>
              <w:spacing w:line="240" w:lineRule="auto"/>
              <w:ind w:left="0" w:leftChars="0" w:right="0" w:rightChars="0" w:firstLine="0" w:firstLineChars="0"/>
              <w:jc w:val="left"/>
              <w:textAlignment w:val="auto"/>
              <w:rPr>
                <w:rFonts w:hint="eastAsia" w:ascii="宋体" w:hAnsi="宋体" w:eastAsia="宋体" w:cs="宋体"/>
                <w:snapToGrid/>
                <w:kern w:val="2"/>
                <w:sz w:val="20"/>
                <w:szCs w:val="20"/>
                <w:lang w:eastAsia="zh-CN"/>
              </w:rPr>
            </w:pPr>
            <w:r>
              <w:rPr>
                <w:rFonts w:hint="eastAsia" w:ascii="宋体" w:hAnsi="宋体" w:eastAsia="宋体" w:cs="宋体"/>
                <w:snapToGrid/>
                <w:kern w:val="2"/>
                <w:sz w:val="20"/>
                <w:szCs w:val="20"/>
                <w:lang w:eastAsia="zh-CN"/>
              </w:rPr>
              <w:drawing>
                <wp:anchor distT="0" distB="0" distL="114300" distR="114300" simplePos="0" relativeHeight="251664384" behindDoc="0" locked="0" layoutInCell="1" allowOverlap="1">
                  <wp:simplePos x="0" y="0"/>
                  <wp:positionH relativeFrom="column">
                    <wp:posOffset>99060</wp:posOffset>
                  </wp:positionH>
                  <wp:positionV relativeFrom="paragraph">
                    <wp:posOffset>198755</wp:posOffset>
                  </wp:positionV>
                  <wp:extent cx="3011170" cy="1538605"/>
                  <wp:effectExtent l="0" t="0" r="6350" b="635"/>
                  <wp:wrapTopAndBottom/>
                  <wp:docPr id="6" name="图片 6" descr="1723944852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23944852126"/>
                          <pic:cNvPicPr>
                            <a:picLocks noChangeAspect="1"/>
                          </pic:cNvPicPr>
                        </pic:nvPicPr>
                        <pic:blipFill>
                          <a:blip r:embed="rId31"/>
                          <a:stretch>
                            <a:fillRect/>
                          </a:stretch>
                        </pic:blipFill>
                        <pic:spPr>
                          <a:xfrm>
                            <a:off x="0" y="0"/>
                            <a:ext cx="3011170" cy="1538605"/>
                          </a:xfrm>
                          <a:prstGeom prst="rect">
                            <a:avLst/>
                          </a:prstGeom>
                        </pic:spPr>
                      </pic:pic>
                    </a:graphicData>
                  </a:graphic>
                </wp:anchor>
              </w:drawing>
            </w:r>
            <w:r>
              <w:rPr>
                <w:rFonts w:hint="eastAsia" w:ascii="宋体" w:hAnsi="宋体" w:eastAsia="宋体" w:cs="宋体"/>
                <w:snapToGrid/>
                <w:kern w:val="2"/>
                <w:sz w:val="20"/>
                <w:szCs w:val="20"/>
                <w:lang w:eastAsia="zh-CN"/>
              </w:rPr>
              <w:t>平邑县昌里水库水面面积约为4.46平方公里（6690</w:t>
            </w:r>
            <w:r>
              <w:rPr>
                <w:rFonts w:hint="eastAsia" w:ascii="宋体" w:hAnsi="宋体" w:eastAsia="宋体" w:cs="宋体"/>
                <w:snapToGrid/>
                <w:kern w:val="2"/>
                <w:sz w:val="20"/>
                <w:szCs w:val="20"/>
                <w:lang w:val="en-US" w:eastAsia="zh-CN"/>
              </w:rPr>
              <w:t>亩</w:t>
            </w:r>
            <w:r>
              <w:rPr>
                <w:rFonts w:hint="eastAsia" w:ascii="宋体" w:hAnsi="宋体" w:eastAsia="宋体" w:cs="宋体"/>
                <w:snapToGrid/>
                <w:kern w:val="2"/>
                <w:sz w:val="20"/>
                <w:szCs w:val="20"/>
                <w:lang w:eastAsia="zh-CN"/>
              </w:rPr>
              <w:t>）</w:t>
            </w:r>
          </w:p>
        </w:tc>
        <w:tc>
          <w:tcPr>
            <w:tcW w:w="2117" w:type="dxa"/>
            <w:vAlign w:val="center"/>
          </w:tcPr>
          <w:p w14:paraId="75069BD9">
            <w:pPr>
              <w:widowControl/>
              <w:kinsoku/>
              <w:autoSpaceDE/>
              <w:autoSpaceDN/>
              <w:adjustRightInd/>
              <w:snapToGrid/>
              <w:spacing w:line="240" w:lineRule="auto"/>
              <w:ind w:firstLine="0" w:firstLineChars="0"/>
              <w:jc w:val="both"/>
              <w:textAlignment w:val="center"/>
              <w:rPr>
                <w:rFonts w:hint="default" w:ascii="Times New Roman" w:hAnsi="Times New Roman" w:eastAsia="宋体" w:cs="Times New Roman"/>
                <w:snapToGrid/>
                <w:color w:val="0000FF"/>
                <w:kern w:val="2"/>
                <w:sz w:val="20"/>
                <w:szCs w:val="20"/>
                <w:u w:val="single"/>
                <w:lang w:eastAsia="zh-CN"/>
              </w:rPr>
            </w:pPr>
            <w:r>
              <w:rPr>
                <w:rFonts w:hint="default" w:ascii="Times New Roman" w:hAnsi="Times New Roman" w:eastAsia="宋体" w:cs="Times New Roman"/>
                <w:snapToGrid/>
                <w:color w:val="0000FF"/>
                <w:kern w:val="2"/>
                <w:sz w:val="20"/>
                <w:szCs w:val="20"/>
                <w:u w:val="single"/>
                <w:lang w:eastAsia="zh-CN"/>
              </w:rPr>
              <w:t>http://ggzyjy.linyi.gov.cn/linyi/jyxx/012004/012004003/20230928/90489a65-aec5-494d-831b-5d0171f5887d.html</w:t>
            </w:r>
          </w:p>
        </w:tc>
      </w:tr>
      <w:tr w14:paraId="2CB9D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656" w:type="dxa"/>
            <w:vAlign w:val="center"/>
          </w:tcPr>
          <w:p w14:paraId="2CE8427A">
            <w:pPr>
              <w:widowControl w:val="0"/>
              <w:kinsoku/>
              <w:autoSpaceDE/>
              <w:autoSpaceDN/>
              <w:adjustRightInd/>
              <w:snapToGrid/>
              <w:spacing w:line="240" w:lineRule="auto"/>
              <w:ind w:firstLine="0" w:firstLineChars="0"/>
              <w:jc w:val="center"/>
              <w:textAlignment w:val="auto"/>
              <w:rPr>
                <w:rFonts w:hint="default" w:ascii="宋体" w:hAnsi="宋体" w:eastAsia="宋体" w:cs="宋体"/>
                <w:snapToGrid/>
                <w:kern w:val="2"/>
                <w:sz w:val="20"/>
                <w:szCs w:val="20"/>
                <w:lang w:val="en-US" w:eastAsia="zh-CN"/>
              </w:rPr>
            </w:pPr>
            <w:r>
              <w:rPr>
                <w:rFonts w:hint="eastAsia" w:ascii="宋体" w:hAnsi="宋体" w:eastAsia="宋体" w:cs="宋体"/>
                <w:snapToGrid/>
                <w:kern w:val="2"/>
                <w:sz w:val="20"/>
                <w:szCs w:val="20"/>
                <w:lang w:val="en-US" w:eastAsia="zh-CN"/>
              </w:rPr>
              <w:t>案例2</w:t>
            </w:r>
          </w:p>
        </w:tc>
        <w:tc>
          <w:tcPr>
            <w:tcW w:w="5345" w:type="dxa"/>
            <w:vAlign w:val="center"/>
          </w:tcPr>
          <w:p w14:paraId="49D19749">
            <w:pPr>
              <w:widowControl w:val="0"/>
              <w:kinsoku/>
              <w:autoSpaceDE/>
              <w:autoSpaceDN/>
              <w:adjustRightInd/>
              <w:snapToGrid/>
              <w:spacing w:line="240" w:lineRule="auto"/>
              <w:ind w:left="0" w:leftChars="0" w:right="0" w:rightChars="0" w:firstLine="0" w:firstLineChars="0"/>
              <w:jc w:val="center"/>
              <w:textAlignment w:val="auto"/>
              <w:rPr>
                <w:rFonts w:hint="eastAsia"/>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256540</wp:posOffset>
                  </wp:positionH>
                  <wp:positionV relativeFrom="paragraph">
                    <wp:posOffset>278765</wp:posOffset>
                  </wp:positionV>
                  <wp:extent cx="2613025" cy="1233170"/>
                  <wp:effectExtent l="0" t="0" r="635" b="1270"/>
                  <wp:wrapTopAndBottom/>
                  <wp:docPr id="8" name="图片 8" descr="1723973416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3973416818"/>
                          <pic:cNvPicPr>
                            <a:picLocks noChangeAspect="1"/>
                          </pic:cNvPicPr>
                        </pic:nvPicPr>
                        <pic:blipFill>
                          <a:blip r:embed="rId32"/>
                          <a:stretch>
                            <a:fillRect/>
                          </a:stretch>
                        </pic:blipFill>
                        <pic:spPr>
                          <a:xfrm>
                            <a:off x="0" y="0"/>
                            <a:ext cx="2613025" cy="1233170"/>
                          </a:xfrm>
                          <a:prstGeom prst="rect">
                            <a:avLst/>
                          </a:prstGeom>
                        </pic:spPr>
                      </pic:pic>
                    </a:graphicData>
                  </a:graphic>
                </wp:anchor>
              </w:drawing>
            </w:r>
            <w:r>
              <w:rPr>
                <w:rFonts w:hint="eastAsia" w:ascii="宋体" w:hAnsi="宋体" w:eastAsia="宋体" w:cs="宋体"/>
                <w:snapToGrid/>
                <w:kern w:val="2"/>
                <w:sz w:val="20"/>
                <w:szCs w:val="20"/>
                <w:lang w:eastAsia="zh-CN"/>
              </w:rPr>
              <w:t>德阳市旌阳区新中镇龙居村的养殖水面</w:t>
            </w:r>
          </w:p>
        </w:tc>
        <w:tc>
          <w:tcPr>
            <w:tcW w:w="2117" w:type="dxa"/>
            <w:vAlign w:val="center"/>
          </w:tcPr>
          <w:p w14:paraId="6F2E2A14">
            <w:pPr>
              <w:widowControl/>
              <w:kinsoku/>
              <w:autoSpaceDE/>
              <w:autoSpaceDN/>
              <w:adjustRightInd/>
              <w:snapToGrid/>
              <w:spacing w:line="240" w:lineRule="auto"/>
              <w:ind w:firstLine="0" w:firstLineChars="0"/>
              <w:jc w:val="both"/>
              <w:textAlignment w:val="center"/>
              <w:rPr>
                <w:rFonts w:hint="default"/>
                <w:lang w:eastAsia="zh-CN"/>
              </w:rPr>
            </w:pPr>
            <w:r>
              <w:rPr>
                <w:rFonts w:hint="default" w:ascii="Times New Roman" w:hAnsi="Times New Roman" w:eastAsia="宋体" w:cs="Times New Roman"/>
                <w:snapToGrid/>
                <w:color w:val="0000FF"/>
                <w:kern w:val="2"/>
                <w:sz w:val="20"/>
                <w:szCs w:val="20"/>
                <w:u w:val="single"/>
                <w:lang w:eastAsia="zh-CN"/>
              </w:rPr>
              <w:fldChar w:fldCharType="begin"/>
            </w:r>
            <w:r>
              <w:rPr>
                <w:rFonts w:hint="default" w:ascii="Times New Roman" w:hAnsi="Times New Roman" w:eastAsia="宋体" w:cs="Times New Roman"/>
                <w:snapToGrid/>
                <w:color w:val="0000FF"/>
                <w:kern w:val="2"/>
                <w:sz w:val="20"/>
                <w:szCs w:val="20"/>
                <w:u w:val="single"/>
                <w:lang w:eastAsia="zh-CN"/>
              </w:rPr>
              <w:instrText xml:space="preserve"> HYPERLINK "http://journal.crnews.net/ncjygl/2022n/d11q/bqjj/954429_20230413100846.html" </w:instrText>
            </w:r>
            <w:r>
              <w:rPr>
                <w:rFonts w:hint="default" w:ascii="Times New Roman" w:hAnsi="Times New Roman" w:eastAsia="宋体" w:cs="Times New Roman"/>
                <w:snapToGrid/>
                <w:color w:val="0000FF"/>
                <w:kern w:val="2"/>
                <w:sz w:val="20"/>
                <w:szCs w:val="20"/>
                <w:u w:val="single"/>
                <w:lang w:eastAsia="zh-CN"/>
              </w:rPr>
              <w:fldChar w:fldCharType="separate"/>
            </w:r>
            <w:r>
              <w:rPr>
                <w:rStyle w:val="21"/>
                <w:rFonts w:hint="default" w:ascii="Times New Roman" w:hAnsi="Times New Roman" w:eastAsia="宋体" w:cs="Times New Roman"/>
                <w:snapToGrid/>
                <w:kern w:val="2"/>
                <w:sz w:val="20"/>
                <w:szCs w:val="20"/>
                <w:lang w:eastAsia="zh-CN"/>
              </w:rPr>
              <w:t>http://journal.crnews.net/ncjygl/2022n/d11q/bqjj/954429_20230413100846.html</w:t>
            </w:r>
            <w:r>
              <w:rPr>
                <w:rFonts w:hint="default" w:ascii="Times New Roman" w:hAnsi="Times New Roman" w:eastAsia="宋体" w:cs="Times New Roman"/>
                <w:snapToGrid/>
                <w:color w:val="0000FF"/>
                <w:kern w:val="2"/>
                <w:sz w:val="20"/>
                <w:szCs w:val="20"/>
                <w:u w:val="single"/>
                <w:lang w:eastAsia="zh-CN"/>
              </w:rPr>
              <w:fldChar w:fldCharType="end"/>
            </w:r>
          </w:p>
        </w:tc>
      </w:tr>
      <w:tr w14:paraId="369E2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7" w:hRule="atLeast"/>
          <w:jc w:val="center"/>
        </w:trPr>
        <w:tc>
          <w:tcPr>
            <w:tcW w:w="656" w:type="dxa"/>
            <w:vAlign w:val="center"/>
          </w:tcPr>
          <w:p w14:paraId="30DC6EF6">
            <w:pPr>
              <w:widowControl w:val="0"/>
              <w:kinsoku/>
              <w:autoSpaceDE/>
              <w:autoSpaceDN/>
              <w:adjustRightInd/>
              <w:snapToGrid/>
              <w:spacing w:line="240" w:lineRule="auto"/>
              <w:ind w:firstLine="0" w:firstLineChars="0"/>
              <w:jc w:val="center"/>
              <w:textAlignment w:val="auto"/>
              <w:rPr>
                <w:rFonts w:hint="default" w:ascii="宋体" w:hAnsi="宋体" w:eastAsia="宋体" w:cs="宋体"/>
                <w:snapToGrid/>
                <w:kern w:val="2"/>
                <w:sz w:val="20"/>
                <w:szCs w:val="20"/>
                <w:lang w:val="en-US" w:eastAsia="zh-CN"/>
              </w:rPr>
            </w:pPr>
            <w:r>
              <w:rPr>
                <w:rFonts w:hint="eastAsia" w:ascii="宋体" w:hAnsi="宋体" w:eastAsia="宋体" w:cs="宋体"/>
                <w:snapToGrid/>
                <w:kern w:val="2"/>
                <w:sz w:val="20"/>
                <w:szCs w:val="20"/>
                <w:lang w:val="en-US" w:eastAsia="zh-CN"/>
              </w:rPr>
              <w:t>案例3</w:t>
            </w:r>
          </w:p>
        </w:tc>
        <w:tc>
          <w:tcPr>
            <w:tcW w:w="5345" w:type="dxa"/>
            <w:vAlign w:val="center"/>
          </w:tcPr>
          <w:p w14:paraId="710EAD28">
            <w:pPr>
              <w:widowControl w:val="0"/>
              <w:kinsoku/>
              <w:autoSpaceDE/>
              <w:autoSpaceDN/>
              <w:adjustRightInd/>
              <w:snapToGrid/>
              <w:spacing w:line="240" w:lineRule="auto"/>
              <w:ind w:left="0" w:leftChars="0" w:right="0" w:rightChars="0" w:firstLine="0" w:firstLineChars="0"/>
              <w:jc w:val="center"/>
              <w:textAlignment w:val="auto"/>
              <w:rPr>
                <w:rFonts w:hint="eastAsia"/>
                <w:lang w:eastAsia="zh-CN"/>
              </w:rPr>
            </w:pPr>
            <w:r>
              <w:rPr>
                <w:rFonts w:hint="eastAsia"/>
                <w:lang w:eastAsia="zh-CN"/>
              </w:rPr>
              <w:drawing>
                <wp:anchor distT="0" distB="0" distL="114300" distR="114300" simplePos="0" relativeHeight="251666432" behindDoc="0" locked="0" layoutInCell="1" allowOverlap="1">
                  <wp:simplePos x="0" y="0"/>
                  <wp:positionH relativeFrom="column">
                    <wp:posOffset>256540</wp:posOffset>
                  </wp:positionH>
                  <wp:positionV relativeFrom="paragraph">
                    <wp:posOffset>235585</wp:posOffset>
                  </wp:positionV>
                  <wp:extent cx="2682240" cy="2211070"/>
                  <wp:effectExtent l="0" t="0" r="0" b="6350"/>
                  <wp:wrapTopAndBottom/>
                  <wp:docPr id="10" name="图片 10" descr="172398985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723989853088"/>
                          <pic:cNvPicPr>
                            <a:picLocks noChangeAspect="1"/>
                          </pic:cNvPicPr>
                        </pic:nvPicPr>
                        <pic:blipFill>
                          <a:blip r:embed="rId33"/>
                          <a:stretch>
                            <a:fillRect/>
                          </a:stretch>
                        </pic:blipFill>
                        <pic:spPr>
                          <a:xfrm>
                            <a:off x="0" y="0"/>
                            <a:ext cx="2682240" cy="2211070"/>
                          </a:xfrm>
                          <a:prstGeom prst="rect">
                            <a:avLst/>
                          </a:prstGeom>
                        </pic:spPr>
                      </pic:pic>
                    </a:graphicData>
                  </a:graphic>
                </wp:anchor>
              </w:drawing>
            </w:r>
          </w:p>
        </w:tc>
        <w:tc>
          <w:tcPr>
            <w:tcW w:w="2117" w:type="dxa"/>
            <w:vAlign w:val="center"/>
          </w:tcPr>
          <w:p w14:paraId="39B1A9A6">
            <w:pPr>
              <w:widowControl/>
              <w:kinsoku/>
              <w:autoSpaceDE/>
              <w:autoSpaceDN/>
              <w:adjustRightInd/>
              <w:snapToGrid/>
              <w:spacing w:line="240" w:lineRule="auto"/>
              <w:ind w:firstLine="0" w:firstLineChars="0"/>
              <w:jc w:val="both"/>
              <w:textAlignment w:val="center"/>
              <w:rPr>
                <w:rFonts w:hint="default" w:ascii="Times New Roman" w:hAnsi="Times New Roman" w:eastAsia="宋体" w:cs="Times New Roman"/>
                <w:snapToGrid/>
                <w:color w:val="0000FF"/>
                <w:kern w:val="2"/>
                <w:sz w:val="20"/>
                <w:szCs w:val="20"/>
                <w:u w:val="single"/>
                <w:lang w:eastAsia="zh-CN"/>
              </w:rPr>
            </w:pPr>
            <w:r>
              <w:rPr>
                <w:rFonts w:hint="default" w:ascii="Times New Roman" w:hAnsi="Times New Roman" w:eastAsia="宋体" w:cs="Times New Roman"/>
                <w:snapToGrid/>
                <w:color w:val="0000FF"/>
                <w:kern w:val="2"/>
                <w:sz w:val="20"/>
                <w:szCs w:val="20"/>
                <w:u w:val="single"/>
                <w:lang w:eastAsia="zh-CN"/>
              </w:rPr>
              <w:t>http://www.gxms.gov.cn/xxgk/zfxxgkzl/fdzdgknr/ggzypzlygk/zfcgly/cggg_43689/t18045162.shtml</w:t>
            </w:r>
          </w:p>
        </w:tc>
      </w:tr>
    </w:tbl>
    <w:p w14:paraId="505FB3F1">
      <w:pPr>
        <w:bidi w:val="0"/>
      </w:pPr>
      <w:r>
        <w:rPr>
          <w:rFonts w:hint="eastAsia"/>
          <w:highlight w:val="none"/>
          <w:lang w:val="en-US" w:eastAsia="zh-CN"/>
        </w:rPr>
        <w:t>基于谨慎性原则，结合本项目实际情况，</w:t>
      </w:r>
      <w:r>
        <w:rPr>
          <w:highlight w:val="none"/>
        </w:rPr>
        <w:t>本项目</w:t>
      </w:r>
      <w:r>
        <w:rPr>
          <w:rFonts w:hint="eastAsia"/>
          <w:highlight w:val="none"/>
          <w:lang w:val="en-US" w:eastAsia="zh-CN"/>
        </w:rPr>
        <w:t>水面租赁价格按193.00元/亩·年</w:t>
      </w:r>
      <w:r>
        <w:rPr>
          <w:highlight w:val="none"/>
        </w:rPr>
        <w:t>计算。</w:t>
      </w:r>
      <w:r>
        <w:rPr>
          <w:rFonts w:hint="eastAsia"/>
          <w:highlight w:val="none"/>
          <w:lang w:val="en-US" w:eastAsia="zh-CN"/>
        </w:rPr>
        <w:t>综合考虑物价上涨、项目运营成本上升等因素，租赁单价</w:t>
      </w:r>
      <w:r>
        <w:rPr>
          <w:highlight w:val="none"/>
        </w:rPr>
        <w:t>依据市场按照每年</w:t>
      </w:r>
      <w:r>
        <w:rPr>
          <w:rFonts w:hint="eastAsia"/>
          <w:highlight w:val="none"/>
          <w:lang w:val="en-US" w:eastAsia="zh-CN"/>
        </w:rPr>
        <w:t>5</w:t>
      </w:r>
      <w:r>
        <w:rPr>
          <w:highlight w:val="none"/>
        </w:rPr>
        <w:t>增长</w:t>
      </w:r>
      <w:r>
        <w:rPr>
          <w:rFonts w:hint="eastAsia"/>
          <w:highlight w:val="none"/>
          <w:lang w:val="en-US" w:eastAsia="zh-CN"/>
        </w:rPr>
        <w:t>5</w:t>
      </w:r>
      <w:r>
        <w:rPr>
          <w:highlight w:val="none"/>
        </w:rPr>
        <w:t>%计算</w:t>
      </w:r>
      <w:r>
        <w:rPr>
          <w:rFonts w:hint="eastAsia"/>
          <w:highlight w:val="none"/>
          <w:lang w:eastAsia="zh-CN"/>
        </w:rPr>
        <w:t>。</w:t>
      </w:r>
    </w:p>
    <w:p w14:paraId="7E7FFAE2">
      <w:pPr>
        <w:spacing w:before="189" w:line="216" w:lineRule="auto"/>
      </w:pPr>
      <w:r>
        <w:rPr>
          <w:rFonts w:hint="eastAsia"/>
          <w:lang w:val="en-US" w:eastAsia="zh-CN"/>
        </w:rPr>
        <w:t>贷款运营</w:t>
      </w:r>
      <w:r>
        <w:t>期内</w:t>
      </w:r>
      <w:r>
        <w:rPr>
          <w:rFonts w:hint="eastAsia"/>
          <w:lang w:eastAsia="zh-CN"/>
        </w:rPr>
        <w:t>水库水面租赁</w:t>
      </w:r>
      <w:r>
        <w:t>收入合计</w:t>
      </w:r>
      <w:r>
        <w:rPr>
          <w:rFonts w:hint="eastAsia"/>
        </w:rPr>
        <w:t>28400.98</w:t>
      </w:r>
      <w:r>
        <w:t>万元。</w:t>
      </w:r>
    </w:p>
    <w:p w14:paraId="11EFD304">
      <w:pPr>
        <w:bidi w:val="0"/>
        <w:rPr>
          <w:rFonts w:hint="default"/>
          <w:lang w:val="en-US" w:eastAsia="zh-CN"/>
        </w:rPr>
      </w:pPr>
      <w:r>
        <w:rPr>
          <w:rFonts w:hint="eastAsia"/>
          <w:lang w:val="en-US" w:eastAsia="zh-CN"/>
        </w:rPr>
        <w:t>综上，项目贷款运营期内营业收入为87786.26万元。</w:t>
      </w:r>
    </w:p>
    <w:p w14:paraId="11E50D75">
      <w:pPr>
        <w:pStyle w:val="5"/>
        <w:numPr>
          <w:ilvl w:val="2"/>
          <w:numId w:val="18"/>
        </w:numPr>
        <w:bidi w:val="0"/>
        <w:ind w:left="0" w:firstLine="402"/>
        <w:rPr>
          <w:rFonts w:ascii="Arial" w:hAnsi="Arial"/>
        </w:rPr>
      </w:pPr>
      <w:bookmarkStart w:id="72" w:name="bookmark46"/>
      <w:bookmarkEnd w:id="72"/>
      <w:r>
        <w:rPr>
          <w:rFonts w:ascii="Arial" w:hAnsi="Arial"/>
        </w:rPr>
        <w:t>成本费用设定</w:t>
      </w:r>
    </w:p>
    <w:p w14:paraId="0FA644AB">
      <w:pPr>
        <w:bidi w:val="0"/>
        <w:rPr>
          <w:rFonts w:hint="eastAsia" w:eastAsia="仿宋"/>
          <w:lang w:eastAsia="zh-CN"/>
        </w:rPr>
      </w:pPr>
      <w:r>
        <w:t>经营成本主要指本项目运营期内，特许经营者因对本项目运营维护而产生的必要成本，包括燃料及动力费、人员工资及福利费、</w:t>
      </w:r>
      <w:r>
        <w:rPr>
          <w:rFonts w:hint="eastAsia"/>
        </w:rPr>
        <w:t>工程检维修费</w:t>
      </w:r>
      <w:r>
        <w:t>、</w:t>
      </w:r>
      <w:r>
        <w:rPr>
          <w:rFonts w:hint="eastAsia"/>
          <w:lang w:val="en-US" w:eastAsia="zh-CN"/>
        </w:rPr>
        <w:t>材料费</w:t>
      </w:r>
      <w:r>
        <w:t>等。对各项经营成本进行估算如下</w:t>
      </w:r>
      <w:r>
        <w:rPr>
          <w:rFonts w:hint="eastAsia"/>
          <w:lang w:eastAsia="zh-CN"/>
        </w:rPr>
        <w:t>：</w:t>
      </w:r>
    </w:p>
    <w:p w14:paraId="13E54119">
      <w:pPr>
        <w:pStyle w:val="6"/>
        <w:numPr>
          <w:ilvl w:val="3"/>
          <w:numId w:val="23"/>
        </w:numPr>
        <w:bidi w:val="0"/>
      </w:pPr>
      <w:r>
        <w:t>燃料及动力费</w:t>
      </w:r>
    </w:p>
    <w:p w14:paraId="3D69618E">
      <w:pPr>
        <w:bidi w:val="0"/>
      </w:pPr>
      <w:r>
        <w:t>燃料及动力费按照原水销售和农业灌溉用水销售收入</w:t>
      </w:r>
      <w:r>
        <w:rPr>
          <w:highlight w:val="none"/>
        </w:rPr>
        <w:t>的</w:t>
      </w:r>
      <w:r>
        <w:rPr>
          <w:rFonts w:hint="eastAsia"/>
          <w:highlight w:val="none"/>
        </w:rPr>
        <w:t>2</w:t>
      </w:r>
      <w:r>
        <w:rPr>
          <w:highlight w:val="none"/>
        </w:rPr>
        <w:t>%进</w:t>
      </w:r>
      <w:r>
        <w:t>行计算</w:t>
      </w:r>
      <w:r>
        <w:rPr>
          <w:rFonts w:hint="eastAsia"/>
          <w:lang w:eastAsia="zh-CN"/>
        </w:rPr>
        <w:t>，</w:t>
      </w:r>
      <w:r>
        <w:rPr>
          <w:rFonts w:hint="eastAsia"/>
          <w:lang w:val="en-US" w:eastAsia="zh-CN"/>
        </w:rPr>
        <w:t>贷款运营期内燃料及动力费合计为1187.71万元</w:t>
      </w:r>
      <w:r>
        <w:t>。</w:t>
      </w:r>
    </w:p>
    <w:p w14:paraId="54AF52A3">
      <w:pPr>
        <w:pStyle w:val="6"/>
        <w:numPr>
          <w:ilvl w:val="3"/>
          <w:numId w:val="23"/>
        </w:numPr>
        <w:bidi w:val="0"/>
      </w:pPr>
      <w:r>
        <w:t>人员工资及福利费</w:t>
      </w:r>
    </w:p>
    <w:p w14:paraId="5D71F9B2">
      <w:pPr>
        <w:bidi w:val="0"/>
        <w:rPr>
          <w:rFonts w:hint="default" w:ascii="仿宋" w:hAnsi="仿宋" w:eastAsia="仿宋" w:cs="仿宋"/>
          <w:szCs w:val="31"/>
          <w:lang w:val="en-US" w:eastAsia="zh-CN"/>
        </w:rPr>
      </w:pPr>
      <w:r>
        <w:t>根据《四川省小型水库标准化管理规程》和《水库工程管理设计规范》（SL106—96）中关于水库管理单位人员和职责，结合项目实际的管理需要、地理位置、水库规模等，本项目共计设置人员</w:t>
      </w:r>
      <w:r>
        <w:rPr>
          <w:rFonts w:hint="eastAsia"/>
          <w:lang w:val="en-US" w:eastAsia="zh-CN"/>
        </w:rPr>
        <w:t>24</w:t>
      </w:r>
      <w:r>
        <w:t>人，包含管理岗、工程管理岗、工程运行与维护岗、财务与资产管理岗、辅助岗等。根据四川省统计局发布2022年全省城镇全部单位就业人员平均工资的统计报告，四川省水利环境和公共设施管理业平均工资为60321元/（人</w:t>
      </w:r>
      <w:r>
        <w:rPr>
          <w:rFonts w:hint="eastAsia"/>
          <w:lang w:val="en-US" w:eastAsia="zh-CN"/>
        </w:rPr>
        <w:t>·</w:t>
      </w:r>
      <w:r>
        <w:t>年），本项目参照该工资标准进行测算，同时考虑人员薪酬及福利按照工资的</w:t>
      </w:r>
      <w:r>
        <w:rPr>
          <w:rFonts w:hint="eastAsia"/>
          <w:lang w:val="en-US" w:eastAsia="zh-CN"/>
        </w:rPr>
        <w:t>14</w:t>
      </w:r>
      <w:r>
        <w:t>%计算，</w:t>
      </w:r>
      <w:r>
        <w:rPr>
          <w:rFonts w:hint="eastAsia"/>
          <w:lang w:val="en-US" w:eastAsia="zh-CN"/>
        </w:rPr>
        <w:t>管理岗综合</w:t>
      </w:r>
      <w:r>
        <w:t>人工成本为</w:t>
      </w:r>
      <w:r>
        <w:rPr>
          <w:rFonts w:hint="eastAsia"/>
          <w:lang w:val="en-US" w:eastAsia="zh-CN"/>
        </w:rPr>
        <w:t>68400</w:t>
      </w:r>
      <w:r>
        <w:t>.</w:t>
      </w:r>
      <w:r>
        <w:rPr>
          <w:rFonts w:hint="eastAsia"/>
          <w:lang w:val="en-US" w:eastAsia="zh-CN"/>
        </w:rPr>
        <w:t>00</w:t>
      </w:r>
      <w:r>
        <w:t>元/（人</w:t>
      </w:r>
      <w:r>
        <w:rPr>
          <w:rFonts w:hint="eastAsia"/>
          <w:lang w:val="en-US" w:eastAsia="zh-CN"/>
        </w:rPr>
        <w:t>·</w:t>
      </w:r>
      <w:r>
        <w:t>年）</w:t>
      </w:r>
      <w:r>
        <w:rPr>
          <w:rFonts w:hint="eastAsia"/>
          <w:lang w:eastAsia="zh-CN"/>
        </w:rPr>
        <w:t>，</w:t>
      </w:r>
      <w:r>
        <w:rPr>
          <w:rFonts w:hint="eastAsia"/>
          <w:lang w:val="en-US" w:eastAsia="zh-CN"/>
        </w:rPr>
        <w:t>普通岗综合人工成本为47900.00元/（人·年）</w:t>
      </w:r>
      <w:r>
        <w:t>。人员工资考虑每</w:t>
      </w:r>
      <w:r>
        <w:rPr>
          <w:rFonts w:hint="eastAsia"/>
          <w:lang w:val="en-US" w:eastAsia="zh-CN"/>
        </w:rPr>
        <w:t>5</w:t>
      </w:r>
      <w:r>
        <w:t>年上涨5%。在</w:t>
      </w:r>
      <w:r>
        <w:rPr>
          <w:rFonts w:hint="eastAsia"/>
          <w:lang w:val="en-US" w:eastAsia="zh-CN"/>
        </w:rPr>
        <w:t>贷款</w:t>
      </w:r>
      <w:r>
        <w:t>运营期间，人员工资及福利费</w:t>
      </w:r>
      <w:r>
        <w:rPr>
          <w:rFonts w:hint="eastAsia"/>
          <w:lang w:val="en-US" w:eastAsia="zh-CN"/>
        </w:rPr>
        <w:t>合计为4083.06万元。</w:t>
      </w:r>
    </w:p>
    <w:p w14:paraId="202E0065">
      <w:pPr>
        <w:pStyle w:val="6"/>
        <w:numPr>
          <w:ilvl w:val="3"/>
          <w:numId w:val="23"/>
        </w:numPr>
        <w:bidi w:val="0"/>
      </w:pPr>
      <w:r>
        <w:rPr>
          <w:rFonts w:hint="eastAsia"/>
        </w:rPr>
        <w:t>工程检维修费</w:t>
      </w:r>
    </w:p>
    <w:p w14:paraId="18417298">
      <w:pPr>
        <w:bidi w:val="0"/>
        <w:rPr>
          <w:rFonts w:hint="eastAsia"/>
          <w:lang w:val="en-US" w:eastAsia="zh-CN"/>
        </w:rPr>
      </w:pPr>
      <w:r>
        <w:rPr>
          <w:rFonts w:hint="eastAsia"/>
        </w:rPr>
        <w:t>工程检维修费</w:t>
      </w:r>
      <w:r>
        <w:rPr>
          <w:rFonts w:hint="eastAsia"/>
          <w:lang w:val="en-US" w:eastAsia="zh-CN"/>
        </w:rPr>
        <w:t>包括日常维修养护和工程岁修。</w:t>
      </w:r>
    </w:p>
    <w:p w14:paraId="3DE4ABA0">
      <w:pPr>
        <w:numPr>
          <w:ilvl w:val="0"/>
          <w:numId w:val="24"/>
        </w:numPr>
        <w:bidi w:val="0"/>
        <w:ind w:left="0" w:leftChars="0" w:firstLine="560" w:firstLineChars="200"/>
        <w:rPr>
          <w:highlight w:val="none"/>
        </w:rPr>
      </w:pPr>
      <w:r>
        <w:rPr>
          <w:highlight w:val="none"/>
        </w:rPr>
        <w:t>日常维修养护：对工程进行经常保养和防护，及时处理局部、表面、轻微的缺陷和损坏，保持工程的完整、安全与正常</w:t>
      </w:r>
      <w:r>
        <w:rPr>
          <w:rFonts w:hint="eastAsia"/>
          <w:highlight w:val="none"/>
          <w:lang w:eastAsia="zh-CN"/>
        </w:rPr>
        <w:t>运营</w:t>
      </w:r>
      <w:r>
        <w:rPr>
          <w:highlight w:val="none"/>
        </w:rPr>
        <w:t>。</w:t>
      </w:r>
    </w:p>
    <w:p w14:paraId="57D3DB04">
      <w:pPr>
        <w:numPr>
          <w:ilvl w:val="0"/>
          <w:numId w:val="24"/>
        </w:numPr>
        <w:bidi w:val="0"/>
        <w:ind w:left="0" w:leftChars="0" w:firstLine="560" w:firstLineChars="200"/>
        <w:rPr>
          <w:highlight w:val="none"/>
        </w:rPr>
      </w:pPr>
      <w:r>
        <w:rPr>
          <w:highlight w:val="none"/>
        </w:rPr>
        <w:t>工程岁修：每年（或周期性）进行的、对日常维修养护不能解决的工程损坏的集中修复，不包括大修（工程发生较大损坏或存在较大缺陷时进行的、工作量大且技术较复杂的修复工作）。</w:t>
      </w:r>
    </w:p>
    <w:p w14:paraId="14E82901">
      <w:pPr>
        <w:bidi w:val="0"/>
        <w:rPr>
          <w:rFonts w:hint="eastAsia" w:eastAsia="仿宋"/>
          <w:lang w:eastAsia="zh-CN"/>
        </w:rPr>
      </w:pPr>
      <w:r>
        <w:t>根据</w:t>
      </w:r>
      <w:r>
        <w:rPr>
          <w:rFonts w:hint="eastAsia"/>
          <w:lang w:val="en-US" w:eastAsia="zh-CN"/>
        </w:rPr>
        <w:t>水库工程检维修费</w:t>
      </w:r>
      <w:r>
        <w:t>历史数据，水库</w:t>
      </w:r>
      <w:r>
        <w:rPr>
          <w:rFonts w:hint="eastAsia"/>
        </w:rPr>
        <w:t>工程检维修费</w:t>
      </w:r>
      <w:r>
        <w:t>按照</w:t>
      </w:r>
      <w:r>
        <w:rPr>
          <w:rFonts w:hint="eastAsia"/>
          <w:lang w:val="en-US" w:eastAsia="zh-CN"/>
        </w:rPr>
        <w:t>总投资额的0.15%计取，</w:t>
      </w:r>
      <w:r>
        <w:rPr>
          <w:rFonts w:hint="eastAsia"/>
        </w:rPr>
        <w:t>工程检维修费</w:t>
      </w:r>
      <w:r>
        <w:t>考虑每</w:t>
      </w:r>
      <w:r>
        <w:rPr>
          <w:rFonts w:hint="eastAsia"/>
          <w:lang w:val="en-US" w:eastAsia="zh-CN"/>
        </w:rPr>
        <w:t>五</w:t>
      </w:r>
      <w:r>
        <w:t>年上涨5%</w:t>
      </w:r>
      <w:r>
        <w:rPr>
          <w:rFonts w:hint="eastAsia"/>
          <w:lang w:eastAsia="zh-CN"/>
        </w:rPr>
        <w:t>，在</w:t>
      </w:r>
      <w:r>
        <w:rPr>
          <w:rFonts w:hint="eastAsia"/>
          <w:lang w:val="en-US" w:eastAsia="zh-CN"/>
        </w:rPr>
        <w:t>贷款</w:t>
      </w:r>
      <w:r>
        <w:rPr>
          <w:rFonts w:hint="eastAsia"/>
          <w:lang w:eastAsia="zh-CN"/>
        </w:rPr>
        <w:t>运营期间工程</w:t>
      </w:r>
      <w:r>
        <w:rPr>
          <w:rFonts w:hint="eastAsia"/>
          <w:highlight w:val="none"/>
          <w:lang w:eastAsia="zh-CN"/>
        </w:rPr>
        <w:t>检维修费</w:t>
      </w:r>
      <w:r>
        <w:rPr>
          <w:rFonts w:hint="eastAsia"/>
          <w:highlight w:val="none"/>
          <w:lang w:val="en-US" w:eastAsia="zh-CN"/>
        </w:rPr>
        <w:t>合计1665.32万元</w:t>
      </w:r>
      <w:r>
        <w:rPr>
          <w:highlight w:val="none"/>
        </w:rPr>
        <w:t>。</w:t>
      </w:r>
      <w:r>
        <w:rPr>
          <w:rFonts w:hint="eastAsia"/>
          <w:highlight w:val="none"/>
          <w:lang w:eastAsia="zh-CN"/>
        </w:rPr>
        <w:t>（</w:t>
      </w:r>
      <w:r>
        <w:rPr>
          <w:rFonts w:hint="eastAsia"/>
          <w:highlight w:val="none"/>
          <w:lang w:val="en-US" w:eastAsia="zh-CN"/>
        </w:rPr>
        <w:t>水库加固等大修资金由政府财政独立支付</w:t>
      </w:r>
      <w:r>
        <w:rPr>
          <w:rFonts w:hint="eastAsia"/>
          <w:highlight w:val="none"/>
          <w:lang w:eastAsia="zh-CN"/>
        </w:rPr>
        <w:t>）。</w:t>
      </w:r>
    </w:p>
    <w:p w14:paraId="601EE61A">
      <w:pPr>
        <w:pStyle w:val="6"/>
        <w:numPr>
          <w:ilvl w:val="3"/>
          <w:numId w:val="23"/>
        </w:numPr>
        <w:bidi w:val="0"/>
      </w:pPr>
      <w:bookmarkStart w:id="73" w:name="bookmark139"/>
      <w:bookmarkEnd w:id="73"/>
      <w:r>
        <w:rPr>
          <w:rFonts w:hint="eastAsia"/>
          <w:lang w:val="en-US" w:eastAsia="zh-CN"/>
        </w:rPr>
        <w:t>材料</w:t>
      </w:r>
      <w:r>
        <w:t>费</w:t>
      </w:r>
    </w:p>
    <w:p w14:paraId="05292F8B">
      <w:pPr>
        <w:bidi w:val="0"/>
      </w:pPr>
      <w:r>
        <w:rPr>
          <w:rFonts w:hint="eastAsia"/>
          <w:lang w:val="en-US" w:eastAsia="zh-CN"/>
        </w:rPr>
        <w:t>材料费</w:t>
      </w:r>
      <w:r>
        <w:t>取值为各年度</w:t>
      </w:r>
      <w:r>
        <w:rPr>
          <w:rFonts w:hint="eastAsia"/>
        </w:rPr>
        <w:t>工程检维修费</w:t>
      </w:r>
      <w:r>
        <w:t>的</w:t>
      </w:r>
      <w:r>
        <w:rPr>
          <w:rFonts w:hint="eastAsia"/>
          <w:lang w:val="en-US" w:eastAsia="zh-CN"/>
        </w:rPr>
        <w:t>30</w:t>
      </w:r>
      <w:r>
        <w:t>%</w:t>
      </w:r>
      <w:r>
        <w:rPr>
          <w:rFonts w:hint="eastAsia"/>
          <w:lang w:eastAsia="zh-CN"/>
        </w:rPr>
        <w:t>，</w:t>
      </w:r>
      <w:r>
        <w:rPr>
          <w:rFonts w:hint="eastAsia"/>
          <w:lang w:val="en-US" w:eastAsia="zh-CN"/>
        </w:rPr>
        <w:t>贷款</w:t>
      </w:r>
      <w:r>
        <w:rPr>
          <w:rFonts w:hint="eastAsia"/>
          <w:lang w:eastAsia="zh-CN"/>
        </w:rPr>
        <w:t>运营期间</w:t>
      </w:r>
      <w:r>
        <w:rPr>
          <w:rFonts w:hint="eastAsia"/>
          <w:lang w:val="en-US" w:eastAsia="zh-CN"/>
        </w:rPr>
        <w:t>材料费499.60万元</w:t>
      </w:r>
      <w:r>
        <w:t>。</w:t>
      </w:r>
    </w:p>
    <w:p w14:paraId="2D5A1981">
      <w:pPr>
        <w:pStyle w:val="5"/>
        <w:numPr>
          <w:ilvl w:val="2"/>
          <w:numId w:val="18"/>
        </w:numPr>
        <w:bidi w:val="0"/>
        <w:ind w:left="0" w:firstLine="402"/>
        <w:rPr>
          <w:rFonts w:ascii="Arial" w:hAnsi="Arial"/>
        </w:rPr>
      </w:pPr>
      <w:bookmarkStart w:id="74" w:name="bookmark140"/>
      <w:bookmarkEnd w:id="74"/>
      <w:bookmarkStart w:id="75" w:name="bookmark47"/>
      <w:bookmarkEnd w:id="75"/>
      <w:r>
        <w:rPr>
          <w:rFonts w:ascii="Arial" w:hAnsi="Arial"/>
        </w:rPr>
        <w:t>测算结果</w:t>
      </w:r>
    </w:p>
    <w:p w14:paraId="02B9B89C">
      <w:pPr>
        <w:bidi w:val="0"/>
      </w:pPr>
      <w:r>
        <w:t>本项目总投资</w:t>
      </w:r>
      <w:r>
        <w:rPr>
          <w:rFonts w:hint="eastAsia"/>
          <w:lang w:eastAsia="zh-CN"/>
        </w:rPr>
        <w:t>35529.85</w:t>
      </w:r>
      <w:r>
        <w:t>万元，资本金</w:t>
      </w:r>
      <w:r>
        <w:rPr>
          <w:rFonts w:hint="eastAsia"/>
          <w:lang w:eastAsia="zh-CN"/>
        </w:rPr>
        <w:t>7529.85</w:t>
      </w:r>
      <w:r>
        <w:t>万元，融资资金</w:t>
      </w:r>
      <w:r>
        <w:rPr>
          <w:rFonts w:hint="eastAsia"/>
          <w:lang w:eastAsia="zh-CN"/>
        </w:rPr>
        <w:t>28000.00</w:t>
      </w:r>
      <w:r>
        <w:t>万元，则根据以上项目边界条件和收入成本费用设定，测算得出本项目投资财务内部收益率（所得税后）</w:t>
      </w:r>
      <w:r>
        <w:rPr>
          <w:rFonts w:hint="eastAsia"/>
        </w:rPr>
        <w:t>5.1</w:t>
      </w:r>
      <w:r>
        <w:rPr>
          <w:rFonts w:hint="eastAsia"/>
          <w:lang w:val="en-US" w:eastAsia="zh-CN"/>
        </w:rPr>
        <w:t>5</w:t>
      </w:r>
      <w:r>
        <w:rPr>
          <w:rFonts w:hint="eastAsia"/>
        </w:rPr>
        <w:t>%</w:t>
      </w:r>
      <w:r>
        <w:t>，项目资本金财务内部收益率（所得税后）</w:t>
      </w:r>
      <w:r>
        <w:rPr>
          <w:rFonts w:hint="eastAsia"/>
        </w:rPr>
        <w:t>5.0</w:t>
      </w:r>
      <w:r>
        <w:rPr>
          <w:rFonts w:hint="eastAsia"/>
          <w:lang w:val="en-US" w:eastAsia="zh-CN"/>
        </w:rPr>
        <w:t>6</w:t>
      </w:r>
      <w:r>
        <w:rPr>
          <w:rFonts w:hint="eastAsia"/>
        </w:rPr>
        <w:t>%</w:t>
      </w:r>
      <w:r>
        <w:t>。</w:t>
      </w:r>
    </w:p>
    <w:p w14:paraId="15DD47D3">
      <w:pPr>
        <w:pStyle w:val="4"/>
        <w:numPr>
          <w:ilvl w:val="1"/>
          <w:numId w:val="4"/>
        </w:numPr>
        <w:bidi w:val="0"/>
        <w:ind w:left="575" w:leftChars="0" w:hanging="575" w:firstLineChars="0"/>
        <w:rPr>
          <w:rFonts w:ascii="Arial" w:hAnsi="Arial"/>
          <w:lang w:val="en-US" w:eastAsia="en-US"/>
        </w:rPr>
      </w:pPr>
      <w:bookmarkStart w:id="76" w:name="bookmark48"/>
      <w:bookmarkEnd w:id="76"/>
      <w:bookmarkStart w:id="77" w:name="_Toc21566"/>
      <w:r>
        <w:rPr>
          <w:rFonts w:ascii="Arial" w:hAnsi="Arial"/>
          <w:lang w:val="en-US" w:eastAsia="en-US"/>
        </w:rPr>
        <w:t>比较优势分析</w:t>
      </w:r>
      <w:bookmarkEnd w:id="77"/>
    </w:p>
    <w:p w14:paraId="68CDF111">
      <w:pPr>
        <w:pStyle w:val="5"/>
        <w:numPr>
          <w:ilvl w:val="2"/>
          <w:numId w:val="25"/>
        </w:numPr>
        <w:bidi w:val="0"/>
        <w:ind w:left="0" w:firstLine="402"/>
        <w:rPr>
          <w:rFonts w:ascii="Arial" w:hAnsi="Arial"/>
        </w:rPr>
      </w:pPr>
      <w:bookmarkStart w:id="78" w:name="bookmark49"/>
      <w:bookmarkEnd w:id="78"/>
      <w:r>
        <w:rPr>
          <w:rFonts w:hint="eastAsia"/>
          <w:lang w:val="en-US" w:eastAsia="zh-CN"/>
        </w:rPr>
        <w:t>特许经营贷款</w:t>
      </w:r>
      <w:r>
        <w:rPr>
          <w:rFonts w:ascii="Arial" w:hAnsi="Arial"/>
        </w:rPr>
        <w:t>期成本</w:t>
      </w:r>
    </w:p>
    <w:p w14:paraId="626F6C9F">
      <w:pPr>
        <w:bidi w:val="0"/>
      </w:pPr>
      <w:r>
        <w:t>在政府传统模式下，政府或其所属机构通常直接负责水库运营维护工作，目前部分水库管理缺失，水库资产处于闲置状态，无法发挥出水库资源的价值，水库产生的经济效益无法覆盖项目运营维护成本。</w:t>
      </w:r>
    </w:p>
    <w:p w14:paraId="06C5428F">
      <w:pPr>
        <w:tabs>
          <w:tab w:val="left" w:pos="6720"/>
        </w:tabs>
        <w:bidi w:val="0"/>
      </w:pPr>
      <w:r>
        <w:t>采用特许经营模式，水库的管理维护成本将由特许经营者承担，减少政府财政支出，能够盘活水库的闲置资产，发挥其资源优势，开展多种经营活动，其收益不仅能够覆盖管理维护成本，还能够产生一定收益</w:t>
      </w:r>
      <w:r>
        <w:rPr>
          <w:rFonts w:hint="eastAsia"/>
          <w:lang w:eastAsia="zh-CN"/>
        </w:rPr>
        <w:t>。</w:t>
      </w:r>
      <w:r>
        <w:t>经初步测算，实施特许经营后，特许经营</w:t>
      </w:r>
      <w:r>
        <w:rPr>
          <w:rFonts w:hint="eastAsia"/>
          <w:lang w:val="en-US" w:eastAsia="zh-CN"/>
        </w:rPr>
        <w:t>贷款期</w:t>
      </w:r>
      <w:r>
        <w:t>内项目预计可产生约为</w:t>
      </w:r>
      <w:r>
        <w:rPr>
          <w:rFonts w:hint="eastAsia"/>
        </w:rPr>
        <w:t>87786.26</w:t>
      </w:r>
      <w:r>
        <w:rPr>
          <w:highlight w:val="none"/>
        </w:rPr>
        <w:t>万元收</w:t>
      </w:r>
      <w:r>
        <w:t>入，净利润约为</w:t>
      </w:r>
      <w:r>
        <w:rPr>
          <w:rFonts w:hint="eastAsia"/>
        </w:rPr>
        <w:t>16652.00</w:t>
      </w:r>
      <w:r>
        <w:t>万元，实现项目全投资内部收益率5.</w:t>
      </w:r>
      <w:r>
        <w:rPr>
          <w:rFonts w:hint="eastAsia"/>
          <w:lang w:val="en-US" w:eastAsia="zh-CN"/>
        </w:rPr>
        <w:t>15</w:t>
      </w:r>
      <w:r>
        <w:t>%，经济价值显著提升，与原管理模式相比，减少政府财政支出。</w:t>
      </w:r>
    </w:p>
    <w:p w14:paraId="4317B0AB">
      <w:pPr>
        <w:pStyle w:val="5"/>
        <w:numPr>
          <w:ilvl w:val="2"/>
          <w:numId w:val="25"/>
        </w:numPr>
        <w:bidi w:val="0"/>
        <w:ind w:left="0" w:firstLine="402"/>
        <w:rPr>
          <w:rFonts w:ascii="Arial" w:hAnsi="Arial"/>
        </w:rPr>
      </w:pPr>
      <w:bookmarkStart w:id="79" w:name="bookmark141"/>
      <w:bookmarkEnd w:id="79"/>
      <w:bookmarkStart w:id="80" w:name="bookmark50"/>
      <w:bookmarkEnd w:id="80"/>
      <w:r>
        <w:rPr>
          <w:rFonts w:ascii="Arial" w:hAnsi="Arial"/>
        </w:rPr>
        <w:t>产出（服务）效果及运营效率</w:t>
      </w:r>
    </w:p>
    <w:p w14:paraId="38297E2D">
      <w:pPr>
        <w:pStyle w:val="6"/>
        <w:numPr>
          <w:ilvl w:val="3"/>
          <w:numId w:val="26"/>
        </w:numPr>
        <w:bidi w:val="0"/>
      </w:pPr>
      <w:r>
        <w:t>打破垄断与市场壁垒，促进技术创新</w:t>
      </w:r>
    </w:p>
    <w:p w14:paraId="39F9A823">
      <w:pPr>
        <w:bidi w:val="0"/>
      </w:pPr>
      <w:r>
        <w:t>传统的基础设施供给模式往往容易形成垄断和市场壁垒，限制了技术的创新和应用，而特许经营模式作为一种投融资和管理模式的创新，有效打破了地区封锁和行业垄断，在特许经营模式下，政府通过竞争性方式，引进具备先进技术及理念的特许经营者，从而加快技术革新及应用，特许经营者为了获得项目经营权，会积极投入研发，采用新技术、新工艺，提高项目的产出效率和服务质量及运营效率。</w:t>
      </w:r>
    </w:p>
    <w:p w14:paraId="1998AF45">
      <w:pPr>
        <w:pStyle w:val="6"/>
        <w:numPr>
          <w:ilvl w:val="3"/>
          <w:numId w:val="26"/>
        </w:numPr>
        <w:bidi w:val="0"/>
      </w:pPr>
      <w:r>
        <w:t>优化资源配置，发挥专业分工优势</w:t>
      </w:r>
    </w:p>
    <w:p w14:paraId="3500F59D">
      <w:pPr>
        <w:bidi w:val="0"/>
        <w:rPr>
          <w:rFonts w:ascii="仿宋" w:hAnsi="仿宋" w:eastAsia="仿宋" w:cs="仿宋"/>
          <w:szCs w:val="31"/>
        </w:rPr>
      </w:pPr>
      <w:r>
        <w:t>特许经营模式通过引入市场竞争机制，实现了资源的优化配置，特许经营者凭借其融资、专业、技术和管理优势，能够充分发挥专业分工优势，提高项目的运营效率，特许经营者在项目建设期，通过高效的施工组织管理、成本控制及风险管理手段，确保工程质量的同时降低建设成本，在运营期，特许经营者通过加强员工技能培训、完善人力资源管理、引进先进的运营管理经验和设备，提高运营维护水平，降低经营成本，从而实现项目的长期稳定运行和优质服务。</w:t>
      </w:r>
    </w:p>
    <w:p w14:paraId="2FA4BDFD">
      <w:pPr>
        <w:pStyle w:val="6"/>
        <w:numPr>
          <w:ilvl w:val="3"/>
          <w:numId w:val="26"/>
        </w:numPr>
        <w:bidi w:val="0"/>
      </w:pPr>
      <w:r>
        <w:t>设定考核与奖惩机制，提升建设运营效率</w:t>
      </w:r>
    </w:p>
    <w:p w14:paraId="48355D70">
      <w:pPr>
        <w:bidi w:val="0"/>
      </w:pPr>
      <w:r>
        <w:t>特许经营模式注重建立科学的考核与奖惩机制，以激励特许经营者提升服务水平，在项目运营期，政府会设定运营维护的考核标准，并根据运营维护水平及达标情况设置相应的奖惩机制，这种机制使得特许经营者有动力加强员工技能培训、完善人力资源管理、引进先进的运营管理经验和设备，以提高运营维护水平，降低经营成本，同时，奖惩机制也促使特许经营者更加关注公众需求，提升服务质量，满足社会期望。</w:t>
      </w:r>
    </w:p>
    <w:p w14:paraId="261C228A">
      <w:pPr>
        <w:pStyle w:val="6"/>
        <w:numPr>
          <w:ilvl w:val="3"/>
          <w:numId w:val="26"/>
        </w:numPr>
        <w:bidi w:val="0"/>
      </w:pPr>
      <w:r>
        <w:t>实现经济效益与社会效益的双赢</w:t>
      </w:r>
    </w:p>
    <w:p w14:paraId="5AC0915D">
      <w:pPr>
        <w:bidi w:val="0"/>
      </w:pPr>
      <w:r>
        <w:t>特许经营模式不仅关注项目的经济效益，还注重实现社会效益，通过引入市场竞争机制和专业运营团队，特许经营模式能够提升项目的产出效率和服务质量，为社会提供更多的优质服务，同时，特许经营者还会积极履行社会责任，关注环境保护和可持续发展，为项目的长期发展奠定坚实基础，这种双赢的局面使得特许经营模式在水库项目中具有更强的竞争力和生命力。</w:t>
      </w:r>
    </w:p>
    <w:p w14:paraId="2F7A9292">
      <w:pPr>
        <w:bidi w:val="0"/>
      </w:pPr>
      <w:r>
        <w:t>综上所述，特许经营模式在水库项目的产出或服务效果方面具有显著优势，通过打破垄断与市场壁垒、优化资源配置、设定考核与奖惩机制以及实现经济效益与社会效益的双赢，特许经营模式能够提升项目的运营效率和服务水平，为社会创造更多的价值。因此，在水库项目中采用特许经营模式是一种更为高效和可持续的发展方式。</w:t>
      </w:r>
    </w:p>
    <w:p w14:paraId="05AE9936">
      <w:pPr>
        <w:pStyle w:val="5"/>
        <w:numPr>
          <w:ilvl w:val="2"/>
          <w:numId w:val="25"/>
        </w:numPr>
        <w:bidi w:val="0"/>
        <w:ind w:left="0" w:firstLine="402"/>
        <w:rPr>
          <w:rFonts w:ascii="Arial" w:hAnsi="Arial"/>
        </w:rPr>
      </w:pPr>
      <w:bookmarkStart w:id="81" w:name="bookmark51"/>
      <w:bookmarkEnd w:id="81"/>
      <w:r>
        <w:rPr>
          <w:rFonts w:ascii="Arial" w:hAnsi="Arial"/>
        </w:rPr>
        <w:t>风险防控防范</w:t>
      </w:r>
    </w:p>
    <w:p w14:paraId="3DB327A3">
      <w:pPr>
        <w:pStyle w:val="6"/>
        <w:numPr>
          <w:ilvl w:val="3"/>
          <w:numId w:val="27"/>
        </w:numPr>
        <w:bidi w:val="0"/>
      </w:pPr>
      <w:r>
        <w:t>风险识别与评估</w:t>
      </w:r>
    </w:p>
    <w:p w14:paraId="270E26B0">
      <w:pPr>
        <w:bidi w:val="0"/>
      </w:pPr>
      <w:r>
        <w:t>传统政府投资模式下，政府可能因缺乏专业知识和经验，在</w:t>
      </w:r>
      <w:bookmarkStart w:id="82" w:name="bookmark142"/>
      <w:bookmarkEnd w:id="82"/>
      <w:r>
        <w:t>风险识别和评估方面存在不足，这可能导致政府难以准确判断项目面临的风险类型和程度，进而影响风险防控的效果，在特许经营模式下，特许经营者通常具备丰富的行业经验和专业知识，能够更准确地识别项目可能面临的风险，并进行科学评估，他们能够从技术、市场、政策等多个维度对风险进行全面分析，为风险防控提供有力支持。</w:t>
      </w:r>
    </w:p>
    <w:p w14:paraId="02A831BC">
      <w:pPr>
        <w:pStyle w:val="6"/>
        <w:numPr>
          <w:ilvl w:val="3"/>
          <w:numId w:val="27"/>
        </w:numPr>
        <w:bidi w:val="0"/>
      </w:pPr>
      <w:r>
        <w:t>风险分担与转移</w:t>
      </w:r>
    </w:p>
    <w:p w14:paraId="66244374">
      <w:pPr>
        <w:bidi w:val="0"/>
      </w:pPr>
      <w:r>
        <w:t>传统政府投资模式下，政府作为唯一的投资者和运营者，需要承担项目的全部风险，这可能导致政府在面临风险时承担过大的压力，甚至影响项目的稳定运营，特许经营模式通过合同条款和监管机制，实现了风险的合理分担和转移，政府可以通过设定风险分担比例和限制条件，将部分风险转移给特许经营者承担，同时，特许经营者也可以通过购买保险、建立风险储备金等方式，将风险进一步分散和转移。</w:t>
      </w:r>
    </w:p>
    <w:p w14:paraId="25FF9723">
      <w:pPr>
        <w:pStyle w:val="6"/>
        <w:numPr>
          <w:ilvl w:val="3"/>
          <w:numId w:val="27"/>
        </w:numPr>
        <w:bidi w:val="0"/>
      </w:pPr>
      <w:r>
        <w:t>风险应对与处置</w:t>
      </w:r>
    </w:p>
    <w:p w14:paraId="74A23285">
      <w:pPr>
        <w:bidi w:val="0"/>
      </w:pPr>
      <w:r>
        <w:t>传统政府投资模式下，政府在风险应对和处置方面可能因缺乏专业知识和经验而显得力不从心，此外，政府在资金筹措和使用方面可能存在一定的限制，导致在风险发生时难以迅速采取有效的应对措施，特许经营模式下，特许经营者通常具备更强的风险应对和处置能力，可以通过优化运营方案、加强设备维护、调整经营策略等方式，积极应对可能出现的风险</w:t>
      </w:r>
      <w:r>
        <w:rPr>
          <w:rFonts w:hint="eastAsia"/>
          <w:lang w:eastAsia="zh-CN"/>
        </w:rPr>
        <w:t>，</w:t>
      </w:r>
      <w:r>
        <w:t>同时，特许经营者还有更强的资金实力和融资能力，能够在风险发生时迅速采取应对措施，降低损失。</w:t>
      </w:r>
    </w:p>
    <w:p w14:paraId="4C92B205">
      <w:pPr>
        <w:pStyle w:val="6"/>
        <w:numPr>
          <w:ilvl w:val="3"/>
          <w:numId w:val="27"/>
        </w:numPr>
        <w:bidi w:val="0"/>
      </w:pPr>
      <w:bookmarkStart w:id="83" w:name="bookmark143"/>
      <w:bookmarkEnd w:id="83"/>
      <w:r>
        <w:t>风险防控体系建设</w:t>
      </w:r>
    </w:p>
    <w:p w14:paraId="13CD8277">
      <w:pPr>
        <w:bidi w:val="0"/>
      </w:pPr>
      <w:r>
        <w:t>特许经营模式通常更加注重风险防控体系的建设和完善，特许经营者会建立一套完整的风险管理制度和流程，明确风险防控的责任和措施</w:t>
      </w:r>
      <w:r>
        <w:rPr>
          <w:rFonts w:hint="eastAsia"/>
          <w:lang w:eastAsia="zh-CN"/>
        </w:rPr>
        <w:t>，</w:t>
      </w:r>
      <w:r>
        <w:t>确保项目在运营过程中能够及时发现和应对风险，同时，特许经营者还会定期对风险防控体系进行评估和改进，以适应不断变化的市场环境和项目需求。</w:t>
      </w:r>
    </w:p>
    <w:p w14:paraId="677E1E0C">
      <w:pPr>
        <w:bidi w:val="0"/>
      </w:pPr>
      <w:r>
        <w:t>综上所述，从风险防控防范的要点来看，特许经营模式在项目中具有显著优势，通过引入市场竞争机制和专业运营团队，特许经营模式能够提升风险识别和评估的准确性，实现风险的合理分担和转移，增强风险应对和处置的能力，并建设完善的风险防控体系，采用特许经营模式能够更好地防范和控制风险，确保项目的稳定运营和长期发展。</w:t>
      </w:r>
    </w:p>
    <w:p w14:paraId="780AB11A">
      <w:pPr>
        <w:pStyle w:val="4"/>
        <w:numPr>
          <w:ilvl w:val="1"/>
          <w:numId w:val="4"/>
        </w:numPr>
        <w:bidi w:val="0"/>
        <w:ind w:left="575" w:leftChars="0" w:hanging="575" w:firstLineChars="0"/>
        <w:rPr>
          <w:rFonts w:ascii="Arial" w:hAnsi="Arial"/>
          <w:lang w:val="en-US" w:eastAsia="en-US"/>
        </w:rPr>
      </w:pPr>
      <w:bookmarkStart w:id="84" w:name="bookmark52"/>
      <w:bookmarkEnd w:id="84"/>
      <w:bookmarkStart w:id="85" w:name="_Toc11328"/>
      <w:r>
        <w:rPr>
          <w:rFonts w:ascii="Arial" w:hAnsi="Arial"/>
          <w:lang w:val="en-US" w:eastAsia="en-US"/>
        </w:rPr>
        <w:t>参与意愿分析</w:t>
      </w:r>
      <w:bookmarkEnd w:id="85"/>
    </w:p>
    <w:p w14:paraId="32961C3B">
      <w:pPr>
        <w:bidi w:val="0"/>
      </w:pPr>
      <w:r>
        <w:t>结合当前市场情况，社会资本与金融机构参与水库项目的意愿十分强烈，多方面的积极因素共同推动了各方参与。</w:t>
      </w:r>
    </w:p>
    <w:p w14:paraId="48AE00BD">
      <w:pPr>
        <w:pStyle w:val="5"/>
        <w:numPr>
          <w:ilvl w:val="2"/>
          <w:numId w:val="28"/>
        </w:numPr>
        <w:bidi w:val="0"/>
        <w:ind w:left="0" w:firstLine="402"/>
        <w:rPr>
          <w:rFonts w:ascii="Arial" w:hAnsi="Arial"/>
        </w:rPr>
      </w:pPr>
      <w:r>
        <w:rPr>
          <w:rFonts w:ascii="Arial" w:hAnsi="Arial"/>
        </w:rPr>
        <w:t>社会资本参与意愿</w:t>
      </w:r>
    </w:p>
    <w:p w14:paraId="0D377369">
      <w:pPr>
        <w:bidi w:val="0"/>
      </w:pPr>
      <w:r>
        <w:t>特许经营项目在近年实施中，已相对成熟，水库项目的落地也吸引了众多社会资本参与，吸纳和引入社会资本参与水利设施项目，是水利综合改革的重要举措，形成了较为成熟和规范的运作体系，市场竞争较为充分。</w:t>
      </w:r>
    </w:p>
    <w:p w14:paraId="262E3370">
      <w:pPr>
        <w:bidi w:val="0"/>
      </w:pPr>
      <w:r>
        <w:t>根据本项目的回报机制，本项目回报来源为农业灌溉用水、</w:t>
      </w:r>
      <w:r>
        <w:rPr>
          <w:rFonts w:hint="eastAsia"/>
          <w:lang w:eastAsia="zh-CN"/>
        </w:rPr>
        <w:t>原水供水</w:t>
      </w:r>
      <w:r>
        <w:t>销售收入和附属运营收入，在测算参数的选取过程中参照一般水库经营项目的市场回报水平，项目的收益率符合行业一般收益率水平，对社会资本而言，如经营得当，其回报来源明确稳定，收益水平合理，具有一定的吸引力，社会资本的参与意愿较强。</w:t>
      </w:r>
    </w:p>
    <w:p w14:paraId="2E072099">
      <w:pPr>
        <w:pStyle w:val="5"/>
        <w:numPr>
          <w:ilvl w:val="2"/>
          <w:numId w:val="28"/>
        </w:numPr>
        <w:bidi w:val="0"/>
        <w:ind w:left="0" w:firstLine="402"/>
        <w:rPr>
          <w:rFonts w:ascii="Arial" w:hAnsi="Arial"/>
        </w:rPr>
      </w:pPr>
      <w:r>
        <w:rPr>
          <w:rFonts w:ascii="Arial" w:hAnsi="Arial"/>
        </w:rPr>
        <w:t>金融机构参与意愿</w:t>
      </w:r>
    </w:p>
    <w:p w14:paraId="60729D6D">
      <w:pPr>
        <w:bidi w:val="0"/>
      </w:pPr>
      <w:r>
        <w:t>项目收益稳定，符合金融机构风险偏好。本项目具有长期稳定的收益特点，能够为金融机构提供稳定的现金流回报。由于本项目主要收入来源是农业灌溉用水和</w:t>
      </w:r>
      <w:r>
        <w:rPr>
          <w:rFonts w:hint="eastAsia"/>
          <w:lang w:eastAsia="zh-CN"/>
        </w:rPr>
        <w:t>原水供水</w:t>
      </w:r>
      <w:r>
        <w:t>销售收入，用水需求的稳定增长，项目具有持续运营和盈利的能力，这种稳定的收益特点使得金融机构在评估项目风险时，能够给予较高的信用评级和融资支持。</w:t>
      </w:r>
    </w:p>
    <w:p w14:paraId="5E87A580">
      <w:pPr>
        <w:bidi w:val="0"/>
        <w:rPr>
          <w:rFonts w:ascii="仿宋" w:hAnsi="仿宋" w:eastAsia="仿宋" w:cs="仿宋"/>
          <w:szCs w:val="31"/>
        </w:rPr>
      </w:pPr>
      <w:r>
        <w:t>金融机构通过风险评估与控制确保资金安全。尽管本项目具有稳定的主要收益来源，但金融机构在参与过程中仍然需要进行全面的风险评估与控制。通过对项目的财务状况、运营情况、市场前景等进行深入分析和评估，金融机构能够准确判断项目的风险水平，并采取相应的风险控制措施。这确保了金融机构在支持项目的同时，也能够保障资金的安全和稳健运营，金融机构的参与意愿较强。</w:t>
      </w:r>
    </w:p>
    <w:p w14:paraId="7C705F0D">
      <w:pPr>
        <w:pStyle w:val="4"/>
        <w:numPr>
          <w:ilvl w:val="1"/>
          <w:numId w:val="4"/>
        </w:numPr>
        <w:bidi w:val="0"/>
        <w:ind w:left="575" w:leftChars="0" w:hanging="575" w:firstLineChars="0"/>
        <w:rPr>
          <w:rFonts w:ascii="Arial" w:hAnsi="Arial"/>
          <w:lang w:val="en-US" w:eastAsia="en-US"/>
        </w:rPr>
      </w:pPr>
      <w:bookmarkStart w:id="86" w:name="bookmark53"/>
      <w:bookmarkEnd w:id="86"/>
      <w:bookmarkStart w:id="87" w:name="bookmark144"/>
      <w:bookmarkEnd w:id="87"/>
      <w:bookmarkStart w:id="88" w:name="_Toc21876"/>
      <w:r>
        <w:rPr>
          <w:rFonts w:ascii="Arial" w:hAnsi="Arial"/>
          <w:lang w:val="en-US" w:eastAsia="en-US"/>
        </w:rPr>
        <w:t>合法合规性分析</w:t>
      </w:r>
      <w:bookmarkEnd w:id="88"/>
    </w:p>
    <w:p w14:paraId="5B0E0589">
      <w:pPr>
        <w:bidi w:val="0"/>
      </w:pPr>
      <w:r>
        <w:t>根据上述分析，项目特许经营安排的范围及产出清晰，在特许经营期内具有排他性，且项目通过经营收入覆盖投资及运营维护成本，未存在违反法律法规、政策文件精神的情况。具体分析如下：</w:t>
      </w:r>
    </w:p>
    <w:p w14:paraId="33734566">
      <w:pPr>
        <w:bidi w:val="0"/>
      </w:pPr>
      <w:r>
        <w:t>本项目特许经营期为</w:t>
      </w:r>
      <w:r>
        <w:rPr>
          <w:rFonts w:hint="eastAsia"/>
          <w:lang w:eastAsia="zh-CN"/>
        </w:rPr>
        <w:t>35年</w:t>
      </w:r>
      <w:r>
        <w:t>，本项目特许经营范围覆盖了</w:t>
      </w:r>
      <w:r>
        <w:rPr>
          <w:rFonts w:hint="eastAsia"/>
          <w:lang w:eastAsia="zh-CN"/>
        </w:rPr>
        <w:t>麻子滩等13座水库</w:t>
      </w:r>
      <w:r>
        <w:t>，其主要功能为提供</w:t>
      </w:r>
      <w:r>
        <w:rPr>
          <w:rFonts w:hint="eastAsia"/>
          <w:lang w:eastAsia="zh-CN"/>
        </w:rPr>
        <w:t>原水供水</w:t>
      </w:r>
      <w:r>
        <w:t>销售、农业灌溉用水销售服务</w:t>
      </w:r>
      <w:r>
        <w:rPr>
          <w:rFonts w:hint="eastAsia"/>
          <w:lang w:eastAsia="zh-CN"/>
        </w:rPr>
        <w:t>，</w:t>
      </w:r>
      <w:r>
        <w:t>在保证水库满足基础供水功能的前提下合理利用水资源开展</w:t>
      </w:r>
      <w:r>
        <w:rPr>
          <w:rFonts w:hint="eastAsia"/>
          <w:lang w:eastAsia="zh-CN"/>
        </w:rPr>
        <w:t>水库</w:t>
      </w:r>
      <w:r>
        <w:rPr>
          <w:rFonts w:hint="eastAsia"/>
          <w:lang w:val="en-US" w:eastAsia="zh-CN"/>
        </w:rPr>
        <w:t>生态养殖</w:t>
      </w:r>
      <w:r>
        <w:t>活动及附加运营并获得经营服务收入，故本项目特许经营范围明确，产出界定清晰。在特许经营者严格执行特许经营协议的前提下，</w:t>
      </w:r>
      <w:r>
        <w:rPr>
          <w:rFonts w:hint="eastAsia"/>
          <w:lang w:eastAsia="zh-CN"/>
        </w:rPr>
        <w:t>区政府</w:t>
      </w:r>
      <w:r>
        <w:t>保证其授予特许经营者投资、运</w:t>
      </w:r>
      <w:r>
        <w:rPr>
          <w:rFonts w:hint="eastAsia"/>
          <w:lang w:eastAsia="zh-CN"/>
        </w:rPr>
        <w:t>营和</w:t>
      </w:r>
      <w:r>
        <w:t>维护本项目的权利在整个特许经营期内始终持续有效和完整，故本项目不存在一定区域或期限内的排他性约定缺失的情况。</w:t>
      </w:r>
    </w:p>
    <w:p w14:paraId="1EB8E11A">
      <w:pPr>
        <w:bidi w:val="0"/>
        <w:rPr>
          <w:highlight w:val="none"/>
        </w:rPr>
      </w:pPr>
      <w:r>
        <w:t>本项目中农业灌溉用水销售收入最终</w:t>
      </w:r>
      <w:r>
        <w:rPr>
          <w:rFonts w:hint="eastAsia"/>
          <w:lang w:eastAsia="zh-CN"/>
        </w:rPr>
        <w:t>来自</w:t>
      </w:r>
      <w:r>
        <w:t>用水农户，</w:t>
      </w:r>
      <w:r>
        <w:rPr>
          <w:rFonts w:hint="eastAsia"/>
          <w:lang w:eastAsia="zh-CN"/>
        </w:rPr>
        <w:t>原水供水</w:t>
      </w:r>
      <w:r>
        <w:t>销售收入最终</w:t>
      </w:r>
      <w:r>
        <w:rPr>
          <w:rFonts w:hint="eastAsia"/>
          <w:lang w:eastAsia="zh-CN"/>
        </w:rPr>
        <w:t>来自</w:t>
      </w:r>
      <w:r>
        <w:t>取水的自来水厂，</w:t>
      </w:r>
      <w:r>
        <w:rPr>
          <w:rFonts w:hint="eastAsia"/>
          <w:lang w:eastAsia="zh-CN"/>
        </w:rPr>
        <w:t>水库水面租赁</w:t>
      </w:r>
      <w:r>
        <w:t>业务收入由特许经营者按照</w:t>
      </w:r>
      <w:r>
        <w:rPr>
          <w:highlight w:val="none"/>
        </w:rPr>
        <w:t>市场定价向消费者收取。本项目收入不存在政府财政付费情况。综上所述，本项目未通过可行性缺口补助、承诺保底收益率、可用性付费等方式使用财政资金弥补项目建设和运营成本等。</w:t>
      </w:r>
    </w:p>
    <w:p w14:paraId="71B7E0DA">
      <w:pPr>
        <w:bidi w:val="0"/>
        <w:rPr>
          <w:highlight w:val="none"/>
        </w:rPr>
      </w:pPr>
      <w:r>
        <w:rPr>
          <w:highlight w:val="none"/>
        </w:rPr>
        <w:t>本项目不涉及外商投资企业参与。</w:t>
      </w:r>
    </w:p>
    <w:p w14:paraId="0D805B5E">
      <w:pPr>
        <w:pStyle w:val="4"/>
        <w:numPr>
          <w:ilvl w:val="1"/>
          <w:numId w:val="4"/>
        </w:numPr>
        <w:bidi w:val="0"/>
        <w:ind w:left="575" w:leftChars="0" w:hanging="575" w:firstLineChars="0"/>
        <w:rPr>
          <w:rFonts w:ascii="Arial" w:hAnsi="Arial"/>
          <w:lang w:val="en-US" w:eastAsia="en-US"/>
        </w:rPr>
      </w:pPr>
      <w:bookmarkStart w:id="89" w:name="bookmark145"/>
      <w:bookmarkEnd w:id="89"/>
      <w:bookmarkStart w:id="90" w:name="bookmark54"/>
      <w:bookmarkEnd w:id="90"/>
      <w:bookmarkStart w:id="91" w:name="_Toc22495"/>
      <w:r>
        <w:rPr>
          <w:rFonts w:ascii="Arial" w:hAnsi="Arial"/>
          <w:lang w:val="en-US" w:eastAsia="en-US"/>
        </w:rPr>
        <w:t>特许经营风险分析</w:t>
      </w:r>
      <w:bookmarkEnd w:id="91"/>
    </w:p>
    <w:p w14:paraId="6EC83D6A">
      <w:pPr>
        <w:bidi w:val="0"/>
      </w:pPr>
      <w:r>
        <w:t>政府通过特许经营模式，积极引入私营部门参与水库项目的投资及运营，旨在提高项目运行效率、减轻财政负担，并推动水利产业的蓬勃发展。然而，任何模式的应用都伴随着潜在的风险，对于政府而言，深度分析并评估特许经营模式可能带来的风险，进而探讨其可控性，显得尤为关键。</w:t>
      </w:r>
    </w:p>
    <w:p w14:paraId="511AF909">
      <w:pPr>
        <w:pStyle w:val="5"/>
        <w:numPr>
          <w:ilvl w:val="2"/>
          <w:numId w:val="28"/>
        </w:numPr>
        <w:bidi w:val="0"/>
        <w:ind w:left="0" w:firstLine="402"/>
        <w:rPr>
          <w:rFonts w:ascii="Arial" w:hAnsi="Arial"/>
        </w:rPr>
      </w:pPr>
      <w:bookmarkStart w:id="92" w:name="bookmark55"/>
      <w:bookmarkEnd w:id="92"/>
      <w:r>
        <w:rPr>
          <w:rFonts w:ascii="Arial" w:hAnsi="Arial"/>
        </w:rPr>
        <w:t>特许经营模式风险分析</w:t>
      </w:r>
    </w:p>
    <w:p w14:paraId="3497AC34">
      <w:pPr>
        <w:pStyle w:val="6"/>
        <w:numPr>
          <w:ilvl w:val="3"/>
          <w:numId w:val="29"/>
        </w:numPr>
        <w:bidi w:val="0"/>
      </w:pPr>
      <w:r>
        <w:t>政策风险：稳定与透明至关重要</w:t>
      </w:r>
    </w:p>
    <w:p w14:paraId="2F21C120">
      <w:pPr>
        <w:bidi w:val="0"/>
      </w:pPr>
      <w:r>
        <w:t>政策作为特许经营模式的基石，其稳定性与透明度对于私营部门的投资信心具有重要影响。政策的不稳定性或频繁调整可能导致私营部门的投资回报受到波及，进而影响其参与项目的积极性。因此，政府应制定稳定、透明的政策，为私营部门提供明确的投资导向和权益保障，降低其面临的政策风险。</w:t>
      </w:r>
    </w:p>
    <w:p w14:paraId="78C92A0B">
      <w:pPr>
        <w:pStyle w:val="6"/>
        <w:numPr>
          <w:ilvl w:val="3"/>
          <w:numId w:val="29"/>
        </w:numPr>
        <w:bidi w:val="0"/>
      </w:pPr>
      <w:r>
        <w:t>监管风险：强化监管体系与机制</w:t>
      </w:r>
    </w:p>
    <w:p w14:paraId="457278B0">
      <w:pPr>
        <w:bidi w:val="0"/>
      </w:pPr>
      <w:r>
        <w:t>在特许经营模式下，政府对项目的监管力度和效果直接关系到项目的合规运营和安全生产。监管不到位或监管能力不足可能导致环境污染</w:t>
      </w:r>
      <w:r>
        <w:rPr>
          <w:rFonts w:hint="eastAsia"/>
          <w:lang w:eastAsia="zh-CN"/>
        </w:rPr>
        <w:t>、</w:t>
      </w:r>
      <w:r>
        <w:t>安全事故等问题的发生，严重损害公众利益和政府形象。因此，政府应建立健全的监管体系和机制，通过加强日常监管、定期检查和专项整治等手段</w:t>
      </w:r>
      <w:r>
        <w:rPr>
          <w:rFonts w:hint="eastAsia"/>
          <w:lang w:eastAsia="zh-CN"/>
        </w:rPr>
        <w:t>，</w:t>
      </w:r>
      <w:r>
        <w:t>确保项目的合规运营和安全生产。</w:t>
      </w:r>
    </w:p>
    <w:p w14:paraId="147DEE1B">
      <w:pPr>
        <w:pStyle w:val="6"/>
        <w:numPr>
          <w:ilvl w:val="3"/>
          <w:numId w:val="29"/>
        </w:numPr>
        <w:bidi w:val="0"/>
      </w:pPr>
      <w:bookmarkStart w:id="93" w:name="bookmark146"/>
      <w:bookmarkEnd w:id="93"/>
      <w:r>
        <w:t>合作风险：构建公平、透明的合作机制</w:t>
      </w:r>
    </w:p>
    <w:p w14:paraId="45137B80">
      <w:pPr>
        <w:bidi w:val="0"/>
      </w:pPr>
      <w:r>
        <w:t>政府与私营部门在特许经营模式中的合作关系至关重要。然而，由于双方利益诉求不一致、沟通不畅等原因，合作中可能产生摩擦和矛盾</w:t>
      </w:r>
      <w:r>
        <w:rPr>
          <w:rFonts w:hint="eastAsia"/>
          <w:lang w:eastAsia="zh-CN"/>
        </w:rPr>
        <w:t>。</w:t>
      </w:r>
      <w:r>
        <w:t>此外，私营部门的经营状况和财务状况也可能对项目的稳定运行产生影响。为防范合作风险，政府应明确双方的权利和义务，建立公平、透明的合作机制，并通过加强沟通、协商和调解等方式，及时解决合作中的问题和矛盾。</w:t>
      </w:r>
    </w:p>
    <w:p w14:paraId="65651AE8">
      <w:pPr>
        <w:pStyle w:val="5"/>
        <w:numPr>
          <w:ilvl w:val="2"/>
          <w:numId w:val="28"/>
        </w:numPr>
        <w:bidi w:val="0"/>
        <w:ind w:left="0" w:firstLine="402"/>
        <w:rPr>
          <w:rFonts w:ascii="Arial" w:hAnsi="Arial"/>
        </w:rPr>
      </w:pPr>
      <w:bookmarkStart w:id="94" w:name="bookmark56"/>
      <w:bookmarkEnd w:id="94"/>
      <w:r>
        <w:rPr>
          <w:rFonts w:ascii="Arial" w:hAnsi="Arial"/>
        </w:rPr>
        <w:t>风险应对措施</w:t>
      </w:r>
    </w:p>
    <w:p w14:paraId="5BF14404">
      <w:pPr>
        <w:pStyle w:val="6"/>
        <w:numPr>
          <w:ilvl w:val="3"/>
          <w:numId w:val="30"/>
        </w:numPr>
        <w:bidi w:val="0"/>
      </w:pPr>
      <w:r>
        <w:t>政策风险的应对措施：稳定政策与加强解读</w:t>
      </w:r>
    </w:p>
    <w:p w14:paraId="4725CB52">
      <w:pPr>
        <w:bidi w:val="0"/>
        <w:rPr>
          <w:rFonts w:ascii="仿宋" w:hAnsi="仿宋" w:eastAsia="仿宋" w:cs="仿宋"/>
          <w:szCs w:val="31"/>
        </w:rPr>
      </w:pPr>
      <w:r>
        <w:t>为降低政策风险，政府可采取一系列应对措施。首先，制定稳定、透明的政策，明确特许经营项目的权益保障和补偿机制，为私营部门提供稳定的投资环境。其次，加强政策宣传和解读工作，提高私营部门对政策的理解和预期，减少因信息不对称导致的投资风险。</w:t>
      </w:r>
    </w:p>
    <w:p w14:paraId="26D8E52A">
      <w:pPr>
        <w:pStyle w:val="6"/>
        <w:numPr>
          <w:ilvl w:val="3"/>
          <w:numId w:val="30"/>
        </w:numPr>
        <w:bidi w:val="0"/>
      </w:pPr>
      <w:r>
        <w:t>监管风险的防控机制：强化监管与协作</w:t>
      </w:r>
    </w:p>
    <w:p w14:paraId="63EF6535">
      <w:pPr>
        <w:bidi w:val="0"/>
      </w:pPr>
      <w:r>
        <w:t>在监管风险的防控方面，政府应建立健全的监管体系和机制，确保项目的合规运营和安全生产。通过加强日常监管、定期检查和专项整治等手段，及时发现和纠正项目中的问题。同时，加强与私营部门的沟通与协作，共同推动项目的可持续发展，实现政府监管与私营部门运营的良性互动。</w:t>
      </w:r>
    </w:p>
    <w:p w14:paraId="5C4E4F2C">
      <w:pPr>
        <w:pStyle w:val="6"/>
        <w:numPr>
          <w:ilvl w:val="3"/>
          <w:numId w:val="30"/>
        </w:numPr>
        <w:bidi w:val="0"/>
      </w:pPr>
      <w:bookmarkStart w:id="95" w:name="bookmark147"/>
      <w:bookmarkEnd w:id="95"/>
      <w:r>
        <w:t>合作风险的防范与管理：明确权责与建立退出机制</w:t>
      </w:r>
    </w:p>
    <w:p w14:paraId="02F78C03">
      <w:pPr>
        <w:bidi w:val="0"/>
      </w:pPr>
      <w:r>
        <w:t>为防范合作风险，政府在与私营部门合作过程中应明确双方的权利和义务，建立公平、透明的合作机制。通过加强沟通、协商和调解等方式，及时解决合作中的问题和矛盾。同时，建立健全的退出机制，确保在私营部门经营不善或违约时能够及时采取措施，保障项目的稳定运行和政府的权益。</w:t>
      </w:r>
    </w:p>
    <w:p w14:paraId="631BBBA0">
      <w:pPr>
        <w:bidi w:val="0"/>
        <w:rPr>
          <w:rFonts w:ascii="仿宋" w:hAnsi="仿宋" w:eastAsia="仿宋" w:cs="仿宋"/>
          <w:sz w:val="31"/>
          <w:szCs w:val="31"/>
        </w:rPr>
        <w:sectPr>
          <w:headerReference r:id="rId9" w:type="default"/>
          <w:footerReference r:id="rId10" w:type="default"/>
          <w:pgSz w:w="11906" w:h="16839"/>
          <w:pgMar w:top="1134" w:right="1435" w:bottom="1576" w:left="1596" w:header="862" w:footer="1414" w:gutter="0"/>
          <w:pgNumType w:fmt="decimal"/>
          <w:cols w:space="720" w:num="1"/>
        </w:sectPr>
      </w:pPr>
      <w:r>
        <w:t>综上所述，从政府角度出发，水库项目特许经营模式虽然存在一定的风险，但通过制定合理的政策、加强监管和合作管理，这些风险是可控的。政府应加强与私营部门的合作与沟通，共同推动项目的顺利实施和可持续发展。同时，政府还应不断总结经验教训，完善风险管理制度和措施，为未来的类似项目提供有益借鉴和参考。</w:t>
      </w:r>
    </w:p>
    <w:p w14:paraId="7DF70DC3">
      <w:pPr>
        <w:pStyle w:val="8"/>
        <w:spacing w:line="253" w:lineRule="auto"/>
        <w:ind w:left="0" w:leftChars="0" w:firstLine="0" w:firstLineChars="0"/>
      </w:pPr>
    </w:p>
    <w:p w14:paraId="55BDC967">
      <w:pPr>
        <w:pStyle w:val="3"/>
        <w:numPr>
          <w:ilvl w:val="0"/>
          <w:numId w:val="4"/>
        </w:numPr>
        <w:tabs>
          <w:tab w:val="left" w:pos="0"/>
        </w:tabs>
        <w:bidi w:val="0"/>
        <w:ind w:left="0" w:leftChars="0" w:right="0" w:rightChars="0" w:firstLine="0" w:firstLineChars="0"/>
        <w:jc w:val="center"/>
        <w:rPr>
          <w:rFonts w:hint="eastAsia" w:ascii="Arial" w:hAnsi="Arial"/>
          <w:lang w:val="en-US" w:eastAsia="zh-CN"/>
        </w:rPr>
      </w:pPr>
      <w:bookmarkStart w:id="96" w:name="_Toc24954"/>
      <w:r>
        <w:rPr>
          <w:rFonts w:hint="eastAsia" w:ascii="Arial" w:hAnsi="Arial"/>
          <w:lang w:val="en-US" w:eastAsia="zh-CN"/>
        </w:rPr>
        <w:t>特许经营主要内容</w:t>
      </w:r>
      <w:bookmarkEnd w:id="96"/>
    </w:p>
    <w:p w14:paraId="50072E47">
      <w:pPr>
        <w:rPr>
          <w:rFonts w:hint="eastAsia"/>
          <w:lang w:val="en-US" w:eastAsia="zh-CN"/>
        </w:rPr>
      </w:pPr>
    </w:p>
    <w:p w14:paraId="0977DF4A">
      <w:pPr>
        <w:pStyle w:val="4"/>
        <w:numPr>
          <w:ilvl w:val="1"/>
          <w:numId w:val="4"/>
        </w:numPr>
        <w:bidi w:val="0"/>
        <w:ind w:left="575" w:leftChars="0" w:hanging="575" w:firstLineChars="0"/>
        <w:rPr>
          <w:rFonts w:ascii="Arial" w:hAnsi="Arial"/>
          <w:lang w:val="en-US" w:eastAsia="en-US"/>
        </w:rPr>
      </w:pPr>
      <w:bookmarkStart w:id="97" w:name="bookmark58"/>
      <w:bookmarkEnd w:id="97"/>
      <w:bookmarkStart w:id="98" w:name="_Toc12607"/>
      <w:r>
        <w:rPr>
          <w:rFonts w:ascii="Arial" w:hAnsi="Arial"/>
          <w:lang w:val="en-US" w:eastAsia="en-US"/>
        </w:rPr>
        <w:t>特许经营范围</w:t>
      </w:r>
      <w:bookmarkEnd w:id="98"/>
    </w:p>
    <w:p w14:paraId="4CF66688">
      <w:pPr>
        <w:bidi w:val="0"/>
      </w:pPr>
      <w:r>
        <w:t>本项目特许经营范围涉及</w:t>
      </w:r>
      <w:r>
        <w:rPr>
          <w:rFonts w:hint="eastAsia"/>
          <w:lang w:eastAsia="zh-CN"/>
        </w:rPr>
        <w:t>麻子滩等13座水库</w:t>
      </w:r>
      <w:r>
        <w:t>，通过特许经营权转让引入特许经营者，在特许经营期内由特许经营者负责存量水库的运营和维护</w:t>
      </w:r>
      <w:r>
        <w:rPr>
          <w:rFonts w:hint="eastAsia"/>
          <w:lang w:eastAsia="zh-CN"/>
        </w:rPr>
        <w:t>，</w:t>
      </w:r>
      <w:r>
        <w:t>提供</w:t>
      </w:r>
      <w:r>
        <w:rPr>
          <w:rFonts w:hint="eastAsia"/>
          <w:lang w:eastAsia="zh-CN"/>
        </w:rPr>
        <w:t>原水供水</w:t>
      </w:r>
      <w:r>
        <w:t>销售、农业灌溉用水销售服务，在保证水库满足基础供水功能的前提下合理利用水资源开展</w:t>
      </w:r>
      <w:r>
        <w:rPr>
          <w:rFonts w:hint="eastAsia"/>
          <w:lang w:eastAsia="zh-CN"/>
        </w:rPr>
        <w:t>水库</w:t>
      </w:r>
      <w:r>
        <w:rPr>
          <w:rFonts w:hint="eastAsia"/>
          <w:lang w:val="en-US" w:eastAsia="zh-CN"/>
        </w:rPr>
        <w:t>生态养殖</w:t>
      </w:r>
      <w:r>
        <w:t>活动及附加运营并获得经营服务收入。</w:t>
      </w:r>
    </w:p>
    <w:p w14:paraId="62E242EA">
      <w:pPr>
        <w:bidi w:val="0"/>
      </w:pPr>
      <w:r>
        <w:t>本项目服务范围主要包括</w:t>
      </w:r>
      <w:r>
        <w:rPr>
          <w:rFonts w:hint="eastAsia"/>
          <w:lang w:val="en-US" w:eastAsia="zh-CN"/>
        </w:rPr>
        <w:t>安居区白马镇、东禅镇、拦江镇、保石镇、横山镇、常理镇、西眉镇、磨溪镇、安居镇</w:t>
      </w:r>
      <w:r>
        <w:t>。</w:t>
      </w:r>
    </w:p>
    <w:p w14:paraId="75E4DA5C">
      <w:pPr>
        <w:bidi w:val="0"/>
      </w:pPr>
      <w:r>
        <w:t>政府方通过拍卖方式依法依规选择特许经营者，特许经营期内，特许经营者负责本项目</w:t>
      </w:r>
      <w:r>
        <w:rPr>
          <w:rFonts w:hint="eastAsia"/>
          <w:lang w:val="en-US" w:eastAsia="zh-CN"/>
        </w:rPr>
        <w:t>13</w:t>
      </w:r>
      <w:r>
        <w:t>座水库的运营维护，依托水库资源提供农业灌溉用水销售、</w:t>
      </w:r>
      <w:r>
        <w:rPr>
          <w:rFonts w:hint="eastAsia"/>
          <w:lang w:eastAsia="zh-CN"/>
        </w:rPr>
        <w:t>原水供水</w:t>
      </w:r>
      <w:r>
        <w:t>销售以及利用本项目合法合规开展多项经营（包括但不限于</w:t>
      </w:r>
      <w:r>
        <w:rPr>
          <w:rFonts w:hint="eastAsia"/>
          <w:lang w:eastAsia="zh-CN"/>
        </w:rPr>
        <w:t>生态渔业养殖</w:t>
      </w:r>
      <w:r>
        <w:t>等）取得经营性收入。特许经营期届满，项目公司按特许经营协议约定依法依规向政府方指定机构无偿、完好地移交项目设施所有权和所有权益。</w:t>
      </w:r>
    </w:p>
    <w:p w14:paraId="6C716EB1">
      <w:pPr>
        <w:pStyle w:val="4"/>
        <w:numPr>
          <w:ilvl w:val="1"/>
          <w:numId w:val="4"/>
        </w:numPr>
        <w:bidi w:val="0"/>
        <w:ind w:left="575" w:leftChars="0" w:hanging="575" w:firstLineChars="0"/>
        <w:rPr>
          <w:rFonts w:ascii="Arial" w:hAnsi="Arial"/>
          <w:lang w:val="en-US" w:eastAsia="en-US"/>
        </w:rPr>
      </w:pPr>
      <w:bookmarkStart w:id="99" w:name="bookmark59"/>
      <w:bookmarkEnd w:id="99"/>
      <w:bookmarkStart w:id="100" w:name="_Toc24224"/>
      <w:r>
        <w:rPr>
          <w:rFonts w:ascii="Arial" w:hAnsi="Arial"/>
          <w:lang w:val="en-US" w:eastAsia="en-US"/>
        </w:rPr>
        <w:t>实施方式</w:t>
      </w:r>
      <w:bookmarkEnd w:id="100"/>
    </w:p>
    <w:p w14:paraId="2FAE3837">
      <w:pPr>
        <w:bidi w:val="0"/>
      </w:pPr>
      <w:r>
        <w:t>本项目特点如下：一是本项目属于存量项目；二是本项目特许经营期届满需要将项目设施移交给项目实施机构或其指定机构。结合本项目实际情况，拟采用转让</w:t>
      </w:r>
      <w:r>
        <w:rPr>
          <w:rFonts w:hint="eastAsia"/>
          <w:lang w:eastAsia="zh-CN"/>
        </w:rPr>
        <w:t>－</w:t>
      </w:r>
      <w:r>
        <w:t>运营</w:t>
      </w:r>
      <w:r>
        <w:rPr>
          <w:rFonts w:hint="eastAsia"/>
          <w:lang w:eastAsia="zh-CN"/>
        </w:rPr>
        <w:t>－</w:t>
      </w:r>
      <w:r>
        <w:t>移交（Transfer-Operate-Transfer，TOT）的实施方式。</w:t>
      </w:r>
    </w:p>
    <w:p w14:paraId="11EC4F47">
      <w:pPr>
        <w:pStyle w:val="4"/>
        <w:numPr>
          <w:ilvl w:val="1"/>
          <w:numId w:val="4"/>
        </w:numPr>
        <w:bidi w:val="0"/>
        <w:ind w:left="575" w:leftChars="0" w:hanging="575" w:firstLineChars="0"/>
        <w:rPr>
          <w:rFonts w:ascii="Arial" w:hAnsi="Arial"/>
          <w:lang w:val="en-US" w:eastAsia="en-US"/>
        </w:rPr>
      </w:pPr>
      <w:bookmarkStart w:id="101" w:name="bookmark60"/>
      <w:bookmarkEnd w:id="101"/>
      <w:bookmarkStart w:id="102" w:name="_Toc6435"/>
      <w:r>
        <w:rPr>
          <w:rFonts w:ascii="Arial" w:hAnsi="Arial"/>
          <w:lang w:val="en-US" w:eastAsia="en-US"/>
        </w:rPr>
        <w:t>特许经营期限和资产权属</w:t>
      </w:r>
      <w:bookmarkEnd w:id="102"/>
    </w:p>
    <w:p w14:paraId="6294CF7F">
      <w:pPr>
        <w:pStyle w:val="5"/>
        <w:numPr>
          <w:ilvl w:val="2"/>
          <w:numId w:val="31"/>
        </w:numPr>
        <w:bidi w:val="0"/>
        <w:ind w:left="0" w:firstLine="402"/>
        <w:rPr>
          <w:rFonts w:ascii="Arial" w:hAnsi="Arial"/>
        </w:rPr>
      </w:pPr>
      <w:bookmarkStart w:id="103" w:name="bookmark61"/>
      <w:bookmarkEnd w:id="103"/>
      <w:r>
        <w:rPr>
          <w:rFonts w:ascii="Arial" w:hAnsi="Arial"/>
        </w:rPr>
        <w:t>特许经营期限</w:t>
      </w:r>
    </w:p>
    <w:p w14:paraId="0BB397FC">
      <w:pPr>
        <w:bidi w:val="0"/>
      </w:pPr>
      <w:r>
        <w:t>《国务院办公厅转发国家发展改革委、财政部〈关于规范实施政府和社会资本合作新机制的指导意见〉的通知》（国办函〔2023〕115号）规定：</w:t>
      </w:r>
      <w:r>
        <w:rPr>
          <w:rFonts w:hint="eastAsia"/>
          <w:lang w:eastAsia="zh-CN"/>
        </w:rPr>
        <w:t>“</w:t>
      </w:r>
      <w:r>
        <w:t>根据国家有关规定和项目建设投资、运营成本、投资回收年限等，合理确定特许经营期限，充分保障特许经营者合法权益。特许经营期限原则上不超过40年，投资规模大、回报周期长的特许经营项目可以根据实际情况适当延长，法律法规另有规定的除外</w:t>
      </w:r>
      <w:r>
        <w:rPr>
          <w:rFonts w:hint="eastAsia"/>
          <w:lang w:eastAsia="zh-CN"/>
        </w:rPr>
        <w:t>”</w:t>
      </w:r>
      <w:r>
        <w:t>。</w:t>
      </w:r>
    </w:p>
    <w:p w14:paraId="565DCB90">
      <w:pPr>
        <w:bidi w:val="0"/>
      </w:pPr>
      <w:r>
        <w:t>根据本项目的特点，本项目特许经营期定为</w:t>
      </w:r>
      <w:r>
        <w:rPr>
          <w:rFonts w:hint="eastAsia"/>
          <w:lang w:eastAsia="zh-CN"/>
        </w:rPr>
        <w:t>35年</w:t>
      </w:r>
      <w:r>
        <w:t>，自特许经营协议签订之日起计算。</w:t>
      </w:r>
    </w:p>
    <w:p w14:paraId="1F2DE77B">
      <w:pPr>
        <w:pStyle w:val="5"/>
        <w:numPr>
          <w:ilvl w:val="2"/>
          <w:numId w:val="31"/>
        </w:numPr>
        <w:bidi w:val="0"/>
        <w:ind w:left="0" w:firstLine="402"/>
        <w:rPr>
          <w:rFonts w:ascii="Arial" w:hAnsi="Arial"/>
        </w:rPr>
      </w:pPr>
      <w:bookmarkStart w:id="104" w:name="bookmark62"/>
      <w:bookmarkEnd w:id="104"/>
      <w:r>
        <w:rPr>
          <w:rFonts w:ascii="Arial" w:hAnsi="Arial"/>
        </w:rPr>
        <w:t>资产权属</w:t>
      </w:r>
    </w:p>
    <w:p w14:paraId="1FD176BB">
      <w:pPr>
        <w:bidi w:val="0"/>
      </w:pPr>
      <w:r>
        <w:t>特许经营期内，本项目所涉土地和资产权属均归属于</w:t>
      </w:r>
      <w:r>
        <w:rPr>
          <w:rFonts w:hint="eastAsia"/>
          <w:lang w:eastAsia="zh-CN"/>
        </w:rPr>
        <w:t>安居区</w:t>
      </w:r>
      <w:r>
        <w:t>人民政府</w:t>
      </w:r>
      <w:r>
        <w:rPr>
          <w:rFonts w:hint="eastAsia"/>
          <w:lang w:eastAsia="zh-CN"/>
        </w:rPr>
        <w:t>，</w:t>
      </w:r>
      <w:r>
        <w:t>特许经营者拥有项目设施的使用权、经营权和收益权。特许经营期届满</w:t>
      </w:r>
      <w:r>
        <w:rPr>
          <w:rFonts w:hint="eastAsia"/>
          <w:lang w:eastAsia="zh-CN"/>
        </w:rPr>
        <w:t>，</w:t>
      </w:r>
      <w:r>
        <w:t>特许经营者应向项目实施机构或其指定机构在完好、无偿、能正常运营、无债务、无设定抵押担保的条件下移交本项目设施的所有权和所有权益。</w:t>
      </w:r>
    </w:p>
    <w:p w14:paraId="27C491E3">
      <w:pPr>
        <w:pStyle w:val="5"/>
        <w:numPr>
          <w:ilvl w:val="2"/>
          <w:numId w:val="31"/>
        </w:numPr>
        <w:bidi w:val="0"/>
        <w:ind w:left="0" w:firstLine="402"/>
        <w:rPr>
          <w:rFonts w:ascii="Arial" w:hAnsi="Arial"/>
        </w:rPr>
      </w:pPr>
      <w:bookmarkStart w:id="105" w:name="bookmark63"/>
      <w:bookmarkEnd w:id="105"/>
      <w:r>
        <w:rPr>
          <w:rFonts w:ascii="Arial" w:hAnsi="Arial"/>
        </w:rPr>
        <w:t>项目移交</w:t>
      </w:r>
    </w:p>
    <w:p w14:paraId="52F92B3C">
      <w:pPr>
        <w:pStyle w:val="6"/>
        <w:numPr>
          <w:ilvl w:val="3"/>
          <w:numId w:val="32"/>
        </w:numPr>
        <w:bidi w:val="0"/>
      </w:pPr>
      <w:r>
        <w:t>移交委员会和移交程序</w:t>
      </w:r>
    </w:p>
    <w:p w14:paraId="1ED52526">
      <w:pPr>
        <w:bidi w:val="0"/>
        <w:rPr>
          <w:rFonts w:hint="eastAsia" w:eastAsia="仿宋"/>
          <w:lang w:eastAsia="zh-CN"/>
        </w:rPr>
      </w:pPr>
      <w:r>
        <w:t>项目特许经营期届满12个月前，项目实施机构或政府指定的其他机构和特许经营者应成立移交委员会，移交委员会由项目</w:t>
      </w:r>
      <w:bookmarkStart w:id="106" w:name="bookmark148"/>
      <w:bookmarkEnd w:id="106"/>
      <w:r>
        <w:t>实施机构或政府指定的其他机构的授权代表和特许经营者的授权代表组成。移交委员会应定期或不定期举行会议，商定具体移交方式、移交程序和移交要求</w:t>
      </w:r>
      <w:r>
        <w:rPr>
          <w:rFonts w:hint="eastAsia"/>
          <w:lang w:eastAsia="zh-CN"/>
        </w:rPr>
        <w:t>。</w:t>
      </w:r>
    </w:p>
    <w:p w14:paraId="47206A1B">
      <w:pPr>
        <w:bidi w:val="0"/>
        <w:rPr>
          <w:rFonts w:hint="eastAsia" w:eastAsia="仿宋"/>
          <w:lang w:eastAsia="zh-CN"/>
        </w:rPr>
      </w:pPr>
      <w:r>
        <w:t>移交开始前，特许经营者应按照项目实施机构或政府指定的其他机构的要求提交所有资产清册，资产清册应包括本项目所有资产应列名目</w:t>
      </w:r>
      <w:r>
        <w:rPr>
          <w:rFonts w:hint="eastAsia"/>
          <w:lang w:eastAsia="zh-CN"/>
        </w:rPr>
        <w:t>。</w:t>
      </w:r>
    </w:p>
    <w:p w14:paraId="065AFF3C">
      <w:pPr>
        <w:pStyle w:val="6"/>
        <w:numPr>
          <w:ilvl w:val="3"/>
          <w:numId w:val="32"/>
        </w:numPr>
        <w:bidi w:val="0"/>
      </w:pPr>
      <w:r>
        <w:t>移交标准与缺陷修复</w:t>
      </w:r>
    </w:p>
    <w:p w14:paraId="1D75BD8F">
      <w:pPr>
        <w:bidi w:val="0"/>
      </w:pPr>
      <w:r>
        <w:t>项目移交日，特许经营者应保证项目设施均处于良好的管理和运营状况（正常损耗除外）、处于正常使用状态、符合适用法律和特许经营协议所规定的安全、质量和环境等有关标准（以下简称“移交标准”）。</w:t>
      </w:r>
    </w:p>
    <w:p w14:paraId="3EF1F651">
      <w:pPr>
        <w:bidi w:val="0"/>
      </w:pPr>
      <w:r>
        <w:t>如经过性能测试，表明移交的项目实施存在任何缺陷的、未能达到移交标准的，则特许经营者应及时修复。如特许经营者拒绝修复，则项目实施机构有权扣除履约保证金中相应金额进行修复。如项目实施机构或特许经营者对是否达到移交标准有异议的，则由移交委员会聘请第三方机构进行评定。</w:t>
      </w:r>
    </w:p>
    <w:p w14:paraId="29CDCEB6">
      <w:pPr>
        <w:bidi w:val="0"/>
      </w:pPr>
      <w:r>
        <w:t>移交后的移交保证期内（为移交后十二个月），特许经营者须按国家规定履行项目设施的保修义务（因不可抗力、接受移交的单位使用不当造成的损坏除外），修复项目设施的任何部分在特许经营期内出现的任何缺陷或损坏。</w:t>
      </w:r>
    </w:p>
    <w:p w14:paraId="3E471554">
      <w:pPr>
        <w:pStyle w:val="4"/>
        <w:numPr>
          <w:ilvl w:val="1"/>
          <w:numId w:val="4"/>
        </w:numPr>
        <w:bidi w:val="0"/>
        <w:ind w:left="575" w:leftChars="0" w:hanging="575" w:firstLineChars="0"/>
        <w:rPr>
          <w:rFonts w:ascii="Arial" w:hAnsi="Arial"/>
          <w:lang w:val="en-US" w:eastAsia="en-US"/>
        </w:rPr>
      </w:pPr>
      <w:bookmarkStart w:id="107" w:name="bookmark64"/>
      <w:bookmarkEnd w:id="107"/>
      <w:bookmarkStart w:id="108" w:name="bookmark149"/>
      <w:bookmarkEnd w:id="108"/>
      <w:bookmarkStart w:id="109" w:name="_Toc6043"/>
      <w:r>
        <w:rPr>
          <w:rFonts w:ascii="Arial" w:hAnsi="Arial"/>
          <w:lang w:val="en-US" w:eastAsia="en-US"/>
        </w:rPr>
        <w:t>特许经营主要原则和合作边界</w:t>
      </w:r>
      <w:bookmarkEnd w:id="109"/>
    </w:p>
    <w:p w14:paraId="3DFF7350">
      <w:pPr>
        <w:pStyle w:val="5"/>
        <w:numPr>
          <w:ilvl w:val="2"/>
          <w:numId w:val="33"/>
        </w:numPr>
        <w:bidi w:val="0"/>
        <w:ind w:left="0" w:firstLine="402"/>
        <w:rPr>
          <w:rFonts w:ascii="Arial" w:hAnsi="Arial"/>
        </w:rPr>
      </w:pPr>
      <w:bookmarkStart w:id="110" w:name="bookmark65"/>
      <w:bookmarkEnd w:id="110"/>
      <w:r>
        <w:rPr>
          <w:rFonts w:ascii="Arial" w:hAnsi="Arial"/>
        </w:rPr>
        <w:t>基本原则</w:t>
      </w:r>
    </w:p>
    <w:p w14:paraId="1DF51EE3">
      <w:pPr>
        <w:bidi w:val="0"/>
      </w:pPr>
      <w:r>
        <w:t>根据《国务院办公厅转发国家发展改革委、财政部〈关于规范实施政府和社会资本合作新机制的指导意见〉的通知》（国办函〔2023〕115号）第一条：</w:t>
      </w:r>
      <w:r>
        <w:rPr>
          <w:rFonts w:hint="eastAsia"/>
          <w:lang w:eastAsia="zh-CN"/>
        </w:rPr>
        <w:t>“</w:t>
      </w:r>
      <w:r>
        <w:t>政府和社会资本合作项目应聚焦使用者付费项目，明确收费渠道和方式，项目经营收入能够覆盖建设投资和运营成本、具备一定投资回报，不因采用政府和社会资本合作模式额外新增地方财政未来支出责任</w:t>
      </w:r>
      <w:r>
        <w:rPr>
          <w:rFonts w:hint="eastAsia"/>
          <w:lang w:eastAsia="zh-CN"/>
        </w:rPr>
        <w:t>。</w:t>
      </w:r>
      <w:r>
        <w:t>政府可在严防新增地方政府隐性债务、符合法律法规和有关政策规定要求的前提下，按照一视同仁的原则，在项目建设</w:t>
      </w:r>
      <w:r>
        <w:rPr>
          <w:rFonts w:hint="eastAsia"/>
          <w:lang w:eastAsia="zh-CN"/>
        </w:rPr>
        <w:t>期间</w:t>
      </w:r>
      <w:r>
        <w:t>对使用者付费项目给予政府投资支持；政府付费只能按规定补贴运营、不能补贴建设成本。</w:t>
      </w:r>
      <w:r>
        <w:rPr>
          <w:rFonts w:hint="eastAsia"/>
          <w:lang w:eastAsia="zh-CN"/>
        </w:rPr>
        <w:t>”</w:t>
      </w:r>
    </w:p>
    <w:p w14:paraId="6CCBECC0">
      <w:pPr>
        <w:bidi w:val="0"/>
        <w:rPr>
          <w:highlight w:val="yellow"/>
        </w:rPr>
      </w:pPr>
      <w:r>
        <w:t>本项目收入部分来源包括</w:t>
      </w:r>
      <w:r>
        <w:rPr>
          <w:rFonts w:hint="eastAsia"/>
          <w:lang w:val="en-US" w:eastAsia="zh-CN"/>
        </w:rPr>
        <w:t>三</w:t>
      </w:r>
      <w:r>
        <w:t>部分：一是农业灌溉用水销售收入，收入来源为用水农户；二是</w:t>
      </w:r>
      <w:r>
        <w:rPr>
          <w:rFonts w:hint="eastAsia"/>
          <w:lang w:eastAsia="zh-CN"/>
        </w:rPr>
        <w:t>原水供水</w:t>
      </w:r>
      <w:r>
        <w:t>销售收入，收入来源为自来水厂</w:t>
      </w:r>
      <w:r>
        <w:rPr>
          <w:rFonts w:hint="eastAsia"/>
          <w:lang w:eastAsia="zh-CN"/>
        </w:rPr>
        <w:t>；</w:t>
      </w:r>
      <w:r>
        <w:t>三是</w:t>
      </w:r>
      <w:r>
        <w:rPr>
          <w:rFonts w:hint="eastAsia"/>
          <w:highlight w:val="none"/>
          <w:lang w:eastAsia="zh-CN"/>
        </w:rPr>
        <w:t>水库水面租赁</w:t>
      </w:r>
      <w:r>
        <w:rPr>
          <w:highlight w:val="none"/>
        </w:rPr>
        <w:t>业务收入，特许经营者依托水库水面资源，</w:t>
      </w:r>
      <w:r>
        <w:rPr>
          <w:rFonts w:hint="eastAsia"/>
          <w:highlight w:val="none"/>
          <w:lang w:val="en-US" w:eastAsia="zh-CN"/>
        </w:rPr>
        <w:t>将</w:t>
      </w:r>
      <w:r>
        <w:rPr>
          <w:rFonts w:hint="eastAsia"/>
          <w:highlight w:val="none"/>
        </w:rPr>
        <w:t>水库水面</w:t>
      </w:r>
      <w:r>
        <w:rPr>
          <w:rFonts w:hint="eastAsia"/>
          <w:highlight w:val="none"/>
          <w:lang w:val="en-US" w:eastAsia="zh-CN"/>
        </w:rPr>
        <w:t>租赁给渔业养殖公司获取水面租赁收入，渔业养殖公司</w:t>
      </w:r>
      <w:r>
        <w:rPr>
          <w:highlight w:val="none"/>
        </w:rPr>
        <w:t>利用</w:t>
      </w:r>
      <w:r>
        <w:rPr>
          <w:rFonts w:hint="eastAsia"/>
          <w:highlight w:val="none"/>
          <w:lang w:eastAsia="zh-CN"/>
        </w:rPr>
        <w:t>水库水体</w:t>
      </w:r>
      <w:r>
        <w:rPr>
          <w:highlight w:val="none"/>
        </w:rPr>
        <w:t>开展</w:t>
      </w:r>
      <w:r>
        <w:rPr>
          <w:rFonts w:hint="eastAsia"/>
          <w:highlight w:val="none"/>
          <w:lang w:val="en-US" w:eastAsia="zh-CN"/>
        </w:rPr>
        <w:t>生态渔业养殖业务</w:t>
      </w:r>
      <w:r>
        <w:rPr>
          <w:highlight w:val="none"/>
        </w:rPr>
        <w:t>。</w:t>
      </w:r>
    </w:p>
    <w:p w14:paraId="336DA34D">
      <w:pPr>
        <w:bidi w:val="0"/>
      </w:pPr>
      <w:r>
        <w:t>特许经营者营业收入=农业灌溉用水销售收入+</w:t>
      </w:r>
      <w:r>
        <w:rPr>
          <w:rFonts w:hint="eastAsia"/>
          <w:lang w:eastAsia="zh-CN"/>
        </w:rPr>
        <w:t>原水供水</w:t>
      </w:r>
      <w:r>
        <w:t>销售收入+</w:t>
      </w:r>
      <w:r>
        <w:rPr>
          <w:rFonts w:hint="eastAsia"/>
          <w:lang w:eastAsia="zh-CN"/>
        </w:rPr>
        <w:t>水库水面租赁</w:t>
      </w:r>
      <w:r>
        <w:t>业务收入。</w:t>
      </w:r>
    </w:p>
    <w:p w14:paraId="5849DF44">
      <w:pPr>
        <w:pStyle w:val="5"/>
        <w:numPr>
          <w:ilvl w:val="2"/>
          <w:numId w:val="33"/>
        </w:numPr>
        <w:bidi w:val="0"/>
        <w:ind w:left="0" w:firstLine="402"/>
        <w:rPr>
          <w:rFonts w:ascii="Arial" w:hAnsi="Arial"/>
        </w:rPr>
      </w:pPr>
      <w:bookmarkStart w:id="111" w:name="bookmark66"/>
      <w:bookmarkEnd w:id="111"/>
      <w:r>
        <w:rPr>
          <w:rFonts w:ascii="Arial" w:hAnsi="Arial"/>
        </w:rPr>
        <w:t>定价机制</w:t>
      </w:r>
    </w:p>
    <w:p w14:paraId="00BB3233">
      <w:pPr>
        <w:pStyle w:val="6"/>
        <w:numPr>
          <w:ilvl w:val="3"/>
          <w:numId w:val="34"/>
        </w:numPr>
        <w:bidi w:val="0"/>
      </w:pPr>
      <w:r>
        <w:t>农业灌溉用水定价</w:t>
      </w:r>
    </w:p>
    <w:p w14:paraId="2E0DA877">
      <w:pPr>
        <w:bidi w:val="0"/>
      </w:pPr>
      <w:r>
        <w:t>农业灌溉供水单价由政府进行定价，根据《</w:t>
      </w:r>
      <w:r>
        <w:rPr>
          <w:rFonts w:hint="eastAsia"/>
          <w:lang w:eastAsia="zh-CN"/>
        </w:rPr>
        <w:t>安居区</w:t>
      </w:r>
      <w:r>
        <w:t>发展和改革局</w:t>
      </w:r>
      <w:r>
        <w:rPr>
          <w:rFonts w:hint="eastAsia"/>
          <w:lang w:eastAsia="zh-CN"/>
        </w:rPr>
        <w:t>〈</w:t>
      </w:r>
      <w:r>
        <w:rPr>
          <w:rFonts w:hint="eastAsia"/>
        </w:rPr>
        <w:t>遂宁市安居区发展和改革局关于农业水价综合改革项目区农业用水价格</w:t>
      </w:r>
      <w:r>
        <w:rPr>
          <w:rFonts w:hint="eastAsia"/>
          <w:lang w:eastAsia="zh-CN"/>
        </w:rPr>
        <w:t>〉（遂安发改〔2019〕60号）</w:t>
      </w:r>
      <w:r>
        <w:t>的通知》，</w:t>
      </w:r>
      <w:r>
        <w:rPr>
          <w:rFonts w:hint="eastAsia"/>
        </w:rPr>
        <w:t>水稻、小麦、玉米、油菜等粮油作物在用水定额内，骨干工程供水价格为每立方米0.10元，末级渠系供水价格为每立方米0.05元，执行农业供水终端价格每立方米0.15元。经济作物、养殖业</w:t>
      </w:r>
      <w:r>
        <w:rPr>
          <w:rFonts w:hint="eastAsia"/>
          <w:lang w:eastAsia="zh-CN"/>
        </w:rPr>
        <w:t>和其他用水</w:t>
      </w:r>
      <w:r>
        <w:rPr>
          <w:rFonts w:hint="eastAsia"/>
        </w:rPr>
        <w:t>在用水定额内，</w:t>
      </w:r>
      <w:r>
        <w:rPr>
          <w:rFonts w:hint="eastAsia"/>
          <w:lang w:eastAsia="zh-CN"/>
        </w:rPr>
        <w:t>骨干</w:t>
      </w:r>
      <w:r>
        <w:rPr>
          <w:rFonts w:hint="eastAsia"/>
        </w:rPr>
        <w:t>工程供水价格为每立方米0.12元，</w:t>
      </w:r>
      <w:r>
        <w:rPr>
          <w:rFonts w:hint="eastAsia"/>
          <w:lang w:eastAsia="zh-CN"/>
        </w:rPr>
        <w:t>末级渠系</w:t>
      </w:r>
      <w:r>
        <w:rPr>
          <w:rFonts w:hint="eastAsia"/>
        </w:rPr>
        <w:t>供水价格为每立方米0.06元，执行农业供水终端价格每立方米0.18元</w:t>
      </w:r>
      <w:r>
        <w:rPr>
          <w:rFonts w:hint="eastAsia"/>
          <w:lang w:eastAsia="zh-CN"/>
        </w:rPr>
        <w:t>。</w:t>
      </w:r>
      <w:r>
        <w:rPr>
          <w:rFonts w:hint="eastAsia"/>
          <w:lang w:val="en-US" w:eastAsia="zh-CN"/>
        </w:rPr>
        <w:t>本项目粮油作物</w:t>
      </w:r>
      <w:r>
        <w:t>灌溉用水价格</w:t>
      </w:r>
      <w:r>
        <w:rPr>
          <w:rFonts w:hint="eastAsia"/>
          <w:lang w:val="en-US" w:eastAsia="zh-CN"/>
        </w:rPr>
        <w:t>为</w:t>
      </w:r>
      <w:r>
        <w:rPr>
          <w:rFonts w:hint="eastAsia"/>
        </w:rPr>
        <w:t>0.15</w:t>
      </w:r>
      <w:r>
        <w:t>元/立方米</w:t>
      </w:r>
      <w:r>
        <w:rPr>
          <w:rFonts w:hint="eastAsia"/>
          <w:lang w:eastAsia="zh-CN"/>
        </w:rPr>
        <w:t>，</w:t>
      </w:r>
      <w:r>
        <w:rPr>
          <w:rFonts w:hint="eastAsia"/>
          <w:lang w:val="en-US" w:eastAsia="zh-CN"/>
        </w:rPr>
        <w:t>经济作物</w:t>
      </w:r>
      <w:r>
        <w:rPr>
          <w:rFonts w:hint="eastAsia"/>
          <w:lang w:eastAsia="zh-CN"/>
        </w:rPr>
        <w:t>灌溉用水价格</w:t>
      </w:r>
      <w:r>
        <w:rPr>
          <w:rFonts w:hint="eastAsia"/>
          <w:lang w:val="en-US" w:eastAsia="zh-CN"/>
        </w:rPr>
        <w:t>为</w:t>
      </w:r>
      <w:r>
        <w:rPr>
          <w:rFonts w:hint="eastAsia"/>
          <w:lang w:eastAsia="zh-CN"/>
        </w:rPr>
        <w:t>0.1</w:t>
      </w:r>
      <w:r>
        <w:rPr>
          <w:rFonts w:hint="eastAsia"/>
          <w:lang w:val="en-US" w:eastAsia="zh-CN"/>
        </w:rPr>
        <w:t>8</w:t>
      </w:r>
      <w:r>
        <w:rPr>
          <w:rFonts w:hint="eastAsia"/>
          <w:lang w:eastAsia="zh-CN"/>
        </w:rPr>
        <w:t>元/立方米</w:t>
      </w:r>
      <w:r>
        <w:t>。</w:t>
      </w:r>
    </w:p>
    <w:p w14:paraId="2215BDEA">
      <w:pPr>
        <w:pStyle w:val="6"/>
        <w:numPr>
          <w:ilvl w:val="3"/>
          <w:numId w:val="34"/>
        </w:numPr>
        <w:bidi w:val="0"/>
      </w:pPr>
      <w:r>
        <w:t>原水销售价格定价</w:t>
      </w:r>
    </w:p>
    <w:p w14:paraId="17C29AF9">
      <w:pPr>
        <w:bidi w:val="0"/>
      </w:pPr>
      <w:r>
        <w:t>原水供水单价由政府进行定价，本项目原水销售价格依据《</w:t>
      </w:r>
      <w:r>
        <w:rPr>
          <w:rFonts w:hint="eastAsia"/>
          <w:lang w:eastAsia="zh-CN"/>
        </w:rPr>
        <w:t>安居区</w:t>
      </w:r>
      <w:r>
        <w:t>发展和改革</w:t>
      </w:r>
      <w:r>
        <w:rPr>
          <w:highlight w:val="none"/>
        </w:rPr>
        <w:t>局</w:t>
      </w:r>
      <w:r>
        <w:rPr>
          <w:rFonts w:hint="eastAsia"/>
          <w:highlight w:val="none"/>
          <w:lang w:eastAsia="zh-CN"/>
        </w:rPr>
        <w:t>〈关于核定安居区麻子滩等13座水库用水价格〉</w:t>
      </w:r>
      <w:r>
        <w:t>的通知》实行</w:t>
      </w:r>
      <w:r>
        <w:rPr>
          <w:rFonts w:hint="eastAsia"/>
          <w:lang w:eastAsia="zh-CN"/>
        </w:rPr>
        <w:t>，</w:t>
      </w:r>
      <w:r>
        <w:t>原水销售价格为0.</w:t>
      </w:r>
      <w:r>
        <w:rPr>
          <w:rFonts w:hint="eastAsia"/>
          <w:lang w:val="en-US" w:eastAsia="zh-CN"/>
        </w:rPr>
        <w:t>8</w:t>
      </w:r>
      <w:r>
        <w:t>元/立方米。</w:t>
      </w:r>
    </w:p>
    <w:p w14:paraId="7F11CDB3">
      <w:pPr>
        <w:pStyle w:val="6"/>
        <w:numPr>
          <w:ilvl w:val="3"/>
          <w:numId w:val="34"/>
        </w:numPr>
        <w:bidi w:val="0"/>
      </w:pPr>
      <w:r>
        <w:rPr>
          <w:rFonts w:hint="eastAsia"/>
          <w:lang w:eastAsia="zh-CN"/>
        </w:rPr>
        <w:t>水库水面租赁</w:t>
      </w:r>
      <w:r>
        <w:t>业务</w:t>
      </w:r>
    </w:p>
    <w:p w14:paraId="56287786">
      <w:pPr>
        <w:bidi w:val="0"/>
      </w:pPr>
      <w:r>
        <w:t>按照市场化原则自主定价。</w:t>
      </w:r>
    </w:p>
    <w:p w14:paraId="778D5B3D">
      <w:pPr>
        <w:pStyle w:val="5"/>
        <w:numPr>
          <w:ilvl w:val="2"/>
          <w:numId w:val="33"/>
        </w:numPr>
        <w:bidi w:val="0"/>
        <w:ind w:left="0" w:firstLine="402"/>
        <w:rPr>
          <w:rFonts w:ascii="Arial" w:hAnsi="Arial"/>
        </w:rPr>
      </w:pPr>
      <w:bookmarkStart w:id="112" w:name="bookmark67"/>
      <w:bookmarkEnd w:id="112"/>
      <w:r>
        <w:rPr>
          <w:rFonts w:ascii="Arial" w:hAnsi="Arial"/>
        </w:rPr>
        <w:t>调价机制</w:t>
      </w:r>
    </w:p>
    <w:p w14:paraId="47452FF6">
      <w:pPr>
        <w:pStyle w:val="6"/>
        <w:numPr>
          <w:ilvl w:val="3"/>
          <w:numId w:val="35"/>
        </w:numPr>
        <w:bidi w:val="0"/>
      </w:pPr>
      <w:r>
        <w:rPr>
          <w:rFonts w:hint="eastAsia"/>
          <w:lang w:eastAsia="zh-CN"/>
        </w:rPr>
        <w:t>原水供水</w:t>
      </w:r>
      <w:r>
        <w:t>价格和农业灌溉用水价格调整</w:t>
      </w:r>
    </w:p>
    <w:p w14:paraId="7FBD0D6E">
      <w:pPr>
        <w:bidi w:val="0"/>
        <w:rPr>
          <w:rFonts w:hint="eastAsia" w:ascii="仿宋" w:hAnsi="仿宋" w:eastAsia="仿宋" w:cs="仿宋"/>
          <w:szCs w:val="31"/>
          <w:lang w:eastAsia="zh-CN"/>
        </w:rPr>
      </w:pPr>
      <w:r>
        <w:rPr>
          <w:rFonts w:hint="eastAsia"/>
          <w:lang w:eastAsia="zh-CN"/>
        </w:rPr>
        <w:t>原水供水</w:t>
      </w:r>
      <w:r>
        <w:t>价格和农业灌溉用水价格综合考虑物价水平和运营成本变动</w:t>
      </w:r>
      <w:r>
        <w:rPr>
          <w:rFonts w:hint="eastAsia"/>
          <w:lang w:eastAsia="zh-CN"/>
        </w:rPr>
        <w:t>，</w:t>
      </w:r>
      <w:r>
        <w:t>原则上至少每</w:t>
      </w:r>
      <w:r>
        <w:rPr>
          <w:rFonts w:hint="eastAsia"/>
          <w:lang w:val="en-US" w:eastAsia="zh-CN"/>
        </w:rPr>
        <w:t>十</w:t>
      </w:r>
      <w:r>
        <w:t>年调整一次，并由</w:t>
      </w:r>
      <w:r>
        <w:rPr>
          <w:rFonts w:hint="eastAsia"/>
          <w:lang w:eastAsia="zh-CN"/>
        </w:rPr>
        <w:t>安居区</w:t>
      </w:r>
      <w:r>
        <w:t>发改委出具相应价格调整文件</w:t>
      </w:r>
      <w:r>
        <w:rPr>
          <w:rFonts w:hint="eastAsia"/>
          <w:lang w:eastAsia="zh-CN"/>
        </w:rPr>
        <w:t>。</w:t>
      </w:r>
    </w:p>
    <w:p w14:paraId="739BDC92">
      <w:pPr>
        <w:pStyle w:val="6"/>
        <w:numPr>
          <w:ilvl w:val="3"/>
          <w:numId w:val="35"/>
        </w:numPr>
        <w:bidi w:val="0"/>
      </w:pPr>
      <w:r>
        <w:rPr>
          <w:rFonts w:hint="eastAsia"/>
          <w:lang w:eastAsia="zh-CN"/>
        </w:rPr>
        <w:t>水库水面租赁</w:t>
      </w:r>
      <w:r>
        <w:t>业务价格调整</w:t>
      </w:r>
    </w:p>
    <w:p w14:paraId="5719E535">
      <w:pPr>
        <w:spacing w:before="211" w:line="329" w:lineRule="auto"/>
        <w:ind w:left="15" w:right="206" w:firstLine="650"/>
        <w:rPr>
          <w:rFonts w:hint="eastAsia" w:eastAsia="仿宋"/>
          <w:lang w:eastAsia="zh-CN"/>
        </w:rPr>
      </w:pPr>
      <w:r>
        <w:rPr>
          <w:rFonts w:hint="eastAsia"/>
          <w:lang w:eastAsia="zh-CN"/>
        </w:rPr>
        <w:t>水库水面租赁</w:t>
      </w:r>
      <w:r>
        <w:t>业务实行市场定价的方式由特许经营者根据市场情况自行调整</w:t>
      </w:r>
      <w:r>
        <w:rPr>
          <w:rFonts w:hint="eastAsia"/>
          <w:lang w:eastAsia="zh-CN"/>
        </w:rPr>
        <w:t>。</w:t>
      </w:r>
    </w:p>
    <w:p w14:paraId="23118B21">
      <w:pPr>
        <w:pStyle w:val="5"/>
        <w:numPr>
          <w:ilvl w:val="2"/>
          <w:numId w:val="33"/>
        </w:numPr>
        <w:bidi w:val="0"/>
        <w:ind w:left="0" w:firstLine="402"/>
        <w:rPr>
          <w:rFonts w:ascii="Arial" w:hAnsi="Arial"/>
          <w:highlight w:val="none"/>
        </w:rPr>
      </w:pPr>
      <w:bookmarkStart w:id="113" w:name="bookmark68"/>
      <w:bookmarkEnd w:id="113"/>
      <w:bookmarkStart w:id="114" w:name="bookmark150"/>
      <w:bookmarkEnd w:id="114"/>
      <w:r>
        <w:rPr>
          <w:rFonts w:ascii="Arial" w:hAnsi="Arial"/>
          <w:highlight w:val="none"/>
        </w:rPr>
        <w:t>额外收益分配原则</w:t>
      </w:r>
    </w:p>
    <w:p w14:paraId="51EF8D2A">
      <w:pPr>
        <w:bidi w:val="0"/>
      </w:pPr>
      <w:r>
        <w:t>《国务院办公厅转发国家发展改革委、财政部</w:t>
      </w:r>
      <w:r>
        <w:rPr>
          <w:rFonts w:hint="eastAsia"/>
          <w:lang w:eastAsia="zh-CN"/>
        </w:rPr>
        <w:t>〈</w:t>
      </w:r>
      <w:r>
        <w:t>关于规范实施政府和社会资本合作新机制的指导意见</w:t>
      </w:r>
      <w:r>
        <w:rPr>
          <w:rFonts w:hint="eastAsia"/>
          <w:lang w:eastAsia="zh-CN"/>
        </w:rPr>
        <w:t>〉</w:t>
      </w:r>
      <w:r>
        <w:t>的通知》（国办函〔2023〕115号）要求，“特许经营者在保障项目质量和产出（服务）效果的前提下，通过加强管理、降低成本、提升效率、积极创新等获得的额外收益主要归特许经营者所有”，按下述原则协商进行分配：</w:t>
      </w:r>
    </w:p>
    <w:p w14:paraId="3D5AFD1A">
      <w:pPr>
        <w:bidi w:val="0"/>
      </w:pPr>
      <w:r>
        <w:t>激励相容原则：确保额外收益的分配能够激励特许经营者持续提高运营效率和服务质量。</w:t>
      </w:r>
    </w:p>
    <w:p w14:paraId="497F20CF">
      <w:pPr>
        <w:bidi w:val="0"/>
      </w:pPr>
      <w:r>
        <w:t>风险共担与利益共享：额外收益的分配应当考虑到特许经营者在运营过程中承担的风险。</w:t>
      </w:r>
    </w:p>
    <w:p w14:paraId="7AABD1A1">
      <w:pPr>
        <w:bidi w:val="0"/>
      </w:pPr>
      <w:r>
        <w:t>合规性原则：任何额外收益的分配都必须符合国家法律法规以及特许经营协议的规定，不得违反公平竞争和市场规则。</w:t>
      </w:r>
    </w:p>
    <w:p w14:paraId="030D25E8">
      <w:pPr>
        <w:bidi w:val="0"/>
        <w:rPr>
          <w:rFonts w:hint="eastAsia" w:eastAsia="仿宋"/>
          <w:lang w:eastAsia="zh-CN"/>
        </w:rPr>
      </w:pPr>
      <w:r>
        <w:t>透明度原则：收益分配的过程应当公开透明，确保各方权益得到保障</w:t>
      </w:r>
      <w:r>
        <w:rPr>
          <w:rFonts w:hint="eastAsia"/>
          <w:lang w:eastAsia="zh-CN"/>
        </w:rPr>
        <w:t>。</w:t>
      </w:r>
    </w:p>
    <w:p w14:paraId="70C8A499">
      <w:pPr>
        <w:bidi w:val="0"/>
      </w:pPr>
      <w:r>
        <w:t>同时考虑到本项目为存量项目，水库的库容、项目可经营的范围和内容基本固定，收费来源相对有限，针对主要依靠特许经营者加强管理</w:t>
      </w:r>
      <w:r>
        <w:rPr>
          <w:rFonts w:hint="eastAsia"/>
          <w:lang w:eastAsia="zh-CN"/>
        </w:rPr>
        <w:t>、</w:t>
      </w:r>
      <w:r>
        <w:t>降本增效、增加经营项目获得的超额收益原则上全部归特许经营者所有</w:t>
      </w:r>
      <w:r>
        <w:rPr>
          <w:rFonts w:hint="eastAsia"/>
          <w:lang w:eastAsia="zh-CN"/>
        </w:rPr>
        <w:t>；</w:t>
      </w:r>
      <w:r>
        <w:t>针对因政府调整收费标准获得的超额收益原则上全部归政府方所有。</w:t>
      </w:r>
    </w:p>
    <w:p w14:paraId="5763531C">
      <w:pPr>
        <w:bidi w:val="0"/>
      </w:pPr>
      <w:r>
        <w:t>超额收益以本方案财务测算分析中假设的成本和收入为基准确认。</w:t>
      </w:r>
    </w:p>
    <w:p w14:paraId="7072F7B0">
      <w:pPr>
        <w:pStyle w:val="5"/>
        <w:numPr>
          <w:ilvl w:val="2"/>
          <w:numId w:val="33"/>
        </w:numPr>
        <w:bidi w:val="0"/>
        <w:ind w:left="0" w:firstLine="402"/>
        <w:rPr>
          <w:rFonts w:ascii="Arial" w:hAnsi="Arial"/>
        </w:rPr>
      </w:pPr>
      <w:bookmarkStart w:id="115" w:name="bookmark69"/>
      <w:bookmarkEnd w:id="115"/>
      <w:r>
        <w:rPr>
          <w:rFonts w:ascii="Arial" w:hAnsi="Arial"/>
        </w:rPr>
        <w:t>税费承担</w:t>
      </w:r>
    </w:p>
    <w:p w14:paraId="30725226">
      <w:pPr>
        <w:bidi w:val="0"/>
      </w:pPr>
      <w:r>
        <w:t>特许经营者应按照《中华人民共和国税收征收管理法》《中华人民共和国税收征收管理法实施细则》《中华人民共和国企业所得税法》《中华人民共和国企业所得税法实施条例》《中华人民共和国增值税暂行条例》《中华人民共和国增值税暂行条例实施细则》（财政部国家税务总局令第50号）、《关于全面推开营业税改征增值税试点的通知》（财税〔2016〕36号）、《关于建筑服务等营改增试点政策的通知》（财税〔2017〕58号）、《关于深化增值税改革有关政策的公告》（财政部税务总局海关总署公告2019年第39号）、《中华人民共和国城市维护建设税法》</w:t>
      </w:r>
      <w:r>
        <w:rPr>
          <w:rFonts w:hint="eastAsia"/>
          <w:lang w:eastAsia="zh-CN"/>
        </w:rPr>
        <w:t>、</w:t>
      </w:r>
      <w:r>
        <w:t>国家税务总局、地方税务部门发布的适用于本项目的有关税收政策规定</w:t>
      </w:r>
      <w:r>
        <w:rPr>
          <w:rFonts w:hint="eastAsia"/>
          <w:lang w:eastAsia="zh-CN"/>
        </w:rPr>
        <w:t>，</w:t>
      </w:r>
      <w:r>
        <w:t>及时足额缴纳并承担相应税款。</w:t>
      </w:r>
    </w:p>
    <w:p w14:paraId="7DA1DDA6">
      <w:pPr>
        <w:bidi w:val="0"/>
      </w:pPr>
      <w:r>
        <w:t>特许经营协议签订生效后，项目合作期内，特许经营者产生的税费应按照国家、地方及行业相关政策及规定依法据实缴纳。</w:t>
      </w:r>
    </w:p>
    <w:p w14:paraId="49F65A0A">
      <w:pPr>
        <w:pStyle w:val="5"/>
        <w:numPr>
          <w:ilvl w:val="2"/>
          <w:numId w:val="33"/>
        </w:numPr>
        <w:bidi w:val="0"/>
        <w:ind w:left="0" w:firstLine="402"/>
        <w:rPr>
          <w:rFonts w:ascii="Arial" w:hAnsi="Arial"/>
        </w:rPr>
      </w:pPr>
      <w:bookmarkStart w:id="116" w:name="bookmark70"/>
      <w:bookmarkEnd w:id="116"/>
      <w:r>
        <w:rPr>
          <w:rFonts w:ascii="Arial" w:hAnsi="Arial"/>
        </w:rPr>
        <w:t>各方权利义务</w:t>
      </w:r>
    </w:p>
    <w:p w14:paraId="56E2ABB5">
      <w:pPr>
        <w:pStyle w:val="6"/>
        <w:numPr>
          <w:ilvl w:val="3"/>
          <w:numId w:val="36"/>
        </w:numPr>
        <w:bidi w:val="0"/>
      </w:pPr>
      <w:r>
        <w:t>实施机构</w:t>
      </w:r>
    </w:p>
    <w:p w14:paraId="1FFB4335">
      <w:pPr>
        <w:numPr>
          <w:ilvl w:val="0"/>
          <w:numId w:val="37"/>
        </w:numPr>
        <w:bidi w:val="0"/>
      </w:pPr>
      <w:r>
        <w:t>授予特许经营者投资、运营维护本项目的权利。</w:t>
      </w:r>
    </w:p>
    <w:p w14:paraId="54FD33B1">
      <w:pPr>
        <w:numPr>
          <w:ilvl w:val="0"/>
          <w:numId w:val="37"/>
        </w:numPr>
        <w:bidi w:val="0"/>
      </w:pPr>
      <w:r>
        <w:t>对特许经营者的投资、运营维护实施监管，包括项目融资及资金到位和使用情况、安全防范及运营维护措施等。</w:t>
      </w:r>
    </w:p>
    <w:p w14:paraId="20FA80B6">
      <w:pPr>
        <w:numPr>
          <w:ilvl w:val="0"/>
          <w:numId w:val="37"/>
        </w:numPr>
        <w:bidi w:val="0"/>
      </w:pPr>
      <w:r>
        <w:t>按照本项目拍卖文件及特许经营协议文件的约定向特许</w:t>
      </w:r>
      <w:bookmarkStart w:id="117" w:name="bookmark151"/>
      <w:bookmarkEnd w:id="117"/>
      <w:r>
        <w:t>经营者收取特许经营权转让价款。</w:t>
      </w:r>
    </w:p>
    <w:p w14:paraId="54378F20">
      <w:pPr>
        <w:numPr>
          <w:ilvl w:val="0"/>
          <w:numId w:val="37"/>
        </w:numPr>
        <w:bidi w:val="0"/>
      </w:pPr>
      <w:r>
        <w:t>发生特许经营者违约时，有权要求特许经营者纠正违约行为，收取违约金，提前终止或采取其他措施。</w:t>
      </w:r>
    </w:p>
    <w:p w14:paraId="22AAAC9B">
      <w:pPr>
        <w:numPr>
          <w:ilvl w:val="0"/>
          <w:numId w:val="37"/>
        </w:numPr>
        <w:bidi w:val="0"/>
      </w:pPr>
      <w:r>
        <w:t>协助特许经营者办理有关政府部门要求的各种与本项目有关的行政审批，并保持行政审批有效。协助特许经营者取得融资及运营所</w:t>
      </w:r>
      <w:r>
        <w:rPr>
          <w:rFonts w:hint="eastAsia"/>
          <w:lang w:eastAsia="zh-CN"/>
        </w:rPr>
        <w:t>必需的</w:t>
      </w:r>
      <w:r>
        <w:t>证明文件。</w:t>
      </w:r>
    </w:p>
    <w:p w14:paraId="2128B647">
      <w:pPr>
        <w:numPr>
          <w:ilvl w:val="0"/>
          <w:numId w:val="37"/>
        </w:numPr>
        <w:bidi w:val="0"/>
      </w:pPr>
      <w:r>
        <w:t>协助特许经营者取得适用法律规定的可适用于本项目的各项减、免税和优惠政策。如本项目获得奖补资金，应当根据资金性质和规定及时足额用于本项目。</w:t>
      </w:r>
    </w:p>
    <w:p w14:paraId="74BFE83E">
      <w:pPr>
        <w:numPr>
          <w:ilvl w:val="0"/>
          <w:numId w:val="37"/>
        </w:numPr>
        <w:bidi w:val="0"/>
      </w:pPr>
      <w:r>
        <w:t>制定运营评价工作方案，组织开展运营评价。</w:t>
      </w:r>
    </w:p>
    <w:p w14:paraId="5EEE5801">
      <w:pPr>
        <w:numPr>
          <w:ilvl w:val="0"/>
          <w:numId w:val="37"/>
        </w:numPr>
        <w:bidi w:val="0"/>
      </w:pPr>
      <w:r>
        <w:t>如果发生特许经营者违约事件时，有权按特许经营协议约定从履约保证金中扣除相应款项。</w:t>
      </w:r>
    </w:p>
    <w:p w14:paraId="676ED009">
      <w:pPr>
        <w:numPr>
          <w:ilvl w:val="0"/>
          <w:numId w:val="37"/>
        </w:numPr>
        <w:bidi w:val="0"/>
      </w:pPr>
      <w:r>
        <w:t>发生特许经营协议规定的一般补偿事件时，按照特许经营协议约定给予一般补偿。</w:t>
      </w:r>
    </w:p>
    <w:p w14:paraId="4F249BE9">
      <w:pPr>
        <w:numPr>
          <w:ilvl w:val="0"/>
          <w:numId w:val="37"/>
        </w:numPr>
        <w:bidi w:val="0"/>
      </w:pPr>
      <w:r>
        <w:t>当特许经营协议提前终止时，根据特许经营协议规定对特许经营者进行补偿。</w:t>
      </w:r>
    </w:p>
    <w:p w14:paraId="2BC2931C">
      <w:pPr>
        <w:numPr>
          <w:ilvl w:val="0"/>
          <w:numId w:val="37"/>
        </w:numPr>
        <w:bidi w:val="0"/>
      </w:pPr>
      <w:r>
        <w:t>对特许经营者的投资、运营维护、移交等进行监管和定期评估</w:t>
      </w:r>
      <w:r>
        <w:rPr>
          <w:rFonts w:hint="eastAsia"/>
          <w:lang w:eastAsia="zh-CN"/>
        </w:rPr>
        <w:t>，</w:t>
      </w:r>
      <w:r>
        <w:t>并有权定期将评估结果和整改情况向社会公示，接受公众监督。</w:t>
      </w:r>
    </w:p>
    <w:p w14:paraId="1FA937A7">
      <w:pPr>
        <w:pStyle w:val="6"/>
        <w:numPr>
          <w:ilvl w:val="3"/>
          <w:numId w:val="35"/>
        </w:numPr>
        <w:bidi w:val="0"/>
      </w:pPr>
      <w:r>
        <w:t>特许经营者</w:t>
      </w:r>
    </w:p>
    <w:p w14:paraId="488D60BF">
      <w:pPr>
        <w:bidi w:val="0"/>
        <w:rPr>
          <w:rFonts w:hint="eastAsia" w:eastAsia="仿宋"/>
          <w:lang w:eastAsia="zh-CN"/>
        </w:rPr>
      </w:pPr>
      <w:r>
        <w:t>a）按照特许经营协议要求按期完成出资，完成项目相关手续的办理</w:t>
      </w:r>
      <w:r>
        <w:rPr>
          <w:rFonts w:hint="eastAsia"/>
          <w:lang w:eastAsia="zh-CN"/>
        </w:rPr>
        <w:t>。</w:t>
      </w:r>
    </w:p>
    <w:p w14:paraId="16DF4F2C">
      <w:pPr>
        <w:bidi w:val="0"/>
      </w:pPr>
      <w:r>
        <w:t>b）进行项目融资，保障项目资金及时到位。</w:t>
      </w:r>
    </w:p>
    <w:p w14:paraId="40F5FDA4">
      <w:pPr>
        <w:bidi w:val="0"/>
      </w:pPr>
      <w:r>
        <w:t>c）按照特许经营协议要求按期完成特许经营权转让价款的支付。</w:t>
      </w:r>
    </w:p>
    <w:p w14:paraId="5898BF98">
      <w:pPr>
        <w:bidi w:val="0"/>
        <w:rPr>
          <w:rFonts w:hint="eastAsia" w:eastAsia="仿宋"/>
          <w:lang w:eastAsia="zh-CN"/>
        </w:rPr>
      </w:pPr>
      <w:r>
        <w:t>d）拥有获得投资、运营维护本项目的权利，按照适用法律和特许经营协议要求，负责本项目的投资和运营维护工作，获得相关经营收入</w:t>
      </w:r>
      <w:r>
        <w:rPr>
          <w:rFonts w:hint="eastAsia"/>
          <w:lang w:eastAsia="zh-CN"/>
        </w:rPr>
        <w:t>。</w:t>
      </w:r>
    </w:p>
    <w:p w14:paraId="0923BB6F">
      <w:pPr>
        <w:bidi w:val="0"/>
        <w:rPr>
          <w:rFonts w:hint="eastAsia" w:eastAsia="仿宋"/>
          <w:lang w:eastAsia="zh-CN"/>
        </w:rPr>
      </w:pPr>
      <w:r>
        <w:t>e）有权为本项目融资目的将收益权或特许经营权等进行抵押或质押</w:t>
      </w:r>
      <w:r>
        <w:rPr>
          <w:rFonts w:hint="eastAsia"/>
          <w:lang w:eastAsia="zh-CN"/>
        </w:rPr>
        <w:t>。</w:t>
      </w:r>
    </w:p>
    <w:p w14:paraId="55B621EE">
      <w:pPr>
        <w:bidi w:val="0"/>
      </w:pPr>
      <w:r>
        <w:t>f）出现特许经营协议约定的一般补偿事件时，有权获得相应补偿。</w:t>
      </w:r>
    </w:p>
    <w:p w14:paraId="049B63B1">
      <w:pPr>
        <w:bidi w:val="0"/>
      </w:pPr>
      <w:r>
        <w:t>g）在本项目提前终止的情况下，根据特许经营协议约定获得补偿。</w:t>
      </w:r>
    </w:p>
    <w:p w14:paraId="42001059">
      <w:pPr>
        <w:bidi w:val="0"/>
      </w:pPr>
      <w:r>
        <w:t>h）在政府部门违反特许经营协议相关条款情况下，根据特许经营协议约定获得补偿或赔偿。</w:t>
      </w:r>
    </w:p>
    <w:p w14:paraId="73657749">
      <w:pPr>
        <w:bidi w:val="0"/>
      </w:pPr>
      <w:r>
        <w:t>i）接受项目实施机构及相关政府部门根据适用法律和特许</w:t>
      </w:r>
    </w:p>
    <w:p w14:paraId="6720DBD6">
      <w:pPr>
        <w:bidi w:val="0"/>
      </w:pPr>
      <w:r>
        <w:t>经营协议的规定</w:t>
      </w:r>
      <w:r>
        <w:rPr>
          <w:rFonts w:hint="eastAsia"/>
          <w:lang w:eastAsia="zh-CN"/>
        </w:rPr>
        <w:t>进行</w:t>
      </w:r>
      <w:r>
        <w:t>监督检查，并提供相关资料。</w:t>
      </w:r>
    </w:p>
    <w:p w14:paraId="5CE17B5F">
      <w:pPr>
        <w:bidi w:val="0"/>
      </w:pPr>
      <w:r>
        <w:t>j）特许经营期内应保持拥有能良好运营维护本项目的相应人员、技术、资金和设备并保持相应的批文和资质的有效性。</w:t>
      </w:r>
    </w:p>
    <w:p w14:paraId="7F778E02">
      <w:pPr>
        <w:bidi w:val="0"/>
      </w:pPr>
      <w:r>
        <w:t>k）按照适用法律缴纳有关税费并享受有关减免优惠政策，</w:t>
      </w:r>
    </w:p>
    <w:p w14:paraId="1FE4F818">
      <w:pPr>
        <w:bidi w:val="0"/>
      </w:pPr>
      <w:r>
        <w:t>如有关税收的适用法律发生变化，按照变更后的适用法律缴纳各项税费并享受有关减免优惠政策。如本项目获得奖补资金，有权获得本项目奖补资金并根据资金性质和规定及时足额用于本项目。</w:t>
      </w:r>
    </w:p>
    <w:p w14:paraId="5561FDC5">
      <w:pPr>
        <w:bidi w:val="0"/>
      </w:pPr>
      <w:r>
        <w:t>l）对项目实施机构、相关政府部门参观、考察、监督检查项目设施给予便利与配合。</w:t>
      </w:r>
    </w:p>
    <w:p w14:paraId="02FFAAEB">
      <w:pPr>
        <w:bidi w:val="0"/>
      </w:pPr>
      <w:r>
        <w:t>m）未经项目实施机构同意，不得擅自决定中断项目设施运营和维护</w:t>
      </w:r>
      <w:r>
        <w:rPr>
          <w:rFonts w:hint="eastAsia"/>
          <w:lang w:eastAsia="zh-CN"/>
        </w:rPr>
        <w:t>、</w:t>
      </w:r>
      <w:r>
        <w:t>解散、歇业。</w:t>
      </w:r>
    </w:p>
    <w:p w14:paraId="498B4579">
      <w:pPr>
        <w:bidi w:val="0"/>
      </w:pPr>
      <w:r>
        <w:t>n）如果违约，向政府部门缴纳约定的违约金并按规定予以纠正。</w:t>
      </w:r>
    </w:p>
    <w:p w14:paraId="322464BF">
      <w:pPr>
        <w:bidi w:val="0"/>
      </w:pPr>
      <w:r>
        <w:t>o）特许经营期届满后，按规定将项目设施完好无偿移交政府指定机构。</w:t>
      </w:r>
    </w:p>
    <w:p w14:paraId="0E59F64E">
      <w:pPr>
        <w:pStyle w:val="4"/>
        <w:numPr>
          <w:ilvl w:val="1"/>
          <w:numId w:val="4"/>
        </w:numPr>
        <w:bidi w:val="0"/>
        <w:ind w:left="575" w:leftChars="0" w:hanging="575" w:firstLineChars="0"/>
        <w:rPr>
          <w:rFonts w:ascii="Arial" w:hAnsi="Arial"/>
          <w:lang w:val="en-US" w:eastAsia="en-US"/>
        </w:rPr>
      </w:pPr>
      <w:bookmarkStart w:id="118" w:name="bookmark71"/>
      <w:bookmarkEnd w:id="118"/>
      <w:bookmarkStart w:id="119" w:name="_Toc28764"/>
      <w:r>
        <w:rPr>
          <w:rFonts w:ascii="Arial" w:hAnsi="Arial"/>
          <w:lang w:val="en-US" w:eastAsia="en-US"/>
        </w:rPr>
        <w:t>特许经营者选择</w:t>
      </w:r>
      <w:bookmarkEnd w:id="119"/>
    </w:p>
    <w:p w14:paraId="0B67B114">
      <w:pPr>
        <w:pStyle w:val="5"/>
        <w:numPr>
          <w:ilvl w:val="2"/>
          <w:numId w:val="38"/>
        </w:numPr>
        <w:bidi w:val="0"/>
        <w:ind w:left="0" w:firstLine="402"/>
        <w:rPr>
          <w:rFonts w:ascii="Arial" w:hAnsi="Arial"/>
        </w:rPr>
      </w:pPr>
      <w:bookmarkStart w:id="120" w:name="bookmark72"/>
      <w:bookmarkEnd w:id="120"/>
      <w:r>
        <w:rPr>
          <w:rFonts w:ascii="Arial" w:hAnsi="Arial"/>
        </w:rPr>
        <w:t>特许经营者基本条件</w:t>
      </w:r>
    </w:p>
    <w:p w14:paraId="26D324CF">
      <w:pPr>
        <w:bidi w:val="0"/>
      </w:pPr>
      <w:r>
        <w:t>依据《政府和社会资本合作项目</w:t>
      </w:r>
      <w:r>
        <w:rPr>
          <w:rFonts w:hint="eastAsia"/>
          <w:lang w:eastAsia="zh-CN"/>
        </w:rPr>
        <w:t>实施方案</w:t>
      </w:r>
      <w:r>
        <w:t>编写大纲》（2024年试行版）明确特许经营者基本条件：除作为政府出资人代表参与地方政府通过资本金注入方式给予投资支持的项目外，地方本级国有独资或国有控股企业（含其独资或控股的子公司）不得以任何方式作为本级政府和社会资本合作新建（含改扩建）项目的投标方、联合投标方或项目公司股东</w:t>
      </w:r>
      <w:r>
        <w:rPr>
          <w:rFonts w:hint="eastAsia"/>
          <w:lang w:eastAsia="zh-CN"/>
        </w:rPr>
        <w:t>；</w:t>
      </w:r>
      <w:r>
        <w:t>作为政府出资人代表时，原则上不得在项目公司中控股。本项目为存量水库</w:t>
      </w:r>
      <w:bookmarkStart w:id="121" w:name="bookmark152"/>
      <w:bookmarkEnd w:id="121"/>
      <w:r>
        <w:t>项目，项目内容无新建（含改扩建）内容</w:t>
      </w:r>
      <w:r>
        <w:rPr>
          <w:rFonts w:hint="eastAsia"/>
          <w:lang w:eastAsia="zh-CN"/>
        </w:rPr>
        <w:t>，</w:t>
      </w:r>
      <w:r>
        <w:t>根据《国务院办公厅转发国家发展改革委、财政部〈关于规范实施政府和社会资本合作新机制的指导意见〉的通知》（国办函〔2023〕115号）</w:t>
      </w:r>
      <w:r>
        <w:rPr>
          <w:rFonts w:hint="eastAsia"/>
          <w:lang w:eastAsia="zh-CN"/>
        </w:rPr>
        <w:t>“</w:t>
      </w:r>
      <w:r>
        <w:t>鼓励符合条件的国有企业通过特许经营模式规范参与盘活存量资产，形成投资良性循环。</w:t>
      </w:r>
      <w:r>
        <w:rPr>
          <w:rFonts w:hint="eastAsia"/>
          <w:lang w:eastAsia="zh-CN"/>
        </w:rPr>
        <w:t>”</w:t>
      </w:r>
      <w:r>
        <w:t>因此符合本项目特许经营者选择标准的国有独资或国有控股和民营企业皆可参与实施本项目，本项目不设政府出资人代表。</w:t>
      </w:r>
    </w:p>
    <w:p w14:paraId="2E3C525D">
      <w:pPr>
        <w:pStyle w:val="5"/>
        <w:numPr>
          <w:ilvl w:val="2"/>
          <w:numId w:val="38"/>
        </w:numPr>
        <w:bidi w:val="0"/>
        <w:ind w:left="0" w:firstLine="402"/>
        <w:rPr>
          <w:rFonts w:ascii="Arial" w:hAnsi="Arial"/>
        </w:rPr>
      </w:pPr>
      <w:bookmarkStart w:id="122" w:name="bookmark73"/>
      <w:bookmarkEnd w:id="122"/>
      <w:r>
        <w:rPr>
          <w:rFonts w:ascii="Arial" w:hAnsi="Arial"/>
        </w:rPr>
        <w:t>特许经营者选择方式</w:t>
      </w:r>
    </w:p>
    <w:p w14:paraId="439FB198">
      <w:pPr>
        <w:bidi w:val="0"/>
      </w:pPr>
      <w:r>
        <w:t>根据《国务院办公厅转发国家发展改革委、财政部〈关于规范实施政府和社会资本合作新机制的指导意见〉的通知》（国办函〔2023〕115号）和《基础设施和公用事业特许经营管理办法》2024年第17号令，项目实施机构应根据经批准的</w:t>
      </w:r>
      <w:r>
        <w:rPr>
          <w:rFonts w:hint="eastAsia"/>
          <w:lang w:eastAsia="zh-CN"/>
        </w:rPr>
        <w:t>实施方案</w:t>
      </w:r>
      <w:r>
        <w:t>，通过公开竞争方式依法依规选择特许经营者。</w:t>
      </w:r>
    </w:p>
    <w:p w14:paraId="45DB6780">
      <w:pPr>
        <w:bidi w:val="0"/>
      </w:pPr>
      <w:r>
        <w:t>根据《中华人民共和国拍卖法》“拍卖是指以</w:t>
      </w:r>
      <w:r>
        <w:rPr>
          <w:b/>
          <w:bCs/>
        </w:rPr>
        <w:t>公开竞价</w:t>
      </w:r>
      <w:r>
        <w:t>的形式，将特定物品或者财产权利转让给最高应价者的买卖方式”。拍卖</w:t>
      </w:r>
      <w:r>
        <w:rPr>
          <w:rFonts w:hint="eastAsia"/>
          <w:lang w:eastAsia="zh-CN"/>
        </w:rPr>
        <w:t>属于公开</w:t>
      </w:r>
      <w:r>
        <w:t>竞争方式。</w:t>
      </w:r>
    </w:p>
    <w:p w14:paraId="538E1750">
      <w:pPr>
        <w:bidi w:val="0"/>
      </w:pPr>
      <w:r>
        <w:t>本项目为存量资产的特许经营权转让，参照《企业国有产权转让管理暂行办法》第十七条</w:t>
      </w:r>
      <w:r>
        <w:rPr>
          <w:rFonts w:hint="eastAsia"/>
          <w:lang w:eastAsia="zh-CN"/>
        </w:rPr>
        <w:t>“</w:t>
      </w:r>
      <w:r>
        <w:t>经公开征集产生两个以上受让方时，转让方应当与产权交易机构协商，根据转让标的的具体情况采取拍卖或者招投标方式组织实施产权交易。采取拍卖方式转让企业国有产权的，应当按照《中华人民共和国拍卖法》及有关规</w:t>
      </w:r>
      <w:bookmarkStart w:id="123" w:name="bookmark153"/>
      <w:bookmarkEnd w:id="123"/>
      <w:r>
        <w:t>定组织实施。</w:t>
      </w:r>
      <w:r>
        <w:rPr>
          <w:rFonts w:hint="eastAsia"/>
          <w:lang w:eastAsia="zh-CN"/>
        </w:rPr>
        <w:t>”</w:t>
      </w:r>
      <w:r>
        <w:t>本项目可以采用</w:t>
      </w:r>
      <w:r>
        <w:rPr>
          <w:b/>
          <w:bCs/>
        </w:rPr>
        <w:t>拍卖方式</w:t>
      </w:r>
      <w:r>
        <w:t>转让特许经营权。</w:t>
      </w:r>
    </w:p>
    <w:p w14:paraId="6E9E597E">
      <w:pPr>
        <w:bidi w:val="0"/>
      </w:pPr>
      <w:r>
        <w:t>经市场调研，从《国务院办公厅转发国家发展改革委、财政部〈关于规范实施政府和社会资本合作新机制的指导意见〉的通知》（国办函〔2023〕115号）发布，截至2024年4月30日，四川省共实施了21个存量盘活项目，其中8个项目通过公开拍卖方式选择特许经营者。因此，本项目拟采取</w:t>
      </w:r>
      <w:r>
        <w:rPr>
          <w:b/>
          <w:bCs/>
        </w:rPr>
        <w:t>公开拍卖</w:t>
      </w:r>
      <w:r>
        <w:t>的方式选择特许经营者。项目实施机构将作为本项目拍卖委托人。</w:t>
      </w:r>
    </w:p>
    <w:p w14:paraId="417067AC">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五</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四川省存量项目特许经营者选择方式</w:t>
      </w:r>
    </w:p>
    <w:tbl>
      <w:tblPr>
        <w:tblStyle w:val="26"/>
        <w:tblW w:w="4942"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491"/>
        <w:gridCol w:w="3887"/>
        <w:gridCol w:w="1218"/>
        <w:gridCol w:w="1520"/>
        <w:gridCol w:w="981"/>
        <w:gridCol w:w="883"/>
      </w:tblGrid>
      <w:tr w14:paraId="502C8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textDirection w:val="tbRlV"/>
            <w:vAlign w:val="center"/>
          </w:tcPr>
          <w:p w14:paraId="0B7F58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序号</w:t>
            </w:r>
          </w:p>
        </w:tc>
        <w:tc>
          <w:tcPr>
            <w:tcW w:w="2163" w:type="pct"/>
            <w:tcBorders>
              <w:top w:val="single" w:color="auto" w:sz="4" w:space="0"/>
              <w:left w:val="single" w:color="auto" w:sz="4" w:space="0"/>
              <w:bottom w:val="single" w:color="auto" w:sz="4" w:space="0"/>
              <w:right w:val="single" w:color="auto" w:sz="4" w:space="0"/>
            </w:tcBorders>
            <w:vAlign w:val="center"/>
          </w:tcPr>
          <w:p w14:paraId="05F3C84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项目名称</w:t>
            </w:r>
          </w:p>
        </w:tc>
        <w:tc>
          <w:tcPr>
            <w:tcW w:w="678" w:type="pct"/>
            <w:tcBorders>
              <w:top w:val="single" w:color="auto" w:sz="4" w:space="0"/>
              <w:left w:val="single" w:color="auto" w:sz="4" w:space="0"/>
              <w:bottom w:val="single" w:color="auto" w:sz="4" w:space="0"/>
              <w:right w:val="single" w:color="auto" w:sz="4" w:space="0"/>
            </w:tcBorders>
            <w:vAlign w:val="center"/>
          </w:tcPr>
          <w:p w14:paraId="36DC33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特许经营者选取方式</w:t>
            </w:r>
          </w:p>
        </w:tc>
        <w:tc>
          <w:tcPr>
            <w:tcW w:w="846" w:type="pct"/>
            <w:tcBorders>
              <w:top w:val="single" w:color="auto" w:sz="4" w:space="0"/>
              <w:left w:val="single" w:color="auto" w:sz="4" w:space="0"/>
              <w:bottom w:val="single" w:color="auto" w:sz="4" w:space="0"/>
              <w:right w:val="single" w:color="auto" w:sz="4" w:space="0"/>
            </w:tcBorders>
            <w:vAlign w:val="center"/>
          </w:tcPr>
          <w:p w14:paraId="6ACA5AF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公告时间</w:t>
            </w:r>
          </w:p>
        </w:tc>
        <w:tc>
          <w:tcPr>
            <w:tcW w:w="546" w:type="pct"/>
            <w:tcBorders>
              <w:top w:val="single" w:color="auto" w:sz="4" w:space="0"/>
              <w:left w:val="single" w:color="auto" w:sz="4" w:space="0"/>
              <w:bottom w:val="single" w:color="auto" w:sz="4" w:space="0"/>
              <w:right w:val="single" w:color="auto" w:sz="4" w:space="0"/>
            </w:tcBorders>
            <w:vAlign w:val="center"/>
          </w:tcPr>
          <w:p w14:paraId="26CD77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行业类型</w:t>
            </w:r>
          </w:p>
        </w:tc>
        <w:tc>
          <w:tcPr>
            <w:tcW w:w="491" w:type="pct"/>
            <w:tcBorders>
              <w:top w:val="single" w:color="auto" w:sz="4" w:space="0"/>
              <w:left w:val="single" w:color="auto" w:sz="4" w:space="0"/>
              <w:bottom w:val="single" w:color="auto" w:sz="4" w:space="0"/>
              <w:right w:val="single" w:color="auto" w:sz="4" w:space="0"/>
            </w:tcBorders>
            <w:vAlign w:val="center"/>
          </w:tcPr>
          <w:p w14:paraId="0AA6311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b/>
                <w:bCs/>
                <w:sz w:val="20"/>
                <w:szCs w:val="20"/>
              </w:rPr>
            </w:pPr>
            <w:r>
              <w:rPr>
                <w:b/>
                <w:bCs/>
                <w:sz w:val="20"/>
                <w:szCs w:val="20"/>
              </w:rPr>
              <w:t>项目类型</w:t>
            </w:r>
          </w:p>
        </w:tc>
      </w:tr>
      <w:tr w14:paraId="099D0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45EA9D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w:t>
            </w:r>
          </w:p>
        </w:tc>
        <w:tc>
          <w:tcPr>
            <w:tcW w:w="2163" w:type="pct"/>
            <w:tcBorders>
              <w:top w:val="single" w:color="auto" w:sz="4" w:space="0"/>
              <w:left w:val="single" w:color="auto" w:sz="4" w:space="0"/>
              <w:bottom w:val="single" w:color="auto" w:sz="4" w:space="0"/>
              <w:right w:val="single" w:color="auto" w:sz="4" w:space="0"/>
            </w:tcBorders>
            <w:vAlign w:val="center"/>
          </w:tcPr>
          <w:p w14:paraId="31E610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达川区国有公共停车场（泊位）特许经营权项目</w:t>
            </w:r>
          </w:p>
        </w:tc>
        <w:tc>
          <w:tcPr>
            <w:tcW w:w="678" w:type="pct"/>
            <w:vMerge w:val="restart"/>
            <w:tcBorders>
              <w:top w:val="single" w:color="auto" w:sz="4" w:space="0"/>
              <w:left w:val="single" w:color="auto" w:sz="4" w:space="0"/>
              <w:bottom w:val="single" w:color="auto" w:sz="4" w:space="0"/>
              <w:right w:val="single" w:color="auto" w:sz="4" w:space="0"/>
            </w:tcBorders>
            <w:vAlign w:val="center"/>
          </w:tcPr>
          <w:p w14:paraId="0DDE6B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0730A18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66454C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公开拍卖</w:t>
            </w:r>
          </w:p>
          <w:p w14:paraId="7EC695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1045F9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0EDC4F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1FBD4D6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2D394B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2023-12-05</w:t>
            </w:r>
          </w:p>
        </w:tc>
        <w:tc>
          <w:tcPr>
            <w:tcW w:w="546" w:type="pct"/>
            <w:tcBorders>
              <w:top w:val="single" w:color="auto" w:sz="4" w:space="0"/>
              <w:left w:val="single" w:color="auto" w:sz="4" w:space="0"/>
              <w:bottom w:val="single" w:color="auto" w:sz="4" w:space="0"/>
              <w:right w:val="single" w:color="auto" w:sz="4" w:space="0"/>
            </w:tcBorders>
            <w:vAlign w:val="center"/>
          </w:tcPr>
          <w:p w14:paraId="10C22E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停车场</w:t>
            </w:r>
          </w:p>
        </w:tc>
        <w:tc>
          <w:tcPr>
            <w:tcW w:w="491" w:type="pct"/>
            <w:tcBorders>
              <w:top w:val="single" w:color="auto" w:sz="4" w:space="0"/>
              <w:left w:val="single" w:color="auto" w:sz="4" w:space="0"/>
              <w:bottom w:val="single" w:color="auto" w:sz="4" w:space="0"/>
              <w:right w:val="single" w:color="auto" w:sz="4" w:space="0"/>
            </w:tcBorders>
            <w:vAlign w:val="center"/>
          </w:tcPr>
          <w:p w14:paraId="739AE7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220FD8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016F765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257C312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w:t>
            </w:r>
          </w:p>
        </w:tc>
        <w:tc>
          <w:tcPr>
            <w:tcW w:w="2163" w:type="pct"/>
            <w:tcBorders>
              <w:top w:val="single" w:color="auto" w:sz="4" w:space="0"/>
              <w:left w:val="single" w:color="auto" w:sz="4" w:space="0"/>
              <w:bottom w:val="single" w:color="auto" w:sz="4" w:space="0"/>
              <w:right w:val="single" w:color="auto" w:sz="4" w:space="0"/>
            </w:tcBorders>
            <w:vAlign w:val="center"/>
          </w:tcPr>
          <w:p w14:paraId="4C45B52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乐山市五通桥区中心城区（含牛华镇、冠英镇）公共停车位30年特许经营权项目</w:t>
            </w: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3D3976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625DF4D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269ED8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2024-03-07</w:t>
            </w:r>
          </w:p>
        </w:tc>
        <w:tc>
          <w:tcPr>
            <w:tcW w:w="546" w:type="pct"/>
            <w:tcBorders>
              <w:top w:val="single" w:color="auto" w:sz="4" w:space="0"/>
              <w:left w:val="single" w:color="auto" w:sz="4" w:space="0"/>
              <w:bottom w:val="single" w:color="auto" w:sz="4" w:space="0"/>
              <w:right w:val="single" w:color="auto" w:sz="4" w:space="0"/>
            </w:tcBorders>
            <w:vAlign w:val="center"/>
          </w:tcPr>
          <w:p w14:paraId="068E6B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停车场</w:t>
            </w:r>
          </w:p>
        </w:tc>
        <w:tc>
          <w:tcPr>
            <w:tcW w:w="491" w:type="pct"/>
            <w:tcBorders>
              <w:top w:val="single" w:color="auto" w:sz="4" w:space="0"/>
              <w:left w:val="single" w:color="auto" w:sz="4" w:space="0"/>
              <w:bottom w:val="single" w:color="auto" w:sz="4" w:space="0"/>
              <w:right w:val="single" w:color="auto" w:sz="4" w:space="0"/>
            </w:tcBorders>
            <w:vAlign w:val="center"/>
          </w:tcPr>
          <w:p w14:paraId="7582429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7FB5F8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6634092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3</w:t>
            </w:r>
          </w:p>
        </w:tc>
        <w:tc>
          <w:tcPr>
            <w:tcW w:w="2163" w:type="pct"/>
            <w:tcBorders>
              <w:top w:val="single" w:color="auto" w:sz="4" w:space="0"/>
              <w:left w:val="single" w:color="auto" w:sz="4" w:space="0"/>
              <w:bottom w:val="single" w:color="auto" w:sz="4" w:space="0"/>
              <w:right w:val="single" w:color="auto" w:sz="4" w:space="0"/>
            </w:tcBorders>
            <w:vAlign w:val="center"/>
          </w:tcPr>
          <w:p w14:paraId="78BF2DE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蓬溪县赤城湖、黑龙凼等21座水库未来20年特许经营权项目</w:t>
            </w:r>
          </w:p>
        </w:tc>
        <w:tc>
          <w:tcPr>
            <w:tcW w:w="678" w:type="pct"/>
            <w:vMerge w:val="continue"/>
            <w:tcBorders>
              <w:top w:val="single" w:color="auto" w:sz="4" w:space="0"/>
              <w:left w:val="single" w:color="auto" w:sz="4" w:space="0"/>
              <w:bottom w:val="single" w:color="auto" w:sz="4" w:space="0"/>
              <w:right w:val="single" w:color="auto" w:sz="4" w:space="0"/>
            </w:tcBorders>
            <w:vAlign w:val="center"/>
          </w:tcPr>
          <w:p w14:paraId="0E37C8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2214D05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2024-03-22</w:t>
            </w:r>
          </w:p>
        </w:tc>
        <w:tc>
          <w:tcPr>
            <w:tcW w:w="546" w:type="pct"/>
            <w:tcBorders>
              <w:top w:val="single" w:color="auto" w:sz="4" w:space="0"/>
              <w:left w:val="single" w:color="auto" w:sz="4" w:space="0"/>
              <w:bottom w:val="single" w:color="auto" w:sz="4" w:space="0"/>
              <w:right w:val="single" w:color="auto" w:sz="4" w:space="0"/>
            </w:tcBorders>
            <w:vAlign w:val="center"/>
          </w:tcPr>
          <w:p w14:paraId="4FFE13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水利</w:t>
            </w:r>
          </w:p>
        </w:tc>
        <w:tc>
          <w:tcPr>
            <w:tcW w:w="491" w:type="pct"/>
            <w:tcBorders>
              <w:top w:val="single" w:color="auto" w:sz="4" w:space="0"/>
              <w:left w:val="single" w:color="auto" w:sz="4" w:space="0"/>
              <w:bottom w:val="single" w:color="auto" w:sz="4" w:space="0"/>
              <w:right w:val="single" w:color="auto" w:sz="4" w:space="0"/>
            </w:tcBorders>
            <w:vAlign w:val="center"/>
          </w:tcPr>
          <w:p w14:paraId="37E7CDB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7A99F3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jc w:val="center"/>
        </w:trPr>
        <w:tc>
          <w:tcPr>
            <w:tcW w:w="273" w:type="pct"/>
            <w:vAlign w:val="center"/>
          </w:tcPr>
          <w:p w14:paraId="722FAF0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75E58F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4</w:t>
            </w:r>
          </w:p>
        </w:tc>
        <w:tc>
          <w:tcPr>
            <w:tcW w:w="2163" w:type="pct"/>
            <w:tcBorders>
              <w:top w:val="single" w:color="auto" w:sz="4" w:space="0"/>
            </w:tcBorders>
            <w:vAlign w:val="center"/>
          </w:tcPr>
          <w:p w14:paraId="1D76DAC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中江县中江响滩子水厂、中江仓山水厂</w:t>
            </w:r>
            <w:r>
              <w:rPr>
                <w:rFonts w:hint="eastAsia"/>
                <w:sz w:val="20"/>
                <w:szCs w:val="20"/>
                <w:lang w:eastAsia="zh-CN"/>
              </w:rPr>
              <w:t>3</w:t>
            </w:r>
            <w:r>
              <w:rPr>
                <w:rFonts w:hint="eastAsia"/>
                <w:sz w:val="20"/>
                <w:szCs w:val="20"/>
                <w:lang w:val="en-US" w:eastAsia="zh-CN"/>
              </w:rPr>
              <w:t>0</w:t>
            </w:r>
            <w:r>
              <w:rPr>
                <w:rFonts w:hint="eastAsia"/>
                <w:sz w:val="20"/>
                <w:szCs w:val="20"/>
                <w:lang w:eastAsia="zh-CN"/>
              </w:rPr>
              <w:t>年</w:t>
            </w:r>
            <w:r>
              <w:rPr>
                <w:sz w:val="20"/>
                <w:szCs w:val="20"/>
              </w:rPr>
              <w:t>特许经营权及对应资产使用权项目</w:t>
            </w:r>
          </w:p>
        </w:tc>
        <w:tc>
          <w:tcPr>
            <w:tcW w:w="678" w:type="pct"/>
            <w:vMerge w:val="continue"/>
            <w:tcBorders>
              <w:top w:val="single" w:color="auto" w:sz="4" w:space="0"/>
              <w:bottom w:val="nil"/>
            </w:tcBorders>
            <w:vAlign w:val="center"/>
          </w:tcPr>
          <w:p w14:paraId="3221D4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tcBorders>
            <w:vAlign w:val="center"/>
          </w:tcPr>
          <w:p w14:paraId="3FD092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2024-04-15</w:t>
            </w:r>
          </w:p>
        </w:tc>
        <w:tc>
          <w:tcPr>
            <w:tcW w:w="546" w:type="pct"/>
            <w:tcBorders>
              <w:top w:val="single" w:color="auto" w:sz="4" w:space="0"/>
            </w:tcBorders>
            <w:vAlign w:val="center"/>
          </w:tcPr>
          <w:p w14:paraId="5FC205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供排水</w:t>
            </w:r>
          </w:p>
        </w:tc>
        <w:tc>
          <w:tcPr>
            <w:tcW w:w="491" w:type="pct"/>
            <w:tcBorders>
              <w:top w:val="single" w:color="auto" w:sz="4" w:space="0"/>
            </w:tcBorders>
            <w:vAlign w:val="center"/>
          </w:tcPr>
          <w:p w14:paraId="10840A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3D83A4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17D08A0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5</w:t>
            </w:r>
          </w:p>
        </w:tc>
        <w:tc>
          <w:tcPr>
            <w:tcW w:w="2163" w:type="pct"/>
            <w:vAlign w:val="center"/>
          </w:tcPr>
          <w:p w14:paraId="39CDD6C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天全县小河镇、喇叭河镇和思经镇燃气</w:t>
            </w:r>
            <w:r>
              <w:rPr>
                <w:rFonts w:hint="eastAsia"/>
                <w:sz w:val="20"/>
                <w:szCs w:val="20"/>
                <w:lang w:eastAsia="zh-CN"/>
              </w:rPr>
              <w:t>3</w:t>
            </w:r>
            <w:r>
              <w:rPr>
                <w:rFonts w:hint="eastAsia"/>
                <w:sz w:val="20"/>
                <w:szCs w:val="20"/>
                <w:lang w:val="en-US" w:eastAsia="zh-CN"/>
              </w:rPr>
              <w:t>0</w:t>
            </w:r>
            <w:r>
              <w:rPr>
                <w:rFonts w:hint="eastAsia"/>
                <w:sz w:val="20"/>
                <w:szCs w:val="20"/>
                <w:lang w:eastAsia="zh-CN"/>
              </w:rPr>
              <w:t>年</w:t>
            </w:r>
            <w:r>
              <w:rPr>
                <w:sz w:val="20"/>
                <w:szCs w:val="20"/>
              </w:rPr>
              <w:t>特许经营权项目</w:t>
            </w:r>
          </w:p>
        </w:tc>
        <w:tc>
          <w:tcPr>
            <w:tcW w:w="678" w:type="pct"/>
            <w:vMerge w:val="continue"/>
            <w:tcBorders>
              <w:top w:val="nil"/>
              <w:bottom w:val="nil"/>
            </w:tcBorders>
            <w:vAlign w:val="center"/>
          </w:tcPr>
          <w:p w14:paraId="1DDF86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3B68AE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2024-04-25</w:t>
            </w:r>
          </w:p>
        </w:tc>
        <w:tc>
          <w:tcPr>
            <w:tcW w:w="546" w:type="pct"/>
            <w:vAlign w:val="center"/>
          </w:tcPr>
          <w:p w14:paraId="31832C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能源</w:t>
            </w:r>
          </w:p>
        </w:tc>
        <w:tc>
          <w:tcPr>
            <w:tcW w:w="491" w:type="pct"/>
            <w:vAlign w:val="center"/>
          </w:tcPr>
          <w:p w14:paraId="0CDCEE1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3A7536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7ECFEC3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6</w:t>
            </w:r>
          </w:p>
        </w:tc>
        <w:tc>
          <w:tcPr>
            <w:tcW w:w="2163" w:type="pct"/>
            <w:vAlign w:val="center"/>
          </w:tcPr>
          <w:p w14:paraId="5FADF3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天全县建筑垃圾处置</w:t>
            </w:r>
            <w:r>
              <w:rPr>
                <w:rFonts w:hint="eastAsia"/>
                <w:sz w:val="20"/>
                <w:szCs w:val="20"/>
                <w:lang w:eastAsia="zh-CN"/>
              </w:rPr>
              <w:t>3</w:t>
            </w:r>
            <w:r>
              <w:rPr>
                <w:rFonts w:hint="eastAsia"/>
                <w:sz w:val="20"/>
                <w:szCs w:val="20"/>
                <w:lang w:val="en-US" w:eastAsia="zh-CN"/>
              </w:rPr>
              <w:t>0</w:t>
            </w:r>
            <w:r>
              <w:rPr>
                <w:rFonts w:hint="eastAsia"/>
                <w:sz w:val="20"/>
                <w:szCs w:val="20"/>
                <w:lang w:eastAsia="zh-CN"/>
              </w:rPr>
              <w:t>年</w:t>
            </w:r>
            <w:r>
              <w:rPr>
                <w:sz w:val="20"/>
                <w:szCs w:val="20"/>
              </w:rPr>
              <w:t>特许经营权项目</w:t>
            </w:r>
          </w:p>
        </w:tc>
        <w:tc>
          <w:tcPr>
            <w:tcW w:w="678" w:type="pct"/>
            <w:vMerge w:val="continue"/>
            <w:tcBorders>
              <w:top w:val="nil"/>
              <w:bottom w:val="nil"/>
            </w:tcBorders>
            <w:vAlign w:val="center"/>
          </w:tcPr>
          <w:p w14:paraId="31D472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55DA72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2024-04-25</w:t>
            </w:r>
          </w:p>
        </w:tc>
        <w:tc>
          <w:tcPr>
            <w:tcW w:w="546" w:type="pct"/>
            <w:vAlign w:val="center"/>
          </w:tcPr>
          <w:p w14:paraId="23BFD9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垃圾资源化</w:t>
            </w:r>
          </w:p>
        </w:tc>
        <w:tc>
          <w:tcPr>
            <w:tcW w:w="491" w:type="pct"/>
            <w:vAlign w:val="center"/>
          </w:tcPr>
          <w:p w14:paraId="20A42A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6699FD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78CCD5F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7</w:t>
            </w:r>
          </w:p>
        </w:tc>
        <w:tc>
          <w:tcPr>
            <w:tcW w:w="2163" w:type="pct"/>
            <w:vAlign w:val="center"/>
          </w:tcPr>
          <w:p w14:paraId="744B56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天全县始阳镇停车收费</w:t>
            </w:r>
            <w:r>
              <w:rPr>
                <w:rFonts w:hint="eastAsia"/>
                <w:sz w:val="20"/>
                <w:szCs w:val="20"/>
                <w:lang w:eastAsia="zh-CN"/>
              </w:rPr>
              <w:t>3</w:t>
            </w:r>
            <w:r>
              <w:rPr>
                <w:rFonts w:hint="eastAsia"/>
                <w:sz w:val="20"/>
                <w:szCs w:val="20"/>
                <w:lang w:val="en-US" w:eastAsia="zh-CN"/>
              </w:rPr>
              <w:t>0</w:t>
            </w:r>
            <w:r>
              <w:rPr>
                <w:rFonts w:hint="eastAsia"/>
                <w:sz w:val="20"/>
                <w:szCs w:val="20"/>
                <w:lang w:eastAsia="zh-CN"/>
              </w:rPr>
              <w:t>年</w:t>
            </w:r>
            <w:r>
              <w:rPr>
                <w:sz w:val="20"/>
                <w:szCs w:val="20"/>
              </w:rPr>
              <w:t>特许经营权项目</w:t>
            </w:r>
          </w:p>
        </w:tc>
        <w:tc>
          <w:tcPr>
            <w:tcW w:w="678" w:type="pct"/>
            <w:vMerge w:val="continue"/>
            <w:tcBorders>
              <w:top w:val="nil"/>
              <w:bottom w:val="nil"/>
            </w:tcBorders>
            <w:vAlign w:val="center"/>
          </w:tcPr>
          <w:p w14:paraId="510F38E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467C0F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2024-04-25</w:t>
            </w:r>
          </w:p>
        </w:tc>
        <w:tc>
          <w:tcPr>
            <w:tcW w:w="546" w:type="pct"/>
            <w:vAlign w:val="center"/>
          </w:tcPr>
          <w:p w14:paraId="064379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停车场</w:t>
            </w:r>
          </w:p>
        </w:tc>
        <w:tc>
          <w:tcPr>
            <w:tcW w:w="491" w:type="pct"/>
            <w:vAlign w:val="center"/>
          </w:tcPr>
          <w:p w14:paraId="4F9108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4632C2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6E6177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8</w:t>
            </w:r>
          </w:p>
        </w:tc>
        <w:tc>
          <w:tcPr>
            <w:tcW w:w="2163" w:type="pct"/>
            <w:tcBorders>
              <w:bottom w:val="single" w:color="auto" w:sz="4" w:space="0"/>
            </w:tcBorders>
            <w:vAlign w:val="center"/>
          </w:tcPr>
          <w:p w14:paraId="5DF7741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丹棱县梅湾水库和观音崖水库25年经营权项目</w:t>
            </w:r>
          </w:p>
        </w:tc>
        <w:tc>
          <w:tcPr>
            <w:tcW w:w="678" w:type="pct"/>
            <w:vMerge w:val="continue"/>
            <w:tcBorders>
              <w:top w:val="nil"/>
              <w:bottom w:val="single" w:color="auto" w:sz="4" w:space="0"/>
            </w:tcBorders>
            <w:vAlign w:val="center"/>
          </w:tcPr>
          <w:p w14:paraId="4738FAE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bottom w:val="single" w:color="auto" w:sz="4" w:space="0"/>
            </w:tcBorders>
            <w:vAlign w:val="center"/>
          </w:tcPr>
          <w:p w14:paraId="78DC50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59BBA2F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2024-03-26</w:t>
            </w:r>
          </w:p>
        </w:tc>
        <w:tc>
          <w:tcPr>
            <w:tcW w:w="546" w:type="pct"/>
            <w:vAlign w:val="center"/>
          </w:tcPr>
          <w:p w14:paraId="60E160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水利</w:t>
            </w:r>
          </w:p>
        </w:tc>
        <w:tc>
          <w:tcPr>
            <w:tcW w:w="491" w:type="pct"/>
            <w:vAlign w:val="center"/>
          </w:tcPr>
          <w:p w14:paraId="3D00521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1949D3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33859C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9</w:t>
            </w:r>
          </w:p>
        </w:tc>
        <w:tc>
          <w:tcPr>
            <w:tcW w:w="2163" w:type="pct"/>
            <w:tcBorders>
              <w:top w:val="single" w:color="auto" w:sz="4" w:space="0"/>
              <w:left w:val="single" w:color="auto" w:sz="4" w:space="0"/>
              <w:bottom w:val="single" w:color="auto" w:sz="4" w:space="0"/>
              <w:right w:val="single" w:color="auto" w:sz="4" w:space="0"/>
            </w:tcBorders>
            <w:vAlign w:val="center"/>
          </w:tcPr>
          <w:p w14:paraId="0D908C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新津区公共区域电动汽车充电设施项目特许经营权项目</w:t>
            </w:r>
          </w:p>
        </w:tc>
        <w:tc>
          <w:tcPr>
            <w:tcW w:w="678" w:type="pct"/>
            <w:vMerge w:val="restart"/>
            <w:tcBorders>
              <w:top w:val="single" w:color="auto" w:sz="4" w:space="0"/>
              <w:left w:val="single" w:color="auto" w:sz="4" w:space="0"/>
              <w:right w:val="single" w:color="auto" w:sz="4" w:space="0"/>
            </w:tcBorders>
            <w:vAlign w:val="center"/>
          </w:tcPr>
          <w:p w14:paraId="12B7E33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6F4AE7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公开招标</w:t>
            </w:r>
          </w:p>
        </w:tc>
        <w:tc>
          <w:tcPr>
            <w:tcW w:w="846" w:type="pct"/>
            <w:tcBorders>
              <w:top w:val="single" w:color="auto" w:sz="4" w:space="0"/>
              <w:left w:val="single" w:color="auto" w:sz="4" w:space="0"/>
              <w:bottom w:val="single" w:color="auto" w:sz="4" w:space="0"/>
              <w:right w:val="single" w:color="auto" w:sz="4" w:space="0"/>
            </w:tcBorders>
            <w:vAlign w:val="center"/>
          </w:tcPr>
          <w:p w14:paraId="7E0AFB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2023-12-01</w:t>
            </w:r>
          </w:p>
        </w:tc>
        <w:tc>
          <w:tcPr>
            <w:tcW w:w="546" w:type="pct"/>
            <w:tcBorders>
              <w:left w:val="single" w:color="auto" w:sz="4" w:space="0"/>
            </w:tcBorders>
            <w:vAlign w:val="center"/>
          </w:tcPr>
          <w:p w14:paraId="78629B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充电设施</w:t>
            </w:r>
          </w:p>
        </w:tc>
        <w:tc>
          <w:tcPr>
            <w:tcW w:w="491" w:type="pct"/>
            <w:vAlign w:val="center"/>
          </w:tcPr>
          <w:p w14:paraId="6F0964A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28EA4A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0DF1A46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10</w:t>
            </w:r>
          </w:p>
        </w:tc>
        <w:tc>
          <w:tcPr>
            <w:tcW w:w="2163" w:type="pct"/>
            <w:tcBorders>
              <w:top w:val="single" w:color="auto" w:sz="4" w:space="0"/>
              <w:left w:val="single" w:color="auto" w:sz="4" w:space="0"/>
              <w:bottom w:val="single" w:color="auto" w:sz="4" w:space="0"/>
              <w:right w:val="single" w:color="auto" w:sz="4" w:space="0"/>
            </w:tcBorders>
            <w:vAlign w:val="center"/>
          </w:tcPr>
          <w:p w14:paraId="10FBEB3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南江县乡镇环卫作业特许经营项目</w:t>
            </w:r>
          </w:p>
        </w:tc>
        <w:tc>
          <w:tcPr>
            <w:tcW w:w="678" w:type="pct"/>
            <w:vMerge w:val="continue"/>
            <w:tcBorders>
              <w:left w:val="single" w:color="auto" w:sz="4" w:space="0"/>
              <w:right w:val="single" w:color="auto" w:sz="4" w:space="0"/>
            </w:tcBorders>
            <w:vAlign w:val="center"/>
          </w:tcPr>
          <w:p w14:paraId="378E87A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1C5E48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2024-01-04</w:t>
            </w:r>
          </w:p>
        </w:tc>
        <w:tc>
          <w:tcPr>
            <w:tcW w:w="546" w:type="pct"/>
            <w:tcBorders>
              <w:left w:val="single" w:color="auto" w:sz="4" w:space="0"/>
            </w:tcBorders>
            <w:vAlign w:val="center"/>
          </w:tcPr>
          <w:p w14:paraId="0F8E62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环卫</w:t>
            </w:r>
          </w:p>
        </w:tc>
        <w:tc>
          <w:tcPr>
            <w:tcW w:w="491" w:type="pct"/>
            <w:vAlign w:val="center"/>
          </w:tcPr>
          <w:p w14:paraId="712FE50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5200C3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5767490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11</w:t>
            </w:r>
          </w:p>
        </w:tc>
        <w:tc>
          <w:tcPr>
            <w:tcW w:w="2163" w:type="pct"/>
            <w:tcBorders>
              <w:top w:val="single" w:color="auto" w:sz="4" w:space="0"/>
              <w:left w:val="single" w:color="auto" w:sz="4" w:space="0"/>
              <w:bottom w:val="single" w:color="auto" w:sz="4" w:space="0"/>
              <w:right w:val="single" w:color="auto" w:sz="4" w:space="0"/>
            </w:tcBorders>
            <w:vAlign w:val="center"/>
          </w:tcPr>
          <w:p w14:paraId="02E41A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泸沽镇管道燃气特许经营权出让项目</w:t>
            </w:r>
          </w:p>
        </w:tc>
        <w:tc>
          <w:tcPr>
            <w:tcW w:w="678" w:type="pct"/>
            <w:vMerge w:val="continue"/>
            <w:tcBorders>
              <w:left w:val="single" w:color="auto" w:sz="4" w:space="0"/>
              <w:right w:val="single" w:color="auto" w:sz="4" w:space="0"/>
            </w:tcBorders>
            <w:vAlign w:val="center"/>
          </w:tcPr>
          <w:p w14:paraId="1D791A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2C1A02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2024-01-05</w:t>
            </w:r>
          </w:p>
        </w:tc>
        <w:tc>
          <w:tcPr>
            <w:tcW w:w="546" w:type="pct"/>
            <w:tcBorders>
              <w:left w:val="single" w:color="auto" w:sz="4" w:space="0"/>
            </w:tcBorders>
            <w:vAlign w:val="center"/>
          </w:tcPr>
          <w:p w14:paraId="0069BC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能源</w:t>
            </w:r>
          </w:p>
        </w:tc>
        <w:tc>
          <w:tcPr>
            <w:tcW w:w="491" w:type="pct"/>
            <w:vAlign w:val="center"/>
          </w:tcPr>
          <w:p w14:paraId="0BE18DB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573229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tcBorders>
              <w:right w:val="single" w:color="auto" w:sz="4" w:space="0"/>
            </w:tcBorders>
            <w:vAlign w:val="center"/>
          </w:tcPr>
          <w:p w14:paraId="2B454F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12</w:t>
            </w:r>
          </w:p>
        </w:tc>
        <w:tc>
          <w:tcPr>
            <w:tcW w:w="2163" w:type="pct"/>
            <w:tcBorders>
              <w:top w:val="single" w:color="auto" w:sz="4" w:space="0"/>
              <w:left w:val="single" w:color="auto" w:sz="4" w:space="0"/>
              <w:bottom w:val="single" w:color="auto" w:sz="4" w:space="0"/>
              <w:right w:val="single" w:color="auto" w:sz="4" w:space="0"/>
            </w:tcBorders>
            <w:vAlign w:val="center"/>
          </w:tcPr>
          <w:p w14:paraId="23D80D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合江县公共停车场</w:t>
            </w:r>
            <w:r>
              <w:rPr>
                <w:rFonts w:hint="eastAsia"/>
                <w:sz w:val="20"/>
                <w:szCs w:val="20"/>
                <w:lang w:eastAsia="zh-CN"/>
              </w:rPr>
              <w:t>（单</w:t>
            </w:r>
            <w:r>
              <w:rPr>
                <w:sz w:val="20"/>
                <w:szCs w:val="20"/>
              </w:rPr>
              <w:t>位）特许经营项目（一期）</w:t>
            </w:r>
          </w:p>
        </w:tc>
        <w:tc>
          <w:tcPr>
            <w:tcW w:w="678" w:type="pct"/>
            <w:vMerge w:val="continue"/>
            <w:tcBorders>
              <w:left w:val="single" w:color="auto" w:sz="4" w:space="0"/>
              <w:right w:val="single" w:color="auto" w:sz="4" w:space="0"/>
            </w:tcBorders>
            <w:vAlign w:val="center"/>
          </w:tcPr>
          <w:p w14:paraId="799AD38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left w:val="single" w:color="auto" w:sz="4" w:space="0"/>
              <w:bottom w:val="single" w:color="auto" w:sz="4" w:space="0"/>
              <w:right w:val="single" w:color="auto" w:sz="4" w:space="0"/>
            </w:tcBorders>
            <w:vAlign w:val="center"/>
          </w:tcPr>
          <w:p w14:paraId="680DF41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2024-01-12</w:t>
            </w:r>
          </w:p>
        </w:tc>
        <w:tc>
          <w:tcPr>
            <w:tcW w:w="546" w:type="pct"/>
            <w:tcBorders>
              <w:left w:val="single" w:color="auto" w:sz="4" w:space="0"/>
            </w:tcBorders>
            <w:vAlign w:val="center"/>
          </w:tcPr>
          <w:p w14:paraId="4C39852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停车场</w:t>
            </w:r>
          </w:p>
        </w:tc>
        <w:tc>
          <w:tcPr>
            <w:tcW w:w="491" w:type="pct"/>
            <w:vAlign w:val="center"/>
          </w:tcPr>
          <w:p w14:paraId="474034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56F165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38A309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548D13C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13</w:t>
            </w:r>
          </w:p>
        </w:tc>
        <w:tc>
          <w:tcPr>
            <w:tcW w:w="2163" w:type="pct"/>
            <w:tcBorders>
              <w:top w:val="single" w:color="auto" w:sz="4" w:space="0"/>
            </w:tcBorders>
            <w:vAlign w:val="center"/>
          </w:tcPr>
          <w:p w14:paraId="49CEC4E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南部县综合行政执法局南部县餐厨垃圾转运处置特许经营权出让项目</w:t>
            </w:r>
          </w:p>
        </w:tc>
        <w:tc>
          <w:tcPr>
            <w:tcW w:w="678" w:type="pct"/>
            <w:vMerge w:val="continue"/>
            <w:tcBorders>
              <w:left w:val="single" w:color="auto" w:sz="4" w:space="0"/>
              <w:right w:val="single" w:color="auto" w:sz="4" w:space="0"/>
            </w:tcBorders>
            <w:vAlign w:val="center"/>
          </w:tcPr>
          <w:p w14:paraId="5152DD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tcBorders>
              <w:top w:val="single" w:color="auto" w:sz="4" w:space="0"/>
            </w:tcBorders>
            <w:vAlign w:val="center"/>
          </w:tcPr>
          <w:p w14:paraId="4B57E2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50BEC70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2024-02-26</w:t>
            </w:r>
          </w:p>
        </w:tc>
        <w:tc>
          <w:tcPr>
            <w:tcW w:w="546" w:type="pct"/>
            <w:vAlign w:val="center"/>
          </w:tcPr>
          <w:p w14:paraId="25CD443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0193666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环卫</w:t>
            </w:r>
          </w:p>
        </w:tc>
        <w:tc>
          <w:tcPr>
            <w:tcW w:w="491" w:type="pct"/>
            <w:vAlign w:val="center"/>
          </w:tcPr>
          <w:p w14:paraId="287635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47589E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1E9F8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5CAC63E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14</w:t>
            </w:r>
          </w:p>
        </w:tc>
        <w:tc>
          <w:tcPr>
            <w:tcW w:w="2163" w:type="pct"/>
            <w:vAlign w:val="center"/>
          </w:tcPr>
          <w:p w14:paraId="4D2200B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美姑县住房和城乡建设局美姑县LNG天然气特许经营权项目</w:t>
            </w:r>
          </w:p>
        </w:tc>
        <w:tc>
          <w:tcPr>
            <w:tcW w:w="678" w:type="pct"/>
            <w:vMerge w:val="continue"/>
            <w:tcBorders>
              <w:left w:val="single" w:color="auto" w:sz="4" w:space="0"/>
              <w:right w:val="single" w:color="auto" w:sz="4" w:space="0"/>
            </w:tcBorders>
            <w:vAlign w:val="center"/>
          </w:tcPr>
          <w:p w14:paraId="2CEDE6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5763840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2024-03-14</w:t>
            </w:r>
          </w:p>
        </w:tc>
        <w:tc>
          <w:tcPr>
            <w:tcW w:w="546" w:type="pct"/>
            <w:vAlign w:val="center"/>
          </w:tcPr>
          <w:p w14:paraId="74149B7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能源</w:t>
            </w:r>
          </w:p>
        </w:tc>
        <w:tc>
          <w:tcPr>
            <w:tcW w:w="491" w:type="pct"/>
            <w:vAlign w:val="center"/>
          </w:tcPr>
          <w:p w14:paraId="3380EAB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03FB7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67F59EE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15</w:t>
            </w:r>
          </w:p>
        </w:tc>
        <w:tc>
          <w:tcPr>
            <w:tcW w:w="2163" w:type="pct"/>
            <w:vAlign w:val="center"/>
          </w:tcPr>
          <w:p w14:paraId="110FAA5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成都市龙泉驿区百工堰、宝狮口等11座水库特许经营项目</w:t>
            </w:r>
          </w:p>
        </w:tc>
        <w:tc>
          <w:tcPr>
            <w:tcW w:w="678" w:type="pct"/>
            <w:vMerge w:val="restart"/>
            <w:tcBorders>
              <w:bottom w:val="nil"/>
            </w:tcBorders>
            <w:vAlign w:val="center"/>
          </w:tcPr>
          <w:p w14:paraId="066E868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7AF1559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6D9A06C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328AF04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竞争性谈判</w:t>
            </w:r>
          </w:p>
          <w:p w14:paraId="55C071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sz w:val="20"/>
                <w:szCs w:val="20"/>
              </w:rPr>
            </w:pPr>
          </w:p>
          <w:p w14:paraId="3F47EDC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424135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2023-12-06</w:t>
            </w:r>
          </w:p>
        </w:tc>
        <w:tc>
          <w:tcPr>
            <w:tcW w:w="546" w:type="pct"/>
            <w:vAlign w:val="center"/>
          </w:tcPr>
          <w:p w14:paraId="59BE248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水利</w:t>
            </w:r>
          </w:p>
        </w:tc>
        <w:tc>
          <w:tcPr>
            <w:tcW w:w="491" w:type="pct"/>
            <w:vAlign w:val="center"/>
          </w:tcPr>
          <w:p w14:paraId="149419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1090C1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2B97111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16</w:t>
            </w:r>
          </w:p>
        </w:tc>
        <w:tc>
          <w:tcPr>
            <w:tcW w:w="2163" w:type="pct"/>
            <w:vAlign w:val="center"/>
          </w:tcPr>
          <w:p w14:paraId="096D79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大竹县响滩子水库等31座水库特许经营及提质升级项目</w:t>
            </w:r>
          </w:p>
        </w:tc>
        <w:tc>
          <w:tcPr>
            <w:tcW w:w="678" w:type="pct"/>
            <w:vMerge w:val="continue"/>
            <w:tcBorders>
              <w:top w:val="nil"/>
              <w:bottom w:val="nil"/>
            </w:tcBorders>
            <w:vAlign w:val="center"/>
          </w:tcPr>
          <w:p w14:paraId="62FEEF3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4E3707B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2023-12-21</w:t>
            </w:r>
          </w:p>
        </w:tc>
        <w:tc>
          <w:tcPr>
            <w:tcW w:w="546" w:type="pct"/>
            <w:vAlign w:val="center"/>
          </w:tcPr>
          <w:p w14:paraId="469C6A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水利</w:t>
            </w:r>
          </w:p>
        </w:tc>
        <w:tc>
          <w:tcPr>
            <w:tcW w:w="491" w:type="pct"/>
            <w:vAlign w:val="center"/>
          </w:tcPr>
          <w:p w14:paraId="5B8032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3A020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156DC81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17</w:t>
            </w:r>
          </w:p>
        </w:tc>
        <w:tc>
          <w:tcPr>
            <w:tcW w:w="2163" w:type="pct"/>
            <w:vAlign w:val="center"/>
          </w:tcPr>
          <w:p w14:paraId="07CA72A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泸州市纳溪区国有景区景点特许经营项目</w:t>
            </w:r>
          </w:p>
        </w:tc>
        <w:tc>
          <w:tcPr>
            <w:tcW w:w="678" w:type="pct"/>
            <w:vMerge w:val="continue"/>
            <w:tcBorders>
              <w:top w:val="nil"/>
              <w:bottom w:val="nil"/>
            </w:tcBorders>
            <w:vAlign w:val="center"/>
          </w:tcPr>
          <w:p w14:paraId="2C91A83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36DCF8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2024-02-27</w:t>
            </w:r>
          </w:p>
        </w:tc>
        <w:tc>
          <w:tcPr>
            <w:tcW w:w="546" w:type="pct"/>
            <w:vAlign w:val="center"/>
          </w:tcPr>
          <w:p w14:paraId="4D664B1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文旅</w:t>
            </w:r>
          </w:p>
        </w:tc>
        <w:tc>
          <w:tcPr>
            <w:tcW w:w="491" w:type="pct"/>
            <w:vAlign w:val="center"/>
          </w:tcPr>
          <w:p w14:paraId="20165C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3760C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1BE1C9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09EBCD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18</w:t>
            </w:r>
          </w:p>
        </w:tc>
        <w:tc>
          <w:tcPr>
            <w:tcW w:w="2163" w:type="pct"/>
            <w:vAlign w:val="center"/>
          </w:tcPr>
          <w:p w14:paraId="03DAE6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夹江县全域旅游示范区千佛片区综合提升项目特许经营权项目</w:t>
            </w:r>
          </w:p>
        </w:tc>
        <w:tc>
          <w:tcPr>
            <w:tcW w:w="678" w:type="pct"/>
            <w:vMerge w:val="continue"/>
            <w:tcBorders>
              <w:top w:val="nil"/>
              <w:bottom w:val="nil"/>
            </w:tcBorders>
            <w:vAlign w:val="center"/>
          </w:tcPr>
          <w:p w14:paraId="7724B12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245587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6E2E7F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2024-04-22</w:t>
            </w:r>
          </w:p>
        </w:tc>
        <w:tc>
          <w:tcPr>
            <w:tcW w:w="546" w:type="pct"/>
            <w:vAlign w:val="center"/>
          </w:tcPr>
          <w:p w14:paraId="181A97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4C87747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文旅</w:t>
            </w:r>
          </w:p>
        </w:tc>
        <w:tc>
          <w:tcPr>
            <w:tcW w:w="491" w:type="pct"/>
            <w:vAlign w:val="center"/>
          </w:tcPr>
          <w:p w14:paraId="5B5EFB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54C427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5B6CC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1273996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19</w:t>
            </w:r>
          </w:p>
        </w:tc>
        <w:tc>
          <w:tcPr>
            <w:tcW w:w="2163" w:type="pct"/>
            <w:vAlign w:val="center"/>
          </w:tcPr>
          <w:p w14:paraId="572058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夹江县乡镇公共空间综合利用特许经营权项目</w:t>
            </w:r>
          </w:p>
        </w:tc>
        <w:tc>
          <w:tcPr>
            <w:tcW w:w="678" w:type="pct"/>
            <w:vMerge w:val="continue"/>
            <w:tcBorders>
              <w:top w:val="nil"/>
            </w:tcBorders>
            <w:vAlign w:val="center"/>
          </w:tcPr>
          <w:p w14:paraId="5175D85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509ED17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2024-04-22</w:t>
            </w:r>
          </w:p>
        </w:tc>
        <w:tc>
          <w:tcPr>
            <w:tcW w:w="546" w:type="pct"/>
            <w:vAlign w:val="center"/>
          </w:tcPr>
          <w:p w14:paraId="1EB097E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停车场</w:t>
            </w:r>
          </w:p>
        </w:tc>
        <w:tc>
          <w:tcPr>
            <w:tcW w:w="491" w:type="pct"/>
            <w:vAlign w:val="center"/>
          </w:tcPr>
          <w:p w14:paraId="72C427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1C1DE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2766EEC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1E3EA9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w:t>
            </w:r>
          </w:p>
        </w:tc>
        <w:tc>
          <w:tcPr>
            <w:tcW w:w="2163" w:type="pct"/>
            <w:vAlign w:val="center"/>
          </w:tcPr>
          <w:p w14:paraId="648B74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攀枝花市仁和区林业局攀枝花市仁和区国家储备林项目特许经营权出让</w:t>
            </w:r>
          </w:p>
        </w:tc>
        <w:tc>
          <w:tcPr>
            <w:tcW w:w="678" w:type="pct"/>
            <w:vMerge w:val="restart"/>
            <w:tcBorders>
              <w:bottom w:val="nil"/>
            </w:tcBorders>
            <w:vAlign w:val="center"/>
          </w:tcPr>
          <w:p w14:paraId="22D21BE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1E5CF8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竞争性磋商</w:t>
            </w:r>
          </w:p>
        </w:tc>
        <w:tc>
          <w:tcPr>
            <w:tcW w:w="846" w:type="pct"/>
            <w:vAlign w:val="center"/>
          </w:tcPr>
          <w:p w14:paraId="3C41A0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1FC0098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2023-11-13</w:t>
            </w:r>
          </w:p>
        </w:tc>
        <w:tc>
          <w:tcPr>
            <w:tcW w:w="546" w:type="pct"/>
            <w:vAlign w:val="center"/>
          </w:tcPr>
          <w:p w14:paraId="0E41B7E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7C8F4C9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林业</w:t>
            </w:r>
          </w:p>
        </w:tc>
        <w:tc>
          <w:tcPr>
            <w:tcW w:w="491" w:type="pct"/>
            <w:vAlign w:val="center"/>
          </w:tcPr>
          <w:p w14:paraId="44F2F3C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p w14:paraId="201BD96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r w14:paraId="5A5F6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jc w:val="center"/>
        </w:trPr>
        <w:tc>
          <w:tcPr>
            <w:tcW w:w="273" w:type="pct"/>
            <w:vAlign w:val="center"/>
          </w:tcPr>
          <w:p w14:paraId="75B298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21</w:t>
            </w:r>
          </w:p>
        </w:tc>
        <w:tc>
          <w:tcPr>
            <w:tcW w:w="2163" w:type="pct"/>
            <w:vAlign w:val="center"/>
          </w:tcPr>
          <w:p w14:paraId="5ED49E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资中县乡镇及农村供水特许经营权出让项目</w:t>
            </w:r>
          </w:p>
        </w:tc>
        <w:tc>
          <w:tcPr>
            <w:tcW w:w="678" w:type="pct"/>
            <w:vMerge w:val="continue"/>
            <w:tcBorders>
              <w:top w:val="nil"/>
            </w:tcBorders>
            <w:vAlign w:val="center"/>
          </w:tcPr>
          <w:p w14:paraId="0288D6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p>
        </w:tc>
        <w:tc>
          <w:tcPr>
            <w:tcW w:w="846" w:type="pct"/>
            <w:vAlign w:val="center"/>
          </w:tcPr>
          <w:p w14:paraId="11E8F8F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2024-01-15</w:t>
            </w:r>
          </w:p>
        </w:tc>
        <w:tc>
          <w:tcPr>
            <w:tcW w:w="546" w:type="pct"/>
            <w:vAlign w:val="center"/>
          </w:tcPr>
          <w:p w14:paraId="3CC472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供排水</w:t>
            </w:r>
          </w:p>
        </w:tc>
        <w:tc>
          <w:tcPr>
            <w:tcW w:w="491" w:type="pct"/>
            <w:vAlign w:val="center"/>
          </w:tcPr>
          <w:p w14:paraId="616B18E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sz w:val="20"/>
                <w:szCs w:val="20"/>
              </w:rPr>
            </w:pPr>
            <w:r>
              <w:rPr>
                <w:sz w:val="20"/>
                <w:szCs w:val="20"/>
              </w:rPr>
              <w:t>存量</w:t>
            </w:r>
          </w:p>
        </w:tc>
      </w:tr>
    </w:tbl>
    <w:p w14:paraId="594051AF">
      <w:pPr>
        <w:pStyle w:val="5"/>
        <w:numPr>
          <w:ilvl w:val="2"/>
          <w:numId w:val="38"/>
        </w:numPr>
        <w:bidi w:val="0"/>
        <w:ind w:left="0" w:firstLine="402"/>
        <w:rPr>
          <w:rFonts w:ascii="Arial" w:hAnsi="Arial"/>
        </w:rPr>
      </w:pPr>
      <w:bookmarkStart w:id="124" w:name="bookmark74"/>
      <w:bookmarkEnd w:id="124"/>
      <w:r>
        <w:rPr>
          <w:rFonts w:ascii="Arial" w:hAnsi="Arial"/>
        </w:rPr>
        <w:t>特许经营者选择标准</w:t>
      </w:r>
    </w:p>
    <w:p w14:paraId="2155CE82">
      <w:pPr>
        <w:pStyle w:val="6"/>
        <w:numPr>
          <w:ilvl w:val="3"/>
          <w:numId w:val="39"/>
        </w:numPr>
        <w:bidi w:val="0"/>
      </w:pPr>
      <w:r>
        <w:t>主体要求</w:t>
      </w:r>
    </w:p>
    <w:p w14:paraId="3C641CD6">
      <w:pPr>
        <w:bidi w:val="0"/>
      </w:pPr>
      <w:r>
        <w:t>①特许经营者应为依法设立并有效存续的企业法人或其他组织。本项目不允许联合体参与。</w:t>
      </w:r>
    </w:p>
    <w:p w14:paraId="6E1129BB">
      <w:pPr>
        <w:bidi w:val="0"/>
      </w:pPr>
      <w:r>
        <w:t>②根据项目运营管理需要，受让方需在项目所在地（四川省</w:t>
      </w:r>
      <w:r>
        <w:rPr>
          <w:rFonts w:hint="eastAsia"/>
          <w:lang w:eastAsia="zh-CN"/>
        </w:rPr>
        <w:t>遂宁市</w:t>
      </w:r>
      <w:r>
        <w:t>）拥有合法经营的法人主体。若无上述主体，受让方需在项目成交后1个月内在项目所在地成立专营本项目的法人主体；</w:t>
      </w:r>
    </w:p>
    <w:p w14:paraId="24E3E124">
      <w:pPr>
        <w:bidi w:val="0"/>
      </w:pPr>
      <w:r>
        <w:t>③由于项目的公益属性和行业的特殊属性，受让方或受让方母公司的经营范围需要拥有与水资源管理相关的业务范畴。</w:t>
      </w:r>
    </w:p>
    <w:p w14:paraId="553CABDF">
      <w:pPr>
        <w:pStyle w:val="6"/>
        <w:numPr>
          <w:ilvl w:val="3"/>
          <w:numId w:val="39"/>
        </w:numPr>
        <w:bidi w:val="0"/>
      </w:pPr>
      <w:bookmarkStart w:id="125" w:name="bookmark154"/>
      <w:bookmarkEnd w:id="125"/>
      <w:r>
        <w:t>资格条件</w:t>
      </w:r>
    </w:p>
    <w:p w14:paraId="5280567F">
      <w:pPr>
        <w:tabs>
          <w:tab w:val="left" w:pos="1680"/>
        </w:tabs>
        <w:bidi w:val="0"/>
      </w:pPr>
      <w:r>
        <w:t>《国务院办公厅转发国家发展改革委、财政部</w:t>
      </w:r>
      <w:r>
        <w:rPr>
          <w:rFonts w:hint="eastAsia"/>
          <w:lang w:eastAsia="zh-CN"/>
        </w:rPr>
        <w:t>〈</w:t>
      </w:r>
      <w:r>
        <w:t>关于规范实施政府和社会资本合作新机制的指导意见</w:t>
      </w:r>
      <w:r>
        <w:rPr>
          <w:rFonts w:hint="eastAsia"/>
          <w:lang w:eastAsia="zh-CN"/>
        </w:rPr>
        <w:t>〉</w:t>
      </w:r>
      <w:r>
        <w:t>的通知》（国办函〔2023〕115号）要求，“应将项目运营方案、收费单价、特许经营期限等作为选择特许经营者的重要评定标准，并高度关注其项目管理经验、专业运营能力、企业综合实力、信用评级状况”。</w:t>
      </w:r>
    </w:p>
    <w:p w14:paraId="6047126C">
      <w:pPr>
        <w:bidi w:val="0"/>
      </w:pPr>
      <w:r>
        <w:t>根据本项目的特点和实际情况，对投标人资格条件作出要求，主要要求如下：</w:t>
      </w:r>
    </w:p>
    <w:p w14:paraId="7EB5485B">
      <w:pPr>
        <w:bidi w:val="0"/>
      </w:pPr>
      <w:r>
        <w:t>a）投标人为中华人民共和国境内注册成立且有效存续的企业法人，持有有效的营业执照；</w:t>
      </w:r>
    </w:p>
    <w:p w14:paraId="77C25186">
      <w:pPr>
        <w:bidi w:val="0"/>
      </w:pPr>
      <w:r>
        <w:t>b）具有良好的商业信誉和健全的财务会计制度；</w:t>
      </w:r>
    </w:p>
    <w:p w14:paraId="22CB6EBA">
      <w:pPr>
        <w:bidi w:val="0"/>
      </w:pPr>
      <w:r>
        <w:t>c）具有履行合同所必需的设备和专业技术能力；</w:t>
      </w:r>
    </w:p>
    <w:p w14:paraId="37E1BBBF">
      <w:pPr>
        <w:bidi w:val="0"/>
      </w:pPr>
      <w:r>
        <w:t>d）有依法缴纳税收和社会保障资金的良好记录；</w:t>
      </w:r>
    </w:p>
    <w:p w14:paraId="27478E77">
      <w:pPr>
        <w:bidi w:val="0"/>
        <w:rPr>
          <w:rFonts w:hint="eastAsia" w:eastAsia="仿宋"/>
          <w:lang w:eastAsia="zh-CN"/>
        </w:rPr>
      </w:pPr>
      <w:r>
        <w:t>e）参加政府采购活动前三年内，在经营活动中没有重大违法记录</w:t>
      </w:r>
      <w:r>
        <w:rPr>
          <w:rFonts w:hint="eastAsia"/>
          <w:lang w:eastAsia="zh-CN"/>
        </w:rPr>
        <w:t>；</w:t>
      </w:r>
    </w:p>
    <w:p w14:paraId="071B079A">
      <w:pPr>
        <w:bidi w:val="0"/>
        <w:rPr>
          <w:rFonts w:hint="eastAsia"/>
          <w:lang w:eastAsia="zh-CN"/>
        </w:rPr>
      </w:pPr>
      <w:r>
        <w:t>f）供应商在“信用中国（http://www.creditchina.gov.cn/）”等网站中未被列入《失信被执行人名单</w:t>
      </w:r>
      <w:r>
        <w:rPr>
          <w:rFonts w:hint="eastAsia"/>
          <w:lang w:eastAsia="zh-CN"/>
        </w:rPr>
        <w:t>》《</w:t>
      </w:r>
      <w:r>
        <w:t>税收违法黑名单》（上述网址的查询日期为本次招标公告发布后至投标文件递交截止日期期间内的某一时点）</w:t>
      </w:r>
      <w:r>
        <w:rPr>
          <w:rFonts w:hint="eastAsia"/>
          <w:lang w:eastAsia="zh-CN"/>
        </w:rPr>
        <w:t>；</w:t>
      </w:r>
    </w:p>
    <w:p w14:paraId="1B7A9854">
      <w:pPr>
        <w:bidi w:val="0"/>
        <w:rPr>
          <w:rFonts w:hint="eastAsia" w:eastAsia="仿宋"/>
          <w:lang w:eastAsia="zh-CN"/>
        </w:rPr>
      </w:pPr>
      <w:r>
        <w:t>g）投标人的负责人为同一人或者存在直接控股、管理关系的不同投标人，不得同时作为不同主体参与投标</w:t>
      </w:r>
      <w:r>
        <w:rPr>
          <w:rFonts w:hint="eastAsia"/>
          <w:lang w:eastAsia="zh-CN"/>
        </w:rPr>
        <w:t>；</w:t>
      </w:r>
    </w:p>
    <w:p w14:paraId="19C09B28">
      <w:pPr>
        <w:bidi w:val="0"/>
        <w:rPr>
          <w:rFonts w:hint="eastAsia" w:eastAsia="仿宋"/>
          <w:lang w:eastAsia="zh-CN"/>
        </w:rPr>
      </w:pPr>
      <w:r>
        <w:t>h）本项目不接受联合体投标</w:t>
      </w:r>
      <w:r>
        <w:rPr>
          <w:rFonts w:hint="eastAsia"/>
          <w:lang w:eastAsia="zh-CN"/>
        </w:rPr>
        <w:t>。</w:t>
      </w:r>
    </w:p>
    <w:p w14:paraId="1E7F300A">
      <w:pPr>
        <w:pStyle w:val="6"/>
        <w:numPr>
          <w:ilvl w:val="3"/>
          <w:numId w:val="39"/>
        </w:numPr>
        <w:bidi w:val="0"/>
      </w:pPr>
      <w:r>
        <w:t>其他要求</w:t>
      </w:r>
    </w:p>
    <w:p w14:paraId="10CE66FB">
      <w:pPr>
        <w:bidi w:val="0"/>
      </w:pPr>
      <w:r>
        <w:t>在发售拍卖文件时，可以对上述内容进行细化或适当修改。资格条件最终以发售的拍卖文件为准。</w:t>
      </w:r>
    </w:p>
    <w:p w14:paraId="64569150">
      <w:pPr>
        <w:pStyle w:val="6"/>
        <w:numPr>
          <w:ilvl w:val="3"/>
          <w:numId w:val="39"/>
        </w:numPr>
        <w:bidi w:val="0"/>
      </w:pPr>
      <w:r>
        <w:t>评分办法</w:t>
      </w:r>
    </w:p>
    <w:p w14:paraId="0F77C809">
      <w:pPr>
        <w:bidi w:val="0"/>
        <w:rPr>
          <w:rFonts w:ascii="仿宋" w:hAnsi="仿宋" w:eastAsia="仿宋" w:cs="仿宋"/>
          <w:szCs w:val="31"/>
        </w:rPr>
      </w:pPr>
      <w:r>
        <w:t>本项目经营权价款报价最高者将被确定为中选特许经营者。</w:t>
      </w:r>
    </w:p>
    <w:p w14:paraId="68558261">
      <w:pPr>
        <w:pStyle w:val="4"/>
        <w:numPr>
          <w:ilvl w:val="1"/>
          <w:numId w:val="4"/>
        </w:numPr>
        <w:bidi w:val="0"/>
        <w:ind w:left="575" w:leftChars="0" w:hanging="575" w:firstLineChars="0"/>
        <w:rPr>
          <w:rFonts w:ascii="Arial" w:hAnsi="Arial"/>
          <w:lang w:val="en-US" w:eastAsia="en-US"/>
        </w:rPr>
      </w:pPr>
      <w:bookmarkStart w:id="126" w:name="bookmark75"/>
      <w:bookmarkEnd w:id="126"/>
      <w:bookmarkStart w:id="127" w:name="_Toc3849"/>
      <w:r>
        <w:rPr>
          <w:rFonts w:ascii="Arial" w:hAnsi="Arial"/>
          <w:lang w:val="en-US" w:eastAsia="en-US"/>
        </w:rPr>
        <w:t>交易结构与投融资结构</w:t>
      </w:r>
      <w:bookmarkEnd w:id="127"/>
    </w:p>
    <w:p w14:paraId="033AA09B">
      <w:pPr>
        <w:pStyle w:val="5"/>
        <w:numPr>
          <w:ilvl w:val="2"/>
          <w:numId w:val="40"/>
        </w:numPr>
        <w:bidi w:val="0"/>
        <w:ind w:left="0" w:firstLine="402"/>
        <w:rPr>
          <w:rFonts w:ascii="Arial" w:hAnsi="Arial"/>
        </w:rPr>
      </w:pPr>
      <w:bookmarkStart w:id="128" w:name="bookmark76"/>
      <w:bookmarkEnd w:id="128"/>
      <w:r>
        <w:rPr>
          <w:rFonts w:ascii="Arial" w:hAnsi="Arial"/>
        </w:rPr>
        <w:t>交易结构</w:t>
      </w:r>
    </w:p>
    <w:p w14:paraId="06AA662A">
      <w:pPr>
        <w:pStyle w:val="6"/>
        <w:numPr>
          <w:ilvl w:val="3"/>
          <w:numId w:val="41"/>
        </w:numPr>
        <w:bidi w:val="0"/>
      </w:pPr>
      <w:r>
        <w:t>交易结构概述</w:t>
      </w:r>
    </w:p>
    <w:p w14:paraId="3CE734F0">
      <w:pPr>
        <w:bidi w:val="0"/>
      </w:pPr>
      <w:r>
        <w:t>本项目交易结构如下图所示：</w:t>
      </w:r>
    </w:p>
    <w:p w14:paraId="3938F9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3860800" cy="2440940"/>
            <wp:effectExtent l="0" t="0" r="2540" b="5080"/>
            <wp:docPr id="53" name="图片 53" descr="172293431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722934311851"/>
                    <pic:cNvPicPr>
                      <a:picLocks noChangeAspect="1"/>
                    </pic:cNvPicPr>
                  </pic:nvPicPr>
                  <pic:blipFill>
                    <a:blip r:embed="rId34"/>
                    <a:stretch>
                      <a:fillRect/>
                    </a:stretch>
                  </pic:blipFill>
                  <pic:spPr>
                    <a:xfrm>
                      <a:off x="0" y="0"/>
                      <a:ext cx="3860800" cy="2440940"/>
                    </a:xfrm>
                    <a:prstGeom prst="rect">
                      <a:avLst/>
                    </a:prstGeom>
                  </pic:spPr>
                </pic:pic>
              </a:graphicData>
            </a:graphic>
          </wp:inline>
        </w:drawing>
      </w:r>
    </w:p>
    <w:p w14:paraId="7696A773">
      <w:pPr>
        <w:pStyle w:val="7"/>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仿宋"/>
          <w:lang w:eastAsia="zh-CN"/>
        </w:rPr>
      </w:pPr>
      <w:r>
        <w:t>图</w:t>
      </w:r>
      <w:r>
        <w:fldChar w:fldCharType="begin"/>
      </w:r>
      <w:r>
        <w:instrText xml:space="preserve"> STYLEREF 2 \s </w:instrText>
      </w:r>
      <w:r>
        <w:fldChar w:fldCharType="separate"/>
      </w:r>
      <w:r>
        <w:t>六</w:t>
      </w:r>
      <w:r>
        <w:fldChar w:fldCharType="end"/>
      </w:r>
      <w:r>
        <w:rPr>
          <w:rFonts w:hint="eastAsia"/>
          <w:lang w:eastAsia="zh-CN"/>
        </w:rPr>
        <w:t>-</w:t>
      </w:r>
      <w:r>
        <w:fldChar w:fldCharType="begin"/>
      </w:r>
      <w:r>
        <w:instrText xml:space="preserve"> SEQ 图 \* ARABIC \s 2 </w:instrText>
      </w:r>
      <w:r>
        <w:fldChar w:fldCharType="separate"/>
      </w:r>
      <w:r>
        <w:t>1</w:t>
      </w:r>
      <w:r>
        <w:fldChar w:fldCharType="end"/>
      </w:r>
      <w:r>
        <w:rPr>
          <w:rFonts w:hint="eastAsia"/>
          <w:lang w:eastAsia="zh-CN"/>
        </w:rPr>
        <w:t>项目运作模式</w:t>
      </w:r>
    </w:p>
    <w:p w14:paraId="5A9C9535">
      <w:pPr>
        <w:bidi w:val="0"/>
      </w:pPr>
      <w:r>
        <w:t>a）</w:t>
      </w:r>
      <w:r>
        <w:rPr>
          <w:rFonts w:hint="eastAsia"/>
          <w:lang w:eastAsia="zh-CN"/>
        </w:rPr>
        <w:t>安居区人民政府</w:t>
      </w:r>
      <w:r>
        <w:t>授权</w:t>
      </w:r>
      <w:r>
        <w:rPr>
          <w:rFonts w:hint="eastAsia"/>
          <w:lang w:eastAsia="zh-CN"/>
        </w:rPr>
        <w:t>安居区水利局</w:t>
      </w:r>
      <w:r>
        <w:t>为本项目实施机构。</w:t>
      </w:r>
    </w:p>
    <w:p w14:paraId="448FE659">
      <w:pPr>
        <w:bidi w:val="0"/>
      </w:pPr>
      <w:r>
        <w:t>b）实施机构通过公开拍卖方式依法依规选择特许经营者。</w:t>
      </w:r>
    </w:p>
    <w:p w14:paraId="7F9A5FEC">
      <w:pPr>
        <w:bidi w:val="0"/>
      </w:pPr>
      <w:bookmarkStart w:id="129" w:name="bookmark155"/>
      <w:bookmarkEnd w:id="129"/>
      <w:r>
        <w:t>c）实施机构与特许经营者签订特许经营协议，授予特许经营者投资</w:t>
      </w:r>
      <w:r>
        <w:rPr>
          <w:rFonts w:hint="eastAsia"/>
          <w:lang w:eastAsia="zh-CN"/>
        </w:rPr>
        <w:t>、</w:t>
      </w:r>
      <w:r>
        <w:t>运营维护本项目的权利。特许经营者根据特许经营协议的约定行使权利，履行义务，承担责任。</w:t>
      </w:r>
    </w:p>
    <w:p w14:paraId="4402D92F">
      <w:pPr>
        <w:bidi w:val="0"/>
      </w:pPr>
      <w:r>
        <w:t>d）特许经营者根据特许经营协议约定出资项目资本金，完成融资交割，向政府方支付特许经营权转让价款。特许经营者在本项目特许经营期内不能转让本项目特许经营权。</w:t>
      </w:r>
    </w:p>
    <w:p w14:paraId="4ACEF0E4">
      <w:pPr>
        <w:bidi w:val="0"/>
      </w:pPr>
      <w:r>
        <w:t>e）特许经营者按照特许经营协议的约定提供项目设施运营维护服务</w:t>
      </w:r>
      <w:r>
        <w:rPr>
          <w:rFonts w:hint="eastAsia"/>
          <w:lang w:eastAsia="zh-CN"/>
        </w:rPr>
        <w:t>，</w:t>
      </w:r>
      <w:r>
        <w:t>利用项目设施开展经营性业务获得经营性收入。</w:t>
      </w:r>
    </w:p>
    <w:p w14:paraId="16E7EE4C">
      <w:pPr>
        <w:bidi w:val="0"/>
      </w:pPr>
      <w:r>
        <w:t>f）特许经营期内，政府方通过履约管理、行政监管、公众监督等多种形式，全方位对特许经营者进行监管，确保项目合规高效运行。具体监管结构详见本方案“监督管理和项目运营评价</w:t>
      </w:r>
      <w:r>
        <w:rPr>
          <w:rFonts w:hint="eastAsia"/>
          <w:lang w:eastAsia="zh-CN"/>
        </w:rPr>
        <w:t>”</w:t>
      </w:r>
      <w:r>
        <w:t>部分。</w:t>
      </w:r>
    </w:p>
    <w:p w14:paraId="77C93448">
      <w:pPr>
        <w:bidi w:val="0"/>
      </w:pPr>
      <w:r>
        <w:t>g）特许经营期届满，特许经营者按特许经营协议约定依法依规向政府方指定机构无偿、完好地移交项目设施所有权和所有权益。</w:t>
      </w:r>
    </w:p>
    <w:p w14:paraId="5B796D6E">
      <w:pPr>
        <w:pStyle w:val="6"/>
        <w:numPr>
          <w:ilvl w:val="3"/>
          <w:numId w:val="41"/>
        </w:numPr>
        <w:bidi w:val="0"/>
      </w:pPr>
      <w:r>
        <w:t>合同体系</w:t>
      </w:r>
    </w:p>
    <w:p w14:paraId="05BBA7A4">
      <w:pPr>
        <w:bidi w:val="0"/>
      </w:pPr>
      <w:r>
        <w:t>本项目的合同体系分为两个层次：</w:t>
      </w:r>
    </w:p>
    <w:p w14:paraId="6E4852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956175" cy="1607185"/>
            <wp:effectExtent l="0" t="0" r="4445" b="635"/>
            <wp:docPr id="66" name="图片 66" descr="172293552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722935520082"/>
                    <pic:cNvPicPr>
                      <a:picLocks noChangeAspect="1"/>
                    </pic:cNvPicPr>
                  </pic:nvPicPr>
                  <pic:blipFill>
                    <a:blip r:embed="rId35"/>
                    <a:stretch>
                      <a:fillRect/>
                    </a:stretch>
                  </pic:blipFill>
                  <pic:spPr>
                    <a:xfrm>
                      <a:off x="0" y="0"/>
                      <a:ext cx="4956175" cy="1607185"/>
                    </a:xfrm>
                    <a:prstGeom prst="rect">
                      <a:avLst/>
                    </a:prstGeom>
                  </pic:spPr>
                </pic:pic>
              </a:graphicData>
            </a:graphic>
          </wp:inline>
        </w:drawing>
      </w:r>
    </w:p>
    <w:p w14:paraId="5EBC5870">
      <w:pPr>
        <w:pStyle w:val="7"/>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eastAsia="仿宋"/>
          <w:lang w:eastAsia="zh-CN"/>
        </w:rPr>
      </w:pPr>
      <w:r>
        <w:t>图</w:t>
      </w:r>
      <w:r>
        <w:fldChar w:fldCharType="begin"/>
      </w:r>
      <w:r>
        <w:instrText xml:space="preserve"> STYLEREF 2 \s </w:instrText>
      </w:r>
      <w:r>
        <w:fldChar w:fldCharType="separate"/>
      </w:r>
      <w:r>
        <w:t>六</w:t>
      </w:r>
      <w:r>
        <w:fldChar w:fldCharType="end"/>
      </w:r>
      <w:r>
        <w:rPr>
          <w:rFonts w:hint="eastAsia"/>
          <w:lang w:eastAsia="zh-CN"/>
        </w:rPr>
        <w:t>-</w:t>
      </w:r>
      <w:r>
        <w:fldChar w:fldCharType="begin"/>
      </w:r>
      <w:r>
        <w:instrText xml:space="preserve"> SEQ 图 \* ARABIC \s 2 </w:instrText>
      </w:r>
      <w:r>
        <w:fldChar w:fldCharType="separate"/>
      </w:r>
      <w:r>
        <w:t>2</w:t>
      </w:r>
      <w:r>
        <w:fldChar w:fldCharType="end"/>
      </w:r>
      <w:r>
        <w:rPr>
          <w:rFonts w:hint="eastAsia"/>
          <w:lang w:eastAsia="zh-CN"/>
        </w:rPr>
        <w:t>本项目合同体系图</w:t>
      </w:r>
    </w:p>
    <w:p w14:paraId="4C192636">
      <w:pPr>
        <w:bidi w:val="0"/>
      </w:pPr>
      <w:r>
        <w:t>第一层次合同为由项目实施机构、特许经营者之间签署的特许经营协议等构成的核心合同体系。</w:t>
      </w:r>
    </w:p>
    <w:p w14:paraId="01648DC2">
      <w:pPr>
        <w:bidi w:val="0"/>
      </w:pPr>
      <w:r>
        <w:t>特许经营协议主要内容包括：特许经营权转让价款的支付、双方的权利与义务、特许经营期、前期工作、融资交割与资金管理、土地使用权、项目的运营维护、保险、运营评价、付费机制、项目的移交、不可抗力、政府承诺和保障、风险分担、法律变更、临时接管、一般补偿、提前终止与补偿、违约赔偿、监测评估、转让与担保、争议解决等。</w:t>
      </w:r>
    </w:p>
    <w:p w14:paraId="5C718201">
      <w:pPr>
        <w:bidi w:val="0"/>
      </w:pPr>
      <w:r>
        <w:t>第二层次合同为特许经营者与本项目推进过程中的其他有关主体签署的合同，包括与金融机构签署的融资合同、与保险公司签署的保险合同、与员工签署的劳动合同等。</w:t>
      </w:r>
    </w:p>
    <w:p w14:paraId="5E398842">
      <w:pPr>
        <w:pStyle w:val="6"/>
        <w:numPr>
          <w:ilvl w:val="3"/>
          <w:numId w:val="41"/>
        </w:numPr>
        <w:bidi w:val="0"/>
      </w:pPr>
      <w:r>
        <w:t>项目管理结构</w:t>
      </w:r>
    </w:p>
    <w:p w14:paraId="692412ED">
      <w:pPr>
        <w:bidi w:val="0"/>
      </w:pPr>
      <w:r>
        <w:t>本项目由特许经营者自行运营维护，不设项目公司及政府方出资代表</w:t>
      </w:r>
      <w:r>
        <w:rPr>
          <w:rFonts w:hint="eastAsia"/>
          <w:lang w:eastAsia="zh-CN"/>
        </w:rPr>
        <w:t>，</w:t>
      </w:r>
      <w:r>
        <w:t>政府方不干涉本项目正常的项目管理及经营工作。</w:t>
      </w:r>
    </w:p>
    <w:p w14:paraId="58213FF8">
      <w:pPr>
        <w:pStyle w:val="5"/>
        <w:numPr>
          <w:ilvl w:val="2"/>
          <w:numId w:val="40"/>
        </w:numPr>
        <w:bidi w:val="0"/>
        <w:ind w:left="0" w:firstLine="402"/>
        <w:rPr>
          <w:rFonts w:ascii="Arial" w:hAnsi="Arial"/>
        </w:rPr>
      </w:pPr>
      <w:bookmarkStart w:id="130" w:name="bookmark156"/>
      <w:bookmarkEnd w:id="130"/>
      <w:bookmarkStart w:id="131" w:name="bookmark77"/>
      <w:bookmarkEnd w:id="131"/>
      <w:r>
        <w:rPr>
          <w:rFonts w:ascii="Arial" w:hAnsi="Arial"/>
        </w:rPr>
        <w:t>投融资结构</w:t>
      </w:r>
    </w:p>
    <w:p w14:paraId="51CA1AD8">
      <w:pPr>
        <w:pStyle w:val="6"/>
        <w:numPr>
          <w:ilvl w:val="3"/>
          <w:numId w:val="42"/>
        </w:numPr>
        <w:bidi w:val="0"/>
      </w:pPr>
      <w:r>
        <w:t>项目资本金</w:t>
      </w:r>
    </w:p>
    <w:p w14:paraId="3139CE9D">
      <w:pPr>
        <w:bidi w:val="0"/>
        <w:rPr>
          <w:rFonts w:hint="eastAsia"/>
          <w:lang w:eastAsia="zh-CN"/>
        </w:rPr>
      </w:pPr>
      <w:r>
        <w:t>根据《国务院关于加强固定资产投资项目资本金管理的通知》（国发〔2019〕26号），</w:t>
      </w:r>
      <w:r>
        <w:rPr>
          <w:rFonts w:hint="eastAsia"/>
          <w:lang w:eastAsia="zh-CN"/>
        </w:rPr>
        <w:t>“</w:t>
      </w:r>
      <w:r>
        <w:t>机场项目最低资本金比例维持25%不变，其他基础设施项目维持20%不变。其中，公路（含政府收费公路）、铁路、城建</w:t>
      </w:r>
      <w:r>
        <w:rPr>
          <w:rFonts w:hint="eastAsia"/>
          <w:lang w:eastAsia="zh-CN"/>
        </w:rPr>
        <w:t>、</w:t>
      </w:r>
      <w:r>
        <w:t>物流、</w:t>
      </w:r>
      <w:r>
        <w:rPr>
          <w:rFonts w:hint="eastAsia"/>
          <w:lang w:eastAsia="zh-CN"/>
        </w:rPr>
        <w:t>生态环境</w:t>
      </w:r>
      <w:r>
        <w:t>、社会民生等领域的补短板基础设施项目，在投资回报机制明确、收益可靠、风险可控的前提下，可以适当降低项目最低资本金比例</w:t>
      </w:r>
      <w:r>
        <w:rPr>
          <w:rFonts w:hint="eastAsia"/>
          <w:lang w:eastAsia="zh-CN"/>
        </w:rPr>
        <w:t>，</w:t>
      </w:r>
      <w:r>
        <w:t>但下调不得超过5个百分点。</w:t>
      </w:r>
      <w:r>
        <w:rPr>
          <w:rFonts w:hint="eastAsia"/>
          <w:lang w:eastAsia="zh-CN"/>
        </w:rPr>
        <w:t>”</w:t>
      </w:r>
      <w:r>
        <w:t>根据《国务院关于固定资产投资项目试行资本金制度的通知》（国发〔1996〕35号），</w:t>
      </w:r>
      <w:r>
        <w:rPr>
          <w:rFonts w:hint="eastAsia"/>
          <w:lang w:eastAsia="zh-CN"/>
        </w:rPr>
        <w:t>“</w:t>
      </w:r>
      <w:r>
        <w:t>本通知中作为计算资本金基数的总投资，是指投资项目的固定资产投资与铺底流动资金之和</w:t>
      </w:r>
      <w:r>
        <w:rPr>
          <w:rFonts w:hint="eastAsia"/>
          <w:lang w:eastAsia="zh-CN"/>
        </w:rPr>
        <w:t>，</w:t>
      </w:r>
      <w:r>
        <w:t>具体核定时</w:t>
      </w:r>
      <w:r>
        <w:rPr>
          <w:rFonts w:hint="eastAsia"/>
          <w:lang w:eastAsia="zh-CN"/>
        </w:rPr>
        <w:t>已经</w:t>
      </w:r>
      <w:r>
        <w:t>批准的动态概算为依据。</w:t>
      </w:r>
      <w:r>
        <w:rPr>
          <w:rFonts w:hint="eastAsia"/>
          <w:lang w:eastAsia="zh-CN"/>
        </w:rPr>
        <w:t>”</w:t>
      </w:r>
    </w:p>
    <w:p w14:paraId="5DF0C4EF">
      <w:pPr>
        <w:bidi w:val="0"/>
      </w:pPr>
      <w:r>
        <w:t>结合项目实际情况，项目资本金应不低于本项目特许经营权转让价值的20.00%，其他资金可通过融资方式解决。</w:t>
      </w:r>
    </w:p>
    <w:p w14:paraId="702F6F23">
      <w:pPr>
        <w:bidi w:val="0"/>
        <w:rPr>
          <w:rFonts w:hint="eastAsia" w:eastAsia="仿宋"/>
          <w:lang w:eastAsia="zh-CN"/>
        </w:rPr>
      </w:pPr>
      <w:r>
        <w:t>根据《国务院关于加强固定资产投资项目资本金管理的通知》（国发〔2019〕26号），</w:t>
      </w:r>
      <w:r>
        <w:rPr>
          <w:rFonts w:hint="eastAsia"/>
          <w:lang w:eastAsia="zh-CN"/>
        </w:rPr>
        <w:t>“</w:t>
      </w:r>
      <w:r>
        <w:t>投资项目资本金作为项目总投资中由投资者认缴的出资额，对投资项目来说必须是非债务性资金，项目法人不承担这部分资金的任何债务和利息；投资者可按其出资比例依法享有所有者权益，也可转让其出资，但不得以任何方式抽回。</w:t>
      </w:r>
      <w:r>
        <w:rPr>
          <w:rFonts w:hint="eastAsia"/>
          <w:lang w:eastAsia="zh-CN"/>
        </w:rPr>
        <w:t>”“</w:t>
      </w:r>
      <w:r>
        <w:t>项目借贷资金和不符合国家规定的股东借款、名股实债等资金，不得作为投资项目资本金。</w:t>
      </w:r>
      <w:r>
        <w:rPr>
          <w:rFonts w:hint="eastAsia"/>
          <w:lang w:eastAsia="zh-CN"/>
        </w:rPr>
        <w:t>”</w:t>
      </w:r>
    </w:p>
    <w:p w14:paraId="53E3BA38">
      <w:pPr>
        <w:bidi w:val="0"/>
      </w:pPr>
      <w:r>
        <w:t>项目投资中除项目资本金以外的资金可以通过银行贷款、股东借款</w:t>
      </w:r>
      <w:r>
        <w:rPr>
          <w:rFonts w:hint="eastAsia"/>
          <w:lang w:eastAsia="zh-CN"/>
        </w:rPr>
        <w:t>、</w:t>
      </w:r>
      <w:r>
        <w:t>发行债券、资产证券化、基金等合规方式筹集。如特许经营者在开展项目融资的过程中，贷款人要求提高项目资本金比例方可予以融资的，则本项目资本金比例应提高，特许经营者应增加出资。</w:t>
      </w:r>
    </w:p>
    <w:p w14:paraId="6F62CA54">
      <w:pPr>
        <w:pStyle w:val="6"/>
        <w:numPr>
          <w:ilvl w:val="3"/>
          <w:numId w:val="42"/>
        </w:numPr>
        <w:bidi w:val="0"/>
      </w:pPr>
      <w:r>
        <w:t>融资交割</w:t>
      </w:r>
    </w:p>
    <w:p w14:paraId="2EC6B401">
      <w:pPr>
        <w:bidi w:val="0"/>
      </w:pPr>
      <w:r>
        <w:t>特许经营者应在正式签署特许经营协议后9个月内完成融资交割工作</w:t>
      </w:r>
      <w:r>
        <w:rPr>
          <w:rFonts w:hint="eastAsia"/>
          <w:lang w:eastAsia="zh-CN"/>
        </w:rPr>
        <w:t>。</w:t>
      </w:r>
      <w:r>
        <w:t>当满足以下条件时，视为完成融资交割：项目融资所需的有关资信、协议</w:t>
      </w:r>
      <w:r>
        <w:rPr>
          <w:rFonts w:hint="eastAsia"/>
          <w:lang w:eastAsia="zh-CN"/>
        </w:rPr>
        <w:t>、</w:t>
      </w:r>
      <w:r>
        <w:t>担保或承诺等文件已签署并提交政府方，且融资文件要求获得首笔资金的前提条件已得到满足或被豁免。如因相关政府部门原因导致特许经营者未能如期完成融资交割，则融资交割完成时限可以适当延期。</w:t>
      </w:r>
    </w:p>
    <w:p w14:paraId="1A6E3DEC">
      <w:pPr>
        <w:bidi w:val="0"/>
      </w:pPr>
      <w:r>
        <w:t>若特许经营者未能按期完成融资交割，特许经营者可以向项目实施机构申请宽限期。</w:t>
      </w:r>
    </w:p>
    <w:p w14:paraId="0F76574F">
      <w:pPr>
        <w:pStyle w:val="4"/>
        <w:numPr>
          <w:ilvl w:val="1"/>
          <w:numId w:val="4"/>
        </w:numPr>
        <w:bidi w:val="0"/>
        <w:ind w:left="575" w:leftChars="0" w:hanging="575" w:firstLineChars="0"/>
        <w:rPr>
          <w:rFonts w:ascii="Arial" w:hAnsi="Arial"/>
          <w:lang w:val="en-US" w:eastAsia="en-US"/>
        </w:rPr>
      </w:pPr>
      <w:bookmarkStart w:id="132" w:name="bookmark78"/>
      <w:bookmarkEnd w:id="132"/>
      <w:bookmarkStart w:id="133" w:name="_Toc2019"/>
      <w:r>
        <w:rPr>
          <w:rFonts w:ascii="Arial" w:hAnsi="Arial"/>
          <w:lang w:val="en-US" w:eastAsia="en-US"/>
        </w:rPr>
        <w:t>监督管理和项目运营评价</w:t>
      </w:r>
      <w:bookmarkEnd w:id="133"/>
    </w:p>
    <w:p w14:paraId="32A0199D">
      <w:pPr>
        <w:pStyle w:val="5"/>
        <w:numPr>
          <w:ilvl w:val="2"/>
          <w:numId w:val="40"/>
        </w:numPr>
        <w:bidi w:val="0"/>
        <w:ind w:left="0" w:firstLine="402"/>
        <w:rPr>
          <w:rFonts w:ascii="Arial" w:hAnsi="Arial"/>
        </w:rPr>
      </w:pPr>
      <w:bookmarkStart w:id="134" w:name="bookmark79"/>
      <w:bookmarkEnd w:id="134"/>
      <w:r>
        <w:rPr>
          <w:rFonts w:ascii="Arial" w:hAnsi="Arial"/>
        </w:rPr>
        <w:t>监督管理</w:t>
      </w:r>
    </w:p>
    <w:p w14:paraId="1A07F8A1">
      <w:pPr>
        <w:pStyle w:val="6"/>
        <w:numPr>
          <w:ilvl w:val="3"/>
          <w:numId w:val="43"/>
        </w:numPr>
        <w:bidi w:val="0"/>
      </w:pPr>
      <w:r>
        <w:t>履约管理</w:t>
      </w:r>
    </w:p>
    <w:p w14:paraId="5A92E8A5">
      <w:pPr>
        <w:bidi w:val="0"/>
      </w:pPr>
      <w:r>
        <w:t>履约管理主要通过政府与特许经营者之间的合同关系来实现，政府授权的实施机构是</w:t>
      </w:r>
      <w:r>
        <w:rPr>
          <w:rFonts w:hint="eastAsia"/>
          <w:lang w:eastAsia="zh-CN"/>
        </w:rPr>
        <w:t>政府</w:t>
      </w:r>
      <w:r>
        <w:t>履约管理的责任主体。</w:t>
      </w:r>
      <w:r>
        <w:rPr>
          <w:rFonts w:hint="eastAsia"/>
          <w:lang w:eastAsia="zh-CN"/>
        </w:rPr>
        <w:t>区水利局</w:t>
      </w:r>
      <w:r>
        <w:t>作为本项目实施机构，根据</w:t>
      </w:r>
      <w:r>
        <w:rPr>
          <w:rFonts w:hint="eastAsia"/>
          <w:lang w:eastAsia="zh-CN"/>
        </w:rPr>
        <w:t>区人民政府</w:t>
      </w:r>
      <w:r>
        <w:t>授权与特许经营者签订《特许经营协议》，并按照《特许经营协议》的约定督促特许经营者落实相关承诺。</w:t>
      </w:r>
    </w:p>
    <w:p w14:paraId="698908EC">
      <w:pPr>
        <w:bidi w:val="0"/>
      </w:pPr>
      <w:r>
        <w:t>履约管理的范围限于《特许经营协议》约定的权利义务边界。对于《特许经营协议》所有约定的情形，双方需遵从约定；对于《特许经营协议》没有约定的情形，双方应遵循“平等友好”的原则协商解决，保证本项目各阶段如期履约。</w:t>
      </w:r>
    </w:p>
    <w:p w14:paraId="6C0785CC">
      <w:pPr>
        <w:pStyle w:val="6"/>
        <w:numPr>
          <w:ilvl w:val="3"/>
          <w:numId w:val="43"/>
        </w:numPr>
        <w:bidi w:val="0"/>
        <w:rPr>
          <w:highlight w:val="none"/>
        </w:rPr>
      </w:pPr>
      <w:r>
        <w:rPr>
          <w:highlight w:val="none"/>
        </w:rPr>
        <w:t>行政监管</w:t>
      </w:r>
    </w:p>
    <w:p w14:paraId="07ACFCAE">
      <w:pPr>
        <w:bidi w:val="0"/>
      </w:pPr>
      <w:r>
        <w:rPr>
          <w:rFonts w:hint="eastAsia"/>
          <w:lang w:eastAsia="zh-CN"/>
        </w:rPr>
        <w:t>区水利局</w:t>
      </w:r>
      <w:r>
        <w:t>作为行业主管部门，依据其职权对本项目的运营维护管理进行全过程的监督和管理。其他行政监管主要由财政、发改、审计、生态环境、税务、市场监督管理、人力资源和社会保障等行政主管部门根据职责分工履行相关的行政监管职能。</w:t>
      </w:r>
    </w:p>
    <w:p w14:paraId="03A71857">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七</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行政监管明细表</w:t>
      </w:r>
    </w:p>
    <w:tbl>
      <w:tblPr>
        <w:tblStyle w:val="26"/>
        <w:tblW w:w="5040"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35"/>
        <w:gridCol w:w="1606"/>
        <w:gridCol w:w="6719"/>
      </w:tblGrid>
      <w:tr w14:paraId="08DF03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tcBorders>
              <w:top w:val="single" w:color="auto" w:sz="4" w:space="0"/>
              <w:left w:val="single" w:color="auto" w:sz="4" w:space="0"/>
              <w:bottom w:val="single" w:color="auto" w:sz="4" w:space="0"/>
              <w:right w:val="single" w:color="auto" w:sz="4" w:space="0"/>
            </w:tcBorders>
            <w:vAlign w:val="center"/>
          </w:tcPr>
          <w:p w14:paraId="389BF7D8">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阶段</w:t>
            </w:r>
          </w:p>
        </w:tc>
        <w:tc>
          <w:tcPr>
            <w:tcW w:w="876" w:type="pct"/>
            <w:tcBorders>
              <w:top w:val="single" w:color="auto" w:sz="4" w:space="0"/>
              <w:left w:val="single" w:color="auto" w:sz="4" w:space="0"/>
              <w:bottom w:val="single" w:color="auto" w:sz="4" w:space="0"/>
              <w:right w:val="single" w:color="auto" w:sz="4" w:space="0"/>
            </w:tcBorders>
            <w:vAlign w:val="center"/>
          </w:tcPr>
          <w:p w14:paraId="7E32EF19">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监管部门</w:t>
            </w:r>
          </w:p>
        </w:tc>
        <w:tc>
          <w:tcPr>
            <w:tcW w:w="3666" w:type="pct"/>
            <w:tcBorders>
              <w:top w:val="single" w:color="auto" w:sz="4" w:space="0"/>
              <w:left w:val="single" w:color="auto" w:sz="4" w:space="0"/>
              <w:bottom w:val="single" w:color="auto" w:sz="4" w:space="0"/>
              <w:right w:val="single" w:color="auto" w:sz="4" w:space="0"/>
            </w:tcBorders>
            <w:vAlign w:val="center"/>
          </w:tcPr>
          <w:p w14:paraId="1AF3F45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行政监管内容</w:t>
            </w:r>
          </w:p>
        </w:tc>
      </w:tr>
      <w:tr w14:paraId="03DDE7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restart"/>
            <w:tcBorders>
              <w:top w:val="single" w:color="auto" w:sz="4" w:space="0"/>
              <w:left w:val="single" w:color="auto" w:sz="4" w:space="0"/>
              <w:bottom w:val="single" w:color="auto" w:sz="4" w:space="0"/>
              <w:right w:val="single" w:color="auto" w:sz="4" w:space="0"/>
            </w:tcBorders>
            <w:vAlign w:val="center"/>
          </w:tcPr>
          <w:p w14:paraId="4E13A03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9"/>
                <w:sz w:val="20"/>
                <w:szCs w:val="20"/>
              </w:rPr>
            </w:pPr>
          </w:p>
          <w:p w14:paraId="098DAD4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前期</w:t>
            </w:r>
          </w:p>
        </w:tc>
        <w:tc>
          <w:tcPr>
            <w:tcW w:w="876" w:type="pct"/>
            <w:tcBorders>
              <w:top w:val="single" w:color="auto" w:sz="4" w:space="0"/>
              <w:left w:val="single" w:color="auto" w:sz="4" w:space="0"/>
              <w:bottom w:val="single" w:color="auto" w:sz="4" w:space="0"/>
              <w:right w:val="single" w:color="auto" w:sz="4" w:space="0"/>
            </w:tcBorders>
            <w:vAlign w:val="center"/>
          </w:tcPr>
          <w:p w14:paraId="4FD9681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财政</w:t>
            </w:r>
          </w:p>
        </w:tc>
        <w:tc>
          <w:tcPr>
            <w:tcW w:w="3666" w:type="pct"/>
            <w:tcBorders>
              <w:top w:val="single" w:color="auto" w:sz="4" w:space="0"/>
              <w:left w:val="single" w:color="auto" w:sz="4" w:space="0"/>
              <w:bottom w:val="single" w:color="auto" w:sz="4" w:space="0"/>
              <w:right w:val="single" w:color="auto" w:sz="4" w:space="0"/>
            </w:tcBorders>
            <w:vAlign w:val="center"/>
          </w:tcPr>
          <w:p w14:paraId="751D944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会同行业主管部门、司法局等对特许经营协议进行审核。</w:t>
            </w:r>
          </w:p>
        </w:tc>
      </w:tr>
      <w:tr w14:paraId="56A71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0430C9D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top w:val="single" w:color="auto" w:sz="4" w:space="0"/>
              <w:left w:val="single" w:color="auto" w:sz="4" w:space="0"/>
              <w:bottom w:val="single" w:color="auto" w:sz="4" w:space="0"/>
              <w:right w:val="single" w:color="auto" w:sz="4" w:space="0"/>
            </w:tcBorders>
            <w:vAlign w:val="center"/>
          </w:tcPr>
          <w:p w14:paraId="3DAA802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p w14:paraId="3688049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发改</w:t>
            </w:r>
          </w:p>
        </w:tc>
        <w:tc>
          <w:tcPr>
            <w:tcW w:w="3666" w:type="pct"/>
            <w:tcBorders>
              <w:top w:val="single" w:color="auto" w:sz="4" w:space="0"/>
              <w:left w:val="single" w:color="auto" w:sz="4" w:space="0"/>
              <w:bottom w:val="single" w:color="auto" w:sz="4" w:space="0"/>
              <w:right w:val="single" w:color="auto" w:sz="4" w:space="0"/>
            </w:tcBorders>
            <w:vAlign w:val="center"/>
          </w:tcPr>
          <w:p w14:paraId="274FFD6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lang w:eastAsia="zh-CN"/>
              </w:rPr>
            </w:pPr>
            <w:r>
              <w:rPr>
                <w:rFonts w:hint="eastAsia" w:ascii="宋体" w:hAnsi="宋体" w:eastAsia="宋体" w:cs="宋体"/>
                <w:b w:val="0"/>
                <w:bCs w:val="0"/>
                <w:spacing w:val="-19"/>
                <w:sz w:val="20"/>
                <w:szCs w:val="20"/>
              </w:rPr>
              <w:t>1.审批</w:t>
            </w:r>
            <w:r>
              <w:rPr>
                <w:rFonts w:hint="eastAsia" w:ascii="宋体" w:hAnsi="宋体" w:eastAsia="宋体" w:cs="宋体"/>
                <w:b w:val="0"/>
                <w:bCs w:val="0"/>
                <w:spacing w:val="-19"/>
                <w:sz w:val="20"/>
                <w:szCs w:val="20"/>
                <w:lang w:eastAsia="zh-CN"/>
              </w:rPr>
              <w:t>实施方案</w:t>
            </w:r>
          </w:p>
          <w:p w14:paraId="2622E2A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2.指导和协调项目招投标工作，依法对项目招投标活动进行监督检查。</w:t>
            </w:r>
          </w:p>
          <w:p w14:paraId="01BBC3A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3.出具收费文件。</w:t>
            </w:r>
          </w:p>
        </w:tc>
      </w:tr>
      <w:tr w14:paraId="3C9DD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0767EF1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top w:val="single" w:color="auto" w:sz="4" w:space="0"/>
              <w:left w:val="single" w:color="auto" w:sz="4" w:space="0"/>
              <w:bottom w:val="single" w:color="auto" w:sz="4" w:space="0"/>
              <w:right w:val="single" w:color="auto" w:sz="4" w:space="0"/>
            </w:tcBorders>
            <w:vAlign w:val="center"/>
          </w:tcPr>
          <w:p w14:paraId="7D9A43D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司法</w:t>
            </w:r>
          </w:p>
        </w:tc>
        <w:tc>
          <w:tcPr>
            <w:tcW w:w="3666" w:type="pct"/>
            <w:tcBorders>
              <w:top w:val="single" w:color="auto" w:sz="4" w:space="0"/>
              <w:left w:val="single" w:color="auto" w:sz="4" w:space="0"/>
              <w:bottom w:val="single" w:color="auto" w:sz="4" w:space="0"/>
              <w:right w:val="single" w:color="auto" w:sz="4" w:space="0"/>
            </w:tcBorders>
            <w:vAlign w:val="center"/>
          </w:tcPr>
          <w:p w14:paraId="6C00177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会同行业主管部门、财政部门等对特许经营协议进行审核。</w:t>
            </w:r>
          </w:p>
        </w:tc>
      </w:tr>
      <w:tr w14:paraId="6F28E8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restart"/>
            <w:tcBorders>
              <w:top w:val="single" w:color="auto" w:sz="4" w:space="0"/>
            </w:tcBorders>
            <w:vAlign w:val="center"/>
          </w:tcPr>
          <w:p w14:paraId="0DF7508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9"/>
                <w:sz w:val="20"/>
                <w:szCs w:val="20"/>
              </w:rPr>
            </w:pPr>
          </w:p>
          <w:p w14:paraId="7F99951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运营期</w:t>
            </w:r>
          </w:p>
        </w:tc>
        <w:tc>
          <w:tcPr>
            <w:tcW w:w="876" w:type="pct"/>
            <w:tcBorders>
              <w:top w:val="single" w:color="auto" w:sz="4" w:space="0"/>
            </w:tcBorders>
            <w:vAlign w:val="center"/>
          </w:tcPr>
          <w:p w14:paraId="22F76ADF">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财政</w:t>
            </w:r>
          </w:p>
        </w:tc>
        <w:tc>
          <w:tcPr>
            <w:tcW w:w="3666" w:type="pct"/>
            <w:tcBorders>
              <w:top w:val="single" w:color="auto" w:sz="4" w:space="0"/>
            </w:tcBorders>
            <w:vAlign w:val="center"/>
          </w:tcPr>
          <w:p w14:paraId="34C69A0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会同项目实施机构开展运营评价。</w:t>
            </w:r>
          </w:p>
        </w:tc>
      </w:tr>
      <w:tr w14:paraId="39FD87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vAlign w:val="center"/>
          </w:tcPr>
          <w:p w14:paraId="4D6639F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vAlign w:val="center"/>
          </w:tcPr>
          <w:p w14:paraId="0274D6C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p w14:paraId="06ACB18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市场监督</w:t>
            </w:r>
          </w:p>
        </w:tc>
        <w:tc>
          <w:tcPr>
            <w:tcW w:w="3666" w:type="pct"/>
            <w:vAlign w:val="center"/>
          </w:tcPr>
          <w:p w14:paraId="1DD2EF2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lang w:val="en-US" w:eastAsia="zh-CN"/>
              </w:rPr>
              <w:t>1.</w:t>
            </w:r>
            <w:r>
              <w:rPr>
                <w:rFonts w:hint="eastAsia" w:ascii="宋体" w:hAnsi="宋体" w:eastAsia="宋体" w:cs="宋体"/>
                <w:b w:val="0"/>
                <w:bCs w:val="0"/>
                <w:spacing w:val="-19"/>
                <w:sz w:val="20"/>
                <w:szCs w:val="20"/>
              </w:rPr>
              <w:t>依法监督特许经营者的经营</w:t>
            </w:r>
            <w:r>
              <w:rPr>
                <w:rFonts w:hint="eastAsia" w:ascii="宋体" w:hAnsi="宋体" w:eastAsia="宋体" w:cs="宋体"/>
                <w:b w:val="0"/>
                <w:bCs w:val="0"/>
                <w:spacing w:val="-19"/>
                <w:sz w:val="20"/>
                <w:szCs w:val="20"/>
                <w:lang w:eastAsia="zh-CN"/>
              </w:rPr>
              <w:t>行为</w:t>
            </w:r>
            <w:r>
              <w:rPr>
                <w:rFonts w:hint="eastAsia" w:ascii="宋体" w:hAnsi="宋体" w:eastAsia="宋体" w:cs="宋体"/>
                <w:b w:val="0"/>
                <w:bCs w:val="0"/>
                <w:spacing w:val="-19"/>
                <w:sz w:val="20"/>
                <w:szCs w:val="20"/>
              </w:rPr>
              <w:t>；</w:t>
            </w:r>
          </w:p>
          <w:p w14:paraId="355EBC68">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2.保护消费者权益，接受公众</w:t>
            </w:r>
            <w:r>
              <w:rPr>
                <w:rFonts w:hint="eastAsia" w:ascii="宋体" w:hAnsi="宋体" w:eastAsia="宋体" w:cs="宋体"/>
                <w:b w:val="0"/>
                <w:bCs w:val="0"/>
                <w:spacing w:val="-19"/>
                <w:sz w:val="20"/>
                <w:szCs w:val="20"/>
                <w:lang w:val="en-US" w:eastAsia="zh-CN"/>
              </w:rPr>
              <w:t>投诉</w:t>
            </w:r>
            <w:r>
              <w:rPr>
                <w:rFonts w:hint="eastAsia" w:ascii="宋体" w:hAnsi="宋体" w:eastAsia="宋体" w:cs="宋体"/>
                <w:b w:val="0"/>
                <w:bCs w:val="0"/>
                <w:spacing w:val="-19"/>
                <w:sz w:val="20"/>
                <w:szCs w:val="20"/>
              </w:rPr>
              <w:t>；</w:t>
            </w:r>
          </w:p>
          <w:p w14:paraId="7D7F114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3.组织实施价格监督检查政策的执行，依法查处价格违法行为等。</w:t>
            </w:r>
          </w:p>
        </w:tc>
      </w:tr>
      <w:tr w14:paraId="6F0387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vAlign w:val="center"/>
          </w:tcPr>
          <w:p w14:paraId="38F1E4C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vAlign w:val="center"/>
          </w:tcPr>
          <w:p w14:paraId="3990240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税务</w:t>
            </w:r>
          </w:p>
        </w:tc>
        <w:tc>
          <w:tcPr>
            <w:tcW w:w="3666" w:type="pct"/>
            <w:vAlign w:val="center"/>
          </w:tcPr>
          <w:p w14:paraId="72FBBD4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对特许经营者应缴税收缴纳情况进行监督。</w:t>
            </w:r>
          </w:p>
        </w:tc>
      </w:tr>
      <w:tr w14:paraId="16E4EE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vAlign w:val="center"/>
          </w:tcPr>
          <w:p w14:paraId="0A6FA67F">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vAlign w:val="center"/>
          </w:tcPr>
          <w:p w14:paraId="486B96C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审计</w:t>
            </w:r>
          </w:p>
        </w:tc>
        <w:tc>
          <w:tcPr>
            <w:tcW w:w="3666" w:type="pct"/>
            <w:vAlign w:val="center"/>
          </w:tcPr>
          <w:p w14:paraId="449D1B6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按照政策要求对本项目开展审计指导工作。</w:t>
            </w:r>
          </w:p>
        </w:tc>
      </w:tr>
      <w:tr w14:paraId="459B5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456" w:type="pct"/>
            <w:vMerge w:val="continue"/>
            <w:tcBorders>
              <w:bottom w:val="single" w:color="auto" w:sz="4" w:space="0"/>
            </w:tcBorders>
            <w:vAlign w:val="center"/>
          </w:tcPr>
          <w:p w14:paraId="7B1D7AD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bottom w:val="single" w:color="auto" w:sz="4" w:space="0"/>
            </w:tcBorders>
            <w:vAlign w:val="center"/>
          </w:tcPr>
          <w:p w14:paraId="6160E8F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bookmarkStart w:id="195" w:name="_GoBack"/>
            <w:r>
              <w:rPr>
                <w:rFonts w:hint="eastAsia" w:ascii="宋体" w:hAnsi="宋体" w:eastAsia="宋体" w:cs="宋体"/>
                <w:b w:val="0"/>
                <w:bCs w:val="0"/>
                <w:spacing w:val="-19"/>
                <w:sz w:val="20"/>
                <w:szCs w:val="20"/>
              </w:rPr>
              <w:t>人力资源社会保障</w:t>
            </w:r>
            <w:bookmarkEnd w:id="195"/>
          </w:p>
        </w:tc>
        <w:tc>
          <w:tcPr>
            <w:tcW w:w="3666" w:type="pct"/>
            <w:tcBorders>
              <w:bottom w:val="single" w:color="auto" w:sz="4" w:space="0"/>
            </w:tcBorders>
            <w:vAlign w:val="center"/>
          </w:tcPr>
          <w:p w14:paraId="0FD9BAE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对特许经营者劳动保障和社会保障</w:t>
            </w:r>
            <w:r>
              <w:rPr>
                <w:rFonts w:hint="eastAsia" w:ascii="宋体" w:hAnsi="宋体" w:eastAsia="宋体" w:cs="宋体"/>
                <w:b w:val="0"/>
                <w:bCs w:val="0"/>
                <w:spacing w:val="-19"/>
                <w:sz w:val="20"/>
                <w:szCs w:val="20"/>
                <w:lang w:eastAsia="zh-CN"/>
              </w:rPr>
              <w:t>法律法规</w:t>
            </w:r>
            <w:r>
              <w:rPr>
                <w:rFonts w:hint="eastAsia" w:ascii="宋体" w:hAnsi="宋体" w:eastAsia="宋体" w:cs="宋体"/>
                <w:b w:val="0"/>
                <w:bCs w:val="0"/>
                <w:spacing w:val="-19"/>
                <w:sz w:val="20"/>
                <w:szCs w:val="20"/>
              </w:rPr>
              <w:t>和规章的执行情况进行指导、监督。</w:t>
            </w:r>
          </w:p>
        </w:tc>
      </w:tr>
      <w:tr w14:paraId="1978DB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restart"/>
            <w:tcBorders>
              <w:top w:val="single" w:color="auto" w:sz="4" w:space="0"/>
              <w:left w:val="single" w:color="auto" w:sz="4" w:space="0"/>
              <w:bottom w:val="single" w:color="auto" w:sz="4" w:space="0"/>
              <w:right w:val="single" w:color="auto" w:sz="4" w:space="0"/>
            </w:tcBorders>
            <w:vAlign w:val="center"/>
          </w:tcPr>
          <w:p w14:paraId="78BCC83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9"/>
                <w:sz w:val="20"/>
                <w:szCs w:val="20"/>
              </w:rPr>
            </w:pPr>
          </w:p>
          <w:p w14:paraId="00980E2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移交</w:t>
            </w:r>
          </w:p>
        </w:tc>
        <w:tc>
          <w:tcPr>
            <w:tcW w:w="876" w:type="pct"/>
            <w:tcBorders>
              <w:top w:val="single" w:color="auto" w:sz="4" w:space="0"/>
              <w:left w:val="single" w:color="auto" w:sz="4" w:space="0"/>
              <w:bottom w:val="single" w:color="auto" w:sz="4" w:space="0"/>
              <w:right w:val="single" w:color="auto" w:sz="4" w:space="0"/>
            </w:tcBorders>
            <w:vAlign w:val="center"/>
          </w:tcPr>
          <w:p w14:paraId="19B60D7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财政</w:t>
            </w:r>
          </w:p>
        </w:tc>
        <w:tc>
          <w:tcPr>
            <w:tcW w:w="3666" w:type="pct"/>
            <w:tcBorders>
              <w:top w:val="single" w:color="auto" w:sz="4" w:space="0"/>
              <w:left w:val="single" w:color="auto" w:sz="4" w:space="0"/>
              <w:bottom w:val="single" w:color="auto" w:sz="4" w:space="0"/>
              <w:right w:val="single" w:color="auto" w:sz="4" w:space="0"/>
            </w:tcBorders>
            <w:vAlign w:val="center"/>
          </w:tcPr>
          <w:p w14:paraId="2C4913F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1.会同行业主管部门加强对项目债务的监控。项目期满移交时，特许经营者的债务不得移交给政府；</w:t>
            </w:r>
          </w:p>
          <w:p w14:paraId="30E0029F">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2.组织开展项目结束后评价，依法公开评价结果。</w:t>
            </w:r>
          </w:p>
        </w:tc>
      </w:tr>
      <w:tr w14:paraId="46228D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3786950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top w:val="single" w:color="auto" w:sz="4" w:space="0"/>
              <w:left w:val="single" w:color="auto" w:sz="4" w:space="0"/>
              <w:bottom w:val="single" w:color="auto" w:sz="4" w:space="0"/>
              <w:right w:val="single" w:color="auto" w:sz="4" w:space="0"/>
            </w:tcBorders>
            <w:vAlign w:val="center"/>
          </w:tcPr>
          <w:p w14:paraId="10CB81AF">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人力资源社会保障</w:t>
            </w:r>
          </w:p>
        </w:tc>
        <w:tc>
          <w:tcPr>
            <w:tcW w:w="3666" w:type="pct"/>
            <w:tcBorders>
              <w:top w:val="single" w:color="auto" w:sz="4" w:space="0"/>
              <w:left w:val="single" w:color="auto" w:sz="4" w:space="0"/>
              <w:bottom w:val="single" w:color="auto" w:sz="4" w:space="0"/>
              <w:right w:val="single" w:color="auto" w:sz="4" w:space="0"/>
            </w:tcBorders>
            <w:vAlign w:val="center"/>
          </w:tcPr>
          <w:p w14:paraId="2BBD565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对移交后特许经营者劳动保障和社会保障</w:t>
            </w:r>
            <w:r>
              <w:rPr>
                <w:rFonts w:hint="eastAsia" w:ascii="宋体" w:hAnsi="宋体" w:eastAsia="宋体" w:cs="宋体"/>
                <w:b w:val="0"/>
                <w:bCs w:val="0"/>
                <w:spacing w:val="-19"/>
                <w:sz w:val="20"/>
                <w:szCs w:val="20"/>
                <w:lang w:eastAsia="zh-CN"/>
              </w:rPr>
              <w:t>法律法规</w:t>
            </w:r>
            <w:r>
              <w:rPr>
                <w:rFonts w:hint="eastAsia" w:ascii="宋体" w:hAnsi="宋体" w:eastAsia="宋体" w:cs="宋体"/>
                <w:b w:val="0"/>
                <w:bCs w:val="0"/>
                <w:spacing w:val="-19"/>
                <w:sz w:val="20"/>
                <w:szCs w:val="20"/>
              </w:rPr>
              <w:t>和规章的执行情况进行指导、监督。</w:t>
            </w:r>
          </w:p>
        </w:tc>
      </w:tr>
      <w:tr w14:paraId="1417FA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1222AE9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top w:val="single" w:color="auto" w:sz="4" w:space="0"/>
              <w:left w:val="single" w:color="auto" w:sz="4" w:space="0"/>
              <w:bottom w:val="single" w:color="auto" w:sz="4" w:space="0"/>
              <w:right w:val="single" w:color="auto" w:sz="4" w:space="0"/>
            </w:tcBorders>
            <w:vAlign w:val="center"/>
          </w:tcPr>
          <w:p w14:paraId="7DB9C469">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司法</w:t>
            </w:r>
          </w:p>
        </w:tc>
        <w:tc>
          <w:tcPr>
            <w:tcW w:w="3666" w:type="pct"/>
            <w:tcBorders>
              <w:top w:val="single" w:color="auto" w:sz="4" w:space="0"/>
              <w:left w:val="single" w:color="auto" w:sz="4" w:space="0"/>
              <w:bottom w:val="single" w:color="auto" w:sz="4" w:space="0"/>
              <w:right w:val="single" w:color="auto" w:sz="4" w:space="0"/>
            </w:tcBorders>
            <w:vAlign w:val="center"/>
          </w:tcPr>
          <w:p w14:paraId="5FAA738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对项目</w:t>
            </w:r>
            <w:r>
              <w:rPr>
                <w:rFonts w:hint="eastAsia" w:ascii="宋体" w:hAnsi="宋体" w:eastAsia="宋体" w:cs="宋体"/>
                <w:b w:val="0"/>
                <w:bCs w:val="0"/>
                <w:spacing w:val="-19"/>
                <w:sz w:val="20"/>
                <w:szCs w:val="20"/>
                <w:lang w:eastAsia="zh-CN"/>
              </w:rPr>
              <w:t>移交</w:t>
            </w:r>
            <w:r>
              <w:rPr>
                <w:rFonts w:hint="eastAsia" w:ascii="宋体" w:hAnsi="宋体" w:eastAsia="宋体" w:cs="宋体"/>
                <w:b w:val="0"/>
                <w:bCs w:val="0"/>
                <w:spacing w:val="-19"/>
                <w:sz w:val="20"/>
                <w:szCs w:val="20"/>
              </w:rPr>
              <w:t>文件进行审核。</w:t>
            </w:r>
          </w:p>
        </w:tc>
      </w:tr>
      <w:tr w14:paraId="1889DC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456" w:type="pct"/>
            <w:vMerge w:val="continue"/>
            <w:tcBorders>
              <w:top w:val="single" w:color="auto" w:sz="4" w:space="0"/>
              <w:left w:val="single" w:color="auto" w:sz="4" w:space="0"/>
              <w:bottom w:val="single" w:color="auto" w:sz="4" w:space="0"/>
              <w:right w:val="single" w:color="auto" w:sz="4" w:space="0"/>
            </w:tcBorders>
            <w:vAlign w:val="center"/>
          </w:tcPr>
          <w:p w14:paraId="28E377B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p>
        </w:tc>
        <w:tc>
          <w:tcPr>
            <w:tcW w:w="876" w:type="pct"/>
            <w:tcBorders>
              <w:top w:val="single" w:color="auto" w:sz="4" w:space="0"/>
              <w:left w:val="single" w:color="auto" w:sz="4" w:space="0"/>
              <w:bottom w:val="single" w:color="auto" w:sz="4" w:space="0"/>
              <w:right w:val="single" w:color="auto" w:sz="4" w:space="0"/>
            </w:tcBorders>
            <w:vAlign w:val="center"/>
          </w:tcPr>
          <w:p w14:paraId="0670B86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生态环境</w:t>
            </w:r>
          </w:p>
        </w:tc>
        <w:tc>
          <w:tcPr>
            <w:tcW w:w="3666" w:type="pct"/>
            <w:tcBorders>
              <w:top w:val="single" w:color="auto" w:sz="4" w:space="0"/>
              <w:left w:val="single" w:color="auto" w:sz="4" w:space="0"/>
              <w:bottom w:val="single" w:color="auto" w:sz="4" w:space="0"/>
              <w:right w:val="single" w:color="auto" w:sz="4" w:space="0"/>
            </w:tcBorders>
            <w:vAlign w:val="center"/>
          </w:tcPr>
          <w:p w14:paraId="36318EB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left"/>
              <w:textAlignment w:val="baseline"/>
              <w:rPr>
                <w:rFonts w:hint="eastAsia" w:ascii="宋体" w:hAnsi="宋体" w:eastAsia="宋体" w:cs="宋体"/>
                <w:b w:val="0"/>
                <w:bCs w:val="0"/>
                <w:spacing w:val="-19"/>
                <w:sz w:val="20"/>
                <w:szCs w:val="20"/>
              </w:rPr>
            </w:pPr>
            <w:r>
              <w:rPr>
                <w:rFonts w:hint="eastAsia" w:ascii="宋体" w:hAnsi="宋体" w:eastAsia="宋体" w:cs="宋体"/>
                <w:b w:val="0"/>
                <w:bCs w:val="0"/>
                <w:spacing w:val="-19"/>
                <w:sz w:val="20"/>
                <w:szCs w:val="20"/>
              </w:rPr>
              <w:t>会同行业主管部门检查是否符合移交标准。</w:t>
            </w:r>
          </w:p>
        </w:tc>
      </w:tr>
    </w:tbl>
    <w:p w14:paraId="0EE04B67">
      <w:pPr>
        <w:pStyle w:val="6"/>
        <w:numPr>
          <w:ilvl w:val="3"/>
          <w:numId w:val="43"/>
        </w:numPr>
        <w:bidi w:val="0"/>
        <w:rPr>
          <w:highlight w:val="none"/>
        </w:rPr>
      </w:pPr>
      <w:r>
        <w:rPr>
          <w:highlight w:val="none"/>
        </w:rPr>
        <w:t>公众监督</w:t>
      </w:r>
    </w:p>
    <w:p w14:paraId="75E65B14">
      <w:pPr>
        <w:bidi w:val="0"/>
      </w:pPr>
      <w:r>
        <w:t>特许经营期内，公众监督主要包括信息公开、媒体曝光、投诉处理、服务满意度评价等方式，对涉及社会公众利益的问题，充分赋予公众监督权，多渠道反映，有效妥善解决问题。</w:t>
      </w:r>
    </w:p>
    <w:tbl>
      <w:tblPr>
        <w:tblStyle w:val="26"/>
        <w:tblW w:w="90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61"/>
        <w:gridCol w:w="1371"/>
        <w:gridCol w:w="1844"/>
        <w:gridCol w:w="4888"/>
      </w:tblGrid>
      <w:tr w14:paraId="3EC80C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961" w:type="dxa"/>
            <w:vAlign w:val="top"/>
          </w:tcPr>
          <w:p w14:paraId="75EDEFE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268"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19"/>
                <w:sz w:val="20"/>
                <w:szCs w:val="20"/>
              </w:rPr>
              <w:t>阶段</w:t>
            </w:r>
          </w:p>
        </w:tc>
        <w:tc>
          <w:tcPr>
            <w:tcW w:w="1371" w:type="dxa"/>
            <w:vAlign w:val="top"/>
          </w:tcPr>
          <w:p w14:paraId="19617976">
            <w:pPr>
              <w:pStyle w:val="27"/>
              <w:keepNext w:val="0"/>
              <w:keepLines w:val="0"/>
              <w:pageBreakBefore w:val="0"/>
              <w:widowControl/>
              <w:kinsoku w:val="0"/>
              <w:wordWrap/>
              <w:overflowPunct/>
              <w:topLinePunct w:val="0"/>
              <w:autoSpaceDE w:val="0"/>
              <w:autoSpaceDN w:val="0"/>
              <w:bidi w:val="0"/>
              <w:adjustRightInd w:val="0"/>
              <w:snapToGrid w:val="0"/>
              <w:spacing w:before="169" w:line="240" w:lineRule="auto"/>
              <w:ind w:left="221"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8"/>
                <w:sz w:val="20"/>
                <w:szCs w:val="20"/>
              </w:rPr>
              <w:t>监督事项</w:t>
            </w:r>
          </w:p>
        </w:tc>
        <w:tc>
          <w:tcPr>
            <w:tcW w:w="1844" w:type="dxa"/>
            <w:vAlign w:val="top"/>
          </w:tcPr>
          <w:p w14:paraId="611A7AD6">
            <w:pPr>
              <w:pStyle w:val="27"/>
              <w:keepNext w:val="0"/>
              <w:keepLines w:val="0"/>
              <w:pageBreakBefore w:val="0"/>
              <w:widowControl/>
              <w:kinsoku w:val="0"/>
              <w:wordWrap/>
              <w:overflowPunct/>
              <w:topLinePunct w:val="0"/>
              <w:autoSpaceDE w:val="0"/>
              <w:autoSpaceDN w:val="0"/>
              <w:bidi w:val="0"/>
              <w:adjustRightInd w:val="0"/>
              <w:snapToGrid w:val="0"/>
              <w:spacing w:before="169" w:line="240" w:lineRule="auto"/>
              <w:ind w:left="458"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8"/>
                <w:sz w:val="20"/>
                <w:szCs w:val="20"/>
              </w:rPr>
              <w:t>监督内容</w:t>
            </w:r>
          </w:p>
        </w:tc>
        <w:tc>
          <w:tcPr>
            <w:tcW w:w="4888" w:type="dxa"/>
            <w:vAlign w:val="top"/>
          </w:tcPr>
          <w:p w14:paraId="078E6DC5">
            <w:pPr>
              <w:pStyle w:val="27"/>
              <w:keepNext w:val="0"/>
              <w:keepLines w:val="0"/>
              <w:pageBreakBefore w:val="0"/>
              <w:widowControl/>
              <w:kinsoku w:val="0"/>
              <w:wordWrap/>
              <w:overflowPunct/>
              <w:topLinePunct w:val="0"/>
              <w:autoSpaceDE w:val="0"/>
              <w:autoSpaceDN w:val="0"/>
              <w:bidi w:val="0"/>
              <w:adjustRightInd w:val="0"/>
              <w:snapToGrid w:val="0"/>
              <w:spacing w:before="169" w:line="240" w:lineRule="auto"/>
              <w:ind w:left="1737"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6"/>
                <w:sz w:val="20"/>
                <w:szCs w:val="20"/>
              </w:rPr>
              <w:t>公众监督措施</w:t>
            </w:r>
          </w:p>
        </w:tc>
      </w:tr>
      <w:tr w14:paraId="12D1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961" w:type="dxa"/>
            <w:vMerge w:val="restart"/>
            <w:tcBorders>
              <w:bottom w:val="nil"/>
            </w:tcBorders>
            <w:vAlign w:val="top"/>
          </w:tcPr>
          <w:p w14:paraId="53BD24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35FFE9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69F630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711861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438C0A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58901485">
            <w:pPr>
              <w:pStyle w:val="27"/>
              <w:keepNext w:val="0"/>
              <w:keepLines w:val="0"/>
              <w:pageBreakBefore w:val="0"/>
              <w:widowControl/>
              <w:kinsoku w:val="0"/>
              <w:wordWrap/>
              <w:overflowPunct/>
              <w:topLinePunct w:val="0"/>
              <w:autoSpaceDE w:val="0"/>
              <w:autoSpaceDN w:val="0"/>
              <w:bidi w:val="0"/>
              <w:adjustRightInd w:val="0"/>
              <w:snapToGrid w:val="0"/>
              <w:spacing w:before="78" w:line="240" w:lineRule="auto"/>
              <w:ind w:left="135"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运营期</w:t>
            </w:r>
          </w:p>
        </w:tc>
        <w:tc>
          <w:tcPr>
            <w:tcW w:w="1371" w:type="dxa"/>
            <w:vAlign w:val="top"/>
          </w:tcPr>
          <w:p w14:paraId="28B6DC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5996EA15">
            <w:pPr>
              <w:pStyle w:val="27"/>
              <w:keepNext w:val="0"/>
              <w:keepLines w:val="0"/>
              <w:pageBreakBefore w:val="0"/>
              <w:widowControl/>
              <w:kinsoku w:val="0"/>
              <w:wordWrap/>
              <w:overflowPunct/>
              <w:topLinePunct w:val="0"/>
              <w:autoSpaceDE w:val="0"/>
              <w:autoSpaceDN w:val="0"/>
              <w:bidi w:val="0"/>
              <w:adjustRightInd w:val="0"/>
              <w:snapToGrid w:val="0"/>
              <w:spacing w:before="78" w:line="240" w:lineRule="auto"/>
              <w:ind w:left="217" w:firstLine="0" w:firstLineChars="0"/>
              <w:jc w:val="both"/>
              <w:textAlignment w:val="baseline"/>
              <w:rPr>
                <w:rFonts w:hint="eastAsia" w:ascii="宋体" w:hAnsi="宋体" w:eastAsia="宋体" w:cs="宋体"/>
                <w:sz w:val="20"/>
                <w:szCs w:val="20"/>
              </w:rPr>
            </w:pPr>
            <w:r>
              <w:rPr>
                <w:rFonts w:hint="eastAsia" w:ascii="宋体" w:hAnsi="宋体" w:eastAsia="宋体" w:cs="宋体"/>
                <w:spacing w:val="-4"/>
                <w:sz w:val="20"/>
                <w:szCs w:val="20"/>
              </w:rPr>
              <w:t>信息公开</w:t>
            </w:r>
          </w:p>
        </w:tc>
        <w:tc>
          <w:tcPr>
            <w:tcW w:w="1844" w:type="dxa"/>
            <w:vAlign w:val="top"/>
          </w:tcPr>
          <w:p w14:paraId="1832E2A7">
            <w:pPr>
              <w:pStyle w:val="27"/>
              <w:keepNext w:val="0"/>
              <w:keepLines w:val="0"/>
              <w:pageBreakBefore w:val="0"/>
              <w:widowControl/>
              <w:kinsoku w:val="0"/>
              <w:wordWrap/>
              <w:overflowPunct/>
              <w:topLinePunct w:val="0"/>
              <w:autoSpaceDE w:val="0"/>
              <w:autoSpaceDN w:val="0"/>
              <w:bidi w:val="0"/>
              <w:adjustRightInd w:val="0"/>
              <w:snapToGrid w:val="0"/>
              <w:spacing w:before="19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运营期内项目</w:t>
            </w:r>
            <w:r>
              <w:rPr>
                <w:rFonts w:hint="eastAsia" w:ascii="宋体" w:hAnsi="宋体" w:eastAsia="宋体" w:cs="宋体"/>
                <w:spacing w:val="-6"/>
                <w:sz w:val="20"/>
                <w:szCs w:val="20"/>
              </w:rPr>
              <w:t>实施情况</w:t>
            </w:r>
          </w:p>
        </w:tc>
        <w:tc>
          <w:tcPr>
            <w:tcW w:w="4888" w:type="dxa"/>
            <w:vAlign w:val="top"/>
          </w:tcPr>
          <w:p w14:paraId="2505F9D7">
            <w:pPr>
              <w:pStyle w:val="27"/>
              <w:keepNext w:val="0"/>
              <w:keepLines w:val="0"/>
              <w:pageBreakBefore w:val="0"/>
              <w:widowControl/>
              <w:kinsoku w:val="0"/>
              <w:wordWrap/>
              <w:overflowPunct/>
              <w:topLinePunct w:val="0"/>
              <w:autoSpaceDE w:val="0"/>
              <w:autoSpaceDN w:val="0"/>
              <w:bidi w:val="0"/>
              <w:adjustRightInd w:val="0"/>
              <w:snapToGrid w:val="0"/>
              <w:spacing w:before="36" w:line="240" w:lineRule="auto"/>
              <w:ind w:left="123" w:right="21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通过全国投资项目在线审批监管平台向社会</w:t>
            </w:r>
            <w:r>
              <w:rPr>
                <w:rFonts w:hint="eastAsia" w:ascii="宋体" w:hAnsi="宋体" w:eastAsia="宋体" w:cs="宋体"/>
                <w:spacing w:val="-1"/>
                <w:sz w:val="20"/>
                <w:szCs w:val="20"/>
              </w:rPr>
              <w:t>公开披露公共产品或服务标准、监测分析和</w:t>
            </w:r>
            <w:r>
              <w:rPr>
                <w:rFonts w:hint="eastAsia" w:ascii="宋体" w:hAnsi="宋体" w:eastAsia="宋体" w:cs="宋体"/>
                <w:spacing w:val="-2"/>
                <w:sz w:val="20"/>
                <w:szCs w:val="20"/>
              </w:rPr>
              <w:t>运营评价结果等信息</w:t>
            </w:r>
          </w:p>
        </w:tc>
      </w:tr>
      <w:tr w14:paraId="364200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6" w:hRule="atLeast"/>
          <w:jc w:val="center"/>
        </w:trPr>
        <w:tc>
          <w:tcPr>
            <w:tcW w:w="961" w:type="dxa"/>
            <w:vMerge w:val="continue"/>
            <w:tcBorders>
              <w:top w:val="nil"/>
            </w:tcBorders>
            <w:vAlign w:val="top"/>
          </w:tcPr>
          <w:p w14:paraId="730DF5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tc>
        <w:tc>
          <w:tcPr>
            <w:tcW w:w="1371" w:type="dxa"/>
            <w:vAlign w:val="top"/>
          </w:tcPr>
          <w:p w14:paraId="5B4B4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sz w:val="20"/>
                <w:szCs w:val="20"/>
              </w:rPr>
            </w:pPr>
          </w:p>
          <w:p w14:paraId="3DF3E336">
            <w:pPr>
              <w:pStyle w:val="27"/>
              <w:keepNext w:val="0"/>
              <w:keepLines w:val="0"/>
              <w:pageBreakBefore w:val="0"/>
              <w:widowControl/>
              <w:kinsoku w:val="0"/>
              <w:wordWrap/>
              <w:overflowPunct/>
              <w:topLinePunct w:val="0"/>
              <w:autoSpaceDE w:val="0"/>
              <w:autoSpaceDN w:val="0"/>
              <w:bidi w:val="0"/>
              <w:adjustRightInd w:val="0"/>
              <w:snapToGrid w:val="0"/>
              <w:spacing w:before="78" w:line="240" w:lineRule="auto"/>
              <w:ind w:left="221" w:right="204"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项目设施</w:t>
            </w:r>
            <w:r>
              <w:rPr>
                <w:rFonts w:hint="eastAsia" w:ascii="宋体" w:hAnsi="宋体" w:eastAsia="宋体" w:cs="宋体"/>
                <w:spacing w:val="-6"/>
                <w:sz w:val="20"/>
                <w:szCs w:val="20"/>
              </w:rPr>
              <w:t>维护状况</w:t>
            </w:r>
          </w:p>
        </w:tc>
        <w:tc>
          <w:tcPr>
            <w:tcW w:w="1844" w:type="dxa"/>
            <w:vAlign w:val="top"/>
          </w:tcPr>
          <w:p w14:paraId="73F998EC">
            <w:pPr>
              <w:pStyle w:val="27"/>
              <w:keepNext w:val="0"/>
              <w:keepLines w:val="0"/>
              <w:pageBreakBefore w:val="0"/>
              <w:widowControl/>
              <w:kinsoku w:val="0"/>
              <w:wordWrap/>
              <w:overflowPunct/>
              <w:topLinePunct w:val="0"/>
              <w:autoSpaceDE w:val="0"/>
              <w:autoSpaceDN w:val="0"/>
              <w:bidi w:val="0"/>
              <w:adjustRightInd w:val="0"/>
              <w:snapToGrid w:val="0"/>
              <w:spacing w:line="240" w:lineRule="auto"/>
              <w:ind w:left="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项目设施状况是否符合相关</w:t>
            </w:r>
            <w:r>
              <w:rPr>
                <w:rFonts w:hint="eastAsia" w:ascii="宋体" w:hAnsi="宋体" w:eastAsia="宋体" w:cs="宋体"/>
                <w:spacing w:val="-10"/>
                <w:sz w:val="20"/>
                <w:szCs w:val="20"/>
              </w:rPr>
              <w:t>规范、标准的要</w:t>
            </w:r>
            <w:r>
              <w:rPr>
                <w:rFonts w:hint="eastAsia" w:ascii="宋体" w:hAnsi="宋体" w:eastAsia="宋体" w:cs="宋体"/>
                <w:spacing w:val="-11"/>
                <w:sz w:val="20"/>
                <w:szCs w:val="20"/>
              </w:rPr>
              <w:t>求；是否存在安全隐患；是否能</w:t>
            </w:r>
            <w:r>
              <w:rPr>
                <w:rFonts w:hint="eastAsia" w:ascii="宋体" w:hAnsi="宋体" w:eastAsia="宋体" w:cs="宋体"/>
                <w:spacing w:val="-3"/>
                <w:sz w:val="20"/>
                <w:szCs w:val="20"/>
              </w:rPr>
              <w:t>够满足日常运</w:t>
            </w:r>
            <w:r>
              <w:rPr>
                <w:rFonts w:hint="eastAsia" w:ascii="宋体" w:hAnsi="宋体" w:eastAsia="宋体" w:cs="宋体"/>
                <w:spacing w:val="-6"/>
                <w:sz w:val="20"/>
                <w:szCs w:val="20"/>
              </w:rPr>
              <w:t>营的需求</w:t>
            </w:r>
          </w:p>
        </w:tc>
        <w:tc>
          <w:tcPr>
            <w:tcW w:w="4888" w:type="dxa"/>
            <w:vAlign w:val="top"/>
          </w:tcPr>
          <w:p w14:paraId="33FF2753">
            <w:pPr>
              <w:pStyle w:val="27"/>
              <w:keepNext w:val="0"/>
              <w:keepLines w:val="0"/>
              <w:pageBreakBefore w:val="0"/>
              <w:widowControl/>
              <w:kinsoku w:val="0"/>
              <w:wordWrap/>
              <w:overflowPunct/>
              <w:topLinePunct w:val="0"/>
              <w:autoSpaceDE w:val="0"/>
              <w:autoSpaceDN w:val="0"/>
              <w:bidi w:val="0"/>
              <w:adjustRightInd w:val="0"/>
              <w:snapToGrid w:val="0"/>
              <w:spacing w:before="38" w:line="240" w:lineRule="auto"/>
              <w:ind w:left="122" w:right="216" w:firstLine="0" w:firstLineChars="0"/>
              <w:jc w:val="center"/>
              <w:textAlignment w:val="baseline"/>
              <w:rPr>
                <w:rFonts w:hint="eastAsia" w:ascii="宋体" w:hAnsi="宋体" w:eastAsia="宋体" w:cs="宋体"/>
                <w:sz w:val="20"/>
                <w:szCs w:val="20"/>
                <w:lang w:eastAsia="zh-CN"/>
              </w:rPr>
            </w:pPr>
            <w:r>
              <w:rPr>
                <w:rFonts w:hint="eastAsia" w:ascii="宋体" w:hAnsi="宋体" w:eastAsia="宋体" w:cs="宋体"/>
                <w:spacing w:val="-2"/>
                <w:sz w:val="20"/>
                <w:szCs w:val="20"/>
              </w:rPr>
              <w:t>1.定期检查相关设施设备的运行情况与安全</w:t>
            </w:r>
            <w:r>
              <w:rPr>
                <w:rFonts w:hint="eastAsia" w:ascii="宋体" w:hAnsi="宋体" w:eastAsia="宋体" w:cs="宋体"/>
                <w:spacing w:val="-1"/>
                <w:sz w:val="20"/>
                <w:szCs w:val="20"/>
              </w:rPr>
              <w:t>状况，发现问题立即解决，及时通报相关检</w:t>
            </w:r>
            <w:r>
              <w:rPr>
                <w:rFonts w:hint="eastAsia" w:ascii="宋体" w:hAnsi="宋体" w:eastAsia="宋体" w:cs="宋体"/>
                <w:spacing w:val="-3"/>
                <w:sz w:val="20"/>
                <w:szCs w:val="20"/>
              </w:rPr>
              <w:t>查及处理结果</w:t>
            </w:r>
            <w:r>
              <w:rPr>
                <w:rFonts w:hint="eastAsia" w:ascii="宋体" w:hAnsi="宋体" w:eastAsia="宋体" w:cs="宋体"/>
                <w:spacing w:val="-3"/>
                <w:sz w:val="20"/>
                <w:szCs w:val="20"/>
                <w:lang w:eastAsia="zh-CN"/>
              </w:rPr>
              <w:t>；</w:t>
            </w:r>
          </w:p>
          <w:p w14:paraId="7407F10D">
            <w:pPr>
              <w:pStyle w:val="27"/>
              <w:keepNext w:val="0"/>
              <w:keepLines w:val="0"/>
              <w:pageBreakBefore w:val="0"/>
              <w:widowControl/>
              <w:kinsoku w:val="0"/>
              <w:wordWrap/>
              <w:overflowPunct/>
              <w:topLinePunct w:val="0"/>
              <w:autoSpaceDE w:val="0"/>
              <w:autoSpaceDN w:val="0"/>
              <w:bidi w:val="0"/>
              <w:adjustRightInd w:val="0"/>
              <w:snapToGrid w:val="0"/>
              <w:spacing w:before="23" w:line="240" w:lineRule="auto"/>
              <w:ind w:left="128" w:right="10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4"/>
                <w:sz w:val="20"/>
                <w:szCs w:val="20"/>
              </w:rPr>
              <w:t>2.设置投诉举报电话及意见箱，接受并处理监</w:t>
            </w:r>
            <w:r>
              <w:rPr>
                <w:rFonts w:hint="eastAsia" w:ascii="宋体" w:hAnsi="宋体" w:eastAsia="宋体" w:cs="宋体"/>
                <w:spacing w:val="-5"/>
                <w:sz w:val="20"/>
                <w:szCs w:val="20"/>
              </w:rPr>
              <w:t>督与投诉；</w:t>
            </w:r>
          </w:p>
          <w:p w14:paraId="764A69E3">
            <w:pPr>
              <w:pStyle w:val="27"/>
              <w:keepNext w:val="0"/>
              <w:keepLines w:val="0"/>
              <w:pageBreakBefore w:val="0"/>
              <w:widowControl/>
              <w:kinsoku w:val="0"/>
              <w:wordWrap/>
              <w:overflowPunct/>
              <w:topLinePunct w:val="0"/>
              <w:autoSpaceDE w:val="0"/>
              <w:autoSpaceDN w:val="0"/>
              <w:bidi w:val="0"/>
              <w:adjustRightInd w:val="0"/>
              <w:snapToGrid w:val="0"/>
              <w:spacing w:before="23" w:line="240" w:lineRule="auto"/>
              <w:ind w:left="128" w:right="10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3.每年开展满意度调查，就特许经营者维护服</w:t>
            </w:r>
            <w:r>
              <w:rPr>
                <w:rFonts w:hint="eastAsia" w:ascii="宋体" w:hAnsi="宋体" w:eastAsia="宋体" w:cs="宋体"/>
                <w:spacing w:val="-3"/>
                <w:sz w:val="20"/>
                <w:szCs w:val="20"/>
              </w:rPr>
              <w:t>务水平征询意见。</w:t>
            </w:r>
          </w:p>
        </w:tc>
      </w:tr>
      <w:tr w14:paraId="7CCE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961" w:type="dxa"/>
            <w:vAlign w:val="top"/>
          </w:tcPr>
          <w:p w14:paraId="40630D7B">
            <w:pPr>
              <w:pStyle w:val="27"/>
              <w:keepNext w:val="0"/>
              <w:keepLines w:val="0"/>
              <w:pageBreakBefore w:val="0"/>
              <w:widowControl/>
              <w:kinsoku w:val="0"/>
              <w:wordWrap/>
              <w:overflowPunct/>
              <w:topLinePunct w:val="0"/>
              <w:autoSpaceDE w:val="0"/>
              <w:autoSpaceDN w:val="0"/>
              <w:bidi w:val="0"/>
              <w:adjustRightInd w:val="0"/>
              <w:snapToGrid w:val="0"/>
              <w:spacing w:before="198" w:line="240" w:lineRule="auto"/>
              <w:ind w:left="254" w:firstLine="0" w:firstLineChars="0"/>
              <w:jc w:val="both"/>
              <w:textAlignment w:val="baseline"/>
              <w:rPr>
                <w:rFonts w:hint="eastAsia" w:ascii="宋体" w:hAnsi="宋体" w:eastAsia="宋体" w:cs="宋体"/>
                <w:sz w:val="20"/>
                <w:szCs w:val="20"/>
              </w:rPr>
            </w:pPr>
            <w:r>
              <w:rPr>
                <w:rFonts w:hint="eastAsia" w:ascii="宋体" w:hAnsi="宋体" w:eastAsia="宋体" w:cs="宋体"/>
                <w:spacing w:val="-8"/>
                <w:sz w:val="20"/>
                <w:szCs w:val="20"/>
              </w:rPr>
              <w:t>移交</w:t>
            </w:r>
          </w:p>
        </w:tc>
        <w:tc>
          <w:tcPr>
            <w:tcW w:w="1371" w:type="dxa"/>
            <w:vAlign w:val="top"/>
          </w:tcPr>
          <w:p w14:paraId="76056C41">
            <w:pPr>
              <w:pStyle w:val="27"/>
              <w:keepNext w:val="0"/>
              <w:keepLines w:val="0"/>
              <w:pageBreakBefore w:val="0"/>
              <w:widowControl/>
              <w:kinsoku w:val="0"/>
              <w:wordWrap/>
              <w:overflowPunct/>
              <w:topLinePunct w:val="0"/>
              <w:autoSpaceDE w:val="0"/>
              <w:autoSpaceDN w:val="0"/>
              <w:bidi w:val="0"/>
              <w:adjustRightInd w:val="0"/>
              <w:snapToGrid w:val="0"/>
              <w:spacing w:before="198" w:line="240" w:lineRule="auto"/>
              <w:ind w:left="217" w:firstLine="0" w:firstLineChars="0"/>
              <w:jc w:val="both"/>
              <w:textAlignment w:val="baseline"/>
              <w:rPr>
                <w:rFonts w:hint="eastAsia" w:ascii="宋体" w:hAnsi="宋体" w:eastAsia="宋体" w:cs="宋体"/>
                <w:sz w:val="20"/>
                <w:szCs w:val="20"/>
              </w:rPr>
            </w:pPr>
            <w:r>
              <w:rPr>
                <w:rFonts w:hint="eastAsia" w:ascii="宋体" w:hAnsi="宋体" w:eastAsia="宋体" w:cs="宋体"/>
                <w:spacing w:val="-4"/>
                <w:sz w:val="20"/>
                <w:szCs w:val="20"/>
              </w:rPr>
              <w:t>移交质量</w:t>
            </w:r>
          </w:p>
        </w:tc>
        <w:tc>
          <w:tcPr>
            <w:tcW w:w="1844" w:type="dxa"/>
            <w:vAlign w:val="top"/>
          </w:tcPr>
          <w:p w14:paraId="0FEF4BED">
            <w:pPr>
              <w:pStyle w:val="27"/>
              <w:keepNext w:val="0"/>
              <w:keepLines w:val="0"/>
              <w:pageBreakBefore w:val="0"/>
              <w:widowControl/>
              <w:kinsoku w:val="0"/>
              <w:wordWrap/>
              <w:overflowPunct/>
              <w:topLinePunct w:val="0"/>
              <w:autoSpaceDE w:val="0"/>
              <w:autoSpaceDN w:val="0"/>
              <w:bidi w:val="0"/>
              <w:adjustRightInd w:val="0"/>
              <w:snapToGrid w:val="0"/>
              <w:spacing w:before="43" w:line="240" w:lineRule="auto"/>
              <w:ind w:left="0" w:leftChars="0" w:right="200" w:firstLine="0" w:firstLineChars="0"/>
              <w:jc w:val="both"/>
              <w:textAlignment w:val="baseline"/>
              <w:rPr>
                <w:rFonts w:hint="eastAsia" w:ascii="宋体" w:hAnsi="宋体" w:eastAsia="宋体" w:cs="宋体"/>
                <w:sz w:val="20"/>
                <w:szCs w:val="20"/>
              </w:rPr>
            </w:pPr>
            <w:r>
              <w:rPr>
                <w:rFonts w:hint="eastAsia" w:ascii="宋体" w:hAnsi="宋体" w:eastAsia="宋体" w:cs="宋体"/>
                <w:spacing w:val="-3"/>
                <w:sz w:val="20"/>
                <w:szCs w:val="20"/>
              </w:rPr>
              <w:t>移交项目实施</w:t>
            </w:r>
            <w:r>
              <w:rPr>
                <w:rFonts w:hint="eastAsia" w:ascii="宋体" w:hAnsi="宋体" w:eastAsia="宋体" w:cs="宋体"/>
                <w:spacing w:val="-11"/>
                <w:sz w:val="20"/>
                <w:szCs w:val="20"/>
              </w:rPr>
              <w:t>情况</w:t>
            </w:r>
          </w:p>
        </w:tc>
        <w:tc>
          <w:tcPr>
            <w:tcW w:w="4888" w:type="dxa"/>
            <w:vAlign w:val="top"/>
          </w:tcPr>
          <w:p w14:paraId="14B33550">
            <w:pPr>
              <w:pStyle w:val="27"/>
              <w:keepNext w:val="0"/>
              <w:keepLines w:val="0"/>
              <w:pageBreakBefore w:val="0"/>
              <w:widowControl/>
              <w:kinsoku w:val="0"/>
              <w:wordWrap/>
              <w:overflowPunct/>
              <w:topLinePunct w:val="0"/>
              <w:autoSpaceDE w:val="0"/>
              <w:autoSpaceDN w:val="0"/>
              <w:bidi w:val="0"/>
              <w:adjustRightInd w:val="0"/>
              <w:snapToGrid w:val="0"/>
              <w:spacing w:before="198" w:line="240" w:lineRule="auto"/>
              <w:ind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4"/>
                <w:sz w:val="20"/>
                <w:szCs w:val="20"/>
              </w:rPr>
              <w:t>项目移交方案、移交资产或设施清单等信息。</w:t>
            </w:r>
          </w:p>
        </w:tc>
      </w:tr>
    </w:tbl>
    <w:p w14:paraId="4249F7AD">
      <w:pPr>
        <w:pStyle w:val="5"/>
        <w:numPr>
          <w:ilvl w:val="2"/>
          <w:numId w:val="40"/>
        </w:numPr>
        <w:bidi w:val="0"/>
        <w:ind w:left="0" w:firstLine="402"/>
        <w:rPr>
          <w:rFonts w:ascii="Arial" w:hAnsi="Arial"/>
        </w:rPr>
      </w:pPr>
      <w:bookmarkStart w:id="135" w:name="bookmark80"/>
      <w:bookmarkEnd w:id="135"/>
      <w:r>
        <w:rPr>
          <w:rFonts w:ascii="Arial" w:hAnsi="Arial"/>
        </w:rPr>
        <w:t>运营评价</w:t>
      </w:r>
    </w:p>
    <w:p w14:paraId="5362CC71">
      <w:pPr>
        <w:bidi w:val="0"/>
      </w:pPr>
      <w:r>
        <w:t>《国务院办公厅转发国家发展改革委、财政部</w:t>
      </w:r>
      <w:r>
        <w:rPr>
          <w:rFonts w:hint="eastAsia"/>
          <w:lang w:eastAsia="zh-CN"/>
        </w:rPr>
        <w:t>〈</w:t>
      </w:r>
      <w:r>
        <w:t>关于规范实施政府和社会资本合作新机制的指导意见</w:t>
      </w:r>
      <w:r>
        <w:rPr>
          <w:rFonts w:hint="eastAsia"/>
          <w:lang w:eastAsia="zh-CN"/>
        </w:rPr>
        <w:t>〉</w:t>
      </w:r>
      <w:r>
        <w:t>的通知》（国办函</w:t>
      </w:r>
      <w:bookmarkStart w:id="136" w:name="bookmark158"/>
      <w:bookmarkEnd w:id="136"/>
      <w:r>
        <w:t>〔2023〕115号）要求，“项目实施机构应会同有关方面对项目运营情况进行监测分析，开展运营评价，评估潜在风险，建立约束机制，切实保障公共产品、公共服务的质量和效率。项目实施机构应将社会公众意见作为项目监测分析和运营评价的重要内容</w:t>
      </w:r>
      <w:r>
        <w:rPr>
          <w:rFonts w:hint="eastAsia"/>
          <w:lang w:eastAsia="zh-CN"/>
        </w:rPr>
        <w:t>，</w:t>
      </w:r>
      <w:r>
        <w:t>加大公共监督力度，按照有关规定开展绩效评价。”</w:t>
      </w:r>
    </w:p>
    <w:p w14:paraId="74E8B34C">
      <w:pPr>
        <w:bidi w:val="0"/>
      </w:pPr>
      <w:r>
        <w:t>本项目实施机构应组织编制运营评价工作方案，内容通常包括项目基本情况、运营目标和指标体系、评价目的和依据、评价对象和范围、评价方法、组织与实施计划、资料收集与调查等。</w:t>
      </w:r>
    </w:p>
    <w:p w14:paraId="339DA778">
      <w:pPr>
        <w:bidi w:val="0"/>
      </w:pPr>
      <w:r>
        <w:t>每次运营评价皆应形成必要的书面记录、照片和视频等材料。运营评价的手段包括但不限于观察、询问、函证、第三方送检、检查项目设施及建设、运营记录等。</w:t>
      </w:r>
    </w:p>
    <w:p w14:paraId="25E1DC23">
      <w:pPr>
        <w:bidi w:val="0"/>
      </w:pPr>
      <w:r>
        <w:t>对于运营评价过程中发现的问题或缺陷，项目实施机构有权发出整改通知，特许经营者应按通知要求在规定期限内及时完成整改。</w:t>
      </w:r>
    </w:p>
    <w:p w14:paraId="199E0BC0">
      <w:pPr>
        <w:bidi w:val="0"/>
      </w:pPr>
      <w:r>
        <w:t>特许经营者有义务保证所提供的各项服务均符合相应的质量标准规定。依据相关的技术规范和标准，项目实施机构组织对特许经营者的运营服务质量、运营效果、协议履约情况、项目直接效果、外部影响、可持续性等情况等进行评价、评估，特许经营者应全力配合相关部门的评价工作。</w:t>
      </w:r>
    </w:p>
    <w:p w14:paraId="74956D95">
      <w:pPr>
        <w:bidi w:val="0"/>
      </w:pPr>
      <w:r>
        <w:t>运营期运营评价在运营期内每年进行一次，政府方基于运营评价得分决定是否扣减运营期履约保证金。</w:t>
      </w:r>
    </w:p>
    <w:p w14:paraId="660ABC5C">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七</w:t>
      </w:r>
      <w:r>
        <w:fldChar w:fldCharType="end"/>
      </w:r>
      <w:r>
        <w:rPr>
          <w:rFonts w:hint="eastAsia"/>
          <w:lang w:eastAsia="zh-CN"/>
        </w:rPr>
        <w:t>-</w:t>
      </w:r>
      <w:r>
        <w:fldChar w:fldCharType="begin"/>
      </w:r>
      <w:r>
        <w:instrText xml:space="preserve"> SEQ 表 \* ARABIC \s 2 </w:instrText>
      </w:r>
      <w:r>
        <w:fldChar w:fldCharType="separate"/>
      </w:r>
      <w:r>
        <w:t>2</w:t>
      </w:r>
      <w:r>
        <w:fldChar w:fldCharType="end"/>
      </w:r>
      <w:r>
        <w:rPr>
          <w:rFonts w:hint="eastAsia"/>
          <w:lang w:eastAsia="zh-CN"/>
        </w:rPr>
        <w:t>运营期运营评价扣费表</w:t>
      </w:r>
    </w:p>
    <w:tbl>
      <w:tblPr>
        <w:tblStyle w:val="26"/>
        <w:tblW w:w="888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2758"/>
        <w:gridCol w:w="4926"/>
      </w:tblGrid>
      <w:tr w14:paraId="669D58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201" w:type="dxa"/>
            <w:vAlign w:val="top"/>
          </w:tcPr>
          <w:p w14:paraId="7C669A74">
            <w:pPr>
              <w:pStyle w:val="27"/>
              <w:keepNext w:val="0"/>
              <w:keepLines w:val="0"/>
              <w:pageBreakBefore w:val="0"/>
              <w:widowControl/>
              <w:kinsoku w:val="0"/>
              <w:wordWrap/>
              <w:overflowPunct/>
              <w:topLinePunct w:val="0"/>
              <w:autoSpaceDE w:val="0"/>
              <w:autoSpaceDN w:val="0"/>
              <w:bidi w:val="0"/>
              <w:adjustRightInd w:val="0"/>
              <w:snapToGrid w:val="0"/>
              <w:spacing w:before="166" w:line="240" w:lineRule="auto"/>
              <w:ind w:left="391" w:firstLine="0" w:firstLineChars="0"/>
              <w:jc w:val="center"/>
              <w:textAlignment w:val="baseline"/>
              <w:rPr>
                <w:rFonts w:hint="eastAsia" w:ascii="宋体" w:hAnsi="宋体" w:eastAsia="宋体" w:cs="宋体"/>
                <w:b/>
                <w:bCs/>
                <w:sz w:val="20"/>
                <w:szCs w:val="20"/>
              </w:rPr>
            </w:pPr>
            <w:r>
              <w:rPr>
                <w:rFonts w:hint="eastAsia" w:ascii="宋体" w:hAnsi="宋体" w:eastAsia="宋体" w:cs="宋体"/>
                <w:b/>
                <w:bCs/>
                <w:spacing w:val="-7"/>
                <w:sz w:val="20"/>
                <w:szCs w:val="20"/>
              </w:rPr>
              <w:t>序号</w:t>
            </w:r>
          </w:p>
        </w:tc>
        <w:tc>
          <w:tcPr>
            <w:tcW w:w="2758" w:type="dxa"/>
            <w:vAlign w:val="top"/>
          </w:tcPr>
          <w:p w14:paraId="67E74A50">
            <w:pPr>
              <w:pStyle w:val="27"/>
              <w:keepNext w:val="0"/>
              <w:keepLines w:val="0"/>
              <w:pageBreakBefore w:val="0"/>
              <w:widowControl/>
              <w:kinsoku w:val="0"/>
              <w:wordWrap/>
              <w:overflowPunct/>
              <w:topLinePunct w:val="0"/>
              <w:autoSpaceDE w:val="0"/>
              <w:autoSpaceDN w:val="0"/>
              <w:bidi w:val="0"/>
              <w:adjustRightInd w:val="0"/>
              <w:snapToGrid w:val="0"/>
              <w:spacing w:before="166" w:line="240" w:lineRule="auto"/>
              <w:jc w:val="both"/>
              <w:textAlignment w:val="baseline"/>
              <w:rPr>
                <w:rFonts w:hint="eastAsia" w:ascii="宋体" w:hAnsi="宋体" w:eastAsia="宋体" w:cs="宋体"/>
                <w:b/>
                <w:bCs/>
                <w:sz w:val="20"/>
                <w:szCs w:val="20"/>
              </w:rPr>
            </w:pPr>
            <w:r>
              <w:rPr>
                <w:rFonts w:hint="eastAsia" w:ascii="宋体" w:hAnsi="宋体" w:eastAsia="宋体" w:cs="宋体"/>
                <w:b/>
                <w:bCs/>
                <w:spacing w:val="-3"/>
                <w:sz w:val="20"/>
                <w:szCs w:val="20"/>
              </w:rPr>
              <w:t>运营期评价得分</w:t>
            </w:r>
          </w:p>
        </w:tc>
        <w:tc>
          <w:tcPr>
            <w:tcW w:w="4926" w:type="dxa"/>
            <w:vAlign w:val="top"/>
          </w:tcPr>
          <w:p w14:paraId="35046F2E">
            <w:pPr>
              <w:pStyle w:val="27"/>
              <w:keepNext w:val="0"/>
              <w:keepLines w:val="0"/>
              <w:pageBreakBefore w:val="0"/>
              <w:widowControl/>
              <w:kinsoku w:val="0"/>
              <w:wordWrap/>
              <w:overflowPunct/>
              <w:topLinePunct w:val="0"/>
              <w:autoSpaceDE w:val="0"/>
              <w:autoSpaceDN w:val="0"/>
              <w:bidi w:val="0"/>
              <w:adjustRightInd w:val="0"/>
              <w:snapToGrid w:val="0"/>
              <w:spacing w:before="166" w:line="240" w:lineRule="auto"/>
              <w:ind w:left="0" w:leftChars="0" w:right="0" w:rightChars="0" w:firstLine="0" w:firstLineChars="0"/>
              <w:jc w:val="center"/>
              <w:textAlignment w:val="baseline"/>
              <w:rPr>
                <w:rFonts w:hint="eastAsia" w:ascii="宋体" w:hAnsi="宋体" w:eastAsia="宋体" w:cs="宋体"/>
                <w:b/>
                <w:bCs/>
                <w:sz w:val="20"/>
                <w:szCs w:val="20"/>
              </w:rPr>
            </w:pPr>
            <w:r>
              <w:rPr>
                <w:rFonts w:hint="eastAsia" w:ascii="宋体" w:hAnsi="宋体" w:eastAsia="宋体" w:cs="宋体"/>
                <w:b/>
                <w:bCs/>
                <w:spacing w:val="-2"/>
                <w:sz w:val="20"/>
                <w:szCs w:val="20"/>
              </w:rPr>
              <w:t>扣减运营期履约保证金金额（万元）</w:t>
            </w:r>
          </w:p>
        </w:tc>
      </w:tr>
      <w:tr w14:paraId="0104DA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1201" w:type="dxa"/>
            <w:vAlign w:val="top"/>
          </w:tcPr>
          <w:p w14:paraId="2AEAC7D4">
            <w:pPr>
              <w:pStyle w:val="27"/>
              <w:keepNext w:val="0"/>
              <w:keepLines w:val="0"/>
              <w:pageBreakBefore w:val="0"/>
              <w:widowControl/>
              <w:kinsoku w:val="0"/>
              <w:wordWrap/>
              <w:overflowPunct/>
              <w:topLinePunct w:val="0"/>
              <w:autoSpaceDE w:val="0"/>
              <w:autoSpaceDN w:val="0"/>
              <w:bidi w:val="0"/>
              <w:adjustRightInd w:val="0"/>
              <w:snapToGrid w:val="0"/>
              <w:spacing w:before="198" w:line="240" w:lineRule="auto"/>
              <w:ind w:left="566"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1</w:t>
            </w:r>
          </w:p>
        </w:tc>
        <w:tc>
          <w:tcPr>
            <w:tcW w:w="2758" w:type="dxa"/>
            <w:vAlign w:val="top"/>
          </w:tcPr>
          <w:p w14:paraId="7E2BCE64">
            <w:pPr>
              <w:pStyle w:val="27"/>
              <w:keepNext w:val="0"/>
              <w:keepLines w:val="0"/>
              <w:pageBreakBefore w:val="0"/>
              <w:widowControl/>
              <w:kinsoku w:val="0"/>
              <w:wordWrap/>
              <w:overflowPunct/>
              <w:topLinePunct w:val="0"/>
              <w:autoSpaceDE w:val="0"/>
              <w:autoSpaceDN w:val="0"/>
              <w:bidi w:val="0"/>
              <w:adjustRightInd w:val="0"/>
              <w:snapToGrid w:val="0"/>
              <w:spacing w:before="161"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80≤得分</w:t>
            </w:r>
          </w:p>
        </w:tc>
        <w:tc>
          <w:tcPr>
            <w:tcW w:w="4926" w:type="dxa"/>
            <w:vAlign w:val="top"/>
          </w:tcPr>
          <w:p w14:paraId="20BA8543">
            <w:pPr>
              <w:pStyle w:val="27"/>
              <w:keepNext w:val="0"/>
              <w:keepLines w:val="0"/>
              <w:pageBreakBefore w:val="0"/>
              <w:widowControl/>
              <w:kinsoku w:val="0"/>
              <w:wordWrap/>
              <w:overflowPunct/>
              <w:topLinePunct w:val="0"/>
              <w:autoSpaceDE w:val="0"/>
              <w:autoSpaceDN w:val="0"/>
              <w:bidi w:val="0"/>
              <w:adjustRightInd w:val="0"/>
              <w:snapToGrid w:val="0"/>
              <w:spacing w:before="161" w:line="240" w:lineRule="auto"/>
              <w:ind w:left="1584" w:firstLine="0" w:firstLineChars="0"/>
              <w:jc w:val="both"/>
              <w:textAlignment w:val="baseline"/>
              <w:rPr>
                <w:rFonts w:hint="eastAsia" w:ascii="宋体" w:hAnsi="宋体" w:eastAsia="宋体" w:cs="宋体"/>
                <w:sz w:val="20"/>
                <w:szCs w:val="20"/>
              </w:rPr>
            </w:pPr>
            <w:r>
              <w:rPr>
                <w:rFonts w:hint="eastAsia" w:ascii="宋体" w:hAnsi="宋体" w:eastAsia="宋体" w:cs="宋体"/>
                <w:spacing w:val="-7"/>
                <w:sz w:val="20"/>
                <w:szCs w:val="20"/>
              </w:rPr>
              <w:t>不扣费</w:t>
            </w:r>
          </w:p>
        </w:tc>
      </w:tr>
      <w:tr w14:paraId="6390B8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01" w:type="dxa"/>
            <w:vAlign w:val="top"/>
          </w:tcPr>
          <w:p w14:paraId="55FEDBEB">
            <w:pPr>
              <w:pStyle w:val="27"/>
              <w:keepNext w:val="0"/>
              <w:keepLines w:val="0"/>
              <w:pageBreakBefore w:val="0"/>
              <w:widowControl/>
              <w:kinsoku w:val="0"/>
              <w:wordWrap/>
              <w:overflowPunct/>
              <w:topLinePunct w:val="0"/>
              <w:autoSpaceDE w:val="0"/>
              <w:autoSpaceDN w:val="0"/>
              <w:bidi w:val="0"/>
              <w:adjustRightInd w:val="0"/>
              <w:snapToGrid w:val="0"/>
              <w:spacing w:before="242" w:line="240" w:lineRule="auto"/>
              <w:ind w:left="553"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2</w:t>
            </w:r>
          </w:p>
        </w:tc>
        <w:tc>
          <w:tcPr>
            <w:tcW w:w="2758" w:type="dxa"/>
            <w:vAlign w:val="top"/>
          </w:tcPr>
          <w:p w14:paraId="0AC2E5C3">
            <w:pPr>
              <w:pStyle w:val="27"/>
              <w:keepNext w:val="0"/>
              <w:keepLines w:val="0"/>
              <w:pageBreakBefore w:val="0"/>
              <w:widowControl/>
              <w:kinsoku w:val="0"/>
              <w:wordWrap/>
              <w:overflowPunct/>
              <w:topLinePunct w:val="0"/>
              <w:autoSpaceDE w:val="0"/>
              <w:autoSpaceDN w:val="0"/>
              <w:bidi w:val="0"/>
              <w:adjustRightInd w:val="0"/>
              <w:snapToGrid w:val="0"/>
              <w:spacing w:before="20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70≤得分＜80</w:t>
            </w:r>
          </w:p>
        </w:tc>
        <w:tc>
          <w:tcPr>
            <w:tcW w:w="4926" w:type="dxa"/>
            <w:vAlign w:val="top"/>
          </w:tcPr>
          <w:p w14:paraId="280A6638">
            <w:pPr>
              <w:pStyle w:val="27"/>
              <w:keepNext w:val="0"/>
              <w:keepLines w:val="0"/>
              <w:pageBreakBefore w:val="0"/>
              <w:widowControl/>
              <w:kinsoku w:val="0"/>
              <w:wordWrap/>
              <w:overflowPunct/>
              <w:topLinePunct w:val="0"/>
              <w:autoSpaceDE w:val="0"/>
              <w:autoSpaceDN w:val="0"/>
              <w:bidi w:val="0"/>
              <w:adjustRightInd w:val="0"/>
              <w:snapToGrid w:val="0"/>
              <w:spacing w:before="48" w:line="240" w:lineRule="auto"/>
              <w:ind w:left="183" w:firstLine="0" w:firstLineChars="0"/>
              <w:jc w:val="both"/>
              <w:textAlignment w:val="baseline"/>
              <w:rPr>
                <w:rFonts w:hint="eastAsia" w:ascii="宋体" w:hAnsi="宋体" w:eastAsia="宋体" w:cs="宋体"/>
                <w:sz w:val="20"/>
                <w:szCs w:val="20"/>
              </w:rPr>
            </w:pPr>
            <w:r>
              <w:rPr>
                <w:rFonts w:hint="eastAsia" w:ascii="宋体" w:hAnsi="宋体" w:eastAsia="宋体" w:cs="宋体"/>
                <w:spacing w:val="-5"/>
                <w:sz w:val="20"/>
                <w:szCs w:val="20"/>
              </w:rPr>
              <w:t>每低于80分一分扣减1万元</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不足1</w:t>
            </w:r>
            <w:r>
              <w:rPr>
                <w:rFonts w:hint="eastAsia" w:ascii="宋体" w:hAnsi="宋体" w:eastAsia="宋体" w:cs="宋体"/>
                <w:spacing w:val="-8"/>
                <w:sz w:val="20"/>
                <w:szCs w:val="20"/>
              </w:rPr>
              <w:t>分的按1分计算</w:t>
            </w:r>
            <w:r>
              <w:rPr>
                <w:rFonts w:hint="eastAsia" w:ascii="宋体" w:hAnsi="宋体" w:eastAsia="宋体" w:cs="宋体"/>
                <w:spacing w:val="-8"/>
                <w:sz w:val="20"/>
                <w:szCs w:val="20"/>
                <w:lang w:eastAsia="zh-CN"/>
              </w:rPr>
              <w:t>）</w:t>
            </w:r>
          </w:p>
        </w:tc>
      </w:tr>
      <w:tr w14:paraId="090310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1201" w:type="dxa"/>
            <w:vAlign w:val="top"/>
          </w:tcPr>
          <w:p w14:paraId="41CC842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rPr>
            </w:pPr>
          </w:p>
          <w:p w14:paraId="578D1EFE">
            <w:pPr>
              <w:pStyle w:val="27"/>
              <w:keepNext w:val="0"/>
              <w:keepLines w:val="0"/>
              <w:pageBreakBefore w:val="0"/>
              <w:widowControl/>
              <w:kinsoku w:val="0"/>
              <w:wordWrap/>
              <w:overflowPunct/>
              <w:topLinePunct w:val="0"/>
              <w:autoSpaceDE w:val="0"/>
              <w:autoSpaceDN w:val="0"/>
              <w:bidi w:val="0"/>
              <w:adjustRightInd w:val="0"/>
              <w:snapToGrid w:val="0"/>
              <w:spacing w:before="72" w:line="240" w:lineRule="auto"/>
              <w:ind w:left="554"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3</w:t>
            </w:r>
          </w:p>
        </w:tc>
        <w:tc>
          <w:tcPr>
            <w:tcW w:w="2758" w:type="dxa"/>
            <w:vAlign w:val="top"/>
          </w:tcPr>
          <w:p w14:paraId="7BE2292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0"/>
                <w:szCs w:val="20"/>
              </w:rPr>
            </w:pPr>
          </w:p>
          <w:p w14:paraId="22828A18">
            <w:pPr>
              <w:pStyle w:val="27"/>
              <w:keepNext w:val="0"/>
              <w:keepLines w:val="0"/>
              <w:pageBreakBefore w:val="0"/>
              <w:widowControl/>
              <w:kinsoku w:val="0"/>
              <w:wordWrap/>
              <w:overflowPunct/>
              <w:topLinePunct w:val="0"/>
              <w:autoSpaceDE w:val="0"/>
              <w:autoSpaceDN w:val="0"/>
              <w:bidi w:val="0"/>
              <w:adjustRightInd w:val="0"/>
              <w:snapToGrid w:val="0"/>
              <w:spacing w:before="71"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1"/>
                <w:sz w:val="20"/>
                <w:szCs w:val="20"/>
              </w:rPr>
              <w:t>60≤得分＜70</w:t>
            </w:r>
          </w:p>
        </w:tc>
        <w:tc>
          <w:tcPr>
            <w:tcW w:w="4926" w:type="dxa"/>
            <w:vAlign w:val="top"/>
          </w:tcPr>
          <w:p w14:paraId="5CE10A84">
            <w:pPr>
              <w:pStyle w:val="27"/>
              <w:keepNext w:val="0"/>
              <w:keepLines w:val="0"/>
              <w:pageBreakBefore w:val="0"/>
              <w:widowControl/>
              <w:kinsoku w:val="0"/>
              <w:wordWrap/>
              <w:overflowPunct/>
              <w:topLinePunct w:val="0"/>
              <w:autoSpaceDE w:val="0"/>
              <w:autoSpaceDN w:val="0"/>
              <w:bidi w:val="0"/>
              <w:adjustRightInd w:val="0"/>
              <w:snapToGrid w:val="0"/>
              <w:spacing w:before="49" w:line="240" w:lineRule="auto"/>
              <w:ind w:left="208" w:firstLine="0" w:firstLineChars="0"/>
              <w:jc w:val="both"/>
              <w:textAlignment w:val="baseline"/>
              <w:rPr>
                <w:rFonts w:hint="eastAsia" w:ascii="宋体" w:hAnsi="宋体" w:eastAsia="宋体" w:cs="宋体"/>
                <w:sz w:val="20"/>
                <w:szCs w:val="20"/>
              </w:rPr>
            </w:pPr>
            <w:r>
              <w:rPr>
                <w:rFonts w:hint="eastAsia" w:ascii="宋体" w:hAnsi="宋体" w:eastAsia="宋体" w:cs="宋体"/>
                <w:spacing w:val="-3"/>
                <w:sz w:val="20"/>
                <w:szCs w:val="20"/>
              </w:rPr>
              <w:t>扣减金额为10万元+每低于70分</w:t>
            </w:r>
          </w:p>
          <w:p w14:paraId="58A2FD98">
            <w:pPr>
              <w:pStyle w:val="27"/>
              <w:keepNext w:val="0"/>
              <w:keepLines w:val="0"/>
              <w:pageBreakBefore w:val="0"/>
              <w:widowControl/>
              <w:kinsoku w:val="0"/>
              <w:wordWrap/>
              <w:overflowPunct/>
              <w:topLinePunct w:val="0"/>
              <w:autoSpaceDE w:val="0"/>
              <w:autoSpaceDN w:val="0"/>
              <w:bidi w:val="0"/>
              <w:adjustRightInd w:val="0"/>
              <w:snapToGrid w:val="0"/>
              <w:spacing w:before="45" w:line="240" w:lineRule="auto"/>
              <w:ind w:left="123" w:firstLine="0" w:firstLineChars="0"/>
              <w:jc w:val="both"/>
              <w:textAlignment w:val="baseline"/>
              <w:rPr>
                <w:rFonts w:hint="eastAsia" w:ascii="宋体" w:hAnsi="宋体" w:eastAsia="宋体" w:cs="宋体"/>
                <w:sz w:val="20"/>
                <w:szCs w:val="20"/>
              </w:rPr>
            </w:pPr>
            <w:r>
              <w:rPr>
                <w:rFonts w:hint="eastAsia" w:ascii="宋体" w:hAnsi="宋体" w:eastAsia="宋体" w:cs="宋体"/>
                <w:spacing w:val="-5"/>
                <w:sz w:val="20"/>
                <w:szCs w:val="20"/>
              </w:rPr>
              <w:t>一分额外扣减2万元</w:t>
            </w:r>
            <w:r>
              <w:rPr>
                <w:rFonts w:hint="eastAsia" w:ascii="宋体" w:hAnsi="宋体" w:eastAsia="宋体" w:cs="宋体"/>
                <w:spacing w:val="-5"/>
                <w:sz w:val="20"/>
                <w:szCs w:val="20"/>
                <w:lang w:eastAsia="zh-CN"/>
              </w:rPr>
              <w:t>（</w:t>
            </w:r>
            <w:r>
              <w:rPr>
                <w:rFonts w:hint="eastAsia" w:ascii="宋体" w:hAnsi="宋体" w:eastAsia="宋体" w:cs="宋体"/>
                <w:spacing w:val="-5"/>
                <w:sz w:val="20"/>
                <w:szCs w:val="20"/>
              </w:rPr>
              <w:t>不足1分的按1分计算</w:t>
            </w:r>
            <w:r>
              <w:rPr>
                <w:rFonts w:hint="eastAsia" w:ascii="宋体" w:hAnsi="宋体" w:eastAsia="宋体" w:cs="宋体"/>
                <w:spacing w:val="-5"/>
                <w:sz w:val="20"/>
                <w:szCs w:val="20"/>
                <w:lang w:eastAsia="zh-CN"/>
              </w:rPr>
              <w:t>）</w:t>
            </w:r>
          </w:p>
        </w:tc>
      </w:tr>
      <w:tr w14:paraId="7E0F1C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trPr>
        <w:tc>
          <w:tcPr>
            <w:tcW w:w="8885" w:type="dxa"/>
            <w:gridSpan w:val="3"/>
            <w:vAlign w:val="top"/>
          </w:tcPr>
          <w:p w14:paraId="1F01768B">
            <w:pPr>
              <w:pStyle w:val="27"/>
              <w:keepNext w:val="0"/>
              <w:keepLines w:val="0"/>
              <w:pageBreakBefore w:val="0"/>
              <w:widowControl/>
              <w:kinsoku w:val="0"/>
              <w:wordWrap/>
              <w:overflowPunct/>
              <w:topLinePunct w:val="0"/>
              <w:autoSpaceDE w:val="0"/>
              <w:autoSpaceDN w:val="0"/>
              <w:bidi w:val="0"/>
              <w:adjustRightInd w:val="0"/>
              <w:snapToGrid w:val="0"/>
              <w:spacing w:before="120" w:line="240" w:lineRule="auto"/>
              <w:ind w:right="148"/>
              <w:jc w:val="both"/>
              <w:textAlignment w:val="baseline"/>
              <w:rPr>
                <w:rFonts w:hint="eastAsia" w:ascii="宋体" w:hAnsi="宋体" w:eastAsia="宋体" w:cs="宋体"/>
                <w:sz w:val="20"/>
                <w:szCs w:val="20"/>
              </w:rPr>
            </w:pPr>
            <w:r>
              <w:rPr>
                <w:rFonts w:hint="eastAsia" w:ascii="宋体" w:hAnsi="宋体" w:eastAsia="宋体" w:cs="宋体"/>
                <w:spacing w:val="-4"/>
                <w:sz w:val="20"/>
                <w:szCs w:val="20"/>
              </w:rPr>
              <w:t>得分低于60分的，则一次性处罚50万元</w:t>
            </w:r>
            <w:r>
              <w:rPr>
                <w:rFonts w:hint="eastAsia" w:ascii="宋体" w:hAnsi="宋体" w:eastAsia="宋体" w:cs="宋体"/>
                <w:spacing w:val="-4"/>
                <w:sz w:val="20"/>
                <w:szCs w:val="20"/>
                <w:lang w:eastAsia="zh-CN"/>
              </w:rPr>
              <w:t>；</w:t>
            </w:r>
            <w:r>
              <w:rPr>
                <w:rFonts w:hint="eastAsia" w:ascii="宋体" w:hAnsi="宋体" w:eastAsia="宋体" w:cs="宋体"/>
                <w:spacing w:val="-4"/>
                <w:sz w:val="20"/>
                <w:szCs w:val="20"/>
              </w:rPr>
              <w:t>连续2年得分均小于60分的，甲方有权要</w:t>
            </w:r>
            <w:r>
              <w:rPr>
                <w:rFonts w:hint="eastAsia" w:ascii="宋体" w:hAnsi="宋体" w:eastAsia="宋体" w:cs="宋体"/>
                <w:spacing w:val="-5"/>
                <w:sz w:val="20"/>
                <w:szCs w:val="20"/>
              </w:rPr>
              <w:t>求乙</w:t>
            </w:r>
            <w:r>
              <w:rPr>
                <w:rFonts w:hint="eastAsia" w:ascii="宋体" w:hAnsi="宋体" w:eastAsia="宋体" w:cs="宋体"/>
                <w:spacing w:val="-1"/>
                <w:sz w:val="20"/>
                <w:szCs w:val="20"/>
              </w:rPr>
              <w:t>方退出，并按照乙方违约情形计算终止补偿金</w:t>
            </w:r>
          </w:p>
        </w:tc>
      </w:tr>
    </w:tbl>
    <w:p w14:paraId="0562D38B">
      <w:pPr>
        <w:bidi w:val="0"/>
      </w:pPr>
      <w:r>
        <w:t>运营期运营评价标准见附件4，最终以特许经营协议约定为准。</w:t>
      </w:r>
    </w:p>
    <w:p w14:paraId="20E2B29E">
      <w:pPr>
        <w:bidi w:val="0"/>
      </w:pPr>
      <w:r>
        <w:t>因项目实施内容、相关政策、行业标准发生变化或突发事件、不可抗力等无法预见的重大变化影响运营目标实现而确需调整的，由项目实施机构和特许经营者协商确定后可以调整运营期运营评价标准。</w:t>
      </w:r>
    </w:p>
    <w:p w14:paraId="4A3E05F9">
      <w:pPr>
        <w:pStyle w:val="4"/>
        <w:numPr>
          <w:ilvl w:val="1"/>
          <w:numId w:val="4"/>
        </w:numPr>
        <w:bidi w:val="0"/>
        <w:ind w:left="575" w:leftChars="0" w:hanging="575" w:firstLineChars="0"/>
        <w:rPr>
          <w:rFonts w:ascii="Arial" w:hAnsi="Arial"/>
          <w:lang w:val="en-US" w:eastAsia="en-US"/>
        </w:rPr>
      </w:pPr>
      <w:bookmarkStart w:id="137" w:name="bookmark81"/>
      <w:bookmarkEnd w:id="137"/>
      <w:bookmarkStart w:id="138" w:name="_Toc28581"/>
      <w:r>
        <w:rPr>
          <w:rFonts w:ascii="Arial" w:hAnsi="Arial"/>
          <w:lang w:val="en-US" w:eastAsia="en-US"/>
        </w:rPr>
        <w:t>风险管控</w:t>
      </w:r>
      <w:bookmarkEnd w:id="138"/>
    </w:p>
    <w:p w14:paraId="23ED1988">
      <w:pPr>
        <w:pStyle w:val="5"/>
        <w:numPr>
          <w:ilvl w:val="2"/>
          <w:numId w:val="44"/>
        </w:numPr>
        <w:bidi w:val="0"/>
        <w:ind w:left="0" w:firstLine="402"/>
        <w:rPr>
          <w:rFonts w:ascii="Arial" w:hAnsi="Arial"/>
        </w:rPr>
      </w:pPr>
      <w:bookmarkStart w:id="139" w:name="bookmark82"/>
      <w:bookmarkEnd w:id="139"/>
      <w:r>
        <w:rPr>
          <w:rFonts w:ascii="Arial" w:hAnsi="Arial"/>
        </w:rPr>
        <w:t>风险分配原则</w:t>
      </w:r>
    </w:p>
    <w:p w14:paraId="61438E2D">
      <w:pPr>
        <w:bidi w:val="0"/>
      </w:pPr>
      <w:r>
        <w:t>科学合理的风险分配应具备如下功能：一是分配的结果可以减少风险发生的概率；二是各方有能力控制分配给己方的风险，并为项目的成功而有效地工作。通常情况下，项目财务和运营维护等商业风险由特许经营者承担，法律、政策等风险由政府方承担，不可抗力等风险由政府方和特许经营者合理共担</w:t>
      </w:r>
      <w:r>
        <w:rPr>
          <w:rFonts w:hint="eastAsia"/>
          <w:lang w:eastAsia="zh-CN"/>
        </w:rPr>
        <w:t>。</w:t>
      </w:r>
      <w:r>
        <w:t>本项目风险分配遵循以下原则：</w:t>
      </w:r>
    </w:p>
    <w:p w14:paraId="1920E82C">
      <w:pPr>
        <w:pStyle w:val="6"/>
        <w:numPr>
          <w:ilvl w:val="3"/>
          <w:numId w:val="45"/>
        </w:numPr>
        <w:bidi w:val="0"/>
      </w:pPr>
      <w:bookmarkStart w:id="140" w:name="bookmark159"/>
      <w:bookmarkEnd w:id="140"/>
      <w:r>
        <w:t>风险分配优化原则</w:t>
      </w:r>
    </w:p>
    <w:p w14:paraId="7FDD0772">
      <w:pPr>
        <w:bidi w:val="0"/>
      </w:pPr>
      <w:r>
        <w:t>政府方和特许经营者之间实现最优风险分配需要根据每个参与方对风险的承担能力与控制能力来划分。为了使项目实现“双赢”或“多赢”的局面，降低风险发生概率和风险控制成本，合理分配项目风险是保障项目顺利进行的充分条件。</w:t>
      </w:r>
    </w:p>
    <w:p w14:paraId="6D6F89E1">
      <w:pPr>
        <w:pStyle w:val="6"/>
        <w:numPr>
          <w:ilvl w:val="3"/>
          <w:numId w:val="45"/>
        </w:numPr>
        <w:bidi w:val="0"/>
      </w:pPr>
      <w:r>
        <w:t>风险收益对等原则</w:t>
      </w:r>
    </w:p>
    <w:p w14:paraId="6A881040">
      <w:pPr>
        <w:bidi w:val="0"/>
      </w:pPr>
      <w:r>
        <w:t>在风险分配时应遵循风险与收益对等原则，从而使项目对于参与各方都具有吸引力，在项目风险分配过程中，双方既要关注合同主体对风险管理成本和风险损失的承担，又要尊重其获得与风险相匹配的收益水平的权利。风险分配的结果可以使双方对自己的行为持谨慎态度。</w:t>
      </w:r>
    </w:p>
    <w:p w14:paraId="4142BB27">
      <w:pPr>
        <w:pStyle w:val="6"/>
        <w:numPr>
          <w:ilvl w:val="3"/>
          <w:numId w:val="45"/>
        </w:numPr>
        <w:bidi w:val="0"/>
      </w:pPr>
      <w:r>
        <w:t>风险可控原则</w:t>
      </w:r>
    </w:p>
    <w:p w14:paraId="4B463558">
      <w:pPr>
        <w:bidi w:val="0"/>
      </w:pPr>
      <w:r>
        <w:t>应按项目参与方的风险控制及承担能力设定风险损失承担上限，不宜由任何一方承担超过其承受能力的风险，以保证双方合作关系的长期持续稳定。</w:t>
      </w:r>
    </w:p>
    <w:p w14:paraId="3AAB90C9">
      <w:pPr>
        <w:pStyle w:val="6"/>
        <w:numPr>
          <w:ilvl w:val="3"/>
          <w:numId w:val="45"/>
        </w:numPr>
        <w:bidi w:val="0"/>
      </w:pPr>
      <w:r>
        <w:t>风险动态分配原则</w:t>
      </w:r>
    </w:p>
    <w:p w14:paraId="79FFB777">
      <w:pPr>
        <w:bidi w:val="0"/>
        <w:rPr>
          <w:rFonts w:ascii="仿宋" w:hAnsi="仿宋" w:eastAsia="仿宋" w:cs="仿宋"/>
          <w:sz w:val="31"/>
          <w:szCs w:val="31"/>
        </w:rPr>
      </w:pPr>
      <w:r>
        <w:t>建立风险预控机制，承担的风险应有上限。项目的某些风险可能会出现双方不可预见的变化或风险带来的损害比之前估计要大得多。出现这种情况时，不能让某一方单独承担这些过大的风险，应该遵从承担的风险要有上限的原则，允许对风险分担进</w:t>
      </w:r>
      <w:r>
        <w:rPr>
          <w:rFonts w:ascii="仿宋" w:hAnsi="仿宋" w:eastAsia="仿宋" w:cs="仿宋"/>
          <w:spacing w:val="8"/>
          <w:sz w:val="31"/>
          <w:szCs w:val="31"/>
        </w:rPr>
        <w:t>行有限度的调整，从而保证项目的正常进行。</w:t>
      </w:r>
    </w:p>
    <w:p w14:paraId="2CD9B9BA">
      <w:pPr>
        <w:pStyle w:val="6"/>
        <w:numPr>
          <w:ilvl w:val="3"/>
          <w:numId w:val="45"/>
        </w:numPr>
        <w:bidi w:val="0"/>
      </w:pPr>
      <w:bookmarkStart w:id="141" w:name="bookmark160"/>
      <w:bookmarkEnd w:id="141"/>
      <w:r>
        <w:t>风险归责原则</w:t>
      </w:r>
    </w:p>
    <w:p w14:paraId="30EB32FF">
      <w:pPr>
        <w:bidi w:val="0"/>
      </w:pPr>
      <w:r>
        <w:t>如果风险最终发生，且在应承担风险的一方可承受范围之内，该参与方应按约定承担由该风险导致的损失，不应将由此产生的费用和损失转移给合同相对方。</w:t>
      </w:r>
    </w:p>
    <w:p w14:paraId="179ABDB3">
      <w:pPr>
        <w:pStyle w:val="5"/>
        <w:numPr>
          <w:ilvl w:val="2"/>
          <w:numId w:val="44"/>
        </w:numPr>
        <w:bidi w:val="0"/>
        <w:ind w:left="0" w:firstLine="402"/>
        <w:rPr>
          <w:rFonts w:ascii="Arial" w:hAnsi="Arial"/>
        </w:rPr>
      </w:pPr>
      <w:bookmarkStart w:id="142" w:name="bookmark83"/>
      <w:bookmarkEnd w:id="142"/>
      <w:r>
        <w:rPr>
          <w:rFonts w:ascii="Arial" w:hAnsi="Arial"/>
        </w:rPr>
        <w:t>风险分配方案应对措施和建议</w:t>
      </w:r>
    </w:p>
    <w:p w14:paraId="00BE442B">
      <w:pPr>
        <w:bidi w:val="0"/>
        <w:sectPr>
          <w:footerReference r:id="rId11" w:type="default"/>
          <w:pgSz w:w="11906" w:h="16839"/>
          <w:pgMar w:top="1134" w:right="1231" w:bottom="1576" w:left="1598" w:header="862" w:footer="1414" w:gutter="0"/>
          <w:pgNumType w:fmt="decimal"/>
          <w:cols w:space="720" w:num="1"/>
        </w:sectPr>
      </w:pPr>
      <w:r>
        <w:t>具体风险分配情况及风险应对措施见下表：</w:t>
      </w:r>
    </w:p>
    <w:p w14:paraId="41418C7A">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八</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风险分配、风险防范及应对措施</w:t>
      </w:r>
    </w:p>
    <w:tbl>
      <w:tblPr>
        <w:tblStyle w:val="26"/>
        <w:tblW w:w="502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34"/>
        <w:gridCol w:w="14"/>
        <w:gridCol w:w="1283"/>
        <w:gridCol w:w="1090"/>
        <w:gridCol w:w="102"/>
        <w:gridCol w:w="3798"/>
        <w:gridCol w:w="18"/>
        <w:gridCol w:w="4022"/>
        <w:gridCol w:w="251"/>
        <w:gridCol w:w="745"/>
        <w:gridCol w:w="45"/>
        <w:gridCol w:w="974"/>
        <w:gridCol w:w="122"/>
        <w:gridCol w:w="545"/>
        <w:gridCol w:w="62"/>
        <w:gridCol w:w="680"/>
        <w:gridCol w:w="59"/>
      </w:tblGrid>
      <w:tr w14:paraId="69E51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86" w:type="pct"/>
            <w:gridSpan w:val="2"/>
            <w:vMerge w:val="restart"/>
            <w:tcBorders>
              <w:bottom w:val="nil"/>
            </w:tcBorders>
            <w:textDirection w:val="tbRlV"/>
            <w:vAlign w:val="center"/>
          </w:tcPr>
          <w:p w14:paraId="12B1BDE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11"/>
                <w:sz w:val="20"/>
                <w:szCs w:val="20"/>
              </w:rPr>
              <w:t>序号</w:t>
            </w:r>
          </w:p>
        </w:tc>
        <w:tc>
          <w:tcPr>
            <w:tcW w:w="452" w:type="pct"/>
            <w:gridSpan w:val="2"/>
            <w:vMerge w:val="restart"/>
            <w:tcBorders>
              <w:bottom w:val="nil"/>
            </w:tcBorders>
            <w:vAlign w:val="center"/>
          </w:tcPr>
          <w:p w14:paraId="4F0B33F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73F1D5E1">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7"/>
                <w:sz w:val="20"/>
                <w:szCs w:val="20"/>
              </w:rPr>
              <w:t>阶段</w:t>
            </w:r>
          </w:p>
        </w:tc>
        <w:tc>
          <w:tcPr>
            <w:tcW w:w="379" w:type="pct"/>
            <w:vMerge w:val="restart"/>
            <w:tcBorders>
              <w:bottom w:val="nil"/>
            </w:tcBorders>
            <w:vAlign w:val="center"/>
          </w:tcPr>
          <w:p w14:paraId="4C11CE6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49AE553B">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风险分类</w:t>
            </w:r>
          </w:p>
        </w:tc>
        <w:tc>
          <w:tcPr>
            <w:tcW w:w="1365" w:type="pct"/>
            <w:gridSpan w:val="3"/>
            <w:vMerge w:val="restart"/>
            <w:tcBorders>
              <w:bottom w:val="nil"/>
            </w:tcBorders>
            <w:vAlign w:val="center"/>
          </w:tcPr>
          <w:p w14:paraId="080EE34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74AE0D2E">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6"/>
                <w:sz w:val="20"/>
                <w:szCs w:val="20"/>
              </w:rPr>
              <w:t>导致风险的因素</w:t>
            </w:r>
          </w:p>
        </w:tc>
        <w:tc>
          <w:tcPr>
            <w:tcW w:w="1401" w:type="pct"/>
            <w:vMerge w:val="restart"/>
            <w:tcBorders>
              <w:bottom w:val="nil"/>
            </w:tcBorders>
            <w:vAlign w:val="center"/>
          </w:tcPr>
          <w:p w14:paraId="5BE04E4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4799C884">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6"/>
                <w:sz w:val="20"/>
                <w:szCs w:val="20"/>
              </w:rPr>
              <w:t>风险防范及应对措施</w:t>
            </w:r>
          </w:p>
        </w:tc>
        <w:tc>
          <w:tcPr>
            <w:tcW w:w="956" w:type="pct"/>
            <w:gridSpan w:val="7"/>
            <w:vAlign w:val="center"/>
          </w:tcPr>
          <w:p w14:paraId="31FFA779">
            <w:pPr>
              <w:pStyle w:val="27"/>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风险分担</w:t>
            </w:r>
          </w:p>
        </w:tc>
        <w:tc>
          <w:tcPr>
            <w:tcW w:w="257" w:type="pct"/>
            <w:gridSpan w:val="2"/>
            <w:vMerge w:val="restart"/>
            <w:tcBorders>
              <w:bottom w:val="nil"/>
            </w:tcBorders>
            <w:vAlign w:val="center"/>
          </w:tcPr>
          <w:p w14:paraId="7AC0175F">
            <w:pPr>
              <w:pStyle w:val="27"/>
              <w:keepNext w:val="0"/>
              <w:keepLines w:val="0"/>
              <w:pageBreakBefore w:val="0"/>
              <w:widowControl/>
              <w:kinsoku w:val="0"/>
              <w:wordWrap/>
              <w:overflowPunct/>
              <w:topLinePunct w:val="0"/>
              <w:autoSpaceDE w:val="0"/>
              <w:autoSpaceDN w:val="0"/>
              <w:bidi w:val="0"/>
              <w:adjustRightInd w:val="0"/>
              <w:snapToGrid w:val="0"/>
              <w:spacing w:before="21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z w:val="20"/>
                <w:szCs w:val="20"/>
              </w:rPr>
              <w:t>风险</w:t>
            </w:r>
            <w:r>
              <w:rPr>
                <w:rFonts w:hint="eastAsia" w:ascii="宋体" w:hAnsi="宋体" w:eastAsia="宋体" w:cs="宋体"/>
                <w:b/>
                <w:bCs/>
                <w:spacing w:val="-1"/>
                <w:sz w:val="20"/>
                <w:szCs w:val="20"/>
              </w:rPr>
              <w:t>转移</w:t>
            </w:r>
          </w:p>
        </w:tc>
      </w:tr>
      <w:tr w14:paraId="70F77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6" w:type="pct"/>
            <w:gridSpan w:val="2"/>
            <w:vMerge w:val="continue"/>
            <w:tcBorders>
              <w:top w:val="nil"/>
            </w:tcBorders>
            <w:textDirection w:val="tbRlV"/>
            <w:vAlign w:val="center"/>
          </w:tcPr>
          <w:p w14:paraId="5F53117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452" w:type="pct"/>
            <w:gridSpan w:val="2"/>
            <w:vMerge w:val="continue"/>
            <w:tcBorders>
              <w:top w:val="nil"/>
            </w:tcBorders>
            <w:vAlign w:val="center"/>
          </w:tcPr>
          <w:p w14:paraId="25A0F97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Merge w:val="continue"/>
            <w:tcBorders>
              <w:top w:val="nil"/>
            </w:tcBorders>
            <w:vAlign w:val="center"/>
          </w:tcPr>
          <w:p w14:paraId="322B990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365" w:type="pct"/>
            <w:gridSpan w:val="3"/>
            <w:vMerge w:val="continue"/>
            <w:tcBorders>
              <w:top w:val="nil"/>
            </w:tcBorders>
            <w:vAlign w:val="center"/>
          </w:tcPr>
          <w:p w14:paraId="5F3BAF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401" w:type="pct"/>
            <w:vMerge w:val="continue"/>
            <w:tcBorders>
              <w:top w:val="nil"/>
            </w:tcBorders>
            <w:vAlign w:val="center"/>
          </w:tcPr>
          <w:p w14:paraId="43B1E01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47" w:type="pct"/>
            <w:gridSpan w:val="2"/>
            <w:vAlign w:val="center"/>
          </w:tcPr>
          <w:p w14:paraId="7B0AD230">
            <w:pPr>
              <w:pStyle w:val="27"/>
              <w:keepNext w:val="0"/>
              <w:keepLines w:val="0"/>
              <w:pageBreakBefore w:val="0"/>
              <w:widowControl/>
              <w:kinsoku w:val="0"/>
              <w:wordWrap/>
              <w:overflowPunct/>
              <w:topLinePunct w:val="0"/>
              <w:autoSpaceDE w:val="0"/>
              <w:autoSpaceDN w:val="0"/>
              <w:bidi w:val="0"/>
              <w:adjustRightInd w:val="0"/>
              <w:snapToGrid w:val="0"/>
              <w:spacing w:before="5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z w:val="20"/>
                <w:szCs w:val="20"/>
              </w:rPr>
              <w:t>政府</w:t>
            </w:r>
            <w:r>
              <w:rPr>
                <w:rFonts w:hint="eastAsia" w:ascii="宋体" w:hAnsi="宋体" w:eastAsia="宋体" w:cs="宋体"/>
                <w:b/>
                <w:bCs/>
                <w:spacing w:val="-3"/>
                <w:sz w:val="20"/>
                <w:szCs w:val="20"/>
              </w:rPr>
              <w:t>方</w:t>
            </w:r>
          </w:p>
        </w:tc>
        <w:tc>
          <w:tcPr>
            <w:tcW w:w="397" w:type="pct"/>
            <w:gridSpan w:val="3"/>
            <w:vAlign w:val="center"/>
          </w:tcPr>
          <w:p w14:paraId="4F5C3493">
            <w:pPr>
              <w:pStyle w:val="27"/>
              <w:keepNext w:val="0"/>
              <w:keepLines w:val="0"/>
              <w:pageBreakBefore w:val="0"/>
              <w:widowControl/>
              <w:kinsoku w:val="0"/>
              <w:wordWrap/>
              <w:overflowPunct/>
              <w:topLinePunct w:val="0"/>
              <w:autoSpaceDE w:val="0"/>
              <w:autoSpaceDN w:val="0"/>
              <w:bidi w:val="0"/>
              <w:adjustRightInd w:val="0"/>
              <w:snapToGrid w:val="0"/>
              <w:spacing w:before="5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特许经</w:t>
            </w:r>
            <w:r>
              <w:rPr>
                <w:rFonts w:hint="eastAsia" w:ascii="宋体" w:hAnsi="宋体" w:eastAsia="宋体" w:cs="宋体"/>
                <w:b/>
                <w:bCs/>
                <w:spacing w:val="-2"/>
                <w:sz w:val="20"/>
                <w:szCs w:val="20"/>
              </w:rPr>
              <w:t>营者</w:t>
            </w:r>
          </w:p>
        </w:tc>
        <w:tc>
          <w:tcPr>
            <w:tcW w:w="211" w:type="pct"/>
            <w:gridSpan w:val="2"/>
            <w:vAlign w:val="center"/>
          </w:tcPr>
          <w:p w14:paraId="6F962847">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2"/>
                <w:sz w:val="20"/>
                <w:szCs w:val="20"/>
              </w:rPr>
              <w:t>共担</w:t>
            </w:r>
          </w:p>
        </w:tc>
        <w:tc>
          <w:tcPr>
            <w:tcW w:w="257" w:type="pct"/>
            <w:gridSpan w:val="2"/>
            <w:vMerge w:val="continue"/>
            <w:tcBorders>
              <w:top w:val="nil"/>
            </w:tcBorders>
            <w:vAlign w:val="center"/>
          </w:tcPr>
          <w:p w14:paraId="294E8CA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3BDB4C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6" w:type="pct"/>
            <w:gridSpan w:val="2"/>
            <w:vAlign w:val="center"/>
          </w:tcPr>
          <w:p w14:paraId="6468E2B1">
            <w:pPr>
              <w:keepNext w:val="0"/>
              <w:keepLines w:val="0"/>
              <w:pageBreakBefore w:val="0"/>
              <w:widowControl/>
              <w:kinsoku w:val="0"/>
              <w:wordWrap/>
              <w:overflowPunct/>
              <w:topLinePunct w:val="0"/>
              <w:autoSpaceDE w:val="0"/>
              <w:autoSpaceDN w:val="0"/>
              <w:bidi w:val="0"/>
              <w:adjustRightInd w:val="0"/>
              <w:snapToGrid w:val="0"/>
              <w:spacing w:before="235"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15"/>
                <w:sz w:val="24"/>
                <w:szCs w:val="24"/>
              </w:rPr>
              <w:t>1.</w:t>
            </w:r>
          </w:p>
        </w:tc>
        <w:tc>
          <w:tcPr>
            <w:tcW w:w="452" w:type="pct"/>
            <w:gridSpan w:val="2"/>
            <w:tcBorders>
              <w:bottom w:val="nil"/>
            </w:tcBorders>
            <w:vAlign w:val="center"/>
          </w:tcPr>
          <w:p w14:paraId="22AD998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Align w:val="center"/>
          </w:tcPr>
          <w:p w14:paraId="790274A0">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政策风险</w:t>
            </w:r>
          </w:p>
        </w:tc>
        <w:tc>
          <w:tcPr>
            <w:tcW w:w="1365" w:type="pct"/>
            <w:gridSpan w:val="3"/>
            <w:vAlign w:val="center"/>
          </w:tcPr>
          <w:p w14:paraId="6A1EF153">
            <w:pPr>
              <w:pStyle w:val="27"/>
              <w:keepNext w:val="0"/>
              <w:keepLines w:val="0"/>
              <w:pageBreakBefore w:val="0"/>
              <w:widowControl/>
              <w:kinsoku w:val="0"/>
              <w:wordWrap/>
              <w:overflowPunct/>
              <w:topLinePunct w:val="0"/>
              <w:autoSpaceDE w:val="0"/>
              <w:autoSpaceDN w:val="0"/>
              <w:bidi w:val="0"/>
              <w:adjustRightInd w:val="0"/>
              <w:snapToGrid w:val="0"/>
              <w:spacing w:before="5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因国家或社会公众利益需要，征用或提</w:t>
            </w:r>
            <w:r>
              <w:rPr>
                <w:rFonts w:hint="eastAsia" w:ascii="宋体" w:hAnsi="宋体" w:eastAsia="宋体" w:cs="宋体"/>
                <w:spacing w:val="6"/>
                <w:sz w:val="20"/>
                <w:szCs w:val="20"/>
              </w:rPr>
              <w:t>前收回项目资产。</w:t>
            </w:r>
          </w:p>
        </w:tc>
        <w:tc>
          <w:tcPr>
            <w:tcW w:w="1401" w:type="pct"/>
            <w:vAlign w:val="center"/>
          </w:tcPr>
          <w:p w14:paraId="38830866">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建立提前终止补偿机制。</w:t>
            </w:r>
          </w:p>
        </w:tc>
        <w:tc>
          <w:tcPr>
            <w:tcW w:w="347" w:type="pct"/>
            <w:gridSpan w:val="2"/>
            <w:vAlign w:val="center"/>
          </w:tcPr>
          <w:p w14:paraId="58E533AE">
            <w:pPr>
              <w:keepNext w:val="0"/>
              <w:keepLines w:val="0"/>
              <w:pageBreakBefore w:val="0"/>
              <w:widowControl/>
              <w:kinsoku w:val="0"/>
              <w:wordWrap/>
              <w:overflowPunct/>
              <w:topLinePunct w:val="0"/>
              <w:autoSpaceDE w:val="0"/>
              <w:autoSpaceDN w:val="0"/>
              <w:bidi w:val="0"/>
              <w:adjustRightInd w:val="0"/>
              <w:snapToGrid w:val="0"/>
              <w:spacing w:before="17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397" w:type="pct"/>
            <w:gridSpan w:val="3"/>
            <w:vAlign w:val="center"/>
          </w:tcPr>
          <w:p w14:paraId="41E6BD9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11" w:type="pct"/>
            <w:gridSpan w:val="2"/>
            <w:vAlign w:val="center"/>
          </w:tcPr>
          <w:p w14:paraId="76F6202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vAlign w:val="center"/>
          </w:tcPr>
          <w:p w14:paraId="1F5AD46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647D2E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9" w:hRule="atLeast"/>
        </w:trPr>
        <w:tc>
          <w:tcPr>
            <w:tcW w:w="186" w:type="pct"/>
            <w:gridSpan w:val="2"/>
            <w:vAlign w:val="center"/>
          </w:tcPr>
          <w:p w14:paraId="5520AD3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69B16567">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3"/>
                <w:sz w:val="24"/>
                <w:szCs w:val="24"/>
              </w:rPr>
              <w:t>2.</w:t>
            </w:r>
          </w:p>
        </w:tc>
        <w:tc>
          <w:tcPr>
            <w:tcW w:w="452" w:type="pct"/>
            <w:gridSpan w:val="2"/>
            <w:tcBorders>
              <w:top w:val="nil"/>
              <w:bottom w:val="nil"/>
            </w:tcBorders>
            <w:vAlign w:val="center"/>
          </w:tcPr>
          <w:p w14:paraId="27E565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Align w:val="center"/>
          </w:tcPr>
          <w:p w14:paraId="718052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50BCE284">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4"/>
                <w:sz w:val="20"/>
                <w:szCs w:val="20"/>
              </w:rPr>
              <w:t>法律风险</w:t>
            </w:r>
          </w:p>
        </w:tc>
        <w:tc>
          <w:tcPr>
            <w:tcW w:w="1365" w:type="pct"/>
            <w:gridSpan w:val="3"/>
            <w:vAlign w:val="center"/>
          </w:tcPr>
          <w:p w14:paraId="619E3076">
            <w:pPr>
              <w:pStyle w:val="27"/>
              <w:keepNext w:val="0"/>
              <w:keepLines w:val="0"/>
              <w:pageBreakBefore w:val="0"/>
              <w:widowControl/>
              <w:kinsoku w:val="0"/>
              <w:wordWrap/>
              <w:overflowPunct/>
              <w:topLinePunct w:val="0"/>
              <w:autoSpaceDE w:val="0"/>
              <w:autoSpaceDN w:val="0"/>
              <w:bidi w:val="0"/>
              <w:adjustRightInd w:val="0"/>
              <w:snapToGrid w:val="0"/>
              <w:spacing w:before="10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国家、省、市级政府颁布、修改法律法</w:t>
            </w:r>
            <w:r>
              <w:rPr>
                <w:rFonts w:hint="eastAsia" w:ascii="宋体" w:hAnsi="宋体" w:eastAsia="宋体" w:cs="宋体"/>
                <w:spacing w:val="9"/>
                <w:sz w:val="20"/>
                <w:szCs w:val="20"/>
              </w:rPr>
              <w:t>规或相关政策（包括但不限于行业、金</w:t>
            </w:r>
            <w:r>
              <w:rPr>
                <w:rFonts w:hint="eastAsia" w:ascii="宋体" w:hAnsi="宋体" w:eastAsia="宋体" w:cs="宋体"/>
                <w:spacing w:val="8"/>
                <w:sz w:val="20"/>
                <w:szCs w:val="20"/>
              </w:rPr>
              <w:t>融、财税等政策）对本项目造成影响。</w:t>
            </w:r>
          </w:p>
        </w:tc>
        <w:tc>
          <w:tcPr>
            <w:tcW w:w="1401" w:type="pct"/>
            <w:vAlign w:val="center"/>
          </w:tcPr>
          <w:p w14:paraId="75E4CEEC">
            <w:pPr>
              <w:pStyle w:val="27"/>
              <w:keepNext w:val="0"/>
              <w:keepLines w:val="0"/>
              <w:pageBreakBefore w:val="0"/>
              <w:widowControl/>
              <w:kinsoku w:val="0"/>
              <w:wordWrap/>
              <w:overflowPunct/>
              <w:topLinePunct w:val="0"/>
              <w:autoSpaceDE w:val="0"/>
              <w:autoSpaceDN w:val="0"/>
              <w:bidi w:val="0"/>
              <w:adjustRightInd w:val="0"/>
              <w:snapToGrid w:val="0"/>
              <w:spacing w:before="25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在合同中对可能出现的法律风险约定相应的</w:t>
            </w:r>
            <w:r>
              <w:rPr>
                <w:rFonts w:hint="eastAsia" w:ascii="宋体" w:hAnsi="宋体" w:eastAsia="宋体" w:cs="宋体"/>
                <w:spacing w:val="4"/>
                <w:sz w:val="20"/>
                <w:szCs w:val="20"/>
              </w:rPr>
              <w:t>处理原则。</w:t>
            </w:r>
          </w:p>
        </w:tc>
        <w:tc>
          <w:tcPr>
            <w:tcW w:w="347" w:type="pct"/>
            <w:gridSpan w:val="2"/>
            <w:vAlign w:val="center"/>
          </w:tcPr>
          <w:p w14:paraId="1A3C263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6EAA725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11" w:type="pct"/>
            <w:gridSpan w:val="2"/>
            <w:vAlign w:val="center"/>
          </w:tcPr>
          <w:p w14:paraId="03F9E18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4ECF2C1D">
            <w:pPr>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57" w:type="pct"/>
            <w:gridSpan w:val="2"/>
            <w:vAlign w:val="center"/>
          </w:tcPr>
          <w:p w14:paraId="6AD1A98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70DD76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6" w:type="pct"/>
            <w:gridSpan w:val="2"/>
            <w:vAlign w:val="center"/>
          </w:tcPr>
          <w:p w14:paraId="057532DB">
            <w:pPr>
              <w:keepNext w:val="0"/>
              <w:keepLines w:val="0"/>
              <w:pageBreakBefore w:val="0"/>
              <w:widowControl/>
              <w:kinsoku w:val="0"/>
              <w:wordWrap/>
              <w:overflowPunct/>
              <w:topLinePunct w:val="0"/>
              <w:autoSpaceDE w:val="0"/>
              <w:autoSpaceDN w:val="0"/>
              <w:bidi w:val="0"/>
              <w:adjustRightInd w:val="0"/>
              <w:snapToGrid w:val="0"/>
              <w:spacing w:before="235"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3.</w:t>
            </w:r>
          </w:p>
        </w:tc>
        <w:tc>
          <w:tcPr>
            <w:tcW w:w="452" w:type="pct"/>
            <w:gridSpan w:val="2"/>
            <w:vMerge w:val="restart"/>
            <w:tcBorders>
              <w:top w:val="nil"/>
              <w:bottom w:val="nil"/>
            </w:tcBorders>
            <w:vAlign w:val="center"/>
          </w:tcPr>
          <w:p w14:paraId="65DB569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6D12C7C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宋体" w:hAnsi="宋体" w:eastAsia="宋体" w:cs="宋体"/>
                <w:sz w:val="21"/>
              </w:rPr>
            </w:pPr>
          </w:p>
          <w:p w14:paraId="1B7BA35F">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4"/>
                <w:sz w:val="20"/>
                <w:szCs w:val="20"/>
              </w:rPr>
              <w:t>全生命周期风险</w:t>
            </w:r>
          </w:p>
        </w:tc>
        <w:tc>
          <w:tcPr>
            <w:tcW w:w="379" w:type="pct"/>
            <w:vMerge w:val="restart"/>
            <w:tcBorders>
              <w:bottom w:val="nil"/>
            </w:tcBorders>
            <w:vAlign w:val="center"/>
          </w:tcPr>
          <w:p w14:paraId="430FF32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宋体" w:hAnsi="宋体" w:eastAsia="宋体" w:cs="宋体"/>
                <w:sz w:val="21"/>
              </w:rPr>
            </w:pPr>
          </w:p>
          <w:p w14:paraId="4B6F1D5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5189D848">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资金风险</w:t>
            </w:r>
          </w:p>
        </w:tc>
        <w:tc>
          <w:tcPr>
            <w:tcW w:w="1365" w:type="pct"/>
            <w:gridSpan w:val="3"/>
            <w:vAlign w:val="center"/>
          </w:tcPr>
          <w:p w14:paraId="51328752">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8"/>
                <w:sz w:val="20"/>
                <w:szCs w:val="20"/>
              </w:rPr>
              <w:t>融资利率变动导致项目财务费用增加。</w:t>
            </w:r>
          </w:p>
        </w:tc>
        <w:tc>
          <w:tcPr>
            <w:tcW w:w="1401" w:type="pct"/>
            <w:vAlign w:val="center"/>
          </w:tcPr>
          <w:p w14:paraId="2CEE6F90">
            <w:pPr>
              <w:pStyle w:val="27"/>
              <w:keepNext w:val="0"/>
              <w:keepLines w:val="0"/>
              <w:pageBreakBefore w:val="0"/>
              <w:widowControl/>
              <w:kinsoku w:val="0"/>
              <w:wordWrap/>
              <w:overflowPunct/>
              <w:topLinePunct w:val="0"/>
              <w:autoSpaceDE w:val="0"/>
              <w:autoSpaceDN w:val="0"/>
              <w:bidi w:val="0"/>
              <w:adjustRightInd w:val="0"/>
              <w:snapToGrid w:val="0"/>
              <w:spacing w:before="5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科学筹划项目所需资金，同时加强项目全生</w:t>
            </w:r>
            <w:r>
              <w:rPr>
                <w:rFonts w:hint="eastAsia" w:ascii="宋体" w:hAnsi="宋体" w:eastAsia="宋体" w:cs="宋体"/>
                <w:spacing w:val="7"/>
                <w:sz w:val="20"/>
                <w:szCs w:val="20"/>
              </w:rPr>
              <w:t>命周期内资金的动态管理。</w:t>
            </w:r>
          </w:p>
        </w:tc>
        <w:tc>
          <w:tcPr>
            <w:tcW w:w="347" w:type="pct"/>
            <w:gridSpan w:val="2"/>
            <w:vAlign w:val="center"/>
          </w:tcPr>
          <w:p w14:paraId="2CFBE99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359D0967">
            <w:pPr>
              <w:keepNext w:val="0"/>
              <w:keepLines w:val="0"/>
              <w:pageBreakBefore w:val="0"/>
              <w:widowControl/>
              <w:kinsoku w:val="0"/>
              <w:wordWrap/>
              <w:overflowPunct/>
              <w:topLinePunct w:val="0"/>
              <w:autoSpaceDE w:val="0"/>
              <w:autoSpaceDN w:val="0"/>
              <w:bidi w:val="0"/>
              <w:adjustRightInd w:val="0"/>
              <w:snapToGrid w:val="0"/>
              <w:spacing w:before="172"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11" w:type="pct"/>
            <w:gridSpan w:val="2"/>
            <w:vAlign w:val="center"/>
          </w:tcPr>
          <w:p w14:paraId="33F9DC3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vAlign w:val="center"/>
          </w:tcPr>
          <w:p w14:paraId="5A038FF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4C6191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6" w:type="pct"/>
            <w:gridSpan w:val="2"/>
            <w:vAlign w:val="center"/>
          </w:tcPr>
          <w:p w14:paraId="62E611C8">
            <w:pPr>
              <w:keepNext w:val="0"/>
              <w:keepLines w:val="0"/>
              <w:pageBreakBefore w:val="0"/>
              <w:widowControl/>
              <w:kinsoku w:val="0"/>
              <w:wordWrap/>
              <w:overflowPunct/>
              <w:topLinePunct w:val="0"/>
              <w:autoSpaceDE w:val="0"/>
              <w:autoSpaceDN w:val="0"/>
              <w:bidi w:val="0"/>
              <w:adjustRightInd w:val="0"/>
              <w:snapToGrid w:val="0"/>
              <w:spacing w:before="234"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4.</w:t>
            </w:r>
          </w:p>
        </w:tc>
        <w:tc>
          <w:tcPr>
            <w:tcW w:w="452" w:type="pct"/>
            <w:gridSpan w:val="2"/>
            <w:vMerge w:val="continue"/>
            <w:tcBorders>
              <w:top w:val="nil"/>
              <w:bottom w:val="nil"/>
            </w:tcBorders>
            <w:vAlign w:val="center"/>
          </w:tcPr>
          <w:p w14:paraId="621B824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Merge w:val="continue"/>
            <w:tcBorders>
              <w:top w:val="nil"/>
              <w:bottom w:val="nil"/>
            </w:tcBorders>
            <w:vAlign w:val="center"/>
          </w:tcPr>
          <w:p w14:paraId="41E4D2D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365" w:type="pct"/>
            <w:gridSpan w:val="3"/>
            <w:vAlign w:val="center"/>
          </w:tcPr>
          <w:p w14:paraId="24FBD89C">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资本金筹集不到位</w:t>
            </w:r>
          </w:p>
        </w:tc>
        <w:tc>
          <w:tcPr>
            <w:tcW w:w="1401" w:type="pct"/>
            <w:vAlign w:val="center"/>
          </w:tcPr>
          <w:p w14:paraId="26467F81">
            <w:pPr>
              <w:pStyle w:val="27"/>
              <w:keepNext w:val="0"/>
              <w:keepLines w:val="0"/>
              <w:pageBreakBefore w:val="0"/>
              <w:widowControl/>
              <w:kinsoku w:val="0"/>
              <w:wordWrap/>
              <w:overflowPunct/>
              <w:topLinePunct w:val="0"/>
              <w:autoSpaceDE w:val="0"/>
              <w:autoSpaceDN w:val="0"/>
              <w:bidi w:val="0"/>
              <w:adjustRightInd w:val="0"/>
              <w:snapToGrid w:val="0"/>
              <w:spacing w:before="5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特许经营者提前做好资金筹划和预留，根据</w:t>
            </w:r>
            <w:r>
              <w:rPr>
                <w:rFonts w:hint="eastAsia" w:ascii="宋体" w:hAnsi="宋体" w:eastAsia="宋体" w:cs="宋体"/>
                <w:spacing w:val="7"/>
                <w:sz w:val="20"/>
                <w:szCs w:val="20"/>
              </w:rPr>
              <w:t>协议约定保证资金及时到位。</w:t>
            </w:r>
          </w:p>
        </w:tc>
        <w:tc>
          <w:tcPr>
            <w:tcW w:w="347" w:type="pct"/>
            <w:gridSpan w:val="2"/>
            <w:vAlign w:val="center"/>
          </w:tcPr>
          <w:p w14:paraId="75920F29">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77F7146C">
            <w:pPr>
              <w:keepNext w:val="0"/>
              <w:keepLines w:val="0"/>
              <w:pageBreakBefore w:val="0"/>
              <w:widowControl/>
              <w:kinsoku w:val="0"/>
              <w:wordWrap/>
              <w:overflowPunct/>
              <w:topLinePunct w:val="0"/>
              <w:autoSpaceDE w:val="0"/>
              <w:autoSpaceDN w:val="0"/>
              <w:bidi w:val="0"/>
              <w:adjustRightInd w:val="0"/>
              <w:snapToGrid w:val="0"/>
              <w:spacing w:before="172"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11" w:type="pct"/>
            <w:gridSpan w:val="2"/>
            <w:vAlign w:val="center"/>
          </w:tcPr>
          <w:p w14:paraId="6BA34D6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vAlign w:val="center"/>
          </w:tcPr>
          <w:p w14:paraId="3F06B30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3C7950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 w:hRule="atLeast"/>
        </w:trPr>
        <w:tc>
          <w:tcPr>
            <w:tcW w:w="186" w:type="pct"/>
            <w:gridSpan w:val="2"/>
            <w:tcBorders>
              <w:bottom w:val="nil"/>
            </w:tcBorders>
            <w:vAlign w:val="center"/>
          </w:tcPr>
          <w:p w14:paraId="479CB6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r>
              <w:rPr>
                <w:rFonts w:hint="eastAsia" w:ascii="宋体" w:hAnsi="宋体" w:eastAsia="宋体" w:cs="宋体"/>
                <w:sz w:val="21"/>
              </w:rPr>
              <w:t>5</w:t>
            </w:r>
          </w:p>
        </w:tc>
        <w:tc>
          <w:tcPr>
            <w:tcW w:w="452" w:type="pct"/>
            <w:gridSpan w:val="2"/>
            <w:vMerge w:val="continue"/>
            <w:tcBorders>
              <w:top w:val="nil"/>
              <w:bottom w:val="nil"/>
            </w:tcBorders>
            <w:vAlign w:val="center"/>
          </w:tcPr>
          <w:p w14:paraId="6C1B906E">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Merge w:val="continue"/>
            <w:tcBorders>
              <w:top w:val="nil"/>
              <w:bottom w:val="nil"/>
            </w:tcBorders>
            <w:vAlign w:val="center"/>
          </w:tcPr>
          <w:p w14:paraId="2194333A">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365" w:type="pct"/>
            <w:gridSpan w:val="3"/>
            <w:tcBorders>
              <w:bottom w:val="nil"/>
            </w:tcBorders>
            <w:vAlign w:val="center"/>
          </w:tcPr>
          <w:p w14:paraId="698074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r>
              <w:rPr>
                <w:rFonts w:hint="eastAsia" w:ascii="宋体" w:hAnsi="宋体" w:eastAsia="宋体" w:cs="宋体"/>
                <w:sz w:val="21"/>
              </w:rPr>
              <w:t>融资不到位</w:t>
            </w:r>
          </w:p>
        </w:tc>
        <w:tc>
          <w:tcPr>
            <w:tcW w:w="1401" w:type="pct"/>
            <w:tcBorders>
              <w:bottom w:val="nil"/>
            </w:tcBorders>
            <w:vAlign w:val="center"/>
          </w:tcPr>
          <w:p w14:paraId="00F39F3A">
            <w:pPr>
              <w:pStyle w:val="27"/>
              <w:keepNext w:val="0"/>
              <w:keepLines w:val="0"/>
              <w:pageBreakBefore w:val="0"/>
              <w:widowControl/>
              <w:kinsoku w:val="0"/>
              <w:wordWrap/>
              <w:overflowPunct/>
              <w:topLinePunct w:val="0"/>
              <w:autoSpaceDE w:val="0"/>
              <w:autoSpaceDN w:val="0"/>
              <w:bidi w:val="0"/>
              <w:adjustRightInd w:val="0"/>
              <w:snapToGrid w:val="0"/>
              <w:spacing w:before="5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特许经营者提前做好与融资机构的沟通，获取经营权后尽快签订融资合同，保证融资资金及时到位</w:t>
            </w:r>
          </w:p>
        </w:tc>
        <w:tc>
          <w:tcPr>
            <w:tcW w:w="347" w:type="pct"/>
            <w:gridSpan w:val="2"/>
            <w:tcBorders>
              <w:bottom w:val="nil"/>
            </w:tcBorders>
            <w:vAlign w:val="center"/>
          </w:tcPr>
          <w:p w14:paraId="3F11BA1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tcBorders>
              <w:bottom w:val="nil"/>
            </w:tcBorders>
            <w:vAlign w:val="center"/>
          </w:tcPr>
          <w:p w14:paraId="4A5695A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r>
              <w:rPr>
                <w:rFonts w:hint="eastAsia" w:ascii="宋体" w:hAnsi="宋体" w:eastAsia="宋体" w:cs="宋体"/>
                <w:sz w:val="21"/>
              </w:rPr>
              <w:t>√</w:t>
            </w:r>
          </w:p>
        </w:tc>
        <w:tc>
          <w:tcPr>
            <w:tcW w:w="211" w:type="pct"/>
            <w:gridSpan w:val="2"/>
            <w:tcBorders>
              <w:bottom w:val="nil"/>
            </w:tcBorders>
            <w:vAlign w:val="center"/>
          </w:tcPr>
          <w:p w14:paraId="632EE2D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tcBorders>
              <w:bottom w:val="nil"/>
            </w:tcBorders>
            <w:vAlign w:val="center"/>
          </w:tcPr>
          <w:p w14:paraId="0991E170">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132D0F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86" w:type="pct"/>
            <w:gridSpan w:val="2"/>
            <w:vAlign w:val="center"/>
          </w:tcPr>
          <w:p w14:paraId="5808D57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120E6CCB">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6"/>
                <w:sz w:val="24"/>
                <w:szCs w:val="24"/>
              </w:rPr>
              <w:t>6.</w:t>
            </w:r>
          </w:p>
        </w:tc>
        <w:tc>
          <w:tcPr>
            <w:tcW w:w="452" w:type="pct"/>
            <w:gridSpan w:val="2"/>
            <w:vMerge w:val="restart"/>
            <w:tcBorders>
              <w:top w:val="nil"/>
              <w:bottom w:val="nil"/>
            </w:tcBorders>
            <w:vAlign w:val="center"/>
          </w:tcPr>
          <w:p w14:paraId="378E70D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Merge w:val="restart"/>
            <w:tcBorders>
              <w:bottom w:val="nil"/>
            </w:tcBorders>
            <w:vAlign w:val="center"/>
          </w:tcPr>
          <w:p w14:paraId="404F98B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14F57BF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0F2E77A1">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不可抗力风</w:t>
            </w:r>
            <w:r>
              <w:rPr>
                <w:rFonts w:hint="eastAsia" w:ascii="宋体" w:hAnsi="宋体" w:eastAsia="宋体" w:cs="宋体"/>
                <w:sz w:val="20"/>
                <w:szCs w:val="20"/>
              </w:rPr>
              <w:t>险</w:t>
            </w:r>
          </w:p>
        </w:tc>
        <w:tc>
          <w:tcPr>
            <w:tcW w:w="1365" w:type="pct"/>
            <w:gridSpan w:val="3"/>
            <w:vAlign w:val="center"/>
          </w:tcPr>
          <w:p w14:paraId="4432CE59">
            <w:pPr>
              <w:pStyle w:val="27"/>
              <w:keepNext w:val="0"/>
              <w:keepLines w:val="0"/>
              <w:pageBreakBefore w:val="0"/>
              <w:widowControl/>
              <w:kinsoku w:val="0"/>
              <w:wordWrap/>
              <w:overflowPunct/>
              <w:topLinePunct w:val="0"/>
              <w:autoSpaceDE w:val="0"/>
              <w:autoSpaceDN w:val="0"/>
              <w:bidi w:val="0"/>
              <w:adjustRightInd w:val="0"/>
              <w:snapToGrid w:val="0"/>
              <w:spacing w:before="5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自然不可抗力：指台风、地震、洪水、</w:t>
            </w:r>
            <w:r>
              <w:rPr>
                <w:rFonts w:hint="eastAsia" w:ascii="宋体" w:hAnsi="宋体" w:eastAsia="宋体" w:cs="宋体"/>
                <w:spacing w:val="9"/>
                <w:sz w:val="20"/>
                <w:szCs w:val="20"/>
              </w:rPr>
              <w:t>冰雹、瘟疫等自然不可抗力导致项目不</w:t>
            </w:r>
            <w:r>
              <w:rPr>
                <w:rFonts w:hint="eastAsia" w:ascii="宋体" w:hAnsi="宋体" w:eastAsia="宋体" w:cs="宋体"/>
                <w:spacing w:val="5"/>
                <w:sz w:val="20"/>
                <w:szCs w:val="20"/>
              </w:rPr>
              <w:t>能正常运营。</w:t>
            </w:r>
          </w:p>
        </w:tc>
        <w:tc>
          <w:tcPr>
            <w:tcW w:w="1401" w:type="pct"/>
            <w:vAlign w:val="center"/>
          </w:tcPr>
          <w:p w14:paraId="7B7A3C60">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购买相应的保险。</w:t>
            </w:r>
          </w:p>
        </w:tc>
        <w:tc>
          <w:tcPr>
            <w:tcW w:w="347" w:type="pct"/>
            <w:gridSpan w:val="2"/>
            <w:vAlign w:val="center"/>
          </w:tcPr>
          <w:p w14:paraId="6AB60F5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1F23410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11" w:type="pct"/>
            <w:gridSpan w:val="2"/>
            <w:vAlign w:val="center"/>
          </w:tcPr>
          <w:p w14:paraId="0301E66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p w14:paraId="102D5908">
            <w:pPr>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57" w:type="pct"/>
            <w:gridSpan w:val="2"/>
            <w:vAlign w:val="center"/>
          </w:tcPr>
          <w:p w14:paraId="78DB3BBC">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1"/>
                <w:sz w:val="20"/>
                <w:szCs w:val="20"/>
              </w:rPr>
              <w:t>保险</w:t>
            </w:r>
            <w:r>
              <w:rPr>
                <w:rFonts w:hint="eastAsia" w:ascii="宋体" w:hAnsi="宋体" w:eastAsia="宋体" w:cs="宋体"/>
                <w:spacing w:val="-1"/>
                <w:sz w:val="20"/>
                <w:szCs w:val="20"/>
              </w:rPr>
              <w:t>公司</w:t>
            </w:r>
          </w:p>
        </w:tc>
      </w:tr>
      <w:tr w14:paraId="412B66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186" w:type="pct"/>
            <w:gridSpan w:val="2"/>
            <w:tcBorders>
              <w:bottom w:val="nil"/>
            </w:tcBorders>
            <w:vAlign w:val="center"/>
          </w:tcPr>
          <w:p w14:paraId="68DDFB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452" w:type="pct"/>
            <w:gridSpan w:val="2"/>
            <w:vMerge w:val="continue"/>
            <w:tcBorders>
              <w:top w:val="nil"/>
              <w:bottom w:val="nil"/>
            </w:tcBorders>
            <w:vAlign w:val="center"/>
          </w:tcPr>
          <w:p w14:paraId="31485C1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Merge w:val="continue"/>
            <w:tcBorders>
              <w:top w:val="nil"/>
              <w:bottom w:val="nil"/>
            </w:tcBorders>
            <w:vAlign w:val="center"/>
          </w:tcPr>
          <w:p w14:paraId="27EA229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365" w:type="pct"/>
            <w:gridSpan w:val="3"/>
            <w:tcBorders>
              <w:bottom w:val="nil"/>
            </w:tcBorders>
            <w:vAlign w:val="center"/>
          </w:tcPr>
          <w:p w14:paraId="30891FE3">
            <w:pPr>
              <w:pStyle w:val="27"/>
              <w:keepNext w:val="0"/>
              <w:keepLines w:val="0"/>
              <w:pageBreakBefore w:val="0"/>
              <w:widowControl/>
              <w:kinsoku w:val="0"/>
              <w:wordWrap/>
              <w:overflowPunct/>
              <w:topLinePunct w:val="0"/>
              <w:autoSpaceDE w:val="0"/>
              <w:autoSpaceDN w:val="0"/>
              <w:bidi w:val="0"/>
              <w:adjustRightInd w:val="0"/>
              <w:snapToGrid w:val="0"/>
              <w:spacing w:before="5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1"/>
                <w:sz w:val="20"/>
                <w:szCs w:val="20"/>
              </w:rPr>
              <w:t>国内外政治不稳定，发生社会异常事件，</w:t>
            </w:r>
          </w:p>
        </w:tc>
        <w:tc>
          <w:tcPr>
            <w:tcW w:w="1401" w:type="pct"/>
            <w:tcBorders>
              <w:bottom w:val="nil"/>
            </w:tcBorders>
            <w:vAlign w:val="center"/>
          </w:tcPr>
          <w:p w14:paraId="28A3435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47" w:type="pct"/>
            <w:gridSpan w:val="2"/>
            <w:tcBorders>
              <w:bottom w:val="nil"/>
            </w:tcBorders>
            <w:vAlign w:val="center"/>
          </w:tcPr>
          <w:p w14:paraId="40ED306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tcBorders>
              <w:bottom w:val="nil"/>
            </w:tcBorders>
            <w:vAlign w:val="center"/>
          </w:tcPr>
          <w:p w14:paraId="70EAA977">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11" w:type="pct"/>
            <w:gridSpan w:val="2"/>
            <w:tcBorders>
              <w:bottom w:val="nil"/>
            </w:tcBorders>
            <w:vAlign w:val="center"/>
          </w:tcPr>
          <w:p w14:paraId="72D88CE1">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tcBorders>
              <w:bottom w:val="nil"/>
            </w:tcBorders>
            <w:vAlign w:val="center"/>
          </w:tcPr>
          <w:p w14:paraId="353E8A2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51246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86" w:type="pct"/>
            <w:gridSpan w:val="2"/>
            <w:tcBorders>
              <w:top w:val="nil"/>
            </w:tcBorders>
            <w:vAlign w:val="center"/>
          </w:tcPr>
          <w:p w14:paraId="184915EB">
            <w:pPr>
              <w:keepNext w:val="0"/>
              <w:keepLines w:val="0"/>
              <w:pageBreakBefore w:val="0"/>
              <w:widowControl/>
              <w:kinsoku w:val="0"/>
              <w:wordWrap/>
              <w:overflowPunct/>
              <w:topLinePunct w:val="0"/>
              <w:autoSpaceDE w:val="0"/>
              <w:autoSpaceDN w:val="0"/>
              <w:bidi w:val="0"/>
              <w:adjustRightInd w:val="0"/>
              <w:snapToGrid w:val="0"/>
              <w:spacing w:before="95"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7.</w:t>
            </w:r>
          </w:p>
        </w:tc>
        <w:tc>
          <w:tcPr>
            <w:tcW w:w="452" w:type="pct"/>
            <w:gridSpan w:val="2"/>
            <w:tcBorders>
              <w:top w:val="nil"/>
              <w:bottom w:val="nil"/>
            </w:tcBorders>
            <w:vAlign w:val="center"/>
          </w:tcPr>
          <w:p w14:paraId="55CA07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tcBorders>
              <w:top w:val="nil"/>
            </w:tcBorders>
            <w:vAlign w:val="center"/>
          </w:tcPr>
          <w:p w14:paraId="1FFE0E4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1365" w:type="pct"/>
            <w:gridSpan w:val="3"/>
            <w:tcBorders>
              <w:top w:val="nil"/>
            </w:tcBorders>
            <w:vAlign w:val="center"/>
          </w:tcPr>
          <w:p w14:paraId="78F71FFB">
            <w:pPr>
              <w:pStyle w:val="27"/>
              <w:keepNext w:val="0"/>
              <w:keepLines w:val="0"/>
              <w:pageBreakBefore w:val="0"/>
              <w:widowControl/>
              <w:kinsoku w:val="0"/>
              <w:wordWrap/>
              <w:overflowPunct/>
              <w:topLinePunct w:val="0"/>
              <w:autoSpaceDE w:val="0"/>
              <w:autoSpaceDN w:val="0"/>
              <w:bidi w:val="0"/>
              <w:adjustRightInd w:val="0"/>
              <w:snapToGrid w:val="0"/>
              <w:spacing w:before="6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如战争、罢工、骚乱等不可抗力因素导</w:t>
            </w:r>
            <w:r>
              <w:rPr>
                <w:rFonts w:hint="eastAsia" w:ascii="宋体" w:hAnsi="宋体" w:eastAsia="宋体" w:cs="宋体"/>
                <w:spacing w:val="7"/>
                <w:sz w:val="20"/>
                <w:szCs w:val="20"/>
              </w:rPr>
              <w:t>致项目不能正常运营。</w:t>
            </w:r>
          </w:p>
        </w:tc>
        <w:tc>
          <w:tcPr>
            <w:tcW w:w="1401" w:type="pct"/>
            <w:tcBorders>
              <w:top w:val="nil"/>
            </w:tcBorders>
            <w:vAlign w:val="center"/>
          </w:tcPr>
          <w:p w14:paraId="6A33C136">
            <w:pPr>
              <w:pStyle w:val="27"/>
              <w:keepNext w:val="0"/>
              <w:keepLines w:val="0"/>
              <w:pageBreakBefore w:val="0"/>
              <w:widowControl/>
              <w:kinsoku w:val="0"/>
              <w:wordWrap/>
              <w:overflowPunct/>
              <w:topLinePunct w:val="0"/>
              <w:autoSpaceDE w:val="0"/>
              <w:autoSpaceDN w:val="0"/>
              <w:bidi w:val="0"/>
              <w:adjustRightInd w:val="0"/>
              <w:snapToGrid w:val="0"/>
              <w:spacing w:before="6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建立提前终止补偿机制。</w:t>
            </w:r>
          </w:p>
        </w:tc>
        <w:tc>
          <w:tcPr>
            <w:tcW w:w="347" w:type="pct"/>
            <w:gridSpan w:val="2"/>
            <w:tcBorders>
              <w:top w:val="nil"/>
            </w:tcBorders>
            <w:vAlign w:val="center"/>
          </w:tcPr>
          <w:p w14:paraId="3ADC1C2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tcBorders>
              <w:top w:val="nil"/>
            </w:tcBorders>
            <w:vAlign w:val="center"/>
          </w:tcPr>
          <w:p w14:paraId="497671AB">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11" w:type="pct"/>
            <w:gridSpan w:val="2"/>
            <w:tcBorders>
              <w:top w:val="nil"/>
            </w:tcBorders>
            <w:vAlign w:val="center"/>
          </w:tcPr>
          <w:p w14:paraId="4ED43788">
            <w:pPr>
              <w:keepNext w:val="0"/>
              <w:keepLines w:val="0"/>
              <w:pageBreakBefore w:val="0"/>
              <w:widowControl/>
              <w:kinsoku w:val="0"/>
              <w:wordWrap/>
              <w:overflowPunct/>
              <w:topLinePunct w:val="0"/>
              <w:autoSpaceDE w:val="0"/>
              <w:autoSpaceDN w:val="0"/>
              <w:bidi w:val="0"/>
              <w:adjustRightInd w:val="0"/>
              <w:snapToGrid w:val="0"/>
              <w:spacing w:before="2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57" w:type="pct"/>
            <w:gridSpan w:val="2"/>
            <w:tcBorders>
              <w:top w:val="nil"/>
            </w:tcBorders>
            <w:vAlign w:val="center"/>
          </w:tcPr>
          <w:p w14:paraId="5E9698E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5D5925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86" w:type="pct"/>
            <w:gridSpan w:val="2"/>
            <w:vAlign w:val="center"/>
          </w:tcPr>
          <w:p w14:paraId="1BC4D71B">
            <w:pPr>
              <w:keepNext w:val="0"/>
              <w:keepLines w:val="0"/>
              <w:pageBreakBefore w:val="0"/>
              <w:widowControl/>
              <w:kinsoku w:val="0"/>
              <w:wordWrap/>
              <w:overflowPunct/>
              <w:topLinePunct w:val="0"/>
              <w:autoSpaceDE w:val="0"/>
              <w:autoSpaceDN w:val="0"/>
              <w:bidi w:val="0"/>
              <w:adjustRightInd w:val="0"/>
              <w:snapToGrid w:val="0"/>
              <w:spacing w:before="238"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8"/>
                <w:sz w:val="24"/>
                <w:szCs w:val="24"/>
              </w:rPr>
              <w:t>8.</w:t>
            </w:r>
          </w:p>
        </w:tc>
        <w:tc>
          <w:tcPr>
            <w:tcW w:w="452" w:type="pct"/>
            <w:gridSpan w:val="2"/>
            <w:tcBorders>
              <w:top w:val="nil"/>
            </w:tcBorders>
            <w:vAlign w:val="center"/>
          </w:tcPr>
          <w:p w14:paraId="63CFA8B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79" w:type="pct"/>
            <w:vAlign w:val="center"/>
          </w:tcPr>
          <w:p w14:paraId="0F3450DB">
            <w:pPr>
              <w:pStyle w:val="27"/>
              <w:keepNext w:val="0"/>
              <w:keepLines w:val="0"/>
              <w:pageBreakBefore w:val="0"/>
              <w:widowControl/>
              <w:kinsoku w:val="0"/>
              <w:wordWrap/>
              <w:overflowPunct/>
              <w:topLinePunct w:val="0"/>
              <w:autoSpaceDE w:val="0"/>
              <w:autoSpaceDN w:val="0"/>
              <w:bidi w:val="0"/>
              <w:adjustRightInd w:val="0"/>
              <w:snapToGrid w:val="0"/>
              <w:spacing w:before="5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环境影响风</w:t>
            </w:r>
            <w:r>
              <w:rPr>
                <w:rFonts w:hint="eastAsia" w:ascii="宋体" w:hAnsi="宋体" w:eastAsia="宋体" w:cs="宋体"/>
                <w:sz w:val="20"/>
                <w:szCs w:val="20"/>
              </w:rPr>
              <w:t>险</w:t>
            </w:r>
          </w:p>
        </w:tc>
        <w:tc>
          <w:tcPr>
            <w:tcW w:w="1365" w:type="pct"/>
            <w:gridSpan w:val="3"/>
            <w:vAlign w:val="center"/>
          </w:tcPr>
          <w:p w14:paraId="5A32DD09">
            <w:pPr>
              <w:pStyle w:val="27"/>
              <w:keepNext w:val="0"/>
              <w:keepLines w:val="0"/>
              <w:pageBreakBefore w:val="0"/>
              <w:widowControl/>
              <w:kinsoku w:val="0"/>
              <w:wordWrap/>
              <w:overflowPunct/>
              <w:topLinePunct w:val="0"/>
              <w:autoSpaceDE w:val="0"/>
              <w:autoSpaceDN w:val="0"/>
              <w:bidi w:val="0"/>
              <w:adjustRightInd w:val="0"/>
              <w:snapToGrid w:val="0"/>
              <w:spacing w:before="211"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8"/>
                <w:sz w:val="20"/>
                <w:szCs w:val="20"/>
              </w:rPr>
              <w:t>项目运营对环境造成不良影响。</w:t>
            </w:r>
          </w:p>
        </w:tc>
        <w:tc>
          <w:tcPr>
            <w:tcW w:w="1401" w:type="pct"/>
            <w:vAlign w:val="center"/>
          </w:tcPr>
          <w:p w14:paraId="3A9399E6">
            <w:pPr>
              <w:pStyle w:val="27"/>
              <w:keepNext w:val="0"/>
              <w:keepLines w:val="0"/>
              <w:pageBreakBefore w:val="0"/>
              <w:widowControl/>
              <w:kinsoku w:val="0"/>
              <w:wordWrap/>
              <w:overflowPunct/>
              <w:topLinePunct w:val="0"/>
              <w:autoSpaceDE w:val="0"/>
              <w:autoSpaceDN w:val="0"/>
              <w:bidi w:val="0"/>
              <w:adjustRightInd w:val="0"/>
              <w:snapToGrid w:val="0"/>
              <w:spacing w:before="211"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8"/>
                <w:sz w:val="20"/>
                <w:szCs w:val="20"/>
              </w:rPr>
              <w:t>政府</w:t>
            </w:r>
            <w:r>
              <w:rPr>
                <w:rFonts w:hint="eastAsia" w:ascii="宋体" w:hAnsi="宋体" w:eastAsia="宋体" w:cs="宋体"/>
                <w:spacing w:val="8"/>
                <w:sz w:val="20"/>
                <w:szCs w:val="20"/>
                <w:lang w:eastAsia="zh-CN"/>
              </w:rPr>
              <w:t>加大</w:t>
            </w:r>
            <w:r>
              <w:rPr>
                <w:rFonts w:hint="eastAsia" w:ascii="宋体" w:hAnsi="宋体" w:eastAsia="宋体" w:cs="宋体"/>
                <w:spacing w:val="8"/>
                <w:sz w:val="20"/>
                <w:szCs w:val="20"/>
              </w:rPr>
              <w:t>监管力度，建立运营评价机制。</w:t>
            </w:r>
          </w:p>
        </w:tc>
        <w:tc>
          <w:tcPr>
            <w:tcW w:w="347" w:type="pct"/>
            <w:gridSpan w:val="2"/>
            <w:vAlign w:val="center"/>
          </w:tcPr>
          <w:p w14:paraId="477BC56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3EBB0B0A">
            <w:pPr>
              <w:keepNext w:val="0"/>
              <w:keepLines w:val="0"/>
              <w:pageBreakBefore w:val="0"/>
              <w:widowControl/>
              <w:kinsoku w:val="0"/>
              <w:wordWrap/>
              <w:overflowPunct/>
              <w:topLinePunct w:val="0"/>
              <w:autoSpaceDE w:val="0"/>
              <w:autoSpaceDN w:val="0"/>
              <w:bidi w:val="0"/>
              <w:adjustRightInd w:val="0"/>
              <w:snapToGrid w:val="0"/>
              <w:spacing w:before="17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11" w:type="pct"/>
            <w:gridSpan w:val="2"/>
            <w:vAlign w:val="center"/>
          </w:tcPr>
          <w:p w14:paraId="629148D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vAlign w:val="center"/>
          </w:tcPr>
          <w:p w14:paraId="7C376CE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77EBD1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186" w:type="pct"/>
            <w:gridSpan w:val="2"/>
            <w:vAlign w:val="center"/>
          </w:tcPr>
          <w:p w14:paraId="7044F564">
            <w:pPr>
              <w:keepNext w:val="0"/>
              <w:keepLines w:val="0"/>
              <w:pageBreakBefore w:val="0"/>
              <w:widowControl/>
              <w:kinsoku w:val="0"/>
              <w:wordWrap/>
              <w:overflowPunct/>
              <w:topLinePunct w:val="0"/>
              <w:autoSpaceDE w:val="0"/>
              <w:autoSpaceDN w:val="0"/>
              <w:bidi w:val="0"/>
              <w:adjustRightInd w:val="0"/>
              <w:snapToGrid w:val="0"/>
              <w:spacing w:before="238" w:line="240" w:lineRule="auto"/>
              <w:ind w:left="0" w:leftChars="0" w:right="0" w:rightChars="0" w:firstLine="0" w:firstLineChars="0"/>
              <w:jc w:val="center"/>
              <w:textAlignment w:val="baseline"/>
              <w:rPr>
                <w:rFonts w:hint="eastAsia" w:ascii="宋体" w:hAnsi="宋体" w:eastAsia="宋体" w:cs="宋体"/>
                <w:sz w:val="24"/>
                <w:szCs w:val="24"/>
              </w:rPr>
            </w:pPr>
            <w:r>
              <w:rPr>
                <w:rFonts w:hint="eastAsia" w:ascii="宋体" w:hAnsi="宋体" w:eastAsia="宋体" w:cs="宋体"/>
                <w:spacing w:val="-5"/>
                <w:sz w:val="24"/>
                <w:szCs w:val="24"/>
              </w:rPr>
              <w:t>9.</w:t>
            </w:r>
          </w:p>
        </w:tc>
        <w:tc>
          <w:tcPr>
            <w:tcW w:w="452" w:type="pct"/>
            <w:gridSpan w:val="2"/>
            <w:vAlign w:val="center"/>
          </w:tcPr>
          <w:p w14:paraId="30CB5AE1">
            <w:pPr>
              <w:pStyle w:val="27"/>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项目运营期风险</w:t>
            </w:r>
          </w:p>
        </w:tc>
        <w:tc>
          <w:tcPr>
            <w:tcW w:w="379" w:type="pct"/>
            <w:vAlign w:val="center"/>
          </w:tcPr>
          <w:p w14:paraId="6F22323A">
            <w:pPr>
              <w:pStyle w:val="27"/>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运营管理风</w:t>
            </w:r>
            <w:r>
              <w:rPr>
                <w:rFonts w:hint="eastAsia" w:ascii="宋体" w:hAnsi="宋体" w:eastAsia="宋体" w:cs="宋体"/>
                <w:sz w:val="20"/>
                <w:szCs w:val="20"/>
              </w:rPr>
              <w:t>险</w:t>
            </w:r>
          </w:p>
        </w:tc>
        <w:tc>
          <w:tcPr>
            <w:tcW w:w="1365" w:type="pct"/>
            <w:gridSpan w:val="3"/>
            <w:vAlign w:val="center"/>
          </w:tcPr>
          <w:p w14:paraId="179E5011">
            <w:pPr>
              <w:pStyle w:val="27"/>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运营管理能力不足导致产出内容达不到</w:t>
            </w:r>
            <w:r>
              <w:rPr>
                <w:rFonts w:hint="eastAsia" w:ascii="宋体" w:hAnsi="宋体" w:eastAsia="宋体" w:cs="宋体"/>
                <w:spacing w:val="4"/>
                <w:sz w:val="20"/>
                <w:szCs w:val="20"/>
              </w:rPr>
              <w:t>约定要求。</w:t>
            </w:r>
          </w:p>
        </w:tc>
        <w:tc>
          <w:tcPr>
            <w:tcW w:w="1401" w:type="pct"/>
            <w:vAlign w:val="center"/>
          </w:tcPr>
          <w:p w14:paraId="186201DA">
            <w:pPr>
              <w:pStyle w:val="27"/>
              <w:keepNext w:val="0"/>
              <w:keepLines w:val="0"/>
              <w:pageBreakBefore w:val="0"/>
              <w:widowControl/>
              <w:kinsoku w:val="0"/>
              <w:wordWrap/>
              <w:overflowPunct/>
              <w:topLinePunct w:val="0"/>
              <w:autoSpaceDE w:val="0"/>
              <w:autoSpaceDN w:val="0"/>
              <w:bidi w:val="0"/>
              <w:adjustRightInd w:val="0"/>
              <w:snapToGrid w:val="0"/>
              <w:spacing w:before="57"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9"/>
                <w:sz w:val="20"/>
                <w:szCs w:val="20"/>
              </w:rPr>
              <w:t>在合同中约定运营管理要求，建立运营评价</w:t>
            </w:r>
            <w:r>
              <w:rPr>
                <w:rFonts w:hint="eastAsia" w:ascii="宋体" w:hAnsi="宋体" w:eastAsia="宋体" w:cs="宋体"/>
                <w:spacing w:val="8"/>
                <w:sz w:val="20"/>
                <w:szCs w:val="20"/>
              </w:rPr>
              <w:t>机制；</w:t>
            </w:r>
            <w:r>
              <w:rPr>
                <w:rFonts w:hint="eastAsia" w:ascii="宋体" w:hAnsi="宋体" w:eastAsia="宋体" w:cs="宋体"/>
                <w:spacing w:val="8"/>
                <w:sz w:val="20"/>
                <w:szCs w:val="20"/>
                <w:lang w:eastAsia="zh-CN"/>
              </w:rPr>
              <w:t>政府</w:t>
            </w:r>
            <w:r>
              <w:rPr>
                <w:rFonts w:hint="eastAsia" w:ascii="宋体" w:hAnsi="宋体" w:eastAsia="宋体" w:cs="宋体"/>
                <w:spacing w:val="8"/>
                <w:sz w:val="20"/>
                <w:szCs w:val="20"/>
              </w:rPr>
              <w:t>各职能部门加强监管。</w:t>
            </w:r>
          </w:p>
        </w:tc>
        <w:tc>
          <w:tcPr>
            <w:tcW w:w="347" w:type="pct"/>
            <w:gridSpan w:val="2"/>
            <w:vAlign w:val="center"/>
          </w:tcPr>
          <w:p w14:paraId="442D759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397" w:type="pct"/>
            <w:gridSpan w:val="3"/>
            <w:vAlign w:val="center"/>
          </w:tcPr>
          <w:p w14:paraId="6C0647D1">
            <w:pPr>
              <w:keepNext w:val="0"/>
              <w:keepLines w:val="0"/>
              <w:pageBreakBefore w:val="0"/>
              <w:widowControl/>
              <w:kinsoku w:val="0"/>
              <w:wordWrap/>
              <w:overflowPunct/>
              <w:topLinePunct w:val="0"/>
              <w:autoSpaceDE w:val="0"/>
              <w:autoSpaceDN w:val="0"/>
              <w:bidi w:val="0"/>
              <w:adjustRightInd w:val="0"/>
              <w:snapToGrid w:val="0"/>
              <w:spacing w:before="175"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w:t>
            </w:r>
          </w:p>
        </w:tc>
        <w:tc>
          <w:tcPr>
            <w:tcW w:w="211" w:type="pct"/>
            <w:gridSpan w:val="2"/>
            <w:vAlign w:val="center"/>
          </w:tcPr>
          <w:p w14:paraId="70C9923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c>
          <w:tcPr>
            <w:tcW w:w="257" w:type="pct"/>
            <w:gridSpan w:val="2"/>
            <w:vAlign w:val="center"/>
          </w:tcPr>
          <w:p w14:paraId="67225C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1"/>
              </w:rPr>
            </w:pPr>
          </w:p>
        </w:tc>
      </w:tr>
      <w:tr w14:paraId="6A71E5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1564" w:hRule="atLeast"/>
        </w:trPr>
        <w:tc>
          <w:tcPr>
            <w:tcW w:w="191" w:type="pct"/>
            <w:gridSpan w:val="2"/>
            <w:vAlign w:val="center"/>
          </w:tcPr>
          <w:p w14:paraId="3474DBB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1"/>
                <w:sz w:val="20"/>
                <w:szCs w:val="20"/>
              </w:rPr>
            </w:pPr>
            <w:bookmarkStart w:id="143" w:name="bookmark161"/>
            <w:bookmarkEnd w:id="143"/>
          </w:p>
          <w:p w14:paraId="0184E14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10.</w:t>
            </w:r>
          </w:p>
        </w:tc>
        <w:tc>
          <w:tcPr>
            <w:tcW w:w="447" w:type="pct"/>
            <w:vMerge w:val="restart"/>
            <w:tcBorders>
              <w:bottom w:val="nil"/>
            </w:tcBorders>
            <w:vAlign w:val="center"/>
          </w:tcPr>
          <w:p w14:paraId="0E1CF6F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415" w:type="pct"/>
            <w:gridSpan w:val="2"/>
            <w:vAlign w:val="center"/>
          </w:tcPr>
          <w:p w14:paraId="3ABE7E9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default" w:ascii="宋体" w:hAnsi="宋体" w:eastAsia="宋体" w:cs="宋体"/>
                <w:b w:val="0"/>
                <w:bCs w:val="0"/>
                <w:spacing w:val="11"/>
                <w:sz w:val="20"/>
                <w:szCs w:val="20"/>
                <w:lang w:val="en-US" w:eastAsia="zh-CN"/>
              </w:rPr>
            </w:pPr>
            <w:r>
              <w:rPr>
                <w:rFonts w:hint="eastAsia" w:ascii="宋体" w:hAnsi="宋体" w:eastAsia="宋体" w:cs="宋体"/>
                <w:b w:val="0"/>
                <w:bCs w:val="0"/>
                <w:spacing w:val="11"/>
                <w:sz w:val="20"/>
                <w:szCs w:val="20"/>
                <w:lang w:val="en-US" w:eastAsia="zh-CN"/>
              </w:rPr>
              <w:t>运营安全风险</w:t>
            </w:r>
          </w:p>
        </w:tc>
        <w:tc>
          <w:tcPr>
            <w:tcW w:w="1323" w:type="pct"/>
            <w:vAlign w:val="center"/>
          </w:tcPr>
          <w:p w14:paraId="70410D2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运营过程中发生安全事故</w:t>
            </w:r>
          </w:p>
        </w:tc>
        <w:tc>
          <w:tcPr>
            <w:tcW w:w="1495" w:type="pct"/>
            <w:gridSpan w:val="3"/>
            <w:vAlign w:val="center"/>
          </w:tcPr>
          <w:p w14:paraId="4D74793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特许经营者应根据项目性质选取符合相关要求的设施设备（如防潮等），针对汛期、地质灾害等建立安全管理机制，定期开展安全隐患排查和安全演练，切实加强安全防范，落实安全管理责任制。</w:t>
            </w:r>
          </w:p>
        </w:tc>
        <w:tc>
          <w:tcPr>
            <w:tcW w:w="275" w:type="pct"/>
            <w:gridSpan w:val="2"/>
            <w:vAlign w:val="center"/>
          </w:tcPr>
          <w:p w14:paraId="7989409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1783D14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p w14:paraId="54A9BEF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p w14:paraId="7589E2C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32" w:type="pct"/>
            <w:gridSpan w:val="2"/>
            <w:vAlign w:val="center"/>
          </w:tcPr>
          <w:p w14:paraId="7E49EA8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58" w:type="pct"/>
            <w:gridSpan w:val="2"/>
            <w:vAlign w:val="center"/>
          </w:tcPr>
          <w:p w14:paraId="3C370FE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r w14:paraId="21CAB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628" w:hRule="atLeast"/>
        </w:trPr>
        <w:tc>
          <w:tcPr>
            <w:tcW w:w="191" w:type="pct"/>
            <w:gridSpan w:val="2"/>
            <w:vAlign w:val="center"/>
          </w:tcPr>
          <w:p w14:paraId="7BBAC05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11.</w:t>
            </w:r>
          </w:p>
        </w:tc>
        <w:tc>
          <w:tcPr>
            <w:tcW w:w="447" w:type="pct"/>
            <w:vMerge w:val="continue"/>
            <w:tcBorders>
              <w:top w:val="nil"/>
              <w:bottom w:val="nil"/>
            </w:tcBorders>
            <w:vAlign w:val="center"/>
          </w:tcPr>
          <w:p w14:paraId="152862D8">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415" w:type="pct"/>
            <w:gridSpan w:val="2"/>
            <w:vMerge w:val="restart"/>
            <w:tcBorders>
              <w:bottom w:val="nil"/>
            </w:tcBorders>
            <w:vAlign w:val="center"/>
          </w:tcPr>
          <w:p w14:paraId="183C95B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项目市场风险</w:t>
            </w:r>
          </w:p>
        </w:tc>
        <w:tc>
          <w:tcPr>
            <w:tcW w:w="1323" w:type="pct"/>
            <w:vAlign w:val="center"/>
          </w:tcPr>
          <w:p w14:paraId="10A065D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供水定价风险，渔业市场波动，潜在收入不足等</w:t>
            </w:r>
          </w:p>
        </w:tc>
        <w:tc>
          <w:tcPr>
            <w:tcW w:w="1495" w:type="pct"/>
            <w:gridSpan w:val="3"/>
            <w:vAlign w:val="center"/>
          </w:tcPr>
          <w:p w14:paraId="797BE56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中标特许经营者应充分</w:t>
            </w:r>
            <w:r>
              <w:rPr>
                <w:rFonts w:hint="eastAsia" w:ascii="宋体" w:hAnsi="宋体" w:eastAsia="宋体" w:cs="宋体"/>
                <w:b w:val="0"/>
                <w:bCs w:val="0"/>
                <w:spacing w:val="11"/>
                <w:sz w:val="20"/>
                <w:szCs w:val="20"/>
                <w:lang w:eastAsia="zh-CN"/>
              </w:rPr>
              <w:t>理解</w:t>
            </w:r>
            <w:r>
              <w:rPr>
                <w:rFonts w:hint="eastAsia" w:ascii="宋体" w:hAnsi="宋体" w:eastAsia="宋体" w:cs="宋体"/>
                <w:b w:val="0"/>
                <w:bCs w:val="0"/>
                <w:spacing w:val="11"/>
                <w:sz w:val="20"/>
                <w:szCs w:val="20"/>
              </w:rPr>
              <w:t>相关价格变动风险，为价格制定提供充分依据。</w:t>
            </w:r>
          </w:p>
        </w:tc>
        <w:tc>
          <w:tcPr>
            <w:tcW w:w="275" w:type="pct"/>
            <w:gridSpan w:val="2"/>
            <w:vAlign w:val="center"/>
          </w:tcPr>
          <w:p w14:paraId="0D20B61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3E44774B">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32" w:type="pct"/>
            <w:gridSpan w:val="2"/>
            <w:vAlign w:val="center"/>
          </w:tcPr>
          <w:p w14:paraId="6F15492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58" w:type="pct"/>
            <w:gridSpan w:val="2"/>
            <w:vAlign w:val="center"/>
          </w:tcPr>
          <w:p w14:paraId="31879F2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r w14:paraId="23A1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628" w:hRule="atLeast"/>
        </w:trPr>
        <w:tc>
          <w:tcPr>
            <w:tcW w:w="191" w:type="pct"/>
            <w:gridSpan w:val="2"/>
            <w:vAlign w:val="center"/>
          </w:tcPr>
          <w:p w14:paraId="513026A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12.</w:t>
            </w:r>
          </w:p>
        </w:tc>
        <w:tc>
          <w:tcPr>
            <w:tcW w:w="447" w:type="pct"/>
            <w:vMerge w:val="continue"/>
            <w:tcBorders>
              <w:top w:val="nil"/>
              <w:bottom w:val="nil"/>
            </w:tcBorders>
            <w:vAlign w:val="center"/>
          </w:tcPr>
          <w:p w14:paraId="43B39F6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415" w:type="pct"/>
            <w:gridSpan w:val="2"/>
            <w:vMerge w:val="continue"/>
            <w:tcBorders>
              <w:top w:val="nil"/>
              <w:bottom w:val="nil"/>
            </w:tcBorders>
            <w:vAlign w:val="center"/>
          </w:tcPr>
          <w:p w14:paraId="0258B7C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1323" w:type="pct"/>
            <w:vAlign w:val="center"/>
          </w:tcPr>
          <w:p w14:paraId="0B084485">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水量供应不足（受极端干旱天气影响除外），供水收入等业绩不佳</w:t>
            </w:r>
          </w:p>
        </w:tc>
        <w:tc>
          <w:tcPr>
            <w:tcW w:w="1495" w:type="pct"/>
            <w:gridSpan w:val="3"/>
            <w:vAlign w:val="center"/>
          </w:tcPr>
          <w:p w14:paraId="607C9E2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特许经营者应结合实际情况做好运营规划，为社会公众提供优质的产品和服务。</w:t>
            </w:r>
          </w:p>
        </w:tc>
        <w:tc>
          <w:tcPr>
            <w:tcW w:w="275" w:type="pct"/>
            <w:gridSpan w:val="2"/>
            <w:vAlign w:val="center"/>
          </w:tcPr>
          <w:p w14:paraId="7241FA6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7F6213F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32" w:type="pct"/>
            <w:gridSpan w:val="2"/>
            <w:vAlign w:val="center"/>
          </w:tcPr>
          <w:p w14:paraId="5429A34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58" w:type="pct"/>
            <w:gridSpan w:val="2"/>
            <w:vAlign w:val="center"/>
          </w:tcPr>
          <w:p w14:paraId="7876608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r w14:paraId="5F2FBD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374" w:hRule="atLeast"/>
        </w:trPr>
        <w:tc>
          <w:tcPr>
            <w:tcW w:w="191" w:type="pct"/>
            <w:gridSpan w:val="2"/>
            <w:vAlign w:val="center"/>
          </w:tcPr>
          <w:p w14:paraId="3F335D1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13.</w:t>
            </w:r>
          </w:p>
        </w:tc>
        <w:tc>
          <w:tcPr>
            <w:tcW w:w="447" w:type="pct"/>
            <w:vMerge w:val="continue"/>
            <w:tcBorders>
              <w:top w:val="nil"/>
              <w:bottom w:val="nil"/>
            </w:tcBorders>
            <w:vAlign w:val="center"/>
          </w:tcPr>
          <w:p w14:paraId="3CC6AFA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415" w:type="pct"/>
            <w:gridSpan w:val="2"/>
            <w:vMerge w:val="continue"/>
            <w:tcBorders>
              <w:top w:val="nil"/>
            </w:tcBorders>
            <w:vAlign w:val="center"/>
          </w:tcPr>
          <w:p w14:paraId="5907964F">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1323" w:type="pct"/>
            <w:vAlign w:val="center"/>
          </w:tcPr>
          <w:p w14:paraId="68BBCED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动力费、人员工资等运营成本波动</w:t>
            </w:r>
          </w:p>
        </w:tc>
        <w:tc>
          <w:tcPr>
            <w:tcW w:w="1495" w:type="pct"/>
            <w:gridSpan w:val="3"/>
            <w:vAlign w:val="center"/>
          </w:tcPr>
          <w:p w14:paraId="431821E5">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提高运营管理效率，加强成本控制。</w:t>
            </w:r>
          </w:p>
        </w:tc>
        <w:tc>
          <w:tcPr>
            <w:tcW w:w="275" w:type="pct"/>
            <w:gridSpan w:val="2"/>
            <w:vAlign w:val="center"/>
          </w:tcPr>
          <w:p w14:paraId="19DD253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7461628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32" w:type="pct"/>
            <w:gridSpan w:val="2"/>
            <w:vAlign w:val="center"/>
          </w:tcPr>
          <w:p w14:paraId="75DE593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58" w:type="pct"/>
            <w:gridSpan w:val="2"/>
            <w:vAlign w:val="center"/>
          </w:tcPr>
          <w:p w14:paraId="2316A3E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r w14:paraId="7E7B52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940" w:hRule="atLeast"/>
        </w:trPr>
        <w:tc>
          <w:tcPr>
            <w:tcW w:w="191" w:type="pct"/>
            <w:gridSpan w:val="2"/>
            <w:vAlign w:val="center"/>
          </w:tcPr>
          <w:p w14:paraId="68AAC95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p w14:paraId="3B56F1D5">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14.</w:t>
            </w:r>
          </w:p>
        </w:tc>
        <w:tc>
          <w:tcPr>
            <w:tcW w:w="447" w:type="pct"/>
            <w:vMerge w:val="continue"/>
            <w:tcBorders>
              <w:top w:val="nil"/>
            </w:tcBorders>
            <w:vAlign w:val="center"/>
          </w:tcPr>
          <w:p w14:paraId="2FB5C9D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415" w:type="pct"/>
            <w:gridSpan w:val="2"/>
            <w:vAlign w:val="center"/>
          </w:tcPr>
          <w:p w14:paraId="4638286A">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公众风险</w:t>
            </w:r>
          </w:p>
        </w:tc>
        <w:tc>
          <w:tcPr>
            <w:tcW w:w="1323" w:type="pct"/>
            <w:vAlign w:val="center"/>
          </w:tcPr>
          <w:p w14:paraId="11AD1E0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原水价格、农业灌溉用水价格调整较大</w:t>
            </w:r>
            <w:r>
              <w:rPr>
                <w:rFonts w:hint="eastAsia" w:ascii="宋体" w:hAnsi="宋体" w:eastAsia="宋体" w:cs="宋体"/>
                <w:b w:val="0"/>
                <w:bCs w:val="0"/>
                <w:spacing w:val="11"/>
                <w:sz w:val="20"/>
                <w:szCs w:val="20"/>
                <w:lang w:eastAsia="zh-CN"/>
              </w:rPr>
              <w:t>，</w:t>
            </w:r>
            <w:r>
              <w:rPr>
                <w:rFonts w:hint="eastAsia" w:ascii="宋体" w:hAnsi="宋体" w:eastAsia="宋体" w:cs="宋体"/>
                <w:b w:val="0"/>
                <w:bCs w:val="0"/>
                <w:spacing w:val="11"/>
                <w:sz w:val="20"/>
                <w:szCs w:val="20"/>
              </w:rPr>
              <w:t>导致公众不满意等</w:t>
            </w:r>
          </w:p>
        </w:tc>
        <w:tc>
          <w:tcPr>
            <w:tcW w:w="1495" w:type="pct"/>
            <w:gridSpan w:val="3"/>
            <w:vAlign w:val="center"/>
          </w:tcPr>
          <w:p w14:paraId="6D984795">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农业灌溉用水价格主要依据政府定价，价格调整需要进行听证，因此需结合相关政策程序进行调整。</w:t>
            </w:r>
          </w:p>
        </w:tc>
        <w:tc>
          <w:tcPr>
            <w:tcW w:w="275" w:type="pct"/>
            <w:gridSpan w:val="2"/>
            <w:vAlign w:val="center"/>
          </w:tcPr>
          <w:p w14:paraId="1F1CB124">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5B429D1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32" w:type="pct"/>
            <w:gridSpan w:val="2"/>
            <w:vAlign w:val="center"/>
          </w:tcPr>
          <w:p w14:paraId="492B1A19">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p w14:paraId="331A9A5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58" w:type="pct"/>
            <w:gridSpan w:val="2"/>
            <w:vAlign w:val="center"/>
          </w:tcPr>
          <w:p w14:paraId="132F349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r w14:paraId="08E6F5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gridAfter w:val="1"/>
          <w:wBefore w:w="0" w:type="pct"/>
          <w:wAfter w:w="20" w:type="pct"/>
          <w:trHeight w:val="1299" w:hRule="atLeast"/>
        </w:trPr>
        <w:tc>
          <w:tcPr>
            <w:tcW w:w="191" w:type="pct"/>
            <w:gridSpan w:val="2"/>
            <w:vAlign w:val="center"/>
          </w:tcPr>
          <w:p w14:paraId="331B5E43">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1"/>
                <w:sz w:val="20"/>
                <w:szCs w:val="20"/>
              </w:rPr>
            </w:pPr>
          </w:p>
          <w:p w14:paraId="12CA652C">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15.</w:t>
            </w:r>
          </w:p>
        </w:tc>
        <w:tc>
          <w:tcPr>
            <w:tcW w:w="447" w:type="pct"/>
            <w:vAlign w:val="center"/>
          </w:tcPr>
          <w:p w14:paraId="0ACE3485">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项目移交期风险</w:t>
            </w:r>
          </w:p>
        </w:tc>
        <w:tc>
          <w:tcPr>
            <w:tcW w:w="415" w:type="pct"/>
            <w:gridSpan w:val="2"/>
            <w:vAlign w:val="center"/>
          </w:tcPr>
          <w:p w14:paraId="2051956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移交风险</w:t>
            </w:r>
          </w:p>
        </w:tc>
        <w:tc>
          <w:tcPr>
            <w:tcW w:w="1323" w:type="pct"/>
            <w:vAlign w:val="center"/>
          </w:tcPr>
          <w:p w14:paraId="47BCC720">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项目合作期满或提前终止，特许经营者向政府方移交时，有未偿还债务或第三方索赔、项目设施完好率不达标、相关资料不完整、权利移交不完整等。</w:t>
            </w:r>
          </w:p>
        </w:tc>
        <w:tc>
          <w:tcPr>
            <w:tcW w:w="1495" w:type="pct"/>
            <w:gridSpan w:val="3"/>
            <w:vAlign w:val="center"/>
          </w:tcPr>
          <w:p w14:paraId="4DEA46E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both"/>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设立移交保证金，成立移交工作组，做好移交准备工作，编制移交清单，制定移交计划。</w:t>
            </w:r>
          </w:p>
        </w:tc>
        <w:tc>
          <w:tcPr>
            <w:tcW w:w="275" w:type="pct"/>
            <w:gridSpan w:val="2"/>
            <w:vAlign w:val="center"/>
          </w:tcPr>
          <w:p w14:paraId="358F010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339" w:type="pct"/>
            <w:vAlign w:val="center"/>
          </w:tcPr>
          <w:p w14:paraId="75F87136">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p w14:paraId="21197601">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r>
              <w:rPr>
                <w:rFonts w:hint="eastAsia" w:ascii="宋体" w:hAnsi="宋体" w:eastAsia="宋体" w:cs="宋体"/>
                <w:b w:val="0"/>
                <w:bCs w:val="0"/>
                <w:spacing w:val="11"/>
                <w:sz w:val="20"/>
                <w:szCs w:val="20"/>
              </w:rPr>
              <w:t>√</w:t>
            </w:r>
          </w:p>
        </w:tc>
        <w:tc>
          <w:tcPr>
            <w:tcW w:w="232" w:type="pct"/>
            <w:gridSpan w:val="2"/>
            <w:vAlign w:val="center"/>
          </w:tcPr>
          <w:p w14:paraId="41520552">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c>
          <w:tcPr>
            <w:tcW w:w="258" w:type="pct"/>
            <w:gridSpan w:val="2"/>
            <w:vAlign w:val="center"/>
          </w:tcPr>
          <w:p w14:paraId="3A2A52D7">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b w:val="0"/>
                <w:bCs w:val="0"/>
                <w:spacing w:val="11"/>
                <w:sz w:val="20"/>
                <w:szCs w:val="20"/>
              </w:rPr>
            </w:pPr>
          </w:p>
        </w:tc>
      </w:tr>
    </w:tbl>
    <w:p w14:paraId="20036395">
      <w:pPr>
        <w:pStyle w:val="8"/>
      </w:pPr>
    </w:p>
    <w:p w14:paraId="454EFA80">
      <w:pPr>
        <w:sectPr>
          <w:headerReference r:id="rId12" w:type="default"/>
          <w:footerReference r:id="rId13" w:type="default"/>
          <w:pgSz w:w="16839" w:h="11906"/>
          <w:pgMar w:top="1134" w:right="1341" w:bottom="1576" w:left="1228" w:header="862" w:footer="1414" w:gutter="0"/>
          <w:pgNumType w:fmt="decimal"/>
          <w:cols w:space="720" w:num="1"/>
        </w:sectPr>
      </w:pPr>
    </w:p>
    <w:p w14:paraId="3C8AD519">
      <w:pPr>
        <w:pStyle w:val="4"/>
        <w:numPr>
          <w:ilvl w:val="1"/>
          <w:numId w:val="4"/>
        </w:numPr>
        <w:bidi w:val="0"/>
        <w:ind w:left="575" w:leftChars="0" w:hanging="575" w:firstLineChars="0"/>
        <w:rPr>
          <w:rFonts w:ascii="Arial" w:hAnsi="Arial"/>
          <w:lang w:val="en-US" w:eastAsia="en-US"/>
        </w:rPr>
      </w:pPr>
      <w:bookmarkStart w:id="144" w:name="bookmark162"/>
      <w:bookmarkEnd w:id="144"/>
      <w:bookmarkStart w:id="145" w:name="bookmark84"/>
      <w:bookmarkEnd w:id="145"/>
      <w:bookmarkStart w:id="146" w:name="_Toc3738"/>
      <w:r>
        <w:rPr>
          <w:rFonts w:ascii="Arial" w:hAnsi="Arial"/>
          <w:lang w:val="en-US" w:eastAsia="en-US"/>
        </w:rPr>
        <w:t>政府承诺和保障</w:t>
      </w:r>
      <w:bookmarkEnd w:id="146"/>
    </w:p>
    <w:p w14:paraId="57BB3FAA">
      <w:pPr>
        <w:pStyle w:val="5"/>
        <w:numPr>
          <w:ilvl w:val="2"/>
          <w:numId w:val="46"/>
        </w:numPr>
        <w:bidi w:val="0"/>
        <w:ind w:left="0" w:firstLine="402"/>
        <w:rPr>
          <w:rFonts w:ascii="Arial" w:hAnsi="Arial"/>
        </w:rPr>
      </w:pPr>
      <w:bookmarkStart w:id="147" w:name="bookmark85"/>
      <w:bookmarkEnd w:id="147"/>
      <w:r>
        <w:rPr>
          <w:rFonts w:ascii="仿宋" w:hAnsi="仿宋" w:eastAsia="仿宋" w:cs="仿宋"/>
          <w:b/>
          <w:bCs/>
          <w:spacing w:val="4"/>
          <w:sz w:val="31"/>
          <w:szCs w:val="31"/>
        </w:rPr>
        <w:t>授予权利的有效性</w:t>
      </w:r>
    </w:p>
    <w:p w14:paraId="26BCAF5F">
      <w:pPr>
        <w:bidi w:val="0"/>
      </w:pPr>
      <w:r>
        <w:t>在特许经营者严格执行特许经营协议的前提下，</w:t>
      </w:r>
      <w:r>
        <w:rPr>
          <w:rFonts w:hint="eastAsia"/>
          <w:lang w:eastAsia="zh-CN"/>
        </w:rPr>
        <w:t>区政府</w:t>
      </w:r>
      <w:r>
        <w:t>应保证其授予特许经营者投资、运营维护本项目的权利在整个特许经营期内始终持续有效和完整，不可抗力原因导致的除外。</w:t>
      </w:r>
    </w:p>
    <w:p w14:paraId="066CEFD9">
      <w:pPr>
        <w:bidi w:val="0"/>
        <w:rPr>
          <w:rFonts w:ascii="仿宋" w:hAnsi="仿宋" w:eastAsia="仿宋" w:cs="仿宋"/>
          <w:szCs w:val="31"/>
        </w:rPr>
      </w:pPr>
      <w:r>
        <w:t>实施机构应当按照特许经营协议严格履行有关义务，为特许经营者运营特许经营项目提供便利和支持，提高公共服务水平。行政区划调整</w:t>
      </w:r>
      <w:r>
        <w:rPr>
          <w:rFonts w:hint="eastAsia"/>
          <w:lang w:eastAsia="zh-CN"/>
        </w:rPr>
        <w:t>，</w:t>
      </w:r>
      <w:r>
        <w:t>政府换届、部门调整和负责人变更，不得影响特许经营协议履行。</w:t>
      </w:r>
    </w:p>
    <w:p w14:paraId="39D8ABA7">
      <w:pPr>
        <w:pStyle w:val="5"/>
        <w:numPr>
          <w:ilvl w:val="2"/>
          <w:numId w:val="46"/>
        </w:numPr>
        <w:bidi w:val="0"/>
        <w:ind w:left="0" w:firstLine="402"/>
        <w:rPr>
          <w:rFonts w:ascii="Arial" w:hAnsi="Arial"/>
        </w:rPr>
      </w:pPr>
      <w:bookmarkStart w:id="148" w:name="bookmark86"/>
      <w:bookmarkEnd w:id="148"/>
      <w:r>
        <w:rPr>
          <w:rFonts w:ascii="Arial" w:hAnsi="Arial"/>
        </w:rPr>
        <w:t>前期工作的协助</w:t>
      </w:r>
    </w:p>
    <w:p w14:paraId="0A7D36AF">
      <w:pPr>
        <w:bidi w:val="0"/>
      </w:pPr>
      <w:r>
        <w:rPr>
          <w:rFonts w:hint="eastAsia"/>
          <w:lang w:eastAsia="zh-CN"/>
        </w:rPr>
        <w:t>各级</w:t>
      </w:r>
      <w:r>
        <w:t>政府部门要有效协调，创新机制，提高行政审批效率。行业主管部门按照部门联动、分工明确、协同推进等要求，与有关部门建立协调推进机制，推动投资、价格、金融等部门密切配合、形成合力，保障本项目合作积极稳妥推进。</w:t>
      </w:r>
    </w:p>
    <w:p w14:paraId="2C5E53B5">
      <w:pPr>
        <w:pStyle w:val="5"/>
        <w:numPr>
          <w:ilvl w:val="2"/>
          <w:numId w:val="46"/>
        </w:numPr>
        <w:bidi w:val="0"/>
        <w:ind w:left="0" w:firstLine="402"/>
        <w:rPr>
          <w:rFonts w:ascii="Arial" w:hAnsi="Arial"/>
        </w:rPr>
      </w:pPr>
      <w:bookmarkStart w:id="149" w:name="bookmark87"/>
      <w:bookmarkEnd w:id="149"/>
      <w:r>
        <w:rPr>
          <w:rFonts w:ascii="Arial" w:hAnsi="Arial"/>
        </w:rPr>
        <w:t>加强能力建设</w:t>
      </w:r>
    </w:p>
    <w:p w14:paraId="68BF80E1">
      <w:pPr>
        <w:bidi w:val="0"/>
      </w:pPr>
      <w:r>
        <w:t>通过专题培训、政策解读等，统一思想，提高政府各部门、特许经营者和社会公众对本项目的认识，营造良好的环境氛围。同时，聘请专业咨询机构为项目全生命期提供财务、法律、技术和商务支持，为本项目顺利推进保驾护航。</w:t>
      </w:r>
    </w:p>
    <w:p w14:paraId="096F91A6">
      <w:pPr>
        <w:pStyle w:val="5"/>
        <w:numPr>
          <w:ilvl w:val="2"/>
          <w:numId w:val="46"/>
        </w:numPr>
        <w:bidi w:val="0"/>
        <w:ind w:left="0" w:firstLine="402"/>
        <w:rPr>
          <w:rFonts w:ascii="Arial" w:hAnsi="Arial"/>
        </w:rPr>
      </w:pPr>
      <w:bookmarkStart w:id="150" w:name="bookmark88"/>
      <w:bookmarkEnd w:id="150"/>
      <w:r>
        <w:rPr>
          <w:rFonts w:ascii="Arial" w:hAnsi="Arial"/>
        </w:rPr>
        <w:t>争取政策支持</w:t>
      </w:r>
    </w:p>
    <w:p w14:paraId="23566707">
      <w:pPr>
        <w:bidi w:val="0"/>
      </w:pPr>
      <w:r>
        <w:t>充分整合、有效利用现有资源和政策，争取特许经营项目配</w:t>
      </w:r>
      <w:bookmarkStart w:id="151" w:name="bookmark163"/>
      <w:bookmarkEnd w:id="151"/>
      <w:r>
        <w:t>套政策支持；同时，积极争取国家和省市有关部门的各类支持。</w:t>
      </w:r>
    </w:p>
    <w:p w14:paraId="7A215F85">
      <w:pPr>
        <w:bidi w:val="0"/>
        <w:rPr>
          <w:rFonts w:hint="eastAsia" w:eastAsia="仿宋"/>
          <w:lang w:eastAsia="zh-CN"/>
        </w:rPr>
      </w:pPr>
      <w:r>
        <w:t>如果本项目申请得到国家、省级或市级各类补助、补贴资金、贴息</w:t>
      </w:r>
      <w:r>
        <w:rPr>
          <w:rFonts w:hint="eastAsia"/>
          <w:lang w:eastAsia="zh-CN"/>
        </w:rPr>
        <w:t>、</w:t>
      </w:r>
      <w:r>
        <w:t>奖励资金或专项资金（统称“奖补资金”），应按照规定的资金用途使用</w:t>
      </w:r>
      <w:r>
        <w:rPr>
          <w:rFonts w:hint="eastAsia"/>
          <w:lang w:eastAsia="zh-CN"/>
        </w:rPr>
        <w:t>。</w:t>
      </w:r>
    </w:p>
    <w:p w14:paraId="2A82B1EC">
      <w:pPr>
        <w:pStyle w:val="5"/>
        <w:numPr>
          <w:ilvl w:val="2"/>
          <w:numId w:val="46"/>
        </w:numPr>
        <w:bidi w:val="0"/>
        <w:ind w:left="0" w:firstLine="402"/>
        <w:rPr>
          <w:rFonts w:ascii="Arial" w:hAnsi="Arial"/>
        </w:rPr>
      </w:pPr>
      <w:bookmarkStart w:id="152" w:name="bookmark89"/>
      <w:bookmarkEnd w:id="152"/>
      <w:r>
        <w:rPr>
          <w:rFonts w:ascii="Arial" w:hAnsi="Arial"/>
        </w:rPr>
        <w:t>行政审批手续</w:t>
      </w:r>
    </w:p>
    <w:p w14:paraId="1783AE6F">
      <w:pPr>
        <w:bidi w:val="0"/>
      </w:pPr>
      <w:r>
        <w:t>相关政府部门对本项目涉及的财政、发改、物价、税收、环境保护等管理和审批事项，为特许经营者提供相应的支持和保障。</w:t>
      </w:r>
    </w:p>
    <w:p w14:paraId="708B130F">
      <w:pPr>
        <w:pStyle w:val="5"/>
        <w:numPr>
          <w:ilvl w:val="2"/>
          <w:numId w:val="46"/>
        </w:numPr>
        <w:bidi w:val="0"/>
        <w:ind w:left="0" w:firstLine="402"/>
        <w:rPr>
          <w:rFonts w:ascii="Arial" w:hAnsi="Arial"/>
        </w:rPr>
      </w:pPr>
      <w:bookmarkStart w:id="153" w:name="bookmark90"/>
      <w:bookmarkEnd w:id="153"/>
      <w:r>
        <w:rPr>
          <w:rFonts w:ascii="Arial" w:hAnsi="Arial"/>
        </w:rPr>
        <w:t>融资支持</w:t>
      </w:r>
    </w:p>
    <w:p w14:paraId="41B6D451">
      <w:pPr>
        <w:bidi w:val="0"/>
      </w:pPr>
      <w:r>
        <w:t>政府方将在合法的前提下，为特许经营者的融资提供相关的便利和支持，必要时出具相关文件和证明。但政府方不应为特许经营者的融资行为提供任何形式的担保或还款承诺，不承诺为特许经营者的融资承担偿债责任。</w:t>
      </w:r>
    </w:p>
    <w:p w14:paraId="46E262C3">
      <w:pPr>
        <w:pStyle w:val="5"/>
        <w:numPr>
          <w:ilvl w:val="2"/>
          <w:numId w:val="46"/>
        </w:numPr>
        <w:bidi w:val="0"/>
        <w:ind w:left="0" w:firstLine="402"/>
        <w:rPr>
          <w:rFonts w:ascii="Arial" w:hAnsi="Arial"/>
        </w:rPr>
      </w:pPr>
      <w:bookmarkStart w:id="154" w:name="bookmark91"/>
      <w:bookmarkEnd w:id="154"/>
      <w:r>
        <w:rPr>
          <w:rFonts w:ascii="Arial" w:hAnsi="Arial"/>
        </w:rPr>
        <w:t>收费与调价机制</w:t>
      </w:r>
    </w:p>
    <w:p w14:paraId="57334A1C">
      <w:pPr>
        <w:bidi w:val="0"/>
      </w:pPr>
      <w:r>
        <w:t>政府方应在特许经营期内，结合项目实际运营情况，适时开展原水和灌溉用水管理成本监审，综合考虑物价变动、供水管理成本变化、增产增效情况、高效节水发展、水资源稀缺程度以及用水户承受能力等，合理调整制定水价收费文件，原则上至少每</w:t>
      </w:r>
      <w:r>
        <w:rPr>
          <w:rFonts w:hint="eastAsia"/>
          <w:lang w:val="en-US" w:eastAsia="zh-CN"/>
        </w:rPr>
        <w:t>十</w:t>
      </w:r>
      <w:r>
        <w:t>年调整一次。</w:t>
      </w:r>
    </w:p>
    <w:p w14:paraId="409D6207">
      <w:pPr>
        <w:pStyle w:val="4"/>
        <w:numPr>
          <w:ilvl w:val="1"/>
          <w:numId w:val="4"/>
        </w:numPr>
        <w:bidi w:val="0"/>
        <w:ind w:left="575" w:leftChars="0" w:hanging="575" w:firstLineChars="0"/>
        <w:rPr>
          <w:rFonts w:ascii="Arial" w:hAnsi="Arial"/>
          <w:lang w:val="en-US" w:eastAsia="en-US"/>
        </w:rPr>
      </w:pPr>
      <w:bookmarkStart w:id="155" w:name="bookmark92"/>
      <w:bookmarkEnd w:id="155"/>
      <w:bookmarkStart w:id="156" w:name="_Toc1914"/>
      <w:r>
        <w:rPr>
          <w:rFonts w:ascii="Arial" w:hAnsi="Arial"/>
          <w:lang w:val="en-US" w:eastAsia="en-US"/>
        </w:rPr>
        <w:t>调整、变更等其他要求</w:t>
      </w:r>
      <w:bookmarkEnd w:id="156"/>
    </w:p>
    <w:p w14:paraId="506B63D5">
      <w:pPr>
        <w:pStyle w:val="5"/>
        <w:numPr>
          <w:ilvl w:val="2"/>
          <w:numId w:val="47"/>
        </w:numPr>
        <w:bidi w:val="0"/>
        <w:ind w:left="0" w:firstLine="402"/>
        <w:rPr>
          <w:rFonts w:ascii="Arial" w:hAnsi="Arial"/>
        </w:rPr>
      </w:pPr>
      <w:bookmarkStart w:id="157" w:name="bookmark93"/>
      <w:bookmarkEnd w:id="157"/>
      <w:r>
        <w:rPr>
          <w:rFonts w:ascii="Arial" w:hAnsi="Arial"/>
        </w:rPr>
        <w:t>履约保障</w:t>
      </w:r>
    </w:p>
    <w:p w14:paraId="2E73E9F9">
      <w:pPr>
        <w:bidi w:val="0"/>
      </w:pPr>
      <w:r>
        <w:t>特许经营者应及时足额提交履约保证金。如果特许经营者未</w:t>
      </w:r>
      <w:bookmarkStart w:id="158" w:name="bookmark164"/>
      <w:bookmarkEnd w:id="158"/>
      <w:r>
        <w:t>能履行特许经营协议中规定的义务，项目实施机构有权扣除履约保证金。</w:t>
      </w:r>
    </w:p>
    <w:p w14:paraId="617C53F8">
      <w:pPr>
        <w:bidi w:val="0"/>
        <w:rPr>
          <w:rFonts w:hint="eastAsia" w:eastAsia="仿宋"/>
          <w:lang w:eastAsia="zh-CN"/>
        </w:rPr>
      </w:pPr>
      <w:r>
        <w:t>履约保证金分为两种类型：运营维护履约保证金和移交履约保证金</w:t>
      </w:r>
      <w:r>
        <w:rPr>
          <w:rFonts w:hint="eastAsia"/>
          <w:lang w:eastAsia="zh-CN"/>
        </w:rPr>
        <w:t>。</w:t>
      </w:r>
    </w:p>
    <w:p w14:paraId="5F5C392B">
      <w:pPr>
        <w:pStyle w:val="6"/>
        <w:numPr>
          <w:ilvl w:val="3"/>
          <w:numId w:val="48"/>
        </w:numPr>
        <w:bidi w:val="0"/>
      </w:pPr>
      <w:r>
        <w:t>运营维护履约保证金</w:t>
      </w:r>
    </w:p>
    <w:p w14:paraId="79951B13">
      <w:pPr>
        <w:bidi w:val="0"/>
      </w:pPr>
      <w:r>
        <w:rPr>
          <w:lang w:val="en-US" w:eastAsia="en-US"/>
        </w:rPr>
        <w:t>特</w:t>
      </w:r>
      <w:r>
        <w:t>许经营者应于特许经营协议生效日起90个工作日内向实施机构提交本项目的运营维护履约保证金，保证金提交形式为保函（如银行保函、保证保险等）或现金（电汇、转账），金额为50万元，担保期自项目开始运营日至特许经营者提交移交履约保证金之日。</w:t>
      </w:r>
    </w:p>
    <w:p w14:paraId="3C6EA8B6">
      <w:pPr>
        <w:pStyle w:val="6"/>
        <w:numPr>
          <w:ilvl w:val="3"/>
          <w:numId w:val="48"/>
        </w:numPr>
        <w:bidi w:val="0"/>
      </w:pPr>
      <w:r>
        <w:t>移交履约保证金</w:t>
      </w:r>
    </w:p>
    <w:p w14:paraId="1B6FDEC6">
      <w:pPr>
        <w:bidi w:val="0"/>
      </w:pPr>
      <w:r>
        <w:t>特许经营者应于本项目移交日前1个月提交本项目的移交履约保证金，保证金提交形式为保函（如银行保函、保证保险等）或现金（电汇、转账），金额为50万元，担保期自项目移交日至项目移交日后12个月届满之日。</w:t>
      </w:r>
    </w:p>
    <w:p w14:paraId="671DB1A9">
      <w:pPr>
        <w:pStyle w:val="6"/>
        <w:numPr>
          <w:ilvl w:val="3"/>
          <w:numId w:val="48"/>
        </w:numPr>
        <w:bidi w:val="0"/>
      </w:pPr>
      <w:r>
        <w:t>保函的基本要求</w:t>
      </w:r>
    </w:p>
    <w:p w14:paraId="6773CDD2">
      <w:pPr>
        <w:bidi w:val="0"/>
      </w:pPr>
      <w:r>
        <w:t>采用保函的形式提交履约保证金，保函的格式应为不可撤销、见索即付的保函；且提交的时点、保函金额等应符合相关约定；保函受益人应为本项目实施机构；保函应由本项目实施机构认可的银行或其他金融机构开具。</w:t>
      </w:r>
    </w:p>
    <w:p w14:paraId="5E9D3C87">
      <w:pPr>
        <w:pStyle w:val="5"/>
        <w:numPr>
          <w:ilvl w:val="2"/>
          <w:numId w:val="47"/>
        </w:numPr>
        <w:bidi w:val="0"/>
        <w:ind w:left="0" w:firstLine="402"/>
        <w:rPr>
          <w:rFonts w:ascii="Arial" w:hAnsi="Arial"/>
        </w:rPr>
      </w:pPr>
      <w:bookmarkStart w:id="159" w:name="bookmark165"/>
      <w:bookmarkEnd w:id="159"/>
      <w:bookmarkStart w:id="160" w:name="bookmark94"/>
      <w:bookmarkEnd w:id="160"/>
      <w:r>
        <w:rPr>
          <w:rFonts w:ascii="Arial" w:hAnsi="Arial"/>
        </w:rPr>
        <w:t>转让与担保</w:t>
      </w:r>
    </w:p>
    <w:p w14:paraId="4AF8B822">
      <w:pPr>
        <w:bidi w:val="0"/>
      </w:pPr>
      <w:r>
        <w:t>特许经营期内，除为本项目融资以外，未经项目实施机构事先书面同意，特许经营者不得出让、转让、抵押、质押项目设施或任何其他重要资产。</w:t>
      </w:r>
    </w:p>
    <w:p w14:paraId="4D417FE2">
      <w:pPr>
        <w:bidi w:val="0"/>
      </w:pPr>
      <w:r>
        <w:t>特许经营期内，特许经营者为融资需要，可以将本项目的收益权进行质押，但这种质押只能用于本项目且融资期限最长不应超过本项目特许经营期限。</w:t>
      </w:r>
    </w:p>
    <w:p w14:paraId="61510A20">
      <w:pPr>
        <w:pStyle w:val="5"/>
        <w:numPr>
          <w:ilvl w:val="2"/>
          <w:numId w:val="47"/>
        </w:numPr>
        <w:bidi w:val="0"/>
        <w:ind w:left="0" w:firstLine="402"/>
        <w:rPr>
          <w:rFonts w:ascii="Arial" w:hAnsi="Arial"/>
        </w:rPr>
      </w:pPr>
      <w:bookmarkStart w:id="161" w:name="bookmark95"/>
      <w:bookmarkEnd w:id="161"/>
      <w:r>
        <w:rPr>
          <w:rFonts w:ascii="Arial" w:hAnsi="Arial"/>
        </w:rPr>
        <w:t>一般补偿</w:t>
      </w:r>
    </w:p>
    <w:p w14:paraId="585A569F">
      <w:pPr>
        <w:bidi w:val="0"/>
      </w:pPr>
      <w:r>
        <w:t>一般补偿事件主要包括：</w:t>
      </w:r>
    </w:p>
    <w:p w14:paraId="1C7F1DC8">
      <w:pPr>
        <w:bidi w:val="0"/>
      </w:pPr>
      <w:r>
        <w:t>（1）发生不可抗力事件，导致特许经营者运营成本增加或资本性支出增加；</w:t>
      </w:r>
    </w:p>
    <w:p w14:paraId="05CA6EAA">
      <w:pPr>
        <w:bidi w:val="0"/>
      </w:pPr>
      <w:r>
        <w:t>（2）由于项目实施机构或相关政府部门要求（本级人民政府以地方政府规章、本级人民政府主管部门规章及本级人民政府或本级人民政府主管部门颁布的其他强制性规范文件的形式提出的要求视为项目实施机构要求）或项目实施机构原因导致特许经营者建设成本或资本性支出增加；</w:t>
      </w:r>
    </w:p>
    <w:p w14:paraId="32FE8D3C">
      <w:pPr>
        <w:bidi w:val="0"/>
      </w:pPr>
      <w:r>
        <w:t>（3）运营期内，由于项目实施机构超出特许经营协议约定标准而提出的额外要求导致特许经营者运营成本或资本性支出增加；</w:t>
      </w:r>
    </w:p>
    <w:p w14:paraId="610E8C60">
      <w:pPr>
        <w:bidi w:val="0"/>
      </w:pPr>
      <w:r>
        <w:t>（4）运营期内，由于本级人民政府可控的且无上位法依据</w:t>
      </w:r>
      <w:bookmarkStart w:id="162" w:name="bookmark166"/>
      <w:bookmarkEnd w:id="162"/>
      <w:r>
        <w:t>的法律变更导致的运营维护服务标准变更，发生特许经营者运营成本或资本性支出的增加；</w:t>
      </w:r>
    </w:p>
    <w:p w14:paraId="5530F7AC">
      <w:pPr>
        <w:bidi w:val="0"/>
      </w:pPr>
      <w:r>
        <w:t>（5）在特许经营者无任何过错前提下，为了维护公共利益或公共安全，或项目实施机构因紧急事件采取临时接管措施暂代特许经营者运营和维护本项目设施，造成特许经营者的损失、支出或费用（不包含紧急事件本身而遭受的损失）；</w:t>
      </w:r>
    </w:p>
    <w:p w14:paraId="25239817">
      <w:pPr>
        <w:bidi w:val="0"/>
      </w:pPr>
      <w:r>
        <w:t>（6）特许经营协议约定的其他事项。</w:t>
      </w:r>
    </w:p>
    <w:p w14:paraId="42648A2A">
      <w:pPr>
        <w:bidi w:val="0"/>
      </w:pPr>
      <w:r>
        <w:t>可选择以下补偿形式中的一种或多种组合：一次性补偿（即货币形式补偿）或延长合作期限等方式。</w:t>
      </w:r>
    </w:p>
    <w:p w14:paraId="6A074403">
      <w:pPr>
        <w:bidi w:val="0"/>
      </w:pPr>
      <w:r>
        <w:t>如政府方和特许经营者另有约定，最终以双方协商确定的补偿方式为准。</w:t>
      </w:r>
    </w:p>
    <w:p w14:paraId="171975F3">
      <w:pPr>
        <w:pStyle w:val="5"/>
        <w:numPr>
          <w:ilvl w:val="2"/>
          <w:numId w:val="47"/>
        </w:numPr>
        <w:bidi w:val="0"/>
        <w:ind w:left="0" w:firstLine="402"/>
        <w:rPr>
          <w:rFonts w:ascii="Arial" w:hAnsi="Arial"/>
        </w:rPr>
      </w:pPr>
      <w:bookmarkStart w:id="163" w:name="bookmark96"/>
      <w:bookmarkEnd w:id="163"/>
      <w:r>
        <w:rPr>
          <w:rFonts w:ascii="Arial" w:hAnsi="Arial"/>
        </w:rPr>
        <w:t>临时接管</w:t>
      </w:r>
    </w:p>
    <w:p w14:paraId="5BD96FA3">
      <w:pPr>
        <w:bidi w:val="0"/>
      </w:pPr>
      <w:r>
        <w:t>特许经营期内，发生下述情况时，项目实施机构有权临时接管，暂代特许经营者建设和运营维护项目设施：</w:t>
      </w:r>
    </w:p>
    <w:p w14:paraId="28B601F3">
      <w:pPr>
        <w:bidi w:val="0"/>
      </w:pPr>
      <w:r>
        <w:t>（1）特许经营者严重违反特许经营协议，在项目实施机构书面要求的期限内，未能或无法纠正其违约行为，导致或可能导致若项目实施机构不采取临时接管的措施将危及公共利益、公共安全或项目设施正常运营。可能导致项目实施机构临时接管的情形包括但不限于：</w:t>
      </w:r>
    </w:p>
    <w:p w14:paraId="2D2249CB">
      <w:pPr>
        <w:bidi w:val="0"/>
      </w:pPr>
      <w:r>
        <w:t>a）擅自转让、出租、质押或其他方式处置授予本项目的权</w:t>
      </w:r>
      <w:bookmarkStart w:id="164" w:name="bookmark167"/>
      <w:bookmarkEnd w:id="164"/>
      <w:r>
        <w:t>利或擅自处置、抵押项目资产的；</w:t>
      </w:r>
    </w:p>
    <w:p w14:paraId="530D010D">
      <w:pPr>
        <w:bidi w:val="0"/>
      </w:pPr>
      <w:r>
        <w:t>b）擅自将项目设施进行转让、出租、抵押、质押、融资租赁或以任何方式进行处置的；</w:t>
      </w:r>
    </w:p>
    <w:p w14:paraId="2C61B3D6">
      <w:pPr>
        <w:bidi w:val="0"/>
      </w:pPr>
      <w:r>
        <w:t>c）擅自停止运营维护；</w:t>
      </w:r>
    </w:p>
    <w:p w14:paraId="24045D81">
      <w:pPr>
        <w:bidi w:val="0"/>
        <w:rPr>
          <w:rFonts w:hint="eastAsia" w:eastAsia="仿宋"/>
          <w:lang w:eastAsia="zh-CN"/>
        </w:rPr>
      </w:pPr>
      <w:r>
        <w:t>d）因管理不善，发生重大质量、生产安全事故的；</w:t>
      </w:r>
    </w:p>
    <w:p w14:paraId="03EDBE58">
      <w:pPr>
        <w:bidi w:val="0"/>
      </w:pPr>
      <w:r>
        <w:t>e）放弃建设；</w:t>
      </w:r>
    </w:p>
    <w:p w14:paraId="38E06462">
      <w:pPr>
        <w:bidi w:val="0"/>
      </w:pPr>
      <w:r>
        <w:t>f）被依法吊销、注销、关停、解散的。</w:t>
      </w:r>
    </w:p>
    <w:p w14:paraId="453540CB">
      <w:pPr>
        <w:bidi w:val="0"/>
      </w:pPr>
      <w:r>
        <w:t>（2）发生紧急事件或合理预期可能出现紧急事件（无论特许经营者是否已采取应急措施），导致或可能导致若项目实施机构不采取临时接管的措施，将危及公共利益、公共安全或项目设施正常运营。</w:t>
      </w:r>
    </w:p>
    <w:p w14:paraId="4BFD268A">
      <w:pPr>
        <w:bidi w:val="0"/>
      </w:pPr>
      <w:r>
        <w:t>项目实施机构实行临时接管并介入项目建设或运营维护后，特许经营者应与项目实施机构及其指定第三方合作，向其提供所有合理的协助</w:t>
      </w:r>
      <w:r>
        <w:rPr>
          <w:rFonts w:hint="eastAsia"/>
          <w:lang w:eastAsia="zh-CN"/>
        </w:rPr>
        <w:t>。</w:t>
      </w:r>
      <w:r>
        <w:t>项目实施机构实行临时接管将一直并仅应持续到特许经营者改正了或可以合理地被期望有能力改正导致临时接管的违约事件（以较早发生的时间为准）。</w:t>
      </w:r>
    </w:p>
    <w:p w14:paraId="0CE161D5">
      <w:pPr>
        <w:bidi w:val="0"/>
      </w:pPr>
      <w:r>
        <w:t>项目实施机构因紧急事件而导致的临时接管，将一直并仅应持续到紧急事件解除或特许经营者被认为已具备应对能力解除紧急事件为止</w:t>
      </w:r>
      <w:r>
        <w:rPr>
          <w:rFonts w:hint="eastAsia"/>
          <w:lang w:eastAsia="zh-CN"/>
        </w:rPr>
        <w:t>（</w:t>
      </w:r>
      <w:r>
        <w:t>以较早发生的时间为准）。</w:t>
      </w:r>
    </w:p>
    <w:p w14:paraId="71237E28">
      <w:pPr>
        <w:bidi w:val="0"/>
      </w:pPr>
      <w:r>
        <w:t>特许经营者拒不纠正其违约行为或纠正不利导致项目实施机构实行临时接管持续超过60日或项目实施机构与特许经营者同意延长的临时接管期限（以较长期限为准），项目实施机构有权提前终止特许经营协议</w:t>
      </w:r>
      <w:r>
        <w:rPr>
          <w:rFonts w:hint="eastAsia"/>
          <w:lang w:eastAsia="zh-CN"/>
        </w:rPr>
        <w:t>，</w:t>
      </w:r>
      <w:r>
        <w:t>收回授予特许经营者投资、建设、运营维护本项目的权利。</w:t>
      </w:r>
    </w:p>
    <w:p w14:paraId="07E95723">
      <w:pPr>
        <w:pStyle w:val="5"/>
        <w:numPr>
          <w:ilvl w:val="2"/>
          <w:numId w:val="47"/>
        </w:numPr>
        <w:bidi w:val="0"/>
        <w:ind w:left="0" w:firstLine="402"/>
        <w:rPr>
          <w:rFonts w:ascii="Arial" w:hAnsi="Arial"/>
        </w:rPr>
      </w:pPr>
      <w:bookmarkStart w:id="165" w:name="bookmark97"/>
      <w:bookmarkEnd w:id="165"/>
      <w:bookmarkStart w:id="166" w:name="bookmark168"/>
      <w:bookmarkEnd w:id="166"/>
      <w:r>
        <w:rPr>
          <w:rFonts w:ascii="Arial" w:hAnsi="Arial"/>
        </w:rPr>
        <w:t>提前终止</w:t>
      </w:r>
    </w:p>
    <w:p w14:paraId="1735006A">
      <w:pPr>
        <w:bidi w:val="0"/>
      </w:pPr>
      <w:r>
        <w:t>发生以下情况，特许经营协议可提前终止：</w:t>
      </w:r>
    </w:p>
    <w:p w14:paraId="335BEAFC">
      <w:pPr>
        <w:bidi w:val="0"/>
      </w:pPr>
      <w:r>
        <w:t>（1）特许经营者发生严重违约事件时，项目实施机构有权发出提前终止意向通知；</w:t>
      </w:r>
    </w:p>
    <w:p w14:paraId="4AEDECE7">
      <w:pPr>
        <w:bidi w:val="0"/>
      </w:pPr>
      <w:r>
        <w:t>（2）项目实施机构发生严重违约事件时，特许经营者有权发出提前终止意向通知；</w:t>
      </w:r>
    </w:p>
    <w:p w14:paraId="7C454778">
      <w:pPr>
        <w:bidi w:val="0"/>
      </w:pPr>
      <w:r>
        <w:t>（3）发生不可抗力、法律或宏观政策变更时，特许经营协议签订各方无法协商一致继续履行各自义务，一方有权向对方发出提前终止意向通知。</w:t>
      </w:r>
    </w:p>
    <w:p w14:paraId="10A7C753">
      <w:pPr>
        <w:bidi w:val="0"/>
      </w:pPr>
      <w:r>
        <w:t>特许经营协议提前终止，项目实施机构应按照特许经营协议的规定支付提前终止补偿金。</w:t>
      </w:r>
    </w:p>
    <w:p w14:paraId="3F1DB1C7">
      <w:pPr>
        <w:pStyle w:val="7"/>
        <w:ind w:left="0" w:leftChars="0" w:right="0" w:rightChars="0" w:firstLine="0" w:firstLineChars="0"/>
        <w:jc w:val="center"/>
        <w:rPr>
          <w:rFonts w:hint="eastAsia" w:eastAsia="宋体"/>
          <w:lang w:eastAsia="zh-CN"/>
        </w:rPr>
      </w:pPr>
      <w:r>
        <w:t>表</w:t>
      </w:r>
      <w:r>
        <w:fldChar w:fldCharType="begin"/>
      </w:r>
      <w:r>
        <w:instrText xml:space="preserve"> STYLEREF 2 \s </w:instrText>
      </w:r>
      <w:r>
        <w:fldChar w:fldCharType="separate"/>
      </w:r>
      <w:r>
        <w:t>十</w:t>
      </w:r>
      <w:r>
        <w:fldChar w:fldCharType="end"/>
      </w:r>
      <w:r>
        <w:rPr>
          <w:rFonts w:hint="eastAsia"/>
          <w:lang w:eastAsia="zh-CN"/>
        </w:rPr>
        <w:t>-</w:t>
      </w:r>
      <w:r>
        <w:fldChar w:fldCharType="begin"/>
      </w:r>
      <w:r>
        <w:instrText xml:space="preserve"> SEQ 表 \* ARABIC \s 2 </w:instrText>
      </w:r>
      <w:r>
        <w:fldChar w:fldCharType="separate"/>
      </w:r>
      <w:r>
        <w:t>1</w:t>
      </w:r>
      <w:r>
        <w:fldChar w:fldCharType="end"/>
      </w:r>
      <w:r>
        <w:rPr>
          <w:rFonts w:hint="eastAsia"/>
          <w:lang w:eastAsia="zh-CN"/>
        </w:rPr>
        <w:t>提前终止补偿金计算表</w:t>
      </w:r>
    </w:p>
    <w:tbl>
      <w:tblPr>
        <w:tblStyle w:val="26"/>
        <w:tblW w:w="90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5"/>
        <w:gridCol w:w="3220"/>
        <w:gridCol w:w="4969"/>
      </w:tblGrid>
      <w:tr w14:paraId="44DBF5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5" w:type="dxa"/>
            <w:vAlign w:val="center"/>
          </w:tcPr>
          <w:p w14:paraId="60CEC9EA">
            <w:pPr>
              <w:pStyle w:val="27"/>
              <w:keepNext w:val="0"/>
              <w:keepLines w:val="0"/>
              <w:pageBreakBefore w:val="0"/>
              <w:widowControl/>
              <w:kinsoku w:val="0"/>
              <w:wordWrap/>
              <w:overflowPunct/>
              <w:topLinePunct w:val="0"/>
              <w:autoSpaceDE w:val="0"/>
              <w:autoSpaceDN w:val="0"/>
              <w:bidi w:val="0"/>
              <w:adjustRightInd w:val="0"/>
              <w:snapToGrid w:val="0"/>
              <w:spacing w:before="16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11"/>
                <w:sz w:val="20"/>
                <w:szCs w:val="20"/>
              </w:rPr>
              <w:t>序号</w:t>
            </w:r>
          </w:p>
        </w:tc>
        <w:tc>
          <w:tcPr>
            <w:tcW w:w="3220" w:type="dxa"/>
            <w:vAlign w:val="center"/>
          </w:tcPr>
          <w:p w14:paraId="648AF1FD">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项目协议提前终止情形</w:t>
            </w:r>
          </w:p>
        </w:tc>
        <w:tc>
          <w:tcPr>
            <w:tcW w:w="4969" w:type="dxa"/>
            <w:vAlign w:val="center"/>
          </w:tcPr>
          <w:p w14:paraId="6AEB135E">
            <w:pPr>
              <w:pStyle w:val="27"/>
              <w:keepNext w:val="0"/>
              <w:keepLines w:val="0"/>
              <w:pageBreakBefore w:val="0"/>
              <w:widowControl/>
              <w:kinsoku w:val="0"/>
              <w:wordWrap/>
              <w:overflowPunct/>
              <w:topLinePunct w:val="0"/>
              <w:autoSpaceDE w:val="0"/>
              <w:autoSpaceDN w:val="0"/>
              <w:bidi w:val="0"/>
              <w:adjustRightInd w:val="0"/>
              <w:snapToGrid w:val="0"/>
              <w:spacing w:before="16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5"/>
                <w:sz w:val="20"/>
                <w:szCs w:val="20"/>
              </w:rPr>
              <w:t>终止补偿金</w:t>
            </w:r>
          </w:p>
        </w:tc>
      </w:tr>
      <w:tr w14:paraId="09D796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5" w:type="dxa"/>
            <w:vAlign w:val="center"/>
          </w:tcPr>
          <w:p w14:paraId="36ABE57F">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0"/>
                <w:szCs w:val="20"/>
              </w:rPr>
            </w:pPr>
          </w:p>
          <w:p w14:paraId="42AC7CF5">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1</w:t>
            </w:r>
          </w:p>
        </w:tc>
        <w:tc>
          <w:tcPr>
            <w:tcW w:w="3220" w:type="dxa"/>
            <w:vAlign w:val="center"/>
          </w:tcPr>
          <w:p w14:paraId="593B551C">
            <w:pPr>
              <w:pStyle w:val="27"/>
              <w:keepNext w:val="0"/>
              <w:keepLines w:val="0"/>
              <w:pageBreakBefore w:val="0"/>
              <w:widowControl/>
              <w:kinsoku w:val="0"/>
              <w:wordWrap/>
              <w:overflowPunct/>
              <w:topLinePunct w:val="0"/>
              <w:autoSpaceDE w:val="0"/>
              <w:autoSpaceDN w:val="0"/>
              <w:bidi w:val="0"/>
              <w:adjustRightInd w:val="0"/>
              <w:snapToGrid w:val="0"/>
              <w:spacing w:before="256"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实施机构发出的终止（特许经营者违约）</w:t>
            </w:r>
          </w:p>
        </w:tc>
        <w:tc>
          <w:tcPr>
            <w:tcW w:w="4969" w:type="dxa"/>
            <w:vAlign w:val="center"/>
          </w:tcPr>
          <w:p w14:paraId="716A2CE8">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1"/>
                <w:sz w:val="20"/>
                <w:szCs w:val="20"/>
              </w:rPr>
              <w:t>A-B+E</w:t>
            </w:r>
          </w:p>
        </w:tc>
      </w:tr>
      <w:tr w14:paraId="6A8061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5" w:type="dxa"/>
            <w:vAlign w:val="center"/>
          </w:tcPr>
          <w:p w14:paraId="4B16A798">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0"/>
                <w:szCs w:val="20"/>
              </w:rPr>
            </w:pPr>
          </w:p>
          <w:p w14:paraId="1D8FD3C0">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2</w:t>
            </w:r>
          </w:p>
        </w:tc>
        <w:tc>
          <w:tcPr>
            <w:tcW w:w="3220" w:type="dxa"/>
            <w:vAlign w:val="center"/>
          </w:tcPr>
          <w:p w14:paraId="477F153E">
            <w:pPr>
              <w:pStyle w:val="27"/>
              <w:keepNext w:val="0"/>
              <w:keepLines w:val="0"/>
              <w:pageBreakBefore w:val="0"/>
              <w:widowControl/>
              <w:kinsoku w:val="0"/>
              <w:wordWrap/>
              <w:overflowPunct/>
              <w:topLinePunct w:val="0"/>
              <w:autoSpaceDE w:val="0"/>
              <w:autoSpaceDN w:val="0"/>
              <w:bidi w:val="0"/>
              <w:adjustRightInd w:val="0"/>
              <w:snapToGrid w:val="0"/>
              <w:spacing w:before="14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特许经营者发出的终止</w:t>
            </w:r>
          </w:p>
          <w:p w14:paraId="79293D56">
            <w:pPr>
              <w:pStyle w:val="27"/>
              <w:keepNext w:val="0"/>
              <w:keepLines w:val="0"/>
              <w:pageBreakBefore w:val="0"/>
              <w:widowControl/>
              <w:kinsoku w:val="0"/>
              <w:wordWrap/>
              <w:overflowPunct/>
              <w:topLinePunct w:val="0"/>
              <w:autoSpaceDE w:val="0"/>
              <w:autoSpaceDN w:val="0"/>
              <w:bidi w:val="0"/>
              <w:adjustRightInd w:val="0"/>
              <w:snapToGrid w:val="0"/>
              <w:spacing w:before="2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（实施机构违约）</w:t>
            </w:r>
          </w:p>
        </w:tc>
        <w:tc>
          <w:tcPr>
            <w:tcW w:w="4969" w:type="dxa"/>
            <w:vAlign w:val="center"/>
          </w:tcPr>
          <w:p w14:paraId="4108ACC6">
            <w:pPr>
              <w:pStyle w:val="27"/>
              <w:keepNext w:val="0"/>
              <w:keepLines w:val="0"/>
              <w:pageBreakBefore w:val="0"/>
              <w:widowControl/>
              <w:kinsoku w:val="0"/>
              <w:wordWrap/>
              <w:overflowPunct/>
              <w:topLinePunct w:val="0"/>
              <w:autoSpaceDE w:val="0"/>
              <w:autoSpaceDN w:val="0"/>
              <w:bidi w:val="0"/>
              <w:adjustRightInd w:val="0"/>
              <w:snapToGrid w:val="0"/>
              <w:spacing w:before="30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运营期提前终止时，为A+B+E</w:t>
            </w:r>
          </w:p>
        </w:tc>
      </w:tr>
      <w:tr w14:paraId="6FC20E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5" w:type="dxa"/>
            <w:vAlign w:val="center"/>
          </w:tcPr>
          <w:p w14:paraId="50A8A7F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0"/>
                <w:szCs w:val="20"/>
              </w:rPr>
            </w:pPr>
          </w:p>
          <w:p w14:paraId="74D8A07E">
            <w:pPr>
              <w:keepNext w:val="0"/>
              <w:keepLines w:val="0"/>
              <w:pageBreakBefore w:val="0"/>
              <w:widowControl/>
              <w:kinsoku w:val="0"/>
              <w:wordWrap/>
              <w:overflowPunct/>
              <w:topLinePunct w:val="0"/>
              <w:autoSpaceDE w:val="0"/>
              <w:autoSpaceDN w:val="0"/>
              <w:bidi w:val="0"/>
              <w:adjustRightInd w:val="0"/>
              <w:snapToGrid w:val="0"/>
              <w:spacing w:before="6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3</w:t>
            </w:r>
          </w:p>
        </w:tc>
        <w:tc>
          <w:tcPr>
            <w:tcW w:w="3220" w:type="dxa"/>
            <w:vAlign w:val="center"/>
          </w:tcPr>
          <w:p w14:paraId="69AAF8DB">
            <w:pPr>
              <w:pStyle w:val="27"/>
              <w:keepNext w:val="0"/>
              <w:keepLines w:val="0"/>
              <w:pageBreakBefore w:val="0"/>
              <w:widowControl/>
              <w:kinsoku w:val="0"/>
              <w:wordWrap/>
              <w:overflowPunct/>
              <w:topLinePunct w:val="0"/>
              <w:autoSpaceDE w:val="0"/>
              <w:autoSpaceDN w:val="0"/>
              <w:bidi w:val="0"/>
              <w:adjustRightInd w:val="0"/>
              <w:snapToGrid w:val="0"/>
              <w:spacing w:before="7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法律或宏观政策变更</w:t>
            </w:r>
          </w:p>
        </w:tc>
        <w:tc>
          <w:tcPr>
            <w:tcW w:w="4969" w:type="dxa"/>
            <w:vAlign w:val="center"/>
          </w:tcPr>
          <w:p w14:paraId="311187B6">
            <w:pPr>
              <w:pStyle w:val="27"/>
              <w:keepNext w:val="0"/>
              <w:keepLines w:val="0"/>
              <w:pageBreakBefore w:val="0"/>
              <w:widowControl/>
              <w:kinsoku w:val="0"/>
              <w:wordWrap/>
              <w:overflowPunct/>
              <w:topLinePunct w:val="0"/>
              <w:autoSpaceDE w:val="0"/>
              <w:autoSpaceDN w:val="0"/>
              <w:bidi w:val="0"/>
              <w:adjustRightInd w:val="0"/>
              <w:snapToGrid w:val="0"/>
              <w:spacing w:before="78"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3"/>
                <w:sz w:val="20"/>
                <w:szCs w:val="20"/>
              </w:rPr>
              <w:t>为A+50%B+E</w:t>
            </w:r>
          </w:p>
        </w:tc>
      </w:tr>
      <w:tr w14:paraId="72A8B5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875" w:type="dxa"/>
            <w:vAlign w:val="center"/>
          </w:tcPr>
          <w:p w14:paraId="3446138B">
            <w:pPr>
              <w:keepNext w:val="0"/>
              <w:keepLines w:val="0"/>
              <w:pageBreakBefore w:val="0"/>
              <w:widowControl/>
              <w:kinsoku w:val="0"/>
              <w:wordWrap/>
              <w:overflowPunct/>
              <w:topLinePunct w:val="0"/>
              <w:autoSpaceDE w:val="0"/>
              <w:autoSpaceDN w:val="0"/>
              <w:bidi w:val="0"/>
              <w:adjustRightInd w:val="0"/>
              <w:snapToGrid w:val="0"/>
              <w:spacing w:before="84"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4</w:t>
            </w:r>
          </w:p>
        </w:tc>
        <w:tc>
          <w:tcPr>
            <w:tcW w:w="3220" w:type="dxa"/>
            <w:vAlign w:val="center"/>
          </w:tcPr>
          <w:p w14:paraId="1EC70EFA">
            <w:pPr>
              <w:pStyle w:val="27"/>
              <w:keepNext w:val="0"/>
              <w:keepLines w:val="0"/>
              <w:pageBreakBefore w:val="0"/>
              <w:widowControl/>
              <w:kinsoku w:val="0"/>
              <w:wordWrap/>
              <w:overflowPunct/>
              <w:topLinePunct w:val="0"/>
              <w:autoSpaceDE w:val="0"/>
              <w:autoSpaceDN w:val="0"/>
              <w:bidi w:val="0"/>
              <w:adjustRightInd w:val="0"/>
              <w:snapToGrid w:val="0"/>
              <w:spacing w:before="42"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不可抗力</w:t>
            </w:r>
          </w:p>
        </w:tc>
        <w:tc>
          <w:tcPr>
            <w:tcW w:w="4969" w:type="dxa"/>
            <w:vAlign w:val="center"/>
          </w:tcPr>
          <w:p w14:paraId="57E692FF">
            <w:pPr>
              <w:keepNext w:val="0"/>
              <w:keepLines w:val="0"/>
              <w:pageBreakBefore w:val="0"/>
              <w:widowControl/>
              <w:kinsoku w:val="0"/>
              <w:wordWrap/>
              <w:overflowPunct/>
              <w:topLinePunct w:val="0"/>
              <w:autoSpaceDE w:val="0"/>
              <w:autoSpaceDN w:val="0"/>
              <w:bidi w:val="0"/>
              <w:adjustRightInd w:val="0"/>
              <w:snapToGrid w:val="0"/>
              <w:spacing w:before="79"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2"/>
                <w:sz w:val="20"/>
                <w:szCs w:val="20"/>
              </w:rPr>
              <w:t>(A-C-D)/2</w:t>
            </w:r>
          </w:p>
        </w:tc>
      </w:tr>
      <w:tr w14:paraId="68AEB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9064" w:type="dxa"/>
            <w:gridSpan w:val="3"/>
            <w:vAlign w:val="center"/>
          </w:tcPr>
          <w:p w14:paraId="64CAE5E3">
            <w:pPr>
              <w:pStyle w:val="27"/>
              <w:spacing w:before="39" w:line="231" w:lineRule="auto"/>
              <w:ind w:left="280" w:leftChars="100" w:right="0" w:rightChars="0" w:firstLine="0" w:firstLineChars="0"/>
              <w:jc w:val="left"/>
              <w:rPr>
                <w:rFonts w:hint="eastAsia" w:ascii="宋体" w:hAnsi="宋体" w:eastAsia="宋体" w:cs="宋体"/>
                <w:spacing w:val="-2"/>
                <w:sz w:val="20"/>
                <w:szCs w:val="20"/>
              </w:rPr>
            </w:pPr>
            <w:r>
              <w:rPr>
                <w:rFonts w:hint="eastAsia" w:ascii="宋体" w:hAnsi="宋体" w:eastAsia="宋体" w:cs="宋体"/>
                <w:spacing w:val="-2"/>
                <w:sz w:val="20"/>
                <w:szCs w:val="20"/>
              </w:rPr>
              <w:t>A为剩余特许经营年限的特许经营权价值评估值。</w:t>
            </w:r>
          </w:p>
          <w:p w14:paraId="6347D94A">
            <w:pPr>
              <w:pStyle w:val="27"/>
              <w:spacing w:before="39" w:line="231" w:lineRule="auto"/>
              <w:ind w:left="280" w:leftChars="100" w:right="0" w:rightChars="0" w:firstLine="0" w:firstLineChars="0"/>
              <w:jc w:val="left"/>
              <w:rPr>
                <w:rFonts w:hint="eastAsia" w:ascii="宋体" w:hAnsi="宋体" w:eastAsia="宋体" w:cs="宋体"/>
                <w:sz w:val="20"/>
                <w:szCs w:val="20"/>
              </w:rPr>
            </w:pPr>
            <w:r>
              <w:rPr>
                <w:rFonts w:hint="eastAsia" w:ascii="宋体" w:hAnsi="宋体" w:eastAsia="宋体" w:cs="宋体"/>
                <w:spacing w:val="-4"/>
                <w:sz w:val="20"/>
                <w:szCs w:val="20"/>
              </w:rPr>
              <w:t>B为违约金金额，取值为500万元。</w:t>
            </w:r>
          </w:p>
          <w:p w14:paraId="328A6915">
            <w:pPr>
              <w:pStyle w:val="27"/>
              <w:spacing w:before="24" w:line="230" w:lineRule="auto"/>
              <w:ind w:left="280" w:leftChars="100" w:right="0" w:rightChars="0" w:firstLine="0" w:firstLineChars="0"/>
              <w:jc w:val="left"/>
              <w:rPr>
                <w:rFonts w:hint="eastAsia" w:ascii="宋体" w:hAnsi="宋体" w:eastAsia="宋体" w:cs="宋体"/>
                <w:sz w:val="20"/>
                <w:szCs w:val="20"/>
              </w:rPr>
            </w:pPr>
            <w:r>
              <w:rPr>
                <w:rFonts w:hint="eastAsia" w:ascii="宋体" w:hAnsi="宋体" w:eastAsia="宋体" w:cs="宋体"/>
                <w:spacing w:val="-1"/>
                <w:sz w:val="20"/>
                <w:szCs w:val="20"/>
              </w:rPr>
              <w:t>C为发生不可抗力情形时，根据本协议及相关保险协议约</w:t>
            </w:r>
            <w:r>
              <w:rPr>
                <w:rFonts w:hint="eastAsia" w:ascii="宋体" w:hAnsi="宋体" w:eastAsia="宋体" w:cs="宋体"/>
                <w:spacing w:val="-2"/>
                <w:sz w:val="20"/>
                <w:szCs w:val="20"/>
              </w:rPr>
              <w:t>定，特许经营者实际获得的</w:t>
            </w:r>
            <w:r>
              <w:rPr>
                <w:rFonts w:hint="eastAsia" w:ascii="宋体" w:hAnsi="宋体" w:eastAsia="宋体" w:cs="宋体"/>
                <w:spacing w:val="-4"/>
                <w:sz w:val="20"/>
                <w:szCs w:val="20"/>
              </w:rPr>
              <w:t>保险赔款；</w:t>
            </w:r>
          </w:p>
          <w:p w14:paraId="7064AB21">
            <w:pPr>
              <w:pStyle w:val="27"/>
              <w:spacing w:before="25" w:line="230" w:lineRule="auto"/>
              <w:ind w:left="280" w:leftChars="100" w:right="0" w:rightChars="0" w:firstLine="0" w:firstLineChars="0"/>
              <w:jc w:val="left"/>
              <w:rPr>
                <w:rFonts w:hint="eastAsia" w:ascii="宋体" w:hAnsi="宋体" w:eastAsia="宋体" w:cs="宋体"/>
                <w:sz w:val="20"/>
                <w:szCs w:val="20"/>
              </w:rPr>
            </w:pPr>
            <w:r>
              <w:rPr>
                <w:rFonts w:hint="eastAsia" w:ascii="宋体" w:hAnsi="宋体" w:eastAsia="宋体" w:cs="宋体"/>
                <w:spacing w:val="-2"/>
                <w:sz w:val="20"/>
                <w:szCs w:val="20"/>
              </w:rPr>
              <w:t>D为发生不可抗力情形时，因特许经营者投保不足，导致所获保险赔款无法使项目设</w:t>
            </w:r>
            <w:r>
              <w:rPr>
                <w:rFonts w:hint="eastAsia" w:ascii="宋体" w:hAnsi="宋体" w:eastAsia="宋体" w:cs="宋体"/>
                <w:spacing w:val="-1"/>
                <w:sz w:val="20"/>
                <w:szCs w:val="20"/>
              </w:rPr>
              <w:t>施恢复到出险前的正常状态和价值的恢复性费用缺额部分（如有</w:t>
            </w:r>
            <w:r>
              <w:rPr>
                <w:rFonts w:hint="eastAsia" w:ascii="宋体" w:hAnsi="宋体" w:eastAsia="宋体" w:cs="宋体"/>
                <w:spacing w:val="5"/>
                <w:sz w:val="20"/>
                <w:szCs w:val="20"/>
              </w:rPr>
              <w:t>）；</w:t>
            </w:r>
          </w:p>
          <w:p w14:paraId="72E9C0BC">
            <w:pPr>
              <w:pStyle w:val="27"/>
              <w:spacing w:before="26" w:line="230" w:lineRule="auto"/>
              <w:ind w:left="280" w:leftChars="100" w:right="0" w:rightChars="0" w:firstLine="0" w:firstLineChars="0"/>
              <w:jc w:val="left"/>
              <w:rPr>
                <w:rFonts w:hint="eastAsia" w:ascii="宋体" w:hAnsi="宋体" w:eastAsia="宋体" w:cs="宋体"/>
                <w:sz w:val="20"/>
                <w:szCs w:val="20"/>
              </w:rPr>
            </w:pPr>
            <w:r>
              <w:rPr>
                <w:rFonts w:hint="eastAsia" w:ascii="宋体" w:hAnsi="宋体" w:eastAsia="宋体" w:cs="宋体"/>
                <w:spacing w:val="-1"/>
                <w:sz w:val="20"/>
                <w:szCs w:val="20"/>
              </w:rPr>
              <w:t>E为终止后根据本协议的约定，特许经营者应向实施机构或政府指定的其他机构移交运维所需工器具、备品配件的合理评估值。</w:t>
            </w:r>
          </w:p>
          <w:p w14:paraId="35C7B32F">
            <w:pPr>
              <w:pStyle w:val="27"/>
              <w:spacing w:before="26" w:line="223" w:lineRule="auto"/>
              <w:ind w:left="280" w:leftChars="100" w:right="0" w:rightChars="0" w:firstLine="0" w:firstLineChars="0"/>
              <w:jc w:val="left"/>
              <w:rPr>
                <w:rFonts w:hint="eastAsia" w:ascii="宋体" w:hAnsi="宋体" w:eastAsia="宋体" w:cs="宋体"/>
                <w:sz w:val="20"/>
                <w:szCs w:val="20"/>
              </w:rPr>
            </w:pPr>
            <w:r>
              <w:rPr>
                <w:rFonts w:hint="eastAsia" w:ascii="宋体" w:hAnsi="宋体" w:eastAsia="宋体" w:cs="宋体"/>
                <w:sz w:val="20"/>
                <w:szCs w:val="20"/>
              </w:rPr>
              <w:t>若属实施机构发出的终止情形，即“A-B+E”</w:t>
            </w:r>
            <w:r>
              <w:rPr>
                <w:rFonts w:hint="eastAsia" w:ascii="宋体" w:hAnsi="宋体" w:eastAsia="宋体" w:cs="宋体"/>
                <w:spacing w:val="-1"/>
                <w:sz w:val="20"/>
                <w:szCs w:val="20"/>
              </w:rPr>
              <w:t>的值为负数；或者不可抗力情形下补偿金计算为负值的</w:t>
            </w:r>
            <w:r>
              <w:rPr>
                <w:rFonts w:hint="eastAsia" w:ascii="宋体" w:hAnsi="宋体" w:eastAsia="宋体" w:cs="宋体"/>
                <w:spacing w:val="-1"/>
                <w:sz w:val="20"/>
                <w:szCs w:val="20"/>
                <w:lang w:eastAsia="zh-CN"/>
              </w:rPr>
              <w:t>，</w:t>
            </w:r>
            <w:r>
              <w:rPr>
                <w:rFonts w:hint="eastAsia" w:ascii="宋体" w:hAnsi="宋体" w:eastAsia="宋体" w:cs="宋体"/>
                <w:spacing w:val="-1"/>
                <w:sz w:val="20"/>
                <w:szCs w:val="20"/>
              </w:rPr>
              <w:t>则特许经营者应向实施机构支付本条所述负数的绝对值。</w:t>
            </w:r>
          </w:p>
        </w:tc>
      </w:tr>
    </w:tbl>
    <w:p w14:paraId="59E59ECD">
      <w:pPr>
        <w:bidi w:val="0"/>
      </w:pPr>
      <w:bookmarkStart w:id="167" w:name="bookmark169"/>
      <w:bookmarkEnd w:id="167"/>
      <w:r>
        <w:t>终止补偿的每一构成的计算必须经实施机构或其指定机构和特许经营者接受的一家会计师事务所验证。双方应在发出提前终止通知后30日内共同确定该会计师事务所。如政府方和特许经营者另有约定，最终以双方协商确定的终止补偿金计算办法为准。</w:t>
      </w:r>
    </w:p>
    <w:p w14:paraId="7E8EB5FA">
      <w:pPr>
        <w:bidi w:val="0"/>
      </w:pPr>
      <w:r>
        <w:t>特许经营期提前终止，特许经营者应将项目设施按照提前终止时的状态全部移交给项目实施机构或其指定机构。在移交期间或新的特许经营者接管项目设施之前，特许经营者应按照项目实施机构的委托继续提供运营维护服务。</w:t>
      </w:r>
    </w:p>
    <w:p w14:paraId="40A06DB8">
      <w:pPr>
        <w:pStyle w:val="5"/>
        <w:numPr>
          <w:ilvl w:val="2"/>
          <w:numId w:val="47"/>
        </w:numPr>
        <w:bidi w:val="0"/>
        <w:ind w:left="0" w:firstLine="402"/>
        <w:rPr>
          <w:rFonts w:ascii="Arial" w:hAnsi="Arial"/>
        </w:rPr>
      </w:pPr>
      <w:bookmarkStart w:id="168" w:name="bookmark98"/>
      <w:bookmarkEnd w:id="168"/>
      <w:r>
        <w:rPr>
          <w:rFonts w:ascii="Arial" w:hAnsi="Arial"/>
        </w:rPr>
        <w:t>保险</w:t>
      </w:r>
    </w:p>
    <w:p w14:paraId="139EDAF2">
      <w:pPr>
        <w:bidi w:val="0"/>
      </w:pPr>
      <w:r>
        <w:t>项目运营中可能遇到不可预期或不可控制的风险，特许经营者应根据适用法律和谨慎运营惯例，自行或要求其承包商</w:t>
      </w:r>
      <w:r>
        <w:rPr>
          <w:rFonts w:hint="eastAsia"/>
          <w:lang w:eastAsia="zh-CN"/>
        </w:rPr>
        <w:t>、</w:t>
      </w:r>
      <w:r>
        <w:t>供应商购买和维持适用法律所要求的保险。</w:t>
      </w:r>
    </w:p>
    <w:p w14:paraId="4AC477E3">
      <w:pPr>
        <w:bidi w:val="0"/>
        <w:rPr>
          <w:rFonts w:hint="eastAsia"/>
          <w:lang w:eastAsia="zh-CN"/>
        </w:rPr>
      </w:pPr>
      <w:r>
        <w:t>运营期内应投保的险种包括财产一切险、第三者责任险及适用法律规定的其他险种，相关投保费用由特许经营者承担</w:t>
      </w:r>
      <w:r>
        <w:rPr>
          <w:rFonts w:hint="eastAsia"/>
          <w:lang w:eastAsia="zh-CN"/>
        </w:rPr>
        <w:t>。</w:t>
      </w:r>
    </w:p>
    <w:p w14:paraId="193DEF8D">
      <w:pPr>
        <w:bidi w:val="0"/>
      </w:pPr>
      <w:bookmarkStart w:id="169" w:name="bookmark170"/>
      <w:bookmarkEnd w:id="169"/>
      <w:r>
        <w:t>如果特许经营者未按特许经营协议的规定投保或未向项目实施机构提供保险单、保险费付款凭据、续保证明及保险批单凭据等证明材料，则项目实施机构应有权购买这类保险，费用由特许经营者承担，否则项目实施机构有权从履约保证金中扣除相应金额。</w:t>
      </w:r>
    </w:p>
    <w:p w14:paraId="635FB14A">
      <w:pPr>
        <w:pStyle w:val="5"/>
        <w:numPr>
          <w:ilvl w:val="2"/>
          <w:numId w:val="47"/>
        </w:numPr>
        <w:bidi w:val="0"/>
        <w:ind w:left="0" w:firstLine="402"/>
        <w:rPr>
          <w:rFonts w:ascii="Arial" w:hAnsi="Arial"/>
        </w:rPr>
      </w:pPr>
      <w:bookmarkStart w:id="170" w:name="bookmark99"/>
      <w:bookmarkEnd w:id="170"/>
      <w:r>
        <w:rPr>
          <w:rFonts w:ascii="Arial" w:hAnsi="Arial"/>
        </w:rPr>
        <w:t>不可抗力</w:t>
      </w:r>
    </w:p>
    <w:p w14:paraId="38465039">
      <w:pPr>
        <w:bidi w:val="0"/>
      </w:pPr>
      <w:r>
        <w:t>不可抗力事件指完全地或部分地阻碍了或不可避免地延误了任何一方履行其在特许经营协议下的义务的任何事件、状态或情况或各种事件、状态或情况的组合，但以受影响方的直接或间接的合理控制范围之外的，而且受影响方在签订特许经营协议时不能合理预见、作出合理努力也无法避免的事件、状态和情况为限。</w:t>
      </w:r>
    </w:p>
    <w:p w14:paraId="0304459F">
      <w:pPr>
        <w:bidi w:val="0"/>
      </w:pPr>
      <w:r>
        <w:t>发生的不可抗力事件全部地或部分地阻碍一方履行其在本合同的义务时，可在不可抗力事件影响的范围内，经项目实施机构与特许经营者协商一致，全部或部分免除该方相应义务。发生不可抗力事件后，项目实施机构与特许经营者应本着诚信平等的原则，立即就此等不可抗力事件进行协商。</w:t>
      </w:r>
    </w:p>
    <w:p w14:paraId="32E1FD2C">
      <w:pPr>
        <w:bidi w:val="0"/>
      </w:pPr>
      <w:r>
        <w:t>除特许经营协议或项目实施机构与特许经营者另有约定外，发生不可抗力事件时，项目实施机构与特许经营者应各自承担不可抗力事件对其造成的损失。</w:t>
      </w:r>
    </w:p>
    <w:p w14:paraId="1096B83B">
      <w:pPr>
        <w:pStyle w:val="5"/>
        <w:numPr>
          <w:ilvl w:val="2"/>
          <w:numId w:val="47"/>
        </w:numPr>
        <w:bidi w:val="0"/>
        <w:ind w:left="0" w:firstLine="402"/>
        <w:rPr>
          <w:rFonts w:ascii="Arial" w:hAnsi="Arial"/>
        </w:rPr>
      </w:pPr>
      <w:bookmarkStart w:id="171" w:name="bookmark171"/>
      <w:bookmarkEnd w:id="171"/>
      <w:bookmarkStart w:id="172" w:name="bookmark100"/>
      <w:bookmarkEnd w:id="172"/>
      <w:r>
        <w:rPr>
          <w:rFonts w:ascii="Arial" w:hAnsi="Arial"/>
        </w:rPr>
        <w:t>争议解决</w:t>
      </w:r>
    </w:p>
    <w:p w14:paraId="6B041DE7">
      <w:pPr>
        <w:bidi w:val="0"/>
      </w:pPr>
      <w:r>
        <w:t>特许经营协议执行过程中若出现争议，应尽力通过协商友好解决。若协商不成的，可向项目所在地人民法院提起诉讼。</w:t>
      </w:r>
    </w:p>
    <w:p w14:paraId="2C54456B">
      <w:pPr>
        <w:pStyle w:val="5"/>
        <w:numPr>
          <w:ilvl w:val="2"/>
          <w:numId w:val="47"/>
        </w:numPr>
        <w:bidi w:val="0"/>
        <w:ind w:left="0" w:firstLine="402"/>
        <w:rPr>
          <w:rFonts w:ascii="Arial" w:hAnsi="Arial"/>
        </w:rPr>
      </w:pPr>
      <w:bookmarkStart w:id="173" w:name="bookmark101"/>
      <w:bookmarkEnd w:id="173"/>
      <w:r>
        <w:rPr>
          <w:rFonts w:ascii="Arial" w:hAnsi="Arial"/>
        </w:rPr>
        <w:t>协议修订</w:t>
      </w:r>
    </w:p>
    <w:p w14:paraId="34D1105F">
      <w:pPr>
        <w:bidi w:val="0"/>
      </w:pPr>
      <w:r>
        <w:t>特许经营期内，项目实施机构和特许经营者应在公平合理、友好协商的基础上，解决特许经营协议实际执行中遇到的问题。</w:t>
      </w:r>
    </w:p>
    <w:p w14:paraId="5C9255C2">
      <w:pPr>
        <w:bidi w:val="0"/>
      </w:pPr>
      <w:r>
        <w:t>特许经营期内，经项目实施机构与特许经营者协商一致，报</w:t>
      </w:r>
      <w:r>
        <w:rPr>
          <w:rFonts w:hint="eastAsia"/>
          <w:lang w:eastAsia="zh-CN"/>
        </w:rPr>
        <w:t>区政府</w:t>
      </w:r>
      <w:r>
        <w:t>同意后，特许经营协议可以作出修改、补充或变更。</w:t>
      </w:r>
    </w:p>
    <w:p w14:paraId="53AE9A08">
      <w:pPr>
        <w:bidi w:val="0"/>
        <w:sectPr>
          <w:headerReference r:id="rId14" w:type="default"/>
          <w:footerReference r:id="rId15" w:type="default"/>
          <w:pgSz w:w="11906" w:h="16839"/>
          <w:pgMar w:top="1440" w:right="1800" w:bottom="1440" w:left="1800" w:header="862" w:footer="1690" w:gutter="0"/>
          <w:pgNumType w:fmt="decimal"/>
          <w:cols w:space="720" w:num="1"/>
        </w:sectPr>
      </w:pPr>
    </w:p>
    <w:p w14:paraId="18CE0DE3">
      <w:pPr>
        <w:pStyle w:val="8"/>
        <w:spacing w:line="253" w:lineRule="auto"/>
        <w:ind w:left="0" w:leftChars="0" w:firstLine="0" w:firstLineChars="0"/>
      </w:pPr>
    </w:p>
    <w:p w14:paraId="377F6284">
      <w:pPr>
        <w:pStyle w:val="3"/>
        <w:numPr>
          <w:ilvl w:val="0"/>
          <w:numId w:val="4"/>
        </w:numPr>
        <w:tabs>
          <w:tab w:val="left" w:pos="0"/>
        </w:tabs>
        <w:bidi w:val="0"/>
        <w:ind w:left="0" w:leftChars="0" w:right="0" w:rightChars="0" w:firstLine="0" w:firstLineChars="0"/>
        <w:jc w:val="center"/>
        <w:rPr>
          <w:rFonts w:hint="eastAsia" w:ascii="Arial" w:hAnsi="Arial"/>
          <w:lang w:val="en-US" w:eastAsia="zh-CN"/>
        </w:rPr>
      </w:pPr>
      <w:bookmarkStart w:id="174" w:name="_Toc21072"/>
      <w:r>
        <w:rPr>
          <w:rFonts w:hint="eastAsia" w:ascii="Arial" w:hAnsi="Arial"/>
          <w:lang w:val="en-US" w:eastAsia="zh-CN"/>
        </w:rPr>
        <w:t>结论和建议</w:t>
      </w:r>
      <w:bookmarkEnd w:id="174"/>
    </w:p>
    <w:p w14:paraId="6E398B18">
      <w:pPr>
        <w:rPr>
          <w:rFonts w:hint="eastAsia"/>
          <w:lang w:val="en-US" w:eastAsia="zh-CN"/>
        </w:rPr>
      </w:pPr>
    </w:p>
    <w:p w14:paraId="610DB813">
      <w:pPr>
        <w:pStyle w:val="4"/>
        <w:numPr>
          <w:ilvl w:val="1"/>
          <w:numId w:val="4"/>
        </w:numPr>
        <w:bidi w:val="0"/>
        <w:ind w:left="575" w:leftChars="0" w:hanging="575" w:firstLineChars="0"/>
        <w:rPr>
          <w:rFonts w:ascii="Arial" w:hAnsi="Arial"/>
          <w:lang w:val="en-US" w:eastAsia="en-US"/>
        </w:rPr>
      </w:pPr>
      <w:bookmarkStart w:id="175" w:name="bookmark103"/>
      <w:bookmarkEnd w:id="175"/>
      <w:bookmarkStart w:id="176" w:name="_Toc27995"/>
      <w:r>
        <w:rPr>
          <w:rFonts w:ascii="Arial" w:hAnsi="Arial"/>
          <w:lang w:val="en-US" w:eastAsia="en-US"/>
        </w:rPr>
        <w:t>主要研究结论</w:t>
      </w:r>
      <w:bookmarkEnd w:id="176"/>
    </w:p>
    <w:p w14:paraId="38309798">
      <w:pPr>
        <w:bidi w:val="0"/>
        <w:rPr>
          <w:rFonts w:hint="eastAsia" w:eastAsia="仿宋"/>
          <w:lang w:eastAsia="zh-CN"/>
        </w:rPr>
      </w:pPr>
      <w:r>
        <w:t>本项目的实施将有效提高</w:t>
      </w:r>
      <w:r>
        <w:rPr>
          <w:rFonts w:hint="eastAsia"/>
          <w:lang w:eastAsia="zh-CN"/>
        </w:rPr>
        <w:t>安居区麻子滩等13座水库</w:t>
      </w:r>
      <w:r>
        <w:t>的经营效率和服务水平，项目通过科学合理的收费渠道与方式，确保运营成本的全面覆盖并实现稳定的经济回报。此外，项目的实施对于保护水库资源</w:t>
      </w:r>
      <w:r>
        <w:rPr>
          <w:rFonts w:hint="eastAsia"/>
          <w:lang w:eastAsia="zh-CN"/>
        </w:rPr>
        <w:t>，</w:t>
      </w:r>
      <w:r>
        <w:t>进一步平衡</w:t>
      </w:r>
      <w:r>
        <w:rPr>
          <w:rFonts w:hint="eastAsia"/>
          <w:lang w:eastAsia="zh-CN"/>
        </w:rPr>
        <w:t>安居区</w:t>
      </w:r>
      <w:r>
        <w:t>社会经济发展的水资源需求，具有显著的社会效益</w:t>
      </w:r>
      <w:r>
        <w:rPr>
          <w:rFonts w:hint="eastAsia"/>
          <w:lang w:eastAsia="zh-CN"/>
        </w:rPr>
        <w:t>。</w:t>
      </w:r>
    </w:p>
    <w:p w14:paraId="1378640F">
      <w:pPr>
        <w:bidi w:val="0"/>
      </w:pPr>
      <w:r>
        <w:t>特许经营模式方面，能够充分发挥政府宏观调控与社会资本市场运作的协同效应，实现资源的最优配置。通过特许经营方式，政府得以引入具备专业能力和高效运营经验的社会资本参与项目、运营管理</w:t>
      </w:r>
      <w:r>
        <w:rPr>
          <w:rFonts w:hint="eastAsia"/>
          <w:lang w:eastAsia="zh-CN"/>
        </w:rPr>
        <w:t>，</w:t>
      </w:r>
      <w:r>
        <w:t>有效提升了项目的整体运营效率与服务质量，同时，社会资本通过参与特许经营项目，获得了长期稳定的收益来源与发展空间，进一步激发了市场活力与创新动力。这种政府与社会资本合作共赢的模式，不仅有助于减轻政府财政负担，还能够推动水利产业的创新升级与产业结构的优化调整。</w:t>
      </w:r>
    </w:p>
    <w:p w14:paraId="58BF79F8">
      <w:pPr>
        <w:bidi w:val="0"/>
      </w:pPr>
      <w:r>
        <w:t>特许经营的主要内容经过合理的设计与安排，确保了项目合法合规与有效实施，通过明确特许经营者的权利与义务、建立科学的收益分配与风险控制机制等措施，为特许经营模式的顺利实施提供了有力保障。</w:t>
      </w:r>
    </w:p>
    <w:p w14:paraId="1E193E53">
      <w:pPr>
        <w:bidi w:val="0"/>
      </w:pPr>
      <w:r>
        <w:t>综上所述，本项目在技术上成熟可行、经济上合理有效、社会效益显著突出，采用特许经营模式亦具备可行性与可操作性。</w:t>
      </w:r>
    </w:p>
    <w:p w14:paraId="7C2AB373">
      <w:pPr>
        <w:bidi w:val="0"/>
      </w:pPr>
      <w:r>
        <w:t>在政府和社会资本的共同努力下，本项目将实现长期稳定运行与可持续发展，为水利事业作出积极贡献。</w:t>
      </w:r>
    </w:p>
    <w:p w14:paraId="036EF7D7">
      <w:pPr>
        <w:pStyle w:val="4"/>
        <w:numPr>
          <w:ilvl w:val="1"/>
          <w:numId w:val="4"/>
        </w:numPr>
        <w:bidi w:val="0"/>
        <w:ind w:left="575" w:leftChars="0" w:hanging="575" w:firstLineChars="0"/>
        <w:rPr>
          <w:rFonts w:ascii="Arial" w:hAnsi="Arial"/>
          <w:lang w:val="en-US" w:eastAsia="en-US"/>
        </w:rPr>
      </w:pPr>
      <w:bookmarkStart w:id="177" w:name="bookmark104"/>
      <w:bookmarkEnd w:id="177"/>
      <w:bookmarkStart w:id="178" w:name="_Toc5570"/>
      <w:r>
        <w:rPr>
          <w:rFonts w:ascii="Arial" w:hAnsi="Arial"/>
          <w:lang w:val="en-US" w:eastAsia="en-US"/>
        </w:rPr>
        <w:t>问题与建议</w:t>
      </w:r>
      <w:bookmarkEnd w:id="178"/>
    </w:p>
    <w:p w14:paraId="0AB28FF0">
      <w:pPr>
        <w:pStyle w:val="5"/>
        <w:numPr>
          <w:ilvl w:val="2"/>
          <w:numId w:val="49"/>
        </w:numPr>
        <w:bidi w:val="0"/>
        <w:ind w:left="0" w:firstLine="402"/>
        <w:rPr>
          <w:rFonts w:ascii="Arial" w:hAnsi="Arial"/>
        </w:rPr>
      </w:pPr>
      <w:bookmarkStart w:id="179" w:name="bookmark105"/>
      <w:bookmarkEnd w:id="179"/>
      <w:r>
        <w:rPr>
          <w:rFonts w:ascii="Arial" w:hAnsi="Arial"/>
        </w:rPr>
        <w:t>强化组织领导，确保项目有序进行</w:t>
      </w:r>
    </w:p>
    <w:p w14:paraId="2994CF84">
      <w:pPr>
        <w:bidi w:val="0"/>
      </w:pPr>
      <w:r>
        <w:t>建议成立由政府相关部门领导组成的项目工作领导小组，全面负责项目的组织指挥、统筹协调及督促检查等核心工作。领导小组应定期召开会议，研究解决项目实施中的重大问题，确保项目有序推进。</w:t>
      </w:r>
    </w:p>
    <w:p w14:paraId="0372EFC8">
      <w:pPr>
        <w:pStyle w:val="5"/>
        <w:numPr>
          <w:ilvl w:val="2"/>
          <w:numId w:val="49"/>
        </w:numPr>
        <w:bidi w:val="0"/>
        <w:ind w:left="0" w:firstLine="402"/>
        <w:rPr>
          <w:rFonts w:ascii="Arial" w:hAnsi="Arial"/>
        </w:rPr>
      </w:pPr>
      <w:bookmarkStart w:id="180" w:name="bookmark106"/>
      <w:bookmarkEnd w:id="180"/>
      <w:r>
        <w:rPr>
          <w:rFonts w:ascii="Arial" w:hAnsi="Arial"/>
        </w:rPr>
        <w:t>完善工作机制，提升项目管理水平</w:t>
      </w:r>
    </w:p>
    <w:p w14:paraId="74D62716">
      <w:pPr>
        <w:bidi w:val="0"/>
        <w:rPr>
          <w:rFonts w:ascii="仿宋" w:hAnsi="仿宋" w:eastAsia="仿宋" w:cs="仿宋"/>
          <w:szCs w:val="31"/>
        </w:rPr>
      </w:pPr>
      <w:r>
        <w:t>建立健全项目情况通报制度，要求领导小组各成员单位每半月向领导小组办公室报送工作进展，确保信息畅通、及时共享。同时</w:t>
      </w:r>
      <w:r>
        <w:rPr>
          <w:rFonts w:hint="eastAsia"/>
          <w:lang w:eastAsia="zh-CN"/>
        </w:rPr>
        <w:t>，</w:t>
      </w:r>
      <w:r>
        <w:t>建立定期或不定期的工作例会制度，深入分析项目推进中的难点问题，提出针对性强的应对措施，确保问题得到及时解决。此外，建立工作联动反应机制，对项目实施过程中出现的突发问题，确保相关责任部门全力配合、协同处理。</w:t>
      </w:r>
    </w:p>
    <w:p w14:paraId="0EB3D1A6">
      <w:pPr>
        <w:pStyle w:val="5"/>
        <w:numPr>
          <w:ilvl w:val="2"/>
          <w:numId w:val="49"/>
        </w:numPr>
        <w:bidi w:val="0"/>
        <w:ind w:left="0" w:firstLine="402"/>
        <w:rPr>
          <w:rFonts w:ascii="Arial" w:hAnsi="Arial"/>
        </w:rPr>
      </w:pPr>
      <w:bookmarkStart w:id="181" w:name="bookmark107"/>
      <w:bookmarkEnd w:id="181"/>
      <w:r>
        <w:rPr>
          <w:rFonts w:ascii="Arial" w:hAnsi="Arial"/>
        </w:rPr>
        <w:t>明确责任分工，加强考核激励</w:t>
      </w:r>
    </w:p>
    <w:p w14:paraId="4129291F">
      <w:pPr>
        <w:bidi w:val="0"/>
      </w:pPr>
      <w:r>
        <w:t>加强对项目工作的领导，明确各职能部门和责任人的具体职责</w:t>
      </w:r>
      <w:r>
        <w:rPr>
          <w:rFonts w:hint="eastAsia"/>
          <w:lang w:eastAsia="zh-CN"/>
        </w:rPr>
        <w:t>，</w:t>
      </w:r>
      <w:r>
        <w:t>确保各项任务落到实处。同时，建立科学的责任制和考核奖励办法</w:t>
      </w:r>
      <w:r>
        <w:rPr>
          <w:rFonts w:hint="eastAsia"/>
          <w:lang w:eastAsia="zh-CN"/>
        </w:rPr>
        <w:t>，</w:t>
      </w:r>
      <w:r>
        <w:t>将项目工作纳入重点目标考核管理，通过奖惩激励机制，激发各方的工作积极性和创造力，推动项目高效推进。</w:t>
      </w:r>
    </w:p>
    <w:p w14:paraId="082ADB87">
      <w:pPr>
        <w:pStyle w:val="4"/>
        <w:numPr>
          <w:ilvl w:val="1"/>
          <w:numId w:val="4"/>
        </w:numPr>
        <w:bidi w:val="0"/>
        <w:ind w:left="575" w:leftChars="0" w:hanging="575" w:firstLineChars="0"/>
        <w:rPr>
          <w:rFonts w:ascii="Arial" w:hAnsi="Arial"/>
          <w:lang w:val="en-US" w:eastAsia="en-US"/>
        </w:rPr>
        <w:sectPr>
          <w:footerReference r:id="rId16" w:type="default"/>
          <w:pgSz w:w="11906" w:h="16839"/>
          <w:pgMar w:top="1440" w:right="1800" w:bottom="1440" w:left="1800" w:header="862" w:footer="1690" w:gutter="0"/>
          <w:pgNumType w:fmt="decimal"/>
          <w:cols w:space="720" w:num="1"/>
        </w:sectPr>
      </w:pPr>
      <w:bookmarkStart w:id="182" w:name="bookmark108"/>
      <w:bookmarkEnd w:id="182"/>
      <w:bookmarkStart w:id="183" w:name="_Toc11110"/>
      <w:r>
        <w:rPr>
          <w:rFonts w:ascii="Arial" w:hAnsi="Arial"/>
          <w:lang w:val="en-US" w:eastAsia="en-US"/>
        </w:rPr>
        <w:t>附表、附图和附件</w:t>
      </w:r>
      <w:bookmarkEnd w:id="183"/>
    </w:p>
    <w:p w14:paraId="2DD65569">
      <w:pPr>
        <w:pStyle w:val="6"/>
        <w:numPr>
          <w:ilvl w:val="3"/>
          <w:numId w:val="0"/>
        </w:numPr>
        <w:bidi w:val="0"/>
        <w:ind w:leftChars="0"/>
        <w:rPr>
          <w:rFonts w:hint="eastAsia" w:ascii="Arial" w:hAnsi="Arial" w:eastAsia="黑体"/>
          <w:highlight w:val="yellow"/>
          <w:lang w:eastAsia="zh-CN"/>
        </w:rPr>
      </w:pPr>
      <w:bookmarkStart w:id="184" w:name="bookmark109"/>
      <w:bookmarkEnd w:id="184"/>
      <w:r>
        <w:rPr>
          <w:rFonts w:ascii="Arial" w:hAnsi="Arial"/>
        </w:rPr>
        <w:t>附件1：项目实施机构授权批复文件</w:t>
      </w:r>
      <w:r>
        <w:rPr>
          <w:rFonts w:hint="eastAsia"/>
          <w:highlight w:val="yellow"/>
          <w:lang w:eastAsia="zh-CN"/>
        </w:rPr>
        <w:t>（</w:t>
      </w:r>
      <w:r>
        <w:rPr>
          <w:rFonts w:hint="eastAsia"/>
          <w:highlight w:val="yellow"/>
          <w:lang w:val="en-US" w:eastAsia="zh-CN"/>
        </w:rPr>
        <w:t>换正式的盖章文件</w:t>
      </w:r>
      <w:r>
        <w:rPr>
          <w:rFonts w:hint="eastAsia"/>
          <w:highlight w:val="yellow"/>
          <w:lang w:eastAsia="zh-CN"/>
        </w:rPr>
        <w:t>）</w:t>
      </w:r>
    </w:p>
    <w:p w14:paraId="4299B7A4"/>
    <w:p w14:paraId="1DCCCD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pPr>
      <w:r>
        <w:rPr>
          <w:rFonts w:hint="eastAsia"/>
          <w:lang w:eastAsia="zh-CN"/>
        </w:rPr>
        <w:drawing>
          <wp:inline distT="0" distB="0" distL="114300" distR="114300">
            <wp:extent cx="4753610" cy="6695440"/>
            <wp:effectExtent l="0" t="0" r="1270" b="2540"/>
            <wp:docPr id="11" name="图片 11" descr="172403167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24031673555"/>
                    <pic:cNvPicPr>
                      <a:picLocks noChangeAspect="1"/>
                    </pic:cNvPicPr>
                  </pic:nvPicPr>
                  <pic:blipFill>
                    <a:blip r:embed="rId36"/>
                    <a:stretch>
                      <a:fillRect/>
                    </a:stretch>
                  </pic:blipFill>
                  <pic:spPr>
                    <a:xfrm>
                      <a:off x="0" y="0"/>
                      <a:ext cx="4753610" cy="6695440"/>
                    </a:xfrm>
                    <a:prstGeom prst="rect">
                      <a:avLst/>
                    </a:prstGeom>
                  </pic:spPr>
                </pic:pic>
              </a:graphicData>
            </a:graphic>
          </wp:inline>
        </w:drawing>
      </w:r>
    </w:p>
    <w:p w14:paraId="4C7BDD63">
      <w:r>
        <w:br w:type="page"/>
      </w:r>
    </w:p>
    <w:p w14:paraId="7B159DB5">
      <w:pPr>
        <w:pStyle w:val="8"/>
        <w:spacing w:line="253" w:lineRule="auto"/>
      </w:pPr>
    </w:p>
    <w:p w14:paraId="48D5D234">
      <w:pPr>
        <w:pStyle w:val="6"/>
        <w:numPr>
          <w:ilvl w:val="3"/>
          <w:numId w:val="0"/>
        </w:numPr>
        <w:bidi w:val="0"/>
        <w:ind w:leftChars="0"/>
        <w:rPr>
          <w:lang w:val="en-US" w:eastAsia="en-US"/>
        </w:rPr>
      </w:pPr>
      <w:bookmarkStart w:id="185" w:name="bookmark110"/>
      <w:bookmarkEnd w:id="185"/>
      <w:bookmarkStart w:id="186" w:name="bookmark172"/>
      <w:bookmarkEnd w:id="186"/>
      <w:r>
        <w:rPr>
          <w:lang w:val="en-US" w:eastAsia="en-US"/>
        </w:rPr>
        <w:t>附件2：用水价格文件</w:t>
      </w:r>
    </w:p>
    <w:p w14:paraId="6869902C">
      <w:pPr>
        <w:rPr>
          <w:rFonts w:hint="default" w:eastAsia="仿宋"/>
          <w:lang w:val="en-US" w:eastAsia="zh-CN"/>
        </w:rPr>
      </w:pPr>
      <w:r>
        <w:rPr>
          <w:rFonts w:hint="eastAsia"/>
          <w:lang w:val="en-US" w:eastAsia="zh-CN"/>
        </w:rPr>
        <w:t>1、关于农业水价综合改革项目区农业用水价格的通知</w:t>
      </w:r>
    </w:p>
    <w:p w14:paraId="0A9001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587240" cy="5585460"/>
            <wp:effectExtent l="0" t="0" r="0" b="0"/>
            <wp:docPr id="12" name="图片 12" descr="172403479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724034791225"/>
                    <pic:cNvPicPr>
                      <a:picLocks noChangeAspect="1"/>
                    </pic:cNvPicPr>
                  </pic:nvPicPr>
                  <pic:blipFill>
                    <a:blip r:embed="rId37"/>
                    <a:stretch>
                      <a:fillRect/>
                    </a:stretch>
                  </pic:blipFill>
                  <pic:spPr>
                    <a:xfrm>
                      <a:off x="0" y="0"/>
                      <a:ext cx="4587240" cy="5585460"/>
                    </a:xfrm>
                    <a:prstGeom prst="rect">
                      <a:avLst/>
                    </a:prstGeom>
                  </pic:spPr>
                </pic:pic>
              </a:graphicData>
            </a:graphic>
          </wp:inline>
        </w:drawing>
      </w:r>
    </w:p>
    <w:p w14:paraId="2CCE9E45">
      <w:pPr>
        <w:pStyle w:val="2"/>
        <w:keepNext w:val="0"/>
        <w:keepLines/>
        <w:pageBreakBefore w:val="0"/>
        <w:widowControl/>
        <w:kinsoku w:val="0"/>
        <w:wordWrap/>
        <w:overflowPunct/>
        <w:topLinePunct/>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168140" cy="6042660"/>
            <wp:effectExtent l="0" t="0" r="0" b="0"/>
            <wp:docPr id="13" name="图片 13" descr="172403492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24034922502"/>
                    <pic:cNvPicPr>
                      <a:picLocks noChangeAspect="1"/>
                    </pic:cNvPicPr>
                  </pic:nvPicPr>
                  <pic:blipFill>
                    <a:blip r:embed="rId38"/>
                    <a:stretch>
                      <a:fillRect/>
                    </a:stretch>
                  </pic:blipFill>
                  <pic:spPr>
                    <a:xfrm>
                      <a:off x="0" y="0"/>
                      <a:ext cx="4168140" cy="6042660"/>
                    </a:xfrm>
                    <a:prstGeom prst="rect">
                      <a:avLst/>
                    </a:prstGeom>
                  </pic:spPr>
                </pic:pic>
              </a:graphicData>
            </a:graphic>
          </wp:inline>
        </w:drawing>
      </w:r>
    </w:p>
    <w:p w14:paraId="40BF6574">
      <w:pPr>
        <w:pStyle w:val="2"/>
        <w:keepNext w:val="0"/>
        <w:keepLines/>
        <w:pageBreakBefore w:val="0"/>
        <w:widowControl/>
        <w:kinsoku w:val="0"/>
        <w:wordWrap/>
        <w:overflowPunct/>
        <w:topLinePunct/>
        <w:autoSpaceDE w:val="0"/>
        <w:autoSpaceDN w:val="0"/>
        <w:bidi w:val="0"/>
        <w:adjustRightInd w:val="0"/>
        <w:snapToGrid w:val="0"/>
        <w:spacing w:line="240" w:lineRule="auto"/>
        <w:ind w:firstLine="0" w:firstLineChars="0"/>
        <w:jc w:val="center"/>
        <w:textAlignment w:val="baseline"/>
        <w:rPr>
          <w:rFonts w:hint="eastAsia"/>
          <w:lang w:eastAsia="zh-CN"/>
        </w:rPr>
      </w:pPr>
      <w:r>
        <w:rPr>
          <w:rFonts w:hint="eastAsia"/>
          <w:lang w:eastAsia="zh-CN"/>
        </w:rPr>
        <w:drawing>
          <wp:inline distT="0" distB="0" distL="114300" distR="114300">
            <wp:extent cx="4121150" cy="5998210"/>
            <wp:effectExtent l="0" t="0" r="1270" b="6350"/>
            <wp:docPr id="14" name="图片 14" descr="172403498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24034986591"/>
                    <pic:cNvPicPr>
                      <a:picLocks noChangeAspect="1"/>
                    </pic:cNvPicPr>
                  </pic:nvPicPr>
                  <pic:blipFill>
                    <a:blip r:embed="rId39"/>
                    <a:stretch>
                      <a:fillRect/>
                    </a:stretch>
                  </pic:blipFill>
                  <pic:spPr>
                    <a:xfrm>
                      <a:off x="0" y="0"/>
                      <a:ext cx="4121150" cy="5998210"/>
                    </a:xfrm>
                    <a:prstGeom prst="rect">
                      <a:avLst/>
                    </a:prstGeom>
                  </pic:spPr>
                </pic:pic>
              </a:graphicData>
            </a:graphic>
          </wp:inline>
        </w:drawing>
      </w:r>
    </w:p>
    <w:p w14:paraId="4F2B08F9">
      <w:pPr>
        <w:rPr>
          <w:rFonts w:hint="eastAsia"/>
          <w:lang w:val="en-US" w:eastAsia="zh-CN"/>
        </w:rPr>
      </w:pPr>
    </w:p>
    <w:p w14:paraId="27FB1CC3">
      <w:pPr>
        <w:rPr>
          <w:rFonts w:hint="eastAsia"/>
          <w:lang w:val="en-US" w:eastAsia="zh-CN"/>
        </w:rPr>
      </w:pPr>
      <w:r>
        <w:rPr>
          <w:rFonts w:hint="eastAsia"/>
          <w:lang w:val="en-US" w:eastAsia="zh-CN"/>
        </w:rPr>
        <w:t>2、关于核定安居区麻子滩等13座水库用水价格</w:t>
      </w:r>
      <w:r>
        <w:rPr>
          <w:rFonts w:hint="eastAsia"/>
          <w:highlight w:val="yellow"/>
          <w:lang w:val="en-US" w:eastAsia="zh-CN"/>
        </w:rPr>
        <w:t>（原水价格待补充）</w:t>
      </w:r>
    </w:p>
    <w:p w14:paraId="51AE70AC">
      <w:pPr>
        <w:pStyle w:val="6"/>
        <w:numPr>
          <w:ilvl w:val="3"/>
          <w:numId w:val="0"/>
        </w:numPr>
        <w:bidi w:val="0"/>
        <w:ind w:leftChars="0"/>
        <w:rPr>
          <w:rFonts w:hint="eastAsia" w:ascii="Arial" w:hAnsi="Arial" w:eastAsia="黑体"/>
          <w:highlight w:val="yellow"/>
          <w:lang w:eastAsia="zh-CN"/>
        </w:rPr>
      </w:pPr>
      <w:bookmarkStart w:id="187" w:name="bookmark111"/>
      <w:bookmarkEnd w:id="187"/>
      <w:r>
        <w:rPr>
          <w:rFonts w:ascii="Arial" w:hAnsi="Arial"/>
        </w:rPr>
        <w:t>附件3：发改部门审查文件</w:t>
      </w:r>
      <w:r>
        <w:rPr>
          <w:rFonts w:hint="eastAsia"/>
          <w:highlight w:val="yellow"/>
          <w:lang w:eastAsia="zh-CN"/>
        </w:rPr>
        <w:t>（</w:t>
      </w:r>
      <w:r>
        <w:rPr>
          <w:rFonts w:hint="eastAsia"/>
          <w:highlight w:val="yellow"/>
          <w:lang w:val="en-US" w:eastAsia="zh-CN"/>
        </w:rPr>
        <w:t>待补充</w:t>
      </w:r>
      <w:r>
        <w:rPr>
          <w:rFonts w:hint="eastAsia"/>
          <w:highlight w:val="yellow"/>
          <w:lang w:eastAsia="zh-CN"/>
        </w:rPr>
        <w:t>）</w:t>
      </w:r>
    </w:p>
    <w:p w14:paraId="7891F0F2">
      <w:pPr>
        <w:spacing w:before="168" w:line="11388" w:lineRule="exact"/>
      </w:pPr>
    </w:p>
    <w:p w14:paraId="7283554A">
      <w:pPr>
        <w:spacing w:line="11388" w:lineRule="exact"/>
        <w:sectPr>
          <w:footerReference r:id="rId17" w:type="default"/>
          <w:pgSz w:w="11906" w:h="16839"/>
          <w:pgMar w:top="1440" w:right="1800" w:bottom="1440" w:left="1800" w:header="862" w:footer="1690" w:gutter="0"/>
          <w:pgNumType w:fmt="decimal"/>
          <w:cols w:space="720" w:num="1"/>
        </w:sectPr>
      </w:pPr>
    </w:p>
    <w:p w14:paraId="10D3A3C8">
      <w:pPr>
        <w:pStyle w:val="6"/>
        <w:numPr>
          <w:ilvl w:val="3"/>
          <w:numId w:val="0"/>
        </w:numPr>
        <w:bidi w:val="0"/>
        <w:ind w:leftChars="0"/>
      </w:pPr>
      <w:bookmarkStart w:id="188" w:name="bookmark112"/>
      <w:bookmarkEnd w:id="188"/>
      <w:r>
        <w:t>附件4：运营期运营评价标准</w:t>
      </w:r>
    </w:p>
    <w:p w14:paraId="5D7076D9">
      <w:pPr>
        <w:spacing w:line="94" w:lineRule="exact"/>
      </w:pPr>
    </w:p>
    <w:tbl>
      <w:tblPr>
        <w:tblStyle w:val="26"/>
        <w:tblW w:w="1395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0"/>
        <w:gridCol w:w="1132"/>
        <w:gridCol w:w="1133"/>
        <w:gridCol w:w="8221"/>
        <w:gridCol w:w="2190"/>
      </w:tblGrid>
      <w:tr w14:paraId="6CFF5B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80" w:type="dxa"/>
            <w:vAlign w:val="top"/>
          </w:tcPr>
          <w:p w14:paraId="63BE6FC1">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232"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一级指标</w:t>
            </w:r>
          </w:p>
        </w:tc>
        <w:tc>
          <w:tcPr>
            <w:tcW w:w="1132" w:type="dxa"/>
            <w:vAlign w:val="top"/>
          </w:tcPr>
          <w:p w14:paraId="14BDD168">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161"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二级指标</w:t>
            </w:r>
          </w:p>
        </w:tc>
        <w:tc>
          <w:tcPr>
            <w:tcW w:w="1133" w:type="dxa"/>
            <w:vAlign w:val="top"/>
          </w:tcPr>
          <w:p w14:paraId="21E67A33">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161"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三级指标</w:t>
            </w:r>
          </w:p>
        </w:tc>
        <w:tc>
          <w:tcPr>
            <w:tcW w:w="8221" w:type="dxa"/>
            <w:vAlign w:val="top"/>
          </w:tcPr>
          <w:p w14:paraId="61C9D3B6">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3699"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5"/>
                <w:sz w:val="20"/>
                <w:szCs w:val="20"/>
              </w:rPr>
              <w:t>指标解释</w:t>
            </w:r>
          </w:p>
        </w:tc>
        <w:tc>
          <w:tcPr>
            <w:tcW w:w="2190" w:type="dxa"/>
            <w:vAlign w:val="top"/>
          </w:tcPr>
          <w:p w14:paraId="684F39D5">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688"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扣分办法</w:t>
            </w:r>
          </w:p>
        </w:tc>
      </w:tr>
      <w:tr w14:paraId="21413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1" w:hRule="atLeast"/>
        </w:trPr>
        <w:tc>
          <w:tcPr>
            <w:tcW w:w="1280" w:type="dxa"/>
            <w:vAlign w:val="top"/>
          </w:tcPr>
          <w:p w14:paraId="38AF94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22260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C09E1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0598EE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B9096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3C0C5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FA699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8C8AD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34DC4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938529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EB1EF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4718E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1DF1C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39E0073">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210" w:right="213"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行业管理</w:t>
            </w:r>
            <w:r>
              <w:rPr>
                <w:rFonts w:hint="eastAsia" w:ascii="宋体" w:hAnsi="宋体" w:eastAsia="宋体" w:cs="宋体"/>
                <w:spacing w:val="-4"/>
                <w:sz w:val="20"/>
                <w:szCs w:val="20"/>
              </w:rPr>
              <w:t>（60分）</w:t>
            </w:r>
          </w:p>
        </w:tc>
        <w:tc>
          <w:tcPr>
            <w:tcW w:w="1132" w:type="dxa"/>
            <w:vAlign w:val="top"/>
          </w:tcPr>
          <w:p w14:paraId="6061C2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DB869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2D125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A6FAD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ACD73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CA0F8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F1C40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051E5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31932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00C56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44DF8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EA6E1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17F28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CBFF1E5">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34" w:right="14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运营标准</w:t>
            </w:r>
            <w:r>
              <w:rPr>
                <w:rFonts w:hint="eastAsia" w:ascii="宋体" w:hAnsi="宋体" w:eastAsia="宋体" w:cs="宋体"/>
                <w:spacing w:val="-4"/>
                <w:sz w:val="20"/>
                <w:szCs w:val="20"/>
              </w:rPr>
              <w:t>（45分）</w:t>
            </w:r>
          </w:p>
        </w:tc>
        <w:tc>
          <w:tcPr>
            <w:tcW w:w="1133" w:type="dxa"/>
            <w:vAlign w:val="top"/>
          </w:tcPr>
          <w:p w14:paraId="2637EC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C4387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33E352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789E43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33269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267C9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27C77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861E4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3E7D5AC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34F260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3A17C3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9B98A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D5271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18BD21C">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35" w:right="14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巡查养护</w:t>
            </w:r>
            <w:r>
              <w:rPr>
                <w:rFonts w:hint="eastAsia" w:ascii="宋体" w:hAnsi="宋体" w:eastAsia="宋体" w:cs="宋体"/>
                <w:spacing w:val="-4"/>
                <w:sz w:val="20"/>
                <w:szCs w:val="20"/>
              </w:rPr>
              <w:t>（10分）</w:t>
            </w:r>
          </w:p>
        </w:tc>
        <w:tc>
          <w:tcPr>
            <w:tcW w:w="8221" w:type="dxa"/>
            <w:vAlign w:val="top"/>
          </w:tcPr>
          <w:p w14:paraId="5CD392E0">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328"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本项目巡视检查标准如下：</w:t>
            </w:r>
          </w:p>
          <w:p w14:paraId="47408635">
            <w:pPr>
              <w:pStyle w:val="27"/>
              <w:keepNext w:val="0"/>
              <w:keepLines w:val="0"/>
              <w:pageBreakBefore w:val="0"/>
              <w:widowControl/>
              <w:kinsoku w:val="0"/>
              <w:wordWrap/>
              <w:overflowPunct/>
              <w:topLinePunct w:val="0"/>
              <w:autoSpaceDE w:val="0"/>
              <w:autoSpaceDN w:val="0"/>
              <w:bidi w:val="0"/>
              <w:adjustRightInd w:val="0"/>
              <w:snapToGrid w:val="0"/>
              <w:spacing w:before="219" w:line="240" w:lineRule="auto"/>
              <w:ind w:left="124" w:right="106" w:firstLine="0" w:firstLineChars="0"/>
              <w:jc w:val="left"/>
              <w:textAlignment w:val="baseline"/>
              <w:rPr>
                <w:rFonts w:hint="eastAsia" w:ascii="宋体" w:hAnsi="宋体" w:eastAsia="宋体" w:cs="宋体"/>
                <w:sz w:val="20"/>
                <w:szCs w:val="20"/>
              </w:rPr>
            </w:pPr>
            <w:r>
              <w:rPr>
                <w:rFonts w:hint="eastAsia" w:ascii="宋体" w:hAnsi="宋体" w:eastAsia="宋体" w:cs="宋体"/>
                <w:spacing w:val="6"/>
                <w:sz w:val="20"/>
                <w:szCs w:val="20"/>
              </w:rPr>
              <w:t>（1）日常巡视检查内容包括挡水建筑物、溢洪道、放水设施、闸门及启闭设备</w:t>
            </w:r>
            <w:r>
              <w:rPr>
                <w:rFonts w:hint="eastAsia" w:ascii="宋体" w:hAnsi="宋体" w:eastAsia="宋体" w:cs="宋体"/>
                <w:spacing w:val="5"/>
                <w:sz w:val="20"/>
                <w:szCs w:val="20"/>
              </w:rPr>
              <w:t>、安全</w:t>
            </w:r>
            <w:r>
              <w:rPr>
                <w:rFonts w:hint="eastAsia" w:ascii="宋体" w:hAnsi="宋体" w:eastAsia="宋体" w:cs="宋体"/>
                <w:spacing w:val="7"/>
                <w:sz w:val="20"/>
                <w:szCs w:val="20"/>
              </w:rPr>
              <w:t>监测设施及配套设施等；</w:t>
            </w:r>
          </w:p>
          <w:p w14:paraId="3B657114">
            <w:pPr>
              <w:pStyle w:val="27"/>
              <w:keepNext w:val="0"/>
              <w:keepLines w:val="0"/>
              <w:pageBreakBefore w:val="0"/>
              <w:widowControl/>
              <w:kinsoku w:val="0"/>
              <w:wordWrap/>
              <w:overflowPunct/>
              <w:topLinePunct w:val="0"/>
              <w:autoSpaceDE w:val="0"/>
              <w:autoSpaceDN w:val="0"/>
              <w:bidi w:val="0"/>
              <w:adjustRightInd w:val="0"/>
              <w:snapToGrid w:val="0"/>
              <w:spacing w:before="191" w:line="240" w:lineRule="auto"/>
              <w:ind w:left="119" w:right="104"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（2）汛前巡视检查除日常巡视检查内容外，还应包括：工程维修养护情况及上一年度</w:t>
            </w:r>
            <w:r>
              <w:rPr>
                <w:rFonts w:hint="eastAsia" w:ascii="宋体" w:hAnsi="宋体" w:eastAsia="宋体" w:cs="宋体"/>
                <w:spacing w:val="10"/>
                <w:sz w:val="20"/>
                <w:szCs w:val="20"/>
              </w:rPr>
              <w:t>检查问题处置情况，闸门与启闭设备及备用</w:t>
            </w:r>
            <w:r>
              <w:rPr>
                <w:rFonts w:hint="eastAsia" w:ascii="宋体" w:hAnsi="宋体" w:eastAsia="宋体" w:cs="宋体"/>
                <w:spacing w:val="9"/>
                <w:sz w:val="20"/>
                <w:szCs w:val="20"/>
              </w:rPr>
              <w:t>电源的维修养护、试运行等情况，防汛物资储备情况，防汛值班、水文监测、水库调度、应急管理等人员的落实情况；</w:t>
            </w:r>
          </w:p>
          <w:p w14:paraId="01ADF431">
            <w:pPr>
              <w:pStyle w:val="27"/>
              <w:keepNext w:val="0"/>
              <w:keepLines w:val="0"/>
              <w:pageBreakBefore w:val="0"/>
              <w:widowControl/>
              <w:kinsoku w:val="0"/>
              <w:wordWrap/>
              <w:overflowPunct/>
              <w:topLinePunct w:val="0"/>
              <w:autoSpaceDE w:val="0"/>
              <w:autoSpaceDN w:val="0"/>
              <w:bidi w:val="0"/>
              <w:adjustRightInd w:val="0"/>
              <w:snapToGrid w:val="0"/>
              <w:spacing w:before="190" w:line="240" w:lineRule="auto"/>
              <w:ind w:left="118" w:right="106"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（3）年度巡视检查除日常巡视检查和汛前巡视检查内容外，还应包括：安全监测资料</w:t>
            </w:r>
            <w:r>
              <w:rPr>
                <w:rFonts w:hint="eastAsia" w:ascii="宋体" w:hAnsi="宋体" w:eastAsia="宋体" w:cs="宋体"/>
                <w:spacing w:val="10"/>
                <w:sz w:val="20"/>
                <w:szCs w:val="20"/>
              </w:rPr>
              <w:t>整编，并对水库运行情况进行分析评价，提出</w:t>
            </w:r>
            <w:r>
              <w:rPr>
                <w:rFonts w:hint="eastAsia" w:ascii="宋体" w:hAnsi="宋体" w:eastAsia="宋体" w:cs="宋体"/>
                <w:spacing w:val="9"/>
                <w:sz w:val="20"/>
                <w:szCs w:val="20"/>
              </w:rPr>
              <w:t>下一年度维修养护建议；安全鉴定实施计划、结论及发现问题的处置情况；工程维修养护、除险加固项目实施情况；</w:t>
            </w:r>
          </w:p>
          <w:p w14:paraId="35D316F7">
            <w:pPr>
              <w:pStyle w:val="27"/>
              <w:keepNext w:val="0"/>
              <w:keepLines w:val="0"/>
              <w:pageBreakBefore w:val="0"/>
              <w:widowControl/>
              <w:kinsoku w:val="0"/>
              <w:wordWrap/>
              <w:overflowPunct/>
              <w:topLinePunct w:val="0"/>
              <w:autoSpaceDE w:val="0"/>
              <w:autoSpaceDN w:val="0"/>
              <w:bidi w:val="0"/>
              <w:adjustRightInd w:val="0"/>
              <w:snapToGrid w:val="0"/>
              <w:spacing w:before="193" w:line="240" w:lineRule="auto"/>
              <w:ind w:left="131" w:right="104"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（4）特别巡视检查应在对工程全面检查的基础上，重点检查可能出现险情或已经损坏</w:t>
            </w:r>
            <w:r>
              <w:rPr>
                <w:rFonts w:hint="eastAsia" w:ascii="宋体" w:hAnsi="宋体" w:eastAsia="宋体" w:cs="宋体"/>
                <w:sz w:val="20"/>
                <w:szCs w:val="20"/>
              </w:rPr>
              <w:t>的部位。</w:t>
            </w:r>
          </w:p>
          <w:p w14:paraId="5F33F519">
            <w:pPr>
              <w:pStyle w:val="27"/>
              <w:keepNext w:val="0"/>
              <w:keepLines w:val="0"/>
              <w:pageBreakBefore w:val="0"/>
              <w:widowControl/>
              <w:kinsoku w:val="0"/>
              <w:wordWrap/>
              <w:overflowPunct/>
              <w:topLinePunct w:val="0"/>
              <w:autoSpaceDE w:val="0"/>
              <w:autoSpaceDN w:val="0"/>
              <w:bidi w:val="0"/>
              <w:adjustRightInd w:val="0"/>
              <w:snapToGrid w:val="0"/>
              <w:spacing w:before="218" w:line="240" w:lineRule="auto"/>
              <w:ind w:left="0" w:leftChars="0" w:firstLine="0" w:firstLineChars="0"/>
              <w:jc w:val="left"/>
              <w:textAlignment w:val="baseline"/>
              <w:rPr>
                <w:rFonts w:hint="eastAsia" w:ascii="宋体" w:hAnsi="宋体" w:eastAsia="宋体" w:cs="宋体"/>
                <w:sz w:val="20"/>
                <w:szCs w:val="20"/>
              </w:rPr>
            </w:pPr>
            <w:r>
              <w:rPr>
                <w:rFonts w:hint="eastAsia" w:ascii="宋体" w:hAnsi="宋体" w:eastAsia="宋体" w:cs="宋体"/>
                <w:spacing w:val="6"/>
                <w:sz w:val="20"/>
                <w:szCs w:val="20"/>
              </w:rPr>
              <w:t>（5）巡视检查频次：</w:t>
            </w:r>
          </w:p>
          <w:p w14:paraId="0DDDBD5B">
            <w:pPr>
              <w:pStyle w:val="27"/>
              <w:keepNext w:val="0"/>
              <w:keepLines w:val="0"/>
              <w:pageBreakBefore w:val="0"/>
              <w:widowControl/>
              <w:kinsoku w:val="0"/>
              <w:wordWrap/>
              <w:overflowPunct/>
              <w:topLinePunct w:val="0"/>
              <w:autoSpaceDE w:val="0"/>
              <w:autoSpaceDN w:val="0"/>
              <w:bidi w:val="0"/>
              <w:adjustRightInd w:val="0"/>
              <w:snapToGrid w:val="0"/>
              <w:spacing w:before="221" w:line="240" w:lineRule="auto"/>
              <w:ind w:left="119" w:right="133"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①非汛期正常情况下每周不少于1次，汛期正常情况下每天应不少于1次，遇特殊情</w:t>
            </w:r>
            <w:r>
              <w:rPr>
                <w:rFonts w:hint="eastAsia" w:ascii="宋体" w:hAnsi="宋体" w:eastAsia="宋体" w:cs="宋体"/>
                <w:spacing w:val="10"/>
                <w:sz w:val="20"/>
                <w:szCs w:val="20"/>
              </w:rPr>
              <w:t>况时要加密检查；在水库初蓄期或水位变化</w:t>
            </w:r>
            <w:r>
              <w:rPr>
                <w:rFonts w:hint="eastAsia" w:ascii="宋体" w:hAnsi="宋体" w:eastAsia="宋体" w:cs="宋体"/>
                <w:spacing w:val="9"/>
                <w:sz w:val="20"/>
                <w:szCs w:val="20"/>
              </w:rPr>
              <w:t>较大期间，检查次数视水位上升或下降情况</w:t>
            </w:r>
            <w:r>
              <w:rPr>
                <w:rFonts w:hint="eastAsia" w:ascii="宋体" w:hAnsi="宋体" w:eastAsia="宋体" w:cs="宋体"/>
                <w:spacing w:val="8"/>
                <w:sz w:val="20"/>
                <w:szCs w:val="20"/>
              </w:rPr>
              <w:t>而定，每天或每两天1次；汛期特别是高水位或出现大洪水时，要增加检查人员，加密</w:t>
            </w:r>
          </w:p>
          <w:p w14:paraId="0A1C6F5B">
            <w:pPr>
              <w:pStyle w:val="27"/>
              <w:keepNext w:val="0"/>
              <w:keepLines w:val="0"/>
              <w:pageBreakBefore w:val="0"/>
              <w:widowControl/>
              <w:kinsoku w:val="0"/>
              <w:wordWrap/>
              <w:overflowPunct/>
              <w:topLinePunct w:val="0"/>
              <w:autoSpaceDE w:val="0"/>
              <w:autoSpaceDN w:val="0"/>
              <w:bidi w:val="0"/>
              <w:adjustRightInd w:val="0"/>
              <w:snapToGrid w:val="0"/>
              <w:spacing w:before="64" w:line="240" w:lineRule="auto"/>
              <w:ind w:left="120" w:firstLine="0" w:firstLineChars="0"/>
              <w:jc w:val="left"/>
              <w:textAlignment w:val="baseline"/>
              <w:rPr>
                <w:rFonts w:hint="eastAsia" w:ascii="宋体" w:hAnsi="宋体" w:eastAsia="宋体" w:cs="宋体"/>
                <w:sz w:val="20"/>
                <w:szCs w:val="20"/>
              </w:rPr>
            </w:pPr>
            <w:r>
              <w:rPr>
                <w:rFonts w:hint="eastAsia" w:ascii="宋体" w:hAnsi="宋体" w:eastAsia="宋体" w:cs="宋体"/>
                <w:spacing w:val="6"/>
                <w:sz w:val="20"/>
                <w:szCs w:val="20"/>
              </w:rPr>
              <w:t>检查次数，重要部位要派专人24小时盯守。</w:t>
            </w:r>
          </w:p>
          <w:p w14:paraId="2D3B6251">
            <w:pPr>
              <w:pStyle w:val="27"/>
              <w:keepNext w:val="0"/>
              <w:keepLines w:val="0"/>
              <w:pageBreakBefore w:val="0"/>
              <w:widowControl/>
              <w:kinsoku w:val="0"/>
              <w:wordWrap/>
              <w:overflowPunct/>
              <w:topLinePunct w:val="0"/>
              <w:autoSpaceDE w:val="0"/>
              <w:autoSpaceDN w:val="0"/>
              <w:bidi w:val="0"/>
              <w:adjustRightInd w:val="0"/>
              <w:snapToGrid w:val="0"/>
              <w:spacing w:before="220" w:line="240" w:lineRule="auto"/>
              <w:ind w:left="0" w:leftChars="0" w:firstLine="0" w:firstLineChars="0"/>
              <w:jc w:val="left"/>
              <w:textAlignment w:val="baseline"/>
              <w:rPr>
                <w:rFonts w:hint="eastAsia" w:ascii="宋体" w:hAnsi="宋体" w:eastAsia="宋体" w:cs="宋体"/>
                <w:sz w:val="20"/>
                <w:szCs w:val="20"/>
              </w:rPr>
            </w:pPr>
            <w:r>
              <w:rPr>
                <w:rFonts w:hint="eastAsia" w:ascii="宋体" w:hAnsi="宋体" w:eastAsia="宋体" w:cs="宋体"/>
                <w:spacing w:val="8"/>
                <w:sz w:val="20"/>
                <w:szCs w:val="20"/>
              </w:rPr>
              <w:t>②汛前巡视检查应根据水库实际情况在汛期</w:t>
            </w:r>
            <w:r>
              <w:rPr>
                <w:rFonts w:hint="eastAsia" w:ascii="宋体" w:hAnsi="宋体" w:eastAsia="宋体" w:cs="宋体"/>
                <w:spacing w:val="7"/>
                <w:sz w:val="20"/>
                <w:szCs w:val="20"/>
              </w:rPr>
              <w:t>到来前完成，一般在每年3月～5月。</w:t>
            </w:r>
          </w:p>
          <w:p w14:paraId="7B67BABD">
            <w:pPr>
              <w:pStyle w:val="27"/>
              <w:keepNext w:val="0"/>
              <w:keepLines w:val="0"/>
              <w:pageBreakBefore w:val="0"/>
              <w:widowControl/>
              <w:kinsoku w:val="0"/>
              <w:wordWrap/>
              <w:overflowPunct/>
              <w:topLinePunct w:val="0"/>
              <w:autoSpaceDE w:val="0"/>
              <w:autoSpaceDN w:val="0"/>
              <w:bidi w:val="0"/>
              <w:adjustRightInd w:val="0"/>
              <w:snapToGrid w:val="0"/>
              <w:spacing w:before="221" w:line="240" w:lineRule="auto"/>
              <w:ind w:left="0" w:leftChars="0"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③年度巡视检查应在每年汛期结束后，12月底前完成，一般每年不少于1次。</w:t>
            </w:r>
          </w:p>
          <w:p w14:paraId="00C0F927">
            <w:pPr>
              <w:pStyle w:val="27"/>
              <w:keepNext w:val="0"/>
              <w:keepLines w:val="0"/>
              <w:pageBreakBefore w:val="0"/>
              <w:widowControl/>
              <w:kinsoku w:val="0"/>
              <w:wordWrap/>
              <w:overflowPunct/>
              <w:topLinePunct w:val="0"/>
              <w:autoSpaceDE w:val="0"/>
              <w:autoSpaceDN w:val="0"/>
              <w:bidi w:val="0"/>
              <w:adjustRightInd w:val="0"/>
              <w:snapToGrid w:val="0"/>
              <w:spacing w:before="221" w:line="240" w:lineRule="auto"/>
              <w:ind w:left="0" w:leftChars="0" w:firstLine="0" w:firstLineChars="0"/>
              <w:jc w:val="left"/>
              <w:textAlignment w:val="baseline"/>
              <w:rPr>
                <w:rFonts w:hint="eastAsia" w:ascii="宋体" w:hAnsi="宋体" w:eastAsia="宋体" w:cs="宋体"/>
                <w:sz w:val="20"/>
                <w:szCs w:val="20"/>
              </w:rPr>
            </w:pPr>
            <w:r>
              <w:rPr>
                <w:rFonts w:hint="eastAsia" w:ascii="宋体" w:hAnsi="宋体" w:eastAsia="宋体" w:cs="宋体"/>
                <w:spacing w:val="9"/>
                <w:sz w:val="20"/>
                <w:szCs w:val="20"/>
              </w:rPr>
              <w:t>④当水库遇到暴雨、大洪水、有感地震、强风暴，以及</w:t>
            </w:r>
            <w:r>
              <w:rPr>
                <w:rFonts w:hint="eastAsia" w:ascii="宋体" w:hAnsi="宋体" w:eastAsia="宋体" w:cs="宋体"/>
                <w:spacing w:val="8"/>
                <w:sz w:val="20"/>
                <w:szCs w:val="20"/>
              </w:rPr>
              <w:t>水库水位骤升骤降或持续高水</w:t>
            </w:r>
          </w:p>
        </w:tc>
        <w:tc>
          <w:tcPr>
            <w:tcW w:w="2190" w:type="dxa"/>
            <w:vAlign w:val="top"/>
          </w:tcPr>
          <w:p w14:paraId="0B45DC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CC066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34875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AE468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0F3A50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988EC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AB861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C469E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A581F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8933B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7BC65A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0D4212E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C7323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17F133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09FAED80">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68"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每有一次巡查记录缺</w:t>
            </w:r>
          </w:p>
          <w:p w14:paraId="2DA5B1DB">
            <w:pPr>
              <w:pStyle w:val="27"/>
              <w:keepNext w:val="0"/>
              <w:keepLines w:val="0"/>
              <w:pageBreakBefore w:val="0"/>
              <w:widowControl/>
              <w:kinsoku w:val="0"/>
              <w:wordWrap/>
              <w:overflowPunct/>
              <w:topLinePunct w:val="0"/>
              <w:autoSpaceDE w:val="0"/>
              <w:autoSpaceDN w:val="0"/>
              <w:bidi w:val="0"/>
              <w:adjustRightInd w:val="0"/>
              <w:snapToGrid w:val="0"/>
              <w:spacing w:before="62" w:line="240" w:lineRule="auto"/>
              <w:ind w:left="584" w:firstLine="0" w:firstLineChars="0"/>
              <w:jc w:val="center"/>
              <w:textAlignment w:val="baseline"/>
              <w:rPr>
                <w:rFonts w:hint="eastAsia" w:ascii="宋体" w:hAnsi="宋体" w:eastAsia="宋体" w:cs="宋体"/>
                <w:sz w:val="20"/>
                <w:szCs w:val="20"/>
              </w:rPr>
            </w:pPr>
            <w:r>
              <w:rPr>
                <w:rFonts w:hint="eastAsia" w:ascii="宋体" w:hAnsi="宋体" w:eastAsia="宋体" w:cs="宋体"/>
                <w:sz w:val="20"/>
                <w:szCs w:val="20"/>
              </w:rPr>
              <w:t>失扣0.2分。</w:t>
            </w:r>
          </w:p>
        </w:tc>
      </w:tr>
      <w:tr w14:paraId="4CB00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280" w:type="dxa"/>
            <w:vAlign w:val="top"/>
          </w:tcPr>
          <w:p w14:paraId="093FB271">
            <w:pPr>
              <w:pStyle w:val="27"/>
              <w:keepNext w:val="0"/>
              <w:keepLines w:val="0"/>
              <w:pageBreakBefore w:val="0"/>
              <w:widowControl/>
              <w:kinsoku w:val="0"/>
              <w:wordWrap/>
              <w:overflowPunct/>
              <w:topLinePunct w:val="0"/>
              <w:autoSpaceDE w:val="0"/>
              <w:autoSpaceDN w:val="0"/>
              <w:bidi w:val="0"/>
              <w:adjustRightInd w:val="0"/>
              <w:snapToGrid w:val="0"/>
              <w:spacing w:before="213" w:line="231" w:lineRule="auto"/>
              <w:ind w:left="232" w:firstLine="0" w:firstLineChars="0"/>
              <w:jc w:val="both"/>
              <w:textAlignment w:val="baseline"/>
              <w:rPr>
                <w:rFonts w:hint="eastAsia" w:ascii="宋体" w:hAnsi="宋体" w:eastAsia="宋体" w:cs="宋体"/>
                <w:sz w:val="20"/>
                <w:szCs w:val="20"/>
              </w:rPr>
            </w:pPr>
            <w:bookmarkStart w:id="189" w:name="bookmark173"/>
            <w:bookmarkEnd w:id="189"/>
            <w:r>
              <w:rPr>
                <w:rFonts w:hint="eastAsia" w:ascii="宋体" w:hAnsi="宋体" w:eastAsia="宋体" w:cs="宋体"/>
                <w:b/>
                <w:bCs/>
                <w:spacing w:val="4"/>
                <w:sz w:val="20"/>
                <w:szCs w:val="20"/>
              </w:rPr>
              <w:t>一级指标</w:t>
            </w:r>
          </w:p>
        </w:tc>
        <w:tc>
          <w:tcPr>
            <w:tcW w:w="1132" w:type="dxa"/>
            <w:vAlign w:val="top"/>
          </w:tcPr>
          <w:p w14:paraId="084B6814">
            <w:pPr>
              <w:pStyle w:val="27"/>
              <w:keepNext w:val="0"/>
              <w:keepLines w:val="0"/>
              <w:pageBreakBefore w:val="0"/>
              <w:widowControl/>
              <w:kinsoku w:val="0"/>
              <w:wordWrap/>
              <w:overflowPunct/>
              <w:topLinePunct w:val="0"/>
              <w:autoSpaceDE w:val="0"/>
              <w:autoSpaceDN w:val="0"/>
              <w:bidi w:val="0"/>
              <w:adjustRightInd w:val="0"/>
              <w:snapToGrid w:val="0"/>
              <w:spacing w:before="213" w:line="231" w:lineRule="auto"/>
              <w:ind w:left="161"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二级指标</w:t>
            </w:r>
          </w:p>
        </w:tc>
        <w:tc>
          <w:tcPr>
            <w:tcW w:w="1133" w:type="dxa"/>
            <w:vAlign w:val="top"/>
          </w:tcPr>
          <w:p w14:paraId="19BBB7E2">
            <w:pPr>
              <w:pStyle w:val="27"/>
              <w:keepNext w:val="0"/>
              <w:keepLines w:val="0"/>
              <w:pageBreakBefore w:val="0"/>
              <w:widowControl/>
              <w:kinsoku w:val="0"/>
              <w:wordWrap/>
              <w:overflowPunct/>
              <w:topLinePunct w:val="0"/>
              <w:autoSpaceDE w:val="0"/>
              <w:autoSpaceDN w:val="0"/>
              <w:bidi w:val="0"/>
              <w:adjustRightInd w:val="0"/>
              <w:snapToGrid w:val="0"/>
              <w:spacing w:before="213" w:line="231" w:lineRule="auto"/>
              <w:ind w:left="161"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三级指标</w:t>
            </w:r>
          </w:p>
        </w:tc>
        <w:tc>
          <w:tcPr>
            <w:tcW w:w="8221" w:type="dxa"/>
            <w:vAlign w:val="top"/>
          </w:tcPr>
          <w:p w14:paraId="26936431">
            <w:pPr>
              <w:pStyle w:val="27"/>
              <w:keepNext w:val="0"/>
              <w:keepLines w:val="0"/>
              <w:pageBreakBefore w:val="0"/>
              <w:widowControl/>
              <w:kinsoku w:val="0"/>
              <w:wordWrap/>
              <w:overflowPunct/>
              <w:topLinePunct w:val="0"/>
              <w:autoSpaceDE w:val="0"/>
              <w:autoSpaceDN w:val="0"/>
              <w:bidi w:val="0"/>
              <w:adjustRightInd w:val="0"/>
              <w:snapToGrid w:val="0"/>
              <w:spacing w:before="213" w:line="231" w:lineRule="auto"/>
              <w:ind w:left="3699"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5"/>
                <w:sz w:val="20"/>
                <w:szCs w:val="20"/>
              </w:rPr>
              <w:t>指标解释</w:t>
            </w:r>
          </w:p>
        </w:tc>
        <w:tc>
          <w:tcPr>
            <w:tcW w:w="2190" w:type="dxa"/>
            <w:vAlign w:val="top"/>
          </w:tcPr>
          <w:p w14:paraId="360DFD5A">
            <w:pPr>
              <w:pStyle w:val="27"/>
              <w:keepNext w:val="0"/>
              <w:keepLines w:val="0"/>
              <w:pageBreakBefore w:val="0"/>
              <w:widowControl/>
              <w:kinsoku w:val="0"/>
              <w:wordWrap/>
              <w:overflowPunct/>
              <w:topLinePunct w:val="0"/>
              <w:autoSpaceDE w:val="0"/>
              <w:autoSpaceDN w:val="0"/>
              <w:bidi w:val="0"/>
              <w:adjustRightInd w:val="0"/>
              <w:snapToGrid w:val="0"/>
              <w:spacing w:before="213" w:line="232" w:lineRule="auto"/>
              <w:ind w:left="688"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扣分办法</w:t>
            </w:r>
          </w:p>
        </w:tc>
      </w:tr>
      <w:tr w14:paraId="5E86E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280" w:type="dxa"/>
            <w:vMerge w:val="restart"/>
            <w:tcBorders>
              <w:bottom w:val="nil"/>
            </w:tcBorders>
            <w:vAlign w:val="top"/>
          </w:tcPr>
          <w:p w14:paraId="7E64850E">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2" w:type="dxa"/>
            <w:vMerge w:val="restart"/>
            <w:tcBorders>
              <w:bottom w:val="nil"/>
            </w:tcBorders>
            <w:vAlign w:val="top"/>
          </w:tcPr>
          <w:p w14:paraId="1367BB95">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3" w:type="dxa"/>
            <w:vAlign w:val="top"/>
          </w:tcPr>
          <w:p w14:paraId="156224F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8221" w:type="dxa"/>
            <w:vAlign w:val="top"/>
          </w:tcPr>
          <w:p w14:paraId="6E8F02AD">
            <w:pPr>
              <w:pStyle w:val="27"/>
              <w:keepNext w:val="0"/>
              <w:keepLines w:val="0"/>
              <w:pageBreakBefore w:val="0"/>
              <w:widowControl/>
              <w:kinsoku w:val="0"/>
              <w:wordWrap/>
              <w:overflowPunct/>
              <w:topLinePunct w:val="0"/>
              <w:autoSpaceDE w:val="0"/>
              <w:autoSpaceDN w:val="0"/>
              <w:bidi w:val="0"/>
              <w:adjustRightInd w:val="0"/>
              <w:snapToGrid w:val="0"/>
              <w:spacing w:before="52" w:line="229" w:lineRule="auto"/>
              <w:ind w:left="119" w:firstLine="0" w:firstLineChars="0"/>
              <w:jc w:val="left"/>
              <w:textAlignment w:val="baseline"/>
              <w:rPr>
                <w:rFonts w:hint="eastAsia" w:ascii="宋体" w:hAnsi="宋体" w:eastAsia="宋体" w:cs="宋体"/>
                <w:sz w:val="20"/>
                <w:szCs w:val="20"/>
              </w:rPr>
            </w:pPr>
            <w:r>
              <w:rPr>
                <w:rFonts w:hint="eastAsia" w:ascii="宋体" w:hAnsi="宋体" w:eastAsia="宋体" w:cs="宋体"/>
                <w:spacing w:val="9"/>
                <w:sz w:val="20"/>
                <w:szCs w:val="20"/>
              </w:rPr>
              <w:t>位等可能影响水库安全运用的工况时，应立即开展特别巡视检查。</w:t>
            </w:r>
          </w:p>
          <w:p w14:paraId="500B2FD8">
            <w:pPr>
              <w:pStyle w:val="27"/>
              <w:keepNext w:val="0"/>
              <w:keepLines w:val="0"/>
              <w:pageBreakBefore w:val="0"/>
              <w:widowControl/>
              <w:kinsoku w:val="0"/>
              <w:wordWrap/>
              <w:overflowPunct/>
              <w:topLinePunct w:val="0"/>
              <w:autoSpaceDE w:val="0"/>
              <w:autoSpaceDN w:val="0"/>
              <w:bidi w:val="0"/>
              <w:adjustRightInd w:val="0"/>
              <w:snapToGrid w:val="0"/>
              <w:spacing w:before="219" w:line="272" w:lineRule="auto"/>
              <w:ind w:left="124" w:right="133" w:firstLine="0" w:firstLineChars="0"/>
              <w:jc w:val="left"/>
              <w:textAlignment w:val="baseline"/>
              <w:rPr>
                <w:rFonts w:hint="eastAsia" w:ascii="宋体" w:hAnsi="宋体" w:eastAsia="宋体" w:cs="宋体"/>
                <w:sz w:val="20"/>
                <w:szCs w:val="20"/>
              </w:rPr>
            </w:pPr>
            <w:r>
              <w:rPr>
                <w:rFonts w:hint="eastAsia" w:ascii="宋体" w:hAnsi="宋体" w:eastAsia="宋体" w:cs="宋体"/>
                <w:spacing w:val="9"/>
                <w:sz w:val="20"/>
                <w:szCs w:val="20"/>
              </w:rPr>
              <w:t>以上检查均应做好相应的记录并进行签字确认。水行政主管部门另有要求的，应积极配</w:t>
            </w:r>
            <w:r>
              <w:rPr>
                <w:rFonts w:hint="eastAsia" w:ascii="宋体" w:hAnsi="宋体" w:eastAsia="宋体" w:cs="宋体"/>
                <w:spacing w:val="2"/>
                <w:sz w:val="20"/>
                <w:szCs w:val="20"/>
              </w:rPr>
              <w:t>合落实。</w:t>
            </w:r>
          </w:p>
        </w:tc>
        <w:tc>
          <w:tcPr>
            <w:tcW w:w="2190" w:type="dxa"/>
            <w:vAlign w:val="top"/>
          </w:tcPr>
          <w:p w14:paraId="66C7669A">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r>
      <w:tr w14:paraId="2BCF7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2" w:hRule="atLeast"/>
        </w:trPr>
        <w:tc>
          <w:tcPr>
            <w:tcW w:w="1280" w:type="dxa"/>
            <w:vMerge w:val="continue"/>
            <w:tcBorders>
              <w:top w:val="nil"/>
              <w:bottom w:val="nil"/>
            </w:tcBorders>
            <w:vAlign w:val="top"/>
          </w:tcPr>
          <w:p w14:paraId="1F280F3E">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2" w:type="dxa"/>
            <w:vMerge w:val="continue"/>
            <w:tcBorders>
              <w:top w:val="nil"/>
              <w:bottom w:val="nil"/>
            </w:tcBorders>
            <w:vAlign w:val="top"/>
          </w:tcPr>
          <w:p w14:paraId="2E18E24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3" w:type="dxa"/>
            <w:vAlign w:val="top"/>
          </w:tcPr>
          <w:p w14:paraId="026DF87F">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675108E0">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7FC7F5C5">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4E149D09">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072DC974">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7CD73DB6">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37B05B82">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44CB1612">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33F9D2BC">
            <w:pPr>
              <w:keepNext w:val="0"/>
              <w:keepLines w:val="0"/>
              <w:pageBreakBefore w:val="0"/>
              <w:widowControl/>
              <w:kinsoku w:val="0"/>
              <w:wordWrap/>
              <w:overflowPunct/>
              <w:topLinePunct w:val="0"/>
              <w:autoSpaceDE w:val="0"/>
              <w:autoSpaceDN w:val="0"/>
              <w:bidi w:val="0"/>
              <w:adjustRightInd w:val="0"/>
              <w:snapToGrid w:val="0"/>
              <w:spacing w:line="257" w:lineRule="auto"/>
              <w:ind w:firstLine="0" w:firstLineChars="0"/>
              <w:jc w:val="center"/>
              <w:textAlignment w:val="baseline"/>
              <w:rPr>
                <w:rFonts w:hint="eastAsia" w:ascii="宋体" w:hAnsi="宋体" w:eastAsia="宋体" w:cs="宋体"/>
                <w:sz w:val="21"/>
              </w:rPr>
            </w:pPr>
          </w:p>
          <w:p w14:paraId="29D9B88B">
            <w:pPr>
              <w:pStyle w:val="27"/>
              <w:keepNext w:val="0"/>
              <w:keepLines w:val="0"/>
              <w:pageBreakBefore w:val="0"/>
              <w:widowControl/>
              <w:kinsoku w:val="0"/>
              <w:wordWrap/>
              <w:overflowPunct/>
              <w:topLinePunct w:val="0"/>
              <w:autoSpaceDE w:val="0"/>
              <w:autoSpaceDN w:val="0"/>
              <w:bidi w:val="0"/>
              <w:adjustRightInd w:val="0"/>
              <w:snapToGrid w:val="0"/>
              <w:spacing w:before="65" w:line="417" w:lineRule="auto"/>
              <w:ind w:left="135" w:right="14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4"/>
                <w:sz w:val="20"/>
                <w:szCs w:val="20"/>
              </w:rPr>
              <w:t>维修养护</w:t>
            </w:r>
            <w:r>
              <w:rPr>
                <w:rFonts w:hint="eastAsia" w:ascii="宋体" w:hAnsi="宋体" w:eastAsia="宋体" w:cs="宋体"/>
                <w:spacing w:val="-4"/>
                <w:sz w:val="20"/>
                <w:szCs w:val="20"/>
              </w:rPr>
              <w:t>（10分）</w:t>
            </w:r>
          </w:p>
        </w:tc>
        <w:tc>
          <w:tcPr>
            <w:tcW w:w="8221" w:type="dxa"/>
            <w:vAlign w:val="top"/>
          </w:tcPr>
          <w:p w14:paraId="5CE2E3E3">
            <w:pPr>
              <w:pStyle w:val="27"/>
              <w:keepNext w:val="0"/>
              <w:keepLines w:val="0"/>
              <w:pageBreakBefore w:val="0"/>
              <w:widowControl/>
              <w:kinsoku w:val="0"/>
              <w:wordWrap/>
              <w:overflowPunct/>
              <w:topLinePunct w:val="0"/>
              <w:autoSpaceDE w:val="0"/>
              <w:autoSpaceDN w:val="0"/>
              <w:bidi w:val="0"/>
              <w:adjustRightInd w:val="0"/>
              <w:snapToGrid w:val="0"/>
              <w:spacing w:before="209" w:line="229" w:lineRule="auto"/>
              <w:ind w:left="328"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本项目维修养护标准如下：</w:t>
            </w:r>
          </w:p>
          <w:p w14:paraId="497B64D8">
            <w:pPr>
              <w:pStyle w:val="27"/>
              <w:keepNext w:val="0"/>
              <w:keepLines w:val="0"/>
              <w:pageBreakBefore w:val="0"/>
              <w:widowControl/>
              <w:kinsoku w:val="0"/>
              <w:wordWrap/>
              <w:overflowPunct/>
              <w:topLinePunct w:val="0"/>
              <w:autoSpaceDE w:val="0"/>
              <w:autoSpaceDN w:val="0"/>
              <w:bidi w:val="0"/>
              <w:adjustRightInd w:val="0"/>
              <w:snapToGrid w:val="0"/>
              <w:spacing w:before="218" w:line="259" w:lineRule="auto"/>
              <w:ind w:left="121" w:right="65" w:firstLine="0" w:firstLineChars="0"/>
              <w:jc w:val="left"/>
              <w:textAlignment w:val="baseline"/>
              <w:rPr>
                <w:rFonts w:hint="eastAsia" w:ascii="宋体" w:hAnsi="宋体" w:eastAsia="宋体" w:cs="宋体"/>
                <w:sz w:val="20"/>
                <w:szCs w:val="20"/>
              </w:rPr>
            </w:pPr>
            <w:r>
              <w:rPr>
                <w:rFonts w:hint="eastAsia" w:ascii="宋体" w:hAnsi="宋体" w:eastAsia="宋体" w:cs="宋体"/>
                <w:spacing w:val="8"/>
                <w:sz w:val="20"/>
                <w:szCs w:val="20"/>
              </w:rPr>
              <w:t>（1）水工建筑物：结构完整、运行正常，无明显的裂缝、滑坡、孔洞、破损、渗水、</w:t>
            </w:r>
            <w:r>
              <w:rPr>
                <w:rFonts w:hint="eastAsia" w:ascii="宋体" w:hAnsi="宋体" w:eastAsia="宋体" w:cs="宋体"/>
                <w:spacing w:val="9"/>
                <w:sz w:val="20"/>
                <w:szCs w:val="20"/>
              </w:rPr>
              <w:t>冲刷、积水和杂物等现象，廊道、排水沟整</w:t>
            </w:r>
            <w:r>
              <w:rPr>
                <w:rFonts w:hint="eastAsia" w:ascii="宋体" w:hAnsi="宋体" w:eastAsia="宋体" w:cs="宋体"/>
                <w:spacing w:val="8"/>
                <w:sz w:val="20"/>
                <w:szCs w:val="20"/>
              </w:rPr>
              <w:t>洁、通畅；</w:t>
            </w:r>
          </w:p>
          <w:p w14:paraId="2948D509">
            <w:pPr>
              <w:pStyle w:val="27"/>
              <w:keepNext w:val="0"/>
              <w:keepLines w:val="0"/>
              <w:pageBreakBefore w:val="0"/>
              <w:widowControl/>
              <w:kinsoku w:val="0"/>
              <w:wordWrap/>
              <w:overflowPunct/>
              <w:topLinePunct w:val="0"/>
              <w:autoSpaceDE w:val="0"/>
              <w:autoSpaceDN w:val="0"/>
              <w:bidi w:val="0"/>
              <w:adjustRightInd w:val="0"/>
              <w:snapToGrid w:val="0"/>
              <w:spacing w:before="220" w:line="273" w:lineRule="auto"/>
              <w:ind w:left="118" w:right="106"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（2）金属结构和机电设备：表面无锈蚀及异常变形，启闭灵活、止水有效，定期做防</w:t>
            </w:r>
            <w:r>
              <w:rPr>
                <w:rFonts w:hint="eastAsia" w:ascii="宋体" w:hAnsi="宋体" w:eastAsia="宋体" w:cs="宋体"/>
                <w:spacing w:val="8"/>
                <w:sz w:val="20"/>
                <w:szCs w:val="20"/>
              </w:rPr>
              <w:t>腐处理，启闭机外观整洁，保护装置可靠；电气设备、备用电源未超过使用年限，工作</w:t>
            </w:r>
            <w:r>
              <w:rPr>
                <w:rFonts w:hint="eastAsia" w:ascii="宋体" w:hAnsi="宋体" w:eastAsia="宋体" w:cs="宋体"/>
                <w:spacing w:val="7"/>
                <w:sz w:val="20"/>
                <w:szCs w:val="20"/>
              </w:rPr>
              <w:t>正常，有接地设施；闸门门体、门槽、行走支撑一般每3年～5年防腐</w:t>
            </w:r>
            <w:r>
              <w:rPr>
                <w:rFonts w:hint="eastAsia" w:ascii="宋体" w:hAnsi="宋体" w:eastAsia="宋体" w:cs="宋体"/>
                <w:spacing w:val="6"/>
                <w:sz w:val="20"/>
                <w:szCs w:val="20"/>
              </w:rPr>
              <w:t>处理一次；钢丝绳应定期维护，一般每5年～10年更换1次</w:t>
            </w:r>
            <w:r>
              <w:rPr>
                <w:rFonts w:hint="eastAsia" w:ascii="宋体" w:hAnsi="宋体" w:eastAsia="宋体" w:cs="宋体"/>
                <w:spacing w:val="5"/>
                <w:sz w:val="20"/>
                <w:szCs w:val="20"/>
              </w:rPr>
              <w:t>，发现断丝应及时更换；</w:t>
            </w:r>
          </w:p>
          <w:p w14:paraId="42E4B5DF">
            <w:pPr>
              <w:pStyle w:val="27"/>
              <w:keepNext w:val="0"/>
              <w:keepLines w:val="0"/>
              <w:pageBreakBefore w:val="0"/>
              <w:widowControl/>
              <w:kinsoku w:val="0"/>
              <w:wordWrap/>
              <w:overflowPunct/>
              <w:topLinePunct w:val="0"/>
              <w:autoSpaceDE w:val="0"/>
              <w:autoSpaceDN w:val="0"/>
              <w:bidi w:val="0"/>
              <w:adjustRightInd w:val="0"/>
              <w:snapToGrid w:val="0"/>
              <w:spacing w:before="220" w:line="268" w:lineRule="auto"/>
              <w:ind w:left="121" w:right="106"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（3）其他建筑物及设施设备：管理房、启闭机房结构安全，室内整洁，照明设施工作</w:t>
            </w:r>
            <w:r>
              <w:rPr>
                <w:rFonts w:hint="eastAsia" w:ascii="宋体" w:hAnsi="宋体" w:eastAsia="宋体" w:cs="宋体"/>
                <w:spacing w:val="9"/>
                <w:sz w:val="20"/>
                <w:szCs w:val="20"/>
              </w:rPr>
              <w:t>正常，无漏水现象；水尺及标识标牌完整无缺失，字迹清晰；监测设施结构完整，工作</w:t>
            </w:r>
            <w:r>
              <w:rPr>
                <w:rFonts w:hint="eastAsia" w:ascii="宋体" w:hAnsi="宋体" w:eastAsia="宋体" w:cs="宋体"/>
                <w:spacing w:val="8"/>
                <w:sz w:val="20"/>
                <w:szCs w:val="20"/>
              </w:rPr>
              <w:t>正常，并定期校核；避雷装置有效；</w:t>
            </w:r>
          </w:p>
          <w:p w14:paraId="137FBCAF">
            <w:pPr>
              <w:pStyle w:val="27"/>
              <w:keepNext w:val="0"/>
              <w:keepLines w:val="0"/>
              <w:pageBreakBefore w:val="0"/>
              <w:widowControl/>
              <w:kinsoku w:val="0"/>
              <w:wordWrap/>
              <w:overflowPunct/>
              <w:topLinePunct w:val="0"/>
              <w:autoSpaceDE w:val="0"/>
              <w:autoSpaceDN w:val="0"/>
              <w:bidi w:val="0"/>
              <w:adjustRightInd w:val="0"/>
              <w:snapToGrid w:val="0"/>
              <w:spacing w:before="220" w:line="259" w:lineRule="auto"/>
              <w:ind w:left="118" w:right="75" w:firstLine="0" w:firstLineChars="0"/>
              <w:jc w:val="left"/>
              <w:textAlignment w:val="baseline"/>
              <w:rPr>
                <w:rFonts w:hint="eastAsia" w:ascii="宋体" w:hAnsi="宋体" w:eastAsia="宋体" w:cs="宋体"/>
                <w:sz w:val="20"/>
                <w:szCs w:val="20"/>
              </w:rPr>
            </w:pPr>
            <w:r>
              <w:rPr>
                <w:rFonts w:hint="eastAsia" w:ascii="宋体" w:hAnsi="宋体" w:eastAsia="宋体" w:cs="宋体"/>
                <w:spacing w:val="8"/>
                <w:sz w:val="20"/>
                <w:szCs w:val="20"/>
              </w:rPr>
              <w:t>（4）库区：库岸稳定无明显滑坡迹象，库区管理范围内无侵占水域、乱挖乱倒行为，水面保持清洁且水质优于地表</w:t>
            </w:r>
            <w:r>
              <w:rPr>
                <w:rFonts w:hint="eastAsia" w:ascii="宋体" w:hAnsi="宋体" w:eastAsia="宋体" w:cs="宋体"/>
                <w:sz w:val="20"/>
                <w:szCs w:val="20"/>
              </w:rPr>
              <w:t>III</w:t>
            </w:r>
            <w:r>
              <w:rPr>
                <w:rFonts w:hint="eastAsia" w:ascii="宋体" w:hAnsi="宋体" w:eastAsia="宋体" w:cs="宋体"/>
                <w:spacing w:val="8"/>
                <w:sz w:val="20"/>
                <w:szCs w:val="20"/>
              </w:rPr>
              <w:t>类水标准或优于上一年度水质实测标准；</w:t>
            </w:r>
          </w:p>
          <w:p w14:paraId="4E8EF791">
            <w:pPr>
              <w:pStyle w:val="27"/>
              <w:keepNext w:val="0"/>
              <w:keepLines w:val="0"/>
              <w:pageBreakBefore w:val="0"/>
              <w:widowControl/>
              <w:kinsoku w:val="0"/>
              <w:wordWrap/>
              <w:overflowPunct/>
              <w:topLinePunct w:val="0"/>
              <w:autoSpaceDE w:val="0"/>
              <w:autoSpaceDN w:val="0"/>
              <w:bidi w:val="0"/>
              <w:adjustRightInd w:val="0"/>
              <w:snapToGrid w:val="0"/>
              <w:spacing w:before="220" w:line="259" w:lineRule="auto"/>
              <w:ind w:left="124" w:right="106"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（5）交通设施：防汛道路边坡无滑坡、掉块，路基无坍塌，路面能满足防汛抢险通行要</w:t>
            </w:r>
            <w:r>
              <w:rPr>
                <w:rFonts w:hint="eastAsia" w:ascii="宋体" w:hAnsi="宋体" w:eastAsia="宋体" w:cs="宋体"/>
                <w:spacing w:val="-6"/>
                <w:sz w:val="20"/>
                <w:szCs w:val="20"/>
              </w:rPr>
              <w:t>求。</w:t>
            </w:r>
          </w:p>
        </w:tc>
        <w:tc>
          <w:tcPr>
            <w:tcW w:w="2190" w:type="dxa"/>
            <w:vAlign w:val="top"/>
          </w:tcPr>
          <w:p w14:paraId="4A2A2184">
            <w:pPr>
              <w:keepNext w:val="0"/>
              <w:keepLines w:val="0"/>
              <w:pageBreakBefore w:val="0"/>
              <w:widowControl/>
              <w:kinsoku w:val="0"/>
              <w:wordWrap/>
              <w:overflowPunct/>
              <w:topLinePunct w:val="0"/>
              <w:autoSpaceDE w:val="0"/>
              <w:autoSpaceDN w:val="0"/>
              <w:bidi w:val="0"/>
              <w:adjustRightInd w:val="0"/>
              <w:snapToGrid w:val="0"/>
              <w:spacing w:line="265" w:lineRule="auto"/>
              <w:ind w:firstLine="0" w:firstLineChars="0"/>
              <w:jc w:val="center"/>
              <w:textAlignment w:val="baseline"/>
              <w:rPr>
                <w:rFonts w:hint="eastAsia" w:ascii="宋体" w:hAnsi="宋体" w:eastAsia="宋体" w:cs="宋体"/>
                <w:sz w:val="21"/>
              </w:rPr>
            </w:pPr>
          </w:p>
          <w:p w14:paraId="6E6F220C">
            <w:pPr>
              <w:keepNext w:val="0"/>
              <w:keepLines w:val="0"/>
              <w:pageBreakBefore w:val="0"/>
              <w:widowControl/>
              <w:kinsoku w:val="0"/>
              <w:wordWrap/>
              <w:overflowPunct/>
              <w:topLinePunct w:val="0"/>
              <w:autoSpaceDE w:val="0"/>
              <w:autoSpaceDN w:val="0"/>
              <w:bidi w:val="0"/>
              <w:adjustRightInd w:val="0"/>
              <w:snapToGrid w:val="0"/>
              <w:spacing w:line="265" w:lineRule="auto"/>
              <w:ind w:firstLine="0" w:firstLineChars="0"/>
              <w:jc w:val="center"/>
              <w:textAlignment w:val="baseline"/>
              <w:rPr>
                <w:rFonts w:hint="eastAsia" w:ascii="宋体" w:hAnsi="宋体" w:eastAsia="宋体" w:cs="宋体"/>
                <w:sz w:val="21"/>
              </w:rPr>
            </w:pPr>
          </w:p>
          <w:p w14:paraId="23B7D098">
            <w:pPr>
              <w:keepNext w:val="0"/>
              <w:keepLines w:val="0"/>
              <w:pageBreakBefore w:val="0"/>
              <w:widowControl/>
              <w:kinsoku w:val="0"/>
              <w:wordWrap/>
              <w:overflowPunct/>
              <w:topLinePunct w:val="0"/>
              <w:autoSpaceDE w:val="0"/>
              <w:autoSpaceDN w:val="0"/>
              <w:bidi w:val="0"/>
              <w:adjustRightInd w:val="0"/>
              <w:snapToGrid w:val="0"/>
              <w:spacing w:line="265" w:lineRule="auto"/>
              <w:ind w:firstLine="0" w:firstLineChars="0"/>
              <w:jc w:val="center"/>
              <w:textAlignment w:val="baseline"/>
              <w:rPr>
                <w:rFonts w:hint="eastAsia" w:ascii="宋体" w:hAnsi="宋体" w:eastAsia="宋体" w:cs="宋体"/>
                <w:sz w:val="21"/>
              </w:rPr>
            </w:pPr>
          </w:p>
          <w:p w14:paraId="300C480D">
            <w:pPr>
              <w:keepNext w:val="0"/>
              <w:keepLines w:val="0"/>
              <w:pageBreakBefore w:val="0"/>
              <w:widowControl/>
              <w:kinsoku w:val="0"/>
              <w:wordWrap/>
              <w:overflowPunct/>
              <w:topLinePunct w:val="0"/>
              <w:autoSpaceDE w:val="0"/>
              <w:autoSpaceDN w:val="0"/>
              <w:bidi w:val="0"/>
              <w:adjustRightInd w:val="0"/>
              <w:snapToGrid w:val="0"/>
              <w:spacing w:line="265" w:lineRule="auto"/>
              <w:ind w:firstLine="0" w:firstLineChars="0"/>
              <w:jc w:val="center"/>
              <w:textAlignment w:val="baseline"/>
              <w:rPr>
                <w:rFonts w:hint="eastAsia" w:ascii="宋体" w:hAnsi="宋体" w:eastAsia="宋体" w:cs="宋体"/>
                <w:sz w:val="21"/>
              </w:rPr>
            </w:pPr>
          </w:p>
          <w:p w14:paraId="4B0F9304">
            <w:pPr>
              <w:keepNext w:val="0"/>
              <w:keepLines w:val="0"/>
              <w:pageBreakBefore w:val="0"/>
              <w:widowControl/>
              <w:kinsoku w:val="0"/>
              <w:wordWrap/>
              <w:overflowPunct/>
              <w:topLinePunct w:val="0"/>
              <w:autoSpaceDE w:val="0"/>
              <w:autoSpaceDN w:val="0"/>
              <w:bidi w:val="0"/>
              <w:adjustRightInd w:val="0"/>
              <w:snapToGrid w:val="0"/>
              <w:spacing w:line="265" w:lineRule="auto"/>
              <w:ind w:firstLine="0" w:firstLineChars="0"/>
              <w:jc w:val="center"/>
              <w:textAlignment w:val="baseline"/>
              <w:rPr>
                <w:rFonts w:hint="eastAsia" w:ascii="宋体" w:hAnsi="宋体" w:eastAsia="宋体" w:cs="宋体"/>
                <w:sz w:val="21"/>
              </w:rPr>
            </w:pPr>
          </w:p>
          <w:p w14:paraId="467BB6D3">
            <w:pPr>
              <w:keepNext w:val="0"/>
              <w:keepLines w:val="0"/>
              <w:pageBreakBefore w:val="0"/>
              <w:widowControl/>
              <w:kinsoku w:val="0"/>
              <w:wordWrap/>
              <w:overflowPunct/>
              <w:topLinePunct w:val="0"/>
              <w:autoSpaceDE w:val="0"/>
              <w:autoSpaceDN w:val="0"/>
              <w:bidi w:val="0"/>
              <w:adjustRightInd w:val="0"/>
              <w:snapToGrid w:val="0"/>
              <w:spacing w:line="266" w:lineRule="auto"/>
              <w:ind w:firstLine="0" w:firstLineChars="0"/>
              <w:jc w:val="center"/>
              <w:textAlignment w:val="baseline"/>
              <w:rPr>
                <w:rFonts w:hint="eastAsia" w:ascii="宋体" w:hAnsi="宋体" w:eastAsia="宋体" w:cs="宋体"/>
                <w:sz w:val="21"/>
              </w:rPr>
            </w:pPr>
          </w:p>
          <w:p w14:paraId="632EDD35">
            <w:pPr>
              <w:keepNext w:val="0"/>
              <w:keepLines w:val="0"/>
              <w:pageBreakBefore w:val="0"/>
              <w:widowControl/>
              <w:kinsoku w:val="0"/>
              <w:wordWrap/>
              <w:overflowPunct/>
              <w:topLinePunct w:val="0"/>
              <w:autoSpaceDE w:val="0"/>
              <w:autoSpaceDN w:val="0"/>
              <w:bidi w:val="0"/>
              <w:adjustRightInd w:val="0"/>
              <w:snapToGrid w:val="0"/>
              <w:spacing w:line="266" w:lineRule="auto"/>
              <w:ind w:firstLine="0" w:firstLineChars="0"/>
              <w:jc w:val="center"/>
              <w:textAlignment w:val="baseline"/>
              <w:rPr>
                <w:rFonts w:hint="eastAsia" w:ascii="宋体" w:hAnsi="宋体" w:eastAsia="宋体" w:cs="宋体"/>
                <w:sz w:val="21"/>
              </w:rPr>
            </w:pPr>
          </w:p>
          <w:p w14:paraId="1EA075CA">
            <w:pPr>
              <w:keepNext w:val="0"/>
              <w:keepLines w:val="0"/>
              <w:pageBreakBefore w:val="0"/>
              <w:widowControl/>
              <w:kinsoku w:val="0"/>
              <w:wordWrap/>
              <w:overflowPunct/>
              <w:topLinePunct w:val="0"/>
              <w:autoSpaceDE w:val="0"/>
              <w:autoSpaceDN w:val="0"/>
              <w:bidi w:val="0"/>
              <w:adjustRightInd w:val="0"/>
              <w:snapToGrid w:val="0"/>
              <w:spacing w:line="266" w:lineRule="auto"/>
              <w:ind w:firstLine="0" w:firstLineChars="0"/>
              <w:jc w:val="center"/>
              <w:textAlignment w:val="baseline"/>
              <w:rPr>
                <w:rFonts w:hint="eastAsia" w:ascii="宋体" w:hAnsi="宋体" w:eastAsia="宋体" w:cs="宋体"/>
                <w:sz w:val="21"/>
              </w:rPr>
            </w:pPr>
          </w:p>
          <w:p w14:paraId="48D8F456">
            <w:pPr>
              <w:keepNext w:val="0"/>
              <w:keepLines w:val="0"/>
              <w:pageBreakBefore w:val="0"/>
              <w:widowControl/>
              <w:kinsoku w:val="0"/>
              <w:wordWrap/>
              <w:overflowPunct/>
              <w:topLinePunct w:val="0"/>
              <w:autoSpaceDE w:val="0"/>
              <w:autoSpaceDN w:val="0"/>
              <w:bidi w:val="0"/>
              <w:adjustRightInd w:val="0"/>
              <w:snapToGrid w:val="0"/>
              <w:spacing w:line="266" w:lineRule="auto"/>
              <w:ind w:firstLine="0" w:firstLineChars="0"/>
              <w:jc w:val="center"/>
              <w:textAlignment w:val="baseline"/>
              <w:rPr>
                <w:rFonts w:hint="eastAsia" w:ascii="宋体" w:hAnsi="宋体" w:eastAsia="宋体" w:cs="宋体"/>
                <w:sz w:val="21"/>
              </w:rPr>
            </w:pPr>
          </w:p>
          <w:p w14:paraId="5A071A18">
            <w:pPr>
              <w:pStyle w:val="27"/>
              <w:keepNext w:val="0"/>
              <w:keepLines w:val="0"/>
              <w:pageBreakBefore w:val="0"/>
              <w:widowControl/>
              <w:kinsoku w:val="0"/>
              <w:wordWrap/>
              <w:overflowPunct/>
              <w:topLinePunct w:val="0"/>
              <w:autoSpaceDE w:val="0"/>
              <w:autoSpaceDN w:val="0"/>
              <w:bidi w:val="0"/>
              <w:adjustRightInd w:val="0"/>
              <w:snapToGrid w:val="0"/>
              <w:spacing w:before="65" w:line="273"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每发现一处不符要求</w:t>
            </w:r>
            <w:r>
              <w:rPr>
                <w:rFonts w:hint="eastAsia" w:ascii="宋体" w:hAnsi="宋体" w:eastAsia="宋体" w:cs="宋体"/>
                <w:spacing w:val="-2"/>
                <w:sz w:val="20"/>
                <w:szCs w:val="20"/>
              </w:rPr>
              <w:t>的扣0.2分。</w:t>
            </w:r>
          </w:p>
        </w:tc>
      </w:tr>
      <w:tr w14:paraId="0411BD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5" w:hRule="atLeast"/>
        </w:trPr>
        <w:tc>
          <w:tcPr>
            <w:tcW w:w="1280" w:type="dxa"/>
            <w:vMerge w:val="continue"/>
            <w:tcBorders>
              <w:top w:val="nil"/>
            </w:tcBorders>
            <w:vAlign w:val="top"/>
          </w:tcPr>
          <w:p w14:paraId="5178D6E3">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2" w:type="dxa"/>
            <w:vMerge w:val="continue"/>
            <w:tcBorders>
              <w:top w:val="nil"/>
            </w:tcBorders>
            <w:vAlign w:val="top"/>
          </w:tcPr>
          <w:p w14:paraId="28EF98F8">
            <w:pPr>
              <w:keepNext w:val="0"/>
              <w:keepLines w:val="0"/>
              <w:pageBreakBefore w:val="0"/>
              <w:widowControl/>
              <w:kinsoku w:val="0"/>
              <w:wordWrap/>
              <w:overflowPunct/>
              <w:topLinePunct w:val="0"/>
              <w:autoSpaceDE w:val="0"/>
              <w:autoSpaceDN w:val="0"/>
              <w:bidi w:val="0"/>
              <w:adjustRightInd w:val="0"/>
              <w:snapToGrid w:val="0"/>
              <w:ind w:firstLine="0" w:firstLineChars="0"/>
              <w:jc w:val="center"/>
              <w:textAlignment w:val="baseline"/>
              <w:rPr>
                <w:rFonts w:hint="eastAsia" w:ascii="宋体" w:hAnsi="宋体" w:eastAsia="宋体" w:cs="宋体"/>
                <w:sz w:val="21"/>
              </w:rPr>
            </w:pPr>
          </w:p>
        </w:tc>
        <w:tc>
          <w:tcPr>
            <w:tcW w:w="1133" w:type="dxa"/>
            <w:vAlign w:val="top"/>
          </w:tcPr>
          <w:p w14:paraId="05151DCE">
            <w:pPr>
              <w:keepNext w:val="0"/>
              <w:keepLines w:val="0"/>
              <w:pageBreakBefore w:val="0"/>
              <w:widowControl/>
              <w:kinsoku w:val="0"/>
              <w:wordWrap/>
              <w:overflowPunct/>
              <w:topLinePunct w:val="0"/>
              <w:autoSpaceDE w:val="0"/>
              <w:autoSpaceDN w:val="0"/>
              <w:bidi w:val="0"/>
              <w:adjustRightInd w:val="0"/>
              <w:snapToGrid w:val="0"/>
              <w:spacing w:line="300" w:lineRule="auto"/>
              <w:ind w:firstLine="0" w:firstLineChars="0"/>
              <w:jc w:val="center"/>
              <w:textAlignment w:val="baseline"/>
              <w:rPr>
                <w:rFonts w:hint="eastAsia" w:ascii="宋体" w:hAnsi="宋体" w:eastAsia="宋体" w:cs="宋体"/>
                <w:sz w:val="21"/>
              </w:rPr>
            </w:pPr>
          </w:p>
          <w:p w14:paraId="32743022">
            <w:pPr>
              <w:pStyle w:val="27"/>
              <w:keepNext w:val="0"/>
              <w:keepLines w:val="0"/>
              <w:pageBreakBefore w:val="0"/>
              <w:widowControl/>
              <w:kinsoku w:val="0"/>
              <w:wordWrap/>
              <w:overflowPunct/>
              <w:topLinePunct w:val="0"/>
              <w:autoSpaceDE w:val="0"/>
              <w:autoSpaceDN w:val="0"/>
              <w:bidi w:val="0"/>
              <w:adjustRightInd w:val="0"/>
              <w:snapToGrid w:val="0"/>
              <w:spacing w:before="65" w:line="273" w:lineRule="auto"/>
              <w:ind w:left="135" w:right="14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安全管理</w:t>
            </w:r>
            <w:r>
              <w:rPr>
                <w:rFonts w:hint="eastAsia" w:ascii="宋体" w:hAnsi="宋体" w:eastAsia="宋体" w:cs="宋体"/>
                <w:spacing w:val="-4"/>
                <w:sz w:val="20"/>
                <w:szCs w:val="20"/>
              </w:rPr>
              <w:t>（10分）</w:t>
            </w:r>
          </w:p>
        </w:tc>
        <w:tc>
          <w:tcPr>
            <w:tcW w:w="8221" w:type="dxa"/>
            <w:vAlign w:val="top"/>
          </w:tcPr>
          <w:p w14:paraId="112C4840">
            <w:pPr>
              <w:pStyle w:val="27"/>
              <w:keepNext w:val="0"/>
              <w:keepLines w:val="0"/>
              <w:pageBreakBefore w:val="0"/>
              <w:widowControl/>
              <w:kinsoku w:val="0"/>
              <w:wordWrap/>
              <w:overflowPunct/>
              <w:topLinePunct w:val="0"/>
              <w:autoSpaceDE w:val="0"/>
              <w:autoSpaceDN w:val="0"/>
              <w:bidi w:val="0"/>
              <w:adjustRightInd w:val="0"/>
              <w:snapToGrid w:val="0"/>
              <w:spacing w:before="211" w:line="231" w:lineRule="auto"/>
              <w:ind w:left="119"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本项目安全管理标准如下：</w:t>
            </w:r>
          </w:p>
          <w:p w14:paraId="79D2CE22">
            <w:pPr>
              <w:pStyle w:val="27"/>
              <w:keepNext w:val="0"/>
              <w:keepLines w:val="0"/>
              <w:pageBreakBefore w:val="0"/>
              <w:widowControl/>
              <w:kinsoku w:val="0"/>
              <w:wordWrap/>
              <w:overflowPunct/>
              <w:topLinePunct w:val="0"/>
              <w:autoSpaceDE w:val="0"/>
              <w:autoSpaceDN w:val="0"/>
              <w:bidi w:val="0"/>
              <w:adjustRightInd w:val="0"/>
              <w:snapToGrid w:val="0"/>
              <w:spacing w:before="217" w:line="261" w:lineRule="auto"/>
              <w:ind w:left="144" w:right="48" w:firstLine="0" w:firstLineChars="0"/>
              <w:jc w:val="left"/>
              <w:textAlignment w:val="baseline"/>
              <w:rPr>
                <w:rFonts w:hint="eastAsia" w:ascii="宋体" w:hAnsi="宋体" w:eastAsia="宋体" w:cs="宋体"/>
                <w:sz w:val="20"/>
                <w:szCs w:val="20"/>
              </w:rPr>
            </w:pPr>
            <w:r>
              <w:rPr>
                <w:rFonts w:hint="eastAsia" w:ascii="宋体" w:hAnsi="宋体" w:eastAsia="宋体" w:cs="宋体"/>
                <w:spacing w:val="10"/>
                <w:sz w:val="20"/>
                <w:szCs w:val="20"/>
              </w:rPr>
              <w:t>运营管理单位应建立、健全安全生产责任制</w:t>
            </w:r>
            <w:r>
              <w:rPr>
                <w:rFonts w:hint="eastAsia" w:ascii="宋体" w:hAnsi="宋体" w:eastAsia="宋体" w:cs="宋体"/>
                <w:spacing w:val="9"/>
                <w:sz w:val="20"/>
                <w:szCs w:val="20"/>
              </w:rPr>
              <w:t>，明确主要负责人、安全生产管理人员、各</w:t>
            </w:r>
            <w:r>
              <w:rPr>
                <w:rFonts w:hint="eastAsia" w:ascii="宋体" w:hAnsi="宋体" w:eastAsia="宋体" w:cs="宋体"/>
                <w:spacing w:val="6"/>
                <w:sz w:val="20"/>
                <w:szCs w:val="20"/>
              </w:rPr>
              <w:t>岗位从业人员的安全生产职责；制定安全作业规程，并按照</w:t>
            </w:r>
            <w:r>
              <w:rPr>
                <w:rFonts w:hint="eastAsia" w:ascii="宋体" w:hAnsi="宋体" w:eastAsia="宋体" w:cs="宋体"/>
                <w:spacing w:val="5"/>
                <w:sz w:val="20"/>
                <w:szCs w:val="20"/>
              </w:rPr>
              <w:t>规程开展各项运营维护工作；</w:t>
            </w:r>
          </w:p>
        </w:tc>
        <w:tc>
          <w:tcPr>
            <w:tcW w:w="2190" w:type="dxa"/>
            <w:vAlign w:val="top"/>
          </w:tcPr>
          <w:p w14:paraId="23580058">
            <w:pPr>
              <w:pStyle w:val="27"/>
              <w:keepNext w:val="0"/>
              <w:keepLines w:val="0"/>
              <w:pageBreakBefore w:val="0"/>
              <w:widowControl/>
              <w:kinsoku w:val="0"/>
              <w:wordWrap/>
              <w:overflowPunct/>
              <w:topLinePunct w:val="0"/>
              <w:autoSpaceDE w:val="0"/>
              <w:autoSpaceDN w:val="0"/>
              <w:bidi w:val="0"/>
              <w:adjustRightInd w:val="0"/>
              <w:snapToGrid w:val="0"/>
              <w:spacing w:before="211" w:line="231" w:lineRule="auto"/>
              <w:ind w:left="17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6"/>
                <w:sz w:val="20"/>
                <w:szCs w:val="20"/>
              </w:rPr>
              <w:t>1.未建立安全生产责</w:t>
            </w:r>
          </w:p>
          <w:p w14:paraId="67E1DC6F">
            <w:pPr>
              <w:pStyle w:val="27"/>
              <w:keepNext w:val="0"/>
              <w:keepLines w:val="0"/>
              <w:pageBreakBefore w:val="0"/>
              <w:widowControl/>
              <w:kinsoku w:val="0"/>
              <w:wordWrap/>
              <w:overflowPunct/>
              <w:topLinePunct w:val="0"/>
              <w:autoSpaceDE w:val="0"/>
              <w:autoSpaceDN w:val="0"/>
              <w:bidi w:val="0"/>
              <w:adjustRightInd w:val="0"/>
              <w:snapToGrid w:val="0"/>
              <w:spacing w:before="61" w:line="272" w:lineRule="auto"/>
              <w:ind w:left="384" w:right="148"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8"/>
                <w:sz w:val="20"/>
                <w:szCs w:val="20"/>
              </w:rPr>
              <w:t>任制和安全作业规程</w:t>
            </w:r>
            <w:r>
              <w:rPr>
                <w:rFonts w:hint="eastAsia" w:ascii="宋体" w:hAnsi="宋体" w:eastAsia="宋体" w:cs="宋体"/>
                <w:spacing w:val="4"/>
                <w:sz w:val="20"/>
                <w:szCs w:val="20"/>
              </w:rPr>
              <w:t>的本项不得分；</w:t>
            </w:r>
          </w:p>
        </w:tc>
      </w:tr>
    </w:tbl>
    <w:p w14:paraId="45B4B876">
      <w:pPr>
        <w:sectPr>
          <w:headerReference r:id="rId18" w:type="default"/>
          <w:footerReference r:id="rId19" w:type="default"/>
          <w:pgSz w:w="16839" w:h="11906"/>
          <w:pgMar w:top="1440" w:right="1800" w:bottom="1440" w:left="1800" w:header="862" w:footer="1121" w:gutter="0"/>
          <w:pgNumType w:fmt="decimal"/>
          <w:cols w:space="720" w:num="1"/>
        </w:sectPr>
      </w:pPr>
    </w:p>
    <w:tbl>
      <w:tblPr>
        <w:tblStyle w:val="26"/>
        <w:tblW w:w="1395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11"/>
        <w:gridCol w:w="1569"/>
        <w:gridCol w:w="1543"/>
        <w:gridCol w:w="6051"/>
        <w:gridCol w:w="26"/>
        <w:gridCol w:w="3556"/>
      </w:tblGrid>
      <w:tr w14:paraId="668A6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Align w:val="top"/>
          </w:tcPr>
          <w:p w14:paraId="42D892B2">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232"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一级指标</w:t>
            </w:r>
          </w:p>
        </w:tc>
        <w:tc>
          <w:tcPr>
            <w:tcW w:w="1569" w:type="dxa"/>
            <w:vAlign w:val="top"/>
          </w:tcPr>
          <w:p w14:paraId="54D33C07">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161" w:firstLine="0" w:firstLineChars="0"/>
              <w:jc w:val="both"/>
              <w:textAlignment w:val="baseline"/>
              <w:rPr>
                <w:rFonts w:hint="eastAsia" w:ascii="宋体" w:hAnsi="宋体" w:eastAsia="宋体" w:cs="宋体"/>
                <w:sz w:val="20"/>
                <w:szCs w:val="20"/>
              </w:rPr>
            </w:pPr>
            <w:r>
              <w:rPr>
                <w:rFonts w:hint="eastAsia" w:ascii="宋体" w:hAnsi="宋体" w:eastAsia="宋体" w:cs="宋体"/>
                <w:b/>
                <w:bCs/>
                <w:spacing w:val="3"/>
                <w:sz w:val="20"/>
                <w:szCs w:val="20"/>
              </w:rPr>
              <w:t>二级指标</w:t>
            </w:r>
          </w:p>
        </w:tc>
        <w:tc>
          <w:tcPr>
            <w:tcW w:w="1543" w:type="dxa"/>
            <w:vAlign w:val="top"/>
          </w:tcPr>
          <w:p w14:paraId="094E8451">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161"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3"/>
                <w:sz w:val="20"/>
                <w:szCs w:val="20"/>
              </w:rPr>
              <w:t>三级指标</w:t>
            </w:r>
          </w:p>
        </w:tc>
        <w:tc>
          <w:tcPr>
            <w:tcW w:w="6051" w:type="dxa"/>
            <w:vAlign w:val="top"/>
          </w:tcPr>
          <w:p w14:paraId="2B705758">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0" w:leftChars="0" w:right="0" w:rightChars="0"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5"/>
                <w:sz w:val="20"/>
                <w:szCs w:val="20"/>
              </w:rPr>
              <w:t>指标解释</w:t>
            </w:r>
          </w:p>
        </w:tc>
        <w:tc>
          <w:tcPr>
            <w:tcW w:w="3582" w:type="dxa"/>
            <w:gridSpan w:val="2"/>
            <w:vAlign w:val="top"/>
          </w:tcPr>
          <w:p w14:paraId="3420EA72">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688" w:firstLine="0" w:firstLineChars="0"/>
              <w:jc w:val="center"/>
              <w:textAlignment w:val="baseline"/>
              <w:rPr>
                <w:rFonts w:hint="eastAsia" w:ascii="宋体" w:hAnsi="宋体" w:eastAsia="宋体" w:cs="宋体"/>
                <w:sz w:val="20"/>
                <w:szCs w:val="20"/>
              </w:rPr>
            </w:pPr>
            <w:r>
              <w:rPr>
                <w:rFonts w:hint="eastAsia" w:ascii="宋体" w:hAnsi="宋体" w:eastAsia="宋体" w:cs="宋体"/>
                <w:b/>
                <w:bCs/>
                <w:spacing w:val="4"/>
                <w:sz w:val="20"/>
                <w:szCs w:val="20"/>
              </w:rPr>
              <w:t>扣分办法</w:t>
            </w:r>
          </w:p>
        </w:tc>
      </w:tr>
      <w:tr w14:paraId="381596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restart"/>
            <w:tcBorders>
              <w:bottom w:val="nil"/>
            </w:tcBorders>
            <w:vAlign w:val="top"/>
          </w:tcPr>
          <w:p w14:paraId="513B688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69" w:type="dxa"/>
            <w:vMerge w:val="restart"/>
            <w:tcBorders>
              <w:bottom w:val="nil"/>
            </w:tcBorders>
            <w:vAlign w:val="top"/>
          </w:tcPr>
          <w:p w14:paraId="201F18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43" w:type="dxa"/>
            <w:vAlign w:val="top"/>
          </w:tcPr>
          <w:p w14:paraId="02CA1E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6051" w:type="dxa"/>
            <w:vAlign w:val="top"/>
          </w:tcPr>
          <w:p w14:paraId="0F369500">
            <w:pPr>
              <w:pStyle w:val="27"/>
              <w:keepNext w:val="0"/>
              <w:keepLines w:val="0"/>
              <w:pageBreakBefore w:val="0"/>
              <w:widowControl/>
              <w:kinsoku w:val="0"/>
              <w:wordWrap/>
              <w:overflowPunct/>
              <w:topLinePunct w:val="0"/>
              <w:autoSpaceDE w:val="0"/>
              <w:autoSpaceDN w:val="0"/>
              <w:bidi w:val="0"/>
              <w:adjustRightInd w:val="0"/>
              <w:snapToGrid w:val="0"/>
              <w:spacing w:before="51" w:line="240" w:lineRule="auto"/>
              <w:ind w:left="119" w:right="133" w:firstLine="0" w:firstLineChars="0"/>
              <w:jc w:val="left"/>
              <w:textAlignment w:val="baseline"/>
              <w:rPr>
                <w:rFonts w:hint="eastAsia" w:ascii="宋体" w:hAnsi="宋体" w:eastAsia="宋体" w:cs="宋体"/>
                <w:sz w:val="20"/>
                <w:szCs w:val="20"/>
              </w:rPr>
            </w:pPr>
            <w:r>
              <w:rPr>
                <w:rFonts w:hint="eastAsia" w:ascii="宋体" w:hAnsi="宋体" w:eastAsia="宋体" w:cs="宋体"/>
                <w:spacing w:val="9"/>
                <w:sz w:val="20"/>
                <w:szCs w:val="20"/>
              </w:rPr>
              <w:t>定期开展安全巡查、检查，形成检查、整改记录，及时处理安全隐患，防止发生安全事</w:t>
            </w:r>
            <w:r>
              <w:rPr>
                <w:rFonts w:hint="eastAsia" w:ascii="宋体" w:hAnsi="宋体" w:eastAsia="宋体" w:cs="宋体"/>
                <w:spacing w:val="-3"/>
                <w:sz w:val="20"/>
                <w:szCs w:val="20"/>
              </w:rPr>
              <w:t>故。</w:t>
            </w:r>
          </w:p>
        </w:tc>
        <w:tc>
          <w:tcPr>
            <w:tcW w:w="3582" w:type="dxa"/>
            <w:gridSpan w:val="2"/>
            <w:vAlign w:val="top"/>
          </w:tcPr>
          <w:p w14:paraId="0A740D6B">
            <w:pPr>
              <w:pStyle w:val="27"/>
              <w:keepNext w:val="0"/>
              <w:keepLines w:val="0"/>
              <w:pageBreakBefore w:val="0"/>
              <w:widowControl/>
              <w:kinsoku w:val="0"/>
              <w:wordWrap/>
              <w:overflowPunct/>
              <w:topLinePunct w:val="0"/>
              <w:autoSpaceDE w:val="0"/>
              <w:autoSpaceDN w:val="0"/>
              <w:bidi w:val="0"/>
              <w:adjustRightInd w:val="0"/>
              <w:snapToGrid w:val="0"/>
              <w:spacing w:before="52" w:line="240" w:lineRule="auto"/>
              <w:ind w:left="122" w:right="34"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2.每发现一处安全管</w:t>
            </w:r>
            <w:r>
              <w:rPr>
                <w:rFonts w:hint="eastAsia" w:ascii="宋体" w:hAnsi="宋体" w:eastAsia="宋体" w:cs="宋体"/>
                <w:spacing w:val="2"/>
                <w:sz w:val="20"/>
                <w:szCs w:val="20"/>
              </w:rPr>
              <w:t>理不合格的扣0.2分。</w:t>
            </w:r>
          </w:p>
        </w:tc>
      </w:tr>
      <w:tr w14:paraId="7AEB69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bottom w:val="nil"/>
            </w:tcBorders>
            <w:vAlign w:val="top"/>
          </w:tcPr>
          <w:p w14:paraId="7ADFA3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69" w:type="dxa"/>
            <w:vMerge w:val="continue"/>
            <w:tcBorders>
              <w:top w:val="nil"/>
              <w:bottom w:val="nil"/>
            </w:tcBorders>
            <w:vAlign w:val="top"/>
          </w:tcPr>
          <w:p w14:paraId="5729CB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43" w:type="dxa"/>
            <w:vAlign w:val="top"/>
          </w:tcPr>
          <w:p w14:paraId="76FDB0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5B6E8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6DAF6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8EA4D83">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5" w:right="14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应急管理</w:t>
            </w:r>
            <w:r>
              <w:rPr>
                <w:rFonts w:hint="eastAsia" w:ascii="宋体" w:hAnsi="宋体" w:eastAsia="宋体" w:cs="宋体"/>
                <w:spacing w:val="-3"/>
                <w:sz w:val="20"/>
                <w:szCs w:val="20"/>
              </w:rPr>
              <w:t>（5分）</w:t>
            </w:r>
          </w:p>
        </w:tc>
        <w:tc>
          <w:tcPr>
            <w:tcW w:w="6051" w:type="dxa"/>
            <w:vAlign w:val="top"/>
          </w:tcPr>
          <w:p w14:paraId="3AF05591">
            <w:pPr>
              <w:pStyle w:val="27"/>
              <w:keepNext w:val="0"/>
              <w:keepLines w:val="0"/>
              <w:pageBreakBefore w:val="0"/>
              <w:widowControl/>
              <w:kinsoku w:val="0"/>
              <w:wordWrap/>
              <w:overflowPunct/>
              <w:topLinePunct w:val="0"/>
              <w:autoSpaceDE w:val="0"/>
              <w:autoSpaceDN w:val="0"/>
              <w:bidi w:val="0"/>
              <w:adjustRightInd w:val="0"/>
              <w:snapToGrid w:val="0"/>
              <w:spacing w:before="209" w:line="240" w:lineRule="auto"/>
              <w:ind w:left="119"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本项目应急管理标准如下：</w:t>
            </w:r>
            <w:r>
              <w:rPr>
                <w:rFonts w:hint="eastAsia" w:ascii="宋体" w:hAnsi="宋体" w:eastAsia="宋体" w:cs="宋体"/>
                <w:spacing w:val="10"/>
                <w:sz w:val="20"/>
                <w:szCs w:val="20"/>
              </w:rPr>
              <w:t>运营管理单位应组织编制水库大坝安全管理</w:t>
            </w:r>
            <w:r>
              <w:rPr>
                <w:rFonts w:hint="eastAsia" w:ascii="宋体" w:hAnsi="宋体" w:eastAsia="宋体" w:cs="宋体"/>
                <w:spacing w:val="9"/>
                <w:sz w:val="20"/>
                <w:szCs w:val="20"/>
              </w:rPr>
              <w:t>应急预案和水库防汛抢险应急预案，并开展</w:t>
            </w:r>
            <w:r>
              <w:rPr>
                <w:rFonts w:hint="eastAsia" w:ascii="宋体" w:hAnsi="宋体" w:eastAsia="宋体" w:cs="宋体"/>
                <w:spacing w:val="10"/>
                <w:sz w:val="20"/>
                <w:szCs w:val="20"/>
              </w:rPr>
              <w:t>应急预案演练工作；做好汛限水位标识，根据</w:t>
            </w:r>
            <w:r>
              <w:rPr>
                <w:rFonts w:hint="eastAsia" w:ascii="宋体" w:hAnsi="宋体" w:eastAsia="宋体" w:cs="宋体"/>
                <w:spacing w:val="9"/>
                <w:sz w:val="20"/>
                <w:szCs w:val="20"/>
              </w:rPr>
              <w:t>实际需求，配备必要的防汛物资，防汛物</w:t>
            </w:r>
            <w:r>
              <w:rPr>
                <w:rFonts w:hint="eastAsia" w:ascii="宋体" w:hAnsi="宋体" w:eastAsia="宋体" w:cs="宋体"/>
                <w:spacing w:val="10"/>
                <w:sz w:val="20"/>
                <w:szCs w:val="20"/>
              </w:rPr>
              <w:t>资种类、数量应符合相关规定；可调控泄洪的</w:t>
            </w:r>
            <w:r>
              <w:rPr>
                <w:rFonts w:hint="eastAsia" w:ascii="宋体" w:hAnsi="宋体" w:eastAsia="宋体" w:cs="宋体"/>
                <w:spacing w:val="9"/>
                <w:sz w:val="20"/>
                <w:szCs w:val="20"/>
              </w:rPr>
              <w:t>闸门应有备用电源，运营管理单位应建立</w:t>
            </w:r>
            <w:r>
              <w:rPr>
                <w:rFonts w:hint="eastAsia" w:ascii="宋体" w:hAnsi="宋体" w:eastAsia="宋体" w:cs="宋体"/>
                <w:spacing w:val="10"/>
                <w:sz w:val="20"/>
                <w:szCs w:val="20"/>
              </w:rPr>
              <w:t>相关管理制度，定期开展设备试运行并及时更</w:t>
            </w:r>
            <w:r>
              <w:rPr>
                <w:rFonts w:hint="eastAsia" w:ascii="宋体" w:hAnsi="宋体" w:eastAsia="宋体" w:cs="宋体"/>
                <w:spacing w:val="9"/>
                <w:sz w:val="20"/>
                <w:szCs w:val="20"/>
              </w:rPr>
              <w:t>换蓄电池。发现突发险情时，应立即向水</w:t>
            </w:r>
            <w:r>
              <w:rPr>
                <w:rFonts w:hint="eastAsia" w:ascii="宋体" w:hAnsi="宋体" w:eastAsia="宋体" w:cs="宋体"/>
                <w:spacing w:val="8"/>
                <w:sz w:val="20"/>
                <w:szCs w:val="20"/>
              </w:rPr>
              <w:t>行政主管部门和防汛指挥机构报告。</w:t>
            </w:r>
          </w:p>
        </w:tc>
        <w:tc>
          <w:tcPr>
            <w:tcW w:w="3582" w:type="dxa"/>
            <w:gridSpan w:val="2"/>
            <w:vAlign w:val="top"/>
          </w:tcPr>
          <w:p w14:paraId="5AD5DA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500331E9">
            <w:pPr>
              <w:pStyle w:val="27"/>
              <w:keepNext w:val="0"/>
              <w:keepLines w:val="0"/>
              <w:pageBreakBefore w:val="0"/>
              <w:widowControl/>
              <w:numPr>
                <w:ilvl w:val="0"/>
                <w:numId w:val="50"/>
              </w:numPr>
              <w:kinsoku w:val="0"/>
              <w:wordWrap/>
              <w:overflowPunct/>
              <w:topLinePunct w:val="0"/>
              <w:autoSpaceDE w:val="0"/>
              <w:autoSpaceDN w:val="0"/>
              <w:bidi w:val="0"/>
              <w:adjustRightInd w:val="0"/>
              <w:snapToGrid w:val="0"/>
              <w:spacing w:before="65" w:line="240" w:lineRule="auto"/>
              <w:ind w:left="0" w:leftChars="0" w:right="148" w:firstLine="0" w:firstLineChars="0"/>
              <w:jc w:val="both"/>
              <w:textAlignment w:val="baseline"/>
              <w:rPr>
                <w:rFonts w:hint="eastAsia" w:ascii="宋体" w:hAnsi="宋体" w:eastAsia="宋体" w:cs="宋体"/>
                <w:spacing w:val="5"/>
                <w:sz w:val="20"/>
                <w:szCs w:val="20"/>
              </w:rPr>
            </w:pPr>
            <w:r>
              <w:rPr>
                <w:rFonts w:hint="eastAsia" w:ascii="宋体" w:hAnsi="宋体" w:eastAsia="宋体" w:cs="宋体"/>
                <w:spacing w:val="6"/>
                <w:sz w:val="20"/>
                <w:szCs w:val="20"/>
              </w:rPr>
              <w:t>未建立应急预案的</w:t>
            </w:r>
            <w:r>
              <w:rPr>
                <w:rFonts w:hint="eastAsia" w:ascii="宋体" w:hAnsi="宋体" w:eastAsia="宋体" w:cs="宋体"/>
                <w:spacing w:val="5"/>
                <w:sz w:val="20"/>
                <w:szCs w:val="20"/>
              </w:rPr>
              <w:t>本项不得分；</w:t>
            </w:r>
          </w:p>
          <w:p w14:paraId="085E17BF">
            <w:pPr>
              <w:pStyle w:val="27"/>
              <w:keepNext w:val="0"/>
              <w:keepLines w:val="0"/>
              <w:pageBreakBefore w:val="0"/>
              <w:widowControl/>
              <w:numPr>
                <w:ilvl w:val="0"/>
                <w:numId w:val="50"/>
              </w:numPr>
              <w:kinsoku w:val="0"/>
              <w:wordWrap/>
              <w:overflowPunct/>
              <w:topLinePunct w:val="0"/>
              <w:autoSpaceDE w:val="0"/>
              <w:autoSpaceDN w:val="0"/>
              <w:bidi w:val="0"/>
              <w:adjustRightInd w:val="0"/>
              <w:snapToGrid w:val="0"/>
              <w:spacing w:before="65" w:line="240" w:lineRule="auto"/>
              <w:ind w:left="0" w:leftChars="0" w:right="148" w:firstLine="0" w:firstLineChars="0"/>
              <w:jc w:val="both"/>
              <w:textAlignment w:val="baseline"/>
              <w:rPr>
                <w:rFonts w:hint="eastAsia" w:ascii="宋体" w:hAnsi="宋体" w:eastAsia="宋体" w:cs="宋体"/>
                <w:sz w:val="20"/>
                <w:szCs w:val="20"/>
              </w:rPr>
            </w:pPr>
            <w:r>
              <w:rPr>
                <w:rFonts w:hint="eastAsia" w:ascii="宋体" w:hAnsi="宋体" w:eastAsia="宋体" w:cs="宋体"/>
                <w:spacing w:val="7"/>
                <w:sz w:val="20"/>
                <w:szCs w:val="20"/>
              </w:rPr>
              <w:t>每发现一处不符合</w:t>
            </w:r>
            <w:r>
              <w:rPr>
                <w:rFonts w:hint="eastAsia" w:ascii="宋体" w:hAnsi="宋体" w:eastAsia="宋体" w:cs="宋体"/>
                <w:spacing w:val="3"/>
                <w:sz w:val="20"/>
                <w:szCs w:val="20"/>
              </w:rPr>
              <w:t>要求的，扣0.2分。</w:t>
            </w:r>
          </w:p>
        </w:tc>
      </w:tr>
      <w:tr w14:paraId="51B85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bottom w:val="nil"/>
            </w:tcBorders>
            <w:vAlign w:val="top"/>
          </w:tcPr>
          <w:p w14:paraId="51BF98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69" w:type="dxa"/>
            <w:vMerge w:val="continue"/>
            <w:tcBorders>
              <w:top w:val="nil"/>
              <w:bottom w:val="nil"/>
            </w:tcBorders>
            <w:vAlign w:val="top"/>
          </w:tcPr>
          <w:p w14:paraId="7E045E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43" w:type="dxa"/>
            <w:vAlign w:val="top"/>
          </w:tcPr>
          <w:p w14:paraId="03CD14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4D909E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6FA4B6CA">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5" w:right="14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制度管理</w:t>
            </w:r>
            <w:r>
              <w:rPr>
                <w:rFonts w:hint="eastAsia" w:ascii="宋体" w:hAnsi="宋体" w:eastAsia="宋体" w:cs="宋体"/>
                <w:spacing w:val="-3"/>
                <w:sz w:val="20"/>
                <w:szCs w:val="20"/>
              </w:rPr>
              <w:t>（5分）</w:t>
            </w:r>
          </w:p>
        </w:tc>
        <w:tc>
          <w:tcPr>
            <w:tcW w:w="6051" w:type="dxa"/>
            <w:vAlign w:val="top"/>
          </w:tcPr>
          <w:p w14:paraId="4BF9FA7B">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119"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本项目制度管理标准如下：</w:t>
            </w:r>
          </w:p>
          <w:p w14:paraId="5B668F83">
            <w:pPr>
              <w:pStyle w:val="27"/>
              <w:keepNext w:val="0"/>
              <w:keepLines w:val="0"/>
              <w:pageBreakBefore w:val="0"/>
              <w:widowControl/>
              <w:kinsoku w:val="0"/>
              <w:wordWrap/>
              <w:overflowPunct/>
              <w:topLinePunct w:val="0"/>
              <w:autoSpaceDE w:val="0"/>
              <w:autoSpaceDN w:val="0"/>
              <w:bidi w:val="0"/>
              <w:adjustRightInd w:val="0"/>
              <w:snapToGrid w:val="0"/>
              <w:spacing w:before="219" w:line="240" w:lineRule="auto"/>
              <w:ind w:left="120" w:right="133" w:firstLine="0" w:firstLineChars="0"/>
              <w:jc w:val="left"/>
              <w:textAlignment w:val="baseline"/>
              <w:rPr>
                <w:rFonts w:hint="eastAsia" w:ascii="宋体" w:hAnsi="宋体" w:eastAsia="宋体" w:cs="宋体"/>
                <w:sz w:val="20"/>
                <w:szCs w:val="20"/>
              </w:rPr>
            </w:pPr>
            <w:r>
              <w:rPr>
                <w:rFonts w:hint="eastAsia" w:ascii="宋体" w:hAnsi="宋体" w:eastAsia="宋体" w:cs="宋体"/>
                <w:spacing w:val="10"/>
                <w:sz w:val="20"/>
                <w:szCs w:val="20"/>
              </w:rPr>
              <w:t>运营管理单位应建立完善的管理制度，满足</w:t>
            </w:r>
            <w:r>
              <w:rPr>
                <w:rFonts w:hint="eastAsia" w:ascii="宋体" w:hAnsi="宋体" w:eastAsia="宋体" w:cs="宋体"/>
                <w:spacing w:val="9"/>
                <w:sz w:val="20"/>
                <w:szCs w:val="20"/>
              </w:rPr>
              <w:t>运营管理、服务的需求，管理制度应包括但不限于运行维护制度、人员管理制度、合同管理制度、风险管理制度、应急管理制度、财务制度、安全生产管理制度等。并在项目运营维护过程中按照相关制度执行。</w:t>
            </w:r>
          </w:p>
        </w:tc>
        <w:tc>
          <w:tcPr>
            <w:tcW w:w="3582" w:type="dxa"/>
            <w:gridSpan w:val="2"/>
            <w:vAlign w:val="top"/>
          </w:tcPr>
          <w:p w14:paraId="6BBEF90D">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0" w:leftChars="0" w:right="254" w:firstLine="0" w:firstLineChars="0"/>
              <w:jc w:val="both"/>
              <w:textAlignment w:val="baseline"/>
              <w:rPr>
                <w:rFonts w:hint="eastAsia" w:ascii="宋体" w:hAnsi="宋体" w:eastAsia="宋体" w:cs="宋体"/>
                <w:sz w:val="20"/>
                <w:szCs w:val="20"/>
              </w:rPr>
            </w:pPr>
            <w:r>
              <w:rPr>
                <w:rFonts w:hint="eastAsia" w:ascii="宋体" w:hAnsi="宋体" w:eastAsia="宋体" w:cs="宋体"/>
                <w:spacing w:val="6"/>
                <w:sz w:val="20"/>
                <w:szCs w:val="20"/>
              </w:rPr>
              <w:t>1.每缺一项管理制</w:t>
            </w:r>
            <w:r>
              <w:rPr>
                <w:rFonts w:hint="eastAsia" w:ascii="宋体" w:hAnsi="宋体" w:eastAsia="宋体" w:cs="宋体"/>
                <w:spacing w:val="-11"/>
                <w:sz w:val="20"/>
                <w:szCs w:val="20"/>
              </w:rPr>
              <w:t>度，扣1分。</w:t>
            </w:r>
          </w:p>
          <w:p w14:paraId="4F9282D9">
            <w:pPr>
              <w:pStyle w:val="27"/>
              <w:keepNext w:val="0"/>
              <w:keepLines w:val="0"/>
              <w:pageBreakBefore w:val="0"/>
              <w:widowControl/>
              <w:kinsoku w:val="0"/>
              <w:wordWrap/>
              <w:overflowPunct/>
              <w:topLinePunct w:val="0"/>
              <w:autoSpaceDE w:val="0"/>
              <w:autoSpaceDN w:val="0"/>
              <w:bidi w:val="0"/>
              <w:adjustRightInd w:val="0"/>
              <w:snapToGrid w:val="0"/>
              <w:spacing w:before="190" w:line="240" w:lineRule="auto"/>
              <w:ind w:left="0" w:leftChars="0" w:right="148" w:firstLine="0" w:firstLineChars="0"/>
              <w:jc w:val="both"/>
              <w:textAlignment w:val="baseline"/>
              <w:rPr>
                <w:rFonts w:hint="eastAsia" w:ascii="宋体" w:hAnsi="宋体" w:eastAsia="宋体" w:cs="宋体"/>
                <w:sz w:val="20"/>
                <w:szCs w:val="20"/>
              </w:rPr>
            </w:pPr>
            <w:r>
              <w:rPr>
                <w:rFonts w:hint="eastAsia" w:ascii="宋体" w:hAnsi="宋体" w:eastAsia="宋体" w:cs="宋体"/>
                <w:spacing w:val="7"/>
                <w:sz w:val="20"/>
                <w:szCs w:val="20"/>
              </w:rPr>
              <w:t>2.每发现一处未按制</w:t>
            </w:r>
            <w:r>
              <w:rPr>
                <w:rFonts w:hint="eastAsia" w:ascii="宋体" w:hAnsi="宋体" w:eastAsia="宋体" w:cs="宋体"/>
                <w:spacing w:val="3"/>
                <w:sz w:val="20"/>
                <w:szCs w:val="20"/>
              </w:rPr>
              <w:t>度执行，扣0.2分。</w:t>
            </w:r>
          </w:p>
        </w:tc>
      </w:tr>
      <w:tr w14:paraId="422456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bottom w:val="nil"/>
            </w:tcBorders>
            <w:vAlign w:val="top"/>
          </w:tcPr>
          <w:p w14:paraId="214A61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69" w:type="dxa"/>
            <w:vMerge w:val="continue"/>
            <w:tcBorders>
              <w:top w:val="nil"/>
            </w:tcBorders>
            <w:vAlign w:val="top"/>
          </w:tcPr>
          <w:p w14:paraId="28D6CA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43" w:type="dxa"/>
            <w:vAlign w:val="top"/>
          </w:tcPr>
          <w:p w14:paraId="27876C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hint="eastAsia" w:ascii="宋体" w:hAnsi="宋体" w:eastAsia="宋体" w:cs="宋体"/>
                <w:sz w:val="21"/>
              </w:rPr>
            </w:pPr>
          </w:p>
          <w:p w14:paraId="08B34DF4">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5" w:right="14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人员管理</w:t>
            </w:r>
            <w:r>
              <w:rPr>
                <w:rFonts w:hint="eastAsia" w:ascii="宋体" w:hAnsi="宋体" w:eastAsia="宋体" w:cs="宋体"/>
                <w:spacing w:val="-3"/>
                <w:sz w:val="20"/>
                <w:szCs w:val="20"/>
              </w:rPr>
              <w:t>（5分）</w:t>
            </w:r>
          </w:p>
        </w:tc>
        <w:tc>
          <w:tcPr>
            <w:tcW w:w="6051" w:type="dxa"/>
            <w:vAlign w:val="top"/>
          </w:tcPr>
          <w:p w14:paraId="35DBD6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宋体" w:hAnsi="宋体" w:eastAsia="宋体" w:cs="宋体"/>
                <w:sz w:val="21"/>
              </w:rPr>
            </w:pPr>
          </w:p>
          <w:p w14:paraId="369695CC">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9" w:firstLine="0" w:firstLineChars="0"/>
              <w:jc w:val="left"/>
              <w:textAlignment w:val="baseline"/>
              <w:rPr>
                <w:rFonts w:hint="eastAsia" w:ascii="宋体" w:hAnsi="宋体" w:eastAsia="宋体" w:cs="宋体"/>
                <w:sz w:val="20"/>
                <w:szCs w:val="20"/>
              </w:rPr>
            </w:pPr>
            <w:r>
              <w:rPr>
                <w:rFonts w:hint="eastAsia" w:ascii="宋体" w:hAnsi="宋体" w:eastAsia="宋体" w:cs="宋体"/>
                <w:spacing w:val="7"/>
                <w:sz w:val="20"/>
                <w:szCs w:val="20"/>
              </w:rPr>
              <w:t>本项目人员管理标准如下：</w:t>
            </w:r>
            <w:r>
              <w:rPr>
                <w:rFonts w:hint="eastAsia" w:ascii="宋体" w:hAnsi="宋体" w:eastAsia="宋体" w:cs="宋体"/>
                <w:spacing w:val="10"/>
                <w:sz w:val="20"/>
                <w:szCs w:val="20"/>
              </w:rPr>
              <w:t>运营管理单位应建立完善的组织架构，并设</w:t>
            </w:r>
            <w:r>
              <w:rPr>
                <w:rFonts w:hint="eastAsia" w:ascii="宋体" w:hAnsi="宋体" w:eastAsia="宋体" w:cs="宋体"/>
                <w:spacing w:val="9"/>
                <w:sz w:val="20"/>
                <w:szCs w:val="20"/>
              </w:rPr>
              <w:t>置合理、完备的工作岗位，人员岗位职责明</w:t>
            </w:r>
            <w:r>
              <w:rPr>
                <w:rFonts w:hint="eastAsia" w:ascii="宋体" w:hAnsi="宋体" w:eastAsia="宋体" w:cs="宋体"/>
                <w:spacing w:val="7"/>
                <w:sz w:val="20"/>
                <w:szCs w:val="20"/>
              </w:rPr>
              <w:t>确，责任落实到位。</w:t>
            </w:r>
          </w:p>
        </w:tc>
        <w:tc>
          <w:tcPr>
            <w:tcW w:w="3582" w:type="dxa"/>
            <w:gridSpan w:val="2"/>
            <w:vAlign w:val="top"/>
          </w:tcPr>
          <w:p w14:paraId="7E84D383">
            <w:pPr>
              <w:pStyle w:val="27"/>
              <w:keepNext w:val="0"/>
              <w:keepLines w:val="0"/>
              <w:pageBreakBefore w:val="0"/>
              <w:widowControl/>
              <w:kinsoku w:val="0"/>
              <w:wordWrap/>
              <w:overflowPunct/>
              <w:topLinePunct w:val="0"/>
              <w:autoSpaceDE w:val="0"/>
              <w:autoSpaceDN w:val="0"/>
              <w:bidi w:val="0"/>
              <w:adjustRightInd w:val="0"/>
              <w:snapToGrid w:val="0"/>
              <w:spacing w:before="284" w:line="240" w:lineRule="auto"/>
              <w:ind w:left="0" w:leftChars="0" w:firstLine="0" w:firstLineChars="0"/>
              <w:jc w:val="both"/>
              <w:textAlignment w:val="baseline"/>
              <w:rPr>
                <w:rFonts w:hint="eastAsia" w:ascii="宋体" w:hAnsi="宋体" w:eastAsia="宋体" w:cs="宋体"/>
                <w:sz w:val="20"/>
                <w:szCs w:val="20"/>
              </w:rPr>
            </w:pPr>
            <w:r>
              <w:rPr>
                <w:rFonts w:hint="eastAsia" w:ascii="宋体" w:hAnsi="宋体" w:eastAsia="宋体" w:cs="宋体"/>
                <w:spacing w:val="5"/>
                <w:sz w:val="20"/>
                <w:szCs w:val="20"/>
              </w:rPr>
              <w:t>1.组织架构不完善，</w:t>
            </w:r>
            <w:r>
              <w:rPr>
                <w:rFonts w:hint="eastAsia" w:ascii="宋体" w:hAnsi="宋体" w:eastAsia="宋体" w:cs="宋体"/>
                <w:spacing w:val="-6"/>
                <w:sz w:val="20"/>
                <w:szCs w:val="20"/>
              </w:rPr>
              <w:t>扣5分。</w:t>
            </w:r>
          </w:p>
          <w:p w14:paraId="2395F15E">
            <w:pPr>
              <w:pStyle w:val="27"/>
              <w:keepNext w:val="0"/>
              <w:keepLines w:val="0"/>
              <w:pageBreakBefore w:val="0"/>
              <w:widowControl/>
              <w:kinsoku w:val="0"/>
              <w:wordWrap/>
              <w:overflowPunct/>
              <w:topLinePunct w:val="0"/>
              <w:autoSpaceDE w:val="0"/>
              <w:autoSpaceDN w:val="0"/>
              <w:bidi w:val="0"/>
              <w:adjustRightInd w:val="0"/>
              <w:snapToGrid w:val="0"/>
              <w:spacing w:before="216" w:line="240" w:lineRule="auto"/>
              <w:ind w:left="0" w:leftChars="0" w:firstLine="0" w:firstLineChars="0"/>
              <w:jc w:val="both"/>
              <w:textAlignment w:val="baseline"/>
              <w:rPr>
                <w:rFonts w:hint="eastAsia" w:ascii="宋体" w:hAnsi="宋体" w:eastAsia="宋体" w:cs="宋体"/>
                <w:sz w:val="20"/>
                <w:szCs w:val="20"/>
              </w:rPr>
            </w:pPr>
            <w:r>
              <w:rPr>
                <w:rFonts w:hint="eastAsia" w:ascii="宋体" w:hAnsi="宋体" w:eastAsia="宋体" w:cs="宋体"/>
                <w:spacing w:val="7"/>
                <w:sz w:val="20"/>
                <w:szCs w:val="20"/>
              </w:rPr>
              <w:t>2.人员缺失或不符合</w:t>
            </w:r>
            <w:r>
              <w:rPr>
                <w:rFonts w:hint="eastAsia" w:ascii="宋体" w:hAnsi="宋体" w:eastAsia="宋体" w:cs="宋体"/>
                <w:spacing w:val="5"/>
                <w:sz w:val="20"/>
                <w:szCs w:val="20"/>
              </w:rPr>
              <w:t>岗位要求的，每有一</w:t>
            </w:r>
            <w:r>
              <w:rPr>
                <w:rFonts w:hint="eastAsia" w:ascii="宋体" w:hAnsi="宋体" w:eastAsia="宋体" w:cs="宋体"/>
                <w:spacing w:val="1"/>
                <w:sz w:val="20"/>
                <w:szCs w:val="20"/>
              </w:rPr>
              <w:t>人次扣0.2分。</w:t>
            </w:r>
          </w:p>
        </w:tc>
      </w:tr>
      <w:tr w14:paraId="7D991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tcBorders>
            <w:vAlign w:val="top"/>
          </w:tcPr>
          <w:p w14:paraId="01DD6F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tc>
        <w:tc>
          <w:tcPr>
            <w:tcW w:w="1569" w:type="dxa"/>
            <w:vAlign w:val="top"/>
          </w:tcPr>
          <w:p w14:paraId="77364E36">
            <w:pPr>
              <w:pStyle w:val="27"/>
              <w:keepNext w:val="0"/>
              <w:keepLines w:val="0"/>
              <w:pageBreakBefore w:val="0"/>
              <w:widowControl/>
              <w:kinsoku w:val="0"/>
              <w:wordWrap/>
              <w:overflowPunct/>
              <w:topLinePunct w:val="0"/>
              <w:autoSpaceDE w:val="0"/>
              <w:autoSpaceDN w:val="0"/>
              <w:bidi w:val="0"/>
              <w:adjustRightInd w:val="0"/>
              <w:snapToGrid w:val="0"/>
              <w:spacing w:before="211" w:line="240" w:lineRule="auto"/>
              <w:ind w:left="134" w:right="140"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运营效果</w:t>
            </w:r>
            <w:r>
              <w:rPr>
                <w:rFonts w:hint="eastAsia" w:ascii="宋体" w:hAnsi="宋体" w:eastAsia="宋体" w:cs="宋体"/>
                <w:spacing w:val="-4"/>
                <w:sz w:val="20"/>
                <w:szCs w:val="20"/>
              </w:rPr>
              <w:t>（15分）</w:t>
            </w:r>
          </w:p>
        </w:tc>
        <w:tc>
          <w:tcPr>
            <w:tcW w:w="1543" w:type="dxa"/>
            <w:vAlign w:val="top"/>
          </w:tcPr>
          <w:p w14:paraId="3CCCCE73">
            <w:pPr>
              <w:pStyle w:val="27"/>
              <w:keepNext w:val="0"/>
              <w:keepLines w:val="0"/>
              <w:pageBreakBefore w:val="0"/>
              <w:widowControl/>
              <w:kinsoku w:val="0"/>
              <w:wordWrap/>
              <w:overflowPunct/>
              <w:topLinePunct w:val="0"/>
              <w:autoSpaceDE w:val="0"/>
              <w:autoSpaceDN w:val="0"/>
              <w:bidi w:val="0"/>
              <w:adjustRightInd w:val="0"/>
              <w:snapToGrid w:val="0"/>
              <w:spacing w:before="290" w:line="240" w:lineRule="auto"/>
              <w:ind w:left="161" w:right="146"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5"/>
                <w:sz w:val="20"/>
                <w:szCs w:val="20"/>
              </w:rPr>
              <w:t>经营收入</w:t>
            </w:r>
            <w:r>
              <w:rPr>
                <w:rFonts w:hint="eastAsia" w:ascii="宋体" w:hAnsi="宋体" w:eastAsia="宋体" w:cs="宋体"/>
                <w:spacing w:val="4"/>
                <w:sz w:val="20"/>
                <w:szCs w:val="20"/>
              </w:rPr>
              <w:t>实现程度（5分）</w:t>
            </w:r>
          </w:p>
        </w:tc>
        <w:tc>
          <w:tcPr>
            <w:tcW w:w="6051" w:type="dxa"/>
            <w:vAlign w:val="top"/>
          </w:tcPr>
          <w:p w14:paraId="0B00A6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1"/>
              </w:rPr>
            </w:pPr>
          </w:p>
          <w:p w14:paraId="22DC7F33">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35"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审查本项目的经营收入实现情况。</w:t>
            </w:r>
          </w:p>
        </w:tc>
        <w:tc>
          <w:tcPr>
            <w:tcW w:w="3582" w:type="dxa"/>
            <w:gridSpan w:val="2"/>
            <w:vAlign w:val="top"/>
          </w:tcPr>
          <w:p w14:paraId="655A11D0">
            <w:pPr>
              <w:pStyle w:val="27"/>
              <w:keepNext w:val="0"/>
              <w:keepLines w:val="0"/>
              <w:pageBreakBefore w:val="0"/>
              <w:widowControl/>
              <w:kinsoku w:val="0"/>
              <w:wordWrap/>
              <w:overflowPunct/>
              <w:topLinePunct w:val="0"/>
              <w:autoSpaceDE w:val="0"/>
              <w:autoSpaceDN w:val="0"/>
              <w:bidi w:val="0"/>
              <w:adjustRightInd w:val="0"/>
              <w:snapToGrid w:val="0"/>
              <w:spacing w:before="211" w:line="240" w:lineRule="auto"/>
              <w:ind w:left="186" w:right="148" w:firstLine="0" w:firstLineChars="0"/>
              <w:jc w:val="center"/>
              <w:textAlignment w:val="baseline"/>
              <w:rPr>
                <w:rFonts w:hint="eastAsia" w:ascii="宋体" w:hAnsi="宋体" w:eastAsia="宋体" w:cs="宋体"/>
                <w:sz w:val="20"/>
                <w:szCs w:val="20"/>
              </w:rPr>
            </w:pPr>
            <w:r>
              <w:rPr>
                <w:rFonts w:hint="eastAsia" w:ascii="宋体" w:hAnsi="宋体" w:eastAsia="宋体" w:cs="宋体"/>
                <w:spacing w:val="7"/>
                <w:sz w:val="20"/>
                <w:szCs w:val="20"/>
              </w:rPr>
              <w:t>本项得分=本项分数</w:t>
            </w:r>
            <w:r>
              <w:rPr>
                <w:rFonts w:hint="eastAsia" w:ascii="宋体" w:hAnsi="宋体" w:eastAsia="宋体" w:cs="宋体"/>
                <w:spacing w:val="5"/>
                <w:sz w:val="20"/>
                <w:szCs w:val="20"/>
              </w:rPr>
              <w:t>×（当年度实际经营</w:t>
            </w:r>
            <w:r>
              <w:rPr>
                <w:rFonts w:hint="eastAsia" w:ascii="宋体" w:hAnsi="宋体" w:eastAsia="宋体" w:cs="宋体"/>
                <w:spacing w:val="10"/>
                <w:sz w:val="20"/>
                <w:szCs w:val="20"/>
              </w:rPr>
              <w:t>者收入/方案中经营者收入基准值）</w:t>
            </w:r>
          </w:p>
        </w:tc>
      </w:tr>
      <w:tr w14:paraId="02A83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tcBorders>
              <w:top w:val="nil"/>
            </w:tcBorders>
            <w:vAlign w:val="top"/>
          </w:tcPr>
          <w:p w14:paraId="2AB832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bookmarkStart w:id="190" w:name="bookmark174"/>
            <w:bookmarkEnd w:id="190"/>
          </w:p>
        </w:tc>
        <w:tc>
          <w:tcPr>
            <w:tcW w:w="1569" w:type="dxa"/>
            <w:tcBorders>
              <w:top w:val="nil"/>
            </w:tcBorders>
            <w:vAlign w:val="top"/>
          </w:tcPr>
          <w:p w14:paraId="5C995C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43" w:type="dxa"/>
            <w:vAlign w:val="top"/>
          </w:tcPr>
          <w:p w14:paraId="0B12E08F">
            <w:pPr>
              <w:pStyle w:val="27"/>
              <w:keepNext w:val="0"/>
              <w:keepLines w:val="0"/>
              <w:pageBreakBefore w:val="0"/>
              <w:widowControl/>
              <w:kinsoku w:val="0"/>
              <w:wordWrap/>
              <w:overflowPunct/>
              <w:topLinePunct w:val="0"/>
              <w:autoSpaceDE w:val="0"/>
              <w:autoSpaceDN w:val="0"/>
              <w:bidi w:val="0"/>
              <w:adjustRightInd w:val="0"/>
              <w:snapToGrid w:val="0"/>
              <w:spacing w:before="283" w:line="240" w:lineRule="auto"/>
              <w:ind w:left="157" w:firstLine="0" w:firstLineChars="0"/>
              <w:jc w:val="both"/>
              <w:textAlignment w:val="baseline"/>
              <w:rPr>
                <w:sz w:val="20"/>
                <w:szCs w:val="20"/>
              </w:rPr>
            </w:pPr>
            <w:r>
              <w:rPr>
                <w:spacing w:val="5"/>
                <w:sz w:val="20"/>
                <w:szCs w:val="20"/>
              </w:rPr>
              <w:t>社会公众</w:t>
            </w:r>
            <w:r>
              <w:rPr>
                <w:spacing w:val="4"/>
                <w:sz w:val="20"/>
                <w:szCs w:val="20"/>
              </w:rPr>
              <w:t>满意度</w:t>
            </w:r>
            <w:r>
              <w:rPr>
                <w:spacing w:val="-4"/>
                <w:sz w:val="20"/>
                <w:szCs w:val="20"/>
              </w:rPr>
              <w:t>（10分）</w:t>
            </w:r>
          </w:p>
        </w:tc>
        <w:tc>
          <w:tcPr>
            <w:tcW w:w="6077" w:type="dxa"/>
            <w:gridSpan w:val="2"/>
            <w:vAlign w:val="top"/>
          </w:tcPr>
          <w:p w14:paraId="6B0480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42BF24C6">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25" w:right="133" w:firstLine="0" w:firstLineChars="0"/>
              <w:jc w:val="center"/>
              <w:textAlignment w:val="baseline"/>
              <w:rPr>
                <w:sz w:val="20"/>
                <w:szCs w:val="20"/>
              </w:rPr>
            </w:pPr>
            <w:r>
              <w:rPr>
                <w:spacing w:val="10"/>
                <w:sz w:val="20"/>
                <w:szCs w:val="20"/>
              </w:rPr>
              <w:t>进行满意度问卷调查，对象包括但不限于项</w:t>
            </w:r>
            <w:r>
              <w:rPr>
                <w:spacing w:val="9"/>
                <w:sz w:val="20"/>
                <w:szCs w:val="20"/>
              </w:rPr>
              <w:t>目周边住户、用水农户、用水企业及终端消</w:t>
            </w:r>
            <w:r>
              <w:rPr>
                <w:spacing w:val="-1"/>
                <w:sz w:val="20"/>
                <w:szCs w:val="20"/>
              </w:rPr>
              <w:t>费者。</w:t>
            </w:r>
          </w:p>
        </w:tc>
        <w:tc>
          <w:tcPr>
            <w:tcW w:w="3556" w:type="dxa"/>
            <w:vAlign w:val="top"/>
          </w:tcPr>
          <w:p w14:paraId="3BA2DB24">
            <w:pPr>
              <w:pStyle w:val="27"/>
              <w:keepNext w:val="0"/>
              <w:keepLines w:val="0"/>
              <w:pageBreakBefore w:val="0"/>
              <w:widowControl/>
              <w:kinsoku w:val="0"/>
              <w:wordWrap/>
              <w:overflowPunct/>
              <w:topLinePunct w:val="0"/>
              <w:autoSpaceDE w:val="0"/>
              <w:autoSpaceDN w:val="0"/>
              <w:bidi w:val="0"/>
              <w:adjustRightInd w:val="0"/>
              <w:snapToGrid w:val="0"/>
              <w:spacing w:before="207" w:line="240" w:lineRule="auto"/>
              <w:ind w:left="122" w:firstLine="0" w:firstLineChars="0"/>
              <w:jc w:val="center"/>
              <w:textAlignment w:val="baseline"/>
              <w:rPr>
                <w:sz w:val="20"/>
                <w:szCs w:val="20"/>
              </w:rPr>
            </w:pPr>
            <w:r>
              <w:rPr>
                <w:spacing w:val="5"/>
                <w:sz w:val="20"/>
                <w:szCs w:val="20"/>
              </w:rPr>
              <w:t>如满意度在90%以上，</w:t>
            </w:r>
            <w:r>
              <w:rPr>
                <w:spacing w:val="8"/>
                <w:sz w:val="20"/>
                <w:szCs w:val="20"/>
              </w:rPr>
              <w:t>则本项不扣分，满意</w:t>
            </w:r>
            <w:r>
              <w:rPr>
                <w:spacing w:val="3"/>
                <w:sz w:val="20"/>
                <w:szCs w:val="20"/>
              </w:rPr>
              <w:t>度每下降1%，扣0.2</w:t>
            </w:r>
            <w:r>
              <w:rPr>
                <w:spacing w:val="5"/>
                <w:sz w:val="20"/>
                <w:szCs w:val="20"/>
              </w:rPr>
              <w:t>分，扣完为止。</w:t>
            </w:r>
          </w:p>
        </w:tc>
      </w:tr>
      <w:tr w14:paraId="479C6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restart"/>
            <w:tcBorders>
              <w:bottom w:val="nil"/>
            </w:tcBorders>
            <w:vAlign w:val="top"/>
          </w:tcPr>
          <w:p w14:paraId="08EB32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ascii="Arial"/>
                <w:sz w:val="21"/>
              </w:rPr>
            </w:pPr>
          </w:p>
          <w:p w14:paraId="13AD2AB6">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210" w:right="213" w:firstLine="0" w:firstLineChars="0"/>
              <w:jc w:val="center"/>
              <w:textAlignment w:val="baseline"/>
              <w:rPr>
                <w:sz w:val="20"/>
                <w:szCs w:val="20"/>
              </w:rPr>
            </w:pPr>
            <w:r>
              <w:rPr>
                <w:spacing w:val="5"/>
                <w:sz w:val="20"/>
                <w:szCs w:val="20"/>
              </w:rPr>
              <w:t>协议执行</w:t>
            </w:r>
            <w:r>
              <w:rPr>
                <w:spacing w:val="-4"/>
                <w:sz w:val="20"/>
                <w:szCs w:val="20"/>
              </w:rPr>
              <w:t>（15分）</w:t>
            </w:r>
          </w:p>
        </w:tc>
        <w:tc>
          <w:tcPr>
            <w:tcW w:w="1569" w:type="dxa"/>
            <w:vMerge w:val="restart"/>
            <w:tcBorders>
              <w:bottom w:val="nil"/>
            </w:tcBorders>
            <w:vAlign w:val="top"/>
          </w:tcPr>
          <w:p w14:paraId="51CDCB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587A29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58BB34FA">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34" w:right="140" w:firstLine="0" w:firstLineChars="0"/>
              <w:jc w:val="center"/>
              <w:textAlignment w:val="baseline"/>
              <w:rPr>
                <w:sz w:val="20"/>
                <w:szCs w:val="20"/>
              </w:rPr>
            </w:pPr>
            <w:r>
              <w:rPr>
                <w:spacing w:val="4"/>
                <w:sz w:val="20"/>
                <w:szCs w:val="20"/>
              </w:rPr>
              <w:t>履约情况</w:t>
            </w:r>
            <w:r>
              <w:rPr>
                <w:spacing w:val="-4"/>
                <w:sz w:val="20"/>
                <w:szCs w:val="20"/>
              </w:rPr>
              <w:t>（15分）</w:t>
            </w:r>
          </w:p>
        </w:tc>
        <w:tc>
          <w:tcPr>
            <w:tcW w:w="1543" w:type="dxa"/>
            <w:vAlign w:val="top"/>
          </w:tcPr>
          <w:p w14:paraId="6804B650">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135" w:right="140" w:firstLine="0" w:firstLineChars="0"/>
              <w:jc w:val="both"/>
              <w:textAlignment w:val="baseline"/>
              <w:rPr>
                <w:rFonts w:hint="eastAsia" w:eastAsia="仿宋"/>
                <w:sz w:val="20"/>
                <w:szCs w:val="20"/>
                <w:lang w:eastAsia="zh-CN"/>
              </w:rPr>
            </w:pPr>
            <w:r>
              <w:rPr>
                <w:spacing w:val="5"/>
                <w:sz w:val="20"/>
                <w:szCs w:val="20"/>
              </w:rPr>
              <w:t>违约情况</w:t>
            </w:r>
            <w:r>
              <w:rPr>
                <w:spacing w:val="-4"/>
                <w:sz w:val="20"/>
                <w:szCs w:val="20"/>
              </w:rPr>
              <w:t>（10分</w:t>
            </w:r>
            <w:r>
              <w:rPr>
                <w:rFonts w:hint="eastAsia"/>
                <w:spacing w:val="-4"/>
                <w:sz w:val="20"/>
                <w:szCs w:val="20"/>
                <w:lang w:eastAsia="zh-CN"/>
              </w:rPr>
              <w:t>）</w:t>
            </w:r>
          </w:p>
        </w:tc>
        <w:tc>
          <w:tcPr>
            <w:tcW w:w="6077" w:type="dxa"/>
            <w:gridSpan w:val="2"/>
            <w:vAlign w:val="top"/>
          </w:tcPr>
          <w:p w14:paraId="32DBC5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73D20BA9">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8" w:firstLine="0" w:firstLineChars="0"/>
              <w:jc w:val="center"/>
              <w:textAlignment w:val="baseline"/>
              <w:rPr>
                <w:sz w:val="20"/>
                <w:szCs w:val="20"/>
              </w:rPr>
            </w:pPr>
            <w:r>
              <w:rPr>
                <w:spacing w:val="9"/>
                <w:sz w:val="20"/>
                <w:szCs w:val="20"/>
              </w:rPr>
              <w:t>特许经营者应严格按照特许经营协议等有关规定执</w:t>
            </w:r>
            <w:r>
              <w:rPr>
                <w:spacing w:val="8"/>
                <w:sz w:val="20"/>
                <w:szCs w:val="20"/>
              </w:rPr>
              <w:t>行。</w:t>
            </w:r>
          </w:p>
        </w:tc>
        <w:tc>
          <w:tcPr>
            <w:tcW w:w="3556" w:type="dxa"/>
            <w:vAlign w:val="top"/>
          </w:tcPr>
          <w:p w14:paraId="5B78AAED">
            <w:pPr>
              <w:pStyle w:val="27"/>
              <w:keepNext w:val="0"/>
              <w:keepLines w:val="0"/>
              <w:pageBreakBefore w:val="0"/>
              <w:widowControl/>
              <w:kinsoku w:val="0"/>
              <w:wordWrap/>
              <w:overflowPunct/>
              <w:topLinePunct w:val="0"/>
              <w:autoSpaceDE w:val="0"/>
              <w:autoSpaceDN w:val="0"/>
              <w:bidi w:val="0"/>
              <w:adjustRightInd w:val="0"/>
              <w:snapToGrid w:val="0"/>
              <w:spacing w:before="286" w:line="240" w:lineRule="auto"/>
              <w:ind w:left="162" w:right="148" w:firstLine="0" w:firstLineChars="0"/>
              <w:jc w:val="center"/>
              <w:textAlignment w:val="baseline"/>
              <w:rPr>
                <w:sz w:val="20"/>
                <w:szCs w:val="20"/>
              </w:rPr>
            </w:pPr>
            <w:r>
              <w:rPr>
                <w:spacing w:val="7"/>
                <w:sz w:val="20"/>
                <w:szCs w:val="20"/>
              </w:rPr>
              <w:t>每有一次特许经营者</w:t>
            </w:r>
            <w:r>
              <w:rPr>
                <w:spacing w:val="3"/>
                <w:sz w:val="20"/>
                <w:szCs w:val="20"/>
              </w:rPr>
              <w:t>违约情况扣0.2分。</w:t>
            </w:r>
          </w:p>
        </w:tc>
      </w:tr>
      <w:tr w14:paraId="0D246B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tcBorders>
            <w:vAlign w:val="top"/>
          </w:tcPr>
          <w:p w14:paraId="414091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69" w:type="dxa"/>
            <w:vMerge w:val="continue"/>
            <w:tcBorders>
              <w:top w:val="nil"/>
            </w:tcBorders>
            <w:vAlign w:val="top"/>
          </w:tcPr>
          <w:p w14:paraId="4398F9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43" w:type="dxa"/>
            <w:vAlign w:val="top"/>
          </w:tcPr>
          <w:p w14:paraId="34805FD6">
            <w:pPr>
              <w:pStyle w:val="27"/>
              <w:keepNext w:val="0"/>
              <w:keepLines w:val="0"/>
              <w:pageBreakBefore w:val="0"/>
              <w:widowControl/>
              <w:kinsoku w:val="0"/>
              <w:wordWrap/>
              <w:overflowPunct/>
              <w:topLinePunct w:val="0"/>
              <w:autoSpaceDE w:val="0"/>
              <w:autoSpaceDN w:val="0"/>
              <w:bidi w:val="0"/>
              <w:adjustRightInd w:val="0"/>
              <w:snapToGrid w:val="0"/>
              <w:spacing w:before="208" w:line="240" w:lineRule="auto"/>
              <w:ind w:left="185" w:right="146" w:firstLine="0" w:firstLineChars="0"/>
              <w:jc w:val="center"/>
              <w:textAlignment w:val="baseline"/>
              <w:rPr>
                <w:sz w:val="20"/>
                <w:szCs w:val="20"/>
              </w:rPr>
            </w:pPr>
            <w:r>
              <w:rPr>
                <w:spacing w:val="4"/>
                <w:sz w:val="20"/>
                <w:szCs w:val="20"/>
              </w:rPr>
              <w:t>公示情况</w:t>
            </w:r>
            <w:r>
              <w:rPr>
                <w:spacing w:val="-3"/>
                <w:sz w:val="20"/>
                <w:szCs w:val="20"/>
              </w:rPr>
              <w:t>（5分）</w:t>
            </w:r>
          </w:p>
        </w:tc>
        <w:tc>
          <w:tcPr>
            <w:tcW w:w="6077" w:type="dxa"/>
            <w:gridSpan w:val="2"/>
            <w:vAlign w:val="top"/>
          </w:tcPr>
          <w:p w14:paraId="6AFA8C2B">
            <w:pPr>
              <w:pStyle w:val="27"/>
              <w:keepNext w:val="0"/>
              <w:keepLines w:val="0"/>
              <w:pageBreakBefore w:val="0"/>
              <w:widowControl/>
              <w:kinsoku w:val="0"/>
              <w:wordWrap/>
              <w:overflowPunct/>
              <w:topLinePunct w:val="0"/>
              <w:autoSpaceDE w:val="0"/>
              <w:autoSpaceDN w:val="0"/>
              <w:bidi w:val="0"/>
              <w:adjustRightInd w:val="0"/>
              <w:snapToGrid w:val="0"/>
              <w:spacing w:before="288" w:line="240" w:lineRule="auto"/>
              <w:ind w:left="121" w:right="171" w:firstLine="0" w:firstLineChars="0"/>
              <w:jc w:val="center"/>
              <w:textAlignment w:val="baseline"/>
              <w:rPr>
                <w:sz w:val="20"/>
                <w:szCs w:val="20"/>
              </w:rPr>
            </w:pPr>
            <w:r>
              <w:rPr>
                <w:spacing w:val="9"/>
                <w:sz w:val="20"/>
                <w:szCs w:val="20"/>
              </w:rPr>
              <w:t>特许经营者应当将项目每季度建设运营情况、经</w:t>
            </w:r>
            <w:r>
              <w:rPr>
                <w:spacing w:val="8"/>
                <w:sz w:val="20"/>
                <w:szCs w:val="20"/>
              </w:rPr>
              <w:t>审计的年度财务报表、有关会计数据、</w:t>
            </w:r>
            <w:r>
              <w:rPr>
                <w:spacing w:val="9"/>
                <w:sz w:val="20"/>
                <w:szCs w:val="20"/>
              </w:rPr>
              <w:t>财务核算、资产管理情况和其他有关财务指标等信息，通过适当方式向社会公开。</w:t>
            </w:r>
          </w:p>
        </w:tc>
        <w:tc>
          <w:tcPr>
            <w:tcW w:w="3556" w:type="dxa"/>
            <w:vAlign w:val="top"/>
          </w:tcPr>
          <w:p w14:paraId="01A2E90F">
            <w:pPr>
              <w:pStyle w:val="27"/>
              <w:keepNext w:val="0"/>
              <w:keepLines w:val="0"/>
              <w:pageBreakBefore w:val="0"/>
              <w:widowControl/>
              <w:kinsoku w:val="0"/>
              <w:wordWrap/>
              <w:overflowPunct/>
              <w:topLinePunct w:val="0"/>
              <w:autoSpaceDE w:val="0"/>
              <w:autoSpaceDN w:val="0"/>
              <w:bidi w:val="0"/>
              <w:adjustRightInd w:val="0"/>
              <w:snapToGrid w:val="0"/>
              <w:spacing w:before="286" w:line="240" w:lineRule="auto"/>
              <w:ind w:left="0" w:leftChars="0" w:right="0" w:rightChars="0" w:firstLine="0" w:firstLineChars="0"/>
              <w:jc w:val="center"/>
              <w:textAlignment w:val="baseline"/>
              <w:rPr>
                <w:rFonts w:hint="eastAsia" w:eastAsia="仿宋"/>
                <w:sz w:val="20"/>
                <w:szCs w:val="20"/>
                <w:lang w:eastAsia="zh-CN"/>
              </w:rPr>
            </w:pPr>
            <w:r>
              <w:rPr>
                <w:spacing w:val="7"/>
                <w:sz w:val="20"/>
                <w:szCs w:val="20"/>
              </w:rPr>
              <w:t>每有一项未及时公示</w:t>
            </w:r>
            <w:r>
              <w:rPr>
                <w:spacing w:val="-2"/>
                <w:sz w:val="20"/>
                <w:szCs w:val="20"/>
              </w:rPr>
              <w:t>扣0.2分</w:t>
            </w:r>
            <w:r>
              <w:rPr>
                <w:rFonts w:hint="eastAsia"/>
                <w:spacing w:val="-2"/>
                <w:sz w:val="20"/>
                <w:szCs w:val="20"/>
                <w:lang w:eastAsia="zh-CN"/>
              </w:rPr>
              <w:t>。</w:t>
            </w:r>
          </w:p>
        </w:tc>
      </w:tr>
      <w:tr w14:paraId="73498B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restart"/>
            <w:tcBorders>
              <w:bottom w:val="nil"/>
            </w:tcBorders>
            <w:vAlign w:val="top"/>
          </w:tcPr>
          <w:p w14:paraId="51D3A3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5AC5B4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13D7D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422AC8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257BB0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62EF2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5BB70EB2">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210" w:right="213" w:firstLine="0" w:firstLineChars="0"/>
              <w:jc w:val="center"/>
              <w:textAlignment w:val="baseline"/>
              <w:rPr>
                <w:sz w:val="20"/>
                <w:szCs w:val="20"/>
              </w:rPr>
            </w:pPr>
            <w:r>
              <w:rPr>
                <w:spacing w:val="5"/>
                <w:sz w:val="20"/>
                <w:szCs w:val="20"/>
              </w:rPr>
              <w:t>项目效果</w:t>
            </w:r>
            <w:r>
              <w:rPr>
                <w:spacing w:val="-4"/>
                <w:sz w:val="20"/>
                <w:szCs w:val="20"/>
              </w:rPr>
              <w:t>（25分）</w:t>
            </w:r>
          </w:p>
        </w:tc>
        <w:tc>
          <w:tcPr>
            <w:tcW w:w="1569" w:type="dxa"/>
            <w:vMerge w:val="restart"/>
            <w:tcBorders>
              <w:bottom w:val="nil"/>
            </w:tcBorders>
            <w:vAlign w:val="top"/>
          </w:tcPr>
          <w:p w14:paraId="37B900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2757E8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386D38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72DE9AF">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34" w:right="140" w:firstLine="0" w:firstLineChars="0"/>
              <w:jc w:val="center"/>
              <w:textAlignment w:val="baseline"/>
              <w:rPr>
                <w:sz w:val="20"/>
                <w:szCs w:val="20"/>
              </w:rPr>
            </w:pPr>
            <w:r>
              <w:rPr>
                <w:spacing w:val="5"/>
                <w:sz w:val="20"/>
                <w:szCs w:val="20"/>
              </w:rPr>
              <w:t>直接效果</w:t>
            </w:r>
            <w:r>
              <w:rPr>
                <w:spacing w:val="-4"/>
                <w:sz w:val="20"/>
                <w:szCs w:val="20"/>
              </w:rPr>
              <w:t>（10分）</w:t>
            </w:r>
          </w:p>
        </w:tc>
        <w:tc>
          <w:tcPr>
            <w:tcW w:w="1543" w:type="dxa"/>
            <w:vAlign w:val="top"/>
          </w:tcPr>
          <w:p w14:paraId="5C8885B0">
            <w:pPr>
              <w:pStyle w:val="27"/>
              <w:keepNext w:val="0"/>
              <w:keepLines w:val="0"/>
              <w:pageBreakBefore w:val="0"/>
              <w:widowControl/>
              <w:kinsoku w:val="0"/>
              <w:wordWrap/>
              <w:overflowPunct/>
              <w:topLinePunct w:val="0"/>
              <w:autoSpaceDE w:val="0"/>
              <w:autoSpaceDN w:val="0"/>
              <w:bidi w:val="0"/>
              <w:adjustRightInd w:val="0"/>
              <w:snapToGrid w:val="0"/>
              <w:spacing w:before="287" w:line="240" w:lineRule="auto"/>
              <w:ind w:left="185" w:right="146" w:firstLine="0" w:firstLineChars="0"/>
              <w:jc w:val="center"/>
              <w:textAlignment w:val="baseline"/>
              <w:rPr>
                <w:sz w:val="20"/>
                <w:szCs w:val="20"/>
              </w:rPr>
            </w:pPr>
            <w:r>
              <w:rPr>
                <w:spacing w:val="5"/>
                <w:sz w:val="20"/>
                <w:szCs w:val="20"/>
              </w:rPr>
              <w:t>处罚情况</w:t>
            </w:r>
            <w:r>
              <w:rPr>
                <w:spacing w:val="-3"/>
                <w:sz w:val="20"/>
                <w:szCs w:val="20"/>
              </w:rPr>
              <w:t>（5分）</w:t>
            </w:r>
          </w:p>
        </w:tc>
        <w:tc>
          <w:tcPr>
            <w:tcW w:w="6077" w:type="dxa"/>
            <w:gridSpan w:val="2"/>
            <w:vAlign w:val="top"/>
          </w:tcPr>
          <w:p w14:paraId="1D1804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1F247CF7">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8" w:firstLine="0" w:firstLineChars="0"/>
              <w:jc w:val="center"/>
              <w:textAlignment w:val="baseline"/>
              <w:rPr>
                <w:sz w:val="20"/>
                <w:szCs w:val="20"/>
              </w:rPr>
            </w:pPr>
            <w:r>
              <w:rPr>
                <w:spacing w:val="9"/>
                <w:sz w:val="20"/>
                <w:szCs w:val="20"/>
              </w:rPr>
              <w:t>特许经营者应注意项目运营维护工作，不得出现政府相关部门行政处罚等情况。</w:t>
            </w:r>
          </w:p>
        </w:tc>
        <w:tc>
          <w:tcPr>
            <w:tcW w:w="3556" w:type="dxa"/>
            <w:vAlign w:val="top"/>
          </w:tcPr>
          <w:p w14:paraId="32A51DA0">
            <w:pPr>
              <w:pStyle w:val="27"/>
              <w:keepNext w:val="0"/>
              <w:keepLines w:val="0"/>
              <w:pageBreakBefore w:val="0"/>
              <w:widowControl/>
              <w:kinsoku w:val="0"/>
              <w:wordWrap/>
              <w:overflowPunct/>
              <w:topLinePunct w:val="0"/>
              <w:autoSpaceDE w:val="0"/>
              <w:autoSpaceDN w:val="0"/>
              <w:bidi w:val="0"/>
              <w:adjustRightInd w:val="0"/>
              <w:snapToGrid w:val="0"/>
              <w:spacing w:before="209" w:line="240" w:lineRule="auto"/>
              <w:ind w:left="168" w:firstLine="0" w:firstLineChars="0"/>
              <w:jc w:val="center"/>
              <w:textAlignment w:val="baseline"/>
              <w:rPr>
                <w:sz w:val="20"/>
                <w:szCs w:val="20"/>
              </w:rPr>
            </w:pPr>
            <w:r>
              <w:rPr>
                <w:spacing w:val="7"/>
                <w:sz w:val="20"/>
                <w:szCs w:val="20"/>
              </w:rPr>
              <w:t>每有一次因特许经营者原因出现行政处罚</w:t>
            </w:r>
            <w:r>
              <w:rPr>
                <w:spacing w:val="-13"/>
                <w:sz w:val="20"/>
                <w:szCs w:val="20"/>
              </w:rPr>
              <w:t>的，扣1分。</w:t>
            </w:r>
          </w:p>
        </w:tc>
      </w:tr>
      <w:tr w14:paraId="12B0BD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bottom w:val="nil"/>
            </w:tcBorders>
            <w:vAlign w:val="top"/>
          </w:tcPr>
          <w:p w14:paraId="62C52C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69" w:type="dxa"/>
            <w:vMerge w:val="continue"/>
            <w:tcBorders>
              <w:top w:val="nil"/>
            </w:tcBorders>
            <w:vAlign w:val="top"/>
          </w:tcPr>
          <w:p w14:paraId="40D07D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43" w:type="dxa"/>
            <w:vAlign w:val="top"/>
          </w:tcPr>
          <w:p w14:paraId="1E24B437">
            <w:pPr>
              <w:pStyle w:val="27"/>
              <w:keepNext w:val="0"/>
              <w:keepLines w:val="0"/>
              <w:pageBreakBefore w:val="0"/>
              <w:widowControl/>
              <w:kinsoku w:val="0"/>
              <w:wordWrap/>
              <w:overflowPunct/>
              <w:topLinePunct w:val="0"/>
              <w:autoSpaceDE w:val="0"/>
              <w:autoSpaceDN w:val="0"/>
              <w:bidi w:val="0"/>
              <w:adjustRightInd w:val="0"/>
              <w:snapToGrid w:val="0"/>
              <w:spacing w:before="288" w:line="240" w:lineRule="auto"/>
              <w:ind w:left="185" w:right="146" w:firstLine="0" w:firstLineChars="0"/>
              <w:jc w:val="center"/>
              <w:textAlignment w:val="baseline"/>
              <w:rPr>
                <w:sz w:val="20"/>
                <w:szCs w:val="20"/>
              </w:rPr>
            </w:pPr>
            <w:r>
              <w:rPr>
                <w:spacing w:val="6"/>
                <w:sz w:val="20"/>
                <w:szCs w:val="20"/>
              </w:rPr>
              <w:t>投诉解决</w:t>
            </w:r>
            <w:r>
              <w:rPr>
                <w:spacing w:val="-3"/>
                <w:sz w:val="20"/>
                <w:szCs w:val="20"/>
              </w:rPr>
              <w:t>（5分）</w:t>
            </w:r>
          </w:p>
        </w:tc>
        <w:tc>
          <w:tcPr>
            <w:tcW w:w="6077" w:type="dxa"/>
            <w:gridSpan w:val="2"/>
            <w:vAlign w:val="top"/>
          </w:tcPr>
          <w:p w14:paraId="79EF8D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0B941A49">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9" w:right="133" w:firstLine="0" w:firstLineChars="0"/>
              <w:jc w:val="center"/>
              <w:textAlignment w:val="baseline"/>
              <w:rPr>
                <w:sz w:val="20"/>
                <w:szCs w:val="20"/>
              </w:rPr>
            </w:pPr>
            <w:r>
              <w:rPr>
                <w:spacing w:val="10"/>
                <w:sz w:val="20"/>
                <w:szCs w:val="20"/>
              </w:rPr>
              <w:t>项目运营过程中收到社会公众直接投诉或政</w:t>
            </w:r>
            <w:r>
              <w:rPr>
                <w:spacing w:val="9"/>
                <w:sz w:val="20"/>
                <w:szCs w:val="20"/>
              </w:rPr>
              <w:t>府部门转发的投诉时，应及时反馈、及时处</w:t>
            </w:r>
            <w:r>
              <w:rPr>
                <w:spacing w:val="-4"/>
                <w:sz w:val="20"/>
                <w:szCs w:val="20"/>
              </w:rPr>
              <w:t>理。</w:t>
            </w:r>
          </w:p>
        </w:tc>
        <w:tc>
          <w:tcPr>
            <w:tcW w:w="3556" w:type="dxa"/>
            <w:vAlign w:val="top"/>
          </w:tcPr>
          <w:p w14:paraId="464F4A42">
            <w:pPr>
              <w:pStyle w:val="27"/>
              <w:keepNext w:val="0"/>
              <w:keepLines w:val="0"/>
              <w:pageBreakBefore w:val="0"/>
              <w:widowControl/>
              <w:kinsoku w:val="0"/>
              <w:wordWrap/>
              <w:overflowPunct/>
              <w:topLinePunct w:val="0"/>
              <w:autoSpaceDE w:val="0"/>
              <w:autoSpaceDN w:val="0"/>
              <w:bidi w:val="0"/>
              <w:adjustRightInd w:val="0"/>
              <w:snapToGrid w:val="0"/>
              <w:spacing w:before="212" w:line="240" w:lineRule="auto"/>
              <w:ind w:left="172" w:firstLine="0" w:firstLineChars="0"/>
              <w:jc w:val="center"/>
              <w:textAlignment w:val="baseline"/>
              <w:rPr>
                <w:sz w:val="20"/>
                <w:szCs w:val="20"/>
              </w:rPr>
            </w:pPr>
            <w:r>
              <w:rPr>
                <w:spacing w:val="7"/>
                <w:sz w:val="20"/>
                <w:szCs w:val="20"/>
              </w:rPr>
              <w:t>收到投诉未及时反馈</w:t>
            </w:r>
            <w:r>
              <w:rPr>
                <w:spacing w:val="6"/>
                <w:sz w:val="20"/>
                <w:szCs w:val="20"/>
              </w:rPr>
              <w:t>/处理的，每有一次扣</w:t>
            </w:r>
            <w:r>
              <w:rPr>
                <w:spacing w:val="-1"/>
                <w:sz w:val="20"/>
                <w:szCs w:val="20"/>
              </w:rPr>
              <w:t>0.5分。</w:t>
            </w:r>
          </w:p>
        </w:tc>
      </w:tr>
      <w:tr w14:paraId="44C248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bottom w:val="nil"/>
            </w:tcBorders>
            <w:vAlign w:val="top"/>
          </w:tcPr>
          <w:p w14:paraId="5C933B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69" w:type="dxa"/>
            <w:vAlign w:val="top"/>
          </w:tcPr>
          <w:p w14:paraId="080B69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228A31DF">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4" w:right="148" w:firstLine="0" w:firstLineChars="0"/>
              <w:jc w:val="center"/>
              <w:textAlignment w:val="baseline"/>
              <w:rPr>
                <w:sz w:val="20"/>
                <w:szCs w:val="20"/>
              </w:rPr>
            </w:pPr>
            <w:r>
              <w:rPr>
                <w:spacing w:val="5"/>
                <w:sz w:val="20"/>
                <w:szCs w:val="20"/>
              </w:rPr>
              <w:t>外部影响</w:t>
            </w:r>
            <w:r>
              <w:rPr>
                <w:spacing w:val="-3"/>
                <w:sz w:val="20"/>
                <w:szCs w:val="20"/>
              </w:rPr>
              <w:t>（7分）</w:t>
            </w:r>
          </w:p>
        </w:tc>
        <w:tc>
          <w:tcPr>
            <w:tcW w:w="1543" w:type="dxa"/>
            <w:vAlign w:val="top"/>
          </w:tcPr>
          <w:p w14:paraId="5C9551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7DD57AA">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5" w:right="146" w:firstLine="0" w:firstLineChars="0"/>
              <w:jc w:val="center"/>
              <w:textAlignment w:val="baseline"/>
              <w:rPr>
                <w:sz w:val="20"/>
                <w:szCs w:val="20"/>
              </w:rPr>
            </w:pPr>
            <w:r>
              <w:rPr>
                <w:spacing w:val="3"/>
                <w:sz w:val="20"/>
                <w:szCs w:val="20"/>
              </w:rPr>
              <w:t>舆情处理</w:t>
            </w:r>
            <w:r>
              <w:rPr>
                <w:spacing w:val="-3"/>
                <w:sz w:val="20"/>
                <w:szCs w:val="20"/>
              </w:rPr>
              <w:t>（7分）</w:t>
            </w:r>
          </w:p>
        </w:tc>
        <w:tc>
          <w:tcPr>
            <w:tcW w:w="6077" w:type="dxa"/>
            <w:gridSpan w:val="2"/>
            <w:vAlign w:val="top"/>
          </w:tcPr>
          <w:p w14:paraId="290AA9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152FB2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3FA9CF51">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9" w:firstLine="0" w:firstLineChars="0"/>
              <w:jc w:val="center"/>
              <w:textAlignment w:val="baseline"/>
              <w:rPr>
                <w:sz w:val="20"/>
                <w:szCs w:val="20"/>
              </w:rPr>
            </w:pPr>
            <w:r>
              <w:rPr>
                <w:spacing w:val="9"/>
                <w:sz w:val="20"/>
                <w:szCs w:val="20"/>
              </w:rPr>
              <w:t>项目运营过程中应控制不得出现公众舆情事件，若出现的，应最大程度予以控制解决。</w:t>
            </w:r>
          </w:p>
        </w:tc>
        <w:tc>
          <w:tcPr>
            <w:tcW w:w="3556" w:type="dxa"/>
            <w:vAlign w:val="top"/>
          </w:tcPr>
          <w:p w14:paraId="372E6D03">
            <w:pPr>
              <w:pStyle w:val="27"/>
              <w:keepNext w:val="0"/>
              <w:keepLines w:val="0"/>
              <w:pageBreakBefore w:val="0"/>
              <w:widowControl/>
              <w:kinsoku w:val="0"/>
              <w:wordWrap/>
              <w:overflowPunct/>
              <w:topLinePunct w:val="0"/>
              <w:autoSpaceDE w:val="0"/>
              <w:autoSpaceDN w:val="0"/>
              <w:bidi w:val="0"/>
              <w:adjustRightInd w:val="0"/>
              <w:snapToGrid w:val="0"/>
              <w:spacing w:before="213" w:line="240" w:lineRule="auto"/>
              <w:ind w:left="120" w:right="107" w:firstLine="0" w:firstLineChars="0"/>
              <w:jc w:val="center"/>
              <w:textAlignment w:val="baseline"/>
              <w:rPr>
                <w:sz w:val="20"/>
                <w:szCs w:val="20"/>
              </w:rPr>
            </w:pPr>
            <w:r>
              <w:rPr>
                <w:spacing w:val="7"/>
                <w:sz w:val="20"/>
                <w:szCs w:val="20"/>
              </w:rPr>
              <w:t>每出现一次因特许经</w:t>
            </w:r>
            <w:r>
              <w:rPr>
                <w:spacing w:val="12"/>
                <w:sz w:val="20"/>
                <w:szCs w:val="20"/>
              </w:rPr>
              <w:t>营者原因导致的舆情</w:t>
            </w:r>
            <w:r>
              <w:rPr>
                <w:spacing w:val="-6"/>
                <w:sz w:val="20"/>
                <w:szCs w:val="20"/>
              </w:rPr>
              <w:t>事件扣1分，处置不</w:t>
            </w:r>
            <w:r>
              <w:rPr>
                <w:spacing w:val="12"/>
                <w:sz w:val="20"/>
                <w:szCs w:val="20"/>
              </w:rPr>
              <w:t>当造成不良社会影响的，再扣1分。</w:t>
            </w:r>
          </w:p>
        </w:tc>
      </w:tr>
      <w:tr w14:paraId="650705C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restart"/>
            <w:tcBorders>
              <w:top w:val="nil"/>
              <w:bottom w:val="nil"/>
            </w:tcBorders>
            <w:vAlign w:val="top"/>
          </w:tcPr>
          <w:p w14:paraId="219450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69" w:type="dxa"/>
            <w:vMerge w:val="restart"/>
            <w:vAlign w:val="top"/>
          </w:tcPr>
          <w:p w14:paraId="6392FF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ascii="Arial"/>
                <w:sz w:val="21"/>
              </w:rPr>
            </w:pPr>
          </w:p>
          <w:p w14:paraId="4C501D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8AEFD24">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84" w:leftChars="0" w:right="148" w:rightChars="0" w:firstLine="0" w:firstLineChars="0"/>
              <w:jc w:val="center"/>
              <w:textAlignment w:val="baseline"/>
              <w:rPr>
                <w:spacing w:val="5"/>
                <w:sz w:val="20"/>
                <w:szCs w:val="20"/>
              </w:rPr>
            </w:pPr>
            <w:r>
              <w:rPr>
                <w:spacing w:val="5"/>
                <w:sz w:val="20"/>
                <w:szCs w:val="20"/>
              </w:rPr>
              <w:t>可持续性</w:t>
            </w:r>
            <w:r>
              <w:rPr>
                <w:spacing w:val="-3"/>
                <w:sz w:val="20"/>
                <w:szCs w:val="20"/>
              </w:rPr>
              <w:t>（8分）</w:t>
            </w:r>
          </w:p>
        </w:tc>
        <w:tc>
          <w:tcPr>
            <w:tcW w:w="1543" w:type="dxa"/>
            <w:vAlign w:val="top"/>
          </w:tcPr>
          <w:p w14:paraId="193D02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249A14A3">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59" w:firstLine="0" w:firstLineChars="0"/>
              <w:jc w:val="center"/>
              <w:textAlignment w:val="baseline"/>
              <w:rPr>
                <w:sz w:val="20"/>
                <w:szCs w:val="20"/>
              </w:rPr>
            </w:pPr>
            <w:r>
              <w:rPr>
                <w:spacing w:val="5"/>
                <w:sz w:val="20"/>
                <w:szCs w:val="20"/>
              </w:rPr>
              <w:t>运营维护</w:t>
            </w:r>
          </w:p>
          <w:p w14:paraId="2BFD017C">
            <w:pPr>
              <w:pStyle w:val="27"/>
              <w:keepNext w:val="0"/>
              <w:keepLines w:val="0"/>
              <w:pageBreakBefore w:val="0"/>
              <w:widowControl/>
              <w:kinsoku w:val="0"/>
              <w:wordWrap/>
              <w:overflowPunct/>
              <w:topLinePunct w:val="0"/>
              <w:autoSpaceDE w:val="0"/>
              <w:autoSpaceDN w:val="0"/>
              <w:bidi w:val="0"/>
              <w:adjustRightInd w:val="0"/>
              <w:snapToGrid w:val="0"/>
              <w:spacing w:before="61" w:line="240" w:lineRule="auto"/>
              <w:ind w:left="185" w:leftChars="0" w:right="146" w:rightChars="0" w:firstLine="0" w:firstLineChars="0"/>
              <w:jc w:val="center"/>
              <w:textAlignment w:val="baseline"/>
              <w:rPr>
                <w:spacing w:val="3"/>
                <w:sz w:val="20"/>
                <w:szCs w:val="20"/>
              </w:rPr>
            </w:pPr>
            <w:r>
              <w:rPr>
                <w:spacing w:val="5"/>
                <w:sz w:val="20"/>
                <w:szCs w:val="20"/>
              </w:rPr>
              <w:t>可持续性</w:t>
            </w:r>
            <w:r>
              <w:rPr>
                <w:spacing w:val="-3"/>
                <w:sz w:val="20"/>
                <w:szCs w:val="20"/>
              </w:rPr>
              <w:t>（4分）</w:t>
            </w:r>
          </w:p>
        </w:tc>
        <w:tc>
          <w:tcPr>
            <w:tcW w:w="6077" w:type="dxa"/>
            <w:gridSpan w:val="2"/>
            <w:vAlign w:val="top"/>
          </w:tcPr>
          <w:p w14:paraId="5A7E5C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ascii="Arial"/>
                <w:sz w:val="21"/>
              </w:rPr>
            </w:pPr>
          </w:p>
          <w:p w14:paraId="3B2A07CE">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18" w:leftChars="0" w:right="133" w:rightChars="0" w:firstLine="0" w:firstLineChars="0"/>
              <w:jc w:val="center"/>
              <w:textAlignment w:val="baseline"/>
              <w:rPr>
                <w:spacing w:val="9"/>
                <w:sz w:val="20"/>
                <w:szCs w:val="20"/>
              </w:rPr>
            </w:pPr>
            <w:r>
              <w:rPr>
                <w:spacing w:val="10"/>
                <w:sz w:val="20"/>
                <w:szCs w:val="20"/>
              </w:rPr>
              <w:t>特许经营者需在运营时同步提交一套完整的运营</w:t>
            </w:r>
            <w:r>
              <w:rPr>
                <w:spacing w:val="9"/>
                <w:sz w:val="20"/>
                <w:szCs w:val="20"/>
              </w:rPr>
              <w:t>维护手册交实施机构审查确认后执行，</w:t>
            </w:r>
            <w:r>
              <w:rPr>
                <w:spacing w:val="10"/>
                <w:sz w:val="20"/>
                <w:szCs w:val="20"/>
              </w:rPr>
              <w:t>特许经营者应按照实施机构意见进行调整，并在</w:t>
            </w:r>
            <w:r>
              <w:rPr>
                <w:spacing w:val="9"/>
                <w:sz w:val="20"/>
                <w:szCs w:val="20"/>
              </w:rPr>
              <w:t>之后运营年度根据实施机构意见及项目</w:t>
            </w:r>
            <w:r>
              <w:rPr>
                <w:spacing w:val="7"/>
                <w:sz w:val="20"/>
                <w:szCs w:val="20"/>
              </w:rPr>
              <w:t>实际需要进行动态调整。</w:t>
            </w:r>
          </w:p>
        </w:tc>
        <w:tc>
          <w:tcPr>
            <w:tcW w:w="3556" w:type="dxa"/>
            <w:vAlign w:val="top"/>
          </w:tcPr>
          <w:p w14:paraId="2749FDC6">
            <w:pPr>
              <w:pStyle w:val="27"/>
              <w:keepNext w:val="0"/>
              <w:keepLines w:val="0"/>
              <w:pageBreakBefore w:val="0"/>
              <w:widowControl/>
              <w:numPr>
                <w:ilvl w:val="0"/>
                <w:numId w:val="51"/>
              </w:numPr>
              <w:kinsoku w:val="0"/>
              <w:wordWrap/>
              <w:overflowPunct/>
              <w:topLinePunct w:val="0"/>
              <w:autoSpaceDE w:val="0"/>
              <w:autoSpaceDN w:val="0"/>
              <w:bidi w:val="0"/>
              <w:adjustRightInd w:val="0"/>
              <w:snapToGrid w:val="0"/>
              <w:spacing w:before="209" w:line="240" w:lineRule="auto"/>
              <w:ind w:left="0" w:leftChars="0" w:right="148" w:firstLine="0" w:firstLineChars="0"/>
              <w:jc w:val="both"/>
              <w:textAlignment w:val="baseline"/>
              <w:rPr>
                <w:spacing w:val="6"/>
                <w:sz w:val="20"/>
                <w:szCs w:val="20"/>
              </w:rPr>
            </w:pPr>
            <w:r>
              <w:rPr>
                <w:spacing w:val="6"/>
                <w:sz w:val="20"/>
                <w:szCs w:val="20"/>
              </w:rPr>
              <w:t>运营维护手册未提交的本项不得分；</w:t>
            </w:r>
          </w:p>
          <w:p w14:paraId="256815E5">
            <w:pPr>
              <w:pStyle w:val="27"/>
              <w:keepNext w:val="0"/>
              <w:keepLines w:val="0"/>
              <w:pageBreakBefore w:val="0"/>
              <w:widowControl/>
              <w:numPr>
                <w:ilvl w:val="0"/>
                <w:numId w:val="51"/>
              </w:numPr>
              <w:kinsoku w:val="0"/>
              <w:wordWrap/>
              <w:overflowPunct/>
              <w:topLinePunct w:val="0"/>
              <w:autoSpaceDE w:val="0"/>
              <w:autoSpaceDN w:val="0"/>
              <w:bidi w:val="0"/>
              <w:adjustRightInd w:val="0"/>
              <w:snapToGrid w:val="0"/>
              <w:spacing w:before="209" w:line="240" w:lineRule="auto"/>
              <w:ind w:left="0" w:leftChars="0" w:right="148" w:firstLine="0" w:firstLineChars="0"/>
              <w:jc w:val="both"/>
              <w:textAlignment w:val="baseline"/>
              <w:rPr>
                <w:spacing w:val="7"/>
                <w:sz w:val="20"/>
                <w:szCs w:val="20"/>
              </w:rPr>
            </w:pPr>
            <w:r>
              <w:rPr>
                <w:spacing w:val="7"/>
                <w:sz w:val="20"/>
                <w:szCs w:val="20"/>
              </w:rPr>
              <w:t>2.运营维护手册未按实施机构要求或项目实际需要修改的，每</w:t>
            </w:r>
            <w:r>
              <w:rPr>
                <w:spacing w:val="13"/>
                <w:sz w:val="20"/>
                <w:szCs w:val="20"/>
              </w:rPr>
              <w:t>有一处扣0.2分。</w:t>
            </w:r>
          </w:p>
        </w:tc>
      </w:tr>
      <w:tr w14:paraId="7659C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jc w:val="center"/>
        </w:trPr>
        <w:tc>
          <w:tcPr>
            <w:tcW w:w="1211" w:type="dxa"/>
            <w:vMerge w:val="continue"/>
            <w:tcBorders>
              <w:top w:val="nil"/>
            </w:tcBorders>
            <w:vAlign w:val="top"/>
          </w:tcPr>
          <w:p w14:paraId="4F6B08D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tc>
        <w:tc>
          <w:tcPr>
            <w:tcW w:w="1569" w:type="dxa"/>
            <w:vMerge w:val="continue"/>
            <w:vAlign w:val="top"/>
          </w:tcPr>
          <w:p w14:paraId="50F577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spacing w:val="5"/>
                <w:sz w:val="20"/>
                <w:szCs w:val="20"/>
              </w:rPr>
            </w:pPr>
          </w:p>
        </w:tc>
        <w:tc>
          <w:tcPr>
            <w:tcW w:w="1543" w:type="dxa"/>
            <w:vAlign w:val="top"/>
          </w:tcPr>
          <w:p w14:paraId="5373D2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7C67FC4E">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160" w:firstLine="0" w:firstLineChars="0"/>
              <w:jc w:val="center"/>
              <w:textAlignment w:val="baseline"/>
              <w:rPr>
                <w:sz w:val="20"/>
                <w:szCs w:val="20"/>
              </w:rPr>
            </w:pPr>
            <w:r>
              <w:rPr>
                <w:spacing w:val="5"/>
                <w:sz w:val="20"/>
                <w:szCs w:val="20"/>
              </w:rPr>
              <w:t>财务可持</w:t>
            </w:r>
          </w:p>
          <w:p w14:paraId="5D9AE3EE">
            <w:pPr>
              <w:pStyle w:val="27"/>
              <w:keepNext w:val="0"/>
              <w:keepLines w:val="0"/>
              <w:pageBreakBefore w:val="0"/>
              <w:widowControl/>
              <w:kinsoku w:val="0"/>
              <w:wordWrap/>
              <w:overflowPunct/>
              <w:topLinePunct w:val="0"/>
              <w:autoSpaceDE w:val="0"/>
              <w:autoSpaceDN w:val="0"/>
              <w:bidi w:val="0"/>
              <w:adjustRightInd w:val="0"/>
              <w:snapToGrid w:val="0"/>
              <w:spacing w:before="60" w:line="240" w:lineRule="auto"/>
              <w:ind w:left="186" w:leftChars="0" w:right="193" w:rightChars="0" w:firstLine="0" w:firstLineChars="0"/>
              <w:jc w:val="center"/>
              <w:textAlignment w:val="baseline"/>
              <w:rPr>
                <w:spacing w:val="3"/>
                <w:sz w:val="20"/>
                <w:szCs w:val="20"/>
              </w:rPr>
            </w:pPr>
            <w:r>
              <w:rPr>
                <w:spacing w:val="2"/>
                <w:sz w:val="20"/>
                <w:szCs w:val="20"/>
              </w:rPr>
              <w:t>续性</w:t>
            </w:r>
            <w:r>
              <w:rPr>
                <w:spacing w:val="-5"/>
                <w:sz w:val="20"/>
                <w:szCs w:val="20"/>
              </w:rPr>
              <w:t>（4分）</w:t>
            </w:r>
          </w:p>
        </w:tc>
        <w:tc>
          <w:tcPr>
            <w:tcW w:w="6077" w:type="dxa"/>
            <w:gridSpan w:val="2"/>
            <w:vAlign w:val="top"/>
          </w:tcPr>
          <w:p w14:paraId="6336B2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ascii="Arial"/>
                <w:sz w:val="21"/>
              </w:rPr>
            </w:pPr>
          </w:p>
          <w:p w14:paraId="6928D5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both"/>
              <w:textAlignment w:val="baseline"/>
              <w:rPr>
                <w:rFonts w:ascii="Arial"/>
                <w:sz w:val="21"/>
              </w:rPr>
            </w:pPr>
          </w:p>
          <w:p w14:paraId="653C08D2">
            <w:pPr>
              <w:pStyle w:val="27"/>
              <w:keepNext w:val="0"/>
              <w:keepLines w:val="0"/>
              <w:pageBreakBefore w:val="0"/>
              <w:widowControl/>
              <w:kinsoku w:val="0"/>
              <w:wordWrap/>
              <w:overflowPunct/>
              <w:topLinePunct w:val="0"/>
              <w:autoSpaceDE w:val="0"/>
              <w:autoSpaceDN w:val="0"/>
              <w:bidi w:val="0"/>
              <w:adjustRightInd w:val="0"/>
              <w:snapToGrid w:val="0"/>
              <w:spacing w:before="65" w:line="240" w:lineRule="auto"/>
              <w:ind w:left="0" w:leftChars="0" w:firstLine="0" w:firstLineChars="0"/>
              <w:jc w:val="both"/>
              <w:textAlignment w:val="baseline"/>
              <w:rPr>
                <w:spacing w:val="9"/>
                <w:sz w:val="20"/>
                <w:szCs w:val="20"/>
              </w:rPr>
            </w:pPr>
            <w:r>
              <w:rPr>
                <w:spacing w:val="8"/>
                <w:sz w:val="20"/>
                <w:szCs w:val="20"/>
              </w:rPr>
              <w:t>审查本项目年度财务审计报告，对本项目财务状况等信息进行研判。</w:t>
            </w:r>
          </w:p>
        </w:tc>
        <w:tc>
          <w:tcPr>
            <w:tcW w:w="3556" w:type="dxa"/>
            <w:vAlign w:val="top"/>
          </w:tcPr>
          <w:p w14:paraId="009638FB">
            <w:pPr>
              <w:pStyle w:val="27"/>
              <w:keepNext w:val="0"/>
              <w:keepLines w:val="0"/>
              <w:pageBreakBefore w:val="0"/>
              <w:widowControl/>
              <w:kinsoku w:val="0"/>
              <w:wordWrap/>
              <w:overflowPunct/>
              <w:topLinePunct w:val="0"/>
              <w:autoSpaceDE w:val="0"/>
              <w:autoSpaceDN w:val="0"/>
              <w:bidi w:val="0"/>
              <w:adjustRightInd w:val="0"/>
              <w:snapToGrid w:val="0"/>
              <w:spacing w:before="210" w:line="240" w:lineRule="auto"/>
              <w:ind w:left="0" w:leftChars="0" w:right="148" w:firstLine="0" w:firstLineChars="0"/>
              <w:jc w:val="both"/>
              <w:textAlignment w:val="baseline"/>
              <w:rPr>
                <w:sz w:val="20"/>
                <w:szCs w:val="20"/>
              </w:rPr>
            </w:pPr>
            <w:r>
              <w:rPr>
                <w:spacing w:val="6"/>
                <w:sz w:val="20"/>
                <w:szCs w:val="20"/>
              </w:rPr>
              <w:t>1.无财务审计报告的</w:t>
            </w:r>
            <w:r>
              <w:rPr>
                <w:spacing w:val="5"/>
                <w:sz w:val="20"/>
                <w:szCs w:val="20"/>
              </w:rPr>
              <w:t>本项不得分；</w:t>
            </w:r>
          </w:p>
          <w:p w14:paraId="599D688F">
            <w:pPr>
              <w:pStyle w:val="27"/>
              <w:keepNext w:val="0"/>
              <w:keepLines w:val="0"/>
              <w:pageBreakBefore w:val="0"/>
              <w:widowControl/>
              <w:kinsoku w:val="0"/>
              <w:wordWrap/>
              <w:overflowPunct/>
              <w:topLinePunct w:val="0"/>
              <w:autoSpaceDE w:val="0"/>
              <w:autoSpaceDN w:val="0"/>
              <w:bidi w:val="0"/>
              <w:adjustRightInd w:val="0"/>
              <w:snapToGrid w:val="0"/>
              <w:spacing w:before="190" w:line="240" w:lineRule="auto"/>
              <w:ind w:left="0" w:leftChars="0" w:firstLine="0" w:firstLineChars="0"/>
              <w:jc w:val="both"/>
              <w:textAlignment w:val="baseline"/>
              <w:rPr>
                <w:spacing w:val="7"/>
                <w:sz w:val="20"/>
                <w:szCs w:val="20"/>
              </w:rPr>
            </w:pPr>
            <w:r>
              <w:rPr>
                <w:spacing w:val="7"/>
                <w:sz w:val="20"/>
                <w:szCs w:val="20"/>
              </w:rPr>
              <w:t>2.每有一处财务指标</w:t>
            </w:r>
            <w:r>
              <w:rPr>
                <w:spacing w:val="8"/>
                <w:sz w:val="20"/>
                <w:szCs w:val="20"/>
              </w:rPr>
              <w:t>异常且无合理理由解</w:t>
            </w:r>
            <w:r>
              <w:rPr>
                <w:spacing w:val="1"/>
                <w:sz w:val="20"/>
                <w:szCs w:val="20"/>
              </w:rPr>
              <w:t>释的扣0.2分。</w:t>
            </w:r>
          </w:p>
        </w:tc>
      </w:tr>
    </w:tbl>
    <w:p w14:paraId="7D52FA55">
      <w:pPr>
        <w:bidi w:val="0"/>
      </w:pPr>
      <w:r>
        <w:t>注：</w:t>
      </w:r>
    </w:p>
    <w:p w14:paraId="621EF35A">
      <w:pPr>
        <w:bidi w:val="0"/>
      </w:pPr>
      <w:r>
        <w:t>1、若国家、省、市出台具体考核办法或新的相关规定，则上表中与之不一致的或未作约定的或约定不明的</w:t>
      </w:r>
      <w:r>
        <w:rPr>
          <w:rFonts w:hint="eastAsia"/>
          <w:lang w:eastAsia="zh-CN"/>
        </w:rPr>
        <w:t>，</w:t>
      </w:r>
      <w:r>
        <w:t>以国家、省、市出</w:t>
      </w:r>
      <w:r>
        <w:rPr>
          <w:rFonts w:hint="eastAsia"/>
          <w:lang w:eastAsia="zh-CN"/>
        </w:rPr>
        <w:t>台的</w:t>
      </w:r>
      <w:r>
        <w:t>标准为准进行调整。</w:t>
      </w:r>
    </w:p>
    <w:p w14:paraId="4616F119">
      <w:pPr>
        <w:bidi w:val="0"/>
      </w:pPr>
      <w:r>
        <w:t>2、经项目实施机构与特许经营者协商一致，可根据项目实际需要对考核标准进行调整。</w:t>
      </w:r>
    </w:p>
    <w:p w14:paraId="5F063F39">
      <w:pPr>
        <w:spacing w:line="221" w:lineRule="auto"/>
        <w:rPr>
          <w:rFonts w:ascii="仿宋" w:hAnsi="仿宋" w:eastAsia="仿宋" w:cs="仿宋"/>
          <w:sz w:val="31"/>
          <w:szCs w:val="31"/>
        </w:rPr>
        <w:sectPr>
          <w:footerReference r:id="rId20" w:type="default"/>
          <w:pgSz w:w="16839" w:h="11906"/>
          <w:pgMar w:top="1134" w:right="1009" w:bottom="1283" w:left="1867" w:header="862" w:footer="1121" w:gutter="0"/>
          <w:pgNumType w:fmt="decimal"/>
          <w:cols w:space="720" w:num="1"/>
        </w:sectPr>
      </w:pPr>
    </w:p>
    <w:p w14:paraId="51EF0C7E">
      <w:pPr>
        <w:pStyle w:val="6"/>
        <w:numPr>
          <w:ilvl w:val="3"/>
          <w:numId w:val="0"/>
        </w:numPr>
        <w:bidi w:val="0"/>
        <w:ind w:leftChars="0"/>
      </w:pPr>
      <w:bookmarkStart w:id="191" w:name="bookmark113"/>
      <w:bookmarkEnd w:id="191"/>
      <w:r>
        <w:t>附件5：资本金现金流量表</w:t>
      </w:r>
    </w:p>
    <w:tbl>
      <w:tblPr>
        <w:tblStyle w:val="15"/>
        <w:tblW w:w="531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6"/>
        <w:gridCol w:w="1976"/>
        <w:gridCol w:w="856"/>
        <w:gridCol w:w="856"/>
        <w:gridCol w:w="856"/>
        <w:gridCol w:w="856"/>
        <w:gridCol w:w="856"/>
        <w:gridCol w:w="856"/>
        <w:gridCol w:w="856"/>
        <w:gridCol w:w="856"/>
        <w:gridCol w:w="856"/>
        <w:gridCol w:w="856"/>
        <w:gridCol w:w="856"/>
        <w:gridCol w:w="856"/>
        <w:gridCol w:w="856"/>
        <w:gridCol w:w="856"/>
        <w:gridCol w:w="856"/>
        <w:gridCol w:w="856"/>
      </w:tblGrid>
      <w:tr w14:paraId="4046B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17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3F3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序号</w:t>
            </w:r>
          </w:p>
        </w:tc>
        <w:tc>
          <w:tcPr>
            <w:tcW w:w="583"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4B6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项目</w:t>
            </w:r>
          </w:p>
        </w:tc>
        <w:tc>
          <w:tcPr>
            <w:tcW w:w="26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41A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合计</w:t>
            </w:r>
          </w:p>
        </w:tc>
        <w:tc>
          <w:tcPr>
            <w:tcW w:w="3977"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AD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运营期</w:t>
            </w:r>
          </w:p>
        </w:tc>
      </w:tr>
      <w:tr w14:paraId="32207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C6C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58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91B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D4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52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57E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DB3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第3年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1B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第4年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F209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第5年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078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第6年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6B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第7年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31B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第8年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16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第9年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AE5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第10年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532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第11年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120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第12年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4A8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第13年</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47D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第14年</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3E02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第15年</w:t>
            </w:r>
          </w:p>
        </w:tc>
      </w:tr>
      <w:tr w14:paraId="2B46C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39F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3708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现金流入</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139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95418.04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C50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2320.25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A84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2527.57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22F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2734.89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0A6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2827.55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739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2827.55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709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2873.87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B57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2873.87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B18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2873.87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731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2873.87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79C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2873.87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07C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3011.07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6CE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3011.07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6A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3011.07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80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3011.07</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E22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3011.07</w:t>
            </w:r>
          </w:p>
        </w:tc>
      </w:tr>
      <w:tr w14:paraId="48E1F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B66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6E0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营业收入</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85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87786.26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E4F0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2266.69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A46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2466.36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62B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2666.03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68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2751.04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1EC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2751.04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CC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2793.54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8E3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2793.54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E34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2793.54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870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2793.54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A762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2793.54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56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2926.72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4CC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2926.72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E6DA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2926.72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62BA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2926.72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905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2926.72</w:t>
            </w:r>
          </w:p>
        </w:tc>
      </w:tr>
      <w:tr w14:paraId="42D88B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E6B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282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销项税</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2D2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2556.09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63F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53.56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7C90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61.21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56D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68.86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D89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76.51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D69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76.51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D17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4B4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319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A37D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73C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80.33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D48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84.35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ABE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84.35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9EF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84.35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91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84.35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DC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84.35</w:t>
            </w:r>
          </w:p>
        </w:tc>
      </w:tr>
      <w:tr w14:paraId="30170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9F3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458C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回收固定资产余值</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5CEC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5075.69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D1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D4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E50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E12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D73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26D0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3C8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A83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2F6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BAD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CFC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DD7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BAF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5D1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6BD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r>
      <w:tr w14:paraId="5A540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8EB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40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现金流出</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CA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73215.37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32A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8603.78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352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1981.01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702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2125.58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9AD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2212.91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0B1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2191.04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037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2275.02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BA3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2245.02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DB7F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2215.02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EC9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2285.21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29F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2250.21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6EE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2231.07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114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2294.82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752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2254.82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58F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2214.82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412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2273.57</w:t>
            </w:r>
          </w:p>
        </w:tc>
      </w:tr>
      <w:tr w14:paraId="6F6FD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FF0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F5A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项目资本金</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0CB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7529.85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9B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7529.85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B1C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469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35D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B3F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652E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DE7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EE7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9FC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871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61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619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DDE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E49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96C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r>
      <w:tr w14:paraId="6D2C4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A9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808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借款本金偿还</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3F1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28000.00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37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158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355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592A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3B9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382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16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5A6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D1E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1E5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F3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0AD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98F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23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800.00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E73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900.00</w:t>
            </w:r>
          </w:p>
        </w:tc>
      </w:tr>
      <w:tr w14:paraId="154D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2F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7C8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借款利息支付</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E75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25955.00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275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700.00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A3E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1396.25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086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1380.00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2E9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1358.75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52F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1333.75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14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1307.50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14B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1277.50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6A1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B64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CAE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1181.25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3FB8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1146.25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03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1110.00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F200A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1070.00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128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1030.00</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B2B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988.75</w:t>
            </w:r>
          </w:p>
        </w:tc>
      </w:tr>
      <w:tr w14:paraId="74665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EFD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580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经营成本</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DE1D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7435.68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5C7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216.01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487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218.30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316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220.60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EC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220.60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2EF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223.78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FA5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229.73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270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229.73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F5D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229.73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275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231.16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9D1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231.16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B1E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242.59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029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242.59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830C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242.59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A71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242.59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FBD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242.59</w:t>
            </w:r>
          </w:p>
        </w:tc>
      </w:tr>
      <w:tr w14:paraId="02CBEA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9B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C41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进项税额</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AB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369.12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40C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10.66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172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10.95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568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8F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3AE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123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758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FB9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EA4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735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2D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EA8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C3C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FA5E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12.12</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994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12.12</w:t>
            </w:r>
          </w:p>
        </w:tc>
      </w:tr>
      <w:tr w14:paraId="5B8759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2A9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860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应交增值税</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5A7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2186.97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7F0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42.90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CD9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50.26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B92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57.61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5AF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65.26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770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64.95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71A5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6C5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17942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4D4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78C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68.77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23EC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72.23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206B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72.23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A32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72.23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E58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72.23</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EEC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72.23</w:t>
            </w:r>
          </w:p>
        </w:tc>
      </w:tr>
      <w:tr w14:paraId="2C7FF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E0D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72D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税金及附加</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77523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1738.76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E5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54.36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594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55.25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243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56.12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E44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57.05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99C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57.01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53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57.46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CD31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57.46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6B6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57.46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1ED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57.46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136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57.46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022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57.88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F2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57.88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A13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57.88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9CC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57.88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7EF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57.88</w:t>
            </w:r>
          </w:p>
        </w:tc>
      </w:tr>
      <w:tr w14:paraId="68EE6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63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7F3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所得税前净现金流量</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66A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22202.67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7E9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-6283.53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E7D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546.55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CA1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609.31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F09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614.64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D67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636.50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1C90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598.85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952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628.85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5F4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658.85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AA5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363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623.67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A97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780.00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3E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716.25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024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756.25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B57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796.25</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86C8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737.50</w:t>
            </w:r>
          </w:p>
        </w:tc>
      </w:tr>
      <w:tr w14:paraId="28E54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170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5F4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累计所得税前净现金流量</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385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22202.67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63D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-6283.53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C6F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-5736.98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56A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-5127.67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708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-4513.02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349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-3876.52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7B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-3277.67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2AD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-2648.81</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58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-1989.96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ECD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-1401.29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EEE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-777.63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F39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AB0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718.62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8F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1474.87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455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2271.11</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A5D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3008.61</w:t>
            </w:r>
          </w:p>
        </w:tc>
      </w:tr>
      <w:tr w14:paraId="698427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E05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DFE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所得税</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B3F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12039.42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9A4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245.29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7D4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294.42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AF8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343.54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2F60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364.56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64D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363.78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724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372.80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56D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372.80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D62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372.80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531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372.44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9D5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372.44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34C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402.78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2A3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402.78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8B0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402.78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2D08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402.78</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A9E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402.78</w:t>
            </w:r>
          </w:p>
        </w:tc>
      </w:tr>
      <w:tr w14:paraId="27B36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B68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90C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净现金流量</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A00CE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10163.25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927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-6528.83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8E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252.14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F7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265.77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CD5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250.08</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21F9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272.72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9D91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226.05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2C8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256.05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9EB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286.05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AC6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216.22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138B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251.22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160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377.22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BFA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313.47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FF0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353.47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24A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393.47</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5EE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334.72</w:t>
            </w:r>
          </w:p>
        </w:tc>
      </w:tr>
      <w:tr w14:paraId="4BD04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17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BDF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w:t>
            </w:r>
          </w:p>
        </w:tc>
        <w:tc>
          <w:tcPr>
            <w:tcW w:w="5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AFA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累计所得税后净现金流量</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77A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10163.25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12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-6528.83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B90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-6276.69</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6DA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-6010.92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61E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-5760.84</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31B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-5488.12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F55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-5262.07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6E0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-5006.02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BC0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-4719.97</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C95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-4503.75</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58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-4252.52</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32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-3875.30</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AC2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-3561.83</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E01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-3208.36</w:t>
            </w:r>
          </w:p>
        </w:tc>
        <w:tc>
          <w:tcPr>
            <w:tcW w:w="2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1F3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-2814.89</w:t>
            </w:r>
          </w:p>
        </w:tc>
        <w:tc>
          <w:tcPr>
            <w:tcW w:w="26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72C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-2480.17</w:t>
            </w:r>
          </w:p>
        </w:tc>
      </w:tr>
    </w:tbl>
    <w:p w14:paraId="781C671A">
      <w:pPr>
        <w:rPr>
          <w:rFonts w:hint="eastAsia"/>
          <w:lang w:val="en-US" w:eastAsia="zh-CN"/>
        </w:rPr>
      </w:pPr>
    </w:p>
    <w:p w14:paraId="3952F0B9">
      <w:pPr>
        <w:rPr>
          <w:rFonts w:hint="eastAsia"/>
          <w:lang w:val="en-US" w:eastAsia="zh-CN"/>
        </w:rPr>
      </w:pPr>
      <w:r>
        <w:rPr>
          <w:rFonts w:hint="eastAsia"/>
          <w:lang w:val="en-US" w:eastAsia="zh-CN"/>
        </w:rPr>
        <w:t>续表：</w:t>
      </w:r>
    </w:p>
    <w:tbl>
      <w:tblPr>
        <w:tblStyle w:val="15"/>
        <w:tblW w:w="143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70"/>
        <w:gridCol w:w="1976"/>
        <w:gridCol w:w="877"/>
        <w:gridCol w:w="856"/>
        <w:gridCol w:w="856"/>
        <w:gridCol w:w="856"/>
        <w:gridCol w:w="776"/>
        <w:gridCol w:w="776"/>
        <w:gridCol w:w="776"/>
        <w:gridCol w:w="776"/>
        <w:gridCol w:w="776"/>
        <w:gridCol w:w="856"/>
        <w:gridCol w:w="856"/>
        <w:gridCol w:w="856"/>
        <w:gridCol w:w="856"/>
        <w:gridCol w:w="856"/>
        <w:gridCol w:w="856"/>
        <w:gridCol w:w="1096"/>
      </w:tblGrid>
      <w:tr w14:paraId="786DA5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jc w:val="center"/>
        </w:trPr>
        <w:tc>
          <w:tcPr>
            <w:tcW w:w="47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0ED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序号</w:t>
            </w:r>
          </w:p>
        </w:tc>
        <w:tc>
          <w:tcPr>
            <w:tcW w:w="177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11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项目</w:t>
            </w:r>
          </w:p>
        </w:tc>
        <w:tc>
          <w:tcPr>
            <w:tcW w:w="877"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4B5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合计</w:t>
            </w:r>
          </w:p>
        </w:tc>
        <w:tc>
          <w:tcPr>
            <w:tcW w:w="11260"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D5AD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运营期</w:t>
            </w:r>
          </w:p>
        </w:tc>
      </w:tr>
      <w:tr w14:paraId="25466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47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CC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177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18D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877"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20B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7A74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3CE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0D1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16ED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第19年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1CE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9AF3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E2C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6317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71F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637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A66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AAE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7C8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47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第29年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13C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第30年</w:t>
            </w:r>
          </w:p>
        </w:tc>
      </w:tr>
      <w:tr w14:paraId="5A6DF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A2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F22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现金流入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D48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95418.04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154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3062.15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138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3062.15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52C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3062.15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B4C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3062.15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275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3062.15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46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2C2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924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868B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7A4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3208.76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EF4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3265.07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808B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3265.07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6FA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3265.07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39C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3265.07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5AE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8340.76</w:t>
            </w:r>
          </w:p>
        </w:tc>
      </w:tr>
      <w:tr w14:paraId="6D5382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A5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A12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营业收入</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3136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87786.26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0CB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2973.58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1FC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2973.58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9DD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2973.58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559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2973.58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662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2973.58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13D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3115.76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0F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3115.76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239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3115.76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B95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3115.76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08A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3115.76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A45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3167.42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813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3167.42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D8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3167.42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DD2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3167.42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6432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3167.42</w:t>
            </w:r>
          </w:p>
        </w:tc>
      </w:tr>
      <w:tr w14:paraId="4F230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CE7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BC2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销项税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1E2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2556.09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66E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3F0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5E41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F1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BC5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88.57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AD8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CDF4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D1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AB0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7034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93.00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792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F2A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A6C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E43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97.65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2200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97.65</w:t>
            </w:r>
          </w:p>
        </w:tc>
      </w:tr>
      <w:tr w14:paraId="68992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3E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F70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回收固定资产余值</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7E7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5075.69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F39B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92D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A55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78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8690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21F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DB2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190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6D7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4B4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4B5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F03C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D02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393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6A4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5075.692857</w:t>
            </w:r>
          </w:p>
        </w:tc>
      </w:tr>
      <w:tr w14:paraId="32D85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9678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838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现金流出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C9A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73215.37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2C1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2243.39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E3A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2198.39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5D2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B3F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2202.14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265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2250.89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46C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2312.03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29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2252.03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B6C6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2290.78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3A4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2225.78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A5E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2259.53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132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2205.87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B1B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2234.62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7AA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63A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2178.37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BD4C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2197.12</w:t>
            </w:r>
          </w:p>
        </w:tc>
      </w:tr>
      <w:tr w14:paraId="2209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012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A4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项目资本金</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70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7529.85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30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9E4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4E5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13E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2B7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B7EB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09D5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A8F2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80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316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C73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441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684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928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644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p>
        </w:tc>
      </w:tr>
      <w:tr w14:paraId="0E852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39A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BD5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借款本金偿还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C32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28000.00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E1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2599D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FAA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C33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0D1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45D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301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1B2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7B1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D25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513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83E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1500.00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BE3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4348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1600.00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E39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1700.00</w:t>
            </w:r>
          </w:p>
        </w:tc>
      </w:tr>
      <w:tr w14:paraId="6B42D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6C8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BB7E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借款利息支付</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FD5F5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25955.00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CBE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943.75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55E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898.75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6FC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852.50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C35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31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751.25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C4D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695.00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0CE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635.00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E24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04A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67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234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372.50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D26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301.25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DC9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624E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145.00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40C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63.75</w:t>
            </w:r>
          </w:p>
        </w:tc>
      </w:tr>
      <w:tr w14:paraId="6832B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A79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B70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经营成本</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97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7435.68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8FE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18A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5A8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E197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27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252.73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1E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AC9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BC8E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78A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88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265.24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7DB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BAF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A0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D41B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276.42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F2C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276.42</w:t>
            </w:r>
          </w:p>
        </w:tc>
      </w:tr>
      <w:tr w14:paraId="0CDD7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06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7A5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进项税额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3733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369.12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352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02D4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2A0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3B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04F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12.47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4AF0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9B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6A0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491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F81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97CB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AE3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1F1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E5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078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13.46</w:t>
            </w:r>
          </w:p>
        </w:tc>
      </w:tr>
      <w:tr w14:paraId="02AFBE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39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5317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应交增值税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61FA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2186.97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B098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197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74B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EFA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8F8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76.10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4FF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0150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46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E2F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246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79.92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FB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E80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A17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01F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8D18C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84.19</w:t>
            </w:r>
          </w:p>
        </w:tc>
      </w:tr>
      <w:tr w14:paraId="5723F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0E7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7D2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税金及附加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277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1738.76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35C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CE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DBA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2B0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35D1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A210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E96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9B61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58E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97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58.80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3CB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49A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EAA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C87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59.31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058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59.31</w:t>
            </w:r>
          </w:p>
        </w:tc>
      </w:tr>
      <w:tr w14:paraId="52C917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B627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7D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所得税前净现金流量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9DF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22202.67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784C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818.76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95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863.76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DE44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810.01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008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860.01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2F8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811.26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E61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896.72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A56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956.72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145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917.97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7E7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982.97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E2D4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949.22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AF5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1059.19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35A9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1030.44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B19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1006.69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8A1A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1086.69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B56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6143.64</w:t>
            </w:r>
          </w:p>
        </w:tc>
      </w:tr>
      <w:tr w14:paraId="5B1E32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FDF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AA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累计所得税前净现金流量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31EF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22202.67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C1525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3827.37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CA2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4691.13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B292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5501.14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57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6361.15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3CC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7172.40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CF8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8069.13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5CC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9025.85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3D7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9943.82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F60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10926.79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213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11876.01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4F8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12935.21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433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13965.65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2AC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14972.34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AC2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16059.03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E43C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22202.67</w:t>
            </w:r>
          </w:p>
        </w:tc>
      </w:tr>
      <w:tr w14:paraId="6AC85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E3D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1FD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所得税</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6F6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12039.42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379C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FDC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06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04AC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F94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411.84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4ADC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04F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493B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42E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6403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444.15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C0A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2C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69C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D643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454.14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20A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454.14</w:t>
            </w:r>
          </w:p>
        </w:tc>
      </w:tr>
      <w:tr w14:paraId="518BD7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8AC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D1BF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净现金流量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E1A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10163.25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34F8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406.92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2B5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451.92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966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398.17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5F2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448.17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5A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399.42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A2F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452.58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144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512.58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1F9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473.83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4A4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538.83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5A75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505.08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400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605.05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28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576.30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51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552.55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0AE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632.55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0D5C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5689.50</w:t>
            </w:r>
          </w:p>
        </w:tc>
      </w:tr>
      <w:tr w14:paraId="2D6B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3A3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B67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累计所得税后净现金流量</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FBA8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10163.25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B2A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-2073.25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DE9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-1621.34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96F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-1223.17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7013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-775.01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BB6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-375.59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CBC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76.98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2B11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589.56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A0F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1063.39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B6C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1602.21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B00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2107.29</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FBE9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2712.34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A77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3288.65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21A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3841.20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1CC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4473.75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229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6"/>
                <w:szCs w:val="16"/>
                <w:lang w:val="en-US" w:eastAsia="zh-CN"/>
              </w:rPr>
            </w:pPr>
            <w:r>
              <w:rPr>
                <w:rFonts w:hint="eastAsia" w:ascii="宋体" w:hAnsi="宋体" w:eastAsia="宋体" w:cs="宋体"/>
                <w:sz w:val="16"/>
                <w:szCs w:val="16"/>
                <w:lang w:val="en-US" w:eastAsia="zh-CN"/>
              </w:rPr>
              <w:t>10163.25</w:t>
            </w:r>
          </w:p>
        </w:tc>
      </w:tr>
    </w:tbl>
    <w:p w14:paraId="3BC4D800">
      <w:pPr>
        <w:pStyle w:val="2"/>
        <w:sectPr>
          <w:footerReference r:id="rId21" w:type="default"/>
          <w:pgSz w:w="16839" w:h="11906"/>
          <w:pgMar w:top="1440" w:right="1800" w:bottom="1440" w:left="1800" w:header="862" w:footer="1121" w:gutter="0"/>
          <w:pgNumType w:fmt="decimal"/>
          <w:cols w:space="720" w:num="1"/>
        </w:sectPr>
      </w:pPr>
    </w:p>
    <w:p w14:paraId="12F305DF">
      <w:pPr>
        <w:pStyle w:val="6"/>
        <w:numPr>
          <w:ilvl w:val="3"/>
          <w:numId w:val="0"/>
        </w:numPr>
        <w:bidi w:val="0"/>
        <w:ind w:leftChars="0"/>
      </w:pPr>
      <w:bookmarkStart w:id="192" w:name="bookmark114"/>
      <w:bookmarkEnd w:id="192"/>
      <w:r>
        <w:t>附件6：项目投资现金流量表</w:t>
      </w:r>
    </w:p>
    <w:tbl>
      <w:tblPr>
        <w:tblStyle w:val="15"/>
        <w:tblW w:w="638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16"/>
        <w:gridCol w:w="1870"/>
        <w:gridCol w:w="861"/>
        <w:gridCol w:w="902"/>
        <w:gridCol w:w="902"/>
        <w:gridCol w:w="902"/>
        <w:gridCol w:w="902"/>
        <w:gridCol w:w="902"/>
        <w:gridCol w:w="902"/>
        <w:gridCol w:w="902"/>
        <w:gridCol w:w="902"/>
        <w:gridCol w:w="902"/>
        <w:gridCol w:w="902"/>
        <w:gridCol w:w="902"/>
        <w:gridCol w:w="902"/>
        <w:gridCol w:w="826"/>
        <w:gridCol w:w="827"/>
        <w:gridCol w:w="853"/>
      </w:tblGrid>
      <w:tr w14:paraId="2160A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jc w:val="center"/>
        </w:trPr>
        <w:tc>
          <w:tcPr>
            <w:tcW w:w="15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939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序号</w:t>
            </w:r>
          </w:p>
        </w:tc>
        <w:tc>
          <w:tcPr>
            <w:tcW w:w="5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9F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项目</w:t>
            </w:r>
          </w:p>
        </w:tc>
        <w:tc>
          <w:tcPr>
            <w:tcW w:w="249"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DA02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合计</w:t>
            </w:r>
          </w:p>
        </w:tc>
        <w:tc>
          <w:tcPr>
            <w:tcW w:w="4019"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94A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运营期</w:t>
            </w:r>
          </w:p>
        </w:tc>
      </w:tr>
      <w:tr w14:paraId="119746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A55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p>
        </w:tc>
        <w:tc>
          <w:tcPr>
            <w:tcW w:w="5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F9B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p>
        </w:tc>
        <w:tc>
          <w:tcPr>
            <w:tcW w:w="249"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F35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8A0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6C0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3C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第3年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4C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第4年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8EF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第5年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CAA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第6年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FBC0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第7年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DA4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第8年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9F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第9年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F4B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第10年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EBAD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第11年</w:t>
            </w:r>
          </w:p>
        </w:tc>
        <w:tc>
          <w:tcPr>
            <w:tcW w:w="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E87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第12年</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547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第13年</w:t>
            </w:r>
          </w:p>
        </w:tc>
        <w:tc>
          <w:tcPr>
            <w:tcW w:w="2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299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第14年</w:t>
            </w:r>
          </w:p>
        </w:tc>
        <w:tc>
          <w:tcPr>
            <w:tcW w:w="2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880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第15年</w:t>
            </w:r>
          </w:p>
        </w:tc>
      </w:tr>
      <w:tr w14:paraId="478283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488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BB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现金流入</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CFB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95418.04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D83D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2320.25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1716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2527.57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E8D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2734.89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8396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2827.55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FFF4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2827.55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9BD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2873.87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8295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2873.87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07F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2873.87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406B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2873.87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871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2873.87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B08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3011.07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69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3011.07</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217D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3011.07</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B3FE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3011.07</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18F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3011.07</w:t>
            </w:r>
          </w:p>
        </w:tc>
      </w:tr>
      <w:tr w14:paraId="212B3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B6B6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1.1</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927B9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营业收入</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DCD1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87786.26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A41D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2266.69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AE986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2466.36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5A1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2666.03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E44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2751.04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4E1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2751.04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35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2793.54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704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2793.54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BAD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2793.54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7A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2793.54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6C3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2793.54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FD01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2926.72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C89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2926.72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3B55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2926.72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5A24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2926.72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65C29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2926.72</w:t>
            </w:r>
          </w:p>
        </w:tc>
      </w:tr>
      <w:tr w14:paraId="1170BD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457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1.2</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359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回收固定资产余值</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79B8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5075.69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DB2B5">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DE772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B739E1">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4D01A">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F8EE9">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06DAE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E491">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3D7E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CC1B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5746D">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6D219">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2123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3ADE8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C8E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0B09C">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r>
      <w:tr w14:paraId="3EFDB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151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1.3</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7FA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销项税额</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B74F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2556.09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30A9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53.56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634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61.21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B7A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68.86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5D4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76.51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5DA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76.51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B7BA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80.33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C621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80.33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9C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80.33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564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80.33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245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80.33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3C68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84.35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554B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84.35</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9EE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84.35</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8A6B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84.35</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B71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84.35</w:t>
            </w:r>
          </w:p>
        </w:tc>
      </w:tr>
      <w:tr w14:paraId="52D0F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C59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539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现金流出</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FB1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47260.37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BFE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35853.78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F72C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334.76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749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345.58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FD1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354.16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EC4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357.29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ED6D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367.52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9FDF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367.52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E502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367.52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818D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368.96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3079E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368.96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D921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384.82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7272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384.82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8D12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384.82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EEA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384.82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4BBD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384.82</w:t>
            </w:r>
          </w:p>
        </w:tc>
      </w:tr>
      <w:tr w14:paraId="651E9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EA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2.1</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FD9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建设投资</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247A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35529.85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F72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35529.85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56D91">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DAEF9D">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4C45D">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37DE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A50B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BFD1B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1692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4589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8F91D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771F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7F0E3">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F4FE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FDAA5">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AC0D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r>
      <w:tr w14:paraId="6D649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E90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2.2</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32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经营成本</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D02A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7435.68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BD58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216.01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77D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218.30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858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220.60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909DA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220.60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1D6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223.78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78F5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229.73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F838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229.73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6F93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229.73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9B2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231.16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312B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231.16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C1FD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242.59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759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242.59</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88C4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242.59</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AB456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242.59</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B20A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242.59</w:t>
            </w:r>
          </w:p>
        </w:tc>
      </w:tr>
      <w:tr w14:paraId="06435F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B23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2.3</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BA0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进项税额</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316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369.12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323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10.66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0440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10.95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D6A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1FC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457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229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7479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117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AC26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8C2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11.56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3DCB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12.12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FC30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12.12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97A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12.12</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8EBB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12.12</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17E3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12.12</w:t>
            </w:r>
          </w:p>
        </w:tc>
      </w:tr>
      <w:tr w14:paraId="7D0389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8FC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2.4</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56A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应交增值税</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27A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2186.97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0534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42.90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9B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50.26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275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57.61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DF3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65.26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1741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64.95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21B6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906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58A2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543D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89DB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68.77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27C4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72.23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8AC4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72.23</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CBF2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72.23</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5E03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72.23</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B5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72.23</w:t>
            </w:r>
          </w:p>
        </w:tc>
      </w:tr>
      <w:tr w14:paraId="087DA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F65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2.5</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D48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税金及附加</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0332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1738.76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89D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54.36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8FE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55.25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C1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56.12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F3F5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57.05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3AD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57.01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CBB6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57.46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1E49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57.46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434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57.46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8A9A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57.46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3870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57.46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B077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57.88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C34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57.88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0295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57.88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E58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57.88</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8F84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57.88</w:t>
            </w:r>
          </w:p>
        </w:tc>
      </w:tr>
      <w:tr w14:paraId="221505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357C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3</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5CE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所得税前净现金流</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BB03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48157.67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EC3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-33533.53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2BA0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2192.80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001B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2389.31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18A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2473.39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766C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2470.25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F08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2506.35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BC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2506.35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68A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2506.35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F67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2504.92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7611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2504.92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011A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2626.25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2D2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2626.25</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2113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2626.25</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4E56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2626.25</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C33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2626.25</w:t>
            </w:r>
          </w:p>
        </w:tc>
      </w:tr>
      <w:tr w14:paraId="3FFD0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8C3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BA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累计所得税前净现金流量</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4296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48157.67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FBB7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-33533.53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33D1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-31340.73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5F70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-28951.42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B440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-26478.02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DE3B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-24007.77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4D09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-21501.42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F51A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-18995.06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20B1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-16488.71</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E167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-13983.79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1150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-11478.88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112C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-8852.63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AE35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-6226.38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D49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-3600.13</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213A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-973.89</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B01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1652.36</w:t>
            </w:r>
          </w:p>
        </w:tc>
      </w:tr>
      <w:tr w14:paraId="653C07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AA2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5</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298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调整所得税</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B3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12039.42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F9B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245.29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C02B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294.42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8AF7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343.54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5977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364.56</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202A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363.78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167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372.80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6C4D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372.80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321C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372.80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235E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372.44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BA9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372.44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B24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402.78</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5C2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402.78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D0E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402.78</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2F1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402.78</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059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402.78</w:t>
            </w:r>
          </w:p>
        </w:tc>
      </w:tr>
      <w:tr w14:paraId="2189C7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39B3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6</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7E9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所得税后净现金流量</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1B2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36118.25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07698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-33778.83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4E0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1898.39</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56A0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2045.77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BA1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2108.83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783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2106.47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55A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2133.55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0C71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2133.55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36DF3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2133.55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870F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2132.47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F055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2132.47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AB8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2223.47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99D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2223.47</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34CA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2223.47</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43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2223.47</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76CCC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2223.47</w:t>
            </w:r>
          </w:p>
        </w:tc>
      </w:tr>
      <w:tr w14:paraId="3CBA8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1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8F68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7</w:t>
            </w:r>
          </w:p>
        </w:tc>
        <w:tc>
          <w:tcPr>
            <w:tcW w:w="5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0800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累计所得税后净现金流量</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810A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36118.25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528A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-33778.83</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B9A3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-31880.44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6BF2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-29834.67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1E86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-27725.84</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5FD2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-25619.37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B2A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-23485.82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8A0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-21352.27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6B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-19218.72</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D2D4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-17086.25</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967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-14953.77</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3354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-12730.30</w:t>
            </w:r>
          </w:p>
        </w:tc>
        <w:tc>
          <w:tcPr>
            <w:tcW w:w="9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7491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-10506.83</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B632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-8283.36</w:t>
            </w:r>
          </w:p>
        </w:tc>
        <w:tc>
          <w:tcPr>
            <w:tcW w:w="8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8D11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-6059.89</w:t>
            </w:r>
          </w:p>
        </w:tc>
        <w:tc>
          <w:tcPr>
            <w:tcW w:w="85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35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-3836.42</w:t>
            </w:r>
          </w:p>
        </w:tc>
      </w:tr>
    </w:tbl>
    <w:p w14:paraId="3F06D4D0">
      <w:pPr>
        <w:pStyle w:val="8"/>
        <w:spacing w:line="258" w:lineRule="auto"/>
      </w:pPr>
    </w:p>
    <w:p w14:paraId="56151885">
      <w:pPr>
        <w:pStyle w:val="8"/>
        <w:spacing w:line="260" w:lineRule="auto"/>
        <w:ind w:left="0" w:leftChars="0" w:firstLine="0" w:firstLineChars="0"/>
        <w:rPr>
          <w:rFonts w:hint="eastAsia" w:eastAsia="宋体"/>
          <w:lang w:val="en-US" w:eastAsia="zh-CN"/>
        </w:rPr>
      </w:pPr>
      <w:r>
        <w:rPr>
          <w:rFonts w:hint="eastAsia" w:eastAsia="宋体"/>
          <w:lang w:val="en-US" w:eastAsia="zh-CN"/>
        </w:rPr>
        <w:t>续表：</w:t>
      </w:r>
    </w:p>
    <w:tbl>
      <w:tblPr>
        <w:tblStyle w:val="15"/>
        <w:tblW w:w="164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5"/>
        <w:gridCol w:w="2078"/>
        <w:gridCol w:w="910"/>
        <w:gridCol w:w="827"/>
        <w:gridCol w:w="827"/>
        <w:gridCol w:w="910"/>
        <w:gridCol w:w="910"/>
        <w:gridCol w:w="910"/>
        <w:gridCol w:w="910"/>
        <w:gridCol w:w="910"/>
        <w:gridCol w:w="910"/>
        <w:gridCol w:w="910"/>
        <w:gridCol w:w="910"/>
        <w:gridCol w:w="910"/>
        <w:gridCol w:w="910"/>
        <w:gridCol w:w="910"/>
        <w:gridCol w:w="912"/>
      </w:tblGrid>
      <w:tr w14:paraId="3041B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2" w:hRule="atLeast"/>
          <w:jc w:val="center"/>
        </w:trPr>
        <w:tc>
          <w:tcPr>
            <w:tcW w:w="85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C77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序号</w:t>
            </w:r>
          </w:p>
        </w:tc>
        <w:tc>
          <w:tcPr>
            <w:tcW w:w="207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3B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项目</w:t>
            </w:r>
          </w:p>
        </w:tc>
        <w:tc>
          <w:tcPr>
            <w:tcW w:w="13486" w:type="dxa"/>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866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运营期</w:t>
            </w:r>
          </w:p>
        </w:tc>
      </w:tr>
      <w:tr w14:paraId="5BBE8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85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79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725B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FE21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589B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EC2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CE9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第19年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0C2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第20年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24C0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第21年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150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第22年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46F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第23年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02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07B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B68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第26年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379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第27年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556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第28年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479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第29年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6CF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第30年</w:t>
            </w:r>
          </w:p>
        </w:tc>
      </w:tr>
      <w:tr w14:paraId="2FDEF0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9D5C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5D9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现金流入</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C13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3062.15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443A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3062.15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664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3062.15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7DF9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3062.15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8078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3062.15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9178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3208.76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2AF4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3208.76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2F04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3208.76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F64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3208.76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D6733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3208.76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2DC8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3265.07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3C1F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3265.07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B010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3265.07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72C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3265.07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C7FC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8340.76</w:t>
            </w:r>
          </w:p>
        </w:tc>
      </w:tr>
      <w:tr w14:paraId="62790D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E5C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6BE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营业收入</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AF0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2973.58</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A536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2973.58</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E46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2973.58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102B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2973.58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2BA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2973.58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B2A8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3115.76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F5E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3115.76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6934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3115.76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70B8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3115.76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0F21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3115.76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1FE0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3167.42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675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3167.42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691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3167.42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E46B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3167.42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24B7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3167.42</w:t>
            </w:r>
          </w:p>
        </w:tc>
      </w:tr>
      <w:tr w14:paraId="7ABC52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2AB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20C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回收固定资产余值</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891E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94370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6A5C3">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633C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9FEC">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C5F5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84778">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63B0B4">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C3F8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4EC1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0026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697945">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DC80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DD63C">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0D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5075.69</w:t>
            </w:r>
          </w:p>
        </w:tc>
      </w:tr>
      <w:tr w14:paraId="4070F3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97D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1.3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8C8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销项税额</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6E0A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88.57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60B1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88.57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324D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88.57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82EA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88.57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00C4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88.57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085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93.00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262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93.00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5364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93.00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6D3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93.00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26A9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93.00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42C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97.65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BD0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97.65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98A6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97.65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3A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97.65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D2C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97.65</w:t>
            </w:r>
          </w:p>
        </w:tc>
      </w:tr>
      <w:tr w14:paraId="38351F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2EF3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A01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现金流出</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916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399.64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DD1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399.64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9C1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399.64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BF2A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399.64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D706A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399.64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51E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417.03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56BB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417.03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479C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417.03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43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417.03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A063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417.03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BB6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433.37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979E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433.37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48C61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433.37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6A8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433.37</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88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433.37</w:t>
            </w:r>
          </w:p>
        </w:tc>
      </w:tr>
      <w:tr w14:paraId="3E7D6B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0C61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FD1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建设投资</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AAE5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66EA">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6498E">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1D97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B89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C118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28927">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EDAB8">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70CC0">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5DB2">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4DCE4B">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2B87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08DF6">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C50CF">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C2162A">
            <w:pPr>
              <w:keepNext w:val="0"/>
              <w:keepLines w:val="0"/>
              <w:pageBreakBefore w:val="0"/>
              <w:widowControl/>
              <w:wordWrap/>
              <w:overflowPunct/>
              <w:topLinePunct w:val="0"/>
              <w:bidi w:val="0"/>
              <w:spacing w:line="240" w:lineRule="auto"/>
              <w:ind w:firstLine="0" w:firstLineChars="0"/>
              <w:jc w:val="center"/>
              <w:rPr>
                <w:rFonts w:hint="eastAsia" w:ascii="宋体" w:hAnsi="宋体" w:eastAsia="宋体" w:cs="宋体"/>
                <w:sz w:val="11"/>
                <w:szCs w:val="11"/>
                <w:lang w:val="en-US" w:eastAsia="zh-CN"/>
              </w:rPr>
            </w:pPr>
          </w:p>
        </w:tc>
      </w:tr>
      <w:tr w14:paraId="45888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B7A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2.2</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10B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经营成本</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4554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252.73</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A14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252.73</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1D7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252.73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202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252.73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E9D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252.73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B76A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265.24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CBC8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265.24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B66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265.24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EA6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265.24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B737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265.24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E64C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276.42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3ECB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276.42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7B32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276.42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E0A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276.42</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7B67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276.42</w:t>
            </w:r>
          </w:p>
        </w:tc>
      </w:tr>
      <w:tr w14:paraId="371BCA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64D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E7A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进项税额</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4CAE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12.47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1FF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12.47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985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12.47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473E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12.47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1D49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12.47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57C8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852B2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915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8D2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B3AF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13.08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D236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13.46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224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13.46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DD16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13.46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A7C70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13.46</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B4CE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13.46</w:t>
            </w:r>
          </w:p>
        </w:tc>
      </w:tr>
      <w:tr w14:paraId="5E54C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18D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52B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应交增值税</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2E43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76.10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C6225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76.10</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9D8E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76.10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10B4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76.10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264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76.10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B710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79.92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FD2F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79.92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FF5F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79.92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6069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79.92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EF03D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79.92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20CB3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84.19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D72EC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84.19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4DC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84.19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E05A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84.19</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1144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84.19</w:t>
            </w:r>
          </w:p>
        </w:tc>
      </w:tr>
      <w:tr w14:paraId="058325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47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881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税金及附加</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88CD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58.34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44B0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58.34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D02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58.34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4B39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58.34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A451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58.34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96BED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58.80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634F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58.80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4862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58.80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1519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58.80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3DA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58.80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24C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59.31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157B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59.31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5EDC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59.31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78C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59.31</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58EA9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59.31</w:t>
            </w:r>
          </w:p>
        </w:tc>
      </w:tr>
      <w:tr w14:paraId="2495C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2A50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A93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所得税前净现金流</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ED75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2662.51</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5C80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2662.51</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9661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2662.51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0B299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2662.51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86DE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2662.51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A33D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2791.72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8C9F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2791.72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0ACE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2791.72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6FE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2791.72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A4F4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2791.72</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36FA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2831.69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DFC57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2831.69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495F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2831.69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E2E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2831.69</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1296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7907.39</w:t>
            </w:r>
          </w:p>
        </w:tc>
      </w:tr>
      <w:tr w14:paraId="0FF2B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FACD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4</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318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累计所得税前净现金流量</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447D8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4314.87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156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6977.38</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036A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9639.89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20A3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12302.40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441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14964.90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D4C6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17756.63</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DF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20548.35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8A6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23340.07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DEEB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26131.79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C4C7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28923.51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EA10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31755.21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3BD5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34586.90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7CA9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37418.59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939E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40250.28</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72FD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48157.67</w:t>
            </w:r>
          </w:p>
        </w:tc>
      </w:tr>
      <w:tr w14:paraId="72753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2"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B0B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302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调整所得税</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0C53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411.84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ACBA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411.84</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1E10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411.84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5B3E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411.84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7C2A8">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411.84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86AF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444.15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7FD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444.15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3B4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444.15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EBD5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444.15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5D25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444.15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7594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454.14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6DC1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454.14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0A9E27">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454.14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C8D2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454.14</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0CE9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i w:val="0"/>
                <w:iCs w:val="0"/>
                <w:snapToGrid w:val="0"/>
                <w:color w:val="000000"/>
                <w:kern w:val="0"/>
                <w:sz w:val="16"/>
                <w:szCs w:val="16"/>
                <w:u w:val="none"/>
                <w:lang w:val="en-US" w:eastAsia="zh-CN" w:bidi="ar"/>
              </w:rPr>
              <w:t>454.14</w:t>
            </w:r>
          </w:p>
        </w:tc>
      </w:tr>
      <w:tr w14:paraId="358F7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4"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84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FC2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所得税后净现金流量</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782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2250.67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6BC3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2250.67</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728C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2250.67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6E851">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2250.67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A037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2250.67</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5815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2347.58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B77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2347.58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DA10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2347.58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DADC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2347.58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08D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2347.58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2A88B">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2377.55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629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2377.55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0CEBF">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2377.55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D790D">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2377.55</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228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7453.25</w:t>
            </w:r>
          </w:p>
        </w:tc>
      </w:tr>
      <w:tr w14:paraId="5553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3"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AA7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7</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8FFC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15"/>
                <w:szCs w:val="15"/>
                <w:lang w:val="en-US" w:eastAsia="zh-CN"/>
              </w:rPr>
            </w:pPr>
            <w:r>
              <w:rPr>
                <w:rFonts w:hint="eastAsia" w:ascii="宋体" w:hAnsi="宋体" w:eastAsia="宋体" w:cs="宋体"/>
                <w:sz w:val="15"/>
                <w:szCs w:val="15"/>
                <w:lang w:val="en-US" w:eastAsia="zh-CN"/>
              </w:rPr>
              <w:t>累计所得税后净现金流量</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BF0E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-1585.75</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82FF5">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664.91</w:t>
            </w:r>
          </w:p>
        </w:tc>
        <w:tc>
          <w:tcPr>
            <w:tcW w:w="8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105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2915.58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8EEA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5166.24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81F2">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7416.91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AD589">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9764.48</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1062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12112.06</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36CBA">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14459.64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56AA6">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16807.21</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7DE80">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19154.79</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8D8C4">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21532.34</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D9EBE">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23909.90</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6685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26287.45</w:t>
            </w:r>
          </w:p>
        </w:tc>
        <w:tc>
          <w:tcPr>
            <w:tcW w:w="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59903">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28665.00</w:t>
            </w:r>
          </w:p>
        </w:tc>
        <w:tc>
          <w:tcPr>
            <w:tcW w:w="9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2572C">
            <w:pPr>
              <w:keepNext w:val="0"/>
              <w:keepLines w:val="0"/>
              <w:pageBreakBefore w:val="0"/>
              <w:widowControl/>
              <w:suppressLineNumbers w:val="0"/>
              <w:wordWrap/>
              <w:overflowPunct/>
              <w:topLinePunct w:val="0"/>
              <w:bidi w:val="0"/>
              <w:spacing w:line="240" w:lineRule="auto"/>
              <w:ind w:firstLine="0" w:firstLineChars="0"/>
              <w:jc w:val="center"/>
              <w:textAlignment w:val="center"/>
              <w:rPr>
                <w:rFonts w:hint="eastAsia" w:ascii="宋体" w:hAnsi="宋体" w:eastAsia="宋体" w:cs="宋体"/>
                <w:sz w:val="11"/>
                <w:szCs w:val="11"/>
                <w:lang w:val="en-US" w:eastAsia="zh-CN"/>
              </w:rPr>
            </w:pPr>
            <w:r>
              <w:rPr>
                <w:rFonts w:hint="eastAsia" w:ascii="宋体" w:hAnsi="宋体" w:eastAsia="宋体" w:cs="宋体"/>
                <w:b/>
                <w:bCs/>
                <w:i w:val="0"/>
                <w:iCs w:val="0"/>
                <w:snapToGrid w:val="0"/>
                <w:color w:val="000000"/>
                <w:kern w:val="0"/>
                <w:sz w:val="16"/>
                <w:szCs w:val="16"/>
                <w:u w:val="none"/>
                <w:lang w:val="en-US" w:eastAsia="zh-CN" w:bidi="ar"/>
              </w:rPr>
              <w:t>36118.25</w:t>
            </w:r>
          </w:p>
        </w:tc>
      </w:tr>
    </w:tbl>
    <w:p w14:paraId="20D3474D">
      <w:pPr>
        <w:pStyle w:val="8"/>
        <w:spacing w:line="319" w:lineRule="auto"/>
        <w:ind w:left="0" w:leftChars="0" w:firstLine="0" w:firstLineChars="0"/>
      </w:pPr>
    </w:p>
    <w:p w14:paraId="31F10F7C">
      <w:pPr>
        <w:pStyle w:val="8"/>
        <w:spacing w:line="320" w:lineRule="auto"/>
      </w:pPr>
    </w:p>
    <w:p w14:paraId="5287E3E3">
      <w:pPr>
        <w:spacing w:line="3912" w:lineRule="exact"/>
        <w:sectPr>
          <w:footerReference r:id="rId22" w:type="default"/>
          <w:pgSz w:w="16839" w:h="11906"/>
          <w:pgMar w:top="1134" w:right="2098" w:bottom="1283" w:left="1984" w:header="862" w:footer="1121" w:gutter="0"/>
          <w:pgNumType w:fmt="decimal"/>
          <w:cols w:space="720" w:num="1"/>
        </w:sectPr>
      </w:pPr>
    </w:p>
    <w:p w14:paraId="5C82E284">
      <w:pPr>
        <w:pStyle w:val="6"/>
        <w:numPr>
          <w:ilvl w:val="3"/>
          <w:numId w:val="0"/>
        </w:numPr>
        <w:bidi w:val="0"/>
        <w:ind w:leftChars="0"/>
        <w:rPr>
          <w:rFonts w:ascii="Arial" w:hAnsi="Arial"/>
        </w:rPr>
      </w:pPr>
      <w:bookmarkStart w:id="193" w:name="bookmark115"/>
      <w:bookmarkEnd w:id="193"/>
      <w:bookmarkStart w:id="194" w:name="bookmark116"/>
      <w:bookmarkEnd w:id="194"/>
      <w:r>
        <w:rPr>
          <w:rFonts w:ascii="Arial" w:hAnsi="Arial"/>
        </w:rPr>
        <w:t>附件</w:t>
      </w:r>
      <w:r>
        <w:rPr>
          <w:rFonts w:hint="eastAsia"/>
          <w:lang w:val="en-US" w:eastAsia="zh-CN"/>
        </w:rPr>
        <w:t>7</w:t>
      </w:r>
      <w:r>
        <w:rPr>
          <w:rFonts w:ascii="Arial" w:hAnsi="Arial"/>
        </w:rPr>
        <w:t>：利润与利润分配表</w:t>
      </w:r>
    </w:p>
    <w:tbl>
      <w:tblPr>
        <w:tblStyle w:val="15"/>
        <w:tblW w:w="5433"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916"/>
        <w:gridCol w:w="1016"/>
        <w:gridCol w:w="916"/>
        <w:gridCol w:w="916"/>
        <w:gridCol w:w="916"/>
        <w:gridCol w:w="916"/>
        <w:gridCol w:w="916"/>
        <w:gridCol w:w="916"/>
        <w:gridCol w:w="916"/>
        <w:gridCol w:w="916"/>
        <w:gridCol w:w="916"/>
        <w:gridCol w:w="916"/>
        <w:gridCol w:w="916"/>
        <w:gridCol w:w="916"/>
        <w:gridCol w:w="916"/>
        <w:gridCol w:w="916"/>
        <w:gridCol w:w="916"/>
      </w:tblGrid>
      <w:tr w14:paraId="7C492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3" w:hRule="atLeast"/>
          <w:jc w:val="center"/>
        </w:trPr>
        <w:tc>
          <w:tcPr>
            <w:tcW w:w="19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FFA4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序号</w:t>
            </w:r>
          </w:p>
        </w:tc>
        <w:tc>
          <w:tcPr>
            <w:tcW w:w="27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C6A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项目</w:t>
            </w:r>
          </w:p>
        </w:tc>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2B4F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合计</w:t>
            </w:r>
          </w:p>
        </w:tc>
        <w:tc>
          <w:tcPr>
            <w:tcW w:w="4216"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F2E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运营期</w:t>
            </w:r>
          </w:p>
        </w:tc>
      </w:tr>
      <w:tr w14:paraId="1E0D4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19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9B4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7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29E4E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E67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31E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974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8A0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第3年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A7D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第4年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A2A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第5年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FB3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第6年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EA3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第7年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14C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第8年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F2F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第9年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5637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第10年</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4DF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第11年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F83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第12年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83A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第13年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7F4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第14年</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49BE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第15年</w:t>
            </w:r>
          </w:p>
        </w:tc>
      </w:tr>
      <w:tr w14:paraId="696250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588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79E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经营收入</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D992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87786.26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155B2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2266.69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0C2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2466.36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6A1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2666.03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F62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2751.04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B86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2751.04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96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2793.54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38F9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2793.54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A0D7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2793.54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EC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2793.54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FCDC5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2793.54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C35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2926.72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FCDC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2926.72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909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2926.72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D96F5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2926.72</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D8E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2926.72</w:t>
            </w:r>
          </w:p>
        </w:tc>
      </w:tr>
      <w:tr w14:paraId="2A4BE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C39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6DF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税金及附加</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430D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1738.76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2E42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54.36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618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55.25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D37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56.12</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AA9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57.05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FF7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57.01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1C0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96E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E2B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DDB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7B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57.46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F20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57.88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A80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57.88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BA3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57.88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64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57.88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E39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57.88</w:t>
            </w:r>
          </w:p>
        </w:tc>
      </w:tr>
      <w:tr w14:paraId="77B30D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8DF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0C8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总成本费用</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159C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63844.84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08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1931.15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BBA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2629.69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EB53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2615.74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973D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2594.49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C46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2572.66</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ED5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2552.37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EEF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2522.37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99DF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2492.37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EC8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2462.55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101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2427.55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F343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2403.98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5F5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2367.73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6E28B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2327.73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819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2287.73</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720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2246.48</w:t>
            </w:r>
          </w:p>
        </w:tc>
      </w:tr>
      <w:tr w14:paraId="229ED7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C68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49E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利润总额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472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22202.67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FB2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281.18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D5B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-218.58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4E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4C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99.50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5738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121.37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FA1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183.71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EF5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213.71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0B5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243.71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75D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273.53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FDA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308.53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84E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464.86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382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501.11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14C5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541.11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776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581.11</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17F6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622.36</w:t>
            </w:r>
          </w:p>
        </w:tc>
      </w:tr>
      <w:tr w14:paraId="25215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54B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7DE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累计亏损</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B78B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B91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2F49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-218.58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920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-224.41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C10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-124.91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5099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CA8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9CC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B24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C001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E38B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89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ED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F57E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FB2EA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5C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r>
      <w:tr w14:paraId="1370C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B8F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57B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弥补以前年度亏损</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B41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2ADE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4F62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-218.58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D1F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5A1D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99.50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29F1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121.37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C74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3.54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510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BD64F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C95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5E9D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1AE3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7E6E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365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C27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3040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r>
      <w:tr w14:paraId="0B15D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3798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20E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应纳所得税额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180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22202.67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1E6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281.18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515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702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2AC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92CB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7F23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180.17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18794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213.71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7C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243.71</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F59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273.53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500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308.53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12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464.86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46A4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501.11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119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541.11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636E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581.11</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3C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622.36</w:t>
            </w:r>
          </w:p>
        </w:tc>
      </w:tr>
      <w:tr w14:paraId="38D52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1C1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1D7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所得税（25%）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F8EF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5550.67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FE439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70.29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15F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8961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9907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2BE7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C4D2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45.04</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6AC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53.43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B2FD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60.93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41D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68.38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78DB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77.13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704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116.21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4188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125.28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CDA2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135.28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DF1F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145.28</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1A5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155.59</w:t>
            </w:r>
          </w:p>
        </w:tc>
      </w:tr>
      <w:tr w14:paraId="324C1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7DCE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E04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净利润</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1FC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16652.00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E9A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210.88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A373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-218.58</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0FD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035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99.50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15F3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121.37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32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138.67</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002B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160.29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11F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182.79</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1D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205.15</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C170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231.40</w:t>
            </w:r>
          </w:p>
        </w:tc>
        <w:tc>
          <w:tcPr>
            <w:tcW w:w="27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217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348.64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D86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375.83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B02E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405.83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8406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435.83</w:t>
            </w:r>
          </w:p>
        </w:tc>
        <w:tc>
          <w:tcPr>
            <w:tcW w:w="2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0318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466.77</w:t>
            </w:r>
          </w:p>
        </w:tc>
      </w:tr>
      <w:tr w14:paraId="1AADE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89A0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5175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项目可用于还款金额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461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73061.16</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2D8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1926.02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28D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2192.80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990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2389.31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6F7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2473.39</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9F8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2470.25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ACD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2461.31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359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2452.92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313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2445.42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532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2436.53</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BDD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2427.78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434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2510.03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E54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2500.97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1A7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2490.97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70CD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2480.97</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63A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2470.66</w:t>
            </w:r>
          </w:p>
        </w:tc>
      </w:tr>
      <w:tr w14:paraId="4142B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jc w:val="center"/>
        </w:trPr>
        <w:tc>
          <w:tcPr>
            <w:tcW w:w="19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AC4F3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1C4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息税前利润</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2B8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48157.67</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ADE6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981.18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4DA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1177.67</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FBC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1374.17</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B7B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1458.25</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995B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1455.12</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A773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1491.21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EEE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1491.21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FDF6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1491.21</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0C3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1489.78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46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1489.78</w:t>
            </w:r>
          </w:p>
        </w:tc>
        <w:tc>
          <w:tcPr>
            <w:tcW w:w="27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BD41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1611.11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272B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1611.11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BA0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1611.11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68C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1611.11</w:t>
            </w:r>
          </w:p>
        </w:tc>
        <w:tc>
          <w:tcPr>
            <w:tcW w:w="2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0F4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1611.11</w:t>
            </w:r>
          </w:p>
        </w:tc>
      </w:tr>
    </w:tbl>
    <w:p w14:paraId="545DF803">
      <w:pPr>
        <w:ind w:left="0" w:leftChars="0" w:firstLine="0" w:firstLineChars="0"/>
        <w:rPr>
          <w:rFonts w:hint="eastAsia"/>
          <w:lang w:val="en-US" w:eastAsia="zh-CN"/>
        </w:rPr>
      </w:pPr>
      <w:r>
        <w:rPr>
          <w:rFonts w:hint="eastAsia"/>
          <w:lang w:val="en-US" w:eastAsia="zh-CN"/>
        </w:rPr>
        <w:t>续表：</w:t>
      </w:r>
    </w:p>
    <w:tbl>
      <w:tblPr>
        <w:tblStyle w:val="15"/>
        <w:tblW w:w="547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16"/>
        <w:gridCol w:w="916"/>
        <w:gridCol w:w="1016"/>
        <w:gridCol w:w="916"/>
        <w:gridCol w:w="916"/>
        <w:gridCol w:w="916"/>
        <w:gridCol w:w="916"/>
        <w:gridCol w:w="916"/>
        <w:gridCol w:w="916"/>
        <w:gridCol w:w="916"/>
        <w:gridCol w:w="916"/>
        <w:gridCol w:w="916"/>
        <w:gridCol w:w="916"/>
        <w:gridCol w:w="916"/>
        <w:gridCol w:w="916"/>
        <w:gridCol w:w="916"/>
        <w:gridCol w:w="916"/>
        <w:gridCol w:w="916"/>
      </w:tblGrid>
      <w:tr w14:paraId="32048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 w:hRule="atLeast"/>
          <w:jc w:val="center"/>
        </w:trPr>
        <w:tc>
          <w:tcPr>
            <w:tcW w:w="19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927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序号</w:t>
            </w:r>
          </w:p>
        </w:tc>
        <w:tc>
          <w:tcPr>
            <w:tcW w:w="28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7A2F9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项目</w:t>
            </w:r>
          </w:p>
        </w:tc>
        <w:tc>
          <w:tcPr>
            <w:tcW w:w="3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1DB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合计</w:t>
            </w:r>
          </w:p>
        </w:tc>
        <w:tc>
          <w:tcPr>
            <w:tcW w:w="4215" w:type="pct"/>
            <w:gridSpan w:val="15"/>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464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运营期</w:t>
            </w:r>
          </w:p>
        </w:tc>
      </w:tr>
      <w:tr w14:paraId="27C6C0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9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D7D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8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7C3C7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3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CC55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FFC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第16年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6BC0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第17年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F0E7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第18年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692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第19年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546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第20年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76E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第21年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54B5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第22年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5ED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第23年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7FF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第24年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91FC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第25年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402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第26年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C3B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第27年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90D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第28年</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B03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第29年</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9B43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第30年</w:t>
            </w:r>
          </w:p>
        </w:tc>
      </w:tr>
      <w:tr w14:paraId="760E3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DBCE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967E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经营收入</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73AB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87786.26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C9CD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44C8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19B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DFB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439F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2973.58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FDB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3115.76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660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3115.76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AE1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3115.76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5066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3115.76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02CC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3115.76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32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3167.42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BFF2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3167.42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8F0E3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3167.42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CD6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3167.42</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30FD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3167.42</w:t>
            </w:r>
          </w:p>
        </w:tc>
      </w:tr>
      <w:tr w14:paraId="48925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5B8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C05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税金及附加</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A57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1738.76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BB58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EA03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F38BB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4FF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3419A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58.34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4E69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58.80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1847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58.80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C43D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58.80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204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58.80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7C9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58.80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D41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59.31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05E0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59.31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8EE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59.31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E77C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59.31</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31A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59.31</w:t>
            </w:r>
          </w:p>
        </w:tc>
      </w:tr>
      <w:tr w14:paraId="1ADCA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7585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909F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总成本费用</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AAC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63844.84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E55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2211.62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B0A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2166.62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F9A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2120.37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3620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2070.37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04E59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2019.12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EAA4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1975.38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58A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1915.38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ABFAE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1854.13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EA37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1789.13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A1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1722.88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276A1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1664.06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06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1592.81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9849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1516.56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93B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1436.56</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0EF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1355.31</w:t>
            </w:r>
          </w:p>
        </w:tc>
      </w:tr>
      <w:tr w14:paraId="246F51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210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E6C6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利润总额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3C7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22202.67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BF5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703.62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6A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748.62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3F9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794.87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310C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844.87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2C1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896.12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D474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1081.58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D955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1141.58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C8F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1202.83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0CB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1267.83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D93D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1334.08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91E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1444.05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4D13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1515.30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8C94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1591.55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30D6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1671.55</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EAA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1752.80</w:t>
            </w:r>
          </w:p>
        </w:tc>
      </w:tr>
      <w:tr w14:paraId="6D897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F27D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447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累计亏损</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090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FC5A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122B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9E78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B023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73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39B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8D7F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9894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59A6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355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D7F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178C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C70A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230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F5B7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r>
      <w:tr w14:paraId="15558E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6"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DF22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B0F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弥补以前年度亏损</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8C40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548A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A4F6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F06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842C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8DE7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CDE78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06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A33A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BA36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080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2FF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68D4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067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69D0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3ED6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0.00</w:t>
            </w:r>
          </w:p>
        </w:tc>
      </w:tr>
      <w:tr w14:paraId="1BC42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CFE4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FADF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应纳所得税额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3416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22202.67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979D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703.62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DE0A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748.62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0809C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794.87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D29A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844.87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7889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896.12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301C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1081.58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57D9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1141.58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14EA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1202.83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D73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1267.83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B817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1334.08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693C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1444.05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C999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1515.30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7212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1591.55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F7E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1671.55</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06CF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1752.80</w:t>
            </w:r>
          </w:p>
        </w:tc>
      </w:tr>
      <w:tr w14:paraId="6B75A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B56E3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3C77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所得税（25%）</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9D1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5550.67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8AF5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175.90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477F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187.15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4DE7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198.72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EF60F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211.22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DC51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224.03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B096C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270.40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5DD8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285.40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3A1B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300.71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1943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316.96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A07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333.52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BFD2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361.01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6107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378.83</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D77C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397.89</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321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417.89</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6A9D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438.20</w:t>
            </w:r>
          </w:p>
        </w:tc>
      </w:tr>
      <w:tr w14:paraId="05E3A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490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D9AA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净利润</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61EE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16652.00</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6F5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527.71</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871C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561.46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695F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596.15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54BE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633.65</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A408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672.09</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37C4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811.19</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A930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856.19</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FB6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902.12</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E4A6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950.87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E0E0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1000.56</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9EDD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1083.04</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AC88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1136.48</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36A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1193.67</w:t>
            </w:r>
          </w:p>
        </w:tc>
        <w:tc>
          <w:tcPr>
            <w:tcW w:w="2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7E3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1253.67</w:t>
            </w:r>
          </w:p>
        </w:tc>
        <w:tc>
          <w:tcPr>
            <w:tcW w:w="28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C71C">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1314.60</w:t>
            </w:r>
          </w:p>
        </w:tc>
      </w:tr>
      <w:tr w14:paraId="7E09E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5"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E2B1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41EA0">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项目可用于还款金额</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7629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73061.16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70FF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2486.60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78A4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2475.35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C7FC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2463.79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3A1B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2451.29</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A8D1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2438.48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2998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2521.33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C2D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2506.33</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799F1">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2491.01</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4E0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2474.76</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EF22">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2458.20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1CA5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2470.68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795A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2452.87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0793">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2433.80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0381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2413.80</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ABCFD">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2393.49</w:t>
            </w:r>
          </w:p>
        </w:tc>
      </w:tr>
      <w:tr w14:paraId="21307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7" w:hRule="atLeast"/>
          <w:jc w:val="center"/>
        </w:trPr>
        <w:tc>
          <w:tcPr>
            <w:tcW w:w="19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FEA0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10</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6924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息税前利润</w:t>
            </w:r>
          </w:p>
        </w:tc>
        <w:tc>
          <w:tcPr>
            <w:tcW w:w="30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30CE7">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48157.67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8EE9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1647.37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75AEF">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1647.37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B3E2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1647.37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7C0E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1647.37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800A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1647.37</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A66A8">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1776.58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526B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1776.58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B3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1776.58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56B6A">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1776.58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77194">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1776.58</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037F5">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1816.55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D38B">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1816.55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19B5E">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1816.55</w:t>
            </w:r>
          </w:p>
        </w:tc>
        <w:tc>
          <w:tcPr>
            <w:tcW w:w="28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5979">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1816.55</w:t>
            </w:r>
          </w:p>
        </w:tc>
        <w:tc>
          <w:tcPr>
            <w:tcW w:w="2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66946">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宋体" w:hAnsi="宋体" w:eastAsia="宋体" w:cs="宋体"/>
                <w:sz w:val="20"/>
                <w:szCs w:val="20"/>
                <w:lang w:val="en-US" w:eastAsia="zh-CN"/>
              </w:rPr>
            </w:pPr>
            <w:r>
              <w:rPr>
                <w:rFonts w:hint="eastAsia" w:ascii="宋体" w:hAnsi="宋体" w:eastAsia="宋体" w:cs="宋体"/>
                <w:sz w:val="20"/>
                <w:szCs w:val="20"/>
                <w:lang w:val="en-US" w:eastAsia="zh-CN"/>
              </w:rPr>
              <w:t>1816.55</w:t>
            </w:r>
          </w:p>
        </w:tc>
      </w:tr>
    </w:tbl>
    <w:p w14:paraId="49E13539">
      <w:pPr>
        <w:bidi w:val="0"/>
        <w:rPr>
          <w:rFonts w:hint="eastAsia"/>
          <w:lang w:val="en-US" w:eastAsia="zh-CN"/>
        </w:rPr>
      </w:pPr>
    </w:p>
    <w:p w14:paraId="734CA8C4">
      <w:pPr>
        <w:spacing w:line="4188" w:lineRule="exact"/>
        <w:sectPr>
          <w:footerReference r:id="rId23" w:type="default"/>
          <w:pgSz w:w="16839" w:h="11906"/>
          <w:pgMar w:top="1134" w:right="1900" w:bottom="1283" w:left="2200" w:header="862" w:footer="1121" w:gutter="0"/>
          <w:pgNumType w:fmt="decimal"/>
          <w:cols w:space="720" w:num="1"/>
        </w:sectPr>
      </w:pPr>
    </w:p>
    <w:p w14:paraId="522A3CF4">
      <w:pPr>
        <w:pStyle w:val="8"/>
        <w:spacing w:line="252" w:lineRule="auto"/>
      </w:pPr>
    </w:p>
    <w:p w14:paraId="1ED863A0">
      <w:pPr>
        <w:pStyle w:val="8"/>
        <w:spacing w:line="253" w:lineRule="auto"/>
      </w:pPr>
    </w:p>
    <w:p w14:paraId="7AFC38B4">
      <w:pPr>
        <w:pStyle w:val="8"/>
        <w:spacing w:line="253" w:lineRule="auto"/>
      </w:pPr>
    </w:p>
    <w:p w14:paraId="58F0BAFC">
      <w:pPr>
        <w:pStyle w:val="6"/>
        <w:numPr>
          <w:ilvl w:val="3"/>
          <w:numId w:val="0"/>
        </w:numPr>
        <w:bidi w:val="0"/>
        <w:ind w:leftChars="0" w:firstLine="560" w:firstLineChars="200"/>
        <w:rPr>
          <w:rFonts w:hint="eastAsia" w:ascii="Arial" w:hAnsi="Arial" w:eastAsia="黑体"/>
          <w:highlight w:val="yellow"/>
          <w:lang w:eastAsia="zh-CN"/>
        </w:rPr>
      </w:pPr>
      <w:r>
        <w:rPr>
          <w:rFonts w:ascii="Arial" w:hAnsi="Arial"/>
        </w:rPr>
        <w:t>附件</w:t>
      </w:r>
      <w:r>
        <w:rPr>
          <w:rFonts w:hint="eastAsia"/>
          <w:lang w:val="en-US" w:eastAsia="zh-CN"/>
        </w:rPr>
        <w:t>8</w:t>
      </w:r>
      <w:r>
        <w:rPr>
          <w:rFonts w:ascii="Arial" w:hAnsi="Arial"/>
        </w:rPr>
        <w:t>：资产评估报告</w:t>
      </w:r>
      <w:r>
        <w:rPr>
          <w:rFonts w:hint="eastAsia"/>
          <w:highlight w:val="yellow"/>
          <w:lang w:eastAsia="zh-CN"/>
        </w:rPr>
        <w:t>（</w:t>
      </w:r>
      <w:r>
        <w:rPr>
          <w:rFonts w:hint="eastAsia"/>
          <w:highlight w:val="yellow"/>
          <w:lang w:val="en-US" w:eastAsia="zh-CN"/>
        </w:rPr>
        <w:t>待补充</w:t>
      </w:r>
      <w:r>
        <w:rPr>
          <w:rFonts w:hint="eastAsia"/>
          <w:highlight w:val="yellow"/>
          <w:lang w:eastAsia="zh-CN"/>
        </w:rPr>
        <w:t>）</w:t>
      </w:r>
    </w:p>
    <w:p w14:paraId="55A827DD">
      <w:pPr>
        <w:pStyle w:val="8"/>
        <w:spacing w:line="253" w:lineRule="auto"/>
      </w:pPr>
    </w:p>
    <w:sectPr>
      <w:headerReference r:id="rId24" w:type="default"/>
      <w:footerReference r:id="rId25" w:type="default"/>
      <w:pgSz w:w="11909" w:h="16841"/>
      <w:pgMar w:top="1" w:right="0" w:bottom="1" w:left="0"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auto"/>
    <w:pitch w:val="default"/>
    <w:sig w:usb0="800002BF" w:usb1="38CF7CFA" w:usb2="00000016" w:usb3="00000000" w:csb0="00040001" w:csb1="00000000"/>
  </w:font>
  <w:font w:name="var(--bs-font-monospace)">
    <w:altName w:val="Segoe Print"/>
    <w:panose1 w:val="00000000000000000000"/>
    <w:charset w:val="00"/>
    <w:family w:val="auto"/>
    <w:pitch w:val="default"/>
    <w:sig w:usb0="00000000" w:usb1="00000000" w:usb2="00000000" w:usb3="00000000" w:csb0="00000000"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F34D4">
    <w:pPr>
      <w:pStyle w:val="9"/>
      <w:ind w:left="0" w:leftChars="0" w:firstLine="0" w:firstLineChars="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6EE6F5">
                          <w:pPr>
                            <w:pStyle w:val="9"/>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14:paraId="616EE6F5">
                    <w:pPr>
                      <w:pStyle w:val="9"/>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53428">
    <w:pPr>
      <w:spacing w:line="176" w:lineRule="auto"/>
      <w:ind w:left="638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B3B61B">
                          <w:pPr>
                            <w:pStyle w:val="9"/>
                          </w:pPr>
                          <w:r>
                            <w:t>第</w:t>
                          </w:r>
                          <w:r>
                            <w:fldChar w:fldCharType="begin"/>
                          </w:r>
                          <w:r>
                            <w:instrText xml:space="preserve"> PAGE  \* MERGEFORMAT </w:instrText>
                          </w:r>
                          <w:r>
                            <w:fldChar w:fldCharType="separate"/>
                          </w:r>
                          <w:r>
                            <w:t>79</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14:paraId="42B3B61B">
                    <w:pPr>
                      <w:pStyle w:val="9"/>
                    </w:pPr>
                    <w:r>
                      <w:t>第</w:t>
                    </w:r>
                    <w:r>
                      <w:fldChar w:fldCharType="begin"/>
                    </w:r>
                    <w:r>
                      <w:instrText xml:space="preserve"> PAGE  \* MERGEFORMAT </w:instrText>
                    </w:r>
                    <w:r>
                      <w:fldChar w:fldCharType="separate"/>
                    </w:r>
                    <w:r>
                      <w:t>79</w:t>
                    </w:r>
                    <w:r>
                      <w:fldChar w:fldCharType="end"/>
                    </w:r>
                    <w:r>
                      <w:t>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D88BA">
    <w:pPr>
      <w:spacing w:line="176" w:lineRule="auto"/>
      <w:ind w:left="62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465F80">
                          <w:pPr>
                            <w:pStyle w:val="9"/>
                          </w:pPr>
                          <w:r>
                            <w:t>第</w:t>
                          </w:r>
                          <w:r>
                            <w:fldChar w:fldCharType="begin"/>
                          </w:r>
                          <w:r>
                            <w:instrText xml:space="preserve"> PAGE  \* MERGEFORMAT </w:instrText>
                          </w:r>
                          <w:r>
                            <w:fldChar w:fldCharType="separate"/>
                          </w:r>
                          <w:r>
                            <w:t>81</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oCZg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M0V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ToCZgzAgAAYwQAAA4AAAAAAAAAAQAgAAAAHwEAAGRycy9lMm9Eb2MueG1sUEsF&#10;BgAAAAAGAAYAWQEAAMQFAAAAAA==&#10;">
              <v:fill on="f" focussize="0,0"/>
              <v:stroke on="f" weight="0.5pt"/>
              <v:imagedata o:title=""/>
              <o:lock v:ext="edit" aspectratio="f"/>
              <v:textbox inset="0mm,0mm,0mm,0mm" style="mso-fit-shape-to-text:t;">
                <w:txbxContent>
                  <w:p w14:paraId="40465F80">
                    <w:pPr>
                      <w:pStyle w:val="9"/>
                    </w:pPr>
                    <w:r>
                      <w:t>第</w:t>
                    </w:r>
                    <w:r>
                      <w:fldChar w:fldCharType="begin"/>
                    </w:r>
                    <w:r>
                      <w:instrText xml:space="preserve"> PAGE  \* MERGEFORMAT </w:instrText>
                    </w:r>
                    <w:r>
                      <w:fldChar w:fldCharType="separate"/>
                    </w:r>
                    <w:r>
                      <w:t>81</w:t>
                    </w:r>
                    <w:r>
                      <w:fldChar w:fldCharType="end"/>
                    </w:r>
                    <w:r>
                      <w:t>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74A85">
    <w:pPr>
      <w:spacing w:line="176" w:lineRule="auto"/>
      <w:ind w:left="6263"/>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11553E">
                          <w:pPr>
                            <w:pStyle w:val="9"/>
                          </w:pPr>
                          <w:r>
                            <w:t>第</w:t>
                          </w:r>
                          <w:r>
                            <w:fldChar w:fldCharType="begin"/>
                          </w:r>
                          <w:r>
                            <w:instrText xml:space="preserve"> PAGE  \* MERGEFORMAT </w:instrText>
                          </w:r>
                          <w:r>
                            <w:fldChar w:fldCharType="separate"/>
                          </w:r>
                          <w:r>
                            <w:t>83</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fHs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i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m7fHszAgAAYwQAAA4AAAAAAAAAAQAgAAAAHwEAAGRycy9lMm9Eb2MueG1sUEsF&#10;BgAAAAAGAAYAWQEAAMQFAAAAAA==&#10;">
              <v:fill on="f" focussize="0,0"/>
              <v:stroke on="f" weight="0.5pt"/>
              <v:imagedata o:title=""/>
              <o:lock v:ext="edit" aspectratio="f"/>
              <v:textbox inset="0mm,0mm,0mm,0mm" style="mso-fit-shape-to-text:t;">
                <w:txbxContent>
                  <w:p w14:paraId="3411553E">
                    <w:pPr>
                      <w:pStyle w:val="9"/>
                    </w:pPr>
                    <w:r>
                      <w:t>第</w:t>
                    </w:r>
                    <w:r>
                      <w:fldChar w:fldCharType="begin"/>
                    </w:r>
                    <w:r>
                      <w:instrText xml:space="preserve"> PAGE  \* MERGEFORMAT </w:instrText>
                    </w:r>
                    <w:r>
                      <w:fldChar w:fldCharType="separate"/>
                    </w:r>
                    <w:r>
                      <w:t>83</w:t>
                    </w:r>
                    <w:r>
                      <w:fldChar w:fldCharType="end"/>
                    </w:r>
                    <w:r>
                      <w:t>页</w:t>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67DF">
    <w:pPr>
      <w:spacing w:line="176" w:lineRule="auto"/>
      <w:ind w:left="605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587B5E">
                          <w:pPr>
                            <w:pStyle w:val="9"/>
                          </w:pPr>
                          <w:r>
                            <w:t>第</w:t>
                          </w:r>
                          <w:r>
                            <w:fldChar w:fldCharType="begin"/>
                          </w:r>
                          <w:r>
                            <w:instrText xml:space="preserve"> PAGE  \* MERGEFORMAT </w:instrText>
                          </w:r>
                          <w:r>
                            <w:fldChar w:fldCharType="separate"/>
                          </w:r>
                          <w:r>
                            <w:t>85</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14:paraId="30587B5E">
                    <w:pPr>
                      <w:pStyle w:val="9"/>
                    </w:pPr>
                    <w:r>
                      <w:t>第</w:t>
                    </w:r>
                    <w:r>
                      <w:fldChar w:fldCharType="begin"/>
                    </w:r>
                    <w:r>
                      <w:instrText xml:space="preserve"> PAGE  \* MERGEFORMAT </w:instrText>
                    </w:r>
                    <w:r>
                      <w:fldChar w:fldCharType="separate"/>
                    </w:r>
                    <w:r>
                      <w:t>85</w:t>
                    </w:r>
                    <w:r>
                      <w:fldChar w:fldCharType="end"/>
                    </w:r>
                    <w:r>
                      <w:t>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34235">
    <w:pPr>
      <w:pStyle w:val="8"/>
      <w:spacing w:line="14" w:lineRule="auto"/>
      <w:rPr>
        <w:sz w:val="2"/>
      </w:rPr>
    </w:pPr>
    <w:r>
      <w:rPr>
        <w:sz w:val="2"/>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3504E6">
                          <w:pPr>
                            <w:pStyle w:val="9"/>
                          </w:pPr>
                          <w:r>
                            <w:t>第</w:t>
                          </w:r>
                          <w:r>
                            <w:fldChar w:fldCharType="begin"/>
                          </w:r>
                          <w:r>
                            <w:instrText xml:space="preserve"> PAGE  \* MERGEFORMAT </w:instrText>
                          </w:r>
                          <w:r>
                            <w:fldChar w:fldCharType="separate"/>
                          </w:r>
                          <w:r>
                            <w:t>87</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tIn8zAgAAYw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bdTSjRTqPjlx/fL&#10;z4fLr28EZxCotn6OuJ1FZGjemQZtM5x7HEbeTeFU/IIRgR/ynq/yiiYQHi/NJrNZCheHb9gAP3m8&#10;bp0P74VRJBoZdahfKys7bX3oQoeQmE2bTSVlW0OpSZ3R6es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tIn8zAgAAYwQAAA4AAAAAAAAAAQAgAAAAHwEAAGRycy9lMm9Eb2MueG1sUEsF&#10;BgAAAAAGAAYAWQEAAMQFAAAAAA==&#10;">
              <v:fill on="f" focussize="0,0"/>
              <v:stroke on="f" weight="0.5pt"/>
              <v:imagedata o:title=""/>
              <o:lock v:ext="edit" aspectratio="f"/>
              <v:textbox inset="0mm,0mm,0mm,0mm" style="mso-fit-shape-to-text:t;">
                <w:txbxContent>
                  <w:p w14:paraId="223504E6">
                    <w:pPr>
                      <w:pStyle w:val="9"/>
                    </w:pPr>
                    <w:r>
                      <w:t>第</w:t>
                    </w:r>
                    <w:r>
                      <w:fldChar w:fldCharType="begin"/>
                    </w:r>
                    <w:r>
                      <w:instrText xml:space="preserve"> PAGE  \* MERGEFORMAT </w:instrText>
                    </w:r>
                    <w:r>
                      <w:fldChar w:fldCharType="separate"/>
                    </w:r>
                    <w:r>
                      <w:t>87</w:t>
                    </w:r>
                    <w:r>
                      <w:fldChar w:fldCharType="end"/>
                    </w:r>
                    <w:r>
                      <w:t>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9A1A8D">
    <w:pPr>
      <w:pStyle w:val="9"/>
      <w:ind w:left="0" w:leftChars="0" w:firstLine="0" w:firstLineChars="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A98157">
                          <w:pPr>
                            <w:pStyle w:val="9"/>
                          </w:pPr>
                          <w:r>
                            <w:t>第</w:t>
                          </w:r>
                          <w:r>
                            <w:fldChar w:fldCharType="begin"/>
                          </w:r>
                          <w:r>
                            <w:instrText xml:space="preserve"> PAGE  \* MERGEFORMAT </w:instrText>
                          </w:r>
                          <w:r>
                            <w:fldChar w:fldCharType="separate"/>
                          </w:r>
                          <w:r>
                            <w:t>1</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BfNAA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AXzQAMQIAAGMEAAAOAAAAAAAAAAEAIAAAAB8BAABkcnMvZTJvRG9jLnhtbFBLBQYA&#10;AAAABgAGAFkBAADCBQAAAAA=&#10;">
              <v:fill on="f" focussize="0,0"/>
              <v:stroke on="f" weight="0.5pt"/>
              <v:imagedata o:title=""/>
              <o:lock v:ext="edit" aspectratio="f"/>
              <v:textbox inset="0mm,0mm,0mm,0mm" style="mso-fit-shape-to-text:t;">
                <w:txbxContent>
                  <w:p w14:paraId="40A98157">
                    <w:pPr>
                      <w:pStyle w:val="9"/>
                    </w:pPr>
                    <w:r>
                      <w:t>第</w:t>
                    </w:r>
                    <w:r>
                      <w:fldChar w:fldCharType="begin"/>
                    </w:r>
                    <w:r>
                      <w:instrText xml:space="preserve"> PAGE  \* MERGEFORMAT </w:instrText>
                    </w:r>
                    <w:r>
                      <w:fldChar w:fldCharType="separate"/>
                    </w:r>
                    <w:r>
                      <w:t>1</w:t>
                    </w:r>
                    <w:r>
                      <w:fldChar w:fldCharType="end"/>
                    </w:r>
                    <w:r>
                      <w:t>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302D67">
    <w:pPr>
      <w:spacing w:line="176" w:lineRule="auto"/>
      <w:ind w:left="4376"/>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4404E3">
                          <w:pPr>
                            <w:pStyle w:val="9"/>
                          </w:pPr>
                          <w:r>
                            <w:t>第</w:t>
                          </w:r>
                          <w:r>
                            <w:fldChar w:fldCharType="begin"/>
                          </w:r>
                          <w:r>
                            <w:instrText xml:space="preserve"> PAGE  \* MERGEFORMAT </w:instrText>
                          </w:r>
                          <w:r>
                            <w:fldChar w:fldCharType="separate"/>
                          </w:r>
                          <w:r>
                            <w:t>10</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0MQeM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NJYZpVPz04/vp&#10;58Pp1zeCMwjUuDBD3L1DZGzf2RZtM5wHHCbebeV1+oIRgR/yHi/yijYSni5NJ9NpDheHb9gAP3u8&#10;7nyI74XVJBkF9ahfJys7bELsQ4eQlM3YtVSqq6EypAGJ12/z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0MQeMzAgAAYwQAAA4AAAAAAAAAAQAgAAAAHwEAAGRycy9lMm9Eb2MueG1sUEsF&#10;BgAAAAAGAAYAWQEAAMQFAAAAAA==&#10;">
              <v:fill on="f" focussize="0,0"/>
              <v:stroke on="f" weight="0.5pt"/>
              <v:imagedata o:title=""/>
              <o:lock v:ext="edit" aspectratio="f"/>
              <v:textbox inset="0mm,0mm,0mm,0mm" style="mso-fit-shape-to-text:t;">
                <w:txbxContent>
                  <w:p w14:paraId="124404E3">
                    <w:pPr>
                      <w:pStyle w:val="9"/>
                    </w:pPr>
                    <w:r>
                      <w:t>第</w:t>
                    </w:r>
                    <w:r>
                      <w:fldChar w:fldCharType="begin"/>
                    </w:r>
                    <w:r>
                      <w:instrText xml:space="preserve"> PAGE  \* MERGEFORMAT </w:instrText>
                    </w:r>
                    <w:r>
                      <w:fldChar w:fldCharType="separate"/>
                    </w:r>
                    <w:r>
                      <w:t>10</w:t>
                    </w:r>
                    <w:r>
                      <w:fldChar w:fldCharType="end"/>
                    </w:r>
                    <w:r>
                      <w:t>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DF280">
    <w:pPr>
      <w:spacing w:line="176" w:lineRule="auto"/>
      <w:ind w:left="4371"/>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0DC8EC">
                          <w:pPr>
                            <w:pStyle w:val="9"/>
                          </w:pPr>
                          <w:r>
                            <w:t>第</w:t>
                          </w:r>
                          <w:r>
                            <w:fldChar w:fldCharType="begin"/>
                          </w:r>
                          <w:r>
                            <w:instrText xml:space="preserve"> PAGE  \* MERGEFORMAT </w:instrText>
                          </w:r>
                          <w:r>
                            <w:fldChar w:fldCharType="separate"/>
                          </w:r>
                          <w:r>
                            <w:t>41</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1gw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k1gwzAgAAYwQAAA4AAAAAAAAAAQAgAAAAHwEAAGRycy9lMm9Eb2MueG1sUEsF&#10;BgAAAAAGAAYAWQEAAMQFAAAAAA==&#10;">
              <v:fill on="f" focussize="0,0"/>
              <v:stroke on="f" weight="0.5pt"/>
              <v:imagedata o:title=""/>
              <o:lock v:ext="edit" aspectratio="f"/>
              <v:textbox inset="0mm,0mm,0mm,0mm" style="mso-fit-shape-to-text:t;">
                <w:txbxContent>
                  <w:p w14:paraId="550DC8EC">
                    <w:pPr>
                      <w:pStyle w:val="9"/>
                    </w:pPr>
                    <w:r>
                      <w:t>第</w:t>
                    </w:r>
                    <w:r>
                      <w:fldChar w:fldCharType="begin"/>
                    </w:r>
                    <w:r>
                      <w:instrText xml:space="preserve"> PAGE  \* MERGEFORMAT </w:instrText>
                    </w:r>
                    <w:r>
                      <w:fldChar w:fldCharType="separate"/>
                    </w:r>
                    <w:r>
                      <w:t>41</w:t>
                    </w:r>
                    <w:r>
                      <w:fldChar w:fldCharType="end"/>
                    </w:r>
                    <w:r>
                      <w:t>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F873A">
    <w:pPr>
      <w:spacing w:line="176" w:lineRule="auto"/>
      <w:ind w:left="514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D54409">
                          <w:pPr>
                            <w:pStyle w:val="9"/>
                          </w:pPr>
                          <w:r>
                            <w:t>第</w:t>
                          </w:r>
                          <w:r>
                            <w:fldChar w:fldCharType="begin"/>
                          </w:r>
                          <w:r>
                            <w:instrText xml:space="preserve"> PAGE  \* MERGEFORMAT </w:instrText>
                          </w:r>
                          <w:r>
                            <w:fldChar w:fldCharType="separate"/>
                          </w:r>
                          <w:r>
                            <w:t>60</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yiAg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ryiAgzAgAAYwQAAA4AAAAAAAAAAQAgAAAAHwEAAGRycy9lMm9Eb2MueG1sUEsF&#10;BgAAAAAGAAYAWQEAAMQFAAAAAA==&#10;">
              <v:fill on="f" focussize="0,0"/>
              <v:stroke on="f" weight="0.5pt"/>
              <v:imagedata o:title=""/>
              <o:lock v:ext="edit" aspectratio="f"/>
              <v:textbox inset="0mm,0mm,0mm,0mm" style="mso-fit-shape-to-text:t;">
                <w:txbxContent>
                  <w:p w14:paraId="38D54409">
                    <w:pPr>
                      <w:pStyle w:val="9"/>
                    </w:pPr>
                    <w:r>
                      <w:t>第</w:t>
                    </w:r>
                    <w:r>
                      <w:fldChar w:fldCharType="begin"/>
                    </w:r>
                    <w:r>
                      <w:instrText xml:space="preserve"> PAGE  \* MERGEFORMAT </w:instrText>
                    </w:r>
                    <w:r>
                      <w:fldChar w:fldCharType="separate"/>
                    </w:r>
                    <w:r>
                      <w:t>60</w:t>
                    </w:r>
                    <w:r>
                      <w:fldChar w:fldCharType="end"/>
                    </w:r>
                    <w:r>
                      <w:t>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2BE6E">
    <w:pPr>
      <w:spacing w:line="176" w:lineRule="auto"/>
      <w:ind w:left="432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04D1F7">
                          <w:pPr>
                            <w:pStyle w:val="9"/>
                          </w:pPr>
                          <w:r>
                            <w:t>第</w:t>
                          </w:r>
                          <w:r>
                            <w:fldChar w:fldCharType="begin"/>
                          </w:r>
                          <w:r>
                            <w:instrText xml:space="preserve"> PAGE  \* MERGEFORMAT </w:instrText>
                          </w:r>
                          <w:r>
                            <w:fldChar w:fldCharType="separate"/>
                          </w:r>
                          <w:r>
                            <w:t>62</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P6hPo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T+oT6MQIAAGMEAAAOAAAAAAAAAAEAIAAAAB8BAABkcnMvZTJvRG9jLnhtbFBLBQYA&#10;AAAABgAGAFkBAADCBQAAAAA=&#10;">
              <v:fill on="f" focussize="0,0"/>
              <v:stroke on="f" weight="0.5pt"/>
              <v:imagedata o:title=""/>
              <o:lock v:ext="edit" aspectratio="f"/>
              <v:textbox inset="0mm,0mm,0mm,0mm" style="mso-fit-shape-to-text:t;">
                <w:txbxContent>
                  <w:p w14:paraId="5704D1F7">
                    <w:pPr>
                      <w:pStyle w:val="9"/>
                    </w:pPr>
                    <w:r>
                      <w:t>第</w:t>
                    </w:r>
                    <w:r>
                      <w:fldChar w:fldCharType="begin"/>
                    </w:r>
                    <w:r>
                      <w:instrText xml:space="preserve"> PAGE  \* MERGEFORMAT </w:instrText>
                    </w:r>
                    <w:r>
                      <w:fldChar w:fldCharType="separate"/>
                    </w:r>
                    <w:r>
                      <w:t>62</w:t>
                    </w:r>
                    <w:r>
                      <w:fldChar w:fldCharType="end"/>
                    </w:r>
                    <w:r>
                      <w:t>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CB0AB">
    <w:pPr>
      <w:spacing w:line="176" w:lineRule="auto"/>
      <w:ind w:left="414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C9D3C7">
                          <w:pPr>
                            <w:pStyle w:val="9"/>
                          </w:pPr>
                          <w:r>
                            <w:t>第</w:t>
                          </w:r>
                          <w:r>
                            <w:fldChar w:fldCharType="begin"/>
                          </w:r>
                          <w:r>
                            <w:instrText xml:space="preserve"> PAGE  \* MERGEFORMAT </w:instrText>
                          </w:r>
                          <w:r>
                            <w:fldChar w:fldCharType="separate"/>
                          </w:r>
                          <w:r>
                            <w:t>70</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FSExU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otJYZpVPz04/vp&#10;58Pp1zeCMwjUuDBD3L1DZGzf2RZtM5wHHCbebeV1+oIRgR/yHi/yijYSni5NJ9NpDheHb9gAP3u8&#10;7nyI74XVJBkF9ahfJys7bELsQ4eQlM3YtVSqq6EypAGJ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FSExUzAgAAYwQAAA4AAAAAAAAAAQAgAAAAHwEAAGRycy9lMm9Eb2MueG1sUEsF&#10;BgAAAAAGAAYAWQEAAMQFAAAAAA==&#10;">
              <v:fill on="f" focussize="0,0"/>
              <v:stroke on="f" weight="0.5pt"/>
              <v:imagedata o:title=""/>
              <o:lock v:ext="edit" aspectratio="f"/>
              <v:textbox inset="0mm,0mm,0mm,0mm" style="mso-fit-shape-to-text:t;">
                <w:txbxContent>
                  <w:p w14:paraId="75C9D3C7">
                    <w:pPr>
                      <w:pStyle w:val="9"/>
                    </w:pPr>
                    <w:r>
                      <w:t>第</w:t>
                    </w:r>
                    <w:r>
                      <w:fldChar w:fldCharType="begin"/>
                    </w:r>
                    <w:r>
                      <w:instrText xml:space="preserve"> PAGE  \* MERGEFORMAT </w:instrText>
                    </w:r>
                    <w:r>
                      <w:fldChar w:fldCharType="separate"/>
                    </w:r>
                    <w:r>
                      <w:t>70</w:t>
                    </w:r>
                    <w:r>
                      <w:fldChar w:fldCharType="end"/>
                    </w:r>
                    <w:r>
                      <w:t>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BB570">
    <w:pPr>
      <w:spacing w:line="176" w:lineRule="auto"/>
      <w:ind w:left="4339"/>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0" name="文本框 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5F90BF">
                          <w:pPr>
                            <w:pStyle w:val="9"/>
                          </w:pPr>
                          <w:r>
                            <w:t>第</w:t>
                          </w:r>
                          <w:r>
                            <w:fldChar w:fldCharType="begin"/>
                          </w:r>
                          <w:r>
                            <w:instrText xml:space="preserve"> PAGE  \* MERGEFORMAT </w:instrText>
                          </w:r>
                          <w:r>
                            <w:fldChar w:fldCharType="separate"/>
                          </w:r>
                          <w:r>
                            <w:t>72</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MWwHM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MWwHMzAgAAYwQAAA4AAAAAAAAAAQAgAAAAHwEAAGRycy9lMm9Eb2MueG1sUEsF&#10;BgAAAAAGAAYAWQEAAMQFAAAAAA==&#10;">
              <v:fill on="f" focussize="0,0"/>
              <v:stroke on="f" weight="0.5pt"/>
              <v:imagedata o:title=""/>
              <o:lock v:ext="edit" aspectratio="f"/>
              <v:textbox inset="0mm,0mm,0mm,0mm" style="mso-fit-shape-to-text:t;">
                <w:txbxContent>
                  <w:p w14:paraId="735F90BF">
                    <w:pPr>
                      <w:pStyle w:val="9"/>
                    </w:pPr>
                    <w:r>
                      <w:t>第</w:t>
                    </w:r>
                    <w:r>
                      <w:fldChar w:fldCharType="begin"/>
                    </w:r>
                    <w:r>
                      <w:instrText xml:space="preserve"> PAGE  \* MERGEFORMAT </w:instrText>
                    </w:r>
                    <w:r>
                      <w:fldChar w:fldCharType="separate"/>
                    </w:r>
                    <w:r>
                      <w:t>72</w:t>
                    </w:r>
                    <w:r>
                      <w:fldChar w:fldCharType="end"/>
                    </w:r>
                    <w:r>
                      <w:t>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2CC85">
    <w:pPr>
      <w:spacing w:line="176" w:lineRule="auto"/>
      <w:ind w:left="6412"/>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AD1167">
                          <w:pPr>
                            <w:pStyle w:val="9"/>
                          </w:pPr>
                          <w:r>
                            <w:t>第</w:t>
                          </w:r>
                          <w:r>
                            <w:fldChar w:fldCharType="begin"/>
                          </w:r>
                          <w:r>
                            <w:instrText xml:space="preserve"> PAGE  \* MERGEFORMAT </w:instrText>
                          </w:r>
                          <w:r>
                            <w:fldChar w:fldCharType="separate"/>
                          </w:r>
                          <w:r>
                            <w:t>77</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G+V5wzAgAAYwQAAA4AAABkcnMvZTJvRG9jLnhtbK1UzY7TMBC+I/EO&#10;lu80aRFL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1TYphGx08/vp9+&#10;Ppx+fSM4g0CNCzPE3TtExvadbTE2w3nAYeLdVl6nLxgR+CHv8SKvaCPh6dJ0Mp3mcHH4hg3ws8fr&#10;zof4XlhNklFQj/51srLDJsQ+dAhJ2YxdS6W6HipDmoJevX6T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G+V5wzAgAAYwQAAA4AAAAAAAAAAQAgAAAAHwEAAGRycy9lMm9Eb2MueG1sUEsF&#10;BgAAAAAGAAYAWQEAAMQFAAAAAA==&#10;">
              <v:fill on="f" focussize="0,0"/>
              <v:stroke on="f" weight="0.5pt"/>
              <v:imagedata o:title=""/>
              <o:lock v:ext="edit" aspectratio="f"/>
              <v:textbox inset="0mm,0mm,0mm,0mm" style="mso-fit-shape-to-text:t;">
                <w:txbxContent>
                  <w:p w14:paraId="63AD1167">
                    <w:pPr>
                      <w:pStyle w:val="9"/>
                    </w:pPr>
                    <w:r>
                      <w:t>第</w:t>
                    </w:r>
                    <w:r>
                      <w:fldChar w:fldCharType="begin"/>
                    </w:r>
                    <w:r>
                      <w:instrText xml:space="preserve"> PAGE  \* MERGEFORMAT </w:instrText>
                    </w:r>
                    <w:r>
                      <w:fldChar w:fldCharType="separate"/>
                    </w:r>
                    <w:r>
                      <w:t>77</w:t>
                    </w:r>
                    <w:r>
                      <w:fldChar w:fldCharType="end"/>
                    </w:r>
                    <w:r>
                      <w:t>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pPr>
        <w:spacing w:line="240" w:lineRule="auto"/>
        <w:ind w:firstLine="560"/>
      </w:pPr>
      <w:r>
        <w:separator/>
      </w:r>
    </w:p>
  </w:footnote>
  <w:footnote w:type="continuationSeparator" w:id="7">
    <w:p>
      <w:pPr>
        <w:spacing w:line="240" w:lineRule="auto"/>
        <w:ind w:firstLine="560"/>
      </w:pPr>
      <w:r>
        <w:continuationSeparator/>
      </w:r>
    </w:p>
  </w:footnote>
  <w:footnote w:id="0">
    <w:p w14:paraId="13487BD6">
      <w:pPr>
        <w:pStyle w:val="12"/>
        <w:snapToGrid w:val="0"/>
        <w:spacing w:line="240" w:lineRule="auto"/>
      </w:pPr>
      <w:r>
        <w:rPr>
          <w:rStyle w:val="23"/>
        </w:rPr>
        <w:footnoteRef/>
      </w:r>
      <w:r>
        <w:t>2022年遂宁市安居区国民经济和社会发展统计公报</w:t>
      </w:r>
      <w:r>
        <w:rPr>
          <w:rFonts w:hint="eastAsia"/>
        </w:rPr>
        <w:t>https://mp.weixin.qq.com/s?__biz=MzI4NjE1OTY0MA==&amp;mid=2650347320&amp;idx=1&amp;sn=a256d8b9d87468c2dccde89d0be088d4&amp;chksm=f3ec914fc49b1859ed3e77c8c16d682ba9ab8166d721adacee6c1c1509d2e9b8b368fed180a9&amp;scene=27</w:t>
      </w:r>
    </w:p>
  </w:footnote>
  <w:footnote w:id="1">
    <w:p w14:paraId="6D370F3E">
      <w:pPr>
        <w:pStyle w:val="12"/>
        <w:snapToGrid w:val="0"/>
        <w:spacing w:line="240" w:lineRule="auto"/>
      </w:pPr>
      <w:r>
        <w:rPr>
          <w:rStyle w:val="23"/>
        </w:rPr>
        <w:footnoteRef/>
      </w:r>
      <w:r>
        <w:t>平邑县昌里水库增殖放流水面渔业两年期承包经营权拍卖成交结果公示</w:t>
      </w:r>
      <w:r>
        <w:rPr>
          <w:rFonts w:hint="eastAsia"/>
        </w:rPr>
        <w:t>http://ggzyjy.linyi.gov.cn/linyi/jyxx/012004/012004003/20230928/90489a65-aec5-494d-831b-5d0171f5887d.html</w:t>
      </w:r>
    </w:p>
  </w:footnote>
  <w:footnote w:id="2">
    <w:p w14:paraId="2D251754">
      <w:pPr>
        <w:pStyle w:val="12"/>
        <w:snapToGrid w:val="0"/>
        <w:spacing w:line="240" w:lineRule="auto"/>
      </w:pPr>
      <w:r>
        <w:rPr>
          <w:rStyle w:val="23"/>
        </w:rPr>
        <w:footnoteRef/>
      </w:r>
      <w:r>
        <w:t>广西林光工程咨询有限公司蒙山县文圩镇油麻水库出租水域发展生态渔业项目成交结果公告</w:t>
      </w:r>
      <w:r>
        <w:rPr>
          <w:rFonts w:hint="eastAsia"/>
        </w:rPr>
        <w:t>http://www.gxms.gov.cn/xxgk/zfxxgkzl/fdzdgknr/ggzypzlygk/zfcgly/cggg_43689/t18045162.shtml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034D9">
    <w:pPr>
      <w:pStyle w:val="8"/>
      <w:spacing w:line="46"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9FBA06">
    <w:pPr>
      <w:pBdr>
        <w:bottom w:val="single" w:color="auto" w:sz="4" w:space="0"/>
      </w:pBdr>
      <w:spacing w:before="16" w:line="219" w:lineRule="auto"/>
      <w:ind w:left="0" w:leftChars="0" w:firstLine="0" w:firstLineChars="0"/>
      <w:rPr>
        <w:rFonts w:hint="eastAsia" w:ascii="宋体" w:hAnsi="宋体" w:eastAsia="宋体" w:cs="宋体"/>
        <w:sz w:val="18"/>
        <w:szCs w:val="18"/>
        <w:lang w:eastAsia="zh-CN"/>
      </w:rPr>
    </w:pPr>
  </w:p>
  <w:p w14:paraId="36E27985">
    <w:pPr>
      <w:pBdr>
        <w:bottom w:val="single" w:color="auto" w:sz="4" w:space="0"/>
      </w:pBdr>
      <w:spacing w:before="16" w:line="219" w:lineRule="auto"/>
      <w:ind w:left="0" w:leftChars="0"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t>安居区麻子滩等13座水库特许经营项目</w:t>
    </w:r>
    <w:r>
      <w:rPr>
        <w:rFonts w:hint="eastAsia" w:ascii="宋体" w:hAnsi="宋体" w:eastAsia="宋体" w:cs="宋体"/>
        <w:sz w:val="18"/>
        <w:szCs w:val="18"/>
        <w:lang w:val="en-US" w:eastAsia="zh-CN"/>
      </w:rPr>
      <w:t xml:space="preserve">                                                </w:t>
    </w:r>
    <w:r>
      <w:rPr>
        <w:rFonts w:hint="eastAsia" w:ascii="宋体" w:hAnsi="宋体" w:eastAsia="宋体" w:cs="宋体"/>
        <w:spacing w:val="-1"/>
        <w:sz w:val="18"/>
        <w:szCs w:val="18"/>
        <w:lang w:eastAsia="zh-CN"/>
      </w:rPr>
      <w:t>实施方案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45A05">
    <w:pPr>
      <w:pBdr>
        <w:bottom w:val="single" w:color="auto" w:sz="4" w:space="0"/>
      </w:pBdr>
      <w:spacing w:before="16" w:line="219" w:lineRule="auto"/>
      <w:ind w:left="0" w:leftChars="0" w:firstLine="0" w:firstLineChars="0"/>
      <w:rPr>
        <w:rFonts w:hint="eastAsia" w:ascii="宋体" w:hAnsi="宋体" w:eastAsia="宋体" w:cs="宋体"/>
        <w:sz w:val="18"/>
        <w:szCs w:val="18"/>
        <w:lang w:eastAsia="zh-CN"/>
      </w:rPr>
    </w:pPr>
  </w:p>
  <w:p w14:paraId="72BE00C4">
    <w:pPr>
      <w:pBdr>
        <w:bottom w:val="single" w:color="auto" w:sz="4" w:space="0"/>
      </w:pBdr>
      <w:spacing w:before="16" w:line="219" w:lineRule="auto"/>
      <w:ind w:left="0" w:leftChars="0"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t>安居区麻子滩等13座水库特许经营项目</w:t>
    </w:r>
    <w:r>
      <w:rPr>
        <w:rFonts w:hint="eastAsia" w:ascii="宋体" w:hAnsi="宋体" w:eastAsia="宋体" w:cs="宋体"/>
        <w:sz w:val="18"/>
        <w:szCs w:val="18"/>
        <w:lang w:val="en-US" w:eastAsia="zh-CN"/>
      </w:rPr>
      <w:t xml:space="preserve">                                                       </w:t>
    </w:r>
    <w:r>
      <w:rPr>
        <w:rFonts w:hint="eastAsia" w:ascii="宋体" w:hAnsi="宋体" w:eastAsia="宋体" w:cs="宋体"/>
        <w:spacing w:val="-1"/>
        <w:sz w:val="18"/>
        <w:szCs w:val="18"/>
        <w:lang w:eastAsia="zh-CN"/>
      </w:rPr>
      <w:t>实施方案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BA58A">
    <w:pPr>
      <w:pBdr>
        <w:bottom w:val="single" w:color="auto" w:sz="4" w:space="0"/>
      </w:pBdr>
      <w:spacing w:before="16" w:line="219" w:lineRule="auto"/>
      <w:ind w:left="0" w:leftChars="0" w:firstLine="0" w:firstLineChars="0"/>
      <w:rPr>
        <w:rFonts w:hint="eastAsia" w:ascii="宋体" w:hAnsi="宋体" w:eastAsia="宋体" w:cs="宋体"/>
        <w:sz w:val="18"/>
        <w:szCs w:val="18"/>
        <w:lang w:eastAsia="zh-CN"/>
      </w:rPr>
    </w:pPr>
    <w:r>
      <w:rPr>
        <w:rFonts w:hint="eastAsia" w:ascii="宋体" w:hAnsi="宋体" w:eastAsia="宋体" w:cs="宋体"/>
        <w:sz w:val="18"/>
        <w:szCs w:val="18"/>
        <w:lang w:eastAsia="zh-CN"/>
      </w:rPr>
      <w:t>安居区麻子滩等13座水库特许经营项目</w:t>
    </w:r>
    <w:r>
      <w:rPr>
        <w:rFonts w:hint="eastAsia" w:ascii="宋体" w:hAnsi="宋体" w:eastAsia="宋体" w:cs="宋体"/>
        <w:sz w:val="18"/>
        <w:szCs w:val="18"/>
        <w:lang w:val="en-US" w:eastAsia="zh-CN"/>
      </w:rPr>
      <w:t xml:space="preserve">                                                                                                               </w:t>
    </w:r>
    <w:r>
      <w:rPr>
        <w:rFonts w:hint="eastAsia" w:ascii="宋体" w:hAnsi="宋体" w:eastAsia="宋体" w:cs="宋体"/>
        <w:spacing w:val="-1"/>
        <w:sz w:val="18"/>
        <w:szCs w:val="18"/>
        <w:lang w:eastAsia="zh-CN"/>
      </w:rPr>
      <w:t>实施方案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26326">
    <w:pPr>
      <w:pBdr>
        <w:bottom w:val="single" w:color="auto" w:sz="4" w:space="0"/>
      </w:pBdr>
      <w:spacing w:before="16" w:line="219" w:lineRule="auto"/>
      <w:ind w:left="0" w:leftChars="0" w:firstLine="0" w:firstLineChars="0"/>
      <w:jc w:val="left"/>
      <w:rPr>
        <w:rFonts w:hint="eastAsia" w:ascii="宋体" w:hAnsi="宋体" w:eastAsia="宋体" w:cs="宋体"/>
        <w:sz w:val="18"/>
        <w:szCs w:val="18"/>
        <w:lang w:eastAsia="zh-CN"/>
      </w:rPr>
    </w:pPr>
  </w:p>
  <w:p w14:paraId="1EB3DEE7">
    <w:pPr>
      <w:pBdr>
        <w:bottom w:val="single" w:color="auto" w:sz="4" w:space="0"/>
      </w:pBdr>
      <w:spacing w:before="16" w:line="219" w:lineRule="auto"/>
      <w:ind w:left="0" w:leftChars="0"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安居区麻子滩等13座水库特许经营项目</w:t>
    </w:r>
    <w:r>
      <w:rPr>
        <w:rFonts w:hint="eastAsia" w:ascii="宋体" w:hAnsi="宋体" w:eastAsia="宋体" w:cs="宋体"/>
        <w:sz w:val="18"/>
        <w:szCs w:val="18"/>
        <w:lang w:val="en-US" w:eastAsia="zh-CN"/>
      </w:rPr>
      <w:t xml:space="preserve">                                            </w:t>
    </w:r>
    <w:r>
      <w:rPr>
        <w:rFonts w:hint="eastAsia" w:ascii="宋体" w:hAnsi="宋体" w:eastAsia="宋体" w:cs="宋体"/>
        <w:spacing w:val="-1"/>
        <w:sz w:val="18"/>
        <w:szCs w:val="18"/>
        <w:lang w:eastAsia="zh-CN"/>
      </w:rPr>
      <w:t>实施方案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711BE">
    <w:pPr>
      <w:pBdr>
        <w:bottom w:val="single" w:color="auto" w:sz="4" w:space="0"/>
      </w:pBdr>
      <w:spacing w:before="16" w:line="219" w:lineRule="auto"/>
      <w:ind w:left="0" w:leftChars="0" w:firstLine="0" w:firstLineChars="0"/>
      <w:jc w:val="left"/>
      <w:rPr>
        <w:rFonts w:hint="eastAsia" w:ascii="宋体" w:hAnsi="宋体" w:eastAsia="宋体" w:cs="宋体"/>
        <w:sz w:val="18"/>
        <w:szCs w:val="18"/>
        <w:lang w:eastAsia="zh-CN"/>
      </w:rPr>
    </w:pPr>
  </w:p>
  <w:p w14:paraId="50F1D0DB">
    <w:pPr>
      <w:pBdr>
        <w:bottom w:val="single" w:color="auto" w:sz="4" w:space="0"/>
      </w:pBdr>
      <w:spacing w:before="16" w:line="219" w:lineRule="auto"/>
      <w:ind w:left="0" w:leftChars="0" w:firstLine="0" w:firstLineChars="0"/>
      <w:jc w:val="left"/>
      <w:rPr>
        <w:rFonts w:hint="eastAsia" w:ascii="宋体" w:hAnsi="宋体" w:eastAsia="宋体" w:cs="宋体"/>
        <w:sz w:val="18"/>
        <w:szCs w:val="18"/>
        <w:lang w:eastAsia="zh-CN"/>
      </w:rPr>
    </w:pPr>
    <w:r>
      <w:rPr>
        <w:rFonts w:hint="eastAsia" w:ascii="宋体" w:hAnsi="宋体" w:eastAsia="宋体" w:cs="宋体"/>
        <w:sz w:val="18"/>
        <w:szCs w:val="18"/>
        <w:lang w:eastAsia="zh-CN"/>
      </w:rPr>
      <w:t>安居区麻子滩等13座水库特许经营项目</w:t>
    </w:r>
    <w:r>
      <w:rPr>
        <w:rFonts w:hint="eastAsia" w:ascii="宋体" w:hAnsi="宋体" w:eastAsia="宋体" w:cs="宋体"/>
        <w:sz w:val="18"/>
        <w:szCs w:val="18"/>
        <w:lang w:val="en-US" w:eastAsia="zh-CN"/>
      </w:rPr>
      <w:t xml:space="preserve">                                                                                               </w:t>
    </w:r>
    <w:r>
      <w:rPr>
        <w:rFonts w:hint="eastAsia" w:ascii="宋体" w:hAnsi="宋体" w:eastAsia="宋体" w:cs="宋体"/>
        <w:spacing w:val="-1"/>
        <w:sz w:val="18"/>
        <w:szCs w:val="18"/>
        <w:lang w:eastAsia="zh-CN"/>
      </w:rPr>
      <w:t>实施方案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F45E4">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969107"/>
    <w:multiLevelType w:val="multilevel"/>
    <w:tmpl w:val="9E969107"/>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B6B763B1"/>
    <w:multiLevelType w:val="singleLevel"/>
    <w:tmpl w:val="B6B763B1"/>
    <w:lvl w:ilvl="0" w:tentative="0">
      <w:start w:val="1"/>
      <w:numFmt w:val="decimalEnclosedCircleChinese"/>
      <w:suff w:val="nothing"/>
      <w:lvlText w:val="%1　"/>
      <w:lvlJc w:val="left"/>
      <w:pPr>
        <w:ind w:left="0" w:firstLine="400"/>
      </w:pPr>
      <w:rPr>
        <w:rFonts w:hint="eastAsia"/>
      </w:rPr>
    </w:lvl>
  </w:abstractNum>
  <w:abstractNum w:abstractNumId="2">
    <w:nsid w:val="CC779770"/>
    <w:multiLevelType w:val="singleLevel"/>
    <w:tmpl w:val="CC779770"/>
    <w:lvl w:ilvl="0" w:tentative="0">
      <w:start w:val="1"/>
      <w:numFmt w:val="decimalEnclosedCircleChinese"/>
      <w:suff w:val="nothing"/>
      <w:lvlText w:val="%1　"/>
      <w:lvlJc w:val="left"/>
      <w:pPr>
        <w:ind w:left="0" w:firstLine="400"/>
      </w:pPr>
      <w:rPr>
        <w:rFonts w:hint="eastAsia"/>
      </w:rPr>
    </w:lvl>
  </w:abstractNum>
  <w:abstractNum w:abstractNumId="3">
    <w:nsid w:val="CC9CF67F"/>
    <w:multiLevelType w:val="multilevel"/>
    <w:tmpl w:val="CC9CF67F"/>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pStyle w:val="5"/>
      <w:suff w:val="nothing"/>
      <w:lvlText w:val="%3．"/>
      <w:lvlJc w:val="left"/>
      <w:pPr>
        <w:ind w:left="0" w:firstLine="402"/>
      </w:pPr>
      <w:rPr>
        <w:rFonts w:hint="eastAsia"/>
      </w:rPr>
    </w:lvl>
    <w:lvl w:ilvl="3" w:tentative="0">
      <w:start w:val="1"/>
      <w:numFmt w:val="decimal"/>
      <w:suff w:val="nothing"/>
      <w:lvlText w:val="（%4）"/>
      <w:lvlJc w:val="left"/>
      <w:pPr>
        <w:ind w:left="0" w:firstLine="402"/>
      </w:pPr>
      <w:rPr>
        <w:rFonts w:hint="eastAsia"/>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D5924CFB"/>
    <w:multiLevelType w:val="singleLevel"/>
    <w:tmpl w:val="D5924CFB"/>
    <w:lvl w:ilvl="0" w:tentative="0">
      <w:start w:val="1"/>
      <w:numFmt w:val="decimalEnclosedCircleChinese"/>
      <w:suff w:val="nothing"/>
      <w:lvlText w:val="%1　"/>
      <w:lvlJc w:val="left"/>
      <w:pPr>
        <w:ind w:left="0" w:firstLine="400"/>
      </w:pPr>
      <w:rPr>
        <w:rFonts w:hint="eastAsia"/>
      </w:rPr>
    </w:lvl>
  </w:abstractNum>
  <w:abstractNum w:abstractNumId="5">
    <w:nsid w:val="D96172EE"/>
    <w:multiLevelType w:val="singleLevel"/>
    <w:tmpl w:val="D96172EE"/>
    <w:lvl w:ilvl="0" w:tentative="0">
      <w:start w:val="1"/>
      <w:numFmt w:val="decimalEnclosedCircleChinese"/>
      <w:suff w:val="nothing"/>
      <w:lvlText w:val="%1　"/>
      <w:lvlJc w:val="left"/>
      <w:pPr>
        <w:ind w:left="0" w:firstLine="400"/>
      </w:pPr>
      <w:rPr>
        <w:rFonts w:hint="eastAsia"/>
      </w:rPr>
    </w:lvl>
  </w:abstractNum>
  <w:abstractNum w:abstractNumId="6">
    <w:nsid w:val="DBDA810D"/>
    <w:multiLevelType w:val="singleLevel"/>
    <w:tmpl w:val="DBDA810D"/>
    <w:lvl w:ilvl="0" w:tentative="0">
      <w:start w:val="1"/>
      <w:numFmt w:val="decimal"/>
      <w:lvlText w:val="%1."/>
      <w:lvlJc w:val="left"/>
      <w:pPr>
        <w:tabs>
          <w:tab w:val="left" w:pos="312"/>
        </w:tabs>
      </w:pPr>
    </w:lvl>
  </w:abstractNum>
  <w:abstractNum w:abstractNumId="7">
    <w:nsid w:val="DFDE85B1"/>
    <w:multiLevelType w:val="singleLevel"/>
    <w:tmpl w:val="DFDE85B1"/>
    <w:lvl w:ilvl="0" w:tentative="0">
      <w:start w:val="1"/>
      <w:numFmt w:val="decimalEnclosedCircleChinese"/>
      <w:suff w:val="nothing"/>
      <w:lvlText w:val="%1　"/>
      <w:lvlJc w:val="left"/>
      <w:pPr>
        <w:ind w:left="0" w:firstLine="400"/>
      </w:pPr>
      <w:rPr>
        <w:rFonts w:hint="eastAsia"/>
      </w:rPr>
    </w:lvl>
  </w:abstractNum>
  <w:abstractNum w:abstractNumId="8">
    <w:nsid w:val="1A109649"/>
    <w:multiLevelType w:val="multilevel"/>
    <w:tmpl w:val="1A109649"/>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2、"/>
      <w:lvlJc w:val="left"/>
      <w:pPr>
        <w:ind w:left="0" w:firstLine="402"/>
      </w:pPr>
      <w:rPr>
        <w:rFonts w:hint="eastAsia"/>
      </w:rPr>
    </w:lvl>
    <w:lvl w:ilvl="2" w:tentative="0">
      <w:start w:val="1"/>
      <w:numFmt w:val="decimal"/>
      <w:suff w:val="nothing"/>
      <w:lvlText w:val="%3．"/>
      <w:lvlJc w:val="left"/>
      <w:pPr>
        <w:ind w:left="0" w:firstLine="402"/>
      </w:pPr>
      <w:rPr>
        <w:rFonts w:hint="eastAsia"/>
      </w:rPr>
    </w:lvl>
    <w:lvl w:ilvl="3" w:tentative="0">
      <w:start w:val="1"/>
      <w:numFmt w:val="decimal"/>
      <w:pStyle w:val="6"/>
      <w:suff w:val="nothing"/>
      <w:lvlText w:val="（%4）"/>
      <w:lvlJc w:val="left"/>
      <w:pPr>
        <w:tabs>
          <w:tab w:val="left" w:pos="0"/>
        </w:tabs>
        <w:ind w:left="0" w:firstLine="14"/>
      </w:pPr>
      <w:rPr>
        <w:rFonts w:hint="eastAsia" w:cs="仿宋"/>
      </w:rPr>
    </w:lvl>
    <w:lvl w:ilvl="4" w:tentative="0">
      <w:start w:val="1"/>
      <w:numFmt w:val="decimalEnclosedCircleChinese"/>
      <w:suff w:val="nothing"/>
      <w:lvlText w:val="%5 "/>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9">
    <w:nsid w:val="3CEC2997"/>
    <w:multiLevelType w:val="singleLevel"/>
    <w:tmpl w:val="3CEC2997"/>
    <w:lvl w:ilvl="0" w:tentative="0">
      <w:start w:val="1"/>
      <w:numFmt w:val="decimal"/>
      <w:lvlText w:val="%1."/>
      <w:lvlJc w:val="left"/>
      <w:pPr>
        <w:tabs>
          <w:tab w:val="left" w:pos="312"/>
        </w:tabs>
      </w:pPr>
    </w:lvl>
  </w:abstractNum>
  <w:abstractNum w:abstractNumId="10">
    <w:nsid w:val="46737835"/>
    <w:multiLevelType w:val="singleLevel"/>
    <w:tmpl w:val="46737835"/>
    <w:lvl w:ilvl="0" w:tentative="0">
      <w:start w:val="1"/>
      <w:numFmt w:val="decimalEnclosedCircleChinese"/>
      <w:suff w:val="nothing"/>
      <w:lvlText w:val="%1　"/>
      <w:lvlJc w:val="left"/>
      <w:pPr>
        <w:ind w:left="0" w:firstLine="400"/>
      </w:pPr>
      <w:rPr>
        <w:rFonts w:hint="eastAsia"/>
      </w:rPr>
    </w:lvl>
  </w:abstractNum>
  <w:abstractNum w:abstractNumId="11">
    <w:nsid w:val="5F8B8CAC"/>
    <w:multiLevelType w:val="singleLevel"/>
    <w:tmpl w:val="5F8B8CAC"/>
    <w:lvl w:ilvl="0" w:tentative="0">
      <w:start w:val="1"/>
      <w:numFmt w:val="decimalEnclosedCircleChinese"/>
      <w:suff w:val="nothing"/>
      <w:lvlText w:val="%1　"/>
      <w:lvlJc w:val="left"/>
      <w:pPr>
        <w:ind w:left="0" w:firstLine="400"/>
      </w:pPr>
      <w:rPr>
        <w:rFonts w:hint="eastAsia"/>
      </w:rPr>
    </w:lvl>
  </w:abstractNum>
  <w:abstractNum w:abstractNumId="12">
    <w:nsid w:val="62EF0645"/>
    <w:multiLevelType w:val="multilevel"/>
    <w:tmpl w:val="62EF0645"/>
    <w:lvl w:ilvl="0" w:tentative="0">
      <w:start w:val="1"/>
      <w:numFmt w:val="chineseCounting"/>
      <w:suff w:val="nothing"/>
      <w:lvlText w:val="第%1章 "/>
      <w:lvlJc w:val="left"/>
      <w:pPr>
        <w:ind w:left="432" w:hanging="432"/>
      </w:pPr>
      <w:rPr>
        <w:rFonts w:hint="eastAsia"/>
      </w:rPr>
    </w:lvl>
    <w:lvl w:ilvl="1" w:tentative="0">
      <w:start w:val="1"/>
      <w:numFmt w:val="decimal"/>
      <w:pStyle w:val="4"/>
      <w:isLgl/>
      <w:suff w:val="nothing"/>
      <w:lvlText w:val="%1.%2."/>
      <w:lvlJc w:val="left"/>
      <w:pPr>
        <w:ind w:left="575" w:hanging="575"/>
      </w:pPr>
      <w:rPr>
        <w:rFonts w:hint="eastAsia"/>
      </w:rPr>
    </w:lvl>
    <w:lvl w:ilvl="2" w:tentative="0">
      <w:start w:val="1"/>
      <w:numFmt w:val="decimal"/>
      <w:isLgl/>
      <w:lvlText w:val="%1.%2.%3."/>
      <w:lvlJc w:val="left"/>
      <w:pPr>
        <w:ind w:left="720" w:hanging="720"/>
      </w:pPr>
      <w:rPr>
        <w:rFonts w:hint="eastAsia"/>
      </w:rPr>
    </w:lvl>
    <w:lvl w:ilvl="3" w:tentative="0">
      <w:start w:val="1"/>
      <w:numFmt w:val="decimal"/>
      <w:isLgl/>
      <w:lvlText w:val="%1.%2.%3.%4."/>
      <w:lvlJc w:val="left"/>
      <w:pPr>
        <w:ind w:left="864" w:hanging="864"/>
      </w:pPr>
      <w:rPr>
        <w:rFonts w:hint="eastAsia"/>
      </w:rPr>
    </w:lvl>
    <w:lvl w:ilvl="4" w:tentative="0">
      <w:start w:val="1"/>
      <w:numFmt w:val="decimal"/>
      <w:isLgl/>
      <w:lvlText w:val="%1.%2.%3.%4.%5."/>
      <w:lvlJc w:val="left"/>
      <w:pPr>
        <w:ind w:left="1008" w:hanging="1008"/>
      </w:pPr>
      <w:rPr>
        <w:rFonts w:hint="eastAsia"/>
      </w:rPr>
    </w:lvl>
    <w:lvl w:ilvl="5" w:tentative="0">
      <w:start w:val="1"/>
      <w:numFmt w:val="decimal"/>
      <w:isLgl/>
      <w:lvlText w:val="%1.%2.%3.%4.%5.%6."/>
      <w:lvlJc w:val="left"/>
      <w:pPr>
        <w:ind w:left="1151" w:hanging="1151"/>
      </w:pPr>
      <w:rPr>
        <w:rFonts w:hint="eastAsia"/>
      </w:rPr>
    </w:lvl>
    <w:lvl w:ilvl="6" w:tentative="0">
      <w:start w:val="1"/>
      <w:numFmt w:val="decimal"/>
      <w:isLgl/>
      <w:lvlText w:val="%1.%2.%3.%4.%5.%6.%7."/>
      <w:lvlJc w:val="left"/>
      <w:pPr>
        <w:ind w:left="1296" w:hanging="1296"/>
      </w:pPr>
      <w:rPr>
        <w:rFonts w:hint="eastAsia"/>
      </w:rPr>
    </w:lvl>
    <w:lvl w:ilvl="7" w:tentative="0">
      <w:start w:val="1"/>
      <w:numFmt w:val="decimal"/>
      <w:isLgl/>
      <w:lvlText w:val="%1.%2.%3.%4.%5.%6.%7.%8."/>
      <w:lvlJc w:val="left"/>
      <w:pPr>
        <w:ind w:left="1440" w:hanging="1440"/>
      </w:pPr>
      <w:rPr>
        <w:rFonts w:hint="eastAsia"/>
      </w:rPr>
    </w:lvl>
    <w:lvl w:ilvl="8" w:tentative="0">
      <w:start w:val="1"/>
      <w:numFmt w:val="decimal"/>
      <w:isLgl/>
      <w:lvlText w:val="%1.%2.%3.%4.%5.%6.%7.%8.%9."/>
      <w:lvlJc w:val="left"/>
      <w:pPr>
        <w:ind w:left="1583" w:hanging="1583"/>
      </w:pPr>
      <w:rPr>
        <w:rFonts w:hint="eastAsia"/>
      </w:rPr>
    </w:lvl>
  </w:abstractNum>
  <w:num w:numId="1">
    <w:abstractNumId w:val="12"/>
  </w:num>
  <w:num w:numId="2">
    <w:abstractNumId w:val="3"/>
  </w:num>
  <w:num w:numId="3">
    <w:abstractNumId w:val="8"/>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4"/>
    </o:shapelayout>
  </w:hdrShapeDefaults>
  <w:footnotePr>
    <w:footnote w:id="6"/>
    <w:footnote w:id="7"/>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ZGM4NjUzNDA1NDkyY2MxZmJmZThlN2U3ZTFkMjcwOGYifQ=="/>
  </w:docVars>
  <w:rsids>
    <w:rsidRoot w:val="00000000"/>
    <w:rsid w:val="0078768E"/>
    <w:rsid w:val="008549CB"/>
    <w:rsid w:val="009A61AB"/>
    <w:rsid w:val="00DB2742"/>
    <w:rsid w:val="00EA6C94"/>
    <w:rsid w:val="00FD5044"/>
    <w:rsid w:val="01192C1F"/>
    <w:rsid w:val="01374E54"/>
    <w:rsid w:val="013B2B96"/>
    <w:rsid w:val="01543C57"/>
    <w:rsid w:val="01B94362"/>
    <w:rsid w:val="01D549AE"/>
    <w:rsid w:val="01D84888"/>
    <w:rsid w:val="01E4322D"/>
    <w:rsid w:val="020531A4"/>
    <w:rsid w:val="022B3C48"/>
    <w:rsid w:val="022D740A"/>
    <w:rsid w:val="0256755B"/>
    <w:rsid w:val="028F0155"/>
    <w:rsid w:val="029167E5"/>
    <w:rsid w:val="029A7D90"/>
    <w:rsid w:val="029C58B6"/>
    <w:rsid w:val="02D84414"/>
    <w:rsid w:val="02DE5ECF"/>
    <w:rsid w:val="02F14640"/>
    <w:rsid w:val="0308368E"/>
    <w:rsid w:val="032512BE"/>
    <w:rsid w:val="03525F75"/>
    <w:rsid w:val="035E700F"/>
    <w:rsid w:val="036A1510"/>
    <w:rsid w:val="0370464D"/>
    <w:rsid w:val="037B6F3F"/>
    <w:rsid w:val="03885E3A"/>
    <w:rsid w:val="03A2514E"/>
    <w:rsid w:val="03A72272"/>
    <w:rsid w:val="03AD00A4"/>
    <w:rsid w:val="03B15391"/>
    <w:rsid w:val="03B92498"/>
    <w:rsid w:val="03D1158F"/>
    <w:rsid w:val="04240D29"/>
    <w:rsid w:val="04402271"/>
    <w:rsid w:val="044700BE"/>
    <w:rsid w:val="045E35EB"/>
    <w:rsid w:val="04BA2023"/>
    <w:rsid w:val="050B287F"/>
    <w:rsid w:val="052975E2"/>
    <w:rsid w:val="054933A7"/>
    <w:rsid w:val="05760640"/>
    <w:rsid w:val="059D24B8"/>
    <w:rsid w:val="05CC64B2"/>
    <w:rsid w:val="062747EF"/>
    <w:rsid w:val="06864AA3"/>
    <w:rsid w:val="068F128E"/>
    <w:rsid w:val="069074E0"/>
    <w:rsid w:val="069D35E7"/>
    <w:rsid w:val="06A65375"/>
    <w:rsid w:val="06DC070A"/>
    <w:rsid w:val="06EB6E0C"/>
    <w:rsid w:val="06F21F49"/>
    <w:rsid w:val="06FC4B75"/>
    <w:rsid w:val="071271F5"/>
    <w:rsid w:val="072B545A"/>
    <w:rsid w:val="07454116"/>
    <w:rsid w:val="07591FC8"/>
    <w:rsid w:val="077877DD"/>
    <w:rsid w:val="07A15ADE"/>
    <w:rsid w:val="07CC279A"/>
    <w:rsid w:val="07F13FAE"/>
    <w:rsid w:val="083640B7"/>
    <w:rsid w:val="08367AFD"/>
    <w:rsid w:val="085D7896"/>
    <w:rsid w:val="089552EA"/>
    <w:rsid w:val="08B84ACC"/>
    <w:rsid w:val="08C2594B"/>
    <w:rsid w:val="08F05B60"/>
    <w:rsid w:val="092E4D8E"/>
    <w:rsid w:val="093525C0"/>
    <w:rsid w:val="093920B1"/>
    <w:rsid w:val="0955056D"/>
    <w:rsid w:val="09570789"/>
    <w:rsid w:val="097F383C"/>
    <w:rsid w:val="09E153CF"/>
    <w:rsid w:val="09EF451D"/>
    <w:rsid w:val="0A0A0A91"/>
    <w:rsid w:val="0A375EC4"/>
    <w:rsid w:val="0A3A36E4"/>
    <w:rsid w:val="0A4721F1"/>
    <w:rsid w:val="0A477884"/>
    <w:rsid w:val="0A652A31"/>
    <w:rsid w:val="0A6C3DC0"/>
    <w:rsid w:val="0A704B1A"/>
    <w:rsid w:val="0A8B2EE5"/>
    <w:rsid w:val="0A9450C5"/>
    <w:rsid w:val="0ABB6AF5"/>
    <w:rsid w:val="0ACA6D38"/>
    <w:rsid w:val="0ACE4A7B"/>
    <w:rsid w:val="0AD6392F"/>
    <w:rsid w:val="0B5D7BAD"/>
    <w:rsid w:val="0B9F01C5"/>
    <w:rsid w:val="0B9F6417"/>
    <w:rsid w:val="0BBE5445"/>
    <w:rsid w:val="0C324B95"/>
    <w:rsid w:val="0C5114BF"/>
    <w:rsid w:val="0C523180"/>
    <w:rsid w:val="0C7B02EA"/>
    <w:rsid w:val="0C937D2A"/>
    <w:rsid w:val="0CA35A93"/>
    <w:rsid w:val="0D4F196D"/>
    <w:rsid w:val="0D514412"/>
    <w:rsid w:val="0D707A81"/>
    <w:rsid w:val="0DC5535D"/>
    <w:rsid w:val="0DF50570"/>
    <w:rsid w:val="0DFA2C9C"/>
    <w:rsid w:val="0E042561"/>
    <w:rsid w:val="0E2B3F92"/>
    <w:rsid w:val="0E395ED5"/>
    <w:rsid w:val="0E5873F4"/>
    <w:rsid w:val="0E644050"/>
    <w:rsid w:val="0E772D33"/>
    <w:rsid w:val="0E7C659C"/>
    <w:rsid w:val="0EBA6FB4"/>
    <w:rsid w:val="0EC4789B"/>
    <w:rsid w:val="0ECA6F05"/>
    <w:rsid w:val="0EE7238E"/>
    <w:rsid w:val="0EF95105"/>
    <w:rsid w:val="0F0740B7"/>
    <w:rsid w:val="0F130CAE"/>
    <w:rsid w:val="0F1862C4"/>
    <w:rsid w:val="0F250FC1"/>
    <w:rsid w:val="0F3E3C52"/>
    <w:rsid w:val="0F797F37"/>
    <w:rsid w:val="0F7D22E5"/>
    <w:rsid w:val="0F897D6C"/>
    <w:rsid w:val="0FA638D0"/>
    <w:rsid w:val="0FC87CEA"/>
    <w:rsid w:val="10093E5F"/>
    <w:rsid w:val="104A5A96"/>
    <w:rsid w:val="106079A9"/>
    <w:rsid w:val="10790FE5"/>
    <w:rsid w:val="10822FC8"/>
    <w:rsid w:val="10B60D4A"/>
    <w:rsid w:val="10CA7D05"/>
    <w:rsid w:val="11444471"/>
    <w:rsid w:val="11515ABE"/>
    <w:rsid w:val="115E753A"/>
    <w:rsid w:val="117417AC"/>
    <w:rsid w:val="11765524"/>
    <w:rsid w:val="11791613"/>
    <w:rsid w:val="11875551"/>
    <w:rsid w:val="11E9219A"/>
    <w:rsid w:val="122C727F"/>
    <w:rsid w:val="12350842"/>
    <w:rsid w:val="123C49C0"/>
    <w:rsid w:val="12414F1F"/>
    <w:rsid w:val="12424372"/>
    <w:rsid w:val="12492C39"/>
    <w:rsid w:val="12567973"/>
    <w:rsid w:val="12681311"/>
    <w:rsid w:val="129D0FDB"/>
    <w:rsid w:val="12EA441C"/>
    <w:rsid w:val="12FC7CAB"/>
    <w:rsid w:val="13135720"/>
    <w:rsid w:val="1336476B"/>
    <w:rsid w:val="13596EAB"/>
    <w:rsid w:val="137D2B9A"/>
    <w:rsid w:val="13904FC3"/>
    <w:rsid w:val="13F217DB"/>
    <w:rsid w:val="140B289C"/>
    <w:rsid w:val="143F0797"/>
    <w:rsid w:val="144731A8"/>
    <w:rsid w:val="148D505F"/>
    <w:rsid w:val="14A34882"/>
    <w:rsid w:val="14AD5701"/>
    <w:rsid w:val="14B95E54"/>
    <w:rsid w:val="14E55366"/>
    <w:rsid w:val="14E85412"/>
    <w:rsid w:val="154D47EE"/>
    <w:rsid w:val="15614461"/>
    <w:rsid w:val="156473B5"/>
    <w:rsid w:val="1573515B"/>
    <w:rsid w:val="15C303A3"/>
    <w:rsid w:val="15CF16A7"/>
    <w:rsid w:val="15DD471E"/>
    <w:rsid w:val="15E909BB"/>
    <w:rsid w:val="15F66C34"/>
    <w:rsid w:val="160B6C8E"/>
    <w:rsid w:val="16654856"/>
    <w:rsid w:val="166F3242"/>
    <w:rsid w:val="167D6421"/>
    <w:rsid w:val="16DB399D"/>
    <w:rsid w:val="16E22085"/>
    <w:rsid w:val="17150479"/>
    <w:rsid w:val="172B6DB1"/>
    <w:rsid w:val="17362D17"/>
    <w:rsid w:val="1739327C"/>
    <w:rsid w:val="173B5246"/>
    <w:rsid w:val="177F15E7"/>
    <w:rsid w:val="17987CFE"/>
    <w:rsid w:val="17AF353E"/>
    <w:rsid w:val="17B31280"/>
    <w:rsid w:val="18100480"/>
    <w:rsid w:val="18507FB2"/>
    <w:rsid w:val="186B3909"/>
    <w:rsid w:val="18BA03EC"/>
    <w:rsid w:val="18C66D91"/>
    <w:rsid w:val="18D55226"/>
    <w:rsid w:val="19232435"/>
    <w:rsid w:val="19265889"/>
    <w:rsid w:val="196C651D"/>
    <w:rsid w:val="199D2EDD"/>
    <w:rsid w:val="1A046967"/>
    <w:rsid w:val="1A180A1E"/>
    <w:rsid w:val="1A352420"/>
    <w:rsid w:val="1A4A57A0"/>
    <w:rsid w:val="1A6670E8"/>
    <w:rsid w:val="1A7208D9"/>
    <w:rsid w:val="1A9C3DE6"/>
    <w:rsid w:val="1AD37A7D"/>
    <w:rsid w:val="1AD82DAC"/>
    <w:rsid w:val="1B3426D8"/>
    <w:rsid w:val="1B3F2F88"/>
    <w:rsid w:val="1B4F7512"/>
    <w:rsid w:val="1B6A0E28"/>
    <w:rsid w:val="1B9273FE"/>
    <w:rsid w:val="1BEB4507"/>
    <w:rsid w:val="1C0876C1"/>
    <w:rsid w:val="1C0A185C"/>
    <w:rsid w:val="1C1C2414"/>
    <w:rsid w:val="1C6846C8"/>
    <w:rsid w:val="1C896A53"/>
    <w:rsid w:val="1CAF543C"/>
    <w:rsid w:val="1CBA4E5F"/>
    <w:rsid w:val="1D097B94"/>
    <w:rsid w:val="1D4568CB"/>
    <w:rsid w:val="1D554B87"/>
    <w:rsid w:val="1D9E208B"/>
    <w:rsid w:val="1E9811D0"/>
    <w:rsid w:val="1EC51899"/>
    <w:rsid w:val="1ED32208"/>
    <w:rsid w:val="1EE14925"/>
    <w:rsid w:val="1F3D58D3"/>
    <w:rsid w:val="1F680BA2"/>
    <w:rsid w:val="1F720C23"/>
    <w:rsid w:val="1F8120EE"/>
    <w:rsid w:val="1F8D239D"/>
    <w:rsid w:val="1FE04BDC"/>
    <w:rsid w:val="1FF95F83"/>
    <w:rsid w:val="2069136F"/>
    <w:rsid w:val="20697A49"/>
    <w:rsid w:val="20837969"/>
    <w:rsid w:val="20952A53"/>
    <w:rsid w:val="20A165BD"/>
    <w:rsid w:val="20C462AC"/>
    <w:rsid w:val="20D34741"/>
    <w:rsid w:val="20D65FDF"/>
    <w:rsid w:val="20E35926"/>
    <w:rsid w:val="20E70C92"/>
    <w:rsid w:val="20FB77F4"/>
    <w:rsid w:val="20FB78B1"/>
    <w:rsid w:val="21515666"/>
    <w:rsid w:val="216655B5"/>
    <w:rsid w:val="21787096"/>
    <w:rsid w:val="21AE2AB8"/>
    <w:rsid w:val="21CB366A"/>
    <w:rsid w:val="21EC6AA5"/>
    <w:rsid w:val="220D3C83"/>
    <w:rsid w:val="22124DF5"/>
    <w:rsid w:val="224F5389"/>
    <w:rsid w:val="22646256"/>
    <w:rsid w:val="22877591"/>
    <w:rsid w:val="228E206F"/>
    <w:rsid w:val="229B4DEB"/>
    <w:rsid w:val="22A46395"/>
    <w:rsid w:val="22A46986"/>
    <w:rsid w:val="22A75E85"/>
    <w:rsid w:val="22BB723B"/>
    <w:rsid w:val="22D14CB0"/>
    <w:rsid w:val="231D6E63"/>
    <w:rsid w:val="233B3997"/>
    <w:rsid w:val="2341634B"/>
    <w:rsid w:val="236A0004"/>
    <w:rsid w:val="23B0586E"/>
    <w:rsid w:val="23D43CB2"/>
    <w:rsid w:val="23D700A4"/>
    <w:rsid w:val="24174945"/>
    <w:rsid w:val="241A2687"/>
    <w:rsid w:val="24247062"/>
    <w:rsid w:val="242738B5"/>
    <w:rsid w:val="242B481C"/>
    <w:rsid w:val="242C2020"/>
    <w:rsid w:val="24314289"/>
    <w:rsid w:val="2435126F"/>
    <w:rsid w:val="244E16EF"/>
    <w:rsid w:val="24873D76"/>
    <w:rsid w:val="2497754C"/>
    <w:rsid w:val="249F3D08"/>
    <w:rsid w:val="24D46CDA"/>
    <w:rsid w:val="24D9609E"/>
    <w:rsid w:val="24F66750"/>
    <w:rsid w:val="25461985"/>
    <w:rsid w:val="256273B2"/>
    <w:rsid w:val="256B670A"/>
    <w:rsid w:val="258B383C"/>
    <w:rsid w:val="259A3A7F"/>
    <w:rsid w:val="25A8302D"/>
    <w:rsid w:val="25C77A92"/>
    <w:rsid w:val="25C94365"/>
    <w:rsid w:val="26013EF7"/>
    <w:rsid w:val="264B6B28"/>
    <w:rsid w:val="26722306"/>
    <w:rsid w:val="26747E2C"/>
    <w:rsid w:val="26AF70B6"/>
    <w:rsid w:val="26D66D39"/>
    <w:rsid w:val="270C275B"/>
    <w:rsid w:val="27106FBB"/>
    <w:rsid w:val="271250F7"/>
    <w:rsid w:val="2714168E"/>
    <w:rsid w:val="271D2F8E"/>
    <w:rsid w:val="272B79BF"/>
    <w:rsid w:val="273121C1"/>
    <w:rsid w:val="273852FE"/>
    <w:rsid w:val="273D46C2"/>
    <w:rsid w:val="273F731A"/>
    <w:rsid w:val="279A1463"/>
    <w:rsid w:val="279B588D"/>
    <w:rsid w:val="279C5947"/>
    <w:rsid w:val="27AC7A9A"/>
    <w:rsid w:val="27AE55C0"/>
    <w:rsid w:val="27C272BD"/>
    <w:rsid w:val="282A40D4"/>
    <w:rsid w:val="28385C6A"/>
    <w:rsid w:val="286F11F3"/>
    <w:rsid w:val="28852E12"/>
    <w:rsid w:val="28C01A4F"/>
    <w:rsid w:val="28C100C7"/>
    <w:rsid w:val="28C332ED"/>
    <w:rsid w:val="28E91BAC"/>
    <w:rsid w:val="28FF4F41"/>
    <w:rsid w:val="29114058"/>
    <w:rsid w:val="29243281"/>
    <w:rsid w:val="292600DD"/>
    <w:rsid w:val="296543A4"/>
    <w:rsid w:val="2976210D"/>
    <w:rsid w:val="29950527"/>
    <w:rsid w:val="29DA269C"/>
    <w:rsid w:val="29E4351B"/>
    <w:rsid w:val="29FF1136"/>
    <w:rsid w:val="2A0876E4"/>
    <w:rsid w:val="2A257A5F"/>
    <w:rsid w:val="2A3832EA"/>
    <w:rsid w:val="2A614E69"/>
    <w:rsid w:val="2A8E7F1B"/>
    <w:rsid w:val="2A9951C0"/>
    <w:rsid w:val="2AAB4039"/>
    <w:rsid w:val="2AC450FA"/>
    <w:rsid w:val="2AD305A1"/>
    <w:rsid w:val="2AE300B6"/>
    <w:rsid w:val="2AF23A4B"/>
    <w:rsid w:val="2B053749"/>
    <w:rsid w:val="2B0661A0"/>
    <w:rsid w:val="2B08765C"/>
    <w:rsid w:val="2B457FE9"/>
    <w:rsid w:val="2B4C0B44"/>
    <w:rsid w:val="2B664BB4"/>
    <w:rsid w:val="2B7E1DED"/>
    <w:rsid w:val="2B940F71"/>
    <w:rsid w:val="2B9F3B9D"/>
    <w:rsid w:val="2BA32F62"/>
    <w:rsid w:val="2BB32A08"/>
    <w:rsid w:val="2BB9108D"/>
    <w:rsid w:val="2BF01901"/>
    <w:rsid w:val="2BF5596C"/>
    <w:rsid w:val="2C061651"/>
    <w:rsid w:val="2C073ABD"/>
    <w:rsid w:val="2C0C36DF"/>
    <w:rsid w:val="2C136339"/>
    <w:rsid w:val="2C1A10A1"/>
    <w:rsid w:val="2C4958B7"/>
    <w:rsid w:val="2C707634"/>
    <w:rsid w:val="2CA83678"/>
    <w:rsid w:val="2CAB5E37"/>
    <w:rsid w:val="2CC6515A"/>
    <w:rsid w:val="2CDC0EBA"/>
    <w:rsid w:val="2CE644CE"/>
    <w:rsid w:val="2D4867D9"/>
    <w:rsid w:val="2D4C13D6"/>
    <w:rsid w:val="2D5704A8"/>
    <w:rsid w:val="2D5A0E39"/>
    <w:rsid w:val="2D5E5392"/>
    <w:rsid w:val="2DB1578C"/>
    <w:rsid w:val="2DD41AF8"/>
    <w:rsid w:val="2DE27D71"/>
    <w:rsid w:val="2DF4148F"/>
    <w:rsid w:val="2E5073D1"/>
    <w:rsid w:val="2E6B420B"/>
    <w:rsid w:val="2E7F5C42"/>
    <w:rsid w:val="2EAE40F8"/>
    <w:rsid w:val="2EB23BE8"/>
    <w:rsid w:val="2EF02962"/>
    <w:rsid w:val="2F45680A"/>
    <w:rsid w:val="2F534DC8"/>
    <w:rsid w:val="2F5C1DA5"/>
    <w:rsid w:val="2FCF07C9"/>
    <w:rsid w:val="2FD04090"/>
    <w:rsid w:val="2FE2471B"/>
    <w:rsid w:val="300E1E25"/>
    <w:rsid w:val="301D74C3"/>
    <w:rsid w:val="30351962"/>
    <w:rsid w:val="306A661B"/>
    <w:rsid w:val="307B625B"/>
    <w:rsid w:val="30AE48F5"/>
    <w:rsid w:val="30C47C02"/>
    <w:rsid w:val="30C71C5F"/>
    <w:rsid w:val="30F5600E"/>
    <w:rsid w:val="31081C25"/>
    <w:rsid w:val="311F31F4"/>
    <w:rsid w:val="31660BB0"/>
    <w:rsid w:val="31BC58DA"/>
    <w:rsid w:val="31D43E75"/>
    <w:rsid w:val="320B4833"/>
    <w:rsid w:val="32132BEF"/>
    <w:rsid w:val="32342B66"/>
    <w:rsid w:val="32952B94"/>
    <w:rsid w:val="32B9519B"/>
    <w:rsid w:val="32C35685"/>
    <w:rsid w:val="330B38C7"/>
    <w:rsid w:val="3317670F"/>
    <w:rsid w:val="333A193F"/>
    <w:rsid w:val="3341378C"/>
    <w:rsid w:val="3341553A"/>
    <w:rsid w:val="33557238"/>
    <w:rsid w:val="33775400"/>
    <w:rsid w:val="337D2302"/>
    <w:rsid w:val="33921E7E"/>
    <w:rsid w:val="339A10EE"/>
    <w:rsid w:val="33B61EB0"/>
    <w:rsid w:val="33D53B72"/>
    <w:rsid w:val="33F407FF"/>
    <w:rsid w:val="33FD03FF"/>
    <w:rsid w:val="34096BA2"/>
    <w:rsid w:val="34207846"/>
    <w:rsid w:val="3434509F"/>
    <w:rsid w:val="34565015"/>
    <w:rsid w:val="347831DE"/>
    <w:rsid w:val="348A164E"/>
    <w:rsid w:val="348A4CBF"/>
    <w:rsid w:val="34DD79E4"/>
    <w:rsid w:val="35065C10"/>
    <w:rsid w:val="35527ED3"/>
    <w:rsid w:val="35904557"/>
    <w:rsid w:val="359B692C"/>
    <w:rsid w:val="35A52AB8"/>
    <w:rsid w:val="35B779D1"/>
    <w:rsid w:val="35CD1307"/>
    <w:rsid w:val="35D62237"/>
    <w:rsid w:val="35E6061B"/>
    <w:rsid w:val="35FD4542"/>
    <w:rsid w:val="362353CB"/>
    <w:rsid w:val="362C1C98"/>
    <w:rsid w:val="36653C36"/>
    <w:rsid w:val="36AF3103"/>
    <w:rsid w:val="36EC1C61"/>
    <w:rsid w:val="374B1C54"/>
    <w:rsid w:val="374B5942"/>
    <w:rsid w:val="3753399D"/>
    <w:rsid w:val="375539B4"/>
    <w:rsid w:val="37740034"/>
    <w:rsid w:val="377840AE"/>
    <w:rsid w:val="37D512F5"/>
    <w:rsid w:val="37D921E5"/>
    <w:rsid w:val="38140ADC"/>
    <w:rsid w:val="38166DB6"/>
    <w:rsid w:val="382A0C93"/>
    <w:rsid w:val="38602CA2"/>
    <w:rsid w:val="38B13162"/>
    <w:rsid w:val="38D13A7E"/>
    <w:rsid w:val="38DD7206"/>
    <w:rsid w:val="38E726E0"/>
    <w:rsid w:val="38F45B5A"/>
    <w:rsid w:val="391A625F"/>
    <w:rsid w:val="394A04E9"/>
    <w:rsid w:val="39755F3E"/>
    <w:rsid w:val="39A65733"/>
    <w:rsid w:val="39B8407C"/>
    <w:rsid w:val="39C66799"/>
    <w:rsid w:val="39D72CD7"/>
    <w:rsid w:val="39E60BE9"/>
    <w:rsid w:val="3A0B021F"/>
    <w:rsid w:val="3A1C460B"/>
    <w:rsid w:val="3A4561D7"/>
    <w:rsid w:val="3A540249"/>
    <w:rsid w:val="3A573895"/>
    <w:rsid w:val="3A63223A"/>
    <w:rsid w:val="3A972622"/>
    <w:rsid w:val="3ABC194A"/>
    <w:rsid w:val="3AC30F2B"/>
    <w:rsid w:val="3AD153F6"/>
    <w:rsid w:val="3AD45DA4"/>
    <w:rsid w:val="3B2753A7"/>
    <w:rsid w:val="3B693880"/>
    <w:rsid w:val="3B6C3370"/>
    <w:rsid w:val="3B781D15"/>
    <w:rsid w:val="3B7A5A8D"/>
    <w:rsid w:val="3BA47D82"/>
    <w:rsid w:val="3BF13876"/>
    <w:rsid w:val="3C033CD5"/>
    <w:rsid w:val="3C137C90"/>
    <w:rsid w:val="3C203C03"/>
    <w:rsid w:val="3C2757A4"/>
    <w:rsid w:val="3C277297"/>
    <w:rsid w:val="3C320116"/>
    <w:rsid w:val="3C45737F"/>
    <w:rsid w:val="3CB44FCF"/>
    <w:rsid w:val="3CD47902"/>
    <w:rsid w:val="3CE05DC4"/>
    <w:rsid w:val="3D712EC0"/>
    <w:rsid w:val="3D74650C"/>
    <w:rsid w:val="3DCE75E8"/>
    <w:rsid w:val="3E1A3557"/>
    <w:rsid w:val="3E834C59"/>
    <w:rsid w:val="3EE5133D"/>
    <w:rsid w:val="3EFB7341"/>
    <w:rsid w:val="3F7153F9"/>
    <w:rsid w:val="3FAC01DF"/>
    <w:rsid w:val="3FB157F6"/>
    <w:rsid w:val="3FBB34AE"/>
    <w:rsid w:val="3FDB6D16"/>
    <w:rsid w:val="401A339B"/>
    <w:rsid w:val="40243665"/>
    <w:rsid w:val="402C1320"/>
    <w:rsid w:val="40861896"/>
    <w:rsid w:val="409749EB"/>
    <w:rsid w:val="40A37834"/>
    <w:rsid w:val="40BE641C"/>
    <w:rsid w:val="412066E5"/>
    <w:rsid w:val="41C23CEA"/>
    <w:rsid w:val="423020F5"/>
    <w:rsid w:val="42312C1E"/>
    <w:rsid w:val="427E5EB1"/>
    <w:rsid w:val="42813BA5"/>
    <w:rsid w:val="42B850ED"/>
    <w:rsid w:val="42BF647C"/>
    <w:rsid w:val="42C41CE4"/>
    <w:rsid w:val="42D33CD5"/>
    <w:rsid w:val="42DF08CC"/>
    <w:rsid w:val="431C130F"/>
    <w:rsid w:val="43452E25"/>
    <w:rsid w:val="436541D9"/>
    <w:rsid w:val="436A288B"/>
    <w:rsid w:val="436A4F74"/>
    <w:rsid w:val="437F7674"/>
    <w:rsid w:val="43A755A9"/>
    <w:rsid w:val="43B643E3"/>
    <w:rsid w:val="43EE7018"/>
    <w:rsid w:val="44000AFA"/>
    <w:rsid w:val="44006D4C"/>
    <w:rsid w:val="440A7BCA"/>
    <w:rsid w:val="44136A7F"/>
    <w:rsid w:val="441B1DD7"/>
    <w:rsid w:val="4429657F"/>
    <w:rsid w:val="4451295E"/>
    <w:rsid w:val="44676DCB"/>
    <w:rsid w:val="446C318F"/>
    <w:rsid w:val="447749E3"/>
    <w:rsid w:val="44BC7116"/>
    <w:rsid w:val="44C818B0"/>
    <w:rsid w:val="44E90E1F"/>
    <w:rsid w:val="44EB5650"/>
    <w:rsid w:val="44FE5123"/>
    <w:rsid w:val="45075D21"/>
    <w:rsid w:val="451C7BB5"/>
    <w:rsid w:val="45513569"/>
    <w:rsid w:val="455410FD"/>
    <w:rsid w:val="45542AAA"/>
    <w:rsid w:val="45683F6B"/>
    <w:rsid w:val="458A2D71"/>
    <w:rsid w:val="45BC2204"/>
    <w:rsid w:val="45D60869"/>
    <w:rsid w:val="45E87A97"/>
    <w:rsid w:val="46080139"/>
    <w:rsid w:val="462D72F1"/>
    <w:rsid w:val="463123E0"/>
    <w:rsid w:val="46476EB4"/>
    <w:rsid w:val="465D66D7"/>
    <w:rsid w:val="465E7D59"/>
    <w:rsid w:val="466C16EF"/>
    <w:rsid w:val="46713F31"/>
    <w:rsid w:val="46A15647"/>
    <w:rsid w:val="46C53B12"/>
    <w:rsid w:val="46FA17B7"/>
    <w:rsid w:val="47501C33"/>
    <w:rsid w:val="47543636"/>
    <w:rsid w:val="47605F31"/>
    <w:rsid w:val="4760647F"/>
    <w:rsid w:val="47916A89"/>
    <w:rsid w:val="47A41215"/>
    <w:rsid w:val="47C36A0E"/>
    <w:rsid w:val="47C6205A"/>
    <w:rsid w:val="47C63E08"/>
    <w:rsid w:val="47D44777"/>
    <w:rsid w:val="47F24BFD"/>
    <w:rsid w:val="485140E5"/>
    <w:rsid w:val="48693111"/>
    <w:rsid w:val="487B35EF"/>
    <w:rsid w:val="48820DF2"/>
    <w:rsid w:val="48A64365"/>
    <w:rsid w:val="48B06F92"/>
    <w:rsid w:val="48C10D42"/>
    <w:rsid w:val="48CE11C6"/>
    <w:rsid w:val="48EB4CA0"/>
    <w:rsid w:val="48F625F1"/>
    <w:rsid w:val="49151E2D"/>
    <w:rsid w:val="491C3609"/>
    <w:rsid w:val="4950607F"/>
    <w:rsid w:val="495518E8"/>
    <w:rsid w:val="495B287D"/>
    <w:rsid w:val="497674E4"/>
    <w:rsid w:val="49B049BD"/>
    <w:rsid w:val="49B52386"/>
    <w:rsid w:val="4A2D63C1"/>
    <w:rsid w:val="4A4E6A63"/>
    <w:rsid w:val="4A5D0A54"/>
    <w:rsid w:val="4A8F2006"/>
    <w:rsid w:val="4A9D2228"/>
    <w:rsid w:val="4AA246B9"/>
    <w:rsid w:val="4AE56904"/>
    <w:rsid w:val="4B21533E"/>
    <w:rsid w:val="4C107D48"/>
    <w:rsid w:val="4C2A0E0A"/>
    <w:rsid w:val="4C325F10"/>
    <w:rsid w:val="4C7D78BC"/>
    <w:rsid w:val="4C87313A"/>
    <w:rsid w:val="4CA74208"/>
    <w:rsid w:val="4CBF59F6"/>
    <w:rsid w:val="4D2B369F"/>
    <w:rsid w:val="4D2F7564"/>
    <w:rsid w:val="4D665E71"/>
    <w:rsid w:val="4D731E3E"/>
    <w:rsid w:val="4DA2056E"/>
    <w:rsid w:val="4DA30E74"/>
    <w:rsid w:val="4DBF1A26"/>
    <w:rsid w:val="4DC32544"/>
    <w:rsid w:val="4DD94C54"/>
    <w:rsid w:val="4DDA18CE"/>
    <w:rsid w:val="4DF53C98"/>
    <w:rsid w:val="4E1B4E0F"/>
    <w:rsid w:val="4E641913"/>
    <w:rsid w:val="4E910F9E"/>
    <w:rsid w:val="4EEF1E97"/>
    <w:rsid w:val="4F265A2B"/>
    <w:rsid w:val="4F2831CE"/>
    <w:rsid w:val="4F2E29BF"/>
    <w:rsid w:val="4F343D4D"/>
    <w:rsid w:val="4F4A3571"/>
    <w:rsid w:val="4FA669F9"/>
    <w:rsid w:val="4FD32F2F"/>
    <w:rsid w:val="4FE13ED5"/>
    <w:rsid w:val="50120532"/>
    <w:rsid w:val="505740C9"/>
    <w:rsid w:val="50914784"/>
    <w:rsid w:val="509949FD"/>
    <w:rsid w:val="50A82C45"/>
    <w:rsid w:val="50B04452"/>
    <w:rsid w:val="50DF20F3"/>
    <w:rsid w:val="510D1544"/>
    <w:rsid w:val="512247A5"/>
    <w:rsid w:val="512D17B0"/>
    <w:rsid w:val="513020AD"/>
    <w:rsid w:val="513B2C5D"/>
    <w:rsid w:val="514A2BEA"/>
    <w:rsid w:val="515D16D3"/>
    <w:rsid w:val="516721B8"/>
    <w:rsid w:val="5198235F"/>
    <w:rsid w:val="51B225DB"/>
    <w:rsid w:val="51C57402"/>
    <w:rsid w:val="52043EAB"/>
    <w:rsid w:val="521479FA"/>
    <w:rsid w:val="5219561F"/>
    <w:rsid w:val="522E2CD6"/>
    <w:rsid w:val="52344790"/>
    <w:rsid w:val="523C5EA4"/>
    <w:rsid w:val="524E3378"/>
    <w:rsid w:val="526D7CA2"/>
    <w:rsid w:val="527D0C31"/>
    <w:rsid w:val="528B637A"/>
    <w:rsid w:val="52AA2CA4"/>
    <w:rsid w:val="52CD6993"/>
    <w:rsid w:val="536B70CD"/>
    <w:rsid w:val="536F7A4A"/>
    <w:rsid w:val="537D2167"/>
    <w:rsid w:val="537E1A3B"/>
    <w:rsid w:val="539F3E8B"/>
    <w:rsid w:val="53A16198"/>
    <w:rsid w:val="53A5521A"/>
    <w:rsid w:val="53CA4C80"/>
    <w:rsid w:val="53CB2ED2"/>
    <w:rsid w:val="53D11490"/>
    <w:rsid w:val="53F52340"/>
    <w:rsid w:val="5407768D"/>
    <w:rsid w:val="541505F1"/>
    <w:rsid w:val="54703A7A"/>
    <w:rsid w:val="5479292E"/>
    <w:rsid w:val="54FC607C"/>
    <w:rsid w:val="54FF02B0"/>
    <w:rsid w:val="55342CF9"/>
    <w:rsid w:val="55437CB7"/>
    <w:rsid w:val="554967A4"/>
    <w:rsid w:val="556F3D31"/>
    <w:rsid w:val="5583158B"/>
    <w:rsid w:val="558D118A"/>
    <w:rsid w:val="55BE5537"/>
    <w:rsid w:val="560C4172"/>
    <w:rsid w:val="562C39D0"/>
    <w:rsid w:val="565931AF"/>
    <w:rsid w:val="56693992"/>
    <w:rsid w:val="566E3FE9"/>
    <w:rsid w:val="569C5409"/>
    <w:rsid w:val="56A12D4D"/>
    <w:rsid w:val="56BC11B0"/>
    <w:rsid w:val="56BC48CE"/>
    <w:rsid w:val="56C14444"/>
    <w:rsid w:val="56CC591C"/>
    <w:rsid w:val="56F52014"/>
    <w:rsid w:val="571D15E5"/>
    <w:rsid w:val="57392DB7"/>
    <w:rsid w:val="5761630D"/>
    <w:rsid w:val="57623B4D"/>
    <w:rsid w:val="5765719A"/>
    <w:rsid w:val="5774783B"/>
    <w:rsid w:val="57AB13DC"/>
    <w:rsid w:val="57E207EA"/>
    <w:rsid w:val="58226E39"/>
    <w:rsid w:val="58306484"/>
    <w:rsid w:val="583E357E"/>
    <w:rsid w:val="58490869"/>
    <w:rsid w:val="5851771E"/>
    <w:rsid w:val="585B059D"/>
    <w:rsid w:val="58866E9B"/>
    <w:rsid w:val="5887626D"/>
    <w:rsid w:val="589E6E07"/>
    <w:rsid w:val="58B101BD"/>
    <w:rsid w:val="58B8779D"/>
    <w:rsid w:val="58D02E1F"/>
    <w:rsid w:val="58E2312B"/>
    <w:rsid w:val="58FA7DB6"/>
    <w:rsid w:val="59684D1F"/>
    <w:rsid w:val="59CC3500"/>
    <w:rsid w:val="59E71DE5"/>
    <w:rsid w:val="5A0326B9"/>
    <w:rsid w:val="5A5F4374"/>
    <w:rsid w:val="5A657085"/>
    <w:rsid w:val="5A670AE9"/>
    <w:rsid w:val="5AC253A4"/>
    <w:rsid w:val="5ACC2521"/>
    <w:rsid w:val="5ACF3521"/>
    <w:rsid w:val="5AD45EC7"/>
    <w:rsid w:val="5AD703AE"/>
    <w:rsid w:val="5AE94446"/>
    <w:rsid w:val="5B252F90"/>
    <w:rsid w:val="5B747687"/>
    <w:rsid w:val="5B7A6D0F"/>
    <w:rsid w:val="5B7B5D04"/>
    <w:rsid w:val="5BAA5AC3"/>
    <w:rsid w:val="5BAC5851"/>
    <w:rsid w:val="5BB24978"/>
    <w:rsid w:val="5BDD30D2"/>
    <w:rsid w:val="5BE315B7"/>
    <w:rsid w:val="5C62014C"/>
    <w:rsid w:val="5C62639E"/>
    <w:rsid w:val="5C730E0D"/>
    <w:rsid w:val="5C78171D"/>
    <w:rsid w:val="5C872895"/>
    <w:rsid w:val="5C8E7490"/>
    <w:rsid w:val="5CDD3C76"/>
    <w:rsid w:val="5D775E79"/>
    <w:rsid w:val="5DE91890"/>
    <w:rsid w:val="5E0B4BE0"/>
    <w:rsid w:val="5E294B0F"/>
    <w:rsid w:val="5E5D506F"/>
    <w:rsid w:val="5E736640"/>
    <w:rsid w:val="5E7C6FB1"/>
    <w:rsid w:val="5F0F0A09"/>
    <w:rsid w:val="5F867121"/>
    <w:rsid w:val="5F8E3006"/>
    <w:rsid w:val="5FD650D9"/>
    <w:rsid w:val="5FFA069B"/>
    <w:rsid w:val="60150D5F"/>
    <w:rsid w:val="60235E44"/>
    <w:rsid w:val="6048717A"/>
    <w:rsid w:val="604B0A34"/>
    <w:rsid w:val="605C0648"/>
    <w:rsid w:val="60A204FC"/>
    <w:rsid w:val="60AB73E1"/>
    <w:rsid w:val="60E43293"/>
    <w:rsid w:val="611F485D"/>
    <w:rsid w:val="612260FC"/>
    <w:rsid w:val="61283254"/>
    <w:rsid w:val="612C0D28"/>
    <w:rsid w:val="61E67129"/>
    <w:rsid w:val="6211064A"/>
    <w:rsid w:val="62111F83"/>
    <w:rsid w:val="622540F5"/>
    <w:rsid w:val="622D2046"/>
    <w:rsid w:val="623936FD"/>
    <w:rsid w:val="628030DA"/>
    <w:rsid w:val="628472D5"/>
    <w:rsid w:val="62DC3E8D"/>
    <w:rsid w:val="62E96ED1"/>
    <w:rsid w:val="63123ECB"/>
    <w:rsid w:val="634E4F86"/>
    <w:rsid w:val="635A392B"/>
    <w:rsid w:val="639A466F"/>
    <w:rsid w:val="639D174A"/>
    <w:rsid w:val="63AF3EC4"/>
    <w:rsid w:val="63B70D7D"/>
    <w:rsid w:val="63B83AF1"/>
    <w:rsid w:val="63C4349A"/>
    <w:rsid w:val="63D25BB7"/>
    <w:rsid w:val="63FC4F3B"/>
    <w:rsid w:val="64332E4D"/>
    <w:rsid w:val="643B3017"/>
    <w:rsid w:val="64465BD3"/>
    <w:rsid w:val="64487C27"/>
    <w:rsid w:val="646B0DE3"/>
    <w:rsid w:val="64921BDB"/>
    <w:rsid w:val="65075D34"/>
    <w:rsid w:val="651641C9"/>
    <w:rsid w:val="651B533C"/>
    <w:rsid w:val="65516FAF"/>
    <w:rsid w:val="65760586"/>
    <w:rsid w:val="657D1B52"/>
    <w:rsid w:val="65A13A93"/>
    <w:rsid w:val="65B53119"/>
    <w:rsid w:val="65C95B1F"/>
    <w:rsid w:val="65DD6A95"/>
    <w:rsid w:val="65E46C1B"/>
    <w:rsid w:val="66326DE1"/>
    <w:rsid w:val="66512167"/>
    <w:rsid w:val="66527BAE"/>
    <w:rsid w:val="665777F9"/>
    <w:rsid w:val="666C0369"/>
    <w:rsid w:val="66C66021"/>
    <w:rsid w:val="66E03E81"/>
    <w:rsid w:val="67BD735A"/>
    <w:rsid w:val="67EE4F89"/>
    <w:rsid w:val="6836770B"/>
    <w:rsid w:val="68433770"/>
    <w:rsid w:val="684474B4"/>
    <w:rsid w:val="68914293"/>
    <w:rsid w:val="689836F2"/>
    <w:rsid w:val="68C47A98"/>
    <w:rsid w:val="68DD07DE"/>
    <w:rsid w:val="68DD74D8"/>
    <w:rsid w:val="68E3372E"/>
    <w:rsid w:val="68F640F6"/>
    <w:rsid w:val="69502D4F"/>
    <w:rsid w:val="69B53FB1"/>
    <w:rsid w:val="69B8584F"/>
    <w:rsid w:val="69F36887"/>
    <w:rsid w:val="69F745C9"/>
    <w:rsid w:val="69FB573C"/>
    <w:rsid w:val="6A010FA4"/>
    <w:rsid w:val="6A2627B9"/>
    <w:rsid w:val="6A2C36A2"/>
    <w:rsid w:val="6A581943"/>
    <w:rsid w:val="6ABE6E95"/>
    <w:rsid w:val="6AC72890"/>
    <w:rsid w:val="6ACB15B2"/>
    <w:rsid w:val="6ACD532A"/>
    <w:rsid w:val="6AD466B8"/>
    <w:rsid w:val="6AE663EC"/>
    <w:rsid w:val="6B5415A7"/>
    <w:rsid w:val="6B550103"/>
    <w:rsid w:val="6B5E2426"/>
    <w:rsid w:val="6B877426"/>
    <w:rsid w:val="6B92697E"/>
    <w:rsid w:val="6BD12BF8"/>
    <w:rsid w:val="6BD821D8"/>
    <w:rsid w:val="6BF46747"/>
    <w:rsid w:val="6C026C14"/>
    <w:rsid w:val="6C0976F0"/>
    <w:rsid w:val="6C111246"/>
    <w:rsid w:val="6C2063E9"/>
    <w:rsid w:val="6C425DD3"/>
    <w:rsid w:val="6C5420FA"/>
    <w:rsid w:val="6C9B11A6"/>
    <w:rsid w:val="6CD010B4"/>
    <w:rsid w:val="6CE10C19"/>
    <w:rsid w:val="6CE40709"/>
    <w:rsid w:val="6CF748E0"/>
    <w:rsid w:val="6D140FEE"/>
    <w:rsid w:val="6D54535E"/>
    <w:rsid w:val="6D643DFF"/>
    <w:rsid w:val="6D9143ED"/>
    <w:rsid w:val="6DA64A40"/>
    <w:rsid w:val="6DAF0D17"/>
    <w:rsid w:val="6DB616B8"/>
    <w:rsid w:val="6DD536EF"/>
    <w:rsid w:val="6DDD1535"/>
    <w:rsid w:val="6DDE1D34"/>
    <w:rsid w:val="6DE75B6B"/>
    <w:rsid w:val="6DF42BCE"/>
    <w:rsid w:val="6DF8311F"/>
    <w:rsid w:val="6E313E22"/>
    <w:rsid w:val="6E5813AF"/>
    <w:rsid w:val="6E912A5B"/>
    <w:rsid w:val="6E926805"/>
    <w:rsid w:val="6E9543B1"/>
    <w:rsid w:val="6EB52295"/>
    <w:rsid w:val="6EBE03DF"/>
    <w:rsid w:val="6EC024A5"/>
    <w:rsid w:val="6F5C7050"/>
    <w:rsid w:val="6F7C4BE6"/>
    <w:rsid w:val="6F7E6BF3"/>
    <w:rsid w:val="6F8A5598"/>
    <w:rsid w:val="6FA45BFB"/>
    <w:rsid w:val="6FCA1E38"/>
    <w:rsid w:val="6FEF5D43"/>
    <w:rsid w:val="6FFC5832"/>
    <w:rsid w:val="70117A67"/>
    <w:rsid w:val="70194DCD"/>
    <w:rsid w:val="7020414E"/>
    <w:rsid w:val="705C19CB"/>
    <w:rsid w:val="70891CF3"/>
    <w:rsid w:val="70A42689"/>
    <w:rsid w:val="70B962CD"/>
    <w:rsid w:val="70C25BD4"/>
    <w:rsid w:val="70F52EE5"/>
    <w:rsid w:val="711E56C5"/>
    <w:rsid w:val="716D6F1F"/>
    <w:rsid w:val="719B567C"/>
    <w:rsid w:val="71B83FD5"/>
    <w:rsid w:val="71D451F0"/>
    <w:rsid w:val="71E574A7"/>
    <w:rsid w:val="720A7302"/>
    <w:rsid w:val="720F0A79"/>
    <w:rsid w:val="721D4756"/>
    <w:rsid w:val="721E5934"/>
    <w:rsid w:val="722A3062"/>
    <w:rsid w:val="72342400"/>
    <w:rsid w:val="72522CC7"/>
    <w:rsid w:val="727442DD"/>
    <w:rsid w:val="7288176E"/>
    <w:rsid w:val="72E256EB"/>
    <w:rsid w:val="73092C77"/>
    <w:rsid w:val="730E79D0"/>
    <w:rsid w:val="736F7AC6"/>
    <w:rsid w:val="73880040"/>
    <w:rsid w:val="73B55403"/>
    <w:rsid w:val="73C62C4D"/>
    <w:rsid w:val="73D1419C"/>
    <w:rsid w:val="73FC0A2E"/>
    <w:rsid w:val="744C3764"/>
    <w:rsid w:val="747344DC"/>
    <w:rsid w:val="748F732C"/>
    <w:rsid w:val="74914CC7"/>
    <w:rsid w:val="74993168"/>
    <w:rsid w:val="74B63003"/>
    <w:rsid w:val="74BF1934"/>
    <w:rsid w:val="74D30693"/>
    <w:rsid w:val="74E96653"/>
    <w:rsid w:val="74F33BDF"/>
    <w:rsid w:val="75611E78"/>
    <w:rsid w:val="75616D9B"/>
    <w:rsid w:val="757F1917"/>
    <w:rsid w:val="75930F1E"/>
    <w:rsid w:val="75A849CA"/>
    <w:rsid w:val="75B3511C"/>
    <w:rsid w:val="75DE0CB8"/>
    <w:rsid w:val="764714A2"/>
    <w:rsid w:val="764C68BD"/>
    <w:rsid w:val="7677439C"/>
    <w:rsid w:val="768F4FA1"/>
    <w:rsid w:val="76EA1012"/>
    <w:rsid w:val="777210A4"/>
    <w:rsid w:val="77731007"/>
    <w:rsid w:val="77B57CE6"/>
    <w:rsid w:val="77E36D4C"/>
    <w:rsid w:val="78756096"/>
    <w:rsid w:val="78782D79"/>
    <w:rsid w:val="78E10442"/>
    <w:rsid w:val="79200D1B"/>
    <w:rsid w:val="7931117A"/>
    <w:rsid w:val="793A6280"/>
    <w:rsid w:val="797026CD"/>
    <w:rsid w:val="79747B16"/>
    <w:rsid w:val="798B088A"/>
    <w:rsid w:val="79A90D10"/>
    <w:rsid w:val="79B11E10"/>
    <w:rsid w:val="79DA711C"/>
    <w:rsid w:val="7A02077F"/>
    <w:rsid w:val="7A0917AF"/>
    <w:rsid w:val="7A0D622B"/>
    <w:rsid w:val="7A1F2D6A"/>
    <w:rsid w:val="7A3A405E"/>
    <w:rsid w:val="7A4601A0"/>
    <w:rsid w:val="7A4A24F3"/>
    <w:rsid w:val="7A7767CD"/>
    <w:rsid w:val="7AAC6D0A"/>
    <w:rsid w:val="7AB16449"/>
    <w:rsid w:val="7AB4796D"/>
    <w:rsid w:val="7AD319ED"/>
    <w:rsid w:val="7B1228E5"/>
    <w:rsid w:val="7B3B008E"/>
    <w:rsid w:val="7B5E48E6"/>
    <w:rsid w:val="7B785AE9"/>
    <w:rsid w:val="7B86755B"/>
    <w:rsid w:val="7BC97F1F"/>
    <w:rsid w:val="7C15268D"/>
    <w:rsid w:val="7C3418DE"/>
    <w:rsid w:val="7C5755A6"/>
    <w:rsid w:val="7C85687A"/>
    <w:rsid w:val="7CA81753"/>
    <w:rsid w:val="7CB2612E"/>
    <w:rsid w:val="7CC36CEE"/>
    <w:rsid w:val="7CF717DF"/>
    <w:rsid w:val="7CFA3D45"/>
    <w:rsid w:val="7CFB7AD5"/>
    <w:rsid w:val="7D0D7808"/>
    <w:rsid w:val="7D146DD7"/>
    <w:rsid w:val="7D3C7304"/>
    <w:rsid w:val="7D506A70"/>
    <w:rsid w:val="7D545437"/>
    <w:rsid w:val="7D692A50"/>
    <w:rsid w:val="7DAD6864"/>
    <w:rsid w:val="7DB549D9"/>
    <w:rsid w:val="7DB859C6"/>
    <w:rsid w:val="7DBB1012"/>
    <w:rsid w:val="7DBF0B02"/>
    <w:rsid w:val="7DD547CA"/>
    <w:rsid w:val="7DD8381F"/>
    <w:rsid w:val="7DF14C32"/>
    <w:rsid w:val="7E27146E"/>
    <w:rsid w:val="7E326D2C"/>
    <w:rsid w:val="7E696CC0"/>
    <w:rsid w:val="7E7D41D6"/>
    <w:rsid w:val="7E857F9E"/>
    <w:rsid w:val="7E8A1B4A"/>
    <w:rsid w:val="7E8B4E88"/>
    <w:rsid w:val="7EBA751C"/>
    <w:rsid w:val="7ED30C88"/>
    <w:rsid w:val="7EE231F3"/>
    <w:rsid w:val="7F0E2027"/>
    <w:rsid w:val="7F625014"/>
    <w:rsid w:val="7FDB3BE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spacing w:line="560" w:lineRule="exact"/>
      <w:ind w:firstLine="420" w:firstLineChars="200"/>
      <w:jc w:val="both"/>
      <w:textAlignment w:val="baseline"/>
    </w:pPr>
    <w:rPr>
      <w:rFonts w:ascii="Arial" w:hAnsi="Arial" w:eastAsia="仿宋" w:cs="Arial"/>
      <w:snapToGrid w:val="0"/>
      <w:color w:val="000000"/>
      <w:kern w:val="0"/>
      <w:sz w:val="28"/>
      <w:szCs w:val="21"/>
      <w:lang w:val="en-US" w:eastAsia="en-US" w:bidi="ar-SA"/>
    </w:rPr>
  </w:style>
  <w:style w:type="paragraph" w:styleId="3">
    <w:name w:val="heading 1"/>
    <w:basedOn w:val="1"/>
    <w:next w:val="1"/>
    <w:qFormat/>
    <w:uiPriority w:val="0"/>
    <w:pPr>
      <w:pBdr>
        <w:top w:val="none" w:color="auto" w:sz="0" w:space="0"/>
        <w:left w:val="none" w:color="auto" w:sz="0" w:space="0"/>
        <w:bottom w:val="none" w:color="auto" w:sz="0" w:space="0"/>
        <w:right w:val="none" w:color="auto" w:sz="0" w:space="0"/>
      </w:pBdr>
      <w:spacing w:before="0" w:beforeAutospacing="0" w:after="0" w:afterAutospacing="0" w:line="560" w:lineRule="exact"/>
      <w:ind w:left="0" w:right="0" w:firstLine="0" w:firstLineChars="0"/>
      <w:jc w:val="center"/>
      <w:outlineLvl w:val="0"/>
    </w:pPr>
    <w:rPr>
      <w:rFonts w:hint="eastAsia" w:ascii="宋体" w:hAnsi="宋体" w:eastAsia="黑体" w:cs="宋体"/>
      <w:bCs/>
      <w:sz w:val="48"/>
      <w:szCs w:val="48"/>
      <w:lang w:eastAsia="zh-CN" w:bidi="ar"/>
    </w:rPr>
  </w:style>
  <w:style w:type="paragraph" w:styleId="4">
    <w:name w:val="heading 2"/>
    <w:basedOn w:val="1"/>
    <w:next w:val="2"/>
    <w:unhideWhenUsed/>
    <w:qFormat/>
    <w:uiPriority w:val="0"/>
    <w:pPr>
      <w:numPr>
        <w:ilvl w:val="1"/>
        <w:numId w:val="1"/>
      </w:numPr>
      <w:tabs>
        <w:tab w:val="left" w:pos="0"/>
      </w:tabs>
      <w:spacing w:line="560" w:lineRule="exact"/>
      <w:ind w:left="575" w:hanging="575" w:firstLineChars="0"/>
      <w:jc w:val="left"/>
      <w:outlineLvl w:val="1"/>
    </w:pPr>
    <w:rPr>
      <w:rFonts w:ascii="Arial" w:hAnsi="Arial" w:eastAsia="黑体"/>
      <w:b/>
      <w:sz w:val="32"/>
    </w:rPr>
  </w:style>
  <w:style w:type="paragraph" w:styleId="5">
    <w:name w:val="heading 3"/>
    <w:basedOn w:val="1"/>
    <w:next w:val="1"/>
    <w:unhideWhenUsed/>
    <w:qFormat/>
    <w:uiPriority w:val="0"/>
    <w:pPr>
      <w:numPr>
        <w:ilvl w:val="2"/>
        <w:numId w:val="2"/>
      </w:numPr>
      <w:tabs>
        <w:tab w:val="left" w:pos="0"/>
      </w:tabs>
      <w:spacing w:line="560" w:lineRule="exact"/>
      <w:ind w:left="0" w:firstLine="402" w:firstLineChars="0"/>
      <w:jc w:val="left"/>
      <w:outlineLvl w:val="2"/>
    </w:pPr>
    <w:rPr>
      <w:rFonts w:ascii="Arial" w:hAnsi="Arial" w:eastAsia="黑体"/>
      <w:b/>
      <w:bCs/>
      <w:sz w:val="30"/>
      <w:szCs w:val="30"/>
    </w:rPr>
  </w:style>
  <w:style w:type="paragraph" w:styleId="6">
    <w:name w:val="heading 4"/>
    <w:basedOn w:val="1"/>
    <w:next w:val="1"/>
    <w:unhideWhenUsed/>
    <w:qFormat/>
    <w:uiPriority w:val="0"/>
    <w:pPr>
      <w:keepNext/>
      <w:keepLines/>
      <w:numPr>
        <w:ilvl w:val="3"/>
        <w:numId w:val="3"/>
      </w:numPr>
      <w:spacing w:beforeLines="0" w:beforeAutospacing="0" w:afterLines="0" w:afterAutospacing="0" w:line="560" w:lineRule="exact"/>
      <w:ind w:left="0" w:firstLine="317" w:firstLineChars="151"/>
      <w:outlineLvl w:val="3"/>
    </w:pPr>
    <w:rPr>
      <w:rFonts w:ascii="Arial" w:hAnsi="Arial" w:eastAsia="黑体"/>
    </w:rPr>
  </w:style>
  <w:style w:type="character" w:default="1" w:styleId="17">
    <w:name w:val="Default Paragraph Font"/>
    <w:unhideWhenUsed/>
    <w:qFormat/>
    <w:uiPriority w:val="1"/>
  </w:style>
  <w:style w:type="table" w:default="1" w:styleId="15">
    <w:name w:val="Normal Table"/>
    <w:autoRedefine/>
    <w:semiHidden/>
    <w:qFormat/>
    <w:uiPriority w:val="0"/>
    <w:tblPr>
      <w:tblCellMar>
        <w:top w:w="0" w:type="dxa"/>
        <w:left w:w="108" w:type="dxa"/>
        <w:bottom w:w="0" w:type="dxa"/>
        <w:right w:w="108" w:type="dxa"/>
      </w:tblCellMar>
    </w:tblPr>
  </w:style>
  <w:style w:type="paragraph" w:styleId="2">
    <w:name w:val="Normal Indent"/>
    <w:basedOn w:val="1"/>
    <w:qFormat/>
    <w:uiPriority w:val="0"/>
    <w:pPr>
      <w:keepLines/>
      <w:topLinePunct/>
      <w:ind w:firstLine="420" w:firstLineChars="200"/>
    </w:pPr>
    <w:rPr>
      <w:rFonts w:ascii="宋体" w:hAnsi="宋体" w:eastAsia="宋体"/>
    </w:rPr>
  </w:style>
  <w:style w:type="paragraph" w:styleId="7">
    <w:name w:val="caption"/>
    <w:basedOn w:val="1"/>
    <w:next w:val="1"/>
    <w:autoRedefine/>
    <w:semiHidden/>
    <w:unhideWhenUsed/>
    <w:qFormat/>
    <w:uiPriority w:val="0"/>
    <w:rPr>
      <w:rFonts w:ascii="Arial" w:hAnsi="Arial" w:eastAsia="宋体" w:cs="宋体"/>
      <w:b/>
      <w:sz w:val="24"/>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pPr>
      <w:spacing w:line="360" w:lineRule="auto"/>
      <w:ind w:firstLine="0" w:firstLineChars="0"/>
    </w:pPr>
    <w:rPr>
      <w:rFonts w:ascii="Calibri" w:hAnsi="Calibri" w:cs="Calibri"/>
      <w:b/>
      <w:bCs/>
      <w:caps/>
      <w:szCs w:val="20"/>
    </w:rPr>
  </w:style>
  <w:style w:type="paragraph" w:styleId="12">
    <w:name w:val="footnote text"/>
    <w:basedOn w:val="1"/>
    <w:qFormat/>
    <w:uiPriority w:val="0"/>
    <w:pPr>
      <w:snapToGrid w:val="0"/>
      <w:jc w:val="left"/>
    </w:pPr>
    <w:rPr>
      <w:sz w:val="18"/>
    </w:rPr>
  </w:style>
  <w:style w:type="paragraph" w:styleId="13">
    <w:name w:val="toc 2"/>
    <w:basedOn w:val="11"/>
    <w:next w:val="1"/>
    <w:qFormat/>
    <w:uiPriority w:val="0"/>
    <w:pPr>
      <w:spacing w:line="240" w:lineRule="auto"/>
      <w:ind w:left="0" w:firstLine="560" w:firstLineChars="200"/>
    </w:pPr>
    <w:rPr>
      <w:b w:val="0"/>
      <w:sz w:val="20"/>
    </w:rPr>
  </w:style>
  <w:style w:type="paragraph" w:styleId="14">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table" w:styleId="16">
    <w:name w:val="Table Grid"/>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Strong"/>
    <w:basedOn w:val="17"/>
    <w:qFormat/>
    <w:uiPriority w:val="0"/>
    <w:rPr>
      <w:b/>
      <w:bCs/>
      <w:vanish/>
    </w:rPr>
  </w:style>
  <w:style w:type="character" w:styleId="19">
    <w:name w:val="FollowedHyperlink"/>
    <w:basedOn w:val="17"/>
    <w:qFormat/>
    <w:uiPriority w:val="0"/>
    <w:rPr>
      <w:color w:val="333333"/>
      <w:u w:val="none"/>
    </w:rPr>
  </w:style>
  <w:style w:type="character" w:styleId="20">
    <w:name w:val="Emphasis"/>
    <w:basedOn w:val="17"/>
    <w:qFormat/>
    <w:uiPriority w:val="0"/>
  </w:style>
  <w:style w:type="character" w:styleId="21">
    <w:name w:val="Hyperlink"/>
    <w:basedOn w:val="17"/>
    <w:qFormat/>
    <w:uiPriority w:val="0"/>
    <w:rPr>
      <w:color w:val="333333"/>
      <w:u w:val="none"/>
    </w:rPr>
  </w:style>
  <w:style w:type="character" w:styleId="22">
    <w:name w:val="HTML Code"/>
    <w:basedOn w:val="17"/>
    <w:qFormat/>
    <w:uiPriority w:val="0"/>
    <w:rPr>
      <w:rFonts w:hint="default" w:ascii="var(--bs-font-monospace)" w:hAnsi="var(--bs-font-monospace)" w:eastAsia="var(--bs-font-monospace)" w:cs="var(--bs-font-monospace)"/>
      <w:sz w:val="18"/>
      <w:szCs w:val="18"/>
    </w:rPr>
  </w:style>
  <w:style w:type="character" w:styleId="23">
    <w:name w:val="footnote reference"/>
    <w:basedOn w:val="17"/>
    <w:qFormat/>
    <w:uiPriority w:val="0"/>
    <w:rPr>
      <w:vertAlign w:val="superscript"/>
    </w:rPr>
  </w:style>
  <w:style w:type="character" w:styleId="24">
    <w:name w:val="HTML Keyboard"/>
    <w:basedOn w:val="17"/>
    <w:qFormat/>
    <w:uiPriority w:val="0"/>
    <w:rPr>
      <w:rFonts w:ascii="var(--bs-font-monospace)" w:hAnsi="var(--bs-font-monospace)" w:eastAsia="var(--bs-font-monospace)" w:cs="var(--bs-font-monospace)"/>
      <w:sz w:val="18"/>
      <w:szCs w:val="18"/>
    </w:rPr>
  </w:style>
  <w:style w:type="character" w:styleId="25">
    <w:name w:val="HTML Sample"/>
    <w:basedOn w:val="17"/>
    <w:qFormat/>
    <w:uiPriority w:val="0"/>
    <w:rPr>
      <w:rFonts w:hint="default" w:ascii="var(--bs-font-monospace)" w:hAnsi="var(--bs-font-monospace)" w:eastAsia="var(--bs-font-monospace)" w:cs="var(--bs-font-monospace)"/>
      <w:sz w:val="21"/>
      <w:szCs w:val="21"/>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仿宋" w:hAnsi="仿宋" w:eastAsia="仿宋" w:cs="仿宋"/>
      <w:sz w:val="24"/>
      <w:szCs w:val="24"/>
      <w:lang w:val="en-US" w:eastAsia="en-US" w:bidi="ar-SA"/>
    </w:rPr>
  </w:style>
  <w:style w:type="character" w:customStyle="1" w:styleId="28">
    <w:name w:val="layui-laypage-curr"/>
    <w:basedOn w:val="17"/>
    <w:qFormat/>
    <w:uiPriority w:val="0"/>
  </w:style>
  <w:style w:type="character" w:customStyle="1" w:styleId="29">
    <w:name w:val="font31"/>
    <w:basedOn w:val="17"/>
    <w:qFormat/>
    <w:uiPriority w:val="0"/>
    <w:rPr>
      <w:rFonts w:hint="default" w:ascii="Arial" w:hAnsi="Arial" w:cs="Arial"/>
      <w:color w:val="000000"/>
      <w:sz w:val="20"/>
      <w:szCs w:val="20"/>
      <w:u w:val="none"/>
    </w:rPr>
  </w:style>
  <w:style w:type="character" w:customStyle="1" w:styleId="30">
    <w:name w:val="font11"/>
    <w:basedOn w:val="17"/>
    <w:qFormat/>
    <w:uiPriority w:val="0"/>
    <w:rPr>
      <w:rFonts w:hint="eastAsia" w:ascii="宋体" w:hAnsi="宋体" w:eastAsia="宋体" w:cs="宋体"/>
      <w:color w:val="000000"/>
      <w:sz w:val="20"/>
      <w:szCs w:val="20"/>
      <w:u w:val="none"/>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pn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4.xml"/><Relationship Id="rId24" Type="http://schemas.openxmlformats.org/officeDocument/2006/relationships/header" Target="header7.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6.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89</Pages>
  <Words>41859</Words>
  <Characters>50423</Characters>
  <TotalTime>8</TotalTime>
  <ScaleCrop>false</ScaleCrop>
  <LinksUpToDate>false</LinksUpToDate>
  <CharactersWithSpaces>50521</CharactersWithSpaces>
  <Application>WPS Office_12.1.0.17827_F1E327BC-269C-435d-A152-05C5408002CA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2024-08-01T00:27:00Z</dcterms:created>
  <dc:creator>HUAWEI</dc:creator>
  <cp:lastModifiedBy>Administrator</cp:lastModifiedBy>
  <dcterms:modified xsi:type="dcterms:W3CDTF">2024-08-28T08:32:10Z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2024-08-01T00:28:39Z</vt:filetime>
  </property>
  <property fmtid="{D5CDD505-2E9C-101B-9397-08002B2CF9AE}" pid="4" name="KSOProductBuildVer">
    <vt:lpwstr>2052-12.1.0.17827</vt:lpwstr>
  </property>
  <property fmtid="{D5CDD505-2E9C-101B-9397-08002B2CF9AE}" pid="5" name="ICV">
    <vt:lpwstr>A32F22B0F2D4402DBC00001A3E5DA525_12</vt:lpwstr>
  </property>
</Properties>
</file>