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hint="eastAsia" w:ascii="方正小标宋简体" w:hAnsi="宋体" w:eastAsia="方正小标宋简体"/>
          <w:sz w:val="72"/>
          <w:szCs w:val="72"/>
        </w:rPr>
      </w:pPr>
      <w:bookmarkStart w:id="71" w:name="_GoBack"/>
      <w:bookmarkEnd w:id="71"/>
    </w:p>
    <w:p>
      <w:pPr>
        <w:spacing w:line="600" w:lineRule="exact"/>
        <w:jc w:val="center"/>
        <w:outlineLvl w:val="0"/>
        <w:rPr>
          <w:rFonts w:hint="eastAsia" w:ascii="方正小标宋简体" w:hAnsi="宋体" w:eastAsia="方正小标宋简体"/>
          <w:sz w:val="72"/>
          <w:szCs w:val="72"/>
        </w:rPr>
      </w:pPr>
    </w:p>
    <w:p>
      <w:pPr>
        <w:adjustRightInd w:val="0"/>
        <w:snapToGrid w:val="0"/>
        <w:spacing w:line="360" w:lineRule="auto"/>
        <w:jc w:val="center"/>
        <w:outlineLvl w:val="0"/>
        <w:rPr>
          <w:rFonts w:hint="eastAsia" w:ascii="宋体" w:hAnsi="宋体" w:eastAsia="宋体" w:cs="宋体"/>
          <w:sz w:val="72"/>
          <w:szCs w:val="72"/>
        </w:rPr>
      </w:pPr>
      <w:bookmarkStart w:id="1" w:name="_Toc15396597"/>
      <w:bookmarkStart w:id="2" w:name="_Toc15377425"/>
      <w:bookmarkStart w:id="3" w:name="_Toc15377193"/>
      <w:bookmarkStart w:id="4" w:name="_Toc15396475"/>
      <w:bookmarkStart w:id="5" w:name="_Toc15378441"/>
      <w:r>
        <w:rPr>
          <w:rFonts w:hint="eastAsia" w:ascii="宋体" w:hAnsi="宋体" w:eastAsia="宋体" w:cs="宋体"/>
          <w:sz w:val="72"/>
          <w:szCs w:val="72"/>
        </w:rPr>
        <w:t>202</w:t>
      </w:r>
      <w:r>
        <w:rPr>
          <w:rFonts w:hint="eastAsia" w:ascii="宋体" w:hAnsi="宋体" w:eastAsia="宋体" w:cs="宋体"/>
          <w:sz w:val="72"/>
          <w:szCs w:val="72"/>
          <w:lang w:val="en-US" w:eastAsia="zh-CN"/>
        </w:rPr>
        <w:t>3</w:t>
      </w:r>
      <w:r>
        <w:rPr>
          <w:rFonts w:hint="eastAsia" w:ascii="宋体" w:hAnsi="宋体" w:eastAsia="宋体" w:cs="宋体"/>
          <w:sz w:val="72"/>
          <w:szCs w:val="72"/>
        </w:rPr>
        <w:t>年度</w:t>
      </w:r>
      <w:bookmarkEnd w:id="0"/>
      <w:bookmarkEnd w:id="1"/>
      <w:bookmarkEnd w:id="2"/>
      <w:bookmarkEnd w:id="3"/>
      <w:bookmarkEnd w:id="4"/>
      <w:bookmarkEnd w:id="5"/>
      <w:bookmarkStart w:id="6" w:name="_Toc15396476"/>
      <w:bookmarkStart w:id="7" w:name="_Toc15377426"/>
      <w:bookmarkStart w:id="8" w:name="_Toc15377194"/>
      <w:bookmarkStart w:id="9" w:name="_Toc15396598"/>
      <w:bookmarkStart w:id="10" w:name="_Toc15306268"/>
      <w:bookmarkStart w:id="11" w:name="_Toc15378442"/>
      <w:r>
        <w:rPr>
          <w:rFonts w:hint="eastAsia" w:ascii="宋体" w:hAnsi="宋体" w:eastAsia="宋体" w:cs="宋体"/>
          <w:sz w:val="72"/>
          <w:szCs w:val="72"/>
        </w:rPr>
        <w:t>遂宁市安居区</w:t>
      </w:r>
    </w:p>
    <w:p>
      <w:pPr>
        <w:adjustRightInd w:val="0"/>
        <w:snapToGrid w:val="0"/>
        <w:spacing w:line="360" w:lineRule="auto"/>
        <w:jc w:val="center"/>
        <w:outlineLvl w:val="0"/>
        <w:rPr>
          <w:rFonts w:hint="eastAsia" w:ascii="仿宋" w:hAnsi="仿宋" w:eastAsia="仿宋" w:cs="仿宋"/>
          <w:sz w:val="72"/>
          <w:szCs w:val="72"/>
          <w:lang w:val="en-US" w:eastAsia="zh-CN"/>
        </w:rPr>
      </w:pPr>
      <w:r>
        <w:rPr>
          <w:rFonts w:hint="eastAsia" w:ascii="仿宋" w:hAnsi="仿宋" w:eastAsia="仿宋" w:cs="仿宋"/>
          <w:sz w:val="72"/>
          <w:szCs w:val="72"/>
          <w:lang w:val="en-US" w:eastAsia="zh-CN"/>
        </w:rPr>
        <w:t>常理镇中心小学校</w:t>
      </w:r>
    </w:p>
    <w:p>
      <w:pPr>
        <w:adjustRightInd w:val="0"/>
        <w:snapToGrid w:val="0"/>
        <w:spacing w:line="360" w:lineRule="auto"/>
        <w:jc w:val="center"/>
        <w:outlineLvl w:val="0"/>
        <w:rPr>
          <w:rFonts w:hint="eastAsia" w:ascii="仿宋" w:hAnsi="仿宋" w:eastAsia="仿宋" w:cs="仿宋"/>
          <w:sz w:val="72"/>
          <w:szCs w:val="72"/>
        </w:rPr>
      </w:pPr>
      <w:r>
        <w:rPr>
          <w:rFonts w:hint="eastAsia" w:ascii="仿宋" w:hAnsi="仿宋" w:eastAsia="仿宋" w:cs="仿宋"/>
          <w:sz w:val="72"/>
          <w:szCs w:val="72"/>
        </w:rPr>
        <w:t>单位决算</w:t>
      </w:r>
      <w:bookmarkEnd w:id="6"/>
      <w:bookmarkEnd w:id="7"/>
      <w:bookmarkEnd w:id="8"/>
      <w:bookmarkEnd w:id="9"/>
      <w:bookmarkEnd w:id="10"/>
      <w:bookmarkEnd w:id="11"/>
    </w:p>
    <w:p>
      <w:pPr>
        <w:pStyle w:val="2"/>
        <w:jc w:val="center"/>
        <w:rPr>
          <w:rFonts w:hint="eastAsia" w:ascii="仿宋" w:hAnsi="仿宋" w:eastAsia="仿宋" w:cs="仿宋"/>
          <w:lang w:val="en-US" w:eastAsia="zh-CN"/>
        </w:rPr>
      </w:pPr>
      <w:r>
        <w:rPr>
          <w:rFonts w:hint="eastAsia" w:ascii="仿宋" w:hAnsi="仿宋" w:eastAsia="仿宋" w:cs="仿宋"/>
          <w:sz w:val="72"/>
          <w:szCs w:val="72"/>
          <w:lang w:val="en-US" w:eastAsia="zh-CN"/>
        </w:rPr>
        <w:t>编制说明</w:t>
      </w:r>
    </w:p>
    <w:p>
      <w:pPr>
        <w:widowControl/>
        <w:jc w:val="center"/>
        <w:rPr>
          <w:rFonts w:hint="eastAsia" w:ascii="仿宋" w:hAnsi="仿宋" w:eastAsia="仿宋" w:cs="仿宋"/>
          <w:sz w:val="48"/>
          <w:szCs w:val="48"/>
        </w:rPr>
      </w:pPr>
      <w:r>
        <w:rPr>
          <w:rFonts w:hint="eastAsia" w:ascii="仿宋" w:hAnsi="仿宋" w:eastAsia="仿宋" w:cs="仿宋"/>
          <w:sz w:val="36"/>
          <w:szCs w:val="36"/>
        </w:rPr>
        <w:br w:type="page"/>
      </w:r>
      <w:r>
        <w:rPr>
          <w:rFonts w:hint="eastAsia" w:ascii="仿宋" w:hAnsi="仿宋" w:eastAsia="仿宋" w:cs="仿宋"/>
          <w:sz w:val="48"/>
          <w:szCs w:val="48"/>
        </w:rPr>
        <w:t>目录</w:t>
      </w:r>
    </w:p>
    <w:p>
      <w:pPr>
        <w:widowControl/>
        <w:jc w:val="center"/>
        <w:rPr>
          <w:rFonts w:hint="eastAsia" w:ascii="仿宋" w:hAnsi="仿宋" w:eastAsia="仿宋" w:cs="仿宋"/>
          <w:sz w:val="28"/>
          <w:szCs w:val="28"/>
        </w:rPr>
      </w:pPr>
    </w:p>
    <w:p>
      <w:pPr>
        <w:pStyle w:val="10"/>
        <w:rPr>
          <w:rFonts w:hint="eastAsia" w:ascii="仿宋" w:hAnsi="仿宋" w:eastAsia="仿宋" w:cs="仿宋"/>
        </w:rPr>
      </w:pPr>
      <w:r>
        <w:rPr>
          <w:rFonts w:hint="eastAsia" w:ascii="仿宋" w:hAnsi="仿宋" w:eastAsia="仿宋" w:cs="仿宋"/>
        </w:rPr>
        <w:t>公开时间：202</w:t>
      </w:r>
      <w:r>
        <w:rPr>
          <w:rFonts w:hint="eastAsia" w:ascii="仿宋" w:hAnsi="仿宋" w:eastAsia="仿宋" w:cs="仿宋"/>
          <w:lang w:val="en-US" w:eastAsia="zh-CN"/>
        </w:rPr>
        <w:t>4</w:t>
      </w:r>
      <w:r>
        <w:rPr>
          <w:rFonts w:hint="eastAsia" w:ascii="仿宋" w:hAnsi="仿宋" w:eastAsia="仿宋" w:cs="仿宋"/>
        </w:rPr>
        <w:t>年8月2</w:t>
      </w:r>
      <w:r>
        <w:rPr>
          <w:rFonts w:hint="eastAsia" w:ascii="仿宋" w:hAnsi="仿宋" w:eastAsia="仿宋" w:cs="仿宋"/>
          <w:lang w:val="en-US" w:eastAsia="zh-CN"/>
        </w:rPr>
        <w:t>8</w:t>
      </w:r>
      <w:r>
        <w:rPr>
          <w:rFonts w:hint="eastAsia" w:ascii="仿宋" w:hAnsi="仿宋" w:eastAsia="仿宋" w:cs="仿宋"/>
        </w:rPr>
        <w:t>日</w:t>
      </w:r>
    </w:p>
    <w:p>
      <w:pPr>
        <w:rPr>
          <w:rFonts w:hint="eastAsia" w:ascii="仿宋" w:hAnsi="仿宋" w:eastAsia="仿宋" w:cs="仿宋"/>
        </w:rPr>
      </w:pPr>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第一部分单位概况</w:t>
      </w:r>
      <w:r>
        <w:rPr>
          <w:rFonts w:hint="eastAsia" w:ascii="仿宋" w:hAnsi="仿宋" w:eastAsia="仿宋" w:cs="仿宋"/>
        </w:rPr>
        <w:tab/>
      </w:r>
      <w:r>
        <w:rPr>
          <w:rFonts w:hint="eastAsia" w:ascii="仿宋" w:hAnsi="仿宋" w:eastAsia="仿宋" w:cs="仿宋"/>
        </w:rPr>
        <w:t>4</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一、主要职责</w:t>
      </w:r>
      <w:r>
        <w:rPr>
          <w:rFonts w:hint="eastAsia" w:ascii="仿宋" w:hAnsi="仿宋" w:eastAsia="仿宋" w:cs="仿宋"/>
        </w:rPr>
        <w:tab/>
      </w:r>
      <w:r>
        <w:rPr>
          <w:rFonts w:hint="eastAsia" w:ascii="仿宋" w:hAnsi="仿宋" w:eastAsia="仿宋" w:cs="仿宋"/>
        </w:rPr>
        <w:t>4</w:t>
      </w:r>
    </w:p>
    <w:p>
      <w:pPr>
        <w:pStyle w:val="11"/>
        <w:adjustRightInd w:val="0"/>
        <w:snapToGrid w:val="0"/>
        <w:spacing w:line="440" w:lineRule="exact"/>
        <w:jc w:val="left"/>
        <w:rPr>
          <w:rFonts w:hint="eastAsia" w:ascii="仿宋" w:hAnsi="仿宋" w:eastAsia="仿宋" w:cs="仿宋"/>
        </w:rPr>
      </w:pPr>
      <w:r>
        <w:rPr>
          <w:rFonts w:hint="eastAsia" w:ascii="仿宋" w:hAnsi="仿宋" w:eastAsia="仿宋" w:cs="仿宋"/>
          <w:sz w:val="24"/>
        </w:rPr>
        <w:t>二、机构设置</w:t>
      </w:r>
      <w:r>
        <w:rPr>
          <w:rFonts w:hint="eastAsia" w:ascii="仿宋" w:hAnsi="仿宋" w:eastAsia="仿宋" w:cs="仿宋"/>
        </w:rPr>
        <w:tab/>
      </w:r>
      <w:r>
        <w:rPr>
          <w:rFonts w:hint="eastAsia" w:ascii="仿宋" w:hAnsi="仿宋" w:eastAsia="仿宋" w:cs="仿宋"/>
        </w:rPr>
        <w:t>4</w:t>
      </w:r>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第二部分 202</w:t>
      </w:r>
      <w:r>
        <w:rPr>
          <w:rFonts w:hint="eastAsia" w:ascii="仿宋" w:hAnsi="仿宋" w:eastAsia="仿宋" w:cs="仿宋"/>
          <w:sz w:val="24"/>
          <w:lang w:val="en-US" w:eastAsia="zh-CN"/>
        </w:rPr>
        <w:t>3</w:t>
      </w:r>
      <w:r>
        <w:rPr>
          <w:rFonts w:hint="eastAsia" w:ascii="仿宋" w:hAnsi="仿宋" w:eastAsia="仿宋" w:cs="仿宋"/>
          <w:sz w:val="24"/>
        </w:rPr>
        <w:t>年度单位决算情况说明</w:t>
      </w:r>
      <w:r>
        <w:rPr>
          <w:rFonts w:hint="eastAsia" w:ascii="仿宋" w:hAnsi="仿宋" w:eastAsia="仿宋" w:cs="仿宋"/>
        </w:rPr>
        <w:tab/>
      </w:r>
      <w:r>
        <w:rPr>
          <w:rFonts w:hint="eastAsia" w:ascii="仿宋" w:hAnsi="仿宋" w:eastAsia="仿宋" w:cs="仿宋"/>
        </w:rPr>
        <w:t>5</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一、收入支出决算总体情况说明</w:t>
      </w:r>
      <w:r>
        <w:rPr>
          <w:rFonts w:hint="eastAsia" w:ascii="仿宋" w:hAnsi="仿宋" w:eastAsia="仿宋" w:cs="仿宋"/>
        </w:rPr>
        <w:tab/>
      </w:r>
      <w:r>
        <w:rPr>
          <w:rFonts w:hint="eastAsia" w:ascii="仿宋" w:hAnsi="仿宋" w:eastAsia="仿宋" w:cs="仿宋"/>
        </w:rPr>
        <w:t>5</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二、收入决算情况说明</w:t>
      </w:r>
      <w:r>
        <w:rPr>
          <w:rFonts w:hint="eastAsia" w:ascii="仿宋" w:hAnsi="仿宋" w:eastAsia="仿宋" w:cs="仿宋"/>
        </w:rPr>
        <w:tab/>
      </w:r>
      <w:r>
        <w:rPr>
          <w:rFonts w:hint="eastAsia" w:ascii="仿宋" w:hAnsi="仿宋" w:eastAsia="仿宋" w:cs="仿宋"/>
        </w:rPr>
        <w:t>5</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三、支出决算情况说明</w:t>
      </w:r>
      <w:r>
        <w:rPr>
          <w:rFonts w:hint="eastAsia" w:ascii="仿宋" w:hAnsi="仿宋" w:eastAsia="仿宋" w:cs="仿宋"/>
        </w:rPr>
        <w:tab/>
      </w:r>
      <w:r>
        <w:rPr>
          <w:rFonts w:hint="eastAsia" w:ascii="仿宋" w:hAnsi="仿宋" w:eastAsia="仿宋" w:cs="仿宋"/>
        </w:rPr>
        <w:t>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四、财政拨款收入支出决算总体情况说明</w:t>
      </w:r>
      <w:r>
        <w:rPr>
          <w:rFonts w:hint="eastAsia" w:ascii="仿宋" w:hAnsi="仿宋" w:eastAsia="仿宋" w:cs="仿宋"/>
        </w:rPr>
        <w:tab/>
      </w:r>
      <w:r>
        <w:rPr>
          <w:rFonts w:hint="eastAsia" w:ascii="仿宋" w:hAnsi="仿宋" w:eastAsia="仿宋" w:cs="仿宋"/>
        </w:rPr>
        <w:t>7</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五、一般公共预算财政拨款支出决算情况说明</w:t>
      </w:r>
      <w:r>
        <w:rPr>
          <w:rFonts w:hint="eastAsia" w:ascii="仿宋" w:hAnsi="仿宋" w:eastAsia="仿宋" w:cs="仿宋"/>
        </w:rPr>
        <w:tab/>
      </w:r>
      <w:r>
        <w:rPr>
          <w:rFonts w:hint="eastAsia" w:ascii="仿宋" w:hAnsi="仿宋" w:eastAsia="仿宋" w:cs="仿宋"/>
        </w:rPr>
        <w:t>8</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六、一般公共预算财政拨款基本支出决算情况说明</w:t>
      </w:r>
      <w:r>
        <w:rPr>
          <w:rFonts w:hint="eastAsia" w:ascii="仿宋" w:hAnsi="仿宋" w:eastAsia="仿宋" w:cs="仿宋"/>
        </w:rPr>
        <w:tab/>
      </w:r>
      <w:r>
        <w:rPr>
          <w:rFonts w:hint="eastAsia" w:ascii="仿宋" w:hAnsi="仿宋" w:eastAsia="仿宋" w:cs="仿宋"/>
        </w:rPr>
        <w:t>9</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七、财政拨款“三公”经费支出决算情况说明</w:t>
      </w:r>
      <w:r>
        <w:rPr>
          <w:rFonts w:hint="eastAsia" w:ascii="仿宋" w:hAnsi="仿宋" w:eastAsia="仿宋" w:cs="仿宋"/>
        </w:rPr>
        <w:tab/>
      </w:r>
      <w:r>
        <w:rPr>
          <w:rFonts w:hint="eastAsia" w:ascii="仿宋" w:hAnsi="仿宋" w:eastAsia="仿宋" w:cs="仿宋"/>
        </w:rPr>
        <w:t>10</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八、政府性基金预算支出决算情况说明</w:t>
      </w:r>
      <w:r>
        <w:rPr>
          <w:rFonts w:hint="eastAsia" w:ascii="仿宋" w:hAnsi="仿宋" w:eastAsia="仿宋" w:cs="仿宋"/>
        </w:rPr>
        <w:tab/>
      </w:r>
      <w:r>
        <w:rPr>
          <w:rFonts w:hint="eastAsia" w:ascii="仿宋" w:hAnsi="仿宋" w:eastAsia="仿宋" w:cs="仿宋"/>
        </w:rPr>
        <w:t>10</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九、国有资本经营预算支出决算情况说明</w:t>
      </w:r>
      <w:r>
        <w:rPr>
          <w:rFonts w:hint="eastAsia" w:ascii="仿宋" w:hAnsi="仿宋" w:eastAsia="仿宋" w:cs="仿宋"/>
        </w:rPr>
        <w:tab/>
      </w:r>
      <w:r>
        <w:rPr>
          <w:rFonts w:hint="eastAsia" w:ascii="仿宋" w:hAnsi="仿宋" w:eastAsia="仿宋" w:cs="仿宋"/>
        </w:rPr>
        <w:t>10</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十、其他重要事项的情况说明</w:t>
      </w:r>
      <w:r>
        <w:rPr>
          <w:rFonts w:hint="eastAsia" w:ascii="仿宋" w:hAnsi="仿宋" w:eastAsia="仿宋" w:cs="仿宋"/>
        </w:rPr>
        <w:tab/>
      </w:r>
      <w:r>
        <w:rPr>
          <w:rFonts w:hint="eastAsia" w:ascii="仿宋" w:hAnsi="仿宋" w:eastAsia="仿宋" w:cs="仿宋"/>
        </w:rPr>
        <w:t>11</w:t>
      </w:r>
    </w:p>
    <w:p>
      <w:pPr>
        <w:pStyle w:val="10"/>
        <w:adjustRightInd w:val="0"/>
        <w:snapToGrid w:val="0"/>
        <w:spacing w:before="0" w:line="440" w:lineRule="exact"/>
        <w:jc w:val="left"/>
        <w:rPr>
          <w:rFonts w:hint="eastAsia" w:ascii="仿宋" w:hAnsi="仿宋" w:eastAsia="仿宋" w:cs="仿宋"/>
          <w:sz w:val="24"/>
          <w:szCs w:val="24"/>
          <w:lang w:eastAsia="zh-CN"/>
        </w:rPr>
      </w:pPr>
      <w:r>
        <w:rPr>
          <w:rFonts w:hint="eastAsia" w:ascii="仿宋" w:hAnsi="仿宋" w:eastAsia="仿宋" w:cs="仿宋"/>
          <w:sz w:val="24"/>
        </w:rPr>
        <w:t>第三部分名词解释</w:t>
      </w:r>
      <w:r>
        <w:rPr>
          <w:rFonts w:hint="eastAsia" w:ascii="仿宋" w:hAnsi="仿宋" w:eastAsia="仿宋" w:cs="仿宋"/>
        </w:rPr>
        <w:tab/>
      </w:r>
      <w:r>
        <w:rPr>
          <w:rFonts w:hint="eastAsia" w:ascii="仿宋" w:hAnsi="仿宋" w:eastAsia="仿宋" w:cs="仿宋"/>
        </w:rPr>
        <w:t>1</w:t>
      </w:r>
      <w:r>
        <w:rPr>
          <w:rFonts w:hint="eastAsia" w:cs="仿宋"/>
          <w:lang w:val="en-US" w:eastAsia="zh-CN"/>
        </w:rPr>
        <w:t>3</w:t>
      </w:r>
    </w:p>
    <w:p>
      <w:pPr>
        <w:pStyle w:val="10"/>
        <w:adjustRightInd w:val="0"/>
        <w:snapToGrid w:val="0"/>
        <w:spacing w:before="0" w:line="440" w:lineRule="exact"/>
        <w:jc w:val="left"/>
        <w:rPr>
          <w:rFonts w:hint="eastAsia" w:ascii="仿宋" w:hAnsi="仿宋" w:eastAsia="仿宋" w:cs="仿宋"/>
          <w:sz w:val="24"/>
          <w:szCs w:val="24"/>
          <w:lang w:eastAsia="zh-CN"/>
        </w:rPr>
      </w:pPr>
      <w:r>
        <w:rPr>
          <w:rFonts w:hint="eastAsia" w:ascii="仿宋" w:hAnsi="仿宋" w:eastAsia="仿宋" w:cs="仿宋"/>
          <w:sz w:val="24"/>
        </w:rPr>
        <w:t>第四部分附件</w:t>
      </w:r>
      <w:r>
        <w:rPr>
          <w:rFonts w:hint="eastAsia" w:ascii="仿宋" w:hAnsi="仿宋" w:eastAsia="仿宋" w:cs="仿宋"/>
        </w:rPr>
        <w:tab/>
      </w:r>
      <w:r>
        <w:rPr>
          <w:rFonts w:hint="eastAsia" w:ascii="仿宋" w:hAnsi="仿宋" w:eastAsia="仿宋" w:cs="仿宋"/>
        </w:rPr>
        <w:t>1</w:t>
      </w:r>
      <w:r>
        <w:rPr>
          <w:rFonts w:hint="eastAsia" w:cs="仿宋"/>
          <w:lang w:val="en-US" w:eastAsia="zh-CN"/>
        </w:rPr>
        <w:t>5</w:t>
      </w:r>
    </w:p>
    <w:p>
      <w:pPr>
        <w:pStyle w:val="10"/>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第五部分附表</w:t>
      </w:r>
      <w:r>
        <w:rPr>
          <w:rFonts w:hint="eastAsia" w:ascii="仿宋" w:hAnsi="仿宋" w:eastAsia="仿宋" w:cs="仿宋"/>
        </w:rPr>
        <w:tab/>
      </w:r>
      <w:r>
        <w:rPr>
          <w:rFonts w:hint="eastAsia" w:ascii="仿宋" w:hAnsi="仿宋" w:eastAsia="仿宋" w:cs="仿宋"/>
          <w:lang w:val="en-US" w:eastAsia="zh-CN"/>
        </w:rPr>
        <w:t>3</w:t>
      </w:r>
      <w:r>
        <w:rPr>
          <w:rFonts w:hint="eastAsia" w:cs="仿宋"/>
          <w:lang w:val="en-US" w:eastAsia="zh-CN"/>
        </w:rPr>
        <w:t>2</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五、财政拨款支出决算明细表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七、一般公共预算财政拨款支出决算明细表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八、一般公共预算财政拨款基本支出决算明细表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九、一般公共预算财政拨款项目支出决算表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十、政府性基金预算财政拨款收入支出决算表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十一、国有资本经营预算财政拨款收入支出决算表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十二、国有资本经营预算财政拨款支出决算表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十三、财政拨款“三公”经费支出决算表</w:t>
      </w:r>
    </w:p>
    <w:p>
      <w:pPr>
        <w:widowControl/>
        <w:spacing w:line="440" w:lineRule="exact"/>
        <w:jc w:val="left"/>
        <w:rPr>
          <w:rFonts w:hint="eastAsia" w:ascii="仿宋" w:hAnsi="仿宋" w:eastAsia="仿宋" w:cs="仿宋"/>
          <w:bCs/>
          <w:kern w:val="44"/>
          <w:sz w:val="24"/>
        </w:rPr>
      </w:pPr>
      <w:bookmarkStart w:id="12" w:name="_Toc15396599"/>
      <w:bookmarkStart w:id="13" w:name="_Toc15377196"/>
      <w:r>
        <w:rPr>
          <w:rFonts w:hint="eastAsia" w:ascii="仿宋" w:hAnsi="仿宋" w:eastAsia="仿宋" w:cs="仿宋"/>
          <w:b/>
          <w:sz w:val="24"/>
        </w:rPr>
        <w:br w:type="page"/>
      </w:r>
    </w:p>
    <w:p>
      <w:pPr>
        <w:pStyle w:val="3"/>
        <w:jc w:val="center"/>
        <w:rPr>
          <w:rFonts w:hint="eastAsia" w:ascii="仿宋" w:hAnsi="仿宋" w:eastAsia="仿宋" w:cs="仿宋"/>
          <w:sz w:val="32"/>
          <w:szCs w:val="32"/>
        </w:rPr>
      </w:pPr>
      <w:r>
        <w:rPr>
          <w:rFonts w:hint="eastAsia" w:ascii="仿宋" w:hAnsi="仿宋" w:eastAsia="仿宋" w:cs="仿宋"/>
          <w:b w:val="0"/>
        </w:rPr>
        <w:t>第一部分 单位</w:t>
      </w:r>
      <w:r>
        <w:rPr>
          <w:rStyle w:val="24"/>
          <w:rFonts w:hint="eastAsia" w:ascii="仿宋" w:hAnsi="仿宋" w:eastAsia="仿宋" w:cs="仿宋"/>
          <w:b w:val="0"/>
          <w:bCs w:val="0"/>
        </w:rPr>
        <w:t>概况</w:t>
      </w:r>
      <w:bookmarkEnd w:id="12"/>
      <w:bookmarkEnd w:id="13"/>
    </w:p>
    <w:p>
      <w:pPr>
        <w:pStyle w:val="4"/>
        <w:numPr>
          <w:ilvl w:val="0"/>
          <w:numId w:val="1"/>
        </w:numPr>
        <w:rPr>
          <w:rStyle w:val="25"/>
          <w:rFonts w:hint="eastAsia" w:ascii="仿宋" w:hAnsi="仿宋" w:eastAsia="仿宋" w:cs="仿宋"/>
          <w:b w:val="0"/>
          <w:bCs w:val="0"/>
        </w:rPr>
      </w:pPr>
      <w:bookmarkStart w:id="14" w:name="_Toc15396600"/>
      <w:bookmarkStart w:id="15" w:name="_Toc15377197"/>
      <w:r>
        <w:rPr>
          <w:rStyle w:val="25"/>
          <w:rFonts w:hint="eastAsia" w:ascii="仿宋" w:hAnsi="仿宋" w:eastAsia="仿宋" w:cs="仿宋"/>
          <w:b w:val="0"/>
          <w:bCs w:val="0"/>
        </w:rPr>
        <w:t>主要职责</w:t>
      </w:r>
      <w:bookmarkStart w:id="16" w:name="_Toc15377198"/>
      <w:bookmarkStart w:id="17" w:name="_Toc15378445"/>
      <w:r>
        <w:rPr>
          <w:rStyle w:val="25"/>
          <w:rFonts w:hint="eastAsia" w:ascii="仿宋" w:hAnsi="仿宋" w:eastAsia="仿宋" w:cs="仿宋"/>
          <w:b w:val="0"/>
          <w:bCs w:val="0"/>
        </w:rPr>
        <w:t xml:space="preserve">                                  </w:t>
      </w:r>
    </w:p>
    <w:p>
      <w:pPr>
        <w:pStyle w:val="4"/>
        <w:numPr>
          <w:ilvl w:val="0"/>
          <w:numId w:val="2"/>
        </w:numPr>
        <w:ind w:left="800" w:leftChars="0" w:firstLine="0" w:firstLineChars="0"/>
        <w:rPr>
          <w:rFonts w:hint="eastAsia" w:ascii="仿宋" w:hAnsi="仿宋" w:eastAsia="仿宋" w:cs="仿宋"/>
          <w:color w:val="000000"/>
        </w:rPr>
      </w:pPr>
      <w:r>
        <w:rPr>
          <w:rFonts w:hint="eastAsia" w:ascii="仿宋" w:hAnsi="仿宋" w:eastAsia="仿宋" w:cs="仿宋"/>
          <w:color w:val="000000"/>
        </w:rPr>
        <w:t>主要职能。</w:t>
      </w:r>
      <w:bookmarkEnd w:id="16"/>
      <w:bookmarkEnd w:id="17"/>
      <w:bookmarkStart w:id="18" w:name="_Toc15378446"/>
      <w:bookmarkStart w:id="19" w:name="_Toc15377199"/>
    </w:p>
    <w:p>
      <w:pPr>
        <w:pStyle w:val="4"/>
        <w:numPr>
          <w:ilvl w:val="0"/>
          <w:numId w:val="0"/>
        </w:numPr>
        <w:ind w:left="800" w:leftChars="0"/>
        <w:rPr>
          <w:rFonts w:hint="eastAsia" w:ascii="仿宋" w:hAnsi="仿宋" w:eastAsia="仿宋" w:cs="仿宋"/>
          <w:sz w:val="28"/>
        </w:rPr>
      </w:pPr>
      <w:r>
        <w:rPr>
          <w:rFonts w:hint="eastAsia" w:ascii="仿宋" w:hAnsi="仿宋" w:eastAsia="仿宋" w:cs="仿宋"/>
          <w:sz w:val="28"/>
        </w:rPr>
        <w:t>实施</w:t>
      </w:r>
      <w:r>
        <w:rPr>
          <w:rFonts w:hint="eastAsia" w:ascii="仿宋" w:hAnsi="仿宋" w:eastAsia="仿宋" w:cs="仿宋"/>
          <w:sz w:val="28"/>
          <w:lang w:val="en-US" w:eastAsia="zh-CN"/>
        </w:rPr>
        <w:t>小学</w:t>
      </w:r>
      <w:r>
        <w:rPr>
          <w:rFonts w:hint="eastAsia" w:ascii="仿宋" w:hAnsi="仿宋" w:eastAsia="仿宋" w:cs="仿宋"/>
          <w:sz w:val="28"/>
        </w:rPr>
        <w:t>义务教育，促进教育发展，负责</w:t>
      </w:r>
      <w:r>
        <w:rPr>
          <w:rFonts w:hint="eastAsia" w:ascii="仿宋" w:hAnsi="仿宋" w:eastAsia="仿宋" w:cs="仿宋"/>
          <w:sz w:val="28"/>
          <w:lang w:val="en-US" w:eastAsia="zh-CN"/>
        </w:rPr>
        <w:t>小学</w:t>
      </w:r>
      <w:r>
        <w:rPr>
          <w:rFonts w:hint="eastAsia" w:ascii="仿宋" w:hAnsi="仿宋" w:eastAsia="仿宋" w:cs="仿宋"/>
          <w:sz w:val="28"/>
        </w:rPr>
        <w:t>学历教育和相关</w:t>
      </w:r>
      <w:r>
        <w:rPr>
          <w:rFonts w:hint="eastAsia" w:ascii="仿宋" w:hAnsi="仿宋" w:eastAsia="仿宋" w:cs="仿宋"/>
          <w:sz w:val="28"/>
          <w:lang w:val="en-US" w:eastAsia="zh-CN"/>
        </w:rPr>
        <w:t>社会</w:t>
      </w:r>
      <w:r>
        <w:rPr>
          <w:rFonts w:hint="eastAsia" w:ascii="仿宋" w:hAnsi="仿宋" w:eastAsia="仿宋" w:cs="仿宋"/>
          <w:sz w:val="28"/>
        </w:rPr>
        <w:t>服务。</w:t>
      </w:r>
    </w:p>
    <w:p>
      <w:pPr>
        <w:pStyle w:val="2"/>
        <w:adjustRightInd w:val="0"/>
        <w:snapToGrid w:val="0"/>
        <w:spacing w:before="93" w:line="600" w:lineRule="exact"/>
        <w:ind w:left="672"/>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w:t>
      </w:r>
      <w:r>
        <w:rPr>
          <w:rFonts w:hint="eastAsia" w:ascii="仿宋" w:hAnsi="仿宋" w:eastAsia="仿宋" w:cs="仿宋"/>
          <w:bCs/>
          <w:color w:val="000000"/>
          <w:sz w:val="32"/>
          <w:szCs w:val="32"/>
          <w:lang w:eastAsia="zh-CN"/>
        </w:rPr>
        <w:t>2023年</w:t>
      </w:r>
      <w:r>
        <w:rPr>
          <w:rFonts w:hint="eastAsia" w:ascii="仿宋" w:hAnsi="仿宋" w:eastAsia="仿宋" w:cs="仿宋"/>
          <w:bCs/>
          <w:color w:val="000000"/>
          <w:sz w:val="32"/>
          <w:szCs w:val="32"/>
        </w:rPr>
        <w:t>重点工作完成情况。</w:t>
      </w:r>
      <w:bookmarkEnd w:id="18"/>
      <w:bookmarkEnd w:id="19"/>
    </w:p>
    <w:p>
      <w:pPr>
        <w:pStyle w:val="2"/>
        <w:adjustRightInd w:val="0"/>
        <w:snapToGrid w:val="0"/>
        <w:spacing w:before="93" w:line="600" w:lineRule="exact"/>
        <w:ind w:left="672" w:leftChars="320" w:firstLine="480" w:firstLineChars="15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在区党委、政府的领导下，贯彻执行党和国家的教育方针、政策、法规；维护学校的教学秩序，为学生创造了良好的学习环境；积极稳妥地推进教育改革，按教育规律办事，不断提高教育质量；坚持教书育人，服务育人，环境育人方针，加强对学生的思想品德教育，促使学生的德智体全面发展；抓好教师队伍建设，使每个教师都热心于教育事业。</w:t>
      </w:r>
    </w:p>
    <w:p>
      <w:pPr>
        <w:pStyle w:val="2"/>
        <w:adjustRightInd w:val="0"/>
        <w:snapToGrid w:val="0"/>
        <w:spacing w:before="93" w:line="600" w:lineRule="exact"/>
        <w:outlineLvl w:val="2"/>
        <w:rPr>
          <w:rFonts w:hint="eastAsia" w:ascii="仿宋" w:hAnsi="仿宋" w:eastAsia="仿宋" w:cs="仿宋"/>
        </w:rPr>
      </w:pPr>
      <w:r>
        <w:rPr>
          <w:rFonts w:hint="eastAsia" w:ascii="仿宋" w:hAnsi="仿宋" w:eastAsia="仿宋" w:cs="仿宋"/>
        </w:rPr>
        <w:t>二、机构设置</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遂宁市安居区</w:t>
      </w:r>
      <w:r>
        <w:rPr>
          <w:rFonts w:hint="eastAsia" w:ascii="仿宋" w:hAnsi="仿宋" w:eastAsia="仿宋" w:cs="仿宋"/>
          <w:sz w:val="32"/>
          <w:szCs w:val="32"/>
          <w:lang w:eastAsia="zh-CN"/>
        </w:rPr>
        <w:t>常理镇中心小学校</w:t>
      </w:r>
      <w:r>
        <w:rPr>
          <w:rFonts w:hint="eastAsia" w:ascii="仿宋" w:hAnsi="仿宋" w:eastAsia="仿宋" w:cs="仿宋"/>
          <w:sz w:val="32"/>
          <w:szCs w:val="32"/>
        </w:rPr>
        <w:t>属于公益一类事业单位，无下属二级预算单位。学校的主管部门为遂宁市安居区教育和体育局。</w:t>
      </w:r>
    </w:p>
    <w:p>
      <w:pPr>
        <w:pStyle w:val="2"/>
        <w:adjustRightInd w:val="0"/>
        <w:snapToGrid w:val="0"/>
        <w:spacing w:before="93" w:line="600" w:lineRule="exact"/>
        <w:outlineLvl w:val="2"/>
        <w:rPr>
          <w:rFonts w:hint="eastAsia" w:ascii="仿宋" w:hAnsi="仿宋" w:eastAsia="仿宋" w:cs="仿宋"/>
          <w:bCs/>
          <w:color w:val="000000"/>
          <w:sz w:val="32"/>
          <w:szCs w:val="32"/>
        </w:rPr>
      </w:pPr>
    </w:p>
    <w:bookmarkEnd w:id="14"/>
    <w:bookmarkEnd w:id="15"/>
    <w:p>
      <w:pPr>
        <w:widowControl/>
        <w:jc w:val="left"/>
        <w:rPr>
          <w:rFonts w:hint="eastAsia" w:ascii="仿宋" w:hAnsi="仿宋" w:eastAsia="仿宋" w:cs="仿宋"/>
          <w:kern w:val="0"/>
          <w:sz w:val="32"/>
          <w:szCs w:val="32"/>
        </w:rPr>
      </w:pPr>
      <w:r>
        <w:rPr>
          <w:rFonts w:hint="eastAsia" w:ascii="仿宋" w:hAnsi="仿宋" w:eastAsia="仿宋" w:cs="仿宋"/>
          <w:sz w:val="32"/>
          <w:szCs w:val="32"/>
        </w:rPr>
        <w:br w:type="page"/>
      </w:r>
    </w:p>
    <w:p>
      <w:pPr>
        <w:pStyle w:val="3"/>
        <w:ind w:right="440"/>
        <w:jc w:val="center"/>
        <w:rPr>
          <w:rFonts w:hint="eastAsia" w:ascii="仿宋" w:hAnsi="仿宋" w:eastAsia="仿宋" w:cs="仿宋"/>
        </w:rPr>
      </w:pPr>
      <w:bookmarkStart w:id="20" w:name="_Toc15377204"/>
      <w:bookmarkStart w:id="21" w:name="_Toc15396602"/>
      <w:r>
        <w:rPr>
          <w:rFonts w:hint="eastAsia" w:ascii="仿宋" w:hAnsi="仿宋" w:eastAsia="仿宋" w:cs="仿宋"/>
          <w:b w:val="0"/>
        </w:rPr>
        <w:t xml:space="preserve">第二部分 </w:t>
      </w:r>
      <w:r>
        <w:rPr>
          <w:rFonts w:hint="eastAsia" w:ascii="仿宋" w:hAnsi="仿宋" w:eastAsia="仿宋" w:cs="仿宋"/>
          <w:b w:val="0"/>
          <w:lang w:eastAsia="zh-CN"/>
        </w:rPr>
        <w:t>2023年</w:t>
      </w:r>
      <w:r>
        <w:rPr>
          <w:rFonts w:hint="eastAsia" w:ascii="仿宋" w:hAnsi="仿宋" w:eastAsia="仿宋" w:cs="仿宋"/>
          <w:b w:val="0"/>
        </w:rPr>
        <w:t>度</w:t>
      </w:r>
      <w:r>
        <w:rPr>
          <w:rStyle w:val="24"/>
          <w:rFonts w:hint="eastAsia" w:ascii="仿宋" w:hAnsi="仿宋" w:eastAsia="仿宋" w:cs="仿宋"/>
          <w:b w:val="0"/>
          <w:bCs/>
        </w:rPr>
        <w:t>单位决算情况说明</w:t>
      </w:r>
      <w:bookmarkEnd w:id="20"/>
      <w:bookmarkEnd w:id="21"/>
    </w:p>
    <w:p>
      <w:pPr>
        <w:pStyle w:val="23"/>
        <w:numPr>
          <w:ilvl w:val="0"/>
          <w:numId w:val="3"/>
        </w:numPr>
        <w:spacing w:line="600" w:lineRule="exact"/>
        <w:ind w:firstLineChars="0"/>
        <w:outlineLvl w:val="1"/>
        <w:rPr>
          <w:rStyle w:val="25"/>
          <w:rFonts w:hint="eastAsia" w:ascii="仿宋" w:hAnsi="仿宋" w:eastAsia="仿宋" w:cs="仿宋"/>
          <w:b w:val="0"/>
        </w:rPr>
      </w:pPr>
      <w:bookmarkStart w:id="22" w:name="_Toc15396603"/>
      <w:bookmarkStart w:id="23" w:name="_Toc15377205"/>
      <w:r>
        <w:rPr>
          <w:rFonts w:hint="eastAsia" w:ascii="仿宋" w:hAnsi="仿宋" w:eastAsia="仿宋" w:cs="仿宋"/>
          <w:sz w:val="32"/>
          <w:szCs w:val="32"/>
        </w:rPr>
        <w:t>收</w:t>
      </w:r>
      <w:r>
        <w:rPr>
          <w:rStyle w:val="25"/>
          <w:rFonts w:hint="eastAsia" w:ascii="仿宋" w:hAnsi="仿宋" w:eastAsia="仿宋" w:cs="仿宋"/>
          <w:b w:val="0"/>
        </w:rPr>
        <w:t>入支出决算总体情况说明</w:t>
      </w:r>
      <w:bookmarkEnd w:id="22"/>
      <w:bookmarkEnd w:id="23"/>
    </w:p>
    <w:p>
      <w:pPr>
        <w:spacing w:line="600" w:lineRule="exact"/>
        <w:ind w:left="640" w:leftChars="305" w:firstLine="480" w:firstLineChars="15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度收入</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万元，与202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年相比，较上年收入</w:t>
      </w:r>
      <w:r>
        <w:rPr>
          <w:rFonts w:hint="eastAsia" w:ascii="仿宋" w:hAnsi="仿宋" w:eastAsia="仿宋" w:cs="仿宋"/>
          <w:color w:val="000000"/>
          <w:sz w:val="32"/>
          <w:szCs w:val="32"/>
          <w:lang w:val="en-US" w:eastAsia="zh-CN"/>
        </w:rPr>
        <w:t>减少204.05</w:t>
      </w:r>
      <w:r>
        <w:rPr>
          <w:rFonts w:hint="eastAsia" w:ascii="仿宋" w:hAnsi="仿宋" w:eastAsia="仿宋" w:cs="仿宋"/>
          <w:sz w:val="32"/>
          <w:szCs w:val="32"/>
        </w:rPr>
        <w:t>万元，</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18.81</w:t>
      </w:r>
      <w:r>
        <w:rPr>
          <w:rFonts w:hint="eastAsia" w:ascii="仿宋" w:hAnsi="仿宋" w:eastAsia="仿宋" w:cs="仿宋"/>
          <w:sz w:val="32"/>
          <w:szCs w:val="32"/>
        </w:rPr>
        <w:t>%；</w:t>
      </w: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度支出总计</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万元，较上年支出</w:t>
      </w:r>
      <w:r>
        <w:rPr>
          <w:rFonts w:hint="eastAsia" w:ascii="仿宋" w:hAnsi="仿宋" w:eastAsia="仿宋" w:cs="仿宋"/>
          <w:color w:val="000000"/>
          <w:sz w:val="32"/>
          <w:szCs w:val="32"/>
          <w:lang w:val="en-US" w:eastAsia="zh-CN"/>
        </w:rPr>
        <w:t>减少204.05</w:t>
      </w:r>
      <w:r>
        <w:rPr>
          <w:rFonts w:hint="eastAsia" w:ascii="仿宋" w:hAnsi="仿宋" w:eastAsia="仿宋" w:cs="仿宋"/>
          <w:sz w:val="32"/>
          <w:szCs w:val="32"/>
        </w:rPr>
        <w:t>万元，</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18.81</w:t>
      </w:r>
      <w:r>
        <w:rPr>
          <w:rFonts w:hint="eastAsia" w:ascii="仿宋" w:hAnsi="仿宋" w:eastAsia="仿宋" w:cs="仿宋"/>
          <w:sz w:val="32"/>
          <w:szCs w:val="32"/>
        </w:rPr>
        <w:t>%</w:t>
      </w:r>
      <w:r>
        <w:rPr>
          <w:rFonts w:hint="eastAsia" w:ascii="仿宋" w:hAnsi="仿宋" w:eastAsia="仿宋" w:cs="仿宋"/>
          <w:color w:val="000000"/>
          <w:sz w:val="32"/>
          <w:szCs w:val="32"/>
        </w:rPr>
        <w:t>。主要变动原因是：校点布局调整，</w:t>
      </w:r>
      <w:r>
        <w:rPr>
          <w:rFonts w:hint="eastAsia" w:ascii="仿宋" w:hAnsi="仿宋" w:eastAsia="仿宋" w:cs="仿宋"/>
          <w:color w:val="000000"/>
          <w:sz w:val="32"/>
          <w:szCs w:val="32"/>
          <w:lang w:val="en-US" w:eastAsia="zh-CN"/>
        </w:rPr>
        <w:t>2022年横山中学撤销</w:t>
      </w:r>
      <w:r>
        <w:rPr>
          <w:rFonts w:hint="eastAsia" w:ascii="仿宋" w:hAnsi="仿宋" w:eastAsia="仿宋" w:cs="仿宋"/>
          <w:color w:val="000000"/>
          <w:sz w:val="32"/>
          <w:szCs w:val="32"/>
        </w:rPr>
        <w:t>划转入</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4名教师</w:t>
      </w:r>
      <w:r>
        <w:rPr>
          <w:rFonts w:hint="eastAsia" w:ascii="仿宋" w:hAnsi="仿宋" w:eastAsia="仿宋" w:cs="仿宋"/>
          <w:color w:val="000000"/>
          <w:sz w:val="32"/>
          <w:szCs w:val="32"/>
          <w:lang w:val="en-US" w:eastAsia="zh-CN"/>
        </w:rPr>
        <w:t>及横山中学1-3月教师工资统计到我校</w:t>
      </w:r>
      <w:r>
        <w:rPr>
          <w:rFonts w:hint="eastAsia" w:ascii="仿宋" w:hAnsi="仿宋" w:eastAsia="仿宋" w:cs="仿宋"/>
          <w:color w:val="000000"/>
          <w:sz w:val="32"/>
          <w:szCs w:val="32"/>
        </w:rPr>
        <w:t>，政策性调资，人员经费增加，教师退休等。</w:t>
      </w:r>
    </w:p>
    <w:p>
      <w:pPr>
        <w:pStyle w:val="2"/>
        <w:spacing w:before="93"/>
        <w:rPr>
          <w:rFonts w:hint="eastAsia" w:ascii="仿宋" w:hAnsi="仿宋" w:eastAsia="仿宋" w:cs="仿宋"/>
          <w:sz w:val="32"/>
          <w:szCs w:val="32"/>
        </w:rPr>
      </w:pP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4202430" cy="2970530"/>
            <wp:effectExtent l="0" t="0" r="7620" b="127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6"/>
                    <a:stretch>
                      <a:fillRect/>
                    </a:stretch>
                  </pic:blipFill>
                  <pic:spPr>
                    <a:xfrm>
                      <a:off x="0" y="0"/>
                      <a:ext cx="4202430" cy="2970530"/>
                    </a:xfrm>
                    <a:prstGeom prst="rect">
                      <a:avLst/>
                    </a:prstGeom>
                    <a:noFill/>
                    <a:ln>
                      <a:noFill/>
                    </a:ln>
                  </pic:spPr>
                </pic:pic>
              </a:graphicData>
            </a:graphic>
          </wp:inline>
        </w:drawing>
      </w:r>
    </w:p>
    <w:p>
      <w:pPr>
        <w:spacing w:line="60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（图1：收、支决算总计变动情况图）（柱状图）</w:t>
      </w:r>
    </w:p>
    <w:p>
      <w:pPr>
        <w:pStyle w:val="23"/>
        <w:numPr>
          <w:ilvl w:val="0"/>
          <w:numId w:val="3"/>
        </w:numPr>
        <w:spacing w:line="600" w:lineRule="exact"/>
        <w:ind w:firstLineChars="0"/>
        <w:outlineLvl w:val="1"/>
        <w:rPr>
          <w:rStyle w:val="25"/>
          <w:rFonts w:hint="eastAsia" w:ascii="仿宋" w:hAnsi="仿宋" w:eastAsia="仿宋" w:cs="仿宋"/>
          <w:b w:val="0"/>
        </w:rPr>
      </w:pPr>
      <w:bookmarkStart w:id="24" w:name="_Toc15377206"/>
      <w:bookmarkStart w:id="25" w:name="_Toc15396604"/>
      <w:r>
        <w:rPr>
          <w:rFonts w:hint="eastAsia" w:ascii="仿宋" w:hAnsi="仿宋" w:eastAsia="仿宋" w:cs="仿宋"/>
          <w:sz w:val="32"/>
          <w:szCs w:val="32"/>
        </w:rPr>
        <w:t>收</w:t>
      </w:r>
      <w:r>
        <w:rPr>
          <w:rStyle w:val="25"/>
          <w:rFonts w:hint="eastAsia" w:ascii="仿宋" w:hAnsi="仿宋" w:eastAsia="仿宋" w:cs="仿宋"/>
          <w:b w:val="0"/>
        </w:rPr>
        <w:t>入决算情况说明</w:t>
      </w:r>
      <w:bookmarkEnd w:id="24"/>
      <w:bookmarkEnd w:id="25"/>
    </w:p>
    <w:p>
      <w:pPr>
        <w:spacing w:line="600" w:lineRule="exact"/>
        <w:ind w:left="640" w:leftChars="305" w:firstLine="640" w:firstLineChars="200"/>
        <w:outlineLvl w:val="1"/>
        <w:rPr>
          <w:rFonts w:ascii="仿宋" w:hAnsi="仿宋" w:eastAsia="仿宋"/>
          <w:b/>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本年收入合计</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万元，占100%</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2"/>
        <w:spacing w:before="93"/>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4299585" cy="2489200"/>
            <wp:effectExtent l="0" t="0" r="571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299585" cy="2489200"/>
                    </a:xfrm>
                    <a:prstGeom prst="rect">
                      <a:avLst/>
                    </a:prstGeom>
                    <a:noFill/>
                    <a:ln>
                      <a:noFill/>
                    </a:ln>
                  </pic:spPr>
                </pic:pic>
              </a:graphicData>
            </a:graphic>
          </wp:inline>
        </w:drawing>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（图2：收入决算结构图）（饼状图）</w:t>
      </w:r>
    </w:p>
    <w:p>
      <w:pPr>
        <w:pStyle w:val="23"/>
        <w:numPr>
          <w:ilvl w:val="0"/>
          <w:numId w:val="3"/>
        </w:numPr>
        <w:spacing w:line="600" w:lineRule="exact"/>
        <w:ind w:firstLineChars="0"/>
        <w:outlineLvl w:val="1"/>
        <w:rPr>
          <w:rStyle w:val="25"/>
          <w:rFonts w:hint="eastAsia" w:ascii="仿宋" w:hAnsi="仿宋" w:eastAsia="仿宋" w:cs="仿宋"/>
          <w:b w:val="0"/>
        </w:rPr>
      </w:pPr>
      <w:bookmarkStart w:id="26" w:name="_Toc15377207"/>
      <w:bookmarkStart w:id="27" w:name="_Toc15396605"/>
      <w:r>
        <w:rPr>
          <w:rFonts w:hint="eastAsia" w:ascii="仿宋" w:hAnsi="仿宋" w:eastAsia="仿宋" w:cs="仿宋"/>
          <w:sz w:val="32"/>
          <w:szCs w:val="32"/>
        </w:rPr>
        <w:t>支</w:t>
      </w:r>
      <w:r>
        <w:rPr>
          <w:rStyle w:val="25"/>
          <w:rFonts w:hint="eastAsia" w:ascii="仿宋" w:hAnsi="仿宋" w:eastAsia="仿宋" w:cs="仿宋"/>
          <w:b w:val="0"/>
        </w:rPr>
        <w:t>出决算情况说明</w:t>
      </w:r>
      <w:bookmarkEnd w:id="26"/>
      <w:bookmarkEnd w:id="27"/>
    </w:p>
    <w:p>
      <w:pPr>
        <w:spacing w:line="600" w:lineRule="exact"/>
        <w:ind w:left="640" w:leftChars="305" w:firstLine="480" w:firstLineChars="150"/>
        <w:outlineLvl w:val="1"/>
        <w:rPr>
          <w:rFonts w:hint="eastAsia" w:ascii="仿宋" w:hAnsi="仿宋" w:eastAsia="仿宋" w:cs="仿宋"/>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本年支出合计</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万元，其中：</w:t>
      </w:r>
      <w:r>
        <w:rPr>
          <w:rFonts w:hint="eastAsia" w:ascii="仿宋" w:hAnsi="仿宋" w:eastAsia="仿宋" w:cs="仿宋"/>
          <w:color w:val="000000"/>
          <w:sz w:val="32"/>
          <w:szCs w:val="32"/>
          <w:lang w:val="en-US" w:eastAsia="zh-CN"/>
        </w:rPr>
        <w:t>基本支出</w:t>
      </w:r>
      <w:r>
        <w:rPr>
          <w:rFonts w:hint="eastAsia" w:ascii="仿宋" w:hAnsi="仿宋" w:eastAsia="仿宋" w:cs="仿宋"/>
          <w:i w:val="0"/>
          <w:iCs w:val="0"/>
          <w:color w:val="000000"/>
          <w:sz w:val="32"/>
          <w:szCs w:val="32"/>
          <w:u w:val="none"/>
          <w:lang w:val="en-US" w:eastAsia="zh-CN"/>
        </w:rPr>
        <w:t>812.06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92.23</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68.45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7.77</w:t>
      </w:r>
      <w:r>
        <w:rPr>
          <w:rFonts w:hint="eastAsia" w:ascii="仿宋" w:hAnsi="仿宋" w:eastAsia="仿宋" w:cs="仿宋"/>
          <w:color w:val="000000"/>
          <w:sz w:val="32"/>
          <w:szCs w:val="32"/>
        </w:rPr>
        <w:t>%。</w:t>
      </w:r>
    </w:p>
    <w:p>
      <w:pPr>
        <w:pStyle w:val="2"/>
        <w:spacing w:before="93"/>
        <w:rPr>
          <w:rFonts w:hint="eastAsia" w:ascii="仿宋" w:hAnsi="仿宋" w:eastAsia="仿宋" w:cs="仿宋"/>
        </w:rPr>
      </w:pPr>
      <w:r>
        <w:rPr>
          <w:rFonts w:hint="eastAsia" w:ascii="仿宋" w:hAnsi="仿宋" w:eastAsia="仿宋" w:cs="仿宋"/>
          <w:lang w:val="en-US" w:eastAsia="zh-CN"/>
        </w:rPr>
        <w:t xml:space="preserve">           </w:t>
      </w:r>
      <w:r>
        <w:drawing>
          <wp:inline distT="0" distB="0" distL="114300" distR="114300">
            <wp:extent cx="4616450" cy="2654935"/>
            <wp:effectExtent l="4445" t="4445" r="8255" b="762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ind w:firstLine="1960" w:firstLineChars="700"/>
        <w:rPr>
          <w:rFonts w:hint="eastAsia" w:ascii="仿宋" w:hAnsi="仿宋" w:eastAsia="仿宋" w:cs="仿宋"/>
          <w:sz w:val="28"/>
          <w:szCs w:val="28"/>
        </w:rPr>
      </w:pPr>
      <w:r>
        <w:rPr>
          <w:rFonts w:hint="eastAsia" w:ascii="仿宋" w:hAnsi="仿宋" w:eastAsia="仿宋" w:cs="仿宋"/>
          <w:sz w:val="28"/>
          <w:szCs w:val="28"/>
        </w:rPr>
        <w:t>（图3：支出决算结构图）（饼状图）</w:t>
      </w:r>
    </w:p>
    <w:p>
      <w:pPr>
        <w:spacing w:line="600" w:lineRule="exact"/>
        <w:ind w:firstLine="640" w:firstLineChars="200"/>
        <w:outlineLvl w:val="1"/>
        <w:rPr>
          <w:rStyle w:val="25"/>
          <w:rFonts w:hint="eastAsia" w:ascii="仿宋" w:hAnsi="仿宋" w:eastAsia="仿宋" w:cs="仿宋"/>
          <w:b w:val="0"/>
        </w:rPr>
      </w:pPr>
      <w:bookmarkStart w:id="28" w:name="_Toc15396606"/>
      <w:bookmarkStart w:id="29" w:name="_Toc15377208"/>
      <w:r>
        <w:rPr>
          <w:rFonts w:hint="eastAsia" w:ascii="仿宋" w:hAnsi="仿宋" w:eastAsia="仿宋" w:cs="仿宋"/>
          <w:sz w:val="32"/>
          <w:szCs w:val="32"/>
        </w:rPr>
        <w:t>四、财</w:t>
      </w:r>
      <w:r>
        <w:rPr>
          <w:rStyle w:val="25"/>
          <w:rFonts w:hint="eastAsia" w:ascii="仿宋" w:hAnsi="仿宋" w:eastAsia="仿宋" w:cs="仿宋"/>
          <w:b w:val="0"/>
        </w:rPr>
        <w:t>政拨款收入支出决算总体情况说明</w:t>
      </w:r>
      <w:bookmarkEnd w:id="28"/>
      <w:bookmarkEnd w:id="29"/>
    </w:p>
    <w:p>
      <w:pPr>
        <w:spacing w:line="60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财政拨款收入合计</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万元，支出合计</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万元。与202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年相比，财政拨款收入总计</w:t>
      </w:r>
      <w:r>
        <w:rPr>
          <w:rFonts w:hint="eastAsia" w:ascii="仿宋" w:hAnsi="仿宋" w:eastAsia="仿宋" w:cs="仿宋"/>
          <w:color w:val="000000"/>
          <w:sz w:val="32"/>
          <w:szCs w:val="32"/>
          <w:lang w:val="en-US" w:eastAsia="zh-CN"/>
        </w:rPr>
        <w:t>减少204.05</w:t>
      </w:r>
      <w:r>
        <w:rPr>
          <w:rFonts w:hint="eastAsia" w:ascii="仿宋" w:hAnsi="仿宋" w:eastAsia="仿宋" w:cs="仿宋"/>
          <w:color w:val="000000"/>
          <w:sz w:val="32"/>
          <w:szCs w:val="32"/>
        </w:rPr>
        <w:t>万元、支出总计总计</w:t>
      </w:r>
      <w:r>
        <w:rPr>
          <w:rFonts w:hint="eastAsia" w:ascii="仿宋" w:hAnsi="仿宋" w:eastAsia="仿宋" w:cs="仿宋"/>
          <w:color w:val="000000"/>
          <w:sz w:val="32"/>
          <w:szCs w:val="32"/>
          <w:lang w:val="en-US" w:eastAsia="zh-CN"/>
        </w:rPr>
        <w:t>减少204.05</w:t>
      </w:r>
      <w:r>
        <w:rPr>
          <w:rFonts w:hint="eastAsia" w:ascii="仿宋" w:hAnsi="仿宋" w:eastAsia="仿宋" w:cs="仿宋"/>
          <w:color w:val="000000"/>
          <w:sz w:val="32"/>
          <w:szCs w:val="32"/>
        </w:rPr>
        <w:t>万元，收入总计</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18.81</w:t>
      </w:r>
      <w:r>
        <w:rPr>
          <w:rFonts w:hint="eastAsia" w:ascii="仿宋" w:hAnsi="仿宋" w:eastAsia="仿宋" w:cs="仿宋"/>
          <w:sz w:val="32"/>
          <w:szCs w:val="32"/>
        </w:rPr>
        <w:t>%</w:t>
      </w:r>
      <w:r>
        <w:rPr>
          <w:rFonts w:hint="eastAsia" w:ascii="仿宋" w:hAnsi="仿宋" w:eastAsia="仿宋" w:cs="仿宋"/>
          <w:color w:val="000000"/>
          <w:sz w:val="32"/>
          <w:szCs w:val="32"/>
        </w:rPr>
        <w:t>，支出总计</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18.81</w:t>
      </w:r>
      <w:r>
        <w:rPr>
          <w:rFonts w:hint="eastAsia" w:ascii="仿宋" w:hAnsi="仿宋" w:eastAsia="仿宋" w:cs="仿宋"/>
          <w:sz w:val="32"/>
          <w:szCs w:val="32"/>
        </w:rPr>
        <w:t>%</w:t>
      </w:r>
      <w:r>
        <w:rPr>
          <w:rFonts w:hint="eastAsia" w:ascii="仿宋" w:hAnsi="仿宋" w:eastAsia="仿宋" w:cs="仿宋"/>
          <w:color w:val="000000"/>
          <w:sz w:val="32"/>
          <w:szCs w:val="32"/>
        </w:rPr>
        <w:t>。主要变动原因是：校点布局调整，</w:t>
      </w:r>
      <w:r>
        <w:rPr>
          <w:rFonts w:hint="eastAsia" w:ascii="仿宋" w:hAnsi="仿宋" w:eastAsia="仿宋" w:cs="仿宋"/>
          <w:color w:val="000000"/>
          <w:sz w:val="32"/>
          <w:szCs w:val="32"/>
          <w:lang w:val="en-US" w:eastAsia="zh-CN"/>
        </w:rPr>
        <w:t>2022年横山中学撤销</w:t>
      </w:r>
      <w:r>
        <w:rPr>
          <w:rFonts w:hint="eastAsia" w:ascii="仿宋" w:hAnsi="仿宋" w:eastAsia="仿宋" w:cs="仿宋"/>
          <w:color w:val="000000"/>
          <w:sz w:val="32"/>
          <w:szCs w:val="32"/>
        </w:rPr>
        <w:t>划转入</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4名教师</w:t>
      </w:r>
      <w:r>
        <w:rPr>
          <w:rFonts w:hint="eastAsia" w:ascii="仿宋" w:hAnsi="仿宋" w:eastAsia="仿宋" w:cs="仿宋"/>
          <w:color w:val="000000"/>
          <w:sz w:val="32"/>
          <w:szCs w:val="32"/>
          <w:lang w:val="en-US" w:eastAsia="zh-CN"/>
        </w:rPr>
        <w:t>及横山中学1-3月教师工资统计到我校</w:t>
      </w:r>
      <w:r>
        <w:rPr>
          <w:rFonts w:hint="eastAsia" w:ascii="仿宋" w:hAnsi="仿宋" w:eastAsia="仿宋" w:cs="仿宋"/>
          <w:color w:val="000000"/>
          <w:sz w:val="32"/>
          <w:szCs w:val="32"/>
        </w:rPr>
        <w:t>，政策性调资，人员经费增加，教师退休等</w:t>
      </w:r>
    </w:p>
    <w:p>
      <w:pPr>
        <w:spacing w:line="600" w:lineRule="exact"/>
        <w:ind w:firstLine="420" w:firstLineChars="200"/>
        <w:rPr>
          <w:rFonts w:hint="eastAsia" w:ascii="仿宋" w:hAnsi="仿宋" w:eastAsia="仿宋" w:cs="仿宋"/>
          <w:sz w:val="32"/>
          <w:szCs w:val="32"/>
        </w:rPr>
      </w:pPr>
      <w:r>
        <w:rPr>
          <w:rFonts w:hint="eastAsia" w:ascii="仿宋" w:hAnsi="仿宋" w:eastAsia="仿宋" w:cs="仿宋"/>
        </w:rPr>
        <w:drawing>
          <wp:anchor distT="0" distB="0" distL="114300" distR="114300" simplePos="0" relativeHeight="251659264" behindDoc="1" locked="0" layoutInCell="1" allowOverlap="1">
            <wp:simplePos x="0" y="0"/>
            <wp:positionH relativeFrom="column">
              <wp:posOffset>700405</wp:posOffset>
            </wp:positionH>
            <wp:positionV relativeFrom="paragraph">
              <wp:posOffset>57150</wp:posOffset>
            </wp:positionV>
            <wp:extent cx="4077970" cy="2967355"/>
            <wp:effectExtent l="0" t="0" r="17780" b="4445"/>
            <wp:wrapNone/>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9"/>
                    <a:stretch>
                      <a:fillRect/>
                    </a:stretch>
                  </pic:blipFill>
                  <pic:spPr>
                    <a:xfrm>
                      <a:off x="0" y="0"/>
                      <a:ext cx="4077970" cy="2967355"/>
                    </a:xfrm>
                    <a:prstGeom prst="rect">
                      <a:avLst/>
                    </a:prstGeom>
                    <a:noFill/>
                    <a:ln>
                      <a:noFill/>
                    </a:ln>
                  </pic:spPr>
                </pic:pic>
              </a:graphicData>
            </a:graphic>
          </wp:anchor>
        </w:drawing>
      </w:r>
    </w:p>
    <w:p>
      <w:pPr>
        <w:spacing w:line="600" w:lineRule="exact"/>
        <w:ind w:firstLine="480" w:firstLineChars="150"/>
        <w:rPr>
          <w:rFonts w:hint="eastAsia" w:ascii="仿宋" w:hAnsi="仿宋" w:eastAsia="仿宋" w:cs="仿宋"/>
          <w:sz w:val="32"/>
          <w:szCs w:val="32"/>
        </w:rPr>
      </w:pPr>
    </w:p>
    <w:p>
      <w:pPr>
        <w:pStyle w:val="2"/>
        <w:rPr>
          <w:rFonts w:hint="eastAsia" w:ascii="仿宋" w:hAnsi="仿宋" w:eastAsia="仿宋" w:cs="仿宋"/>
        </w:rPr>
      </w:pPr>
    </w:p>
    <w:p>
      <w:pPr>
        <w:spacing w:line="600" w:lineRule="exact"/>
        <w:ind w:firstLine="480" w:firstLineChars="1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600" w:lineRule="exact"/>
        <w:ind w:firstLine="480" w:firstLineChars="150"/>
        <w:rPr>
          <w:rFonts w:hint="eastAsia" w:ascii="仿宋" w:hAnsi="仿宋" w:eastAsia="仿宋" w:cs="仿宋"/>
          <w:sz w:val="32"/>
          <w:szCs w:val="32"/>
        </w:rPr>
      </w:pPr>
    </w:p>
    <w:p>
      <w:pPr>
        <w:spacing w:line="600" w:lineRule="exact"/>
        <w:ind w:firstLine="480" w:firstLineChars="150"/>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p>
    <w:p>
      <w:pPr>
        <w:spacing w:line="60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（图4：财政拨款收、支决算总计变动情况）（柱状图）</w:t>
      </w:r>
    </w:p>
    <w:p>
      <w:pPr>
        <w:spacing w:line="600" w:lineRule="exact"/>
        <w:ind w:firstLine="160" w:firstLineChars="50"/>
        <w:outlineLvl w:val="1"/>
        <w:rPr>
          <w:rStyle w:val="25"/>
          <w:rFonts w:hint="eastAsia" w:ascii="仿宋" w:hAnsi="仿宋" w:eastAsia="仿宋" w:cs="仿宋"/>
          <w:b w:val="0"/>
        </w:rPr>
      </w:pPr>
      <w:bookmarkStart w:id="30" w:name="_Toc15396607"/>
      <w:bookmarkStart w:id="31" w:name="_Toc15377209"/>
      <w:r>
        <w:rPr>
          <w:rFonts w:hint="eastAsia" w:ascii="仿宋" w:hAnsi="仿宋" w:eastAsia="仿宋" w:cs="仿宋"/>
          <w:sz w:val="32"/>
          <w:szCs w:val="32"/>
        </w:rPr>
        <w:t>五、</w:t>
      </w:r>
      <w:r>
        <w:rPr>
          <w:rFonts w:hint="eastAsia" w:ascii="仿宋" w:hAnsi="仿宋" w:eastAsia="仿宋" w:cs="仿宋"/>
          <w:b/>
          <w:sz w:val="32"/>
          <w:szCs w:val="32"/>
        </w:rPr>
        <w:t>一</w:t>
      </w:r>
      <w:r>
        <w:rPr>
          <w:rStyle w:val="25"/>
          <w:rFonts w:hint="eastAsia" w:ascii="仿宋" w:hAnsi="仿宋" w:eastAsia="仿宋" w:cs="仿宋"/>
          <w:b w:val="0"/>
        </w:rPr>
        <w:t>般公共预算财政拨款支出决算情况说明</w:t>
      </w:r>
      <w:bookmarkEnd w:id="30"/>
      <w:bookmarkEnd w:id="31"/>
    </w:p>
    <w:p>
      <w:pPr>
        <w:spacing w:line="600" w:lineRule="exact"/>
        <w:ind w:firstLine="643" w:firstLineChars="200"/>
        <w:outlineLvl w:val="2"/>
        <w:rPr>
          <w:rFonts w:hint="eastAsia" w:ascii="仿宋" w:hAnsi="仿宋" w:eastAsia="仿宋" w:cs="仿宋"/>
          <w:b/>
          <w:sz w:val="32"/>
          <w:szCs w:val="32"/>
        </w:rPr>
      </w:pPr>
      <w:bookmarkStart w:id="32" w:name="_Toc15377210"/>
      <w:r>
        <w:rPr>
          <w:rFonts w:hint="eastAsia" w:ascii="仿宋" w:hAnsi="仿宋" w:eastAsia="仿宋" w:cs="仿宋"/>
          <w:b/>
          <w:sz w:val="32"/>
          <w:szCs w:val="32"/>
        </w:rPr>
        <w:t>（一）一般公共预算财政拨款支出决算总体情况</w:t>
      </w:r>
      <w:bookmarkEnd w:id="32"/>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一般公共预算财政拨款支出</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万元，占本年支出合计的100%。与202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年相比，一般公共预算财政拨款</w:t>
      </w:r>
      <w:r>
        <w:rPr>
          <w:rFonts w:hint="eastAsia" w:ascii="仿宋" w:hAnsi="仿宋" w:eastAsia="仿宋" w:cs="仿宋"/>
          <w:color w:val="000000"/>
          <w:sz w:val="32"/>
          <w:szCs w:val="32"/>
          <w:lang w:val="en-US" w:eastAsia="zh-CN"/>
        </w:rPr>
        <w:t>减少204.05</w:t>
      </w:r>
      <w:r>
        <w:rPr>
          <w:rFonts w:hint="eastAsia" w:ascii="仿宋" w:hAnsi="仿宋" w:eastAsia="仿宋" w:cs="仿宋"/>
          <w:color w:val="000000"/>
          <w:sz w:val="32"/>
          <w:szCs w:val="32"/>
        </w:rPr>
        <w:t>万元，</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18.81</w:t>
      </w:r>
      <w:r>
        <w:rPr>
          <w:rFonts w:hint="eastAsia" w:ascii="仿宋" w:hAnsi="仿宋" w:eastAsia="仿宋" w:cs="仿宋"/>
          <w:sz w:val="32"/>
          <w:szCs w:val="32"/>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减少原因</w:t>
      </w:r>
      <w:r>
        <w:rPr>
          <w:rFonts w:hint="eastAsia" w:ascii="仿宋" w:hAnsi="仿宋" w:eastAsia="仿宋" w:cs="仿宋"/>
          <w:color w:val="000000"/>
          <w:sz w:val="32"/>
          <w:szCs w:val="32"/>
        </w:rPr>
        <w:t>校点布局调整，</w:t>
      </w:r>
      <w:r>
        <w:rPr>
          <w:rFonts w:hint="eastAsia" w:ascii="仿宋" w:hAnsi="仿宋" w:eastAsia="仿宋" w:cs="仿宋"/>
          <w:color w:val="000000"/>
          <w:sz w:val="32"/>
          <w:szCs w:val="32"/>
          <w:lang w:val="en-US" w:eastAsia="zh-CN"/>
        </w:rPr>
        <w:t>2022年横山中学撤销</w:t>
      </w:r>
      <w:r>
        <w:rPr>
          <w:rFonts w:hint="eastAsia" w:ascii="仿宋" w:hAnsi="仿宋" w:eastAsia="仿宋" w:cs="仿宋"/>
          <w:color w:val="000000"/>
          <w:sz w:val="32"/>
          <w:szCs w:val="32"/>
        </w:rPr>
        <w:t>划转入</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4名教师</w:t>
      </w:r>
      <w:r>
        <w:rPr>
          <w:rFonts w:hint="eastAsia" w:ascii="仿宋" w:hAnsi="仿宋" w:eastAsia="仿宋" w:cs="仿宋"/>
          <w:color w:val="000000"/>
          <w:sz w:val="32"/>
          <w:szCs w:val="32"/>
          <w:lang w:val="en-US" w:eastAsia="zh-CN"/>
        </w:rPr>
        <w:t>及横山中学1-3月教师工资统计到我校</w:t>
      </w:r>
      <w:r>
        <w:rPr>
          <w:rFonts w:hint="eastAsia" w:ascii="仿宋" w:hAnsi="仿宋" w:eastAsia="仿宋" w:cs="仿宋"/>
          <w:color w:val="000000"/>
          <w:sz w:val="32"/>
          <w:szCs w:val="32"/>
        </w:rPr>
        <w:t>，政策性调资，人员经费增加，教师退休等</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sz w:val="32"/>
          <w:szCs w:val="32"/>
        </w:rPr>
      </w:pPr>
    </w:p>
    <w:p>
      <w:pPr>
        <w:pStyle w:val="2"/>
        <w:spacing w:before="93"/>
        <w:rPr>
          <w:rFonts w:hint="eastAsia" w:ascii="仿宋" w:hAnsi="仿宋" w:eastAsia="仿宋" w:cs="仿宋"/>
          <w:kern w:val="0"/>
          <w:sz w:val="30"/>
        </w:rPr>
      </w:pP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4584065" cy="2755265"/>
            <wp:effectExtent l="0" t="0" r="6985" b="698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stretch>
                      <a:fillRect/>
                    </a:stretch>
                  </pic:blipFill>
                  <pic:spPr>
                    <a:xfrm>
                      <a:off x="0" y="0"/>
                      <a:ext cx="4584065" cy="2755265"/>
                    </a:xfrm>
                    <a:prstGeom prst="rect">
                      <a:avLst/>
                    </a:prstGeom>
                    <a:noFill/>
                    <a:ln>
                      <a:noFill/>
                    </a:ln>
                  </pic:spPr>
                </pic:pic>
              </a:graphicData>
            </a:graphic>
          </wp:inline>
        </w:drawing>
      </w:r>
    </w:p>
    <w:p>
      <w:pPr>
        <w:spacing w:line="600" w:lineRule="exact"/>
        <w:rPr>
          <w:rFonts w:hint="eastAsia" w:ascii="仿宋" w:hAnsi="仿宋" w:eastAsia="仿宋" w:cs="仿宋"/>
          <w:sz w:val="32"/>
          <w:szCs w:val="32"/>
        </w:rPr>
      </w:pPr>
      <w:r>
        <w:rPr>
          <w:rFonts w:hint="eastAsia" w:ascii="仿宋" w:hAnsi="仿宋" w:eastAsia="仿宋" w:cs="仿宋"/>
          <w:sz w:val="32"/>
          <w:szCs w:val="32"/>
        </w:rPr>
        <w:t>（图5：一般公共预算财政拨款支出决算变动情况）（柱状图）</w:t>
      </w:r>
    </w:p>
    <w:p>
      <w:pPr>
        <w:spacing w:line="600" w:lineRule="exact"/>
        <w:ind w:firstLine="321" w:firstLineChars="100"/>
        <w:outlineLvl w:val="2"/>
        <w:rPr>
          <w:rFonts w:hint="eastAsia" w:ascii="仿宋" w:hAnsi="仿宋" w:eastAsia="仿宋" w:cs="仿宋"/>
          <w:b/>
          <w:sz w:val="32"/>
          <w:szCs w:val="32"/>
        </w:rPr>
      </w:pPr>
      <w:bookmarkStart w:id="33" w:name="_Toc15377211"/>
      <w:r>
        <w:rPr>
          <w:rFonts w:hint="eastAsia" w:ascii="仿宋" w:hAnsi="仿宋" w:eastAsia="仿宋" w:cs="仿宋"/>
          <w:b/>
          <w:sz w:val="32"/>
          <w:szCs w:val="32"/>
        </w:rPr>
        <w:t>（二）一般公共预算财政拨款支出决算结构情况</w:t>
      </w:r>
      <w:bookmarkEnd w:id="33"/>
    </w:p>
    <w:p>
      <w:pPr>
        <w:spacing w:line="600" w:lineRule="exact"/>
        <w:ind w:left="640" w:leftChars="305" w:firstLine="480" w:firstLineChars="150"/>
        <w:outlineLvl w:val="1"/>
        <w:rPr>
          <w:rFonts w:hint="eastAsia" w:ascii="仿宋" w:hAnsi="仿宋" w:eastAsia="仿宋" w:cs="仿宋"/>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一般公共预算财政拨款支出</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万元，主要用于以下方面:教育支出</w:t>
      </w:r>
      <w:r>
        <w:rPr>
          <w:rFonts w:hint="eastAsia" w:ascii="仿宋" w:hAnsi="仿宋" w:eastAsia="仿宋" w:cs="仿宋"/>
          <w:i w:val="0"/>
          <w:iCs w:val="0"/>
          <w:color w:val="000000"/>
          <w:sz w:val="32"/>
          <w:szCs w:val="32"/>
          <w:u w:val="none"/>
          <w:lang w:val="en-US" w:eastAsia="zh-CN"/>
        </w:rPr>
        <w:t>711.77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80.84</w:t>
      </w:r>
      <w:r>
        <w:rPr>
          <w:rFonts w:hint="eastAsia" w:ascii="仿宋" w:hAnsi="仿宋" w:eastAsia="仿宋" w:cs="仿宋"/>
          <w:color w:val="000000"/>
          <w:sz w:val="32"/>
          <w:szCs w:val="32"/>
        </w:rPr>
        <w:t>%；社会保障和就业支出</w:t>
      </w:r>
      <w:r>
        <w:rPr>
          <w:rFonts w:hint="eastAsia" w:ascii="仿宋" w:hAnsi="仿宋" w:eastAsia="仿宋" w:cs="仿宋"/>
          <w:color w:val="000000"/>
          <w:sz w:val="32"/>
          <w:szCs w:val="32"/>
          <w:lang w:val="en-US" w:eastAsia="zh-CN"/>
        </w:rPr>
        <w:t>80.31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9.12</w:t>
      </w:r>
      <w:r>
        <w:rPr>
          <w:rFonts w:hint="eastAsia" w:ascii="仿宋" w:hAnsi="仿宋" w:eastAsia="仿宋" w:cs="仿宋"/>
          <w:color w:val="000000"/>
          <w:sz w:val="32"/>
          <w:szCs w:val="32"/>
        </w:rPr>
        <w:t>%；卫生健康支出</w:t>
      </w:r>
      <w:r>
        <w:rPr>
          <w:rFonts w:hint="eastAsia" w:ascii="仿宋" w:hAnsi="仿宋" w:eastAsia="仿宋" w:cs="仿宋"/>
          <w:color w:val="000000"/>
          <w:sz w:val="32"/>
          <w:szCs w:val="32"/>
          <w:lang w:val="en-US" w:eastAsia="zh-CN"/>
        </w:rPr>
        <w:t>29.30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3.33</w:t>
      </w:r>
      <w:r>
        <w:rPr>
          <w:rFonts w:hint="eastAsia" w:ascii="仿宋" w:hAnsi="仿宋" w:eastAsia="仿宋" w:cs="仿宋"/>
          <w:color w:val="000000"/>
          <w:sz w:val="32"/>
          <w:szCs w:val="32"/>
        </w:rPr>
        <w:t>%；住房保障支出</w:t>
      </w:r>
      <w:r>
        <w:rPr>
          <w:rFonts w:hint="eastAsia" w:ascii="仿宋" w:hAnsi="仿宋" w:eastAsia="仿宋" w:cs="仿宋"/>
          <w:color w:val="000000"/>
          <w:sz w:val="32"/>
          <w:szCs w:val="32"/>
          <w:lang w:val="en-US" w:eastAsia="zh-CN"/>
        </w:rPr>
        <w:t>59.13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6.71</w:t>
      </w:r>
      <w:r>
        <w:rPr>
          <w:rFonts w:hint="eastAsia" w:ascii="仿宋" w:hAnsi="仿宋" w:eastAsia="仿宋" w:cs="仿宋"/>
          <w:color w:val="000000"/>
          <w:sz w:val="32"/>
          <w:szCs w:val="32"/>
        </w:rPr>
        <w:t>%。</w:t>
      </w:r>
    </w:p>
    <w:p>
      <w:pPr>
        <w:spacing w:line="600" w:lineRule="exact"/>
        <w:ind w:left="640" w:leftChars="305" w:firstLine="315" w:firstLineChars="150"/>
        <w:outlineLvl w:val="1"/>
        <w:rPr>
          <w:rFonts w:hint="eastAsia" w:ascii="仿宋" w:hAnsi="仿宋" w:eastAsia="仿宋" w:cs="仿宋"/>
        </w:rPr>
      </w:pPr>
    </w:p>
    <w:p>
      <w:pPr>
        <w:pStyle w:val="2"/>
        <w:spacing w:before="93"/>
        <w:rPr>
          <w:rFonts w:hint="eastAsia" w:ascii="仿宋" w:hAnsi="仿宋" w:eastAsia="仿宋" w:cs="仿宋"/>
          <w:kern w:val="0"/>
          <w:sz w:val="30"/>
        </w:rPr>
      </w:pP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3368040" cy="3076575"/>
            <wp:effectExtent l="0" t="0" r="3810" b="952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1"/>
                    <a:stretch>
                      <a:fillRect/>
                    </a:stretch>
                  </pic:blipFill>
                  <pic:spPr>
                    <a:xfrm>
                      <a:off x="0" y="0"/>
                      <a:ext cx="3368040" cy="3076575"/>
                    </a:xfrm>
                    <a:prstGeom prst="rect">
                      <a:avLst/>
                    </a:prstGeom>
                    <a:noFill/>
                    <a:ln>
                      <a:noFill/>
                    </a:ln>
                  </pic:spPr>
                </pic:pic>
              </a:graphicData>
            </a:graphic>
          </wp:inline>
        </w:drawing>
      </w:r>
    </w:p>
    <w:p>
      <w:pPr>
        <w:spacing w:line="600" w:lineRule="exact"/>
        <w:rPr>
          <w:rFonts w:hint="eastAsia" w:ascii="仿宋" w:hAnsi="仿宋" w:eastAsia="仿宋" w:cs="仿宋"/>
          <w:sz w:val="32"/>
          <w:szCs w:val="32"/>
        </w:rPr>
      </w:pPr>
      <w:r>
        <w:rPr>
          <w:rFonts w:hint="eastAsia" w:ascii="仿宋" w:hAnsi="仿宋" w:eastAsia="仿宋" w:cs="仿宋"/>
          <w:sz w:val="32"/>
          <w:szCs w:val="32"/>
        </w:rPr>
        <w:t>（图6：一般公共预算财政拨款支出决算结构）（饼状图）</w:t>
      </w:r>
    </w:p>
    <w:p>
      <w:pPr>
        <w:spacing w:line="600" w:lineRule="exact"/>
        <w:outlineLvl w:val="2"/>
        <w:rPr>
          <w:rFonts w:hint="eastAsia" w:ascii="仿宋" w:hAnsi="仿宋" w:eastAsia="仿宋" w:cs="仿宋"/>
          <w:b/>
          <w:sz w:val="32"/>
          <w:szCs w:val="32"/>
        </w:rPr>
      </w:pPr>
      <w:bookmarkStart w:id="34" w:name="_Toc15377212"/>
      <w:r>
        <w:rPr>
          <w:rFonts w:hint="eastAsia" w:ascii="仿宋" w:hAnsi="仿宋" w:eastAsia="仿宋" w:cs="仿宋"/>
          <w:b/>
          <w:sz w:val="32"/>
          <w:szCs w:val="32"/>
        </w:rPr>
        <w:t>（三）一般公共预算财政拨款支出决算具体情况</w:t>
      </w:r>
      <w:bookmarkEnd w:id="34"/>
    </w:p>
    <w:p>
      <w:pPr>
        <w:spacing w:line="600" w:lineRule="exact"/>
        <w:ind w:firstLine="643" w:firstLineChars="200"/>
        <w:outlineLvl w:val="2"/>
        <w:rPr>
          <w:rFonts w:hint="eastAsia" w:ascii="仿宋" w:hAnsi="仿宋" w:eastAsia="仿宋" w:cs="仿宋"/>
          <w:sz w:val="32"/>
          <w:szCs w:val="32"/>
        </w:rPr>
      </w:pPr>
      <w:bookmarkStart w:id="35" w:name="_Toc15377444"/>
      <w:bookmarkStart w:id="36" w:name="_Toc15378460"/>
      <w:bookmarkStart w:id="37" w:name="_Toc15377213"/>
      <w:r>
        <w:rPr>
          <w:rFonts w:hint="eastAsia" w:ascii="仿宋" w:hAnsi="仿宋" w:eastAsia="仿宋" w:cs="仿宋"/>
          <w:b/>
          <w:sz w:val="32"/>
          <w:szCs w:val="32"/>
          <w:lang w:eastAsia="zh-CN"/>
        </w:rPr>
        <w:t>2023年</w:t>
      </w:r>
      <w:r>
        <w:rPr>
          <w:rFonts w:hint="eastAsia" w:ascii="仿宋" w:hAnsi="仿宋" w:eastAsia="仿宋" w:cs="仿宋"/>
          <w:b/>
          <w:sz w:val="32"/>
          <w:szCs w:val="32"/>
        </w:rPr>
        <w:t>一般公共预算支出决算数为</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w:t>
      </w:r>
      <w:r>
        <w:rPr>
          <w:rFonts w:hint="eastAsia" w:ascii="仿宋" w:hAnsi="仿宋" w:eastAsia="仿宋" w:cs="仿宋"/>
          <w:sz w:val="32"/>
          <w:szCs w:val="32"/>
        </w:rPr>
        <w:t>，</w:t>
      </w:r>
      <w:r>
        <w:rPr>
          <w:rStyle w:val="14"/>
          <w:rFonts w:hint="eastAsia" w:ascii="仿宋" w:hAnsi="仿宋" w:eastAsia="仿宋" w:cs="仿宋"/>
          <w:bCs/>
          <w:sz w:val="32"/>
          <w:szCs w:val="32"/>
        </w:rPr>
        <w:t>完成预算100%。其中：</w:t>
      </w:r>
      <w:bookmarkEnd w:id="35"/>
      <w:bookmarkEnd w:id="36"/>
      <w:bookmarkEnd w:id="37"/>
    </w:p>
    <w:p>
      <w:pPr>
        <w:spacing w:line="600" w:lineRule="exact"/>
        <w:ind w:firstLine="643" w:firstLineChars="200"/>
        <w:rPr>
          <w:rStyle w:val="14"/>
          <w:rFonts w:hint="eastAsia" w:ascii="仿宋" w:hAnsi="仿宋" w:eastAsia="仿宋" w:cs="仿宋"/>
          <w:b w:val="0"/>
          <w:bCs/>
          <w:sz w:val="32"/>
          <w:szCs w:val="32"/>
        </w:rPr>
      </w:pPr>
      <w:r>
        <w:rPr>
          <w:rStyle w:val="14"/>
          <w:rFonts w:hint="eastAsia" w:ascii="仿宋" w:hAnsi="仿宋" w:eastAsia="仿宋" w:cs="仿宋"/>
          <w:bCs/>
          <w:sz w:val="32"/>
          <w:szCs w:val="32"/>
        </w:rPr>
        <w:t>1.教育（205类）普通教育（02款）</w:t>
      </w:r>
      <w:r>
        <w:rPr>
          <w:rStyle w:val="14"/>
          <w:rFonts w:hint="eastAsia" w:ascii="仿宋" w:hAnsi="仿宋" w:eastAsia="仿宋" w:cs="仿宋"/>
          <w:bCs/>
          <w:sz w:val="32"/>
          <w:szCs w:val="32"/>
          <w:lang w:val="en-US" w:eastAsia="zh-CN"/>
        </w:rPr>
        <w:t>小学</w:t>
      </w:r>
      <w:r>
        <w:rPr>
          <w:rStyle w:val="14"/>
          <w:rFonts w:hint="eastAsia" w:ascii="仿宋" w:hAnsi="仿宋" w:eastAsia="仿宋" w:cs="仿宋"/>
          <w:bCs/>
          <w:sz w:val="32"/>
          <w:szCs w:val="32"/>
        </w:rPr>
        <w:t>教育（</w:t>
      </w:r>
      <w:r>
        <w:rPr>
          <w:rStyle w:val="14"/>
          <w:rFonts w:hint="eastAsia" w:ascii="仿宋" w:hAnsi="仿宋" w:eastAsia="仿宋" w:cs="仿宋"/>
          <w:bCs/>
          <w:sz w:val="32"/>
          <w:szCs w:val="32"/>
          <w:lang w:val="en-US" w:eastAsia="zh-CN"/>
        </w:rPr>
        <w:t>01-</w:t>
      </w:r>
      <w:r>
        <w:rPr>
          <w:rStyle w:val="14"/>
          <w:rFonts w:hint="eastAsia" w:ascii="仿宋" w:hAnsi="仿宋" w:eastAsia="仿宋" w:cs="仿宋"/>
          <w:bCs/>
          <w:sz w:val="32"/>
          <w:szCs w:val="32"/>
        </w:rPr>
        <w:t>03项）:</w:t>
      </w:r>
      <w:r>
        <w:rPr>
          <w:rStyle w:val="14"/>
          <w:rFonts w:hint="eastAsia" w:ascii="仿宋" w:hAnsi="仿宋" w:eastAsia="仿宋" w:cs="仿宋"/>
          <w:b w:val="0"/>
          <w:bCs/>
          <w:sz w:val="32"/>
          <w:szCs w:val="32"/>
        </w:rPr>
        <w:t>支出决算为</w:t>
      </w:r>
      <w:r>
        <w:rPr>
          <w:rStyle w:val="14"/>
          <w:rFonts w:hint="eastAsia" w:ascii="仿宋" w:hAnsi="仿宋" w:eastAsia="仿宋" w:cs="仿宋"/>
          <w:b w:val="0"/>
          <w:bCs/>
          <w:sz w:val="32"/>
          <w:szCs w:val="32"/>
          <w:lang w:val="en-US" w:eastAsia="zh-CN"/>
        </w:rPr>
        <w:t>711.77</w:t>
      </w:r>
      <w:r>
        <w:rPr>
          <w:rStyle w:val="14"/>
          <w:rFonts w:hint="eastAsia" w:ascii="仿宋" w:hAnsi="仿宋" w:eastAsia="仿宋" w:cs="仿宋"/>
          <w:b w:val="0"/>
          <w:bCs/>
          <w:sz w:val="32"/>
          <w:szCs w:val="32"/>
        </w:rPr>
        <w:t>万元，完成预算100%。</w:t>
      </w:r>
    </w:p>
    <w:p>
      <w:pPr>
        <w:spacing w:line="600" w:lineRule="exact"/>
        <w:ind w:firstLine="643" w:firstLineChars="200"/>
        <w:rPr>
          <w:rFonts w:hint="eastAsia" w:ascii="仿宋" w:hAnsi="仿宋" w:eastAsia="仿宋" w:cs="仿宋"/>
          <w:b/>
          <w:sz w:val="32"/>
          <w:szCs w:val="32"/>
        </w:rPr>
      </w:pPr>
      <w:r>
        <w:rPr>
          <w:rStyle w:val="14"/>
          <w:rFonts w:hint="eastAsia" w:ascii="仿宋" w:hAnsi="仿宋" w:eastAsia="仿宋" w:cs="仿宋"/>
          <w:bCs/>
          <w:sz w:val="32"/>
          <w:szCs w:val="32"/>
        </w:rPr>
        <w:t>2.社会保障和就业（208类）行政事业单位养老支出（05款）机关事业单位基本养老保险缴费支出（05项）:</w:t>
      </w:r>
      <w:r>
        <w:rPr>
          <w:rStyle w:val="14"/>
          <w:rFonts w:hint="eastAsia" w:ascii="仿宋" w:hAnsi="仿宋" w:eastAsia="仿宋" w:cs="仿宋"/>
          <w:b w:val="0"/>
          <w:bCs/>
          <w:sz w:val="32"/>
          <w:szCs w:val="32"/>
        </w:rPr>
        <w:t>支出决算为</w:t>
      </w:r>
      <w:r>
        <w:rPr>
          <w:rStyle w:val="14"/>
          <w:rFonts w:hint="eastAsia" w:ascii="仿宋" w:hAnsi="仿宋" w:eastAsia="仿宋" w:cs="仿宋"/>
          <w:b w:val="0"/>
          <w:bCs/>
          <w:sz w:val="32"/>
          <w:szCs w:val="32"/>
          <w:lang w:val="en-US" w:eastAsia="zh-CN"/>
        </w:rPr>
        <w:t>80.31</w:t>
      </w:r>
      <w:r>
        <w:rPr>
          <w:rStyle w:val="14"/>
          <w:rFonts w:hint="eastAsia" w:ascii="仿宋" w:hAnsi="仿宋" w:eastAsia="仿宋" w:cs="仿宋"/>
          <w:b w:val="0"/>
          <w:bCs/>
          <w:sz w:val="32"/>
          <w:szCs w:val="32"/>
        </w:rPr>
        <w:t>万元，完成预算100%。</w:t>
      </w:r>
    </w:p>
    <w:p>
      <w:pPr>
        <w:spacing w:line="600" w:lineRule="exact"/>
        <w:ind w:firstLine="643" w:firstLineChars="200"/>
        <w:rPr>
          <w:rStyle w:val="14"/>
          <w:rFonts w:hint="eastAsia" w:ascii="仿宋" w:hAnsi="仿宋" w:eastAsia="仿宋" w:cs="仿宋"/>
          <w:b w:val="0"/>
          <w:bCs/>
          <w:sz w:val="32"/>
          <w:szCs w:val="32"/>
        </w:rPr>
      </w:pPr>
      <w:r>
        <w:rPr>
          <w:rStyle w:val="14"/>
          <w:rFonts w:hint="eastAsia" w:ascii="仿宋" w:hAnsi="仿宋" w:eastAsia="仿宋" w:cs="仿宋"/>
          <w:bCs/>
          <w:sz w:val="32"/>
          <w:szCs w:val="32"/>
        </w:rPr>
        <w:t>3.</w:t>
      </w:r>
      <w:r>
        <w:rPr>
          <w:rFonts w:hint="eastAsia" w:ascii="仿宋" w:hAnsi="仿宋" w:eastAsia="仿宋" w:cs="仿宋"/>
          <w:b/>
          <w:bCs/>
          <w:sz w:val="32"/>
          <w:szCs w:val="32"/>
        </w:rPr>
        <w:t>卫生健康</w:t>
      </w:r>
      <w:r>
        <w:rPr>
          <w:rStyle w:val="14"/>
          <w:rFonts w:hint="eastAsia" w:ascii="仿宋" w:hAnsi="仿宋" w:eastAsia="仿宋" w:cs="仿宋"/>
          <w:bCs/>
          <w:sz w:val="32"/>
          <w:szCs w:val="32"/>
        </w:rPr>
        <w:t>（210类）行政事业单位医疗（11款）事业单位医疗（02项）:</w:t>
      </w:r>
      <w:r>
        <w:rPr>
          <w:rStyle w:val="14"/>
          <w:rFonts w:hint="eastAsia" w:ascii="仿宋" w:hAnsi="仿宋" w:eastAsia="仿宋" w:cs="仿宋"/>
          <w:b w:val="0"/>
          <w:bCs/>
          <w:sz w:val="32"/>
          <w:szCs w:val="32"/>
        </w:rPr>
        <w:t>支出决算为</w:t>
      </w:r>
      <w:r>
        <w:rPr>
          <w:rStyle w:val="14"/>
          <w:rFonts w:hint="eastAsia" w:ascii="仿宋" w:hAnsi="仿宋" w:eastAsia="仿宋" w:cs="仿宋"/>
          <w:b w:val="0"/>
          <w:bCs/>
          <w:sz w:val="32"/>
          <w:szCs w:val="32"/>
          <w:lang w:val="en-US" w:eastAsia="zh-CN"/>
        </w:rPr>
        <w:t>29.30</w:t>
      </w:r>
      <w:r>
        <w:rPr>
          <w:rStyle w:val="14"/>
          <w:rFonts w:hint="eastAsia" w:ascii="仿宋" w:hAnsi="仿宋" w:eastAsia="仿宋" w:cs="仿宋"/>
          <w:b w:val="0"/>
          <w:bCs/>
          <w:sz w:val="32"/>
          <w:szCs w:val="32"/>
        </w:rPr>
        <w:t>万元，完成预算100%。</w:t>
      </w:r>
    </w:p>
    <w:p>
      <w:pPr>
        <w:spacing w:line="600" w:lineRule="exact"/>
        <w:ind w:firstLine="643" w:firstLineChars="200"/>
        <w:rPr>
          <w:rFonts w:hint="eastAsia" w:ascii="仿宋" w:hAnsi="仿宋" w:eastAsia="仿宋" w:cs="仿宋"/>
          <w:b/>
          <w:sz w:val="32"/>
          <w:szCs w:val="32"/>
        </w:rPr>
      </w:pPr>
      <w:r>
        <w:rPr>
          <w:rStyle w:val="14"/>
          <w:rFonts w:hint="eastAsia" w:ascii="仿宋" w:hAnsi="仿宋" w:eastAsia="仿宋" w:cs="仿宋"/>
          <w:bCs/>
          <w:sz w:val="32"/>
          <w:szCs w:val="32"/>
        </w:rPr>
        <w:t>4.</w:t>
      </w:r>
      <w:r>
        <w:rPr>
          <w:rFonts w:hint="eastAsia" w:ascii="仿宋" w:hAnsi="仿宋" w:eastAsia="仿宋" w:cs="仿宋"/>
          <w:b/>
          <w:bCs/>
          <w:sz w:val="32"/>
          <w:szCs w:val="32"/>
        </w:rPr>
        <w:t>住房保障</w:t>
      </w:r>
      <w:r>
        <w:rPr>
          <w:rStyle w:val="14"/>
          <w:rFonts w:hint="eastAsia" w:ascii="仿宋" w:hAnsi="仿宋" w:eastAsia="仿宋" w:cs="仿宋"/>
          <w:bCs/>
          <w:sz w:val="32"/>
          <w:szCs w:val="32"/>
        </w:rPr>
        <w:t>（221类）住房改革支出（02款）住房公积金（01项）:</w:t>
      </w:r>
      <w:r>
        <w:rPr>
          <w:rStyle w:val="14"/>
          <w:rFonts w:hint="eastAsia" w:ascii="仿宋" w:hAnsi="仿宋" w:eastAsia="仿宋" w:cs="仿宋"/>
          <w:b w:val="0"/>
          <w:bCs/>
          <w:sz w:val="32"/>
          <w:szCs w:val="32"/>
        </w:rPr>
        <w:t>支出决算为</w:t>
      </w:r>
      <w:r>
        <w:rPr>
          <w:rStyle w:val="14"/>
          <w:rFonts w:hint="eastAsia" w:ascii="仿宋" w:hAnsi="仿宋" w:eastAsia="仿宋" w:cs="仿宋"/>
          <w:b w:val="0"/>
          <w:bCs/>
          <w:sz w:val="32"/>
          <w:szCs w:val="32"/>
          <w:lang w:val="en-US" w:eastAsia="zh-CN"/>
        </w:rPr>
        <w:t>59.13</w:t>
      </w:r>
      <w:r>
        <w:rPr>
          <w:rStyle w:val="14"/>
          <w:rFonts w:hint="eastAsia" w:ascii="仿宋" w:hAnsi="仿宋" w:eastAsia="仿宋" w:cs="仿宋"/>
          <w:b w:val="0"/>
          <w:bCs/>
          <w:sz w:val="32"/>
          <w:szCs w:val="32"/>
        </w:rPr>
        <w:t>万元，完成预算100%。</w:t>
      </w:r>
    </w:p>
    <w:p>
      <w:pPr>
        <w:tabs>
          <w:tab w:val="right" w:pos="8306"/>
        </w:tabs>
        <w:spacing w:line="600" w:lineRule="exact"/>
        <w:outlineLvl w:val="1"/>
        <w:rPr>
          <w:rStyle w:val="25"/>
          <w:rFonts w:hint="eastAsia" w:ascii="仿宋" w:hAnsi="仿宋" w:eastAsia="仿宋" w:cs="仿宋"/>
        </w:rPr>
      </w:pPr>
      <w:bookmarkStart w:id="38" w:name="_Toc15377214"/>
      <w:bookmarkStart w:id="39" w:name="_Toc15396608"/>
      <w:r>
        <w:rPr>
          <w:rFonts w:hint="eastAsia" w:ascii="仿宋" w:hAnsi="仿宋" w:eastAsia="仿宋" w:cs="仿宋"/>
          <w:sz w:val="32"/>
          <w:szCs w:val="32"/>
        </w:rPr>
        <w:t>六</w:t>
      </w:r>
      <w:r>
        <w:rPr>
          <w:rFonts w:hint="eastAsia" w:ascii="仿宋" w:hAnsi="仿宋" w:eastAsia="仿宋" w:cs="仿宋"/>
          <w:b/>
          <w:sz w:val="32"/>
          <w:szCs w:val="32"/>
        </w:rPr>
        <w:t>、一</w:t>
      </w:r>
      <w:r>
        <w:rPr>
          <w:rStyle w:val="25"/>
          <w:rFonts w:hint="eastAsia" w:ascii="仿宋" w:hAnsi="仿宋" w:eastAsia="仿宋" w:cs="仿宋"/>
          <w:b w:val="0"/>
        </w:rPr>
        <w:t>般公共预算财政拨款基本支出决算情况说明</w:t>
      </w:r>
      <w:bookmarkEnd w:id="38"/>
      <w:bookmarkEnd w:id="39"/>
      <w:r>
        <w:rPr>
          <w:rStyle w:val="25"/>
          <w:rFonts w:hint="eastAsia" w:ascii="仿宋" w:hAnsi="仿宋" w:eastAsia="仿宋" w:cs="仿宋"/>
          <w:b w:val="0"/>
        </w:rPr>
        <w:tab/>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一般公共预算财政拨款基本支出</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万元，其中：</w:t>
      </w:r>
    </w:p>
    <w:p>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795.65</w:t>
      </w:r>
      <w:r>
        <w:rPr>
          <w:rFonts w:hint="eastAsia" w:ascii="仿宋" w:hAnsi="仿宋" w:eastAsia="仿宋" w:cs="仿宋"/>
          <w:color w:val="000000"/>
          <w:sz w:val="32"/>
          <w:szCs w:val="32"/>
        </w:rPr>
        <w:t>万元，主要包括：基本工资、津贴补贴、绩效工资、机关事业单位基本养老保险缴费、职业年金缴费、其他社会保障缴费、其他工资福利支出、抚恤金、生活补助、医疗费补助、住房公积金、其他对个人和家庭的补助支出等。</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日常公用经费</w:t>
      </w:r>
      <w:r>
        <w:rPr>
          <w:rFonts w:hint="eastAsia" w:ascii="仿宋" w:hAnsi="仿宋" w:eastAsia="仿宋" w:cs="仿宋"/>
          <w:color w:val="000000"/>
          <w:sz w:val="32"/>
          <w:szCs w:val="32"/>
          <w:lang w:val="en-US" w:eastAsia="zh-CN"/>
        </w:rPr>
        <w:t>84.86</w:t>
      </w:r>
      <w:r>
        <w:rPr>
          <w:rFonts w:hint="eastAsia" w:ascii="仿宋" w:hAnsi="仿宋" w:eastAsia="仿宋" w:cs="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rPr>
          <w:rStyle w:val="25"/>
          <w:rFonts w:hint="eastAsia" w:ascii="仿宋" w:hAnsi="仿宋" w:eastAsia="仿宋" w:cs="仿宋"/>
          <w:b w:val="0"/>
        </w:rPr>
      </w:pPr>
      <w:bookmarkStart w:id="40" w:name="_Toc15396609"/>
      <w:bookmarkStart w:id="41" w:name="_Toc15377215"/>
      <w:r>
        <w:rPr>
          <w:rFonts w:hint="eastAsia" w:ascii="仿宋" w:hAnsi="仿宋" w:eastAsia="仿宋" w:cs="仿宋"/>
          <w:sz w:val="32"/>
          <w:szCs w:val="32"/>
        </w:rPr>
        <w:t>七、</w:t>
      </w:r>
      <w:r>
        <w:rPr>
          <w:rStyle w:val="25"/>
          <w:rFonts w:hint="eastAsia" w:ascii="仿宋" w:hAnsi="仿宋" w:eastAsia="仿宋" w:cs="仿宋"/>
          <w:b w:val="0"/>
        </w:rPr>
        <w:t>财政拨款</w:t>
      </w:r>
      <w:r>
        <w:rPr>
          <w:rStyle w:val="25"/>
          <w:rFonts w:hint="eastAsia" w:ascii="仿宋" w:hAnsi="仿宋" w:eastAsia="仿宋" w:cs="仿宋"/>
        </w:rPr>
        <w:t>“</w:t>
      </w:r>
      <w:r>
        <w:rPr>
          <w:rStyle w:val="25"/>
          <w:rFonts w:hint="eastAsia" w:ascii="仿宋" w:hAnsi="仿宋" w:eastAsia="仿宋" w:cs="仿宋"/>
          <w:b w:val="0"/>
        </w:rPr>
        <w:t>三公”经费支出决算情况说明</w:t>
      </w:r>
      <w:bookmarkEnd w:id="40"/>
      <w:bookmarkEnd w:id="41"/>
    </w:p>
    <w:p>
      <w:pPr>
        <w:spacing w:line="600" w:lineRule="exact"/>
        <w:ind w:firstLine="640"/>
        <w:outlineLvl w:val="2"/>
        <w:rPr>
          <w:rFonts w:hint="eastAsia" w:ascii="仿宋" w:hAnsi="仿宋" w:eastAsia="仿宋" w:cs="仿宋"/>
          <w:b/>
          <w:sz w:val="32"/>
          <w:szCs w:val="32"/>
        </w:rPr>
      </w:pPr>
      <w:bookmarkStart w:id="42" w:name="_Toc15377216"/>
      <w:r>
        <w:rPr>
          <w:rFonts w:hint="eastAsia" w:ascii="仿宋" w:hAnsi="仿宋" w:eastAsia="仿宋" w:cs="仿宋"/>
          <w:b/>
          <w:sz w:val="32"/>
          <w:szCs w:val="32"/>
        </w:rPr>
        <w:t>（一）“三公”经费财政拨款支出决算总体情况说明</w:t>
      </w:r>
      <w:bookmarkEnd w:id="42"/>
    </w:p>
    <w:p>
      <w:pPr>
        <w:spacing w:line="600" w:lineRule="exact"/>
        <w:ind w:firstLine="640"/>
        <w:outlineLvl w:val="2"/>
        <w:rPr>
          <w:rFonts w:hint="eastAsia" w:ascii="仿宋" w:hAnsi="仿宋" w:eastAsia="仿宋" w:cs="仿宋"/>
          <w:sz w:val="32"/>
          <w:szCs w:val="32"/>
          <w:lang w:val="en-US" w:eastAsia="zh-CN"/>
        </w:rPr>
      </w:pPr>
      <w:bookmarkStart w:id="43" w:name="_Toc15377217"/>
      <w:r>
        <w:rPr>
          <w:rFonts w:hint="eastAsia" w:ascii="仿宋" w:hAnsi="仿宋" w:eastAsia="仿宋" w:cs="仿宋"/>
          <w:sz w:val="32"/>
          <w:szCs w:val="32"/>
        </w:rPr>
        <w:t>2023年度“三公”经费财政拨款支出决算</w:t>
      </w:r>
      <w:r>
        <w:rPr>
          <w:rFonts w:hint="eastAsia" w:ascii="仿宋" w:hAnsi="仿宋" w:eastAsia="仿宋" w:cs="仿宋"/>
          <w:color w:val="auto"/>
          <w:sz w:val="32"/>
          <w:szCs w:val="32"/>
        </w:rPr>
        <w:t>为0万元，完成预算100%，</w:t>
      </w:r>
      <w:r>
        <w:rPr>
          <w:rFonts w:hint="eastAsia" w:ascii="仿宋" w:hAnsi="仿宋" w:eastAsia="仿宋" w:cs="仿宋"/>
          <w:sz w:val="32"/>
          <w:szCs w:val="32"/>
        </w:rPr>
        <w:t>与上年度持平</w:t>
      </w:r>
      <w:r>
        <w:rPr>
          <w:rFonts w:hint="eastAsia" w:ascii="仿宋" w:hAnsi="仿宋" w:eastAsia="仿宋" w:cs="仿宋"/>
          <w:sz w:val="32"/>
          <w:szCs w:val="32"/>
          <w:lang w:val="en-US" w:eastAsia="zh-CN"/>
        </w:rPr>
        <w:t>,</w:t>
      </w:r>
      <w:r>
        <w:rPr>
          <w:rFonts w:hint="eastAsia" w:ascii="仿宋" w:hAnsi="仿宋" w:eastAsia="仿宋" w:cs="仿宋"/>
          <w:sz w:val="32"/>
          <w:szCs w:val="32"/>
        </w:rPr>
        <w:t>决算数与预算数持平。</w:t>
      </w:r>
    </w:p>
    <w:p>
      <w:pPr>
        <w:spacing w:line="600" w:lineRule="exact"/>
        <w:ind w:firstLine="640"/>
        <w:outlineLvl w:val="2"/>
        <w:rPr>
          <w:rFonts w:hint="eastAsia" w:ascii="仿宋" w:hAnsi="仿宋" w:eastAsia="仿宋" w:cs="仿宋"/>
          <w:b/>
          <w:sz w:val="32"/>
          <w:szCs w:val="32"/>
        </w:rPr>
      </w:pPr>
      <w:r>
        <w:rPr>
          <w:rFonts w:hint="eastAsia" w:ascii="仿宋" w:hAnsi="仿宋" w:eastAsia="仿宋" w:cs="仿宋"/>
          <w:b/>
          <w:sz w:val="32"/>
          <w:szCs w:val="32"/>
        </w:rPr>
        <w:t>（二）“三公”经费财政拨款支出决算具体情况说明</w:t>
      </w:r>
      <w:bookmarkEnd w:id="43"/>
    </w:p>
    <w:p>
      <w:pPr>
        <w:spacing w:line="600" w:lineRule="exact"/>
        <w:ind w:firstLine="480" w:firstLineChars="150"/>
        <w:outlineLvl w:val="1"/>
        <w:rPr>
          <w:rFonts w:hint="eastAsia" w:ascii="仿宋" w:hAnsi="仿宋" w:eastAsia="仿宋" w:cs="仿宋"/>
          <w:sz w:val="32"/>
          <w:szCs w:val="32"/>
        </w:rPr>
      </w:pPr>
      <w:bookmarkStart w:id="44" w:name="_Toc15377218"/>
      <w:bookmarkStart w:id="45" w:name="_Toc15396610"/>
      <w:r>
        <w:rPr>
          <w:rFonts w:hint="eastAsia" w:ascii="仿宋" w:hAnsi="仿宋" w:eastAsia="仿宋" w:cs="仿宋"/>
          <w:sz w:val="32"/>
          <w:szCs w:val="32"/>
        </w:rPr>
        <w:t>2023年“三公”经费财政拨款支出决算中，因公出国（境）费支出决算0万元，占0%；公务用车购置及运行维护费支出决算0万元，占0%；公务接待费支出决算0万元，占0%。</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具体情况如下：</w:t>
      </w:r>
    </w:p>
    <w:p>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w:t>
      </w:r>
      <w:r>
        <w:rPr>
          <w:rStyle w:val="14"/>
          <w:rFonts w:hint="eastAsia" w:ascii="仿宋" w:hAnsi="仿宋" w:eastAsia="仿宋" w:cs="仿宋"/>
          <w:bCs/>
          <w:sz w:val="32"/>
          <w:szCs w:val="32"/>
        </w:rPr>
        <w:t>完成预算</w:t>
      </w:r>
      <w:r>
        <w:rPr>
          <w:rFonts w:hint="eastAsia" w:ascii="仿宋" w:hAnsi="仿宋" w:eastAsia="仿宋" w:cs="仿宋"/>
          <w:sz w:val="32"/>
          <w:szCs w:val="32"/>
        </w:rPr>
        <w:t>0</w:t>
      </w:r>
      <w:r>
        <w:rPr>
          <w:rStyle w:val="14"/>
          <w:rFonts w:hint="eastAsia" w:ascii="仿宋" w:hAnsi="仿宋" w:eastAsia="仿宋" w:cs="仿宋"/>
          <w:bCs/>
          <w:sz w:val="32"/>
          <w:szCs w:val="32"/>
        </w:rPr>
        <w:t>%。</w:t>
      </w:r>
      <w:r>
        <w:rPr>
          <w:rFonts w:hint="eastAsia" w:ascii="仿宋" w:hAnsi="仿宋" w:eastAsia="仿宋" w:cs="仿宋"/>
          <w:sz w:val="32"/>
          <w:szCs w:val="32"/>
        </w:rPr>
        <w:t>全年安排因公出国（境）团组0次，出国（境）0人。因公出国（境）支出决算比2022年增加0万元，增长0%。</w:t>
      </w:r>
    </w:p>
    <w:p>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w:t>
      </w:r>
      <w:r>
        <w:rPr>
          <w:rStyle w:val="14"/>
          <w:rFonts w:hint="eastAsia" w:ascii="仿宋" w:hAnsi="仿宋" w:eastAsia="仿宋" w:cs="仿宋"/>
          <w:bCs/>
          <w:sz w:val="32"/>
          <w:szCs w:val="32"/>
        </w:rPr>
        <w:t>完成预算</w:t>
      </w:r>
      <w:r>
        <w:rPr>
          <w:rFonts w:hint="eastAsia" w:ascii="仿宋" w:hAnsi="仿宋" w:eastAsia="仿宋" w:cs="仿宋"/>
          <w:sz w:val="32"/>
          <w:szCs w:val="32"/>
        </w:rPr>
        <w:t>0</w:t>
      </w:r>
      <w:r>
        <w:rPr>
          <w:rStyle w:val="14"/>
          <w:rFonts w:hint="eastAsia" w:ascii="仿宋" w:hAnsi="仿宋" w:eastAsia="仿宋" w:cs="仿宋"/>
          <w:bCs/>
          <w:sz w:val="32"/>
          <w:szCs w:val="32"/>
        </w:rPr>
        <w:t>%。</w:t>
      </w:r>
      <w:r>
        <w:rPr>
          <w:rFonts w:hint="eastAsia" w:ascii="仿宋" w:hAnsi="仿宋" w:eastAsia="仿宋" w:cs="仿宋"/>
          <w:sz w:val="32"/>
          <w:szCs w:val="32"/>
        </w:rPr>
        <w:t>公务用车购置及运行维护费支出决算比2022年度增加0万元，增长0%。</w:t>
      </w:r>
    </w:p>
    <w:p>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0万元。全年按规定更新购置公务用车0辆，其中：轿车0辆、金额0元，越野车0辆、金额0万元，载客汽车0辆、金额0万元。截至2023年12月31日，单位共有公务用车0辆，其中：轿车0辆、越野车0辆、载客汽车0辆。</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0万元。</w:t>
      </w:r>
    </w:p>
    <w:p>
      <w:pPr>
        <w:numPr>
          <w:ilvl w:val="0"/>
          <w:numId w:val="4"/>
        </w:num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公务接待费支出</w:t>
      </w:r>
      <w:r>
        <w:rPr>
          <w:rFonts w:hint="eastAsia" w:ascii="仿宋" w:hAnsi="仿宋" w:eastAsia="仿宋" w:cs="仿宋"/>
          <w:sz w:val="32"/>
          <w:szCs w:val="32"/>
        </w:rPr>
        <w:t>0万元，</w:t>
      </w:r>
      <w:r>
        <w:rPr>
          <w:rFonts w:hint="eastAsia" w:ascii="仿宋" w:hAnsi="仿宋" w:eastAsia="仿宋" w:cs="仿宋"/>
          <w:b/>
          <w:sz w:val="32"/>
          <w:szCs w:val="32"/>
        </w:rPr>
        <w:t>完成预算</w:t>
      </w:r>
      <w:r>
        <w:rPr>
          <w:rFonts w:hint="eastAsia" w:ascii="仿宋" w:hAnsi="仿宋" w:eastAsia="仿宋" w:cs="仿宋"/>
          <w:b/>
          <w:sz w:val="32"/>
          <w:szCs w:val="32"/>
          <w:lang w:val="en-US" w:eastAsia="zh-CN"/>
        </w:rPr>
        <w:t>100</w:t>
      </w:r>
      <w:r>
        <w:rPr>
          <w:rFonts w:hint="eastAsia" w:ascii="仿宋" w:hAnsi="仿宋" w:eastAsia="仿宋" w:cs="仿宋"/>
          <w:b/>
          <w:sz w:val="32"/>
          <w:szCs w:val="32"/>
        </w:rPr>
        <w:t>%。公务接待费支出决算与2022年度持平。其中：</w:t>
      </w:r>
    </w:p>
    <w:p>
      <w:pPr>
        <w:numPr>
          <w:ilvl w:val="0"/>
          <w:numId w:val="0"/>
        </w:num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国内公务接待支出0万元。国内公务接待0批次，0人次（不包括陪同人员），共计支出0万元。</w:t>
      </w:r>
      <w:r>
        <w:rPr>
          <w:rFonts w:hint="eastAsia" w:ascii="仿宋" w:hAnsi="仿宋" w:eastAsia="仿宋" w:cs="仿宋"/>
          <w:b/>
          <w:sz w:val="32"/>
          <w:szCs w:val="32"/>
        </w:rPr>
        <w:br w:type="textWrapping"/>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外事接待支出0万元。外事接待0批次，0人次（不包括陪同人员），共计支出0万元。</w:t>
      </w:r>
    </w:p>
    <w:bookmarkEnd w:id="44"/>
    <w:bookmarkEnd w:id="45"/>
    <w:p>
      <w:pPr>
        <w:spacing w:line="600" w:lineRule="exact"/>
        <w:ind w:firstLine="480" w:firstLineChars="150"/>
        <w:outlineLvl w:val="1"/>
        <w:rPr>
          <w:rStyle w:val="25"/>
          <w:rFonts w:hint="eastAsia" w:ascii="仿宋" w:hAnsi="仿宋" w:eastAsia="仿宋" w:cs="仿宋"/>
        </w:rPr>
      </w:pPr>
      <w:bookmarkStart w:id="46" w:name="_Toc15396612"/>
      <w:bookmarkStart w:id="47" w:name="_Toc15377221"/>
      <w:r>
        <w:rPr>
          <w:rFonts w:hint="eastAsia" w:ascii="仿宋" w:hAnsi="仿宋" w:eastAsia="仿宋" w:cs="仿宋"/>
          <w:sz w:val="32"/>
          <w:szCs w:val="32"/>
        </w:rPr>
        <w:t>八、</w:t>
      </w:r>
      <w:r>
        <w:rPr>
          <w:rStyle w:val="25"/>
          <w:rFonts w:hint="eastAsia" w:ascii="仿宋" w:hAnsi="仿宋" w:eastAsia="仿宋" w:cs="仿宋"/>
          <w:b w:val="0"/>
        </w:rPr>
        <w:t>政府性基金预算支出决算情况说明</w:t>
      </w:r>
    </w:p>
    <w:p>
      <w:pPr>
        <w:spacing w:line="600" w:lineRule="exact"/>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2023年政府性基金预算财政拨款支出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pPr>
        <w:numPr>
          <w:ilvl w:val="0"/>
          <w:numId w:val="5"/>
        </w:numPr>
        <w:spacing w:line="600" w:lineRule="exact"/>
        <w:ind w:firstLine="640"/>
        <w:outlineLvl w:val="1"/>
        <w:rPr>
          <w:rStyle w:val="25"/>
          <w:rFonts w:hint="eastAsia" w:ascii="仿宋" w:hAnsi="仿宋" w:eastAsia="仿宋" w:cs="仿宋"/>
          <w:b w:val="0"/>
        </w:rPr>
      </w:pPr>
      <w:bookmarkStart w:id="48" w:name="_Toc15377219"/>
      <w:bookmarkStart w:id="49" w:name="_Toc15396611"/>
      <w:r>
        <w:rPr>
          <w:rStyle w:val="25"/>
          <w:rFonts w:hint="eastAsia" w:ascii="仿宋" w:hAnsi="仿宋" w:eastAsia="仿宋" w:cs="仿宋"/>
          <w:b w:val="0"/>
        </w:rPr>
        <w:t>国有资本经营预算支出决算情况说明</w:t>
      </w:r>
      <w:bookmarkEnd w:id="48"/>
      <w:bookmarkEnd w:id="49"/>
    </w:p>
    <w:p>
      <w:pPr>
        <w:pStyle w:val="23"/>
        <w:spacing w:line="600" w:lineRule="exact"/>
        <w:ind w:left="360" w:firstLine="0" w:firstLineChars="0"/>
        <w:outlineLvl w:val="1"/>
        <w:rPr>
          <w:rFonts w:hint="eastAsia" w:ascii="仿宋" w:hAnsi="仿宋" w:eastAsia="仿宋" w:cs="仿宋"/>
          <w:sz w:val="32"/>
          <w:szCs w:val="32"/>
        </w:rPr>
      </w:pPr>
      <w:r>
        <w:rPr>
          <w:rFonts w:hint="eastAsia" w:ascii="仿宋" w:hAnsi="仿宋" w:eastAsia="仿宋" w:cs="仿宋"/>
          <w:sz w:val="32"/>
          <w:szCs w:val="32"/>
        </w:rPr>
        <w:t>2023年国有资本经营预算财政拨款支出0万元。</w:t>
      </w:r>
    </w:p>
    <w:bookmarkEnd w:id="46"/>
    <w:bookmarkEnd w:id="47"/>
    <w:p>
      <w:pPr>
        <w:pStyle w:val="23"/>
        <w:spacing w:line="600" w:lineRule="exact"/>
        <w:ind w:left="360" w:firstLine="321" w:firstLineChars="100"/>
        <w:outlineLvl w:val="1"/>
        <w:rPr>
          <w:rStyle w:val="25"/>
          <w:rFonts w:hint="eastAsia" w:ascii="仿宋" w:hAnsi="仿宋" w:eastAsia="仿宋" w:cs="仿宋"/>
          <w:b w:val="0"/>
        </w:rPr>
      </w:pPr>
      <w:bookmarkStart w:id="50" w:name="_Toc15377222"/>
      <w:r>
        <w:rPr>
          <w:rStyle w:val="25"/>
          <w:rFonts w:hint="eastAsia" w:ascii="仿宋" w:hAnsi="仿宋" w:eastAsia="仿宋" w:cs="仿宋"/>
        </w:rPr>
        <w:t>十、</w:t>
      </w:r>
      <w:r>
        <w:rPr>
          <w:rStyle w:val="25"/>
          <w:rFonts w:hint="eastAsia" w:ascii="仿宋" w:hAnsi="仿宋" w:eastAsia="仿宋" w:cs="仿宋"/>
          <w:b w:val="0"/>
        </w:rPr>
        <w:t>其他重要事项的情况说明</w:t>
      </w:r>
    </w:p>
    <w:p>
      <w:pPr>
        <w:spacing w:line="600" w:lineRule="exact"/>
        <w:ind w:firstLine="643" w:firstLineChars="200"/>
        <w:outlineLvl w:val="2"/>
        <w:rPr>
          <w:rFonts w:hint="eastAsia" w:ascii="仿宋" w:hAnsi="仿宋" w:eastAsia="仿宋" w:cs="仿宋"/>
          <w:sz w:val="32"/>
          <w:szCs w:val="32"/>
        </w:rPr>
      </w:pPr>
      <w:r>
        <w:rPr>
          <w:rFonts w:hint="eastAsia" w:ascii="仿宋" w:hAnsi="仿宋" w:eastAsia="仿宋" w:cs="仿宋"/>
          <w:b/>
          <w:sz w:val="32"/>
          <w:szCs w:val="32"/>
        </w:rPr>
        <w:t>（一）机关运行经费支出情况</w:t>
      </w:r>
      <w:bookmarkEnd w:id="50"/>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2023年</w:t>
      </w:r>
      <w:r>
        <w:rPr>
          <w:rFonts w:hint="eastAsia" w:ascii="仿宋" w:hAnsi="仿宋" w:eastAsia="仿宋" w:cs="仿宋"/>
          <w:sz w:val="32"/>
          <w:szCs w:val="32"/>
        </w:rPr>
        <w:t>，</w:t>
      </w:r>
      <w:r>
        <w:rPr>
          <w:rFonts w:hint="eastAsia" w:ascii="仿宋" w:hAnsi="仿宋" w:eastAsia="仿宋" w:cs="仿宋"/>
          <w:sz w:val="32"/>
          <w:szCs w:val="32"/>
          <w:lang w:val="en-US" w:eastAsia="zh-CN"/>
        </w:rPr>
        <w:t>遂宁市安居区常理镇中心小学校</w:t>
      </w:r>
      <w:r>
        <w:rPr>
          <w:rFonts w:hint="eastAsia" w:ascii="仿宋" w:hAnsi="仿宋" w:eastAsia="仿宋" w:cs="仿宋"/>
          <w:sz w:val="32"/>
          <w:szCs w:val="32"/>
        </w:rPr>
        <w:t>机关运行经费支出0万元。 与2022年度决算数持平。</w:t>
      </w: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51" w:name="_Toc15377223"/>
      <w:r>
        <w:rPr>
          <w:rFonts w:hint="eastAsia" w:ascii="仿宋" w:hAnsi="仿宋" w:eastAsia="仿宋" w:cs="仿宋"/>
          <w:b/>
          <w:sz w:val="32"/>
          <w:szCs w:val="32"/>
        </w:rPr>
        <w:t>（二）政府采购支出情况</w:t>
      </w:r>
      <w:bookmarkEnd w:id="51"/>
    </w:p>
    <w:p>
      <w:pPr>
        <w:autoSpaceDE w:val="0"/>
        <w:autoSpaceDN w:val="0"/>
        <w:adjustRightInd w:val="0"/>
        <w:spacing w:line="600" w:lineRule="exact"/>
        <w:ind w:firstLine="640" w:firstLineChars="200"/>
        <w:jc w:val="left"/>
        <w:outlineLvl w:val="2"/>
        <w:rPr>
          <w:rFonts w:hint="eastAsia" w:ascii="仿宋" w:hAnsi="仿宋" w:eastAsia="仿宋" w:cs="仿宋"/>
          <w:sz w:val="32"/>
          <w:szCs w:val="32"/>
        </w:rPr>
      </w:pPr>
      <w:r>
        <w:rPr>
          <w:rFonts w:hint="eastAsia" w:ascii="仿宋" w:hAnsi="仿宋" w:eastAsia="仿宋" w:cs="仿宋"/>
          <w:sz w:val="32"/>
          <w:szCs w:val="32"/>
        </w:rPr>
        <w:t>2023年度，</w:t>
      </w:r>
      <w:r>
        <w:rPr>
          <w:rFonts w:hint="eastAsia" w:ascii="仿宋" w:hAnsi="仿宋" w:eastAsia="仿宋" w:cs="仿宋"/>
          <w:color w:val="auto"/>
          <w:sz w:val="32"/>
          <w:szCs w:val="32"/>
        </w:rPr>
        <w:t>遂宁市安居区</w:t>
      </w:r>
      <w:r>
        <w:rPr>
          <w:rFonts w:hint="eastAsia" w:ascii="仿宋" w:hAnsi="仿宋" w:eastAsia="仿宋" w:cs="仿宋"/>
          <w:color w:val="auto"/>
          <w:sz w:val="32"/>
          <w:szCs w:val="32"/>
          <w:lang w:val="en-US" w:eastAsia="zh-CN"/>
        </w:rPr>
        <w:t>常理镇中心小学校</w:t>
      </w:r>
      <w:r>
        <w:rPr>
          <w:rFonts w:hint="eastAsia" w:ascii="仿宋" w:hAnsi="仿宋" w:eastAsia="仿宋" w:cs="仿宋"/>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52" w:name="_Toc15377224"/>
      <w:r>
        <w:rPr>
          <w:rFonts w:hint="eastAsia" w:ascii="仿宋" w:hAnsi="仿宋" w:eastAsia="仿宋" w:cs="仿宋"/>
          <w:b/>
          <w:sz w:val="32"/>
          <w:szCs w:val="32"/>
        </w:rPr>
        <w:t>（三）国有资产占有使用情况</w:t>
      </w:r>
      <w:bookmarkEnd w:id="52"/>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截至2023年12月31日，</w:t>
      </w:r>
      <w:r>
        <w:rPr>
          <w:rFonts w:hint="eastAsia" w:ascii="仿宋" w:hAnsi="仿宋" w:eastAsia="仿宋" w:cs="仿宋"/>
          <w:color w:val="auto"/>
          <w:sz w:val="32"/>
          <w:szCs w:val="32"/>
        </w:rPr>
        <w:t>遂宁市安居区</w:t>
      </w:r>
      <w:r>
        <w:rPr>
          <w:rFonts w:hint="eastAsia" w:ascii="仿宋" w:hAnsi="仿宋" w:eastAsia="仿宋" w:cs="仿宋"/>
          <w:color w:val="auto"/>
          <w:sz w:val="32"/>
          <w:szCs w:val="32"/>
          <w:lang w:val="en-US" w:eastAsia="zh-CN"/>
        </w:rPr>
        <w:t>常理镇中心小学校</w:t>
      </w:r>
      <w:r>
        <w:rPr>
          <w:rFonts w:hint="eastAsia" w:ascii="仿宋" w:hAnsi="仿宋" w:eastAsia="仿宋" w:cs="仿宋"/>
          <w:sz w:val="32"/>
          <w:szCs w:val="32"/>
        </w:rPr>
        <w:t>共有车辆0辆，其中：主要领导干部用车0辆、机要通信用车0辆、应急保障用车0辆、其他用车0辆。单价100万元以上设备（不含车辆）0台（套）。。</w:t>
      </w: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r>
        <w:rPr>
          <w:rFonts w:hint="eastAsia" w:ascii="仿宋" w:hAnsi="仿宋" w:eastAsia="仿宋" w:cs="仿宋"/>
          <w:b/>
          <w:sz w:val="32"/>
          <w:szCs w:val="32"/>
        </w:rPr>
        <w:t>（四）预算绩效管理情况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本部门按要求对</w:t>
      </w:r>
      <w:r>
        <w:rPr>
          <w:rFonts w:hint="eastAsia" w:ascii="仿宋" w:hAnsi="仿宋" w:eastAsia="仿宋" w:cs="仿宋"/>
          <w:sz w:val="32"/>
          <w:szCs w:val="32"/>
          <w:lang w:eastAsia="zh-CN"/>
        </w:rPr>
        <w:t>2023年</w:t>
      </w:r>
      <w:r>
        <w:rPr>
          <w:rFonts w:hint="eastAsia" w:ascii="仿宋" w:hAnsi="仿宋" w:eastAsia="仿宋" w:cs="仿宋"/>
          <w:sz w:val="32"/>
          <w:szCs w:val="32"/>
        </w:rPr>
        <w:t>部门整体支出开展绩效自评，从评价情况来看遂宁市安居区</w:t>
      </w:r>
      <w:r>
        <w:rPr>
          <w:rFonts w:hint="eastAsia" w:ascii="仿宋" w:hAnsi="仿宋" w:eastAsia="仿宋" w:cs="仿宋"/>
          <w:sz w:val="32"/>
          <w:szCs w:val="32"/>
          <w:lang w:eastAsia="zh-CN"/>
        </w:rPr>
        <w:t>常理镇中心小学校</w:t>
      </w:r>
      <w:r>
        <w:rPr>
          <w:rFonts w:hint="eastAsia" w:ascii="仿宋" w:hAnsi="仿宋" w:eastAsia="仿宋" w:cs="仿宋"/>
          <w:sz w:val="32"/>
          <w:szCs w:val="32"/>
        </w:rPr>
        <w:t>将部门整体支出绩效评价作为财政预算资金使用管理的一项重要工作，切实加强预算收支管理，全面梳理内部管理流程，建立健全内部管理制度，有效提升了部门整体支出管理水平。</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《遂宁市安居区</w:t>
      </w:r>
      <w:r>
        <w:rPr>
          <w:rFonts w:hint="eastAsia" w:ascii="仿宋" w:hAnsi="仿宋" w:eastAsia="仿宋" w:cs="仿宋"/>
          <w:sz w:val="32"/>
          <w:szCs w:val="32"/>
          <w:lang w:eastAsia="zh-CN"/>
        </w:rPr>
        <w:t>常理镇中心小学校2023年</w:t>
      </w:r>
      <w:r>
        <w:rPr>
          <w:rFonts w:hint="eastAsia" w:ascii="仿宋" w:hAnsi="仿宋" w:eastAsia="仿宋" w:cs="仿宋"/>
          <w:sz w:val="32"/>
          <w:szCs w:val="32"/>
        </w:rPr>
        <w:t>部门整体支出绩效评价报告》见附件（附件1）。</w:t>
      </w:r>
    </w:p>
    <w:p>
      <w:pPr>
        <w:widowControl/>
        <w:jc w:val="left"/>
        <w:rPr>
          <w:rFonts w:hint="eastAsia" w:ascii="仿宋" w:hAnsi="仿宋" w:eastAsia="仿宋" w:cs="仿宋"/>
          <w:b/>
          <w:sz w:val="32"/>
          <w:szCs w:val="32"/>
        </w:rPr>
      </w:pPr>
      <w:r>
        <w:rPr>
          <w:rFonts w:hint="eastAsia" w:ascii="仿宋" w:hAnsi="仿宋" w:eastAsia="仿宋" w:cs="仿宋"/>
          <w:b/>
          <w:sz w:val="32"/>
          <w:szCs w:val="32"/>
        </w:rPr>
        <w:br w:type="page"/>
      </w:r>
    </w:p>
    <w:p>
      <w:pPr>
        <w:numPr>
          <w:ilvl w:val="0"/>
          <w:numId w:val="6"/>
        </w:numPr>
        <w:spacing w:line="600" w:lineRule="exact"/>
        <w:ind w:firstLine="660" w:firstLineChars="150"/>
        <w:jc w:val="center"/>
        <w:outlineLvl w:val="0"/>
        <w:rPr>
          <w:rStyle w:val="24"/>
          <w:rFonts w:hint="eastAsia" w:ascii="仿宋" w:hAnsi="仿宋" w:eastAsia="仿宋" w:cs="仿宋"/>
          <w:b w:val="0"/>
        </w:rPr>
      </w:pPr>
      <w:bookmarkStart w:id="53" w:name="_Toc15377225"/>
      <w:bookmarkStart w:id="54" w:name="_Toc15396613"/>
      <w:r>
        <w:rPr>
          <w:rFonts w:hint="eastAsia" w:ascii="仿宋" w:hAnsi="仿宋" w:eastAsia="仿宋" w:cs="仿宋"/>
          <w:sz w:val="44"/>
          <w:szCs w:val="44"/>
        </w:rPr>
        <w:t>名</w:t>
      </w:r>
      <w:r>
        <w:rPr>
          <w:rStyle w:val="24"/>
          <w:rFonts w:hint="eastAsia" w:ascii="仿宋" w:hAnsi="仿宋" w:eastAsia="仿宋" w:cs="仿宋"/>
          <w:b w:val="0"/>
        </w:rPr>
        <w:t>词解释</w:t>
      </w:r>
      <w:bookmarkEnd w:id="53"/>
      <w:bookmarkEnd w:id="54"/>
    </w:p>
    <w:p>
      <w:pPr>
        <w:spacing w:line="600" w:lineRule="exact"/>
        <w:jc w:val="left"/>
        <w:rPr>
          <w:rFonts w:hint="eastAsia" w:ascii="仿宋" w:hAnsi="仿宋" w:eastAsia="仿宋" w:cs="仿宋"/>
          <w:b/>
          <w:sz w:val="44"/>
          <w:szCs w:val="44"/>
        </w:rPr>
      </w:pPr>
    </w:p>
    <w:p>
      <w:pPr>
        <w:pStyle w:val="22"/>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pPr>
        <w:pStyle w:val="22"/>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2.事业收入：指事业单位开展专业业务活动及辅助活动取得的收入。如…（二级预算单位事业收入情况）等。</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3.教育（205类）普通教育（02款）</w:t>
      </w:r>
      <w:r>
        <w:rPr>
          <w:rFonts w:hint="eastAsia" w:ascii="仿宋" w:hAnsi="仿宋" w:eastAsia="仿宋" w:cs="仿宋"/>
          <w:sz w:val="32"/>
          <w:szCs w:val="32"/>
          <w:lang w:val="en-US" w:eastAsia="zh-CN"/>
        </w:rPr>
        <w:t>小学</w:t>
      </w:r>
      <w:r>
        <w:rPr>
          <w:rFonts w:hint="eastAsia" w:ascii="仿宋" w:hAnsi="仿宋" w:eastAsia="仿宋" w:cs="仿宋"/>
          <w:sz w:val="32"/>
          <w:szCs w:val="32"/>
        </w:rPr>
        <w:t>教育（0</w:t>
      </w:r>
      <w:r>
        <w:rPr>
          <w:rFonts w:hint="eastAsia" w:ascii="仿宋" w:hAnsi="仿宋" w:eastAsia="仿宋" w:cs="仿宋"/>
          <w:sz w:val="32"/>
          <w:szCs w:val="32"/>
          <w:lang w:val="en-US" w:eastAsia="zh-CN"/>
        </w:rPr>
        <w:t>2</w:t>
      </w:r>
      <w:r>
        <w:rPr>
          <w:rFonts w:hint="eastAsia" w:ascii="仿宋" w:hAnsi="仿宋" w:eastAsia="仿宋" w:cs="仿宋"/>
          <w:sz w:val="32"/>
          <w:szCs w:val="32"/>
        </w:rPr>
        <w:t>项）: 反映各部门举办的</w:t>
      </w:r>
      <w:r>
        <w:rPr>
          <w:rFonts w:hint="eastAsia" w:ascii="仿宋" w:hAnsi="仿宋" w:eastAsia="仿宋" w:cs="仿宋"/>
          <w:sz w:val="32"/>
          <w:szCs w:val="32"/>
          <w:lang w:val="en-US" w:eastAsia="zh-CN"/>
        </w:rPr>
        <w:t>小学</w:t>
      </w:r>
      <w:r>
        <w:rPr>
          <w:rFonts w:hint="eastAsia" w:ascii="仿宋" w:hAnsi="仿宋" w:eastAsia="仿宋" w:cs="仿宋"/>
          <w:sz w:val="32"/>
          <w:szCs w:val="32"/>
        </w:rPr>
        <w:t>教育支出。政府各部门对社会中介组织等举办的</w:t>
      </w:r>
      <w:r>
        <w:rPr>
          <w:rFonts w:hint="eastAsia" w:ascii="仿宋" w:hAnsi="仿宋" w:eastAsia="仿宋" w:cs="仿宋"/>
          <w:sz w:val="32"/>
          <w:szCs w:val="32"/>
          <w:lang w:val="en-US" w:eastAsia="zh-CN"/>
        </w:rPr>
        <w:t>小学</w:t>
      </w:r>
      <w:r>
        <w:rPr>
          <w:rFonts w:hint="eastAsia" w:ascii="仿宋" w:hAnsi="仿宋" w:eastAsia="仿宋" w:cs="仿宋"/>
          <w:sz w:val="32"/>
          <w:szCs w:val="32"/>
        </w:rPr>
        <w:t>教育的资助，如各类捐赠、补贴等，也在本科目中反映。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4.社会保障和就业（208类）行政事业单位离退休（05款）机关事业单位基本养老保险缴费支出（05项）: 反映机关事业单位实施养老保险制度由单位缴纳的基本养老保险费支出。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5.社会保障和就业（208类）抚恤（08款）死亡抚恤（01项）: 反映按规定用于烈士和牺牲、病故人员家属的一次性和定期抚恤金以及丧葬补助费。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6.社会保障和就业（208类）其他社会保障和就业支出（99款）其他社会保障和就业支出（01项）: 反映上述项目以外其他用于社会保障和就业方面的支出。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卫生健康</w:t>
      </w:r>
      <w:r>
        <w:rPr>
          <w:rFonts w:hint="eastAsia" w:ascii="仿宋" w:hAnsi="仿宋" w:eastAsia="仿宋" w:cs="仿宋"/>
          <w:sz w:val="32"/>
          <w:szCs w:val="32"/>
        </w:rPr>
        <w:t>（210类）行政事业单位医疗（11款）行政单位医疗（01项）:反映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卫生健康</w:t>
      </w:r>
      <w:r>
        <w:rPr>
          <w:rFonts w:hint="eastAsia" w:ascii="仿宋" w:hAnsi="仿宋" w:eastAsia="仿宋" w:cs="仿宋"/>
          <w:sz w:val="32"/>
          <w:szCs w:val="32"/>
        </w:rPr>
        <w:t>（210类）行政事业单位医疗（11款）事业单位医疗（02项）:反映财政部门集中安排的事业单位基本医疗保险缴费经费，未参加医疗保险的事业单位的公费医疗经费，按国家规定享受离休人员待遇的医疗经费。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val="en-US" w:eastAsia="zh-CN"/>
        </w:rPr>
        <w:t>卫生健康</w:t>
      </w:r>
      <w:r>
        <w:rPr>
          <w:rFonts w:hint="eastAsia" w:ascii="仿宋" w:hAnsi="仿宋" w:eastAsia="仿宋" w:cs="仿宋"/>
          <w:sz w:val="32"/>
          <w:szCs w:val="32"/>
        </w:rPr>
        <w:t>（210类）行政事业单位医疗（11款）公务员医疗补助（03项）:反映财政部门集中安排的公务员医疗补助经费。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10.住房保障支出（221类）住房改革支出（02款）住房公积金（01项）:反映行政事业单位按人力资源和社会保障部、财政部规定的基本工资和津贴补贴以及规定比例为职工缴纳的住房公积金。</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11.基本支出：指为保障机构正常运转、完成日常工作任务而发生的人员支出和公用支出。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12.项目支出：指在基本支出之外为完成特定行政任务和事业发展目标所发生的支出。</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仿宋" w:hAnsi="仿宋" w:eastAsia="仿宋" w:cs="仿宋"/>
          <w:color w:val="auto"/>
          <w:sz w:val="32"/>
          <w:szCs w:val="32"/>
        </w:rPr>
      </w:pPr>
    </w:p>
    <w:p>
      <w:pPr>
        <w:spacing w:line="600" w:lineRule="exact"/>
        <w:jc w:val="center"/>
        <w:outlineLvl w:val="0"/>
        <w:rPr>
          <w:rStyle w:val="24"/>
          <w:rFonts w:hint="eastAsia" w:ascii="仿宋" w:hAnsi="仿宋" w:eastAsia="仿宋" w:cs="仿宋"/>
          <w:b w:val="0"/>
        </w:rPr>
      </w:pPr>
      <w:bookmarkStart w:id="55" w:name="_Toc15396614"/>
      <w:bookmarkStart w:id="56" w:name="_Toc15377226"/>
      <w:r>
        <w:rPr>
          <w:rFonts w:hint="eastAsia" w:ascii="仿宋" w:hAnsi="仿宋" w:eastAsia="仿宋" w:cs="仿宋"/>
          <w:sz w:val="44"/>
          <w:szCs w:val="44"/>
        </w:rPr>
        <w:t>第</w:t>
      </w:r>
      <w:r>
        <w:rPr>
          <w:rStyle w:val="24"/>
          <w:rFonts w:hint="eastAsia" w:ascii="仿宋" w:hAnsi="仿宋" w:eastAsia="仿宋" w:cs="仿宋"/>
          <w:b w:val="0"/>
        </w:rPr>
        <w:t>四部分 附件</w:t>
      </w:r>
      <w:bookmarkEnd w:id="55"/>
    </w:p>
    <w:p>
      <w:pPr>
        <w:spacing w:line="600" w:lineRule="exact"/>
        <w:jc w:val="left"/>
        <w:outlineLvl w:val="0"/>
        <w:rPr>
          <w:rFonts w:hint="eastAsia" w:ascii="仿宋" w:hAnsi="仿宋" w:eastAsia="仿宋" w:cs="仿宋"/>
          <w:sz w:val="32"/>
          <w:szCs w:val="32"/>
        </w:rPr>
      </w:pPr>
      <w:bookmarkStart w:id="57" w:name="_Toc15396618"/>
      <w:r>
        <w:rPr>
          <w:rFonts w:hint="eastAsia" w:ascii="仿宋" w:hAnsi="仿宋" w:eastAsia="仿宋" w:cs="仿宋"/>
          <w:sz w:val="32"/>
          <w:szCs w:val="32"/>
        </w:rPr>
        <w:t>附件1</w:t>
      </w:r>
    </w:p>
    <w:p>
      <w:pPr>
        <w:spacing w:line="560" w:lineRule="exact"/>
        <w:jc w:val="center"/>
        <w:rPr>
          <w:rFonts w:hint="eastAsia" w:ascii="仿宋" w:hAnsi="仿宋" w:eastAsia="仿宋" w:cs="仿宋"/>
          <w:color w:val="000000"/>
          <w:kern w:val="0"/>
          <w:sz w:val="40"/>
          <w:szCs w:val="44"/>
          <w:lang w:val="zh-CN"/>
        </w:rPr>
      </w:pPr>
      <w:r>
        <w:rPr>
          <w:rFonts w:hint="eastAsia" w:ascii="仿宋" w:hAnsi="仿宋" w:eastAsia="仿宋" w:cs="仿宋"/>
          <w:color w:val="000000"/>
          <w:kern w:val="0"/>
          <w:sz w:val="40"/>
          <w:szCs w:val="44"/>
          <w:lang w:eastAsia="zh-CN"/>
        </w:rPr>
        <w:t>2023年</w:t>
      </w:r>
      <w:r>
        <w:rPr>
          <w:rFonts w:hint="eastAsia" w:ascii="仿宋" w:hAnsi="仿宋" w:eastAsia="仿宋" w:cs="仿宋"/>
          <w:color w:val="000000"/>
          <w:kern w:val="0"/>
          <w:sz w:val="40"/>
          <w:szCs w:val="44"/>
        </w:rPr>
        <w:t>部门</w:t>
      </w:r>
      <w:r>
        <w:rPr>
          <w:rFonts w:hint="eastAsia" w:ascii="仿宋" w:hAnsi="仿宋" w:eastAsia="仿宋" w:cs="仿宋"/>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一、部门（单位）概况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（一）机构组成</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1．行政办公室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2．财务室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3．教导处</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4．教研室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5．德育处</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6．体艺部</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7．安全办</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遂宁市安居区</w:t>
      </w:r>
      <w:r>
        <w:rPr>
          <w:rFonts w:hint="eastAsia" w:ascii="仿宋" w:hAnsi="仿宋" w:eastAsia="仿宋" w:cs="仿宋"/>
          <w:sz w:val="32"/>
          <w:szCs w:val="32"/>
          <w:lang w:eastAsia="zh-CN"/>
        </w:rPr>
        <w:t>常理镇中心小学校</w:t>
      </w:r>
      <w:r>
        <w:rPr>
          <w:rFonts w:hint="eastAsia" w:ascii="仿宋" w:hAnsi="仿宋" w:eastAsia="仿宋" w:cs="仿宋"/>
          <w:sz w:val="32"/>
          <w:szCs w:val="32"/>
        </w:rPr>
        <w:t>共设有7个内设部门。</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（二）机构职能</w:t>
      </w:r>
    </w:p>
    <w:p>
      <w:pPr>
        <w:jc w:val="center"/>
        <w:rPr>
          <w:rFonts w:hint="eastAsia" w:ascii="仿宋" w:hAnsi="仿宋" w:eastAsia="仿宋" w:cs="仿宋"/>
          <w:sz w:val="32"/>
          <w:szCs w:val="32"/>
        </w:rPr>
      </w:pPr>
      <w:r>
        <w:rPr>
          <w:rFonts w:hint="eastAsia" w:ascii="仿宋" w:hAnsi="仿宋" w:eastAsia="仿宋" w:cs="仿宋"/>
          <w:sz w:val="32"/>
          <w:szCs w:val="32"/>
        </w:rPr>
        <w:t>行政办公室工作职责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1.负责掌管校印、校领导印章；做好学校介绍信的管理和使用。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2.负责召集学校行政会议，教工大会；督促、检查、执行会议决议。做好校内会议，特别是临时性会议的准备工作。负责学校各种会议的记录工作。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3.协助校领导搞好与各有关单位的联络工作。协调各处室、年级的关系，保证学校各处室工作协调运转。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负责学校意识形态工作，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5.负责学校教师档案、年度考核、职称评聘、转正、晋级增资、调进调出、离退休等工作。收集各级先进工作者的推选及评审等工作。做好阶段性迎检工作、上级考核、教师评价与考核工作。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6.对全校的文书档案进行管理，负责全校文书档案和各种专门档案的收集、整理、保管和提供利用工作，做好各级文件的收发和保管、保密工作。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7.负责学校统计工作，确保重要数据准确、真实、有效。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8.负责学生学籍管理，协助教务室做好教务考务管理工作。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9.负责招生工作，妥善保管招生资料。具体工作如下：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①执行教育部和省教育厅有关招生工作的政策和法规，落实省、市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w:t>
      </w:r>
      <w:r>
        <w:rPr>
          <w:rFonts w:hint="eastAsia" w:ascii="仿宋" w:hAnsi="仿宋" w:eastAsia="仿宋" w:cs="仿宋"/>
          <w:sz w:val="32"/>
          <w:szCs w:val="32"/>
        </w:rPr>
        <w:t>招生委员会相关工作方案和实施细则。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②深入研究学校招生工作规律和特点，制定切实可行的学校招生工作规程和年度工作计划。在充分调研论证的基础上，为学校制定年度招生计划提供工作预案。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③具体负责学校招生组织网络的构建，并负责实施相关人员的岗前培训等。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④充分利用现代媒体，拓展招生宣传渠道，负责编印、寄发相关宣传材料，举办招生宣传专题活动。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⑤做好日常接待和招生咨询工作，采取积极有效的方式，为学生、家长及基层学校提供高效优质的招生服务。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⑥具体负责新生的资格审查、报名注册和分类造册等工作，协助教务处做好新生入学进班工作。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10.负责学校资产管理、绿化管理、校园网络建设及管理等，做好如下后勤保障工作：</w:t>
      </w:r>
    </w:p>
    <w:p>
      <w:pPr>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①根据学校教育、教学需要，做好提供各种教学设备和办公用品等服务性工作；积极参与学校现代化教学设施设备的建设工作；负责学校网络建设运行工作。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②做好供水、供电、医疗卫生工作，努力创造良好的生活环境，方便师生生活；定期进行卫生检查，预防事故发生，不断提高服务质量。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③负责校舍、校园的建设和管理，做好学校功能室建设、运用和管理工作。协助学校领导制订并实施校园整体建设规划，做好校舍维修以及校园净化、绿化和美化等工作。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④加强学校固定资产管理工作，建立健全固定资产账目，严格执行国家有关财产物资管理制度。</w:t>
      </w:r>
    </w:p>
    <w:p>
      <w:pPr>
        <w:jc w:val="center"/>
        <w:rPr>
          <w:rFonts w:hint="eastAsia" w:ascii="仿宋" w:hAnsi="仿宋" w:eastAsia="仿宋" w:cs="仿宋"/>
          <w:sz w:val="32"/>
          <w:szCs w:val="32"/>
        </w:rPr>
      </w:pPr>
      <w:r>
        <w:rPr>
          <w:rFonts w:hint="eastAsia" w:ascii="仿宋" w:hAnsi="仿宋" w:eastAsia="仿宋" w:cs="仿宋"/>
          <w:sz w:val="32"/>
          <w:szCs w:val="32"/>
        </w:rPr>
        <w:t>财务室工作职责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1.在校长的领导和上级财务部门的指导下，遵守国家财经法纪和财务制度，组织全校财务管理与会计核算工作。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2.负责组织制订、完善学校内部财务会计规章制度，并监督各部门贯彻执行。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3.积极筹集资金，广开筹资渠道，保证学校各项收入足额收缴，各项拨款及其他资金及时到位。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4.负责组织编制学校各项财务收支计划、经费预决算，监督检查计划、预算的执行情况。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5.根据审核后的学校财务预算，负责合理安排财务支出和财务核算，保证学校各项工作顺利进行。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6.负责组织开展学校财产清查的具体工作和会计核算工作。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7.负责组织开展财务分析，及时查找并改进财务工作的漏洞与不足，努力提高资金使用效益。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8.负责学校日常收支具体业务工作，组织收入，合理支出，做好相关收支票据审核工作，保障学校一切工作正常运行。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9.参与学校工作人员绩效考核、教育教学质量考核、课后服务考核岗位系数的调整、论证工作，协助教学管理部和办公室做好考核档案归档管理工作，组织发放相关待遇。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10.负责学校教职工工资发放等一切福利待遇保障工作。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11.参与学校重要收支事项的会议研讨工作，提出财务制度要求范围内的合理实施建议和意见。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12.负责组织会计人员进行政治学习与业务学习，检查协调各岗位的工作，不断提高财务人员的业务水平与服务质量。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13.积极完成校领导交办的其他工作。</w:t>
      </w:r>
    </w:p>
    <w:p>
      <w:pPr>
        <w:jc w:val="center"/>
        <w:rPr>
          <w:rFonts w:hint="eastAsia" w:ascii="仿宋" w:hAnsi="仿宋" w:eastAsia="仿宋" w:cs="仿宋"/>
          <w:sz w:val="32"/>
          <w:szCs w:val="32"/>
        </w:rPr>
      </w:pPr>
      <w:r>
        <w:rPr>
          <w:rFonts w:hint="eastAsia" w:ascii="仿宋" w:hAnsi="仿宋" w:eastAsia="仿宋" w:cs="仿宋"/>
          <w:sz w:val="32"/>
          <w:szCs w:val="32"/>
        </w:rPr>
        <w:t>教导处工作职责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健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4.做好学生课外活动和学科竞赛活动的指导、组织和检查工作；组织落实各级教育行政部门举行的各类学科竞赛。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5.协助校长制定教师进修规划并组织实施，努力发挥老教师的作用，加强对教学骨干和新生力量的培养。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6.注重培养青年教师，搞好青年教师的拜师结对工作和举行青年教师的教学大奖赛活动。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7.完成校长会议布置的</w:t>
      </w:r>
      <w:r>
        <w:rPr>
          <w:rFonts w:hint="eastAsia" w:ascii="仿宋" w:hAnsi="仿宋" w:eastAsia="仿宋" w:cs="仿宋"/>
          <w:sz w:val="32"/>
          <w:szCs w:val="32"/>
          <w:lang w:eastAsia="zh-CN"/>
        </w:rPr>
        <w:t>其他</w:t>
      </w:r>
      <w:r>
        <w:rPr>
          <w:rFonts w:hint="eastAsia" w:ascii="仿宋" w:hAnsi="仿宋" w:eastAsia="仿宋" w:cs="仿宋"/>
          <w:sz w:val="32"/>
          <w:szCs w:val="32"/>
        </w:rPr>
        <w:t>工作。</w:t>
      </w:r>
    </w:p>
    <w:p>
      <w:pPr>
        <w:jc w:val="center"/>
        <w:rPr>
          <w:rFonts w:hint="eastAsia" w:ascii="仿宋" w:hAnsi="仿宋" w:eastAsia="仿宋" w:cs="仿宋"/>
          <w:sz w:val="32"/>
          <w:szCs w:val="32"/>
        </w:rPr>
      </w:pPr>
      <w:r>
        <w:rPr>
          <w:rFonts w:hint="eastAsia" w:ascii="仿宋" w:hAnsi="仿宋" w:eastAsia="仿宋" w:cs="仿宋"/>
          <w:sz w:val="32"/>
          <w:szCs w:val="32"/>
        </w:rPr>
        <w:t>教研室工作职责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教研室是学校负责教育教学研究工作的机构，为学校的教育教学及其他管理提供业务指导和信息服务，其主要职责：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1.制定明确的教研工作计划，探索教学特色和教学方法，不断提高教师业务水平和整体素质；对各学科教研组提出教研目标，进行业务指导与评估验收。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2.负责校本课题的立项、审定、管理及评估，负责</w:t>
      </w:r>
      <w:r>
        <w:rPr>
          <w:rFonts w:hint="eastAsia" w:ascii="仿宋" w:hAnsi="仿宋" w:eastAsia="仿宋" w:cs="仿宋"/>
          <w:sz w:val="32"/>
          <w:szCs w:val="32"/>
          <w:lang w:eastAsia="zh-CN"/>
        </w:rPr>
        <w:t>其他</w:t>
      </w:r>
      <w:r>
        <w:rPr>
          <w:rFonts w:hint="eastAsia" w:ascii="仿宋" w:hAnsi="仿宋" w:eastAsia="仿宋" w:cs="仿宋"/>
          <w:sz w:val="32"/>
          <w:szCs w:val="32"/>
        </w:rPr>
        <w:t>研究课题的申报、立项、督办及管理。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3.收集教育科研信息，组织教师学习研讨教育理论，负责教师继续教育培训的组织工作。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4.负责组织教师科研论文的撰写与评审，并向各级报刊及学术会议推荐。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5.负责组织学校领导及专家深入教学一线听课、评课，指导教师的教学。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6.负责领导教研组长及教研员。指导教研组、备课组进行教材教法的研究，开展教研活动并对其工作进行督导、检查和指导。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7.负责组织学校期中期末考试的命题工作。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8.负责组织应聘教师的试教和评议工作。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9.负责指导各教研组开展各种研究课、公开课、观摩课、示范课活动；负责国家、省、市、校各级赛课活动的组织及选送。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10.负责组织教师参加各类学术、教研交流活动。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11.负责学生课外兴趣活动小组的组建及活动开展的组织工作。加强各</w:t>
      </w:r>
      <w:r>
        <w:rPr>
          <w:rFonts w:hint="eastAsia" w:ascii="仿宋" w:hAnsi="仿宋" w:eastAsia="仿宋" w:cs="仿宋"/>
          <w:sz w:val="32"/>
          <w:szCs w:val="32"/>
          <w:lang w:val="en-US" w:eastAsia="zh-CN"/>
        </w:rPr>
        <w:t>类</w:t>
      </w:r>
      <w:r>
        <w:rPr>
          <w:rFonts w:hint="eastAsia" w:ascii="仿宋" w:hAnsi="仿宋" w:eastAsia="仿宋" w:cs="仿宋"/>
          <w:sz w:val="32"/>
          <w:szCs w:val="32"/>
        </w:rPr>
        <w:t>学科竞赛活动的培训及组织工作。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12.建立及保管教师的业务档案。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13.会同教务处组织课堂教学研究和评价活动。</w:t>
      </w:r>
    </w:p>
    <w:p>
      <w:pPr>
        <w:jc w:val="center"/>
        <w:rPr>
          <w:rFonts w:hint="eastAsia" w:ascii="仿宋" w:hAnsi="仿宋" w:eastAsia="仿宋" w:cs="仿宋"/>
          <w:sz w:val="32"/>
          <w:szCs w:val="32"/>
        </w:rPr>
      </w:pPr>
      <w:r>
        <w:rPr>
          <w:rFonts w:hint="eastAsia" w:ascii="仿宋" w:hAnsi="仿宋" w:eastAsia="仿宋" w:cs="仿宋"/>
          <w:sz w:val="32"/>
          <w:szCs w:val="32"/>
        </w:rPr>
        <w:t>德育处工作职责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德育处是具体组织学校德育实施的职能部门，其常规工作及职责如下：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一、负责全校德育工作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1.在分管德育工作的校长领导下，组织全校德育工作，努力树立良好的校风和学风。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2.协助校长制定全校德育工作计划。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3.研究德育工作的要求、内容、方法，努力探索新时期德育工作规律，努力做好德育工作。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4.不断改进和完善德育管理制度，加强德育管理。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5.组织开展全校性的学生思想教育活动，加强对学生的思想品德教育和文明行为常规训练。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6.指导共青团、少先队、少代会开展工作，做好健康教育、国防教育、班级文化建设等工作。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7.加强与教务处联系，作为共同教育学生的协调工作。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8.注意收集和交流德育工作信息。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9.主持每周一的升旗仪式，对学生进行爱国主义教育、行为习惯养成教育，指导中队辅导员完成学生个性评价，对各中队德育工作开展情况进行考核、评价。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二、领导年级组长，安排年级组长、班主任工作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1.协助校长选定、安排年级组长、班主任。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2.指导年级组、班级制定工作计划并实施工作计划，检查、考评年级组、班级工作。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3.协助校长和班主任召开家长会、定期举办家长学校、办好家庭教育讲座，努力把学校、家庭、社会教育结合起来。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4.召开年级组长、班主任工作会议，组织学习、总结、交流班主任工作经验。努力提高班主任工作水平。</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5.协助年级组长、班主任处理年级、班级中的重大问题和偶发事件。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6.做好青年班主任的培养工作。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7.指导班主任探索学生思想品德考评的科学化方法。</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其他</w:t>
      </w:r>
      <w:r>
        <w:rPr>
          <w:rFonts w:hint="eastAsia" w:ascii="仿宋" w:hAnsi="仿宋" w:eastAsia="仿宋" w:cs="仿宋"/>
          <w:sz w:val="32"/>
          <w:szCs w:val="32"/>
        </w:rPr>
        <w:t>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1.对我校德育工作实施情况进行研究。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2.建立学生奖惩制度并严格执行。</w:t>
      </w:r>
    </w:p>
    <w:p>
      <w:pPr>
        <w:spacing w:line="580" w:lineRule="exact"/>
        <w:jc w:val="center"/>
        <w:rPr>
          <w:rFonts w:hint="eastAsia" w:ascii="仿宋" w:hAnsi="仿宋" w:eastAsia="仿宋" w:cs="仿宋"/>
          <w:sz w:val="32"/>
          <w:szCs w:val="32"/>
        </w:rPr>
      </w:pPr>
      <w:r>
        <w:rPr>
          <w:rFonts w:hint="eastAsia" w:ascii="仿宋" w:hAnsi="仿宋" w:eastAsia="仿宋" w:cs="仿宋"/>
          <w:sz w:val="32"/>
          <w:szCs w:val="32"/>
        </w:rPr>
        <w:t>艺体部工作职责</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艺体部负责全校艺体和科创、信息报道和外宣、现代信息技术教学与管理、校园网站和微信平台管理建设、智慧教育实践研究等：</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1.建立健全艺体工作管理制度。</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2.组织管理学校艺体教学和科创教育。</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3.安排好学生的课外体育活动。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4.抓好艺体及科创活动参赛工作，负责艺体特长生的人才培养与专业训练。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5.负责利用学校网站及微信公众平台实时开展宣传报道等外宣工作。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6.加强对学校科创教学活动的指导和研究，开展智慧教育实践研究，做好过程管理及资料归档工作。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7.抓好艺体教师的思想品德、文化修养和业务培训，提高专业素质。</w:t>
      </w:r>
    </w:p>
    <w:p>
      <w:pPr>
        <w:spacing w:line="580" w:lineRule="exact"/>
        <w:jc w:val="center"/>
        <w:rPr>
          <w:rFonts w:hint="eastAsia" w:ascii="仿宋" w:hAnsi="仿宋" w:eastAsia="仿宋" w:cs="仿宋"/>
          <w:sz w:val="32"/>
          <w:szCs w:val="32"/>
        </w:rPr>
      </w:pPr>
      <w:r>
        <w:rPr>
          <w:rFonts w:hint="eastAsia" w:ascii="仿宋" w:hAnsi="仿宋" w:eastAsia="仿宋" w:cs="仿宋"/>
          <w:sz w:val="32"/>
          <w:szCs w:val="32"/>
        </w:rPr>
        <w:t>安全办工作职责</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1.贯彻“预防为主、确保重点、维护稳定、保障安全”的方针，保持校园良好的教育、教学和生活秩序。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3.加大门卫管理力度，严禁一切机动车辆、外来三轮车、摩托车、电动车等进入校园，预防发生交通事故，对外来人员实行严格登记制度。</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4.加强治安秩序管理，开展</w:t>
      </w:r>
      <w:r>
        <w:rPr>
          <w:rFonts w:hint="eastAsia" w:ascii="仿宋" w:hAnsi="仿宋" w:eastAsia="仿宋" w:cs="仿宋"/>
          <w:sz w:val="32"/>
          <w:szCs w:val="32"/>
          <w:lang w:eastAsia="zh-CN"/>
        </w:rPr>
        <w:t>法治</w:t>
      </w:r>
      <w:r>
        <w:rPr>
          <w:rFonts w:hint="eastAsia" w:ascii="仿宋" w:hAnsi="仿宋" w:eastAsia="仿宋" w:cs="仿宋"/>
          <w:sz w:val="32"/>
          <w:szCs w:val="32"/>
        </w:rPr>
        <w:t>宣传教育，增强师生员工</w:t>
      </w:r>
      <w:r>
        <w:rPr>
          <w:rFonts w:hint="eastAsia" w:ascii="仿宋" w:hAnsi="仿宋" w:eastAsia="仿宋" w:cs="仿宋"/>
          <w:sz w:val="32"/>
          <w:szCs w:val="32"/>
          <w:lang w:eastAsia="zh-CN"/>
        </w:rPr>
        <w:t>法治观念</w:t>
      </w:r>
      <w:r>
        <w:rPr>
          <w:rFonts w:hint="eastAsia" w:ascii="仿宋" w:hAnsi="仿宋" w:eastAsia="仿宋" w:cs="仿宋"/>
          <w:sz w:val="32"/>
          <w:szCs w:val="32"/>
        </w:rPr>
        <w:t>，预防和减少违法犯罪行为。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5.负责制定治安保卫、安全检查防火等工作的规章制度，制度要害和重点部位的安全保卫措施，</w:t>
      </w:r>
      <w:r>
        <w:rPr>
          <w:rFonts w:hint="eastAsia" w:ascii="仿宋" w:hAnsi="仿宋" w:eastAsia="仿宋" w:cs="仿宋"/>
          <w:sz w:val="32"/>
          <w:szCs w:val="32"/>
          <w:lang w:eastAsia="zh-CN"/>
        </w:rPr>
        <w:t>经常</w:t>
      </w:r>
      <w:r>
        <w:rPr>
          <w:rFonts w:hint="eastAsia" w:ascii="仿宋" w:hAnsi="仿宋" w:eastAsia="仿宋" w:cs="仿宋"/>
          <w:sz w:val="32"/>
          <w:szCs w:val="32"/>
        </w:rPr>
        <w:t>执行情况。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6.负责落实安全保卫责任制和安全技术防范措施，做好防止盗窃、火灾、破坏和其他治安灾害事故的工作。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7.协助有关处室，做好学校重大活动的安全保卫工作，会同有关单位加强重点要害部门的保卫，确保重点要害部门的安全。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8.岗位值班人员，要坚守工作岗位，不得擅离职守，当班时间严禁饮酒，不做与值班工作无关的事情。</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9.加强对门卫的领导与管理，建立值班制度，做好接待和来访登记工作。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10.负责办理校长会议和公安机关交办的其他工作。</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（三）人员情况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遂宁市安居区</w:t>
      </w:r>
      <w:r>
        <w:rPr>
          <w:rFonts w:hint="eastAsia" w:ascii="仿宋" w:hAnsi="仿宋" w:eastAsia="仿宋" w:cs="仿宋"/>
          <w:sz w:val="32"/>
          <w:szCs w:val="32"/>
          <w:lang w:eastAsia="zh-CN"/>
        </w:rPr>
        <w:t>常理镇中心小学校</w:t>
      </w:r>
      <w:r>
        <w:rPr>
          <w:rFonts w:hint="eastAsia" w:ascii="仿宋" w:hAnsi="仿宋" w:eastAsia="仿宋" w:cs="仿宋"/>
          <w:sz w:val="32"/>
          <w:szCs w:val="32"/>
        </w:rPr>
        <w:t>年初在职教师</w:t>
      </w:r>
      <w:r>
        <w:rPr>
          <w:rFonts w:hint="eastAsia" w:ascii="仿宋" w:hAnsi="仿宋" w:eastAsia="仿宋" w:cs="仿宋"/>
          <w:sz w:val="32"/>
          <w:szCs w:val="32"/>
          <w:lang w:val="en-US" w:eastAsia="zh-CN"/>
        </w:rPr>
        <w:t>39</w:t>
      </w:r>
      <w:r>
        <w:rPr>
          <w:rFonts w:hint="eastAsia" w:ascii="仿宋" w:hAnsi="仿宋" w:eastAsia="仿宋" w:cs="仿宋"/>
          <w:sz w:val="32"/>
          <w:szCs w:val="32"/>
        </w:rPr>
        <w:t>人，年末在职教师</w:t>
      </w:r>
      <w:r>
        <w:rPr>
          <w:rFonts w:hint="eastAsia" w:ascii="仿宋" w:hAnsi="仿宋" w:eastAsia="仿宋" w:cs="仿宋"/>
          <w:sz w:val="32"/>
          <w:szCs w:val="32"/>
          <w:lang w:val="en-US" w:eastAsia="zh-CN"/>
        </w:rPr>
        <w:t>39</w:t>
      </w:r>
      <w:r>
        <w:rPr>
          <w:rFonts w:hint="eastAsia" w:ascii="仿宋" w:hAnsi="仿宋" w:eastAsia="仿宋" w:cs="仿宋"/>
          <w:sz w:val="32"/>
          <w:szCs w:val="32"/>
        </w:rPr>
        <w:t>人，退休</w:t>
      </w:r>
      <w:r>
        <w:rPr>
          <w:rFonts w:hint="eastAsia" w:ascii="仿宋" w:hAnsi="仿宋" w:eastAsia="仿宋" w:cs="仿宋"/>
          <w:sz w:val="32"/>
          <w:szCs w:val="32"/>
          <w:lang w:val="en-US" w:eastAsia="zh-CN"/>
        </w:rPr>
        <w:t>3</w:t>
      </w:r>
      <w:r>
        <w:rPr>
          <w:rFonts w:hint="eastAsia" w:ascii="仿宋" w:hAnsi="仿宋" w:eastAsia="仿宋" w:cs="仿宋"/>
          <w:sz w:val="32"/>
          <w:szCs w:val="32"/>
        </w:rPr>
        <w:t>人，</w:t>
      </w:r>
      <w:r>
        <w:rPr>
          <w:rFonts w:hint="eastAsia" w:ascii="仿宋" w:hAnsi="仿宋" w:eastAsia="仿宋" w:cs="仿宋"/>
          <w:sz w:val="32"/>
          <w:szCs w:val="32"/>
          <w:lang w:val="en-US" w:eastAsia="zh-CN"/>
        </w:rPr>
        <w:t>调入3人，</w:t>
      </w:r>
      <w:r>
        <w:rPr>
          <w:rFonts w:hint="eastAsia" w:ascii="仿宋" w:hAnsi="仿宋" w:eastAsia="仿宋" w:cs="仿宋"/>
          <w:sz w:val="32"/>
          <w:szCs w:val="32"/>
        </w:rPr>
        <w:t>年初退休教师</w:t>
      </w:r>
      <w:r>
        <w:rPr>
          <w:rFonts w:hint="eastAsia" w:ascii="仿宋" w:hAnsi="仿宋" w:eastAsia="仿宋" w:cs="仿宋"/>
          <w:sz w:val="32"/>
          <w:szCs w:val="32"/>
          <w:lang w:val="en-US" w:eastAsia="zh-CN"/>
        </w:rPr>
        <w:t>65</w:t>
      </w:r>
      <w:r>
        <w:rPr>
          <w:rFonts w:hint="eastAsia" w:ascii="仿宋" w:hAnsi="仿宋" w:eastAsia="仿宋" w:cs="仿宋"/>
          <w:sz w:val="32"/>
          <w:szCs w:val="32"/>
        </w:rPr>
        <w:t>人，年末退休教师</w:t>
      </w:r>
      <w:r>
        <w:rPr>
          <w:rFonts w:hint="eastAsia" w:ascii="仿宋" w:hAnsi="仿宋" w:eastAsia="仿宋" w:cs="仿宋"/>
          <w:sz w:val="32"/>
          <w:szCs w:val="32"/>
          <w:lang w:val="en-US" w:eastAsia="zh-CN"/>
        </w:rPr>
        <w:t>63</w:t>
      </w:r>
      <w:r>
        <w:rPr>
          <w:rFonts w:hint="eastAsia" w:ascii="仿宋" w:hAnsi="仿宋" w:eastAsia="仿宋" w:cs="仿宋"/>
          <w:sz w:val="32"/>
          <w:szCs w:val="32"/>
        </w:rPr>
        <w:t>人。</w:t>
      </w:r>
    </w:p>
    <w:p>
      <w:pPr>
        <w:widowControl/>
        <w:adjustRightInd w:val="0"/>
        <w:snapToGrid w:val="0"/>
        <w:spacing w:line="560" w:lineRule="exact"/>
        <w:contextualSpacing/>
        <w:jc w:val="left"/>
        <w:rPr>
          <w:rFonts w:hint="eastAsia" w:ascii="仿宋" w:hAnsi="仿宋" w:eastAsia="仿宋" w:cs="仿宋"/>
          <w:sz w:val="32"/>
          <w:szCs w:val="32"/>
        </w:rPr>
      </w:pPr>
      <w:r>
        <w:rPr>
          <w:rFonts w:hint="eastAsia" w:ascii="仿宋" w:hAnsi="仿宋" w:eastAsia="仿宋" w:cs="仿宋"/>
          <w:sz w:val="32"/>
          <w:szCs w:val="32"/>
        </w:rPr>
        <w:t>二、部门财政资金收支情况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（一）部门财政资金收入情况。</w:t>
      </w:r>
    </w:p>
    <w:p>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本年收入合计</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万元，占100%；其他收入0万元，占0%。</w:t>
      </w:r>
    </w:p>
    <w:p>
      <w:pPr>
        <w:widowControl/>
        <w:numPr>
          <w:ilvl w:val="0"/>
          <w:numId w:val="7"/>
        </w:numPr>
        <w:adjustRightInd w:val="0"/>
        <w:snapToGrid w:val="0"/>
        <w:spacing w:line="560" w:lineRule="exact"/>
        <w:ind w:firstLine="640" w:firstLineChars="200"/>
        <w:contextualSpacing/>
        <w:jc w:val="left"/>
        <w:outlineLvl w:val="0"/>
        <w:rPr>
          <w:rFonts w:hint="eastAsia" w:ascii="仿宋" w:hAnsi="仿宋" w:eastAsia="仿宋" w:cs="仿宋"/>
          <w:sz w:val="32"/>
          <w:szCs w:val="32"/>
        </w:rPr>
      </w:pPr>
      <w:r>
        <w:rPr>
          <w:rFonts w:hint="eastAsia" w:ascii="仿宋" w:hAnsi="仿宋" w:eastAsia="仿宋" w:cs="仿宋"/>
          <w:sz w:val="32"/>
          <w:szCs w:val="32"/>
        </w:rPr>
        <w:t>部门财政资金支出情况。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本年支出合计</w:t>
      </w:r>
      <w:r>
        <w:rPr>
          <w:rFonts w:hint="eastAsia" w:ascii="仿宋" w:hAnsi="仿宋" w:eastAsia="仿宋" w:cs="仿宋"/>
          <w:color w:val="000000"/>
          <w:sz w:val="32"/>
          <w:szCs w:val="32"/>
          <w:lang w:val="en-US" w:eastAsia="zh-CN"/>
        </w:rPr>
        <w:t>880.51</w:t>
      </w:r>
      <w:r>
        <w:rPr>
          <w:rFonts w:hint="eastAsia" w:ascii="仿宋" w:hAnsi="仿宋" w:eastAsia="仿宋" w:cs="仿宋"/>
          <w:color w:val="000000"/>
          <w:sz w:val="32"/>
          <w:szCs w:val="32"/>
        </w:rPr>
        <w:t>万元，其中：教育支出</w:t>
      </w:r>
      <w:r>
        <w:rPr>
          <w:rFonts w:hint="eastAsia" w:ascii="仿宋" w:hAnsi="仿宋" w:eastAsia="仿宋" w:cs="仿宋"/>
          <w:i w:val="0"/>
          <w:iCs w:val="0"/>
          <w:color w:val="000000"/>
          <w:sz w:val="32"/>
          <w:szCs w:val="32"/>
          <w:u w:val="none"/>
          <w:lang w:val="en-US" w:eastAsia="zh-CN"/>
        </w:rPr>
        <w:t>711.77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80.84</w:t>
      </w:r>
      <w:r>
        <w:rPr>
          <w:rFonts w:hint="eastAsia" w:ascii="仿宋" w:hAnsi="仿宋" w:eastAsia="仿宋" w:cs="仿宋"/>
          <w:color w:val="000000"/>
          <w:sz w:val="32"/>
          <w:szCs w:val="32"/>
        </w:rPr>
        <w:t>%；社会保障和就业支出</w:t>
      </w:r>
      <w:r>
        <w:rPr>
          <w:rFonts w:hint="eastAsia" w:ascii="仿宋" w:hAnsi="仿宋" w:eastAsia="仿宋" w:cs="仿宋"/>
          <w:color w:val="000000"/>
          <w:sz w:val="32"/>
          <w:szCs w:val="32"/>
          <w:lang w:val="en-US" w:eastAsia="zh-CN"/>
        </w:rPr>
        <w:t>80.31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9.12</w:t>
      </w:r>
      <w:r>
        <w:rPr>
          <w:rFonts w:hint="eastAsia" w:ascii="仿宋" w:hAnsi="仿宋" w:eastAsia="仿宋" w:cs="仿宋"/>
          <w:color w:val="000000"/>
          <w:sz w:val="32"/>
          <w:szCs w:val="32"/>
        </w:rPr>
        <w:t>%；卫生健康支出</w:t>
      </w:r>
      <w:r>
        <w:rPr>
          <w:rFonts w:hint="eastAsia" w:ascii="仿宋" w:hAnsi="仿宋" w:eastAsia="仿宋" w:cs="仿宋"/>
          <w:color w:val="000000"/>
          <w:sz w:val="32"/>
          <w:szCs w:val="32"/>
          <w:lang w:val="en-US" w:eastAsia="zh-CN"/>
        </w:rPr>
        <w:t>29.30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3.33</w:t>
      </w:r>
      <w:r>
        <w:rPr>
          <w:rFonts w:hint="eastAsia" w:ascii="仿宋" w:hAnsi="仿宋" w:eastAsia="仿宋" w:cs="仿宋"/>
          <w:color w:val="000000"/>
          <w:sz w:val="32"/>
          <w:szCs w:val="32"/>
        </w:rPr>
        <w:t>%；住房保障支出</w:t>
      </w:r>
      <w:r>
        <w:rPr>
          <w:rFonts w:hint="eastAsia" w:ascii="仿宋" w:hAnsi="仿宋" w:eastAsia="仿宋" w:cs="仿宋"/>
          <w:color w:val="000000"/>
          <w:sz w:val="32"/>
          <w:szCs w:val="32"/>
          <w:lang w:val="en-US" w:eastAsia="zh-CN"/>
        </w:rPr>
        <w:t>59.13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6.71</w:t>
      </w:r>
      <w:r>
        <w:rPr>
          <w:rFonts w:hint="eastAsia" w:ascii="仿宋" w:hAnsi="仿宋" w:eastAsia="仿宋" w:cs="仿宋"/>
          <w:color w:val="000000"/>
          <w:sz w:val="32"/>
          <w:szCs w:val="32"/>
        </w:rPr>
        <w:t>%。</w:t>
      </w:r>
    </w:p>
    <w:p>
      <w:pPr>
        <w:widowControl/>
        <w:adjustRightInd w:val="0"/>
        <w:snapToGrid w:val="0"/>
        <w:spacing w:line="560" w:lineRule="exact"/>
        <w:ind w:firstLine="640" w:firstLineChars="200"/>
        <w:contextualSpacing/>
        <w:jc w:val="left"/>
        <w:outlineLvl w:val="0"/>
        <w:rPr>
          <w:rFonts w:hint="eastAsia" w:ascii="仿宋" w:hAnsi="仿宋" w:eastAsia="仿宋" w:cs="仿宋"/>
          <w:sz w:val="32"/>
          <w:szCs w:val="32"/>
        </w:rPr>
      </w:pPr>
      <w:r>
        <w:rPr>
          <w:rFonts w:hint="eastAsia" w:ascii="仿宋" w:hAnsi="仿宋" w:eastAsia="仿宋" w:cs="仿宋"/>
          <w:sz w:val="32"/>
          <w:szCs w:val="32"/>
        </w:rPr>
        <w:t>三、部门整体预算绩效管理情况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（一）部门预算管理。</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遂宁市安居区</w:t>
      </w:r>
      <w:r>
        <w:rPr>
          <w:rFonts w:hint="eastAsia" w:ascii="仿宋" w:hAnsi="仿宋" w:eastAsia="仿宋" w:cs="仿宋"/>
          <w:sz w:val="32"/>
          <w:szCs w:val="32"/>
          <w:lang w:eastAsia="zh-CN"/>
        </w:rPr>
        <w:t>常理镇中心小学校2023年</w:t>
      </w:r>
      <w:r>
        <w:rPr>
          <w:rFonts w:hint="eastAsia" w:ascii="仿宋" w:hAnsi="仿宋" w:eastAsia="仿宋" w:cs="仿宋"/>
          <w:sz w:val="32"/>
          <w:szCs w:val="32"/>
        </w:rPr>
        <w:t>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（二）结果应用情况。</w:t>
      </w:r>
    </w:p>
    <w:p>
      <w:pPr>
        <w:widowControl/>
        <w:adjustRightInd w:val="0"/>
        <w:snapToGrid w:val="0"/>
        <w:spacing w:line="560" w:lineRule="exact"/>
        <w:ind w:firstLine="640" w:firstLineChars="200"/>
        <w:contextualSpacing/>
        <w:jc w:val="left"/>
        <w:outlineLvl w:val="0"/>
        <w:rPr>
          <w:rFonts w:hint="eastAsia" w:ascii="仿宋" w:hAnsi="仿宋" w:eastAsia="仿宋" w:cs="仿宋"/>
          <w:sz w:val="32"/>
          <w:szCs w:val="32"/>
        </w:rPr>
      </w:pPr>
      <w:r>
        <w:rPr>
          <w:rFonts w:hint="eastAsia" w:ascii="仿宋" w:hAnsi="仿宋" w:eastAsia="仿宋" w:cs="仿宋"/>
          <w:sz w:val="32"/>
          <w:szCs w:val="32"/>
        </w:rPr>
        <w:t>遂宁市安居区</w:t>
      </w:r>
      <w:r>
        <w:rPr>
          <w:rFonts w:hint="eastAsia" w:ascii="仿宋" w:hAnsi="仿宋" w:eastAsia="仿宋" w:cs="仿宋"/>
          <w:sz w:val="32"/>
          <w:szCs w:val="32"/>
          <w:lang w:eastAsia="zh-CN"/>
        </w:rPr>
        <w:t>常理镇中心小学校</w:t>
      </w:r>
      <w:r>
        <w:rPr>
          <w:rFonts w:hint="eastAsia" w:ascii="仿宋" w:hAnsi="仿宋" w:eastAsia="仿宋" w:cs="仿宋"/>
          <w:sz w:val="32"/>
          <w:szCs w:val="32"/>
        </w:rPr>
        <w:t>认真履职尽责，认真完成项目任务，所有项目均开展绩效评价，评价效果良好，对于财政预算资金多次接受省、市、区的检查，所有资金的支出，接受财政部门的监督管理，圆满完成</w:t>
      </w:r>
      <w:r>
        <w:rPr>
          <w:rFonts w:hint="eastAsia" w:ascii="仿宋" w:hAnsi="仿宋" w:eastAsia="仿宋" w:cs="仿宋"/>
          <w:sz w:val="32"/>
          <w:szCs w:val="32"/>
          <w:lang w:eastAsia="zh-CN"/>
        </w:rPr>
        <w:t>2023年</w:t>
      </w:r>
      <w:r>
        <w:rPr>
          <w:rFonts w:hint="eastAsia" w:ascii="仿宋" w:hAnsi="仿宋" w:eastAsia="仿宋" w:cs="仿宋"/>
          <w:sz w:val="32"/>
          <w:szCs w:val="32"/>
        </w:rPr>
        <w:t>的目标任务。</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tbl>
      <w:tblPr>
        <w:tblStyle w:val="12"/>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205"/>
        <w:gridCol w:w="735"/>
        <w:gridCol w:w="616"/>
        <w:gridCol w:w="540"/>
        <w:gridCol w:w="554"/>
        <w:gridCol w:w="376"/>
        <w:gridCol w:w="904"/>
        <w:gridCol w:w="502"/>
        <w:gridCol w:w="456"/>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3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遂宁市安居区常理镇中心小学校部门</w:t>
            </w:r>
          </w:p>
        </w:tc>
        <w:tc>
          <w:tcPr>
            <w:tcW w:w="9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完成宿舍楼顶维修改造、完成围墙重建。</w:t>
            </w:r>
          </w:p>
        </w:tc>
        <w:tc>
          <w:tcPr>
            <w:tcW w:w="3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sz w:val="16"/>
                <w:szCs w:val="16"/>
                <w:u w:val="none"/>
                <w:lang w:val="en-US" w:eastAsia="zh-CN"/>
              </w:rPr>
              <w:t>已完成宿舍楼顶维修改造、已完成围墙重建，已完成审计工作。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3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1、宿舍楼顶治漏:树脂瓦钢结构改造400平方米，2、围墙重建：采用钢结构栅栏60米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13.49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1.预算执行率100%;2.因购教师周转房手续未办理完成，因此追减5.485万元；3.其他资金包括：无.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13.49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iCs/>
                <w:color w:val="000000"/>
                <w:sz w:val="16"/>
                <w:szCs w:val="16"/>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5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1、解决了教师午休问题，使教师安心工作，2、消除了学校危险，保障了学校正常教学工作运转。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由于预算资金不足，致使该工程负债。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加强预算管理。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7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4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bl>
    <w:p>
      <w:pPr>
        <w:pStyle w:val="2"/>
        <w:rPr>
          <w:rFonts w:hint="eastAsia" w:ascii="仿宋" w:hAnsi="仿宋" w:eastAsia="仿宋" w:cs="仿宋"/>
          <w:color w:val="auto"/>
          <w:sz w:val="32"/>
          <w:szCs w:val="32"/>
          <w:shd w:val="clear" w:color="auto" w:fill="auto"/>
        </w:rPr>
      </w:pPr>
    </w:p>
    <w:p>
      <w:pPr>
        <w:pStyle w:val="2"/>
        <w:rPr>
          <w:rFonts w:hint="eastAsia" w:ascii="仿宋" w:hAnsi="仿宋" w:eastAsia="仿宋" w:cs="仿宋"/>
          <w:color w:val="auto"/>
          <w:sz w:val="32"/>
          <w:szCs w:val="32"/>
          <w:shd w:val="clear" w:color="auto" w:fill="auto"/>
        </w:rPr>
      </w:pPr>
    </w:p>
    <w:tbl>
      <w:tblPr>
        <w:tblStyle w:val="12"/>
        <w:tblW w:w="82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219"/>
        <w:gridCol w:w="666"/>
        <w:gridCol w:w="616"/>
        <w:gridCol w:w="529"/>
        <w:gridCol w:w="696"/>
        <w:gridCol w:w="376"/>
        <w:gridCol w:w="895"/>
        <w:gridCol w:w="499"/>
        <w:gridCol w:w="456"/>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2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51090423T000008612092-义务教育课后服务支出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遂宁市安居区常理镇中心小学校部门</w:t>
            </w:r>
          </w:p>
        </w:tc>
        <w:tc>
          <w:tcPr>
            <w:tcW w:w="9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满足家长、学生需求，提高教育教学质量。</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满足家长高、学生学习兴趣浓，提高了教育教学质量。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每天进行课后服务，进行了文化课及艺术课的学习，指导学生完成家庭作业，培养学生学习兴趣，增强学生体质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16.49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16.49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73.19%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1.预算执行率100%;2.为发生追加及追减情况；3.其他资金包括：无.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16.49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16.49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73.19%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质量指标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提高教育教学质量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115416</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效益指标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社会效益指标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满足家长和社会需求</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49464</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解决了家长对学生学习焦虑问题，提高了学生学习积极性及兴趣，提高了办学质量。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有待进一步加强管理，提高服务意识，提高家长满意度。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加强规范化管理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4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2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51090423T000008952501-2018省级学前教育发展专项资金（激励奖补部分）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遂宁市安居区常理镇中心小学校部门</w:t>
            </w:r>
          </w:p>
        </w:tc>
        <w:tc>
          <w:tcPr>
            <w:tcW w:w="9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改善幼儿办学条件，保障学前教育质量</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sz w:val="16"/>
                <w:szCs w:val="16"/>
                <w:u w:val="none"/>
                <w:lang w:val="en-US" w:eastAsia="zh-CN"/>
              </w:rPr>
              <w:t>改善了幼儿办学条件，保障了学前教育质量。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新建了幼儿活动场所150平方米，增设了学生劳动实践基地400平方米。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13.14</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1.预算执行率=100%;2.未年中发生预算调整的（追加或调减）；3.其他资金包括：无.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13.14</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改善了办学条件，保障了学前教育学生正常活动场所，增强了学生劳动实践。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需进一步完善设施设备，增强办学条件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eastAsia="zh-CN"/>
              </w:rPr>
            </w:pPr>
            <w:r>
              <w:rPr>
                <w:rFonts w:hint="eastAsia" w:ascii="仿宋" w:hAnsi="仿宋" w:eastAsia="仿宋" w:cs="仿宋"/>
                <w:i/>
                <w:iCs/>
                <w:color w:val="000000"/>
                <w:sz w:val="16"/>
                <w:szCs w:val="16"/>
                <w:u w:val="none"/>
                <w:lang w:val="en-US" w:eastAsia="zh-CN"/>
              </w:rPr>
              <w:t>加强项目管理，做好规范化预算、加强监督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4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bl>
    <w:p>
      <w:pPr>
        <w:pStyle w:val="2"/>
        <w:rPr>
          <w:rFonts w:hint="eastAsia" w:ascii="仿宋" w:hAnsi="仿宋" w:eastAsia="仿宋" w:cs="仿宋"/>
          <w:color w:val="auto"/>
          <w:sz w:val="32"/>
          <w:szCs w:val="32"/>
          <w:shd w:val="clear" w:color="auto" w:fill="auto"/>
        </w:rPr>
      </w:pPr>
    </w:p>
    <w:p>
      <w:pPr>
        <w:pStyle w:val="2"/>
        <w:rPr>
          <w:rFonts w:hint="eastAsia" w:ascii="仿宋" w:hAnsi="仿宋" w:eastAsia="仿宋" w:cs="仿宋"/>
          <w:color w:val="auto"/>
          <w:sz w:val="32"/>
          <w:szCs w:val="32"/>
          <w:shd w:val="clear" w:color="auto" w:fill="auto"/>
        </w:rPr>
      </w:pPr>
    </w:p>
    <w:p>
      <w:pPr>
        <w:pStyle w:val="2"/>
        <w:rPr>
          <w:rFonts w:hint="eastAsia" w:ascii="仿宋" w:hAnsi="仿宋" w:eastAsia="仿宋" w:cs="仿宋"/>
          <w:color w:val="auto"/>
          <w:sz w:val="32"/>
          <w:szCs w:val="32"/>
        </w:rPr>
      </w:pPr>
    </w:p>
    <w:tbl>
      <w:tblPr>
        <w:tblStyle w:val="12"/>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1296"/>
        <w:gridCol w:w="668"/>
        <w:gridCol w:w="540"/>
        <w:gridCol w:w="546"/>
        <w:gridCol w:w="560"/>
        <w:gridCol w:w="376"/>
        <w:gridCol w:w="908"/>
        <w:gridCol w:w="504"/>
        <w:gridCol w:w="456"/>
        <w:gridCol w:w="1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2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51090423T000008954045-援彝工作经费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遂宁市安居区常理镇中心小学校部门</w:t>
            </w:r>
          </w:p>
        </w:tc>
        <w:tc>
          <w:tcPr>
            <w:tcW w:w="9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全面落实援彝工作补助</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sz w:val="16"/>
                <w:szCs w:val="16"/>
                <w:u w:val="none"/>
                <w:lang w:val="en-US" w:eastAsia="zh-CN"/>
              </w:rPr>
              <w:t>已全面落实了援彝工作补助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援彝工作队员2021年补助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0.50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1.预算执行率100%;2.因2022年援彝补助项目等待上级统筹安排落实；3.其他资金包括：无.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0.50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保障了援彝工作队员待遇。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加强预算管理。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4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bl>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tbl>
      <w:tblPr>
        <w:tblStyle w:val="12"/>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1294"/>
        <w:gridCol w:w="668"/>
        <w:gridCol w:w="540"/>
        <w:gridCol w:w="546"/>
        <w:gridCol w:w="560"/>
        <w:gridCol w:w="376"/>
        <w:gridCol w:w="908"/>
        <w:gridCol w:w="503"/>
        <w:gridCol w:w="456"/>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2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遂宁市安居区常理镇中心小学校部门</w:t>
            </w:r>
          </w:p>
        </w:tc>
        <w:tc>
          <w:tcPr>
            <w:tcW w:w="9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落实中央政策免除学生作业本费</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sz w:val="16"/>
                <w:szCs w:val="16"/>
                <w:u w:val="none"/>
                <w:lang w:val="en-US" w:eastAsia="zh-CN"/>
              </w:rPr>
              <w:t>已完成保障落实了中央政策免除学生作业本费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减免学生作业本费15.00元/期。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0.34</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0.34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1.预算执行率=100%;2.年中未发生预算调整的（追加或调减）,；3.其他资金包括：无.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0.34</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0.34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全面落实了学生作业本费减免，保障了学生正常学习。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eastAsia="zh-CN"/>
              </w:rPr>
            </w:pPr>
            <w:r>
              <w:rPr>
                <w:rFonts w:hint="eastAsia" w:ascii="仿宋" w:hAnsi="仿宋" w:eastAsia="仿宋" w:cs="仿宋"/>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加强预算管理。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4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bl>
    <w:p>
      <w:pPr>
        <w:widowControl/>
        <w:adjustRightInd w:val="0"/>
        <w:snapToGrid w:val="0"/>
        <w:spacing w:line="560" w:lineRule="exact"/>
        <w:ind w:firstLine="640" w:firstLineChars="200"/>
        <w:contextualSpacing/>
        <w:jc w:val="left"/>
        <w:outlineLvl w:val="0"/>
        <w:rPr>
          <w:rFonts w:hint="eastAsia" w:ascii="仿宋" w:hAnsi="仿宋" w:eastAsia="仿宋" w:cs="仿宋"/>
          <w:sz w:val="32"/>
          <w:szCs w:val="32"/>
        </w:rPr>
      </w:pPr>
      <w:r>
        <w:rPr>
          <w:rFonts w:hint="eastAsia" w:ascii="仿宋" w:hAnsi="仿宋" w:eastAsia="仿宋" w:cs="仿宋"/>
          <w:sz w:val="32"/>
          <w:szCs w:val="32"/>
        </w:rPr>
        <w:t>四、评价结论及建议</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（一）评价结论。</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94分 。</w:t>
      </w:r>
    </w:p>
    <w:p>
      <w:pPr>
        <w:widowControl/>
        <w:numPr>
          <w:ilvl w:val="0"/>
          <w:numId w:val="7"/>
        </w:numPr>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存在问题。</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学校地处农村，生源少。</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（四）改进建议。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向主管部门汇报情况，争取上级或本级资金，加快校园建设，完善教学基础设施，更新教学理念。提高学生的竞争能力，保住生源。</w:t>
      </w: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spacing w:line="600" w:lineRule="exact"/>
        <w:jc w:val="both"/>
        <w:outlineLvl w:val="0"/>
        <w:rPr>
          <w:rFonts w:hint="eastAsia" w:ascii="仿宋" w:hAnsi="仿宋" w:eastAsia="仿宋" w:cs="仿宋"/>
          <w:sz w:val="44"/>
          <w:szCs w:val="44"/>
        </w:rPr>
      </w:pPr>
    </w:p>
    <w:p>
      <w:pPr>
        <w:spacing w:line="600" w:lineRule="exact"/>
        <w:jc w:val="center"/>
        <w:outlineLvl w:val="0"/>
        <w:rPr>
          <w:rFonts w:hint="eastAsia" w:ascii="仿宋" w:hAnsi="仿宋" w:eastAsia="仿宋" w:cs="仿宋"/>
          <w:sz w:val="44"/>
          <w:szCs w:val="44"/>
        </w:rPr>
      </w:pPr>
    </w:p>
    <w:p>
      <w:pPr>
        <w:spacing w:line="600" w:lineRule="exact"/>
        <w:jc w:val="center"/>
        <w:outlineLvl w:val="0"/>
        <w:rPr>
          <w:rFonts w:hint="eastAsia" w:ascii="仿宋" w:hAnsi="仿宋" w:eastAsia="仿宋" w:cs="仿宋"/>
        </w:rPr>
      </w:pPr>
      <w:r>
        <w:rPr>
          <w:rFonts w:hint="eastAsia" w:ascii="仿宋" w:hAnsi="仿宋" w:eastAsia="仿宋" w:cs="仿宋"/>
          <w:sz w:val="44"/>
          <w:szCs w:val="44"/>
        </w:rPr>
        <w:t>第</w:t>
      </w:r>
      <w:r>
        <w:rPr>
          <w:rStyle w:val="24"/>
          <w:rFonts w:hint="eastAsia" w:ascii="仿宋" w:hAnsi="仿宋" w:eastAsia="仿宋" w:cs="仿宋"/>
          <w:b w:val="0"/>
        </w:rPr>
        <w:t>五部分 附表</w:t>
      </w:r>
      <w:bookmarkEnd w:id="56"/>
      <w:bookmarkEnd w:id="57"/>
      <w:bookmarkStart w:id="58" w:name="_Toc15396619"/>
    </w:p>
    <w:p>
      <w:pPr>
        <w:pStyle w:val="4"/>
        <w:rPr>
          <w:rFonts w:hint="eastAsia" w:ascii="仿宋" w:hAnsi="仿宋" w:eastAsia="仿宋" w:cs="仿宋"/>
        </w:rPr>
      </w:pPr>
      <w:r>
        <w:rPr>
          <w:rFonts w:hint="eastAsia" w:ascii="仿宋" w:hAnsi="仿宋" w:eastAsia="仿宋" w:cs="仿宋"/>
          <w:b w:val="0"/>
        </w:rPr>
        <w:t>一、收</w:t>
      </w:r>
      <w:r>
        <w:rPr>
          <w:rStyle w:val="25"/>
          <w:rFonts w:hint="eastAsia" w:ascii="仿宋" w:hAnsi="仿宋" w:eastAsia="仿宋" w:cs="仿宋"/>
          <w:b w:val="0"/>
          <w:bCs w:val="0"/>
        </w:rPr>
        <w:t>入支出决算总表</w:t>
      </w:r>
      <w:bookmarkEnd w:id="58"/>
    </w:p>
    <w:p>
      <w:pPr>
        <w:pStyle w:val="4"/>
        <w:rPr>
          <w:rFonts w:hint="eastAsia" w:ascii="仿宋" w:hAnsi="仿宋" w:eastAsia="仿宋" w:cs="仿宋"/>
        </w:rPr>
      </w:pPr>
      <w:bookmarkStart w:id="59" w:name="_Toc15396620"/>
      <w:r>
        <w:rPr>
          <w:rFonts w:hint="eastAsia" w:ascii="仿宋" w:hAnsi="仿宋" w:eastAsia="仿宋" w:cs="仿宋"/>
          <w:b w:val="0"/>
        </w:rPr>
        <w:t>二、收</w:t>
      </w:r>
      <w:r>
        <w:rPr>
          <w:rStyle w:val="25"/>
          <w:rFonts w:hint="eastAsia" w:ascii="仿宋" w:hAnsi="仿宋" w:eastAsia="仿宋" w:cs="仿宋"/>
          <w:b w:val="0"/>
          <w:bCs w:val="0"/>
        </w:rPr>
        <w:t>入决算表</w:t>
      </w:r>
      <w:bookmarkEnd w:id="59"/>
    </w:p>
    <w:p>
      <w:pPr>
        <w:pStyle w:val="4"/>
        <w:rPr>
          <w:rFonts w:hint="eastAsia" w:ascii="仿宋" w:hAnsi="仿宋" w:eastAsia="仿宋" w:cs="仿宋"/>
        </w:rPr>
      </w:pPr>
      <w:bookmarkStart w:id="60" w:name="_Toc15396621"/>
      <w:r>
        <w:rPr>
          <w:rStyle w:val="25"/>
          <w:rFonts w:hint="eastAsia" w:ascii="仿宋" w:hAnsi="仿宋" w:eastAsia="仿宋" w:cs="仿宋"/>
          <w:b w:val="0"/>
          <w:bCs w:val="0"/>
        </w:rPr>
        <w:t>三、</w:t>
      </w:r>
      <w:r>
        <w:rPr>
          <w:rFonts w:hint="eastAsia" w:ascii="仿宋" w:hAnsi="仿宋" w:eastAsia="仿宋" w:cs="仿宋"/>
          <w:b w:val="0"/>
        </w:rPr>
        <w:t>支</w:t>
      </w:r>
      <w:r>
        <w:rPr>
          <w:rStyle w:val="25"/>
          <w:rFonts w:hint="eastAsia" w:ascii="仿宋" w:hAnsi="仿宋" w:eastAsia="仿宋" w:cs="仿宋"/>
          <w:b w:val="0"/>
          <w:bCs w:val="0"/>
        </w:rPr>
        <w:t>出决算表</w:t>
      </w:r>
      <w:bookmarkEnd w:id="60"/>
    </w:p>
    <w:p>
      <w:pPr>
        <w:pStyle w:val="4"/>
        <w:rPr>
          <w:rFonts w:hint="eastAsia" w:ascii="仿宋" w:hAnsi="仿宋" w:eastAsia="仿宋" w:cs="仿宋"/>
          <w:b w:val="0"/>
        </w:rPr>
      </w:pPr>
      <w:bookmarkStart w:id="61" w:name="_Toc15396622"/>
      <w:r>
        <w:rPr>
          <w:rStyle w:val="25"/>
          <w:rFonts w:hint="eastAsia" w:ascii="仿宋" w:hAnsi="仿宋" w:eastAsia="仿宋" w:cs="仿宋"/>
          <w:b w:val="0"/>
          <w:bCs w:val="0"/>
        </w:rPr>
        <w:t>四、</w:t>
      </w:r>
      <w:r>
        <w:rPr>
          <w:rFonts w:hint="eastAsia" w:ascii="仿宋" w:hAnsi="仿宋" w:eastAsia="仿宋" w:cs="仿宋"/>
          <w:b w:val="0"/>
        </w:rPr>
        <w:t>财</w:t>
      </w:r>
      <w:r>
        <w:rPr>
          <w:rStyle w:val="25"/>
          <w:rFonts w:hint="eastAsia" w:ascii="仿宋" w:hAnsi="仿宋" w:eastAsia="仿宋" w:cs="仿宋"/>
          <w:b w:val="0"/>
          <w:bCs w:val="0"/>
        </w:rPr>
        <w:t>政拨款收入支出决算总表</w:t>
      </w:r>
      <w:bookmarkEnd w:id="61"/>
    </w:p>
    <w:p>
      <w:pPr>
        <w:pStyle w:val="4"/>
        <w:rPr>
          <w:rStyle w:val="25"/>
          <w:rFonts w:hint="eastAsia" w:ascii="仿宋" w:hAnsi="仿宋" w:eastAsia="仿宋" w:cs="仿宋"/>
          <w:b w:val="0"/>
          <w:bCs w:val="0"/>
        </w:rPr>
      </w:pPr>
      <w:bookmarkStart w:id="62" w:name="_Toc15396623"/>
      <w:r>
        <w:rPr>
          <w:rStyle w:val="25"/>
          <w:rFonts w:hint="eastAsia" w:ascii="仿宋" w:hAnsi="仿宋" w:eastAsia="仿宋" w:cs="仿宋"/>
          <w:b w:val="0"/>
          <w:bCs w:val="0"/>
        </w:rPr>
        <w:t>五、</w:t>
      </w:r>
      <w:r>
        <w:rPr>
          <w:rFonts w:hint="eastAsia" w:ascii="仿宋" w:hAnsi="仿宋" w:eastAsia="仿宋" w:cs="仿宋"/>
          <w:b w:val="0"/>
        </w:rPr>
        <w:t>财</w:t>
      </w:r>
      <w:r>
        <w:rPr>
          <w:rStyle w:val="25"/>
          <w:rFonts w:hint="eastAsia" w:ascii="仿宋" w:hAnsi="仿宋" w:eastAsia="仿宋" w:cs="仿宋"/>
          <w:b w:val="0"/>
          <w:bCs w:val="0"/>
        </w:rPr>
        <w:t>政拨款支出决算明细表</w:t>
      </w:r>
      <w:bookmarkEnd w:id="62"/>
      <w:bookmarkStart w:id="63" w:name="_Toc15396624"/>
    </w:p>
    <w:p>
      <w:pPr>
        <w:pStyle w:val="4"/>
        <w:rPr>
          <w:rFonts w:hint="eastAsia" w:ascii="仿宋" w:hAnsi="仿宋" w:eastAsia="仿宋" w:cs="仿宋"/>
        </w:rPr>
      </w:pPr>
      <w:r>
        <w:rPr>
          <w:rStyle w:val="25"/>
          <w:rFonts w:hint="eastAsia" w:ascii="仿宋" w:hAnsi="仿宋" w:eastAsia="仿宋" w:cs="仿宋"/>
          <w:b w:val="0"/>
          <w:bCs w:val="0"/>
        </w:rPr>
        <w:t>六、</w:t>
      </w:r>
      <w:r>
        <w:rPr>
          <w:rFonts w:hint="eastAsia" w:ascii="仿宋" w:hAnsi="仿宋" w:eastAsia="仿宋" w:cs="仿宋"/>
          <w:b w:val="0"/>
        </w:rPr>
        <w:t>一</w:t>
      </w:r>
      <w:r>
        <w:rPr>
          <w:rStyle w:val="25"/>
          <w:rFonts w:hint="eastAsia" w:ascii="仿宋" w:hAnsi="仿宋" w:eastAsia="仿宋" w:cs="仿宋"/>
          <w:b w:val="0"/>
          <w:bCs w:val="0"/>
        </w:rPr>
        <w:t>般公共预算财政拨款支出决算表</w:t>
      </w:r>
      <w:bookmarkEnd w:id="63"/>
    </w:p>
    <w:p>
      <w:pPr>
        <w:pStyle w:val="4"/>
        <w:rPr>
          <w:rFonts w:hint="eastAsia" w:ascii="仿宋" w:hAnsi="仿宋" w:eastAsia="仿宋" w:cs="仿宋"/>
        </w:rPr>
      </w:pPr>
      <w:bookmarkStart w:id="64" w:name="_Toc15396625"/>
      <w:r>
        <w:rPr>
          <w:rStyle w:val="25"/>
          <w:rFonts w:hint="eastAsia" w:ascii="仿宋" w:hAnsi="仿宋" w:eastAsia="仿宋" w:cs="仿宋"/>
          <w:b w:val="0"/>
          <w:bCs w:val="0"/>
        </w:rPr>
        <w:t>七、</w:t>
      </w:r>
      <w:r>
        <w:rPr>
          <w:rFonts w:hint="eastAsia" w:ascii="仿宋" w:hAnsi="仿宋" w:eastAsia="仿宋" w:cs="仿宋"/>
          <w:b w:val="0"/>
        </w:rPr>
        <w:t>一</w:t>
      </w:r>
      <w:r>
        <w:rPr>
          <w:rStyle w:val="25"/>
          <w:rFonts w:hint="eastAsia" w:ascii="仿宋" w:hAnsi="仿宋" w:eastAsia="仿宋" w:cs="仿宋"/>
          <w:b w:val="0"/>
          <w:bCs w:val="0"/>
        </w:rPr>
        <w:t>般公共预算财政拨款支出决算明细表</w:t>
      </w:r>
      <w:bookmarkEnd w:id="64"/>
    </w:p>
    <w:p>
      <w:pPr>
        <w:pStyle w:val="4"/>
        <w:rPr>
          <w:rFonts w:hint="eastAsia" w:ascii="仿宋" w:hAnsi="仿宋" w:eastAsia="仿宋" w:cs="仿宋"/>
        </w:rPr>
      </w:pPr>
      <w:bookmarkStart w:id="65" w:name="_Toc15396626"/>
      <w:r>
        <w:rPr>
          <w:rStyle w:val="25"/>
          <w:rFonts w:hint="eastAsia" w:ascii="仿宋" w:hAnsi="仿宋" w:eastAsia="仿宋" w:cs="仿宋"/>
          <w:b w:val="0"/>
          <w:bCs w:val="0"/>
        </w:rPr>
        <w:t>八、</w:t>
      </w:r>
      <w:r>
        <w:rPr>
          <w:rFonts w:hint="eastAsia" w:ascii="仿宋" w:hAnsi="仿宋" w:eastAsia="仿宋" w:cs="仿宋"/>
          <w:b w:val="0"/>
        </w:rPr>
        <w:t>一</w:t>
      </w:r>
      <w:r>
        <w:rPr>
          <w:rStyle w:val="25"/>
          <w:rFonts w:hint="eastAsia" w:ascii="仿宋" w:hAnsi="仿宋" w:eastAsia="仿宋" w:cs="仿宋"/>
          <w:b w:val="0"/>
          <w:bCs w:val="0"/>
        </w:rPr>
        <w:t>般公共预算财政拨款基本支出决算表</w:t>
      </w:r>
      <w:bookmarkEnd w:id="65"/>
    </w:p>
    <w:p>
      <w:pPr>
        <w:pStyle w:val="4"/>
        <w:rPr>
          <w:rFonts w:hint="eastAsia" w:ascii="仿宋" w:hAnsi="仿宋" w:eastAsia="仿宋" w:cs="仿宋"/>
        </w:rPr>
      </w:pPr>
      <w:bookmarkStart w:id="66" w:name="_Toc15396627"/>
      <w:r>
        <w:rPr>
          <w:rStyle w:val="25"/>
          <w:rFonts w:hint="eastAsia" w:ascii="仿宋" w:hAnsi="仿宋" w:eastAsia="仿宋" w:cs="仿宋"/>
          <w:b w:val="0"/>
          <w:bCs w:val="0"/>
        </w:rPr>
        <w:t>九、</w:t>
      </w:r>
      <w:r>
        <w:rPr>
          <w:rFonts w:hint="eastAsia" w:ascii="仿宋" w:hAnsi="仿宋" w:eastAsia="仿宋" w:cs="仿宋"/>
          <w:b w:val="0"/>
        </w:rPr>
        <w:t>一</w:t>
      </w:r>
      <w:r>
        <w:rPr>
          <w:rStyle w:val="25"/>
          <w:rFonts w:hint="eastAsia" w:ascii="仿宋" w:hAnsi="仿宋" w:eastAsia="仿宋" w:cs="仿宋"/>
          <w:b w:val="0"/>
          <w:bCs w:val="0"/>
        </w:rPr>
        <w:t>般公共预算财政拨款项目支出决算表</w:t>
      </w:r>
      <w:bookmarkEnd w:id="66"/>
    </w:p>
    <w:p>
      <w:pPr>
        <w:pStyle w:val="4"/>
        <w:rPr>
          <w:rFonts w:hint="eastAsia" w:ascii="仿宋" w:hAnsi="仿宋" w:eastAsia="仿宋" w:cs="仿宋"/>
        </w:rPr>
      </w:pPr>
      <w:bookmarkStart w:id="67" w:name="_Toc15396628"/>
      <w:r>
        <w:rPr>
          <w:rStyle w:val="25"/>
          <w:rFonts w:hint="eastAsia" w:ascii="仿宋" w:hAnsi="仿宋" w:eastAsia="仿宋" w:cs="仿宋"/>
          <w:b w:val="0"/>
          <w:bCs w:val="0"/>
        </w:rPr>
        <w:t>十、</w:t>
      </w:r>
      <w:bookmarkEnd w:id="67"/>
      <w:r>
        <w:rPr>
          <w:rFonts w:hint="eastAsia" w:ascii="仿宋" w:hAnsi="仿宋" w:eastAsia="仿宋" w:cs="仿宋"/>
          <w:b w:val="0"/>
        </w:rPr>
        <w:t>政</w:t>
      </w:r>
      <w:r>
        <w:rPr>
          <w:rStyle w:val="25"/>
          <w:rFonts w:hint="eastAsia" w:ascii="仿宋" w:hAnsi="仿宋" w:eastAsia="仿宋" w:cs="仿宋"/>
          <w:b w:val="0"/>
          <w:bCs w:val="0"/>
        </w:rPr>
        <w:t>府性基金预算财政拨款收入支出决算表</w:t>
      </w:r>
    </w:p>
    <w:p>
      <w:pPr>
        <w:pStyle w:val="4"/>
        <w:rPr>
          <w:rFonts w:hint="eastAsia" w:ascii="仿宋" w:hAnsi="仿宋" w:eastAsia="仿宋" w:cs="仿宋"/>
        </w:rPr>
      </w:pPr>
      <w:bookmarkStart w:id="68" w:name="_Toc15396629"/>
      <w:r>
        <w:rPr>
          <w:rStyle w:val="25"/>
          <w:rFonts w:hint="eastAsia" w:ascii="仿宋" w:hAnsi="仿宋" w:eastAsia="仿宋" w:cs="仿宋"/>
          <w:b w:val="0"/>
          <w:bCs w:val="0"/>
        </w:rPr>
        <w:t>十一、</w:t>
      </w:r>
      <w:bookmarkEnd w:id="68"/>
      <w:r>
        <w:rPr>
          <w:rFonts w:hint="eastAsia" w:ascii="仿宋" w:hAnsi="仿宋" w:eastAsia="仿宋" w:cs="仿宋"/>
          <w:b w:val="0"/>
        </w:rPr>
        <w:t>国</w:t>
      </w:r>
      <w:r>
        <w:rPr>
          <w:rStyle w:val="25"/>
          <w:rFonts w:hint="eastAsia" w:ascii="仿宋" w:hAnsi="仿宋" w:eastAsia="仿宋" w:cs="仿宋"/>
          <w:b w:val="0"/>
          <w:bCs w:val="0"/>
        </w:rPr>
        <w:t>有资本经营预算财政拨款收入支出决算表</w:t>
      </w:r>
    </w:p>
    <w:p>
      <w:pPr>
        <w:pStyle w:val="4"/>
        <w:rPr>
          <w:rFonts w:hint="eastAsia" w:ascii="仿宋" w:hAnsi="仿宋" w:eastAsia="仿宋" w:cs="仿宋"/>
        </w:rPr>
      </w:pPr>
      <w:bookmarkStart w:id="69" w:name="_Toc15396630"/>
      <w:r>
        <w:rPr>
          <w:rStyle w:val="25"/>
          <w:rFonts w:hint="eastAsia" w:ascii="仿宋" w:hAnsi="仿宋" w:eastAsia="仿宋" w:cs="仿宋"/>
          <w:b w:val="0"/>
          <w:bCs w:val="0"/>
        </w:rPr>
        <w:t>十二、</w:t>
      </w:r>
      <w:bookmarkEnd w:id="69"/>
      <w:r>
        <w:rPr>
          <w:rStyle w:val="25"/>
          <w:rFonts w:hint="eastAsia" w:ascii="仿宋" w:hAnsi="仿宋" w:eastAsia="仿宋" w:cs="仿宋"/>
          <w:b w:val="0"/>
          <w:bCs w:val="0"/>
        </w:rPr>
        <w:t>国有资本经营预算财政拨款支出决算表</w:t>
      </w:r>
    </w:p>
    <w:p>
      <w:pPr>
        <w:pStyle w:val="4"/>
        <w:rPr>
          <w:rFonts w:hint="eastAsia" w:ascii="仿宋" w:hAnsi="仿宋" w:eastAsia="仿宋" w:cs="仿宋"/>
        </w:rPr>
      </w:pPr>
      <w:bookmarkStart w:id="70" w:name="_Toc15396631"/>
      <w:r>
        <w:rPr>
          <w:rStyle w:val="25"/>
          <w:rFonts w:hint="eastAsia" w:ascii="仿宋" w:hAnsi="仿宋" w:eastAsia="仿宋" w:cs="仿宋"/>
          <w:b w:val="0"/>
          <w:bCs w:val="0"/>
        </w:rPr>
        <w:t>十三、</w:t>
      </w:r>
      <w:bookmarkEnd w:id="70"/>
      <w:r>
        <w:rPr>
          <w:rStyle w:val="25"/>
          <w:rFonts w:hint="eastAsia" w:ascii="仿宋" w:hAnsi="仿宋" w:eastAsia="仿宋" w:cs="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2E1726F8"/>
    <w:multiLevelType w:val="singleLevel"/>
    <w:tmpl w:val="2E1726F8"/>
    <w:lvl w:ilvl="0" w:tentative="0">
      <w:start w:val="1"/>
      <w:numFmt w:val="chineseCounting"/>
      <w:suff w:val="nothing"/>
      <w:lvlText w:val="（%1）"/>
      <w:lvlJc w:val="left"/>
      <w:pPr>
        <w:ind w:left="800" w:leftChars="0" w:firstLine="0" w:firstLineChars="0"/>
      </w:pPr>
      <w:rPr>
        <w:rFonts w:hint="eastAsia"/>
      </w:rPr>
    </w:lvl>
  </w:abstractNum>
  <w:abstractNum w:abstractNumId="6">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6"/>
  </w:num>
  <w:num w:numId="2">
    <w:abstractNumId w:val="5"/>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MjAzODQyZDBmOGExNDI1OGNlZDkzOGY1MzE3O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E0A2D"/>
    <w:rsid w:val="004E206B"/>
    <w:rsid w:val="004E6DF7"/>
    <w:rsid w:val="004F0FBD"/>
    <w:rsid w:val="004F2B6A"/>
    <w:rsid w:val="00505A47"/>
    <w:rsid w:val="00512FDA"/>
    <w:rsid w:val="00520DA0"/>
    <w:rsid w:val="005664BB"/>
    <w:rsid w:val="00566FFA"/>
    <w:rsid w:val="0057481D"/>
    <w:rsid w:val="0058486E"/>
    <w:rsid w:val="00585B33"/>
    <w:rsid w:val="0059014D"/>
    <w:rsid w:val="005B5587"/>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1713"/>
    <w:rsid w:val="008939CD"/>
    <w:rsid w:val="008A7BE5"/>
    <w:rsid w:val="008B768C"/>
    <w:rsid w:val="008C4DB1"/>
    <w:rsid w:val="008C4EAF"/>
    <w:rsid w:val="008C5176"/>
    <w:rsid w:val="008C7FD0"/>
    <w:rsid w:val="008D29C1"/>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590A"/>
    <w:rsid w:val="00B53C56"/>
    <w:rsid w:val="00B57DAF"/>
    <w:rsid w:val="00B77EA6"/>
    <w:rsid w:val="00B81598"/>
    <w:rsid w:val="00B841F1"/>
    <w:rsid w:val="00B944D6"/>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331A1"/>
    <w:rsid w:val="00E33202"/>
    <w:rsid w:val="00E336A9"/>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A23E8"/>
    <w:rsid w:val="00FD3CC1"/>
    <w:rsid w:val="00FF1E02"/>
    <w:rsid w:val="00FF30B4"/>
    <w:rsid w:val="053A62B5"/>
    <w:rsid w:val="0A2032A3"/>
    <w:rsid w:val="0B8A37D8"/>
    <w:rsid w:val="0F33523D"/>
    <w:rsid w:val="10C055FF"/>
    <w:rsid w:val="11791376"/>
    <w:rsid w:val="118107EC"/>
    <w:rsid w:val="11DD6519"/>
    <w:rsid w:val="13075423"/>
    <w:rsid w:val="16BB723D"/>
    <w:rsid w:val="18015F3F"/>
    <w:rsid w:val="1BE8440E"/>
    <w:rsid w:val="1D155CEE"/>
    <w:rsid w:val="20F57F95"/>
    <w:rsid w:val="22A95D3D"/>
    <w:rsid w:val="240371BF"/>
    <w:rsid w:val="25711CC6"/>
    <w:rsid w:val="25C741E6"/>
    <w:rsid w:val="27842671"/>
    <w:rsid w:val="29FD04D3"/>
    <w:rsid w:val="2ABE7A3E"/>
    <w:rsid w:val="2C3C3E60"/>
    <w:rsid w:val="2CA234A8"/>
    <w:rsid w:val="2EFA178C"/>
    <w:rsid w:val="30B46D73"/>
    <w:rsid w:val="319F7F4E"/>
    <w:rsid w:val="31B30380"/>
    <w:rsid w:val="383D272C"/>
    <w:rsid w:val="39AE70AB"/>
    <w:rsid w:val="3C0C0783"/>
    <w:rsid w:val="3F9F3A96"/>
    <w:rsid w:val="455F7C02"/>
    <w:rsid w:val="48BF60AB"/>
    <w:rsid w:val="493C27E9"/>
    <w:rsid w:val="496F39ED"/>
    <w:rsid w:val="49E01506"/>
    <w:rsid w:val="49FF41D3"/>
    <w:rsid w:val="4BE068DB"/>
    <w:rsid w:val="4BF6002B"/>
    <w:rsid w:val="4ECE2238"/>
    <w:rsid w:val="4F121CDF"/>
    <w:rsid w:val="4FA15456"/>
    <w:rsid w:val="51DB4B86"/>
    <w:rsid w:val="55333C3E"/>
    <w:rsid w:val="5851787B"/>
    <w:rsid w:val="59FE7011"/>
    <w:rsid w:val="64CA39A1"/>
    <w:rsid w:val="69630ADE"/>
    <w:rsid w:val="6C4A05C8"/>
    <w:rsid w:val="6D3B1A89"/>
    <w:rsid w:val="71BF4EC2"/>
    <w:rsid w:val="72734D90"/>
    <w:rsid w:val="7412278C"/>
    <w:rsid w:val="76936743"/>
    <w:rsid w:val="770415C6"/>
    <w:rsid w:val="78BE455C"/>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4&#36164;&#26009;\2023&#24180;&#20915;&#36187;&#20844;&#24320;\&#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sz="1600">
                <a:latin typeface="宋体" panose="02010600030101010101" charset="-122"/>
                <a:ea typeface="宋体" panose="02010600030101010101" charset="-122"/>
                <a:cs typeface="宋体" panose="02010600030101010101" charset="-122"/>
              </a:rPr>
              <a:t>2023</a:t>
            </a:r>
            <a:r>
              <a:rPr altLang="en-US" sz="1600">
                <a:latin typeface="宋体" panose="02010600030101010101" charset="-122"/>
                <a:ea typeface="宋体" panose="02010600030101010101" charset="-122"/>
                <a:cs typeface="宋体" panose="02010600030101010101" charset="-122"/>
              </a:rPr>
              <a:t>年支出结构图</a:t>
            </a:r>
            <a:endParaRPr lang="en-US" altLang="zh-CN" sz="1600">
              <a:latin typeface="宋体" panose="02010600030101010101" charset="-122"/>
              <a:ea typeface="宋体" panose="02010600030101010101" charset="-122"/>
              <a:cs typeface="宋体" panose="02010600030101010101" charset="-122"/>
            </a:endParaRPr>
          </a:p>
        </c:rich>
      </c:tx>
      <c:layout>
        <c:manualLayout>
          <c:xMode val="edge"/>
          <c:yMode val="edge"/>
          <c:x val="0.341973684210526"/>
          <c:y val="0.042140690178232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[工作簿1.xlsx]Sheet1!$A$62:$A$63</c:f>
              <c:strCache>
                <c:ptCount val="2"/>
                <c:pt idx="0">
                  <c:v>基本支出</c:v>
                </c:pt>
                <c:pt idx="1">
                  <c:v>项目支出</c:v>
                </c:pt>
              </c:strCache>
            </c:strRef>
          </c:cat>
          <c:val>
            <c:numRef>
              <c:f>[工作簿1.xlsx]Sheet1!$B$62:$B$63</c:f>
              <c:numCache>
                <c:formatCode>0.00%</c:formatCode>
                <c:ptCount val="2"/>
                <c:pt idx="0">
                  <c:v>0.9223</c:v>
                </c:pt>
                <c:pt idx="1">
                  <c:v>0.0777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11585</Words>
  <Characters>12722</Characters>
  <Lines>7</Lines>
  <Paragraphs>19</Paragraphs>
  <TotalTime>23</TotalTime>
  <ScaleCrop>false</ScaleCrop>
  <LinksUpToDate>false</LinksUpToDate>
  <CharactersWithSpaces>12851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2024-08-28T01:46:06Z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A3837FA984434ABDAF55FFEF3F991B35_13</vt:lpwstr>
  </property>
</Properties>
</file>