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67" w:name="_GoBack"/>
      <w:bookmarkStart w:id="0" w:name="_Toc15306267"/>
    </w:p>
    <w:p>
      <w:pPr>
        <w:pStyle w:val="7"/>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b/>
          <w:sz w:val="56"/>
          <w:szCs w:val="72"/>
        </w:rPr>
      </w:pPr>
      <w:bookmarkStart w:id="1" w:name="_Toc15396597"/>
      <w:bookmarkStart w:id="2" w:name="_Toc15378441"/>
      <w:bookmarkStart w:id="3" w:name="_Toc15396475"/>
      <w:bookmarkStart w:id="4" w:name="_Toc15377193"/>
      <w:bookmarkStart w:id="5" w:name="_Toc15377425"/>
      <w:r>
        <w:rPr>
          <w:rFonts w:hint="eastAsia" w:ascii="方正小标宋简体" w:hAnsi="方正小标宋简体" w:eastAsia="方正小标宋简体" w:cs="方正小标宋简体"/>
          <w:b/>
          <w:sz w:val="56"/>
          <w:szCs w:val="72"/>
        </w:rPr>
        <w:t>2023年度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b/>
          <w:sz w:val="56"/>
          <w:szCs w:val="72"/>
        </w:rPr>
      </w:pPr>
      <w:bookmarkStart w:id="6" w:name="_Toc15396476"/>
      <w:bookmarkStart w:id="7" w:name="_Toc15396598"/>
      <w:bookmarkStart w:id="8" w:name="_Toc15377194"/>
      <w:bookmarkStart w:id="9" w:name="_Toc15306268"/>
      <w:bookmarkStart w:id="10" w:name="_Toc15377426"/>
      <w:bookmarkStart w:id="11" w:name="_Toc15378442"/>
      <w:r>
        <w:rPr>
          <w:rFonts w:hint="eastAsia" w:ascii="方正小标宋简体" w:hAnsi="方正小标宋简体" w:eastAsia="方正小标宋简体" w:cs="方正小标宋简体"/>
          <w:b/>
          <w:sz w:val="56"/>
          <w:szCs w:val="72"/>
        </w:rPr>
        <w:t>遂宁市</w:t>
      </w:r>
      <w:r>
        <w:rPr>
          <w:rFonts w:ascii="方正小标宋简体" w:hAnsi="方正小标宋简体" w:eastAsia="方正小标宋简体" w:cs="方正小标宋简体"/>
          <w:b/>
          <w:sz w:val="56"/>
          <w:szCs w:val="72"/>
        </w:rPr>
        <w:t>安居区会龙镇保山小学校</w:t>
      </w:r>
      <w:r>
        <w:rPr>
          <w:rFonts w:hint="eastAsia" w:ascii="方正小标宋简体" w:hAnsi="方正小标宋简体" w:eastAsia="方正小标宋简体" w:cs="方正小标宋简体"/>
          <w:b/>
          <w:sz w:val="56"/>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w:t>
      </w:r>
      <w:r>
        <w:t>4</w:t>
      </w:r>
      <w:r>
        <w:rPr>
          <w:rFonts w:hint="eastAsia"/>
        </w:rPr>
        <w:t>年</w:t>
      </w:r>
      <w:r>
        <w:t>8</w:t>
      </w:r>
      <w:r>
        <w:rPr>
          <w:rFonts w:hint="eastAsia"/>
        </w:rPr>
        <w:t>月</w:t>
      </w:r>
      <w:r>
        <w:t>2</w:t>
      </w:r>
      <w:r>
        <w:rPr>
          <w:rFonts w:hint="eastAsia"/>
        </w:rPr>
        <w:t>8日</w:t>
      </w:r>
    </w:p>
    <w:p/>
    <w:p>
      <w:pPr>
        <w:pStyle w:val="13"/>
        <w:tabs>
          <w:tab w:val="right" w:leader="dot" w:pos="7980"/>
          <w:tab w:val="right" w:leader="dot" w:pos="8190"/>
        </w:tabs>
        <w:adjustRightInd w:val="0"/>
        <w:snapToGrid w:val="0"/>
        <w:spacing w:before="0" w:line="440" w:lineRule="exact"/>
        <w:jc w:val="left"/>
        <w:rPr>
          <w:rFonts w:cstheme="minorBidi"/>
          <w:bCs/>
        </w:rPr>
      </w:pPr>
      <w:r>
        <w:rPr>
          <w:rFonts w:hint="eastAsia"/>
          <w:b/>
        </w:rPr>
        <w:t>第一部分</w:t>
      </w:r>
      <w:r>
        <w:rPr>
          <w:b/>
        </w:rPr>
        <w:t xml:space="preserve"> </w:t>
      </w:r>
      <w:r>
        <w:rPr>
          <w:rFonts w:hint="eastAsia"/>
          <w:b/>
        </w:rPr>
        <w:t>单位概况</w:t>
      </w:r>
      <w:r>
        <w:rPr>
          <w:rFonts w:hint="eastAsia" w:ascii="Times New Roman" w:hAnsi="Times New Roman" w:eastAsia="宋体"/>
          <w:sz w:val="24"/>
          <w:szCs w:val="24"/>
        </w:rPr>
        <w:t>…………………………………………………………4</w:t>
      </w:r>
    </w:p>
    <w:p>
      <w:pPr>
        <w:pStyle w:val="14"/>
        <w:tabs>
          <w:tab w:val="right" w:leader="dot" w:pos="7980"/>
          <w:tab w:val="right" w:leader="dot" w:pos="8190"/>
        </w:tabs>
        <w:adjustRightInd w:val="0"/>
        <w:snapToGrid w:val="0"/>
        <w:spacing w:line="440" w:lineRule="exact"/>
        <w:jc w:val="left"/>
        <w:rPr>
          <w:sz w:val="24"/>
        </w:rPr>
      </w:pPr>
      <w:r>
        <w:rPr>
          <w:rFonts w:hint="eastAsia"/>
          <w:sz w:val="24"/>
        </w:rPr>
        <w:t>一、主要职责</w:t>
      </w:r>
      <w:r>
        <w:rPr>
          <w:rFonts w:hint="eastAsia"/>
          <w:sz w:val="15"/>
          <w:szCs w:val="15"/>
        </w:rPr>
        <w:t xml:space="preserve"> </w:t>
      </w:r>
      <w:r>
        <w:rPr>
          <w:rFonts w:hint="eastAsia"/>
          <w:sz w:val="24"/>
        </w:rPr>
        <w:t>………………………………………………………………</w:t>
      </w:r>
      <w:r>
        <w:rPr>
          <w:sz w:val="24"/>
        </w:rPr>
        <w:t>4</w:t>
      </w:r>
    </w:p>
    <w:p>
      <w:pPr>
        <w:pStyle w:val="14"/>
        <w:tabs>
          <w:tab w:val="right" w:leader="dot" w:pos="7980"/>
          <w:tab w:val="right" w:leader="dot" w:pos="8190"/>
        </w:tabs>
        <w:adjustRightInd w:val="0"/>
        <w:snapToGrid w:val="0"/>
        <w:spacing w:line="440" w:lineRule="exact"/>
        <w:jc w:val="left"/>
        <w:rPr>
          <w:sz w:val="24"/>
        </w:rPr>
      </w:pPr>
      <w:r>
        <w:rPr>
          <w:rFonts w:hint="eastAsia"/>
          <w:sz w:val="24"/>
        </w:rPr>
        <w:t>二、机构设置</w:t>
      </w:r>
      <w:r>
        <w:rPr>
          <w:rFonts w:hint="eastAsia"/>
          <w:sz w:val="15"/>
          <w:szCs w:val="15"/>
        </w:rPr>
        <w:t xml:space="preserve"> </w:t>
      </w:r>
      <w:r>
        <w:rPr>
          <w:rFonts w:hint="eastAsia"/>
          <w:sz w:val="24"/>
        </w:rPr>
        <w:t>………………………………………………………………4</w:t>
      </w:r>
    </w:p>
    <w:p>
      <w:pPr>
        <w:pStyle w:val="13"/>
        <w:tabs>
          <w:tab w:val="right" w:leader="dot" w:pos="7980"/>
          <w:tab w:val="right" w:leader="dot" w:pos="8190"/>
        </w:tabs>
        <w:adjustRightInd w:val="0"/>
        <w:snapToGrid w:val="0"/>
        <w:spacing w:before="0" w:line="440" w:lineRule="exact"/>
        <w:jc w:val="left"/>
        <w:rPr>
          <w:rFonts w:ascii="Times New Roman" w:hAnsi="Times New Roman" w:eastAsia="宋体"/>
          <w:sz w:val="24"/>
          <w:szCs w:val="24"/>
        </w:rPr>
      </w:pPr>
      <w:r>
        <w:rPr>
          <w:rFonts w:hint="eastAsia"/>
          <w:b/>
        </w:rPr>
        <w:t>第二部分 2023年度单位决算情况说明</w:t>
      </w:r>
      <w:r>
        <w:rPr>
          <w:rFonts w:hint="eastAsia"/>
          <w:b/>
          <w:sz w:val="22"/>
          <w:szCs w:val="22"/>
        </w:rPr>
        <w:t xml:space="preserve"> </w:t>
      </w:r>
      <w:r>
        <w:rPr>
          <w:rFonts w:hint="eastAsia" w:ascii="Times New Roman" w:hAnsi="Times New Roman" w:eastAsia="宋体"/>
          <w:sz w:val="24"/>
          <w:szCs w:val="24"/>
        </w:rPr>
        <w:t>………………………………5</w:t>
      </w:r>
    </w:p>
    <w:p>
      <w:pPr>
        <w:pStyle w:val="14"/>
        <w:tabs>
          <w:tab w:val="right" w:leader="dot" w:pos="7980"/>
          <w:tab w:val="right" w:leader="dot" w:pos="8190"/>
        </w:tabs>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sz w:val="16"/>
          <w:szCs w:val="16"/>
        </w:rPr>
        <w:t xml:space="preserve"> </w:t>
      </w:r>
      <w:r>
        <w:rPr>
          <w:rFonts w:hint="eastAsia"/>
          <w:sz w:val="24"/>
        </w:rPr>
        <w:t>…………………………………………5</w:t>
      </w:r>
    </w:p>
    <w:p>
      <w:pPr>
        <w:pStyle w:val="14"/>
        <w:tabs>
          <w:tab w:val="right" w:leader="dot" w:pos="7980"/>
          <w:tab w:val="right" w:leader="dot" w:pos="8190"/>
        </w:tabs>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sz w:val="16"/>
          <w:szCs w:val="16"/>
        </w:rPr>
        <w:t xml:space="preserve"> </w:t>
      </w:r>
      <w:r>
        <w:rPr>
          <w:rFonts w:hint="eastAsia"/>
          <w:sz w:val="24"/>
        </w:rPr>
        <w:t>……………………………………………………5</w:t>
      </w:r>
    </w:p>
    <w:p>
      <w:pPr>
        <w:pStyle w:val="14"/>
        <w:tabs>
          <w:tab w:val="right" w:leader="dot" w:pos="7980"/>
          <w:tab w:val="right" w:leader="dot" w:pos="8190"/>
        </w:tabs>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sz w:val="15"/>
          <w:szCs w:val="15"/>
        </w:rPr>
        <w:t xml:space="preserve"> </w:t>
      </w:r>
      <w:r>
        <w:rPr>
          <w:rFonts w:hint="eastAsia"/>
          <w:sz w:val="24"/>
        </w:rPr>
        <w:t>……………………………………………………6</w:t>
      </w:r>
    </w:p>
    <w:p>
      <w:pPr>
        <w:pStyle w:val="14"/>
        <w:tabs>
          <w:tab w:val="right" w:leader="dot" w:pos="7980"/>
          <w:tab w:val="right" w:leader="dot" w:pos="8190"/>
        </w:tabs>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sz w:val="15"/>
          <w:szCs w:val="15"/>
        </w:rPr>
        <w:t xml:space="preserve"> </w:t>
      </w:r>
      <w:r>
        <w:rPr>
          <w:rFonts w:hint="eastAsia"/>
          <w:sz w:val="24"/>
        </w:rPr>
        <w:t>………………………………7</w:t>
      </w:r>
    </w:p>
    <w:p>
      <w:pPr>
        <w:pStyle w:val="14"/>
        <w:tabs>
          <w:tab w:val="right" w:leader="dot" w:pos="7980"/>
          <w:tab w:val="right" w:leader="dot" w:pos="8190"/>
        </w:tabs>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sz w:val="16"/>
          <w:szCs w:val="16"/>
        </w:rPr>
        <w:t xml:space="preserve"> </w:t>
      </w:r>
      <w:r>
        <w:rPr>
          <w:rFonts w:hint="eastAsia"/>
          <w:sz w:val="24"/>
        </w:rPr>
        <w:t>…………………………8</w:t>
      </w:r>
    </w:p>
    <w:p>
      <w:pPr>
        <w:pStyle w:val="14"/>
        <w:tabs>
          <w:tab w:val="right" w:leader="dot" w:pos="7980"/>
          <w:tab w:val="right" w:leader="dot" w:pos="8190"/>
        </w:tabs>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六、一般公共预算财政拨款基本支出决算情况说明……………………10</w:t>
      </w:r>
    </w:p>
    <w:p>
      <w:pPr>
        <w:pStyle w:val="14"/>
        <w:tabs>
          <w:tab w:val="right" w:leader="dot" w:pos="7980"/>
          <w:tab w:val="right" w:leader="dot" w:pos="8190"/>
        </w:tabs>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sz w:val="24"/>
        </w:rPr>
        <w:t>10</w:t>
      </w:r>
    </w:p>
    <w:p>
      <w:pPr>
        <w:pStyle w:val="14"/>
        <w:tabs>
          <w:tab w:val="right" w:leader="dot" w:pos="7980"/>
          <w:tab w:val="right" w:leader="dot" w:pos="8190"/>
        </w:tabs>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sz w:val="6"/>
          <w:szCs w:val="6"/>
        </w:rPr>
        <w:t xml:space="preserve"> </w:t>
      </w:r>
      <w:r>
        <w:rPr>
          <w:rFonts w:hint="eastAsia"/>
          <w:sz w:val="24"/>
        </w:rPr>
        <w:t>…………………………………</w:t>
      </w:r>
      <w:r>
        <w:rPr>
          <w:sz w:val="24"/>
        </w:rPr>
        <w:t>12</w:t>
      </w:r>
    </w:p>
    <w:p>
      <w:pPr>
        <w:pStyle w:val="14"/>
        <w:tabs>
          <w:tab w:val="right" w:leader="dot" w:pos="7980"/>
          <w:tab w:val="right" w:leader="dot" w:pos="8190"/>
        </w:tabs>
        <w:adjustRightInd w:val="0"/>
        <w:snapToGrid w:val="0"/>
        <w:spacing w:line="440" w:lineRule="exact"/>
        <w:jc w:val="left"/>
        <w:rPr>
          <w:sz w:val="24"/>
        </w:rPr>
      </w:pPr>
      <w:r>
        <w:rPr>
          <w:rFonts w:hint="eastAsia"/>
          <w:sz w:val="24"/>
        </w:rPr>
        <w:t>九、国有资本经营预算支出决算情况说明</w:t>
      </w:r>
      <w:r>
        <w:rPr>
          <w:rFonts w:hint="eastAsia"/>
          <w:sz w:val="10"/>
          <w:szCs w:val="10"/>
        </w:rPr>
        <w:t xml:space="preserve"> </w:t>
      </w:r>
      <w:r>
        <w:rPr>
          <w:rFonts w:hint="eastAsia"/>
          <w:sz w:val="24"/>
        </w:rPr>
        <w:t>………………………………</w:t>
      </w:r>
      <w:r>
        <w:rPr>
          <w:sz w:val="24"/>
        </w:rPr>
        <w:t>12</w:t>
      </w:r>
    </w:p>
    <w:p>
      <w:pPr>
        <w:pStyle w:val="14"/>
        <w:tabs>
          <w:tab w:val="right" w:leader="dot" w:pos="7980"/>
          <w:tab w:val="right" w:leader="dot" w:pos="8190"/>
        </w:tabs>
        <w:adjustRightInd w:val="0"/>
        <w:snapToGrid w:val="0"/>
        <w:spacing w:line="440" w:lineRule="exact"/>
        <w:jc w:val="left"/>
        <w:rPr>
          <w:sz w:val="24"/>
        </w:rPr>
      </w:pPr>
      <w:r>
        <w:rPr>
          <w:rFonts w:hint="eastAsia"/>
          <w:sz w:val="24"/>
        </w:rPr>
        <w:t>十、其他重要事项的情况说明</w:t>
      </w:r>
      <w:r>
        <w:rPr>
          <w:rFonts w:hint="eastAsia"/>
          <w:sz w:val="10"/>
          <w:szCs w:val="10"/>
        </w:rPr>
        <w:t xml:space="preserve"> </w:t>
      </w:r>
      <w:r>
        <w:rPr>
          <w:rFonts w:hint="eastAsia"/>
          <w:sz w:val="24"/>
        </w:rPr>
        <w:t>……………………………………………</w:t>
      </w:r>
      <w:r>
        <w:rPr>
          <w:sz w:val="24"/>
        </w:rPr>
        <w:t>12</w:t>
      </w:r>
    </w:p>
    <w:p>
      <w:pPr>
        <w:pStyle w:val="13"/>
        <w:tabs>
          <w:tab w:val="right" w:leader="dot" w:pos="7980"/>
          <w:tab w:val="right" w:leader="dot" w:pos="8190"/>
        </w:tabs>
        <w:adjustRightInd w:val="0"/>
        <w:snapToGrid w:val="0"/>
        <w:spacing w:before="0" w:line="440" w:lineRule="exact"/>
        <w:jc w:val="left"/>
        <w:rPr>
          <w:rFonts w:cstheme="minorBidi"/>
          <w:sz w:val="24"/>
          <w:szCs w:val="24"/>
        </w:rPr>
      </w:pPr>
      <w:r>
        <w:rPr>
          <w:rFonts w:hint="eastAsia"/>
          <w:b/>
        </w:rPr>
        <w:t>第三部分</w:t>
      </w:r>
      <w:r>
        <w:rPr>
          <w:b/>
        </w:rPr>
        <w:t xml:space="preserve"> </w:t>
      </w:r>
      <w:r>
        <w:rPr>
          <w:rFonts w:hint="eastAsia"/>
          <w:b/>
        </w:rPr>
        <w:t>名词解释</w:t>
      </w:r>
      <w:r>
        <w:rPr>
          <w:rFonts w:hint="eastAsia"/>
          <w:sz w:val="24"/>
        </w:rPr>
        <w:t>………</w:t>
      </w:r>
      <w:r>
        <w:rPr>
          <w:sz w:val="24"/>
        </w:rPr>
        <w:t>…………………………………………………14</w:t>
      </w:r>
    </w:p>
    <w:p>
      <w:pPr>
        <w:pStyle w:val="13"/>
        <w:tabs>
          <w:tab w:val="right" w:leader="dot" w:pos="7980"/>
          <w:tab w:val="right" w:leader="dot" w:pos="8190"/>
        </w:tabs>
        <w:adjustRightInd w:val="0"/>
        <w:snapToGrid w:val="0"/>
        <w:spacing w:before="0" w:line="440" w:lineRule="exact"/>
        <w:jc w:val="left"/>
        <w:rPr>
          <w:rFonts w:cstheme="minorBidi"/>
          <w:sz w:val="24"/>
          <w:szCs w:val="24"/>
        </w:rPr>
      </w:pPr>
      <w:r>
        <w:rPr>
          <w:rFonts w:hint="eastAsia"/>
          <w:b/>
        </w:rPr>
        <w:t>第四部分</w:t>
      </w:r>
      <w:r>
        <w:rPr>
          <w:b/>
        </w:rPr>
        <w:t xml:space="preserve"> </w:t>
      </w:r>
      <w:r>
        <w:rPr>
          <w:rFonts w:hint="eastAsia"/>
          <w:b/>
        </w:rPr>
        <w:t>附件</w:t>
      </w:r>
      <w:r>
        <w:rPr>
          <w:rFonts w:hint="eastAsia"/>
          <w:b/>
          <w:sz w:val="16"/>
          <w:szCs w:val="16"/>
        </w:rPr>
        <w:t xml:space="preserve"> </w:t>
      </w:r>
      <w:r>
        <w:rPr>
          <w:rFonts w:hint="eastAsia"/>
          <w:sz w:val="24"/>
        </w:rPr>
        <w:t>……</w:t>
      </w:r>
      <w:r>
        <w:rPr>
          <w:sz w:val="24"/>
        </w:rPr>
        <w:t>…………………………………………………………17</w:t>
      </w:r>
    </w:p>
    <w:p>
      <w:pPr>
        <w:pStyle w:val="13"/>
        <w:tabs>
          <w:tab w:val="right" w:leader="dot" w:pos="7980"/>
          <w:tab w:val="right" w:leader="dot" w:pos="8190"/>
        </w:tabs>
        <w:adjustRightInd w:val="0"/>
        <w:snapToGrid w:val="0"/>
        <w:spacing w:before="0" w:line="440" w:lineRule="exact"/>
        <w:jc w:val="left"/>
        <w:rPr>
          <w:b/>
        </w:rPr>
      </w:pPr>
      <w:r>
        <w:rPr>
          <w:rFonts w:hint="eastAsia"/>
          <w:b/>
        </w:rPr>
        <w:t>第五部分</w:t>
      </w:r>
      <w:r>
        <w:rPr>
          <w:b/>
        </w:rPr>
        <w:t xml:space="preserve"> </w:t>
      </w:r>
      <w:r>
        <w:rPr>
          <w:rFonts w:hint="eastAsia"/>
          <w:b/>
        </w:rPr>
        <w:t>附表</w:t>
      </w:r>
      <w:r>
        <w:rPr>
          <w:rFonts w:hint="eastAsia"/>
          <w:b/>
          <w:sz w:val="16"/>
          <w:szCs w:val="16"/>
        </w:rPr>
        <w:t xml:space="preserve"> </w:t>
      </w:r>
      <w:r>
        <w:rPr>
          <w:rFonts w:hint="eastAsia" w:ascii="Times New Roman" w:hAnsi="Times New Roman" w:eastAsia="宋体"/>
          <w:sz w:val="24"/>
          <w:szCs w:val="24"/>
        </w:rPr>
        <w:t>………………………………………………………………34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一、收入支出决算总表……………………………………………………34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二、收入决算表……………………………………………………………34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三、支出决算表……………………………………………………………34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四、财政拨款收入支出决算总……………………………………………34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五、财政拨款支出决算明细表……………………………………………34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六、一般公共预算财政拨款支出决算表…………………………………34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七、一般公共预算财政拨款支出决算明细表……………………………34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八、一般公共预算财政拨款基本支出决算明细表………………………34</w:t>
      </w:r>
    </w:p>
    <w:p>
      <w:pPr>
        <w:pStyle w:val="14"/>
        <w:tabs>
          <w:tab w:val="right" w:leader="dot" w:pos="7980"/>
          <w:tab w:val="right" w:leader="dot" w:pos="8190"/>
        </w:tabs>
        <w:adjustRightInd w:val="0"/>
        <w:snapToGrid w:val="0"/>
        <w:spacing w:line="440" w:lineRule="exact"/>
        <w:ind w:firstLine="480" w:firstLineChars="200"/>
        <w:jc w:val="left"/>
        <w:rPr>
          <w:sz w:val="24"/>
        </w:rPr>
      </w:pP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九、一般公共预算财政拨款项目支出决算表……………………………34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十、政府性基金预算财政拨款收入支出决算表…………………………34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十一、国有资本经营预算财政拨款收入支出决算表……………………34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十二、国有资本经营预算财政拨款支出决算表…………………………34</w:t>
      </w:r>
    </w:p>
    <w:p>
      <w:pPr>
        <w:pStyle w:val="13"/>
        <w:tabs>
          <w:tab w:val="right" w:leader="dot" w:pos="7980"/>
          <w:tab w:val="right" w:leader="dot" w:pos="8190"/>
        </w:tabs>
        <w:adjustRightInd w:val="0"/>
        <w:snapToGrid w:val="0"/>
        <w:spacing w:before="0" w:line="44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十三、财政拨款“三公”经费支出决算表………………………………34</w:t>
      </w:r>
    </w:p>
    <w:p>
      <w:pPr>
        <w:pStyle w:val="14"/>
        <w:tabs>
          <w:tab w:val="right" w:leader="dot" w:pos="7980"/>
          <w:tab w:val="right" w:leader="dot" w:pos="8190"/>
        </w:tabs>
        <w:adjustRightInd w:val="0"/>
        <w:snapToGrid w:val="0"/>
        <w:spacing w:line="440" w:lineRule="exact"/>
        <w:ind w:firstLine="480" w:firstLineChars="200"/>
        <w:jc w:val="left"/>
        <w:rPr>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31"/>
          <w:rFonts w:ascii="黑体" w:hAnsi="黑体" w:eastAsia="黑体"/>
          <w:b/>
          <w:bCs w:val="0"/>
        </w:rPr>
      </w:pPr>
      <w:r>
        <w:rPr>
          <w:rFonts w:hint="eastAsia" w:ascii="黑体" w:hAnsi="黑体" w:eastAsia="黑体"/>
          <w:b w:val="0"/>
        </w:rPr>
        <w:t>第一部分 单位</w:t>
      </w:r>
      <w:r>
        <w:rPr>
          <w:rStyle w:val="31"/>
          <w:rFonts w:hint="eastAsia" w:ascii="黑体" w:hAnsi="黑体" w:eastAsia="黑体"/>
          <w:b w:val="0"/>
          <w:bCs w:val="0"/>
        </w:rPr>
        <w:t>概况</w:t>
      </w:r>
      <w:bookmarkEnd w:id="12"/>
      <w:bookmarkEnd w:id="13"/>
    </w:p>
    <w:p>
      <w:pPr>
        <w:pStyle w:val="4"/>
        <w:numPr>
          <w:ilvl w:val="0"/>
          <w:numId w:val="1"/>
        </w:numPr>
        <w:rPr>
          <w:rStyle w:val="32"/>
          <w:rFonts w:ascii="黑体" w:hAnsi="黑体" w:eastAsia="黑体"/>
          <w:b w:val="0"/>
          <w:bCs w:val="0"/>
        </w:rPr>
      </w:pPr>
      <w:bookmarkStart w:id="14" w:name="_Toc15377197"/>
      <w:bookmarkStart w:id="15" w:name="_Toc15396600"/>
      <w:r>
        <w:rPr>
          <w:rStyle w:val="32"/>
          <w:rFonts w:hint="eastAsia" w:ascii="黑体" w:hAnsi="黑体" w:eastAsia="黑体"/>
          <w:b w:val="0"/>
          <w:bCs w:val="0"/>
        </w:rPr>
        <w:t>主要职责</w:t>
      </w:r>
    </w:p>
    <w:p>
      <w:pPr>
        <w:ind w:firstLine="640" w:firstLineChars="200"/>
        <w:rPr>
          <w:rFonts w:ascii="仿宋" w:hAnsi="仿宋" w:eastAsia="仿宋"/>
          <w:sz w:val="32"/>
          <w:szCs w:val="32"/>
        </w:rPr>
      </w:pPr>
      <w:r>
        <w:rPr>
          <w:rFonts w:hint="eastAsia" w:ascii="仿宋" w:hAnsi="仿宋" w:eastAsia="仿宋"/>
          <w:sz w:val="32"/>
          <w:szCs w:val="32"/>
        </w:rPr>
        <w:t>（1）正确贯彻执行党和国家的教育方针、政策、法规。</w:t>
      </w:r>
    </w:p>
    <w:p>
      <w:pPr>
        <w:ind w:firstLine="640" w:firstLineChars="200"/>
        <w:rPr>
          <w:rFonts w:ascii="仿宋" w:hAnsi="仿宋" w:eastAsia="仿宋"/>
          <w:sz w:val="32"/>
          <w:szCs w:val="32"/>
        </w:rPr>
      </w:pPr>
      <w:r>
        <w:rPr>
          <w:rFonts w:hint="eastAsia" w:ascii="仿宋" w:hAnsi="仿宋" w:eastAsia="仿宋"/>
          <w:sz w:val="32"/>
          <w:szCs w:val="32"/>
        </w:rPr>
        <w:t>（2）维护学校的教学秩序，为学生创造良好的学习环境;</w:t>
      </w:r>
    </w:p>
    <w:p>
      <w:pPr>
        <w:ind w:firstLine="640" w:firstLineChars="200"/>
        <w:rPr>
          <w:rFonts w:ascii="仿宋" w:hAnsi="仿宋" w:eastAsia="仿宋"/>
          <w:sz w:val="32"/>
          <w:szCs w:val="32"/>
        </w:rPr>
      </w:pPr>
      <w:r>
        <w:rPr>
          <w:rFonts w:hint="eastAsia" w:ascii="仿宋" w:hAnsi="仿宋" w:eastAsia="仿宋"/>
          <w:sz w:val="32"/>
          <w:szCs w:val="32"/>
        </w:rPr>
        <w:t>（3）积极稳妥地推进教育改革，按教育规律办事，不断提高教育质量;</w:t>
      </w:r>
    </w:p>
    <w:p>
      <w:pPr>
        <w:ind w:firstLine="640" w:firstLineChars="200"/>
        <w:rPr>
          <w:rFonts w:ascii="仿宋" w:hAnsi="仿宋" w:eastAsia="仿宋"/>
          <w:sz w:val="32"/>
          <w:szCs w:val="32"/>
        </w:rPr>
      </w:pPr>
      <w:r>
        <w:rPr>
          <w:rFonts w:hint="eastAsia" w:ascii="仿宋" w:hAnsi="仿宋" w:eastAsia="仿宋"/>
          <w:sz w:val="32"/>
          <w:szCs w:val="32"/>
        </w:rPr>
        <w:t>（4）根据学校规模，设置学校管理机构，建立健全各项规章制度和岗位责任制。</w:t>
      </w:r>
    </w:p>
    <w:p>
      <w:pPr>
        <w:ind w:firstLine="640" w:firstLineChars="200"/>
        <w:rPr>
          <w:rFonts w:ascii="仿宋" w:hAnsi="仿宋" w:eastAsia="仿宋"/>
          <w:sz w:val="32"/>
          <w:szCs w:val="32"/>
        </w:rPr>
      </w:pPr>
      <w:r>
        <w:rPr>
          <w:rFonts w:hint="eastAsia" w:ascii="仿宋" w:hAnsi="仿宋" w:eastAsia="仿宋"/>
          <w:sz w:val="32"/>
          <w:szCs w:val="32"/>
        </w:rPr>
        <w:t>（5）坚持教书育人，服务育人，环境育人方针，加强对学生的思想品德教育，使学生的德智体全面发展。</w:t>
      </w:r>
    </w:p>
    <w:p>
      <w:pPr>
        <w:ind w:firstLine="640" w:firstLineChars="200"/>
        <w:rPr>
          <w:rFonts w:ascii="仿宋" w:hAnsi="仿宋" w:eastAsia="仿宋"/>
          <w:sz w:val="32"/>
          <w:szCs w:val="32"/>
        </w:rPr>
      </w:pPr>
      <w:r>
        <w:rPr>
          <w:rFonts w:hint="eastAsia" w:ascii="仿宋" w:hAnsi="仿宋" w:eastAsia="仿宋"/>
          <w:sz w:val="32"/>
          <w:szCs w:val="32"/>
        </w:rPr>
        <w:t>（6）抓好教师队伍建设，使每个教师都热心于教育事业;</w:t>
      </w:r>
    </w:p>
    <w:p>
      <w:pPr>
        <w:ind w:firstLine="640" w:firstLineChars="200"/>
        <w:rPr>
          <w:rFonts w:ascii="仿宋" w:hAnsi="仿宋" w:eastAsia="仿宋"/>
          <w:sz w:val="32"/>
          <w:szCs w:val="32"/>
        </w:rPr>
      </w:pPr>
      <w:r>
        <w:rPr>
          <w:rFonts w:hint="eastAsia" w:ascii="仿宋" w:hAnsi="仿宋" w:eastAsia="仿宋"/>
          <w:sz w:val="32"/>
          <w:szCs w:val="32"/>
        </w:rPr>
        <w:t>（7）做好安全防范，保证学生的</w:t>
      </w:r>
      <w:r>
        <w:rPr>
          <w:rFonts w:hint="eastAsia" w:ascii="仿宋" w:hAnsi="仿宋" w:eastAsia="仿宋"/>
          <w:sz w:val="32"/>
          <w:szCs w:val="32"/>
          <w:lang w:eastAsia="zh-CN"/>
        </w:rPr>
        <w:t>人身安全</w:t>
      </w:r>
      <w:r>
        <w:rPr>
          <w:rFonts w:hint="eastAsia" w:ascii="仿宋" w:hAnsi="仿宋" w:eastAsia="仿宋"/>
          <w:sz w:val="32"/>
          <w:szCs w:val="32"/>
        </w:rPr>
        <w:t>。</w:t>
      </w:r>
    </w:p>
    <w:p>
      <w:pPr>
        <w:pStyle w:val="4"/>
        <w:rPr>
          <w:rFonts w:ascii="黑体" w:hAnsi="黑体" w:eastAsia="黑体"/>
          <w:b w:val="0"/>
        </w:rPr>
      </w:pPr>
      <w:r>
        <w:rPr>
          <w:rFonts w:hint="eastAsia" w:ascii="黑体" w:hAnsi="黑体" w:eastAsia="黑体"/>
          <w:b w:val="0"/>
        </w:rPr>
        <w:t>二、机构设置</w:t>
      </w:r>
    </w:p>
    <w:p>
      <w:pPr>
        <w:ind w:firstLine="640" w:firstLineChars="200"/>
        <w:rPr>
          <w:rFonts w:ascii="仿宋" w:hAnsi="仿宋" w:eastAsia="仿宋"/>
          <w:sz w:val="32"/>
          <w:szCs w:val="32"/>
        </w:rPr>
      </w:pPr>
      <w:r>
        <w:rPr>
          <w:rFonts w:hint="eastAsia" w:ascii="仿宋" w:hAnsi="仿宋" w:eastAsia="仿宋"/>
          <w:sz w:val="32"/>
          <w:szCs w:val="32"/>
        </w:rPr>
        <w:t xml:space="preserve"> 遂宁市安居区会龙镇保山小学校属于公益一类事业单位，无下属二级预算单位。学校的主管部门为遂宁市安居区教育和体育局。</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31"/>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31"/>
          <w:rFonts w:hint="eastAsia" w:ascii="黑体" w:hAnsi="黑体" w:eastAsia="黑体"/>
          <w:b w:val="0"/>
          <w:bCs/>
        </w:rPr>
        <w:t>单位决算情况说明</w:t>
      </w:r>
      <w:bookmarkEnd w:id="16"/>
      <w:bookmarkEnd w:id="17"/>
    </w:p>
    <w:p>
      <w:pPr>
        <w:pStyle w:val="30"/>
        <w:numPr>
          <w:ilvl w:val="0"/>
          <w:numId w:val="2"/>
        </w:numPr>
        <w:spacing w:line="600" w:lineRule="exact"/>
        <w:ind w:firstLineChars="0"/>
        <w:outlineLvl w:val="1"/>
        <w:rPr>
          <w:rStyle w:val="32"/>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473.11</w:t>
      </w:r>
      <w:r>
        <w:rPr>
          <w:rFonts w:hint="eastAsia" w:ascii="仿宋" w:hAnsi="仿宋" w:eastAsia="仿宋"/>
          <w:sz w:val="32"/>
          <w:szCs w:val="32"/>
        </w:rPr>
        <w:t>万元。与2022年度相比，收入总计增加</w:t>
      </w:r>
      <w:r>
        <w:rPr>
          <w:rFonts w:ascii="仿宋" w:hAnsi="仿宋" w:eastAsia="仿宋"/>
          <w:sz w:val="32"/>
          <w:szCs w:val="32"/>
        </w:rPr>
        <w:t>246.80</w:t>
      </w:r>
      <w:r>
        <w:rPr>
          <w:rFonts w:hint="eastAsia" w:ascii="仿宋" w:hAnsi="仿宋" w:eastAsia="仿宋"/>
          <w:sz w:val="32"/>
          <w:szCs w:val="32"/>
        </w:rPr>
        <w:t>万元，增长109.05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区划调整，2022年1-6月在高新区核算；财政</w:t>
      </w:r>
      <w:r>
        <w:rPr>
          <w:rFonts w:ascii="仿宋" w:hAnsi="仿宋" w:eastAsia="仿宋"/>
          <w:color w:val="000000"/>
          <w:sz w:val="32"/>
          <w:szCs w:val="32"/>
        </w:rPr>
        <w:t>经费发生变化</w:t>
      </w:r>
      <w:r>
        <w:rPr>
          <w:rFonts w:hint="eastAsia" w:ascii="仿宋" w:hAnsi="仿宋" w:eastAsia="仿宋"/>
          <w:sz w:val="32"/>
          <w:szCs w:val="32"/>
        </w:rPr>
        <w:t>。支出总计增加</w:t>
      </w:r>
      <w:r>
        <w:rPr>
          <w:rFonts w:ascii="仿宋" w:hAnsi="仿宋" w:eastAsia="仿宋"/>
          <w:sz w:val="32"/>
          <w:szCs w:val="32"/>
        </w:rPr>
        <w:t>246.80</w:t>
      </w:r>
      <w:r>
        <w:rPr>
          <w:rFonts w:hint="eastAsia" w:ascii="仿宋" w:hAnsi="仿宋" w:eastAsia="仿宋"/>
          <w:sz w:val="32"/>
          <w:szCs w:val="32"/>
        </w:rPr>
        <w:t>万元，增长109.05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区划调整，2022年1-6月在高新区核算；财政</w:t>
      </w:r>
      <w:r>
        <w:rPr>
          <w:rFonts w:ascii="仿宋" w:hAnsi="仿宋" w:eastAsia="仿宋"/>
          <w:color w:val="000000"/>
          <w:sz w:val="32"/>
          <w:szCs w:val="32"/>
        </w:rPr>
        <w:t>经费发生变化</w:t>
      </w:r>
      <w:r>
        <w:rPr>
          <w:rFonts w:hint="eastAsia" w:ascii="仿宋" w:hAnsi="仿宋" w:eastAsia="仿宋"/>
          <w:sz w:val="32"/>
          <w:szCs w:val="32"/>
        </w:rPr>
        <w:t>。</w:t>
      </w:r>
    </w:p>
    <w:p>
      <w:pPr>
        <w:pStyle w:val="2"/>
      </w:pPr>
      <w:r>
        <w:drawing>
          <wp:inline distT="0" distB="0" distL="0" distR="0">
            <wp:extent cx="5274310" cy="3076575"/>
            <wp:effectExtent l="0" t="0" r="254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0"/>
        <w:numPr>
          <w:ilvl w:val="0"/>
          <w:numId w:val="2"/>
        </w:numPr>
        <w:spacing w:line="600" w:lineRule="exact"/>
        <w:ind w:firstLineChars="0"/>
        <w:outlineLvl w:val="1"/>
        <w:rPr>
          <w:rStyle w:val="32"/>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2"/>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473.11</w:t>
      </w:r>
      <w:r>
        <w:rPr>
          <w:rFonts w:hint="eastAsia" w:ascii="仿宋" w:hAnsi="仿宋" w:eastAsia="仿宋"/>
          <w:sz w:val="32"/>
          <w:szCs w:val="32"/>
        </w:rPr>
        <w:t>万元，其中：一般公共预算财政拨款收入</w:t>
      </w:r>
      <w:r>
        <w:rPr>
          <w:rFonts w:ascii="仿宋" w:hAnsi="仿宋" w:eastAsia="仿宋"/>
          <w:b/>
          <w:sz w:val="32"/>
          <w:szCs w:val="32"/>
        </w:rPr>
        <w:t>473.11</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pPr>
        <w:spacing w:line="600" w:lineRule="exact"/>
        <w:ind w:firstLine="640" w:firstLineChars="200"/>
        <w:outlineLvl w:val="1"/>
        <w:rPr>
          <w:rFonts w:ascii="仿宋" w:hAnsi="仿宋" w:eastAsia="仿宋"/>
          <w:b/>
          <w:sz w:val="32"/>
          <w:szCs w:val="32"/>
        </w:rPr>
      </w:pPr>
      <w:r>
        <w:rPr>
          <w:rFonts w:ascii="仿宋" w:hAnsi="仿宋" w:eastAsia="仿宋"/>
          <w:sz w:val="32"/>
          <w:szCs w:val="32"/>
        </w:rPr>
        <w:drawing>
          <wp:anchor distT="0" distB="0" distL="114300" distR="114300" simplePos="0" relativeHeight="251658240" behindDoc="0" locked="0" layoutInCell="1" allowOverlap="1">
            <wp:simplePos x="0" y="0"/>
            <wp:positionH relativeFrom="column">
              <wp:posOffset>215265</wp:posOffset>
            </wp:positionH>
            <wp:positionV relativeFrom="paragraph">
              <wp:posOffset>527685</wp:posOffset>
            </wp:positionV>
            <wp:extent cx="5274310" cy="3076575"/>
            <wp:effectExtent l="0" t="0" r="2540"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（图2：收入决算结构图）（饼状图）</w:t>
      </w:r>
    </w:p>
    <w:p>
      <w:pPr>
        <w:pStyle w:val="30"/>
        <w:numPr>
          <w:ilvl w:val="0"/>
          <w:numId w:val="2"/>
        </w:numPr>
        <w:spacing w:line="600" w:lineRule="exact"/>
        <w:ind w:firstLineChars="0"/>
        <w:outlineLvl w:val="1"/>
        <w:rPr>
          <w:rStyle w:val="32"/>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2"/>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473.11</w:t>
      </w:r>
      <w:r>
        <w:rPr>
          <w:rFonts w:hint="eastAsia" w:ascii="仿宋" w:hAnsi="仿宋" w:eastAsia="仿宋"/>
          <w:sz w:val="32"/>
          <w:szCs w:val="32"/>
        </w:rPr>
        <w:t>万元，其中：基本支出</w:t>
      </w:r>
      <w:r>
        <w:rPr>
          <w:rFonts w:ascii="仿宋" w:hAnsi="仿宋" w:eastAsia="仿宋"/>
          <w:b/>
          <w:sz w:val="32"/>
          <w:szCs w:val="32"/>
        </w:rPr>
        <w:t>451.58</w:t>
      </w:r>
      <w:r>
        <w:rPr>
          <w:rFonts w:hint="eastAsia" w:ascii="仿宋" w:hAnsi="仿宋" w:eastAsia="仿宋"/>
          <w:sz w:val="32"/>
          <w:szCs w:val="32"/>
        </w:rPr>
        <w:t>万元，占</w:t>
      </w:r>
      <w:r>
        <w:rPr>
          <w:rFonts w:ascii="仿宋" w:hAnsi="仿宋" w:eastAsia="仿宋"/>
          <w:b/>
          <w:sz w:val="32"/>
          <w:szCs w:val="32"/>
        </w:rPr>
        <w:t>95.44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21.54</w:t>
      </w:r>
      <w:r>
        <w:rPr>
          <w:rFonts w:hint="eastAsia" w:ascii="仿宋" w:hAnsi="仿宋" w:eastAsia="仿宋"/>
          <w:sz w:val="32"/>
          <w:szCs w:val="32"/>
        </w:rPr>
        <w:t>万元，占</w:t>
      </w:r>
      <w:r>
        <w:rPr>
          <w:rFonts w:ascii="仿宋" w:hAnsi="仿宋" w:eastAsia="仿宋"/>
          <w:b/>
          <w:sz w:val="32"/>
          <w:szCs w:val="32"/>
        </w:rPr>
        <w:t>4.55</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ascii="仿宋" w:hAnsi="仿宋" w:eastAsia="仿宋"/>
          <w:sz w:val="32"/>
          <w:szCs w:val="32"/>
          <w:shd w:val="pct10" w:color="auto" w:fill="FFFFFF"/>
        </w:rPr>
        <w:drawing>
          <wp:anchor distT="0" distB="0" distL="114300" distR="114300" simplePos="0" relativeHeight="251659264" behindDoc="0" locked="0" layoutInCell="1" allowOverlap="1">
            <wp:simplePos x="0" y="0"/>
            <wp:positionH relativeFrom="column">
              <wp:posOffset>326390</wp:posOffset>
            </wp:positionH>
            <wp:positionV relativeFrom="paragraph">
              <wp:posOffset>338455</wp:posOffset>
            </wp:positionV>
            <wp:extent cx="5274310" cy="3076575"/>
            <wp:effectExtent l="0" t="0" r="2540" b="952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b/>
          <w:sz w:val="32"/>
          <w:szCs w:val="32"/>
        </w:rPr>
        <w:t xml:space="preserve">     </w:t>
      </w:r>
      <w:r>
        <w:rPr>
          <w:rFonts w:hint="eastAsia" w:ascii="仿宋" w:hAnsi="仿宋" w:eastAsia="仿宋"/>
          <w:sz w:val="32"/>
          <w:szCs w:val="32"/>
        </w:rPr>
        <w:t>（图3：支出决算结构图）（饼状图）</w:t>
      </w:r>
    </w:p>
    <w:p>
      <w:pPr>
        <w:spacing w:line="600" w:lineRule="exact"/>
        <w:ind w:firstLine="640" w:firstLineChars="200"/>
        <w:outlineLvl w:val="1"/>
        <w:rPr>
          <w:rStyle w:val="32"/>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margin">
              <wp:align>left</wp:align>
            </wp:positionH>
            <wp:positionV relativeFrom="paragraph">
              <wp:posOffset>1206500</wp:posOffset>
            </wp:positionV>
            <wp:extent cx="5274310" cy="3076575"/>
            <wp:effectExtent l="0" t="0" r="2540" b="95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2023年度财政拨款收、支总计均为</w:t>
      </w:r>
      <w:r>
        <w:rPr>
          <w:rFonts w:ascii="仿宋" w:hAnsi="仿宋" w:eastAsia="仿宋"/>
          <w:b/>
          <w:sz w:val="32"/>
          <w:szCs w:val="32"/>
        </w:rPr>
        <w:t>473.11</w:t>
      </w:r>
      <w:r>
        <w:rPr>
          <w:rFonts w:hint="eastAsia" w:ascii="仿宋" w:hAnsi="仿宋" w:eastAsia="仿宋"/>
          <w:sz w:val="32"/>
          <w:szCs w:val="32"/>
        </w:rPr>
        <w:t>万元。与2022年度相比，财政拨款收、支总计各增加246.80万元，增长109.05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区划调整，2022年1-6月在高新区核算；财政</w:t>
      </w:r>
      <w:r>
        <w:rPr>
          <w:rFonts w:ascii="仿宋" w:hAnsi="仿宋" w:eastAsia="仿宋"/>
          <w:color w:val="000000"/>
          <w:sz w:val="32"/>
          <w:szCs w:val="32"/>
        </w:rPr>
        <w:t>经费发生变化</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2"/>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168275</wp:posOffset>
            </wp:positionH>
            <wp:positionV relativeFrom="paragraph">
              <wp:posOffset>2046605</wp:posOffset>
            </wp:positionV>
            <wp:extent cx="5274310" cy="3076575"/>
            <wp:effectExtent l="0" t="0" r="2540" b="952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2023年度一般公共预算财政拨款支出</w:t>
      </w:r>
      <w:r>
        <w:rPr>
          <w:rFonts w:ascii="仿宋" w:hAnsi="仿宋" w:eastAsia="仿宋"/>
          <w:b/>
          <w:sz w:val="32"/>
          <w:szCs w:val="32"/>
        </w:rPr>
        <w:t>473.11</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ascii="仿宋" w:hAnsi="仿宋" w:eastAsia="仿宋"/>
          <w:sz w:val="32"/>
          <w:szCs w:val="32"/>
        </w:rPr>
        <w:t>246.80</w:t>
      </w:r>
      <w:r>
        <w:rPr>
          <w:rFonts w:hint="eastAsia" w:ascii="仿宋" w:hAnsi="仿宋" w:eastAsia="仿宋"/>
          <w:sz w:val="32"/>
          <w:szCs w:val="32"/>
        </w:rPr>
        <w:t>万元，增长</w:t>
      </w:r>
      <w:r>
        <w:rPr>
          <w:rFonts w:ascii="仿宋" w:hAnsi="仿宋" w:eastAsia="仿宋"/>
          <w:sz w:val="32"/>
          <w:szCs w:val="32"/>
        </w:rPr>
        <w:t>109.05%</w:t>
      </w:r>
      <w:r>
        <w:rPr>
          <w:rFonts w:hint="eastAsia" w:ascii="仿宋" w:hAnsi="仿宋" w:eastAsia="仿宋"/>
          <w:sz w:val="32"/>
          <w:szCs w:val="32"/>
        </w:rPr>
        <w:t>。主要变动原因是</w:t>
      </w:r>
      <w:r>
        <w:rPr>
          <w:rFonts w:hint="eastAsia" w:ascii="仿宋" w:hAnsi="仿宋" w:eastAsia="仿宋"/>
          <w:color w:val="000000"/>
          <w:sz w:val="32"/>
          <w:szCs w:val="32"/>
        </w:rPr>
        <w:t>区划调整，2022年1-6月在高新区核算；财政</w:t>
      </w:r>
      <w:r>
        <w:rPr>
          <w:rFonts w:ascii="仿宋" w:hAnsi="仿宋" w:eastAsia="仿宋"/>
          <w:color w:val="000000"/>
          <w:sz w:val="32"/>
          <w:szCs w:val="32"/>
        </w:rPr>
        <w:t>经费发生变化</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473.11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ascii="仿宋" w:hAnsi="仿宋" w:eastAsia="仿宋"/>
          <w:sz w:val="32"/>
          <w:szCs w:val="32"/>
        </w:rPr>
        <w:t>369.29</w:t>
      </w:r>
      <w:r>
        <w:rPr>
          <w:rFonts w:hint="eastAsia" w:ascii="仿宋" w:hAnsi="仿宋" w:eastAsia="仿宋"/>
          <w:sz w:val="32"/>
          <w:szCs w:val="32"/>
        </w:rPr>
        <w:t>万元，占</w:t>
      </w:r>
      <w:r>
        <w:rPr>
          <w:rFonts w:ascii="仿宋" w:hAnsi="仿宋" w:eastAsia="仿宋"/>
          <w:sz w:val="32"/>
          <w:szCs w:val="32"/>
        </w:rPr>
        <w:t>78.06%</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49.36</w:t>
      </w:r>
      <w:r>
        <w:rPr>
          <w:rFonts w:hint="eastAsia" w:ascii="仿宋" w:hAnsi="仿宋" w:eastAsia="仿宋"/>
          <w:sz w:val="32"/>
          <w:szCs w:val="32"/>
        </w:rPr>
        <w:t>万元，占</w:t>
      </w:r>
      <w:r>
        <w:rPr>
          <w:rFonts w:ascii="仿宋" w:hAnsi="仿宋" w:eastAsia="仿宋"/>
          <w:sz w:val="32"/>
          <w:szCs w:val="32"/>
        </w:rPr>
        <w:t>10.43%</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20.25</w:t>
      </w:r>
      <w:r>
        <w:rPr>
          <w:rFonts w:ascii="仿宋" w:hAnsi="仿宋" w:eastAsia="仿宋"/>
          <w:b/>
          <w:sz w:val="32"/>
          <w:szCs w:val="32"/>
        </w:rPr>
        <w:drawing>
          <wp:anchor distT="0" distB="0" distL="114300" distR="114300" simplePos="0" relativeHeight="251662336" behindDoc="0" locked="0" layoutInCell="1" allowOverlap="1">
            <wp:simplePos x="0" y="0"/>
            <wp:positionH relativeFrom="margin">
              <wp:posOffset>146050</wp:posOffset>
            </wp:positionH>
            <wp:positionV relativeFrom="paragraph">
              <wp:posOffset>462915</wp:posOffset>
            </wp:positionV>
            <wp:extent cx="5274310" cy="3076575"/>
            <wp:effectExtent l="0" t="0" r="2540" b="952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万元，占</w:t>
      </w:r>
      <w:r>
        <w:rPr>
          <w:rFonts w:ascii="仿宋" w:hAnsi="仿宋" w:eastAsia="仿宋"/>
          <w:sz w:val="32"/>
          <w:szCs w:val="32"/>
        </w:rPr>
        <w:t>4.28%</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34.22</w:t>
      </w:r>
      <w:r>
        <w:rPr>
          <w:rFonts w:hint="eastAsia" w:ascii="仿宋" w:hAnsi="仿宋" w:eastAsia="仿宋"/>
          <w:sz w:val="32"/>
          <w:szCs w:val="32"/>
        </w:rPr>
        <w:t>万元，占7.23</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2023年度一般公共预算支出决算数为</w:t>
      </w:r>
      <w:r>
        <w:rPr>
          <w:rFonts w:ascii="仿宋" w:hAnsi="仿宋" w:eastAsia="仿宋"/>
          <w:b/>
          <w:sz w:val="32"/>
          <w:szCs w:val="32"/>
        </w:rPr>
        <w:t>473.11</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ascii="仿宋" w:hAnsi="仿宋" w:eastAsia="仿宋"/>
          <w:bCs/>
          <w:sz w:val="32"/>
          <w:szCs w:val="32"/>
        </w:rPr>
        <w:t>100%</w:t>
      </w:r>
      <w:r>
        <w:rPr>
          <w:rStyle w:val="19"/>
          <w:rFonts w:hint="eastAsia" w:ascii="仿宋" w:hAnsi="仿宋" w:eastAsia="仿宋"/>
          <w:bCs/>
          <w:sz w:val="32"/>
          <w:szCs w:val="32"/>
        </w:rPr>
        <w:t>。其中：</w:t>
      </w:r>
      <w:bookmarkEnd w:id="31"/>
      <w:bookmarkEnd w:id="32"/>
      <w:bookmarkEnd w:id="33"/>
    </w:p>
    <w:p>
      <w:pPr>
        <w:spacing w:line="600" w:lineRule="exact"/>
        <w:ind w:firstLine="640" w:firstLineChars="200"/>
        <w:rPr>
          <w:rFonts w:ascii="仿宋" w:hAnsi="仿宋" w:eastAsia="仿宋"/>
          <w:sz w:val="32"/>
          <w:szCs w:val="32"/>
        </w:rPr>
      </w:pPr>
      <w:r>
        <w:rPr>
          <w:rStyle w:val="19"/>
          <w:rFonts w:ascii="仿宋" w:hAnsi="仿宋" w:eastAsia="仿宋"/>
          <w:b w:val="0"/>
          <w:bCs/>
          <w:sz w:val="32"/>
          <w:szCs w:val="32"/>
        </w:rPr>
        <w:t>1.</w:t>
      </w:r>
      <w:r>
        <w:rPr>
          <w:rStyle w:val="19"/>
          <w:rFonts w:hint="eastAsia" w:ascii="仿宋" w:hAnsi="仿宋" w:eastAsia="仿宋"/>
          <w:b w:val="0"/>
          <w:sz w:val="32"/>
          <w:szCs w:val="32"/>
        </w:rPr>
        <w:t>教育（205类）普通教育（02款）小学教育（01项）</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w:t>
      </w:r>
      <w:r>
        <w:rPr>
          <w:rStyle w:val="19"/>
          <w:rFonts w:ascii="仿宋" w:hAnsi="仿宋" w:eastAsia="仿宋"/>
          <w:bCs/>
          <w:sz w:val="32"/>
          <w:szCs w:val="32"/>
        </w:rPr>
        <w:t>.91</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Style w:val="19"/>
          <w:rFonts w:hint="eastAsia" w:ascii="仿宋" w:hAnsi="仿宋" w:eastAsia="仿宋"/>
          <w:bCs/>
          <w:sz w:val="32"/>
          <w:szCs w:val="32"/>
        </w:rPr>
        <w:t>教育（205类）普通教育（02款）学前教育（02项）</w:t>
      </w:r>
      <w:r>
        <w:rPr>
          <w:rStyle w:val="19"/>
          <w:rFonts w:ascii="仿宋" w:hAnsi="仿宋" w:eastAsia="仿宋"/>
          <w:bCs/>
          <w:sz w:val="32"/>
          <w:szCs w:val="32"/>
        </w:rPr>
        <w:t xml:space="preserve">: </w:t>
      </w:r>
      <w:r>
        <w:rPr>
          <w:rStyle w:val="19"/>
          <w:rFonts w:hint="eastAsia" w:ascii="仿宋" w:hAnsi="仿宋" w:eastAsia="仿宋"/>
          <w:bCs/>
          <w:sz w:val="32"/>
          <w:szCs w:val="32"/>
        </w:rPr>
        <w:t>支出决算为</w:t>
      </w:r>
      <w:r>
        <w:rPr>
          <w:rFonts w:ascii="仿宋" w:hAnsi="仿宋" w:eastAsia="仿宋"/>
          <w:sz w:val="32"/>
          <w:szCs w:val="32"/>
        </w:rPr>
        <w:t>346.16</w:t>
      </w:r>
      <w:r>
        <w:rPr>
          <w:rStyle w:val="19"/>
          <w:rFonts w:hint="eastAsia" w:ascii="仿宋" w:hAnsi="仿宋" w:eastAsia="仿宋"/>
          <w:bCs/>
          <w:sz w:val="32"/>
          <w:szCs w:val="32"/>
        </w:rPr>
        <w:t>万元，完成预算100</w:t>
      </w:r>
      <w:r>
        <w:rPr>
          <w:rStyle w:val="19"/>
          <w:rFonts w:ascii="仿宋" w:hAnsi="仿宋" w:eastAsia="仿宋"/>
          <w:bCs/>
          <w:sz w:val="32"/>
          <w:szCs w:val="32"/>
        </w:rPr>
        <w:t>%</w:t>
      </w:r>
      <w:r>
        <w:rPr>
          <w:rStyle w:val="19"/>
          <w:rFonts w:hint="eastAsia" w:ascii="仿宋" w:hAnsi="仿宋" w:eastAsia="仿宋"/>
          <w:bCs/>
          <w:sz w:val="32"/>
          <w:szCs w:val="32"/>
        </w:rPr>
        <w:t>；</w:t>
      </w:r>
      <w:r>
        <w:rPr>
          <w:rStyle w:val="19"/>
          <w:rFonts w:hint="eastAsia" w:ascii="仿宋" w:hAnsi="仿宋" w:eastAsia="仿宋"/>
          <w:b w:val="0"/>
          <w:sz w:val="32"/>
          <w:szCs w:val="32"/>
        </w:rPr>
        <w:t>教育（205类）普通教育（02款）其他普通教育支出（99项）</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ascii="仿宋" w:hAnsi="仿宋" w:eastAsia="仿宋"/>
          <w:b w:val="0"/>
          <w:bCs/>
          <w:sz w:val="32"/>
          <w:szCs w:val="32"/>
        </w:rPr>
        <w:t>20.18</w:t>
      </w:r>
      <w:r>
        <w:rPr>
          <w:rStyle w:val="19"/>
          <w:rFonts w:hint="eastAsia" w:ascii="仿宋" w:hAnsi="仿宋" w:eastAsia="仿宋"/>
          <w:b w:val="0"/>
          <w:bCs/>
          <w:sz w:val="32"/>
          <w:szCs w:val="32"/>
        </w:rPr>
        <w:t>万元；</w:t>
      </w:r>
      <w:r>
        <w:rPr>
          <w:rStyle w:val="19"/>
          <w:rFonts w:hint="eastAsia" w:ascii="仿宋" w:hAnsi="仿宋" w:eastAsia="仿宋"/>
          <w:b w:val="0"/>
          <w:sz w:val="32"/>
          <w:szCs w:val="32"/>
        </w:rPr>
        <w:t>教育（205类）普通教育（</w:t>
      </w:r>
      <w:r>
        <w:rPr>
          <w:rStyle w:val="19"/>
          <w:rFonts w:ascii="仿宋" w:hAnsi="仿宋" w:eastAsia="仿宋"/>
          <w:b w:val="0"/>
          <w:sz w:val="32"/>
          <w:szCs w:val="32"/>
        </w:rPr>
        <w:t>99</w:t>
      </w:r>
      <w:r>
        <w:rPr>
          <w:rStyle w:val="19"/>
          <w:rFonts w:hint="eastAsia" w:ascii="仿宋" w:hAnsi="仿宋" w:eastAsia="仿宋"/>
          <w:b w:val="0"/>
          <w:sz w:val="32"/>
          <w:szCs w:val="32"/>
        </w:rPr>
        <w:t>款）其他普通教育支出（99项）：</w:t>
      </w:r>
      <w:r>
        <w:rPr>
          <w:rStyle w:val="19"/>
          <w:rFonts w:hint="eastAsia" w:ascii="仿宋" w:hAnsi="仿宋" w:eastAsia="仿宋"/>
          <w:b w:val="0"/>
          <w:bCs/>
          <w:sz w:val="32"/>
          <w:szCs w:val="32"/>
        </w:rPr>
        <w:t>支出决算为</w:t>
      </w:r>
      <w:r>
        <w:rPr>
          <w:rStyle w:val="19"/>
          <w:rFonts w:ascii="仿宋" w:hAnsi="仿宋" w:eastAsia="仿宋"/>
          <w:b w:val="0"/>
          <w:bCs/>
          <w:sz w:val="32"/>
          <w:szCs w:val="32"/>
        </w:rPr>
        <w:t>1.04</w:t>
      </w:r>
      <w:r>
        <w:rPr>
          <w:rStyle w:val="19"/>
          <w:rFonts w:hint="eastAsia" w:ascii="仿宋" w:hAnsi="仿宋" w:eastAsia="仿宋"/>
          <w:b w:val="0"/>
          <w:bCs/>
          <w:sz w:val="32"/>
          <w:szCs w:val="32"/>
        </w:rPr>
        <w:t>万元</w:t>
      </w:r>
      <w:r>
        <w:rPr>
          <w:rStyle w:val="19"/>
          <w:rFonts w:hint="eastAsia" w:ascii="仿宋" w:hAnsi="仿宋" w:eastAsia="仿宋"/>
          <w:bCs/>
          <w:sz w:val="32"/>
          <w:szCs w:val="32"/>
        </w:rPr>
        <w:t>完成预算100</w:t>
      </w:r>
      <w:r>
        <w:rPr>
          <w:rStyle w:val="19"/>
          <w:rFonts w:ascii="仿宋" w:hAnsi="仿宋" w:eastAsia="仿宋"/>
          <w:bCs/>
          <w:sz w:val="32"/>
          <w:szCs w:val="32"/>
        </w:rPr>
        <w:t>%</w:t>
      </w:r>
      <w:r>
        <w:rPr>
          <w:rStyle w:val="19"/>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9"/>
          <w:rFonts w:hint="eastAsia" w:ascii="仿宋" w:hAnsi="仿宋" w:eastAsia="仿宋"/>
          <w:b w:val="0"/>
          <w:bCs/>
          <w:sz w:val="32"/>
          <w:szCs w:val="32"/>
        </w:rPr>
        <w:t>2</w:t>
      </w:r>
      <w:r>
        <w:rPr>
          <w:rStyle w:val="19"/>
          <w:rFonts w:ascii="仿宋" w:hAnsi="仿宋" w:eastAsia="仿宋"/>
          <w:b w:val="0"/>
          <w:bCs/>
          <w:sz w:val="32"/>
          <w:szCs w:val="32"/>
        </w:rPr>
        <w:t>.</w:t>
      </w:r>
      <w:r>
        <w:rPr>
          <w:rStyle w:val="19"/>
          <w:rFonts w:hint="eastAsia" w:ascii="仿宋" w:hAnsi="仿宋" w:eastAsia="仿宋"/>
          <w:b w:val="0"/>
          <w:sz w:val="32"/>
          <w:szCs w:val="32"/>
        </w:rPr>
        <w:t>社会保障和就业（208类）行政事业单位养老支出（05款）机关事业单位基本养老保险缴费支出（05项）</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ascii="仿宋" w:hAnsi="仿宋" w:eastAsia="仿宋"/>
          <w:b w:val="0"/>
          <w:bCs/>
          <w:sz w:val="32"/>
          <w:szCs w:val="32"/>
        </w:rPr>
        <w:t>46.93</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Style w:val="19"/>
          <w:rFonts w:hint="eastAsia" w:ascii="仿宋" w:hAnsi="仿宋" w:eastAsia="仿宋"/>
          <w:b w:val="0"/>
          <w:sz w:val="32"/>
          <w:szCs w:val="32"/>
        </w:rPr>
        <w:t>社会保障和就业（208类）其他社会保障和就业支出（99款）其他社会保障和就业支出（99项）</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ascii="仿宋" w:hAnsi="仿宋" w:eastAsia="仿宋"/>
          <w:b w:val="0"/>
          <w:bCs/>
          <w:sz w:val="32"/>
          <w:szCs w:val="32"/>
        </w:rPr>
        <w:t>2.43</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Style w:val="19"/>
          <w:rFonts w:ascii="仿宋" w:hAnsi="仿宋" w:eastAsia="仿宋"/>
          <w:b w:val="0"/>
          <w:bCs/>
          <w:sz w:val="32"/>
          <w:szCs w:val="32"/>
        </w:rPr>
      </w:pPr>
      <w:r>
        <w:rPr>
          <w:rStyle w:val="19"/>
          <w:rFonts w:hint="eastAsia" w:ascii="仿宋" w:hAnsi="仿宋" w:eastAsia="仿宋"/>
          <w:b w:val="0"/>
          <w:bCs/>
          <w:sz w:val="32"/>
          <w:szCs w:val="32"/>
        </w:rPr>
        <w:t>3</w:t>
      </w:r>
      <w:r>
        <w:rPr>
          <w:rStyle w:val="19"/>
          <w:rFonts w:ascii="仿宋" w:hAnsi="仿宋" w:eastAsia="仿宋"/>
          <w:b w:val="0"/>
          <w:bCs/>
          <w:sz w:val="32"/>
          <w:szCs w:val="32"/>
        </w:rPr>
        <w:t>.</w:t>
      </w:r>
      <w:r>
        <w:rPr>
          <w:rFonts w:hint="eastAsia" w:ascii="仿宋" w:hAnsi="仿宋" w:eastAsia="仿宋"/>
          <w:b/>
          <w:sz w:val="32"/>
          <w:szCs w:val="32"/>
        </w:rPr>
        <w:t>卫生健康</w:t>
      </w:r>
      <w:r>
        <w:rPr>
          <w:rStyle w:val="19"/>
          <w:rFonts w:hint="eastAsia" w:ascii="仿宋" w:hAnsi="仿宋" w:eastAsia="仿宋"/>
          <w:b w:val="0"/>
          <w:sz w:val="32"/>
          <w:szCs w:val="32"/>
        </w:rPr>
        <w:t>（210类）行政事业单位医疗（11款）事业单位医疗（02项）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w:t>
      </w:r>
      <w:r>
        <w:rPr>
          <w:rStyle w:val="19"/>
          <w:rFonts w:ascii="仿宋" w:hAnsi="仿宋" w:eastAsia="仿宋"/>
          <w:b w:val="0"/>
          <w:bCs/>
          <w:sz w:val="32"/>
          <w:szCs w:val="32"/>
        </w:rPr>
        <w:t>20.25</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9"/>
          <w:rFonts w:hint="eastAsia" w:ascii="仿宋" w:hAnsi="仿宋" w:eastAsia="仿宋"/>
          <w:b w:val="0"/>
          <w:bCs/>
          <w:sz w:val="32"/>
          <w:szCs w:val="32"/>
        </w:rPr>
        <w:t>4</w:t>
      </w:r>
      <w:r>
        <w:rPr>
          <w:rStyle w:val="19"/>
          <w:rFonts w:hint="eastAsia" w:ascii="仿宋" w:hAnsi="仿宋" w:eastAsia="仿宋"/>
          <w:bCs/>
          <w:sz w:val="32"/>
          <w:szCs w:val="32"/>
        </w:rPr>
        <w:t>.</w:t>
      </w:r>
      <w:r>
        <w:rPr>
          <w:rFonts w:hint="eastAsia" w:ascii="仿宋" w:hAnsi="仿宋" w:eastAsia="仿宋"/>
          <w:b/>
          <w:sz w:val="32"/>
          <w:szCs w:val="32"/>
        </w:rPr>
        <w:t>住房保障支出</w:t>
      </w:r>
      <w:r>
        <w:rPr>
          <w:rStyle w:val="19"/>
          <w:rFonts w:hint="eastAsia" w:ascii="仿宋" w:hAnsi="仿宋" w:eastAsia="仿宋"/>
          <w:b w:val="0"/>
          <w:sz w:val="32"/>
          <w:szCs w:val="32"/>
        </w:rPr>
        <w:t>（221类）住房改革支出（02款）住房公积金（01项）</w:t>
      </w:r>
      <w:r>
        <w:rPr>
          <w:rStyle w:val="19"/>
          <w:rFonts w:ascii="仿宋" w:hAnsi="仿宋" w:eastAsia="仿宋"/>
          <w:bCs/>
          <w:sz w:val="32"/>
          <w:szCs w:val="32"/>
        </w:rPr>
        <w:t>:</w:t>
      </w:r>
      <w:r>
        <w:rPr>
          <w:rStyle w:val="19"/>
          <w:rFonts w:hint="eastAsia" w:ascii="仿宋" w:hAnsi="仿宋" w:eastAsia="仿宋"/>
          <w:bCs/>
          <w:sz w:val="32"/>
          <w:szCs w:val="32"/>
        </w:rPr>
        <w:t>支出决算为</w:t>
      </w:r>
      <w:r>
        <w:rPr>
          <w:rStyle w:val="19"/>
          <w:rFonts w:ascii="仿宋" w:hAnsi="仿宋" w:eastAsia="仿宋"/>
          <w:bCs/>
          <w:sz w:val="32"/>
          <w:szCs w:val="32"/>
        </w:rPr>
        <w:t>34.22</w:t>
      </w:r>
      <w:r>
        <w:rPr>
          <w:rStyle w:val="19"/>
          <w:rFonts w:hint="eastAsia" w:ascii="仿宋" w:hAnsi="仿宋" w:eastAsia="仿宋"/>
          <w:bCs/>
          <w:sz w:val="32"/>
          <w:szCs w:val="32"/>
        </w:rPr>
        <w:t>万元，完成预算100</w:t>
      </w:r>
      <w:r>
        <w:rPr>
          <w:rStyle w:val="19"/>
          <w:rFonts w:ascii="仿宋" w:hAnsi="仿宋" w:eastAsia="仿宋"/>
          <w:bCs/>
          <w:sz w:val="32"/>
          <w:szCs w:val="32"/>
        </w:rPr>
        <w:t>%</w:t>
      </w:r>
      <w:r>
        <w:rPr>
          <w:rStyle w:val="19"/>
          <w:rFonts w:hint="eastAsia" w:ascii="仿宋" w:hAnsi="仿宋" w:eastAsia="仿宋"/>
          <w:bCs/>
          <w:sz w:val="32"/>
          <w:szCs w:val="32"/>
        </w:rPr>
        <w:t>。</w:t>
      </w:r>
    </w:p>
    <w:p>
      <w:pPr>
        <w:tabs>
          <w:tab w:val="right" w:pos="8306"/>
        </w:tabs>
        <w:spacing w:line="600" w:lineRule="exact"/>
        <w:ind w:firstLine="640"/>
        <w:outlineLvl w:val="1"/>
        <w:rPr>
          <w:rStyle w:val="32"/>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451.58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437.92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13.66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outlineLvl w:val="1"/>
        <w:rPr>
          <w:rStyle w:val="32"/>
          <w:rFonts w:ascii="黑体" w:hAnsi="黑体" w:eastAsia="黑体"/>
          <w:b w:val="0"/>
        </w:rPr>
      </w:pPr>
      <w:bookmarkStart w:id="36" w:name="_Toc15396609"/>
      <w:bookmarkStart w:id="37" w:name="_Toc15377215"/>
      <w:r>
        <w:rPr>
          <w:rFonts w:hint="eastAsia" w:ascii="黑体" w:eastAsia="黑体"/>
          <w:sz w:val="32"/>
          <w:szCs w:val="32"/>
        </w:rPr>
        <w:t>七、</w:t>
      </w:r>
      <w:r>
        <w:rPr>
          <w:rStyle w:val="32"/>
          <w:rFonts w:hint="eastAsia" w:ascii="黑体" w:hAnsi="黑体" w:eastAsia="黑体"/>
        </w:rPr>
        <w:t>财政拨款“三公”经费支出决算情况说明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outlineLvl w:val="2"/>
        <w:rPr>
          <w:rFonts w:ascii="仿宋" w:hAnsi="仿宋" w:eastAsia="仿宋"/>
          <w:sz w:val="32"/>
          <w:szCs w:val="32"/>
        </w:rPr>
      </w:pPr>
      <w:bookmarkStart w:id="39" w:name="_Toc15377217"/>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cs="宋体"/>
          <w:sz w:val="24"/>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3"/>
        </w:numPr>
        <w:spacing w:line="600" w:lineRule="exact"/>
        <w:ind w:firstLine="640"/>
        <w:rPr>
          <w:rFonts w:ascii="仿宋_GB2312" w:eastAsia="仿宋_GB2312"/>
          <w:b/>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完成预算100%。公务接待费支出决算与2022年度持平。其中：</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rPr>
        <w:t xml:space="preserve">   外事接待支出0万元。外事接待0批次，0人次（不包括陪同人员），共计支出0万元。</w:t>
      </w:r>
    </w:p>
    <w:p>
      <w:pPr>
        <w:spacing w:line="600" w:lineRule="exact"/>
        <w:ind w:firstLine="480" w:firstLineChars="150"/>
        <w:outlineLvl w:val="1"/>
        <w:rPr>
          <w:rStyle w:val="32"/>
          <w:rFonts w:ascii="黑体" w:hAnsi="黑体" w:eastAsia="黑体"/>
        </w:rPr>
      </w:pPr>
      <w:bookmarkStart w:id="40" w:name="_Toc15377218"/>
      <w:bookmarkStart w:id="41" w:name="_Toc15396610"/>
      <w:r>
        <w:rPr>
          <w:rFonts w:hint="eastAsia" w:ascii="黑体" w:eastAsia="黑体"/>
          <w:sz w:val="32"/>
          <w:szCs w:val="32"/>
        </w:rPr>
        <w:t>八、</w:t>
      </w:r>
      <w:r>
        <w:rPr>
          <w:rStyle w:val="32"/>
          <w:rFonts w:hint="eastAsia" w:ascii="黑体" w:hAnsi="黑体" w:eastAsia="黑体"/>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4"/>
        </w:numPr>
        <w:spacing w:line="600" w:lineRule="exact"/>
        <w:ind w:firstLine="640"/>
        <w:outlineLvl w:val="1"/>
        <w:rPr>
          <w:rStyle w:val="32"/>
          <w:rFonts w:ascii="黑体" w:hAnsi="黑体" w:eastAsia="黑体"/>
          <w:b w:val="0"/>
        </w:rPr>
      </w:pPr>
      <w:bookmarkStart w:id="42" w:name="_Toc15396611"/>
      <w:bookmarkStart w:id="43" w:name="_Toc15377219"/>
      <w:r>
        <w:rPr>
          <w:rStyle w:val="32"/>
          <w:rFonts w:hint="eastAsia" w:ascii="黑体" w:hAnsi="黑体" w:eastAsia="黑体"/>
        </w:rPr>
        <w:t>国有资本经营预算支出决算情况说明</w:t>
      </w:r>
      <w:bookmarkEnd w:id="42"/>
      <w:bookmarkEnd w:id="43"/>
    </w:p>
    <w:p>
      <w:pPr>
        <w:pStyle w:val="30"/>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pPr>
        <w:pStyle w:val="30"/>
        <w:spacing w:line="600" w:lineRule="exact"/>
        <w:ind w:left="360" w:firstLine="321" w:firstLineChars="100"/>
        <w:outlineLvl w:val="1"/>
        <w:rPr>
          <w:rStyle w:val="32"/>
          <w:rFonts w:ascii="黑体" w:hAnsi="黑体" w:eastAsia="黑体"/>
          <w:b w:val="0"/>
        </w:rPr>
      </w:pPr>
      <w:bookmarkStart w:id="44" w:name="_Toc15396612"/>
      <w:bookmarkStart w:id="45" w:name="_Toc15377221"/>
      <w:r>
        <w:rPr>
          <w:rStyle w:val="32"/>
          <w:rFonts w:hint="eastAsia" w:ascii="黑体" w:hAnsi="黑体" w:eastAsia="黑体"/>
        </w:rPr>
        <w:t>十</w:t>
      </w:r>
      <w:r>
        <w:rPr>
          <w:rStyle w:val="32"/>
          <w:rFonts w:ascii="黑体" w:hAnsi="黑体" w:eastAsia="黑体"/>
        </w:rPr>
        <w:t>、</w:t>
      </w:r>
      <w:r>
        <w:rPr>
          <w:rStyle w:val="32"/>
          <w:rFonts w:hint="eastAsia" w:ascii="黑体" w:hAnsi="黑体" w:eastAsia="黑体"/>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23年，学校机关运行经费支出0万元。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2023年度，遂宁市安居区会龙镇保山</w:t>
      </w:r>
      <w:r>
        <w:rPr>
          <w:rFonts w:ascii="仿宋_GB2312" w:eastAsia="仿宋_GB2312"/>
          <w:sz w:val="32"/>
          <w:szCs w:val="32"/>
        </w:rPr>
        <w:t>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截至2023年12月31日，遂宁市安居区会龙镇保山</w:t>
      </w:r>
      <w:r>
        <w:rPr>
          <w:rFonts w:ascii="仿宋_GB2312" w:eastAsia="仿宋_GB2312"/>
          <w:sz w:val="32"/>
          <w:szCs w:val="32"/>
        </w:rPr>
        <w:t>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7"/>
        <w:spacing w:before="93"/>
        <w:ind w:firstLine="640" w:firstLineChars="200"/>
        <w:rPr>
          <w:sz w:val="32"/>
          <w:szCs w:val="32"/>
        </w:rPr>
      </w:pPr>
      <w:r>
        <w:rPr>
          <w:rFonts w:hint="eastAsia"/>
          <w:sz w:val="32"/>
          <w:szCs w:val="32"/>
        </w:rPr>
        <w:t>根据预算绩效管理要求，本单位在2023年度预算编制阶段，</w:t>
      </w:r>
      <w:r>
        <w:rPr>
          <w:rFonts w:hint="eastAsia" w:hAnsi="仿宋_GB2312" w:cs="仿宋_GB2312"/>
          <w:sz w:val="32"/>
          <w:szCs w:val="32"/>
        </w:rPr>
        <w:t>组织对本单位工资福利、社会保障和就业支出、卫生健康支出、住房公积金等项目开展了预算事前绩效评估，对各个项目编制了绩效目标，预算执行过程中，对项目开展绩效监控，年终执行完毕后，对各个项目开展了绩效目标完成情况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5"/>
        </w:numPr>
        <w:spacing w:line="600" w:lineRule="exact"/>
        <w:ind w:firstLine="660" w:firstLineChars="150"/>
        <w:jc w:val="center"/>
        <w:outlineLvl w:val="0"/>
        <w:rPr>
          <w:rStyle w:val="31"/>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31"/>
          <w:rFonts w:hint="eastAsia" w:ascii="黑体" w:hAnsi="黑体" w:eastAsia="黑体"/>
          <w:b w:val="0"/>
        </w:rPr>
        <w:t>词解释</w:t>
      </w:r>
      <w:bookmarkEnd w:id="49"/>
      <w:bookmarkEnd w:id="50"/>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bookmarkStart w:id="51" w:name="_Toc15377226"/>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4.年初结转和结余：指以前年度尚未完成、结转到本年按有关规定继续使用的资金。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5、年末结转和结余：指单位按有关规定结转到下年或以后年度继续使用的资金。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6.教育（205类）普通教育（02款）学前教育（01项）: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7.教育（205类）普通教育（02款）其他普通教育支出（99项）: 反映除上述项目以外其它用于普通教育方面的支出。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8.教育（205类）教育费附加安排的支出（09款）农村中小学校舍建设（01项）: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9.教育（205类）教育费附加安排的支出（09款）其他教育费附加安排的支出（99项）: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10.教育（205类）其他教育支出（99款）其他教育支出（99项）: 反映除上述项目以外其它教育方面的支出。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11.社会保障和就业（208类）行政事业单位离退休（05款）机关事业单位基本养老保险缴费支出（05项）: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12.社会保障和就业（208类）抚恤（08款）死亡抚恤（01项）: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13.社会保障和就业（208类）其他社会保障和就业支出（99款）其他社会保障和就业支出（01项）: 反映上述项目以外其他用于社会保障和就业方面的支出。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14.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15.住房保障支出（221类）住房改革支出（02款）住房公积金（01项）:反映行政事业单位按人力资源和社会保障部、财政部规定的基本工资和津贴补贴以及规定比例为职工缴纳的住房公积金。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16.基本支出：指为保障机构正常运转、完成日常工作任务而发生的人员支出和公用支出。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17.项目支出：指在基本支出之外为完成特定行政任务和事业发展目标所发生的支出。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18.工资福利：反映单位开支的在职职工和编制外长期聘用人员的各类劳动报酬，以及为上述人员缴纳的各项社会保险费等。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19.商品和服务：反映单位购买商品和服务的支出，不包括用于购置固定资产、战略性和应急性物资储备等资本支出。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20.对个人和家庭的补助：反映政府用于</w:t>
      </w:r>
      <w:r>
        <w:rPr>
          <w:rFonts w:hint="eastAsia" w:ascii="仿宋_GB2312" w:hAnsi="Calibri" w:eastAsia="仿宋_GB2312" w:cs="仿宋"/>
          <w:kern w:val="0"/>
          <w:sz w:val="32"/>
          <w:szCs w:val="32"/>
          <w:lang w:eastAsia="zh-CN"/>
        </w:rPr>
        <w:t>对个人和家庭</w:t>
      </w:r>
      <w:r>
        <w:rPr>
          <w:rFonts w:hint="eastAsia" w:ascii="仿宋_GB2312" w:hAnsi="Calibri" w:eastAsia="仿宋_GB2312" w:cs="仿宋"/>
          <w:kern w:val="0"/>
          <w:sz w:val="32"/>
          <w:szCs w:val="32"/>
        </w:rPr>
        <w:t>的补助支出。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21.资本性支出：反映各单位安排的资本性支出。切块由发展改革部门安排的基本建设支出不在此科目反映。</w:t>
      </w:r>
    </w:p>
    <w:p>
      <w:pPr>
        <w:ind w:firstLine="640" w:firstLineChars="200"/>
        <w:rPr>
          <w:rFonts w:ascii="仿宋_GB2312" w:hAnsi="Calibri" w:eastAsia="仿宋_GB2312" w:cs="仿宋"/>
          <w:kern w:val="0"/>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31"/>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31"/>
          <w:rFonts w:hint="eastAsia" w:ascii="黑体" w:hAnsi="黑体" w:eastAsia="黑体"/>
          <w:b w:val="0"/>
        </w:rPr>
        <w:t>四部分 附件</w:t>
      </w:r>
      <w:bookmarkEnd w:id="52"/>
    </w:p>
    <w:p>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遂宁市安居区会龙镇</w:t>
      </w:r>
      <w:r>
        <w:rPr>
          <w:rFonts w:ascii="仿宋" w:hAnsi="仿宋" w:eastAsia="仿宋"/>
          <w:sz w:val="32"/>
          <w:szCs w:val="32"/>
        </w:rPr>
        <w:t>保山小</w:t>
      </w:r>
      <w:r>
        <w:rPr>
          <w:rFonts w:hint="eastAsia" w:ascii="仿宋" w:hAnsi="仿宋" w:eastAsia="仿宋"/>
          <w:sz w:val="32"/>
          <w:szCs w:val="32"/>
        </w:rPr>
        <w:t>学校共设有7个内设部门。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rPr>
        <w:t>治</w:t>
      </w:r>
      <w:r>
        <w:rPr>
          <w:rFonts w:ascii="仿宋" w:hAnsi="仿宋" w:eastAsia="仿宋"/>
          <w:sz w:val="32"/>
          <w:szCs w:val="32"/>
        </w:rPr>
        <w:t>宣传教育，增强师生员工法</w:t>
      </w:r>
      <w:r>
        <w:rPr>
          <w:rFonts w:hint="eastAsia" w:ascii="仿宋" w:hAnsi="仿宋" w:eastAsia="仿宋"/>
          <w:sz w:val="32"/>
          <w:szCs w:val="32"/>
        </w:rPr>
        <w:t>治</w:t>
      </w:r>
      <w:r>
        <w:rPr>
          <w:rFonts w:ascii="仿宋" w:hAnsi="仿宋" w:eastAsia="仿宋"/>
          <w:sz w:val="32"/>
          <w:szCs w:val="32"/>
        </w:rPr>
        <w:t>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遂宁市安居区会龙镇</w:t>
      </w:r>
      <w:r>
        <w:rPr>
          <w:rFonts w:ascii="仿宋" w:hAnsi="仿宋" w:eastAsia="仿宋"/>
          <w:sz w:val="32"/>
          <w:szCs w:val="32"/>
        </w:rPr>
        <w:t>保山小学校</w:t>
      </w:r>
      <w:r>
        <w:rPr>
          <w:rFonts w:hint="eastAsia" w:ascii="仿宋" w:hAnsi="仿宋" w:eastAsia="仿宋"/>
          <w:sz w:val="32"/>
          <w:szCs w:val="32"/>
        </w:rPr>
        <w:t>年初在职教师</w:t>
      </w:r>
      <w:r>
        <w:rPr>
          <w:rFonts w:ascii="仿宋" w:hAnsi="仿宋" w:eastAsia="仿宋"/>
          <w:sz w:val="32"/>
          <w:szCs w:val="32"/>
        </w:rPr>
        <w:t>23人，</w:t>
      </w:r>
      <w:r>
        <w:rPr>
          <w:rFonts w:hint="eastAsia" w:ascii="仿宋" w:hAnsi="仿宋" w:eastAsia="仿宋"/>
          <w:sz w:val="32"/>
          <w:szCs w:val="32"/>
        </w:rPr>
        <w:t>年末在职教师</w:t>
      </w:r>
      <w:r>
        <w:rPr>
          <w:rFonts w:ascii="仿宋" w:hAnsi="仿宋" w:eastAsia="仿宋"/>
          <w:sz w:val="32"/>
          <w:szCs w:val="32"/>
        </w:rPr>
        <w:t>20人</w:t>
      </w:r>
      <w:r>
        <w:rPr>
          <w:rFonts w:hint="eastAsia" w:ascii="仿宋" w:hAnsi="仿宋" w:eastAsia="仿宋"/>
          <w:sz w:val="32"/>
          <w:szCs w:val="32"/>
        </w:rPr>
        <w:t>，退休</w:t>
      </w:r>
      <w:r>
        <w:rPr>
          <w:rFonts w:ascii="仿宋" w:hAnsi="仿宋" w:eastAsia="仿宋"/>
          <w:sz w:val="32"/>
          <w:szCs w:val="32"/>
        </w:rPr>
        <w:t>3</w:t>
      </w:r>
      <w:r>
        <w:rPr>
          <w:rFonts w:hint="eastAsia" w:ascii="仿宋" w:hAnsi="仿宋" w:eastAsia="仿宋"/>
          <w:sz w:val="32"/>
          <w:szCs w:val="32"/>
        </w:rPr>
        <w:t>人，年初退休教师2</w:t>
      </w:r>
      <w:r>
        <w:rPr>
          <w:rFonts w:ascii="仿宋" w:hAnsi="仿宋" w:eastAsia="仿宋"/>
          <w:sz w:val="32"/>
          <w:szCs w:val="32"/>
        </w:rPr>
        <w:t>6</w:t>
      </w:r>
      <w:r>
        <w:rPr>
          <w:rFonts w:hint="eastAsia" w:ascii="仿宋" w:hAnsi="仿宋" w:eastAsia="仿宋"/>
          <w:sz w:val="32"/>
          <w:szCs w:val="32"/>
        </w:rPr>
        <w:t>人，年末退休教师</w:t>
      </w:r>
      <w:r>
        <w:rPr>
          <w:rFonts w:ascii="仿宋" w:hAnsi="仿宋" w:eastAsia="仿宋"/>
          <w:sz w:val="32"/>
          <w:szCs w:val="32"/>
        </w:rPr>
        <w:t>29</w:t>
      </w:r>
      <w:r>
        <w:rPr>
          <w:rFonts w:hint="eastAsia" w:ascii="仿宋" w:hAnsi="仿宋" w:eastAsia="仿宋"/>
          <w:sz w:val="32"/>
          <w:szCs w:val="32"/>
        </w:rPr>
        <w:t>人</w:t>
      </w:r>
      <w:r>
        <w:rPr>
          <w:rFonts w:ascii="仿宋" w:hAnsi="仿宋" w:eastAsia="仿宋"/>
          <w:sz w:val="32"/>
          <w:szCs w:val="32"/>
        </w:rPr>
        <w:t>。</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w:t>
      </w:r>
      <w:r>
        <w:rPr>
          <w:rFonts w:ascii="仿宋" w:hAnsi="仿宋" w:eastAsia="仿宋"/>
          <w:color w:val="000000"/>
          <w:sz w:val="32"/>
          <w:szCs w:val="32"/>
        </w:rPr>
        <w:t>473.11</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473.11</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6"/>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w:t>
      </w:r>
      <w:r>
        <w:rPr>
          <w:rFonts w:ascii="仿宋" w:hAnsi="仿宋" w:eastAsia="仿宋"/>
          <w:color w:val="000000"/>
          <w:sz w:val="32"/>
          <w:szCs w:val="32"/>
        </w:rPr>
        <w:t>473.11</w:t>
      </w:r>
      <w:r>
        <w:rPr>
          <w:rFonts w:hint="eastAsia" w:ascii="仿宋" w:hAnsi="仿宋" w:eastAsia="仿宋"/>
          <w:color w:val="000000"/>
          <w:sz w:val="32"/>
          <w:szCs w:val="32"/>
        </w:rPr>
        <w:t>万元，其中：</w:t>
      </w:r>
      <w:r>
        <w:rPr>
          <w:rFonts w:hint="eastAsia" w:ascii="仿宋" w:hAnsi="仿宋" w:eastAsia="仿宋"/>
          <w:b/>
          <w:sz w:val="32"/>
          <w:szCs w:val="32"/>
        </w:rPr>
        <w:t>教育支出</w:t>
      </w:r>
      <w:r>
        <w:rPr>
          <w:rFonts w:ascii="仿宋" w:hAnsi="仿宋" w:eastAsia="仿宋"/>
          <w:sz w:val="32"/>
          <w:szCs w:val="32"/>
        </w:rPr>
        <w:t>369.29</w:t>
      </w:r>
      <w:r>
        <w:rPr>
          <w:rFonts w:hint="eastAsia" w:ascii="仿宋" w:hAnsi="仿宋" w:eastAsia="仿宋"/>
          <w:sz w:val="32"/>
          <w:szCs w:val="32"/>
        </w:rPr>
        <w:t>万元，占</w:t>
      </w:r>
      <w:r>
        <w:rPr>
          <w:rFonts w:ascii="仿宋" w:hAnsi="仿宋" w:eastAsia="仿宋"/>
          <w:sz w:val="32"/>
          <w:szCs w:val="32"/>
        </w:rPr>
        <w:t>78.06%</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49.36</w:t>
      </w:r>
      <w:r>
        <w:rPr>
          <w:rFonts w:hint="eastAsia" w:ascii="仿宋" w:hAnsi="仿宋" w:eastAsia="仿宋"/>
          <w:sz w:val="32"/>
          <w:szCs w:val="32"/>
        </w:rPr>
        <w:t>万元，占</w:t>
      </w:r>
      <w:r>
        <w:rPr>
          <w:rFonts w:ascii="仿宋" w:hAnsi="仿宋" w:eastAsia="仿宋"/>
          <w:sz w:val="32"/>
          <w:szCs w:val="32"/>
        </w:rPr>
        <w:t>10.43%</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20.25</w:t>
      </w:r>
      <w:r>
        <w:rPr>
          <w:rFonts w:hint="eastAsia" w:ascii="仿宋" w:hAnsi="仿宋" w:eastAsia="仿宋"/>
          <w:sz w:val="32"/>
          <w:szCs w:val="32"/>
        </w:rPr>
        <w:t>万元，占</w:t>
      </w:r>
      <w:r>
        <w:rPr>
          <w:rFonts w:ascii="仿宋" w:hAnsi="仿宋" w:eastAsia="仿宋"/>
          <w:sz w:val="32"/>
          <w:szCs w:val="32"/>
        </w:rPr>
        <w:t>4.28%</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34.22</w:t>
      </w:r>
      <w:r>
        <w:rPr>
          <w:rFonts w:hint="eastAsia" w:ascii="仿宋" w:hAnsi="仿宋" w:eastAsia="仿宋"/>
          <w:sz w:val="32"/>
          <w:szCs w:val="32"/>
        </w:rPr>
        <w:t>万元，占7.23</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三、部门整体预算绩效管理情况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遂宁市安居区会龙镇</w:t>
      </w:r>
      <w:r>
        <w:rPr>
          <w:rFonts w:ascii="仿宋" w:hAnsi="仿宋" w:eastAsia="仿宋"/>
          <w:sz w:val="32"/>
          <w:szCs w:val="32"/>
        </w:rPr>
        <w:t>保山小学校</w:t>
      </w:r>
      <w:r>
        <w:rPr>
          <w:rFonts w:hint="eastAsia" w:ascii="仿宋" w:hAnsi="仿宋" w:eastAsia="仿宋"/>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遂宁市安居区会龙镇</w:t>
      </w:r>
      <w:r>
        <w:rPr>
          <w:rFonts w:ascii="仿宋" w:hAnsi="仿宋" w:eastAsia="仿宋"/>
          <w:sz w:val="32"/>
          <w:szCs w:val="32"/>
        </w:rPr>
        <w:t>保山小学校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认真履职尽责，认真完成项目任务，所有项目均开展绩效评价，评价效果良好，对于财政预算资金多次接受省、市、区的检查，所有资金的支出，接受财政部门的监督管理，圆满完成2023年的目标任务。</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pPr>
        <w:pStyle w:val="29"/>
        <w:spacing w:line="560" w:lineRule="exact"/>
        <w:ind w:firstLine="640" w:firstLineChars="200"/>
        <w:rPr>
          <w:rFonts w:ascii="仿宋_GB2312" w:eastAsia="仿宋_GB2312"/>
          <w:sz w:val="32"/>
          <w:szCs w:val="32"/>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w:t>
      </w:r>
      <w:r>
        <w:rPr>
          <w:rFonts w:hint="eastAsia" w:ascii="仿宋_GB2312" w:eastAsia="仿宋_GB2312"/>
          <w:sz w:val="32"/>
          <w:szCs w:val="32"/>
        </w:rPr>
        <w:t>100分</w:t>
      </w:r>
      <w:r>
        <w:rPr>
          <w:rFonts w:ascii="仿宋_GB2312" w:eastAsia="仿宋_GB2312"/>
          <w:sz w:val="32"/>
          <w:szCs w:val="32"/>
        </w:rPr>
        <w:t xml:space="preserve"> 。</w:t>
      </w:r>
    </w:p>
    <w:p>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tbl>
      <w:tblPr>
        <w:tblStyle w:val="17"/>
        <w:tblW w:w="8359" w:type="dxa"/>
        <w:tblInd w:w="0" w:type="dxa"/>
        <w:tblLayout w:type="fixed"/>
        <w:tblCellMar>
          <w:top w:w="0" w:type="dxa"/>
          <w:left w:w="108" w:type="dxa"/>
          <w:bottom w:w="0" w:type="dxa"/>
          <w:right w:w="108" w:type="dxa"/>
        </w:tblCellMar>
      </w:tblPr>
      <w:tblGrid>
        <w:gridCol w:w="678"/>
        <w:gridCol w:w="1033"/>
        <w:gridCol w:w="639"/>
        <w:gridCol w:w="777"/>
        <w:gridCol w:w="518"/>
        <w:gridCol w:w="500"/>
        <w:gridCol w:w="499"/>
        <w:gridCol w:w="880"/>
        <w:gridCol w:w="520"/>
        <w:gridCol w:w="486"/>
        <w:gridCol w:w="1829"/>
      </w:tblGrid>
      <w:tr>
        <w:tblPrEx>
          <w:tblCellMar>
            <w:top w:w="0" w:type="dxa"/>
            <w:left w:w="108" w:type="dxa"/>
            <w:bottom w:w="0" w:type="dxa"/>
            <w:right w:w="108" w:type="dxa"/>
          </w:tblCellMar>
        </w:tblPrEx>
        <w:trPr>
          <w:trHeight w:val="904" w:hRule="atLeast"/>
        </w:trPr>
        <w:tc>
          <w:tcPr>
            <w:tcW w:w="83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51090422T000006815845-义务教育家庭经济困难学生生活补助</w:t>
            </w:r>
          </w:p>
        </w:tc>
      </w:tr>
      <w:tr>
        <w:tblPrEx>
          <w:tblCellMar>
            <w:top w:w="0" w:type="dxa"/>
            <w:left w:w="108" w:type="dxa"/>
            <w:bottom w:w="0" w:type="dxa"/>
            <w:right w:w="108" w:type="dxa"/>
          </w:tblCellMar>
        </w:tblPrEx>
        <w:trPr>
          <w:trHeight w:val="514"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遂宁市安居区会龙镇保山小学校部门</w:t>
            </w:r>
          </w:p>
        </w:tc>
        <w:tc>
          <w:tcPr>
            <w:tcW w:w="8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w:t>
            </w:r>
          </w:p>
        </w:tc>
      </w:tr>
      <w:tr>
        <w:tblPrEx>
          <w:tblCellMar>
            <w:top w:w="0" w:type="dxa"/>
            <w:left w:w="108" w:type="dxa"/>
            <w:bottom w:w="0" w:type="dxa"/>
            <w:right w:w="108" w:type="dxa"/>
          </w:tblCellMar>
        </w:tblPrEx>
        <w:trPr>
          <w:trHeight w:val="285"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对“四类”学生及家庭困难学生进行补助</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按上级文件执行打卡到学生社保卡</w:t>
            </w:r>
          </w:p>
        </w:tc>
      </w:tr>
      <w:tr>
        <w:tblPrEx>
          <w:tblCellMar>
            <w:top w:w="0" w:type="dxa"/>
            <w:left w:w="108" w:type="dxa"/>
            <w:bottom w:w="0" w:type="dxa"/>
            <w:right w:w="108" w:type="dxa"/>
          </w:tblCellMar>
        </w:tblPrEx>
        <w:trPr>
          <w:trHeight w:val="694"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对“四类”学生及家庭困难学生审核、公示、补助到卡</w:t>
            </w:r>
          </w:p>
        </w:tc>
      </w:tr>
      <w:tr>
        <w:tblPrEx>
          <w:tblCellMar>
            <w:top w:w="0" w:type="dxa"/>
            <w:left w:w="108" w:type="dxa"/>
            <w:bottom w:w="0" w:type="dxa"/>
            <w:right w:w="108" w:type="dxa"/>
          </w:tblCellMar>
        </w:tblPrEx>
        <w:trPr>
          <w:trHeight w:val="570"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0.63</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0.63</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51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0.63</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0.63</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9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学生人数</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375</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375</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tblPrEx>
          <w:tblCellMar>
            <w:top w:w="0" w:type="dxa"/>
            <w:left w:w="108" w:type="dxa"/>
            <w:bottom w:w="0" w:type="dxa"/>
            <w:right w:w="108" w:type="dxa"/>
          </w:tblCellMar>
        </w:tblPrEx>
        <w:trPr>
          <w:trHeight w:val="57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3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71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tblPrEx>
          <w:tblCellMar>
            <w:top w:w="0" w:type="dxa"/>
            <w:left w:w="108" w:type="dxa"/>
            <w:bottom w:w="0" w:type="dxa"/>
            <w:right w:w="108" w:type="dxa"/>
          </w:tblCellMar>
        </w:tblPrEx>
        <w:trPr>
          <w:trHeight w:val="285" w:hRule="atLeast"/>
        </w:trPr>
        <w:tc>
          <w:tcPr>
            <w:tcW w:w="67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3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3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9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2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3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51090422T000006818424-幼儿资助及幼儿发展资金</w:t>
            </w:r>
          </w:p>
        </w:tc>
      </w:tr>
      <w:tr>
        <w:tblPrEx>
          <w:tblCellMar>
            <w:top w:w="0" w:type="dxa"/>
            <w:left w:w="108" w:type="dxa"/>
            <w:bottom w:w="0" w:type="dxa"/>
            <w:right w:w="108" w:type="dxa"/>
          </w:tblCellMar>
        </w:tblPrEx>
        <w:trPr>
          <w:trHeight w:val="514"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遂宁市安居区会龙镇保山小学校部门</w:t>
            </w:r>
          </w:p>
        </w:tc>
        <w:tc>
          <w:tcPr>
            <w:tcW w:w="8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w:t>
            </w:r>
          </w:p>
        </w:tc>
      </w:tr>
      <w:tr>
        <w:tblPrEx>
          <w:tblCellMar>
            <w:top w:w="0" w:type="dxa"/>
            <w:left w:w="108" w:type="dxa"/>
            <w:bottom w:w="0" w:type="dxa"/>
            <w:right w:w="108" w:type="dxa"/>
          </w:tblCellMar>
        </w:tblPrEx>
        <w:trPr>
          <w:trHeight w:val="285"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对幼儿保教费减免精准</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合理规划、及时支付、促进幼儿发展</w:t>
            </w:r>
          </w:p>
        </w:tc>
      </w:tr>
      <w:tr>
        <w:tblPrEx>
          <w:tblCellMar>
            <w:top w:w="0" w:type="dxa"/>
            <w:left w:w="108" w:type="dxa"/>
            <w:bottom w:w="0" w:type="dxa"/>
            <w:right w:w="108" w:type="dxa"/>
          </w:tblCellMar>
        </w:tblPrEx>
        <w:trPr>
          <w:trHeight w:val="75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对幼儿保教费减免审核、公示、发放到卡</w:t>
            </w:r>
          </w:p>
        </w:tc>
      </w:tr>
      <w:tr>
        <w:tblPrEx>
          <w:tblCellMar>
            <w:top w:w="0" w:type="dxa"/>
            <w:left w:w="108" w:type="dxa"/>
            <w:bottom w:w="0" w:type="dxa"/>
            <w:right w:w="108" w:type="dxa"/>
          </w:tblCellMar>
        </w:tblPrEx>
        <w:trPr>
          <w:trHeight w:val="555"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52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54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学生人数</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4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2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tblPrEx>
          <w:tblCellMar>
            <w:top w:w="0" w:type="dxa"/>
            <w:left w:w="108" w:type="dxa"/>
            <w:bottom w:w="0" w:type="dxa"/>
            <w:right w:w="108" w:type="dxa"/>
          </w:tblCellMar>
        </w:tblPrEx>
        <w:trPr>
          <w:trHeight w:val="57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3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71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tblPrEx>
          <w:tblCellMar>
            <w:top w:w="0" w:type="dxa"/>
            <w:left w:w="108" w:type="dxa"/>
            <w:bottom w:w="0" w:type="dxa"/>
            <w:right w:w="108" w:type="dxa"/>
          </w:tblCellMar>
        </w:tblPrEx>
        <w:trPr>
          <w:trHeight w:val="285" w:hRule="atLeast"/>
        </w:trPr>
        <w:tc>
          <w:tcPr>
            <w:tcW w:w="67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3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3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9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2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3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51090422T000007203223-校舍维修</w:t>
            </w:r>
          </w:p>
        </w:tc>
      </w:tr>
      <w:tr>
        <w:tblPrEx>
          <w:tblCellMar>
            <w:top w:w="0" w:type="dxa"/>
            <w:left w:w="108" w:type="dxa"/>
            <w:bottom w:w="0" w:type="dxa"/>
            <w:right w:w="108" w:type="dxa"/>
          </w:tblCellMar>
        </w:tblPrEx>
        <w:trPr>
          <w:trHeight w:val="514"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遂宁市安居区会龙镇保山小学校部门</w:t>
            </w:r>
          </w:p>
        </w:tc>
        <w:tc>
          <w:tcPr>
            <w:tcW w:w="8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w:t>
            </w:r>
          </w:p>
        </w:tc>
      </w:tr>
      <w:tr>
        <w:tblPrEx>
          <w:tblCellMar>
            <w:top w:w="0" w:type="dxa"/>
            <w:left w:w="108" w:type="dxa"/>
            <w:bottom w:w="0" w:type="dxa"/>
            <w:right w:w="108" w:type="dxa"/>
          </w:tblCellMar>
        </w:tblPrEx>
        <w:trPr>
          <w:trHeight w:val="285"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对学校舞台维修、门卫室治漏</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合理开支、及时支付、保障校舍安全</w:t>
            </w:r>
          </w:p>
        </w:tc>
      </w:tr>
      <w:tr>
        <w:tblPrEx>
          <w:tblCellMar>
            <w:top w:w="0" w:type="dxa"/>
            <w:left w:w="108" w:type="dxa"/>
            <w:bottom w:w="0" w:type="dxa"/>
            <w:right w:w="108" w:type="dxa"/>
          </w:tblCellMar>
        </w:tblPrEx>
        <w:trPr>
          <w:trHeight w:val="78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按照学校小额维修维护规定，合理使用资金，保证校舍安全。</w:t>
            </w:r>
          </w:p>
        </w:tc>
      </w:tr>
      <w:tr>
        <w:tblPrEx>
          <w:tblCellMar>
            <w:top w:w="0" w:type="dxa"/>
            <w:left w:w="108" w:type="dxa"/>
            <w:bottom w:w="0" w:type="dxa"/>
            <w:right w:w="108" w:type="dxa"/>
          </w:tblCellMar>
        </w:tblPrEx>
        <w:trPr>
          <w:trHeight w:val="555"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55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58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支付率</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1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6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家长及学生</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tblPrEx>
          <w:tblCellMar>
            <w:top w:w="0" w:type="dxa"/>
            <w:left w:w="108" w:type="dxa"/>
            <w:bottom w:w="0" w:type="dxa"/>
            <w:right w:w="108" w:type="dxa"/>
          </w:tblCellMar>
        </w:tblPrEx>
        <w:trPr>
          <w:trHeight w:val="57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3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71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tblPrEx>
          <w:tblCellMar>
            <w:top w:w="0" w:type="dxa"/>
            <w:left w:w="108" w:type="dxa"/>
            <w:bottom w:w="0" w:type="dxa"/>
            <w:right w:w="108" w:type="dxa"/>
          </w:tblCellMar>
        </w:tblPrEx>
        <w:trPr>
          <w:trHeight w:val="285" w:hRule="atLeast"/>
        </w:trPr>
        <w:tc>
          <w:tcPr>
            <w:tcW w:w="67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3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3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9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2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3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51090423T000008612092-义务教育课后服务支出</w:t>
            </w:r>
          </w:p>
        </w:tc>
      </w:tr>
      <w:tr>
        <w:tblPrEx>
          <w:tblCellMar>
            <w:top w:w="0" w:type="dxa"/>
            <w:left w:w="108" w:type="dxa"/>
            <w:bottom w:w="0" w:type="dxa"/>
            <w:right w:w="108" w:type="dxa"/>
          </w:tblCellMar>
        </w:tblPrEx>
        <w:trPr>
          <w:trHeight w:val="514"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遂宁市安居区会龙镇保山小学校部门</w:t>
            </w:r>
          </w:p>
        </w:tc>
        <w:tc>
          <w:tcPr>
            <w:tcW w:w="8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w:t>
            </w:r>
          </w:p>
        </w:tc>
      </w:tr>
      <w:tr>
        <w:tblPrEx>
          <w:tblCellMar>
            <w:top w:w="0" w:type="dxa"/>
            <w:left w:w="108" w:type="dxa"/>
            <w:bottom w:w="0" w:type="dxa"/>
            <w:right w:w="108" w:type="dxa"/>
          </w:tblCellMar>
        </w:tblPrEx>
        <w:trPr>
          <w:trHeight w:val="285"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2023年度课后服务费640元/生/期。四类人员不缴费</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严格按学校方案考核，公示，发放</w:t>
            </w:r>
          </w:p>
        </w:tc>
      </w:tr>
      <w:tr>
        <w:tblPrEx>
          <w:tblCellMar>
            <w:top w:w="0" w:type="dxa"/>
            <w:left w:w="108" w:type="dxa"/>
            <w:bottom w:w="0" w:type="dxa"/>
            <w:right w:w="108" w:type="dxa"/>
          </w:tblCellMar>
        </w:tblPrEx>
        <w:trPr>
          <w:trHeight w:val="694"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按照上级文件合理使用经费，据实发放教师劳务费。</w:t>
            </w:r>
          </w:p>
        </w:tc>
      </w:tr>
      <w:tr>
        <w:tblPrEx>
          <w:tblCellMar>
            <w:top w:w="0" w:type="dxa"/>
            <w:left w:w="108" w:type="dxa"/>
            <w:bottom w:w="0" w:type="dxa"/>
            <w:right w:w="108" w:type="dxa"/>
          </w:tblCellMar>
        </w:tblPrEx>
        <w:trPr>
          <w:trHeight w:val="540"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3.37</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62.44%</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61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61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3.37</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62.44%</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8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优秀率</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2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收益率</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满意率</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tblPrEx>
          <w:tblCellMar>
            <w:top w:w="0" w:type="dxa"/>
            <w:left w:w="108" w:type="dxa"/>
            <w:bottom w:w="0" w:type="dxa"/>
            <w:right w:w="108" w:type="dxa"/>
          </w:tblCellMar>
        </w:tblPrEx>
        <w:trPr>
          <w:trHeight w:val="57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3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71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r>
        <w:tblPrEx>
          <w:tblCellMar>
            <w:top w:w="0" w:type="dxa"/>
            <w:left w:w="108" w:type="dxa"/>
            <w:bottom w:w="0" w:type="dxa"/>
            <w:right w:w="108" w:type="dxa"/>
          </w:tblCellMar>
        </w:tblPrEx>
        <w:trPr>
          <w:trHeight w:val="285" w:hRule="atLeast"/>
        </w:trPr>
        <w:tc>
          <w:tcPr>
            <w:tcW w:w="67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3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3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9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2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67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33"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3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9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2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3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51090423T000009404312-城乡义务教育-免作业本费</w:t>
            </w:r>
          </w:p>
        </w:tc>
      </w:tr>
      <w:tr>
        <w:tblPrEx>
          <w:tblCellMar>
            <w:top w:w="0" w:type="dxa"/>
            <w:left w:w="108" w:type="dxa"/>
            <w:bottom w:w="0" w:type="dxa"/>
            <w:right w:w="108" w:type="dxa"/>
          </w:tblCellMar>
        </w:tblPrEx>
        <w:trPr>
          <w:trHeight w:val="514" w:hRule="atLeast"/>
        </w:trPr>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遂宁市安居区会龙镇保山小学校部门</w:t>
            </w:r>
          </w:p>
        </w:tc>
        <w:tc>
          <w:tcPr>
            <w:tcW w:w="880" w:type="dxa"/>
            <w:tcBorders>
              <w:top w:val="nil"/>
              <w:left w:val="nil"/>
              <w:bottom w:val="nil"/>
              <w:right w:val="nil"/>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遂宁市安居区会龙镇保山小学校</w:t>
            </w:r>
          </w:p>
        </w:tc>
      </w:tr>
      <w:tr>
        <w:tblPrEx>
          <w:tblCellMar>
            <w:top w:w="0" w:type="dxa"/>
            <w:left w:w="108" w:type="dxa"/>
            <w:bottom w:w="0" w:type="dxa"/>
            <w:right w:w="108" w:type="dxa"/>
          </w:tblCellMar>
        </w:tblPrEx>
        <w:trPr>
          <w:trHeight w:val="285"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3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按上级文件实施学生作业本发放</w:t>
            </w:r>
          </w:p>
        </w:tc>
        <w:tc>
          <w:tcPr>
            <w:tcW w:w="371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及时支付</w:t>
            </w:r>
          </w:p>
        </w:tc>
      </w:tr>
      <w:tr>
        <w:tblPrEx>
          <w:tblCellMar>
            <w:top w:w="0" w:type="dxa"/>
            <w:left w:w="108" w:type="dxa"/>
            <w:bottom w:w="0" w:type="dxa"/>
            <w:right w:w="108" w:type="dxa"/>
          </w:tblCellMar>
        </w:tblPrEx>
        <w:trPr>
          <w:trHeight w:val="694"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48"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根据学生15元/人购买作业本，及时准确发放作业本</w:t>
            </w:r>
          </w:p>
        </w:tc>
      </w:tr>
      <w:tr>
        <w:tblPrEx>
          <w:tblCellMar>
            <w:top w:w="0" w:type="dxa"/>
            <w:left w:w="108" w:type="dxa"/>
            <w:bottom w:w="0" w:type="dxa"/>
            <w:right w:w="108" w:type="dxa"/>
          </w:tblCellMar>
        </w:tblPrEx>
        <w:trPr>
          <w:trHeight w:val="510"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tblPrEx>
          <w:tblCellMar>
            <w:top w:w="0" w:type="dxa"/>
            <w:left w:w="108" w:type="dxa"/>
            <w:bottom w:w="0" w:type="dxa"/>
            <w:right w:w="108" w:type="dxa"/>
          </w:tblCellMar>
        </w:tblPrEx>
        <w:trPr>
          <w:trHeight w:val="57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57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29"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eastAsia="等线"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54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服务质量</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30"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35" w:hRule="atLeast"/>
        </w:trPr>
        <w:tc>
          <w:tcPr>
            <w:tcW w:w="67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7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学生及家长满意</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2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及时、准确</w:t>
            </w:r>
          </w:p>
        </w:tc>
      </w:tr>
      <w:tr>
        <w:tblPrEx>
          <w:tblCellMar>
            <w:top w:w="0" w:type="dxa"/>
            <w:left w:w="108" w:type="dxa"/>
            <w:bottom w:w="0" w:type="dxa"/>
            <w:right w:w="108" w:type="dxa"/>
          </w:tblCellMar>
        </w:tblPrEx>
        <w:trPr>
          <w:trHeight w:val="57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7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68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3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项目负责人：蒋金辉</w:t>
            </w:r>
          </w:p>
        </w:tc>
        <w:tc>
          <w:tcPr>
            <w:tcW w:w="471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财务负责人：蒋金辉</w:t>
            </w:r>
          </w:p>
        </w:tc>
      </w:tr>
    </w:tbl>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（二）存在问题。</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学校地处农村，生源少。</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（三）改进建议。</w:t>
      </w:r>
    </w:p>
    <w:p>
      <w:pPr>
        <w:pStyle w:val="7"/>
        <w:spacing w:before="93"/>
        <w:rPr>
          <w:rFonts w:hAnsi="Calibri" w:cs="仿宋"/>
          <w:sz w:val="32"/>
          <w:szCs w:val="32"/>
        </w:rPr>
      </w:pPr>
      <w:r>
        <w:rPr>
          <w:rFonts w:hint="eastAsia" w:ascii="仿宋" w:hAnsi="仿宋" w:eastAsia="仿宋"/>
          <w:sz w:val="32"/>
          <w:szCs w:val="32"/>
        </w:rPr>
        <w:t>向主管部门汇报情况，争取上级或本级资金，加快校园建设，完善教学基础设施，更新教学理念。提高学生的竞争力。</w:t>
      </w: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2"/>
          <w:rFonts w:hint="eastAsia" w:ascii="仿宋" w:hAnsi="仿宋" w:eastAsia="仿宋"/>
          <w:b w:val="0"/>
          <w:bCs w:val="0"/>
        </w:rPr>
        <w:t>入决算表</w:t>
      </w:r>
      <w:bookmarkEnd w:id="55"/>
    </w:p>
    <w:p>
      <w:pPr>
        <w:pStyle w:val="4"/>
        <w:rPr>
          <w:rFonts w:ascii="仿宋" w:hAnsi="仿宋" w:eastAsia="仿宋"/>
        </w:rPr>
      </w:pPr>
      <w:bookmarkStart w:id="56"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7"/>
    </w:p>
    <w:p>
      <w:pPr>
        <w:pStyle w:val="4"/>
        <w:rPr>
          <w:rStyle w:val="32"/>
          <w:rFonts w:ascii="仿宋" w:hAnsi="仿宋" w:eastAsia="仿宋"/>
          <w:b w:val="0"/>
          <w:bCs w:val="0"/>
        </w:rPr>
      </w:pPr>
      <w:bookmarkStart w:id="58"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2"/>
          <w:rFonts w:hint="eastAsia" w:ascii="仿宋" w:hAnsi="仿宋" w:eastAsia="仿宋"/>
          <w:b w:val="0"/>
          <w:bCs w:val="0"/>
        </w:rPr>
        <w:t>十、</w:t>
      </w:r>
      <w:bookmarkEnd w:id="63"/>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2"/>
          <w:rFonts w:hint="eastAsia" w:ascii="仿宋" w:hAnsi="仿宋" w:eastAsia="仿宋"/>
          <w:b w:val="0"/>
          <w:bCs w:val="0"/>
        </w:rPr>
        <w:t>十一、</w:t>
      </w:r>
      <w:bookmarkEnd w:id="64"/>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2"/>
          <w:rFonts w:hint="eastAsia" w:ascii="仿宋" w:hAnsi="仿宋" w:eastAsia="仿宋"/>
          <w:b w:val="0"/>
          <w:bCs w:val="0"/>
        </w:rPr>
        <w:t>十二、</w:t>
      </w:r>
      <w:bookmarkEnd w:id="65"/>
      <w:r>
        <w:rPr>
          <w:rStyle w:val="32"/>
          <w:rFonts w:hint="eastAsia" w:ascii="仿宋" w:hAnsi="仿宋" w:eastAsia="仿宋"/>
          <w:b w:val="0"/>
          <w:bCs w:val="0"/>
        </w:rPr>
        <w:t>国有资本经营预算财政拨款支出决算表</w:t>
      </w:r>
    </w:p>
    <w:p>
      <w:pPr>
        <w:pStyle w:val="4"/>
        <w:rPr>
          <w:rFonts w:eastAsia="仿宋"/>
        </w:rPr>
      </w:pPr>
      <w:bookmarkStart w:id="66" w:name="_Toc15396631"/>
      <w:r>
        <w:rPr>
          <w:rStyle w:val="32"/>
          <w:rFonts w:hint="eastAsia" w:ascii="仿宋" w:hAnsi="仿宋" w:eastAsia="仿宋"/>
          <w:b w:val="0"/>
          <w:bCs w:val="0"/>
        </w:rPr>
        <w:t>十三、</w:t>
      </w:r>
      <w:bookmarkEnd w:id="66"/>
      <w:r>
        <w:rPr>
          <w:rStyle w:val="32"/>
          <w:rFonts w:hint="eastAsia" w:ascii="仿宋" w:hAnsi="仿宋" w:eastAsia="仿宋"/>
          <w:b w:val="0"/>
          <w:bCs w:val="0"/>
        </w:rPr>
        <w:t>财政拨款“三公”经费支出决算表</w:t>
      </w:r>
    </w:p>
    <w:bookmarkEnd w:id="67"/>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33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51A9"/>
    <w:rsid w:val="000222C6"/>
    <w:rsid w:val="0002549F"/>
    <w:rsid w:val="00030467"/>
    <w:rsid w:val="00034D00"/>
    <w:rsid w:val="0004037A"/>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E5B"/>
    <w:rsid w:val="000E6613"/>
    <w:rsid w:val="000E7119"/>
    <w:rsid w:val="00114E9B"/>
    <w:rsid w:val="00142216"/>
    <w:rsid w:val="0014496A"/>
    <w:rsid w:val="00144D6A"/>
    <w:rsid w:val="0014729F"/>
    <w:rsid w:val="001511D0"/>
    <w:rsid w:val="0015578B"/>
    <w:rsid w:val="00157BAB"/>
    <w:rsid w:val="001654D1"/>
    <w:rsid w:val="00174518"/>
    <w:rsid w:val="0018106D"/>
    <w:rsid w:val="00186EC5"/>
    <w:rsid w:val="001877A7"/>
    <w:rsid w:val="00191536"/>
    <w:rsid w:val="00196687"/>
    <w:rsid w:val="001A1DAD"/>
    <w:rsid w:val="001B7273"/>
    <w:rsid w:val="001C0962"/>
    <w:rsid w:val="001D7531"/>
    <w:rsid w:val="001E318E"/>
    <w:rsid w:val="001E7205"/>
    <w:rsid w:val="001E737D"/>
    <w:rsid w:val="001F0592"/>
    <w:rsid w:val="001F7506"/>
    <w:rsid w:val="002006CD"/>
    <w:rsid w:val="00202B36"/>
    <w:rsid w:val="00204B7A"/>
    <w:rsid w:val="00204CDE"/>
    <w:rsid w:val="00206907"/>
    <w:rsid w:val="0021101A"/>
    <w:rsid w:val="00212B4A"/>
    <w:rsid w:val="00214528"/>
    <w:rsid w:val="00220536"/>
    <w:rsid w:val="00221C80"/>
    <w:rsid w:val="00235629"/>
    <w:rsid w:val="00260C38"/>
    <w:rsid w:val="002616C0"/>
    <w:rsid w:val="00265372"/>
    <w:rsid w:val="002662AA"/>
    <w:rsid w:val="00280496"/>
    <w:rsid w:val="00294DC9"/>
    <w:rsid w:val="00295495"/>
    <w:rsid w:val="002A31DE"/>
    <w:rsid w:val="002A3FCF"/>
    <w:rsid w:val="002A5FD7"/>
    <w:rsid w:val="002B2613"/>
    <w:rsid w:val="002B4BB8"/>
    <w:rsid w:val="002C5004"/>
    <w:rsid w:val="002D6D05"/>
    <w:rsid w:val="002F0FDC"/>
    <w:rsid w:val="002F1818"/>
    <w:rsid w:val="002F567B"/>
    <w:rsid w:val="003216A9"/>
    <w:rsid w:val="00322EF6"/>
    <w:rsid w:val="00331F20"/>
    <w:rsid w:val="00335A74"/>
    <w:rsid w:val="003369B2"/>
    <w:rsid w:val="00337326"/>
    <w:rsid w:val="0036561B"/>
    <w:rsid w:val="0037013F"/>
    <w:rsid w:val="00380C92"/>
    <w:rsid w:val="003969D0"/>
    <w:rsid w:val="003A484F"/>
    <w:rsid w:val="003A4883"/>
    <w:rsid w:val="003A667B"/>
    <w:rsid w:val="003B0BE0"/>
    <w:rsid w:val="003B0C1B"/>
    <w:rsid w:val="003B688C"/>
    <w:rsid w:val="003C0291"/>
    <w:rsid w:val="003C39AE"/>
    <w:rsid w:val="003C7B60"/>
    <w:rsid w:val="003D0C0F"/>
    <w:rsid w:val="003D1FB2"/>
    <w:rsid w:val="003D66DA"/>
    <w:rsid w:val="003E1310"/>
    <w:rsid w:val="003E6F55"/>
    <w:rsid w:val="003E75C9"/>
    <w:rsid w:val="00406254"/>
    <w:rsid w:val="00406A4C"/>
    <w:rsid w:val="004223DE"/>
    <w:rsid w:val="00425C50"/>
    <w:rsid w:val="0043177C"/>
    <w:rsid w:val="0043228C"/>
    <w:rsid w:val="00434489"/>
    <w:rsid w:val="00437085"/>
    <w:rsid w:val="00441E3B"/>
    <w:rsid w:val="00443880"/>
    <w:rsid w:val="004464F4"/>
    <w:rsid w:val="0046049C"/>
    <w:rsid w:val="00471401"/>
    <w:rsid w:val="00471B4A"/>
    <w:rsid w:val="00473F31"/>
    <w:rsid w:val="0048263A"/>
    <w:rsid w:val="00487E5D"/>
    <w:rsid w:val="004A711F"/>
    <w:rsid w:val="004A722C"/>
    <w:rsid w:val="004B199D"/>
    <w:rsid w:val="004B4690"/>
    <w:rsid w:val="004C27DD"/>
    <w:rsid w:val="004E0A2D"/>
    <w:rsid w:val="004E206B"/>
    <w:rsid w:val="004E5378"/>
    <w:rsid w:val="004E6DF7"/>
    <w:rsid w:val="004F0FBD"/>
    <w:rsid w:val="00505A47"/>
    <w:rsid w:val="00512FDA"/>
    <w:rsid w:val="00520DA0"/>
    <w:rsid w:val="005441A9"/>
    <w:rsid w:val="005533CF"/>
    <w:rsid w:val="005648A1"/>
    <w:rsid w:val="005664BB"/>
    <w:rsid w:val="00566FFA"/>
    <w:rsid w:val="00572CB7"/>
    <w:rsid w:val="0057481D"/>
    <w:rsid w:val="0058486E"/>
    <w:rsid w:val="00585B33"/>
    <w:rsid w:val="0059014D"/>
    <w:rsid w:val="005A2D8C"/>
    <w:rsid w:val="005A7C3F"/>
    <w:rsid w:val="005B3234"/>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1FB2"/>
    <w:rsid w:val="006748A4"/>
    <w:rsid w:val="00681A31"/>
    <w:rsid w:val="00683E73"/>
    <w:rsid w:val="00695C19"/>
    <w:rsid w:val="006A3141"/>
    <w:rsid w:val="006A5E34"/>
    <w:rsid w:val="006B2422"/>
    <w:rsid w:val="006B2B9A"/>
    <w:rsid w:val="006C1937"/>
    <w:rsid w:val="006E3CA2"/>
    <w:rsid w:val="006F020C"/>
    <w:rsid w:val="006F6AC4"/>
    <w:rsid w:val="006F7699"/>
    <w:rsid w:val="0071021A"/>
    <w:rsid w:val="007127B7"/>
    <w:rsid w:val="0071798E"/>
    <w:rsid w:val="00726E25"/>
    <w:rsid w:val="00727F9D"/>
    <w:rsid w:val="007416B6"/>
    <w:rsid w:val="00746F48"/>
    <w:rsid w:val="00750EAB"/>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554BE"/>
    <w:rsid w:val="00855C42"/>
    <w:rsid w:val="00856475"/>
    <w:rsid w:val="00856F23"/>
    <w:rsid w:val="0086029C"/>
    <w:rsid w:val="00860645"/>
    <w:rsid w:val="00871F71"/>
    <w:rsid w:val="00872FD8"/>
    <w:rsid w:val="0087632F"/>
    <w:rsid w:val="008765AE"/>
    <w:rsid w:val="00885AF4"/>
    <w:rsid w:val="008919D5"/>
    <w:rsid w:val="008939CD"/>
    <w:rsid w:val="0089773D"/>
    <w:rsid w:val="008B768C"/>
    <w:rsid w:val="008C4DB1"/>
    <w:rsid w:val="008C4EAF"/>
    <w:rsid w:val="008C5176"/>
    <w:rsid w:val="008C7FD0"/>
    <w:rsid w:val="008C7FD8"/>
    <w:rsid w:val="008E1DE7"/>
    <w:rsid w:val="008E707C"/>
    <w:rsid w:val="008F4408"/>
    <w:rsid w:val="00900B08"/>
    <w:rsid w:val="00902155"/>
    <w:rsid w:val="00902FA3"/>
    <w:rsid w:val="00913EA1"/>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786F"/>
    <w:rsid w:val="009D18F3"/>
    <w:rsid w:val="009D3447"/>
    <w:rsid w:val="009D4711"/>
    <w:rsid w:val="009F1185"/>
    <w:rsid w:val="009F18CD"/>
    <w:rsid w:val="009F2A13"/>
    <w:rsid w:val="009F7527"/>
    <w:rsid w:val="00A04EB0"/>
    <w:rsid w:val="00A07937"/>
    <w:rsid w:val="00A13CC1"/>
    <w:rsid w:val="00A16847"/>
    <w:rsid w:val="00A237D8"/>
    <w:rsid w:val="00A256D7"/>
    <w:rsid w:val="00A268C4"/>
    <w:rsid w:val="00A26C9D"/>
    <w:rsid w:val="00A307CD"/>
    <w:rsid w:val="00A331C8"/>
    <w:rsid w:val="00A40A00"/>
    <w:rsid w:val="00A4142F"/>
    <w:rsid w:val="00A422EB"/>
    <w:rsid w:val="00A45BB7"/>
    <w:rsid w:val="00A56DF2"/>
    <w:rsid w:val="00A56E6E"/>
    <w:rsid w:val="00A67AB5"/>
    <w:rsid w:val="00A733B2"/>
    <w:rsid w:val="00A741C2"/>
    <w:rsid w:val="00A75598"/>
    <w:rsid w:val="00A91760"/>
    <w:rsid w:val="00A93B00"/>
    <w:rsid w:val="00A93C21"/>
    <w:rsid w:val="00AB64C9"/>
    <w:rsid w:val="00AC0992"/>
    <w:rsid w:val="00AC3C6A"/>
    <w:rsid w:val="00AD5620"/>
    <w:rsid w:val="00AD656B"/>
    <w:rsid w:val="00AD7C1B"/>
    <w:rsid w:val="00AE05A0"/>
    <w:rsid w:val="00AE16BA"/>
    <w:rsid w:val="00AE1EBE"/>
    <w:rsid w:val="00B01223"/>
    <w:rsid w:val="00B03C9D"/>
    <w:rsid w:val="00B060AE"/>
    <w:rsid w:val="00B10517"/>
    <w:rsid w:val="00B14E76"/>
    <w:rsid w:val="00B161B8"/>
    <w:rsid w:val="00B2048C"/>
    <w:rsid w:val="00B24DB9"/>
    <w:rsid w:val="00B25CB6"/>
    <w:rsid w:val="00B310B9"/>
    <w:rsid w:val="00B35F3F"/>
    <w:rsid w:val="00B36CBB"/>
    <w:rsid w:val="00B425E0"/>
    <w:rsid w:val="00B440AA"/>
    <w:rsid w:val="00B44B70"/>
    <w:rsid w:val="00B53C56"/>
    <w:rsid w:val="00B57DAF"/>
    <w:rsid w:val="00B77EA6"/>
    <w:rsid w:val="00B81598"/>
    <w:rsid w:val="00B841F1"/>
    <w:rsid w:val="00B94088"/>
    <w:rsid w:val="00B944D6"/>
    <w:rsid w:val="00BB4DF0"/>
    <w:rsid w:val="00BC289F"/>
    <w:rsid w:val="00BC2D50"/>
    <w:rsid w:val="00BC5361"/>
    <w:rsid w:val="00BC5460"/>
    <w:rsid w:val="00BC6B50"/>
    <w:rsid w:val="00BD0E25"/>
    <w:rsid w:val="00BD5026"/>
    <w:rsid w:val="00BF5BD6"/>
    <w:rsid w:val="00C03E31"/>
    <w:rsid w:val="00C052D1"/>
    <w:rsid w:val="00C33E72"/>
    <w:rsid w:val="00C354B2"/>
    <w:rsid w:val="00C35554"/>
    <w:rsid w:val="00C42709"/>
    <w:rsid w:val="00C533CC"/>
    <w:rsid w:val="00C5751C"/>
    <w:rsid w:val="00C6001F"/>
    <w:rsid w:val="00C61BFC"/>
    <w:rsid w:val="00C62B85"/>
    <w:rsid w:val="00C65438"/>
    <w:rsid w:val="00C87FD8"/>
    <w:rsid w:val="00C91381"/>
    <w:rsid w:val="00C91CBB"/>
    <w:rsid w:val="00CB4E70"/>
    <w:rsid w:val="00CC09B6"/>
    <w:rsid w:val="00CC666F"/>
    <w:rsid w:val="00CD1E3F"/>
    <w:rsid w:val="00CE44F6"/>
    <w:rsid w:val="00CE49DA"/>
    <w:rsid w:val="00CE7B61"/>
    <w:rsid w:val="00CF5BFD"/>
    <w:rsid w:val="00D00095"/>
    <w:rsid w:val="00D05CED"/>
    <w:rsid w:val="00D114F0"/>
    <w:rsid w:val="00D20620"/>
    <w:rsid w:val="00D254F7"/>
    <w:rsid w:val="00D26091"/>
    <w:rsid w:val="00D2685C"/>
    <w:rsid w:val="00D31E6F"/>
    <w:rsid w:val="00D34E7C"/>
    <w:rsid w:val="00D35489"/>
    <w:rsid w:val="00D36AFE"/>
    <w:rsid w:val="00D46E8B"/>
    <w:rsid w:val="00D51276"/>
    <w:rsid w:val="00D7035F"/>
    <w:rsid w:val="00D9128E"/>
    <w:rsid w:val="00DA634F"/>
    <w:rsid w:val="00DA65AC"/>
    <w:rsid w:val="00DB1913"/>
    <w:rsid w:val="00DC410D"/>
    <w:rsid w:val="00DC5A81"/>
    <w:rsid w:val="00DC68CA"/>
    <w:rsid w:val="00DC7CBA"/>
    <w:rsid w:val="00DD73B7"/>
    <w:rsid w:val="00DE3961"/>
    <w:rsid w:val="00DF28BC"/>
    <w:rsid w:val="00DF34B9"/>
    <w:rsid w:val="00DF4EE3"/>
    <w:rsid w:val="00E00AF1"/>
    <w:rsid w:val="00E01053"/>
    <w:rsid w:val="00E07ACF"/>
    <w:rsid w:val="00E226B5"/>
    <w:rsid w:val="00E26B09"/>
    <w:rsid w:val="00E331A1"/>
    <w:rsid w:val="00E33202"/>
    <w:rsid w:val="00E336A9"/>
    <w:rsid w:val="00E472B1"/>
    <w:rsid w:val="00E50624"/>
    <w:rsid w:val="00E568DF"/>
    <w:rsid w:val="00E64269"/>
    <w:rsid w:val="00E82267"/>
    <w:rsid w:val="00E82292"/>
    <w:rsid w:val="00E853CE"/>
    <w:rsid w:val="00E867B6"/>
    <w:rsid w:val="00E91E9E"/>
    <w:rsid w:val="00E92E51"/>
    <w:rsid w:val="00E97AA2"/>
    <w:rsid w:val="00EA010F"/>
    <w:rsid w:val="00EA67C7"/>
    <w:rsid w:val="00EA7E78"/>
    <w:rsid w:val="00EB7470"/>
    <w:rsid w:val="00ED1B63"/>
    <w:rsid w:val="00ED3C1F"/>
    <w:rsid w:val="00ED4085"/>
    <w:rsid w:val="00ED420E"/>
    <w:rsid w:val="00ED6AEB"/>
    <w:rsid w:val="00ED6B37"/>
    <w:rsid w:val="00ED6FBE"/>
    <w:rsid w:val="00EE2F57"/>
    <w:rsid w:val="00EF4C34"/>
    <w:rsid w:val="00EF77C6"/>
    <w:rsid w:val="00F05438"/>
    <w:rsid w:val="00F1361C"/>
    <w:rsid w:val="00F156F0"/>
    <w:rsid w:val="00F160C7"/>
    <w:rsid w:val="00F174DB"/>
    <w:rsid w:val="00F2408F"/>
    <w:rsid w:val="00F240E9"/>
    <w:rsid w:val="00F24EFC"/>
    <w:rsid w:val="00F36D8F"/>
    <w:rsid w:val="00F417B1"/>
    <w:rsid w:val="00F42B02"/>
    <w:rsid w:val="00F45853"/>
    <w:rsid w:val="00F50596"/>
    <w:rsid w:val="00F602DF"/>
    <w:rsid w:val="00F64275"/>
    <w:rsid w:val="00F754A1"/>
    <w:rsid w:val="00F81FD9"/>
    <w:rsid w:val="00F841AA"/>
    <w:rsid w:val="00F84A94"/>
    <w:rsid w:val="00F87E96"/>
    <w:rsid w:val="00FA23E8"/>
    <w:rsid w:val="00FC19D1"/>
    <w:rsid w:val="00FD3CC1"/>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4C007CF"/>
    <w:rsid w:val="356A28F1"/>
    <w:rsid w:val="357C035A"/>
    <w:rsid w:val="368E000D"/>
    <w:rsid w:val="383D272C"/>
    <w:rsid w:val="39AE70AB"/>
    <w:rsid w:val="3A4DCE41"/>
    <w:rsid w:val="3BCB56FA"/>
    <w:rsid w:val="3C0C0783"/>
    <w:rsid w:val="3EE7C2F4"/>
    <w:rsid w:val="3F371B56"/>
    <w:rsid w:val="3F792ED8"/>
    <w:rsid w:val="3F9F3A96"/>
    <w:rsid w:val="3FECA4B2"/>
    <w:rsid w:val="3FF58C48"/>
    <w:rsid w:val="40600C68"/>
    <w:rsid w:val="42FF669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annotation text"/>
    <w:basedOn w:val="1"/>
    <w:link w:val="53"/>
    <w:qFormat/>
    <w:uiPriority w:val="99"/>
    <w:pPr>
      <w:suppressAutoHyphens/>
      <w:jc w:val="left"/>
    </w:pPr>
    <w:rPr>
      <w:rFonts w:ascii="Calibri" w:hAnsi="Calibri"/>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annotation subject"/>
    <w:basedOn w:val="6"/>
    <w:next w:val="6"/>
    <w:link w:val="54"/>
    <w:semiHidden/>
    <w:unhideWhenUsed/>
    <w:uiPriority w:val="99"/>
    <w:pPr>
      <w:suppressAutoHyphens w:val="0"/>
    </w:pPr>
    <w:rPr>
      <w:rFonts w:ascii="Times New Roman" w:hAnsi="Times New Roman"/>
      <w:b/>
      <w:bCs/>
    </w:rPr>
  </w:style>
  <w:style w:type="paragraph" w:styleId="16">
    <w:name w:val="Body Text First Indent 2"/>
    <w:basedOn w:val="8"/>
    <w:unhideWhenUsed/>
    <w:qFormat/>
    <w:uiPriority w:val="99"/>
    <w:pPr>
      <w:ind w:firstLine="420" w:firstLineChars="200"/>
    </w:pPr>
  </w:style>
  <w:style w:type="character" w:styleId="19">
    <w:name w:val="Strong"/>
    <w:basedOn w:val="18"/>
    <w:qFormat/>
    <w:uiPriority w:val="99"/>
    <w:rPr>
      <w:b/>
    </w:rPr>
  </w:style>
  <w:style w:type="character" w:styleId="20">
    <w:name w:val="FollowedHyperlink"/>
    <w:basedOn w:val="18"/>
    <w:semiHidden/>
    <w:unhideWhenUsed/>
    <w:uiPriority w:val="99"/>
    <w:rPr>
      <w:color w:val="954F72"/>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basedOn w:val="18"/>
    <w:semiHidden/>
    <w:unhideWhenUsed/>
    <w:uiPriority w:val="99"/>
    <w:rPr>
      <w:sz w:val="21"/>
      <w:szCs w:val="21"/>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3"/>
    <w:qFormat/>
    <w:uiPriority w:val="9"/>
    <w:rPr>
      <w:rFonts w:ascii="Times New Roman" w:hAnsi="Times New Roman"/>
      <w:b/>
      <w:bCs/>
      <w:kern w:val="44"/>
      <w:sz w:val="44"/>
      <w:szCs w:val="44"/>
    </w:rPr>
  </w:style>
  <w:style w:type="character" w:customStyle="1" w:styleId="32">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8"/>
    <w:link w:val="10"/>
    <w:semiHidden/>
    <w:qFormat/>
    <w:uiPriority w:val="99"/>
    <w:rPr>
      <w:rFonts w:ascii="Times New Roman" w:hAnsi="Times New Roman"/>
      <w:kern w:val="2"/>
      <w:sz w:val="18"/>
      <w:szCs w:val="18"/>
    </w:rPr>
  </w:style>
  <w:style w:type="character" w:customStyle="1" w:styleId="35">
    <w:name w:val="标题 3 字符"/>
    <w:basedOn w:val="18"/>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8">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0">
    <w:name w:val="xl66"/>
    <w:basedOn w:val="1"/>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1">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5">
    <w:name w:val="xl7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6">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47">
    <w:name w:val="xl7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2"/>
      <w:szCs w:val="12"/>
    </w:rPr>
  </w:style>
  <w:style w:type="paragraph" w:customStyle="1" w:styleId="48">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9">
    <w:name w:val="xl7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0">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1">
    <w:name w:val="xl7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2">
    <w:name w:val="xl7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3">
    <w:name w:val="批注文字 字符"/>
    <w:basedOn w:val="18"/>
    <w:link w:val="6"/>
    <w:uiPriority w:val="0"/>
    <w:rPr>
      <w:rFonts w:ascii="Calibri" w:hAnsi="Calibri" w:eastAsia="宋体" w:cs="Times New Roman"/>
      <w:kern w:val="2"/>
      <w:sz w:val="21"/>
      <w:szCs w:val="24"/>
    </w:rPr>
  </w:style>
  <w:style w:type="character" w:customStyle="1" w:styleId="54">
    <w:name w:val="批注主题 字符"/>
    <w:basedOn w:val="53"/>
    <w:link w:val="15"/>
    <w:semiHidden/>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年收入支出总计变动情况图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Sheet1!$B$2:$B$5</c:f>
              <c:numCache>
                <c:formatCode>General</c:formatCode>
                <c:ptCount val="4"/>
                <c:pt idx="0">
                  <c:v>226.31</c:v>
                </c:pt>
                <c:pt idx="1">
                  <c:v>226.31</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Sheet1!$C$2:$C$5</c:f>
              <c:numCache>
                <c:formatCode>General</c:formatCode>
                <c:ptCount val="4"/>
                <c:pt idx="0">
                  <c:v>473.11</c:v>
                </c:pt>
                <c:pt idx="1">
                  <c:v>473.11</c:v>
                </c:pt>
              </c:numCache>
            </c:numRef>
          </c:val>
        </c:ser>
        <c:dLbls>
          <c:showLegendKey val="0"/>
          <c:showVal val="0"/>
          <c:showCatName val="0"/>
          <c:showSerName val="0"/>
          <c:showPercent val="0"/>
          <c:showBubbleSize val="0"/>
        </c:dLbls>
        <c:gapWidth val="219"/>
        <c:overlap val="-27"/>
        <c:axId val="585217072"/>
        <c:axId val="585217400"/>
      </c:barChart>
      <c:catAx>
        <c:axId val="58521707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749854483335261"/>
              <c:y val="0.736325621835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5217400"/>
        <c:crosses val="autoZero"/>
        <c:auto val="1"/>
        <c:lblAlgn val="ctr"/>
        <c:lblOffset val="100"/>
        <c:noMultiLvlLbl val="0"/>
      </c:catAx>
      <c:valAx>
        <c:axId val="585217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5217072"/>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年度收入决算结构图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一般公共预算财政拨款收入</c:v>
                </c:pt>
                <c:pt idx="1">
                  <c:v>政府性基金预算财政拨款收入</c:v>
                </c:pt>
                <c:pt idx="2">
                  <c:v>上级补助收入</c:v>
                </c:pt>
                <c:pt idx="3">
                  <c:v>事业收入</c:v>
                </c:pt>
                <c:pt idx="4">
                  <c:v>其他收入</c:v>
                </c:pt>
              </c:strCache>
            </c:strRef>
          </c:cat>
          <c:val>
            <c:numRef>
              <c:f>Sheet1!$B$2:$B$6</c:f>
              <c:numCache>
                <c:formatCode>General</c:formatCode>
                <c:ptCount val="5"/>
                <c:pt idx="0">
                  <c:v>473.11</c:v>
                </c:pt>
                <c:pt idx="1">
                  <c:v>0</c:v>
                </c:pt>
                <c:pt idx="2">
                  <c:v>0</c:v>
                </c:pt>
                <c:pt idx="3">
                  <c:v>0</c:v>
                </c:pt>
                <c:pt idx="4">
                  <c:v>0</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年度支出决算结构图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2023年度支出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451.58</c:v>
                </c:pt>
                <c:pt idx="1">
                  <c:v>21.54</c:v>
                </c:pt>
                <c:pt idx="2">
                  <c:v>0</c:v>
                </c:pt>
                <c:pt idx="3">
                  <c:v>0</c:v>
                </c:pt>
                <c:pt idx="4">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年财政拨款收入支出总计变动图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226.31</c:v>
                </c:pt>
                <c:pt idx="1">
                  <c:v>226.31</c:v>
                </c:pt>
              </c:numCache>
            </c:numRef>
          </c:val>
        </c:ser>
        <c:ser>
          <c:idx val="1"/>
          <c:order val="1"/>
          <c:tx>
            <c:strRef>
              <c:f>Sheet1!$C$1</c:f>
              <c:strCache>
                <c:ptCount val="1"/>
                <c:pt idx="0">
                  <c:v>2023</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473.11</c:v>
                </c:pt>
                <c:pt idx="1">
                  <c:v>473.11</c:v>
                </c:pt>
              </c:numCache>
            </c:numRef>
          </c:val>
        </c:ser>
        <c:dLbls>
          <c:showLegendKey val="0"/>
          <c:showVal val="0"/>
          <c:showCatName val="0"/>
          <c:showSerName val="0"/>
          <c:showPercent val="0"/>
          <c:showBubbleSize val="0"/>
        </c:dLbls>
        <c:gapWidth val="219"/>
        <c:overlap val="-27"/>
        <c:axId val="614403576"/>
        <c:axId val="614404232"/>
      </c:barChart>
      <c:catAx>
        <c:axId val="61440357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50986195350671"/>
              <c:y val="0.9138282018153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404232"/>
        <c:crosses val="autoZero"/>
        <c:auto val="1"/>
        <c:lblAlgn val="ctr"/>
        <c:lblOffset val="100"/>
        <c:noMultiLvlLbl val="0"/>
      </c:catAx>
      <c:valAx>
        <c:axId val="614404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403576"/>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200"/>
              <a:t>2022</a:t>
            </a:r>
            <a:r>
              <a:rPr lang="zh-CN" altLang="en-US" sz="1200"/>
              <a:t>、</a:t>
            </a:r>
            <a:r>
              <a:rPr lang="en-US" altLang="zh-CN" sz="1200"/>
              <a:t>2023</a:t>
            </a:r>
            <a:r>
              <a:rPr lang="zh-CN" altLang="en-US" sz="1200"/>
              <a:t>年度一般公共预算财政拨款支出决算变动图</a:t>
            </a:r>
            <a:endParaRPr lang="zh-CN" altLang="en-US" sz="12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Sheet1!$B$2:$B$3</c:f>
              <c:numCache>
                <c:formatCode>General</c:formatCode>
                <c:ptCount val="2"/>
                <c:pt idx="0">
                  <c:v>226.31</c:v>
                </c:pt>
                <c:pt idx="1">
                  <c:v>473.11</c:v>
                </c:pt>
              </c:numCache>
            </c:numRef>
          </c:val>
        </c:ser>
        <c:dLbls>
          <c:showLegendKey val="0"/>
          <c:showVal val="0"/>
          <c:showCatName val="0"/>
          <c:showSerName val="0"/>
          <c:showPercent val="0"/>
          <c:showBubbleSize val="0"/>
        </c:dLbls>
        <c:gapWidth val="219"/>
        <c:overlap val="-27"/>
        <c:axId val="349952600"/>
        <c:axId val="349951288"/>
      </c:barChart>
      <c:catAx>
        <c:axId val="34995260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6538807919899"/>
              <c:y val="0.8890603999577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951288"/>
        <c:crosses val="autoZero"/>
        <c:auto val="1"/>
        <c:lblAlgn val="ctr"/>
        <c:lblOffset val="100"/>
        <c:noMultiLvlLbl val="0"/>
      </c:catAx>
      <c:valAx>
        <c:axId val="349951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952600"/>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年一般公共预算财政拨款支出结构图</a:t>
            </a:r>
            <a:endParaRPr lang="zh-CN" altLang="en-US"/>
          </a:p>
        </c:rich>
      </c:tx>
      <c:layout>
        <c:manualLayout>
          <c:xMode val="edge"/>
          <c:yMode val="edge"/>
          <c:x val="0.229857934023597"/>
          <c:y val="0"/>
        </c:manualLayout>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369.29</c:v>
                </c:pt>
                <c:pt idx="1">
                  <c:v>49.36</c:v>
                </c:pt>
                <c:pt idx="2">
                  <c:v>20.25</c:v>
                </c:pt>
                <c:pt idx="3">
                  <c:v>34.22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8CDC8-6017-4A6F-B2F4-FEA1E85E5FD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12151</Words>
  <Characters>2475</Characters>
  <Lines>20</Lines>
  <Paragraphs>29</Paragraphs>
  <TotalTime>294</TotalTime>
  <ScaleCrop>false</ScaleCrop>
  <LinksUpToDate>false</LinksUpToDate>
  <CharactersWithSpaces>14597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2024-08-19T00:01:00Z</dcterms:created>
  <dc:creator>AutoBVT</dc:creator>
  <cp:lastModifiedBy>Lenovo</cp:lastModifiedBy>
  <cp:lastPrinted>2024-08-23T07:28:00Z</cp:lastPrinted>
  <dcterms:modified xsi:type="dcterms:W3CDTF">2024-08-28T01:26:09Z</dcterms:modified>
  <dc:title>四川省***</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